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74" w:rsidRPr="005C3900" w:rsidRDefault="005C3900" w:rsidP="00092291">
      <w:pPr>
        <w:jc w:val="center"/>
        <w:rPr>
          <w:rFonts w:ascii="標楷體" w:eastAsia="標楷體" w:hAnsi="標楷體" w:cs="標楷體"/>
          <w:bCs/>
          <w:spacing w:val="-20"/>
          <w:sz w:val="32"/>
          <w:szCs w:val="32"/>
        </w:rPr>
      </w:pPr>
      <w:bookmarkStart w:id="0" w:name="_GoBack"/>
      <w:bookmarkEnd w:id="0"/>
      <w:r w:rsidRPr="005C3900">
        <w:rPr>
          <w:rFonts w:ascii="標楷體" w:eastAsia="標楷體" w:hAnsi="標楷體" w:cs="標楷體" w:hint="eastAsia"/>
          <w:bCs/>
          <w:spacing w:val="-20"/>
          <w:sz w:val="32"/>
          <w:szCs w:val="32"/>
        </w:rPr>
        <w:t>外匯收支或交易申報辦法部分條文修正</w:t>
      </w:r>
      <w:r w:rsidR="00551028">
        <w:rPr>
          <w:rFonts w:ascii="標楷體" w:eastAsia="標楷體" w:hAnsi="標楷體" w:cs="標楷體" w:hint="eastAsia"/>
          <w:bCs/>
          <w:spacing w:val="-20"/>
          <w:sz w:val="32"/>
          <w:szCs w:val="32"/>
        </w:rPr>
        <w:t>條文</w:t>
      </w:r>
      <w:r w:rsidR="00293240">
        <w:rPr>
          <w:rFonts w:ascii="標楷體" w:eastAsia="標楷體" w:hAnsi="標楷體" w:cs="標楷體" w:hint="eastAsia"/>
          <w:bCs/>
          <w:spacing w:val="-20"/>
          <w:sz w:val="32"/>
          <w:szCs w:val="32"/>
        </w:rPr>
        <w:t>及第二條附件修正規定</w:t>
      </w:r>
    </w:p>
    <w:p w:rsidR="005C3900" w:rsidRPr="005C3900" w:rsidRDefault="005C3900" w:rsidP="004427DC">
      <w:pPr>
        <w:spacing w:line="400" w:lineRule="exact"/>
        <w:ind w:leftChars="-100" w:left="1418" w:hangingChars="592" w:hanging="1658"/>
        <w:rPr>
          <w:rFonts w:ascii="標楷體" w:eastAsia="標楷體" w:hAnsi="標楷體"/>
          <w:sz w:val="28"/>
          <w:szCs w:val="28"/>
        </w:rPr>
      </w:pPr>
      <w:r w:rsidRPr="005C3900">
        <w:rPr>
          <w:rFonts w:ascii="標楷體" w:eastAsia="標楷體" w:hAnsi="標楷體" w:cs="標楷體" w:hint="eastAsia"/>
          <w:sz w:val="28"/>
          <w:szCs w:val="28"/>
        </w:rPr>
        <w:t>第</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三</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條</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本辦法所用名詞定義如下：</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一、銀行業：指經本行許可辦理外匯業務之銀行、</w:t>
      </w:r>
      <w:r w:rsidR="00B55055" w:rsidRPr="00B55055">
        <w:rPr>
          <w:rFonts w:ascii="標楷體" w:eastAsia="標楷體" w:hAnsi="標楷體" w:cs="標楷體" w:hint="eastAsia"/>
          <w:sz w:val="28"/>
          <w:szCs w:val="28"/>
        </w:rPr>
        <w:t>全國農業金庫股份有限公司、</w:t>
      </w:r>
      <w:r w:rsidRPr="005C3900">
        <w:rPr>
          <w:rFonts w:ascii="標楷體" w:eastAsia="標楷體" w:hAnsi="標楷體" w:cs="標楷體" w:hint="eastAsia"/>
          <w:sz w:val="28"/>
          <w:szCs w:val="28"/>
        </w:rPr>
        <w:t>信用合作社、農會信用部、漁會信用部及中華郵政股份有限公司。</w:t>
      </w:r>
    </w:p>
    <w:p w:rsidR="005C3900" w:rsidRPr="005C3900" w:rsidRDefault="005C3900" w:rsidP="00A740D9">
      <w:pPr>
        <w:spacing w:line="400" w:lineRule="exact"/>
        <w:ind w:leftChars="839" w:left="2588" w:hangingChars="205" w:hanging="574"/>
        <w:rPr>
          <w:rFonts w:ascii="標楷體" w:eastAsia="標楷體" w:hAnsi="標楷體"/>
          <w:sz w:val="28"/>
          <w:szCs w:val="28"/>
        </w:rPr>
      </w:pPr>
      <w:r w:rsidRPr="005C3900">
        <w:rPr>
          <w:rFonts w:ascii="標楷體" w:eastAsia="標楷體" w:hAnsi="標楷體" w:hint="eastAsia"/>
          <w:sz w:val="28"/>
          <w:szCs w:val="28"/>
        </w:rPr>
        <w:t>二、</w:t>
      </w:r>
      <w:r w:rsidRPr="004427DC">
        <w:rPr>
          <w:rFonts w:ascii="標楷體" w:eastAsia="標楷體" w:hAnsi="標楷體" w:cs="標楷體" w:hint="eastAsia"/>
          <w:sz w:val="28"/>
          <w:szCs w:val="28"/>
        </w:rPr>
        <w:t>外匯</w:t>
      </w:r>
      <w:r w:rsidRPr="005C3900">
        <w:rPr>
          <w:rFonts w:ascii="標楷體" w:eastAsia="標楷體" w:hAnsi="標楷體" w:cs="標楷體" w:hint="eastAsia"/>
          <w:sz w:val="28"/>
          <w:szCs w:val="28"/>
        </w:rPr>
        <w:t>證券商：指</w:t>
      </w:r>
      <w:r w:rsidRPr="005C3900">
        <w:rPr>
          <w:rFonts w:ascii="標楷體" w:eastAsia="標楷體" w:hAnsi="標楷體" w:hint="eastAsia"/>
          <w:sz w:val="28"/>
          <w:szCs w:val="28"/>
        </w:rPr>
        <w:t>證券業辦理</w:t>
      </w:r>
      <w:r w:rsidRPr="005C3900">
        <w:rPr>
          <w:rFonts w:ascii="標楷體" w:eastAsia="標楷體" w:hAnsi="標楷體" w:cs="標楷體" w:hint="eastAsia"/>
          <w:sz w:val="28"/>
          <w:szCs w:val="28"/>
        </w:rPr>
        <w:t>外匯</w:t>
      </w:r>
      <w:r w:rsidRPr="005C3900">
        <w:rPr>
          <w:rFonts w:ascii="標楷體" w:eastAsia="標楷體" w:hAnsi="標楷體" w:hint="eastAsia"/>
          <w:sz w:val="28"/>
          <w:szCs w:val="28"/>
        </w:rPr>
        <w:t>業務管理辦法</w:t>
      </w:r>
      <w:r w:rsidRPr="005C3900">
        <w:rPr>
          <w:rFonts w:ascii="標楷體" w:eastAsia="標楷體" w:hAnsi="標楷體" w:cs="標楷體" w:hint="eastAsia"/>
          <w:sz w:val="28"/>
          <w:szCs w:val="28"/>
        </w:rPr>
        <w:t>所稱之</w:t>
      </w:r>
      <w:r w:rsidRPr="005C3900">
        <w:rPr>
          <w:rFonts w:ascii="標楷體" w:eastAsia="標楷體" w:hAnsi="標楷體" w:hint="eastAsia"/>
          <w:sz w:val="28"/>
          <w:szCs w:val="28"/>
        </w:rPr>
        <w:t>外匯證券商</w:t>
      </w:r>
      <w:r w:rsidRPr="005C3900">
        <w:rPr>
          <w:rFonts w:ascii="標楷體" w:eastAsia="標楷體" w:hAnsi="標楷體" w:cs="標楷體" w:hint="eastAsia"/>
          <w:sz w:val="28"/>
          <w:szCs w:val="28"/>
        </w:rPr>
        <w:t>。</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三、公司：指依中華民國法令在中華民國設立登記或經中華民國政府認許並登記之公司。</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四、有限合夥：指依中華民國法令在中華民國設立登記之有限合夥。</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五、行號：指依中華民國商業登記法登記之獨資或合夥經營之營利事業。</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六、團體：指依中華民國法令經主管機關核准設立之團體。</w:t>
      </w:r>
    </w:p>
    <w:p w:rsidR="005C3900" w:rsidRPr="005C3900" w:rsidRDefault="005C3900" w:rsidP="00A740D9">
      <w:pPr>
        <w:spacing w:line="400" w:lineRule="exact"/>
        <w:ind w:leftChars="839" w:left="2588" w:hangingChars="205" w:hanging="574"/>
        <w:rPr>
          <w:rFonts w:ascii="標楷體" w:eastAsia="標楷體" w:hAnsi="標楷體"/>
          <w:sz w:val="28"/>
          <w:szCs w:val="28"/>
        </w:rPr>
      </w:pPr>
      <w:r w:rsidRPr="005C3900">
        <w:rPr>
          <w:rFonts w:ascii="標楷體" w:eastAsia="標楷體" w:hAnsi="標楷體" w:cs="標楷體" w:hint="eastAsia"/>
          <w:sz w:val="28"/>
          <w:szCs w:val="28"/>
        </w:rPr>
        <w:t>七、個人：指年滿二十歲領有中華民國國民身分證、臺灣地區相關居留證或外僑居留證證載有效期限一年以上之自然人。</w:t>
      </w:r>
    </w:p>
    <w:p w:rsid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八、非居住民：指未領有臺灣地區相關居留證或外僑居留證，或領有</w:t>
      </w:r>
      <w:r w:rsidRPr="005C3900">
        <w:rPr>
          <w:rFonts w:ascii="標楷體" w:eastAsia="標楷體" w:hAnsi="標楷體" w:cs="標楷體" w:hint="eastAsia"/>
          <w:kern w:val="0"/>
          <w:sz w:val="28"/>
          <w:szCs w:val="28"/>
        </w:rPr>
        <w:t>相關</w:t>
      </w:r>
      <w:r w:rsidRPr="005C3900">
        <w:rPr>
          <w:rFonts w:ascii="標楷體" w:eastAsia="標楷體" w:hAnsi="標楷體" w:cs="標楷體" w:hint="eastAsia"/>
          <w:sz w:val="28"/>
          <w:szCs w:val="28"/>
        </w:rPr>
        <w:t>居留證但證載有效期限未滿一年之非中華民國國民，或未在中華民國境內依法設立登記之公司、行號、團體，或未經中華民國政府認許之非中華民國法人。</w:t>
      </w:r>
    </w:p>
    <w:p w:rsidR="005C3900" w:rsidRPr="005C3900" w:rsidRDefault="005C3900" w:rsidP="004427DC">
      <w:pPr>
        <w:spacing w:line="400" w:lineRule="exact"/>
        <w:ind w:leftChars="-100" w:left="1418" w:hangingChars="592" w:hanging="1658"/>
        <w:rPr>
          <w:rFonts w:ascii="標楷體" w:eastAsia="標楷體" w:hAnsi="標楷體" w:cs="標楷體"/>
          <w:sz w:val="28"/>
          <w:szCs w:val="28"/>
        </w:rPr>
      </w:pPr>
      <w:r w:rsidRPr="005C3900">
        <w:rPr>
          <w:rFonts w:ascii="標楷體" w:eastAsia="標楷體" w:hAnsi="標楷體" w:cs="標楷體" w:hint="eastAsia"/>
          <w:sz w:val="28"/>
          <w:szCs w:val="28"/>
        </w:rPr>
        <w:t>第</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十</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條</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下列申報義務人辦理新臺幣結匯申報，得利用網際網路，經由本行核准辦理網路外匯業務之銀行業，以電子文件向本行申報</w:t>
      </w:r>
      <w:r w:rsidRPr="005C3900">
        <w:rPr>
          <w:rFonts w:ascii="標楷體" w:eastAsia="標楷體" w:hAnsi="標楷體" w:cs="標楷體"/>
          <w:sz w:val="28"/>
          <w:szCs w:val="28"/>
        </w:rPr>
        <w:t xml:space="preserve">： </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一、公司、行號或團體</w:t>
      </w:r>
      <w:r w:rsidRPr="005C3900">
        <w:rPr>
          <w:rFonts w:ascii="標楷體" w:eastAsia="標楷體" w:hAnsi="標楷體" w:cs="標楷體"/>
          <w:sz w:val="28"/>
          <w:szCs w:val="28"/>
        </w:rPr>
        <w:t>。</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二、個人</w:t>
      </w:r>
      <w:r w:rsidRPr="005C3900">
        <w:rPr>
          <w:rFonts w:ascii="標楷體" w:eastAsia="標楷體" w:hAnsi="標楷體" w:cs="標楷體"/>
          <w:sz w:val="28"/>
          <w:szCs w:val="28"/>
        </w:rPr>
        <w:t>。</w:t>
      </w:r>
    </w:p>
    <w:p w:rsidR="005C3900" w:rsidRPr="005C3900" w:rsidRDefault="005C3900" w:rsidP="004427DC">
      <w:pPr>
        <w:spacing w:line="400" w:lineRule="exact"/>
        <w:ind w:leftChars="590" w:left="1416" w:firstLineChars="203" w:firstLine="568"/>
        <w:jc w:val="both"/>
        <w:rPr>
          <w:rFonts w:ascii="標楷體" w:eastAsia="標楷體" w:hAnsi="標楷體" w:cs="標楷體"/>
          <w:sz w:val="28"/>
          <w:szCs w:val="28"/>
        </w:rPr>
      </w:pPr>
      <w:r w:rsidRPr="00293240">
        <w:rPr>
          <w:rFonts w:ascii="標楷體" w:eastAsia="標楷體" w:hAnsi="標楷體" w:hint="eastAsia"/>
          <w:bCs/>
          <w:sz w:val="28"/>
        </w:rPr>
        <w:t>申報</w:t>
      </w:r>
      <w:r w:rsidRPr="005C3900">
        <w:rPr>
          <w:rFonts w:ascii="標楷體" w:eastAsia="標楷體" w:hAnsi="標楷體" w:cs="標楷體" w:hint="eastAsia"/>
          <w:sz w:val="28"/>
          <w:szCs w:val="28"/>
        </w:rPr>
        <w:t>義務人利用網際網路辦理新臺幣結匯申報事宜前，應向銀行業申請並辦理相關約定事項</w:t>
      </w:r>
      <w:r w:rsidRPr="005C3900">
        <w:rPr>
          <w:rFonts w:ascii="標楷體" w:eastAsia="標楷體" w:hAnsi="標楷體" w:cs="標楷體"/>
          <w:sz w:val="28"/>
          <w:szCs w:val="28"/>
        </w:rPr>
        <w:t>。</w:t>
      </w:r>
    </w:p>
    <w:p w:rsidR="005C3900" w:rsidRPr="005C3900" w:rsidRDefault="005C3900" w:rsidP="004427DC">
      <w:pPr>
        <w:spacing w:line="400" w:lineRule="exact"/>
        <w:ind w:leftChars="590" w:left="1416" w:firstLineChars="203" w:firstLine="568"/>
        <w:jc w:val="both"/>
        <w:rPr>
          <w:rFonts w:ascii="標楷體" w:eastAsia="標楷體" w:hAnsi="標楷體" w:cs="標楷體"/>
          <w:sz w:val="28"/>
          <w:szCs w:val="28"/>
        </w:rPr>
      </w:pPr>
      <w:r w:rsidRPr="005C3900">
        <w:rPr>
          <w:rFonts w:ascii="標楷體" w:eastAsia="標楷體" w:hAnsi="標楷體" w:cs="標楷體" w:hint="eastAsia"/>
          <w:sz w:val="28"/>
          <w:szCs w:val="28"/>
        </w:rPr>
        <w:t>銀行業應依下列規定受理網際網路申報事項：</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一、查驗申報義務人身分文件或基本登記資料。</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二、於網路提供申報書樣式及填寫之輔導說明</w:t>
      </w:r>
      <w:r w:rsidRPr="005C3900">
        <w:rPr>
          <w:rFonts w:ascii="標楷體" w:eastAsia="標楷體" w:hAnsi="標楷體" w:cs="標楷體"/>
          <w:sz w:val="28"/>
          <w:szCs w:val="28"/>
        </w:rPr>
        <w:t>。</w:t>
      </w:r>
    </w:p>
    <w:p w:rsidR="005C3900" w:rsidRP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三、就申報義務人填具之申報書確認電子簽章相符後，依</w:t>
      </w:r>
      <w:r w:rsidRPr="005C3900">
        <w:rPr>
          <w:rFonts w:ascii="標楷體" w:eastAsia="標楷體" w:hAnsi="標楷體" w:cs="標楷體" w:hint="eastAsia"/>
          <w:sz w:val="28"/>
          <w:szCs w:val="28"/>
        </w:rPr>
        <w:lastRenderedPageBreak/>
        <w:t>據該申報書內容，製作本行規定格式之買、賣匯水單媒體資料報送本行，並以該媒體資料視同申報義務人向本行申報</w:t>
      </w:r>
      <w:r w:rsidRPr="005C3900">
        <w:rPr>
          <w:rFonts w:ascii="標楷體" w:eastAsia="標楷體" w:hAnsi="標楷體" w:cs="標楷體"/>
          <w:sz w:val="28"/>
          <w:szCs w:val="28"/>
        </w:rPr>
        <w:t>。</w:t>
      </w:r>
    </w:p>
    <w:p w:rsidR="005C3900" w:rsidRDefault="005C3900" w:rsidP="00A740D9">
      <w:pPr>
        <w:spacing w:line="400" w:lineRule="exact"/>
        <w:ind w:leftChars="839" w:left="2588" w:hangingChars="205" w:hanging="574"/>
        <w:rPr>
          <w:rFonts w:ascii="標楷體" w:eastAsia="標楷體" w:hAnsi="標楷體" w:cs="標楷體"/>
          <w:sz w:val="28"/>
          <w:szCs w:val="28"/>
        </w:rPr>
      </w:pPr>
      <w:r w:rsidRPr="005C3900">
        <w:rPr>
          <w:rFonts w:ascii="標楷體" w:eastAsia="標楷體" w:hAnsi="標楷體" w:cs="標楷體" w:hint="eastAsia"/>
          <w:sz w:val="28"/>
          <w:szCs w:val="28"/>
        </w:rPr>
        <w:t>四、對申報義務人以電子訊息所為之外匯收支或交易申報紀錄及提供之書面、傳真或影像掃描文件，應妥善保存備供稽核、查詢及列印，其保存期限至少為五年</w:t>
      </w:r>
      <w:r w:rsidRPr="005C3900">
        <w:rPr>
          <w:rFonts w:ascii="標楷體" w:eastAsia="標楷體" w:hAnsi="標楷體" w:cs="標楷體"/>
          <w:sz w:val="28"/>
          <w:szCs w:val="28"/>
        </w:rPr>
        <w:t>。</w:t>
      </w:r>
    </w:p>
    <w:p w:rsidR="005C3900" w:rsidRPr="005C3900" w:rsidRDefault="005C3900" w:rsidP="004427DC">
      <w:pPr>
        <w:spacing w:line="400" w:lineRule="exact"/>
        <w:ind w:leftChars="-100" w:left="1418" w:hangingChars="592" w:hanging="1658"/>
        <w:rPr>
          <w:rFonts w:ascii="標楷體" w:eastAsia="標楷體" w:hAnsi="標楷體"/>
          <w:bCs/>
          <w:sz w:val="28"/>
          <w:szCs w:val="28"/>
        </w:rPr>
      </w:pPr>
      <w:r w:rsidRPr="005C3900">
        <w:rPr>
          <w:rFonts w:ascii="標楷體" w:eastAsia="標楷體" w:hAnsi="標楷體" w:cs="標楷體" w:hint="eastAsia"/>
          <w:sz w:val="28"/>
          <w:szCs w:val="28"/>
        </w:rPr>
        <w:t>第</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十三</w:t>
      </w:r>
      <w:r w:rsidR="00293240">
        <w:rPr>
          <w:rFonts w:ascii="標楷體" w:eastAsia="標楷體" w:hAnsi="標楷體" w:cs="標楷體" w:hint="eastAsia"/>
          <w:sz w:val="28"/>
          <w:szCs w:val="28"/>
        </w:rPr>
        <w:t xml:space="preserve">  </w:t>
      </w:r>
      <w:r w:rsidRPr="005C3900">
        <w:rPr>
          <w:rFonts w:ascii="標楷體" w:eastAsia="標楷體" w:hAnsi="標楷體" w:cs="標楷體" w:hint="eastAsia"/>
          <w:sz w:val="28"/>
          <w:szCs w:val="28"/>
        </w:rPr>
        <w:t>條</w:t>
      </w:r>
      <w:r w:rsidR="00293240">
        <w:rPr>
          <w:rFonts w:ascii="標楷體" w:eastAsia="標楷體" w:hAnsi="標楷體" w:cs="標楷體" w:hint="eastAsia"/>
          <w:sz w:val="28"/>
          <w:szCs w:val="28"/>
        </w:rPr>
        <w:t xml:space="preserve">    </w:t>
      </w:r>
      <w:r w:rsidRPr="005C3900">
        <w:rPr>
          <w:rFonts w:ascii="標楷體" w:eastAsia="標楷體" w:hAnsi="標楷體" w:hint="eastAsia"/>
          <w:bCs/>
          <w:sz w:val="28"/>
          <w:szCs w:val="28"/>
        </w:rPr>
        <w:t>申報義務人之外匯收支或交易未辦理新臺幣結匯者，以銀行業掣發之其他交易憑證視同申報書。</w:t>
      </w:r>
    </w:p>
    <w:p w:rsidR="005C3900" w:rsidRDefault="005C3900" w:rsidP="00921E66">
      <w:pPr>
        <w:spacing w:line="400" w:lineRule="exact"/>
        <w:ind w:leftChars="590" w:left="1416" w:firstLineChars="203" w:firstLine="650"/>
        <w:jc w:val="both"/>
        <w:rPr>
          <w:rFonts w:ascii="標楷體" w:eastAsia="標楷體" w:hAnsi="標楷體"/>
          <w:bCs/>
          <w:sz w:val="28"/>
        </w:rPr>
      </w:pPr>
      <w:r w:rsidRPr="005C3900">
        <w:rPr>
          <w:rFonts w:ascii="標楷體" w:eastAsia="標楷體" w:hAnsi="標楷體" w:hint="eastAsia"/>
          <w:bCs/>
          <w:spacing w:val="20"/>
          <w:sz w:val="28"/>
        </w:rPr>
        <w:t>申報</w:t>
      </w:r>
      <w:r w:rsidRPr="005C3900">
        <w:rPr>
          <w:rFonts w:ascii="標楷體" w:eastAsia="標楷體" w:hAnsi="標楷體" w:hint="eastAsia"/>
          <w:bCs/>
          <w:sz w:val="28"/>
        </w:rPr>
        <w:t>義務人應對銀行業掣發之其他交易憑證內容予以核對，如發現有與事實不符之情事時，應檢附相關證明文件經由銀行業向本行申請更正。</w:t>
      </w:r>
    </w:p>
    <w:p w:rsidR="005C3900" w:rsidRPr="005C3900" w:rsidRDefault="005C3900" w:rsidP="004427DC">
      <w:pPr>
        <w:spacing w:line="400" w:lineRule="exact"/>
        <w:ind w:leftChars="-100" w:left="1418" w:hangingChars="592" w:hanging="1658"/>
        <w:rPr>
          <w:rFonts w:ascii="標楷體" w:eastAsia="標楷體" w:hAnsi="標楷體" w:cs="標楷體"/>
          <w:kern w:val="0"/>
          <w:sz w:val="28"/>
          <w:szCs w:val="28"/>
        </w:rPr>
      </w:pPr>
      <w:r w:rsidRPr="005C3900">
        <w:rPr>
          <w:rFonts w:ascii="標楷體" w:eastAsia="標楷體" w:hAnsi="標楷體" w:cs="標楷體" w:hint="eastAsia"/>
          <w:sz w:val="28"/>
          <w:szCs w:val="28"/>
        </w:rPr>
        <w:t>第十六條之一</w:t>
      </w:r>
      <w:r w:rsidR="00293240">
        <w:rPr>
          <w:rFonts w:ascii="標楷體" w:eastAsia="標楷體" w:hAnsi="標楷體" w:cs="標楷體" w:hint="eastAsia"/>
        </w:rPr>
        <w:t xml:space="preserve"> </w:t>
      </w:r>
      <w:r w:rsidR="004427DC">
        <w:rPr>
          <w:rFonts w:ascii="標楷體" w:eastAsia="標楷體" w:hAnsi="標楷體" w:cs="標楷體" w:hint="eastAsia"/>
        </w:rPr>
        <w:t xml:space="preserve">   </w:t>
      </w:r>
      <w:r w:rsidRPr="005C3900">
        <w:rPr>
          <w:rFonts w:ascii="標楷體" w:eastAsia="標楷體" w:hAnsi="標楷體" w:hint="eastAsia"/>
          <w:sz w:val="28"/>
          <w:szCs w:val="28"/>
        </w:rPr>
        <w:t>外匯證券商</w:t>
      </w:r>
      <w:r w:rsidRPr="005C3900">
        <w:rPr>
          <w:rFonts w:ascii="標楷體" w:eastAsia="標楷體" w:hAnsi="標楷體" w:cs="標楷體" w:hint="eastAsia"/>
          <w:kern w:val="0"/>
          <w:sz w:val="28"/>
          <w:szCs w:val="28"/>
        </w:rPr>
        <w:t>受理</w:t>
      </w:r>
      <w:r w:rsidRPr="005C3900">
        <w:rPr>
          <w:rFonts w:ascii="標楷體" w:eastAsia="標楷體" w:hAnsi="標楷體" w:cs="標楷體" w:hint="eastAsia"/>
          <w:sz w:val="28"/>
          <w:szCs w:val="28"/>
        </w:rPr>
        <w:t>外匯收支或交易之申報，除</w:t>
      </w:r>
      <w:r w:rsidRPr="00092291">
        <w:rPr>
          <w:rFonts w:ascii="標楷體" w:eastAsia="標楷體" w:hAnsi="標楷體" w:hint="eastAsia"/>
          <w:bCs/>
          <w:sz w:val="28"/>
          <w:szCs w:val="28"/>
        </w:rPr>
        <w:t>本行</w:t>
      </w:r>
      <w:r w:rsidRPr="005C3900">
        <w:rPr>
          <w:rFonts w:ascii="標楷體" w:eastAsia="標楷體" w:hAnsi="標楷體" w:cs="標楷體" w:hint="eastAsia"/>
          <w:sz w:val="28"/>
          <w:szCs w:val="28"/>
        </w:rPr>
        <w:t>另有規定外，</w:t>
      </w:r>
      <w:r w:rsidRPr="005C3900">
        <w:rPr>
          <w:rFonts w:ascii="標楷體" w:eastAsia="標楷體" w:hAnsi="標楷體" w:cs="標楷體" w:hint="eastAsia"/>
          <w:kern w:val="0"/>
          <w:sz w:val="28"/>
          <w:szCs w:val="28"/>
        </w:rPr>
        <w:t>準用本</w:t>
      </w:r>
      <w:r w:rsidRPr="00293240">
        <w:rPr>
          <w:rFonts w:ascii="標楷體" w:eastAsia="標楷體" w:hAnsi="標楷體" w:hint="eastAsia"/>
          <w:bCs/>
          <w:sz w:val="28"/>
          <w:szCs w:val="28"/>
        </w:rPr>
        <w:t>辦法</w:t>
      </w:r>
      <w:r w:rsidRPr="005C3900">
        <w:rPr>
          <w:rFonts w:ascii="標楷體" w:eastAsia="標楷體" w:hAnsi="標楷體" w:cs="標楷體" w:hint="eastAsia"/>
          <w:kern w:val="0"/>
          <w:sz w:val="28"/>
          <w:szCs w:val="28"/>
        </w:rPr>
        <w:t>有關銀行業之規定。</w:t>
      </w:r>
    </w:p>
    <w:p w:rsidR="005C3900" w:rsidRPr="005C3900" w:rsidRDefault="005C3900" w:rsidP="00921E66">
      <w:pPr>
        <w:spacing w:line="400" w:lineRule="exact"/>
        <w:ind w:leftChars="590" w:left="1416" w:firstLineChars="203" w:firstLine="568"/>
        <w:jc w:val="both"/>
        <w:rPr>
          <w:rFonts w:ascii="標楷體" w:eastAsia="標楷體" w:hAnsi="標楷體"/>
        </w:rPr>
      </w:pPr>
      <w:r w:rsidRPr="00092291">
        <w:rPr>
          <w:rFonts w:ascii="標楷體" w:eastAsia="標楷體" w:hAnsi="標楷體" w:hint="eastAsia"/>
          <w:bCs/>
          <w:sz w:val="28"/>
        </w:rPr>
        <w:t>有限</w:t>
      </w:r>
      <w:r w:rsidRPr="005C3900">
        <w:rPr>
          <w:rFonts w:ascii="標楷體" w:eastAsia="標楷體" w:hAnsi="標楷體" w:cs="標楷體" w:hint="eastAsia"/>
          <w:kern w:val="0"/>
          <w:sz w:val="28"/>
          <w:szCs w:val="28"/>
        </w:rPr>
        <w:t>合夥之申報，準用本辦法及其他有關公司之申報規定。</w:t>
      </w:r>
    </w:p>
    <w:sectPr w:rsidR="005C3900" w:rsidRPr="005C3900" w:rsidSect="005C3900">
      <w:footerReference w:type="default" r:id="rId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28" w:rsidRDefault="00551028" w:rsidP="00551028">
      <w:r>
        <w:separator/>
      </w:r>
    </w:p>
  </w:endnote>
  <w:endnote w:type="continuationSeparator" w:id="0">
    <w:p w:rsidR="00551028" w:rsidRDefault="00551028" w:rsidP="0055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細明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09549"/>
      <w:docPartObj>
        <w:docPartGallery w:val="Page Numbers (Bottom of Page)"/>
        <w:docPartUnique/>
      </w:docPartObj>
    </w:sdtPr>
    <w:sdtEndPr/>
    <w:sdtContent>
      <w:p w:rsidR="003F3FF3" w:rsidRDefault="003F3FF3">
        <w:pPr>
          <w:pStyle w:val="a5"/>
          <w:jc w:val="center"/>
        </w:pPr>
        <w:r>
          <w:fldChar w:fldCharType="begin"/>
        </w:r>
        <w:r>
          <w:instrText>PAGE   \* MERGEFORMAT</w:instrText>
        </w:r>
        <w:r>
          <w:fldChar w:fldCharType="separate"/>
        </w:r>
        <w:r w:rsidR="002C0F55" w:rsidRPr="002C0F55">
          <w:rPr>
            <w:noProof/>
            <w:lang w:val="zh-TW"/>
          </w:rPr>
          <w:t>2</w:t>
        </w:r>
        <w:r>
          <w:fldChar w:fldCharType="end"/>
        </w:r>
      </w:p>
    </w:sdtContent>
  </w:sdt>
  <w:p w:rsidR="003F3FF3" w:rsidRDefault="003F3F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28" w:rsidRDefault="00551028" w:rsidP="00551028">
      <w:r>
        <w:separator/>
      </w:r>
    </w:p>
  </w:footnote>
  <w:footnote w:type="continuationSeparator" w:id="0">
    <w:p w:rsidR="00551028" w:rsidRDefault="00551028" w:rsidP="00551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00"/>
    <w:rsid w:val="000566B2"/>
    <w:rsid w:val="00092291"/>
    <w:rsid w:val="00094A24"/>
    <w:rsid w:val="00293240"/>
    <w:rsid w:val="002C0F55"/>
    <w:rsid w:val="003D1246"/>
    <w:rsid w:val="003E2438"/>
    <w:rsid w:val="003F3FF3"/>
    <w:rsid w:val="004427DC"/>
    <w:rsid w:val="00551028"/>
    <w:rsid w:val="005C3900"/>
    <w:rsid w:val="007879F8"/>
    <w:rsid w:val="007E1FB4"/>
    <w:rsid w:val="00812BA1"/>
    <w:rsid w:val="0085157A"/>
    <w:rsid w:val="00921E66"/>
    <w:rsid w:val="00A740D9"/>
    <w:rsid w:val="00B550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028"/>
    <w:pPr>
      <w:tabs>
        <w:tab w:val="center" w:pos="4153"/>
        <w:tab w:val="right" w:pos="8306"/>
      </w:tabs>
      <w:snapToGrid w:val="0"/>
    </w:pPr>
    <w:rPr>
      <w:sz w:val="20"/>
      <w:szCs w:val="20"/>
    </w:rPr>
  </w:style>
  <w:style w:type="character" w:customStyle="1" w:styleId="a4">
    <w:name w:val="頁首 字元"/>
    <w:basedOn w:val="a0"/>
    <w:link w:val="a3"/>
    <w:uiPriority w:val="99"/>
    <w:rsid w:val="00551028"/>
    <w:rPr>
      <w:sz w:val="20"/>
      <w:szCs w:val="20"/>
    </w:rPr>
  </w:style>
  <w:style w:type="paragraph" w:styleId="a5">
    <w:name w:val="footer"/>
    <w:basedOn w:val="a"/>
    <w:link w:val="a6"/>
    <w:uiPriority w:val="99"/>
    <w:unhideWhenUsed/>
    <w:rsid w:val="00551028"/>
    <w:pPr>
      <w:tabs>
        <w:tab w:val="center" w:pos="4153"/>
        <w:tab w:val="right" w:pos="8306"/>
      </w:tabs>
      <w:snapToGrid w:val="0"/>
    </w:pPr>
    <w:rPr>
      <w:sz w:val="20"/>
      <w:szCs w:val="20"/>
    </w:rPr>
  </w:style>
  <w:style w:type="character" w:customStyle="1" w:styleId="a6">
    <w:name w:val="頁尾 字元"/>
    <w:basedOn w:val="a0"/>
    <w:link w:val="a5"/>
    <w:uiPriority w:val="99"/>
    <w:rsid w:val="00551028"/>
    <w:rPr>
      <w:sz w:val="20"/>
      <w:szCs w:val="20"/>
    </w:rPr>
  </w:style>
  <w:style w:type="paragraph" w:customStyle="1" w:styleId="a7">
    <w:name w:val="條 次"/>
    <w:basedOn w:val="a"/>
    <w:rsid w:val="003D1246"/>
    <w:pPr>
      <w:spacing w:line="440" w:lineRule="exact"/>
      <w:ind w:leftChars="1" w:left="1060" w:hangingChars="378" w:hanging="1058"/>
      <w:jc w:val="both"/>
    </w:pPr>
    <w:rPr>
      <w:rFonts w:ascii="Times New Roman" w:eastAsia="標楷體" w:hAnsi="Times New Roman" w:cs="Times New Roman"/>
      <w:sz w:val="28"/>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028"/>
    <w:pPr>
      <w:tabs>
        <w:tab w:val="center" w:pos="4153"/>
        <w:tab w:val="right" w:pos="8306"/>
      </w:tabs>
      <w:snapToGrid w:val="0"/>
    </w:pPr>
    <w:rPr>
      <w:sz w:val="20"/>
      <w:szCs w:val="20"/>
    </w:rPr>
  </w:style>
  <w:style w:type="character" w:customStyle="1" w:styleId="a4">
    <w:name w:val="頁首 字元"/>
    <w:basedOn w:val="a0"/>
    <w:link w:val="a3"/>
    <w:uiPriority w:val="99"/>
    <w:rsid w:val="00551028"/>
    <w:rPr>
      <w:sz w:val="20"/>
      <w:szCs w:val="20"/>
    </w:rPr>
  </w:style>
  <w:style w:type="paragraph" w:styleId="a5">
    <w:name w:val="footer"/>
    <w:basedOn w:val="a"/>
    <w:link w:val="a6"/>
    <w:uiPriority w:val="99"/>
    <w:unhideWhenUsed/>
    <w:rsid w:val="00551028"/>
    <w:pPr>
      <w:tabs>
        <w:tab w:val="center" w:pos="4153"/>
        <w:tab w:val="right" w:pos="8306"/>
      </w:tabs>
      <w:snapToGrid w:val="0"/>
    </w:pPr>
    <w:rPr>
      <w:sz w:val="20"/>
      <w:szCs w:val="20"/>
    </w:rPr>
  </w:style>
  <w:style w:type="character" w:customStyle="1" w:styleId="a6">
    <w:name w:val="頁尾 字元"/>
    <w:basedOn w:val="a0"/>
    <w:link w:val="a5"/>
    <w:uiPriority w:val="99"/>
    <w:rsid w:val="00551028"/>
    <w:rPr>
      <w:sz w:val="20"/>
      <w:szCs w:val="20"/>
    </w:rPr>
  </w:style>
  <w:style w:type="paragraph" w:customStyle="1" w:styleId="a7">
    <w:name w:val="條 次"/>
    <w:basedOn w:val="a"/>
    <w:rsid w:val="003D1246"/>
    <w:pPr>
      <w:spacing w:line="440" w:lineRule="exact"/>
      <w:ind w:leftChars="1" w:left="1060" w:hangingChars="378" w:hanging="1058"/>
      <w:jc w:val="both"/>
    </w:pPr>
    <w:rPr>
      <w:rFonts w:ascii="Times New Roman" w:eastAsia="標楷體"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835</Characters>
  <Application>Microsoft Office Word</Application>
  <DocSecurity>0</DocSecurity>
  <Lines>6</Lines>
  <Paragraphs>1</Paragraphs>
  <ScaleCrop>false</ScaleCrop>
  <Company>Hewlett-Packard Company</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張瓈文</dc:creator>
  <cp:lastModifiedBy>蔡雅蓮</cp:lastModifiedBy>
  <cp:revision>2</cp:revision>
  <cp:lastPrinted>2017-03-17T07:46:00Z</cp:lastPrinted>
  <dcterms:created xsi:type="dcterms:W3CDTF">2017-03-27T01:33:00Z</dcterms:created>
  <dcterms:modified xsi:type="dcterms:W3CDTF">2017-03-27T01:33:00Z</dcterms:modified>
</cp:coreProperties>
</file>