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8D" w:rsidRPr="00526559" w:rsidRDefault="006E62D7" w:rsidP="0049157C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spacing w:val="-6"/>
          <w:sz w:val="40"/>
          <w:szCs w:val="40"/>
        </w:rPr>
      </w:pPr>
      <w:bookmarkStart w:id="0" w:name="_GoBack"/>
      <w:bookmarkEnd w:id="0"/>
      <w:r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國際</w:t>
      </w:r>
      <w:r w:rsidR="005F79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經貿新</w:t>
      </w:r>
      <w:r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局</w:t>
      </w:r>
      <w:r w:rsidR="007113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—</w:t>
      </w:r>
      <w:r w:rsidR="007113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對美</w:t>
      </w:r>
      <w:r w:rsidR="000B32E2" w:rsidRPr="00526559">
        <w:rPr>
          <w:rFonts w:ascii="Times New Roman" w:eastAsia="標楷體" w:hAnsi="Times New Roman" w:cs="Times New Roman" w:hint="eastAsia"/>
          <w:b/>
          <w:spacing w:val="-6"/>
          <w:sz w:val="40"/>
          <w:szCs w:val="40"/>
        </w:rPr>
        <w:t>中</w:t>
      </w:r>
      <w:r w:rsidR="007113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貿易失衡的觀點</w:t>
      </w:r>
    </w:p>
    <w:p w:rsidR="00763F03" w:rsidRPr="00526559" w:rsidRDefault="00763F03" w:rsidP="0049157C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26559">
        <w:rPr>
          <w:rFonts w:ascii="Times New Roman" w:eastAsia="標楷體" w:hAnsi="Times New Roman" w:cs="Times New Roman"/>
          <w:b/>
          <w:sz w:val="32"/>
          <w:szCs w:val="32"/>
        </w:rPr>
        <w:t>楊金龍</w:t>
      </w:r>
    </w:p>
    <w:p w:rsidR="00763F03" w:rsidRPr="00526559" w:rsidRDefault="0052122A" w:rsidP="0049157C">
      <w:pPr>
        <w:spacing w:beforeLines="50" w:before="180" w:afterLines="50" w:after="180" w:line="50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526559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56477" wp14:editId="4A8BFA3A">
                <wp:simplePos x="0" y="0"/>
                <wp:positionH relativeFrom="column">
                  <wp:posOffset>3634798</wp:posOffset>
                </wp:positionH>
                <wp:positionV relativeFrom="paragraph">
                  <wp:posOffset>17780</wp:posOffset>
                </wp:positionV>
                <wp:extent cx="2080260" cy="5029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A18" w:rsidRPr="00763F03" w:rsidRDefault="00AD0A18" w:rsidP="00763F03">
                            <w:pPr>
                              <w:spacing w:beforeLines="50" w:before="180" w:line="24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3F0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中央銀行</w:t>
                            </w:r>
                            <w:r w:rsidRPr="00763F0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/108.1.4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6.2pt;margin-top:1.4pt;width:163.8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" filled="f" stroked="f" strokeweight=".5pt">
                <v:textbox>
                  <w:txbxContent>
                    <w:p w:rsidR="00AD0A18" w:rsidRPr="00763F03" w:rsidRDefault="00AD0A18" w:rsidP="00763F03">
                      <w:pPr>
                        <w:spacing w:beforeLines="50" w:before="180" w:line="240" w:lineRule="exact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763F0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中央銀行</w:t>
                      </w:r>
                      <w:r w:rsidRPr="00763F0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/108.1.4</w:t>
                      </w:r>
                    </w:p>
                  </w:txbxContent>
                </v:textbox>
              </v:shape>
            </w:pict>
          </mc:Fallback>
        </mc:AlternateContent>
      </w:r>
    </w:p>
    <w:p w:rsidR="00763F03" w:rsidRPr="00526559" w:rsidRDefault="009E219A" w:rsidP="00A15630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49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序言</w:t>
      </w:r>
    </w:p>
    <w:p w:rsidR="00763F03" w:rsidRPr="00526559" w:rsidRDefault="00E01DC5" w:rsidP="00A15630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吳董事長</w:t>
      </w:r>
      <w:r w:rsidR="000B32E2" w:rsidRPr="00526559">
        <w:rPr>
          <w:rFonts w:ascii="Times New Roman" w:eastAsia="標楷體" w:hAnsi="Times New Roman" w:cs="Times New Roman"/>
          <w:sz w:val="28"/>
          <w:szCs w:val="28"/>
        </w:rPr>
        <w:t>、</w:t>
      </w:r>
      <w:r w:rsidR="00FC279E" w:rsidRPr="00526559">
        <w:rPr>
          <w:rFonts w:ascii="Times New Roman" w:eastAsia="標楷體" w:hAnsi="Times New Roman" w:cs="Times New Roman"/>
          <w:sz w:val="28"/>
          <w:szCs w:val="28"/>
        </w:rPr>
        <w:t>黃院長</w:t>
      </w:r>
      <w:r w:rsidR="00763F03" w:rsidRPr="00526559">
        <w:rPr>
          <w:rFonts w:ascii="Times New Roman" w:eastAsia="標楷體" w:hAnsi="Times New Roman" w:cs="Times New Roman"/>
          <w:sz w:val="28"/>
          <w:szCs w:val="28"/>
        </w:rPr>
        <w:t>、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劉錦添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教授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曹董事長</w:t>
      </w:r>
      <w:r w:rsidR="00035826" w:rsidRPr="0052655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035826" w:rsidRPr="00526559">
        <w:rPr>
          <w:rFonts w:ascii="Times New Roman" w:eastAsia="標楷體" w:hAnsi="Times New Roman" w:cs="Times New Roman" w:hint="eastAsia"/>
          <w:sz w:val="28"/>
          <w:szCs w:val="28"/>
        </w:rPr>
        <w:t>周鉅原教授</w:t>
      </w:r>
      <w:r w:rsidR="00763F03" w:rsidRPr="00526559">
        <w:rPr>
          <w:rFonts w:ascii="Times New Roman" w:eastAsia="標楷體" w:hAnsi="Times New Roman" w:cs="Times New Roman"/>
          <w:sz w:val="28"/>
          <w:szCs w:val="28"/>
        </w:rPr>
        <w:t>，各位金融界的前輩與先進、各位貴賓及媒體朋友，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大家午安！</w:t>
      </w:r>
    </w:p>
    <w:p w:rsidR="006301B8" w:rsidRPr="00526559" w:rsidRDefault="00121072" w:rsidP="00A15630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本行</w:t>
      </w:r>
      <w:r w:rsidR="00DE7321" w:rsidRPr="00526559">
        <w:rPr>
          <w:rFonts w:ascii="Times New Roman" w:eastAsia="標楷體" w:hAnsi="Times New Roman" w:cs="Times New Roman" w:hint="eastAsia"/>
          <w:sz w:val="28"/>
          <w:szCs w:val="28"/>
        </w:rPr>
        <w:t>向來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關注</w:t>
      </w:r>
      <w:r w:rsidR="00A60C13" w:rsidRPr="00526559">
        <w:rPr>
          <w:rFonts w:ascii="Times New Roman" w:eastAsia="標楷體" w:hAnsi="Times New Roman" w:cs="Times New Roman"/>
          <w:sz w:val="28"/>
          <w:szCs w:val="28"/>
        </w:rPr>
        <w:t>美中經貿政策發展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及其外溢效果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9B7E2F" w:rsidRPr="00526559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於上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(2018)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年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12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月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20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日</w:t>
      </w:r>
      <w:r w:rsidR="005711C0" w:rsidRPr="0052655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行理監事會後記者會</w:t>
      </w:r>
      <w:r w:rsidR="00B054A7" w:rsidRPr="00526559">
        <w:rPr>
          <w:rFonts w:ascii="Times New Roman" w:eastAsia="標楷體" w:hAnsi="Times New Roman" w:cs="Times New Roman" w:hint="eastAsia"/>
          <w:sz w:val="28"/>
          <w:szCs w:val="28"/>
        </w:rPr>
        <w:t>發</w:t>
      </w:r>
      <w:r w:rsidR="00F7154A" w:rsidRPr="00526559">
        <w:rPr>
          <w:rFonts w:ascii="Times New Roman" w:eastAsia="標楷體" w:hAnsi="Times New Roman" w:cs="Times New Roman" w:hint="eastAsia"/>
          <w:sz w:val="28"/>
          <w:szCs w:val="28"/>
        </w:rPr>
        <w:t>布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參考資料「川普總統調整美國對外經貿政策之緣由、策略與影響」，供外界參考。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今天很高興能應</w:t>
      </w:r>
      <w:r w:rsidR="00002551" w:rsidRPr="00526559">
        <w:rPr>
          <w:rFonts w:ascii="Times New Roman" w:eastAsia="標楷體" w:hAnsi="Times New Roman" w:cs="Times New Roman"/>
          <w:sz w:val="28"/>
          <w:szCs w:val="28"/>
        </w:rPr>
        <w:t>臺灣金融研訓院</w:t>
      </w:r>
      <w:r w:rsidR="00002551" w:rsidRPr="0052655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C84C97" w:rsidRPr="00526559">
        <w:rPr>
          <w:rFonts w:ascii="Times New Roman" w:eastAsia="標楷體" w:hAnsi="Times New Roman" w:cs="Times New Roman" w:hint="eastAsia"/>
          <w:sz w:val="28"/>
          <w:szCs w:val="28"/>
        </w:rPr>
        <w:t>臺大公共經濟研究中心及</w:t>
      </w:r>
      <w:r w:rsidR="00C84C97" w:rsidRPr="00526559">
        <w:rPr>
          <w:rFonts w:ascii="Times New Roman" w:eastAsia="標楷體" w:hAnsi="Times New Roman" w:cs="Times New Roman"/>
          <w:sz w:val="28"/>
          <w:szCs w:val="28"/>
        </w:rPr>
        <w:t>臺灣</w:t>
      </w:r>
      <w:r w:rsidR="00C84C97" w:rsidRPr="00526559">
        <w:rPr>
          <w:rFonts w:ascii="Times New Roman" w:eastAsia="標楷體" w:hAnsi="Times New Roman" w:cs="Times New Roman" w:hint="eastAsia"/>
          <w:sz w:val="28"/>
          <w:szCs w:val="28"/>
        </w:rPr>
        <w:t>公共議題研究協會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的邀請，參加本次「貿易戰之國際經濟新局與</w:t>
      </w:r>
      <w:r w:rsidR="00B90A74" w:rsidRPr="00526559">
        <w:rPr>
          <w:rFonts w:ascii="Times New Roman" w:eastAsia="標楷體" w:hAnsi="Times New Roman" w:cs="Times New Roman"/>
          <w:sz w:val="28"/>
          <w:szCs w:val="28"/>
        </w:rPr>
        <w:t>臺灣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因應策略」研討會，並以「</w:t>
      </w:r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國際經貿新局</w:t>
      </w:r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—</w:t>
      </w:r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對美</w:t>
      </w:r>
      <w:r w:rsidR="000B32E2" w:rsidRPr="00526559">
        <w:rPr>
          <w:rFonts w:ascii="Times New Roman" w:eastAsia="標楷體" w:hAnsi="Times New Roman" w:cs="Times New Roman"/>
          <w:sz w:val="28"/>
          <w:szCs w:val="28"/>
        </w:rPr>
        <w:t>中</w:t>
      </w:r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貿易失衡的觀點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」為題，就教於各位。</w:t>
      </w:r>
    </w:p>
    <w:p w:rsidR="005927C8" w:rsidRPr="00526559" w:rsidRDefault="005927C8" w:rsidP="00A15630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2001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年中國大陸正式加入世界貿易組織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(WTO)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，並在全球化的推進過程中，逐步成為世界工廠，之後更在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2009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年取代德國，成為全球第</w:t>
      </w:r>
      <w:r w:rsidRPr="00526559">
        <w:rPr>
          <w:rFonts w:ascii="Times New Roman" w:eastAsia="標楷體" w:hAnsi="Times New Roman" w:cs="Times New Roman"/>
          <w:sz w:val="28"/>
          <w:szCs w:val="28"/>
        </w:rPr>
        <w:t>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大出口國，並於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2010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年超越日本，成為名目</w:t>
      </w:r>
      <w:r w:rsidRPr="00526559">
        <w:rPr>
          <w:rFonts w:ascii="Times New Roman" w:eastAsia="標楷體" w:hAnsi="Times New Roman" w:cs="Times New Roman"/>
          <w:sz w:val="28"/>
          <w:szCs w:val="28"/>
        </w:rPr>
        <w:t>GDP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僅次於美國的第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大經濟體</w:t>
      </w:r>
      <w:r w:rsidR="00153157" w:rsidRPr="00526559">
        <w:rPr>
          <w:rFonts w:ascii="Times New Roman" w:eastAsia="標楷體" w:hAnsi="Times New Roman" w:cs="Times New Roman"/>
          <w:sz w:val="28"/>
          <w:szCs w:val="28"/>
        </w:rPr>
        <w:t>；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英國智庫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C</w:t>
      </w:r>
      <w:r w:rsidR="00D55D8F" w:rsidRPr="00526559">
        <w:rPr>
          <w:rFonts w:ascii="Times New Roman" w:eastAsia="標楷體" w:hAnsi="Times New Roman" w:cs="Times New Roman"/>
          <w:sz w:val="28"/>
          <w:szCs w:val="28"/>
        </w:rPr>
        <w:t>E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BR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並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預估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中國大陸經濟規模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將於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32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年超越美國，躍居全球第</w:t>
      </w:r>
      <w:r w:rsidRPr="00526559">
        <w:rPr>
          <w:rFonts w:ascii="Times New Roman" w:eastAsia="標楷體" w:hAnsi="Times New Roman" w:cs="Times New Roman"/>
          <w:sz w:val="28"/>
          <w:szCs w:val="28"/>
        </w:rPr>
        <w:t>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大經濟體</w:t>
      </w:r>
      <w:r w:rsidR="00B876D9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"/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87348" w:rsidRPr="00526559" w:rsidRDefault="00A366F9" w:rsidP="002B7B5C">
      <w:pPr>
        <w:spacing w:beforeLines="30" w:before="108" w:afterLines="30" w:after="108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中國大陸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崛起，引發美國</w:t>
      </w:r>
      <w:r w:rsidR="006E62D7" w:rsidRPr="00526559">
        <w:rPr>
          <w:rFonts w:ascii="Times New Roman" w:eastAsia="標楷體" w:hAnsi="Times New Roman" w:cs="Times New Roman"/>
          <w:sz w:val="28"/>
          <w:szCs w:val="28"/>
        </w:rPr>
        <w:t>各界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的高度危機感，</w:t>
      </w:r>
      <w:r w:rsidR="00B04018" w:rsidRPr="00526559">
        <w:rPr>
          <w:rFonts w:ascii="Times New Roman" w:eastAsia="標楷體" w:hAnsi="Times New Roman" w:cs="Times New Roman" w:hint="eastAsia"/>
          <w:sz w:val="28"/>
          <w:szCs w:val="28"/>
        </w:rPr>
        <w:t>2015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</w:t>
      </w:r>
      <w:r w:rsidR="001C10A3" w:rsidRPr="00526559">
        <w:rPr>
          <w:rFonts w:ascii="Times New Roman" w:eastAsia="標楷體" w:hAnsi="Times New Roman" w:cs="Times New Roman" w:hint="eastAsia"/>
          <w:sz w:val="28"/>
          <w:szCs w:val="28"/>
        </w:rPr>
        <w:t>哈佛甘迺迪政府學院教授</w:t>
      </w:r>
      <w:r w:rsidRPr="00526559">
        <w:rPr>
          <w:rFonts w:ascii="Times New Roman" w:eastAsia="標楷體" w:hAnsi="Times New Roman" w:cs="Times New Roman"/>
          <w:sz w:val="28"/>
          <w:szCs w:val="28"/>
        </w:rPr>
        <w:t>Graham Allison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所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提出的「修昔底德陷阱」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(The Thucydides Trap)</w:t>
      </w:r>
      <w:r w:rsidRPr="00526559">
        <w:rPr>
          <w:rFonts w:ascii="Times New Roman" w:eastAsia="標楷體" w:hAnsi="Times New Roman" w:cs="Times New Roman"/>
          <w:vertAlign w:val="superscript"/>
        </w:rPr>
        <w:footnoteReference w:id="2"/>
      </w:r>
      <w:r w:rsidRPr="00526559">
        <w:rPr>
          <w:rFonts w:ascii="Times New Roman" w:eastAsia="標楷體" w:hAnsi="Times New Roman" w:cs="Times New Roman"/>
          <w:sz w:val="28"/>
          <w:szCs w:val="28"/>
        </w:rPr>
        <w:t>觀點</w:t>
      </w:r>
      <w:r w:rsidR="00080229" w:rsidRPr="00526559">
        <w:rPr>
          <w:rFonts w:ascii="新細明體" w:eastAsia="新細明體" w:hAnsi="新細明體" w:cs="Times New Roman" w:hint="eastAsia"/>
          <w:sz w:val="28"/>
          <w:szCs w:val="28"/>
        </w:rPr>
        <w:t>—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亦即有關新舊強權的互動與對立，再度為各界所關注</w:t>
      </w:r>
      <w:r w:rsidR="00725733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="00080229" w:rsidRPr="00526559">
        <w:rPr>
          <w:rFonts w:ascii="Times New Roman" w:eastAsia="標楷體" w:hAnsi="Times New Roman" w:cs="Times New Roman" w:hint="eastAsia"/>
          <w:sz w:val="28"/>
          <w:szCs w:val="28"/>
        </w:rPr>
        <w:t>回顧歷史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，日本曾在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1980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年代躍居全球第二大經濟體，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對各國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—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尤其是美國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—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享有鉅額貿易順差，當時各界多認為日本</w:t>
      </w:r>
      <w:r w:rsidR="005215DA" w:rsidRPr="00526559">
        <w:rPr>
          <w:rFonts w:ascii="Times New Roman" w:eastAsia="標楷體" w:hAnsi="Times New Roman" w:cs="Times New Roman" w:hint="eastAsia"/>
          <w:sz w:val="28"/>
          <w:szCs w:val="28"/>
        </w:rPr>
        <w:t>似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已迎頭趕上美國，此亦可由當年哈佛大學教授傅高義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(Ezra Vogel)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知名著作「日本第一」</w:t>
      </w:r>
      <w:r w:rsidR="00C87348" w:rsidRPr="00526559">
        <w:rPr>
          <w:rFonts w:ascii="Times New Roman" w:eastAsia="標楷體" w:hAnsi="Times New Roman" w:cs="Times New Roman"/>
          <w:vertAlign w:val="superscript"/>
        </w:rPr>
        <w:footnoteReference w:id="3"/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廣為流傳，可略知其一二。也因此，美國於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1980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年代中期透過</w:t>
      </w:r>
      <w:r w:rsidR="00596FE1" w:rsidRPr="00526559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="004B3B71" w:rsidRPr="00526559">
        <w:rPr>
          <w:rFonts w:ascii="Times New Roman" w:eastAsia="標楷體" w:hAnsi="Times New Roman" w:cs="Times New Roman"/>
          <w:sz w:val="28"/>
          <w:szCs w:val="28"/>
        </w:rPr>
        <w:t>廣場協議</w:t>
      </w:r>
      <w:r w:rsidR="00596FE1" w:rsidRPr="00526559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(Plaza Accord)</w:t>
      </w:r>
      <w:r w:rsidR="00C87348" w:rsidRPr="00526559">
        <w:rPr>
          <w:rFonts w:ascii="Times New Roman" w:eastAsia="標楷體" w:hAnsi="Times New Roman" w:cs="Times New Roman"/>
          <w:vertAlign w:val="superscript"/>
        </w:rPr>
        <w:footnoteReference w:id="4"/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使日圓</w:t>
      </w:r>
      <w:r w:rsidR="00320CBF" w:rsidRPr="00526559">
        <w:rPr>
          <w:rFonts w:ascii="Times New Roman" w:eastAsia="標楷體" w:hAnsi="Times New Roman" w:cs="Times New Roman" w:hint="eastAsia"/>
          <w:sz w:val="28"/>
          <w:szCs w:val="28"/>
        </w:rPr>
        <w:t>等主要貨幣對美元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大幅升值，並對日本採行多項貿易制裁措施，藉以「痛擊日本」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(Japan-bashing)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，期使美國產業恢復競爭力</w:t>
      </w:r>
      <w:r w:rsidR="00D675FF" w:rsidRPr="00526559">
        <w:rPr>
          <w:rFonts w:ascii="Times New Roman" w:eastAsia="標楷體" w:hAnsi="Times New Roman" w:cs="Times New Roman"/>
          <w:sz w:val="28"/>
          <w:szCs w:val="28"/>
        </w:rPr>
        <w:t>及原本的市場占有率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75630" w:rsidRPr="00526559" w:rsidRDefault="00C20BC8" w:rsidP="002B7B5C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30" w:before="108" w:afterLines="30" w:after="108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美</w:t>
      </w:r>
      <w:r w:rsidR="00C75630" w:rsidRPr="00526559">
        <w:rPr>
          <w:rFonts w:ascii="Times New Roman" w:eastAsia="標楷體" w:hAnsi="Times New Roman" w:cs="Times New Roman"/>
          <w:b/>
          <w:sz w:val="28"/>
          <w:szCs w:val="28"/>
        </w:rPr>
        <w:t>中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附加價值出口消長</w:t>
      </w:r>
      <w:r w:rsidR="00604465"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="00C75630" w:rsidRPr="00526559">
        <w:rPr>
          <w:rFonts w:ascii="Times New Roman" w:eastAsia="標楷體" w:hAnsi="Times New Roman" w:cs="Times New Roman"/>
          <w:b/>
          <w:sz w:val="28"/>
          <w:szCs w:val="28"/>
        </w:rPr>
        <w:t>美國製造業就業流失與川普</w:t>
      </w:r>
      <w:r w:rsidR="00C05F5C" w:rsidRPr="00526559">
        <w:rPr>
          <w:rFonts w:ascii="Times New Roman" w:eastAsia="標楷體" w:hAnsi="Times New Roman" w:cs="Times New Roman"/>
          <w:b/>
          <w:sz w:val="28"/>
          <w:szCs w:val="28"/>
        </w:rPr>
        <w:t>新</w:t>
      </w:r>
      <w:r w:rsidR="00C75630" w:rsidRPr="00526559">
        <w:rPr>
          <w:rFonts w:ascii="Times New Roman" w:eastAsia="標楷體" w:hAnsi="Times New Roman" w:cs="Times New Roman"/>
          <w:b/>
          <w:sz w:val="28"/>
          <w:szCs w:val="28"/>
        </w:rPr>
        <w:t>經貿政策</w:t>
      </w:r>
    </w:p>
    <w:p w:rsidR="00417952" w:rsidRPr="00526559" w:rsidRDefault="00417952" w:rsidP="002B7B5C">
      <w:pPr>
        <w:pStyle w:val="a3"/>
        <w:numPr>
          <w:ilvl w:val="0"/>
          <w:numId w:val="16"/>
        </w:numPr>
        <w:spacing w:beforeLines="30" w:before="108" w:afterLines="30" w:after="108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tab/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中國大陸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成為美國最大入超國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，美</w:t>
      </w:r>
      <w:r w:rsidR="00AA4621"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中</w:t>
      </w:r>
      <w:r w:rsidR="00AA4621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國內附加價值出口</w:t>
      </w:r>
      <w:r w:rsidR="006912D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全球市占率</w:t>
      </w:r>
      <w:r w:rsidR="00B035FA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出現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消長</w:t>
      </w:r>
    </w:p>
    <w:p w:rsidR="007E3ACD" w:rsidRPr="00526559" w:rsidRDefault="006A4976" w:rsidP="002B7B5C">
      <w:pPr>
        <w:spacing w:beforeLines="30" w:before="108" w:afterLines="30" w:after="108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時至今日，</w:t>
      </w:r>
      <w:r w:rsidR="00045417" w:rsidRPr="00526559">
        <w:rPr>
          <w:rFonts w:ascii="Times New Roman" w:eastAsia="標楷體" w:hAnsi="Times New Roman" w:cs="Times New Roman"/>
          <w:sz w:val="28"/>
          <w:szCs w:val="28"/>
        </w:rPr>
        <w:t>中國大陸已</w:t>
      </w:r>
      <w:r w:rsidR="00045417" w:rsidRPr="00526559">
        <w:rPr>
          <w:rFonts w:ascii="Times New Roman" w:eastAsia="標楷體" w:hAnsi="Times New Roman" w:cs="Times New Roman" w:hint="eastAsia"/>
          <w:sz w:val="28"/>
          <w:szCs w:val="28"/>
        </w:rPr>
        <w:t>取代日本成為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美國商品貿易入超</w:t>
      </w:r>
      <w:r w:rsidR="00C97F11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C97F11" w:rsidRPr="00526559">
        <w:rPr>
          <w:rFonts w:ascii="Times New Roman" w:eastAsia="標楷體" w:hAnsi="Times New Roman" w:cs="Times New Roman"/>
          <w:sz w:val="28"/>
          <w:szCs w:val="28"/>
        </w:rPr>
        <w:t>最大</w:t>
      </w:r>
      <w:r w:rsidR="00C97F11" w:rsidRPr="00526559">
        <w:rPr>
          <w:rFonts w:ascii="Times New Roman" w:eastAsia="標楷體" w:hAnsi="Times New Roman" w:cs="Times New Roman" w:hint="eastAsia"/>
          <w:sz w:val="28"/>
          <w:szCs w:val="28"/>
        </w:rPr>
        <w:t>來源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國，在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2017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年，美國</w:t>
      </w:r>
      <w:r w:rsidR="00AA4621" w:rsidRPr="00526559">
        <w:rPr>
          <w:rFonts w:ascii="Times New Roman" w:eastAsia="標楷體" w:hAnsi="Times New Roman" w:cs="Times New Roman"/>
          <w:sz w:val="28"/>
          <w:szCs w:val="28"/>
        </w:rPr>
        <w:t>近</w:t>
      </w:r>
      <w:r w:rsidR="00AA4621" w:rsidRPr="00526559">
        <w:rPr>
          <w:rFonts w:ascii="Times New Roman" w:eastAsia="標楷體" w:hAnsi="Times New Roman" w:cs="Times New Roman"/>
          <w:sz w:val="28"/>
          <w:szCs w:val="28"/>
        </w:rPr>
        <w:t>8,000</w:t>
      </w:r>
      <w:r w:rsidR="00AA4621" w:rsidRPr="00526559">
        <w:rPr>
          <w:rFonts w:ascii="Times New Roman" w:eastAsia="標楷體" w:hAnsi="Times New Roman" w:cs="Times New Roman"/>
          <w:sz w:val="28"/>
          <w:szCs w:val="28"/>
        </w:rPr>
        <w:t>億美元的入超中，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對中國大陸入超金額為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3</w:t>
      </w:r>
      <w:r w:rsidR="00D1128A" w:rsidRPr="00526559">
        <w:rPr>
          <w:rFonts w:ascii="Times New Roman" w:eastAsia="標楷體" w:hAnsi="Times New Roman" w:cs="Times New Roman"/>
          <w:sz w:val="28"/>
          <w:szCs w:val="28"/>
        </w:rPr>
        <w:t>,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7</w:t>
      </w:r>
      <w:r w:rsidR="00D1128A" w:rsidRPr="00526559">
        <w:rPr>
          <w:rFonts w:ascii="Times New Roman" w:eastAsia="標楷體" w:hAnsi="Times New Roman" w:cs="Times New Roman"/>
          <w:sz w:val="28"/>
          <w:szCs w:val="28"/>
        </w:rPr>
        <w:t>55.8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億美元，</w:t>
      </w:r>
      <w:r w:rsidR="00425D94" w:rsidRPr="00526559">
        <w:rPr>
          <w:rFonts w:ascii="Times New Roman" w:eastAsia="標楷體" w:hAnsi="Times New Roman" w:cs="Times New Roman"/>
          <w:sz w:val="28"/>
          <w:szCs w:val="28"/>
        </w:rPr>
        <w:t>占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了</w:t>
      </w:r>
      <w:r w:rsidR="003C415B" w:rsidRPr="00526559">
        <w:rPr>
          <w:rFonts w:ascii="Times New Roman" w:eastAsia="標楷體" w:hAnsi="Times New Roman" w:cs="Times New Roman"/>
          <w:sz w:val="28"/>
          <w:szCs w:val="28"/>
        </w:rPr>
        <w:t>47.</w:t>
      </w:r>
      <w:r w:rsidR="00D1128A" w:rsidRPr="00526559">
        <w:rPr>
          <w:rFonts w:ascii="Times New Roman" w:eastAsia="標楷體" w:hAnsi="Times New Roman" w:cs="Times New Roman"/>
          <w:sz w:val="28"/>
          <w:szCs w:val="28"/>
        </w:rPr>
        <w:t>2</w:t>
      </w:r>
      <w:r w:rsidR="003C415B" w:rsidRPr="00526559">
        <w:rPr>
          <w:rFonts w:ascii="Times New Roman" w:eastAsia="標楷體" w:hAnsi="Times New Roman" w:cs="Times New Roman"/>
          <w:sz w:val="28"/>
          <w:szCs w:val="28"/>
        </w:rPr>
        <w:t>%</w:t>
      </w:r>
      <w:r w:rsidR="003C3F15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另一方面，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隨</w:t>
      </w:r>
      <w:r w:rsidR="00EC7933" w:rsidRPr="00526559">
        <w:rPr>
          <w:rFonts w:ascii="Times New Roman" w:eastAsia="標楷體" w:hAnsi="Times New Roman" w:cs="Times New Roman"/>
          <w:sz w:val="28"/>
          <w:szCs w:val="28"/>
        </w:rPr>
        <w:t>著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全球供應鏈的興起，中國大陸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所生產之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國內附加價值出口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，其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全球市占率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亦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自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1995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年的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2%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，大幅增加至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2011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年</w:t>
      </w:r>
      <w:r w:rsidR="00054DC5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9.2%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；同期間</w:t>
      </w:r>
      <w:r w:rsidR="00D93CE3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美國國內附加價值出口在全球市占率則由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14.5%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下降至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11.2%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17952" w:rsidRPr="00526559" w:rsidRDefault="00417952" w:rsidP="002B7B5C">
      <w:pPr>
        <w:pStyle w:val="a3"/>
        <w:numPr>
          <w:ilvl w:val="0"/>
          <w:numId w:val="16"/>
        </w:numPr>
        <w:spacing w:beforeLines="30" w:before="108" w:afterLines="30" w:after="108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美國</w:t>
      </w:r>
      <w:r w:rsidR="00114030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就業流失與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所得分配不均之現象惡化，川普</w:t>
      </w:r>
      <w:r w:rsidR="00F84CCA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競選政見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吸引「鐵鏽帶</w:t>
      </w:r>
      <w:r w:rsidR="006E1F3F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5"/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 w:rsidR="006E1F3F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6E1F3F" w:rsidRPr="00526559">
        <w:rPr>
          <w:rFonts w:ascii="Times New Roman" w:eastAsia="標楷體" w:hAnsi="Times New Roman" w:cs="Times New Roman"/>
          <w:b/>
          <w:sz w:val="28"/>
          <w:szCs w:val="28"/>
        </w:rPr>
        <w:t>Rust Belt</w:t>
      </w:r>
      <w:r w:rsidR="006E1F3F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選民，入主白宮</w:t>
      </w:r>
    </w:p>
    <w:p w:rsidR="00D33846" w:rsidRPr="00526559" w:rsidRDefault="00C75630" w:rsidP="0044110A">
      <w:pPr>
        <w:spacing w:beforeLines="30" w:before="108" w:afterLines="30" w:after="108"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全球化過程中，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美國企業</w:t>
      </w:r>
      <w:r w:rsidR="00CD4596" w:rsidRPr="00526559">
        <w:rPr>
          <w:rFonts w:ascii="Times New Roman" w:eastAsia="標楷體" w:hAnsi="Times New Roman" w:cs="Times New Roman"/>
          <w:sz w:val="28"/>
          <w:szCs w:val="28"/>
        </w:rPr>
        <w:t>運</w:t>
      </w:r>
      <w:r w:rsidR="00725733" w:rsidRPr="00526559">
        <w:rPr>
          <w:rFonts w:ascii="Times New Roman" w:eastAsia="標楷體" w:hAnsi="Times New Roman" w:cs="Times New Roman"/>
          <w:sz w:val="28"/>
          <w:szCs w:val="28"/>
        </w:rPr>
        <w:t>用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「比較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利益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」的營運模式，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許多勞力密集產業或附加價值較低的產品，已不在美國生產，使得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美國製造業就業</w:t>
      </w:r>
      <w:r w:rsidR="00AD35D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3C3F15" w:rsidRPr="00526559">
        <w:rPr>
          <w:rFonts w:ascii="Times New Roman" w:eastAsia="標楷體" w:hAnsi="Times New Roman" w:cs="Times New Roman"/>
          <w:sz w:val="28"/>
          <w:szCs w:val="28"/>
        </w:rPr>
        <w:t>如</w:t>
      </w:r>
      <w:r w:rsidR="00AD4D91" w:rsidRPr="00526559">
        <w:rPr>
          <w:rFonts w:ascii="Times New Roman" w:eastAsia="標楷體" w:hAnsi="Times New Roman" w:cs="Times New Roman"/>
          <w:sz w:val="28"/>
          <w:szCs w:val="28"/>
        </w:rPr>
        <w:t>「</w:t>
      </w:r>
      <w:r w:rsidR="003C3F15" w:rsidRPr="00526559">
        <w:rPr>
          <w:rFonts w:ascii="Times New Roman" w:eastAsia="標楷體" w:hAnsi="Times New Roman" w:cs="Times New Roman"/>
          <w:sz w:val="28"/>
          <w:szCs w:val="28"/>
        </w:rPr>
        <w:t>鐵鏽帶</w:t>
      </w:r>
      <w:r w:rsidR="00AD4D91" w:rsidRPr="00526559">
        <w:rPr>
          <w:rFonts w:ascii="Times New Roman" w:eastAsia="標楷體" w:hAnsi="Times New Roman" w:cs="Times New Roman"/>
          <w:sz w:val="28"/>
          <w:szCs w:val="28"/>
        </w:rPr>
        <w:t>」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就業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大幅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流失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所得分配不均之現象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亦呈現惡化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。「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2018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年世界不平均報告」指出</w:t>
      </w:r>
      <w:r w:rsidR="00D33846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6"/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，在所有先進國家中，美國貧富差距問題最為嚴重，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2014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年美國最富有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1%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族群擁有全</w:t>
      </w:r>
      <w:r w:rsidR="00A90355" w:rsidRPr="00526559">
        <w:rPr>
          <w:rFonts w:ascii="Times New Roman" w:eastAsia="標楷體" w:hAnsi="Times New Roman" w:cs="Times New Roman" w:hint="eastAsia"/>
          <w:sz w:val="28"/>
          <w:szCs w:val="28"/>
        </w:rPr>
        <w:t>美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國民所得的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20.2%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，遠高於最貧窮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50%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族群的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12.5%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，且差距持續擴大。</w:t>
      </w:r>
    </w:p>
    <w:p w:rsidR="006C2E7A" w:rsidRPr="00526559" w:rsidRDefault="00CD4596" w:rsidP="0044110A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有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鑑於</w:t>
      </w:r>
      <w:r w:rsidR="00E17FD7" w:rsidRPr="00526559">
        <w:rPr>
          <w:rFonts w:ascii="Times New Roman" w:eastAsia="標楷體" w:hAnsi="Times New Roman" w:cs="Times New Roman"/>
          <w:sz w:val="28"/>
          <w:szCs w:val="28"/>
        </w:rPr>
        <w:t>此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，川普在</w:t>
      </w:r>
      <w:r w:rsidR="00B25349" w:rsidRPr="00526559">
        <w:rPr>
          <w:rFonts w:ascii="Times New Roman" w:eastAsia="標楷體" w:hAnsi="Times New Roman" w:cs="Times New Roman"/>
          <w:sz w:val="28"/>
          <w:szCs w:val="28"/>
        </w:rPr>
        <w:t>總統</w:t>
      </w:r>
      <w:r w:rsidR="00B25349" w:rsidRPr="00526559">
        <w:rPr>
          <w:rFonts w:ascii="Times New Roman" w:eastAsia="標楷體" w:hAnsi="Times New Roman" w:cs="Times New Roman" w:hint="eastAsia"/>
          <w:sz w:val="28"/>
          <w:szCs w:val="28"/>
        </w:rPr>
        <w:t>大選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期間即提倡「購買美國商品、僱用美國人」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(Buy American and Hire American)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、「美國製造」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(Made in USA)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及貿易保護措施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等政見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39615D" w:rsidRPr="00526559">
        <w:rPr>
          <w:rFonts w:ascii="Times New Roman" w:eastAsia="標楷體" w:hAnsi="Times New Roman" w:cs="Times New Roman" w:hint="eastAsia"/>
          <w:sz w:val="28"/>
          <w:szCs w:val="28"/>
        </w:rPr>
        <w:t>打動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「鐵鏽帶」龐大的藍領階級選民，最後協助川普入主白宮。</w:t>
      </w:r>
    </w:p>
    <w:p w:rsidR="00417952" w:rsidRPr="00526559" w:rsidRDefault="00417952" w:rsidP="009A5943">
      <w:pPr>
        <w:pStyle w:val="a3"/>
        <w:numPr>
          <w:ilvl w:val="0"/>
          <w:numId w:val="16"/>
        </w:numPr>
        <w:spacing w:beforeLines="50" w:before="180" w:afterLines="50" w:after="180" w:line="49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川普</w:t>
      </w:r>
      <w:r w:rsidR="00E70D81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政府</w:t>
      </w:r>
      <w:r w:rsidR="00C20BC8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新經貿政策</w:t>
      </w:r>
    </w:p>
    <w:p w:rsidR="005D787B" w:rsidRPr="00526559" w:rsidRDefault="00052F6F" w:rsidP="0044110A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美國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總統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川普上任</w:t>
      </w:r>
      <w:r w:rsidR="006C7FE2" w:rsidRPr="00526559">
        <w:rPr>
          <w:rFonts w:ascii="Times New Roman" w:eastAsia="標楷體" w:hAnsi="Times New Roman" w:cs="Times New Roman"/>
          <w:sz w:val="28"/>
          <w:szCs w:val="28"/>
        </w:rPr>
        <w:t>以來，即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開始</w:t>
      </w:r>
      <w:r w:rsidR="00811A49" w:rsidRPr="00526559">
        <w:rPr>
          <w:rFonts w:ascii="Times New Roman" w:eastAsia="標楷體" w:hAnsi="Times New Roman" w:cs="Times New Roman"/>
          <w:sz w:val="28"/>
          <w:szCs w:val="28"/>
        </w:rPr>
        <w:t>兌現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其政見，大幅度調整過去對外經貿政策，包含退出多邊談判架構</w:t>
      </w:r>
      <w:r w:rsidR="00C05F5C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7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，改採雙邊協商方式，使美方重新簽署對其更有利的美韓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FTA</w:t>
      </w:r>
      <w:r w:rsidR="00C05F5C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8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及美墨加貿易協定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(USMCA)</w:t>
      </w:r>
      <w:r w:rsidR="00C05F5C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9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，且對進口商品加徵關稅</w:t>
      </w:r>
      <w:r w:rsidR="00C05F5C" w:rsidRPr="00526559">
        <w:rPr>
          <w:rFonts w:ascii="Times New Roman" w:eastAsia="標楷體" w:hAnsi="Times New Roman" w:cs="Times New Roman"/>
          <w:vertAlign w:val="superscript"/>
        </w:rPr>
        <w:footnoteReference w:id="10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、禁止高科技產品出口及外人投資國內重要產業；同時透過美國財政部匯率政策報告</w:t>
      </w:r>
      <w:r w:rsidR="00C05F5C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1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及未來擬在新的貿易協定中，增列匯率條款</w:t>
      </w:r>
      <w:r w:rsidR="00C05F5C" w:rsidRPr="00526559">
        <w:rPr>
          <w:rFonts w:ascii="Times New Roman" w:eastAsia="標楷體" w:hAnsi="Times New Roman" w:cs="Times New Roman"/>
          <w:vertAlign w:val="superscript"/>
        </w:rPr>
        <w:footnoteReference w:id="12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與非市場經濟國家條款</w:t>
      </w:r>
      <w:r w:rsidR="00C05F5C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3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，圍堵中國大陸等特定國家，以維護其科技優勢地位</w:t>
      </w:r>
      <w:r w:rsidR="00C05F5C" w:rsidRPr="00526559">
        <w:rPr>
          <w:rFonts w:ascii="Times New Roman" w:eastAsia="標楷體" w:hAnsi="Times New Roman" w:cs="Times New Roman"/>
          <w:vertAlign w:val="superscript"/>
        </w:rPr>
        <w:footnoteReference w:id="14"/>
      </w:r>
      <w:r w:rsidR="00E17FD7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="005D787B" w:rsidRPr="00526559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C20BC8" w:rsidRPr="00526559" w:rsidRDefault="00C20BC8" w:rsidP="009A5943">
      <w:pPr>
        <w:pStyle w:val="a3"/>
        <w:numPr>
          <w:ilvl w:val="0"/>
          <w:numId w:val="16"/>
        </w:numPr>
        <w:spacing w:beforeLines="50" w:before="180" w:afterLines="50" w:after="180" w:line="49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川普認為中國大陸扭曲市場機制，並藉不公平競爭取得優勢，發展「中國製造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2025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」，故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對中方多次啟動貿易制裁手段</w:t>
      </w:r>
    </w:p>
    <w:p w:rsidR="00B61C87" w:rsidRPr="00526559" w:rsidRDefault="00B61C87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作為美國最大貿易逆差來源</w:t>
      </w:r>
      <w:r w:rsidR="00B25349" w:rsidRPr="00526559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的中國大陸，更是川普所指責的對象。</w:t>
      </w:r>
      <w:r w:rsidR="00FD01FA" w:rsidRPr="00526559">
        <w:rPr>
          <w:rFonts w:ascii="Times New Roman" w:eastAsia="標楷體" w:hAnsi="Times New Roman" w:cs="Times New Roman" w:hint="eastAsia"/>
          <w:sz w:val="28"/>
          <w:szCs w:val="28"/>
        </w:rPr>
        <w:t>川普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一直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認為，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中國大陸扭曲市場機制，現行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WTO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貿易體制無法規範中國大陸不公平競爭的行為，且其貿易爭端解決機制的成效亦不彰，</w:t>
      </w:r>
      <w:r w:rsidR="005F5085" w:rsidRPr="00526559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故與</w:t>
      </w:r>
      <w:r w:rsidR="005F5085" w:rsidRPr="00526559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G20</w:t>
      </w:r>
      <w:r w:rsidR="005F5085" w:rsidRPr="00526559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其他會員國共同</w:t>
      </w:r>
      <w:r w:rsidR="005F5085" w:rsidRPr="00526559">
        <w:rPr>
          <w:rFonts w:ascii="Times New Roman" w:eastAsia="標楷體" w:hAnsi="Times New Roman" w:cs="Times New Roman"/>
          <w:spacing w:val="-4"/>
          <w:sz w:val="28"/>
          <w:szCs w:val="28"/>
        </w:rPr>
        <w:t>呼籲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進行強化</w:t>
      </w:r>
      <w:r w:rsidRPr="00526559">
        <w:rPr>
          <w:rFonts w:ascii="Times New Roman" w:eastAsia="標楷體" w:hAnsi="Times New Roman" w:cs="Times New Roman"/>
          <w:sz w:val="28"/>
          <w:szCs w:val="28"/>
        </w:rPr>
        <w:t>WTO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功能的相關改革</w:t>
      </w:r>
      <w:r w:rsidRPr="00526559">
        <w:rPr>
          <w:rStyle w:val="aa"/>
          <w:rFonts w:ascii="Times New Roman" w:eastAsia="標楷體" w:hAnsi="Times New Roman" w:cs="Times New Roman"/>
          <w:kern w:val="0"/>
          <w:sz w:val="28"/>
          <w:szCs w:val="28"/>
        </w:rPr>
        <w:footnoteReference w:id="15"/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例如，川普政府認為中國大陸限制外資投資比例，強迫美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商技術移轉換取進入中國大陸市場，又以非市場價格要求美商技術授權，並透過政策支持陸企在美投資，獲取尖端科技，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或藉由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網路竊取美商營業秘密等，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取得不公平競爭優勢，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有利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先進科技</w:t>
      </w:r>
      <w:r w:rsidR="006912DC" w:rsidRPr="00526559">
        <w:rPr>
          <w:rFonts w:ascii="Times New Roman" w:eastAsia="標楷體" w:hAnsi="Times New Roman" w:cs="Times New Roman"/>
          <w:sz w:val="28"/>
          <w:szCs w:val="28"/>
        </w:rPr>
        <w:t>加速發展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對美國經濟及國家安全造成威脅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特別是「中國製造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2025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」</w:t>
      </w:r>
      <w:r w:rsidR="00D559B7" w:rsidRPr="00526559">
        <w:rPr>
          <w:rFonts w:ascii="Times New Roman" w:eastAsia="標楷體" w:hAnsi="Times New Roman" w:cs="Times New Roman" w:hint="eastAsia"/>
          <w:sz w:val="28"/>
          <w:szCs w:val="28"/>
        </w:rPr>
        <w:t>以成為與美國平起平坐的全球製造強國為目標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，更令美國感到擔憂，故啟動「技術冷戰」，全力圍堵中國大陸科技擴張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致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過去一年</w:t>
      </w:r>
      <w:r w:rsidR="00126578" w:rsidRPr="00526559">
        <w:rPr>
          <w:rFonts w:ascii="Times New Roman" w:eastAsia="標楷體" w:hAnsi="Times New Roman" w:cs="Times New Roman" w:hint="eastAsia"/>
          <w:sz w:val="28"/>
          <w:szCs w:val="28"/>
        </w:rPr>
        <w:t>多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來美國</w:t>
      </w:r>
      <w:r w:rsidR="00126578" w:rsidRPr="00526559">
        <w:rPr>
          <w:rFonts w:ascii="Times New Roman" w:eastAsia="標楷體" w:hAnsi="Times New Roman" w:cs="Times New Roman" w:hint="eastAsia"/>
          <w:sz w:val="28"/>
          <w:szCs w:val="28"/>
        </w:rPr>
        <w:t>已</w:t>
      </w:r>
      <w:r w:rsidR="00E7006B" w:rsidRPr="00526559">
        <w:rPr>
          <w:rFonts w:ascii="Times New Roman" w:eastAsia="標楷體" w:hAnsi="Times New Roman" w:cs="Times New Roman" w:hint="eastAsia"/>
          <w:sz w:val="28"/>
          <w:szCs w:val="28"/>
        </w:rPr>
        <w:t>針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對</w:t>
      </w:r>
      <w:r w:rsidR="00E7006B" w:rsidRPr="00526559">
        <w:rPr>
          <w:rFonts w:ascii="Times New Roman" w:eastAsia="標楷體" w:hAnsi="Times New Roman" w:cs="Times New Roman" w:hint="eastAsia"/>
          <w:sz w:val="28"/>
          <w:szCs w:val="28"/>
        </w:rPr>
        <w:t>中國大陸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啟動</w:t>
      </w:r>
      <w:r w:rsidR="006912DC" w:rsidRPr="00526559">
        <w:rPr>
          <w:rFonts w:ascii="Times New Roman" w:eastAsia="標楷體" w:hAnsi="Times New Roman" w:cs="Times New Roman"/>
          <w:sz w:val="28"/>
          <w:szCs w:val="28"/>
        </w:rPr>
        <w:t>多次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貿易制裁</w:t>
      </w:r>
      <w:r w:rsidR="004B70A4" w:rsidRPr="00526559">
        <w:rPr>
          <w:rFonts w:ascii="Times New Roman" w:eastAsia="標楷體" w:hAnsi="Times New Roman" w:cs="Times New Roman" w:hint="eastAsia"/>
          <w:sz w:val="28"/>
          <w:szCs w:val="28"/>
        </w:rPr>
        <w:t>手段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D35D8" w:rsidRPr="00526559" w:rsidRDefault="006C7FE2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當前美方反制中方的種種作法，我們似乎又看到當年「痛擊日本」的往事；當然，今天美國所面</w:t>
      </w:r>
      <w:r w:rsidR="002B5F80" w:rsidRPr="00526559"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的中國大陸，與昔日的日本並不相同，中國大陸在美方</w:t>
      </w:r>
      <w:r w:rsidR="00D77F5E" w:rsidRPr="00526559">
        <w:rPr>
          <w:rFonts w:ascii="Times New Roman" w:eastAsia="標楷體" w:hAnsi="Times New Roman" w:cs="Times New Roman"/>
          <w:sz w:val="28"/>
          <w:szCs w:val="28"/>
        </w:rPr>
        <w:t>宣布制裁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措施</w:t>
      </w:r>
      <w:r w:rsidR="00FC0D02" w:rsidRPr="00526559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，多</w:t>
      </w:r>
      <w:r w:rsidR="00FC0D02" w:rsidRPr="00526559">
        <w:rPr>
          <w:rFonts w:ascii="Times New Roman" w:eastAsia="標楷體" w:hAnsi="Times New Roman" w:cs="Times New Roman" w:hint="eastAsia"/>
          <w:sz w:val="28"/>
          <w:szCs w:val="28"/>
        </w:rPr>
        <w:t>同步</w:t>
      </w:r>
      <w:r w:rsidR="00D77F5E" w:rsidRPr="00526559">
        <w:rPr>
          <w:rFonts w:ascii="Times New Roman" w:eastAsia="標楷體" w:hAnsi="Times New Roman" w:cs="Times New Roman"/>
          <w:sz w:val="28"/>
          <w:szCs w:val="28"/>
        </w:rPr>
        <w:t>祭出</w:t>
      </w:r>
      <w:r w:rsidR="00551D4C" w:rsidRPr="00526559">
        <w:rPr>
          <w:rFonts w:ascii="Times New Roman" w:eastAsia="標楷體" w:hAnsi="Times New Roman" w:cs="Times New Roman"/>
          <w:sz w:val="28"/>
          <w:szCs w:val="28"/>
        </w:rPr>
        <w:t>反制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措施，</w:t>
      </w:r>
      <w:r w:rsidR="00FC0D02"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美中貿易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關係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持續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緊繃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雖然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近期中國大陸</w:t>
      </w:r>
      <w:r w:rsidR="00AD0AEE" w:rsidRPr="00526559">
        <w:rPr>
          <w:rFonts w:ascii="Times New Roman" w:eastAsia="標楷體" w:hAnsi="Times New Roman" w:cs="Times New Roman" w:hint="eastAsia"/>
          <w:sz w:val="28"/>
          <w:szCs w:val="28"/>
        </w:rPr>
        <w:t>宣布多項開放市場措施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E2176" w:rsidRPr="00526559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4161D8" w:rsidRPr="00526559">
        <w:rPr>
          <w:rFonts w:ascii="Times New Roman" w:eastAsia="標楷體" w:hAnsi="Times New Roman" w:cs="Times New Roman" w:hint="eastAsia"/>
          <w:sz w:val="28"/>
          <w:szCs w:val="28"/>
        </w:rPr>
        <w:t>放緩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發展「中國製造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2025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AD35D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D01FA" w:rsidRPr="00526559">
        <w:rPr>
          <w:rFonts w:ascii="Times New Roman" w:eastAsia="標楷體" w:hAnsi="Times New Roman" w:cs="Times New Roman" w:hint="eastAsia"/>
          <w:sz w:val="28"/>
          <w:szCs w:val="28"/>
        </w:rPr>
        <w:t>川普</w:t>
      </w:r>
      <w:r w:rsidR="005F07E6" w:rsidRPr="00526559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近日亦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宣稱美中貿易談判似有進展</w:t>
      </w:r>
      <w:r w:rsidR="00AD35D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惟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各界認為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的發展</w:t>
      </w:r>
      <w:r w:rsidR="008F56D0" w:rsidRPr="00526559">
        <w:rPr>
          <w:rFonts w:ascii="Times New Roman" w:eastAsia="標楷體" w:hAnsi="Times New Roman" w:cs="Times New Roman" w:hint="eastAsia"/>
          <w:sz w:val="28"/>
          <w:szCs w:val="28"/>
        </w:rPr>
        <w:t>仍存在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高度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不確定性</w:t>
      </w:r>
      <w:r w:rsidR="007D6C98"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020C2" w:rsidRPr="00526559" w:rsidRDefault="006C7FE2" w:rsidP="005D787B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今天</w:t>
      </w:r>
      <w:r w:rsidR="007D44AB" w:rsidRPr="00526559">
        <w:rPr>
          <w:rFonts w:ascii="Times New Roman" w:eastAsia="標楷體" w:hAnsi="Times New Roman" w:cs="Times New Roman"/>
          <w:sz w:val="28"/>
          <w:szCs w:val="28"/>
        </w:rPr>
        <w:t>，我們想在美中貿易政策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議題</w:t>
      </w:r>
      <w:r w:rsidR="007D44AB" w:rsidRPr="00526559">
        <w:rPr>
          <w:rFonts w:ascii="Times New Roman" w:eastAsia="標楷體" w:hAnsi="Times New Roman" w:cs="Times New Roman"/>
          <w:sz w:val="28"/>
          <w:szCs w:val="28"/>
        </w:rPr>
        <w:t>外，談談國際金融貨幣體系及美國經貿發展的結構性問題，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並</w:t>
      </w:r>
      <w:r w:rsidR="007D44AB" w:rsidRPr="00526559">
        <w:rPr>
          <w:rFonts w:ascii="Times New Roman" w:eastAsia="標楷體" w:hAnsi="Times New Roman" w:cs="Times New Roman"/>
          <w:sz w:val="28"/>
          <w:szCs w:val="28"/>
        </w:rPr>
        <w:t>說明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未來可能的</w:t>
      </w:r>
      <w:r w:rsidR="006E62D7" w:rsidRPr="00526559">
        <w:rPr>
          <w:rFonts w:ascii="Times New Roman" w:eastAsia="標楷體" w:hAnsi="Times New Roman" w:cs="Times New Roman"/>
          <w:sz w:val="28"/>
          <w:szCs w:val="28"/>
        </w:rPr>
        <w:t>發展方向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="007020C2" w:rsidRPr="00526559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C43422" w:rsidRPr="00526559" w:rsidRDefault="00C43422" w:rsidP="00132B3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國際金融體系及全球貿易失衡</w:t>
      </w:r>
    </w:p>
    <w:p w:rsidR="005F4CCE" w:rsidRPr="00526559" w:rsidRDefault="005F4CCE" w:rsidP="00C9287E">
      <w:pPr>
        <w:pStyle w:val="a3"/>
        <w:numPr>
          <w:ilvl w:val="0"/>
          <w:numId w:val="1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美元作為核心國際準備貨幣，美國享有鑄幣稅等特權，卻得面對貿易持續入超的難題</w:t>
      </w:r>
    </w:p>
    <w:p w:rsidR="005F4CCE" w:rsidRPr="00526559" w:rsidRDefault="005F4CCE" w:rsidP="00C9287E">
      <w:pPr>
        <w:spacing w:beforeLines="50" w:before="180" w:afterLines="50" w:after="180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1960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年代美國經濟學家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Robert Triffin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曾指出，美元因布列敦森林體系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(Bretton Wood System)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之新金匯本位制度，</w:t>
      </w:r>
      <w:r w:rsidR="00013208" w:rsidRPr="00526559">
        <w:rPr>
          <w:rFonts w:ascii="Times New Roman" w:eastAsia="標楷體" w:hAnsi="Times New Roman" w:cs="Times New Roman" w:hint="eastAsia"/>
          <w:sz w:val="28"/>
          <w:szCs w:val="28"/>
        </w:rPr>
        <w:t>必須同時面對「增加美元供給量以支持全球經貿成長」與「控管美元發行量以維護其幣值穩定」之兩難局面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，後人稱此為「特里芬難題」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(Triffin Dilemma)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16"/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F4CCE" w:rsidRPr="00526559" w:rsidRDefault="005F4CCE" w:rsidP="00C9287E">
      <w:pPr>
        <w:spacing w:beforeLines="50" w:before="180" w:afterLines="50" w:after="180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1971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年美國總統尼克森宣布暫停美元對黃金之兌換，布列敦森林體系瓦解，原本的固定匯率制度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逐漸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轉為以美元本位的浮動匯率制度，此後美元作為最主要的國際準備貨幣，已無需以足夠黃金當作其發行準備。由於各國對美元的需求仍大，美國透過貿易入超供應全球美元需求，使得「特里芬難題」</w:t>
      </w:r>
      <w:r w:rsidR="00402105" w:rsidRPr="00526559">
        <w:rPr>
          <w:rFonts w:ascii="Times New Roman" w:eastAsia="標楷體" w:hAnsi="Times New Roman" w:cs="Times New Roman" w:hint="eastAsia"/>
          <w:sz w:val="28"/>
          <w:szCs w:val="28"/>
        </w:rPr>
        <w:t>的本質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依舊存在。</w:t>
      </w:r>
    </w:p>
    <w:p w:rsidR="005F4CCE" w:rsidRPr="00526559" w:rsidRDefault="005F4CCE" w:rsidP="00C9287E">
      <w:pPr>
        <w:spacing w:beforeLines="50" w:before="180" w:afterLines="50" w:after="180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美元的獨特地位除可替美國挹注為數可觀的鑄幣稅等收入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17"/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外，</w:t>
      </w:r>
      <w:r w:rsidR="00AA67F5" w:rsidRPr="00526559">
        <w:rPr>
          <w:rFonts w:ascii="Times New Roman" w:eastAsia="標楷體" w:hAnsi="Times New Roman" w:cs="Times New Roman" w:hint="eastAsia"/>
          <w:sz w:val="28"/>
          <w:szCs w:val="28"/>
        </w:rPr>
        <w:t>美國</w:t>
      </w:r>
      <w:r w:rsidR="00AE7CAB" w:rsidRPr="00526559">
        <w:rPr>
          <w:rFonts w:ascii="Times New Roman" w:eastAsia="標楷體" w:hAnsi="Times New Roman" w:cs="Times New Roman" w:hint="eastAsia"/>
          <w:sz w:val="28"/>
          <w:szCs w:val="28"/>
        </w:rPr>
        <w:t>Fed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多半僅依國內經濟情勢，調整貨幣政策鬆緊，惟他國卻常因此而須承受其政策的外溢效果。對此，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1971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年美國時任財政部長</w:t>
      </w:r>
      <w:r w:rsidRPr="00526559">
        <w:rPr>
          <w:rFonts w:ascii="Times New Roman" w:eastAsia="標楷體" w:hAnsi="Times New Roman" w:cs="Times New Roman"/>
          <w:sz w:val="28"/>
          <w:szCs w:val="28"/>
        </w:rPr>
        <w:t>John Connally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曾不諱言：「美元是我們的通貨，但卻是你們的問題」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(the dollar “is our currency, but your problem”)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，回應當時歐洲多位財長對美元供給過多之擔憂。</w:t>
      </w:r>
    </w:p>
    <w:p w:rsidR="003521A3" w:rsidRPr="00526559" w:rsidRDefault="003521A3" w:rsidP="00132B3F">
      <w:pPr>
        <w:pStyle w:val="a3"/>
        <w:numPr>
          <w:ilvl w:val="0"/>
          <w:numId w:val="1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全球化促成跨國供應鏈</w:t>
      </w:r>
      <w:r w:rsidR="000C3E76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興起</w:t>
      </w:r>
      <w:r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，</w:t>
      </w:r>
      <w:r w:rsidR="00D82B4F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擴大美國商品進口</w:t>
      </w:r>
      <w:r w:rsidR="004E656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及貿易逆差</w:t>
      </w:r>
    </w:p>
    <w:p w:rsidR="00FA1245" w:rsidRPr="00526559" w:rsidRDefault="00FA1245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1981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年美國總統雷根上任後，與英國</w:t>
      </w:r>
      <w:r w:rsidR="004E6564" w:rsidRPr="00526559">
        <w:rPr>
          <w:rFonts w:ascii="Times New Roman" w:eastAsia="標楷體" w:hAnsi="Times New Roman" w:cs="Times New Roman" w:hint="eastAsia"/>
          <w:sz w:val="28"/>
          <w:szCs w:val="28"/>
        </w:rPr>
        <w:t>柴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契爾夫人催化「新自由</w:t>
      </w: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主義」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(Neoliberalism)</w:t>
      </w:r>
      <w:r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8"/>
      </w:r>
      <w:r w:rsidRPr="00526559">
        <w:rPr>
          <w:rFonts w:ascii="Times New Roman" w:eastAsia="標楷體" w:hAnsi="Times New Roman" w:cs="Times New Roman"/>
          <w:sz w:val="28"/>
          <w:szCs w:val="28"/>
        </w:rPr>
        <w:t>的興起，為全球化帶來重大突破。</w:t>
      </w:r>
      <w:r w:rsidR="00AE7CAB" w:rsidRPr="00526559">
        <w:rPr>
          <w:rFonts w:ascii="Times New Roman" w:eastAsia="標楷體" w:hAnsi="Times New Roman" w:cs="Times New Roman" w:hint="eastAsia"/>
          <w:sz w:val="28"/>
          <w:szCs w:val="28"/>
        </w:rPr>
        <w:t>Fed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前主席葛林斯潘曾表示</w:t>
      </w:r>
      <w:r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9"/>
      </w:r>
      <w:r w:rsidRPr="00526559">
        <w:rPr>
          <w:rFonts w:ascii="Times New Roman" w:eastAsia="標楷體" w:hAnsi="Times New Roman" w:cs="Times New Roman"/>
          <w:sz w:val="28"/>
          <w:szCs w:val="28"/>
        </w:rPr>
        <w:t>，美國經濟在柯林頓總統任內所呈現的低通膨與低失業率，即是受益於全球化發展。</w:t>
      </w:r>
    </w:p>
    <w:p w:rsidR="000E5526" w:rsidRPr="00526559" w:rsidRDefault="000E5526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全球化的發展使得廠商可在世界各地尋找低廉的勞工與原料，並提高生產效率，形成跨國產業分工的供應鏈體系。在此過程中，美國企業捨棄微笑曲線中段的低附加價值製造，轉而專注於微笑曲線兩端具高附加價值之研發與行銷。影響所及，美國從國外大量進口生產成本較低的商品，商品貿易入超不斷擴大，但智慧財產權使用費等服務</w:t>
      </w:r>
      <w:r w:rsidR="00344373" w:rsidRPr="00526559">
        <w:rPr>
          <w:rFonts w:ascii="Times New Roman" w:eastAsia="標楷體" w:hAnsi="Times New Roman" w:cs="Times New Roman" w:hint="eastAsia"/>
          <w:sz w:val="28"/>
          <w:szCs w:val="28"/>
        </w:rPr>
        <w:t>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易收入則明顯擴增。從美國製造業及服務業就業人口的相對變化，可看到服務業就業人口</w:t>
      </w:r>
      <w:r w:rsidR="00501C8E" w:rsidRPr="00526559">
        <w:rPr>
          <w:rFonts w:ascii="Times New Roman" w:eastAsia="標楷體" w:hAnsi="Times New Roman" w:cs="Times New Roman" w:hint="eastAsia"/>
          <w:sz w:val="28"/>
          <w:szCs w:val="28"/>
        </w:rPr>
        <w:t>比重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不斷攀升，製造業就業人口比重則持續下降，也反映出此一現象。</w:t>
      </w:r>
    </w:p>
    <w:p w:rsidR="00547933" w:rsidRPr="00526559" w:rsidRDefault="00683A57" w:rsidP="005A7F74">
      <w:pPr>
        <w:pStyle w:val="a3"/>
        <w:numPr>
          <w:ilvl w:val="0"/>
          <w:numId w:val="13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6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全球</w:t>
      </w:r>
      <w:r w:rsidR="00547933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金融整合提高美國金融業發展的利基，並有利美國吸引國際資</w:t>
      </w:r>
      <w:r w:rsidR="00547933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金流入，持續融通其儲蓄的不足</w:t>
      </w:r>
      <w:r w:rsidR="00952F1A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，使美國</w:t>
      </w:r>
      <w:r w:rsidR="00114030" w:rsidRPr="00526559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得以維持</w:t>
      </w:r>
      <w:r w:rsidR="00114030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長期</w:t>
      </w:r>
      <w:r w:rsidR="00952F1A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經常帳逆差</w:t>
      </w:r>
    </w:p>
    <w:p w:rsidR="003845F1" w:rsidRPr="00526559" w:rsidRDefault="003845F1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全球化浪潮</w:t>
      </w:r>
      <w:r w:rsidR="005E7F9F" w:rsidRPr="00526559">
        <w:rPr>
          <w:rFonts w:ascii="Times New Roman" w:eastAsia="標楷體" w:hAnsi="Times New Roman" w:cs="Times New Roman" w:hint="eastAsia"/>
          <w:sz w:val="28"/>
          <w:szCs w:val="28"/>
        </w:rPr>
        <w:t>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但深刻影響製造業的生產模式，各國金融市場</w:t>
      </w:r>
      <w:r w:rsidR="005E7F9F" w:rsidRPr="00526559">
        <w:rPr>
          <w:rFonts w:ascii="Times New Roman" w:eastAsia="標楷體" w:hAnsi="Times New Roman" w:cs="Times New Roman" w:hint="eastAsia"/>
          <w:sz w:val="28"/>
          <w:szCs w:val="28"/>
        </w:rPr>
        <w:t>亦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因美國大力推動金融自由化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(financial liberalization)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及全球化，變得更緊密結合，加以美元的「過度特權」</w:t>
      </w:r>
      <w:r w:rsidR="001905B3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20"/>
      </w:r>
      <w:r w:rsidRPr="00526559">
        <w:rPr>
          <w:rFonts w:ascii="Times New Roman" w:eastAsia="標楷體" w:hAnsi="Times New Roman" w:cs="Times New Roman"/>
          <w:sz w:val="28"/>
          <w:szCs w:val="28"/>
        </w:rPr>
        <w:t>(exorbitant privilege)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，包括美元作為國際貿易與金融交易最重要的結算貨幣及準備貨幣，美國得以提</w:t>
      </w:r>
      <w:r w:rsidRPr="00526559">
        <w:rPr>
          <w:rFonts w:ascii="Times New Roman" w:eastAsia="標楷體" w:hAnsi="Times New Roman" w:cs="Times New Roman"/>
          <w:spacing w:val="-10"/>
          <w:sz w:val="28"/>
          <w:szCs w:val="28"/>
        </w:rPr>
        <w:t>高其金融業的比較</w:t>
      </w:r>
      <w:r w:rsidR="00114030" w:rsidRPr="00526559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利益</w:t>
      </w:r>
      <w:r w:rsidRPr="00526559">
        <w:rPr>
          <w:rFonts w:ascii="Times New Roman" w:eastAsia="標楷體" w:hAnsi="Times New Roman" w:cs="Times New Roman"/>
          <w:spacing w:val="-10"/>
          <w:sz w:val="28"/>
          <w:szCs w:val="28"/>
        </w:rPr>
        <w:t>，打造紐約等美國城市成為世界主要金融中心</w:t>
      </w:r>
      <w:r w:rsidRPr="00526559">
        <w:rPr>
          <w:rFonts w:ascii="Times New Roman" w:eastAsia="標楷體" w:hAnsi="Times New Roman" w:cs="Times New Roman"/>
          <w:spacing w:val="-10"/>
          <w:vertAlign w:val="superscript"/>
        </w:rPr>
        <w:footnoteReference w:id="21"/>
      </w:r>
      <w:r w:rsidRPr="00526559">
        <w:rPr>
          <w:rFonts w:ascii="Times New Roman" w:eastAsia="標楷體" w:hAnsi="Times New Roman" w:cs="Times New Roman"/>
          <w:spacing w:val="-10"/>
          <w:sz w:val="28"/>
          <w:szCs w:val="28"/>
        </w:rPr>
        <w:t>。</w:t>
      </w:r>
    </w:p>
    <w:p w:rsidR="00DC014E" w:rsidRPr="00526559" w:rsidRDefault="00DC014E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美國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受惠於全球金融市場高度整合，且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善用美元的國際準備貨幣地位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當地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高度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成熟的資本市場，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除了運用融資成本較低的國外資金，從事報酬率較高之投資，使其在鉅額國外淨負債下，</w:t>
      </w:r>
      <w:r w:rsidR="00FE49C6" w:rsidRPr="00526559">
        <w:rPr>
          <w:rFonts w:ascii="Times New Roman" w:eastAsia="標楷體" w:hAnsi="Times New Roman" w:cs="Times New Roman" w:hint="eastAsia"/>
          <w:sz w:val="28"/>
          <w:szCs w:val="28"/>
        </w:rPr>
        <w:t>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得以享有投資所得收支順差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22"/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之外；更重要的是，美國藉由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國外資本持續流入，彌補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國內儲蓄不足，融通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該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國經常帳逆差。</w:t>
      </w:r>
    </w:p>
    <w:p w:rsidR="00BF5EE2" w:rsidRPr="00526559" w:rsidRDefault="00C43422" w:rsidP="00F64210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健全國際金融體系與解決貿易失衡</w:t>
      </w:r>
      <w:r w:rsidR="008E5DE4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、所得不均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</w:t>
      </w:r>
      <w:r w:rsidR="008E5DE4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長短期作法</w:t>
      </w:r>
    </w:p>
    <w:p w:rsidR="007307D0" w:rsidRPr="00526559" w:rsidRDefault="004255E0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由前述說明可知，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美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國面臨貿易鉅額入超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與美元作為核心國際準備貨幣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、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供應鏈全球分工及全球金融整合等結構性因素；藉由單邊的關稅制裁或匯率施壓，並無法</w:t>
      </w:r>
      <w:r w:rsidR="00740D48" w:rsidRPr="00526559">
        <w:rPr>
          <w:rFonts w:ascii="Times New Roman" w:eastAsia="標楷體" w:hAnsi="Times New Roman" w:cs="Times New Roman"/>
          <w:sz w:val="28"/>
          <w:szCs w:val="28"/>
        </w:rPr>
        <w:t>根本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解決美國經常帳逆差</w:t>
      </w:r>
      <w:r w:rsidR="00952F1A" w:rsidRPr="00526559">
        <w:rPr>
          <w:rFonts w:ascii="Times New Roman" w:eastAsia="標楷體" w:hAnsi="Times New Roman" w:cs="Times New Roman"/>
          <w:sz w:val="28"/>
          <w:szCs w:val="28"/>
        </w:rPr>
        <w:t>的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問題</w:t>
      </w:r>
      <w:r w:rsidR="00952F1A"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05313" w:rsidRPr="00526559" w:rsidRDefault="00005313" w:rsidP="00F64210">
      <w:pPr>
        <w:pStyle w:val="a3"/>
        <w:numPr>
          <w:ilvl w:val="0"/>
          <w:numId w:val="14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改善全球經貿失衡並健全國際金融貨幣體系，長期宜建立多元國際貨幣體系，短中期則須</w:t>
      </w:r>
      <w:r w:rsidR="008142C6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倚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靠大型經濟體共同吸收全球貿易失衡</w:t>
      </w:r>
    </w:p>
    <w:p w:rsidR="00AD0AEE" w:rsidRPr="00526559" w:rsidRDefault="00AD0AEE" w:rsidP="00F64210">
      <w:pPr>
        <w:pStyle w:val="a3"/>
        <w:numPr>
          <w:ilvl w:val="2"/>
          <w:numId w:val="18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未來可透過建立多元國際貨幣體系</w:t>
      </w:r>
      <w:r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來改善全球經貿失衡</w:t>
      </w:r>
      <w:r w:rsidR="00C84FF8"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並穩定國際金融體系運作</w:t>
      </w:r>
    </w:p>
    <w:p w:rsidR="007D75BA" w:rsidRPr="00526559" w:rsidRDefault="00852FC8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由於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美元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為核心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國際準備貨幣，加以全球對準備資產需求增加，使得美國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扮演全球流動性提供者的角色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，並維持鉅額經常帳</w:t>
      </w:r>
      <w:r w:rsidR="00C84FF8" w:rsidRPr="00526559">
        <w:rPr>
          <w:rFonts w:ascii="Times New Roman" w:eastAsia="標楷體" w:hAnsi="Times New Roman" w:cs="Times New Roman" w:hint="eastAsia"/>
          <w:sz w:val="28"/>
          <w:szCs w:val="28"/>
        </w:rPr>
        <w:t>逆差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；因此，許多</w:t>
      </w:r>
      <w:r w:rsidR="007307D0" w:rsidRPr="00526559">
        <w:rPr>
          <w:rFonts w:ascii="Times New Roman" w:eastAsia="標楷體" w:hAnsi="Times New Roman" w:cs="Times New Roman" w:hint="eastAsia"/>
          <w:sz w:val="28"/>
          <w:szCs w:val="28"/>
        </w:rPr>
        <w:t>知名的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國際金融經濟</w:t>
      </w:r>
      <w:r w:rsidR="007307D0" w:rsidRPr="00526559">
        <w:rPr>
          <w:rFonts w:ascii="Times New Roman" w:eastAsia="標楷體" w:hAnsi="Times New Roman" w:cs="Times New Roman" w:hint="eastAsia"/>
          <w:sz w:val="28"/>
          <w:szCs w:val="28"/>
        </w:rPr>
        <w:t>學者</w:t>
      </w:r>
      <w:r w:rsidR="004255E0" w:rsidRPr="00526559">
        <w:rPr>
          <w:rFonts w:ascii="Times New Roman" w:eastAsia="標楷體" w:hAnsi="Times New Roman" w:cs="Times New Roman"/>
          <w:vertAlign w:val="superscript"/>
        </w:rPr>
        <w:footnoteReference w:id="23"/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均</w:t>
      </w:r>
      <w:r w:rsidR="00AD0AEE" w:rsidRPr="00526559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="00C43422" w:rsidRPr="00526559">
        <w:rPr>
          <w:rFonts w:ascii="Times New Roman" w:eastAsia="標楷體" w:hAnsi="Times New Roman" w:cs="Times New Roman" w:hint="eastAsia"/>
          <w:sz w:val="28"/>
          <w:szCs w:val="28"/>
        </w:rPr>
        <w:t>建議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C43422" w:rsidRPr="00526559">
        <w:rPr>
          <w:rFonts w:ascii="Times New Roman" w:eastAsia="標楷體" w:hAnsi="Times New Roman" w:cs="Times New Roman"/>
          <w:sz w:val="28"/>
          <w:szCs w:val="28"/>
        </w:rPr>
        <w:t>讓歐元及人民幣扮演更重要的角色</w:t>
      </w:r>
      <w:r w:rsidR="00AD0AEE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以多元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(multipolar)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國際貨幣體系來分散美元作為國際準備貨幣的重擔。</w:t>
      </w:r>
    </w:p>
    <w:p w:rsidR="00546F80" w:rsidRPr="00526559" w:rsidRDefault="004255E0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然而，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由於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歐元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目前仍受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歐債危機的後續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效應所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影響，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而人民幣則在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資本管制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措施下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，尚未完全自由化；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因此，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預期短期間內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前述的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多元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國際貨幣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體系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尚難以運作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31212" w:rsidRPr="00526559" w:rsidRDefault="00546F80" w:rsidP="000B424D">
      <w:pPr>
        <w:pStyle w:val="a3"/>
        <w:numPr>
          <w:ilvl w:val="2"/>
          <w:numId w:val="18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短中期有賴具有廣大內需市場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及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貿易順差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的大型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經濟體分擔美國重擔，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透過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擴大內需以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降低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超額儲蓄，共同吸收全球貿易失衡</w:t>
      </w:r>
    </w:p>
    <w:p w:rsidR="00B04B0D" w:rsidRPr="00526559" w:rsidRDefault="00B04B0D" w:rsidP="00312B39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目前中國大陸、日本及德國等</w:t>
      </w:r>
      <w:r w:rsidR="00EA02FE" w:rsidRPr="00526559">
        <w:rPr>
          <w:rFonts w:ascii="Times New Roman" w:eastAsia="標楷體" w:hAnsi="Times New Roman" w:cs="Times New Roman" w:hint="eastAsia"/>
          <w:sz w:val="28"/>
          <w:szCs w:val="28"/>
        </w:rPr>
        <w:t>具有較強經濟實力及廣大內需市場的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大型經濟體，不論是對美國或對全球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卻仍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存在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龐大的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貿易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順差，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不符其在全球經濟金融體系應承擔之責，使得美國成為唯一吸收全球失衡的</w:t>
      </w:r>
      <w:r w:rsidR="001436BB" w:rsidRPr="00526559">
        <w:rPr>
          <w:rFonts w:ascii="Times New Roman" w:eastAsia="標楷體" w:hAnsi="Times New Roman" w:cs="Times New Roman" w:hint="eastAsia"/>
          <w:sz w:val="28"/>
          <w:szCs w:val="28"/>
        </w:rPr>
        <w:t>大型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經濟體。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全球經濟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持續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穩健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均衡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發展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觀點而言，這些大型經濟體應提振內需，減緩超額儲蓄累積，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尤其</w:t>
      </w:r>
      <w:r w:rsidR="004B2CC0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首</w:t>
      </w:r>
      <w:r w:rsidR="003729C8" w:rsidRPr="00526559">
        <w:rPr>
          <w:rFonts w:ascii="Times New Roman" w:eastAsia="標楷體" w:hAnsi="Times New Roman" w:cs="Times New Roman" w:hint="eastAsia"/>
          <w:sz w:val="28"/>
          <w:szCs w:val="28"/>
        </w:rPr>
        <w:t>先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設法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降低對美國的貿易順差，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在未來甚至能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與美國共同負擔吸收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其餘國家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貿易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順差的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責任，</w:t>
      </w:r>
      <w:r w:rsidR="00B568AC" w:rsidRPr="00526559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="006F4FE4" w:rsidRPr="00526559">
        <w:rPr>
          <w:rFonts w:ascii="Times New Roman" w:eastAsia="標楷體" w:hAnsi="Times New Roman" w:cs="Times New Roman" w:hint="eastAsia"/>
          <w:sz w:val="28"/>
          <w:szCs w:val="28"/>
        </w:rPr>
        <w:t>改善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全球貿易失衡與穩定國際金融體系。</w:t>
      </w:r>
    </w:p>
    <w:p w:rsidR="006F4FE4" w:rsidRPr="00526559" w:rsidRDefault="00C43422" w:rsidP="00312B39">
      <w:pPr>
        <w:pStyle w:val="a3"/>
        <w:numPr>
          <w:ilvl w:val="0"/>
          <w:numId w:val="14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關稅及</w:t>
      </w:r>
      <w:r w:rsidR="006F4FE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匯率</w:t>
      </w:r>
      <w:r w:rsidR="00441F7A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並非</w:t>
      </w:r>
      <w:r w:rsidR="006F4FE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解決貿易失衡的萬靈丹，美國經常帳逆差主要反映國內儲蓄不足的結構</w:t>
      </w:r>
      <w:r w:rsidR="001436BB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性</w:t>
      </w:r>
      <w:r w:rsidR="006F4FE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因素</w:t>
      </w:r>
    </w:p>
    <w:p w:rsidR="001046BC" w:rsidRPr="00526559" w:rsidRDefault="001046BC" w:rsidP="00312B39">
      <w:pPr>
        <w:pStyle w:val="a3"/>
        <w:numPr>
          <w:ilvl w:val="0"/>
          <w:numId w:val="21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國際資本快速移動使浮動匯率甚至可能阻礙經常帳的調整，對小型開放經濟體尤然</w:t>
      </w:r>
    </w:p>
    <w:p w:rsidR="00D05FAA" w:rsidRPr="00526559" w:rsidRDefault="00174EEB" w:rsidP="00312B39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在當今金融自由化風潮之下，國際資本易於快速移動，金融交易已成為影響各國匯率的重要因素</w:t>
      </w:r>
      <w:r w:rsidRPr="00526559">
        <w:rPr>
          <w:rFonts w:ascii="Times New Roman" w:eastAsia="標楷體" w:hAnsi="Times New Roman" w:cs="Times New Roman"/>
          <w:vertAlign w:val="superscript"/>
        </w:rPr>
        <w:footnoteReference w:id="24"/>
      </w:r>
      <w:r w:rsidRPr="00526559">
        <w:rPr>
          <w:rFonts w:ascii="Times New Roman" w:eastAsia="標楷體" w:hAnsi="Times New Roman" w:cs="Times New Roman"/>
          <w:sz w:val="28"/>
          <w:szCs w:val="28"/>
        </w:rPr>
        <w:t>。儘管川普政府已將匯率議題列入貿易談判及自由貿易協議，惟早在歐巴馬政府時期進行</w:t>
      </w:r>
      <w:r w:rsidR="00457B27" w:rsidRPr="00526559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跨太平洋夥伴協定</w:t>
      </w:r>
      <w:r w:rsidR="00457B27" w:rsidRPr="00526559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(TPP)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協商時，美國重要財經官員及學者即曾聯名反對此一政策作法</w:t>
      </w:r>
      <w:r w:rsidRPr="00526559">
        <w:rPr>
          <w:rFonts w:ascii="Times New Roman" w:eastAsia="標楷體" w:hAnsi="Times New Roman" w:cs="Times New Roman"/>
          <w:vertAlign w:val="superscript"/>
        </w:rPr>
        <w:footnoteReference w:id="25"/>
      </w:r>
      <w:r w:rsidRPr="00526559">
        <w:rPr>
          <w:rFonts w:ascii="Times New Roman" w:eastAsia="標楷體" w:hAnsi="Times New Roman" w:cs="Times New Roman"/>
          <w:sz w:val="28"/>
          <w:szCs w:val="28"/>
        </w:rPr>
        <w:t>。事實上，</w:t>
      </w:r>
      <w:r w:rsidR="0073331B" w:rsidRPr="00526559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面對</w:t>
      </w:r>
      <w:r w:rsidR="0073331B" w:rsidRPr="00526559">
        <w:rPr>
          <w:rFonts w:ascii="Times New Roman" w:eastAsia="標楷體" w:hAnsi="Times New Roman" w:cs="Times New Roman" w:hint="eastAsia"/>
          <w:sz w:val="28"/>
          <w:szCs w:val="28"/>
        </w:rPr>
        <w:t>當前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鉅額</w:t>
      </w:r>
      <w:r w:rsidR="0073331B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國際資本移動，浮動匯率有時反而會減緩甚或阻礙經常帳的調整；此對小型開放經濟體尤然。</w:t>
      </w:r>
    </w:p>
    <w:p w:rsidR="00F64210" w:rsidRPr="00526559" w:rsidRDefault="00174EEB" w:rsidP="00312B39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近期新興市場的貨幣危機經驗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，即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凸顯此一問題。全球金融危機以來，主要經濟體採行極寬鬆貨幣政策，創造國際間的超額流動性，造成國際金融市場波動加劇；在此期間，部分新興市場經濟體儘管存</w:t>
      </w: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在經常帳逆差，但國際資本流入反而使</w:t>
      </w:r>
      <w:r w:rsidR="004B2CC0" w:rsidRPr="00526559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貨幣升值，</w:t>
      </w:r>
      <w:r w:rsidR="00097383" w:rsidRPr="00526559">
        <w:rPr>
          <w:rFonts w:ascii="Times New Roman" w:eastAsia="標楷體" w:hAnsi="Times New Roman" w:cs="Times New Roman" w:hint="eastAsia"/>
          <w:sz w:val="28"/>
          <w:szCs w:val="28"/>
        </w:rPr>
        <w:t>一旦面臨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資本驟然流出，</w:t>
      </w:r>
      <w:r w:rsidR="00097383" w:rsidRPr="00526559">
        <w:rPr>
          <w:rFonts w:ascii="Times New Roman" w:eastAsia="標楷體" w:hAnsi="Times New Roman" w:cs="Times New Roman" w:hint="eastAsia"/>
          <w:sz w:val="28"/>
          <w:szCs w:val="28"/>
        </w:rPr>
        <w:t>常會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出現嚴重的金融動盪。由此可知，小型開放經濟體基於</w:t>
      </w:r>
      <w:r w:rsidRPr="00526559">
        <w:rPr>
          <w:rFonts w:ascii="Times New Roman" w:eastAsia="標楷體" w:hAnsi="Times New Roman" w:cs="Times New Roman"/>
          <w:spacing w:val="-6"/>
          <w:sz w:val="28"/>
          <w:szCs w:val="28"/>
        </w:rPr>
        <w:t>本身經濟基本面維持匯率動態穩定，為一國維持金融穩定的重要關鍵。</w:t>
      </w:r>
    </w:p>
    <w:p w:rsidR="00EE49CE" w:rsidRPr="00526559" w:rsidRDefault="00EE49CE" w:rsidP="00EE49CE">
      <w:pPr>
        <w:pStyle w:val="a3"/>
        <w:numPr>
          <w:ilvl w:val="0"/>
          <w:numId w:val="21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匯率或關稅無法根本解決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美國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貿易入超問題，解決之道在於美國應該減少消費，並增加儲蓄</w:t>
      </w:r>
    </w:p>
    <w:p w:rsidR="00005888" w:rsidRPr="00526559" w:rsidRDefault="00005888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諾貝爾獎經濟學</w:t>
      </w:r>
      <w:r w:rsidR="00A17A8D" w:rsidRPr="00526559">
        <w:rPr>
          <w:rFonts w:ascii="Times New Roman" w:eastAsia="標楷體" w:hAnsi="Times New Roman" w:cs="Times New Roman" w:hint="eastAsia"/>
          <w:sz w:val="28"/>
          <w:szCs w:val="28"/>
        </w:rPr>
        <w:t>得主</w:t>
      </w:r>
      <w:r w:rsidRPr="00526559">
        <w:rPr>
          <w:rFonts w:ascii="Times New Roman" w:eastAsia="標楷體" w:hAnsi="Times New Roman" w:cs="Times New Roman"/>
          <w:sz w:val="28"/>
          <w:szCs w:val="28"/>
        </w:rPr>
        <w:t>Joseph E. Stiglitz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及哈佛大學教授</w:t>
      </w:r>
      <w:r w:rsidRPr="00526559">
        <w:rPr>
          <w:rFonts w:ascii="Times New Roman" w:eastAsia="標楷體" w:hAnsi="Times New Roman" w:cs="Times New Roman"/>
          <w:sz w:val="28"/>
          <w:szCs w:val="28"/>
        </w:rPr>
        <w:t>Martin Feldstein</w:t>
      </w:r>
      <w:r w:rsidR="00114030" w:rsidRPr="00526559">
        <w:rPr>
          <w:rFonts w:ascii="Times New Roman" w:eastAsia="標楷體" w:hAnsi="Times New Roman" w:cs="Times New Roman"/>
          <w:vertAlign w:val="superscript"/>
        </w:rPr>
        <w:footnoteReference w:id="26"/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2C0273" w:rsidRPr="00526559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均指出，降低美國龐大經常帳逆差的根本之道，在於美國民眾應該減少消費及投資，並增加儲蓄；否則，美國對某一國採行貿易制裁手段，只</w:t>
      </w:r>
      <w:r w:rsidR="001904A5" w:rsidRPr="00526559">
        <w:rPr>
          <w:rFonts w:ascii="Times New Roman" w:eastAsia="標楷體" w:hAnsi="Times New Roman" w:cs="Times New Roman" w:hint="eastAsia"/>
          <w:sz w:val="28"/>
          <w:szCs w:val="28"/>
        </w:rPr>
        <w:t>是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將美國的貿易</w:t>
      </w:r>
      <w:r w:rsidR="00C84FF8" w:rsidRPr="00526559">
        <w:rPr>
          <w:rFonts w:ascii="Times New Roman" w:eastAsia="標楷體" w:hAnsi="Times New Roman" w:cs="Times New Roman" w:hint="eastAsia"/>
          <w:sz w:val="28"/>
          <w:szCs w:val="28"/>
        </w:rPr>
        <w:t>入超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移轉到其他的貿易對手國</w:t>
      </w:r>
      <w:r w:rsidR="00F21C53"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4B2108" w:rsidRPr="00526559">
        <w:rPr>
          <w:rFonts w:ascii="Times New Roman" w:eastAsia="標楷體" w:hAnsi="Times New Roman" w:cs="Times New Roman" w:hint="eastAsia"/>
          <w:sz w:val="28"/>
          <w:szCs w:val="28"/>
        </w:rPr>
        <w:t>因此</w:t>
      </w:r>
      <w:r w:rsidR="004B210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B06008" w:rsidRPr="00526559">
        <w:rPr>
          <w:rFonts w:ascii="Times New Roman" w:eastAsia="標楷體" w:hAnsi="Times New Roman" w:cs="Times New Roman" w:hint="eastAsia"/>
          <w:sz w:val="28"/>
          <w:szCs w:val="28"/>
        </w:rPr>
        <w:t>關</w:t>
      </w:r>
      <w:r w:rsidR="00B06008" w:rsidRPr="00526559">
        <w:rPr>
          <w:rFonts w:ascii="Times New Roman" w:eastAsia="標楷體" w:hAnsi="Times New Roman" w:cs="Times New Roman"/>
          <w:sz w:val="28"/>
          <w:szCs w:val="28"/>
        </w:rPr>
        <w:t>稅或匯率施壓等手段</w:t>
      </w:r>
      <w:r w:rsidR="00B06008" w:rsidRPr="00526559">
        <w:rPr>
          <w:rFonts w:ascii="Times New Roman" w:eastAsia="標楷體" w:hAnsi="Times New Roman" w:cs="Times New Roman" w:hint="eastAsia"/>
          <w:sz w:val="28"/>
          <w:szCs w:val="28"/>
        </w:rPr>
        <w:t>常無法</w:t>
      </w:r>
      <w:r w:rsidR="00B06008" w:rsidRPr="00526559">
        <w:rPr>
          <w:rFonts w:ascii="Times New Roman" w:eastAsia="標楷體" w:hAnsi="Times New Roman" w:cs="Times New Roman"/>
          <w:sz w:val="28"/>
          <w:szCs w:val="28"/>
        </w:rPr>
        <w:t>根本解</w:t>
      </w:r>
      <w:r w:rsidR="00B06008" w:rsidRPr="00526559">
        <w:rPr>
          <w:rFonts w:ascii="Times New Roman" w:eastAsia="標楷體" w:hAnsi="Times New Roman" w:cs="Times New Roman" w:hint="eastAsia"/>
          <w:sz w:val="28"/>
          <w:szCs w:val="28"/>
        </w:rPr>
        <w:t>決</w:t>
      </w:r>
      <w:r w:rsidR="00B06008" w:rsidRPr="00526559">
        <w:rPr>
          <w:rFonts w:ascii="Times New Roman" w:eastAsia="標楷體" w:hAnsi="Times New Roman" w:cs="Times New Roman"/>
          <w:sz w:val="28"/>
          <w:szCs w:val="28"/>
        </w:rPr>
        <w:t>本國貿易入超問題。</w:t>
      </w:r>
    </w:p>
    <w:p w:rsidR="008B08AA" w:rsidRPr="00526559" w:rsidRDefault="0051292C" w:rsidP="005A7F74">
      <w:pPr>
        <w:pStyle w:val="a3"/>
        <w:numPr>
          <w:ilvl w:val="0"/>
          <w:numId w:val="14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國際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貿易分工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可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提升</w:t>
      </w:r>
      <w:r w:rsidR="00114030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全球經濟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利益，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貿易</w:t>
      </w:r>
      <w:r w:rsidR="008B08AA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失衡與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國內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所得不均宜</w:t>
      </w:r>
      <w:r w:rsidR="008B08AA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配合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國內政策解決</w:t>
      </w:r>
    </w:p>
    <w:p w:rsidR="00114030" w:rsidRPr="00526559" w:rsidRDefault="00676FEF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理論上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114030" w:rsidRPr="00526559">
        <w:rPr>
          <w:rFonts w:ascii="Times New Roman" w:eastAsia="標楷體" w:hAnsi="Times New Roman" w:cs="Times New Roman"/>
          <w:sz w:val="28"/>
          <w:szCs w:val="28"/>
        </w:rPr>
        <w:t>際貿易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專業分工應能為全球經濟帶來更多</w:t>
      </w:r>
      <w:r w:rsidR="00114030" w:rsidRPr="00526559">
        <w:rPr>
          <w:rFonts w:ascii="Times New Roman" w:eastAsia="標楷體" w:hAnsi="Times New Roman" w:cs="Times New Roman"/>
          <w:sz w:val="28"/>
          <w:szCs w:val="28"/>
        </w:rPr>
        <w:t>福祉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，然而，實際上亦會帶來一國的貿易失衡及其國內所得不均惡化等現象。</w:t>
      </w:r>
    </w:p>
    <w:p w:rsidR="00B568AC" w:rsidRPr="00526559" w:rsidRDefault="00B228F6" w:rsidP="00B568AC">
      <w:pPr>
        <w:pStyle w:val="a3"/>
        <w:numPr>
          <w:ilvl w:val="0"/>
          <w:numId w:val="23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順差國應擴大內需、逆差國應增加儲蓄，共同解決全球失衡問題</w:t>
      </w:r>
    </w:p>
    <w:p w:rsidR="00546F80" w:rsidRPr="00526559" w:rsidRDefault="0011480B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面對外部貿易失衡，如前所述，不論大小經濟體均有責任，各</w:t>
      </w:r>
      <w:r w:rsidR="009C3D60" w:rsidRPr="00526559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透過國內政策加以改善，如貿易順差國應致力提振內需，並健全本國社會安全網以縮減超額儲蓄；而貿易逆差國則應</w:t>
      </w:r>
      <w:r w:rsidR="009C3D60" w:rsidRPr="00526559">
        <w:rPr>
          <w:rFonts w:ascii="Times New Roman" w:eastAsia="標楷體" w:hAnsi="Times New Roman" w:cs="Times New Roman" w:hint="eastAsia"/>
          <w:sz w:val="28"/>
          <w:szCs w:val="28"/>
        </w:rPr>
        <w:t>增加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國內儲蓄，二者共同努力將可減緩全球貿易失衡的擴大。</w:t>
      </w:r>
    </w:p>
    <w:p w:rsidR="00546F80" w:rsidRPr="00526559" w:rsidRDefault="00546F8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B568AC" w:rsidRPr="00526559" w:rsidRDefault="00B228F6" w:rsidP="00B568AC">
      <w:pPr>
        <w:pStyle w:val="a3"/>
        <w:numPr>
          <w:ilvl w:val="0"/>
          <w:numId w:val="23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各國應透過國內重分配政策</w:t>
      </w:r>
      <w:r w:rsidR="008E5DE4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並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強化教育政策，改善所得不均問題</w:t>
      </w:r>
    </w:p>
    <w:p w:rsidR="004811F5" w:rsidRPr="00526559" w:rsidRDefault="0085221F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針對國內所得不均現象，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世界銀行前經濟學家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Branko Milanvic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指出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27"/>
      </w:r>
      <w:r w:rsidRPr="00526559">
        <w:rPr>
          <w:rFonts w:ascii="Times New Roman" w:eastAsia="標楷體" w:hAnsi="Times New Roman" w:cs="Times New Roman"/>
          <w:sz w:val="28"/>
          <w:szCs w:val="28"/>
        </w:rPr>
        <w:t>，全球化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新興經濟體成本較低廉的勞工獲得資本家青睞，成為新的「全球中產階級」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全球化的贏家；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富裕國家具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有與前者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相似技能的勞工則成為輸家。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同時，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無論是先進國家或開發中國家，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全球化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均會在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國內產生贏家及輸家，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所得差距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擴大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5221F" w:rsidRPr="00526559" w:rsidRDefault="0085221F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降低全球化造成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對國內所得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的不良影響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各國應透過國內重分配政策</w:t>
      </w:r>
      <w:r w:rsidR="00460A3C" w:rsidRPr="00526559">
        <w:rPr>
          <w:rFonts w:ascii="Times New Roman" w:eastAsia="標楷體" w:hAnsi="Times New Roman" w:cs="Times New Roman" w:hint="eastAsia"/>
          <w:sz w:val="28"/>
          <w:szCs w:val="28"/>
        </w:rPr>
        <w:t>來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照顧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就業受衝擊者，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同時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強化教育政策，改善勞動市場供需雙方的技能配適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(skill matching)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，俾提供受全球化衝擊者更直接的幫助，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且有利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長期的技術提升。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2016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年諾貝爾經濟學得主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Oliver Hart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亦</w:t>
      </w:r>
      <w:r w:rsidR="007A44D4" w:rsidRPr="00526559">
        <w:rPr>
          <w:rFonts w:ascii="Times New Roman" w:eastAsia="標楷體" w:hAnsi="Times New Roman" w:cs="Times New Roman" w:hint="eastAsia"/>
          <w:sz w:val="28"/>
          <w:szCs w:val="28"/>
        </w:rPr>
        <w:t>認為</w:t>
      </w:r>
      <w:r w:rsidR="00366124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28"/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B2685" w:rsidRPr="00526559">
        <w:rPr>
          <w:rFonts w:ascii="Times New Roman" w:eastAsia="標楷體" w:hAnsi="Times New Roman" w:cs="Times New Roman" w:hint="eastAsia"/>
          <w:sz w:val="28"/>
          <w:szCs w:val="28"/>
        </w:rPr>
        <w:t>解決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美國所得分配不均問題的較佳方案</w:t>
      </w:r>
      <w:r w:rsidR="00DE14BB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DE14BB" w:rsidRPr="00526559">
        <w:rPr>
          <w:rFonts w:ascii="Times New Roman" w:eastAsia="標楷體" w:hAnsi="Times New Roman" w:cs="Times New Roman" w:hint="eastAsia"/>
          <w:sz w:val="28"/>
          <w:szCs w:val="28"/>
        </w:rPr>
        <w:t>應是透過</w:t>
      </w:r>
      <w:r w:rsidR="00335D82" w:rsidRPr="0052655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訓練及所得重分配</w:t>
      </w:r>
      <w:r w:rsidR="00366124"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F5EE2" w:rsidRPr="00526559" w:rsidRDefault="00FE0C56" w:rsidP="005A7F74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結語</w:t>
      </w:r>
    </w:p>
    <w:p w:rsidR="00854932" w:rsidRPr="00526559" w:rsidRDefault="003608E7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當前國際經濟新局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854932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全球經貿活動及供應鏈結構已開始出現轉變；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一般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認為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55DD1" w:rsidRPr="00526559">
        <w:rPr>
          <w:rFonts w:ascii="Times New Roman" w:eastAsia="標楷體" w:hAnsi="Times New Roman" w:cs="Times New Roman" w:hint="eastAsia"/>
          <w:sz w:val="28"/>
          <w:szCs w:val="28"/>
        </w:rPr>
        <w:t>近期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美中貿易衝突僅是表象，更深層的意涵係反映中國大陸的崛起，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美中兩國由合作轉為競爭，尤其，</w:t>
      </w:r>
      <w:r w:rsidR="00B55DD1" w:rsidRPr="00526559">
        <w:rPr>
          <w:rFonts w:ascii="Times New Roman" w:eastAsia="標楷體" w:hAnsi="Times New Roman" w:cs="Times New Roman" w:hint="eastAsia"/>
          <w:sz w:val="28"/>
          <w:szCs w:val="28"/>
        </w:rPr>
        <w:t>雙方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在高科技領域上的競爭更趨白熱化</w:t>
      </w:r>
      <w:r w:rsidR="0051292C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各界宜妥適因應此一挑戰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FE0C56" w:rsidRPr="00526559" w:rsidRDefault="00FE0C56" w:rsidP="00FE0C56">
      <w:pPr>
        <w:pStyle w:val="a3"/>
        <w:numPr>
          <w:ilvl w:val="0"/>
          <w:numId w:val="15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臺商面臨全球供應鏈重組的</w:t>
      </w:r>
      <w:r w:rsidR="00A86866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機會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與</w:t>
      </w:r>
      <w:r w:rsidR="00A86866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挑戰</w:t>
      </w:r>
    </w:p>
    <w:p w:rsidR="00DE14BB" w:rsidRPr="00526559" w:rsidRDefault="00854932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長久以來，全球供應鏈高度發展，臺灣製造業一方面以中國大陸為生產基地，一方面以美國為高科技關鍵技術的重要來源，美中均為臺灣最重要的產業分工夥伴。</w:t>
      </w:r>
    </w:p>
    <w:p w:rsidR="00DE14BB" w:rsidRPr="00526559" w:rsidRDefault="00854932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及中國大陸調整經濟結構的政策，將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逐漸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改變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大陸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世界工廠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地位，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尤其是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美國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中國大陸高科技業者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的制裁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同時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嚴控先進技術外流，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更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加速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臺商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調整本身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供應鏈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一是調整對美國出口的供應鏈體系，將生產基地移至美國、東南亞或印度等地；另一是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仍以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中國大陸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生產基地，或轉型為中國大陸內需導向，並將採購與研發在地化。</w:t>
      </w:r>
    </w:p>
    <w:p w:rsidR="00C06E74" w:rsidRPr="00526559" w:rsidRDefault="00854932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在美中兩國均企圖重塑全球供應鏈結構下，</w:t>
      </w:r>
      <w:r w:rsidR="0051292C" w:rsidRPr="00526559">
        <w:rPr>
          <w:rFonts w:ascii="Times New Roman" w:eastAsia="標楷體" w:hAnsi="Times New Roman" w:cs="Times New Roman" w:hint="eastAsia"/>
          <w:sz w:val="28"/>
          <w:szCs w:val="28"/>
        </w:rPr>
        <w:t>臺灣電子業等許多高度跨國分工的產業，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已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面臨全球供應鏈重組的</w:t>
      </w:r>
      <w:r w:rsidR="00AA39EF" w:rsidRPr="00526559">
        <w:rPr>
          <w:rFonts w:ascii="Times New Roman" w:eastAsia="標楷體" w:hAnsi="Times New Roman" w:cs="Times New Roman" w:hint="eastAsia"/>
          <w:sz w:val="28"/>
          <w:szCs w:val="28"/>
        </w:rPr>
        <w:t>機會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AA39EF" w:rsidRPr="00526559">
        <w:rPr>
          <w:rFonts w:ascii="Times New Roman" w:eastAsia="標楷體" w:hAnsi="Times New Roman" w:cs="Times New Roman" w:hint="eastAsia"/>
          <w:sz w:val="28"/>
          <w:szCs w:val="28"/>
        </w:rPr>
        <w:t>挑戰</w:t>
      </w:r>
      <w:r w:rsidR="00A86866" w:rsidRPr="00526559">
        <w:rPr>
          <w:rFonts w:ascii="Times New Roman" w:eastAsia="標楷體" w:hAnsi="Times New Roman" w:cs="Times New Roman" w:hint="eastAsia"/>
          <w:sz w:val="28"/>
          <w:szCs w:val="28"/>
        </w:rPr>
        <w:t>，宜思考短期因應及長期布局的策略。</w:t>
      </w:r>
    </w:p>
    <w:p w:rsidR="00854932" w:rsidRPr="00526559" w:rsidRDefault="00854932" w:rsidP="000D0DE8">
      <w:pPr>
        <w:pStyle w:val="a3"/>
        <w:numPr>
          <w:ilvl w:val="0"/>
          <w:numId w:val="15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ab/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政府與企業共同努力，強化臺灣產業優勢，將衝擊</w:t>
      </w:r>
      <w:r w:rsidR="0051292C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轉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為增加投資臺灣的助力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在美國倡議公平貿易及「美國製造」的政策下，臺商可藉此機會強化連結美國高科技研發優勢，同時加速跨國供應鏈移轉及回臺投資，以穩固本身在附加價值微笑曲線的優勢位置。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政府亦已積極推動「歡迎臺商回臺投資方案」爭取高附加價值廠商投資，落實「加速投資臺灣」，排除投資障礙並鬆綁法規；同時，並積極推動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加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產業創新計畫，強化產業優勢及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改善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出口結構，提升臺商回臺誘因，將美中貿易摩擦的衝擊轉為增加投資臺灣的助力，化危機為轉機。</w:t>
      </w:r>
    </w:p>
    <w:p w:rsidR="00854932" w:rsidRPr="00526559" w:rsidRDefault="00854932" w:rsidP="000D0DE8">
      <w:pPr>
        <w:pStyle w:val="a3"/>
        <w:numPr>
          <w:ilvl w:val="0"/>
          <w:numId w:val="15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ab/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美中貿易衝突影響全球經濟前景，臺灣難免受到波及，本行將持續採行妥適的貨幣政策及匯率政策，協助</w:t>
      </w:r>
      <w:r w:rsidR="00297E2F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國內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經濟金融穩健發展</w:t>
      </w:r>
    </w:p>
    <w:p w:rsidR="00FE0C56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美中貿易衝突升溫已逐漸影響全球消費與投資信心，進而對經濟前景帶來負面衝擊；如近期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IMF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OECD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均下修本</w:t>
      </w:r>
      <w:r w:rsidR="009E3F5B" w:rsidRPr="00526559">
        <w:rPr>
          <w:rFonts w:ascii="Times New Roman" w:eastAsia="標楷體" w:hAnsi="Times New Roman" w:cs="Times New Roman" w:hint="eastAsia"/>
          <w:sz w:val="28"/>
          <w:szCs w:val="28"/>
        </w:rPr>
        <w:t>(2019)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年全球經濟與貿易量成長率。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臺灣是小型開放經濟體，全球價值鏈參與度達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67.6%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，貿易開放程度達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145%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，受貿易衝突等國際不確定因素影響，外部需求及景氣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擴張力道可能趨緩，主計總處及本行近期分別下修本年臺灣經濟成長預測值至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2.41%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2.33%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。惟在基本工資調漲，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5G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發展與離岸風電投資，以及政府積極推動前瞻基礎建設投資</w:t>
      </w:r>
      <w:r w:rsidR="0051292C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F23CE" w:rsidRPr="00526559">
        <w:rPr>
          <w:rFonts w:ascii="Times New Roman" w:eastAsia="標楷體" w:hAnsi="Times New Roman" w:cs="Times New Roman" w:hint="eastAsia"/>
          <w:sz w:val="28"/>
          <w:szCs w:val="28"/>
        </w:rPr>
        <w:t>並將運用超徵的稅收照顧收入較少的民眾等政策下</w:t>
      </w:r>
      <w:r w:rsidR="0051292C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展望本年臺灣經濟成長可望由內需驅動。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為緩和美中貿易衝突及全球下行風險對臺灣的衝擊，本行於上年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日理事會決議，將持續適度寬鬆貨幣政策，以協助整體經濟金融穩健發展。此外，自上年美中貿易衝突升溫以來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國際金融市場波動擴大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新臺幣對美元匯率較其他貨幣仍屬動態穩定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顯示本行有能力穩定匯市</w:t>
      </w:r>
      <w:r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未來，本行亦將持續關注全球貿易保護主義的發展、國際金融市場波動及相關情勢對國內經濟金融的潛在影響，適時採行妥適政策。</w:t>
      </w:r>
    </w:p>
    <w:p w:rsidR="001A6EEB" w:rsidRPr="000B424D" w:rsidRDefault="0079628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我相信</w:t>
      </w:r>
      <w:r w:rsidR="00B7541D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今天各位將可在研討會上</w:t>
      </w:r>
      <w:r w:rsidR="00B7541D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聆聽來自各界先進對</w:t>
      </w:r>
      <w:r w:rsidR="00A012EB" w:rsidRPr="00526559">
        <w:rPr>
          <w:rFonts w:ascii="Times New Roman" w:eastAsia="標楷體" w:hAnsi="Times New Roman" w:cs="Times New Roman"/>
          <w:sz w:val="28"/>
          <w:szCs w:val="28"/>
        </w:rPr>
        <w:t>國際</w:t>
      </w:r>
      <w:r w:rsidR="000D33EC" w:rsidRPr="00526559">
        <w:rPr>
          <w:rFonts w:ascii="Times New Roman" w:eastAsia="標楷體" w:hAnsi="Times New Roman" w:cs="Times New Roman"/>
          <w:sz w:val="28"/>
          <w:szCs w:val="28"/>
        </w:rPr>
        <w:t>貿易紛爭、美中戰略架構觀點</w:t>
      </w:r>
      <w:r w:rsidR="00E82445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0D33EC" w:rsidRPr="00526559">
        <w:rPr>
          <w:rFonts w:ascii="Times New Roman" w:eastAsia="標楷體" w:hAnsi="Times New Roman" w:cs="Times New Roman"/>
          <w:sz w:val="28"/>
          <w:szCs w:val="28"/>
        </w:rPr>
        <w:t>及變局中的機會與挑戰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的精闢見解及精彩討論，也感謝各位先進在百忙之中為</w:t>
      </w:r>
      <w:r w:rsidR="007F180E" w:rsidRPr="00526559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灣面對國際經貿新局集思廣益，提出建言。最後，再次感謝</w:t>
      </w:r>
      <w:r w:rsidR="00C9302A" w:rsidRPr="00526559"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的邀請，敬祝大家</w:t>
      </w:r>
      <w:r w:rsidR="00383304" w:rsidRPr="00526559">
        <w:rPr>
          <w:rFonts w:ascii="Times New Roman" w:eastAsia="標楷體" w:hAnsi="Times New Roman" w:cs="Times New Roman"/>
          <w:sz w:val="28"/>
          <w:szCs w:val="28"/>
        </w:rPr>
        <w:t>在新的一年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身體健康、萬事如意！謝謝大家！</w:t>
      </w:r>
    </w:p>
    <w:sectPr w:rsidR="001A6EEB" w:rsidRPr="000B42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01" w:rsidRDefault="00DC4301" w:rsidP="002548AA">
      <w:r>
        <w:separator/>
      </w:r>
    </w:p>
  </w:endnote>
  <w:endnote w:type="continuationSeparator" w:id="0">
    <w:p w:rsidR="00DC4301" w:rsidRDefault="00DC4301" w:rsidP="0025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380956"/>
      <w:docPartObj>
        <w:docPartGallery w:val="Page Numbers (Bottom of Page)"/>
        <w:docPartUnique/>
      </w:docPartObj>
    </w:sdtPr>
    <w:sdtEndPr/>
    <w:sdtContent>
      <w:p w:rsidR="00AD0A18" w:rsidRDefault="00AD0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4D1" w:rsidRPr="004634D1">
          <w:rPr>
            <w:noProof/>
            <w:lang w:val="zh-TW"/>
          </w:rPr>
          <w:t>1</w:t>
        </w:r>
        <w:r>
          <w:fldChar w:fldCharType="end"/>
        </w:r>
      </w:p>
    </w:sdtContent>
  </w:sdt>
  <w:p w:rsidR="00AD0A18" w:rsidRDefault="00AD0A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01" w:rsidRDefault="00DC4301" w:rsidP="002548AA">
      <w:r>
        <w:separator/>
      </w:r>
    </w:p>
  </w:footnote>
  <w:footnote w:type="continuationSeparator" w:id="0">
    <w:p w:rsidR="00DC4301" w:rsidRDefault="00DC4301" w:rsidP="002548AA">
      <w:r>
        <w:continuationSeparator/>
      </w:r>
    </w:p>
  </w:footnote>
  <w:footnote w:id="1">
    <w:p w:rsidR="00B876D9" w:rsidRPr="007B0996" w:rsidRDefault="00B876D9" w:rsidP="00284518">
      <w:pPr>
        <w:pStyle w:val="a8"/>
        <w:ind w:left="200" w:hangingChars="100" w:hanging="200"/>
        <w:jc w:val="both"/>
      </w:pPr>
      <w:r>
        <w:rPr>
          <w:rStyle w:val="aa"/>
        </w:rPr>
        <w:footnoteRef/>
      </w:r>
      <w:r>
        <w:t xml:space="preserve"> </w:t>
      </w:r>
      <w:r w:rsidRPr="00323295">
        <w:rPr>
          <w:rFonts w:hint="eastAsia"/>
          <w:spacing w:val="-6"/>
        </w:rPr>
        <w:t xml:space="preserve">CEBR </w:t>
      </w:r>
      <w:r w:rsidRPr="00323295">
        <w:rPr>
          <w:spacing w:val="-6"/>
        </w:rPr>
        <w:t>(201</w:t>
      </w:r>
      <w:r w:rsidRPr="00323295">
        <w:rPr>
          <w:rFonts w:hint="eastAsia"/>
          <w:spacing w:val="-6"/>
        </w:rPr>
        <w:t>8</w:t>
      </w:r>
      <w:r w:rsidRPr="00323295">
        <w:rPr>
          <w:spacing w:val="-6"/>
        </w:rPr>
        <w:t>), “World Economic League Table 2019</w:t>
      </w:r>
      <w:r w:rsidRPr="00323295">
        <w:rPr>
          <w:rFonts w:hint="eastAsia"/>
          <w:spacing w:val="-6"/>
        </w:rPr>
        <w:t>,</w:t>
      </w:r>
      <w:r w:rsidRPr="00323295">
        <w:rPr>
          <w:spacing w:val="-6"/>
        </w:rPr>
        <w:t xml:space="preserve">” </w:t>
      </w:r>
      <w:r w:rsidRPr="00323295">
        <w:rPr>
          <w:rFonts w:hint="eastAsia"/>
          <w:spacing w:val="-6"/>
        </w:rPr>
        <w:t>Dec. 26</w:t>
      </w:r>
      <w:r w:rsidR="003A2728" w:rsidRPr="000B424D">
        <w:rPr>
          <w:rFonts w:ascii="標楷體" w:hAnsi="標楷體" w:hint="eastAsia"/>
        </w:rPr>
        <w:t>.</w:t>
      </w:r>
    </w:p>
  </w:footnote>
  <w:footnote w:id="2">
    <w:p w:rsidR="00AD0A18" w:rsidRPr="00A50B33" w:rsidRDefault="00AD0A18" w:rsidP="00284518">
      <w:pPr>
        <w:pStyle w:val="a8"/>
        <w:ind w:left="170" w:hangingChars="85" w:hanging="170"/>
        <w:jc w:val="both"/>
      </w:pPr>
      <w:r w:rsidRPr="00397CBA">
        <w:rPr>
          <w:rStyle w:val="aa"/>
        </w:rPr>
        <w:footnoteRef/>
      </w:r>
      <w:r w:rsidR="00A50B33">
        <w:rPr>
          <w:rFonts w:hint="eastAsia"/>
        </w:rPr>
        <w:t xml:space="preserve"> </w:t>
      </w:r>
      <w:r w:rsidR="00A50B33" w:rsidRPr="005E5989">
        <w:t>西方</w:t>
      </w:r>
      <w:r w:rsidR="00A50B33" w:rsidRPr="005E5989">
        <w:rPr>
          <w:rFonts w:hint="eastAsia"/>
        </w:rPr>
        <w:t>著名</w:t>
      </w:r>
      <w:r w:rsidR="00A50B33" w:rsidRPr="005E5989">
        <w:t>史學</w:t>
      </w:r>
      <w:r w:rsidR="00A50B33" w:rsidRPr="005E5989">
        <w:rPr>
          <w:rFonts w:hint="eastAsia"/>
        </w:rPr>
        <w:t>家</w:t>
      </w:r>
      <w:r w:rsidR="00A50B33" w:rsidRPr="005E5989">
        <w:t>修</w:t>
      </w:r>
      <w:r w:rsidR="00402652" w:rsidRPr="005E5989">
        <w:rPr>
          <w:rFonts w:hint="eastAsia"/>
        </w:rPr>
        <w:t>昔</w:t>
      </w:r>
      <w:r w:rsidR="00A50B33" w:rsidRPr="005E5989">
        <w:t>底德</w:t>
      </w:r>
      <w:r w:rsidR="00A50B33" w:rsidRPr="005E5989">
        <w:rPr>
          <w:rFonts w:hint="eastAsia"/>
        </w:rPr>
        <w:t>曾</w:t>
      </w:r>
      <w:r w:rsidR="00A50B33" w:rsidRPr="005E5989">
        <w:t>分析古希臘的強權對峙，指出雅典崛起威脅斯巴達既有霸權地位，</w:t>
      </w:r>
      <w:r w:rsidR="00A50B33" w:rsidRPr="005E5989">
        <w:rPr>
          <w:rFonts w:hint="eastAsia"/>
        </w:rPr>
        <w:t>進而</w:t>
      </w:r>
      <w:r w:rsidR="00A50B33" w:rsidRPr="005E5989">
        <w:t>引發兩強戰爭。後人將一個崛起的新興強權威脅到既有的統治強權，最有可能的結果就是雙方發生衝突，甚至爆發戰爭稱為「修昔底德陷阱」。</w:t>
      </w:r>
      <w:r w:rsidR="00A50B33" w:rsidRPr="005E5989">
        <w:t>Graham Allison</w:t>
      </w:r>
      <w:r w:rsidR="00A50B33" w:rsidRPr="005E5989">
        <w:t>引用此觀點，以史為鑑，</w:t>
      </w:r>
      <w:r w:rsidR="00A50B33" w:rsidRPr="00526559">
        <w:t>分析美中經貿與政治衝突</w:t>
      </w:r>
      <w:r w:rsidR="00A50B33" w:rsidRPr="00526559">
        <w:t>(</w:t>
      </w:r>
      <w:r w:rsidR="00A50B33" w:rsidRPr="00526559">
        <w:t>參見</w:t>
      </w:r>
      <w:r w:rsidR="00337DDF" w:rsidRPr="00526559">
        <w:rPr>
          <w:spacing w:val="-6"/>
        </w:rPr>
        <w:t>Allison, Graham (2015), “The Thucydides Trap: Are the U.S. and China Headed for War?”</w:t>
      </w:r>
      <w:r w:rsidR="00337DDF" w:rsidRPr="00526559">
        <w:rPr>
          <w:rFonts w:hint="eastAsia"/>
          <w:spacing w:val="-6"/>
        </w:rPr>
        <w:t xml:space="preserve"> </w:t>
      </w:r>
      <w:r w:rsidR="00337DDF" w:rsidRPr="00526559">
        <w:rPr>
          <w:rFonts w:hint="eastAsia"/>
          <w:i/>
          <w:spacing w:val="-6"/>
        </w:rPr>
        <w:t>The Atlantic</w:t>
      </w:r>
      <w:r w:rsidR="00337DDF" w:rsidRPr="00526559">
        <w:rPr>
          <w:rFonts w:hint="eastAsia"/>
          <w:spacing w:val="-6"/>
        </w:rPr>
        <w:t>,</w:t>
      </w:r>
      <w:r w:rsidR="00337DDF" w:rsidRPr="00526559">
        <w:rPr>
          <w:spacing w:val="-6"/>
        </w:rPr>
        <w:t xml:space="preserve"> Sep. 24</w:t>
      </w:r>
      <w:r w:rsidR="005D3D70" w:rsidRPr="00526559">
        <w:rPr>
          <w:rFonts w:hint="eastAsia"/>
          <w:b/>
          <w:spacing w:val="-6"/>
        </w:rPr>
        <w:t>)</w:t>
      </w:r>
      <w:r w:rsidR="00A50B33" w:rsidRPr="00526559">
        <w:rPr>
          <w:spacing w:val="-6"/>
        </w:rPr>
        <w:t>。</w:t>
      </w:r>
    </w:p>
  </w:footnote>
  <w:footnote w:id="3">
    <w:p w:rsidR="00AD0A18" w:rsidRPr="00CE2E71" w:rsidRDefault="00AD0A18" w:rsidP="0044110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526559">
        <w:t xml:space="preserve">Vogel </w:t>
      </w:r>
      <w:r w:rsidRPr="00526559">
        <w:rPr>
          <w:rFonts w:hint="eastAsia"/>
        </w:rPr>
        <w:t>,</w:t>
      </w:r>
      <w:r w:rsidRPr="00526559">
        <w:t>Ezra</w:t>
      </w:r>
      <w:r w:rsidRPr="00526559">
        <w:rPr>
          <w:rFonts w:hint="eastAsia"/>
        </w:rPr>
        <w:t xml:space="preserve">(1979), </w:t>
      </w:r>
      <w:r w:rsidRPr="00526559">
        <w:rPr>
          <w:i/>
        </w:rPr>
        <w:t>Japan as Number One: Lessons for America</w:t>
      </w:r>
      <w:r w:rsidR="001E6081" w:rsidRPr="00526559">
        <w:rPr>
          <w:rFonts w:hint="eastAsia"/>
        </w:rPr>
        <w:t>,</w:t>
      </w:r>
      <w:r w:rsidR="00CE2E71" w:rsidRPr="00526559">
        <w:t xml:space="preserve"> </w:t>
      </w:r>
      <w:r w:rsidR="007A5E8A" w:rsidRPr="00526559">
        <w:t>Harvard University Press</w:t>
      </w:r>
      <w:r w:rsidR="00CE2E71" w:rsidRPr="00526559">
        <w:rPr>
          <w:rFonts w:hint="eastAsia"/>
        </w:rPr>
        <w:t>.</w:t>
      </w:r>
    </w:p>
  </w:footnote>
  <w:footnote w:id="4">
    <w:p w:rsidR="00AD0A18" w:rsidRDefault="00AD0A18" w:rsidP="0044110A">
      <w:pPr>
        <w:pStyle w:val="a8"/>
        <w:ind w:left="200" w:hangingChars="100" w:hanging="200"/>
        <w:jc w:val="both"/>
        <w:rPr>
          <w:kern w:val="2"/>
        </w:rPr>
      </w:pPr>
      <w:r w:rsidRPr="0006146E">
        <w:rPr>
          <w:rStyle w:val="aa"/>
        </w:rPr>
        <w:footnoteRef/>
      </w:r>
      <w:r w:rsidRPr="0006146E">
        <w:t xml:space="preserve"> 1985</w:t>
      </w:r>
      <w:r w:rsidRPr="0006146E">
        <w:rPr>
          <w:rFonts w:hint="eastAsia"/>
        </w:rPr>
        <w:t>年</w:t>
      </w:r>
      <w:r w:rsidRPr="0006146E">
        <w:t>9</w:t>
      </w:r>
      <w:r w:rsidRPr="0006146E">
        <w:rPr>
          <w:rFonts w:hint="eastAsia"/>
        </w:rPr>
        <w:t>月</w:t>
      </w:r>
      <w:r w:rsidRPr="0006146E">
        <w:t>22</w:t>
      </w:r>
      <w:r w:rsidRPr="0006146E">
        <w:rPr>
          <w:rFonts w:hint="eastAsia"/>
        </w:rPr>
        <w:t>日美國</w:t>
      </w:r>
      <w:r w:rsidRPr="0006146E">
        <w:rPr>
          <w:rFonts w:ascii="新細明體" w:eastAsia="新細明體" w:hAnsi="新細明體" w:hint="eastAsia"/>
        </w:rPr>
        <w:t>、</w:t>
      </w:r>
      <w:r w:rsidRPr="0006146E">
        <w:rPr>
          <w:rFonts w:hint="eastAsia"/>
        </w:rPr>
        <w:t>日本</w:t>
      </w:r>
      <w:r w:rsidRPr="0006146E">
        <w:rPr>
          <w:rFonts w:ascii="新細明體" w:eastAsia="新細明體" w:hAnsi="新細明體" w:hint="eastAsia"/>
        </w:rPr>
        <w:t>、</w:t>
      </w:r>
      <w:r w:rsidRPr="0006146E">
        <w:rPr>
          <w:rFonts w:hint="eastAsia"/>
        </w:rPr>
        <w:t>英國、法國及西德</w:t>
      </w:r>
      <w:r>
        <w:rPr>
          <w:rFonts w:hint="eastAsia"/>
        </w:rPr>
        <w:t>於紐約</w:t>
      </w:r>
      <w:r w:rsidRPr="0006146E">
        <w:rPr>
          <w:rFonts w:hint="eastAsia"/>
        </w:rPr>
        <w:t>簽署「廣場協議」</w:t>
      </w:r>
      <w:r w:rsidRPr="0006146E">
        <w:t>(Plaza Accord)</w:t>
      </w:r>
      <w:r w:rsidRPr="0006146E">
        <w:rPr>
          <w:rFonts w:ascii="新細明體" w:eastAsia="新細明體" w:hAnsi="新細明體" w:hint="eastAsia"/>
        </w:rPr>
        <w:t>，</w:t>
      </w:r>
      <w:r w:rsidRPr="0006146E">
        <w:rPr>
          <w:rFonts w:hint="eastAsia"/>
        </w:rPr>
        <w:t>迫使日圓對美元大幅升值，以改善美國對日本商品貿易入超的情形</w:t>
      </w:r>
      <w:r w:rsidRPr="0006146E">
        <w:rPr>
          <w:rFonts w:ascii="標楷體" w:hAnsi="標楷體" w:hint="eastAsia"/>
        </w:rPr>
        <w:t>。</w:t>
      </w:r>
    </w:p>
  </w:footnote>
  <w:footnote w:id="5">
    <w:p w:rsidR="006E1F3F" w:rsidRPr="00397CBA" w:rsidRDefault="006E1F3F" w:rsidP="0044110A">
      <w:pPr>
        <w:pStyle w:val="a8"/>
        <w:ind w:left="170" w:hangingChars="85" w:hanging="170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r>
        <w:rPr>
          <w:rFonts w:hint="eastAsia"/>
        </w:rPr>
        <w:t>美國傳統工業重鎮，</w:t>
      </w:r>
      <w:r w:rsidRPr="0084294A">
        <w:rPr>
          <w:rFonts w:hint="eastAsia"/>
        </w:rPr>
        <w:t>因工廠搬遷、工作機會外移，已由過去經濟重鎮的「鋼鐵帶</w:t>
      </w:r>
      <w:r w:rsidRPr="0084294A">
        <w:rPr>
          <w:rFonts w:hint="eastAsia"/>
        </w:rPr>
        <w:t>(Steel Belt)</w:t>
      </w:r>
      <w:r w:rsidRPr="0084294A">
        <w:rPr>
          <w:rFonts w:hint="eastAsia"/>
        </w:rPr>
        <w:t>」</w:t>
      </w:r>
      <w:r w:rsidRPr="000B424D">
        <w:rPr>
          <w:rFonts w:hint="eastAsia"/>
        </w:rPr>
        <w:t>轉變為</w:t>
      </w:r>
      <w:r w:rsidR="00557A69" w:rsidRPr="000B424D">
        <w:rPr>
          <w:rFonts w:hint="eastAsia"/>
        </w:rPr>
        <w:t>失業問題嚴重的</w:t>
      </w:r>
      <w:r w:rsidRPr="000B424D">
        <w:rPr>
          <w:rFonts w:hint="eastAsia"/>
        </w:rPr>
        <w:t>「鐵鏽帶」。其涵蓋範</w:t>
      </w:r>
      <w:r w:rsidRPr="0084294A">
        <w:rPr>
          <w:rFonts w:hint="eastAsia"/>
        </w:rPr>
        <w:t>圍為美國東部的紐約州、賓州，至西維吉尼亞州，再延伸至五大湖區的俄亥俄州、印第安納州、密西根州、伊利諾州到威斯康辛州等共</w:t>
      </w:r>
      <w:r w:rsidRPr="0084294A">
        <w:rPr>
          <w:rFonts w:hint="eastAsia"/>
        </w:rPr>
        <w:t>8</w:t>
      </w:r>
      <w:r w:rsidRPr="0084294A">
        <w:rPr>
          <w:rFonts w:hint="eastAsia"/>
        </w:rPr>
        <w:t>州。</w:t>
      </w:r>
    </w:p>
  </w:footnote>
  <w:footnote w:id="6">
    <w:p w:rsidR="00AD0A18" w:rsidRPr="00397CBA" w:rsidRDefault="00AD0A18" w:rsidP="0044110A">
      <w:pPr>
        <w:pStyle w:val="a8"/>
        <w:ind w:left="170" w:hangingChars="85" w:hanging="170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r w:rsidRPr="00A44753">
        <w:t xml:space="preserve">Blanchet, Thomas et al. (2018), “World Inequality Report 2018,” </w:t>
      </w:r>
      <w:r w:rsidRPr="00BF5257">
        <w:rPr>
          <w:i/>
        </w:rPr>
        <w:t>World Inequality Lab</w:t>
      </w:r>
      <w:r w:rsidRPr="00A44753">
        <w:t>.</w:t>
      </w:r>
    </w:p>
  </w:footnote>
  <w:footnote w:id="7">
    <w:p w:rsidR="00AD0A18" w:rsidRPr="00C03EBF" w:rsidRDefault="00AD0A18" w:rsidP="005D787B">
      <w:pPr>
        <w:pStyle w:val="a8"/>
        <w:spacing w:line="240" w:lineRule="exact"/>
        <w:ind w:left="266" w:hangingChars="133" w:hanging="266"/>
        <w:jc w:val="both"/>
      </w:pPr>
      <w:r w:rsidRPr="00C03EBF">
        <w:rPr>
          <w:rStyle w:val="aa"/>
        </w:rPr>
        <w:footnoteRef/>
      </w:r>
      <w:r w:rsidRPr="00C03EBF">
        <w:rPr>
          <w:rFonts w:hint="eastAsia"/>
        </w:rPr>
        <w:t xml:space="preserve"> </w:t>
      </w:r>
      <w:r w:rsidR="005D787B">
        <w:rPr>
          <w:rFonts w:hint="eastAsia"/>
        </w:rPr>
        <w:t xml:space="preserve"> </w:t>
      </w:r>
      <w:r w:rsidRPr="00526559">
        <w:rPr>
          <w:rFonts w:hint="eastAsia"/>
        </w:rPr>
        <w:t>如</w:t>
      </w:r>
      <w:r w:rsidR="00FD01FA" w:rsidRPr="00526559">
        <w:rPr>
          <w:rFonts w:hint="eastAsia"/>
        </w:rPr>
        <w:t>美國總統川普</w:t>
      </w:r>
      <w:r w:rsidRPr="00526559">
        <w:rPr>
          <w:rFonts w:hint="eastAsia"/>
        </w:rPr>
        <w:t>上任後隨即退出</w:t>
      </w:r>
      <w:r w:rsidR="00CD2ABF" w:rsidRPr="00526559">
        <w:rPr>
          <w:rFonts w:ascii="新細明體" w:eastAsia="新細明體" w:hAnsi="新細明體" w:hint="eastAsia"/>
        </w:rPr>
        <w:t>「</w:t>
      </w:r>
      <w:r w:rsidR="00CD2ABF" w:rsidRPr="00526559">
        <w:rPr>
          <w:rFonts w:hint="eastAsia"/>
        </w:rPr>
        <w:t>跨</w:t>
      </w:r>
      <w:r w:rsidRPr="00526559">
        <w:rPr>
          <w:rFonts w:hint="eastAsia"/>
        </w:rPr>
        <w:t>太平洋夥伴協定</w:t>
      </w:r>
      <w:r w:rsidR="00CD2ABF" w:rsidRPr="00526559">
        <w:rPr>
          <w:rFonts w:ascii="標楷體" w:hAnsi="標楷體" w:hint="eastAsia"/>
        </w:rPr>
        <w:t>」</w:t>
      </w:r>
      <w:r w:rsidRPr="00526559">
        <w:rPr>
          <w:rFonts w:hint="eastAsia"/>
        </w:rPr>
        <w:t>(</w:t>
      </w:r>
      <w:r w:rsidRPr="00526559">
        <w:t>Trans-Pacific Partnership</w:t>
      </w:r>
      <w:r w:rsidRPr="00526559">
        <w:rPr>
          <w:rFonts w:hint="eastAsia"/>
        </w:rPr>
        <w:t>,</w:t>
      </w:r>
      <w:r w:rsidR="00221C0B" w:rsidRPr="00526559">
        <w:rPr>
          <w:rFonts w:hint="eastAsia"/>
        </w:rPr>
        <w:t xml:space="preserve"> </w:t>
      </w:r>
      <w:r w:rsidRPr="00526559">
        <w:rPr>
          <w:rFonts w:hint="eastAsia"/>
        </w:rPr>
        <w:t>TPP)</w:t>
      </w:r>
      <w:r w:rsidRPr="00526559">
        <w:t>，</w:t>
      </w:r>
      <w:r w:rsidR="00FD01FA" w:rsidRPr="00526559">
        <w:rPr>
          <w:rFonts w:hint="eastAsia"/>
        </w:rPr>
        <w:t>之後</w:t>
      </w:r>
      <w:r w:rsidRPr="00526559">
        <w:t>美國以外的</w:t>
      </w:r>
      <w:r w:rsidRPr="00526559">
        <w:t>11</w:t>
      </w:r>
      <w:r w:rsidRPr="00526559">
        <w:t>個參與國另以</w:t>
      </w:r>
      <w:r w:rsidR="00B25349" w:rsidRPr="00526559">
        <w:rPr>
          <w:rFonts w:ascii="新細明體" w:eastAsia="新細明體" w:hAnsi="新細明體" w:hint="eastAsia"/>
        </w:rPr>
        <w:t>「</w:t>
      </w:r>
      <w:r w:rsidRPr="00526559">
        <w:t>跨太平洋夥伴全面進步協定</w:t>
      </w:r>
      <w:r w:rsidR="00B25349" w:rsidRPr="00526559">
        <w:rPr>
          <w:rFonts w:ascii="標楷體" w:hAnsi="標楷體" w:hint="eastAsia"/>
        </w:rPr>
        <w:t>」</w:t>
      </w:r>
      <w:r w:rsidRPr="00526559">
        <w:t>(Comprehensive and Progressive Agreement for Trans-Pacific Partnership, CPTPP)</w:t>
      </w:r>
      <w:r w:rsidRPr="00526559">
        <w:t>延續參與國對自由貿易的共識，</w:t>
      </w:r>
      <w:r w:rsidR="005A7F74" w:rsidRPr="00526559">
        <w:rPr>
          <w:rFonts w:hint="eastAsia"/>
        </w:rPr>
        <w:t>並</w:t>
      </w:r>
      <w:r w:rsidRPr="00526559">
        <w:rPr>
          <w:rFonts w:hint="eastAsia"/>
        </w:rPr>
        <w:t>已</w:t>
      </w:r>
      <w:r w:rsidRPr="00526559">
        <w:t>於</w:t>
      </w:r>
      <w:r w:rsidR="0085079C" w:rsidRPr="00526559">
        <w:rPr>
          <w:rFonts w:hint="eastAsia"/>
        </w:rPr>
        <w:t>上</w:t>
      </w:r>
      <w:r w:rsidR="0085079C" w:rsidRPr="00526559">
        <w:rPr>
          <w:rFonts w:hint="eastAsia"/>
        </w:rPr>
        <w:t>(</w:t>
      </w:r>
      <w:r w:rsidR="00912308" w:rsidRPr="00526559">
        <w:rPr>
          <w:rFonts w:hint="eastAsia"/>
        </w:rPr>
        <w:t>2018</w:t>
      </w:r>
      <w:r w:rsidR="0085079C" w:rsidRPr="00526559">
        <w:rPr>
          <w:rFonts w:hint="eastAsia"/>
        </w:rPr>
        <w:t>)</w:t>
      </w:r>
      <w:r w:rsidRPr="00526559">
        <w:t>年</w:t>
      </w:r>
      <w:r w:rsidRPr="00526559">
        <w:t>12</w:t>
      </w:r>
      <w:r w:rsidRPr="00526559">
        <w:t>月</w:t>
      </w:r>
      <w:r w:rsidRPr="00526559">
        <w:t>30</w:t>
      </w:r>
      <w:r w:rsidRPr="00526559">
        <w:t>日</w:t>
      </w:r>
      <w:r w:rsidR="006E7A31" w:rsidRPr="00526559">
        <w:rPr>
          <w:rFonts w:hint="eastAsia"/>
        </w:rPr>
        <w:t>正式</w:t>
      </w:r>
      <w:r w:rsidRPr="00526559">
        <w:t>生效。</w:t>
      </w:r>
    </w:p>
  </w:footnote>
  <w:footnote w:id="8">
    <w:p w:rsidR="00AD0A18" w:rsidRPr="00C03EBF" w:rsidRDefault="00AD0A18" w:rsidP="005D787B">
      <w:pPr>
        <w:pStyle w:val="a8"/>
        <w:spacing w:line="240" w:lineRule="exact"/>
        <w:ind w:left="266" w:hangingChars="133" w:hanging="266"/>
        <w:jc w:val="both"/>
      </w:pPr>
      <w:r w:rsidRPr="00C03EBF">
        <w:rPr>
          <w:rStyle w:val="aa"/>
        </w:rPr>
        <w:footnoteRef/>
      </w:r>
      <w:r w:rsidRPr="00C03EBF">
        <w:t xml:space="preserve"> </w:t>
      </w:r>
      <w:r w:rsidR="005D787B">
        <w:rPr>
          <w:rFonts w:hint="eastAsia"/>
        </w:rPr>
        <w:t xml:space="preserve"> </w:t>
      </w:r>
      <w:r w:rsidRPr="00C03EBF">
        <w:t>英文全名為</w:t>
      </w:r>
      <w:r w:rsidRPr="00C03EBF">
        <w:t>the United States-Korea Free Trade Agreement (</w:t>
      </w:r>
      <w:r w:rsidRPr="00C03EBF">
        <w:t>參見</w:t>
      </w:r>
      <w:r w:rsidRPr="00C03EBF">
        <w:t>The White House (2018), “Remarks by President Trump and President Moon of the Republic of Korea at U.S.-Korea Free</w:t>
      </w:r>
      <w:r w:rsidR="005D787B">
        <w:rPr>
          <w:rFonts w:hint="eastAsia"/>
        </w:rPr>
        <w:t xml:space="preserve"> </w:t>
      </w:r>
      <w:r w:rsidRPr="00C03EBF">
        <w:t>Trade Agreement Signing Ceremony,” Sep. 24)</w:t>
      </w:r>
      <w:r w:rsidRPr="00C03EBF">
        <w:t>。</w:t>
      </w:r>
    </w:p>
  </w:footnote>
  <w:footnote w:id="9">
    <w:p w:rsidR="00AD0A18" w:rsidRPr="00C03EBF" w:rsidRDefault="00AD0A18" w:rsidP="005D787B">
      <w:pPr>
        <w:pStyle w:val="a8"/>
        <w:spacing w:line="240" w:lineRule="exact"/>
        <w:ind w:left="266" w:hangingChars="133" w:hanging="266"/>
        <w:jc w:val="both"/>
      </w:pPr>
      <w:r w:rsidRPr="00C03EBF">
        <w:rPr>
          <w:rStyle w:val="aa"/>
        </w:rPr>
        <w:footnoteRef/>
      </w:r>
      <w:r w:rsidRPr="00C03EBF">
        <w:t xml:space="preserve"> </w:t>
      </w:r>
      <w:r w:rsidR="005D787B">
        <w:rPr>
          <w:rFonts w:hint="eastAsia"/>
        </w:rPr>
        <w:t xml:space="preserve"> </w:t>
      </w:r>
      <w:r w:rsidRPr="00C03EBF">
        <w:t>USMCA</w:t>
      </w:r>
      <w:r w:rsidRPr="00C03EBF">
        <w:t>英文全名為</w:t>
      </w:r>
      <w:r w:rsidRPr="00C03EBF">
        <w:t>United States-Mexico-Canada Agreement(</w:t>
      </w:r>
      <w:r w:rsidRPr="00C03EBF">
        <w:t>參見</w:t>
      </w:r>
      <w:r w:rsidRPr="00C03EBF">
        <w:t xml:space="preserve"> The White House (2018), “Remarks by President Trump and President Juncker of the European Commission in Joint Press Statements,” Jul. 25)</w:t>
      </w:r>
      <w:r w:rsidRPr="00C03EBF">
        <w:t>。</w:t>
      </w:r>
    </w:p>
  </w:footnote>
  <w:footnote w:id="10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r w:rsidRPr="00C03EBF">
        <w:rPr>
          <w:rFonts w:hint="eastAsia"/>
        </w:rPr>
        <w:t>如依據</w:t>
      </w:r>
      <w:r w:rsidRPr="00C03EBF">
        <w:rPr>
          <w:rFonts w:hint="eastAsia"/>
        </w:rPr>
        <w:t>1962</w:t>
      </w:r>
      <w:r w:rsidRPr="00C03EBF">
        <w:rPr>
          <w:rFonts w:hint="eastAsia"/>
        </w:rPr>
        <w:t>年貿易擴張法</w:t>
      </w:r>
      <w:r w:rsidRPr="00C03EBF">
        <w:rPr>
          <w:rFonts w:hint="eastAsia"/>
        </w:rPr>
        <w:t>232</w:t>
      </w:r>
      <w:r w:rsidRPr="00C03EBF">
        <w:rPr>
          <w:rFonts w:hint="eastAsia"/>
        </w:rPr>
        <w:t>條款及</w:t>
      </w:r>
      <w:r w:rsidRPr="00C03EBF">
        <w:rPr>
          <w:rFonts w:hint="eastAsia"/>
        </w:rPr>
        <w:t>1974</w:t>
      </w:r>
      <w:r w:rsidRPr="00C03EBF">
        <w:rPr>
          <w:rFonts w:hint="eastAsia"/>
        </w:rPr>
        <w:t>年貿易法</w:t>
      </w:r>
      <w:r w:rsidRPr="00C03EBF">
        <w:rPr>
          <w:rFonts w:hint="eastAsia"/>
        </w:rPr>
        <w:t>201</w:t>
      </w:r>
      <w:r w:rsidRPr="00C03EBF">
        <w:rPr>
          <w:rFonts w:hint="eastAsia"/>
        </w:rPr>
        <w:t>條款針對進口鋼鋁、太陽能面板與洗衣機課徵關稅</w:t>
      </w:r>
      <w:r w:rsidRPr="00C03EBF">
        <w:rPr>
          <w:rFonts w:ascii="標楷體" w:hAnsi="標楷體" w:hint="eastAsia"/>
        </w:rPr>
        <w:t>。</w:t>
      </w:r>
    </w:p>
  </w:footnote>
  <w:footnote w:id="11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r w:rsidRPr="00C03EBF">
        <w:rPr>
          <w:rFonts w:hint="eastAsia"/>
        </w:rPr>
        <w:t>上年</w:t>
      </w:r>
      <w:r w:rsidRPr="00C03EBF">
        <w:rPr>
          <w:rFonts w:hint="eastAsia"/>
        </w:rPr>
        <w:t>10</w:t>
      </w:r>
      <w:r w:rsidRPr="00C03EBF">
        <w:rPr>
          <w:rFonts w:hint="eastAsia"/>
        </w:rPr>
        <w:t>月美方匯率報告對近期人民幣貶值表達嚴重關切，且強調密切觀察中國大陸等主要貿易對手國是否進行不對稱干預</w:t>
      </w:r>
      <w:r w:rsidRPr="00C03EBF">
        <w:rPr>
          <w:rFonts w:ascii="標楷體" w:hAnsi="標楷體" w:hint="eastAsia"/>
        </w:rPr>
        <w:t>。</w:t>
      </w:r>
    </w:p>
  </w:footnote>
  <w:footnote w:id="12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Pr="00C03EBF">
        <w:rPr>
          <w:rFonts w:hint="eastAsia"/>
        </w:rPr>
        <w:t xml:space="preserve"> USMCA</w:t>
      </w:r>
      <w:r w:rsidRPr="00C03EBF">
        <w:rPr>
          <w:rFonts w:hint="eastAsia"/>
        </w:rPr>
        <w:t>文本納入「禁止競爭性匯率貶值，以取得不公平競爭優勢，與持續遵循相關資訊透明度」條款；新版美韓</w:t>
      </w:r>
      <w:r w:rsidRPr="00C03EBF">
        <w:rPr>
          <w:rFonts w:hint="eastAsia"/>
        </w:rPr>
        <w:t>FTA</w:t>
      </w:r>
      <w:r w:rsidRPr="00C03EBF">
        <w:rPr>
          <w:rFonts w:hint="eastAsia"/>
        </w:rPr>
        <w:t>以備忘錄形式，要求避免匯率競貶並維持匯率變動的透明度</w:t>
      </w:r>
      <w:r w:rsidRPr="00C03EBF">
        <w:rPr>
          <w:rFonts w:ascii="標楷體" w:hAnsi="標楷體" w:hint="eastAsia"/>
        </w:rPr>
        <w:t>。</w:t>
      </w:r>
    </w:p>
  </w:footnote>
  <w:footnote w:id="13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r w:rsidRPr="00C03EBF">
        <w:rPr>
          <w:rFonts w:hint="eastAsia"/>
        </w:rPr>
        <w:t>美墨加貿易協定中的非市場經濟國家條款賦予美國在加、墨兩國與非市場經濟國家談判新貿易協定時，得事前審查其內容，及可因此主張退出美墨加貿易協定的權力，該條款被外界視為圍堵中國大陸等國家的利器</w:t>
      </w:r>
      <w:r w:rsidRPr="00C03EBF">
        <w:rPr>
          <w:rFonts w:ascii="標楷體" w:hAnsi="標楷體" w:hint="eastAsia"/>
        </w:rPr>
        <w:t>。</w:t>
      </w:r>
    </w:p>
  </w:footnote>
  <w:footnote w:id="14">
    <w:p w:rsidR="00AD0A18" w:rsidRPr="004E05F0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r w:rsidRPr="00C03EBF">
        <w:rPr>
          <w:rFonts w:hint="eastAsia"/>
        </w:rPr>
        <w:t>如遊說日本、德國等重要盟國，減少使用中國大陸公司</w:t>
      </w:r>
      <w:r w:rsidRPr="00C03EBF">
        <w:rPr>
          <w:rFonts w:hint="eastAsia"/>
        </w:rPr>
        <w:t>(</w:t>
      </w:r>
      <w:r w:rsidRPr="00C03EBF">
        <w:rPr>
          <w:rFonts w:hint="eastAsia"/>
        </w:rPr>
        <w:t>如</w:t>
      </w:r>
      <w:r w:rsidRPr="00C03EBF">
        <w:rPr>
          <w:rFonts w:hint="eastAsia"/>
        </w:rPr>
        <w:t>:</w:t>
      </w:r>
      <w:r w:rsidRPr="00C03EBF">
        <w:rPr>
          <w:rFonts w:hint="eastAsia"/>
        </w:rPr>
        <w:t>華為</w:t>
      </w:r>
      <w:r w:rsidRPr="00C03EBF">
        <w:rPr>
          <w:rFonts w:hint="eastAsia"/>
        </w:rPr>
        <w:t>)</w:t>
      </w:r>
      <w:r w:rsidRPr="00C03EBF">
        <w:rPr>
          <w:rFonts w:hint="eastAsia"/>
        </w:rPr>
        <w:t>生產的科技產品，防止中國大陸科技影響力擴大</w:t>
      </w:r>
      <w:r w:rsidRPr="00C03EBF">
        <w:rPr>
          <w:rFonts w:ascii="標楷體" w:hAnsi="標楷體" w:hint="eastAsia"/>
        </w:rPr>
        <w:t>。</w:t>
      </w:r>
      <w:r w:rsidRPr="00C03EBF">
        <w:t>目前日本、澳洲及紐西蘭已禁止使用華為公司的</w:t>
      </w:r>
      <w:r w:rsidRPr="00C03EBF">
        <w:t>5G</w:t>
      </w:r>
      <w:r w:rsidRPr="00C03EBF">
        <w:t>相關設備</w:t>
      </w:r>
      <w:r w:rsidRPr="00C03EBF">
        <w:t>(</w:t>
      </w:r>
      <w:r w:rsidRPr="00C03EBF">
        <w:t>參見</w:t>
      </w:r>
      <w:r w:rsidRPr="00C03EBF">
        <w:t>Lucas, Louise and Kynge, James (2018), “Huawei Continues Global Push Despite Setbacks in West,”</w:t>
      </w:r>
      <w:r w:rsidRPr="00C03EBF">
        <w:rPr>
          <w:i/>
        </w:rPr>
        <w:t xml:space="preserve"> Financial Times</w:t>
      </w:r>
      <w:r w:rsidRPr="00C03EBF">
        <w:t>, Dec.16)</w:t>
      </w:r>
      <w:r w:rsidRPr="00C03EBF">
        <w:rPr>
          <w:rFonts w:ascii="標楷體" w:hAnsi="標楷體" w:hint="eastAsia"/>
        </w:rPr>
        <w:t>。</w:t>
      </w:r>
    </w:p>
  </w:footnote>
  <w:footnote w:id="15">
    <w:p w:rsidR="00B61C87" w:rsidRPr="007C495F" w:rsidRDefault="00B61C87" w:rsidP="005D787B">
      <w:pPr>
        <w:pStyle w:val="a8"/>
        <w:ind w:left="252" w:hangingChars="126" w:hanging="252"/>
        <w:jc w:val="both"/>
      </w:pPr>
      <w:r w:rsidRPr="00B77F62">
        <w:rPr>
          <w:rStyle w:val="aa"/>
        </w:rPr>
        <w:footnoteRef/>
      </w:r>
      <w:r w:rsidRPr="00B77F62">
        <w:t xml:space="preserve"> </w:t>
      </w:r>
      <w:r w:rsidRPr="00B77F62">
        <w:rPr>
          <w:rFonts w:hint="eastAsia"/>
        </w:rPr>
        <w:t>相關改革內容包含：</w:t>
      </w:r>
      <w:r w:rsidRPr="00B77F62">
        <w:rPr>
          <w:rFonts w:hint="eastAsia"/>
        </w:rPr>
        <w:t>(1)</w:t>
      </w:r>
      <w:r w:rsidRPr="00B77F62">
        <w:rPr>
          <w:rFonts w:hint="eastAsia"/>
        </w:rPr>
        <w:t>上訴機構僅須解決必要的爭議；</w:t>
      </w:r>
      <w:r w:rsidRPr="00B77F62">
        <w:rPr>
          <w:rFonts w:hint="eastAsia"/>
        </w:rPr>
        <w:t>(2)</w:t>
      </w:r>
      <w:r w:rsidRPr="00B77F62">
        <w:rPr>
          <w:rFonts w:hint="eastAsia"/>
        </w:rPr>
        <w:t>釐清可上訴的法律問題不包括國內法規</w:t>
      </w:r>
      <w:r w:rsidRPr="00B77F62">
        <w:rPr>
          <w:rFonts w:ascii="新細明體" w:eastAsia="新細明體" w:hAnsi="新細明體" w:hint="eastAsia"/>
        </w:rPr>
        <w:t>；</w:t>
      </w:r>
      <w:r w:rsidRPr="00B77F62">
        <w:rPr>
          <w:rFonts w:hint="eastAsia"/>
        </w:rPr>
        <w:t>(3)</w:t>
      </w:r>
      <w:r w:rsidRPr="00B77F62">
        <w:rPr>
          <w:rFonts w:hint="eastAsia"/>
        </w:rPr>
        <w:t>除非涉及爭端的各方同意，否則應按照</w:t>
      </w:r>
      <w:r w:rsidRPr="00B77F62">
        <w:rPr>
          <w:rFonts w:hint="eastAsia"/>
        </w:rPr>
        <w:t>WTO</w:t>
      </w:r>
      <w:r w:rsidRPr="00B77F62">
        <w:rPr>
          <w:rFonts w:hint="eastAsia"/>
        </w:rPr>
        <w:t>規則，確保申訴程序須在</w:t>
      </w:r>
      <w:r w:rsidRPr="00B77F62">
        <w:rPr>
          <w:rFonts w:hint="eastAsia"/>
        </w:rPr>
        <w:t>90</w:t>
      </w:r>
      <w:r w:rsidRPr="00B77F62">
        <w:rPr>
          <w:rFonts w:hint="eastAsia"/>
        </w:rPr>
        <w:t>天內完成；</w:t>
      </w:r>
      <w:r w:rsidRPr="00B77F62">
        <w:rPr>
          <w:rFonts w:hint="eastAsia"/>
        </w:rPr>
        <w:t>(4)</w:t>
      </w:r>
      <w:r w:rsidRPr="00B77F62">
        <w:rPr>
          <w:rFonts w:hint="eastAsia"/>
        </w:rPr>
        <w:t>加強上訴機構獨立性、公正性和提高效率，包括延長上訴機構之成員任期，增加全職成員人數；</w:t>
      </w:r>
      <w:r w:rsidRPr="00B77F62">
        <w:rPr>
          <w:rFonts w:hint="eastAsia"/>
        </w:rPr>
        <w:t>(5)</w:t>
      </w:r>
      <w:r w:rsidRPr="00B77F62">
        <w:rPr>
          <w:rFonts w:hint="eastAsia"/>
        </w:rPr>
        <w:t>當有上訴機構成員即將離任，遞補新成員的遴選過程將自動啟動</w:t>
      </w:r>
      <w:r w:rsidRPr="00B77F62">
        <w:rPr>
          <w:rFonts w:hint="eastAsia"/>
        </w:rPr>
        <w:t>(</w:t>
      </w:r>
      <w:r w:rsidRPr="00B77F62">
        <w:rPr>
          <w:rFonts w:hint="eastAsia"/>
        </w:rPr>
        <w:t>參見</w:t>
      </w:r>
      <w:r w:rsidRPr="00B77F62">
        <w:t>G20(2018), “G20 Leaders’ Declaration Building Consensus for Fair and Sustainable Development,” Dec.1</w:t>
      </w:r>
      <w:r w:rsidRPr="00B77F62">
        <w:rPr>
          <w:rFonts w:ascii="新細明體" w:eastAsia="新細明體" w:hAnsi="新細明體" w:hint="eastAsia"/>
        </w:rPr>
        <w:t>；</w:t>
      </w:r>
      <w:r w:rsidRPr="00B77F62">
        <w:t xml:space="preserve">European Commission(2018) , “WTO Reform: EU Proposes Way Forward on the Functioning of the Appellate Body,” </w:t>
      </w:r>
      <w:r w:rsidRPr="00B77F62">
        <w:rPr>
          <w:i/>
        </w:rPr>
        <w:t>Press release</w:t>
      </w:r>
      <w:r w:rsidRPr="00B77F62">
        <w:t>, Nov.26</w:t>
      </w:r>
      <w:r w:rsidRPr="00B77F62">
        <w:rPr>
          <w:rFonts w:hint="eastAsia"/>
        </w:rPr>
        <w:t>)</w:t>
      </w:r>
      <w:r w:rsidR="001366F1">
        <w:rPr>
          <w:rFonts w:ascii="標楷體" w:hAnsi="標楷體" w:hint="eastAsia"/>
        </w:rPr>
        <w:t>。</w:t>
      </w:r>
    </w:p>
  </w:footnote>
  <w:footnote w:id="16">
    <w:p w:rsidR="005F4CCE" w:rsidRDefault="005F4CCE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4E6564" w:rsidRPr="00C03EBF">
        <w:rPr>
          <w:rFonts w:hint="eastAsia"/>
        </w:rPr>
        <w:t xml:space="preserve"> </w:t>
      </w:r>
      <w:r w:rsidRPr="00C03EBF">
        <w:rPr>
          <w:rFonts w:hint="eastAsia"/>
        </w:rPr>
        <w:t>美國經濟學家</w:t>
      </w:r>
      <w:r w:rsidRPr="00C03EBF">
        <w:t>Robert Triffin</w:t>
      </w:r>
      <w:r w:rsidRPr="00C03EBF">
        <w:rPr>
          <w:rFonts w:hint="eastAsia"/>
        </w:rPr>
        <w:t>在其《黃金與</w:t>
      </w:r>
      <w:r w:rsidRPr="00526559">
        <w:rPr>
          <w:rFonts w:hint="eastAsia"/>
        </w:rPr>
        <w:t>美元危機</w:t>
      </w:r>
      <w:r w:rsidR="00967925" w:rsidRPr="00526559">
        <w:rPr>
          <w:rFonts w:ascii="標楷體" w:hAnsi="標楷體" w:hint="eastAsia"/>
        </w:rPr>
        <w:t>—</w:t>
      </w:r>
      <w:r w:rsidRPr="00526559">
        <w:rPr>
          <w:rFonts w:hint="eastAsia"/>
        </w:rPr>
        <w:t>自由</w:t>
      </w:r>
      <w:r w:rsidRPr="00C03EBF">
        <w:rPr>
          <w:rFonts w:hint="eastAsia"/>
        </w:rPr>
        <w:t>兌換的未來》一書中</w:t>
      </w:r>
      <w:r w:rsidR="00A840CC" w:rsidRPr="00C03EBF">
        <w:rPr>
          <w:rFonts w:ascii="新細明體" w:eastAsia="新細明體" w:hAnsi="新細明體" w:hint="eastAsia"/>
        </w:rPr>
        <w:t>，</w:t>
      </w:r>
      <w:r w:rsidRPr="00C03EBF">
        <w:rPr>
          <w:rFonts w:hint="eastAsia"/>
        </w:rPr>
        <w:t>探討美元作為核心國際準備貨幣的兩難局面。</w:t>
      </w:r>
      <w:r w:rsidR="00391C00" w:rsidRPr="00C03EBF">
        <w:rPr>
          <w:rFonts w:hint="eastAsia"/>
        </w:rPr>
        <w:t>隨著全球經濟擴張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對美元流動性與美元的需求也隨之增加</w:t>
      </w:r>
      <w:r w:rsidR="00391C00" w:rsidRPr="00C03EBF">
        <w:rPr>
          <w:rFonts w:ascii="標楷體" w:hAnsi="標楷體" w:hint="eastAsia"/>
        </w:rPr>
        <w:t>。</w:t>
      </w:r>
      <w:r w:rsidR="00391C00" w:rsidRPr="00C03EBF">
        <w:rPr>
          <w:rFonts w:hint="eastAsia"/>
        </w:rPr>
        <w:t>若美國長期保持經常帳逆差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並透過發行美元債務融通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雖然可以滿足全球流動性的需求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但最終將引發對美元的信心危機</w:t>
      </w:r>
      <w:r w:rsidR="00A840CC" w:rsidRPr="00C03EBF">
        <w:rPr>
          <w:rFonts w:ascii="新細明體" w:eastAsia="新細明體" w:hAnsi="新細明體" w:hint="eastAsia"/>
        </w:rPr>
        <w:t>；</w:t>
      </w:r>
      <w:r w:rsidR="00391C00" w:rsidRPr="00C03EBF">
        <w:rPr>
          <w:rFonts w:hint="eastAsia"/>
        </w:rPr>
        <w:t>而</w:t>
      </w:r>
      <w:r w:rsidR="00132B3F" w:rsidRPr="00C03EBF">
        <w:rPr>
          <w:rFonts w:hint="eastAsia"/>
        </w:rPr>
        <w:t>倘</w:t>
      </w:r>
      <w:r w:rsidR="00391C00" w:rsidRPr="00C03EBF">
        <w:rPr>
          <w:rFonts w:hint="eastAsia"/>
        </w:rPr>
        <w:t>若美國欲維持收支平衡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則全球流動性必將不足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因此以美元為主的貨幣制度存在根本的矛盾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不利於全球金融穩定</w:t>
      </w:r>
      <w:r w:rsidR="00391C00" w:rsidRPr="00C03EBF">
        <w:rPr>
          <w:rFonts w:ascii="標楷體" w:hAnsi="標楷體" w:hint="eastAsia"/>
        </w:rPr>
        <w:t>。</w:t>
      </w:r>
    </w:p>
  </w:footnote>
  <w:footnote w:id="17">
    <w:p w:rsidR="005F4CCE" w:rsidRDefault="005F4CCE" w:rsidP="005D787B">
      <w:pPr>
        <w:pStyle w:val="a8"/>
        <w:ind w:left="252" w:hangingChars="126" w:hanging="252"/>
        <w:jc w:val="both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鑄幣稅為券幣所換取商品價值與貨幣生產成本之間的差額。若一國的貨幣既為國家貨幣，也為國際貨幣，不但形同對國內「課徵」鑄幣稅，也會產生國際鑄幣稅</w:t>
      </w:r>
      <w:r w:rsidRPr="0051421F">
        <w:rPr>
          <w:rFonts w:hint="eastAsia"/>
        </w:rPr>
        <w:t>。</w:t>
      </w:r>
      <w:r>
        <w:rPr>
          <w:rFonts w:hint="eastAsia"/>
        </w:rPr>
        <w:t>由於貨幣的生產成本很低，幾近於無息資金，就有如發行國際貨幣的國家向其它國家課稅。根據</w:t>
      </w:r>
      <w:r>
        <w:t>Dobbs et al. (2009)</w:t>
      </w:r>
      <w:r>
        <w:rPr>
          <w:rFonts w:hint="eastAsia"/>
        </w:rPr>
        <w:t>的估計，每年美元的鑄幣稅利益約為</w:t>
      </w:r>
      <w:r>
        <w:t>100</w:t>
      </w:r>
      <w:r>
        <w:rPr>
          <w:rFonts w:hint="eastAsia"/>
        </w:rPr>
        <w:t>億美元</w:t>
      </w:r>
      <w:r>
        <w:t>(</w:t>
      </w:r>
      <w:r>
        <w:rPr>
          <w:rFonts w:hint="eastAsia"/>
        </w:rPr>
        <w:t>參見</w:t>
      </w:r>
      <w:r>
        <w:t xml:space="preserve">Dobbs, R., D. Skilling, W. Hu, S. Lund, J. Manyika, and C. Roxburgh (2009), “An Exorbitant Privilege? Implications of Reserve Currencies for Competitiveness,” </w:t>
      </w:r>
      <w:r w:rsidRPr="0051421F">
        <w:rPr>
          <w:i/>
        </w:rPr>
        <w:t>Discussion Paper</w:t>
      </w:r>
      <w:r>
        <w:t>, the Mckinsey Global Institute)</w:t>
      </w:r>
      <w:r w:rsidRPr="0051421F">
        <w:rPr>
          <w:rFonts w:hint="eastAsia"/>
        </w:rPr>
        <w:t>。</w:t>
      </w:r>
    </w:p>
  </w:footnote>
  <w:footnote w:id="18">
    <w:p w:rsidR="00AD0A18" w:rsidRPr="00397CBA" w:rsidRDefault="00AD0A18" w:rsidP="005D787B">
      <w:pPr>
        <w:pStyle w:val="a8"/>
        <w:ind w:left="252" w:hangingChars="126" w:hanging="252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r w:rsidRPr="00072EF2">
        <w:rPr>
          <w:rFonts w:hint="eastAsia"/>
        </w:rPr>
        <w:t>新自由主義</w:t>
      </w:r>
      <w:r w:rsidRPr="00072EF2">
        <w:rPr>
          <w:rFonts w:hint="eastAsia"/>
        </w:rPr>
        <w:t>(Neoliberalism)</w:t>
      </w:r>
      <w:r>
        <w:rPr>
          <w:rFonts w:hint="eastAsia"/>
        </w:rPr>
        <w:t>強調自由貿易、解除管制等市場運作</w:t>
      </w:r>
      <w:r w:rsidRPr="00072EF2">
        <w:rPr>
          <w:rFonts w:hint="eastAsia"/>
        </w:rPr>
        <w:t>機制</w:t>
      </w:r>
      <w:r>
        <w:rPr>
          <w:rFonts w:hint="eastAsia"/>
        </w:rPr>
        <w:t>，被視為推動全球化的理論之一</w:t>
      </w:r>
      <w:r w:rsidRPr="00072EF2">
        <w:rPr>
          <w:rFonts w:hint="eastAsia"/>
        </w:rPr>
        <w:t>。</w:t>
      </w:r>
    </w:p>
  </w:footnote>
  <w:footnote w:id="19">
    <w:p w:rsidR="00AD0A18" w:rsidRPr="005303F9" w:rsidRDefault="00AD0A18" w:rsidP="005D787B">
      <w:pPr>
        <w:pStyle w:val="a8"/>
        <w:ind w:left="252" w:hangingChars="126" w:hanging="252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r>
        <w:rPr>
          <w:rFonts w:hint="eastAsia"/>
        </w:rPr>
        <w:t>Ip</w:t>
      </w:r>
      <w:r w:rsidRPr="005F0405">
        <w:t xml:space="preserve">, </w:t>
      </w:r>
      <w:r>
        <w:rPr>
          <w:rFonts w:hint="eastAsia"/>
        </w:rPr>
        <w:t>Greg</w:t>
      </w:r>
      <w:r w:rsidR="00B67F4A">
        <w:rPr>
          <w:rFonts w:hint="eastAsia"/>
        </w:rPr>
        <w:t xml:space="preserve"> </w:t>
      </w:r>
      <w:r>
        <w:t>(20</w:t>
      </w:r>
      <w:r>
        <w:rPr>
          <w:rFonts w:hint="eastAsia"/>
        </w:rPr>
        <w:t>04</w:t>
      </w:r>
      <w:r w:rsidRPr="005F0405">
        <w:t>), “</w:t>
      </w:r>
      <w:r w:rsidRPr="005303F9">
        <w:t>Greenspan Sees A Jobs Benefit In Globalization</w:t>
      </w:r>
      <w:r w:rsidRPr="005F0405">
        <w:t xml:space="preserve">,” </w:t>
      </w:r>
      <w:r>
        <w:rPr>
          <w:rFonts w:hint="eastAsia"/>
          <w:i/>
        </w:rPr>
        <w:t>Wall Street Journal</w:t>
      </w:r>
      <w:r w:rsidRPr="005F0405">
        <w:t>,</w:t>
      </w:r>
      <w:r>
        <w:rPr>
          <w:rFonts w:hint="eastAsia"/>
        </w:rPr>
        <w:t xml:space="preserve"> </w:t>
      </w:r>
      <w:r>
        <w:t>J</w:t>
      </w:r>
      <w:r>
        <w:rPr>
          <w:rFonts w:hint="eastAsia"/>
        </w:rPr>
        <w:t>an</w:t>
      </w:r>
      <w:r w:rsidRPr="005F0405">
        <w:t>.</w:t>
      </w:r>
      <w:r>
        <w:rPr>
          <w:rFonts w:hint="eastAsia"/>
        </w:rPr>
        <w:t>27</w:t>
      </w:r>
      <w:r>
        <w:rPr>
          <w:rFonts w:hint="eastAsia"/>
        </w:rPr>
        <w:t>；</w:t>
      </w:r>
      <w:r>
        <w:rPr>
          <w:rFonts w:hint="eastAsia"/>
        </w:rPr>
        <w:t>R</w:t>
      </w:r>
      <w:r w:rsidRPr="000C0993">
        <w:t xml:space="preserve">oach, Stephen (2017), “Donald Trump Is Suffering from Trade Deficit Disorder,” </w:t>
      </w:r>
      <w:r w:rsidRPr="000C0993">
        <w:rPr>
          <w:i/>
        </w:rPr>
        <w:t>Financial Times</w:t>
      </w:r>
      <w:r w:rsidRPr="000C0993">
        <w:t>,</w:t>
      </w:r>
      <w:r>
        <w:rPr>
          <w:rFonts w:hint="eastAsia"/>
        </w:rPr>
        <w:t xml:space="preserve"> </w:t>
      </w:r>
      <w:r w:rsidRPr="000C0993">
        <w:t>Mar. 7</w:t>
      </w:r>
      <w:r>
        <w:rPr>
          <w:rFonts w:hint="eastAsia"/>
        </w:rPr>
        <w:t>.</w:t>
      </w:r>
    </w:p>
  </w:footnote>
  <w:footnote w:id="20">
    <w:p w:rsidR="001905B3" w:rsidRPr="00526559" w:rsidRDefault="001905B3" w:rsidP="005D787B">
      <w:pPr>
        <w:pStyle w:val="a8"/>
        <w:ind w:left="252" w:hangingChars="126" w:hanging="252"/>
        <w:jc w:val="both"/>
      </w:pPr>
      <w:r w:rsidRPr="001905B3">
        <w:rPr>
          <w:rStyle w:val="aa"/>
        </w:rPr>
        <w:footnoteRef/>
      </w:r>
      <w:r w:rsidRPr="001905B3">
        <w:t xml:space="preserve"> </w:t>
      </w:r>
      <w:r w:rsidRPr="001905B3">
        <w:rPr>
          <w:rFonts w:hint="eastAsia"/>
        </w:rPr>
        <w:t>1960</w:t>
      </w:r>
      <w:r w:rsidRPr="001905B3">
        <w:rPr>
          <w:rFonts w:hint="eastAsia"/>
        </w:rPr>
        <w:t>年代，時任法國財長</w:t>
      </w:r>
      <w:r w:rsidRPr="001905B3">
        <w:rPr>
          <w:rFonts w:hint="eastAsia"/>
        </w:rPr>
        <w:t>Val</w:t>
      </w:r>
      <w:r w:rsidRPr="001905B3">
        <w:rPr>
          <w:rFonts w:hint="eastAsia"/>
        </w:rPr>
        <w:t>é</w:t>
      </w:r>
      <w:r w:rsidRPr="001905B3">
        <w:rPr>
          <w:rFonts w:hint="eastAsia"/>
        </w:rPr>
        <w:t>ry Giscard d'Estaing</w:t>
      </w:r>
      <w:r w:rsidRPr="001905B3">
        <w:rPr>
          <w:rFonts w:hint="eastAsia"/>
        </w:rPr>
        <w:t>曾以「過度特權」</w:t>
      </w:r>
      <w:r w:rsidRPr="001905B3">
        <w:rPr>
          <w:rFonts w:hint="eastAsia"/>
        </w:rPr>
        <w:t>(exorbitant privilege)</w:t>
      </w:r>
      <w:r w:rsidRPr="001905B3">
        <w:rPr>
          <w:rFonts w:hint="eastAsia"/>
        </w:rPr>
        <w:t>，描述美國能夠以本身發行的美元，較無受限地購買進口品等相關好處。近年研究多用來說明為</w:t>
      </w:r>
      <w:r w:rsidRPr="00526559">
        <w:rPr>
          <w:rFonts w:hint="eastAsia"/>
        </w:rPr>
        <w:t>何在經常帳持續逆差且國際投資部位為淨負債下，美國仍享有所得收支順差</w:t>
      </w:r>
      <w:r w:rsidRPr="00526559">
        <w:rPr>
          <w:rFonts w:hint="eastAsia"/>
        </w:rPr>
        <w:t>(</w:t>
      </w:r>
      <w:r w:rsidRPr="00526559">
        <w:rPr>
          <w:rFonts w:hint="eastAsia"/>
        </w:rPr>
        <w:t>參見</w:t>
      </w:r>
      <w:r w:rsidR="007C6078" w:rsidRPr="00526559">
        <w:t>Gourinchas, Pierre-Olivier, and Helene Rey</w:t>
      </w:r>
      <w:r w:rsidRPr="00526559">
        <w:t>(2007)</w:t>
      </w:r>
      <w:r w:rsidRPr="00526559">
        <w:rPr>
          <w:rFonts w:hint="eastAsia"/>
        </w:rPr>
        <w:t xml:space="preserve">, </w:t>
      </w:r>
      <w:r w:rsidRPr="00526559">
        <w:t>“International Financial Adjustment</w:t>
      </w:r>
      <w:r w:rsidRPr="00526559">
        <w:rPr>
          <w:rFonts w:hint="eastAsia"/>
        </w:rPr>
        <w:t>,</w:t>
      </w:r>
      <w:r w:rsidRPr="00526559">
        <w:t xml:space="preserve">” </w:t>
      </w:r>
      <w:r w:rsidRPr="00526559">
        <w:rPr>
          <w:i/>
        </w:rPr>
        <w:t>Journal of Political Economy</w:t>
      </w:r>
      <w:r w:rsidRPr="00526559">
        <w:rPr>
          <w:rFonts w:hint="eastAsia"/>
        </w:rPr>
        <w:t>；</w:t>
      </w:r>
      <w:r w:rsidRPr="00526559">
        <w:rPr>
          <w:rFonts w:hint="eastAsia"/>
        </w:rPr>
        <w:t xml:space="preserve">Eichengreen, Barry (2011), </w:t>
      </w:r>
      <w:r w:rsidRPr="00526559">
        <w:t>“</w:t>
      </w:r>
      <w:r w:rsidRPr="00526559">
        <w:rPr>
          <w:rFonts w:hint="eastAsia"/>
        </w:rPr>
        <w:t>Exorbitant Privilege: the Rise and Fall of the Dollar and the Future of the Int</w:t>
      </w:r>
      <w:r w:rsidRPr="00526559">
        <w:t xml:space="preserve">ernational Monetary System,” </w:t>
      </w:r>
      <w:r w:rsidRPr="00526559">
        <w:rPr>
          <w:i/>
        </w:rPr>
        <w:t>Oxford University Press</w:t>
      </w:r>
      <w:r w:rsidRPr="00526559">
        <w:t>, Jan.</w:t>
      </w:r>
      <w:r w:rsidRPr="00526559">
        <w:rPr>
          <w:rFonts w:hint="eastAsia"/>
          <w:i/>
        </w:rPr>
        <w:t xml:space="preserve"> </w:t>
      </w:r>
      <w:r w:rsidRPr="00526559">
        <w:rPr>
          <w:rFonts w:hint="eastAsia"/>
        </w:rPr>
        <w:t>)</w:t>
      </w:r>
      <w:r w:rsidRPr="00526559">
        <w:rPr>
          <w:rFonts w:ascii="標楷體" w:hAnsi="標楷體" w:hint="eastAsia"/>
        </w:rPr>
        <w:t>。</w:t>
      </w:r>
    </w:p>
  </w:footnote>
  <w:footnote w:id="21">
    <w:p w:rsidR="003845F1" w:rsidRPr="00BF4F63" w:rsidRDefault="003845F1" w:rsidP="003845F1">
      <w:pPr>
        <w:pStyle w:val="a8"/>
        <w:ind w:left="252" w:hangingChars="126" w:hanging="252"/>
        <w:jc w:val="both"/>
      </w:pPr>
      <w:r w:rsidRPr="00526559">
        <w:rPr>
          <w:rStyle w:val="aa"/>
        </w:rPr>
        <w:footnoteRef/>
      </w:r>
      <w:r w:rsidRPr="00526559">
        <w:t xml:space="preserve"> </w:t>
      </w:r>
      <w:r w:rsidRPr="00526559">
        <w:rPr>
          <w:rFonts w:hint="eastAsia"/>
        </w:rPr>
        <w:t>根據</w:t>
      </w:r>
      <w:r w:rsidRPr="00526559">
        <w:rPr>
          <w:rFonts w:hint="eastAsia"/>
        </w:rPr>
        <w:t>2018</w:t>
      </w:r>
      <w:r w:rsidRPr="00526559">
        <w:rPr>
          <w:rFonts w:hint="eastAsia"/>
        </w:rPr>
        <w:t>年</w:t>
      </w:r>
      <w:r w:rsidRPr="00526559">
        <w:rPr>
          <w:rFonts w:hint="eastAsia"/>
        </w:rPr>
        <w:t>9</w:t>
      </w:r>
      <w:r w:rsidRPr="00526559">
        <w:rPr>
          <w:rFonts w:hint="eastAsia"/>
        </w:rPr>
        <w:t>月公布的第</w:t>
      </w:r>
      <w:r w:rsidRPr="00526559">
        <w:rPr>
          <w:rFonts w:hint="eastAsia"/>
        </w:rPr>
        <w:t>24</w:t>
      </w:r>
      <w:r w:rsidRPr="00526559">
        <w:rPr>
          <w:rFonts w:hint="eastAsia"/>
        </w:rPr>
        <w:t>期「全球金融中心指數」</w:t>
      </w:r>
      <w:r w:rsidRPr="00526559">
        <w:rPr>
          <w:rFonts w:hint="eastAsia"/>
        </w:rPr>
        <w:t>(</w:t>
      </w:r>
      <w:r w:rsidRPr="00526559">
        <w:t>The Global Financial Centers Index 24</w:t>
      </w:r>
      <w:r w:rsidRPr="00526559">
        <w:rPr>
          <w:rFonts w:hint="eastAsia"/>
        </w:rPr>
        <w:t>)</w:t>
      </w:r>
      <w:r w:rsidRPr="00526559">
        <w:rPr>
          <w:rFonts w:hint="eastAsia"/>
        </w:rPr>
        <w:t>顯示，紐約名列全球金融中心之首，波士頓、舊金山、洛杉磯、芝加哥排名依序為第</w:t>
      </w:r>
      <w:r w:rsidRPr="00526559">
        <w:rPr>
          <w:rFonts w:hint="eastAsia"/>
        </w:rPr>
        <w:t>13</w:t>
      </w:r>
      <w:r w:rsidRPr="00526559">
        <w:rPr>
          <w:rFonts w:hint="eastAsia"/>
        </w:rPr>
        <w:t>、</w:t>
      </w:r>
      <w:r w:rsidRPr="00526559">
        <w:rPr>
          <w:rFonts w:hint="eastAsia"/>
        </w:rPr>
        <w:t>14</w:t>
      </w:r>
      <w:r w:rsidRPr="00526559">
        <w:rPr>
          <w:rFonts w:hint="eastAsia"/>
        </w:rPr>
        <w:t>、</w:t>
      </w:r>
      <w:r w:rsidRPr="00526559">
        <w:rPr>
          <w:rFonts w:hint="eastAsia"/>
        </w:rPr>
        <w:t>16</w:t>
      </w:r>
      <w:r w:rsidRPr="00526559">
        <w:rPr>
          <w:rFonts w:hint="eastAsia"/>
        </w:rPr>
        <w:t>及</w:t>
      </w:r>
      <w:r w:rsidRPr="00526559">
        <w:rPr>
          <w:rFonts w:hint="eastAsia"/>
        </w:rPr>
        <w:t>17</w:t>
      </w:r>
      <w:r w:rsidRPr="00526559">
        <w:rPr>
          <w:rFonts w:hint="eastAsia"/>
        </w:rPr>
        <w:t>。</w:t>
      </w:r>
    </w:p>
  </w:footnote>
  <w:footnote w:id="22">
    <w:p w:rsidR="00DC014E" w:rsidRPr="00526559" w:rsidRDefault="00DC014E" w:rsidP="005D787B">
      <w:pPr>
        <w:pStyle w:val="a8"/>
        <w:ind w:left="252" w:hangingChars="126" w:hanging="252"/>
        <w:jc w:val="both"/>
      </w:pPr>
      <w:r w:rsidRPr="00BF4F63">
        <w:rPr>
          <w:rStyle w:val="aa"/>
        </w:rPr>
        <w:footnoteRef/>
      </w:r>
      <w:r w:rsidRPr="00BF4F63">
        <w:t xml:space="preserve"> </w:t>
      </w:r>
      <w:r w:rsidRPr="00BF4F63">
        <w:rPr>
          <w:rFonts w:hint="eastAsia"/>
        </w:rPr>
        <w:t>哈佛大學教授</w:t>
      </w:r>
      <w:r w:rsidRPr="00BF4F63">
        <w:rPr>
          <w:rFonts w:hint="eastAsia"/>
        </w:rPr>
        <w:t>Kenneth Rogoff</w:t>
      </w:r>
      <w:r w:rsidRPr="00BF4F63">
        <w:rPr>
          <w:rFonts w:hint="eastAsia"/>
        </w:rPr>
        <w:t>表示，美國藉由發行低利率的美元債務工具，取得便宜資金投資於高收益的資產，每年可獲取</w:t>
      </w:r>
      <w:r w:rsidRPr="00BF4F63">
        <w:rPr>
          <w:rFonts w:hint="eastAsia"/>
        </w:rPr>
        <w:t>3,000</w:t>
      </w:r>
      <w:r w:rsidRPr="00BF4F63">
        <w:rPr>
          <w:rFonts w:hint="eastAsia"/>
        </w:rPr>
        <w:t>億至</w:t>
      </w:r>
      <w:r w:rsidRPr="00BF4F63">
        <w:rPr>
          <w:rFonts w:hint="eastAsia"/>
        </w:rPr>
        <w:t>4,000</w:t>
      </w:r>
      <w:r w:rsidRPr="00BF4F63">
        <w:rPr>
          <w:rFonts w:hint="eastAsia"/>
        </w:rPr>
        <w:t>億美元利潤，約當美國</w:t>
      </w:r>
      <w:r w:rsidRPr="00BF4F63">
        <w:rPr>
          <w:rFonts w:hint="eastAsia"/>
        </w:rPr>
        <w:t>1</w:t>
      </w:r>
      <w:r w:rsidRPr="00BF4F63">
        <w:rPr>
          <w:rFonts w:hint="eastAsia"/>
        </w:rPr>
        <w:t>年的國防預算</w:t>
      </w:r>
      <w:r w:rsidRPr="00BF4F63">
        <w:rPr>
          <w:rFonts w:hint="eastAsia"/>
        </w:rPr>
        <w:t>(</w:t>
      </w:r>
      <w:r w:rsidRPr="00BF4F63">
        <w:rPr>
          <w:rFonts w:hint="eastAsia"/>
        </w:rPr>
        <w:t>參</w:t>
      </w:r>
      <w:r w:rsidRPr="00526559">
        <w:rPr>
          <w:rFonts w:hint="eastAsia"/>
        </w:rPr>
        <w:t>見</w:t>
      </w:r>
      <w:r w:rsidR="004460C6" w:rsidRPr="00526559">
        <w:t xml:space="preserve">Rogoff </w:t>
      </w:r>
      <w:r w:rsidR="004460C6" w:rsidRPr="00526559">
        <w:rPr>
          <w:rFonts w:hint="eastAsia"/>
        </w:rPr>
        <w:t>,</w:t>
      </w:r>
      <w:r w:rsidR="004460C6" w:rsidRPr="00526559">
        <w:t>Kenneth</w:t>
      </w:r>
      <w:r w:rsidRPr="00526559">
        <w:t xml:space="preserve"> (20</w:t>
      </w:r>
      <w:r w:rsidR="004460C6" w:rsidRPr="00526559">
        <w:rPr>
          <w:rFonts w:hint="eastAsia"/>
        </w:rPr>
        <w:t>07</w:t>
      </w:r>
      <w:r w:rsidRPr="00526559">
        <w:t xml:space="preserve">), “Dog Days for the Super Dollar,” </w:t>
      </w:r>
      <w:r w:rsidRPr="00526559">
        <w:rPr>
          <w:i/>
        </w:rPr>
        <w:t>Project Syndicat</w:t>
      </w:r>
      <w:r w:rsidR="004460C6" w:rsidRPr="00526559">
        <w:rPr>
          <w:rFonts w:hint="eastAsia"/>
          <w:i/>
        </w:rPr>
        <w:t>e</w:t>
      </w:r>
      <w:r w:rsidR="004460C6" w:rsidRPr="00526559">
        <w:rPr>
          <w:rFonts w:hint="eastAsia"/>
        </w:rPr>
        <w:t>, Dec. 3</w:t>
      </w:r>
      <w:r w:rsidRPr="00526559">
        <w:rPr>
          <w:rFonts w:hint="eastAsia"/>
        </w:rPr>
        <w:t>)</w:t>
      </w:r>
      <w:r w:rsidRPr="00526559">
        <w:rPr>
          <w:rFonts w:hint="eastAsia"/>
        </w:rPr>
        <w:t>。</w:t>
      </w:r>
    </w:p>
  </w:footnote>
  <w:footnote w:id="23">
    <w:p w:rsidR="004255E0" w:rsidRDefault="004255E0" w:rsidP="005D787B">
      <w:pPr>
        <w:pStyle w:val="a8"/>
        <w:ind w:left="252" w:hangingChars="126" w:hanging="252"/>
        <w:jc w:val="both"/>
      </w:pPr>
      <w:r w:rsidRPr="00526559">
        <w:rPr>
          <w:rStyle w:val="aa"/>
        </w:rPr>
        <w:footnoteRef/>
      </w:r>
      <w:r w:rsidRPr="00526559">
        <w:rPr>
          <w:rFonts w:hint="eastAsia"/>
        </w:rPr>
        <w:t xml:space="preserve"> </w:t>
      </w:r>
      <w:r w:rsidRPr="00526559">
        <w:t>如</w:t>
      </w:r>
      <w:r w:rsidR="006F343B" w:rsidRPr="00526559">
        <w:t>Eichengreen</w:t>
      </w:r>
      <w:r w:rsidR="000E75DE" w:rsidRPr="00526559">
        <w:rPr>
          <w:rFonts w:hint="eastAsia"/>
        </w:rPr>
        <w:t xml:space="preserve">, </w:t>
      </w:r>
      <w:r w:rsidRPr="00526559">
        <w:t>Barry (2005)</w:t>
      </w:r>
      <w:r w:rsidR="00C34C80" w:rsidRPr="00526559">
        <w:t>,</w:t>
      </w:r>
      <w:r w:rsidR="00C34C80" w:rsidRPr="00526559">
        <w:rPr>
          <w:rFonts w:hint="eastAsia"/>
        </w:rPr>
        <w:t xml:space="preserve"> </w:t>
      </w:r>
      <w:r w:rsidR="00C34C80" w:rsidRPr="00526559">
        <w:t>“</w:t>
      </w:r>
      <w:r w:rsidRPr="00526559">
        <w:t>Sterling's Past, Dollar's Future: Historical Perspectives on Reserve Currency Competition,</w:t>
      </w:r>
      <w:r w:rsidR="00C34C80" w:rsidRPr="00526559">
        <w:t>”</w:t>
      </w:r>
      <w:r w:rsidRPr="00526559">
        <w:rPr>
          <w:i/>
        </w:rPr>
        <w:t xml:space="preserve"> NBER Working Papers</w:t>
      </w:r>
      <w:r w:rsidRPr="00526559">
        <w:t xml:space="preserve"> </w:t>
      </w:r>
      <w:r w:rsidRPr="00526559">
        <w:rPr>
          <w:i/>
        </w:rPr>
        <w:t>11336,</w:t>
      </w:r>
      <w:r w:rsidRPr="00526559">
        <w:t xml:space="preserve"> May</w:t>
      </w:r>
      <w:r w:rsidRPr="00526559">
        <w:t>；</w:t>
      </w:r>
      <w:r w:rsidRPr="00526559">
        <w:t xml:space="preserve">Rey, Hélène(2017), “The Global Financial System, the Real Rate of Interest and a Long History of Boom-Bust Cycles,” </w:t>
      </w:r>
      <w:r w:rsidRPr="00526559">
        <w:rPr>
          <w:i/>
        </w:rPr>
        <w:t>BIS Andrew Crockett Memorial Lecture</w:t>
      </w:r>
      <w:r w:rsidRPr="00526559">
        <w:t>, Jul. 3</w:t>
      </w:r>
      <w:r w:rsidRPr="00526559">
        <w:t>等。</w:t>
      </w:r>
    </w:p>
  </w:footnote>
  <w:footnote w:id="24">
    <w:p w:rsidR="00174EEB" w:rsidRPr="005E5989" w:rsidRDefault="00174EEB" w:rsidP="005D787B">
      <w:pPr>
        <w:pStyle w:val="a8"/>
        <w:ind w:left="252" w:hangingChars="126" w:hanging="252"/>
        <w:jc w:val="both"/>
      </w:pPr>
      <w:r w:rsidRPr="002275C7">
        <w:rPr>
          <w:rStyle w:val="aa"/>
        </w:rPr>
        <w:footnoteRef/>
      </w:r>
      <w:r w:rsidRPr="002275C7">
        <w:t xml:space="preserve"> 2016</w:t>
      </w:r>
      <w:r w:rsidRPr="002275C7">
        <w:t>年全球每日平均外匯交易量為</w:t>
      </w:r>
      <w:r w:rsidRPr="002275C7">
        <w:t>5.1</w:t>
      </w:r>
      <w:r w:rsidRPr="002275C7">
        <w:t>兆美元，而全球每日商品與服務貿易總額僅</w:t>
      </w:r>
      <w:r w:rsidRPr="002275C7">
        <w:t>1,674</w:t>
      </w:r>
      <w:r w:rsidRPr="002275C7">
        <w:t>億美</w:t>
      </w:r>
      <w:r w:rsidRPr="005E5989">
        <w:t>元，約為外匯交易量的</w:t>
      </w:r>
      <w:r w:rsidRPr="005E5989">
        <w:t>3.3%</w:t>
      </w:r>
      <w:r w:rsidRPr="005E5989">
        <w:t>，反映當前大部分外匯交易屬金融交易。</w:t>
      </w:r>
    </w:p>
  </w:footnote>
  <w:footnote w:id="25">
    <w:p w:rsidR="002E556F" w:rsidRPr="002E556F" w:rsidRDefault="00174EEB" w:rsidP="005D787B">
      <w:pPr>
        <w:pStyle w:val="a8"/>
        <w:ind w:left="252" w:hangingChars="126" w:hanging="252"/>
        <w:jc w:val="both"/>
        <w:rPr>
          <w:spacing w:val="-20"/>
        </w:rPr>
      </w:pPr>
      <w:r w:rsidRPr="005E5989">
        <w:rPr>
          <w:rStyle w:val="aa"/>
        </w:rPr>
        <w:footnoteRef/>
      </w:r>
      <w:r w:rsidRPr="005E5989">
        <w:rPr>
          <w:rFonts w:hint="eastAsia"/>
        </w:rPr>
        <w:t xml:space="preserve"> </w:t>
      </w:r>
      <w:r w:rsidRPr="005E5989">
        <w:rPr>
          <w:rFonts w:hint="eastAsia"/>
        </w:rPr>
        <w:t>除了當時擔任</w:t>
      </w:r>
      <w:r w:rsidRPr="005E5989">
        <w:rPr>
          <w:rFonts w:hint="eastAsia"/>
        </w:rPr>
        <w:t>Fed</w:t>
      </w:r>
      <w:r w:rsidRPr="005E5989">
        <w:rPr>
          <w:rFonts w:hint="eastAsia"/>
        </w:rPr>
        <w:t>主席</w:t>
      </w:r>
      <w:r w:rsidRPr="005E5989">
        <w:rPr>
          <w:rFonts w:hint="eastAsia"/>
        </w:rPr>
        <w:t>Janet Yellen</w:t>
      </w:r>
      <w:r w:rsidRPr="005E5989">
        <w:rPr>
          <w:rFonts w:hint="eastAsia"/>
        </w:rPr>
        <w:t>反對外，</w:t>
      </w:r>
      <w:r w:rsidRPr="005E5989">
        <w:rPr>
          <w:rFonts w:hint="eastAsia"/>
        </w:rPr>
        <w:t>14</w:t>
      </w:r>
      <w:r w:rsidRPr="005E5989">
        <w:rPr>
          <w:rFonts w:hint="eastAsia"/>
        </w:rPr>
        <w:t>位曾任美國白宮經濟顧問委員會主席曾向國會</w:t>
      </w:r>
      <w:r w:rsidRPr="008C2F2D">
        <w:rPr>
          <w:rFonts w:hint="eastAsia"/>
        </w:rPr>
        <w:t>兩黨領袖遞出</w:t>
      </w:r>
      <w:r w:rsidRPr="008C2F2D">
        <w:rPr>
          <w:rFonts w:hint="eastAsia"/>
        </w:rPr>
        <w:t>TPP</w:t>
      </w:r>
      <w:r w:rsidRPr="008C2F2D">
        <w:rPr>
          <w:rFonts w:hint="eastAsia"/>
        </w:rPr>
        <w:t>應移除匯率操縱條款之連署信函</w:t>
      </w:r>
      <w:r w:rsidRPr="008C2F2D">
        <w:rPr>
          <w:rFonts w:hint="eastAsia"/>
        </w:rPr>
        <w:t>(</w:t>
      </w:r>
      <w:r w:rsidRPr="008C2F2D">
        <w:rPr>
          <w:rFonts w:hint="eastAsia"/>
        </w:rPr>
        <w:t>參見</w:t>
      </w:r>
      <w:r w:rsidRPr="008C2F2D">
        <w:t>Hughes, Krista(2015), “U.S. Fed Chief</w:t>
      </w:r>
      <w:r w:rsidRPr="008C2F2D">
        <w:rPr>
          <w:rFonts w:hint="eastAsia"/>
        </w:rPr>
        <w:t xml:space="preserve"> </w:t>
      </w:r>
      <w:r w:rsidRPr="000B424D">
        <w:t>Warns Against Grafting Currency Rule</w:t>
      </w:r>
      <w:r w:rsidRPr="00526559">
        <w:t>s onto Trade</w:t>
      </w:r>
      <w:r w:rsidR="002E556F" w:rsidRPr="00526559">
        <w:rPr>
          <w:rFonts w:hint="eastAsia"/>
        </w:rPr>
        <w:t>,</w:t>
      </w:r>
      <w:r w:rsidR="002E556F" w:rsidRPr="00526559">
        <w:t>”</w:t>
      </w:r>
      <w:r w:rsidR="002E556F" w:rsidRPr="00526559">
        <w:rPr>
          <w:rFonts w:hint="eastAsia"/>
          <w:i/>
        </w:rPr>
        <w:t xml:space="preserve"> </w:t>
      </w:r>
      <w:r w:rsidR="00825C7B" w:rsidRPr="00526559">
        <w:rPr>
          <w:rFonts w:hint="eastAsia"/>
          <w:i/>
        </w:rPr>
        <w:t>Reuters</w:t>
      </w:r>
      <w:r w:rsidR="00825C7B" w:rsidRPr="00526559">
        <w:rPr>
          <w:rFonts w:hint="eastAsia"/>
        </w:rPr>
        <w:t xml:space="preserve">, </w:t>
      </w:r>
      <w:r w:rsidR="002E556F" w:rsidRPr="00526559">
        <w:rPr>
          <w:rFonts w:hint="eastAsia"/>
        </w:rPr>
        <w:t>Feb. 25</w:t>
      </w:r>
      <w:r w:rsidRPr="00526559">
        <w:rPr>
          <w:rFonts w:hint="eastAsia"/>
        </w:rPr>
        <w:t>)</w:t>
      </w:r>
      <w:r w:rsidRPr="00526559">
        <w:rPr>
          <w:rFonts w:hint="eastAsia"/>
        </w:rPr>
        <w:t>。</w:t>
      </w:r>
    </w:p>
  </w:footnote>
  <w:footnote w:id="26">
    <w:p w:rsidR="00114030" w:rsidRPr="00C03EBF" w:rsidRDefault="00114030" w:rsidP="005D787B">
      <w:pPr>
        <w:pStyle w:val="a8"/>
        <w:ind w:left="252" w:hangingChars="126" w:hanging="252"/>
        <w:jc w:val="both"/>
        <w:rPr>
          <w:spacing w:val="-6"/>
          <w:kern w:val="48"/>
        </w:rPr>
      </w:pPr>
      <w:r w:rsidRPr="00C03EBF">
        <w:rPr>
          <w:rStyle w:val="aa"/>
          <w:spacing w:val="-6"/>
          <w:kern w:val="48"/>
        </w:rPr>
        <w:footnoteRef/>
      </w:r>
      <w:r w:rsidR="00B44F45" w:rsidRPr="00C03EBF">
        <w:rPr>
          <w:rFonts w:hint="eastAsia"/>
          <w:spacing w:val="-6"/>
          <w:kern w:val="48"/>
        </w:rPr>
        <w:t xml:space="preserve"> </w:t>
      </w:r>
      <w:r w:rsidR="00712941" w:rsidRPr="00C03EBF">
        <w:rPr>
          <w:rFonts w:hint="eastAsia"/>
          <w:spacing w:val="-6"/>
          <w:kern w:val="48"/>
        </w:rPr>
        <w:t>耶魯</w:t>
      </w:r>
      <w:r w:rsidR="00712941" w:rsidRPr="00C03EBF">
        <w:rPr>
          <w:spacing w:val="-6"/>
          <w:kern w:val="48"/>
        </w:rPr>
        <w:t>大學教授</w:t>
      </w:r>
      <w:r w:rsidR="00F02EC0" w:rsidRPr="00C03EBF">
        <w:rPr>
          <w:spacing w:val="-6"/>
          <w:kern w:val="48"/>
        </w:rPr>
        <w:t>Stephen Roach</w:t>
      </w:r>
      <w:r w:rsidR="00B44F45" w:rsidRPr="00C03EBF">
        <w:rPr>
          <w:spacing w:val="-6"/>
          <w:kern w:val="48"/>
        </w:rPr>
        <w:t>與</w:t>
      </w:r>
      <w:r w:rsidR="00712941" w:rsidRPr="00C03EBF">
        <w:rPr>
          <w:rFonts w:hint="eastAsia"/>
          <w:spacing w:val="-6"/>
          <w:kern w:val="48"/>
        </w:rPr>
        <w:t>哈</w:t>
      </w:r>
      <w:r w:rsidR="00712941" w:rsidRPr="00C03EBF">
        <w:rPr>
          <w:spacing w:val="-6"/>
          <w:kern w:val="48"/>
        </w:rPr>
        <w:t>佛大學教授</w:t>
      </w:r>
      <w:r w:rsidR="00B44F45" w:rsidRPr="005D787B">
        <w:t>Gregory</w:t>
      </w:r>
      <w:r w:rsidR="00B44F45" w:rsidRPr="00C03EBF">
        <w:rPr>
          <w:spacing w:val="-6"/>
          <w:kern w:val="48"/>
        </w:rPr>
        <w:t xml:space="preserve"> Mankiw</w:t>
      </w:r>
      <w:r w:rsidR="00B44F45" w:rsidRPr="00C03EBF">
        <w:rPr>
          <w:spacing w:val="-6"/>
          <w:kern w:val="48"/>
        </w:rPr>
        <w:t>，及</w:t>
      </w:r>
      <w:r w:rsidR="00F02EC0" w:rsidRPr="00C03EBF">
        <w:rPr>
          <w:spacing w:val="-6"/>
          <w:kern w:val="48"/>
        </w:rPr>
        <w:t>已故的</w:t>
      </w:r>
      <w:r w:rsidR="00712941" w:rsidRPr="00C03EBF">
        <w:rPr>
          <w:spacing w:val="-6"/>
          <w:kern w:val="48"/>
        </w:rPr>
        <w:t>知名經濟學家</w:t>
      </w:r>
      <w:r w:rsidR="00F02EC0" w:rsidRPr="00C03EBF">
        <w:rPr>
          <w:spacing w:val="-6"/>
          <w:kern w:val="48"/>
        </w:rPr>
        <w:t>Ronald McKinnon</w:t>
      </w:r>
      <w:r w:rsidR="001B1733" w:rsidRPr="00C03EBF">
        <w:rPr>
          <w:spacing w:val="-6"/>
          <w:kern w:val="48"/>
        </w:rPr>
        <w:t>亦認為，美國儲蓄不足係</w:t>
      </w:r>
      <w:r w:rsidR="00B44F45" w:rsidRPr="00C03EBF">
        <w:rPr>
          <w:spacing w:val="-6"/>
          <w:kern w:val="48"/>
        </w:rPr>
        <w:t>造成</w:t>
      </w:r>
      <w:r w:rsidR="001B1733" w:rsidRPr="00C03EBF">
        <w:rPr>
          <w:spacing w:val="-6"/>
          <w:kern w:val="48"/>
        </w:rPr>
        <w:t>其經常帳逆差的原因</w:t>
      </w:r>
      <w:r w:rsidR="00422E4A" w:rsidRPr="00C03EBF">
        <w:rPr>
          <w:spacing w:val="-6"/>
          <w:kern w:val="48"/>
        </w:rPr>
        <w:t>(</w:t>
      </w:r>
      <w:r w:rsidR="00422E4A" w:rsidRPr="00C03EBF">
        <w:rPr>
          <w:spacing w:val="-6"/>
          <w:kern w:val="48"/>
        </w:rPr>
        <w:t>參見</w:t>
      </w:r>
      <w:r w:rsidRPr="00C03EBF">
        <w:rPr>
          <w:spacing w:val="-6"/>
          <w:kern w:val="48"/>
        </w:rPr>
        <w:t>Stiglitz, Joseph E.(2018), “The US is at Risk of Losing a Trade War with China,”</w:t>
      </w:r>
      <w:r w:rsidRPr="00C03EBF">
        <w:rPr>
          <w:i/>
          <w:spacing w:val="-6"/>
          <w:kern w:val="48"/>
        </w:rPr>
        <w:t xml:space="preserve"> Project Syndicate, </w:t>
      </w:r>
      <w:r w:rsidRPr="00C03EBF">
        <w:rPr>
          <w:spacing w:val="-6"/>
          <w:kern w:val="48"/>
        </w:rPr>
        <w:t>Jul. 30</w:t>
      </w:r>
      <w:r w:rsidRPr="00C03EBF">
        <w:rPr>
          <w:spacing w:val="-6"/>
          <w:kern w:val="48"/>
        </w:rPr>
        <w:t>；</w:t>
      </w:r>
      <w:r w:rsidRPr="00C03EBF">
        <w:t xml:space="preserve">Feldstein, Martin (2014), “End </w:t>
      </w:r>
      <w:r w:rsidRPr="00526559">
        <w:t>the Currency Manipulation Debate,”</w:t>
      </w:r>
      <w:r w:rsidRPr="00526559">
        <w:rPr>
          <w:i/>
        </w:rPr>
        <w:t xml:space="preserve"> Financial Times</w:t>
      </w:r>
      <w:r w:rsidRPr="00526559">
        <w:t>, May 15</w:t>
      </w:r>
      <w:r w:rsidRPr="00526559">
        <w:t>；</w:t>
      </w:r>
      <w:r w:rsidR="00B44F45" w:rsidRPr="00526559">
        <w:t>Roach, Stephen (2016), “The Achilles’ Heel of Trumponomics,”</w:t>
      </w:r>
      <w:r w:rsidR="00B44F45" w:rsidRPr="00526559">
        <w:rPr>
          <w:i/>
        </w:rPr>
        <w:t xml:space="preserve"> Project Syndicate</w:t>
      </w:r>
      <w:r w:rsidR="00B44F45" w:rsidRPr="00526559">
        <w:t>, Nov. 24</w:t>
      </w:r>
      <w:r w:rsidR="00B44F45" w:rsidRPr="00526559">
        <w:t>；</w:t>
      </w:r>
      <w:r w:rsidR="00B44F45" w:rsidRPr="00526559">
        <w:rPr>
          <w:spacing w:val="-6"/>
          <w:kern w:val="48"/>
        </w:rPr>
        <w:t>Mankiw</w:t>
      </w:r>
      <w:r w:rsidR="00B44F45" w:rsidRPr="00526559">
        <w:t xml:space="preserve"> ,</w:t>
      </w:r>
      <w:r w:rsidR="00B44F45" w:rsidRPr="00526559">
        <w:rPr>
          <w:spacing w:val="-6"/>
          <w:kern w:val="48"/>
        </w:rPr>
        <w:t xml:space="preserve">Gregory </w:t>
      </w:r>
      <w:r w:rsidR="00B44F45" w:rsidRPr="00526559">
        <w:t>(2018), “Surprising Truths About Trade Deficits,”</w:t>
      </w:r>
      <w:r w:rsidR="00B44F45" w:rsidRPr="00526559">
        <w:rPr>
          <w:i/>
        </w:rPr>
        <w:t xml:space="preserve"> The New York Times</w:t>
      </w:r>
      <w:r w:rsidR="00B44F45" w:rsidRPr="00526559">
        <w:t>, Oct. 5</w:t>
      </w:r>
      <w:r w:rsidR="00B44F45" w:rsidRPr="00526559">
        <w:t>；</w:t>
      </w:r>
      <w:r w:rsidR="001B1733" w:rsidRPr="00526559">
        <w:t>McKinnon, Ronald</w:t>
      </w:r>
      <w:r w:rsidR="00A5239B" w:rsidRPr="00526559">
        <w:rPr>
          <w:rFonts w:hint="eastAsia"/>
        </w:rPr>
        <w:t xml:space="preserve"> </w:t>
      </w:r>
      <w:r w:rsidR="001B1733" w:rsidRPr="00526559">
        <w:t xml:space="preserve">(2013), "The U.S. Saving Deficiency, Current-Account Deficits, and Deindustrialization: Implications for China," </w:t>
      </w:r>
      <w:r w:rsidR="001B1733" w:rsidRPr="00526559">
        <w:rPr>
          <w:i/>
        </w:rPr>
        <w:t>Journal of Policy Modeling</w:t>
      </w:r>
      <w:r w:rsidR="001B1733" w:rsidRPr="00526559">
        <w:t xml:space="preserve"> </w:t>
      </w:r>
      <w:r w:rsidR="00422E4A" w:rsidRPr="00526559">
        <w:t>)</w:t>
      </w:r>
      <w:r w:rsidR="00422E4A" w:rsidRPr="00526559">
        <w:t>。</w:t>
      </w:r>
    </w:p>
  </w:footnote>
  <w:footnote w:id="27">
    <w:p w:rsidR="0085221F" w:rsidRPr="00422E4A" w:rsidRDefault="0085221F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422E4A" w:rsidRPr="00C03EBF">
        <w:t xml:space="preserve"> </w:t>
      </w:r>
      <w:r w:rsidRPr="00C03EBF">
        <w:t xml:space="preserve">Milanovic ,Branko (2018), “The Inequality Paradox: Rising Inequalities Nationally, </w:t>
      </w:r>
      <w:r w:rsidR="00422E4A" w:rsidRPr="00C03EBF">
        <w:t>D</w:t>
      </w:r>
      <w:r w:rsidRPr="00C03EBF">
        <w:t>iminishing</w:t>
      </w:r>
      <w:r w:rsidR="00422E4A" w:rsidRPr="00C03EBF">
        <w:t xml:space="preserve"> </w:t>
      </w:r>
      <w:r w:rsidRPr="00C03EBF">
        <w:t xml:space="preserve">Inequality Worldwide,” </w:t>
      </w:r>
      <w:r w:rsidRPr="00C03EBF">
        <w:rPr>
          <w:i/>
        </w:rPr>
        <w:t xml:space="preserve">The ProMarket </w:t>
      </w:r>
      <w:r w:rsidRPr="000B424D">
        <w:rPr>
          <w:i/>
        </w:rPr>
        <w:t>blog</w:t>
      </w:r>
      <w:r w:rsidRPr="000B424D">
        <w:t xml:space="preserve"> , Dec. 10</w:t>
      </w:r>
      <w:r w:rsidR="00D170C4" w:rsidRPr="000B424D">
        <w:rPr>
          <w:rFonts w:ascii="標楷體" w:hAnsi="標楷體" w:hint="eastAsia"/>
        </w:rPr>
        <w:t>.</w:t>
      </w:r>
    </w:p>
  </w:footnote>
  <w:footnote w:id="28">
    <w:p w:rsidR="00366124" w:rsidRPr="00422E4A" w:rsidRDefault="00366124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Pr="00C03EBF">
        <w:t xml:space="preserve"> </w:t>
      </w:r>
      <w:r w:rsidR="00A322D3" w:rsidRPr="00C03EBF">
        <w:t xml:space="preserve">Billner, Amanda (2016), “Trumponomics ‘Bad for World Economy,’ 2016 Nobel Laureate Warns,” </w:t>
      </w:r>
      <w:r w:rsidR="00A322D3" w:rsidRPr="00C03EBF">
        <w:rPr>
          <w:i/>
        </w:rPr>
        <w:t>Bloomberg</w:t>
      </w:r>
      <w:r w:rsidR="00A322D3" w:rsidRPr="00C03EBF">
        <w:t>, Dec. 7</w:t>
      </w:r>
      <w:r w:rsidR="0079053B">
        <w:rPr>
          <w:rFonts w:hint="eastAsi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1DC"/>
    <w:multiLevelType w:val="hybridMultilevel"/>
    <w:tmpl w:val="5784CC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26F16B8"/>
    <w:multiLevelType w:val="hybridMultilevel"/>
    <w:tmpl w:val="D706913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0F">
      <w:start w:val="1"/>
      <w:numFmt w:val="decimal"/>
      <w:lvlText w:val="%2.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604651A"/>
    <w:multiLevelType w:val="hybridMultilevel"/>
    <w:tmpl w:val="C966C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F04A7A"/>
    <w:multiLevelType w:val="hybridMultilevel"/>
    <w:tmpl w:val="EC8EB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225138"/>
    <w:multiLevelType w:val="hybridMultilevel"/>
    <w:tmpl w:val="4ECEB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8B1989"/>
    <w:multiLevelType w:val="hybridMultilevel"/>
    <w:tmpl w:val="DD0E17EC"/>
    <w:lvl w:ilvl="0" w:tplc="01E61C9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1E3945"/>
    <w:multiLevelType w:val="hybridMultilevel"/>
    <w:tmpl w:val="DBA2790E"/>
    <w:lvl w:ilvl="0" w:tplc="F79EF0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432BDE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A13723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BF2024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04059B"/>
    <w:multiLevelType w:val="hybridMultilevel"/>
    <w:tmpl w:val="84F06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DC67D6"/>
    <w:multiLevelType w:val="hybridMultilevel"/>
    <w:tmpl w:val="99525B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CB36BE0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7B35E8"/>
    <w:multiLevelType w:val="hybridMultilevel"/>
    <w:tmpl w:val="99525B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E88383E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C96912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158189E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BE7729"/>
    <w:multiLevelType w:val="hybridMultilevel"/>
    <w:tmpl w:val="4C34EF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4BE54507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A6414A"/>
    <w:multiLevelType w:val="hybridMultilevel"/>
    <w:tmpl w:val="DD0E17EC"/>
    <w:lvl w:ilvl="0" w:tplc="01E61C9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BE491A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BE57D4"/>
    <w:multiLevelType w:val="hybridMultilevel"/>
    <w:tmpl w:val="99525B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1006BB3"/>
    <w:multiLevelType w:val="hybridMultilevel"/>
    <w:tmpl w:val="C4208D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E78463B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8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14"/>
  </w:num>
  <w:num w:numId="10">
    <w:abstractNumId w:val="8"/>
  </w:num>
  <w:num w:numId="11">
    <w:abstractNumId w:val="6"/>
  </w:num>
  <w:num w:numId="12">
    <w:abstractNumId w:val="15"/>
  </w:num>
  <w:num w:numId="13">
    <w:abstractNumId w:val="16"/>
  </w:num>
  <w:num w:numId="14">
    <w:abstractNumId w:val="22"/>
  </w:num>
  <w:num w:numId="15">
    <w:abstractNumId w:val="9"/>
  </w:num>
  <w:num w:numId="16">
    <w:abstractNumId w:val="20"/>
  </w:num>
  <w:num w:numId="17">
    <w:abstractNumId w:val="4"/>
  </w:num>
  <w:num w:numId="18">
    <w:abstractNumId w:val="3"/>
  </w:num>
  <w:num w:numId="19">
    <w:abstractNumId w:val="17"/>
  </w:num>
  <w:num w:numId="20">
    <w:abstractNumId w:val="0"/>
  </w:num>
  <w:num w:numId="21">
    <w:abstractNumId w:val="11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03"/>
    <w:rsid w:val="00002551"/>
    <w:rsid w:val="0000288D"/>
    <w:rsid w:val="00002991"/>
    <w:rsid w:val="00003A1F"/>
    <w:rsid w:val="00005063"/>
    <w:rsid w:val="00005313"/>
    <w:rsid w:val="00005888"/>
    <w:rsid w:val="000070C1"/>
    <w:rsid w:val="00010747"/>
    <w:rsid w:val="00013208"/>
    <w:rsid w:val="00016E21"/>
    <w:rsid w:val="00017297"/>
    <w:rsid w:val="00017735"/>
    <w:rsid w:val="000218EF"/>
    <w:rsid w:val="00021F6C"/>
    <w:rsid w:val="00022D44"/>
    <w:rsid w:val="00023D3C"/>
    <w:rsid w:val="00023FF6"/>
    <w:rsid w:val="00024BC2"/>
    <w:rsid w:val="000250C0"/>
    <w:rsid w:val="000317BC"/>
    <w:rsid w:val="00032F1D"/>
    <w:rsid w:val="00035826"/>
    <w:rsid w:val="00037075"/>
    <w:rsid w:val="00040B1E"/>
    <w:rsid w:val="0004180F"/>
    <w:rsid w:val="00043695"/>
    <w:rsid w:val="00044862"/>
    <w:rsid w:val="00044C1C"/>
    <w:rsid w:val="00045417"/>
    <w:rsid w:val="000519FD"/>
    <w:rsid w:val="00052F6F"/>
    <w:rsid w:val="0005343E"/>
    <w:rsid w:val="00054DC5"/>
    <w:rsid w:val="000608EF"/>
    <w:rsid w:val="00061F6A"/>
    <w:rsid w:val="00062D36"/>
    <w:rsid w:val="000650C1"/>
    <w:rsid w:val="00071F0C"/>
    <w:rsid w:val="000720A5"/>
    <w:rsid w:val="00072216"/>
    <w:rsid w:val="00072341"/>
    <w:rsid w:val="00072C2D"/>
    <w:rsid w:val="00072F32"/>
    <w:rsid w:val="00075806"/>
    <w:rsid w:val="000766AE"/>
    <w:rsid w:val="00080229"/>
    <w:rsid w:val="00081032"/>
    <w:rsid w:val="00081E9B"/>
    <w:rsid w:val="00082266"/>
    <w:rsid w:val="00083900"/>
    <w:rsid w:val="000848F5"/>
    <w:rsid w:val="00085539"/>
    <w:rsid w:val="00086B2B"/>
    <w:rsid w:val="00087E01"/>
    <w:rsid w:val="00087FBB"/>
    <w:rsid w:val="0009451B"/>
    <w:rsid w:val="00094873"/>
    <w:rsid w:val="0009530B"/>
    <w:rsid w:val="00097383"/>
    <w:rsid w:val="00097606"/>
    <w:rsid w:val="000A6EB6"/>
    <w:rsid w:val="000B0793"/>
    <w:rsid w:val="000B132E"/>
    <w:rsid w:val="000B32E2"/>
    <w:rsid w:val="000B424D"/>
    <w:rsid w:val="000B5B0C"/>
    <w:rsid w:val="000C1F94"/>
    <w:rsid w:val="000C3895"/>
    <w:rsid w:val="000C3E76"/>
    <w:rsid w:val="000C5CFA"/>
    <w:rsid w:val="000C6EEE"/>
    <w:rsid w:val="000C79CA"/>
    <w:rsid w:val="000D03D1"/>
    <w:rsid w:val="000D0532"/>
    <w:rsid w:val="000D0DE8"/>
    <w:rsid w:val="000D21A6"/>
    <w:rsid w:val="000D2BE1"/>
    <w:rsid w:val="000D33EC"/>
    <w:rsid w:val="000D3A32"/>
    <w:rsid w:val="000D3FF1"/>
    <w:rsid w:val="000D498C"/>
    <w:rsid w:val="000D5679"/>
    <w:rsid w:val="000D744C"/>
    <w:rsid w:val="000E2176"/>
    <w:rsid w:val="000E5526"/>
    <w:rsid w:val="000E57A1"/>
    <w:rsid w:val="000E6844"/>
    <w:rsid w:val="000E75DE"/>
    <w:rsid w:val="000E79A6"/>
    <w:rsid w:val="000F142F"/>
    <w:rsid w:val="000F23CE"/>
    <w:rsid w:val="000F419A"/>
    <w:rsid w:val="000F5744"/>
    <w:rsid w:val="000F6310"/>
    <w:rsid w:val="001032E9"/>
    <w:rsid w:val="00103340"/>
    <w:rsid w:val="001046BC"/>
    <w:rsid w:val="0011060D"/>
    <w:rsid w:val="00110C55"/>
    <w:rsid w:val="00112772"/>
    <w:rsid w:val="00112D2F"/>
    <w:rsid w:val="00114030"/>
    <w:rsid w:val="0011480B"/>
    <w:rsid w:val="0011676E"/>
    <w:rsid w:val="00116E45"/>
    <w:rsid w:val="00120877"/>
    <w:rsid w:val="00121072"/>
    <w:rsid w:val="0012219D"/>
    <w:rsid w:val="0012359B"/>
    <w:rsid w:val="00126248"/>
    <w:rsid w:val="00126578"/>
    <w:rsid w:val="0013075B"/>
    <w:rsid w:val="00131213"/>
    <w:rsid w:val="001327EA"/>
    <w:rsid w:val="00132B3F"/>
    <w:rsid w:val="00133649"/>
    <w:rsid w:val="00134C67"/>
    <w:rsid w:val="001366F1"/>
    <w:rsid w:val="00136AF4"/>
    <w:rsid w:val="001402C1"/>
    <w:rsid w:val="0014061E"/>
    <w:rsid w:val="001415D3"/>
    <w:rsid w:val="001436BB"/>
    <w:rsid w:val="00146BA7"/>
    <w:rsid w:val="00152664"/>
    <w:rsid w:val="00153157"/>
    <w:rsid w:val="00154AFB"/>
    <w:rsid w:val="001552D0"/>
    <w:rsid w:val="00155E20"/>
    <w:rsid w:val="00156871"/>
    <w:rsid w:val="00156B04"/>
    <w:rsid w:val="00161473"/>
    <w:rsid w:val="00161609"/>
    <w:rsid w:val="0016389C"/>
    <w:rsid w:val="0016403E"/>
    <w:rsid w:val="00165CA1"/>
    <w:rsid w:val="00170057"/>
    <w:rsid w:val="00173C84"/>
    <w:rsid w:val="00174EEB"/>
    <w:rsid w:val="00176B1F"/>
    <w:rsid w:val="001772BF"/>
    <w:rsid w:val="00177EAD"/>
    <w:rsid w:val="001802C8"/>
    <w:rsid w:val="00182613"/>
    <w:rsid w:val="00186A74"/>
    <w:rsid w:val="00187115"/>
    <w:rsid w:val="001904A5"/>
    <w:rsid w:val="001905B3"/>
    <w:rsid w:val="00190B2E"/>
    <w:rsid w:val="001918B3"/>
    <w:rsid w:val="00192C4B"/>
    <w:rsid w:val="00193DB0"/>
    <w:rsid w:val="001A1A0D"/>
    <w:rsid w:val="001A3390"/>
    <w:rsid w:val="001A5976"/>
    <w:rsid w:val="001A6EEB"/>
    <w:rsid w:val="001B1733"/>
    <w:rsid w:val="001B3181"/>
    <w:rsid w:val="001B35C4"/>
    <w:rsid w:val="001B56EC"/>
    <w:rsid w:val="001B6055"/>
    <w:rsid w:val="001C10A3"/>
    <w:rsid w:val="001C450E"/>
    <w:rsid w:val="001C63E2"/>
    <w:rsid w:val="001D14D3"/>
    <w:rsid w:val="001D24B9"/>
    <w:rsid w:val="001D3B25"/>
    <w:rsid w:val="001D5028"/>
    <w:rsid w:val="001D67BA"/>
    <w:rsid w:val="001D6D47"/>
    <w:rsid w:val="001E0862"/>
    <w:rsid w:val="001E1B99"/>
    <w:rsid w:val="001E1C62"/>
    <w:rsid w:val="001E313C"/>
    <w:rsid w:val="001E39D9"/>
    <w:rsid w:val="001E481D"/>
    <w:rsid w:val="001E56BB"/>
    <w:rsid w:val="001E6081"/>
    <w:rsid w:val="001F0C61"/>
    <w:rsid w:val="001F25AC"/>
    <w:rsid w:val="001F67E5"/>
    <w:rsid w:val="001F6FC2"/>
    <w:rsid w:val="0020234E"/>
    <w:rsid w:val="0020445A"/>
    <w:rsid w:val="00204E28"/>
    <w:rsid w:val="00205841"/>
    <w:rsid w:val="00205E4D"/>
    <w:rsid w:val="0021104A"/>
    <w:rsid w:val="00211636"/>
    <w:rsid w:val="002117BD"/>
    <w:rsid w:val="00214583"/>
    <w:rsid w:val="00215985"/>
    <w:rsid w:val="00215D2A"/>
    <w:rsid w:val="00215DBD"/>
    <w:rsid w:val="0021620F"/>
    <w:rsid w:val="00216BEA"/>
    <w:rsid w:val="00221C0B"/>
    <w:rsid w:val="00221FEB"/>
    <w:rsid w:val="00224DE2"/>
    <w:rsid w:val="00230917"/>
    <w:rsid w:val="00232386"/>
    <w:rsid w:val="0024025C"/>
    <w:rsid w:val="00240DAC"/>
    <w:rsid w:val="00242189"/>
    <w:rsid w:val="0024295F"/>
    <w:rsid w:val="00242D32"/>
    <w:rsid w:val="002470E6"/>
    <w:rsid w:val="002511D2"/>
    <w:rsid w:val="00252900"/>
    <w:rsid w:val="002538A1"/>
    <w:rsid w:val="002548AA"/>
    <w:rsid w:val="00255262"/>
    <w:rsid w:val="00260928"/>
    <w:rsid w:val="00262E2A"/>
    <w:rsid w:val="002643B2"/>
    <w:rsid w:val="00264831"/>
    <w:rsid w:val="0026604A"/>
    <w:rsid w:val="00275CB7"/>
    <w:rsid w:val="0027784C"/>
    <w:rsid w:val="00284518"/>
    <w:rsid w:val="00287D58"/>
    <w:rsid w:val="00290393"/>
    <w:rsid w:val="00291756"/>
    <w:rsid w:val="00297E2F"/>
    <w:rsid w:val="002A0E9A"/>
    <w:rsid w:val="002A157E"/>
    <w:rsid w:val="002A26AF"/>
    <w:rsid w:val="002B37A2"/>
    <w:rsid w:val="002B4DB5"/>
    <w:rsid w:val="002B5F80"/>
    <w:rsid w:val="002B6072"/>
    <w:rsid w:val="002B6566"/>
    <w:rsid w:val="002B7B5C"/>
    <w:rsid w:val="002C0273"/>
    <w:rsid w:val="002C63EB"/>
    <w:rsid w:val="002C6BA8"/>
    <w:rsid w:val="002D1656"/>
    <w:rsid w:val="002D304C"/>
    <w:rsid w:val="002D4C1F"/>
    <w:rsid w:val="002D66B6"/>
    <w:rsid w:val="002D6A49"/>
    <w:rsid w:val="002D6C94"/>
    <w:rsid w:val="002E1E2F"/>
    <w:rsid w:val="002E1FBC"/>
    <w:rsid w:val="002E2FFF"/>
    <w:rsid w:val="002E4930"/>
    <w:rsid w:val="002E556F"/>
    <w:rsid w:val="002E5BDC"/>
    <w:rsid w:val="002F0175"/>
    <w:rsid w:val="002F0233"/>
    <w:rsid w:val="002F196C"/>
    <w:rsid w:val="00300109"/>
    <w:rsid w:val="003006AD"/>
    <w:rsid w:val="00302EB9"/>
    <w:rsid w:val="0030334D"/>
    <w:rsid w:val="003052C8"/>
    <w:rsid w:val="00305B50"/>
    <w:rsid w:val="003067D9"/>
    <w:rsid w:val="003101A3"/>
    <w:rsid w:val="00310E2A"/>
    <w:rsid w:val="00311426"/>
    <w:rsid w:val="00312B39"/>
    <w:rsid w:val="00314DAD"/>
    <w:rsid w:val="00320CBF"/>
    <w:rsid w:val="00322377"/>
    <w:rsid w:val="00323295"/>
    <w:rsid w:val="00325380"/>
    <w:rsid w:val="0033050E"/>
    <w:rsid w:val="00335D82"/>
    <w:rsid w:val="00336403"/>
    <w:rsid w:val="003377AB"/>
    <w:rsid w:val="00337DDF"/>
    <w:rsid w:val="00340C14"/>
    <w:rsid w:val="00342B49"/>
    <w:rsid w:val="003441A1"/>
    <w:rsid w:val="00344373"/>
    <w:rsid w:val="00344DFE"/>
    <w:rsid w:val="00346C1E"/>
    <w:rsid w:val="003509ED"/>
    <w:rsid w:val="0035193C"/>
    <w:rsid w:val="003521A3"/>
    <w:rsid w:val="003553D4"/>
    <w:rsid w:val="003608E7"/>
    <w:rsid w:val="00360CAA"/>
    <w:rsid w:val="003611B3"/>
    <w:rsid w:val="00363996"/>
    <w:rsid w:val="00364C60"/>
    <w:rsid w:val="00365D79"/>
    <w:rsid w:val="00366124"/>
    <w:rsid w:val="00366523"/>
    <w:rsid w:val="00367063"/>
    <w:rsid w:val="003729C8"/>
    <w:rsid w:val="0037357B"/>
    <w:rsid w:val="0037481F"/>
    <w:rsid w:val="003769EC"/>
    <w:rsid w:val="00376D24"/>
    <w:rsid w:val="00381818"/>
    <w:rsid w:val="00381E7D"/>
    <w:rsid w:val="003820DC"/>
    <w:rsid w:val="00382B94"/>
    <w:rsid w:val="00383304"/>
    <w:rsid w:val="003845F1"/>
    <w:rsid w:val="00387FCE"/>
    <w:rsid w:val="003917BF"/>
    <w:rsid w:val="00391C00"/>
    <w:rsid w:val="00392EF5"/>
    <w:rsid w:val="0039449F"/>
    <w:rsid w:val="00395E09"/>
    <w:rsid w:val="0039615D"/>
    <w:rsid w:val="00396D24"/>
    <w:rsid w:val="00397FD0"/>
    <w:rsid w:val="003A2728"/>
    <w:rsid w:val="003A48A1"/>
    <w:rsid w:val="003A559C"/>
    <w:rsid w:val="003A69B9"/>
    <w:rsid w:val="003A7FF0"/>
    <w:rsid w:val="003B1F3A"/>
    <w:rsid w:val="003C0109"/>
    <w:rsid w:val="003C04BA"/>
    <w:rsid w:val="003C3F15"/>
    <w:rsid w:val="003C415B"/>
    <w:rsid w:val="003C5906"/>
    <w:rsid w:val="003D3332"/>
    <w:rsid w:val="003D5E3F"/>
    <w:rsid w:val="003E0270"/>
    <w:rsid w:val="003E09A3"/>
    <w:rsid w:val="003E2EA9"/>
    <w:rsid w:val="003E59EC"/>
    <w:rsid w:val="003E73FA"/>
    <w:rsid w:val="003E7412"/>
    <w:rsid w:val="003E7727"/>
    <w:rsid w:val="003F037E"/>
    <w:rsid w:val="003F0778"/>
    <w:rsid w:val="003F1EC8"/>
    <w:rsid w:val="003F367A"/>
    <w:rsid w:val="003F6D25"/>
    <w:rsid w:val="00401C71"/>
    <w:rsid w:val="00402105"/>
    <w:rsid w:val="00402652"/>
    <w:rsid w:val="00403CB9"/>
    <w:rsid w:val="004068FE"/>
    <w:rsid w:val="0041080B"/>
    <w:rsid w:val="0041187D"/>
    <w:rsid w:val="00412AC2"/>
    <w:rsid w:val="00412D27"/>
    <w:rsid w:val="004161D8"/>
    <w:rsid w:val="004164D7"/>
    <w:rsid w:val="00417952"/>
    <w:rsid w:val="004179B3"/>
    <w:rsid w:val="00421956"/>
    <w:rsid w:val="00422E4A"/>
    <w:rsid w:val="004255E0"/>
    <w:rsid w:val="00425A5E"/>
    <w:rsid w:val="00425D94"/>
    <w:rsid w:val="00433906"/>
    <w:rsid w:val="0044110A"/>
    <w:rsid w:val="00441F7A"/>
    <w:rsid w:val="00442D66"/>
    <w:rsid w:val="00443BE8"/>
    <w:rsid w:val="004460C6"/>
    <w:rsid w:val="004509CA"/>
    <w:rsid w:val="00452981"/>
    <w:rsid w:val="00453975"/>
    <w:rsid w:val="00457B27"/>
    <w:rsid w:val="00460A3C"/>
    <w:rsid w:val="00461700"/>
    <w:rsid w:val="00462232"/>
    <w:rsid w:val="004634D1"/>
    <w:rsid w:val="00465A87"/>
    <w:rsid w:val="00467E64"/>
    <w:rsid w:val="0047110F"/>
    <w:rsid w:val="0047183F"/>
    <w:rsid w:val="004740EC"/>
    <w:rsid w:val="00476B51"/>
    <w:rsid w:val="00476ED9"/>
    <w:rsid w:val="004811F5"/>
    <w:rsid w:val="00481E5E"/>
    <w:rsid w:val="004820EA"/>
    <w:rsid w:val="00484A0D"/>
    <w:rsid w:val="00486607"/>
    <w:rsid w:val="00487157"/>
    <w:rsid w:val="00490323"/>
    <w:rsid w:val="00491489"/>
    <w:rsid w:val="0049157C"/>
    <w:rsid w:val="004918F0"/>
    <w:rsid w:val="00491FDC"/>
    <w:rsid w:val="004958D6"/>
    <w:rsid w:val="00497918"/>
    <w:rsid w:val="004A3103"/>
    <w:rsid w:val="004A4B81"/>
    <w:rsid w:val="004A6118"/>
    <w:rsid w:val="004A744C"/>
    <w:rsid w:val="004B2108"/>
    <w:rsid w:val="004B2749"/>
    <w:rsid w:val="004B2CC0"/>
    <w:rsid w:val="004B30DC"/>
    <w:rsid w:val="004B3B71"/>
    <w:rsid w:val="004B3F5C"/>
    <w:rsid w:val="004B555C"/>
    <w:rsid w:val="004B70A4"/>
    <w:rsid w:val="004B7D4E"/>
    <w:rsid w:val="004C682C"/>
    <w:rsid w:val="004C734A"/>
    <w:rsid w:val="004D256B"/>
    <w:rsid w:val="004D2C84"/>
    <w:rsid w:val="004D657C"/>
    <w:rsid w:val="004E05F0"/>
    <w:rsid w:val="004E4DD3"/>
    <w:rsid w:val="004E521D"/>
    <w:rsid w:val="004E634F"/>
    <w:rsid w:val="004E6564"/>
    <w:rsid w:val="004E675F"/>
    <w:rsid w:val="004E72BE"/>
    <w:rsid w:val="004E73A1"/>
    <w:rsid w:val="004F4203"/>
    <w:rsid w:val="004F47A8"/>
    <w:rsid w:val="004F5443"/>
    <w:rsid w:val="004F6CC2"/>
    <w:rsid w:val="00501C8E"/>
    <w:rsid w:val="00502BA4"/>
    <w:rsid w:val="005030A8"/>
    <w:rsid w:val="005036E1"/>
    <w:rsid w:val="00503B86"/>
    <w:rsid w:val="00507B92"/>
    <w:rsid w:val="0051292C"/>
    <w:rsid w:val="0051421F"/>
    <w:rsid w:val="005159C6"/>
    <w:rsid w:val="005160AA"/>
    <w:rsid w:val="00520598"/>
    <w:rsid w:val="00520D43"/>
    <w:rsid w:val="0052122A"/>
    <w:rsid w:val="005215DA"/>
    <w:rsid w:val="00521C66"/>
    <w:rsid w:val="00523919"/>
    <w:rsid w:val="00523C4E"/>
    <w:rsid w:val="00526559"/>
    <w:rsid w:val="00526592"/>
    <w:rsid w:val="0053095A"/>
    <w:rsid w:val="005343AA"/>
    <w:rsid w:val="00535275"/>
    <w:rsid w:val="005363E9"/>
    <w:rsid w:val="00536AEE"/>
    <w:rsid w:val="00537213"/>
    <w:rsid w:val="00542A35"/>
    <w:rsid w:val="0054375E"/>
    <w:rsid w:val="0054408A"/>
    <w:rsid w:val="00545E30"/>
    <w:rsid w:val="00546F80"/>
    <w:rsid w:val="00547933"/>
    <w:rsid w:val="00551BA7"/>
    <w:rsid w:val="00551D4C"/>
    <w:rsid w:val="0055357D"/>
    <w:rsid w:val="00555549"/>
    <w:rsid w:val="00557A69"/>
    <w:rsid w:val="00561DDD"/>
    <w:rsid w:val="005624C8"/>
    <w:rsid w:val="00562A56"/>
    <w:rsid w:val="005644ED"/>
    <w:rsid w:val="00564581"/>
    <w:rsid w:val="0056784D"/>
    <w:rsid w:val="00570946"/>
    <w:rsid w:val="005711C0"/>
    <w:rsid w:val="00571ADB"/>
    <w:rsid w:val="00572A3B"/>
    <w:rsid w:val="00572D15"/>
    <w:rsid w:val="00572E6F"/>
    <w:rsid w:val="005771FA"/>
    <w:rsid w:val="00581E27"/>
    <w:rsid w:val="00583A63"/>
    <w:rsid w:val="005866D9"/>
    <w:rsid w:val="005927C8"/>
    <w:rsid w:val="00596FE1"/>
    <w:rsid w:val="00597146"/>
    <w:rsid w:val="00597C3C"/>
    <w:rsid w:val="005A1720"/>
    <w:rsid w:val="005A2059"/>
    <w:rsid w:val="005A3E73"/>
    <w:rsid w:val="005A4CE4"/>
    <w:rsid w:val="005A7F74"/>
    <w:rsid w:val="005B1527"/>
    <w:rsid w:val="005B2978"/>
    <w:rsid w:val="005B300F"/>
    <w:rsid w:val="005B3732"/>
    <w:rsid w:val="005B3BDC"/>
    <w:rsid w:val="005B3C8C"/>
    <w:rsid w:val="005B5BF8"/>
    <w:rsid w:val="005C27C7"/>
    <w:rsid w:val="005C6C88"/>
    <w:rsid w:val="005C7F82"/>
    <w:rsid w:val="005D3D70"/>
    <w:rsid w:val="005D3FC0"/>
    <w:rsid w:val="005D617A"/>
    <w:rsid w:val="005D758A"/>
    <w:rsid w:val="005D787B"/>
    <w:rsid w:val="005E0B02"/>
    <w:rsid w:val="005E3034"/>
    <w:rsid w:val="005E307C"/>
    <w:rsid w:val="005E35E7"/>
    <w:rsid w:val="005E48A2"/>
    <w:rsid w:val="005E4A45"/>
    <w:rsid w:val="005E5989"/>
    <w:rsid w:val="005E61AD"/>
    <w:rsid w:val="005E6D6B"/>
    <w:rsid w:val="005E709D"/>
    <w:rsid w:val="005E7AED"/>
    <w:rsid w:val="005E7F9F"/>
    <w:rsid w:val="005F07E6"/>
    <w:rsid w:val="005F2219"/>
    <w:rsid w:val="005F44F6"/>
    <w:rsid w:val="005F49D6"/>
    <w:rsid w:val="005F4CCE"/>
    <w:rsid w:val="005F5085"/>
    <w:rsid w:val="005F796D"/>
    <w:rsid w:val="006017A4"/>
    <w:rsid w:val="00603B11"/>
    <w:rsid w:val="00604465"/>
    <w:rsid w:val="0060602A"/>
    <w:rsid w:val="006131CA"/>
    <w:rsid w:val="00614FF6"/>
    <w:rsid w:val="0061663F"/>
    <w:rsid w:val="006170ED"/>
    <w:rsid w:val="006204E5"/>
    <w:rsid w:val="00621FF8"/>
    <w:rsid w:val="006245C8"/>
    <w:rsid w:val="00627B79"/>
    <w:rsid w:val="006301B8"/>
    <w:rsid w:val="006330B6"/>
    <w:rsid w:val="006341FE"/>
    <w:rsid w:val="00637E88"/>
    <w:rsid w:val="006401B0"/>
    <w:rsid w:val="0064041C"/>
    <w:rsid w:val="00640B8C"/>
    <w:rsid w:val="00642C76"/>
    <w:rsid w:val="00644BA1"/>
    <w:rsid w:val="00646B72"/>
    <w:rsid w:val="006514FD"/>
    <w:rsid w:val="006555C6"/>
    <w:rsid w:val="0066484D"/>
    <w:rsid w:val="00664974"/>
    <w:rsid w:val="00666E8F"/>
    <w:rsid w:val="00667AD8"/>
    <w:rsid w:val="00672F91"/>
    <w:rsid w:val="00676FEF"/>
    <w:rsid w:val="00677C45"/>
    <w:rsid w:val="0068033B"/>
    <w:rsid w:val="00680FB6"/>
    <w:rsid w:val="00682295"/>
    <w:rsid w:val="006826D3"/>
    <w:rsid w:val="00682AD2"/>
    <w:rsid w:val="00683A57"/>
    <w:rsid w:val="006851FF"/>
    <w:rsid w:val="00685418"/>
    <w:rsid w:val="006854A3"/>
    <w:rsid w:val="006858A9"/>
    <w:rsid w:val="006860E1"/>
    <w:rsid w:val="006861AD"/>
    <w:rsid w:val="00687F11"/>
    <w:rsid w:val="0069059D"/>
    <w:rsid w:val="00690EF8"/>
    <w:rsid w:val="006912DC"/>
    <w:rsid w:val="0069227F"/>
    <w:rsid w:val="00693113"/>
    <w:rsid w:val="00693F32"/>
    <w:rsid w:val="00694B64"/>
    <w:rsid w:val="00694D46"/>
    <w:rsid w:val="00696E8D"/>
    <w:rsid w:val="006971BC"/>
    <w:rsid w:val="006A0E24"/>
    <w:rsid w:val="006A4976"/>
    <w:rsid w:val="006B084F"/>
    <w:rsid w:val="006B229D"/>
    <w:rsid w:val="006B7CEF"/>
    <w:rsid w:val="006C0AC4"/>
    <w:rsid w:val="006C1BBA"/>
    <w:rsid w:val="006C1BF2"/>
    <w:rsid w:val="006C2785"/>
    <w:rsid w:val="006C2E7A"/>
    <w:rsid w:val="006C4CDC"/>
    <w:rsid w:val="006C4F1E"/>
    <w:rsid w:val="006C5FD1"/>
    <w:rsid w:val="006C7E4A"/>
    <w:rsid w:val="006C7F12"/>
    <w:rsid w:val="006C7FE2"/>
    <w:rsid w:val="006D0E98"/>
    <w:rsid w:val="006D1716"/>
    <w:rsid w:val="006D5FA6"/>
    <w:rsid w:val="006D680C"/>
    <w:rsid w:val="006D69BD"/>
    <w:rsid w:val="006E0DE2"/>
    <w:rsid w:val="006E16C2"/>
    <w:rsid w:val="006E1F3F"/>
    <w:rsid w:val="006E477F"/>
    <w:rsid w:val="006E5540"/>
    <w:rsid w:val="006E62D7"/>
    <w:rsid w:val="006E6B31"/>
    <w:rsid w:val="006E7A31"/>
    <w:rsid w:val="006F2257"/>
    <w:rsid w:val="006F343B"/>
    <w:rsid w:val="006F359C"/>
    <w:rsid w:val="006F4FE4"/>
    <w:rsid w:val="006F5104"/>
    <w:rsid w:val="00700A1B"/>
    <w:rsid w:val="00700E92"/>
    <w:rsid w:val="00701938"/>
    <w:rsid w:val="00701A67"/>
    <w:rsid w:val="007020C2"/>
    <w:rsid w:val="0070316D"/>
    <w:rsid w:val="007108B0"/>
    <w:rsid w:val="0071136D"/>
    <w:rsid w:val="00712941"/>
    <w:rsid w:val="0071598A"/>
    <w:rsid w:val="00716556"/>
    <w:rsid w:val="00717654"/>
    <w:rsid w:val="00723FB0"/>
    <w:rsid w:val="00724548"/>
    <w:rsid w:val="00725733"/>
    <w:rsid w:val="007307D0"/>
    <w:rsid w:val="00730A46"/>
    <w:rsid w:val="007328A7"/>
    <w:rsid w:val="00732E62"/>
    <w:rsid w:val="0073331B"/>
    <w:rsid w:val="0073463A"/>
    <w:rsid w:val="00740D48"/>
    <w:rsid w:val="0074578B"/>
    <w:rsid w:val="007471CB"/>
    <w:rsid w:val="00760C2E"/>
    <w:rsid w:val="007612DD"/>
    <w:rsid w:val="00761AB9"/>
    <w:rsid w:val="00762EC4"/>
    <w:rsid w:val="00763F03"/>
    <w:rsid w:val="00765491"/>
    <w:rsid w:val="00767211"/>
    <w:rsid w:val="00767626"/>
    <w:rsid w:val="0077225E"/>
    <w:rsid w:val="00773181"/>
    <w:rsid w:val="0077493D"/>
    <w:rsid w:val="00775E59"/>
    <w:rsid w:val="007766DE"/>
    <w:rsid w:val="007770FB"/>
    <w:rsid w:val="0078051C"/>
    <w:rsid w:val="00780EE8"/>
    <w:rsid w:val="00782ECD"/>
    <w:rsid w:val="007835AB"/>
    <w:rsid w:val="007875DF"/>
    <w:rsid w:val="00787CA5"/>
    <w:rsid w:val="0079053B"/>
    <w:rsid w:val="00791557"/>
    <w:rsid w:val="007926B6"/>
    <w:rsid w:val="007954C0"/>
    <w:rsid w:val="00795AD8"/>
    <w:rsid w:val="00796282"/>
    <w:rsid w:val="007A045C"/>
    <w:rsid w:val="007A1BD9"/>
    <w:rsid w:val="007A44D4"/>
    <w:rsid w:val="007A5E8A"/>
    <w:rsid w:val="007A6240"/>
    <w:rsid w:val="007A6493"/>
    <w:rsid w:val="007B0996"/>
    <w:rsid w:val="007B0C44"/>
    <w:rsid w:val="007B0C80"/>
    <w:rsid w:val="007B3458"/>
    <w:rsid w:val="007B3A21"/>
    <w:rsid w:val="007B3F6B"/>
    <w:rsid w:val="007B55D0"/>
    <w:rsid w:val="007B6090"/>
    <w:rsid w:val="007B7593"/>
    <w:rsid w:val="007B76DC"/>
    <w:rsid w:val="007B7AB1"/>
    <w:rsid w:val="007B7D4A"/>
    <w:rsid w:val="007C270C"/>
    <w:rsid w:val="007C2915"/>
    <w:rsid w:val="007C3232"/>
    <w:rsid w:val="007C6078"/>
    <w:rsid w:val="007D1D9E"/>
    <w:rsid w:val="007D2D2C"/>
    <w:rsid w:val="007D44AB"/>
    <w:rsid w:val="007D6C98"/>
    <w:rsid w:val="007D75BA"/>
    <w:rsid w:val="007D7C82"/>
    <w:rsid w:val="007E2FD7"/>
    <w:rsid w:val="007E3ACD"/>
    <w:rsid w:val="007E52B6"/>
    <w:rsid w:val="007E6BE7"/>
    <w:rsid w:val="007F002A"/>
    <w:rsid w:val="007F180E"/>
    <w:rsid w:val="007F4731"/>
    <w:rsid w:val="007F4B1F"/>
    <w:rsid w:val="007F6BA0"/>
    <w:rsid w:val="00806E26"/>
    <w:rsid w:val="0081112C"/>
    <w:rsid w:val="00811A49"/>
    <w:rsid w:val="008124B8"/>
    <w:rsid w:val="00812D91"/>
    <w:rsid w:val="008135BD"/>
    <w:rsid w:val="008142C6"/>
    <w:rsid w:val="00820022"/>
    <w:rsid w:val="00821927"/>
    <w:rsid w:val="00821ED0"/>
    <w:rsid w:val="008229B5"/>
    <w:rsid w:val="00823B9D"/>
    <w:rsid w:val="00823C3B"/>
    <w:rsid w:val="00824360"/>
    <w:rsid w:val="00825C7B"/>
    <w:rsid w:val="0083064E"/>
    <w:rsid w:val="00831212"/>
    <w:rsid w:val="0083154F"/>
    <w:rsid w:val="0083261C"/>
    <w:rsid w:val="00833630"/>
    <w:rsid w:val="00835F93"/>
    <w:rsid w:val="008402D1"/>
    <w:rsid w:val="00840C7A"/>
    <w:rsid w:val="008439D4"/>
    <w:rsid w:val="00845909"/>
    <w:rsid w:val="00845998"/>
    <w:rsid w:val="00847246"/>
    <w:rsid w:val="00847B75"/>
    <w:rsid w:val="0085079C"/>
    <w:rsid w:val="00850AE8"/>
    <w:rsid w:val="00851402"/>
    <w:rsid w:val="0085221F"/>
    <w:rsid w:val="00852FC8"/>
    <w:rsid w:val="0085433D"/>
    <w:rsid w:val="00854932"/>
    <w:rsid w:val="008552A3"/>
    <w:rsid w:val="00857351"/>
    <w:rsid w:val="008576E0"/>
    <w:rsid w:val="008608D5"/>
    <w:rsid w:val="00860EC5"/>
    <w:rsid w:val="00870ECC"/>
    <w:rsid w:val="008710A5"/>
    <w:rsid w:val="00873911"/>
    <w:rsid w:val="00873D3A"/>
    <w:rsid w:val="00874905"/>
    <w:rsid w:val="008762B9"/>
    <w:rsid w:val="008812B4"/>
    <w:rsid w:val="008870D9"/>
    <w:rsid w:val="008874B1"/>
    <w:rsid w:val="00891DCA"/>
    <w:rsid w:val="008971BD"/>
    <w:rsid w:val="008A1948"/>
    <w:rsid w:val="008A2ADF"/>
    <w:rsid w:val="008A3564"/>
    <w:rsid w:val="008A5718"/>
    <w:rsid w:val="008A63B1"/>
    <w:rsid w:val="008B08AA"/>
    <w:rsid w:val="008B178A"/>
    <w:rsid w:val="008B2685"/>
    <w:rsid w:val="008B29D0"/>
    <w:rsid w:val="008B29FF"/>
    <w:rsid w:val="008B7B2A"/>
    <w:rsid w:val="008C10C5"/>
    <w:rsid w:val="008C2F2D"/>
    <w:rsid w:val="008C4E32"/>
    <w:rsid w:val="008D4A02"/>
    <w:rsid w:val="008D5B83"/>
    <w:rsid w:val="008E03FD"/>
    <w:rsid w:val="008E3E60"/>
    <w:rsid w:val="008E5DE4"/>
    <w:rsid w:val="008E6827"/>
    <w:rsid w:val="008F44B9"/>
    <w:rsid w:val="008F4F8E"/>
    <w:rsid w:val="008F56D0"/>
    <w:rsid w:val="008F7D8A"/>
    <w:rsid w:val="00901711"/>
    <w:rsid w:val="0090246B"/>
    <w:rsid w:val="009032B3"/>
    <w:rsid w:val="00903499"/>
    <w:rsid w:val="00903937"/>
    <w:rsid w:val="0090700C"/>
    <w:rsid w:val="00910835"/>
    <w:rsid w:val="00910F3D"/>
    <w:rsid w:val="00911B50"/>
    <w:rsid w:val="00912308"/>
    <w:rsid w:val="00920935"/>
    <w:rsid w:val="009210A4"/>
    <w:rsid w:val="00923CA6"/>
    <w:rsid w:val="0092464F"/>
    <w:rsid w:val="009249BF"/>
    <w:rsid w:val="009254C2"/>
    <w:rsid w:val="009262FF"/>
    <w:rsid w:val="009274EF"/>
    <w:rsid w:val="00927C92"/>
    <w:rsid w:val="009311D3"/>
    <w:rsid w:val="0093317B"/>
    <w:rsid w:val="00933D60"/>
    <w:rsid w:val="009354E7"/>
    <w:rsid w:val="00936F95"/>
    <w:rsid w:val="00940923"/>
    <w:rsid w:val="00945281"/>
    <w:rsid w:val="00950E85"/>
    <w:rsid w:val="00952641"/>
    <w:rsid w:val="0095295D"/>
    <w:rsid w:val="00952F1A"/>
    <w:rsid w:val="00957161"/>
    <w:rsid w:val="00957CF2"/>
    <w:rsid w:val="00961490"/>
    <w:rsid w:val="009629F3"/>
    <w:rsid w:val="009667FC"/>
    <w:rsid w:val="00967925"/>
    <w:rsid w:val="00975691"/>
    <w:rsid w:val="00976B7E"/>
    <w:rsid w:val="00977CE4"/>
    <w:rsid w:val="00986549"/>
    <w:rsid w:val="00986DC6"/>
    <w:rsid w:val="009878FA"/>
    <w:rsid w:val="00990D99"/>
    <w:rsid w:val="009920E6"/>
    <w:rsid w:val="0099291C"/>
    <w:rsid w:val="009939BD"/>
    <w:rsid w:val="009969DD"/>
    <w:rsid w:val="00997191"/>
    <w:rsid w:val="009A0271"/>
    <w:rsid w:val="009A4485"/>
    <w:rsid w:val="009A4A1E"/>
    <w:rsid w:val="009A5943"/>
    <w:rsid w:val="009A6C28"/>
    <w:rsid w:val="009A722B"/>
    <w:rsid w:val="009A767B"/>
    <w:rsid w:val="009B0C40"/>
    <w:rsid w:val="009B4988"/>
    <w:rsid w:val="009B5BFD"/>
    <w:rsid w:val="009B6405"/>
    <w:rsid w:val="009B729F"/>
    <w:rsid w:val="009B7E2F"/>
    <w:rsid w:val="009C01D0"/>
    <w:rsid w:val="009C3D60"/>
    <w:rsid w:val="009C609D"/>
    <w:rsid w:val="009C6890"/>
    <w:rsid w:val="009C7AEA"/>
    <w:rsid w:val="009D271F"/>
    <w:rsid w:val="009E0FEE"/>
    <w:rsid w:val="009E219A"/>
    <w:rsid w:val="009E3F5B"/>
    <w:rsid w:val="009E5A9E"/>
    <w:rsid w:val="009E6514"/>
    <w:rsid w:val="009F0B4C"/>
    <w:rsid w:val="009F0C84"/>
    <w:rsid w:val="009F247B"/>
    <w:rsid w:val="009F2547"/>
    <w:rsid w:val="009F3D51"/>
    <w:rsid w:val="009F644A"/>
    <w:rsid w:val="009F706D"/>
    <w:rsid w:val="009F793E"/>
    <w:rsid w:val="00A00A9D"/>
    <w:rsid w:val="00A00CC4"/>
    <w:rsid w:val="00A012EB"/>
    <w:rsid w:val="00A0162B"/>
    <w:rsid w:val="00A03A9B"/>
    <w:rsid w:val="00A04983"/>
    <w:rsid w:val="00A05C99"/>
    <w:rsid w:val="00A10AC2"/>
    <w:rsid w:val="00A11285"/>
    <w:rsid w:val="00A11351"/>
    <w:rsid w:val="00A113E4"/>
    <w:rsid w:val="00A11574"/>
    <w:rsid w:val="00A11C3B"/>
    <w:rsid w:val="00A15497"/>
    <w:rsid w:val="00A15556"/>
    <w:rsid w:val="00A15630"/>
    <w:rsid w:val="00A173DE"/>
    <w:rsid w:val="00A17A8D"/>
    <w:rsid w:val="00A17F63"/>
    <w:rsid w:val="00A21749"/>
    <w:rsid w:val="00A240A1"/>
    <w:rsid w:val="00A24F8C"/>
    <w:rsid w:val="00A25A25"/>
    <w:rsid w:val="00A26A36"/>
    <w:rsid w:val="00A3136E"/>
    <w:rsid w:val="00A318C7"/>
    <w:rsid w:val="00A31A25"/>
    <w:rsid w:val="00A322D3"/>
    <w:rsid w:val="00A356CF"/>
    <w:rsid w:val="00A36389"/>
    <w:rsid w:val="00A366F9"/>
    <w:rsid w:val="00A406CA"/>
    <w:rsid w:val="00A411C4"/>
    <w:rsid w:val="00A4182E"/>
    <w:rsid w:val="00A43271"/>
    <w:rsid w:val="00A4382E"/>
    <w:rsid w:val="00A45B2F"/>
    <w:rsid w:val="00A46290"/>
    <w:rsid w:val="00A47737"/>
    <w:rsid w:val="00A5045D"/>
    <w:rsid w:val="00A50B33"/>
    <w:rsid w:val="00A5239B"/>
    <w:rsid w:val="00A5513E"/>
    <w:rsid w:val="00A5724F"/>
    <w:rsid w:val="00A57834"/>
    <w:rsid w:val="00A57BA2"/>
    <w:rsid w:val="00A60C13"/>
    <w:rsid w:val="00A63B2C"/>
    <w:rsid w:val="00A63F9D"/>
    <w:rsid w:val="00A646DE"/>
    <w:rsid w:val="00A648CB"/>
    <w:rsid w:val="00A659BD"/>
    <w:rsid w:val="00A66191"/>
    <w:rsid w:val="00A66945"/>
    <w:rsid w:val="00A67B00"/>
    <w:rsid w:val="00A7071D"/>
    <w:rsid w:val="00A70DC9"/>
    <w:rsid w:val="00A7253D"/>
    <w:rsid w:val="00A76F13"/>
    <w:rsid w:val="00A815E8"/>
    <w:rsid w:val="00A81B8C"/>
    <w:rsid w:val="00A840CC"/>
    <w:rsid w:val="00A85283"/>
    <w:rsid w:val="00A86866"/>
    <w:rsid w:val="00A87CC6"/>
    <w:rsid w:val="00A90355"/>
    <w:rsid w:val="00A91EBB"/>
    <w:rsid w:val="00A91FCF"/>
    <w:rsid w:val="00A921EF"/>
    <w:rsid w:val="00A92987"/>
    <w:rsid w:val="00A92B34"/>
    <w:rsid w:val="00A92FC6"/>
    <w:rsid w:val="00A92FD2"/>
    <w:rsid w:val="00A971C2"/>
    <w:rsid w:val="00AA02F4"/>
    <w:rsid w:val="00AA0F00"/>
    <w:rsid w:val="00AA11BF"/>
    <w:rsid w:val="00AA194B"/>
    <w:rsid w:val="00AA39EF"/>
    <w:rsid w:val="00AA3CB8"/>
    <w:rsid w:val="00AA4621"/>
    <w:rsid w:val="00AA4BC6"/>
    <w:rsid w:val="00AA67F5"/>
    <w:rsid w:val="00AB6581"/>
    <w:rsid w:val="00AB7A90"/>
    <w:rsid w:val="00AC2B83"/>
    <w:rsid w:val="00AC4B43"/>
    <w:rsid w:val="00AC54FA"/>
    <w:rsid w:val="00AC6613"/>
    <w:rsid w:val="00AC6EB0"/>
    <w:rsid w:val="00AC730D"/>
    <w:rsid w:val="00AC7619"/>
    <w:rsid w:val="00AD0A18"/>
    <w:rsid w:val="00AD0AEE"/>
    <w:rsid w:val="00AD35D8"/>
    <w:rsid w:val="00AD4D91"/>
    <w:rsid w:val="00AD4EE9"/>
    <w:rsid w:val="00AD7EDA"/>
    <w:rsid w:val="00AE00B5"/>
    <w:rsid w:val="00AE1F6B"/>
    <w:rsid w:val="00AE20F7"/>
    <w:rsid w:val="00AE27CD"/>
    <w:rsid w:val="00AE445F"/>
    <w:rsid w:val="00AE4F2D"/>
    <w:rsid w:val="00AE639B"/>
    <w:rsid w:val="00AE66AF"/>
    <w:rsid w:val="00AE7CAB"/>
    <w:rsid w:val="00AF1533"/>
    <w:rsid w:val="00AF36F0"/>
    <w:rsid w:val="00AF45DF"/>
    <w:rsid w:val="00AF4F0E"/>
    <w:rsid w:val="00AF66A1"/>
    <w:rsid w:val="00AF770A"/>
    <w:rsid w:val="00B00366"/>
    <w:rsid w:val="00B01F41"/>
    <w:rsid w:val="00B035FA"/>
    <w:rsid w:val="00B04018"/>
    <w:rsid w:val="00B04B0D"/>
    <w:rsid w:val="00B054A7"/>
    <w:rsid w:val="00B06008"/>
    <w:rsid w:val="00B06834"/>
    <w:rsid w:val="00B10DD0"/>
    <w:rsid w:val="00B113E5"/>
    <w:rsid w:val="00B1261D"/>
    <w:rsid w:val="00B12EC8"/>
    <w:rsid w:val="00B15B0B"/>
    <w:rsid w:val="00B173AA"/>
    <w:rsid w:val="00B209B1"/>
    <w:rsid w:val="00B223C6"/>
    <w:rsid w:val="00B228F6"/>
    <w:rsid w:val="00B232DD"/>
    <w:rsid w:val="00B25349"/>
    <w:rsid w:val="00B2549B"/>
    <w:rsid w:val="00B2683D"/>
    <w:rsid w:val="00B26F83"/>
    <w:rsid w:val="00B30A86"/>
    <w:rsid w:val="00B30E57"/>
    <w:rsid w:val="00B32323"/>
    <w:rsid w:val="00B35510"/>
    <w:rsid w:val="00B40EA8"/>
    <w:rsid w:val="00B42694"/>
    <w:rsid w:val="00B42821"/>
    <w:rsid w:val="00B42F83"/>
    <w:rsid w:val="00B43E0C"/>
    <w:rsid w:val="00B44F45"/>
    <w:rsid w:val="00B472DD"/>
    <w:rsid w:val="00B535C2"/>
    <w:rsid w:val="00B53C03"/>
    <w:rsid w:val="00B54D9B"/>
    <w:rsid w:val="00B55DD1"/>
    <w:rsid w:val="00B55FFC"/>
    <w:rsid w:val="00B568AC"/>
    <w:rsid w:val="00B61C87"/>
    <w:rsid w:val="00B62ABD"/>
    <w:rsid w:val="00B6512D"/>
    <w:rsid w:val="00B67F4A"/>
    <w:rsid w:val="00B7049F"/>
    <w:rsid w:val="00B7098D"/>
    <w:rsid w:val="00B70C8C"/>
    <w:rsid w:val="00B73E85"/>
    <w:rsid w:val="00B7541D"/>
    <w:rsid w:val="00B76353"/>
    <w:rsid w:val="00B77F62"/>
    <w:rsid w:val="00B83347"/>
    <w:rsid w:val="00B84B50"/>
    <w:rsid w:val="00B86EA2"/>
    <w:rsid w:val="00B876D9"/>
    <w:rsid w:val="00B90A74"/>
    <w:rsid w:val="00B90AE7"/>
    <w:rsid w:val="00B92270"/>
    <w:rsid w:val="00B9364E"/>
    <w:rsid w:val="00B95367"/>
    <w:rsid w:val="00B953D1"/>
    <w:rsid w:val="00B95531"/>
    <w:rsid w:val="00B97FF5"/>
    <w:rsid w:val="00BA0A4E"/>
    <w:rsid w:val="00BA11CA"/>
    <w:rsid w:val="00BA4370"/>
    <w:rsid w:val="00BA5330"/>
    <w:rsid w:val="00BA541A"/>
    <w:rsid w:val="00BA59AB"/>
    <w:rsid w:val="00BB0257"/>
    <w:rsid w:val="00BB0767"/>
    <w:rsid w:val="00BB140B"/>
    <w:rsid w:val="00BB2B69"/>
    <w:rsid w:val="00BB3A1A"/>
    <w:rsid w:val="00BB44D0"/>
    <w:rsid w:val="00BB4EDA"/>
    <w:rsid w:val="00BB53E1"/>
    <w:rsid w:val="00BB6AEA"/>
    <w:rsid w:val="00BB6BDE"/>
    <w:rsid w:val="00BB710D"/>
    <w:rsid w:val="00BC07CD"/>
    <w:rsid w:val="00BC1B3F"/>
    <w:rsid w:val="00BC2334"/>
    <w:rsid w:val="00BC4AAF"/>
    <w:rsid w:val="00BC598B"/>
    <w:rsid w:val="00BC5ECB"/>
    <w:rsid w:val="00BC5F53"/>
    <w:rsid w:val="00BD23E2"/>
    <w:rsid w:val="00BD6B92"/>
    <w:rsid w:val="00BD7E6A"/>
    <w:rsid w:val="00BE1367"/>
    <w:rsid w:val="00BE165F"/>
    <w:rsid w:val="00BE4837"/>
    <w:rsid w:val="00BE6E68"/>
    <w:rsid w:val="00BF0D4C"/>
    <w:rsid w:val="00BF21CD"/>
    <w:rsid w:val="00BF4BB2"/>
    <w:rsid w:val="00BF4F63"/>
    <w:rsid w:val="00BF5EE2"/>
    <w:rsid w:val="00C01A92"/>
    <w:rsid w:val="00C026AE"/>
    <w:rsid w:val="00C03DFE"/>
    <w:rsid w:val="00C03EBF"/>
    <w:rsid w:val="00C05F5C"/>
    <w:rsid w:val="00C06706"/>
    <w:rsid w:val="00C069E5"/>
    <w:rsid w:val="00C06E74"/>
    <w:rsid w:val="00C07DB1"/>
    <w:rsid w:val="00C11AAA"/>
    <w:rsid w:val="00C13C7B"/>
    <w:rsid w:val="00C14217"/>
    <w:rsid w:val="00C153E7"/>
    <w:rsid w:val="00C20BC8"/>
    <w:rsid w:val="00C20BFC"/>
    <w:rsid w:val="00C22986"/>
    <w:rsid w:val="00C241AA"/>
    <w:rsid w:val="00C27289"/>
    <w:rsid w:val="00C33F0D"/>
    <w:rsid w:val="00C33FF7"/>
    <w:rsid w:val="00C34710"/>
    <w:rsid w:val="00C34B46"/>
    <w:rsid w:val="00C34C80"/>
    <w:rsid w:val="00C34F22"/>
    <w:rsid w:val="00C43422"/>
    <w:rsid w:val="00C43ABF"/>
    <w:rsid w:val="00C464F1"/>
    <w:rsid w:val="00C46BAB"/>
    <w:rsid w:val="00C53C65"/>
    <w:rsid w:val="00C53F6F"/>
    <w:rsid w:val="00C54ECF"/>
    <w:rsid w:val="00C60561"/>
    <w:rsid w:val="00C61B09"/>
    <w:rsid w:val="00C62634"/>
    <w:rsid w:val="00C62C5C"/>
    <w:rsid w:val="00C64F48"/>
    <w:rsid w:val="00C65BD0"/>
    <w:rsid w:val="00C66BD7"/>
    <w:rsid w:val="00C748FF"/>
    <w:rsid w:val="00C75630"/>
    <w:rsid w:val="00C77FA5"/>
    <w:rsid w:val="00C84C97"/>
    <w:rsid w:val="00C84FF8"/>
    <w:rsid w:val="00C87348"/>
    <w:rsid w:val="00C87CE3"/>
    <w:rsid w:val="00C91197"/>
    <w:rsid w:val="00C9287E"/>
    <w:rsid w:val="00C9302A"/>
    <w:rsid w:val="00C97F11"/>
    <w:rsid w:val="00CA058F"/>
    <w:rsid w:val="00CA36C9"/>
    <w:rsid w:val="00CA4691"/>
    <w:rsid w:val="00CB46BB"/>
    <w:rsid w:val="00CB5D26"/>
    <w:rsid w:val="00CC060E"/>
    <w:rsid w:val="00CC5370"/>
    <w:rsid w:val="00CC79B5"/>
    <w:rsid w:val="00CD01F5"/>
    <w:rsid w:val="00CD2ABF"/>
    <w:rsid w:val="00CD4596"/>
    <w:rsid w:val="00CD5FB9"/>
    <w:rsid w:val="00CE0558"/>
    <w:rsid w:val="00CE0739"/>
    <w:rsid w:val="00CE112D"/>
    <w:rsid w:val="00CE2E71"/>
    <w:rsid w:val="00CE3974"/>
    <w:rsid w:val="00CE3AB4"/>
    <w:rsid w:val="00CE431D"/>
    <w:rsid w:val="00CE61CD"/>
    <w:rsid w:val="00CF1F9E"/>
    <w:rsid w:val="00CF310A"/>
    <w:rsid w:val="00CF5854"/>
    <w:rsid w:val="00CF5B25"/>
    <w:rsid w:val="00D00AC1"/>
    <w:rsid w:val="00D01BA6"/>
    <w:rsid w:val="00D026EB"/>
    <w:rsid w:val="00D04193"/>
    <w:rsid w:val="00D046B8"/>
    <w:rsid w:val="00D05FAA"/>
    <w:rsid w:val="00D10B6C"/>
    <w:rsid w:val="00D1128A"/>
    <w:rsid w:val="00D11529"/>
    <w:rsid w:val="00D14DBD"/>
    <w:rsid w:val="00D170C4"/>
    <w:rsid w:val="00D216BE"/>
    <w:rsid w:val="00D233D0"/>
    <w:rsid w:val="00D24E55"/>
    <w:rsid w:val="00D31FD9"/>
    <w:rsid w:val="00D3295F"/>
    <w:rsid w:val="00D33846"/>
    <w:rsid w:val="00D33F8E"/>
    <w:rsid w:val="00D37157"/>
    <w:rsid w:val="00D42BEA"/>
    <w:rsid w:val="00D44540"/>
    <w:rsid w:val="00D46137"/>
    <w:rsid w:val="00D539C2"/>
    <w:rsid w:val="00D5439B"/>
    <w:rsid w:val="00D55232"/>
    <w:rsid w:val="00D557C7"/>
    <w:rsid w:val="00D559B7"/>
    <w:rsid w:val="00D55D8F"/>
    <w:rsid w:val="00D60D45"/>
    <w:rsid w:val="00D655C6"/>
    <w:rsid w:val="00D675FF"/>
    <w:rsid w:val="00D67B4E"/>
    <w:rsid w:val="00D70E7C"/>
    <w:rsid w:val="00D76418"/>
    <w:rsid w:val="00D7766F"/>
    <w:rsid w:val="00D77F5E"/>
    <w:rsid w:val="00D80B40"/>
    <w:rsid w:val="00D82A0F"/>
    <w:rsid w:val="00D82B4F"/>
    <w:rsid w:val="00D84171"/>
    <w:rsid w:val="00D860FF"/>
    <w:rsid w:val="00D93655"/>
    <w:rsid w:val="00D93CE3"/>
    <w:rsid w:val="00D9478A"/>
    <w:rsid w:val="00D951C2"/>
    <w:rsid w:val="00DA0955"/>
    <w:rsid w:val="00DA0D3D"/>
    <w:rsid w:val="00DA113C"/>
    <w:rsid w:val="00DA1EA1"/>
    <w:rsid w:val="00DA1EFF"/>
    <w:rsid w:val="00DA4CC1"/>
    <w:rsid w:val="00DA5086"/>
    <w:rsid w:val="00DA7481"/>
    <w:rsid w:val="00DB092C"/>
    <w:rsid w:val="00DB131A"/>
    <w:rsid w:val="00DB6116"/>
    <w:rsid w:val="00DB6768"/>
    <w:rsid w:val="00DB6E4D"/>
    <w:rsid w:val="00DC014E"/>
    <w:rsid w:val="00DC363C"/>
    <w:rsid w:val="00DC3F5E"/>
    <w:rsid w:val="00DC4301"/>
    <w:rsid w:val="00DC6431"/>
    <w:rsid w:val="00DD0708"/>
    <w:rsid w:val="00DD634A"/>
    <w:rsid w:val="00DD6FA6"/>
    <w:rsid w:val="00DD76BA"/>
    <w:rsid w:val="00DD7CCC"/>
    <w:rsid w:val="00DE015A"/>
    <w:rsid w:val="00DE14BB"/>
    <w:rsid w:val="00DE15D3"/>
    <w:rsid w:val="00DE185C"/>
    <w:rsid w:val="00DE4E58"/>
    <w:rsid w:val="00DE70A4"/>
    <w:rsid w:val="00DE7321"/>
    <w:rsid w:val="00DE75B9"/>
    <w:rsid w:val="00DF182E"/>
    <w:rsid w:val="00DF3FAD"/>
    <w:rsid w:val="00DF4B92"/>
    <w:rsid w:val="00DF652F"/>
    <w:rsid w:val="00E003E7"/>
    <w:rsid w:val="00E01BC4"/>
    <w:rsid w:val="00E01DC5"/>
    <w:rsid w:val="00E02F0A"/>
    <w:rsid w:val="00E03C80"/>
    <w:rsid w:val="00E04029"/>
    <w:rsid w:val="00E049B5"/>
    <w:rsid w:val="00E04C03"/>
    <w:rsid w:val="00E05C7D"/>
    <w:rsid w:val="00E07CDC"/>
    <w:rsid w:val="00E07D89"/>
    <w:rsid w:val="00E11F5D"/>
    <w:rsid w:val="00E12D7B"/>
    <w:rsid w:val="00E1312B"/>
    <w:rsid w:val="00E14882"/>
    <w:rsid w:val="00E162C3"/>
    <w:rsid w:val="00E17FD7"/>
    <w:rsid w:val="00E202D6"/>
    <w:rsid w:val="00E21F49"/>
    <w:rsid w:val="00E2233E"/>
    <w:rsid w:val="00E23749"/>
    <w:rsid w:val="00E25573"/>
    <w:rsid w:val="00E2657C"/>
    <w:rsid w:val="00E30290"/>
    <w:rsid w:val="00E303D8"/>
    <w:rsid w:val="00E309A1"/>
    <w:rsid w:val="00E318BD"/>
    <w:rsid w:val="00E36BAA"/>
    <w:rsid w:val="00E36BB5"/>
    <w:rsid w:val="00E373A1"/>
    <w:rsid w:val="00E37A1E"/>
    <w:rsid w:val="00E403BF"/>
    <w:rsid w:val="00E4143C"/>
    <w:rsid w:val="00E41D51"/>
    <w:rsid w:val="00E42018"/>
    <w:rsid w:val="00E42ACB"/>
    <w:rsid w:val="00E45E65"/>
    <w:rsid w:val="00E47283"/>
    <w:rsid w:val="00E47877"/>
    <w:rsid w:val="00E577C8"/>
    <w:rsid w:val="00E607DA"/>
    <w:rsid w:val="00E61352"/>
    <w:rsid w:val="00E63BCA"/>
    <w:rsid w:val="00E63CD7"/>
    <w:rsid w:val="00E64AA8"/>
    <w:rsid w:val="00E64CAD"/>
    <w:rsid w:val="00E6554F"/>
    <w:rsid w:val="00E65D52"/>
    <w:rsid w:val="00E6699C"/>
    <w:rsid w:val="00E66D9B"/>
    <w:rsid w:val="00E6709B"/>
    <w:rsid w:val="00E67457"/>
    <w:rsid w:val="00E7006B"/>
    <w:rsid w:val="00E70116"/>
    <w:rsid w:val="00E70D81"/>
    <w:rsid w:val="00E73108"/>
    <w:rsid w:val="00E7489A"/>
    <w:rsid w:val="00E75CD6"/>
    <w:rsid w:val="00E75F6E"/>
    <w:rsid w:val="00E76B7E"/>
    <w:rsid w:val="00E82445"/>
    <w:rsid w:val="00E824AB"/>
    <w:rsid w:val="00E8283F"/>
    <w:rsid w:val="00E834F7"/>
    <w:rsid w:val="00E904FD"/>
    <w:rsid w:val="00E9061A"/>
    <w:rsid w:val="00E90737"/>
    <w:rsid w:val="00E90CE0"/>
    <w:rsid w:val="00E9100E"/>
    <w:rsid w:val="00E910C5"/>
    <w:rsid w:val="00E921AF"/>
    <w:rsid w:val="00E9572D"/>
    <w:rsid w:val="00E95A54"/>
    <w:rsid w:val="00E96F66"/>
    <w:rsid w:val="00EA02FE"/>
    <w:rsid w:val="00EA4410"/>
    <w:rsid w:val="00EA5A25"/>
    <w:rsid w:val="00EA5F2C"/>
    <w:rsid w:val="00EB0F80"/>
    <w:rsid w:val="00EC1ECE"/>
    <w:rsid w:val="00EC2D3D"/>
    <w:rsid w:val="00EC38AD"/>
    <w:rsid w:val="00EC4A00"/>
    <w:rsid w:val="00EC58E5"/>
    <w:rsid w:val="00EC6FAE"/>
    <w:rsid w:val="00EC7933"/>
    <w:rsid w:val="00ED0679"/>
    <w:rsid w:val="00ED11CC"/>
    <w:rsid w:val="00ED19E4"/>
    <w:rsid w:val="00ED1DBD"/>
    <w:rsid w:val="00ED3432"/>
    <w:rsid w:val="00ED4367"/>
    <w:rsid w:val="00ED4809"/>
    <w:rsid w:val="00ED5E65"/>
    <w:rsid w:val="00ED6CF6"/>
    <w:rsid w:val="00EE068C"/>
    <w:rsid w:val="00EE0FD3"/>
    <w:rsid w:val="00EE14A6"/>
    <w:rsid w:val="00EE2784"/>
    <w:rsid w:val="00EE49CE"/>
    <w:rsid w:val="00EE5C93"/>
    <w:rsid w:val="00EE68E9"/>
    <w:rsid w:val="00EE6D06"/>
    <w:rsid w:val="00EE787F"/>
    <w:rsid w:val="00EF091B"/>
    <w:rsid w:val="00EF0ACF"/>
    <w:rsid w:val="00EF2916"/>
    <w:rsid w:val="00EF42B7"/>
    <w:rsid w:val="00EF69DB"/>
    <w:rsid w:val="00EF719E"/>
    <w:rsid w:val="00EF7785"/>
    <w:rsid w:val="00F015E9"/>
    <w:rsid w:val="00F02EC0"/>
    <w:rsid w:val="00F035B2"/>
    <w:rsid w:val="00F060EE"/>
    <w:rsid w:val="00F061DC"/>
    <w:rsid w:val="00F06CB3"/>
    <w:rsid w:val="00F078BC"/>
    <w:rsid w:val="00F07EFC"/>
    <w:rsid w:val="00F1031B"/>
    <w:rsid w:val="00F10EF6"/>
    <w:rsid w:val="00F16FB1"/>
    <w:rsid w:val="00F178C9"/>
    <w:rsid w:val="00F21AE5"/>
    <w:rsid w:val="00F21C53"/>
    <w:rsid w:val="00F3258E"/>
    <w:rsid w:val="00F33C3D"/>
    <w:rsid w:val="00F3633E"/>
    <w:rsid w:val="00F36CCA"/>
    <w:rsid w:val="00F37B68"/>
    <w:rsid w:val="00F415C6"/>
    <w:rsid w:val="00F41D08"/>
    <w:rsid w:val="00F42E39"/>
    <w:rsid w:val="00F50319"/>
    <w:rsid w:val="00F5115D"/>
    <w:rsid w:val="00F52E60"/>
    <w:rsid w:val="00F537C3"/>
    <w:rsid w:val="00F5494F"/>
    <w:rsid w:val="00F54FEC"/>
    <w:rsid w:val="00F562D3"/>
    <w:rsid w:val="00F625B3"/>
    <w:rsid w:val="00F62730"/>
    <w:rsid w:val="00F62B30"/>
    <w:rsid w:val="00F64210"/>
    <w:rsid w:val="00F64274"/>
    <w:rsid w:val="00F67E38"/>
    <w:rsid w:val="00F70769"/>
    <w:rsid w:val="00F709CD"/>
    <w:rsid w:val="00F714F8"/>
    <w:rsid w:val="00F7154A"/>
    <w:rsid w:val="00F74698"/>
    <w:rsid w:val="00F74E7F"/>
    <w:rsid w:val="00F75111"/>
    <w:rsid w:val="00F76E58"/>
    <w:rsid w:val="00F77717"/>
    <w:rsid w:val="00F80251"/>
    <w:rsid w:val="00F80D78"/>
    <w:rsid w:val="00F82ABF"/>
    <w:rsid w:val="00F84A3A"/>
    <w:rsid w:val="00F84CCA"/>
    <w:rsid w:val="00F85D0D"/>
    <w:rsid w:val="00F86017"/>
    <w:rsid w:val="00F86557"/>
    <w:rsid w:val="00F86FE0"/>
    <w:rsid w:val="00F9039C"/>
    <w:rsid w:val="00F9111B"/>
    <w:rsid w:val="00F92F4A"/>
    <w:rsid w:val="00F93CD9"/>
    <w:rsid w:val="00F94416"/>
    <w:rsid w:val="00FA085B"/>
    <w:rsid w:val="00FA1245"/>
    <w:rsid w:val="00FA1587"/>
    <w:rsid w:val="00FA1CAC"/>
    <w:rsid w:val="00FA293E"/>
    <w:rsid w:val="00FA415F"/>
    <w:rsid w:val="00FA4B2E"/>
    <w:rsid w:val="00FA563A"/>
    <w:rsid w:val="00FA5CD6"/>
    <w:rsid w:val="00FA77A1"/>
    <w:rsid w:val="00FB2016"/>
    <w:rsid w:val="00FB65C1"/>
    <w:rsid w:val="00FB7123"/>
    <w:rsid w:val="00FB719A"/>
    <w:rsid w:val="00FB750F"/>
    <w:rsid w:val="00FB7541"/>
    <w:rsid w:val="00FC0D02"/>
    <w:rsid w:val="00FC185D"/>
    <w:rsid w:val="00FC279E"/>
    <w:rsid w:val="00FD01FA"/>
    <w:rsid w:val="00FD444E"/>
    <w:rsid w:val="00FD4BD3"/>
    <w:rsid w:val="00FD64C5"/>
    <w:rsid w:val="00FD7770"/>
    <w:rsid w:val="00FE0C56"/>
    <w:rsid w:val="00FE117E"/>
    <w:rsid w:val="00FE49C6"/>
    <w:rsid w:val="00FF030B"/>
    <w:rsid w:val="00FF2DA5"/>
    <w:rsid w:val="00FF579D"/>
    <w:rsid w:val="00FF5DA9"/>
    <w:rsid w:val="00FF5E5C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48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48AA"/>
    <w:rPr>
      <w:sz w:val="20"/>
      <w:szCs w:val="20"/>
    </w:rPr>
  </w:style>
  <w:style w:type="paragraph" w:styleId="a8">
    <w:name w:val="footnote text"/>
    <w:aliases w:val="Report_note"/>
    <w:basedOn w:val="a"/>
    <w:link w:val="a9"/>
    <w:qFormat/>
    <w:rsid w:val="002548AA"/>
    <w:pPr>
      <w:snapToGrid w:val="0"/>
    </w:pPr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customStyle="1" w:styleId="a9">
    <w:name w:val="註腳文字 字元"/>
    <w:aliases w:val="Report_note 字元"/>
    <w:basedOn w:val="a0"/>
    <w:link w:val="a8"/>
    <w:qFormat/>
    <w:rsid w:val="002548AA"/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styleId="aa">
    <w:name w:val="footnote reference"/>
    <w:basedOn w:val="a0"/>
    <w:qFormat/>
    <w:rsid w:val="002548A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C5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48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48AA"/>
    <w:rPr>
      <w:sz w:val="20"/>
      <w:szCs w:val="20"/>
    </w:rPr>
  </w:style>
  <w:style w:type="paragraph" w:styleId="a8">
    <w:name w:val="footnote text"/>
    <w:aliases w:val="Report_note"/>
    <w:basedOn w:val="a"/>
    <w:link w:val="a9"/>
    <w:qFormat/>
    <w:rsid w:val="002548AA"/>
    <w:pPr>
      <w:snapToGrid w:val="0"/>
    </w:pPr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customStyle="1" w:styleId="a9">
    <w:name w:val="註腳文字 字元"/>
    <w:aliases w:val="Report_note 字元"/>
    <w:basedOn w:val="a0"/>
    <w:link w:val="a8"/>
    <w:qFormat/>
    <w:rsid w:val="002548AA"/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styleId="aa">
    <w:name w:val="footnote reference"/>
    <w:basedOn w:val="a0"/>
    <w:qFormat/>
    <w:rsid w:val="002548A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C5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E729-9BC3-4AB1-B756-458618E2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6156</Words>
  <Characters>559</Characters>
  <Application>Microsoft Office Word</Application>
  <DocSecurity>0</DocSecurity>
  <Lines>4</Lines>
  <Paragraphs>13</Paragraphs>
  <ScaleCrop>false</ScaleCrop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陳嘉添</dc:creator>
  <cp:lastModifiedBy>蔡曜如</cp:lastModifiedBy>
  <cp:revision>2</cp:revision>
  <cp:lastPrinted>2019-01-04T06:08:00Z</cp:lastPrinted>
  <dcterms:created xsi:type="dcterms:W3CDTF">2019-01-07T02:11:00Z</dcterms:created>
  <dcterms:modified xsi:type="dcterms:W3CDTF">2019-01-07T02:11:00Z</dcterms:modified>
</cp:coreProperties>
</file>