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E69" w:rsidRPr="00192ACC" w:rsidRDefault="00472E69" w:rsidP="00192ACC">
      <w:pPr>
        <w:spacing w:line="500" w:lineRule="exact"/>
        <w:jc w:val="center"/>
        <w:rPr>
          <w:rFonts w:ascii="標楷體" w:eastAsia="標楷體" w:hAnsi="標楷體"/>
          <w:b/>
          <w:sz w:val="32"/>
          <w:szCs w:val="32"/>
        </w:rPr>
      </w:pPr>
      <w:bookmarkStart w:id="0" w:name="_GoBack"/>
      <w:r w:rsidRPr="00192ACC">
        <w:rPr>
          <w:rFonts w:ascii="標楷體" w:eastAsia="標楷體" w:hAnsi="標楷體" w:hint="eastAsia"/>
          <w:b/>
          <w:sz w:val="32"/>
          <w:szCs w:val="32"/>
        </w:rPr>
        <w:t>銀行業辦理外匯業務作業規範第四點、第九點修正規定</w:t>
      </w:r>
      <w:bookmarkEnd w:id="0"/>
    </w:p>
    <w:p w:rsidR="00DE7D7D" w:rsidRPr="00E41449" w:rsidRDefault="00DE7D7D" w:rsidP="00E41449">
      <w:pPr>
        <w:spacing w:line="500" w:lineRule="exact"/>
        <w:ind w:left="640" w:hangingChars="200" w:hanging="640"/>
        <w:jc w:val="both"/>
        <w:rPr>
          <w:rFonts w:ascii="標楷體" w:eastAsia="標楷體" w:hAnsi="標楷體"/>
          <w:sz w:val="32"/>
          <w:szCs w:val="32"/>
        </w:rPr>
      </w:pPr>
      <w:r w:rsidRPr="00E41449">
        <w:rPr>
          <w:rFonts w:ascii="標楷體" w:eastAsia="標楷體" w:hAnsi="標楷體" w:hint="eastAsia"/>
          <w:sz w:val="32"/>
          <w:szCs w:val="32"/>
        </w:rPr>
        <w:t>四、指定銀行及中華郵政股份有限公司所屬郵局辦理境內及跨境之一般匯出及匯入匯款業務，除應依洗錢防制法、資恐防制法及其相關規定辦理外，並依下列規定辦理。但上述機構間為其本身資金移轉及清算所為之匯款，不在此限：</w:t>
      </w:r>
    </w:p>
    <w:p w:rsidR="00DE7D7D" w:rsidRPr="00E41449" w:rsidRDefault="00DE7D7D" w:rsidP="00C34F17">
      <w:pPr>
        <w:spacing w:line="500" w:lineRule="exact"/>
        <w:ind w:leftChars="250" w:left="600"/>
        <w:jc w:val="both"/>
        <w:rPr>
          <w:rFonts w:ascii="標楷體" w:eastAsia="標楷體" w:hAnsi="標楷體"/>
          <w:sz w:val="32"/>
          <w:szCs w:val="32"/>
        </w:rPr>
      </w:pPr>
      <w:r w:rsidRPr="00E41449">
        <w:rPr>
          <w:rFonts w:ascii="標楷體" w:eastAsia="標楷體" w:hAnsi="標楷體" w:hint="eastAsia"/>
          <w:sz w:val="32"/>
          <w:szCs w:val="32"/>
        </w:rPr>
        <w:t>(一)匯出匯款業務：</w:t>
      </w:r>
    </w:p>
    <w:p w:rsidR="00DE7D7D" w:rsidRPr="00E41449" w:rsidRDefault="00DE7D7D" w:rsidP="00C34F17">
      <w:pPr>
        <w:spacing w:line="500" w:lineRule="exact"/>
        <w:ind w:leftChars="550" w:left="1640" w:hangingChars="100" w:hanging="320"/>
        <w:jc w:val="both"/>
        <w:rPr>
          <w:rFonts w:ascii="標楷體" w:eastAsia="標楷體" w:hAnsi="標楷體"/>
          <w:sz w:val="32"/>
          <w:szCs w:val="32"/>
        </w:rPr>
      </w:pPr>
      <w:r w:rsidRPr="00E41449">
        <w:rPr>
          <w:rFonts w:ascii="標楷體" w:eastAsia="標楷體" w:hAnsi="標楷體" w:hint="eastAsia"/>
          <w:sz w:val="32"/>
          <w:szCs w:val="32"/>
        </w:rPr>
        <w:t>1.憑辦文件：應憑顧客填具有關文件及查驗身分文件或基本登記資料後辦理；其中公司、有限合夥、行號部分，應查詢經濟部全國商工行政服務入口網站之「公司登記查詢」、「有限合夥登記查詢」、「商業登記查詢」確認公司、有限合夥、行號基本登記資料。另以新臺幣結購且每筆結購金額達新臺幣五十萬元等值外幣者，應依外匯收支或交易申報辦法（以下簡稱申報辦法）及銀行業輔導客戶申報外匯收支或交易應注意事項（以下簡稱應注意事項）辦理，並確實輔導申報義務人詳實申報。</w:t>
      </w:r>
    </w:p>
    <w:p w:rsidR="00DE7D7D" w:rsidRPr="00E41449" w:rsidRDefault="00DE7D7D" w:rsidP="00B611A2">
      <w:pPr>
        <w:spacing w:line="500" w:lineRule="exact"/>
        <w:ind w:leftChars="550" w:left="1640" w:hangingChars="100" w:hanging="320"/>
        <w:jc w:val="both"/>
        <w:rPr>
          <w:rFonts w:ascii="標楷體" w:eastAsia="標楷體" w:hAnsi="標楷體"/>
          <w:sz w:val="32"/>
          <w:szCs w:val="32"/>
        </w:rPr>
      </w:pPr>
      <w:r w:rsidRPr="00E41449">
        <w:rPr>
          <w:rFonts w:ascii="標楷體" w:eastAsia="標楷體" w:hAnsi="標楷體" w:hint="eastAsia"/>
          <w:sz w:val="32"/>
          <w:szCs w:val="32"/>
        </w:rPr>
        <w:t>2.掣發單證：匯出款項以新臺幣結購者，應掣發賣匯水單；其未以新臺幣結購者，應掣發其他交易憑證。</w:t>
      </w:r>
    </w:p>
    <w:p w:rsidR="00DE7D7D" w:rsidRPr="00E41449" w:rsidRDefault="00DE7D7D" w:rsidP="00B611A2">
      <w:pPr>
        <w:spacing w:line="500" w:lineRule="exact"/>
        <w:ind w:leftChars="550" w:left="1640" w:hangingChars="100" w:hanging="320"/>
        <w:jc w:val="both"/>
        <w:rPr>
          <w:rFonts w:ascii="標楷體" w:eastAsia="標楷體" w:hAnsi="標楷體"/>
          <w:sz w:val="32"/>
          <w:szCs w:val="32"/>
        </w:rPr>
      </w:pPr>
      <w:r w:rsidRPr="00E41449">
        <w:rPr>
          <w:rFonts w:ascii="標楷體" w:eastAsia="標楷體" w:hAnsi="標楷體" w:hint="eastAsia"/>
          <w:sz w:val="32"/>
          <w:szCs w:val="32"/>
        </w:rPr>
        <w:t>3.發送電文：應包含必要及正確之匯款人資訊、必要之受款人資訊。</w:t>
      </w:r>
    </w:p>
    <w:p w:rsidR="00DE7D7D" w:rsidRPr="00E41449" w:rsidRDefault="00DE7D7D" w:rsidP="00B611A2">
      <w:pPr>
        <w:spacing w:line="500" w:lineRule="exact"/>
        <w:ind w:leftChars="550" w:left="1640" w:hangingChars="100" w:hanging="320"/>
        <w:jc w:val="both"/>
        <w:rPr>
          <w:rFonts w:ascii="標楷體" w:eastAsia="標楷體" w:hAnsi="標楷體"/>
          <w:sz w:val="32"/>
          <w:szCs w:val="32"/>
        </w:rPr>
      </w:pPr>
      <w:r w:rsidRPr="00E41449">
        <w:rPr>
          <w:rFonts w:ascii="標楷體" w:eastAsia="標楷體" w:hAnsi="標楷體" w:hint="eastAsia"/>
          <w:sz w:val="32"/>
          <w:szCs w:val="32"/>
        </w:rPr>
        <w:t>4.提供資訊：收到權責機關或受款行要求時，應於三個營業日內提供匯款人及受款人資訊。但檢察機關及司法警察機關要求立即提供時，應配合辦理。</w:t>
      </w:r>
    </w:p>
    <w:p w:rsidR="00DE7D7D" w:rsidRPr="00E41449" w:rsidRDefault="00DE7D7D" w:rsidP="00B611A2">
      <w:pPr>
        <w:spacing w:line="500" w:lineRule="exact"/>
        <w:ind w:leftChars="250" w:left="600"/>
        <w:jc w:val="both"/>
        <w:rPr>
          <w:rFonts w:ascii="標楷體" w:eastAsia="標楷體" w:hAnsi="標楷體"/>
          <w:sz w:val="32"/>
          <w:szCs w:val="32"/>
        </w:rPr>
      </w:pPr>
      <w:r w:rsidRPr="00E41449">
        <w:rPr>
          <w:rFonts w:ascii="標楷體" w:eastAsia="標楷體" w:hAnsi="標楷體" w:hint="eastAsia"/>
          <w:sz w:val="32"/>
          <w:szCs w:val="32"/>
        </w:rPr>
        <w:lastRenderedPageBreak/>
        <w:t>(二)匯入匯款業務：</w:t>
      </w:r>
    </w:p>
    <w:p w:rsidR="00DE7D7D" w:rsidRPr="00E41449" w:rsidRDefault="00DE7D7D" w:rsidP="00B611A2">
      <w:pPr>
        <w:spacing w:line="500" w:lineRule="exact"/>
        <w:ind w:leftChars="550" w:left="1640" w:hangingChars="100" w:hanging="320"/>
        <w:jc w:val="both"/>
        <w:rPr>
          <w:rFonts w:ascii="標楷體" w:eastAsia="標楷體" w:hAnsi="標楷體"/>
          <w:sz w:val="32"/>
          <w:szCs w:val="32"/>
        </w:rPr>
      </w:pPr>
      <w:r w:rsidRPr="00E41449">
        <w:rPr>
          <w:rFonts w:ascii="標楷體" w:eastAsia="標楷體" w:hAnsi="標楷體" w:hint="eastAsia"/>
          <w:sz w:val="32"/>
          <w:szCs w:val="32"/>
        </w:rPr>
        <w:t>1.憑辦文件：應憑匯入匯款通知書、外幣票據或外幣現鈔及查驗身分文件或基本登記資料後辦理；其中公司、有限合夥、行號部分，應查詢經濟部全國商工行政服務入口網站之「公司登記查詢」、「有限合夥登記查詢」、「商業登記查詢」確認公司、有限合夥、行號基本登記資料。另結售為新臺幣且每筆結售金額達新臺幣五十萬元等值外幣者，應依申報辦法及應注意事項辦理，並確實輔導申報義務人詳實申報。</w:t>
      </w:r>
    </w:p>
    <w:p w:rsidR="00DE7D7D" w:rsidRPr="00E41449" w:rsidRDefault="00DE7D7D" w:rsidP="00B611A2">
      <w:pPr>
        <w:spacing w:line="500" w:lineRule="exact"/>
        <w:ind w:leftChars="550" w:left="1640" w:hangingChars="100" w:hanging="320"/>
        <w:jc w:val="both"/>
        <w:rPr>
          <w:rFonts w:ascii="標楷體" w:eastAsia="標楷體" w:hAnsi="標楷體"/>
          <w:sz w:val="32"/>
          <w:szCs w:val="32"/>
        </w:rPr>
      </w:pPr>
      <w:r w:rsidRPr="00E41449">
        <w:rPr>
          <w:rFonts w:ascii="標楷體" w:eastAsia="標楷體" w:hAnsi="標楷體" w:hint="eastAsia"/>
          <w:sz w:val="32"/>
          <w:szCs w:val="32"/>
        </w:rPr>
        <w:t>2.掣發單證：匯入款項結售為新臺幣者，應掣發買匯水單；其未結售為新臺幣者，應掣發其他交易憑證。</w:t>
      </w:r>
    </w:p>
    <w:p w:rsidR="00DE7D7D" w:rsidRPr="00E41449" w:rsidRDefault="00DE7D7D" w:rsidP="00B611A2">
      <w:pPr>
        <w:spacing w:line="500" w:lineRule="exact"/>
        <w:ind w:leftChars="550" w:left="1640" w:hangingChars="100" w:hanging="320"/>
        <w:jc w:val="both"/>
        <w:rPr>
          <w:rFonts w:ascii="標楷體" w:eastAsia="標楷體" w:hAnsi="標楷體"/>
          <w:sz w:val="32"/>
          <w:szCs w:val="32"/>
        </w:rPr>
      </w:pPr>
      <w:r w:rsidRPr="00E41449">
        <w:rPr>
          <w:rFonts w:ascii="標楷體" w:eastAsia="標楷體" w:hAnsi="標楷體" w:hint="eastAsia"/>
          <w:sz w:val="32"/>
          <w:szCs w:val="32"/>
        </w:rPr>
        <w:t>3.應訂定下列風險管理程序，並加強審查：</w:t>
      </w:r>
    </w:p>
    <w:p w:rsidR="00DE7D7D" w:rsidRPr="00E41449" w:rsidRDefault="00DE7D7D" w:rsidP="00B611A2">
      <w:pPr>
        <w:spacing w:line="500" w:lineRule="exact"/>
        <w:ind w:leftChars="700" w:left="2160" w:hangingChars="150" w:hanging="480"/>
        <w:jc w:val="both"/>
        <w:rPr>
          <w:rFonts w:ascii="標楷體" w:eastAsia="標楷體" w:hAnsi="標楷體"/>
          <w:sz w:val="32"/>
          <w:szCs w:val="32"/>
        </w:rPr>
      </w:pPr>
      <w:r w:rsidRPr="00E41449">
        <w:rPr>
          <w:rFonts w:ascii="標楷體" w:eastAsia="標楷體" w:hAnsi="標楷體" w:hint="eastAsia"/>
          <w:sz w:val="32"/>
          <w:szCs w:val="32"/>
        </w:rPr>
        <w:t>(1)應採取合理措施，包括可行之事後或即時監控，以辨識缺少</w:t>
      </w:r>
      <w:r w:rsidR="005E1F45" w:rsidRPr="00E41449">
        <w:rPr>
          <w:rFonts w:ascii="標楷體" w:eastAsia="標楷體" w:hAnsi="標楷體" w:hint="eastAsia"/>
          <w:sz w:val="32"/>
          <w:szCs w:val="32"/>
        </w:rPr>
        <w:t>必要</w:t>
      </w:r>
      <w:r w:rsidR="005E1F45">
        <w:rPr>
          <w:rFonts w:ascii="標楷體" w:eastAsia="標楷體" w:hAnsi="標楷體" w:hint="eastAsia"/>
          <w:sz w:val="32"/>
          <w:szCs w:val="32"/>
        </w:rPr>
        <w:t>之</w:t>
      </w:r>
      <w:r w:rsidRPr="00E41449">
        <w:rPr>
          <w:rFonts w:ascii="標楷體" w:eastAsia="標楷體" w:hAnsi="標楷體" w:hint="eastAsia"/>
          <w:sz w:val="32"/>
          <w:szCs w:val="32"/>
        </w:rPr>
        <w:t>匯款人或受款人資訊之匯款。</w:t>
      </w:r>
    </w:p>
    <w:p w:rsidR="00DE7D7D" w:rsidRPr="00E41449" w:rsidRDefault="00DE7D7D" w:rsidP="00B611A2">
      <w:pPr>
        <w:spacing w:line="500" w:lineRule="exact"/>
        <w:ind w:leftChars="700" w:left="2160" w:hangingChars="150" w:hanging="480"/>
        <w:jc w:val="both"/>
        <w:rPr>
          <w:rFonts w:ascii="標楷體" w:eastAsia="標楷體" w:hAnsi="標楷體"/>
          <w:sz w:val="32"/>
          <w:szCs w:val="32"/>
        </w:rPr>
      </w:pPr>
      <w:r w:rsidRPr="00E41449">
        <w:rPr>
          <w:rFonts w:ascii="標楷體" w:eastAsia="標楷體" w:hAnsi="標楷體" w:hint="eastAsia"/>
          <w:sz w:val="32"/>
          <w:szCs w:val="32"/>
        </w:rPr>
        <w:t>(2)對匯入款提供匯款人或受款人資訊不足者，應建立以風險為基礎之政策與程序，以判斷何時執行、拒絕或暫停缺少</w:t>
      </w:r>
      <w:r w:rsidR="005E1F45" w:rsidRPr="00E41449">
        <w:rPr>
          <w:rFonts w:ascii="標楷體" w:eastAsia="標楷體" w:hAnsi="標楷體" w:hint="eastAsia"/>
          <w:sz w:val="32"/>
          <w:szCs w:val="32"/>
        </w:rPr>
        <w:t>必要</w:t>
      </w:r>
      <w:r w:rsidR="005E1F45">
        <w:rPr>
          <w:rFonts w:ascii="標楷體" w:eastAsia="標楷體" w:hAnsi="標楷體" w:hint="eastAsia"/>
          <w:sz w:val="32"/>
          <w:szCs w:val="32"/>
        </w:rPr>
        <w:t>之</w:t>
      </w:r>
      <w:r w:rsidRPr="00E41449">
        <w:rPr>
          <w:rFonts w:ascii="標楷體" w:eastAsia="標楷體" w:hAnsi="標楷體" w:hint="eastAsia"/>
          <w:sz w:val="32"/>
          <w:szCs w:val="32"/>
        </w:rPr>
        <w:t>匯款人或受款人資訊之匯款，並採取適當之後續追蹤行動。</w:t>
      </w:r>
    </w:p>
    <w:p w:rsidR="00DE7D7D" w:rsidRPr="00E41449" w:rsidRDefault="00DE7D7D" w:rsidP="00B611A2">
      <w:pPr>
        <w:spacing w:line="500" w:lineRule="exact"/>
        <w:ind w:leftChars="250" w:left="600"/>
        <w:jc w:val="both"/>
        <w:rPr>
          <w:rFonts w:ascii="標楷體" w:eastAsia="標楷體" w:hAnsi="標楷體"/>
          <w:sz w:val="32"/>
          <w:szCs w:val="32"/>
        </w:rPr>
      </w:pPr>
      <w:r w:rsidRPr="00E41449">
        <w:rPr>
          <w:rFonts w:ascii="標楷體" w:eastAsia="標楷體" w:hAnsi="標楷體" w:hint="eastAsia"/>
          <w:sz w:val="32"/>
          <w:szCs w:val="32"/>
        </w:rPr>
        <w:t>(三)中介行：</w:t>
      </w:r>
    </w:p>
    <w:p w:rsidR="00DE7D7D" w:rsidRPr="00E41449" w:rsidRDefault="00DE7D7D" w:rsidP="00B611A2">
      <w:pPr>
        <w:spacing w:line="500" w:lineRule="exact"/>
        <w:ind w:leftChars="550" w:left="1640" w:hangingChars="100" w:hanging="320"/>
        <w:jc w:val="both"/>
        <w:rPr>
          <w:rFonts w:ascii="標楷體" w:eastAsia="標楷體" w:hAnsi="標楷體"/>
          <w:sz w:val="32"/>
          <w:szCs w:val="32"/>
        </w:rPr>
      </w:pPr>
      <w:r w:rsidRPr="00E41449">
        <w:rPr>
          <w:rFonts w:ascii="標楷體" w:eastAsia="標楷體" w:hAnsi="標楷體" w:hint="eastAsia"/>
          <w:sz w:val="32"/>
          <w:szCs w:val="32"/>
        </w:rPr>
        <w:t>1.應確保轉匯過程中，所有附隨該匯款電文之匯款人及受款人資訊完整保留於轉匯出之電文中。</w:t>
      </w:r>
    </w:p>
    <w:p w:rsidR="00DE7D7D" w:rsidRPr="00E41449" w:rsidRDefault="00DE7D7D" w:rsidP="00B611A2">
      <w:pPr>
        <w:spacing w:line="500" w:lineRule="exact"/>
        <w:ind w:leftChars="550" w:left="1640" w:hangingChars="100" w:hanging="320"/>
        <w:jc w:val="both"/>
        <w:rPr>
          <w:rFonts w:ascii="標楷體" w:eastAsia="標楷體" w:hAnsi="標楷體"/>
          <w:sz w:val="32"/>
          <w:szCs w:val="32"/>
        </w:rPr>
      </w:pPr>
      <w:r w:rsidRPr="00E41449">
        <w:rPr>
          <w:rFonts w:ascii="標楷體" w:eastAsia="標楷體" w:hAnsi="標楷體" w:hint="eastAsia"/>
          <w:sz w:val="32"/>
          <w:szCs w:val="32"/>
        </w:rPr>
        <w:t>2.若因技術限制而無法將附隨跨境電匯之前述必要資訊轉入國內電匯作業時，對於收到源自匯款行或其他中介行之所有資訊，應依洗錢防制法及相關規定留存紀錄。</w:t>
      </w:r>
    </w:p>
    <w:p w:rsidR="00DE7D7D" w:rsidRPr="00E41449" w:rsidRDefault="00DE7D7D" w:rsidP="00B611A2">
      <w:pPr>
        <w:spacing w:line="500" w:lineRule="exact"/>
        <w:ind w:leftChars="550" w:left="1640" w:hangingChars="100" w:hanging="320"/>
        <w:jc w:val="both"/>
        <w:rPr>
          <w:rFonts w:ascii="標楷體" w:eastAsia="標楷體" w:hAnsi="標楷體"/>
          <w:sz w:val="32"/>
          <w:szCs w:val="32"/>
        </w:rPr>
      </w:pPr>
      <w:r w:rsidRPr="00E41449">
        <w:rPr>
          <w:rFonts w:ascii="標楷體" w:eastAsia="標楷體" w:hAnsi="標楷體" w:hint="eastAsia"/>
          <w:sz w:val="32"/>
          <w:szCs w:val="32"/>
        </w:rPr>
        <w:t>3.準用前款第三目規定。</w:t>
      </w:r>
    </w:p>
    <w:p w:rsidR="00DE7D7D" w:rsidRPr="00E41449" w:rsidRDefault="00DE7D7D" w:rsidP="00B611A2">
      <w:pPr>
        <w:spacing w:line="500" w:lineRule="exact"/>
        <w:ind w:leftChars="250" w:left="1240" w:hangingChars="200" w:hanging="640"/>
        <w:jc w:val="both"/>
        <w:rPr>
          <w:rFonts w:ascii="標楷體" w:eastAsia="標楷體" w:hAnsi="標楷體"/>
          <w:sz w:val="32"/>
          <w:szCs w:val="32"/>
        </w:rPr>
      </w:pPr>
      <w:r w:rsidRPr="00E41449">
        <w:rPr>
          <w:rFonts w:ascii="標楷體" w:eastAsia="標楷體" w:hAnsi="標楷體" w:hint="eastAsia"/>
          <w:sz w:val="32"/>
          <w:szCs w:val="32"/>
        </w:rPr>
        <w:t>(四)報送資料：應於承作之次營業日，將交易日報及相關明細資料傳送至本行外匯資料處理系統。</w:t>
      </w:r>
    </w:p>
    <w:p w:rsidR="00DE7D7D" w:rsidRPr="00E41449" w:rsidRDefault="00DE7D7D" w:rsidP="00B611A2">
      <w:pPr>
        <w:spacing w:line="500" w:lineRule="exact"/>
        <w:ind w:leftChars="250" w:left="600"/>
        <w:jc w:val="both"/>
        <w:rPr>
          <w:rFonts w:ascii="標楷體" w:eastAsia="標楷體" w:hAnsi="標楷體"/>
          <w:sz w:val="32"/>
          <w:szCs w:val="32"/>
        </w:rPr>
      </w:pPr>
      <w:r w:rsidRPr="00E41449">
        <w:rPr>
          <w:rFonts w:ascii="標楷體" w:eastAsia="標楷體" w:hAnsi="標楷體" w:hint="eastAsia"/>
          <w:sz w:val="32"/>
          <w:szCs w:val="32"/>
        </w:rPr>
        <w:t>前項第一款第三目、第四目、第二款第三目及第三款所稱之匯款人及受款人資訊，係指下列資訊:</w:t>
      </w:r>
    </w:p>
    <w:p w:rsidR="00DE7D7D" w:rsidRPr="00E41449" w:rsidRDefault="00DE7D7D" w:rsidP="00B611A2">
      <w:pPr>
        <w:spacing w:line="500" w:lineRule="exact"/>
        <w:ind w:leftChars="250" w:left="1240" w:hangingChars="200" w:hanging="640"/>
        <w:jc w:val="both"/>
        <w:rPr>
          <w:rFonts w:ascii="標楷體" w:eastAsia="標楷體" w:hAnsi="標楷體"/>
          <w:sz w:val="32"/>
          <w:szCs w:val="32"/>
        </w:rPr>
      </w:pPr>
      <w:r w:rsidRPr="00E41449">
        <w:rPr>
          <w:rFonts w:ascii="標楷體" w:eastAsia="標楷體" w:hAnsi="標楷體" w:hint="eastAsia"/>
          <w:sz w:val="32"/>
          <w:szCs w:val="32"/>
        </w:rPr>
        <w:t>(一)匯款人資訊：</w:t>
      </w:r>
    </w:p>
    <w:p w:rsidR="00DE7D7D" w:rsidRPr="00E41449" w:rsidRDefault="00DE7D7D" w:rsidP="00B611A2">
      <w:pPr>
        <w:spacing w:line="500" w:lineRule="exact"/>
        <w:ind w:leftChars="550" w:left="1640" w:hangingChars="100" w:hanging="320"/>
        <w:jc w:val="both"/>
        <w:rPr>
          <w:rFonts w:ascii="標楷體" w:eastAsia="標楷體" w:hAnsi="標楷體"/>
          <w:sz w:val="32"/>
          <w:szCs w:val="32"/>
        </w:rPr>
      </w:pPr>
      <w:r w:rsidRPr="00E41449">
        <w:rPr>
          <w:rFonts w:ascii="標楷體" w:eastAsia="標楷體" w:hAnsi="標楷體" w:hint="eastAsia"/>
          <w:sz w:val="32"/>
          <w:szCs w:val="32"/>
        </w:rPr>
        <w:t>1.姓名。</w:t>
      </w:r>
    </w:p>
    <w:p w:rsidR="00DE7D7D" w:rsidRPr="00E41449" w:rsidRDefault="00DE7D7D" w:rsidP="00B611A2">
      <w:pPr>
        <w:spacing w:line="500" w:lineRule="exact"/>
        <w:ind w:leftChars="550" w:left="1640" w:hangingChars="100" w:hanging="320"/>
        <w:jc w:val="both"/>
        <w:rPr>
          <w:rFonts w:ascii="標楷體" w:eastAsia="標楷體" w:hAnsi="標楷體"/>
          <w:sz w:val="32"/>
          <w:szCs w:val="32"/>
        </w:rPr>
      </w:pPr>
      <w:r w:rsidRPr="00E41449">
        <w:rPr>
          <w:rFonts w:ascii="標楷體" w:eastAsia="標楷體" w:hAnsi="標楷體" w:hint="eastAsia"/>
          <w:sz w:val="32"/>
          <w:szCs w:val="32"/>
        </w:rPr>
        <w:t>2.扣款帳號。若無扣款帳號，匯款行得以可查證該項匯款之獨立序號代替之。</w:t>
      </w:r>
    </w:p>
    <w:p w:rsidR="00DE7D7D" w:rsidRPr="00E41449" w:rsidRDefault="00DE7D7D" w:rsidP="00B611A2">
      <w:pPr>
        <w:spacing w:line="500" w:lineRule="exact"/>
        <w:ind w:leftChars="550" w:left="1640" w:hangingChars="100" w:hanging="320"/>
        <w:jc w:val="both"/>
        <w:rPr>
          <w:rFonts w:ascii="標楷體" w:eastAsia="標楷體" w:hAnsi="標楷體"/>
          <w:sz w:val="32"/>
          <w:szCs w:val="32"/>
        </w:rPr>
      </w:pPr>
      <w:r w:rsidRPr="00E41449">
        <w:rPr>
          <w:rFonts w:ascii="標楷體" w:eastAsia="標楷體" w:hAnsi="標楷體" w:hint="eastAsia"/>
          <w:sz w:val="32"/>
          <w:szCs w:val="32"/>
        </w:rPr>
        <w:t>3.地址。匯款行得視實際狀況以其統一編號、身分證號碼、護照號碼、居留證號碼或出生日期與出生地代替之。</w:t>
      </w:r>
    </w:p>
    <w:p w:rsidR="00DE7D7D" w:rsidRPr="00E41449" w:rsidRDefault="00DE7D7D" w:rsidP="00B611A2">
      <w:pPr>
        <w:spacing w:line="500" w:lineRule="exact"/>
        <w:ind w:leftChars="250" w:left="1240" w:hangingChars="200" w:hanging="640"/>
        <w:jc w:val="both"/>
        <w:rPr>
          <w:rFonts w:ascii="標楷體" w:eastAsia="標楷體" w:hAnsi="標楷體"/>
          <w:sz w:val="32"/>
          <w:szCs w:val="32"/>
        </w:rPr>
      </w:pPr>
      <w:r w:rsidRPr="00E41449">
        <w:rPr>
          <w:rFonts w:ascii="標楷體" w:eastAsia="標楷體" w:hAnsi="標楷體" w:hint="eastAsia"/>
          <w:sz w:val="32"/>
          <w:szCs w:val="32"/>
        </w:rPr>
        <w:t>(二)受款人資訊：</w:t>
      </w:r>
    </w:p>
    <w:p w:rsidR="00DE7D7D" w:rsidRPr="00E41449" w:rsidRDefault="00DE7D7D" w:rsidP="00B611A2">
      <w:pPr>
        <w:spacing w:line="500" w:lineRule="exact"/>
        <w:ind w:leftChars="550" w:left="1640" w:hangingChars="100" w:hanging="320"/>
        <w:jc w:val="both"/>
        <w:rPr>
          <w:rFonts w:ascii="標楷體" w:eastAsia="標楷體" w:hAnsi="標楷體"/>
          <w:sz w:val="32"/>
          <w:szCs w:val="32"/>
        </w:rPr>
      </w:pPr>
      <w:r w:rsidRPr="00E41449">
        <w:rPr>
          <w:rFonts w:ascii="標楷體" w:eastAsia="標楷體" w:hAnsi="標楷體" w:hint="eastAsia"/>
          <w:sz w:val="32"/>
          <w:szCs w:val="32"/>
        </w:rPr>
        <w:t>1.姓名。</w:t>
      </w:r>
    </w:p>
    <w:p w:rsidR="00DE7D7D" w:rsidRPr="00E41449" w:rsidRDefault="00DE7D7D" w:rsidP="00B611A2">
      <w:pPr>
        <w:spacing w:line="500" w:lineRule="exact"/>
        <w:ind w:leftChars="550" w:left="1640" w:hangingChars="100" w:hanging="320"/>
        <w:jc w:val="both"/>
        <w:rPr>
          <w:rFonts w:ascii="標楷體" w:eastAsia="標楷體" w:hAnsi="標楷體"/>
          <w:sz w:val="32"/>
          <w:szCs w:val="32"/>
        </w:rPr>
      </w:pPr>
      <w:r w:rsidRPr="00E41449">
        <w:rPr>
          <w:rFonts w:ascii="標楷體" w:eastAsia="標楷體" w:hAnsi="標楷體" w:hint="eastAsia"/>
          <w:sz w:val="32"/>
          <w:szCs w:val="32"/>
        </w:rPr>
        <w:t>2.受款帳號。若無受款帳號，得以可查證該項匯款之獨立序號代替之。</w:t>
      </w:r>
    </w:p>
    <w:p w:rsidR="00DE7D7D" w:rsidRPr="00E41449" w:rsidRDefault="00DE7D7D" w:rsidP="00361E51">
      <w:pPr>
        <w:spacing w:line="500" w:lineRule="exact"/>
        <w:ind w:left="640" w:hangingChars="200" w:hanging="640"/>
        <w:jc w:val="both"/>
        <w:rPr>
          <w:rFonts w:ascii="標楷體" w:eastAsia="標楷體" w:hAnsi="標楷體"/>
          <w:sz w:val="32"/>
          <w:szCs w:val="32"/>
        </w:rPr>
      </w:pPr>
      <w:r w:rsidRPr="00E41449">
        <w:rPr>
          <w:rFonts w:ascii="標楷體" w:eastAsia="標楷體" w:hAnsi="標楷體" w:hint="eastAsia"/>
          <w:sz w:val="32"/>
          <w:szCs w:val="32"/>
        </w:rPr>
        <w:t>九、經許可辦理新臺幣特定金錢信託投資外幣有價證券業務之指定銀行，應依下列規定辦理：</w:t>
      </w:r>
    </w:p>
    <w:p w:rsidR="00DE7D7D" w:rsidRPr="00E41449" w:rsidRDefault="00DE7D7D" w:rsidP="00B611A2">
      <w:pPr>
        <w:spacing w:line="500" w:lineRule="exact"/>
        <w:ind w:leftChars="250" w:left="1240" w:hangingChars="200" w:hanging="640"/>
        <w:jc w:val="both"/>
        <w:rPr>
          <w:rFonts w:ascii="標楷體" w:eastAsia="標楷體" w:hAnsi="標楷體"/>
          <w:sz w:val="32"/>
          <w:szCs w:val="32"/>
        </w:rPr>
      </w:pPr>
      <w:r w:rsidRPr="00E41449">
        <w:rPr>
          <w:rFonts w:ascii="標楷體" w:eastAsia="標楷體" w:hAnsi="標楷體" w:hint="eastAsia"/>
          <w:sz w:val="32"/>
          <w:szCs w:val="32"/>
        </w:rPr>
        <w:t>(一)該信託資金之委託人以下列為限：</w:t>
      </w:r>
    </w:p>
    <w:p w:rsidR="00DE7D7D" w:rsidRPr="00E41449" w:rsidRDefault="00DE7D7D" w:rsidP="00B611A2">
      <w:pPr>
        <w:spacing w:line="500" w:lineRule="exact"/>
        <w:ind w:leftChars="550" w:left="1640" w:hangingChars="100" w:hanging="320"/>
        <w:jc w:val="both"/>
        <w:rPr>
          <w:rFonts w:ascii="標楷體" w:eastAsia="標楷體" w:hAnsi="標楷體"/>
          <w:sz w:val="32"/>
          <w:szCs w:val="32"/>
        </w:rPr>
      </w:pPr>
      <w:r w:rsidRPr="00E41449">
        <w:rPr>
          <w:rFonts w:ascii="標楷體" w:eastAsia="標楷體" w:hAnsi="標楷體" w:hint="eastAsia"/>
          <w:sz w:val="32"/>
          <w:szCs w:val="32"/>
        </w:rPr>
        <w:t>1.本國自然人、領有臺灣地區相關居留證、外僑居留證或外交部核發相關身分證件之外國自然人及大陸地區人民。</w:t>
      </w:r>
    </w:p>
    <w:p w:rsidR="00DE7D7D" w:rsidRPr="00E41449" w:rsidRDefault="00DE7D7D" w:rsidP="00B611A2">
      <w:pPr>
        <w:spacing w:line="500" w:lineRule="exact"/>
        <w:ind w:leftChars="550" w:left="1640" w:hangingChars="100" w:hanging="320"/>
        <w:jc w:val="both"/>
        <w:rPr>
          <w:rFonts w:ascii="標楷體" w:eastAsia="標楷體" w:hAnsi="標楷體"/>
          <w:sz w:val="32"/>
          <w:szCs w:val="32"/>
        </w:rPr>
      </w:pPr>
      <w:r w:rsidRPr="00E41449">
        <w:rPr>
          <w:rFonts w:ascii="標楷體" w:eastAsia="標楷體" w:hAnsi="標楷體" w:hint="eastAsia"/>
          <w:sz w:val="32"/>
          <w:szCs w:val="32"/>
        </w:rPr>
        <w:t>2.本國法人、經我國政府認許或依我國公司法及有限合夥法辦理分公司及分支機構登記之外國法人。</w:t>
      </w:r>
    </w:p>
    <w:p w:rsidR="00DE7D7D" w:rsidRPr="00E41449" w:rsidRDefault="00DE7D7D" w:rsidP="00B611A2">
      <w:pPr>
        <w:spacing w:line="500" w:lineRule="exact"/>
        <w:ind w:leftChars="550" w:left="1640" w:hangingChars="100" w:hanging="320"/>
        <w:jc w:val="both"/>
        <w:rPr>
          <w:rFonts w:ascii="標楷體" w:eastAsia="標楷體" w:hAnsi="標楷體"/>
          <w:sz w:val="32"/>
          <w:szCs w:val="32"/>
        </w:rPr>
      </w:pPr>
      <w:r w:rsidRPr="00E41449">
        <w:rPr>
          <w:rFonts w:ascii="標楷體" w:eastAsia="標楷體" w:hAnsi="標楷體" w:hint="eastAsia"/>
          <w:sz w:val="32"/>
          <w:szCs w:val="32"/>
        </w:rPr>
        <w:t>3.其他經金融監督管理委員會（以下簡稱金管會）或本行核准者。</w:t>
      </w:r>
    </w:p>
    <w:p w:rsidR="00DE7D7D" w:rsidRPr="00E41449" w:rsidRDefault="00DE7D7D" w:rsidP="00B611A2">
      <w:pPr>
        <w:spacing w:line="500" w:lineRule="exact"/>
        <w:ind w:leftChars="250" w:left="1240" w:hangingChars="200" w:hanging="640"/>
        <w:jc w:val="both"/>
        <w:rPr>
          <w:rFonts w:ascii="標楷體" w:eastAsia="標楷體" w:hAnsi="標楷體"/>
          <w:sz w:val="32"/>
          <w:szCs w:val="32"/>
        </w:rPr>
      </w:pPr>
      <w:r w:rsidRPr="00E41449">
        <w:rPr>
          <w:rFonts w:ascii="標楷體" w:eastAsia="標楷體" w:hAnsi="標楷體" w:hint="eastAsia"/>
          <w:sz w:val="32"/>
          <w:szCs w:val="32"/>
        </w:rPr>
        <w:t>(二)該信託資金之收受及屆期本益之攤還，均應以新臺幣為之，不得以外幣支付。</w:t>
      </w:r>
    </w:p>
    <w:p w:rsidR="00AF76D9" w:rsidRPr="00E41449" w:rsidRDefault="00DE7D7D" w:rsidP="00B611A2">
      <w:pPr>
        <w:spacing w:line="500" w:lineRule="exact"/>
        <w:ind w:leftChars="250" w:left="1240" w:hangingChars="200" w:hanging="640"/>
        <w:jc w:val="both"/>
        <w:rPr>
          <w:rFonts w:ascii="標楷體" w:eastAsia="標楷體" w:hAnsi="標楷體"/>
          <w:sz w:val="32"/>
          <w:szCs w:val="32"/>
        </w:rPr>
      </w:pPr>
      <w:r w:rsidRPr="00E41449">
        <w:rPr>
          <w:rFonts w:ascii="標楷體" w:eastAsia="標楷體" w:hAnsi="標楷體" w:hint="eastAsia"/>
          <w:sz w:val="32"/>
          <w:szCs w:val="32"/>
        </w:rPr>
        <w:t>(三)報送資料：依照本行對新臺幣特定金錢信託投資外幣有價證券業務之規定辦理申報。</w:t>
      </w:r>
    </w:p>
    <w:sectPr w:rsidR="00AF76D9" w:rsidRPr="00E41449">
      <w:foot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1CA2" w:rsidRDefault="00231CA2" w:rsidP="000C432D">
      <w:r>
        <w:separator/>
      </w:r>
    </w:p>
  </w:endnote>
  <w:endnote w:type="continuationSeparator" w:id="0">
    <w:p w:rsidR="00231CA2" w:rsidRDefault="00231CA2" w:rsidP="000C4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7323207"/>
      <w:docPartObj>
        <w:docPartGallery w:val="Page Numbers (Bottom of Page)"/>
        <w:docPartUnique/>
      </w:docPartObj>
    </w:sdtPr>
    <w:sdtEndPr/>
    <w:sdtContent>
      <w:p w:rsidR="000C432D" w:rsidRDefault="000C432D">
        <w:pPr>
          <w:pStyle w:val="a5"/>
          <w:jc w:val="center"/>
        </w:pPr>
        <w:r>
          <w:fldChar w:fldCharType="begin"/>
        </w:r>
        <w:r>
          <w:instrText>PAGE   \* MERGEFORMAT</w:instrText>
        </w:r>
        <w:r>
          <w:fldChar w:fldCharType="separate"/>
        </w:r>
        <w:r w:rsidR="00231CA2" w:rsidRPr="00231CA2">
          <w:rPr>
            <w:noProof/>
            <w:lang w:val="zh-TW"/>
          </w:rPr>
          <w:t>1</w:t>
        </w:r>
        <w:r>
          <w:fldChar w:fldCharType="end"/>
        </w:r>
      </w:p>
    </w:sdtContent>
  </w:sdt>
  <w:p w:rsidR="000C432D" w:rsidRDefault="000C432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1CA2" w:rsidRDefault="00231CA2" w:rsidP="000C432D">
      <w:r>
        <w:separator/>
      </w:r>
    </w:p>
  </w:footnote>
  <w:footnote w:type="continuationSeparator" w:id="0">
    <w:p w:rsidR="00231CA2" w:rsidRDefault="00231CA2" w:rsidP="000C43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D7D"/>
    <w:rsid w:val="00062DA9"/>
    <w:rsid w:val="000C432D"/>
    <w:rsid w:val="00192ACC"/>
    <w:rsid w:val="001B5479"/>
    <w:rsid w:val="00231CA2"/>
    <w:rsid w:val="00361E51"/>
    <w:rsid w:val="0039604D"/>
    <w:rsid w:val="00437903"/>
    <w:rsid w:val="00472E69"/>
    <w:rsid w:val="00505E39"/>
    <w:rsid w:val="005E1F45"/>
    <w:rsid w:val="006A38EB"/>
    <w:rsid w:val="006D740C"/>
    <w:rsid w:val="007E5492"/>
    <w:rsid w:val="007F6323"/>
    <w:rsid w:val="0089255C"/>
    <w:rsid w:val="008F7706"/>
    <w:rsid w:val="00AF76D9"/>
    <w:rsid w:val="00B611A2"/>
    <w:rsid w:val="00C0054D"/>
    <w:rsid w:val="00C1199B"/>
    <w:rsid w:val="00C33E4E"/>
    <w:rsid w:val="00C34F17"/>
    <w:rsid w:val="00C45A9E"/>
    <w:rsid w:val="00DE7D7D"/>
    <w:rsid w:val="00E41449"/>
    <w:rsid w:val="00E43C5A"/>
    <w:rsid w:val="00E73919"/>
    <w:rsid w:val="00EE5E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432D"/>
    <w:pPr>
      <w:tabs>
        <w:tab w:val="center" w:pos="4153"/>
        <w:tab w:val="right" w:pos="8306"/>
      </w:tabs>
      <w:snapToGrid w:val="0"/>
    </w:pPr>
    <w:rPr>
      <w:sz w:val="20"/>
      <w:szCs w:val="20"/>
    </w:rPr>
  </w:style>
  <w:style w:type="character" w:customStyle="1" w:styleId="a4">
    <w:name w:val="頁首 字元"/>
    <w:basedOn w:val="a0"/>
    <w:link w:val="a3"/>
    <w:uiPriority w:val="99"/>
    <w:rsid w:val="000C432D"/>
    <w:rPr>
      <w:sz w:val="20"/>
      <w:szCs w:val="20"/>
    </w:rPr>
  </w:style>
  <w:style w:type="paragraph" w:styleId="a5">
    <w:name w:val="footer"/>
    <w:basedOn w:val="a"/>
    <w:link w:val="a6"/>
    <w:uiPriority w:val="99"/>
    <w:unhideWhenUsed/>
    <w:rsid w:val="000C432D"/>
    <w:pPr>
      <w:tabs>
        <w:tab w:val="center" w:pos="4153"/>
        <w:tab w:val="right" w:pos="8306"/>
      </w:tabs>
      <w:snapToGrid w:val="0"/>
    </w:pPr>
    <w:rPr>
      <w:sz w:val="20"/>
      <w:szCs w:val="20"/>
    </w:rPr>
  </w:style>
  <w:style w:type="character" w:customStyle="1" w:styleId="a6">
    <w:name w:val="頁尾 字元"/>
    <w:basedOn w:val="a0"/>
    <w:link w:val="a5"/>
    <w:uiPriority w:val="99"/>
    <w:rsid w:val="000C432D"/>
    <w:rPr>
      <w:sz w:val="20"/>
      <w:szCs w:val="20"/>
    </w:rPr>
  </w:style>
  <w:style w:type="paragraph" w:styleId="a7">
    <w:name w:val="Balloon Text"/>
    <w:basedOn w:val="a"/>
    <w:link w:val="a8"/>
    <w:uiPriority w:val="99"/>
    <w:semiHidden/>
    <w:unhideWhenUsed/>
    <w:rsid w:val="00E41449"/>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E41449"/>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432D"/>
    <w:pPr>
      <w:tabs>
        <w:tab w:val="center" w:pos="4153"/>
        <w:tab w:val="right" w:pos="8306"/>
      </w:tabs>
      <w:snapToGrid w:val="0"/>
    </w:pPr>
    <w:rPr>
      <w:sz w:val="20"/>
      <w:szCs w:val="20"/>
    </w:rPr>
  </w:style>
  <w:style w:type="character" w:customStyle="1" w:styleId="a4">
    <w:name w:val="頁首 字元"/>
    <w:basedOn w:val="a0"/>
    <w:link w:val="a3"/>
    <w:uiPriority w:val="99"/>
    <w:rsid w:val="000C432D"/>
    <w:rPr>
      <w:sz w:val="20"/>
      <w:szCs w:val="20"/>
    </w:rPr>
  </w:style>
  <w:style w:type="paragraph" w:styleId="a5">
    <w:name w:val="footer"/>
    <w:basedOn w:val="a"/>
    <w:link w:val="a6"/>
    <w:uiPriority w:val="99"/>
    <w:unhideWhenUsed/>
    <w:rsid w:val="000C432D"/>
    <w:pPr>
      <w:tabs>
        <w:tab w:val="center" w:pos="4153"/>
        <w:tab w:val="right" w:pos="8306"/>
      </w:tabs>
      <w:snapToGrid w:val="0"/>
    </w:pPr>
    <w:rPr>
      <w:sz w:val="20"/>
      <w:szCs w:val="20"/>
    </w:rPr>
  </w:style>
  <w:style w:type="character" w:customStyle="1" w:styleId="a6">
    <w:name w:val="頁尾 字元"/>
    <w:basedOn w:val="a0"/>
    <w:link w:val="a5"/>
    <w:uiPriority w:val="99"/>
    <w:rsid w:val="000C432D"/>
    <w:rPr>
      <w:sz w:val="20"/>
      <w:szCs w:val="20"/>
    </w:rPr>
  </w:style>
  <w:style w:type="paragraph" w:styleId="a7">
    <w:name w:val="Balloon Text"/>
    <w:basedOn w:val="a"/>
    <w:link w:val="a8"/>
    <w:uiPriority w:val="99"/>
    <w:semiHidden/>
    <w:unhideWhenUsed/>
    <w:rsid w:val="00E41449"/>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E4144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231</Words>
  <Characters>1317</Characters>
  <Application>Microsoft Office Word</Application>
  <DocSecurity>0</DocSecurity>
  <Lines>10</Lines>
  <Paragraphs>3</Paragraphs>
  <ScaleCrop>false</ScaleCrop>
  <Company>CBC</Company>
  <LinksUpToDate>false</LinksUpToDate>
  <CharactersWithSpaces>1545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中央銀行</dc:creator>
  <cp:lastModifiedBy>陳勝傑</cp:lastModifiedBy>
  <cp:revision>28</cp:revision>
  <cp:lastPrinted>2018-10-16T09:46:00Z</cp:lastPrinted>
  <dcterms:created xsi:type="dcterms:W3CDTF">2018-10-16T02:21:00Z</dcterms:created>
  <dcterms:modified xsi:type="dcterms:W3CDTF">2018-11-12T02:02:00Z</dcterms:modified>
</cp:coreProperties>
</file>