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69" w:rsidRPr="00192ACC" w:rsidRDefault="00472E69" w:rsidP="00192ACC">
      <w:pPr>
        <w:spacing w:line="500" w:lineRule="exact"/>
        <w:jc w:val="center"/>
        <w:rPr>
          <w:rFonts w:ascii="標楷體" w:eastAsia="標楷體" w:hAnsi="標楷體"/>
          <w:b/>
          <w:sz w:val="32"/>
          <w:szCs w:val="32"/>
        </w:rPr>
      </w:pPr>
      <w:bookmarkStart w:id="0" w:name="_GoBack"/>
      <w:r w:rsidRPr="00192ACC">
        <w:rPr>
          <w:rFonts w:ascii="標楷體" w:eastAsia="標楷體" w:hAnsi="標楷體" w:hint="eastAsia"/>
          <w:b/>
          <w:sz w:val="32"/>
          <w:szCs w:val="32"/>
        </w:rPr>
        <w:t>銀行業辦理外匯業務作業規範第四點、第九點修正規定</w:t>
      </w:r>
      <w:bookmarkEnd w:id="0"/>
    </w:p>
    <w:p w:rsidR="00DE7D7D" w:rsidRPr="00E41449" w:rsidRDefault="00DE7D7D" w:rsidP="00E41449">
      <w:pPr>
        <w:spacing w:line="500" w:lineRule="exact"/>
        <w:ind w:left="640" w:hangingChars="200" w:hanging="640"/>
        <w:jc w:val="both"/>
        <w:rPr>
          <w:rFonts w:ascii="標楷體" w:eastAsia="標楷體" w:hAnsi="標楷體"/>
          <w:sz w:val="32"/>
          <w:szCs w:val="32"/>
        </w:rPr>
      </w:pPr>
      <w:r w:rsidRPr="00E41449">
        <w:rPr>
          <w:rFonts w:ascii="標楷體" w:eastAsia="標楷體" w:hAnsi="標楷體" w:hint="eastAsia"/>
          <w:sz w:val="32"/>
          <w:szCs w:val="32"/>
        </w:rPr>
        <w:t>四、指定銀行及中華郵政股份有限公司所屬郵局辦理境內及跨境之一般匯出及匯入匯款業務，除應依洗錢防制法、資恐防制法及其相關規定辦理外，並依下列規定辦理。但上述機構間為其本身資金移轉及清算所為之匯款，不在此限：</w:t>
      </w:r>
    </w:p>
    <w:p w:rsidR="00DE7D7D" w:rsidRPr="00E41449" w:rsidRDefault="00DE7D7D" w:rsidP="00C34F17">
      <w:pPr>
        <w:spacing w:line="500" w:lineRule="exact"/>
        <w:ind w:leftChars="250" w:left="600"/>
        <w:jc w:val="both"/>
        <w:rPr>
          <w:rFonts w:ascii="標楷體" w:eastAsia="標楷體" w:hAnsi="標楷體"/>
          <w:sz w:val="32"/>
          <w:szCs w:val="32"/>
        </w:rPr>
      </w:pPr>
      <w:r w:rsidRPr="00E41449">
        <w:rPr>
          <w:rFonts w:ascii="標楷體" w:eastAsia="標楷體" w:hAnsi="標楷體" w:hint="eastAsia"/>
          <w:sz w:val="32"/>
          <w:szCs w:val="32"/>
        </w:rPr>
        <w:t>(一)匯出匯款業務：</w:t>
      </w:r>
    </w:p>
    <w:p w:rsidR="00DE7D7D" w:rsidRPr="00E41449" w:rsidRDefault="00DE7D7D" w:rsidP="00C34F17">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1.憑辦文件：應憑顧客填具有關文件及查驗身分文件或基本登記資料後辦理；其中公司、有限合夥、行號部分，應查詢經濟部全國商工行政服務入口網站之「公司登記查詢」、「有限合夥登記查詢」、「商業登記查詢」確認公司、有限合夥、行號基本登記資料。另以新臺幣結購且每筆結購金額達新臺幣五十萬元等值外幣者，應依外匯收支或交易申報辦法（以下簡稱申報辦法）及銀行業輔導客戶申報外匯收支或交易應注意事項（以下簡稱應注意事項）辦理，並確實輔導申報義務人詳實申報。</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2.掣發單證：匯出款項以新臺幣結購者，應掣發賣匯水單；其未以新臺幣結購者，應掣發其他交易憑證。</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3.發送電文：應包含必要及正確之匯款人資訊、必要之受款人資訊。</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4.提供資訊：收到權責機關或受款行要求時，應於三個營業日內提供匯款人及受款人資訊。但檢察機關及司法警察機關要求立即提供時，應配合辦理。</w:t>
      </w:r>
    </w:p>
    <w:p w:rsidR="00DE7D7D" w:rsidRPr="00E41449" w:rsidRDefault="00DE7D7D" w:rsidP="00B611A2">
      <w:pPr>
        <w:spacing w:line="500" w:lineRule="exact"/>
        <w:ind w:leftChars="250" w:left="600"/>
        <w:jc w:val="both"/>
        <w:rPr>
          <w:rFonts w:ascii="標楷體" w:eastAsia="標楷體" w:hAnsi="標楷體"/>
          <w:sz w:val="32"/>
          <w:szCs w:val="32"/>
        </w:rPr>
      </w:pPr>
      <w:r w:rsidRPr="00E41449">
        <w:rPr>
          <w:rFonts w:ascii="標楷體" w:eastAsia="標楷體" w:hAnsi="標楷體" w:hint="eastAsia"/>
          <w:sz w:val="32"/>
          <w:szCs w:val="32"/>
        </w:rPr>
        <w:lastRenderedPageBreak/>
        <w:t>(二)匯入匯款業務：</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1.憑辦文件：應憑匯入匯款通知書、外幣票據或外幣現鈔及查驗身分文件或基本登記資料後辦理；其中公司、有限合夥、行號部分，應查詢經濟部全國商工行政服務入口網站之「公司登記查詢」、「有限合夥登記查詢」、「商業登記查詢」確認公司、有限合夥、行號基本登記資料。另結售為新臺幣且每筆結售金額達新臺幣五十萬元等值外幣者，應依申報辦法及應注意事項辦理，並確實輔導申報義務人詳實申報。</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2.掣發單證：匯入款項結售為新臺幣者，應掣發買匯水單；其未結售為新臺幣者，應掣發其他交易憑證。</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3.應訂定下列風險管理程序，並加強審查：</w:t>
      </w:r>
    </w:p>
    <w:p w:rsidR="00DE7D7D" w:rsidRPr="00E41449" w:rsidRDefault="00DE7D7D" w:rsidP="00B611A2">
      <w:pPr>
        <w:spacing w:line="500" w:lineRule="exact"/>
        <w:ind w:leftChars="700" w:left="2160" w:hangingChars="150" w:hanging="480"/>
        <w:jc w:val="both"/>
        <w:rPr>
          <w:rFonts w:ascii="標楷體" w:eastAsia="標楷體" w:hAnsi="標楷體"/>
          <w:sz w:val="32"/>
          <w:szCs w:val="32"/>
        </w:rPr>
      </w:pPr>
      <w:r w:rsidRPr="00E41449">
        <w:rPr>
          <w:rFonts w:ascii="標楷體" w:eastAsia="標楷體" w:hAnsi="標楷體" w:hint="eastAsia"/>
          <w:sz w:val="32"/>
          <w:szCs w:val="32"/>
        </w:rPr>
        <w:t>(1)應採取合理措施，包括可行之事後或即時監控，以辨識缺少</w:t>
      </w:r>
      <w:r w:rsidR="005E1F45" w:rsidRPr="00E41449">
        <w:rPr>
          <w:rFonts w:ascii="標楷體" w:eastAsia="標楷體" w:hAnsi="標楷體" w:hint="eastAsia"/>
          <w:sz w:val="32"/>
          <w:szCs w:val="32"/>
        </w:rPr>
        <w:t>必要</w:t>
      </w:r>
      <w:r w:rsidR="005E1F45">
        <w:rPr>
          <w:rFonts w:ascii="標楷體" w:eastAsia="標楷體" w:hAnsi="標楷體" w:hint="eastAsia"/>
          <w:sz w:val="32"/>
          <w:szCs w:val="32"/>
        </w:rPr>
        <w:t>之</w:t>
      </w:r>
      <w:r w:rsidRPr="00E41449">
        <w:rPr>
          <w:rFonts w:ascii="標楷體" w:eastAsia="標楷體" w:hAnsi="標楷體" w:hint="eastAsia"/>
          <w:sz w:val="32"/>
          <w:szCs w:val="32"/>
        </w:rPr>
        <w:t>匯款人或受款人資訊之匯款。</w:t>
      </w:r>
    </w:p>
    <w:p w:rsidR="00DE7D7D" w:rsidRPr="00E41449" w:rsidRDefault="00DE7D7D" w:rsidP="00B611A2">
      <w:pPr>
        <w:spacing w:line="500" w:lineRule="exact"/>
        <w:ind w:leftChars="700" w:left="2160" w:hangingChars="150" w:hanging="480"/>
        <w:jc w:val="both"/>
        <w:rPr>
          <w:rFonts w:ascii="標楷體" w:eastAsia="標楷體" w:hAnsi="標楷體"/>
          <w:sz w:val="32"/>
          <w:szCs w:val="32"/>
        </w:rPr>
      </w:pPr>
      <w:r w:rsidRPr="00E41449">
        <w:rPr>
          <w:rFonts w:ascii="標楷體" w:eastAsia="標楷體" w:hAnsi="標楷體" w:hint="eastAsia"/>
          <w:sz w:val="32"/>
          <w:szCs w:val="32"/>
        </w:rPr>
        <w:t>(2)對匯入款提供匯款人或受款人資訊不足者，應建立以風險為基礎之政策與程序，以判斷何時執行、拒絕或暫停缺少</w:t>
      </w:r>
      <w:r w:rsidR="005E1F45" w:rsidRPr="00E41449">
        <w:rPr>
          <w:rFonts w:ascii="標楷體" w:eastAsia="標楷體" w:hAnsi="標楷體" w:hint="eastAsia"/>
          <w:sz w:val="32"/>
          <w:szCs w:val="32"/>
        </w:rPr>
        <w:t>必要</w:t>
      </w:r>
      <w:r w:rsidR="005E1F45">
        <w:rPr>
          <w:rFonts w:ascii="標楷體" w:eastAsia="標楷體" w:hAnsi="標楷體" w:hint="eastAsia"/>
          <w:sz w:val="32"/>
          <w:szCs w:val="32"/>
        </w:rPr>
        <w:t>之</w:t>
      </w:r>
      <w:r w:rsidRPr="00E41449">
        <w:rPr>
          <w:rFonts w:ascii="標楷體" w:eastAsia="標楷體" w:hAnsi="標楷體" w:hint="eastAsia"/>
          <w:sz w:val="32"/>
          <w:szCs w:val="32"/>
        </w:rPr>
        <w:t>匯款人或受款人資訊之匯款，並採取適當之後續追蹤行動。</w:t>
      </w:r>
    </w:p>
    <w:p w:rsidR="00DE7D7D" w:rsidRPr="00E41449" w:rsidRDefault="00DE7D7D" w:rsidP="00B611A2">
      <w:pPr>
        <w:spacing w:line="500" w:lineRule="exact"/>
        <w:ind w:leftChars="250" w:left="600"/>
        <w:jc w:val="both"/>
        <w:rPr>
          <w:rFonts w:ascii="標楷體" w:eastAsia="標楷體" w:hAnsi="標楷體"/>
          <w:sz w:val="32"/>
          <w:szCs w:val="32"/>
        </w:rPr>
      </w:pPr>
      <w:r w:rsidRPr="00E41449">
        <w:rPr>
          <w:rFonts w:ascii="標楷體" w:eastAsia="標楷體" w:hAnsi="標楷體" w:hint="eastAsia"/>
          <w:sz w:val="32"/>
          <w:szCs w:val="32"/>
        </w:rPr>
        <w:t>(三)中介行：</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1.應確保轉匯過程中，所有附隨該匯款電文之匯款人及受款人資訊完整保留於轉匯出之電文中。</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2.若因技術限制而無法將附隨跨境電匯之前述必要資訊轉入國內電匯作業時，對於收到源自匯款行或其他中介行之所有資訊，應依洗錢防制法及相關規定留存紀錄。</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3.準用前款第三目規定。</w:t>
      </w:r>
    </w:p>
    <w:p w:rsidR="00DE7D7D" w:rsidRPr="00E41449" w:rsidRDefault="00DE7D7D" w:rsidP="00B611A2">
      <w:pPr>
        <w:spacing w:line="500" w:lineRule="exact"/>
        <w:ind w:leftChars="250" w:left="1240" w:hangingChars="200" w:hanging="640"/>
        <w:jc w:val="both"/>
        <w:rPr>
          <w:rFonts w:ascii="標楷體" w:eastAsia="標楷體" w:hAnsi="標楷體"/>
          <w:sz w:val="32"/>
          <w:szCs w:val="32"/>
        </w:rPr>
      </w:pPr>
      <w:r w:rsidRPr="00E41449">
        <w:rPr>
          <w:rFonts w:ascii="標楷體" w:eastAsia="標楷體" w:hAnsi="標楷體" w:hint="eastAsia"/>
          <w:sz w:val="32"/>
          <w:szCs w:val="32"/>
        </w:rPr>
        <w:t>(四)報送資料：應於承作之次營業日，將交易日報及相關明細資料傳送至本行外匯資料處理系統。</w:t>
      </w:r>
    </w:p>
    <w:p w:rsidR="00DE7D7D" w:rsidRPr="00E41449" w:rsidRDefault="00DE7D7D" w:rsidP="00B611A2">
      <w:pPr>
        <w:spacing w:line="500" w:lineRule="exact"/>
        <w:ind w:leftChars="250" w:left="600"/>
        <w:jc w:val="both"/>
        <w:rPr>
          <w:rFonts w:ascii="標楷體" w:eastAsia="標楷體" w:hAnsi="標楷體"/>
          <w:sz w:val="32"/>
          <w:szCs w:val="32"/>
        </w:rPr>
      </w:pPr>
      <w:r w:rsidRPr="00E41449">
        <w:rPr>
          <w:rFonts w:ascii="標楷體" w:eastAsia="標楷體" w:hAnsi="標楷體" w:hint="eastAsia"/>
          <w:sz w:val="32"/>
          <w:szCs w:val="32"/>
        </w:rPr>
        <w:t>前項第一款第三目、第四目、第二款第三目及第三款所稱之匯款人及受款人資訊，係指下列資訊:</w:t>
      </w:r>
    </w:p>
    <w:p w:rsidR="00DE7D7D" w:rsidRPr="00E41449" w:rsidRDefault="00DE7D7D" w:rsidP="00B611A2">
      <w:pPr>
        <w:spacing w:line="500" w:lineRule="exact"/>
        <w:ind w:leftChars="250" w:left="1240" w:hangingChars="200" w:hanging="640"/>
        <w:jc w:val="both"/>
        <w:rPr>
          <w:rFonts w:ascii="標楷體" w:eastAsia="標楷體" w:hAnsi="標楷體"/>
          <w:sz w:val="32"/>
          <w:szCs w:val="32"/>
        </w:rPr>
      </w:pPr>
      <w:r w:rsidRPr="00E41449">
        <w:rPr>
          <w:rFonts w:ascii="標楷體" w:eastAsia="標楷體" w:hAnsi="標楷體" w:hint="eastAsia"/>
          <w:sz w:val="32"/>
          <w:szCs w:val="32"/>
        </w:rPr>
        <w:t>(一)匯款人資訊：</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1.姓名。</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2.扣款帳號。若無扣款帳號，匯款行得以可查證該項匯款之獨立序號代替之。</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3.地址。匯款行得視實際狀況以其統一編號、身分證號碼、護照號碼、居留證號碼或出生日期與出生地代替之。</w:t>
      </w:r>
    </w:p>
    <w:p w:rsidR="00DE7D7D" w:rsidRPr="00E41449" w:rsidRDefault="00DE7D7D" w:rsidP="00B611A2">
      <w:pPr>
        <w:spacing w:line="500" w:lineRule="exact"/>
        <w:ind w:leftChars="250" w:left="1240" w:hangingChars="200" w:hanging="640"/>
        <w:jc w:val="both"/>
        <w:rPr>
          <w:rFonts w:ascii="標楷體" w:eastAsia="標楷體" w:hAnsi="標楷體"/>
          <w:sz w:val="32"/>
          <w:szCs w:val="32"/>
        </w:rPr>
      </w:pPr>
      <w:r w:rsidRPr="00E41449">
        <w:rPr>
          <w:rFonts w:ascii="標楷體" w:eastAsia="標楷體" w:hAnsi="標楷體" w:hint="eastAsia"/>
          <w:sz w:val="32"/>
          <w:szCs w:val="32"/>
        </w:rPr>
        <w:t>(二)受款人資訊：</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1.姓名。</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2.受款帳號。若無受款帳號，得以可查證該項匯款之獨立序號代替之。</w:t>
      </w:r>
    </w:p>
    <w:p w:rsidR="00DE7D7D" w:rsidRPr="00E41449" w:rsidRDefault="00DE7D7D" w:rsidP="00361E51">
      <w:pPr>
        <w:spacing w:line="500" w:lineRule="exact"/>
        <w:ind w:left="640" w:hangingChars="200" w:hanging="640"/>
        <w:jc w:val="both"/>
        <w:rPr>
          <w:rFonts w:ascii="標楷體" w:eastAsia="標楷體" w:hAnsi="標楷體"/>
          <w:sz w:val="32"/>
          <w:szCs w:val="32"/>
        </w:rPr>
      </w:pPr>
      <w:r w:rsidRPr="00E41449">
        <w:rPr>
          <w:rFonts w:ascii="標楷體" w:eastAsia="標楷體" w:hAnsi="標楷體" w:hint="eastAsia"/>
          <w:sz w:val="32"/>
          <w:szCs w:val="32"/>
        </w:rPr>
        <w:t>九、經許可辦理新臺幣特定金錢信託投資外幣有價證券業務之指定銀行，應依下列規定辦理：</w:t>
      </w:r>
    </w:p>
    <w:p w:rsidR="00DE7D7D" w:rsidRPr="00E41449" w:rsidRDefault="00DE7D7D" w:rsidP="00B611A2">
      <w:pPr>
        <w:spacing w:line="500" w:lineRule="exact"/>
        <w:ind w:leftChars="250" w:left="1240" w:hangingChars="200" w:hanging="640"/>
        <w:jc w:val="both"/>
        <w:rPr>
          <w:rFonts w:ascii="標楷體" w:eastAsia="標楷體" w:hAnsi="標楷體"/>
          <w:sz w:val="32"/>
          <w:szCs w:val="32"/>
        </w:rPr>
      </w:pPr>
      <w:r w:rsidRPr="00E41449">
        <w:rPr>
          <w:rFonts w:ascii="標楷體" w:eastAsia="標楷體" w:hAnsi="標楷體" w:hint="eastAsia"/>
          <w:sz w:val="32"/>
          <w:szCs w:val="32"/>
        </w:rPr>
        <w:t>(一)該信託資金之委託人以下列為限：</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1.本國自然人、領有臺灣地區相關居留證、外僑居留證或外交部核發相關身分證件之外國自然人及大陸地區人民。</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2.本國法人、經我國政府認許或依我國公司法及有限合夥法辦理分公司及分支機構登記之外國法人。</w:t>
      </w:r>
    </w:p>
    <w:p w:rsidR="00DE7D7D" w:rsidRPr="00E41449" w:rsidRDefault="00DE7D7D" w:rsidP="00B611A2">
      <w:pPr>
        <w:spacing w:line="500" w:lineRule="exact"/>
        <w:ind w:leftChars="550" w:left="1640" w:hangingChars="100" w:hanging="320"/>
        <w:jc w:val="both"/>
        <w:rPr>
          <w:rFonts w:ascii="標楷體" w:eastAsia="標楷體" w:hAnsi="標楷體"/>
          <w:sz w:val="32"/>
          <w:szCs w:val="32"/>
        </w:rPr>
      </w:pPr>
      <w:r w:rsidRPr="00E41449">
        <w:rPr>
          <w:rFonts w:ascii="標楷體" w:eastAsia="標楷體" w:hAnsi="標楷體" w:hint="eastAsia"/>
          <w:sz w:val="32"/>
          <w:szCs w:val="32"/>
        </w:rPr>
        <w:t>3.其他經金融監督管理委員會（以下簡稱金管會）或本行核准者。</w:t>
      </w:r>
    </w:p>
    <w:p w:rsidR="00DE7D7D" w:rsidRPr="00E41449" w:rsidRDefault="00DE7D7D" w:rsidP="00B611A2">
      <w:pPr>
        <w:spacing w:line="500" w:lineRule="exact"/>
        <w:ind w:leftChars="250" w:left="1240" w:hangingChars="200" w:hanging="640"/>
        <w:jc w:val="both"/>
        <w:rPr>
          <w:rFonts w:ascii="標楷體" w:eastAsia="標楷體" w:hAnsi="標楷體"/>
          <w:sz w:val="32"/>
          <w:szCs w:val="32"/>
        </w:rPr>
      </w:pPr>
      <w:r w:rsidRPr="00E41449">
        <w:rPr>
          <w:rFonts w:ascii="標楷體" w:eastAsia="標楷體" w:hAnsi="標楷體" w:hint="eastAsia"/>
          <w:sz w:val="32"/>
          <w:szCs w:val="32"/>
        </w:rPr>
        <w:t>(二)該信託資金之收受及屆期本益之攤還，均應以新臺幣為之，不得以外幣支付。</w:t>
      </w:r>
    </w:p>
    <w:p w:rsidR="00AF76D9" w:rsidRPr="00E41449" w:rsidRDefault="00DE7D7D" w:rsidP="00B611A2">
      <w:pPr>
        <w:spacing w:line="500" w:lineRule="exact"/>
        <w:ind w:leftChars="250" w:left="1240" w:hangingChars="200" w:hanging="640"/>
        <w:jc w:val="both"/>
        <w:rPr>
          <w:rFonts w:ascii="標楷體" w:eastAsia="標楷體" w:hAnsi="標楷體"/>
          <w:sz w:val="32"/>
          <w:szCs w:val="32"/>
        </w:rPr>
      </w:pPr>
      <w:r w:rsidRPr="00E41449">
        <w:rPr>
          <w:rFonts w:ascii="標楷體" w:eastAsia="標楷體" w:hAnsi="標楷體" w:hint="eastAsia"/>
          <w:sz w:val="32"/>
          <w:szCs w:val="32"/>
        </w:rPr>
        <w:t>(三)報送資料：依照本行對新臺幣特定金錢信託投資外幣有價證券業務之規定辦理申報。</w:t>
      </w:r>
    </w:p>
    <w:sectPr w:rsidR="00AF76D9" w:rsidRPr="00E41449">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A2" w:rsidRDefault="00231CA2" w:rsidP="000C432D">
      <w:r>
        <w:separator/>
      </w:r>
    </w:p>
  </w:endnote>
  <w:endnote w:type="continuationSeparator" w:id="0">
    <w:p w:rsidR="00231CA2" w:rsidRDefault="00231CA2" w:rsidP="000C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323207"/>
      <w:docPartObj>
        <w:docPartGallery w:val="Page Numbers (Bottom of Page)"/>
        <w:docPartUnique/>
      </w:docPartObj>
    </w:sdtPr>
    <w:sdtEndPr/>
    <w:sdtContent>
      <w:p w:rsidR="000C432D" w:rsidRDefault="000C432D">
        <w:pPr>
          <w:pStyle w:val="a5"/>
          <w:jc w:val="center"/>
        </w:pPr>
        <w:r>
          <w:fldChar w:fldCharType="begin"/>
        </w:r>
        <w:r>
          <w:instrText>PAGE   \* MERGEFORMAT</w:instrText>
        </w:r>
        <w:r>
          <w:fldChar w:fldCharType="separate"/>
        </w:r>
        <w:r w:rsidR="00231CA2" w:rsidRPr="00231CA2">
          <w:rPr>
            <w:noProof/>
            <w:lang w:val="zh-TW"/>
          </w:rPr>
          <w:t>1</w:t>
        </w:r>
        <w:r>
          <w:fldChar w:fldCharType="end"/>
        </w:r>
      </w:p>
    </w:sdtContent>
  </w:sdt>
  <w:p w:rsidR="000C432D" w:rsidRDefault="000C43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A2" w:rsidRDefault="00231CA2" w:rsidP="000C432D">
      <w:r>
        <w:separator/>
      </w:r>
    </w:p>
  </w:footnote>
  <w:footnote w:type="continuationSeparator" w:id="0">
    <w:p w:rsidR="00231CA2" w:rsidRDefault="00231CA2" w:rsidP="000C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7D"/>
    <w:rsid w:val="00062DA9"/>
    <w:rsid w:val="000C432D"/>
    <w:rsid w:val="00192ACC"/>
    <w:rsid w:val="001B5479"/>
    <w:rsid w:val="00231CA2"/>
    <w:rsid w:val="00361E51"/>
    <w:rsid w:val="0039604D"/>
    <w:rsid w:val="00437903"/>
    <w:rsid w:val="00472E69"/>
    <w:rsid w:val="00505E39"/>
    <w:rsid w:val="005E1F45"/>
    <w:rsid w:val="006A38EB"/>
    <w:rsid w:val="006D740C"/>
    <w:rsid w:val="007E5492"/>
    <w:rsid w:val="007F6323"/>
    <w:rsid w:val="0089255C"/>
    <w:rsid w:val="008F7706"/>
    <w:rsid w:val="00AF76D9"/>
    <w:rsid w:val="00B611A2"/>
    <w:rsid w:val="00C0054D"/>
    <w:rsid w:val="00C1199B"/>
    <w:rsid w:val="00C33E4E"/>
    <w:rsid w:val="00C34F17"/>
    <w:rsid w:val="00C45A9E"/>
    <w:rsid w:val="00DE7D7D"/>
    <w:rsid w:val="00E41449"/>
    <w:rsid w:val="00E43C5A"/>
    <w:rsid w:val="00E73919"/>
    <w:rsid w:val="00EE5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32D"/>
    <w:pPr>
      <w:tabs>
        <w:tab w:val="center" w:pos="4153"/>
        <w:tab w:val="right" w:pos="8306"/>
      </w:tabs>
      <w:snapToGrid w:val="0"/>
    </w:pPr>
    <w:rPr>
      <w:sz w:val="20"/>
      <w:szCs w:val="20"/>
    </w:rPr>
  </w:style>
  <w:style w:type="character" w:customStyle="1" w:styleId="a4">
    <w:name w:val="頁首 字元"/>
    <w:basedOn w:val="a0"/>
    <w:link w:val="a3"/>
    <w:uiPriority w:val="99"/>
    <w:rsid w:val="000C432D"/>
    <w:rPr>
      <w:sz w:val="20"/>
      <w:szCs w:val="20"/>
    </w:rPr>
  </w:style>
  <w:style w:type="paragraph" w:styleId="a5">
    <w:name w:val="footer"/>
    <w:basedOn w:val="a"/>
    <w:link w:val="a6"/>
    <w:uiPriority w:val="99"/>
    <w:unhideWhenUsed/>
    <w:rsid w:val="000C432D"/>
    <w:pPr>
      <w:tabs>
        <w:tab w:val="center" w:pos="4153"/>
        <w:tab w:val="right" w:pos="8306"/>
      </w:tabs>
      <w:snapToGrid w:val="0"/>
    </w:pPr>
    <w:rPr>
      <w:sz w:val="20"/>
      <w:szCs w:val="20"/>
    </w:rPr>
  </w:style>
  <w:style w:type="character" w:customStyle="1" w:styleId="a6">
    <w:name w:val="頁尾 字元"/>
    <w:basedOn w:val="a0"/>
    <w:link w:val="a5"/>
    <w:uiPriority w:val="99"/>
    <w:rsid w:val="000C432D"/>
    <w:rPr>
      <w:sz w:val="20"/>
      <w:szCs w:val="20"/>
    </w:rPr>
  </w:style>
  <w:style w:type="paragraph" w:styleId="a7">
    <w:name w:val="Balloon Text"/>
    <w:basedOn w:val="a"/>
    <w:link w:val="a8"/>
    <w:uiPriority w:val="99"/>
    <w:semiHidden/>
    <w:unhideWhenUsed/>
    <w:rsid w:val="00E4144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414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32D"/>
    <w:pPr>
      <w:tabs>
        <w:tab w:val="center" w:pos="4153"/>
        <w:tab w:val="right" w:pos="8306"/>
      </w:tabs>
      <w:snapToGrid w:val="0"/>
    </w:pPr>
    <w:rPr>
      <w:sz w:val="20"/>
      <w:szCs w:val="20"/>
    </w:rPr>
  </w:style>
  <w:style w:type="character" w:customStyle="1" w:styleId="a4">
    <w:name w:val="頁首 字元"/>
    <w:basedOn w:val="a0"/>
    <w:link w:val="a3"/>
    <w:uiPriority w:val="99"/>
    <w:rsid w:val="000C432D"/>
    <w:rPr>
      <w:sz w:val="20"/>
      <w:szCs w:val="20"/>
    </w:rPr>
  </w:style>
  <w:style w:type="paragraph" w:styleId="a5">
    <w:name w:val="footer"/>
    <w:basedOn w:val="a"/>
    <w:link w:val="a6"/>
    <w:uiPriority w:val="99"/>
    <w:unhideWhenUsed/>
    <w:rsid w:val="000C432D"/>
    <w:pPr>
      <w:tabs>
        <w:tab w:val="center" w:pos="4153"/>
        <w:tab w:val="right" w:pos="8306"/>
      </w:tabs>
      <w:snapToGrid w:val="0"/>
    </w:pPr>
    <w:rPr>
      <w:sz w:val="20"/>
      <w:szCs w:val="20"/>
    </w:rPr>
  </w:style>
  <w:style w:type="character" w:customStyle="1" w:styleId="a6">
    <w:name w:val="頁尾 字元"/>
    <w:basedOn w:val="a0"/>
    <w:link w:val="a5"/>
    <w:uiPriority w:val="99"/>
    <w:rsid w:val="000C432D"/>
    <w:rPr>
      <w:sz w:val="20"/>
      <w:szCs w:val="20"/>
    </w:rPr>
  </w:style>
  <w:style w:type="paragraph" w:styleId="a7">
    <w:name w:val="Balloon Text"/>
    <w:basedOn w:val="a"/>
    <w:link w:val="a8"/>
    <w:uiPriority w:val="99"/>
    <w:semiHidden/>
    <w:unhideWhenUsed/>
    <w:rsid w:val="00E4144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414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231</Words>
  <Characters>1317</Characters>
  <Application>Microsoft Office Word</Application>
  <DocSecurity>0</DocSecurity>
  <Lines>10</Lines>
  <Paragraphs>3</Paragraphs>
  <ScaleCrop>false</ScaleCrop>
  <Company>CBC</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中央銀行</dc:creator>
  <cp:lastModifiedBy>陳勝傑</cp:lastModifiedBy>
  <cp:revision>28</cp:revision>
  <cp:lastPrinted>2018-10-16T09:46:00Z</cp:lastPrinted>
  <dcterms:created xsi:type="dcterms:W3CDTF">2018-10-16T02:21:00Z</dcterms:created>
  <dcterms:modified xsi:type="dcterms:W3CDTF">2018-11-12T02:02:00Z</dcterms:modified>
</cp:coreProperties>
</file>