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B956" w14:textId="20553194" w:rsidR="00733240" w:rsidRPr="009C7A9F" w:rsidRDefault="00E67245" w:rsidP="00733240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BB50E" wp14:editId="1836AEB3">
                <wp:simplePos x="0" y="0"/>
                <wp:positionH relativeFrom="column">
                  <wp:posOffset>5013960</wp:posOffset>
                </wp:positionH>
                <wp:positionV relativeFrom="paragraph">
                  <wp:posOffset>-367665</wp:posOffset>
                </wp:positionV>
                <wp:extent cx="1343025" cy="381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E59BA" w14:textId="6F096BE4" w:rsidR="00E67245" w:rsidRPr="00E67245" w:rsidRDefault="00E67245" w:rsidP="00E67245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7245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="007E13D0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BB50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4.8pt;margin-top:-28.95pt;width:105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" filled="f" stroked="f" strokeweight=".5pt">
                <v:textbox>
                  <w:txbxContent>
                    <w:p w14:paraId="7D7E59BA" w14:textId="6F096BE4" w:rsidR="00E67245" w:rsidRPr="00E67245" w:rsidRDefault="00E67245" w:rsidP="00E67245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E67245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 w:rsidR="007E13D0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33240" w:rsidRPr="009C7A9F">
        <w:rPr>
          <w:rFonts w:ascii="Times New Roman" w:eastAsia="標楷體" w:hAnsi="Times New Roman" w:cs="Times New Roman"/>
          <w:sz w:val="28"/>
          <w:szCs w:val="28"/>
        </w:rPr>
        <w:t>編輯先生</w:t>
      </w:r>
      <w:r w:rsidR="00733240" w:rsidRPr="009C7A9F">
        <w:rPr>
          <w:rFonts w:ascii="Times New Roman" w:eastAsia="標楷體" w:hAnsi="Times New Roman" w:cs="Times New Roman"/>
          <w:sz w:val="28"/>
          <w:szCs w:val="28"/>
        </w:rPr>
        <w:t>/</w:t>
      </w:r>
      <w:r w:rsidR="00733240" w:rsidRPr="009C7A9F">
        <w:rPr>
          <w:rFonts w:ascii="Times New Roman" w:eastAsia="標楷體" w:hAnsi="Times New Roman" w:cs="Times New Roman"/>
          <w:sz w:val="28"/>
          <w:szCs w:val="28"/>
        </w:rPr>
        <w:t>女士：</w:t>
      </w:r>
    </w:p>
    <w:p w14:paraId="0CBA24E2" w14:textId="7B5FA1EA" w:rsidR="005939C6" w:rsidRPr="009C7A9F" w:rsidRDefault="00733240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拜讀貴刊近期關於台灣經濟的報導，特別是</w:t>
      </w:r>
      <w:r w:rsidRPr="009C7A9F">
        <w:rPr>
          <w:rFonts w:ascii="Times New Roman" w:eastAsia="標楷體" w:hAnsi="Times New Roman" w:cs="Times New Roman"/>
          <w:sz w:val="28"/>
          <w:szCs w:val="28"/>
        </w:rPr>
        <w:t xml:space="preserve"> 2025 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年</w:t>
      </w:r>
      <w:r w:rsidRPr="009C7A9F">
        <w:rPr>
          <w:rFonts w:ascii="Times New Roman" w:eastAsia="標楷體" w:hAnsi="Times New Roman" w:cs="Times New Roman"/>
          <w:sz w:val="28"/>
          <w:szCs w:val="28"/>
        </w:rPr>
        <w:t xml:space="preserve"> 11 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月</w:t>
      </w:r>
      <w:r w:rsidRPr="009C7A9F">
        <w:rPr>
          <w:rFonts w:ascii="Times New Roman" w:eastAsia="標楷體" w:hAnsi="Times New Roman" w:cs="Times New Roman"/>
          <w:sz w:val="28"/>
          <w:szCs w:val="28"/>
        </w:rPr>
        <w:t xml:space="preserve"> 13 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日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台灣榮景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的潛藏風險</w:t>
      </w:r>
      <w:r w:rsidR="003066AE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The hidden risks in Taiwan's boom</w:t>
      </w:r>
      <w:r w:rsidR="003066AE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」</w:t>
      </w:r>
      <w:r w:rsidRPr="009C7A9F">
        <w:rPr>
          <w:rFonts w:ascii="Times New Roman" w:eastAsia="標楷體" w:hAnsi="Times New Roman" w:cs="Times New Roman"/>
          <w:sz w:val="28"/>
          <w:szCs w:val="28"/>
        </w:rPr>
        <w:t>一文，該文</w:t>
      </w:r>
      <w:r w:rsidR="0000302C" w:rsidRPr="009C7A9F">
        <w:rPr>
          <w:rFonts w:ascii="Times New Roman" w:eastAsia="標楷體" w:hAnsi="Times New Roman" w:cs="Times New Roman"/>
          <w:sz w:val="28"/>
          <w:szCs w:val="28"/>
        </w:rPr>
        <w:t>引用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大麥克指數推測新台幣匯率被高度低估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其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主要推論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：</w:t>
      </w:r>
      <w:r w:rsidR="000E7DE1" w:rsidRPr="009C7A9F">
        <w:rPr>
          <w:rFonts w:ascii="Times New Roman" w:eastAsia="標楷體" w:hAnsi="Times New Roman" w:cs="Times New Roman"/>
          <w:sz w:val="28"/>
          <w:szCs w:val="28"/>
        </w:rPr>
        <w:t>(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1)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台灣央行</w:t>
      </w:r>
      <w:r w:rsidR="009D3F5D" w:rsidRPr="009C7A9F">
        <w:rPr>
          <w:rFonts w:ascii="Times New Roman" w:eastAsia="標楷體" w:hAnsi="Times New Roman" w:cs="Times New Roman"/>
          <w:sz w:val="28"/>
          <w:szCs w:val="28"/>
        </w:rPr>
        <w:t>基於出口商經營壓力考量，</w:t>
      </w:r>
      <w:r w:rsidR="004B6A3E" w:rsidRPr="009C7A9F">
        <w:rPr>
          <w:rFonts w:ascii="Times New Roman" w:eastAsia="標楷體" w:hAnsi="Times New Roman" w:cs="Times New Roman"/>
          <w:sz w:val="28"/>
          <w:szCs w:val="28"/>
        </w:rPr>
        <w:t>持續干預匯市而刻意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壓低新台幣匯率，導致</w:t>
      </w:r>
      <w:r w:rsidR="006D1154" w:rsidRPr="009C7A9F">
        <w:rPr>
          <w:rFonts w:ascii="Times New Roman" w:eastAsia="標楷體" w:hAnsi="Times New Roman" w:cs="Times New Roman"/>
          <w:sz w:val="28"/>
          <w:szCs w:val="28"/>
        </w:rPr>
        <w:t>台灣出現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巨額貿易順差</w:t>
      </w:r>
      <w:r w:rsidR="006D1154" w:rsidRPr="009C7A9F">
        <w:rPr>
          <w:rFonts w:ascii="Times New Roman" w:eastAsia="標楷體" w:hAnsi="Times New Roman" w:cs="Times New Roman"/>
          <w:sz w:val="28"/>
          <w:szCs w:val="28"/>
        </w:rPr>
        <w:t>並累積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外匯存底，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亦因此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釋出</w:t>
      </w:r>
      <w:r w:rsidR="00731325" w:rsidRPr="009C7A9F">
        <w:rPr>
          <w:rFonts w:ascii="Times New Roman" w:eastAsia="標楷體" w:hAnsi="Times New Roman" w:cs="Times New Roman"/>
          <w:sz w:val="28"/>
          <w:szCs w:val="28"/>
        </w:rPr>
        <w:t>巨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額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流動性，進而造成國內低利率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環境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；</w:t>
      </w:r>
      <w:r w:rsidR="000E7DE1" w:rsidRPr="009C7A9F">
        <w:rPr>
          <w:rFonts w:ascii="Times New Roman" w:eastAsia="標楷體" w:hAnsi="Times New Roman" w:cs="Times New Roman"/>
          <w:sz w:val="28"/>
          <w:szCs w:val="28"/>
        </w:rPr>
        <w:t>(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2)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0C6463" w:rsidRPr="009C7A9F">
        <w:rPr>
          <w:rFonts w:ascii="Times New Roman" w:eastAsia="標楷體" w:hAnsi="Times New Roman" w:cs="Times New Roman"/>
          <w:sz w:val="28"/>
          <w:szCs w:val="28"/>
        </w:rPr>
        <w:t>為了</w:t>
      </w:r>
      <w:r w:rsidR="00082A00" w:rsidRPr="009C7A9F">
        <w:rPr>
          <w:rFonts w:ascii="Times New Roman" w:eastAsia="標楷體" w:hAnsi="Times New Roman" w:cs="Times New Roman"/>
          <w:sz w:val="28"/>
          <w:szCs w:val="28"/>
        </w:rPr>
        <w:t>提高</w:t>
      </w:r>
      <w:r w:rsidR="000C6463" w:rsidRPr="009C7A9F">
        <w:rPr>
          <w:rFonts w:ascii="Times New Roman" w:eastAsia="標楷體" w:hAnsi="Times New Roman" w:cs="Times New Roman"/>
          <w:sz w:val="28"/>
          <w:szCs w:val="28"/>
        </w:rPr>
        <w:t>盈餘繳庫，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採行低匯率、低利率政策</w:t>
      </w:r>
      <w:r w:rsidR="00255935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0C6463" w:rsidRPr="009C7A9F">
        <w:rPr>
          <w:rFonts w:ascii="Times New Roman" w:eastAsia="標楷體" w:hAnsi="Times New Roman" w:cs="Times New Roman"/>
          <w:sz w:val="28"/>
          <w:szCs w:val="28"/>
        </w:rPr>
        <w:t>但</w:t>
      </w:r>
      <w:r w:rsidR="00255935" w:rsidRPr="009C7A9F">
        <w:rPr>
          <w:rFonts w:ascii="Times New Roman" w:eastAsia="標楷體" w:hAnsi="Times New Roman" w:cs="Times New Roman"/>
          <w:sz w:val="28"/>
          <w:szCs w:val="28"/>
        </w:rPr>
        <w:t>這些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政策推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高房價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及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進口物價，削弱了消費者的購買力，</w:t>
      </w:r>
      <w:r w:rsidR="0030199A" w:rsidRPr="009C7A9F">
        <w:rPr>
          <w:rFonts w:ascii="Times New Roman" w:eastAsia="標楷體" w:hAnsi="Times New Roman" w:cs="Times New Roman"/>
          <w:sz w:val="28"/>
          <w:szCs w:val="28"/>
        </w:rPr>
        <w:t>同時</w:t>
      </w:r>
      <w:r w:rsidR="00AD1889" w:rsidRPr="009C7A9F">
        <w:rPr>
          <w:rFonts w:ascii="Times New Roman" w:eastAsia="標楷體" w:hAnsi="Times New Roman" w:cs="Times New Roman"/>
          <w:sz w:val="28"/>
          <w:szCs w:val="28"/>
        </w:rPr>
        <w:t>不利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勞動份額提升</w:t>
      </w:r>
      <w:r w:rsidR="00AD1889" w:rsidRPr="009C7A9F">
        <w:rPr>
          <w:rFonts w:ascii="Times New Roman" w:eastAsia="標楷體" w:hAnsi="Times New Roman" w:cs="Times New Roman"/>
          <w:sz w:val="28"/>
          <w:szCs w:val="28"/>
        </w:rPr>
        <w:t>與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產業升級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；</w:t>
      </w:r>
      <w:r w:rsidR="000E7DE1" w:rsidRPr="009C7A9F">
        <w:rPr>
          <w:rFonts w:ascii="Times New Roman" w:eastAsia="標楷體" w:hAnsi="Times New Roman" w:cs="Times New Roman"/>
          <w:sz w:val="28"/>
          <w:szCs w:val="28"/>
        </w:rPr>
        <w:t>(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3)</w:t>
      </w:r>
      <w:r w:rsidR="004B6A3E" w:rsidRPr="009C7A9F">
        <w:rPr>
          <w:rFonts w:ascii="Times New Roman" w:eastAsia="標楷體" w:hAnsi="Times New Roman" w:cs="Times New Roman"/>
          <w:sz w:val="28"/>
          <w:szCs w:val="28"/>
        </w:rPr>
        <w:t>央行巧妙將台灣巨額經常帳順差引導至壽險業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，透過干預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SWAP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市場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幫助壽險業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降低匯率風險，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進而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鼓勵其海外投資，導致</w:t>
      </w:r>
      <w:r w:rsidR="004B6A3E" w:rsidRPr="009C7A9F">
        <w:rPr>
          <w:rFonts w:ascii="Times New Roman" w:eastAsia="標楷體" w:hAnsi="Times New Roman" w:cs="Times New Roman"/>
          <w:sz w:val="28"/>
          <w:szCs w:val="28"/>
        </w:rPr>
        <w:t>其資產負債表幣別錯配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。一旦新台幣大幅升值，可能引發金融危機</w:t>
      </w:r>
      <w:r w:rsidR="00680EBF"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C8FA13B" w14:textId="4A04A16C" w:rsidR="00D70C89" w:rsidRPr="009C7A9F" w:rsidRDefault="007F2612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謹就前述論點提出</w:t>
      </w:r>
      <w:r w:rsidR="00CB7A8D" w:rsidRPr="009C7A9F">
        <w:rPr>
          <w:rFonts w:ascii="Times New Roman" w:eastAsia="標楷體" w:hAnsi="Times New Roman" w:cs="Times New Roman"/>
          <w:sz w:val="28"/>
          <w:szCs w:val="28"/>
        </w:rPr>
        <w:t>下列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意見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47DE876" w14:textId="2A3B1CF2" w:rsidR="007F2612" w:rsidRPr="009C7A9F" w:rsidRDefault="001B0C2D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新台幣匯率及購買力平價議題</w:t>
      </w:r>
    </w:p>
    <w:p w14:paraId="4499E498" w14:textId="77777777" w:rsidR="00DB459B" w:rsidRPr="009C7A9F" w:rsidRDefault="00BA733F" w:rsidP="00E26A9A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央行自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1989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月實施管理浮動匯率制度以來，基於法定職責於必要時進場調節匯市，以維持新台幣匯率之動態穩定，並未刻意壓低新台幣匯率。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長期以來，新</w:t>
      </w:r>
      <w:r w:rsidR="00BB33D0" w:rsidRPr="009C7A9F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幣匯率有升有貶，呈雙向波動，且長期走升。</w:t>
      </w:r>
    </w:p>
    <w:p w14:paraId="5F541E05" w14:textId="6DFAABB3" w:rsidR="00E26A9A" w:rsidRPr="009C7A9F" w:rsidRDefault="00BA733F" w:rsidP="00E26A9A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此外，以購買力平價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PPP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，包括大麥克指數，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來衡量均衡匯率並不適合；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國際間如世界銀行、聯合國等機構，係透過國際比較計畫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ICP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估算各國之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PPP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水準，惟世界銀行、經濟合作暨發展組織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OECD</w:t>
      </w:r>
      <w:r w:rsidR="0023097D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ICP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官方網站均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強調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PPP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旨在瞭解各國物價水準與貨幣購買力的高低，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PPP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非均衡匯率，且不宜用來衡量匯率低估或高估，更遑論以單一商品來評估一國匯率之高、低估</w:t>
      </w:r>
      <w:r w:rsidR="00E26A9A" w:rsidRPr="009C7A9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CE2377D" w14:textId="54CFBA7B" w:rsidR="00875E31" w:rsidRPr="009C7A9F" w:rsidRDefault="00875E31" w:rsidP="00875E31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壓低新台幣匯率</w:t>
      </w:r>
      <w:r w:rsidR="00B87DE1"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以</w:t>
      </w: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維持</w:t>
      </w:r>
      <w:r w:rsidR="00B87DE1"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出口商</w:t>
      </w: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競爭力</w:t>
      </w:r>
      <w:r w:rsidR="00B87DE1"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議題</w:t>
      </w:r>
    </w:p>
    <w:p w14:paraId="4B93234B" w14:textId="1F19CFF5" w:rsidR="00900174" w:rsidRPr="009C7A9F" w:rsidRDefault="00875E31" w:rsidP="00875E3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該文認為央行受出口商</w:t>
      </w:r>
      <w:r w:rsidR="00F92CB4" w:rsidRPr="009C7A9F">
        <w:rPr>
          <w:rFonts w:ascii="Times New Roman" w:eastAsia="標楷體" w:hAnsi="Times New Roman" w:cs="Times New Roman"/>
          <w:sz w:val="28"/>
          <w:szCs w:val="28"/>
        </w:rPr>
        <w:t>遊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說而刻意壓低新台幣匯率，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事實上，金融自由化後，國內外匯市場參與者眾多，新</w:t>
      </w:r>
      <w:r w:rsidR="00BB33D0" w:rsidRPr="009C7A9F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幣匯率係由多元之外匯供給者與需求者依市場機制共同決定，無法亦不可能針對特定產業進行調整</w:t>
      </w:r>
      <w:r w:rsidR="00B36C49" w:rsidRPr="009C7A9F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央行僅依其法定職責，於必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要時調節匯市，以維持新</w:t>
      </w:r>
      <w:r w:rsidR="00BB33D0" w:rsidRPr="009C7A9F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幣匯率之動態穩定；相關調節措施並非產業政策</w:t>
      </w:r>
      <w:r w:rsidR="00B36C49" w:rsidRPr="009C7A9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一環，央行亦不會藉由壓低新</w:t>
      </w:r>
      <w:r w:rsidR="00BB33D0" w:rsidRPr="009C7A9F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900174" w:rsidRPr="009C7A9F">
        <w:rPr>
          <w:rFonts w:ascii="Times New Roman" w:eastAsia="標楷體" w:hAnsi="Times New Roman" w:cs="Times New Roman" w:hint="eastAsia"/>
          <w:sz w:val="28"/>
          <w:szCs w:val="28"/>
        </w:rPr>
        <w:t>幣匯率以維持廠商出口競爭力。</w:t>
      </w:r>
    </w:p>
    <w:p w14:paraId="417A0F38" w14:textId="3DE7D235" w:rsidR="00873CE1" w:rsidRPr="009C7A9F" w:rsidRDefault="003E2E55" w:rsidP="00873CE1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台灣</w:t>
      </w:r>
      <w:r w:rsidR="00BB33D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經常帳順差</w:t>
      </w:r>
      <w:r w:rsidR="001B0C2D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及貿易</w:t>
      </w:r>
      <w:r w:rsidR="0073324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順</w:t>
      </w:r>
      <w:r w:rsidR="0036130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差</w:t>
      </w:r>
      <w:r w:rsidR="0073324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議題</w:t>
      </w:r>
    </w:p>
    <w:p w14:paraId="3A5A96D8" w14:textId="24D98924" w:rsidR="005F1164" w:rsidRPr="009C7A9F" w:rsidRDefault="005F1164" w:rsidP="005F1164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金融自由化後，無論是全球或台灣，金融帳交易占外匯交易的比重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已超逾</w:t>
      </w:r>
      <w:r w:rsidRPr="009C7A9F">
        <w:rPr>
          <w:rFonts w:ascii="Times New Roman" w:eastAsia="標楷體" w:hAnsi="Times New Roman" w:cs="Times New Roman"/>
          <w:sz w:val="28"/>
          <w:szCs w:val="28"/>
        </w:rPr>
        <w:t>9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成，成為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影響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匯率的主因，匯率與經常帳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9C7A9F">
        <w:rPr>
          <w:rFonts w:ascii="Times New Roman" w:eastAsia="標楷體" w:hAnsi="Times New Roman" w:cs="Times New Roman"/>
          <w:sz w:val="28"/>
          <w:szCs w:val="28"/>
        </w:rPr>
        <w:t>關聯性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因而顯著降低</w:t>
      </w:r>
      <w:r w:rsidRPr="009C7A9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F4FBFC4" w14:textId="796A89AE" w:rsidR="005F1164" w:rsidRPr="009C7A9F" w:rsidRDefault="005F1164" w:rsidP="005F1164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就</w:t>
      </w:r>
      <w:r w:rsidR="00BB33D0" w:rsidRPr="009C7A9F">
        <w:rPr>
          <w:rFonts w:ascii="Times New Roman" w:eastAsia="標楷體" w:hAnsi="Times New Roman" w:cs="Times New Roman" w:hint="eastAsia"/>
          <w:sz w:val="28"/>
          <w:szCs w:val="28"/>
        </w:rPr>
        <w:t>經常帳順差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而言，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長期以來，台灣因人口老化、國內投資動能不足，呈現高儲蓄率、低投資率而</w:t>
      </w:r>
      <w:r w:rsidR="005D57FB" w:rsidRPr="009C7A9F">
        <w:rPr>
          <w:rFonts w:ascii="Times New Roman" w:eastAsia="標楷體" w:hAnsi="Times New Roman" w:cs="Times New Roman" w:hint="eastAsia"/>
          <w:sz w:val="28"/>
          <w:szCs w:val="28"/>
        </w:rPr>
        <w:t>形成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超額儲蓄。台灣經常帳順差持續擴大，反映國內長期儲蓄高、投資低等經濟結構問題。</w:t>
      </w:r>
      <w:r w:rsidR="005D57FB" w:rsidRPr="009C7A9F">
        <w:rPr>
          <w:rFonts w:ascii="Times New Roman" w:eastAsia="標楷體" w:hAnsi="Times New Roman" w:cs="Times New Roman" w:hint="eastAsia"/>
          <w:sz w:val="28"/>
          <w:szCs w:val="28"/>
        </w:rPr>
        <w:t>此外，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我國出口品之生產原料多仰賴進口，農工原料進口占總進口的比重約</w:t>
      </w:r>
      <w:r w:rsidRPr="009C7A9F">
        <w:rPr>
          <w:rFonts w:ascii="Times New Roman" w:eastAsia="標楷體" w:hAnsi="Times New Roman" w:cs="Times New Roman"/>
          <w:sz w:val="28"/>
          <w:szCs w:val="28"/>
        </w:rPr>
        <w:t>2/3</w:t>
      </w:r>
      <w:r w:rsidR="005D57FB" w:rsidRPr="009C7A9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新台幣匯率升貶，不僅影響出口價格，亦同時影響進口成本，兩者</w:t>
      </w:r>
      <w:r w:rsidR="005D57FB" w:rsidRPr="009C7A9F">
        <w:rPr>
          <w:rFonts w:ascii="Times New Roman" w:eastAsia="標楷體" w:hAnsi="Times New Roman" w:cs="Times New Roman" w:hint="eastAsia"/>
          <w:sz w:val="28"/>
          <w:szCs w:val="28"/>
        </w:rPr>
        <w:t>效果</w:t>
      </w:r>
      <w:r w:rsidRPr="009C7A9F">
        <w:rPr>
          <w:rFonts w:ascii="Times New Roman" w:eastAsia="標楷體" w:hAnsi="Times New Roman" w:cs="Times New Roman"/>
          <w:sz w:val="28"/>
          <w:szCs w:val="28"/>
        </w:rPr>
        <w:t>部分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相互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抵銷</w:t>
      </w:r>
      <w:r w:rsidRPr="009C7A9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F311EA" w:rsidRPr="009C7A9F">
        <w:rPr>
          <w:rFonts w:ascii="標楷體" w:eastAsia="標楷體" w:hAnsi="標楷體" w:cs="Times New Roman" w:hint="eastAsia"/>
          <w:sz w:val="28"/>
          <w:szCs w:val="28"/>
        </w:rPr>
        <w:t>使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匯率升貶對出口的影響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相對有限</w:t>
      </w:r>
      <w:r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5D57FB" w:rsidRPr="009C7A9F">
        <w:rPr>
          <w:rFonts w:ascii="Times New Roman" w:eastAsia="標楷體" w:hAnsi="Times New Roman" w:cs="Times New Roman" w:hint="eastAsia"/>
          <w:sz w:val="28"/>
          <w:szCs w:val="28"/>
        </w:rPr>
        <w:t>亦使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匯率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作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為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調整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貿易失衡的工具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更具侷限性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A13063B" w14:textId="042FF1F4" w:rsidR="00B57787" w:rsidRPr="009C7A9F" w:rsidRDefault="00EC7C34" w:rsidP="00B57787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尤其自</w:t>
      </w:r>
      <w:r w:rsidRPr="009C7A9F">
        <w:rPr>
          <w:rFonts w:ascii="Times New Roman" w:eastAsia="標楷體" w:hAnsi="Times New Roman" w:cs="Times New Roman"/>
          <w:sz w:val="28"/>
          <w:szCs w:val="28"/>
        </w:rPr>
        <w:t>2018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年美中貿易衝突升溫以來，台灣貿易順差擴大，主要係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受惠於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國外需求成長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全球供應鏈調整，以及台灣產業結構升級與高科技產品的國際競爭力</w:t>
      </w:r>
      <w:r w:rsidR="00F311EA" w:rsidRPr="009C7A9F">
        <w:rPr>
          <w:rFonts w:ascii="Times New Roman" w:eastAsia="標楷體" w:hAnsi="Times New Roman" w:cs="Times New Roman" w:hint="eastAsia"/>
          <w:sz w:val="28"/>
          <w:szCs w:val="28"/>
        </w:rPr>
        <w:t>持續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提升所致，匯率並非主要影響因素。</w:t>
      </w:r>
    </w:p>
    <w:p w14:paraId="57DF7351" w14:textId="45BEC497" w:rsidR="00733240" w:rsidRPr="009C7A9F" w:rsidRDefault="007F2612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台灣外匯存底增加</w:t>
      </w:r>
      <w:r w:rsidR="00B87DE1"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議題</w:t>
      </w:r>
    </w:p>
    <w:p w14:paraId="2D357159" w14:textId="3CB89D06" w:rsidR="007F2612" w:rsidRPr="009C7A9F" w:rsidRDefault="007F2612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台灣外匯存底的增加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一部分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確實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係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基於維持匯率穩定之法定職責進場調節匯市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所致，</w:t>
      </w:r>
      <w:r w:rsidR="00AD12D4" w:rsidRPr="009C7A9F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 w:rsidR="001B5FE2" w:rsidRPr="009C7A9F">
        <w:rPr>
          <w:rFonts w:ascii="Times New Roman" w:eastAsia="標楷體" w:hAnsi="Times New Roman" w:cs="Times New Roman"/>
          <w:sz w:val="28"/>
          <w:szCs w:val="28"/>
        </w:rPr>
        <w:t>另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有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一部分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則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來自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投資運用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所產生之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收益。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1997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年亞洲金融危機以來，多數小型開放經濟體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尤其是亞洲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，為因應資金大規模流動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衝擊，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多</w:t>
      </w:r>
      <w:r w:rsidR="00360FBD" w:rsidRPr="009C7A9F">
        <w:rPr>
          <w:rFonts w:ascii="Times New Roman" w:eastAsia="標楷體" w:hAnsi="Times New Roman" w:cs="Times New Roman" w:hint="eastAsia"/>
          <w:sz w:val="28"/>
          <w:szCs w:val="28"/>
        </w:rPr>
        <w:t>累積外匯存底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，以維持匯率穩定。特別是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台灣，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由於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外資高度涉入台股，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資金常於短期間內巨額且集中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流出入，嚴重影響新台幣匯率之穩定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充裕的外匯存底，可因應資金大量進出之衝擊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及較高之地緣政治風險</w:t>
      </w:r>
      <w:r w:rsidR="008F686C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助</w:t>
      </w:r>
      <w:r w:rsidR="00495EC5" w:rsidRPr="009C7A9F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維持新台幣匯率動態穩定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82DED10" w14:textId="6479D3F9" w:rsidR="007F2612" w:rsidRPr="009C7A9F" w:rsidRDefault="00B87DE1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國內</w:t>
      </w:r>
      <w:r w:rsidR="00D61352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流動性</w:t>
      </w:r>
      <w:r w:rsidRPr="009C7A9F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、</w:t>
      </w:r>
      <w:r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利率及</w:t>
      </w:r>
      <w:r w:rsidR="00036E3B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高房價</w:t>
      </w:r>
      <w:r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議題</w:t>
      </w:r>
    </w:p>
    <w:p w14:paraId="6BB37599" w14:textId="30C5F2DD" w:rsidR="00CB7A8D" w:rsidRPr="009C7A9F" w:rsidRDefault="00DC332E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B337C5" w:rsidRPr="009C7A9F">
        <w:rPr>
          <w:rFonts w:ascii="Times New Roman" w:eastAsia="標楷體" w:hAnsi="Times New Roman" w:cs="Times New Roman"/>
          <w:sz w:val="28"/>
          <w:szCs w:val="28"/>
        </w:rPr>
        <w:t>對</w:t>
      </w:r>
      <w:r w:rsidR="00314DB0" w:rsidRPr="009C7A9F">
        <w:rPr>
          <w:rFonts w:ascii="Times New Roman" w:eastAsia="標楷體" w:hAnsi="Times New Roman" w:cs="Times New Roman"/>
          <w:sz w:val="28"/>
          <w:szCs w:val="28"/>
        </w:rPr>
        <w:t>於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調節外匯市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場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釋出</w:t>
      </w:r>
      <w:r w:rsidR="00B337C5" w:rsidRPr="009C7A9F">
        <w:rPr>
          <w:rFonts w:ascii="Times New Roman" w:eastAsia="標楷體" w:hAnsi="Times New Roman" w:cs="Times New Roman"/>
          <w:sz w:val="28"/>
          <w:szCs w:val="28"/>
        </w:rPr>
        <w:t>至銀行體系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之流動性，已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運用各項沖銷工具妥善管理</w:t>
      </w:r>
      <w:r w:rsidR="002C765A" w:rsidRPr="009C7A9F">
        <w:rPr>
          <w:rFonts w:ascii="Times New Roman" w:eastAsia="標楷體" w:hAnsi="Times New Roman" w:cs="Times New Roman"/>
          <w:sz w:val="28"/>
          <w:szCs w:val="28"/>
        </w:rPr>
        <w:t>，使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國內準備貨幣增幅維持穩定，並未隨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外匯存底之累積而快速增加。</w:t>
      </w:r>
      <w:r w:rsidR="00760919" w:rsidRPr="009C7A9F">
        <w:rPr>
          <w:rFonts w:ascii="Times New Roman" w:eastAsia="標楷體" w:hAnsi="Times New Roman" w:cs="Times New Roman"/>
          <w:sz w:val="28"/>
          <w:szCs w:val="28"/>
        </w:rPr>
        <w:t>至</w:t>
      </w:r>
      <w:r w:rsidR="00760919" w:rsidRPr="009C7A9F">
        <w:rPr>
          <w:rFonts w:ascii="Times New Roman" w:eastAsia="標楷體" w:hAnsi="Times New Roman" w:cs="Times New Roman"/>
          <w:sz w:val="28"/>
          <w:szCs w:val="28"/>
        </w:rPr>
        <w:lastRenderedPageBreak/>
        <w:t>於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台灣利率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低而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平穩，主要係反映通膨率長期相對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先進經濟體低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且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溫和。</w:t>
      </w:r>
    </w:p>
    <w:p w14:paraId="6DC3403D" w14:textId="2EB187CC" w:rsidR="00036E3B" w:rsidRPr="009C7A9F" w:rsidRDefault="00760919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另一方面，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影響房價因素眾多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利率僅是其中之一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，房市問題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須賴中央相關部會與地方政府共同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解決</w:t>
      </w:r>
      <w:r w:rsidR="009B7AEC" w:rsidRPr="009C7A9F">
        <w:rPr>
          <w:rFonts w:ascii="Times New Roman" w:eastAsia="標楷體" w:hAnsi="Times New Roman" w:cs="Times New Roman"/>
          <w:sz w:val="28"/>
          <w:szCs w:val="28"/>
        </w:rPr>
        <w:t>，央行依分工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適時</w:t>
      </w:r>
      <w:r w:rsidR="00036E3B" w:rsidRPr="009C7A9F">
        <w:rPr>
          <w:rFonts w:ascii="Times New Roman" w:eastAsia="標楷體" w:hAnsi="Times New Roman" w:cs="Times New Roman"/>
          <w:sz w:val="28"/>
          <w:szCs w:val="28"/>
        </w:rPr>
        <w:t>採行選擇性信用管制措施，以減緩信用資源流向不動產市場。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例如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2020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年迄今，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七度調整選擇性信用管制措施，</w:t>
      </w:r>
      <w:r w:rsidR="009B7AEC" w:rsidRPr="009C7A9F">
        <w:rPr>
          <w:rFonts w:ascii="Times New Roman" w:eastAsia="標楷體" w:hAnsi="Times New Roman" w:cs="Times New Roman"/>
          <w:sz w:val="28"/>
          <w:szCs w:val="28"/>
        </w:rPr>
        <w:t>信用資源集中不動產貸款情形逐漸改善，房市交易減緩，房價漲勢趨緩，民眾對房價上漲預期心理趨緩，政策成效逐漸顯現</w:t>
      </w:r>
      <w:r w:rsidR="00F8304E" w:rsidRPr="009C7A9F">
        <w:rPr>
          <w:rFonts w:ascii="Times New Roman" w:eastAsia="標楷體" w:hAnsi="Times New Roman" w:cs="Times New Roman"/>
          <w:sz w:val="28"/>
          <w:szCs w:val="28"/>
        </w:rPr>
        <w:t>。</w:t>
      </w:r>
      <w:r w:rsidR="00C406A5" w:rsidRPr="009C7A9F">
        <w:rPr>
          <w:rFonts w:ascii="Times New Roman" w:eastAsia="標楷體" w:hAnsi="Times New Roman" w:cs="Times New Roman"/>
          <w:sz w:val="28"/>
          <w:szCs w:val="28"/>
        </w:rPr>
        <w:t>而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央行利率政策主要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係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因應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國內</w:t>
      </w:r>
      <w:r w:rsidR="00E352AC" w:rsidRPr="009C7A9F">
        <w:rPr>
          <w:rFonts w:ascii="Times New Roman" w:eastAsia="標楷體" w:hAnsi="Times New Roman" w:cs="Times New Roman"/>
          <w:sz w:val="28"/>
          <w:szCs w:val="28"/>
        </w:rPr>
        <w:t>通膨</w:t>
      </w:r>
      <w:r w:rsidR="00215B66" w:rsidRPr="009C7A9F">
        <w:rPr>
          <w:rFonts w:ascii="Times New Roman" w:eastAsia="標楷體" w:hAnsi="Times New Roman" w:cs="Times New Roman"/>
          <w:sz w:val="28"/>
          <w:szCs w:val="28"/>
        </w:rPr>
        <w:t>之發展</w:t>
      </w:r>
      <w:r w:rsidR="009B7AEC"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52F8EC5" w14:textId="7B8D608F" w:rsidR="00036E3B" w:rsidRPr="009C7A9F" w:rsidRDefault="00036E3B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台灣</w:t>
      </w:r>
      <w:r w:rsidR="009B7AEC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購買力</w:t>
      </w: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及</w:t>
      </w:r>
      <w:r w:rsidR="009B7AEC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勞動份額</w:t>
      </w:r>
      <w:r w:rsidR="0073324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議題</w:t>
      </w:r>
    </w:p>
    <w:p w14:paraId="512E9B37" w14:textId="0B8DACE2" w:rsidR="00654F06" w:rsidRPr="009C7A9F" w:rsidRDefault="004C3A86" w:rsidP="00654F06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該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文提及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灣購買力受損之情形。長期以來，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灣通膨率低且穩定，如以國際清算銀行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BIS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以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64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個經濟體所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編製之名目有效匯率指數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NEER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及實質有效匯率指數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REER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觀察，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1995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年至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2025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年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10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月期間，新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幣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NEER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較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1995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年升值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9.6%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，惟同期間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REER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則下降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18.9%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，兩者間的差異主要反映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灣物價漲幅較主要貿易對手國漲幅低約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35.2%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，顯示國內物價長期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相對</w:t>
      </w:r>
      <w:r w:rsidR="00654F06" w:rsidRPr="009C7A9F">
        <w:rPr>
          <w:rFonts w:ascii="Times New Roman" w:eastAsia="標楷體" w:hAnsi="Times New Roman" w:cs="Times New Roman"/>
          <w:sz w:val="28"/>
          <w:szCs w:val="28"/>
        </w:rPr>
        <w:t>低且穩定，有助於購買力提升。</w:t>
      </w:r>
    </w:p>
    <w:p w14:paraId="04057117" w14:textId="1C87D111" w:rsidR="00654F06" w:rsidRPr="009C7A9F" w:rsidRDefault="00654F06" w:rsidP="00654F06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另自</w:t>
      </w:r>
      <w:r w:rsidRPr="009C7A9F">
        <w:rPr>
          <w:rFonts w:ascii="Times New Roman" w:eastAsia="標楷體" w:hAnsi="Times New Roman" w:cs="Times New Roman"/>
          <w:sz w:val="28"/>
          <w:szCs w:val="28"/>
        </w:rPr>
        <w:t>2021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年底起，政府為因應</w:t>
      </w:r>
      <w:r w:rsidRPr="009C7A9F">
        <w:rPr>
          <w:rFonts w:ascii="Times New Roman" w:eastAsia="標楷體" w:hAnsi="Times New Roman" w:cs="Times New Roman"/>
          <w:sz w:val="28"/>
          <w:szCs w:val="28"/>
        </w:rPr>
        <w:t>COVID-19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疫情及俄烏戰爭等供給面衝擊，陸續採行多項穩定物價措施，包括平穩油電價格，以及調降關稅、貨物稅與營業稅等，</w:t>
      </w:r>
      <w:r w:rsidR="00AB002F" w:rsidRPr="009C7A9F">
        <w:rPr>
          <w:rFonts w:ascii="Times New Roman" w:eastAsia="標楷體" w:hAnsi="Times New Roman" w:cs="Times New Roman" w:hint="eastAsia"/>
          <w:sz w:val="28"/>
          <w:szCs w:val="28"/>
        </w:rPr>
        <w:t>減緩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國內物價上漲壓力，</w:t>
      </w:r>
      <w:r w:rsidR="00AB002F" w:rsidRPr="009C7A9F">
        <w:rPr>
          <w:rFonts w:ascii="Times New Roman" w:eastAsia="標楷體" w:hAnsi="Times New Roman" w:cs="Times New Roman" w:hint="eastAsia"/>
          <w:sz w:val="28"/>
          <w:szCs w:val="28"/>
        </w:rPr>
        <w:t>有助維持國人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實質購買力。</w:t>
      </w:r>
    </w:p>
    <w:p w14:paraId="1485A7B5" w14:textId="74DC1B50" w:rsidR="00654F06" w:rsidRPr="009C7A9F" w:rsidRDefault="00654F06" w:rsidP="00654F06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此外，依據世界銀行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2021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年</w:t>
      </w:r>
      <w:r w:rsidRPr="009C7A9F">
        <w:rPr>
          <w:rFonts w:ascii="Times New Roman" w:eastAsia="標楷體" w:hAnsi="Times New Roman" w:cs="Times New Roman"/>
          <w:sz w:val="28"/>
          <w:szCs w:val="28"/>
        </w:rPr>
        <w:t>ICP</w:t>
      </w:r>
      <w:r w:rsidRPr="009C7A9F">
        <w:rPr>
          <w:rFonts w:ascii="Times New Roman" w:eastAsia="標楷體" w:hAnsi="Times New Roman" w:cs="Times New Roman"/>
          <w:sz w:val="28"/>
          <w:szCs w:val="28"/>
        </w:rPr>
        <w:t>估算結果，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灣家庭消費之物價水準，明顯低於</w:t>
      </w:r>
      <w:r w:rsidRPr="009C7A9F">
        <w:rPr>
          <w:rFonts w:ascii="Times New Roman" w:eastAsia="標楷體" w:hAnsi="Times New Roman" w:cs="Times New Roman"/>
          <w:sz w:val="28"/>
          <w:szCs w:val="28"/>
        </w:rPr>
        <w:t>G7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國家，以及南韓、新加坡與香港；另依</w:t>
      </w:r>
      <w:r w:rsidRPr="009C7A9F">
        <w:rPr>
          <w:rFonts w:ascii="Times New Roman" w:eastAsia="標楷體" w:hAnsi="Times New Roman" w:cs="Times New Roman"/>
          <w:sz w:val="28"/>
          <w:szCs w:val="28"/>
        </w:rPr>
        <w:t>IMF</w:t>
      </w:r>
      <w:r w:rsidRPr="009C7A9F">
        <w:rPr>
          <w:rFonts w:ascii="Times New Roman" w:eastAsia="標楷體" w:hAnsi="Times New Roman" w:cs="Times New Roman"/>
          <w:sz w:val="28"/>
          <w:szCs w:val="28"/>
        </w:rPr>
        <w:t>估算，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2025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年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灣名目人均</w:t>
      </w:r>
      <w:r w:rsidRPr="009C7A9F">
        <w:rPr>
          <w:rFonts w:ascii="Times New Roman" w:eastAsia="標楷體" w:hAnsi="Times New Roman" w:cs="Times New Roman"/>
          <w:sz w:val="28"/>
          <w:szCs w:val="28"/>
        </w:rPr>
        <w:t>GDP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為</w:t>
      </w:r>
      <w:r w:rsidRPr="009C7A9F">
        <w:rPr>
          <w:rFonts w:ascii="Times New Roman" w:eastAsia="標楷體" w:hAnsi="Times New Roman" w:cs="Times New Roman"/>
          <w:sz w:val="28"/>
          <w:szCs w:val="28"/>
        </w:rPr>
        <w:t>37,827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美元，惟以購買力平價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PPP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計算之人均</w:t>
      </w:r>
      <w:r w:rsidRPr="009C7A9F">
        <w:rPr>
          <w:rFonts w:ascii="Times New Roman" w:eastAsia="標楷體" w:hAnsi="Times New Roman" w:cs="Times New Roman"/>
          <w:sz w:val="28"/>
          <w:szCs w:val="28"/>
        </w:rPr>
        <w:t>GDP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則達</w:t>
      </w:r>
      <w:r w:rsidRPr="009C7A9F">
        <w:rPr>
          <w:rFonts w:ascii="Times New Roman" w:eastAsia="標楷體" w:hAnsi="Times New Roman" w:cs="Times New Roman"/>
          <w:sz w:val="28"/>
          <w:szCs w:val="28"/>
        </w:rPr>
        <w:t>85,127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美元，高於香港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78,919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、加拿大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65,500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、南韓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65,080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、英國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63,739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及日本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C7A9F">
        <w:rPr>
          <w:rFonts w:ascii="Times New Roman" w:eastAsia="標楷體" w:hAnsi="Times New Roman" w:cs="Times New Roman"/>
          <w:sz w:val="28"/>
          <w:szCs w:val="28"/>
        </w:rPr>
        <w:t>54,815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美元</w:t>
      </w:r>
      <w:r w:rsidR="0058573F" w:rsidRPr="009C7A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等經濟體。前述數據均顯示，</w:t>
      </w:r>
      <w:r w:rsidR="00632FC2" w:rsidRPr="009C7A9F">
        <w:rPr>
          <w:rFonts w:ascii="Times New Roman" w:eastAsia="標楷體" w:hAnsi="Times New Roman" w:cs="Times New Roman"/>
          <w:sz w:val="28"/>
          <w:szCs w:val="28"/>
        </w:rPr>
        <w:t>台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灣受惠於物價低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穩定的環境，經濟穩健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成長</w:t>
      </w:r>
      <w:r w:rsidR="003918E2" w:rsidRPr="009C7A9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90BBA" w:rsidRPr="009C7A9F">
        <w:rPr>
          <w:rFonts w:ascii="Times New Roman" w:eastAsia="標楷體" w:hAnsi="Times New Roman" w:cs="Times New Roman"/>
          <w:sz w:val="28"/>
          <w:szCs w:val="28"/>
        </w:rPr>
        <w:t>使</w:t>
      </w:r>
      <w:r w:rsidR="002F404C" w:rsidRPr="009C7A9F">
        <w:rPr>
          <w:rFonts w:ascii="Times New Roman" w:eastAsia="標楷體" w:hAnsi="Times New Roman" w:cs="Times New Roman" w:hint="eastAsia"/>
          <w:sz w:val="28"/>
          <w:szCs w:val="28"/>
        </w:rPr>
        <w:t>整體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實質購買力持續提升，並無該文所稱購買力受損之情形。</w:t>
      </w:r>
    </w:p>
    <w:p w14:paraId="3C686AD7" w14:textId="68B1345B" w:rsidR="00881E45" w:rsidRPr="009C7A9F" w:rsidRDefault="00881E45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另該文以單位產出勞動成本下降解釋台灣勞動份額減少，並不妥適；台灣單位勞</w:t>
      </w:r>
      <w:r w:rsidRPr="009C7A9F">
        <w:rPr>
          <w:rFonts w:ascii="Times New Roman" w:eastAsia="標楷體" w:hAnsi="Times New Roman" w:cs="Times New Roman"/>
          <w:sz w:val="28"/>
          <w:szCs w:val="28"/>
        </w:rPr>
        <w:lastRenderedPageBreak/>
        <w:t>動成本下降</w:t>
      </w:r>
      <w:r w:rsidR="00B57787" w:rsidRPr="009C7A9F"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反映產業別之消長，與</w:t>
      </w:r>
      <w:r w:rsidR="00836092" w:rsidRPr="009C7A9F">
        <w:rPr>
          <w:rFonts w:ascii="Times New Roman" w:eastAsia="標楷體" w:hAnsi="Times New Roman" w:cs="Times New Roman"/>
          <w:sz w:val="28"/>
          <w:szCs w:val="28"/>
        </w:rPr>
        <w:t>電子</w:t>
      </w:r>
      <w:r w:rsidRPr="009C7A9F">
        <w:rPr>
          <w:rFonts w:ascii="Times New Roman" w:eastAsia="標楷體" w:hAnsi="Times New Roman" w:cs="Times New Roman"/>
          <w:sz w:val="28"/>
          <w:szCs w:val="28"/>
        </w:rPr>
        <w:t>資</w:t>
      </w:r>
      <w:r w:rsidR="00584194" w:rsidRPr="009C7A9F">
        <w:rPr>
          <w:rFonts w:ascii="Times New Roman" w:eastAsia="標楷體" w:hAnsi="Times New Roman" w:cs="Times New Roman" w:hint="eastAsia"/>
          <w:sz w:val="28"/>
          <w:szCs w:val="28"/>
        </w:rPr>
        <w:t>通訊</w:t>
      </w:r>
      <w:r w:rsidR="00836092" w:rsidRPr="009C7A9F">
        <w:rPr>
          <w:rFonts w:ascii="Times New Roman" w:eastAsia="標楷體" w:hAnsi="Times New Roman" w:cs="Times New Roman" w:hint="eastAsia"/>
          <w:sz w:val="28"/>
          <w:szCs w:val="28"/>
        </w:rPr>
        <w:t>(ICT)</w:t>
      </w:r>
      <w:r w:rsidR="00836092" w:rsidRPr="009C7A9F">
        <w:rPr>
          <w:rFonts w:ascii="Times New Roman" w:eastAsia="標楷體" w:hAnsi="Times New Roman" w:cs="Times New Roman" w:hint="eastAsia"/>
          <w:sz w:val="28"/>
          <w:szCs w:val="28"/>
        </w:rPr>
        <w:t>產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業之生產力大幅成長；至於台灣勞動份額減少，</w:t>
      </w:r>
      <w:r w:rsidRPr="009C7A9F">
        <w:rPr>
          <w:rFonts w:ascii="Times New Roman" w:eastAsia="標楷體" w:hAnsi="Times New Roman" w:cs="Times New Roman" w:hint="eastAsia"/>
          <w:sz w:val="28"/>
          <w:szCs w:val="28"/>
        </w:rPr>
        <w:t>主因</w:t>
      </w:r>
      <w:r w:rsidR="009060BC" w:rsidRPr="009C7A9F">
        <w:rPr>
          <w:rFonts w:ascii="Times New Roman" w:eastAsia="標楷體" w:hAnsi="Times New Roman" w:cs="Times New Roman" w:hint="eastAsia"/>
          <w:sz w:val="28"/>
          <w:szCs w:val="28"/>
        </w:rPr>
        <w:t>台灣在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全球化、技術進步、金融化及國內製造業朝向高資本密集產業發展</w:t>
      </w:r>
      <w:r w:rsidR="009060BC" w:rsidRPr="009C7A9F">
        <w:rPr>
          <w:rFonts w:ascii="Times New Roman" w:eastAsia="標楷體" w:hAnsi="Times New Roman" w:cs="Times New Roman" w:hint="eastAsia"/>
          <w:sz w:val="28"/>
          <w:szCs w:val="28"/>
        </w:rPr>
        <w:t>所致</w:t>
      </w:r>
      <w:r w:rsidRPr="009C7A9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57787" w:rsidRPr="009C7A9F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新台幣匯率</w:t>
      </w:r>
      <w:r w:rsidR="00B57787" w:rsidRPr="009C7A9F">
        <w:rPr>
          <w:rFonts w:ascii="Times New Roman" w:eastAsia="標楷體" w:hAnsi="Times New Roman" w:cs="Times New Roman" w:hint="eastAsia"/>
          <w:sz w:val="28"/>
          <w:szCs w:val="28"/>
        </w:rPr>
        <w:t>無關</w:t>
      </w:r>
      <w:r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09EE3F2" w14:textId="2583B249" w:rsidR="00036E3B" w:rsidRPr="009C7A9F" w:rsidRDefault="00036E3B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國內壽險業與央行</w:t>
      </w: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SWAP</w:t>
      </w: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議題</w:t>
      </w:r>
    </w:p>
    <w:p w14:paraId="63CEB3E8" w14:textId="3981874A" w:rsidR="00036E3B" w:rsidRPr="009C7A9F" w:rsidRDefault="00036E3B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台灣壽險業資產負債幣別錯配，主要係因其資金來源以新台幣長期保險負債為主，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但限於</w:t>
      </w:r>
      <w:r w:rsidR="009B7AEC" w:rsidRPr="009C7A9F">
        <w:rPr>
          <w:rFonts w:ascii="Times New Roman" w:eastAsia="標楷體" w:hAnsi="Times New Roman" w:cs="Times New Roman"/>
          <w:sz w:val="28"/>
          <w:szCs w:val="28"/>
        </w:rPr>
        <w:t>政府</w:t>
      </w:r>
      <w:r w:rsidR="00A90784" w:rsidRPr="009C7A9F">
        <w:rPr>
          <w:rFonts w:ascii="Times New Roman" w:eastAsia="標楷體" w:hAnsi="Times New Roman" w:cs="Times New Roman"/>
          <w:sz w:val="28"/>
          <w:szCs w:val="28"/>
        </w:rPr>
        <w:t>為</w:t>
      </w:r>
      <w:r w:rsidR="009B7AEC" w:rsidRPr="009C7A9F">
        <w:rPr>
          <w:rFonts w:ascii="Times New Roman" w:eastAsia="標楷體" w:hAnsi="Times New Roman" w:cs="Times New Roman"/>
          <w:sz w:val="28"/>
          <w:szCs w:val="28"/>
        </w:rPr>
        <w:t>維持良好的財政紀律，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發債規模較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小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AD12D4" w:rsidRPr="009C7A9F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國內長天期投資工具不足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環境下</w:t>
      </w:r>
      <w:r w:rsidRPr="009C7A9F">
        <w:rPr>
          <w:rFonts w:ascii="Times New Roman" w:eastAsia="標楷體" w:hAnsi="Times New Roman" w:cs="Times New Roman"/>
          <w:sz w:val="28"/>
          <w:szCs w:val="28"/>
        </w:rPr>
        <w:t>，業者為匹配資產負債期限及緩解利差損而轉投資海外，並非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刻意引導。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至於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換匯交易為央行貨幣政策工具之一，央行透過參與銀行間換匯市場，充分提供外幣流動性，可降低國內外幣資金成本，並有助於國內產業發展。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因此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壽險業資產負債幣別錯配、國外投資規模擴張，與央行提供外匯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SWAP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無關。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此外，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現</w:t>
      </w:r>
      <w:r w:rsidR="005939C6" w:rsidRPr="009C7A9F">
        <w:rPr>
          <w:rFonts w:ascii="Times New Roman" w:eastAsia="標楷體" w:hAnsi="Times New Roman" w:cs="Times New Roman"/>
          <w:sz w:val="28"/>
          <w:szCs w:val="28"/>
        </w:rPr>
        <w:t>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壽險業已採行多項策略以管理匯率風險，加上金管會持續推動強化壽險業體質改革措施，應可提升業者因應金融衝擊之韌性，避免引發金融危機。</w:t>
      </w:r>
    </w:p>
    <w:p w14:paraId="3001B8E9" w14:textId="0B951E70" w:rsidR="00036E3B" w:rsidRPr="009C7A9F" w:rsidRDefault="00DC332E" w:rsidP="004A4D7D">
      <w:pPr>
        <w:pStyle w:val="a9"/>
        <w:numPr>
          <w:ilvl w:val="0"/>
          <w:numId w:val="1"/>
        </w:num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央行</w:t>
      </w:r>
      <w:r w:rsidR="00036E3B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盈餘繳庫</w:t>
      </w:r>
      <w:r w:rsidR="00733240" w:rsidRPr="009C7A9F">
        <w:rPr>
          <w:rFonts w:ascii="Times New Roman" w:eastAsia="標楷體" w:hAnsi="Times New Roman" w:cs="Times New Roman"/>
          <w:b/>
          <w:bCs/>
          <w:sz w:val="28"/>
          <w:szCs w:val="28"/>
        </w:rPr>
        <w:t>議題</w:t>
      </w:r>
    </w:p>
    <w:p w14:paraId="02BC5C37" w14:textId="3502E858" w:rsidR="00036E3B" w:rsidRPr="009C7A9F" w:rsidRDefault="00036E3B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盈餘繳庫並非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之法定經營目標，亦非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績效評估之重要指標</w:t>
      </w:r>
      <w:r w:rsidR="005A1456" w:rsidRPr="009C7A9F">
        <w:rPr>
          <w:rFonts w:ascii="Times New Roman" w:eastAsia="標楷體" w:hAnsi="Times New Roman" w:cs="Times New Roman"/>
          <w:sz w:val="28"/>
          <w:szCs w:val="28"/>
        </w:rPr>
        <w:t>。</w:t>
      </w:r>
      <w:r w:rsidR="00B6387D" w:rsidRPr="009C7A9F">
        <w:rPr>
          <w:rFonts w:ascii="Times New Roman" w:eastAsia="標楷體" w:hAnsi="Times New Roman" w:cs="Times New Roman"/>
          <w:sz w:val="28"/>
          <w:szCs w:val="28"/>
        </w:rPr>
        <w:t>根據「中央銀行法」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規定</w:t>
      </w:r>
      <w:r w:rsidR="00B6387D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持有之外幣資產因新台幣匯率變動而發生之利得或損失，不得列為當年度損益，</w:t>
      </w:r>
      <w:r w:rsidR="00E73FC9" w:rsidRPr="009C7A9F">
        <w:rPr>
          <w:rFonts w:ascii="Times New Roman" w:eastAsia="標楷體" w:hAnsi="Times New Roman" w:cs="Times New Roman" w:hint="eastAsia"/>
          <w:sz w:val="28"/>
          <w:szCs w:val="28"/>
        </w:rPr>
        <w:t>因此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Pr="009C7A9F">
        <w:rPr>
          <w:rFonts w:ascii="Times New Roman" w:eastAsia="標楷體" w:hAnsi="Times New Roman" w:cs="Times New Roman"/>
          <w:sz w:val="28"/>
          <w:szCs w:val="28"/>
        </w:rPr>
        <w:t>不須也不會為增加盈餘繳庫數而壓低新台幣匯率。</w:t>
      </w:r>
    </w:p>
    <w:p w14:paraId="0DD3BEE7" w14:textId="069633BE" w:rsidR="00C2313B" w:rsidRPr="009C7A9F" w:rsidRDefault="005A1456" w:rsidP="004A4D7D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綜上，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金融自由化以後，匯率已非單獨由經常帳決定，</w:t>
      </w:r>
      <w:r w:rsidR="00071035" w:rsidRPr="009C7A9F">
        <w:rPr>
          <w:rFonts w:ascii="Times New Roman" w:eastAsia="標楷體" w:hAnsi="Times New Roman" w:cs="Times New Roman"/>
          <w:sz w:val="28"/>
          <w:szCs w:val="28"/>
        </w:rPr>
        <w:t>央行干預外匯市場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也非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台灣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產業政策之一環</w:t>
      </w:r>
      <w:r w:rsidR="008D43C7" w:rsidRPr="009C7A9F">
        <w:rPr>
          <w:rFonts w:ascii="Times New Roman" w:eastAsia="標楷體" w:hAnsi="Times New Roman" w:cs="Times New Roman"/>
          <w:sz w:val="28"/>
          <w:szCs w:val="28"/>
        </w:rPr>
        <w:t>，再加上美國財政部透過半年</w:t>
      </w:r>
      <w:r w:rsidR="008D43C7" w:rsidRPr="009C7A9F">
        <w:rPr>
          <w:rFonts w:ascii="Times New Roman" w:eastAsia="標楷體" w:hAnsi="Times New Roman" w:cs="Times New Roman" w:hint="eastAsia"/>
          <w:sz w:val="28"/>
          <w:szCs w:val="28"/>
        </w:rPr>
        <w:t>度</w:t>
      </w:r>
      <w:r w:rsidR="008D43C7" w:rsidRPr="009C7A9F">
        <w:rPr>
          <w:rFonts w:ascii="Times New Roman" w:eastAsia="標楷體" w:hAnsi="Times New Roman" w:cs="Times New Roman"/>
          <w:sz w:val="28"/>
          <w:szCs w:val="28"/>
        </w:rPr>
        <w:t>匯率報告，密切關注主要貿易對手國匯率政策，台灣更無可能操縱匯率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。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央行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匯率政策向來維持新台幣匯率的動態穩定</w:t>
      </w:r>
      <w:r w:rsidR="002C765A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B6387D" w:rsidRPr="009C7A9F">
        <w:rPr>
          <w:rFonts w:ascii="Times New Roman" w:eastAsia="標楷體" w:hAnsi="Times New Roman" w:cs="Times New Roman"/>
          <w:sz w:val="28"/>
          <w:szCs w:val="28"/>
        </w:rPr>
        <w:t>以促進金融穩定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，</w:t>
      </w:r>
      <w:r w:rsidR="002C765A" w:rsidRPr="009C7A9F">
        <w:rPr>
          <w:rFonts w:ascii="Times New Roman" w:eastAsia="標楷體" w:hAnsi="Times New Roman" w:cs="Times New Roman"/>
          <w:sz w:val="28"/>
          <w:szCs w:val="28"/>
        </w:rPr>
        <w:t>進而協助</w:t>
      </w:r>
      <w:r w:rsidR="00DC332E" w:rsidRPr="009C7A9F">
        <w:rPr>
          <w:rFonts w:ascii="Times New Roman" w:eastAsia="標楷體" w:hAnsi="Times New Roman" w:cs="Times New Roman"/>
          <w:sz w:val="28"/>
          <w:szCs w:val="28"/>
        </w:rPr>
        <w:t>台灣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經濟</w:t>
      </w:r>
      <w:r w:rsidR="002C765A" w:rsidRPr="009C7A9F">
        <w:rPr>
          <w:rFonts w:ascii="Times New Roman" w:eastAsia="標楷體" w:hAnsi="Times New Roman" w:cs="Times New Roman"/>
          <w:sz w:val="28"/>
          <w:szCs w:val="28"/>
        </w:rPr>
        <w:t>持續</w:t>
      </w:r>
      <w:r w:rsidR="00C2313B" w:rsidRPr="009C7A9F">
        <w:rPr>
          <w:rFonts w:ascii="Times New Roman" w:eastAsia="標楷體" w:hAnsi="Times New Roman" w:cs="Times New Roman"/>
          <w:sz w:val="28"/>
          <w:szCs w:val="28"/>
        </w:rPr>
        <w:t>成長。</w:t>
      </w:r>
      <w:r w:rsidR="00574B40" w:rsidRPr="009C7A9F">
        <w:rPr>
          <w:rFonts w:ascii="Times New Roman" w:eastAsia="標楷體" w:hAnsi="Times New Roman" w:cs="Times New Roman"/>
          <w:sz w:val="28"/>
          <w:szCs w:val="28"/>
        </w:rPr>
        <w:t>我們期盼透過這些釐清，能讓</w:t>
      </w:r>
      <w:r w:rsidR="00F92CB4" w:rsidRPr="009C7A9F">
        <w:rPr>
          <w:rFonts w:ascii="Times New Roman" w:eastAsia="標楷體" w:hAnsi="Times New Roman" w:cs="Times New Roman"/>
          <w:sz w:val="28"/>
          <w:szCs w:val="28"/>
        </w:rPr>
        <w:t>外</w:t>
      </w:r>
      <w:r w:rsidR="00574B40" w:rsidRPr="009C7A9F">
        <w:rPr>
          <w:rFonts w:ascii="Times New Roman" w:eastAsia="標楷體" w:hAnsi="Times New Roman" w:cs="Times New Roman"/>
          <w:sz w:val="28"/>
          <w:szCs w:val="28"/>
        </w:rPr>
        <w:t>界對台灣經濟</w:t>
      </w:r>
      <w:r w:rsidR="00456D3C" w:rsidRPr="009C7A9F">
        <w:rPr>
          <w:rFonts w:ascii="Times New Roman" w:eastAsia="標楷體" w:hAnsi="Times New Roman" w:cs="Times New Roman"/>
          <w:sz w:val="28"/>
          <w:szCs w:val="28"/>
        </w:rPr>
        <w:t>結構</w:t>
      </w:r>
      <w:r w:rsidR="00A87DDB" w:rsidRPr="009C7A9F">
        <w:rPr>
          <w:rFonts w:ascii="Times New Roman" w:eastAsia="標楷體" w:hAnsi="Times New Roman" w:cs="Times New Roman"/>
          <w:sz w:val="28"/>
          <w:szCs w:val="28"/>
        </w:rPr>
        <w:t>的</w:t>
      </w:r>
      <w:r w:rsidR="00456D3C" w:rsidRPr="009C7A9F">
        <w:rPr>
          <w:rFonts w:ascii="Times New Roman" w:eastAsia="標楷體" w:hAnsi="Times New Roman" w:cs="Times New Roman"/>
          <w:sz w:val="28"/>
          <w:szCs w:val="28"/>
        </w:rPr>
        <w:t>現況</w:t>
      </w:r>
      <w:r w:rsidR="001C064C" w:rsidRPr="009C7A9F">
        <w:rPr>
          <w:rFonts w:ascii="Times New Roman" w:eastAsia="標楷體" w:hAnsi="Times New Roman" w:cs="Times New Roman"/>
          <w:sz w:val="28"/>
          <w:szCs w:val="28"/>
        </w:rPr>
        <w:t>及韌性</w:t>
      </w:r>
      <w:r w:rsidR="00574B40" w:rsidRPr="009C7A9F">
        <w:rPr>
          <w:rFonts w:ascii="Times New Roman" w:eastAsia="標楷體" w:hAnsi="Times New Roman" w:cs="Times New Roman"/>
          <w:sz w:val="28"/>
          <w:szCs w:val="28"/>
        </w:rPr>
        <w:t>，有更完整的</w:t>
      </w:r>
      <w:r w:rsidR="001C064C" w:rsidRPr="009C7A9F">
        <w:rPr>
          <w:rFonts w:ascii="Times New Roman" w:eastAsia="標楷體" w:hAnsi="Times New Roman" w:cs="Times New Roman"/>
          <w:sz w:val="28"/>
          <w:szCs w:val="28"/>
        </w:rPr>
        <w:t>瞭</w:t>
      </w:r>
      <w:r w:rsidR="00F92CB4" w:rsidRPr="009C7A9F">
        <w:rPr>
          <w:rFonts w:ascii="Times New Roman" w:eastAsia="標楷體" w:hAnsi="Times New Roman" w:cs="Times New Roman"/>
          <w:sz w:val="28"/>
          <w:szCs w:val="28"/>
        </w:rPr>
        <w:t>解</w:t>
      </w:r>
      <w:r w:rsidR="00574B40" w:rsidRPr="009C7A9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D074B83" w14:textId="26FA1752" w:rsidR="008F22B3" w:rsidRPr="009C7A9F" w:rsidRDefault="00C902DE" w:rsidP="00C902DE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8F22B3" w:rsidRPr="009C7A9F">
        <w:rPr>
          <w:rFonts w:ascii="Times New Roman" w:eastAsia="標楷體" w:hAnsi="Times New Roman" w:cs="Times New Roman" w:hint="eastAsia"/>
          <w:sz w:val="28"/>
          <w:szCs w:val="28"/>
        </w:rPr>
        <w:t>經濟研究處研究員</w:t>
      </w:r>
      <w:r w:rsidR="008F22B3" w:rsidRPr="009C7A9F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8F22B3" w:rsidRPr="009C7A9F">
        <w:rPr>
          <w:rFonts w:ascii="Times New Roman" w:eastAsia="標楷體" w:hAnsi="Times New Roman" w:cs="Times New Roman" w:hint="eastAsia"/>
          <w:sz w:val="28"/>
          <w:szCs w:val="28"/>
        </w:rPr>
        <w:t>外匯局一等專員</w:t>
      </w:r>
    </w:p>
    <w:p w14:paraId="101360EE" w14:textId="1D440E8F" w:rsidR="00C902DE" w:rsidRPr="009C7A9F" w:rsidRDefault="006F59FE" w:rsidP="008F22B3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/>
          <w:sz w:val="28"/>
          <w:szCs w:val="28"/>
        </w:rPr>
        <w:t>許碧純</w:t>
      </w:r>
      <w:r w:rsidR="00C902DE" w:rsidRPr="009C7A9F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="00685838" w:rsidRPr="009C7A9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902DE" w:rsidRPr="009C7A9F">
        <w:rPr>
          <w:rFonts w:ascii="Times New Roman" w:eastAsia="標楷體" w:hAnsi="Times New Roman" w:cs="Times New Roman"/>
          <w:sz w:val="28"/>
          <w:szCs w:val="28"/>
        </w:rPr>
        <w:t>陳嘉添</w:t>
      </w:r>
    </w:p>
    <w:p w14:paraId="35B1C493" w14:textId="4C93D500" w:rsidR="00925495" w:rsidRPr="00881E45" w:rsidRDefault="00734C59" w:rsidP="00734C59">
      <w:pPr>
        <w:spacing w:line="400" w:lineRule="exact"/>
        <w:ind w:leftChars="118" w:left="28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925495" w:rsidRPr="009C7A9F">
        <w:rPr>
          <w:rFonts w:ascii="Times New Roman" w:eastAsia="標楷體" w:hAnsi="Times New Roman" w:cs="Times New Roman"/>
          <w:sz w:val="26"/>
          <w:szCs w:val="26"/>
        </w:rPr>
        <w:t xml:space="preserve">                 </w:t>
      </w:r>
    </w:p>
    <w:sectPr w:rsidR="00925495" w:rsidRPr="00881E45" w:rsidSect="00680EB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A716" w14:textId="77777777" w:rsidR="000471C2" w:rsidRDefault="000471C2" w:rsidP="00C2313B">
      <w:pPr>
        <w:spacing w:after="0" w:line="240" w:lineRule="auto"/>
      </w:pPr>
      <w:r>
        <w:separator/>
      </w:r>
    </w:p>
  </w:endnote>
  <w:endnote w:type="continuationSeparator" w:id="0">
    <w:p w14:paraId="72F2A537" w14:textId="77777777" w:rsidR="000471C2" w:rsidRDefault="000471C2" w:rsidP="00C2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531063"/>
      <w:docPartObj>
        <w:docPartGallery w:val="Page Numbers (Bottom of Page)"/>
        <w:docPartUnique/>
      </w:docPartObj>
    </w:sdtPr>
    <w:sdtEndPr/>
    <w:sdtContent>
      <w:p w14:paraId="2F480183" w14:textId="6DB8B6CB" w:rsidR="00314DB0" w:rsidRDefault="00314DB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5B0DA58" w14:textId="77777777" w:rsidR="00314DB0" w:rsidRDefault="00314D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EFA0" w14:textId="77777777" w:rsidR="000471C2" w:rsidRDefault="000471C2" w:rsidP="00C2313B">
      <w:pPr>
        <w:spacing w:after="0" w:line="240" w:lineRule="auto"/>
      </w:pPr>
      <w:r>
        <w:separator/>
      </w:r>
    </w:p>
  </w:footnote>
  <w:footnote w:type="continuationSeparator" w:id="0">
    <w:p w14:paraId="2A02045E" w14:textId="77777777" w:rsidR="000471C2" w:rsidRDefault="000471C2" w:rsidP="00C23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059"/>
    <w:multiLevelType w:val="hybridMultilevel"/>
    <w:tmpl w:val="74567BB4"/>
    <w:lvl w:ilvl="0" w:tplc="3D568B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B65F5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9528E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8D318D"/>
    <w:multiLevelType w:val="hybridMultilevel"/>
    <w:tmpl w:val="5BBCC8B4"/>
    <w:lvl w:ilvl="0" w:tplc="A3265924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02760B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8370C2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107116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432AD"/>
    <w:multiLevelType w:val="hybridMultilevel"/>
    <w:tmpl w:val="5BBCC8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970264">
    <w:abstractNumId w:val="0"/>
  </w:num>
  <w:num w:numId="2" w16cid:durableId="1922254576">
    <w:abstractNumId w:val="3"/>
  </w:num>
  <w:num w:numId="3" w16cid:durableId="1462263099">
    <w:abstractNumId w:val="7"/>
  </w:num>
  <w:num w:numId="4" w16cid:durableId="1725132668">
    <w:abstractNumId w:val="4"/>
  </w:num>
  <w:num w:numId="5" w16cid:durableId="761609972">
    <w:abstractNumId w:val="6"/>
  </w:num>
  <w:num w:numId="6" w16cid:durableId="568806787">
    <w:abstractNumId w:val="5"/>
  </w:num>
  <w:num w:numId="7" w16cid:durableId="1470130112">
    <w:abstractNumId w:val="2"/>
  </w:num>
  <w:num w:numId="8" w16cid:durableId="83284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BF"/>
    <w:rsid w:val="0000302C"/>
    <w:rsid w:val="00013754"/>
    <w:rsid w:val="00016694"/>
    <w:rsid w:val="00030280"/>
    <w:rsid w:val="00030ADF"/>
    <w:rsid w:val="00033405"/>
    <w:rsid w:val="00036E3B"/>
    <w:rsid w:val="000471C2"/>
    <w:rsid w:val="0005423B"/>
    <w:rsid w:val="00056377"/>
    <w:rsid w:val="00071035"/>
    <w:rsid w:val="00082A00"/>
    <w:rsid w:val="00084382"/>
    <w:rsid w:val="000A325A"/>
    <w:rsid w:val="000A3EC3"/>
    <w:rsid w:val="000B45DC"/>
    <w:rsid w:val="000B7D66"/>
    <w:rsid w:val="000C6463"/>
    <w:rsid w:val="000E7DE1"/>
    <w:rsid w:val="000F2EC1"/>
    <w:rsid w:val="000F30CC"/>
    <w:rsid w:val="00107CD9"/>
    <w:rsid w:val="00110C39"/>
    <w:rsid w:val="00130F7F"/>
    <w:rsid w:val="00142174"/>
    <w:rsid w:val="001422E5"/>
    <w:rsid w:val="00144DFD"/>
    <w:rsid w:val="00150E58"/>
    <w:rsid w:val="00166998"/>
    <w:rsid w:val="00196C35"/>
    <w:rsid w:val="001A304E"/>
    <w:rsid w:val="001B0C2D"/>
    <w:rsid w:val="001B5FE2"/>
    <w:rsid w:val="001C064C"/>
    <w:rsid w:val="001D07F3"/>
    <w:rsid w:val="001F1788"/>
    <w:rsid w:val="00215B66"/>
    <w:rsid w:val="002179DC"/>
    <w:rsid w:val="0023097D"/>
    <w:rsid w:val="0024409F"/>
    <w:rsid w:val="00255935"/>
    <w:rsid w:val="0028082E"/>
    <w:rsid w:val="00294956"/>
    <w:rsid w:val="00295BBF"/>
    <w:rsid w:val="002B4432"/>
    <w:rsid w:val="002C765A"/>
    <w:rsid w:val="002D3746"/>
    <w:rsid w:val="002D7301"/>
    <w:rsid w:val="002F404C"/>
    <w:rsid w:val="0030199A"/>
    <w:rsid w:val="003066AE"/>
    <w:rsid w:val="00314DB0"/>
    <w:rsid w:val="003222D5"/>
    <w:rsid w:val="00341C8B"/>
    <w:rsid w:val="00343527"/>
    <w:rsid w:val="00360FBD"/>
    <w:rsid w:val="00361300"/>
    <w:rsid w:val="003918E2"/>
    <w:rsid w:val="003E02BC"/>
    <w:rsid w:val="003E2E55"/>
    <w:rsid w:val="003F329A"/>
    <w:rsid w:val="00407C9C"/>
    <w:rsid w:val="00421E37"/>
    <w:rsid w:val="00421F06"/>
    <w:rsid w:val="00422850"/>
    <w:rsid w:val="0042588F"/>
    <w:rsid w:val="0042748F"/>
    <w:rsid w:val="004452D4"/>
    <w:rsid w:val="00450369"/>
    <w:rsid w:val="004540EF"/>
    <w:rsid w:val="00456D3C"/>
    <w:rsid w:val="00474524"/>
    <w:rsid w:val="00483890"/>
    <w:rsid w:val="00495EC5"/>
    <w:rsid w:val="004A4D7D"/>
    <w:rsid w:val="004B0A77"/>
    <w:rsid w:val="004B1ACB"/>
    <w:rsid w:val="004B6A3E"/>
    <w:rsid w:val="004B7FEB"/>
    <w:rsid w:val="004C3A86"/>
    <w:rsid w:val="004D4155"/>
    <w:rsid w:val="004D7E2C"/>
    <w:rsid w:val="00500D28"/>
    <w:rsid w:val="00502BCA"/>
    <w:rsid w:val="005051B6"/>
    <w:rsid w:val="00515072"/>
    <w:rsid w:val="00517083"/>
    <w:rsid w:val="005306ED"/>
    <w:rsid w:val="005405BC"/>
    <w:rsid w:val="00550C1D"/>
    <w:rsid w:val="00571BE6"/>
    <w:rsid w:val="00574B40"/>
    <w:rsid w:val="00584194"/>
    <w:rsid w:val="0058573F"/>
    <w:rsid w:val="005939C6"/>
    <w:rsid w:val="00596919"/>
    <w:rsid w:val="0059740E"/>
    <w:rsid w:val="005A1456"/>
    <w:rsid w:val="005C1FB1"/>
    <w:rsid w:val="005C48F7"/>
    <w:rsid w:val="005D57FB"/>
    <w:rsid w:val="005F1164"/>
    <w:rsid w:val="00603080"/>
    <w:rsid w:val="006040DE"/>
    <w:rsid w:val="006061A5"/>
    <w:rsid w:val="006113C5"/>
    <w:rsid w:val="00616574"/>
    <w:rsid w:val="00625113"/>
    <w:rsid w:val="00632FC2"/>
    <w:rsid w:val="00637349"/>
    <w:rsid w:val="006475A1"/>
    <w:rsid w:val="00647D7C"/>
    <w:rsid w:val="00654F06"/>
    <w:rsid w:val="00680EBF"/>
    <w:rsid w:val="00685838"/>
    <w:rsid w:val="006A1A81"/>
    <w:rsid w:val="006A7F81"/>
    <w:rsid w:val="006C0DCA"/>
    <w:rsid w:val="006C4126"/>
    <w:rsid w:val="006D1154"/>
    <w:rsid w:val="006F59FE"/>
    <w:rsid w:val="006F6D5C"/>
    <w:rsid w:val="00707712"/>
    <w:rsid w:val="00717D5F"/>
    <w:rsid w:val="00721849"/>
    <w:rsid w:val="00731325"/>
    <w:rsid w:val="00731D3A"/>
    <w:rsid w:val="00733240"/>
    <w:rsid w:val="00734C59"/>
    <w:rsid w:val="007354C8"/>
    <w:rsid w:val="00741533"/>
    <w:rsid w:val="00760919"/>
    <w:rsid w:val="00767FEC"/>
    <w:rsid w:val="007776B6"/>
    <w:rsid w:val="0078037E"/>
    <w:rsid w:val="00787F46"/>
    <w:rsid w:val="00790D11"/>
    <w:rsid w:val="007A3741"/>
    <w:rsid w:val="007C529E"/>
    <w:rsid w:val="007D1B58"/>
    <w:rsid w:val="007E13D0"/>
    <w:rsid w:val="007E78B4"/>
    <w:rsid w:val="007F016E"/>
    <w:rsid w:val="007F2612"/>
    <w:rsid w:val="00810C75"/>
    <w:rsid w:val="0081513E"/>
    <w:rsid w:val="00830E0D"/>
    <w:rsid w:val="00836092"/>
    <w:rsid w:val="0084406F"/>
    <w:rsid w:val="008509D2"/>
    <w:rsid w:val="0085191F"/>
    <w:rsid w:val="008574A7"/>
    <w:rsid w:val="00871CB1"/>
    <w:rsid w:val="00873CE1"/>
    <w:rsid w:val="00874824"/>
    <w:rsid w:val="00875012"/>
    <w:rsid w:val="00875E31"/>
    <w:rsid w:val="00881E45"/>
    <w:rsid w:val="00891CE0"/>
    <w:rsid w:val="008B12CA"/>
    <w:rsid w:val="008C04B4"/>
    <w:rsid w:val="008C24F6"/>
    <w:rsid w:val="008D2622"/>
    <w:rsid w:val="008D43C7"/>
    <w:rsid w:val="008F22B3"/>
    <w:rsid w:val="008F5A3C"/>
    <w:rsid w:val="008F686C"/>
    <w:rsid w:val="00900174"/>
    <w:rsid w:val="009060BC"/>
    <w:rsid w:val="00925495"/>
    <w:rsid w:val="00926032"/>
    <w:rsid w:val="00967DF8"/>
    <w:rsid w:val="00991C89"/>
    <w:rsid w:val="009B7AEC"/>
    <w:rsid w:val="009C7A9F"/>
    <w:rsid w:val="009D180E"/>
    <w:rsid w:val="009D3F5D"/>
    <w:rsid w:val="009E1A2A"/>
    <w:rsid w:val="009F5397"/>
    <w:rsid w:val="00A51D0B"/>
    <w:rsid w:val="00A561F3"/>
    <w:rsid w:val="00A645C0"/>
    <w:rsid w:val="00A71A9F"/>
    <w:rsid w:val="00A84F78"/>
    <w:rsid w:val="00A87DDB"/>
    <w:rsid w:val="00A90784"/>
    <w:rsid w:val="00AA2292"/>
    <w:rsid w:val="00AB002F"/>
    <w:rsid w:val="00AB6BD9"/>
    <w:rsid w:val="00AD12D4"/>
    <w:rsid w:val="00AD1889"/>
    <w:rsid w:val="00AD2337"/>
    <w:rsid w:val="00AD6E84"/>
    <w:rsid w:val="00AE4DA1"/>
    <w:rsid w:val="00AF6194"/>
    <w:rsid w:val="00B06731"/>
    <w:rsid w:val="00B24848"/>
    <w:rsid w:val="00B278B2"/>
    <w:rsid w:val="00B324AF"/>
    <w:rsid w:val="00B337C5"/>
    <w:rsid w:val="00B36C49"/>
    <w:rsid w:val="00B52057"/>
    <w:rsid w:val="00B5349C"/>
    <w:rsid w:val="00B5773D"/>
    <w:rsid w:val="00B57787"/>
    <w:rsid w:val="00B6387D"/>
    <w:rsid w:val="00B75124"/>
    <w:rsid w:val="00B87DE1"/>
    <w:rsid w:val="00BA733F"/>
    <w:rsid w:val="00BB33D0"/>
    <w:rsid w:val="00BD0CF1"/>
    <w:rsid w:val="00BD7D40"/>
    <w:rsid w:val="00BE410D"/>
    <w:rsid w:val="00BE540E"/>
    <w:rsid w:val="00BE7CBF"/>
    <w:rsid w:val="00BF2B6E"/>
    <w:rsid w:val="00C070B2"/>
    <w:rsid w:val="00C2313B"/>
    <w:rsid w:val="00C301CF"/>
    <w:rsid w:val="00C406A5"/>
    <w:rsid w:val="00C41D64"/>
    <w:rsid w:val="00C44D74"/>
    <w:rsid w:val="00C633D4"/>
    <w:rsid w:val="00C718BE"/>
    <w:rsid w:val="00C77009"/>
    <w:rsid w:val="00C779FF"/>
    <w:rsid w:val="00C870D1"/>
    <w:rsid w:val="00C902DE"/>
    <w:rsid w:val="00C95547"/>
    <w:rsid w:val="00CB7A8D"/>
    <w:rsid w:val="00CD7D81"/>
    <w:rsid w:val="00CE2556"/>
    <w:rsid w:val="00CE5E6C"/>
    <w:rsid w:val="00D02A2C"/>
    <w:rsid w:val="00D20BD5"/>
    <w:rsid w:val="00D22944"/>
    <w:rsid w:val="00D4270F"/>
    <w:rsid w:val="00D46658"/>
    <w:rsid w:val="00D519C0"/>
    <w:rsid w:val="00D61352"/>
    <w:rsid w:val="00D70C89"/>
    <w:rsid w:val="00D92D93"/>
    <w:rsid w:val="00DB459B"/>
    <w:rsid w:val="00DC332E"/>
    <w:rsid w:val="00DC6128"/>
    <w:rsid w:val="00DD6BC0"/>
    <w:rsid w:val="00DF56AB"/>
    <w:rsid w:val="00E03F17"/>
    <w:rsid w:val="00E10141"/>
    <w:rsid w:val="00E15794"/>
    <w:rsid w:val="00E15803"/>
    <w:rsid w:val="00E26A9A"/>
    <w:rsid w:val="00E352AC"/>
    <w:rsid w:val="00E67245"/>
    <w:rsid w:val="00E72E00"/>
    <w:rsid w:val="00E73FC9"/>
    <w:rsid w:val="00E85E3F"/>
    <w:rsid w:val="00E90BBA"/>
    <w:rsid w:val="00E96F66"/>
    <w:rsid w:val="00EA32C5"/>
    <w:rsid w:val="00EC25B0"/>
    <w:rsid w:val="00EC55D9"/>
    <w:rsid w:val="00EC7C34"/>
    <w:rsid w:val="00ED077F"/>
    <w:rsid w:val="00ED5328"/>
    <w:rsid w:val="00EE5EE9"/>
    <w:rsid w:val="00EE7FA1"/>
    <w:rsid w:val="00EF29C6"/>
    <w:rsid w:val="00F167AE"/>
    <w:rsid w:val="00F2120C"/>
    <w:rsid w:val="00F311EA"/>
    <w:rsid w:val="00F5195C"/>
    <w:rsid w:val="00F53C12"/>
    <w:rsid w:val="00F8304E"/>
    <w:rsid w:val="00F92CB4"/>
    <w:rsid w:val="00F9304E"/>
    <w:rsid w:val="00FD050A"/>
    <w:rsid w:val="00FD2D8B"/>
    <w:rsid w:val="00FF0AB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88C74"/>
  <w15:chartTrackingRefBased/>
  <w15:docId w15:val="{ACC2DE47-14FD-48A0-806D-40AFC636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EB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EB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E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E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E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E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E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0EB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0E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0EB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0E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0EB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0E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0E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0E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0E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EB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E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0EB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80EB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2313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2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231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2647</Characters>
  <Application>Microsoft Office Word</Application>
  <DocSecurity>0</DocSecurity>
  <Lines>22</Lines>
  <Paragraphs>6</Paragraphs>
  <ScaleCrop>false</ScaleCrop>
  <Company>CBC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陳嘉添</dc:creator>
  <cp:keywords/>
  <dc:description/>
  <cp:lastModifiedBy>cbc607</cp:lastModifiedBy>
  <cp:revision>3</cp:revision>
  <cp:lastPrinted>2025-12-30T06:43:00Z</cp:lastPrinted>
  <dcterms:created xsi:type="dcterms:W3CDTF">2025-12-30T06:56:00Z</dcterms:created>
  <dcterms:modified xsi:type="dcterms:W3CDTF">2025-12-30T06:56:00Z</dcterms:modified>
</cp:coreProperties>
</file>