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ED" w:rsidRDefault="002067ED">
      <w:pPr>
        <w:jc w:val="center"/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p w:rsidR="008361D3" w:rsidRDefault="008361D3">
      <w:pPr>
        <w:pBdr>
          <w:bottom w:val="double" w:sz="6" w:space="1" w:color="auto"/>
        </w:pBdr>
        <w:jc w:val="center"/>
        <w:rPr>
          <w:rFonts w:ascii="標楷體" w:eastAsia="標楷體" w:hAnsi="標楷體" w:hint="eastAsia"/>
          <w:spacing w:val="140"/>
          <w:sz w:val="48"/>
        </w:rPr>
      </w:pPr>
      <w:r>
        <w:rPr>
          <w:rFonts w:ascii="標楷體" w:eastAsia="標楷體" w:hAnsi="標楷體" w:hint="eastAsia"/>
          <w:spacing w:val="140"/>
          <w:sz w:val="48"/>
        </w:rPr>
        <w:t>編輯說明</w:t>
      </w:r>
    </w:p>
    <w:p w:rsidR="008361D3" w:rsidRDefault="008361D3">
      <w:pPr>
        <w:rPr>
          <w:rFonts w:ascii="標楷體" w:eastAsia="標楷體" w:hAnsi="標楷體" w:hint="eastAsia"/>
          <w:sz w:val="32"/>
        </w:rPr>
      </w:pPr>
    </w:p>
    <w:p w:rsidR="008361D3" w:rsidRDefault="00687D31" w:rsidP="00F82A75">
      <w:pPr>
        <w:spacing w:before="200" w:after="200" w:line="400" w:lineRule="exact"/>
        <w:ind w:left="655" w:hangingChars="178" w:hanging="655"/>
        <w:jc w:val="both"/>
        <w:rPr>
          <w:rFonts w:ascii="標楷體" w:eastAsia="標楷體" w:hAnsi="標楷體" w:hint="eastAsia"/>
          <w:spacing w:val="24"/>
          <w:sz w:val="32"/>
        </w:rPr>
      </w:pPr>
      <w:r>
        <w:rPr>
          <w:rFonts w:ascii="標楷體" w:eastAsia="標楷體" w:hAnsi="標楷體" w:cs="新細明體" w:hint="eastAsia"/>
          <w:spacing w:val="24"/>
          <w:sz w:val="32"/>
        </w:rPr>
        <w:t>一、</w:t>
      </w:r>
      <w:r w:rsidR="006D6FE0">
        <w:rPr>
          <w:rFonts w:ascii="標楷體" w:eastAsia="標楷體" w:hAnsi="標楷體" w:hint="eastAsia"/>
          <w:spacing w:val="24"/>
          <w:sz w:val="32"/>
        </w:rPr>
        <w:t>本季報</w:t>
      </w:r>
      <w:r w:rsidR="008361D3">
        <w:rPr>
          <w:rFonts w:ascii="標楷體" w:eastAsia="標楷體" w:hAnsi="標楷體" w:hint="eastAsia"/>
          <w:spacing w:val="24"/>
          <w:sz w:val="32"/>
        </w:rPr>
        <w:t>係依據銀行按期填送未經審定或查核調整之資料彙編，僅供參考。而銀行定期於網站揭露之資訊，係依據會計師查核簽證、核閱或自行作期後調整資料，兩者之統計基礎略有不同。</w:t>
      </w:r>
    </w:p>
    <w:p w:rsidR="008361D3" w:rsidRDefault="00687D31" w:rsidP="00F82A75">
      <w:pPr>
        <w:spacing w:before="200" w:after="200" w:line="400" w:lineRule="exact"/>
        <w:ind w:left="699" w:hangingChars="190" w:hanging="699"/>
        <w:jc w:val="both"/>
        <w:rPr>
          <w:rFonts w:ascii="標楷體" w:eastAsia="標楷體" w:hAnsi="標楷體" w:hint="eastAsia"/>
          <w:spacing w:val="24"/>
          <w:sz w:val="32"/>
        </w:rPr>
      </w:pPr>
      <w:r w:rsidRPr="00AE6AAC">
        <w:rPr>
          <w:rFonts w:ascii="標楷體" w:eastAsia="標楷體" w:hAnsi="標楷體" w:hint="eastAsia"/>
          <w:spacing w:val="24"/>
          <w:sz w:val="32"/>
        </w:rPr>
        <w:t>二、</w:t>
      </w:r>
      <w:r w:rsidR="008361D3">
        <w:rPr>
          <w:rFonts w:ascii="標楷體" w:eastAsia="標楷體" w:hAnsi="標楷體" w:hint="eastAsia"/>
          <w:spacing w:val="24"/>
          <w:sz w:val="32"/>
        </w:rPr>
        <w:t>本季報各項財務資料及營運比率，不代表本行對個別銀行之評等。資料使用者所作之分析或結論，本行不負任何責任。</w:t>
      </w:r>
    </w:p>
    <w:p w:rsidR="008361D3" w:rsidRDefault="00687D31" w:rsidP="00F82A75">
      <w:pPr>
        <w:spacing w:before="200" w:after="200" w:line="400" w:lineRule="exact"/>
        <w:ind w:left="699" w:hangingChars="190" w:hanging="699"/>
        <w:jc w:val="both"/>
        <w:rPr>
          <w:rFonts w:ascii="標楷體" w:eastAsia="標楷體" w:hAnsi="標楷體" w:hint="eastAsia"/>
          <w:spacing w:val="24"/>
          <w:sz w:val="32"/>
        </w:rPr>
      </w:pPr>
      <w:r>
        <w:rPr>
          <w:rFonts w:ascii="標楷體" w:eastAsia="標楷體" w:hAnsi="標楷體" w:hint="eastAsia"/>
          <w:spacing w:val="24"/>
          <w:sz w:val="32"/>
        </w:rPr>
        <w:t>三、</w:t>
      </w:r>
      <w:r w:rsidR="008361D3">
        <w:rPr>
          <w:rFonts w:ascii="標楷體" w:eastAsia="標楷體" w:hAnsi="標楷體" w:hint="eastAsia"/>
          <w:spacing w:val="24"/>
          <w:sz w:val="32"/>
        </w:rPr>
        <w:t>各銀行資產負債資料係</w:t>
      </w:r>
      <w:r w:rsidR="006D6FE0">
        <w:rPr>
          <w:rFonts w:ascii="標楷體" w:eastAsia="標楷體" w:hAnsi="標楷體" w:hint="eastAsia"/>
          <w:spacing w:val="24"/>
          <w:sz w:val="32"/>
        </w:rPr>
        <w:t>季底餘額，損益資料係當年截至季底之累計數。有關獲利能力之比率已換算</w:t>
      </w:r>
      <w:r w:rsidR="008361D3">
        <w:rPr>
          <w:rFonts w:ascii="標楷體" w:eastAsia="標楷體" w:hAnsi="標楷體" w:hint="eastAsia"/>
          <w:spacing w:val="24"/>
          <w:sz w:val="32"/>
        </w:rPr>
        <w:t>成年率表示。</w:t>
      </w:r>
    </w:p>
    <w:p w:rsidR="008361D3" w:rsidRDefault="00687D31" w:rsidP="00F82A75">
      <w:pPr>
        <w:spacing w:before="200" w:after="200" w:line="400" w:lineRule="exact"/>
        <w:ind w:left="684" w:hangingChars="186" w:hanging="684"/>
        <w:jc w:val="both"/>
        <w:rPr>
          <w:rFonts w:ascii="標楷體" w:eastAsia="標楷體" w:hAnsi="標楷體" w:hint="eastAsia"/>
          <w:spacing w:val="24"/>
          <w:sz w:val="32"/>
        </w:rPr>
      </w:pPr>
      <w:r>
        <w:rPr>
          <w:rFonts w:ascii="標楷體" w:eastAsia="標楷體" w:hAnsi="標楷體" w:hint="eastAsia"/>
          <w:spacing w:val="24"/>
          <w:sz w:val="32"/>
        </w:rPr>
        <w:t>四、</w:t>
      </w:r>
      <w:r w:rsidR="008361D3">
        <w:rPr>
          <w:rFonts w:ascii="標楷體" w:eastAsia="標楷體" w:hAnsi="標楷體" w:hint="eastAsia"/>
          <w:spacing w:val="24"/>
          <w:sz w:val="32"/>
        </w:rPr>
        <w:t>為加強表外項目之揭露，除將主要表外項目列示於資產負債表之附註欄外，並增列「保證內容分析」及「衍生性金融商品餘額統計」。</w:t>
      </w:r>
    </w:p>
    <w:p w:rsidR="008361D3" w:rsidRPr="00F82A75" w:rsidRDefault="00AE6AAC" w:rsidP="00F82A75">
      <w:pPr>
        <w:spacing w:before="200" w:after="200" w:line="400" w:lineRule="exact"/>
        <w:ind w:left="670" w:hangingChars="182" w:hanging="670"/>
        <w:jc w:val="both"/>
        <w:rPr>
          <w:rFonts w:ascii="標楷體" w:eastAsia="標楷體" w:hAnsi="標楷體" w:hint="eastAsia"/>
          <w:spacing w:val="24"/>
          <w:sz w:val="32"/>
        </w:rPr>
      </w:pPr>
      <w:r>
        <w:rPr>
          <w:rFonts w:ascii="標楷體" w:eastAsia="標楷體" w:hAnsi="標楷體" w:hint="eastAsia"/>
          <w:spacing w:val="24"/>
          <w:sz w:val="32"/>
        </w:rPr>
        <w:t>五、</w:t>
      </w:r>
      <w:r w:rsidR="008361D3" w:rsidRPr="00F82A75">
        <w:rPr>
          <w:rFonts w:ascii="標楷體" w:eastAsia="標楷體" w:hAnsi="標楷體" w:hint="eastAsia"/>
          <w:spacing w:val="24"/>
          <w:sz w:val="32"/>
        </w:rPr>
        <w:t>主要財務及營運比率分別列示個別銀行及同業平均之資本適足性、資產品質、獲利能力、流動性、利率敏感性及主要業務成長率等指標。</w:t>
      </w:r>
    </w:p>
    <w:p w:rsidR="0009431C" w:rsidRDefault="0009431C">
      <w:pPr>
        <w:spacing w:before="200" w:after="200" w:line="400" w:lineRule="exact"/>
        <w:ind w:left="357" w:hanging="357"/>
        <w:jc w:val="both"/>
        <w:rPr>
          <w:rFonts w:ascii="標楷體" w:eastAsia="標楷體" w:hAnsi="標楷體" w:hint="eastAsia"/>
          <w:spacing w:val="24"/>
          <w:sz w:val="32"/>
        </w:rPr>
      </w:pPr>
    </w:p>
    <w:p w:rsidR="0009431C" w:rsidRDefault="0009431C">
      <w:pPr>
        <w:spacing w:before="200" w:after="200" w:line="400" w:lineRule="exact"/>
        <w:ind w:left="357" w:hanging="357"/>
        <w:jc w:val="both"/>
        <w:rPr>
          <w:rFonts w:ascii="標楷體" w:eastAsia="標楷體" w:hAnsi="標楷體" w:hint="eastAsia"/>
          <w:spacing w:val="24"/>
          <w:sz w:val="32"/>
        </w:rPr>
      </w:pPr>
    </w:p>
    <w:p w:rsidR="003A408B" w:rsidRPr="00D47EF9" w:rsidRDefault="003A408B" w:rsidP="003A408B">
      <w:pPr>
        <w:spacing w:before="320" w:line="400" w:lineRule="exact"/>
        <w:ind w:rightChars="-100" w:right="-240"/>
        <w:rPr>
          <w:rFonts w:ascii="標楷體" w:eastAsia="標楷體" w:hAnsi="標楷體" w:hint="eastAsia"/>
          <w:strike/>
          <w:spacing w:val="-20"/>
          <w:sz w:val="32"/>
        </w:rPr>
      </w:pPr>
    </w:p>
    <w:sectPr w:rsidR="003A408B" w:rsidRPr="00D47EF9">
      <w:pgSz w:w="11906" w:h="16838"/>
      <w:pgMar w:top="1440" w:right="1946" w:bottom="1440" w:left="22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4A" w:rsidRDefault="0080754A" w:rsidP="00E6792C">
      <w:pPr>
        <w:spacing w:line="240" w:lineRule="auto"/>
      </w:pPr>
      <w:r>
        <w:separator/>
      </w:r>
    </w:p>
  </w:endnote>
  <w:endnote w:type="continuationSeparator" w:id="0">
    <w:p w:rsidR="0080754A" w:rsidRDefault="0080754A" w:rsidP="00E67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4A" w:rsidRDefault="0080754A" w:rsidP="00E6792C">
      <w:pPr>
        <w:spacing w:line="240" w:lineRule="auto"/>
      </w:pPr>
      <w:r>
        <w:separator/>
      </w:r>
    </w:p>
  </w:footnote>
  <w:footnote w:type="continuationSeparator" w:id="0">
    <w:p w:rsidR="0080754A" w:rsidRDefault="0080754A" w:rsidP="00E679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1D3"/>
    <w:rsid w:val="00002C99"/>
    <w:rsid w:val="00016139"/>
    <w:rsid w:val="0006751D"/>
    <w:rsid w:val="00086763"/>
    <w:rsid w:val="000879A1"/>
    <w:rsid w:val="0009431C"/>
    <w:rsid w:val="00094DB1"/>
    <w:rsid w:val="000B06C6"/>
    <w:rsid w:val="000B2163"/>
    <w:rsid w:val="000C01C7"/>
    <w:rsid w:val="000C2C8B"/>
    <w:rsid w:val="000D6737"/>
    <w:rsid w:val="000D700F"/>
    <w:rsid w:val="001306B6"/>
    <w:rsid w:val="00150722"/>
    <w:rsid w:val="00183F65"/>
    <w:rsid w:val="001939D5"/>
    <w:rsid w:val="001B5889"/>
    <w:rsid w:val="001C34F3"/>
    <w:rsid w:val="001C6EAA"/>
    <w:rsid w:val="002067ED"/>
    <w:rsid w:val="002175A9"/>
    <w:rsid w:val="002301A2"/>
    <w:rsid w:val="00296107"/>
    <w:rsid w:val="002B39ED"/>
    <w:rsid w:val="002F341D"/>
    <w:rsid w:val="003338E3"/>
    <w:rsid w:val="00334D3E"/>
    <w:rsid w:val="00370A49"/>
    <w:rsid w:val="003728AB"/>
    <w:rsid w:val="00377CDC"/>
    <w:rsid w:val="003A172B"/>
    <w:rsid w:val="003A408B"/>
    <w:rsid w:val="003A5312"/>
    <w:rsid w:val="003B5895"/>
    <w:rsid w:val="003C7A8F"/>
    <w:rsid w:val="003E3F4C"/>
    <w:rsid w:val="003F23D3"/>
    <w:rsid w:val="003F7353"/>
    <w:rsid w:val="004252D9"/>
    <w:rsid w:val="004308AD"/>
    <w:rsid w:val="00437C3B"/>
    <w:rsid w:val="00464D74"/>
    <w:rsid w:val="00473073"/>
    <w:rsid w:val="0049067A"/>
    <w:rsid w:val="004A5337"/>
    <w:rsid w:val="004B50CC"/>
    <w:rsid w:val="004F6C74"/>
    <w:rsid w:val="005103E8"/>
    <w:rsid w:val="00514452"/>
    <w:rsid w:val="005357D9"/>
    <w:rsid w:val="00551A84"/>
    <w:rsid w:val="00567811"/>
    <w:rsid w:val="005A0A53"/>
    <w:rsid w:val="005A0E1C"/>
    <w:rsid w:val="005A3B9F"/>
    <w:rsid w:val="005B0088"/>
    <w:rsid w:val="005B0781"/>
    <w:rsid w:val="005E5EF8"/>
    <w:rsid w:val="00610E12"/>
    <w:rsid w:val="0064079C"/>
    <w:rsid w:val="006421AE"/>
    <w:rsid w:val="00650365"/>
    <w:rsid w:val="006665AE"/>
    <w:rsid w:val="00687D31"/>
    <w:rsid w:val="00695EF7"/>
    <w:rsid w:val="006C1E58"/>
    <w:rsid w:val="006D467A"/>
    <w:rsid w:val="006D6675"/>
    <w:rsid w:val="006D6B4F"/>
    <w:rsid w:val="006D6FE0"/>
    <w:rsid w:val="006F4674"/>
    <w:rsid w:val="006F782B"/>
    <w:rsid w:val="00737031"/>
    <w:rsid w:val="0077774E"/>
    <w:rsid w:val="00781F8B"/>
    <w:rsid w:val="00786224"/>
    <w:rsid w:val="00790F7B"/>
    <w:rsid w:val="007B3089"/>
    <w:rsid w:val="007B69A9"/>
    <w:rsid w:val="007C5D8D"/>
    <w:rsid w:val="007E115F"/>
    <w:rsid w:val="007F495D"/>
    <w:rsid w:val="0080754A"/>
    <w:rsid w:val="00810508"/>
    <w:rsid w:val="008253A5"/>
    <w:rsid w:val="008361D3"/>
    <w:rsid w:val="00841122"/>
    <w:rsid w:val="00847935"/>
    <w:rsid w:val="00851BA4"/>
    <w:rsid w:val="0085368F"/>
    <w:rsid w:val="0085576D"/>
    <w:rsid w:val="0085756B"/>
    <w:rsid w:val="00874B49"/>
    <w:rsid w:val="0087539D"/>
    <w:rsid w:val="00943118"/>
    <w:rsid w:val="00956B72"/>
    <w:rsid w:val="00982E71"/>
    <w:rsid w:val="00990E84"/>
    <w:rsid w:val="00994CED"/>
    <w:rsid w:val="009A7AD6"/>
    <w:rsid w:val="009E5891"/>
    <w:rsid w:val="009F623F"/>
    <w:rsid w:val="00A54B96"/>
    <w:rsid w:val="00A6099F"/>
    <w:rsid w:val="00A64169"/>
    <w:rsid w:val="00A93FAC"/>
    <w:rsid w:val="00AE6AAC"/>
    <w:rsid w:val="00AF2159"/>
    <w:rsid w:val="00B06F9A"/>
    <w:rsid w:val="00B15915"/>
    <w:rsid w:val="00B25D57"/>
    <w:rsid w:val="00B321C5"/>
    <w:rsid w:val="00B40D77"/>
    <w:rsid w:val="00B427D3"/>
    <w:rsid w:val="00B552CA"/>
    <w:rsid w:val="00B7756C"/>
    <w:rsid w:val="00B86E43"/>
    <w:rsid w:val="00B90891"/>
    <w:rsid w:val="00B968B0"/>
    <w:rsid w:val="00BA33DD"/>
    <w:rsid w:val="00BB09A5"/>
    <w:rsid w:val="00BB09E7"/>
    <w:rsid w:val="00BC4104"/>
    <w:rsid w:val="00BE0D4C"/>
    <w:rsid w:val="00BE2DFC"/>
    <w:rsid w:val="00BF1B69"/>
    <w:rsid w:val="00BF65C2"/>
    <w:rsid w:val="00C018C2"/>
    <w:rsid w:val="00C259AA"/>
    <w:rsid w:val="00C74553"/>
    <w:rsid w:val="00C9756A"/>
    <w:rsid w:val="00CB24E0"/>
    <w:rsid w:val="00CC2443"/>
    <w:rsid w:val="00CD30E5"/>
    <w:rsid w:val="00CD3F06"/>
    <w:rsid w:val="00CE343F"/>
    <w:rsid w:val="00D26F92"/>
    <w:rsid w:val="00D34F9F"/>
    <w:rsid w:val="00D47EF9"/>
    <w:rsid w:val="00D63604"/>
    <w:rsid w:val="00D855DC"/>
    <w:rsid w:val="00DA0FE4"/>
    <w:rsid w:val="00DA5D20"/>
    <w:rsid w:val="00DA7C07"/>
    <w:rsid w:val="00DB0D59"/>
    <w:rsid w:val="00DB7E91"/>
    <w:rsid w:val="00DE2630"/>
    <w:rsid w:val="00E208BF"/>
    <w:rsid w:val="00E34453"/>
    <w:rsid w:val="00E6792C"/>
    <w:rsid w:val="00E833F8"/>
    <w:rsid w:val="00E9728A"/>
    <w:rsid w:val="00EB549F"/>
    <w:rsid w:val="00EC51E0"/>
    <w:rsid w:val="00ED3E61"/>
    <w:rsid w:val="00ED3EA5"/>
    <w:rsid w:val="00EF09A3"/>
    <w:rsid w:val="00F03239"/>
    <w:rsid w:val="00F0496D"/>
    <w:rsid w:val="00F157D2"/>
    <w:rsid w:val="00F207A9"/>
    <w:rsid w:val="00F251CF"/>
    <w:rsid w:val="00F35C4E"/>
    <w:rsid w:val="00F54C1C"/>
    <w:rsid w:val="00F635B2"/>
    <w:rsid w:val="00F82A75"/>
    <w:rsid w:val="00FA56A9"/>
    <w:rsid w:val="00FC2EE3"/>
    <w:rsid w:val="00FF2E33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B0ECB-E304-4FB2-A61B-84734AD3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華康楷書體W5" w:eastAsia="華康楷書體W5"/>
      <w:sz w:val="40"/>
    </w:rPr>
  </w:style>
  <w:style w:type="paragraph" w:styleId="a4">
    <w:name w:val="header"/>
    <w:basedOn w:val="a"/>
    <w:link w:val="a5"/>
    <w:rsid w:val="00E679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6792C"/>
  </w:style>
  <w:style w:type="paragraph" w:styleId="a6">
    <w:name w:val="footer"/>
    <w:basedOn w:val="a"/>
    <w:link w:val="a7"/>
    <w:rsid w:val="00E679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6792C"/>
  </w:style>
  <w:style w:type="paragraph" w:styleId="a8">
    <w:name w:val="Balloon Text"/>
    <w:basedOn w:val="a"/>
    <w:link w:val="a9"/>
    <w:rsid w:val="000B06C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0B06C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286F-9518-4542-AF37-D687412D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CBC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ISSN 1029—6174</dc:title>
  <dc:subject/>
  <dc:creator>金檢處</dc:creator>
  <cp:keywords/>
  <cp:lastModifiedBy>許瑞敏</cp:lastModifiedBy>
  <cp:revision>2</cp:revision>
  <cp:lastPrinted>2019-12-23T02:37:00Z</cp:lastPrinted>
  <dcterms:created xsi:type="dcterms:W3CDTF">2021-12-09T06:39:00Z</dcterms:created>
  <dcterms:modified xsi:type="dcterms:W3CDTF">2021-12-09T06:39:00Z</dcterms:modified>
</cp:coreProperties>
</file>