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DC" w:rsidRPr="003E6D62" w:rsidRDefault="003E6D62" w:rsidP="003E6D6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E6D62">
        <w:rPr>
          <w:rFonts w:ascii="Times New Roman" w:eastAsia="標楷體" w:hAnsi="Times New Roman" w:cs="Times New Roman"/>
          <w:b/>
          <w:sz w:val="32"/>
          <w:szCs w:val="32"/>
        </w:rPr>
        <w:t>附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圖：</w:t>
      </w:r>
      <w:r w:rsidRPr="003E6D62">
        <w:rPr>
          <w:rFonts w:ascii="Times New Roman" w:eastAsia="標楷體" w:hAnsi="Times New Roman" w:cs="Times New Roman"/>
          <w:b/>
          <w:sz w:val="32"/>
          <w:szCs w:val="32"/>
        </w:rPr>
        <w:t>歷年</w:t>
      </w:r>
      <w:r w:rsidRPr="003E6D62">
        <w:rPr>
          <w:rFonts w:ascii="Times New Roman" w:eastAsia="標楷體" w:hAnsi="Times New Roman" w:cs="Times New Roman"/>
          <w:b/>
          <w:sz w:val="32"/>
          <w:szCs w:val="32"/>
        </w:rPr>
        <w:t>2000</w:t>
      </w:r>
      <w:r w:rsidRPr="003E6D62">
        <w:rPr>
          <w:rFonts w:ascii="Times New Roman" w:eastAsia="標楷體" w:hAnsi="Times New Roman" w:cs="Times New Roman"/>
          <w:b/>
          <w:sz w:val="32"/>
          <w:szCs w:val="32"/>
        </w:rPr>
        <w:t>元</w:t>
      </w:r>
      <w:proofErr w:type="gramStart"/>
      <w:r w:rsidRPr="003E6D62">
        <w:rPr>
          <w:rFonts w:ascii="Times New Roman" w:eastAsia="標楷體" w:hAnsi="Times New Roman" w:cs="Times New Roman"/>
          <w:b/>
          <w:sz w:val="32"/>
          <w:szCs w:val="32"/>
        </w:rPr>
        <w:t>券</w:t>
      </w:r>
      <w:proofErr w:type="gramEnd"/>
      <w:r w:rsidRPr="003E6D62">
        <w:rPr>
          <w:rFonts w:ascii="Times New Roman" w:eastAsia="標楷體" w:hAnsi="Times New Roman" w:cs="Times New Roman"/>
          <w:b/>
          <w:sz w:val="32"/>
          <w:szCs w:val="32"/>
        </w:rPr>
        <w:t>發行數額趨勢</w:t>
      </w:r>
    </w:p>
    <w:p w:rsidR="003E6D62" w:rsidRDefault="00B20D52">
      <w:r>
        <w:rPr>
          <w:noProof/>
        </w:rPr>
        <w:drawing>
          <wp:inline distT="0" distB="0" distL="0" distR="0" wp14:anchorId="128F5CF9" wp14:editId="762F16A8">
            <wp:extent cx="5429250" cy="2842187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6D62" w:rsidRDefault="003E6D62"/>
    <w:p w:rsidR="003E6D62" w:rsidRPr="003E6D62" w:rsidRDefault="003E6D62" w:rsidP="003E6D6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E6D62">
        <w:rPr>
          <w:rFonts w:ascii="Times New Roman" w:eastAsia="標楷體" w:hAnsi="Times New Roman" w:cs="Times New Roman"/>
          <w:b/>
          <w:sz w:val="32"/>
          <w:szCs w:val="32"/>
        </w:rPr>
        <w:t>附表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  <w:r w:rsidRPr="003E6D62">
        <w:rPr>
          <w:rFonts w:ascii="Times New Roman" w:eastAsia="標楷體" w:hAnsi="Times New Roman" w:cs="Times New Roman" w:hint="eastAsia"/>
          <w:b/>
          <w:sz w:val="32"/>
          <w:szCs w:val="32"/>
        </w:rPr>
        <w:t>主要國家最高面額鈔券占人均</w:t>
      </w:r>
      <w:r w:rsidRPr="003E6D62">
        <w:rPr>
          <w:rFonts w:ascii="Times New Roman" w:eastAsia="標楷體" w:hAnsi="Times New Roman" w:cs="Times New Roman"/>
          <w:b/>
          <w:sz w:val="32"/>
          <w:szCs w:val="32"/>
        </w:rPr>
        <w:t>GDP</w:t>
      </w:r>
      <w:r w:rsidRPr="003E6D62">
        <w:rPr>
          <w:rFonts w:ascii="Times New Roman" w:eastAsia="標楷體" w:hAnsi="Times New Roman" w:cs="Times New Roman" w:hint="eastAsia"/>
          <w:b/>
          <w:sz w:val="32"/>
          <w:szCs w:val="32"/>
        </w:rPr>
        <w:t>比重</w:t>
      </w:r>
    </w:p>
    <w:tbl>
      <w:tblPr>
        <w:tblW w:w="10681" w:type="dxa"/>
        <w:tblInd w:w="-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2"/>
        <w:gridCol w:w="1276"/>
        <w:gridCol w:w="1027"/>
        <w:gridCol w:w="1081"/>
        <w:gridCol w:w="1081"/>
        <w:gridCol w:w="1081"/>
        <w:gridCol w:w="1258"/>
        <w:gridCol w:w="993"/>
        <w:gridCol w:w="992"/>
      </w:tblGrid>
      <w:tr w:rsidR="00372F6D" w:rsidRPr="00372F6D" w:rsidTr="00372F6D">
        <w:trPr>
          <w:trHeight w:val="408"/>
        </w:trPr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國家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新加坡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瑞士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加拿大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9B5E4C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歐</w:t>
            </w:r>
            <w:r w:rsidR="009B5E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元區</w:t>
            </w:r>
            <w:bookmarkStart w:id="0" w:name="_GoBack"/>
            <w:bookmarkEnd w:id="0"/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美國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日本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英國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臺灣</w:t>
            </w:r>
          </w:p>
        </w:tc>
      </w:tr>
      <w:tr w:rsidR="00372F6D" w:rsidRPr="00372F6D" w:rsidTr="00372F6D">
        <w:trPr>
          <w:trHeight w:val="360"/>
        </w:trPr>
        <w:tc>
          <w:tcPr>
            <w:tcW w:w="1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最高面額鈔</w:t>
            </w:r>
            <w:proofErr w:type="gramStart"/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券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10000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372F6D" w:rsidRPr="00372F6D" w:rsidTr="00372F6D">
        <w:trPr>
          <w:trHeight w:val="372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(1)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約當新臺幣</w:t>
            </w: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vertAlign w:val="superscript"/>
              </w:rPr>
              <w:t>**</w:t>
            </w: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SGD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217,217</w:t>
            </w: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CHF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30,328</w:t>
            </w: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CAD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22,759</w:t>
            </w: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EUR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16,207</w:t>
            </w: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USD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3,037</w:t>
            </w: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JPY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2,709</w:t>
            </w: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GBP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1,896</w:t>
            </w: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NTD</w:t>
            </w:r>
          </w:p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72F6D" w:rsidRPr="00372F6D" w:rsidTr="00372F6D">
        <w:trPr>
          <w:trHeight w:val="804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F6D" w:rsidRP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2016</w:t>
            </w:r>
            <w:r w:rsidRPr="00372F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年人均</w:t>
            </w: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GDP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(2)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74,131</w:t>
            </w:r>
          </w:p>
          <w:p w:rsidR="00043CC4" w:rsidRPr="00372F6D" w:rsidRDefault="00043CC4" w:rsidP="00372F6D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SGD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77,520</w:t>
            </w:r>
          </w:p>
          <w:p w:rsidR="00043CC4" w:rsidRPr="00372F6D" w:rsidRDefault="00043CC4" w:rsidP="00372F6D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CHF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55,783</w:t>
            </w:r>
          </w:p>
          <w:p w:rsidR="00043CC4" w:rsidRPr="00372F6D" w:rsidRDefault="00043CC4" w:rsidP="00372F6D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CAD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31,500</w:t>
            </w:r>
          </w:p>
          <w:p w:rsidR="00043CC4" w:rsidRPr="00372F6D" w:rsidRDefault="00043CC4" w:rsidP="00372F6D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EUR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57,220</w:t>
            </w:r>
          </w:p>
          <w:p w:rsidR="00043CC4" w:rsidRPr="00372F6D" w:rsidRDefault="00043CC4" w:rsidP="00372F6D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USD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4,001,699</w:t>
            </w:r>
          </w:p>
          <w:p w:rsidR="00043CC4" w:rsidRPr="00372F6D" w:rsidRDefault="00043CC4" w:rsidP="00372F6D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JPY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29,346</w:t>
            </w:r>
          </w:p>
          <w:p w:rsidR="00043CC4" w:rsidRPr="00372F6D" w:rsidRDefault="00043CC4" w:rsidP="00372F6D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GBP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372F6D" w:rsidRDefault="00372F6D" w:rsidP="00372F6D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727,818</w:t>
            </w:r>
          </w:p>
          <w:p w:rsidR="00043CC4" w:rsidRPr="00372F6D" w:rsidRDefault="00043CC4" w:rsidP="00372F6D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NTD</w:t>
            </w:r>
          </w:p>
        </w:tc>
      </w:tr>
      <w:tr w:rsidR="00372F6D" w:rsidRPr="00372F6D" w:rsidTr="00372F6D">
        <w:trPr>
          <w:trHeight w:val="804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最高面額鈔</w:t>
            </w:r>
            <w:proofErr w:type="gramStart"/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券</w:t>
            </w:r>
            <w:proofErr w:type="gramEnd"/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372F6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人均</w:t>
            </w: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GDP (3)=(1)/(2)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13.49%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1.29%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1.79%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1.59%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0.17%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0.25%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0.17%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72F6D" w:rsidRPr="00372F6D" w:rsidRDefault="00372F6D" w:rsidP="00372F6D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72F6D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0.27%</w:t>
            </w:r>
          </w:p>
        </w:tc>
      </w:tr>
    </w:tbl>
    <w:p w:rsidR="00380470" w:rsidRDefault="00380470" w:rsidP="00073EAE">
      <w:pPr>
        <w:ind w:leftChars="-236" w:left="142" w:rightChars="-395" w:right="-948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註：</w:t>
      </w:r>
      <w:r>
        <w:rPr>
          <w:rFonts w:ascii="Times New Roman" w:eastAsia="標楷體" w:hAnsi="Times New Roman" w:cs="Times New Roman" w:hint="eastAsia"/>
        </w:rPr>
        <w:t>*</w:t>
      </w:r>
      <w:r w:rsidR="00E44142">
        <w:rPr>
          <w:rFonts w:ascii="Times New Roman" w:eastAsia="標楷體" w:hAnsi="Times New Roman" w:cs="Times New Roman" w:hint="eastAsia"/>
        </w:rPr>
        <w:t xml:space="preserve"> </w:t>
      </w:r>
      <w:r w:rsidRPr="00380470">
        <w:rPr>
          <w:rFonts w:ascii="Times New Roman" w:eastAsia="標楷體" w:hAnsi="Times New Roman" w:cs="Times New Roman"/>
        </w:rPr>
        <w:t>歐洲央行決</w:t>
      </w:r>
      <w:r>
        <w:rPr>
          <w:rFonts w:ascii="Times New Roman" w:eastAsia="標楷體" w:hAnsi="Times New Roman" w:cs="Times New Roman" w:hint="eastAsia"/>
        </w:rPr>
        <w:t>定</w:t>
      </w:r>
      <w:r w:rsidRPr="00380470">
        <w:rPr>
          <w:rFonts w:ascii="Times New Roman" w:eastAsia="標楷體" w:hAnsi="Times New Roman" w:cs="Times New Roman"/>
        </w:rPr>
        <w:t>未來不再發行新版</w:t>
      </w:r>
      <w:r w:rsidRPr="00380470">
        <w:rPr>
          <w:rFonts w:ascii="Times New Roman" w:eastAsia="標楷體" w:hAnsi="Times New Roman" w:cs="Times New Roman"/>
        </w:rPr>
        <w:t>500</w:t>
      </w:r>
      <w:r w:rsidRPr="00380470">
        <w:rPr>
          <w:rFonts w:ascii="Times New Roman" w:eastAsia="標楷體" w:hAnsi="Times New Roman" w:cs="Times New Roman"/>
        </w:rPr>
        <w:t>歐元鈔券，</w:t>
      </w:r>
      <w:r>
        <w:rPr>
          <w:rFonts w:ascii="Times New Roman" w:eastAsia="標楷體" w:hAnsi="Times New Roman" w:cs="Times New Roman" w:hint="eastAsia"/>
        </w:rPr>
        <w:t>惟</w:t>
      </w:r>
      <w:r w:rsidRPr="00380470">
        <w:rPr>
          <w:rFonts w:ascii="Times New Roman" w:eastAsia="標楷體" w:hAnsi="Times New Roman" w:cs="Times New Roman"/>
        </w:rPr>
        <w:t>現行</w:t>
      </w:r>
      <w:r w:rsidRPr="00380470">
        <w:rPr>
          <w:rFonts w:ascii="Times New Roman" w:eastAsia="標楷體" w:hAnsi="Times New Roman" w:cs="Times New Roman"/>
        </w:rPr>
        <w:t>500</w:t>
      </w:r>
      <w:r w:rsidRPr="00380470">
        <w:rPr>
          <w:rFonts w:ascii="Times New Roman" w:eastAsia="標楷體" w:hAnsi="Times New Roman" w:cs="Times New Roman"/>
        </w:rPr>
        <w:t>歐元鈔券仍可繼續流通，無限期接受兌換。</w:t>
      </w:r>
    </w:p>
    <w:p w:rsidR="00380470" w:rsidRPr="00B36101" w:rsidRDefault="00380470" w:rsidP="00073EAE">
      <w:pPr>
        <w:ind w:leftChars="-237" w:left="-144" w:rightChars="-572" w:right="-1373" w:hangingChars="177" w:hanging="425"/>
        <w:rPr>
          <w:rFonts w:ascii="Times New Roman" w:eastAsia="標楷體" w:hAnsi="Times New Roman" w:cs="Times New Roman"/>
        </w:rPr>
      </w:pPr>
      <w:r w:rsidRPr="00B36101">
        <w:rPr>
          <w:rFonts w:ascii="Times New Roman" w:eastAsia="標楷體" w:hAnsi="Times New Roman" w:cs="Times New Roman"/>
        </w:rPr>
        <w:t xml:space="preserve">   </w:t>
      </w:r>
      <w:r w:rsidR="00E44142">
        <w:rPr>
          <w:rFonts w:ascii="Times New Roman" w:eastAsia="標楷體" w:hAnsi="Times New Roman" w:cs="Times New Roman" w:hint="eastAsia"/>
        </w:rPr>
        <w:t xml:space="preserve"> </w:t>
      </w:r>
      <w:r w:rsidRPr="00B36101">
        <w:rPr>
          <w:rFonts w:ascii="Times New Roman" w:eastAsia="標楷體" w:hAnsi="Times New Roman" w:cs="Times New Roman"/>
        </w:rPr>
        <w:t>**</w:t>
      </w:r>
      <w:r w:rsidRPr="00B36101">
        <w:rPr>
          <w:rFonts w:ascii="Times New Roman" w:eastAsia="標楷體" w:hAnsi="Times New Roman" w:cs="Times New Roman"/>
        </w:rPr>
        <w:t>按本</w:t>
      </w:r>
      <w:r w:rsidRPr="00B36101">
        <w:rPr>
          <w:rFonts w:ascii="Times New Roman" w:eastAsia="標楷體" w:hAnsi="Times New Roman" w:cs="Times New Roman"/>
        </w:rPr>
        <w:t>(106)</w:t>
      </w:r>
      <w:r w:rsidRPr="00B36101">
        <w:rPr>
          <w:rFonts w:ascii="Times New Roman" w:eastAsia="標楷體" w:hAnsi="Times New Roman" w:cs="Times New Roman"/>
        </w:rPr>
        <w:t>年</w:t>
      </w:r>
      <w:r w:rsidR="00B36101">
        <w:rPr>
          <w:rFonts w:ascii="Times New Roman" w:eastAsia="標楷體" w:hAnsi="Times New Roman" w:cs="Times New Roman" w:hint="eastAsia"/>
        </w:rPr>
        <w:t>3</w:t>
      </w:r>
      <w:r w:rsidRPr="00B36101">
        <w:rPr>
          <w:rFonts w:ascii="Times New Roman" w:eastAsia="標楷體" w:hAnsi="Times New Roman" w:cs="Times New Roman"/>
        </w:rPr>
        <w:t>月底匯率計算。</w:t>
      </w:r>
    </w:p>
    <w:p w:rsidR="00B36101" w:rsidRPr="00B36101" w:rsidRDefault="00B36101">
      <w:pPr>
        <w:ind w:left="672" w:rightChars="-572" w:right="-1373" w:hangingChars="280" w:hanging="672"/>
        <w:rPr>
          <w:rFonts w:ascii="Times New Roman" w:eastAsia="標楷體" w:hAnsi="Times New Roman" w:cs="Times New Roman"/>
        </w:rPr>
      </w:pPr>
    </w:p>
    <w:sectPr w:rsidR="00B36101" w:rsidRPr="00B36101" w:rsidSect="003E6D62">
      <w:pgSz w:w="11906" w:h="16838" w:code="9"/>
      <w:pgMar w:top="1440" w:right="1797" w:bottom="1440" w:left="1559" w:header="1134" w:footer="113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71" w:rsidRDefault="00B62871" w:rsidP="009950EA">
      <w:r>
        <w:separator/>
      </w:r>
    </w:p>
  </w:endnote>
  <w:endnote w:type="continuationSeparator" w:id="0">
    <w:p w:rsidR="00B62871" w:rsidRDefault="00B62871" w:rsidP="0099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71" w:rsidRDefault="00B62871" w:rsidP="009950EA">
      <w:r>
        <w:separator/>
      </w:r>
    </w:p>
  </w:footnote>
  <w:footnote w:type="continuationSeparator" w:id="0">
    <w:p w:rsidR="00B62871" w:rsidRDefault="00B62871" w:rsidP="0099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62"/>
    <w:rsid w:val="00043CC4"/>
    <w:rsid w:val="00073EAE"/>
    <w:rsid w:val="00103D96"/>
    <w:rsid w:val="00146372"/>
    <w:rsid w:val="00183BEF"/>
    <w:rsid w:val="00324C0C"/>
    <w:rsid w:val="00372F6D"/>
    <w:rsid w:val="00380470"/>
    <w:rsid w:val="003C6542"/>
    <w:rsid w:val="003E6D62"/>
    <w:rsid w:val="003F64DC"/>
    <w:rsid w:val="005D3CFB"/>
    <w:rsid w:val="00704129"/>
    <w:rsid w:val="0073108A"/>
    <w:rsid w:val="00856384"/>
    <w:rsid w:val="009950EA"/>
    <w:rsid w:val="009B5E4C"/>
    <w:rsid w:val="00B20D52"/>
    <w:rsid w:val="00B36101"/>
    <w:rsid w:val="00B62871"/>
    <w:rsid w:val="00BA0AE4"/>
    <w:rsid w:val="00E44142"/>
    <w:rsid w:val="00EC2106"/>
    <w:rsid w:val="00EE37D3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6D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6D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909152991936873E-2"/>
          <c:y val="0.18452434583201333"/>
          <c:w val="0.83776280987954133"/>
          <c:h val="0.7014002497260658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年資料!$C$2</c:f>
              <c:strCache>
                <c:ptCount val="1"/>
                <c:pt idx="0">
                  <c:v>發行額(億元)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年資料!$A$4:$A$20</c:f>
              <c:strCache>
                <c:ptCount val="17"/>
                <c:pt idx="0">
                  <c:v>91/7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  <c:pt idx="4">
                  <c:v>94</c:v>
                </c:pt>
                <c:pt idx="5">
                  <c:v>95</c:v>
                </c:pt>
                <c:pt idx="6">
                  <c:v>96</c:v>
                </c:pt>
                <c:pt idx="7">
                  <c:v>97</c:v>
                </c:pt>
                <c:pt idx="8">
                  <c:v>98</c:v>
                </c:pt>
                <c:pt idx="9">
                  <c:v>99</c:v>
                </c:pt>
                <c:pt idx="10">
                  <c:v>100</c:v>
                </c:pt>
                <c:pt idx="11">
                  <c:v>101</c:v>
                </c:pt>
                <c:pt idx="12">
                  <c:v>102</c:v>
                </c:pt>
                <c:pt idx="13">
                  <c:v>103</c:v>
                </c:pt>
                <c:pt idx="14">
                  <c:v>104</c:v>
                </c:pt>
                <c:pt idx="15">
                  <c:v>105</c:v>
                </c:pt>
                <c:pt idx="16">
                  <c:v>106/3</c:v>
                </c:pt>
              </c:strCache>
            </c:strRef>
          </c:cat>
          <c:val>
            <c:numRef>
              <c:f>年資料!$C$4:$C$20</c:f>
              <c:numCache>
                <c:formatCode>#,##0_);[Red]\(#,##0\)</c:formatCode>
                <c:ptCount val="17"/>
                <c:pt idx="0">
                  <c:v>61</c:v>
                </c:pt>
                <c:pt idx="1">
                  <c:v>120</c:v>
                </c:pt>
                <c:pt idx="2">
                  <c:v>189</c:v>
                </c:pt>
                <c:pt idx="3">
                  <c:v>218</c:v>
                </c:pt>
                <c:pt idx="4">
                  <c:v>292</c:v>
                </c:pt>
                <c:pt idx="5">
                  <c:v>338</c:v>
                </c:pt>
                <c:pt idx="6">
                  <c:v>390.26</c:v>
                </c:pt>
                <c:pt idx="7">
                  <c:v>418.74</c:v>
                </c:pt>
                <c:pt idx="8">
                  <c:v>450.20602000000002</c:v>
                </c:pt>
                <c:pt idx="9">
                  <c:v>496.40602000000001</c:v>
                </c:pt>
                <c:pt idx="10">
                  <c:v>574.14602000000002</c:v>
                </c:pt>
                <c:pt idx="11">
                  <c:v>638.64602000000002</c:v>
                </c:pt>
                <c:pt idx="12">
                  <c:v>709.77782000000002</c:v>
                </c:pt>
                <c:pt idx="13">
                  <c:v>796.61015999999995</c:v>
                </c:pt>
                <c:pt idx="14">
                  <c:v>876.11015999999995</c:v>
                </c:pt>
                <c:pt idx="15">
                  <c:v>945.23015999999996</c:v>
                </c:pt>
                <c:pt idx="16">
                  <c:v>984.57015999999999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307072"/>
        <c:axId val="88451328"/>
      </c:barChart>
      <c:lineChart>
        <c:grouping val="standard"/>
        <c:varyColors val="0"/>
        <c:ser>
          <c:idx val="0"/>
          <c:order val="1"/>
          <c:tx>
            <c:strRef>
              <c:f>年資料!$D$2</c:f>
              <c:strCache>
                <c:ptCount val="1"/>
                <c:pt idx="0">
                  <c:v>占鈔券發行額之百分比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/>
              <a:lstStyle/>
              <a:p>
                <a:pPr>
                  <a:defRPr spc="-8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年資料!$A$4:$A$20</c:f>
              <c:strCache>
                <c:ptCount val="17"/>
                <c:pt idx="0">
                  <c:v>91/7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  <c:pt idx="4">
                  <c:v>94</c:v>
                </c:pt>
                <c:pt idx="5">
                  <c:v>95</c:v>
                </c:pt>
                <c:pt idx="6">
                  <c:v>96</c:v>
                </c:pt>
                <c:pt idx="7">
                  <c:v>97</c:v>
                </c:pt>
                <c:pt idx="8">
                  <c:v>98</c:v>
                </c:pt>
                <c:pt idx="9">
                  <c:v>99</c:v>
                </c:pt>
                <c:pt idx="10">
                  <c:v>100</c:v>
                </c:pt>
                <c:pt idx="11">
                  <c:v>101</c:v>
                </c:pt>
                <c:pt idx="12">
                  <c:v>102</c:v>
                </c:pt>
                <c:pt idx="13">
                  <c:v>103</c:v>
                </c:pt>
                <c:pt idx="14">
                  <c:v>104</c:v>
                </c:pt>
                <c:pt idx="15">
                  <c:v>105</c:v>
                </c:pt>
                <c:pt idx="16">
                  <c:v>106/3</c:v>
                </c:pt>
              </c:strCache>
            </c:strRef>
          </c:cat>
          <c:val>
            <c:numRef>
              <c:f>年資料!$D$4:$D$20</c:f>
              <c:numCache>
                <c:formatCode>0.00_);[Red]\(0.00\)</c:formatCode>
                <c:ptCount val="17"/>
                <c:pt idx="0">
                  <c:v>0.97</c:v>
                </c:pt>
                <c:pt idx="1">
                  <c:v>1.85</c:v>
                </c:pt>
                <c:pt idx="2">
                  <c:v>2.58</c:v>
                </c:pt>
                <c:pt idx="3">
                  <c:v>2.71</c:v>
                </c:pt>
                <c:pt idx="4">
                  <c:v>3.37</c:v>
                </c:pt>
                <c:pt idx="5">
                  <c:v>3.76</c:v>
                </c:pt>
                <c:pt idx="6">
                  <c:v>4.34</c:v>
                </c:pt>
                <c:pt idx="7">
                  <c:v>4.2300000000000004</c:v>
                </c:pt>
                <c:pt idx="8">
                  <c:v>4.26</c:v>
                </c:pt>
                <c:pt idx="9">
                  <c:v>4.37</c:v>
                </c:pt>
                <c:pt idx="10">
                  <c:v>4.6100000000000003</c:v>
                </c:pt>
                <c:pt idx="11">
                  <c:v>4.7</c:v>
                </c:pt>
                <c:pt idx="12">
                  <c:v>4.82</c:v>
                </c:pt>
                <c:pt idx="13">
                  <c:v>4.93</c:v>
                </c:pt>
                <c:pt idx="14">
                  <c:v>5.12</c:v>
                </c:pt>
                <c:pt idx="15">
                  <c:v>5.1424324940457113</c:v>
                </c:pt>
                <c:pt idx="16">
                  <c:v>5.15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1432448"/>
        <c:axId val="93261184"/>
      </c:lineChart>
      <c:catAx>
        <c:axId val="1623070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zh-TW"/>
          </a:p>
        </c:txPr>
        <c:crossAx val="884513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8451328"/>
        <c:scaling>
          <c:orientation val="minMax"/>
          <c:max val="12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細明體"/>
                    <a:ea typeface="標楷體" pitchFamily="65" charset="-120"/>
                    <a:cs typeface="細明體"/>
                  </a:defRPr>
                </a:pPr>
                <a:r>
                  <a:rPr lang="zh-TW" altLang="en-US" sz="1000" b="0" i="0" u="none" strike="noStrike" baseline="0">
                    <a:solidFill>
                      <a:srgbClr val="000000"/>
                    </a:solidFill>
                    <a:latin typeface="標楷體" pitchFamily="65" charset="-120"/>
                    <a:ea typeface="標楷體" pitchFamily="65" charset="-120"/>
                  </a:rPr>
                  <a:t>發行數額</a:t>
                </a:r>
                <a:r>
                  <a:rPr lang="zh-TW" altLang="en-US" sz="1000" b="0" i="0" u="none" strike="noStrike" baseline="0">
                    <a:solidFill>
                      <a:srgbClr val="000000"/>
                    </a:solidFill>
                    <a:latin typeface="Arial"/>
                    <a:ea typeface="標楷體" pitchFamily="65" charset="-120"/>
                    <a:cs typeface="Arial"/>
                  </a:rPr>
                  <a:t>(</a:t>
                </a:r>
                <a:r>
                  <a:rPr lang="zh-TW" altLang="en-US" sz="1000" b="0" i="0" u="none" strike="noStrike" baseline="0">
                    <a:solidFill>
                      <a:srgbClr val="000000"/>
                    </a:solidFill>
                    <a:latin typeface="標楷體" pitchFamily="65" charset="-120"/>
                    <a:ea typeface="標楷體" pitchFamily="65" charset="-120"/>
                    <a:cs typeface="Arial"/>
                  </a:rPr>
                  <a:t>億元</a:t>
                </a:r>
                <a:r>
                  <a:rPr lang="zh-TW" altLang="en-US" sz="1000" b="0" i="0" u="none" strike="noStrike" baseline="0">
                    <a:solidFill>
                      <a:srgbClr val="000000"/>
                    </a:solidFill>
                    <a:latin typeface="Arial"/>
                    <a:ea typeface="標楷體" pitchFamily="65" charset="-120"/>
                    <a:cs typeface="Arial"/>
                  </a:rPr>
                  <a:t>)</a:t>
                </a:r>
              </a:p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細明體"/>
                    <a:ea typeface="標楷體" pitchFamily="65" charset="-120"/>
                    <a:cs typeface="細明體"/>
                  </a:defRPr>
                </a:pPr>
                <a:endParaRPr lang="zh-TW" altLang="en-US" sz="1000" baseline="0">
                  <a:ea typeface="標楷體" pitchFamily="65" charset="-120"/>
                </a:endParaRPr>
              </a:p>
            </c:rich>
          </c:tx>
          <c:layout>
            <c:manualLayout>
              <c:xMode val="edge"/>
              <c:yMode val="edge"/>
              <c:x val="9.671098927119497E-3"/>
              <c:y val="2.753739520424025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[Red]\(#,##0\)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zh-TW"/>
          </a:p>
        </c:txPr>
        <c:crossAx val="162307072"/>
        <c:crosses val="autoZero"/>
        <c:crossBetween val="between"/>
      </c:valAx>
      <c:catAx>
        <c:axId val="25143244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細明體"/>
                    <a:ea typeface="標楷體" pitchFamily="65" charset="-120"/>
                    <a:cs typeface="細明體"/>
                  </a:defRPr>
                </a:pPr>
                <a:r>
                  <a:rPr lang="zh-TW" altLang="en-US" sz="1000" b="0" i="0" u="none" strike="noStrike" baseline="0">
                    <a:solidFill>
                      <a:srgbClr val="000000"/>
                    </a:solidFill>
                    <a:latin typeface="標楷體" pitchFamily="65" charset="-120"/>
                    <a:ea typeface="標楷體" pitchFamily="65" charset="-120"/>
                  </a:rPr>
                  <a:t>占鈔券發行總額</a:t>
                </a:r>
                <a:endParaRPr lang="en-US" altLang="zh-TW" sz="1000" b="0" i="0" u="none" strike="noStrike" baseline="0">
                  <a:solidFill>
                    <a:srgbClr val="000000"/>
                  </a:solidFill>
                  <a:latin typeface="標楷體" pitchFamily="65" charset="-120"/>
                  <a:ea typeface="標楷體" pitchFamily="65" charset="-120"/>
                </a:endParaRPr>
              </a:p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細明體"/>
                    <a:ea typeface="標楷體" pitchFamily="65" charset="-120"/>
                    <a:cs typeface="細明體"/>
                  </a:defRPr>
                </a:pPr>
                <a:r>
                  <a:rPr lang="zh-TW" altLang="en-US" sz="1000" b="0" i="0" u="none" strike="noStrike" baseline="0">
                    <a:solidFill>
                      <a:srgbClr val="000000"/>
                    </a:solidFill>
                    <a:latin typeface="標楷體" pitchFamily="65" charset="-120"/>
                    <a:ea typeface="標楷體" pitchFamily="65" charset="-120"/>
                  </a:rPr>
                  <a:t>之百分比</a:t>
                </a:r>
                <a:r>
                  <a:rPr lang="zh-TW" altLang="en-US" sz="1000" b="0" i="0" u="none" strike="noStrike" baseline="0">
                    <a:solidFill>
                      <a:srgbClr val="000000"/>
                    </a:solidFill>
                    <a:latin typeface="Arial"/>
                    <a:ea typeface="標楷體" pitchFamily="65" charset="-120"/>
                    <a:cs typeface="Arial"/>
                  </a:rPr>
                  <a:t>(%)</a:t>
                </a:r>
                <a:endParaRPr lang="zh-TW" altLang="en-US" baseline="0">
                  <a:ea typeface="標楷體" pitchFamily="65" charset="-120"/>
                </a:endParaRPr>
              </a:p>
            </c:rich>
          </c:tx>
          <c:layout>
            <c:manualLayout>
              <c:xMode val="edge"/>
              <c:yMode val="edge"/>
              <c:x val="0.83576874205844964"/>
              <c:y val="2.4493221721071278E-2"/>
            </c:manualLayout>
          </c:layout>
          <c:overlay val="0"/>
          <c:spPr>
            <a:noFill/>
            <a:ln w="25400">
              <a:noFill/>
            </a:ln>
          </c:spPr>
        </c:title>
        <c:majorTickMark val="out"/>
        <c:minorTickMark val="none"/>
        <c:tickLblPos val="nextTo"/>
        <c:crossAx val="93261184"/>
        <c:crosses val="autoZero"/>
        <c:auto val="0"/>
        <c:lblAlgn val="ctr"/>
        <c:lblOffset val="100"/>
        <c:noMultiLvlLbl val="0"/>
      </c:catAx>
      <c:valAx>
        <c:axId val="93261184"/>
        <c:scaling>
          <c:orientation val="minMax"/>
          <c:max val="5.5"/>
          <c:min val="0"/>
        </c:scaling>
        <c:delete val="0"/>
        <c:axPos val="r"/>
        <c:numFmt formatCode="0.00_);[Red]\(0.00\)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zh-TW"/>
          </a:p>
        </c:txPr>
        <c:crossAx val="251432448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TW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0.55654</cdr:x>
      <cdr:y>0.41505</cdr:y>
    </cdr:from>
    <cdr:to>
      <cdr:x>0.67217</cdr:x>
      <cdr:y>0.5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3337560" y="1303020"/>
          <a:ext cx="69342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左軸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100">
            <a:latin typeface="標楷體" panose="03000509000000000000" pitchFamily="65" charset="-120"/>
            <a:ea typeface="標楷體" panose="03000509000000000000" pitchFamily="65" charset="-120"/>
          </a:endParaRPr>
        </a:p>
      </cdr:txBody>
    </cdr:sp>
  </cdr:relSizeAnchor>
  <cdr:relSizeAnchor xmlns:cdr="http://schemas.openxmlformats.org/drawingml/2006/chartDrawing">
    <cdr:from>
      <cdr:x>0.26302</cdr:x>
      <cdr:y>0.31068</cdr:y>
    </cdr:from>
    <cdr:to>
      <cdr:x>0.37992</cdr:x>
      <cdr:y>0.39563</cdr:y>
    </cdr:to>
    <cdr:sp macro="" textlink="">
      <cdr:nvSpPr>
        <cdr:cNvPr id="3" name="文字方塊 2"/>
        <cdr:cNvSpPr txBox="1"/>
      </cdr:nvSpPr>
      <cdr:spPr>
        <a:xfrm xmlns:a="http://schemas.openxmlformats.org/drawingml/2006/main">
          <a:off x="1577340" y="975360"/>
          <a:ext cx="70104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右軸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100">
            <a:latin typeface="標楷體" panose="03000509000000000000" pitchFamily="65" charset="-120"/>
            <a:ea typeface="標楷體" panose="03000509000000000000" pitchFamily="65" charset="-12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林元</dc:creator>
  <cp:lastModifiedBy>林元</cp:lastModifiedBy>
  <cp:revision>15</cp:revision>
  <cp:lastPrinted>2017-04-05T06:49:00Z</cp:lastPrinted>
  <dcterms:created xsi:type="dcterms:W3CDTF">2017-04-05T02:36:00Z</dcterms:created>
  <dcterms:modified xsi:type="dcterms:W3CDTF">2017-04-05T09:24:00Z</dcterms:modified>
</cp:coreProperties>
</file>