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B1" w:rsidRPr="00325783" w:rsidRDefault="007106B1" w:rsidP="00C57FC6">
      <w:pPr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325783">
        <w:rPr>
          <w:rFonts w:ascii="Times New Roman" w:eastAsia="標楷體" w:hAnsi="Times New Roman" w:cs="Times New Roman" w:hint="eastAsia"/>
          <w:b/>
          <w:sz w:val="36"/>
          <w:szCs w:val="36"/>
        </w:rPr>
        <w:t>中央銀行新聞參考資料</w:t>
      </w:r>
    </w:p>
    <w:bookmarkEnd w:id="0"/>
    <w:p w:rsidR="006119A1" w:rsidRPr="00C57FC6" w:rsidRDefault="006119A1" w:rsidP="00C57FC6">
      <w:pPr>
        <w:snapToGrid w:val="0"/>
        <w:spacing w:afterLines="50" w:after="180" w:line="500" w:lineRule="exact"/>
        <w:jc w:val="right"/>
        <w:rPr>
          <w:rFonts w:ascii="Times New Roman" w:eastAsia="標楷體" w:hAnsi="Times New Roman" w:cs="Times New Roman"/>
        </w:rPr>
      </w:pPr>
      <w:r w:rsidRPr="00C57FC6">
        <w:rPr>
          <w:rFonts w:ascii="Times New Roman" w:eastAsia="標楷體" w:hAnsi="Times New Roman" w:cs="Times New Roman" w:hint="eastAsia"/>
        </w:rPr>
        <w:t>2016.3.</w:t>
      </w:r>
      <w:r w:rsidR="00C57FC6" w:rsidRPr="00C57FC6">
        <w:rPr>
          <w:rFonts w:ascii="Times New Roman" w:eastAsia="標楷體" w:hAnsi="Times New Roman" w:cs="Times New Roman" w:hint="eastAsia"/>
        </w:rPr>
        <w:t>16</w:t>
      </w:r>
    </w:p>
    <w:p w:rsidR="00E66C94" w:rsidRDefault="00E66C94" w:rsidP="00E66C94">
      <w:pPr>
        <w:snapToGrid w:val="0"/>
        <w:spacing w:afterLines="50" w:after="180" w:line="50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E66C94">
        <w:rPr>
          <w:rFonts w:ascii="Times New Roman" w:eastAsia="標楷體" w:hAnsi="Times New Roman" w:cs="Times New Roman" w:hint="eastAsia"/>
          <w:b/>
          <w:sz w:val="36"/>
        </w:rPr>
        <w:t>工資帶動型成長策略</w:t>
      </w:r>
      <w:r w:rsidRPr="00E66C94">
        <w:rPr>
          <w:rFonts w:ascii="Times New Roman" w:eastAsia="標楷體" w:hAnsi="Times New Roman" w:cs="Times New Roman" w:hint="eastAsia"/>
          <w:b/>
          <w:sz w:val="36"/>
        </w:rPr>
        <w:t>(Wage-led Growth S</w:t>
      </w:r>
      <w:r w:rsidRPr="00E66C94">
        <w:rPr>
          <w:rFonts w:ascii="Times New Roman" w:eastAsia="標楷體" w:hAnsi="Times New Roman" w:cs="Times New Roman"/>
          <w:b/>
          <w:sz w:val="36"/>
        </w:rPr>
        <w:t>trategy</w:t>
      </w:r>
      <w:r w:rsidRPr="00E66C94">
        <w:rPr>
          <w:rFonts w:ascii="Times New Roman" w:eastAsia="標楷體" w:hAnsi="Times New Roman" w:cs="Times New Roman" w:hint="eastAsia"/>
          <w:b/>
          <w:sz w:val="36"/>
        </w:rPr>
        <w:t>)</w:t>
      </w:r>
    </w:p>
    <w:p w:rsidR="00E437FF" w:rsidRPr="001A534B" w:rsidRDefault="00E41CEA" w:rsidP="00E85A0D">
      <w:pPr>
        <w:snapToGrid w:val="0"/>
        <w:spacing w:beforeLines="100" w:before="360" w:afterLines="50" w:after="180" w:line="440" w:lineRule="exact"/>
        <w:jc w:val="both"/>
        <w:rPr>
          <w:rFonts w:ascii="Times New Roman" w:eastAsia="標楷體" w:hAnsi="Times New Roman" w:cs="Times New Roman"/>
          <w:b/>
          <w:sz w:val="32"/>
        </w:rPr>
      </w:pPr>
      <w:r w:rsidRPr="001A534B">
        <w:rPr>
          <w:rFonts w:ascii="Times New Roman" w:eastAsia="標楷體" w:hAnsi="Times New Roman" w:cs="Times New Roman"/>
          <w:b/>
          <w:sz w:val="32"/>
        </w:rPr>
        <w:t>一、</w:t>
      </w:r>
      <w:r w:rsidR="00890D55" w:rsidRPr="001A534B">
        <w:rPr>
          <w:rFonts w:ascii="Times New Roman" w:eastAsia="標楷體" w:hAnsi="Times New Roman" w:cs="Times New Roman"/>
          <w:b/>
          <w:sz w:val="32"/>
        </w:rPr>
        <w:t>物價穩定</w:t>
      </w:r>
      <w:r w:rsidR="009968F4" w:rsidRPr="001A534B">
        <w:rPr>
          <w:rFonts w:ascii="Times New Roman" w:eastAsia="標楷體" w:hAnsi="Times New Roman" w:cs="Times New Roman"/>
          <w:b/>
          <w:sz w:val="32"/>
        </w:rPr>
        <w:t>有助於經濟持續成長</w:t>
      </w:r>
      <w:r w:rsidR="00B318AB" w:rsidRPr="001A534B">
        <w:rPr>
          <w:rFonts w:ascii="Times New Roman" w:eastAsia="標楷體" w:hAnsi="Times New Roman" w:cs="Times New Roman"/>
          <w:b/>
          <w:sz w:val="32"/>
        </w:rPr>
        <w:t>(sustainable growth)</w:t>
      </w:r>
      <w:r w:rsidR="001B57BF" w:rsidRPr="001A534B">
        <w:rPr>
          <w:rFonts w:ascii="Times New Roman" w:eastAsia="標楷體" w:hAnsi="Times New Roman" w:cs="Times New Roman"/>
          <w:b/>
          <w:sz w:val="32"/>
        </w:rPr>
        <w:t>，並</w:t>
      </w:r>
      <w:r w:rsidR="00B318AB" w:rsidRPr="001A534B">
        <w:rPr>
          <w:rFonts w:ascii="Times New Roman" w:eastAsia="標楷體" w:hAnsi="Times New Roman" w:cs="Times New Roman"/>
          <w:b/>
          <w:sz w:val="32"/>
        </w:rPr>
        <w:t>提升人民生活福祉</w:t>
      </w:r>
    </w:p>
    <w:p w:rsidR="00B6741D" w:rsidRPr="00B6741D" w:rsidRDefault="00B6741D" w:rsidP="00E85A0D">
      <w:pPr>
        <w:pStyle w:val="a4"/>
        <w:spacing w:beforeLines="50" w:before="180" w:afterLines="20" w:after="72" w:line="440" w:lineRule="exact"/>
        <w:ind w:left="336" w:hangingChars="120" w:hanging="336"/>
        <w:rPr>
          <w:b w:val="0"/>
          <w:snapToGrid w:val="0"/>
          <w:color w:val="0000FF"/>
          <w:sz w:val="28"/>
          <w:szCs w:val="32"/>
        </w:rPr>
      </w:pPr>
      <w:r>
        <w:rPr>
          <w:rFonts w:hint="eastAsia"/>
          <w:b w:val="0"/>
          <w:snapToGrid w:val="0"/>
          <w:sz w:val="28"/>
          <w:szCs w:val="32"/>
        </w:rPr>
        <w:t xml:space="preserve">1. </w:t>
      </w:r>
      <w:r w:rsidRPr="00B6741D">
        <w:rPr>
          <w:b w:val="0"/>
          <w:snapToGrid w:val="0"/>
          <w:sz w:val="28"/>
          <w:szCs w:val="32"/>
        </w:rPr>
        <w:t>加拿大央行指出</w:t>
      </w:r>
      <w:r w:rsidRPr="00B6741D">
        <w:rPr>
          <w:b w:val="0"/>
          <w:snapToGrid w:val="0"/>
          <w:sz w:val="28"/>
          <w:szCs w:val="32"/>
          <w:vertAlign w:val="superscript"/>
        </w:rPr>
        <w:footnoteReference w:id="1"/>
      </w:r>
      <w:r w:rsidRPr="00B6741D">
        <w:rPr>
          <w:b w:val="0"/>
          <w:snapToGrid w:val="0"/>
          <w:sz w:val="28"/>
          <w:szCs w:val="32"/>
        </w:rPr>
        <w:t>，經驗顯示，</w:t>
      </w:r>
      <w:r w:rsidRPr="00B6741D">
        <w:rPr>
          <w:snapToGrid w:val="0"/>
          <w:color w:val="0000FF"/>
          <w:sz w:val="28"/>
          <w:szCs w:val="32"/>
        </w:rPr>
        <w:t>維持低且穩定</w:t>
      </w:r>
      <w:r w:rsidR="00E85A0D">
        <w:rPr>
          <w:rFonts w:hint="eastAsia"/>
          <w:b w:val="0"/>
          <w:snapToGrid w:val="0"/>
          <w:sz w:val="28"/>
          <w:szCs w:val="32"/>
        </w:rPr>
        <w:t>(</w:t>
      </w:r>
      <w:r w:rsidRPr="00B6741D">
        <w:rPr>
          <w:b w:val="0"/>
          <w:snapToGrid w:val="0"/>
          <w:sz w:val="28"/>
          <w:szCs w:val="32"/>
        </w:rPr>
        <w:t>low and stable inflation</w:t>
      </w:r>
      <w:r w:rsidR="00E85A0D">
        <w:rPr>
          <w:rFonts w:hint="eastAsia"/>
          <w:b w:val="0"/>
          <w:snapToGrid w:val="0"/>
          <w:sz w:val="28"/>
          <w:szCs w:val="32"/>
        </w:rPr>
        <w:t>)</w:t>
      </w:r>
      <w:r w:rsidRPr="00B6741D">
        <w:rPr>
          <w:b w:val="0"/>
          <w:snapToGrid w:val="0"/>
          <w:sz w:val="28"/>
          <w:szCs w:val="32"/>
        </w:rPr>
        <w:t>，以及</w:t>
      </w:r>
      <w:r w:rsidRPr="00B6741D">
        <w:rPr>
          <w:snapToGrid w:val="0"/>
          <w:color w:val="0000FF"/>
          <w:sz w:val="28"/>
          <w:szCs w:val="32"/>
        </w:rPr>
        <w:t>具可測性的通膨率</w:t>
      </w:r>
      <w:r w:rsidRPr="00B6741D">
        <w:rPr>
          <w:b w:val="0"/>
          <w:snapToGrid w:val="0"/>
          <w:sz w:val="28"/>
          <w:szCs w:val="32"/>
        </w:rPr>
        <w:t>，是提振大眾對貨幣價值信心、</w:t>
      </w:r>
      <w:r w:rsidRPr="00B6741D">
        <w:rPr>
          <w:snapToGrid w:val="0"/>
          <w:color w:val="0000FF"/>
          <w:sz w:val="28"/>
          <w:szCs w:val="32"/>
        </w:rPr>
        <w:t>促進強勁經濟表現</w:t>
      </w:r>
      <w:r w:rsidRPr="00B6741D">
        <w:rPr>
          <w:b w:val="0"/>
          <w:snapToGrid w:val="0"/>
          <w:sz w:val="28"/>
          <w:szCs w:val="32"/>
        </w:rPr>
        <w:t>，以及提昇生活水準</w:t>
      </w:r>
      <w:r w:rsidRPr="00B6741D">
        <w:rPr>
          <w:snapToGrid w:val="0"/>
          <w:color w:val="0000FF"/>
          <w:sz w:val="28"/>
          <w:szCs w:val="32"/>
        </w:rPr>
        <w:t>的最佳方法</w:t>
      </w:r>
      <w:r w:rsidRPr="00B6741D">
        <w:rPr>
          <w:b w:val="0"/>
          <w:snapToGrid w:val="0"/>
          <w:sz w:val="28"/>
          <w:szCs w:val="32"/>
        </w:rPr>
        <w:t>。詳言之，低且穩定的通膨，係藉由下列重要方式造福</w:t>
      </w:r>
      <w:r w:rsidR="000C4FFF">
        <w:rPr>
          <w:rFonts w:hint="eastAsia"/>
          <w:b w:val="0"/>
          <w:snapToGrid w:val="0"/>
          <w:sz w:val="28"/>
          <w:szCs w:val="32"/>
        </w:rPr>
        <w:t>人民</w:t>
      </w:r>
      <w:r w:rsidRPr="00B6741D">
        <w:rPr>
          <w:b w:val="0"/>
          <w:snapToGrid w:val="0"/>
          <w:sz w:val="28"/>
          <w:szCs w:val="32"/>
        </w:rPr>
        <w:t>：</w:t>
      </w:r>
    </w:p>
    <w:p w:rsidR="00B6741D" w:rsidRPr="00B6741D" w:rsidRDefault="00B6741D" w:rsidP="00B6741D">
      <w:pPr>
        <w:pStyle w:val="a4"/>
        <w:spacing w:beforeLines="20" w:before="72" w:afterLines="20" w:after="72" w:line="440" w:lineRule="exact"/>
        <w:ind w:left="280" w:hangingChars="100" w:hanging="280"/>
        <w:rPr>
          <w:b w:val="0"/>
          <w:snapToGrid w:val="0"/>
          <w:sz w:val="28"/>
          <w:szCs w:val="32"/>
        </w:rPr>
      </w:pPr>
      <w:r w:rsidRPr="00B6741D">
        <w:rPr>
          <w:rFonts w:hint="eastAsia"/>
          <w:b w:val="0"/>
          <w:snapToGrid w:val="0"/>
          <w:sz w:val="28"/>
          <w:szCs w:val="32"/>
        </w:rPr>
        <w:t>(1)</w:t>
      </w:r>
      <w:r w:rsidRPr="00B6741D">
        <w:rPr>
          <w:b w:val="0"/>
          <w:snapToGrid w:val="0"/>
          <w:sz w:val="28"/>
          <w:szCs w:val="32"/>
        </w:rPr>
        <w:t>它創造一個對產出、就業及所得穩健成長的有利環境。</w:t>
      </w:r>
    </w:p>
    <w:p w:rsidR="00B6741D" w:rsidRPr="00B6741D" w:rsidRDefault="00B6741D" w:rsidP="00B6741D">
      <w:pPr>
        <w:pStyle w:val="a4"/>
        <w:spacing w:beforeLines="20" w:before="72" w:afterLines="20" w:after="72" w:line="440" w:lineRule="exact"/>
        <w:ind w:left="280" w:hangingChars="100" w:hanging="280"/>
        <w:rPr>
          <w:b w:val="0"/>
          <w:snapToGrid w:val="0"/>
          <w:sz w:val="28"/>
          <w:szCs w:val="32"/>
        </w:rPr>
      </w:pPr>
      <w:r w:rsidRPr="00B6741D">
        <w:rPr>
          <w:rFonts w:hint="eastAsia"/>
          <w:b w:val="0"/>
          <w:snapToGrid w:val="0"/>
          <w:sz w:val="28"/>
          <w:szCs w:val="32"/>
        </w:rPr>
        <w:t>(2)</w:t>
      </w:r>
      <w:r w:rsidRPr="00B6741D">
        <w:rPr>
          <w:b w:val="0"/>
          <w:snapToGrid w:val="0"/>
          <w:sz w:val="28"/>
          <w:szCs w:val="32"/>
        </w:rPr>
        <w:t>它帶給大眾對於未來有更穩固的信心，允許大眾做出健全的經濟決策；尤其是，它協助鼓勵長期投資，這類投資能促進可持續經濟成長、就業創造及生產力獲益，而這些對改善大眾的生活水準至關重要。</w:t>
      </w:r>
    </w:p>
    <w:p w:rsidR="00B6741D" w:rsidRPr="00B6741D" w:rsidRDefault="00B6741D" w:rsidP="00B6741D">
      <w:pPr>
        <w:tabs>
          <w:tab w:val="num" w:pos="1080"/>
        </w:tabs>
        <w:spacing w:beforeLines="20" w:before="72" w:afterLines="20" w:after="72" w:line="440" w:lineRule="exact"/>
        <w:jc w:val="both"/>
        <w:rPr>
          <w:rFonts w:ascii="Times New Roman" w:eastAsia="標楷體" w:hAnsi="Times New Roman" w:cs="Times New Roman"/>
          <w:snapToGrid w:val="0"/>
          <w:kern w:val="52"/>
          <w:sz w:val="28"/>
          <w:szCs w:val="32"/>
        </w:rPr>
      </w:pPr>
      <w:r>
        <w:rPr>
          <w:rFonts w:ascii="Times New Roman" w:eastAsia="標楷體" w:hAnsi="Times New Roman" w:cs="Times New Roman" w:hint="eastAsia"/>
          <w:snapToGrid w:val="0"/>
          <w:kern w:val="52"/>
          <w:sz w:val="28"/>
          <w:szCs w:val="32"/>
        </w:rPr>
        <w:t>(3)</w:t>
      </w:r>
      <w:r w:rsidRPr="00B6741D">
        <w:rPr>
          <w:rFonts w:ascii="Times New Roman" w:eastAsia="標楷體" w:hAnsi="Times New Roman" w:cs="Times New Roman"/>
          <w:snapToGrid w:val="0"/>
          <w:kern w:val="52"/>
          <w:sz w:val="28"/>
          <w:szCs w:val="32"/>
        </w:rPr>
        <w:t>低通膨維護大眾的購買力，尤其是那些仰賴固定收入的族群，例如領取養老金者。</w:t>
      </w:r>
    </w:p>
    <w:p w:rsidR="00B6741D" w:rsidRPr="00B6741D" w:rsidRDefault="00AA2713" w:rsidP="00E85A0D">
      <w:pPr>
        <w:pStyle w:val="a4"/>
        <w:spacing w:beforeLines="50" w:before="180" w:afterLines="20" w:after="72" w:line="440" w:lineRule="exact"/>
        <w:ind w:left="336" w:hangingChars="120" w:hanging="336"/>
        <w:rPr>
          <w:b w:val="0"/>
          <w:snapToGrid w:val="0"/>
          <w:color w:val="0000FF"/>
          <w:sz w:val="28"/>
          <w:szCs w:val="32"/>
        </w:rPr>
      </w:pPr>
      <w:r w:rsidRPr="00AA2713">
        <w:rPr>
          <w:rFonts w:hint="eastAsia"/>
          <w:b w:val="0"/>
          <w:snapToGrid w:val="0"/>
          <w:sz w:val="28"/>
          <w:szCs w:val="32"/>
        </w:rPr>
        <w:t>2.</w:t>
      </w:r>
      <w:r w:rsidR="001A534B">
        <w:rPr>
          <w:rFonts w:hint="eastAsia"/>
          <w:b w:val="0"/>
          <w:snapToGrid w:val="0"/>
          <w:sz w:val="28"/>
          <w:szCs w:val="32"/>
        </w:rPr>
        <w:t xml:space="preserve"> </w:t>
      </w:r>
      <w:r w:rsidR="00B6741D" w:rsidRPr="00B6741D">
        <w:rPr>
          <w:b w:val="0"/>
          <w:snapToGrid w:val="0"/>
          <w:sz w:val="28"/>
          <w:szCs w:val="32"/>
        </w:rPr>
        <w:t>美國前聯</w:t>
      </w:r>
      <w:proofErr w:type="gramStart"/>
      <w:r w:rsidR="00B6741D" w:rsidRPr="00B6741D">
        <w:rPr>
          <w:b w:val="0"/>
          <w:snapToGrid w:val="0"/>
          <w:sz w:val="28"/>
          <w:szCs w:val="32"/>
        </w:rPr>
        <w:t>準</w:t>
      </w:r>
      <w:proofErr w:type="gramEnd"/>
      <w:r w:rsidR="00B6741D" w:rsidRPr="00B6741D">
        <w:rPr>
          <w:b w:val="0"/>
          <w:snapToGrid w:val="0"/>
          <w:sz w:val="28"/>
          <w:szCs w:val="32"/>
        </w:rPr>
        <w:t>會理事、哥倫比亞大學經濟系教授</w:t>
      </w:r>
      <w:r w:rsidR="00B6741D" w:rsidRPr="00B6741D">
        <w:rPr>
          <w:b w:val="0"/>
          <w:snapToGrid w:val="0"/>
          <w:sz w:val="28"/>
          <w:szCs w:val="32"/>
        </w:rPr>
        <w:t xml:space="preserve">Frederic </w:t>
      </w:r>
      <w:proofErr w:type="spellStart"/>
      <w:r w:rsidR="00B6741D" w:rsidRPr="00B6741D">
        <w:rPr>
          <w:b w:val="0"/>
          <w:snapToGrid w:val="0"/>
          <w:sz w:val="28"/>
          <w:szCs w:val="32"/>
        </w:rPr>
        <w:t>Mishkin</w:t>
      </w:r>
      <w:proofErr w:type="spellEnd"/>
      <w:r w:rsidR="00B6741D" w:rsidRPr="00B6741D">
        <w:rPr>
          <w:b w:val="0"/>
          <w:snapToGrid w:val="0"/>
          <w:sz w:val="28"/>
          <w:szCs w:val="32"/>
        </w:rPr>
        <w:t>亦認為</w:t>
      </w:r>
      <w:r w:rsidR="00B6741D" w:rsidRPr="00AA2713">
        <w:rPr>
          <w:b w:val="0"/>
          <w:snapToGrid w:val="0"/>
          <w:sz w:val="28"/>
          <w:szCs w:val="32"/>
          <w:vertAlign w:val="superscript"/>
        </w:rPr>
        <w:footnoteReference w:id="2"/>
      </w:r>
      <w:r w:rsidR="00B6741D" w:rsidRPr="00B6741D">
        <w:rPr>
          <w:b w:val="0"/>
          <w:snapToGrid w:val="0"/>
          <w:color w:val="000000" w:themeColor="text1"/>
          <w:sz w:val="28"/>
          <w:szCs w:val="32"/>
        </w:rPr>
        <w:t>，維持</w:t>
      </w:r>
      <w:r w:rsidR="00B6741D" w:rsidRPr="00B6741D">
        <w:rPr>
          <w:snapToGrid w:val="0"/>
          <w:color w:val="0000FF"/>
          <w:sz w:val="28"/>
          <w:szCs w:val="32"/>
        </w:rPr>
        <w:t>低且穩定</w:t>
      </w:r>
      <w:r w:rsidR="00B6741D" w:rsidRPr="00B6741D">
        <w:rPr>
          <w:b w:val="0"/>
          <w:snapToGrid w:val="0"/>
          <w:color w:val="000000" w:themeColor="text1"/>
          <w:sz w:val="28"/>
          <w:szCs w:val="32"/>
        </w:rPr>
        <w:t>，</w:t>
      </w:r>
      <w:r w:rsidR="00B6741D" w:rsidRPr="00B6741D">
        <w:rPr>
          <w:snapToGrid w:val="0"/>
          <w:color w:val="0000FF"/>
          <w:sz w:val="28"/>
          <w:szCs w:val="32"/>
        </w:rPr>
        <w:t>以及具可測性的通膨率</w:t>
      </w:r>
      <w:r w:rsidR="00B6741D" w:rsidRPr="00B6741D">
        <w:rPr>
          <w:snapToGrid w:val="0"/>
          <w:color w:val="000000" w:themeColor="text1"/>
          <w:sz w:val="28"/>
          <w:szCs w:val="32"/>
        </w:rPr>
        <w:t>，</w:t>
      </w:r>
      <w:r w:rsidR="00B6741D" w:rsidRPr="00B6741D">
        <w:rPr>
          <w:snapToGrid w:val="0"/>
          <w:color w:val="0000FF"/>
          <w:sz w:val="28"/>
          <w:szCs w:val="32"/>
        </w:rPr>
        <w:t>有利於長期經濟成長</w:t>
      </w:r>
      <w:r w:rsidR="00B6741D" w:rsidRPr="00B6741D">
        <w:rPr>
          <w:b w:val="0"/>
          <w:snapToGrid w:val="0"/>
          <w:color w:val="000000" w:themeColor="text1"/>
          <w:sz w:val="28"/>
          <w:szCs w:val="32"/>
        </w:rPr>
        <w:t>。</w:t>
      </w:r>
    </w:p>
    <w:p w:rsidR="00B6741D" w:rsidRPr="00B6741D" w:rsidRDefault="00AA2713" w:rsidP="00AA2713">
      <w:pPr>
        <w:pStyle w:val="a4"/>
        <w:spacing w:beforeLines="20" w:before="72" w:afterLines="20" w:after="72" w:line="440" w:lineRule="exact"/>
        <w:ind w:left="280" w:hangingChars="100" w:hanging="280"/>
        <w:rPr>
          <w:b w:val="0"/>
          <w:snapToGrid w:val="0"/>
          <w:sz w:val="32"/>
          <w:szCs w:val="34"/>
        </w:rPr>
      </w:pPr>
      <w:r w:rsidRPr="00AA2713">
        <w:rPr>
          <w:rFonts w:hint="eastAsia"/>
          <w:b w:val="0"/>
          <w:snapToGrid w:val="0"/>
          <w:color w:val="000000" w:themeColor="text1"/>
          <w:sz w:val="28"/>
          <w:szCs w:val="32"/>
        </w:rPr>
        <w:t>(1)</w:t>
      </w:r>
      <w:r w:rsidR="00B6741D" w:rsidRPr="00B6741D">
        <w:rPr>
          <w:b w:val="0"/>
          <w:snapToGrid w:val="0"/>
          <w:color w:val="000000" w:themeColor="text1"/>
          <w:sz w:val="28"/>
          <w:szCs w:val="32"/>
        </w:rPr>
        <w:t>物價穩定可避免金融業的過度投資，並可降低民眾對於相對價格與未來物價水準的不確定性，讓企業與個人更容易做出適當的決策，從而提升經濟效率。</w:t>
      </w:r>
    </w:p>
    <w:p w:rsidR="00B6741D" w:rsidRPr="00B6741D" w:rsidRDefault="00AA2713" w:rsidP="00AA2713">
      <w:pPr>
        <w:pStyle w:val="a4"/>
        <w:spacing w:beforeLines="20" w:before="72" w:afterLines="20" w:after="72" w:line="440" w:lineRule="exact"/>
        <w:ind w:left="280" w:hangingChars="100" w:hanging="280"/>
        <w:rPr>
          <w:b w:val="0"/>
          <w:snapToGrid w:val="0"/>
          <w:sz w:val="32"/>
          <w:szCs w:val="34"/>
        </w:rPr>
      </w:pPr>
      <w:r w:rsidRPr="00AA2713">
        <w:rPr>
          <w:rFonts w:hint="eastAsia"/>
          <w:b w:val="0"/>
          <w:snapToGrid w:val="0"/>
          <w:color w:val="000000" w:themeColor="text1"/>
          <w:sz w:val="28"/>
          <w:szCs w:val="32"/>
        </w:rPr>
        <w:t>(2)</w:t>
      </w:r>
      <w:r w:rsidR="00B6741D" w:rsidRPr="00B6741D">
        <w:rPr>
          <w:b w:val="0"/>
          <w:snapToGrid w:val="0"/>
          <w:color w:val="000000" w:themeColor="text1"/>
          <w:sz w:val="28"/>
          <w:szCs w:val="32"/>
        </w:rPr>
        <w:t>物價穩定亦可降低資源配置效率的扭曲。過高的通膨率對於貧窮族群的</w:t>
      </w:r>
      <w:proofErr w:type="gramStart"/>
      <w:r w:rsidR="00B6741D" w:rsidRPr="00B6741D">
        <w:rPr>
          <w:b w:val="0"/>
          <w:snapToGrid w:val="0"/>
          <w:color w:val="000000" w:themeColor="text1"/>
          <w:sz w:val="28"/>
          <w:szCs w:val="32"/>
        </w:rPr>
        <w:t>傷害尤深</w:t>
      </w:r>
      <w:proofErr w:type="gramEnd"/>
      <w:r w:rsidR="00B6741D" w:rsidRPr="00B6741D">
        <w:rPr>
          <w:b w:val="0"/>
          <w:snapToGrid w:val="0"/>
          <w:color w:val="000000" w:themeColor="text1"/>
          <w:sz w:val="28"/>
          <w:szCs w:val="32"/>
        </w:rPr>
        <w:t>，這是因為窮人缺乏投資金融工具的管道，無法對抗通膨率上升對他們的衝擊。</w:t>
      </w:r>
    </w:p>
    <w:p w:rsidR="009968F4" w:rsidRPr="00E41CEA" w:rsidRDefault="00E41CEA" w:rsidP="00D85BAB">
      <w:pPr>
        <w:snapToGrid w:val="0"/>
        <w:spacing w:afterLines="50" w:after="180"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sz w:val="32"/>
        </w:rPr>
      </w:pPr>
      <w:r w:rsidRPr="00E41CEA">
        <w:rPr>
          <w:rFonts w:ascii="Times New Roman" w:eastAsia="標楷體" w:hAnsi="Times New Roman" w:cs="Times New Roman"/>
          <w:sz w:val="32"/>
        </w:rPr>
        <w:lastRenderedPageBreak/>
        <w:t>二</w:t>
      </w:r>
      <w:r w:rsidRPr="00E41CEA">
        <w:rPr>
          <w:rFonts w:ascii="Times New Roman" w:eastAsia="新細明體" w:hAnsi="Times New Roman" w:cs="Times New Roman"/>
          <w:sz w:val="32"/>
        </w:rPr>
        <w:t>、</w:t>
      </w:r>
      <w:r w:rsidR="009968F4" w:rsidRPr="00E41CEA">
        <w:rPr>
          <w:rFonts w:ascii="Times New Roman" w:eastAsia="標楷體" w:hAnsi="Times New Roman" w:cs="Times New Roman"/>
          <w:sz w:val="32"/>
        </w:rPr>
        <w:t>台灣</w:t>
      </w:r>
      <w:r w:rsidR="009968F4" w:rsidRPr="00D463E4">
        <w:rPr>
          <w:rFonts w:ascii="Times New Roman" w:eastAsia="標楷體" w:hAnsi="Times New Roman" w:cs="Times New Roman"/>
          <w:sz w:val="32"/>
        </w:rPr>
        <w:t>輸入</w:t>
      </w:r>
      <w:r w:rsidR="009968F4" w:rsidRPr="00E41CEA">
        <w:rPr>
          <w:rFonts w:ascii="Times New Roman" w:eastAsia="標楷體" w:hAnsi="Times New Roman" w:cs="Times New Roman"/>
          <w:sz w:val="32"/>
        </w:rPr>
        <w:t>占國內生產毛額的</w:t>
      </w:r>
      <w:r w:rsidR="009968F4" w:rsidRPr="00D463E4">
        <w:rPr>
          <w:rFonts w:ascii="Times New Roman" w:eastAsia="標楷體" w:hAnsi="Times New Roman" w:cs="Times New Roman"/>
          <w:sz w:val="32"/>
        </w:rPr>
        <w:t>比重</w:t>
      </w:r>
      <w:r w:rsidR="009968F4" w:rsidRPr="00E41CEA">
        <w:rPr>
          <w:rFonts w:ascii="Times New Roman" w:eastAsia="標楷體" w:hAnsi="Times New Roman" w:cs="Times New Roman"/>
          <w:sz w:val="32"/>
        </w:rPr>
        <w:t>近年介於</w:t>
      </w:r>
      <w:r w:rsidR="009968F4" w:rsidRPr="00E41CEA">
        <w:rPr>
          <w:rFonts w:ascii="Times New Roman" w:eastAsia="標楷體" w:hAnsi="Times New Roman" w:cs="Times New Roman"/>
          <w:sz w:val="32"/>
        </w:rPr>
        <w:t>50%</w:t>
      </w:r>
      <w:r w:rsidR="009968F4" w:rsidRPr="00E41CEA">
        <w:rPr>
          <w:rFonts w:ascii="Times New Roman" w:eastAsia="標楷體" w:hAnsi="Times New Roman" w:cs="Times New Roman"/>
          <w:sz w:val="32"/>
        </w:rPr>
        <w:t>至</w:t>
      </w:r>
      <w:r w:rsidR="009968F4" w:rsidRPr="00E41CEA">
        <w:rPr>
          <w:rFonts w:ascii="Times New Roman" w:eastAsia="標楷體" w:hAnsi="Times New Roman" w:cs="Times New Roman"/>
          <w:sz w:val="32"/>
        </w:rPr>
        <w:t>66%</w:t>
      </w:r>
      <w:r w:rsidR="009968F4" w:rsidRPr="00D463E4">
        <w:rPr>
          <w:rFonts w:ascii="Times New Roman" w:eastAsia="標楷體" w:hAnsi="Times New Roman" w:cs="Times New Roman"/>
          <w:sz w:val="32"/>
        </w:rPr>
        <w:t>，</w:t>
      </w:r>
      <w:r w:rsidR="009968F4" w:rsidRPr="00E41CEA">
        <w:rPr>
          <w:rFonts w:ascii="Times New Roman" w:eastAsia="標楷體" w:hAnsi="Times New Roman" w:cs="Times New Roman"/>
          <w:sz w:val="32"/>
        </w:rPr>
        <w:t>以致</w:t>
      </w:r>
      <w:r w:rsidR="009968F4" w:rsidRPr="00D85BAB">
        <w:rPr>
          <w:rFonts w:ascii="Times New Roman" w:eastAsia="標楷體" w:hAnsi="Times New Roman" w:cs="Times New Roman"/>
          <w:b/>
          <w:color w:val="0000FF"/>
          <w:sz w:val="32"/>
        </w:rPr>
        <w:t>國內物價</w:t>
      </w:r>
      <w:r w:rsidR="00060642" w:rsidRPr="00D85BAB">
        <w:rPr>
          <w:rFonts w:ascii="Times New Roman" w:eastAsia="標楷體" w:hAnsi="Times New Roman" w:cs="Times New Roman"/>
          <w:b/>
          <w:color w:val="0000FF"/>
          <w:sz w:val="32"/>
        </w:rPr>
        <w:t>深</w:t>
      </w:r>
      <w:r w:rsidR="009968F4" w:rsidRPr="00D85BAB">
        <w:rPr>
          <w:rFonts w:ascii="Times New Roman" w:eastAsia="標楷體" w:hAnsi="Times New Roman" w:cs="Times New Roman"/>
          <w:b/>
          <w:color w:val="0000FF"/>
          <w:sz w:val="32"/>
        </w:rPr>
        <w:t>受國際因素的影響</w:t>
      </w:r>
      <w:r w:rsidR="009968F4" w:rsidRPr="00E41CEA">
        <w:rPr>
          <w:rFonts w:ascii="Times New Roman" w:eastAsia="標楷體" w:hAnsi="Times New Roman" w:cs="Times New Roman"/>
          <w:sz w:val="32"/>
        </w:rPr>
        <w:t>。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以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2015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年為例，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CPI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年增率為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-0.31%</w:t>
      </w:r>
      <w:r w:rsidR="009968F4" w:rsidRPr="00E41CEA">
        <w:rPr>
          <w:rFonts w:ascii="Times New Roman" w:eastAsia="新細明體" w:hAnsi="Times New Roman" w:cs="Times New Roman"/>
          <w:sz w:val="32"/>
        </w:rPr>
        <w:t>，</w:t>
      </w:r>
      <w:r w:rsidR="009968F4" w:rsidRPr="00E41CEA">
        <w:rPr>
          <w:rFonts w:ascii="Times New Roman" w:eastAsia="標楷體" w:hAnsi="Times New Roman" w:cs="Times New Roman"/>
          <w:sz w:val="32"/>
        </w:rPr>
        <w:t>但油料費</w:t>
      </w:r>
      <w:r w:rsidR="009968F4" w:rsidRPr="00E41CEA">
        <w:rPr>
          <w:rFonts w:ascii="Times New Roman" w:eastAsia="新細明體" w:hAnsi="Times New Roman" w:cs="Times New Roman"/>
          <w:sz w:val="32"/>
        </w:rPr>
        <w:t>、</w:t>
      </w:r>
      <w:r w:rsidR="009968F4" w:rsidRPr="00E41CEA">
        <w:rPr>
          <w:rFonts w:ascii="Times New Roman" w:eastAsia="標楷體" w:hAnsi="Times New Roman" w:cs="Times New Roman"/>
          <w:sz w:val="32"/>
        </w:rPr>
        <w:t>燃氣及電費因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進口原油價格下跌的影響</w:t>
      </w:r>
      <w:r w:rsidR="009968F4" w:rsidRPr="00E41CEA">
        <w:rPr>
          <w:rFonts w:ascii="Times New Roman" w:eastAsia="新細明體" w:hAnsi="Times New Roman" w:cs="Times New Roman"/>
          <w:sz w:val="32"/>
        </w:rPr>
        <w:t>，</w:t>
      </w:r>
      <w:r w:rsidR="009968F4" w:rsidRPr="00E41CEA">
        <w:rPr>
          <w:rFonts w:ascii="Times New Roman" w:eastAsia="標楷體" w:hAnsi="Times New Roman" w:cs="Times New Roman"/>
          <w:sz w:val="32"/>
        </w:rPr>
        <w:t>使</w:t>
      </w:r>
      <w:r w:rsidR="009968F4" w:rsidRPr="00E41CEA">
        <w:rPr>
          <w:rFonts w:ascii="Times New Roman" w:eastAsia="標楷體" w:hAnsi="Times New Roman" w:cs="Times New Roman"/>
          <w:sz w:val="32"/>
        </w:rPr>
        <w:t>CPI</w:t>
      </w:r>
      <w:r w:rsidR="00060642" w:rsidRPr="00E41CEA">
        <w:rPr>
          <w:rFonts w:ascii="Times New Roman" w:eastAsia="標楷體" w:hAnsi="Times New Roman" w:cs="Times New Roman"/>
          <w:sz w:val="32"/>
        </w:rPr>
        <w:t>年增率</w:t>
      </w:r>
      <w:r w:rsidR="009968F4" w:rsidRPr="00E41CEA">
        <w:rPr>
          <w:rFonts w:ascii="Times New Roman" w:eastAsia="標楷體" w:hAnsi="Times New Roman" w:cs="Times New Roman"/>
          <w:sz w:val="32"/>
        </w:rPr>
        <w:t>下</w:t>
      </w:r>
      <w:r w:rsidR="00060642" w:rsidRPr="00E41CEA">
        <w:rPr>
          <w:rFonts w:ascii="Times New Roman" w:eastAsia="標楷體" w:hAnsi="Times New Roman" w:cs="Times New Roman"/>
          <w:sz w:val="32"/>
        </w:rPr>
        <w:t>降</w:t>
      </w:r>
      <w:r w:rsidR="009968F4" w:rsidRPr="00E41CEA">
        <w:rPr>
          <w:rFonts w:ascii="Times New Roman" w:eastAsia="標楷體" w:hAnsi="Times New Roman" w:cs="Times New Roman"/>
          <w:sz w:val="32"/>
        </w:rPr>
        <w:t>1.39</w:t>
      </w:r>
      <w:r w:rsidR="009968F4" w:rsidRPr="00E41CEA">
        <w:rPr>
          <w:rFonts w:ascii="Times New Roman" w:eastAsia="標楷體" w:hAnsi="Times New Roman" w:cs="Times New Roman"/>
          <w:sz w:val="32"/>
        </w:rPr>
        <w:t>個百分點。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如剔除上述國外因素，</w:t>
      </w:r>
      <w:r w:rsidR="00060642" w:rsidRPr="00D463E4">
        <w:rPr>
          <w:rFonts w:ascii="Times New Roman" w:eastAsia="標楷體" w:hAnsi="Times New Roman" w:cs="Times New Roman"/>
          <w:b/>
          <w:color w:val="0000FF"/>
          <w:sz w:val="32"/>
        </w:rPr>
        <w:t>則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CPI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年增率將為</w:t>
      </w:r>
      <w:r w:rsidR="009968F4" w:rsidRPr="00D463E4">
        <w:rPr>
          <w:rFonts w:ascii="Times New Roman" w:eastAsia="標楷體" w:hAnsi="Times New Roman" w:cs="Times New Roman"/>
          <w:b/>
          <w:color w:val="0000FF"/>
          <w:sz w:val="32"/>
        </w:rPr>
        <w:t>1.08%</w:t>
      </w:r>
      <w:r w:rsidR="009968F4" w:rsidRPr="00E41CEA">
        <w:rPr>
          <w:rFonts w:ascii="Times New Roman" w:eastAsia="標楷體" w:hAnsi="Times New Roman" w:cs="Times New Roman"/>
          <w:sz w:val="32"/>
        </w:rPr>
        <w:t>。</w:t>
      </w:r>
    </w:p>
    <w:p w:rsidR="009968F4" w:rsidRPr="00E41CEA" w:rsidRDefault="00E41CEA" w:rsidP="00D85BAB">
      <w:pPr>
        <w:snapToGrid w:val="0"/>
        <w:spacing w:afterLines="50" w:after="180"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sz w:val="32"/>
        </w:rPr>
      </w:pPr>
      <w:r w:rsidRPr="00E41CEA">
        <w:rPr>
          <w:rFonts w:ascii="Times New Roman" w:eastAsia="標楷體" w:hAnsi="Times New Roman" w:cs="Times New Roman"/>
          <w:sz w:val="32"/>
        </w:rPr>
        <w:t>三</w:t>
      </w:r>
      <w:r w:rsidRPr="00E41CEA">
        <w:rPr>
          <w:rFonts w:ascii="Times New Roman" w:eastAsia="新細明體" w:hAnsi="Times New Roman" w:cs="Times New Roman"/>
          <w:sz w:val="32"/>
        </w:rPr>
        <w:t>、</w:t>
      </w:r>
      <w:r w:rsidR="009968F4" w:rsidRPr="00D85BAB">
        <w:rPr>
          <w:rFonts w:ascii="Times New Roman" w:eastAsia="標楷體" w:hAnsi="Times New Roman" w:cs="Times New Roman"/>
          <w:b/>
          <w:color w:val="0000FF"/>
          <w:sz w:val="32"/>
        </w:rPr>
        <w:t>社會大</w:t>
      </w:r>
      <w:r w:rsidR="00050737" w:rsidRPr="00D85BAB">
        <w:rPr>
          <w:rFonts w:ascii="Times New Roman" w:eastAsia="標楷體" w:hAnsi="Times New Roman" w:cs="Times New Roman"/>
          <w:b/>
          <w:color w:val="0000FF"/>
          <w:sz w:val="32"/>
        </w:rPr>
        <w:t>眾關心的是</w:t>
      </w:r>
      <w:r w:rsidR="00D542DE" w:rsidRPr="00D85BAB">
        <w:rPr>
          <w:rFonts w:ascii="Times New Roman" w:eastAsia="標楷體" w:hAnsi="Times New Roman" w:cs="Times New Roman"/>
          <w:b/>
          <w:color w:val="0000FF"/>
          <w:sz w:val="32"/>
        </w:rPr>
        <w:t>實質</w:t>
      </w:r>
      <w:r w:rsidR="009968F4" w:rsidRPr="00D85BAB">
        <w:rPr>
          <w:rFonts w:ascii="Times New Roman" w:eastAsia="標楷體" w:hAnsi="Times New Roman" w:cs="Times New Roman"/>
          <w:b/>
          <w:color w:val="0000FF"/>
          <w:sz w:val="32"/>
        </w:rPr>
        <w:t>薪資</w:t>
      </w:r>
      <w:r w:rsidR="009968F4" w:rsidRPr="00E41CEA">
        <w:rPr>
          <w:rFonts w:ascii="Times New Roman" w:eastAsia="標楷體" w:hAnsi="Times New Roman" w:cs="Times New Roman"/>
          <w:sz w:val="32"/>
        </w:rPr>
        <w:t>。如物價上漲一倍</w:t>
      </w:r>
      <w:r w:rsidR="009968F4" w:rsidRPr="00E41CEA">
        <w:rPr>
          <w:rFonts w:ascii="Times New Roman" w:eastAsia="新細明體" w:hAnsi="Times New Roman" w:cs="Times New Roman"/>
          <w:sz w:val="32"/>
        </w:rPr>
        <w:t>，</w:t>
      </w:r>
      <w:r w:rsidR="009968F4" w:rsidRPr="00E41CEA">
        <w:rPr>
          <w:rFonts w:ascii="Times New Roman" w:eastAsia="標楷體" w:hAnsi="Times New Roman" w:cs="Times New Roman"/>
          <w:sz w:val="32"/>
        </w:rPr>
        <w:t>名目薪資也上漲一倍</w:t>
      </w:r>
      <w:r w:rsidR="009968F4" w:rsidRPr="00E41CEA">
        <w:rPr>
          <w:rFonts w:ascii="Times New Roman" w:eastAsia="新細明體" w:hAnsi="Times New Roman" w:cs="Times New Roman"/>
          <w:sz w:val="32"/>
        </w:rPr>
        <w:t>，</w:t>
      </w:r>
      <w:r w:rsidR="00050737" w:rsidRPr="00E41CEA">
        <w:rPr>
          <w:rFonts w:ascii="Times New Roman" w:eastAsia="標楷體" w:hAnsi="Times New Roman" w:cs="Times New Roman"/>
          <w:sz w:val="32"/>
        </w:rPr>
        <w:t>則</w:t>
      </w:r>
      <w:r w:rsidR="009968F4" w:rsidRPr="00E41CEA">
        <w:rPr>
          <w:rFonts w:ascii="Times New Roman" w:eastAsia="標楷體" w:hAnsi="Times New Roman" w:cs="Times New Roman"/>
          <w:sz w:val="32"/>
        </w:rPr>
        <w:t>實質薪資未變</w:t>
      </w:r>
      <w:r w:rsidR="009968F4" w:rsidRPr="00E41CEA">
        <w:rPr>
          <w:rFonts w:ascii="Times New Roman" w:eastAsia="新細明體" w:hAnsi="Times New Roman" w:cs="Times New Roman"/>
          <w:sz w:val="32"/>
        </w:rPr>
        <w:t>，</w:t>
      </w:r>
      <w:r w:rsidR="009968F4" w:rsidRPr="00E41CEA">
        <w:rPr>
          <w:rFonts w:ascii="Times New Roman" w:eastAsia="標楷體" w:hAnsi="Times New Roman" w:cs="Times New Roman"/>
          <w:sz w:val="32"/>
        </w:rPr>
        <w:t>社會大眾的購買力亦未增加。</w:t>
      </w:r>
    </w:p>
    <w:p w:rsidR="00D542DE" w:rsidRPr="00E41CEA" w:rsidRDefault="00E41CEA" w:rsidP="00D85BAB">
      <w:pPr>
        <w:snapToGrid w:val="0"/>
        <w:spacing w:afterLines="50" w:after="180"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sz w:val="32"/>
        </w:rPr>
      </w:pPr>
      <w:r w:rsidRPr="00E41CEA">
        <w:rPr>
          <w:rFonts w:ascii="Times New Roman" w:eastAsia="標楷體" w:hAnsi="Times New Roman" w:cs="Times New Roman"/>
          <w:sz w:val="32"/>
        </w:rPr>
        <w:t>四</w:t>
      </w:r>
      <w:r w:rsidRPr="00E41CEA">
        <w:rPr>
          <w:rFonts w:ascii="Times New Roman" w:eastAsia="新細明體" w:hAnsi="Times New Roman" w:cs="Times New Roman"/>
          <w:sz w:val="32"/>
        </w:rPr>
        <w:t>、</w:t>
      </w:r>
      <w:r w:rsidR="00D542DE" w:rsidRPr="00E41CEA">
        <w:rPr>
          <w:rFonts w:ascii="Times New Roman" w:eastAsia="標楷體" w:hAnsi="Times New Roman" w:cs="Times New Roman"/>
          <w:sz w:val="32"/>
        </w:rPr>
        <w:t>2014</w:t>
      </w:r>
      <w:r w:rsidR="00D542DE" w:rsidRPr="00E41CEA">
        <w:rPr>
          <w:rFonts w:ascii="Times New Roman" w:eastAsia="標楷體" w:hAnsi="Times New Roman" w:cs="Times New Roman"/>
          <w:sz w:val="32"/>
        </w:rPr>
        <w:t>及</w:t>
      </w:r>
      <w:r w:rsidR="00D542DE" w:rsidRPr="00E41CEA">
        <w:rPr>
          <w:rFonts w:ascii="Times New Roman" w:eastAsia="標楷體" w:hAnsi="Times New Roman" w:cs="Times New Roman"/>
          <w:sz w:val="32"/>
        </w:rPr>
        <w:t>2015</w:t>
      </w:r>
      <w:r w:rsidR="00D542DE" w:rsidRPr="00E41CEA">
        <w:rPr>
          <w:rFonts w:ascii="Times New Roman" w:eastAsia="標楷體" w:hAnsi="Times New Roman" w:cs="Times New Roman"/>
          <w:sz w:val="32"/>
        </w:rPr>
        <w:t>年台灣實質薪資分別成長</w:t>
      </w:r>
      <w:r w:rsidR="00D542DE" w:rsidRPr="00E41CEA">
        <w:rPr>
          <w:rFonts w:ascii="Times New Roman" w:eastAsia="標楷體" w:hAnsi="Times New Roman" w:cs="Times New Roman"/>
          <w:sz w:val="32"/>
        </w:rPr>
        <w:t>2.4%</w:t>
      </w:r>
      <w:r w:rsidR="00D542DE" w:rsidRPr="00E41CEA">
        <w:rPr>
          <w:rFonts w:ascii="Times New Roman" w:eastAsia="標楷體" w:hAnsi="Times New Roman" w:cs="Times New Roman"/>
          <w:sz w:val="32"/>
        </w:rPr>
        <w:t>及</w:t>
      </w:r>
      <w:r w:rsidR="00D542DE" w:rsidRPr="00E41CEA">
        <w:rPr>
          <w:rFonts w:ascii="Times New Roman" w:eastAsia="標楷體" w:hAnsi="Times New Roman" w:cs="Times New Roman"/>
          <w:sz w:val="32"/>
        </w:rPr>
        <w:t>2.8%</w:t>
      </w:r>
      <w:r w:rsidR="00D542DE" w:rsidRPr="00E41CEA">
        <w:rPr>
          <w:rFonts w:ascii="Times New Roman" w:eastAsia="標楷體" w:hAnsi="Times New Roman" w:cs="Times New Roman"/>
          <w:sz w:val="32"/>
        </w:rPr>
        <w:t>。在下</w:t>
      </w:r>
      <w:r w:rsidR="00060642" w:rsidRPr="00E41CEA">
        <w:rPr>
          <w:rFonts w:ascii="Times New Roman" w:eastAsia="標楷體" w:hAnsi="Times New Roman" w:cs="Times New Roman"/>
          <w:sz w:val="32"/>
        </w:rPr>
        <w:t>圖</w:t>
      </w:r>
      <w:proofErr w:type="gramStart"/>
      <w:r w:rsidR="00D542DE" w:rsidRPr="00E41CEA">
        <w:rPr>
          <w:rFonts w:ascii="Times New Roman" w:eastAsia="標楷體" w:hAnsi="Times New Roman" w:cs="Times New Roman"/>
          <w:sz w:val="32"/>
        </w:rPr>
        <w:t>所述</w:t>
      </w:r>
      <w:r w:rsidR="00060642" w:rsidRPr="00E41CEA">
        <w:rPr>
          <w:rFonts w:ascii="Times New Roman" w:eastAsia="標楷體" w:hAnsi="Times New Roman" w:cs="Times New Roman"/>
          <w:sz w:val="32"/>
        </w:rPr>
        <w:t>各國</w:t>
      </w:r>
      <w:r w:rsidR="00D542DE" w:rsidRPr="00E41CEA">
        <w:rPr>
          <w:rFonts w:ascii="Times New Roman" w:eastAsia="標楷體" w:hAnsi="Times New Roman" w:cs="Times New Roman"/>
          <w:sz w:val="32"/>
        </w:rPr>
        <w:t>中</w:t>
      </w:r>
      <w:proofErr w:type="gramEnd"/>
      <w:r w:rsidR="00D542DE" w:rsidRPr="00E41CEA">
        <w:rPr>
          <w:rFonts w:ascii="Times New Roman" w:eastAsia="標楷體" w:hAnsi="Times New Roman" w:cs="Times New Roman"/>
          <w:sz w:val="32"/>
        </w:rPr>
        <w:t>，</w:t>
      </w:r>
      <w:r w:rsidR="00D542DE" w:rsidRPr="00D85BAB">
        <w:rPr>
          <w:rFonts w:ascii="Times New Roman" w:eastAsia="標楷體" w:hAnsi="Times New Roman" w:cs="Times New Roman"/>
          <w:b/>
          <w:color w:val="0000FF"/>
          <w:sz w:val="32"/>
        </w:rPr>
        <w:t>2014</w:t>
      </w:r>
      <w:r w:rsidR="00D542DE" w:rsidRPr="00D85BAB">
        <w:rPr>
          <w:rFonts w:ascii="Times New Roman" w:eastAsia="標楷體" w:hAnsi="Times New Roman" w:cs="Times New Roman"/>
          <w:b/>
          <w:color w:val="0000FF"/>
          <w:sz w:val="32"/>
        </w:rPr>
        <w:t>年實質薪資成長率</w:t>
      </w:r>
      <w:r w:rsidR="00060642" w:rsidRPr="00D85BAB">
        <w:rPr>
          <w:rFonts w:ascii="Times New Roman" w:eastAsia="標楷體" w:hAnsi="Times New Roman" w:cs="Times New Roman"/>
          <w:b/>
          <w:color w:val="0000FF"/>
          <w:sz w:val="32"/>
        </w:rPr>
        <w:t>以</w:t>
      </w:r>
      <w:r w:rsidR="00D542DE" w:rsidRPr="00D85BAB">
        <w:rPr>
          <w:rFonts w:ascii="Times New Roman" w:eastAsia="標楷體" w:hAnsi="Times New Roman" w:cs="Times New Roman"/>
          <w:b/>
          <w:color w:val="0000FF"/>
          <w:sz w:val="32"/>
        </w:rPr>
        <w:t>台灣最高</w:t>
      </w:r>
      <w:r w:rsidR="00D542DE" w:rsidRPr="00E41CEA">
        <w:rPr>
          <w:rFonts w:ascii="Times New Roman" w:eastAsia="標楷體" w:hAnsi="Times New Roman" w:cs="Times New Roman"/>
          <w:sz w:val="32"/>
        </w:rPr>
        <w:t>；</w:t>
      </w:r>
      <w:r w:rsidR="00D542DE" w:rsidRPr="00D85BAB">
        <w:rPr>
          <w:rFonts w:ascii="Times New Roman" w:eastAsia="標楷體" w:hAnsi="Times New Roman" w:cs="Times New Roman"/>
          <w:b/>
          <w:color w:val="0000FF"/>
          <w:sz w:val="32"/>
        </w:rPr>
        <w:t>2015</w:t>
      </w:r>
      <w:r w:rsidR="00D542DE" w:rsidRPr="00D85BAB">
        <w:rPr>
          <w:rFonts w:ascii="Times New Roman" w:eastAsia="標楷體" w:hAnsi="Times New Roman" w:cs="Times New Roman"/>
          <w:b/>
          <w:color w:val="0000FF"/>
          <w:sz w:val="32"/>
        </w:rPr>
        <w:t>年</w:t>
      </w:r>
      <w:r w:rsidR="00DE3FA8">
        <w:rPr>
          <w:rFonts w:ascii="Times New Roman" w:eastAsia="標楷體" w:hAnsi="Times New Roman" w:cs="Times New Roman" w:hint="eastAsia"/>
          <w:sz w:val="32"/>
        </w:rPr>
        <w:t>台灣</w:t>
      </w:r>
      <w:r w:rsidR="00D542DE" w:rsidRPr="00E41CEA">
        <w:rPr>
          <w:rFonts w:ascii="Times New Roman" w:eastAsia="標楷體" w:hAnsi="Times New Roman" w:cs="Times New Roman"/>
          <w:sz w:val="32"/>
        </w:rPr>
        <w:t>則</w:t>
      </w:r>
      <w:r w:rsidR="00D542DE" w:rsidRPr="00D85BAB">
        <w:rPr>
          <w:rFonts w:ascii="Times New Roman" w:eastAsia="標楷體" w:hAnsi="Times New Roman" w:cs="Times New Roman"/>
          <w:b/>
          <w:color w:val="0000FF"/>
          <w:sz w:val="32"/>
        </w:rPr>
        <w:t>僅次於</w:t>
      </w:r>
      <w:r w:rsidR="00F86CD7" w:rsidRPr="00D85BAB">
        <w:rPr>
          <w:rFonts w:ascii="Times New Roman" w:eastAsia="標楷體" w:hAnsi="Times New Roman" w:cs="Times New Roman"/>
          <w:b/>
          <w:color w:val="0000FF"/>
          <w:sz w:val="32"/>
        </w:rPr>
        <w:t>新加坡</w:t>
      </w:r>
      <w:r w:rsidR="00F86CD7" w:rsidRPr="00E41CEA">
        <w:rPr>
          <w:rFonts w:ascii="Times New Roman" w:eastAsia="標楷體" w:hAnsi="Times New Roman" w:cs="Times New Roman"/>
          <w:sz w:val="32"/>
        </w:rPr>
        <w:t>。</w:t>
      </w:r>
    </w:p>
    <w:p w:rsidR="009968F4" w:rsidRDefault="00DE3FA8">
      <w:pPr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noProof/>
          <w:sz w:val="32"/>
        </w:rPr>
        <w:drawing>
          <wp:anchor distT="0" distB="0" distL="114300" distR="114300" simplePos="0" relativeHeight="251662336" behindDoc="1" locked="0" layoutInCell="1" allowOverlap="1" wp14:anchorId="5DC38B03" wp14:editId="31B8CD6E">
            <wp:simplePos x="0" y="0"/>
            <wp:positionH relativeFrom="column">
              <wp:posOffset>1677035</wp:posOffset>
            </wp:positionH>
            <wp:positionV relativeFrom="paragraph">
              <wp:posOffset>391795</wp:posOffset>
            </wp:positionV>
            <wp:extent cx="6376035" cy="2827020"/>
            <wp:effectExtent l="0" t="0" r="0" b="0"/>
            <wp:wrapTight wrapText="bothSides">
              <wp:wrapPolygon edited="0">
                <wp:start x="7422" y="873"/>
                <wp:lineTo x="1226" y="1747"/>
                <wp:lineTo x="452" y="1892"/>
                <wp:lineTo x="452" y="4658"/>
                <wp:lineTo x="839" y="5822"/>
                <wp:lineTo x="581" y="5822"/>
                <wp:lineTo x="452" y="6259"/>
                <wp:lineTo x="452" y="9606"/>
                <wp:lineTo x="710" y="10480"/>
                <wp:lineTo x="581" y="10625"/>
                <wp:lineTo x="258" y="11499"/>
                <wp:lineTo x="258" y="14119"/>
                <wp:lineTo x="645" y="15137"/>
                <wp:lineTo x="258" y="15865"/>
                <wp:lineTo x="258" y="18776"/>
                <wp:lineTo x="4582" y="19795"/>
                <wp:lineTo x="1742" y="20232"/>
                <wp:lineTo x="1742" y="21396"/>
                <wp:lineTo x="6066" y="21396"/>
                <wp:lineTo x="8390" y="21251"/>
                <wp:lineTo x="9035" y="21105"/>
                <wp:lineTo x="10777" y="19795"/>
                <wp:lineTo x="19619" y="19504"/>
                <wp:lineTo x="19490" y="18049"/>
                <wp:lineTo x="903" y="17466"/>
                <wp:lineTo x="20845" y="17466"/>
                <wp:lineTo x="20845" y="3202"/>
                <wp:lineTo x="14069" y="873"/>
                <wp:lineTo x="7422" y="873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282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EDA" w:rsidRDefault="00584EDA">
      <w:pPr>
        <w:rPr>
          <w:rFonts w:ascii="Times New Roman" w:eastAsia="標楷體" w:hAnsi="Times New Roman" w:cs="Times New Roman"/>
          <w:sz w:val="32"/>
        </w:rPr>
      </w:pPr>
    </w:p>
    <w:p w:rsidR="00584EDA" w:rsidRDefault="00584EDA">
      <w:pPr>
        <w:rPr>
          <w:rFonts w:ascii="Times New Roman" w:eastAsia="標楷體" w:hAnsi="Times New Roman" w:cs="Times New Roman"/>
          <w:sz w:val="32"/>
        </w:rPr>
      </w:pPr>
    </w:p>
    <w:p w:rsidR="00584EDA" w:rsidRDefault="00584EDA">
      <w:pPr>
        <w:rPr>
          <w:rFonts w:ascii="Times New Roman" w:eastAsia="標楷體" w:hAnsi="Times New Roman" w:cs="Times New Roman"/>
          <w:sz w:val="32"/>
        </w:rPr>
      </w:pPr>
    </w:p>
    <w:p w:rsidR="0006328D" w:rsidRDefault="0006328D" w:rsidP="0006328D">
      <w:pPr>
        <w:pStyle w:val="a4"/>
        <w:adjustRightInd/>
        <w:snapToGrid w:val="0"/>
        <w:spacing w:line="560" w:lineRule="exact"/>
        <w:ind w:left="1531" w:hanging="1531"/>
        <w:rPr>
          <w:sz w:val="32"/>
        </w:rPr>
      </w:pPr>
    </w:p>
    <w:p w:rsidR="00DE3FA8" w:rsidRDefault="00DE3FA8" w:rsidP="0006328D">
      <w:pPr>
        <w:pStyle w:val="a4"/>
        <w:adjustRightInd/>
        <w:snapToGrid w:val="0"/>
        <w:spacing w:line="560" w:lineRule="exact"/>
        <w:ind w:left="1531" w:hanging="1531"/>
        <w:rPr>
          <w:sz w:val="32"/>
        </w:rPr>
      </w:pPr>
    </w:p>
    <w:p w:rsidR="00DE3FA8" w:rsidRDefault="00DE3FA8" w:rsidP="0006328D">
      <w:pPr>
        <w:pStyle w:val="a4"/>
        <w:adjustRightInd/>
        <w:snapToGrid w:val="0"/>
        <w:spacing w:line="560" w:lineRule="exact"/>
        <w:ind w:left="1531" w:hanging="1531"/>
        <w:rPr>
          <w:sz w:val="32"/>
        </w:rPr>
      </w:pPr>
    </w:p>
    <w:p w:rsidR="00DE3FA8" w:rsidRDefault="00DE3FA8" w:rsidP="0006328D">
      <w:pPr>
        <w:pStyle w:val="a4"/>
        <w:adjustRightInd/>
        <w:snapToGrid w:val="0"/>
        <w:spacing w:line="560" w:lineRule="exact"/>
        <w:ind w:left="1531" w:hanging="1531"/>
        <w:rPr>
          <w:sz w:val="32"/>
        </w:rPr>
      </w:pPr>
    </w:p>
    <w:p w:rsidR="00DE3FA8" w:rsidRDefault="00DE3FA8" w:rsidP="0006328D">
      <w:pPr>
        <w:pStyle w:val="a4"/>
        <w:adjustRightInd/>
        <w:snapToGrid w:val="0"/>
        <w:spacing w:line="560" w:lineRule="exact"/>
        <w:ind w:left="1531" w:hanging="1531"/>
        <w:rPr>
          <w:sz w:val="32"/>
        </w:rPr>
      </w:pPr>
    </w:p>
    <w:p w:rsidR="003E6B83" w:rsidRPr="0046464B" w:rsidRDefault="00E66C94" w:rsidP="003E6B83">
      <w:pPr>
        <w:pStyle w:val="a4"/>
        <w:adjustRightInd/>
        <w:snapToGrid w:val="0"/>
        <w:spacing w:afterLines="50" w:after="180" w:line="560" w:lineRule="exact"/>
        <w:ind w:left="1531" w:hanging="1531"/>
        <w:rPr>
          <w:sz w:val="36"/>
          <w:szCs w:val="36"/>
        </w:rPr>
      </w:pPr>
      <w:r>
        <w:rPr>
          <w:rFonts w:hint="eastAsia"/>
          <w:sz w:val="32"/>
        </w:rPr>
        <w:lastRenderedPageBreak/>
        <w:t>五</w:t>
      </w:r>
      <w:r w:rsidR="007F01D2" w:rsidRPr="00E41CEA">
        <w:rPr>
          <w:rFonts w:eastAsia="新細明體"/>
          <w:sz w:val="32"/>
        </w:rPr>
        <w:t>、</w:t>
      </w:r>
      <w:r w:rsidR="003E6B83" w:rsidRPr="00A24C8E">
        <w:rPr>
          <w:rFonts w:hint="eastAsia"/>
          <w:sz w:val="32"/>
          <w:szCs w:val="32"/>
        </w:rPr>
        <w:t>國際組織倡議「工資帶動型成長策略」，鼓勵企業利潤分享，以創造經濟成長的良性循環</w:t>
      </w:r>
    </w:p>
    <w:p w:rsidR="003E6B83" w:rsidRPr="00A24C8E" w:rsidRDefault="003E6B83" w:rsidP="003E6B83">
      <w:pPr>
        <w:pStyle w:val="a4"/>
        <w:spacing w:beforeLines="25" w:before="90" w:afterLines="25" w:after="90" w:line="560" w:lineRule="exact"/>
        <w:ind w:left="336" w:hangingChars="120" w:hanging="336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1. </w:t>
      </w:r>
      <w:r w:rsidRPr="00A24C8E">
        <w:rPr>
          <w:rFonts w:hint="eastAsia"/>
          <w:b w:val="0"/>
          <w:sz w:val="28"/>
          <w:szCs w:val="28"/>
        </w:rPr>
        <w:t>工資在經濟發展過程扮演要角：工資係總合需求的主要來源，</w:t>
      </w:r>
      <w:r w:rsidRPr="00A24C8E">
        <w:rPr>
          <w:rFonts w:hint="eastAsia"/>
          <w:color w:val="0000FF"/>
          <w:sz w:val="28"/>
          <w:szCs w:val="28"/>
        </w:rPr>
        <w:t>工資成長</w:t>
      </w:r>
      <w:r w:rsidRPr="00A24C8E">
        <w:rPr>
          <w:rFonts w:hint="eastAsia"/>
          <w:b w:val="0"/>
          <w:sz w:val="28"/>
          <w:szCs w:val="28"/>
        </w:rPr>
        <w:t>若能</w:t>
      </w:r>
      <w:r w:rsidRPr="00A24C8E">
        <w:rPr>
          <w:rFonts w:hint="eastAsia"/>
          <w:color w:val="0000FF"/>
          <w:sz w:val="28"/>
          <w:szCs w:val="28"/>
        </w:rPr>
        <w:t>追隨勞動生產力成長</w:t>
      </w:r>
      <w:r w:rsidRPr="00A24C8E">
        <w:rPr>
          <w:rFonts w:hint="eastAsia"/>
          <w:b w:val="0"/>
          <w:sz w:val="28"/>
          <w:szCs w:val="28"/>
        </w:rPr>
        <w:t>，將創造</w:t>
      </w:r>
      <w:r w:rsidRPr="00A24C8E">
        <w:rPr>
          <w:rFonts w:hint="eastAsia"/>
          <w:b w:val="0"/>
          <w:kern w:val="0"/>
          <w:sz w:val="28"/>
          <w:szCs w:val="28"/>
        </w:rPr>
        <w:t>足夠</w:t>
      </w:r>
      <w:r w:rsidRPr="00A24C8E">
        <w:rPr>
          <w:rFonts w:hint="eastAsia"/>
          <w:b w:val="0"/>
          <w:sz w:val="28"/>
          <w:szCs w:val="28"/>
        </w:rPr>
        <w:t>的內需，從而</w:t>
      </w:r>
      <w:r w:rsidRPr="00A24C8E">
        <w:rPr>
          <w:rFonts w:hint="eastAsia"/>
          <w:color w:val="0000FF"/>
          <w:sz w:val="28"/>
          <w:szCs w:val="28"/>
        </w:rPr>
        <w:t>創造經濟成長的良性循環</w:t>
      </w:r>
      <w:r w:rsidRPr="00A24C8E">
        <w:rPr>
          <w:rFonts w:hint="eastAsia"/>
          <w:b w:val="0"/>
          <w:sz w:val="28"/>
          <w:szCs w:val="28"/>
        </w:rPr>
        <w:t>，達成可持續、人們更易分享成長果實的包容性成長</w:t>
      </w:r>
      <w:r w:rsidRPr="00CB73C9">
        <w:rPr>
          <w:rFonts w:hint="eastAsia"/>
          <w:b w:val="0"/>
          <w:sz w:val="28"/>
          <w:szCs w:val="28"/>
        </w:rPr>
        <w:t>。</w:t>
      </w:r>
    </w:p>
    <w:p w:rsidR="003E6B83" w:rsidRPr="00A24C8E" w:rsidRDefault="003E6B83" w:rsidP="003E6B83">
      <w:pPr>
        <w:pStyle w:val="a4"/>
        <w:spacing w:beforeLines="25" w:before="90" w:afterLines="25" w:after="90" w:line="500" w:lineRule="exact"/>
        <w:ind w:left="364" w:hangingChars="130" w:hanging="364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2.</w:t>
      </w:r>
      <w:r w:rsidRPr="001801CD">
        <w:rPr>
          <w:rFonts w:hint="eastAsia"/>
          <w:b w:val="0"/>
          <w:spacing w:val="-28"/>
          <w:sz w:val="28"/>
          <w:szCs w:val="28"/>
        </w:rPr>
        <w:t xml:space="preserve">  </w:t>
      </w:r>
      <w:r w:rsidRPr="00A24C8E">
        <w:rPr>
          <w:rFonts w:hint="eastAsia"/>
          <w:b w:val="0"/>
          <w:sz w:val="28"/>
          <w:szCs w:val="28"/>
        </w:rPr>
        <w:t>IMF</w:t>
      </w:r>
      <w:r w:rsidRPr="00A24C8E">
        <w:rPr>
          <w:rFonts w:hint="eastAsia"/>
          <w:b w:val="0"/>
          <w:sz w:val="28"/>
          <w:szCs w:val="28"/>
        </w:rPr>
        <w:t>、國際勞工組織</w:t>
      </w:r>
      <w:r w:rsidRPr="00A24C8E">
        <w:rPr>
          <w:rFonts w:hint="eastAsia"/>
          <w:b w:val="0"/>
          <w:sz w:val="28"/>
          <w:szCs w:val="28"/>
        </w:rPr>
        <w:t>(ILO)</w:t>
      </w:r>
      <w:r w:rsidRPr="00A24C8E">
        <w:rPr>
          <w:rFonts w:hint="eastAsia"/>
          <w:b w:val="0"/>
          <w:sz w:val="28"/>
          <w:szCs w:val="28"/>
        </w:rPr>
        <w:t>、聯合國貿易暨發展會議</w:t>
      </w:r>
      <w:r w:rsidRPr="00A24C8E">
        <w:rPr>
          <w:rFonts w:hint="eastAsia"/>
          <w:b w:val="0"/>
          <w:sz w:val="28"/>
          <w:szCs w:val="28"/>
        </w:rPr>
        <w:t>(UNCTAD)</w:t>
      </w:r>
      <w:r w:rsidRPr="00A24C8E">
        <w:rPr>
          <w:rFonts w:hint="eastAsia"/>
          <w:b w:val="0"/>
          <w:sz w:val="28"/>
          <w:szCs w:val="28"/>
        </w:rPr>
        <w:t>建議各國追求「工資帶動型成長策略」</w:t>
      </w:r>
      <w:r>
        <w:rPr>
          <w:rFonts w:hint="eastAsia"/>
          <w:b w:val="0"/>
          <w:sz w:val="28"/>
          <w:szCs w:val="28"/>
        </w:rPr>
        <w:t>(</w:t>
      </w:r>
      <w:r w:rsidRPr="00A24C8E">
        <w:rPr>
          <w:rFonts w:hint="eastAsia"/>
          <w:b w:val="0"/>
          <w:sz w:val="28"/>
          <w:szCs w:val="28"/>
        </w:rPr>
        <w:t xml:space="preserve">Wage-led Growth </w:t>
      </w:r>
      <w:r w:rsidRPr="00A24C8E">
        <w:rPr>
          <w:rFonts w:hint="eastAsia"/>
          <w:b w:val="0"/>
          <w:kern w:val="0"/>
          <w:sz w:val="28"/>
          <w:szCs w:val="28"/>
        </w:rPr>
        <w:t>S</w:t>
      </w:r>
      <w:r w:rsidRPr="00A24C8E">
        <w:rPr>
          <w:b w:val="0"/>
          <w:kern w:val="0"/>
          <w:sz w:val="28"/>
          <w:szCs w:val="28"/>
        </w:rPr>
        <w:t>trategy</w:t>
      </w:r>
      <w:r>
        <w:rPr>
          <w:rFonts w:hint="eastAsia"/>
          <w:b w:val="0"/>
          <w:sz w:val="28"/>
          <w:szCs w:val="28"/>
        </w:rPr>
        <w:t>)</w:t>
      </w:r>
      <w:r w:rsidRPr="00A24C8E">
        <w:rPr>
          <w:rStyle w:val="a7"/>
          <w:b w:val="0"/>
          <w:sz w:val="28"/>
          <w:szCs w:val="28"/>
        </w:rPr>
        <w:footnoteReference w:id="3"/>
      </w:r>
      <w:r w:rsidRPr="00A24C8E">
        <w:rPr>
          <w:rFonts w:hint="eastAsia"/>
          <w:b w:val="0"/>
          <w:sz w:val="28"/>
          <w:szCs w:val="28"/>
        </w:rPr>
        <w:t>，使工資成長與勞動生產力更緊密結合，將可創造經濟成長的良性循環。</w:t>
      </w:r>
    </w:p>
    <w:p w:rsidR="003E6B83" w:rsidRPr="00833D0A" w:rsidRDefault="003E6B83" w:rsidP="003E6B83">
      <w:pPr>
        <w:spacing w:beforeLines="50" w:before="180" w:line="5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透過提高</w:t>
      </w:r>
      <w:r w:rsidRPr="00833D0A">
        <w:rPr>
          <w:rFonts w:ascii="標楷體" w:eastAsia="標楷體" w:hAnsi="標楷體" w:hint="eastAsia"/>
          <w:b/>
          <w:sz w:val="28"/>
          <w:szCs w:val="28"/>
        </w:rPr>
        <w:t>工資，創造經濟成長的良性循環</w:t>
      </w:r>
    </w:p>
    <w:p w:rsidR="003E6B83" w:rsidRDefault="003E6B83" w:rsidP="003E6B83">
      <w:pPr>
        <w:rPr>
          <w:sz w:val="28"/>
          <w:szCs w:val="28"/>
        </w:rPr>
      </w:pPr>
      <w:r w:rsidRPr="00026DD0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D429BC" wp14:editId="5251EFB5">
            <wp:simplePos x="0" y="0"/>
            <wp:positionH relativeFrom="column">
              <wp:posOffset>-255270</wp:posOffset>
            </wp:positionH>
            <wp:positionV relativeFrom="paragraph">
              <wp:posOffset>5715</wp:posOffset>
            </wp:positionV>
            <wp:extent cx="5596890" cy="2720340"/>
            <wp:effectExtent l="0" t="0" r="3810" b="3810"/>
            <wp:wrapTight wrapText="bothSides">
              <wp:wrapPolygon edited="0">
                <wp:start x="0" y="0"/>
                <wp:lineTo x="0" y="21479"/>
                <wp:lineTo x="21541" y="21479"/>
                <wp:lineTo x="21541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6"/>
                    <a:stretch/>
                  </pic:blipFill>
                  <pic:spPr bwMode="auto">
                    <a:xfrm>
                      <a:off x="0" y="0"/>
                      <a:ext cx="559689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B83" w:rsidRDefault="003E6B83" w:rsidP="003E6B83">
      <w:pPr>
        <w:spacing w:beforeLines="50" w:before="180" w:afterLines="25" w:after="90" w:line="560" w:lineRule="exact"/>
        <w:ind w:leftChars="3485" w:left="8364" w:rightChars="-140" w:right="-3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A33DAF" wp14:editId="2C8247A7">
                <wp:simplePos x="0" y="0"/>
                <wp:positionH relativeFrom="column">
                  <wp:posOffset>-135304</wp:posOffset>
                </wp:positionH>
                <wp:positionV relativeFrom="paragraph">
                  <wp:posOffset>94908</wp:posOffset>
                </wp:positionV>
                <wp:extent cx="3578086" cy="2096086"/>
                <wp:effectExtent l="0" t="0" r="22860" b="19050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6" cy="209608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4" o:spid="_x0000_s1026" style="position:absolute;margin-left:-10.65pt;margin-top:7.45pt;width:281.75pt;height:165.0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" fillcolor="white [3212]" strokecolor="#4bacc6 [3208]" strokeweight="2pt"/>
            </w:pict>
          </mc:Fallback>
        </mc:AlternateContent>
      </w:r>
      <w:r w:rsidRPr="00026DD0">
        <w:rPr>
          <w:rFonts w:ascii="標楷體" w:eastAsia="標楷體" w:hAnsi="標楷體" w:hint="eastAsia"/>
          <w:sz w:val="28"/>
          <w:szCs w:val="28"/>
        </w:rPr>
        <w:t xml:space="preserve">企業對雇員增加工資  </w:t>
      </w:r>
    </w:p>
    <w:p w:rsidR="003E6B83" w:rsidRDefault="003E6B83" w:rsidP="003E6B83">
      <w:pPr>
        <w:spacing w:beforeLines="25" w:before="90" w:afterLines="25" w:after="90" w:line="560" w:lineRule="exact"/>
        <w:ind w:leftChars="3485" w:left="8364"/>
        <w:jc w:val="both"/>
        <w:rPr>
          <w:rFonts w:ascii="標楷體" w:eastAsia="標楷體" w:hAnsi="標楷體"/>
          <w:sz w:val="28"/>
          <w:szCs w:val="28"/>
        </w:rPr>
      </w:pPr>
      <w:r w:rsidRPr="00026DD0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6DD0">
        <w:rPr>
          <w:rFonts w:ascii="標楷體" w:eastAsia="標楷體" w:hAnsi="標楷體" w:hint="eastAsia"/>
          <w:sz w:val="28"/>
          <w:szCs w:val="28"/>
        </w:rPr>
        <w:t xml:space="preserve">擴大消費者的荷包、提高消費者購買力  </w:t>
      </w:r>
    </w:p>
    <w:p w:rsidR="003E6B83" w:rsidRDefault="003E6B83" w:rsidP="003E6B83">
      <w:pPr>
        <w:spacing w:beforeLines="25" w:before="90" w:afterLines="25" w:after="90" w:line="560" w:lineRule="exact"/>
        <w:ind w:leftChars="3485" w:left="8364"/>
        <w:jc w:val="both"/>
        <w:rPr>
          <w:rFonts w:ascii="標楷體" w:eastAsia="標楷體" w:hAnsi="標楷體"/>
          <w:sz w:val="28"/>
          <w:szCs w:val="28"/>
        </w:rPr>
      </w:pPr>
      <w:r w:rsidRPr="00026DD0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6DD0">
        <w:rPr>
          <w:rFonts w:ascii="標楷體" w:eastAsia="標楷體" w:hAnsi="標楷體" w:hint="eastAsia"/>
          <w:sz w:val="28"/>
          <w:szCs w:val="28"/>
        </w:rPr>
        <w:t xml:space="preserve">支持總合需求成長、推升生產力成長 </w:t>
      </w:r>
    </w:p>
    <w:p w:rsidR="003E6B83" w:rsidRDefault="003E6B83" w:rsidP="003E6B83">
      <w:pPr>
        <w:spacing w:beforeLines="25" w:before="90" w:afterLines="25" w:after="90" w:line="560" w:lineRule="exact"/>
        <w:ind w:leftChars="3485" w:left="8364"/>
        <w:jc w:val="both"/>
        <w:rPr>
          <w:rFonts w:ascii="標楷體" w:eastAsia="標楷體" w:hAnsi="標楷體"/>
          <w:sz w:val="28"/>
          <w:szCs w:val="28"/>
        </w:rPr>
      </w:pPr>
      <w:r w:rsidRPr="00026DD0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6DD0">
        <w:rPr>
          <w:rFonts w:ascii="標楷體" w:eastAsia="標楷體" w:hAnsi="標楷體" w:hint="eastAsia"/>
          <w:sz w:val="28"/>
          <w:szCs w:val="28"/>
        </w:rPr>
        <w:t xml:space="preserve">創造有利於廠商增加投資的友善環境 </w:t>
      </w:r>
    </w:p>
    <w:p w:rsidR="003E6B83" w:rsidRPr="00026DD0" w:rsidRDefault="003E6B83" w:rsidP="003E6B83">
      <w:pPr>
        <w:spacing w:beforeLines="25" w:before="90" w:afterLines="25" w:after="90" w:line="560" w:lineRule="exact"/>
        <w:ind w:leftChars="3485" w:left="8364"/>
        <w:jc w:val="both"/>
        <w:rPr>
          <w:rFonts w:ascii="標楷體" w:eastAsia="標楷體" w:hAnsi="標楷體"/>
          <w:sz w:val="28"/>
          <w:szCs w:val="28"/>
        </w:rPr>
      </w:pPr>
      <w:r w:rsidRPr="00026DD0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6DD0">
        <w:rPr>
          <w:rFonts w:ascii="標楷體" w:eastAsia="標楷體" w:hAnsi="標楷體" w:hint="eastAsia"/>
          <w:sz w:val="28"/>
          <w:szCs w:val="28"/>
        </w:rPr>
        <w:t>廠商提高工資、增加雇員</w:t>
      </w:r>
    </w:p>
    <w:p w:rsidR="003E6B83" w:rsidRDefault="003E6B83" w:rsidP="003E6B83">
      <w:pPr>
        <w:rPr>
          <w:sz w:val="28"/>
          <w:szCs w:val="28"/>
        </w:rPr>
      </w:pPr>
    </w:p>
    <w:p w:rsidR="003E6B83" w:rsidRDefault="003E6B83" w:rsidP="003E6B83">
      <w:pPr>
        <w:rPr>
          <w:sz w:val="28"/>
          <w:szCs w:val="28"/>
        </w:rPr>
      </w:pPr>
      <w:r w:rsidRPr="00C522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CD73C" wp14:editId="1C89F244">
                <wp:simplePos x="0" y="0"/>
                <wp:positionH relativeFrom="column">
                  <wp:posOffset>-5254625</wp:posOffset>
                </wp:positionH>
                <wp:positionV relativeFrom="paragraph">
                  <wp:posOffset>255684</wp:posOffset>
                </wp:positionV>
                <wp:extent cx="8656955" cy="1403985"/>
                <wp:effectExtent l="0" t="0" r="0" b="12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6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B83" w:rsidRPr="007F01D2" w:rsidRDefault="003E6B83" w:rsidP="003E6B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資料來源：</w:t>
                            </w:r>
                            <w:proofErr w:type="spellStart"/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Botman</w:t>
                            </w:r>
                            <w:proofErr w:type="spellEnd"/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, Dennis and Zoltan </w:t>
                            </w:r>
                            <w:proofErr w:type="spellStart"/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Jakab</w:t>
                            </w:r>
                            <w:proofErr w:type="spellEnd"/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(2014), “</w:t>
                            </w:r>
                            <w:proofErr w:type="spellStart"/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Abenomics</w:t>
                            </w:r>
                            <w:proofErr w:type="spellEnd"/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-Time for a Push from Higher Wages,” </w:t>
                            </w:r>
                            <w:proofErr w:type="spellStart"/>
                            <w:r w:rsidRPr="007F01D2">
                              <w:rPr>
                                <w:rFonts w:ascii="Times New Roman" w:eastAsia="標楷體" w:hAnsi="Times New Roman" w:cs="Times New Roman"/>
                                <w:i/>
                                <w:sz w:val="20"/>
                                <w:szCs w:val="20"/>
                              </w:rPr>
                              <w:t>iMFdirect</w:t>
                            </w:r>
                            <w:proofErr w:type="spellEnd"/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, Mar. 20</w:t>
                            </w:r>
                            <w:r w:rsidRPr="007F01D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13.75pt;margin-top:20.15pt;width:681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" filled="f" stroked="f">
                <v:textbox style="mso-fit-shape-to-text:t">
                  <w:txbxContent>
                    <w:p w:rsidR="003E6B83" w:rsidRPr="007F01D2" w:rsidRDefault="003E6B83" w:rsidP="003E6B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資料來源：</w:t>
                      </w:r>
                      <w:proofErr w:type="spellStart"/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Botman</w:t>
                      </w:r>
                      <w:proofErr w:type="spellEnd"/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, Dennis and Zoltan </w:t>
                      </w:r>
                      <w:proofErr w:type="spellStart"/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Jakab</w:t>
                      </w:r>
                      <w:proofErr w:type="spellEnd"/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(2014), “</w:t>
                      </w:r>
                      <w:proofErr w:type="spellStart"/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Abenomics</w:t>
                      </w:r>
                      <w:proofErr w:type="spellEnd"/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-Time for a Push from Higher Wages,” </w:t>
                      </w:r>
                      <w:proofErr w:type="spellStart"/>
                      <w:r w:rsidRPr="007F01D2">
                        <w:rPr>
                          <w:rFonts w:ascii="Times New Roman" w:eastAsia="標楷體" w:hAnsi="Times New Roman" w:cs="Times New Roman"/>
                          <w:i/>
                          <w:sz w:val="20"/>
                          <w:szCs w:val="20"/>
                        </w:rPr>
                        <w:t>iMFdirect</w:t>
                      </w:r>
                      <w:proofErr w:type="spellEnd"/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, Mar. 20</w:t>
                      </w:r>
                      <w:r w:rsidRPr="007F01D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66C94" w:rsidRDefault="00E66C94" w:rsidP="003E6B83">
      <w:pPr>
        <w:pStyle w:val="a4"/>
        <w:adjustRightInd/>
        <w:snapToGrid w:val="0"/>
        <w:spacing w:beforeLines="50" w:before="180" w:afterLines="100" w:after="360" w:line="560" w:lineRule="exact"/>
        <w:ind w:left="0" w:firstLine="0"/>
        <w:rPr>
          <w:sz w:val="32"/>
          <w:szCs w:val="32"/>
        </w:rPr>
      </w:pPr>
    </w:p>
    <w:p w:rsidR="003E6B83" w:rsidRPr="00A24C8E" w:rsidRDefault="00E66C94" w:rsidP="00DE3FA8">
      <w:pPr>
        <w:pStyle w:val="a4"/>
        <w:adjustRightInd/>
        <w:snapToGrid w:val="0"/>
        <w:spacing w:beforeLines="50" w:before="180" w:line="560" w:lineRule="exact"/>
        <w:ind w:lef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六</w:t>
      </w:r>
      <w:r w:rsidR="007F01D2">
        <w:rPr>
          <w:rFonts w:ascii="新細明體" w:eastAsia="新細明體" w:hAnsi="新細明體" w:hint="eastAsia"/>
          <w:sz w:val="32"/>
          <w:szCs w:val="32"/>
        </w:rPr>
        <w:t>、</w:t>
      </w:r>
      <w:r w:rsidR="003E6B83" w:rsidRPr="00A24C8E">
        <w:rPr>
          <w:rFonts w:hint="eastAsia"/>
          <w:sz w:val="32"/>
          <w:szCs w:val="32"/>
        </w:rPr>
        <w:t>國際間追求「工資帶動型成長策略」的建議作法</w:t>
      </w:r>
    </w:p>
    <w:tbl>
      <w:tblPr>
        <w:tblStyle w:val="1-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75"/>
      </w:tblGrid>
      <w:tr w:rsidR="003E6B83" w:rsidTr="00583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E6B83" w:rsidRPr="006401D5" w:rsidRDefault="003E6B83" w:rsidP="00DE3FA8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3E6B83" w:rsidTr="00583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numPr>
                <w:ilvl w:val="0"/>
                <w:numId w:val="2"/>
              </w:numPr>
              <w:spacing w:beforeLines="20" w:before="72" w:afterLines="20" w:after="72" w:line="440" w:lineRule="exact"/>
              <w:ind w:left="357" w:hanging="357"/>
              <w:rPr>
                <w:b/>
                <w:sz w:val="28"/>
                <w:szCs w:val="28"/>
              </w:rPr>
            </w:pPr>
            <w:r w:rsidRPr="00281CB3">
              <w:rPr>
                <w:rFonts w:hint="eastAsia"/>
                <w:b/>
                <w:sz w:val="28"/>
                <w:szCs w:val="28"/>
              </w:rPr>
              <w:t>結構性改革：</w:t>
            </w:r>
          </w:p>
        </w:tc>
      </w:tr>
      <w:tr w:rsidR="003E6B83" w:rsidTr="00583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(1)</w:t>
            </w:r>
            <w:r w:rsidRPr="00281CB3">
              <w:rPr>
                <w:rFonts w:hint="eastAsia"/>
                <w:sz w:val="28"/>
                <w:szCs w:val="28"/>
              </w:rPr>
              <w:t>企業方面：產業創新與升級，提升產品與服務的附加價值</w:t>
            </w:r>
            <w:r w:rsidRPr="002B1971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E6B83" w:rsidTr="00583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(2)</w:t>
            </w:r>
            <w:r w:rsidRPr="00281CB3">
              <w:rPr>
                <w:rFonts w:hint="eastAsia"/>
                <w:sz w:val="28"/>
                <w:szCs w:val="28"/>
              </w:rPr>
              <w:t>勞工方面：努力提升生產轉型與經濟發展所需要的教育與技能水準</w:t>
            </w:r>
            <w:r w:rsidRPr="002B1971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E6B83" w:rsidTr="00583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numPr>
                <w:ilvl w:val="0"/>
                <w:numId w:val="2"/>
              </w:numPr>
              <w:spacing w:beforeLines="20" w:before="72" w:afterLines="20" w:after="72" w:line="440" w:lineRule="exact"/>
              <w:ind w:left="357" w:hanging="357"/>
              <w:rPr>
                <w:b/>
                <w:sz w:val="28"/>
                <w:szCs w:val="28"/>
              </w:rPr>
            </w:pPr>
            <w:r w:rsidRPr="00281CB3">
              <w:rPr>
                <w:rFonts w:hint="eastAsia"/>
                <w:b/>
                <w:sz w:val="28"/>
                <w:szCs w:val="28"/>
              </w:rPr>
              <w:t>有效的協助措施：</w:t>
            </w:r>
          </w:p>
        </w:tc>
      </w:tr>
      <w:tr w:rsidR="003E6B83" w:rsidTr="00583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b/>
                <w:sz w:val="28"/>
                <w:szCs w:val="28"/>
              </w:rPr>
            </w:pPr>
            <w:r w:rsidRPr="00AE4F3B">
              <w:rPr>
                <w:rFonts w:hint="eastAsia"/>
                <w:color w:val="000000" w:themeColor="text1"/>
                <w:sz w:val="28"/>
                <w:szCs w:val="28"/>
              </w:rPr>
              <w:t>(1)</w:t>
            </w:r>
            <w:r w:rsidRPr="00281CB3">
              <w:rPr>
                <w:b/>
                <w:color w:val="0000FF"/>
                <w:sz w:val="28"/>
                <w:szCs w:val="28"/>
              </w:rPr>
              <w:t>道德勸說</w:t>
            </w:r>
            <w:r w:rsidRPr="00281CB3">
              <w:rPr>
                <w:rFonts w:hint="eastAsia"/>
                <w:sz w:val="28"/>
                <w:szCs w:val="28"/>
              </w:rPr>
              <w:t>：執政</w:t>
            </w:r>
            <w:r>
              <w:rPr>
                <w:rFonts w:hint="eastAsia"/>
                <w:sz w:val="28"/>
                <w:szCs w:val="28"/>
              </w:rPr>
              <w:t>者</w:t>
            </w:r>
            <w:r w:rsidRPr="00281CB3">
              <w:rPr>
                <w:rFonts w:hint="eastAsia"/>
                <w:sz w:val="28"/>
                <w:szCs w:val="28"/>
              </w:rPr>
              <w:t>道德勸說</w:t>
            </w:r>
            <w:r w:rsidRPr="00281CB3">
              <w:rPr>
                <w:sz w:val="28"/>
                <w:szCs w:val="28"/>
              </w:rPr>
              <w:t>有獲利企業提高工資</w:t>
            </w:r>
            <w:r>
              <w:rPr>
                <w:rFonts w:hint="eastAsia"/>
                <w:sz w:val="28"/>
                <w:szCs w:val="28"/>
              </w:rPr>
              <w:t>；</w:t>
            </w:r>
            <w:r w:rsidRPr="00281CB3">
              <w:rPr>
                <w:rFonts w:hint="eastAsia"/>
                <w:sz w:val="28"/>
                <w:szCs w:val="28"/>
              </w:rPr>
              <w:t>近年主要國家</w:t>
            </w:r>
            <w:r>
              <w:rPr>
                <w:rFonts w:hint="eastAsia"/>
                <w:sz w:val="28"/>
                <w:szCs w:val="28"/>
              </w:rPr>
              <w:t>領袖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281CB3">
              <w:rPr>
                <w:rFonts w:hint="eastAsia"/>
                <w:sz w:val="28"/>
                <w:szCs w:val="28"/>
              </w:rPr>
              <w:t>如</w:t>
            </w:r>
            <w:r>
              <w:rPr>
                <w:rFonts w:hint="eastAsia"/>
                <w:sz w:val="28"/>
                <w:szCs w:val="28"/>
              </w:rPr>
              <w:t>美國總統</w:t>
            </w:r>
            <w:r w:rsidRPr="00281CB3">
              <w:rPr>
                <w:rFonts w:hint="eastAsia"/>
                <w:sz w:val="28"/>
                <w:szCs w:val="28"/>
              </w:rPr>
              <w:t>歐巴馬、</w:t>
            </w:r>
            <w:r>
              <w:rPr>
                <w:rFonts w:hint="eastAsia"/>
                <w:sz w:val="28"/>
                <w:szCs w:val="28"/>
              </w:rPr>
              <w:t>日本首相</w:t>
            </w:r>
            <w:r w:rsidRPr="00281CB3">
              <w:rPr>
                <w:rFonts w:hint="eastAsia"/>
                <w:sz w:val="28"/>
                <w:szCs w:val="28"/>
              </w:rPr>
              <w:t>安</w:t>
            </w:r>
            <w:proofErr w:type="gramStart"/>
            <w:r w:rsidRPr="00281CB3">
              <w:rPr>
                <w:rFonts w:hint="eastAsia"/>
                <w:sz w:val="28"/>
                <w:szCs w:val="28"/>
              </w:rPr>
              <w:t>倍</w:t>
            </w:r>
            <w:proofErr w:type="gramEnd"/>
            <w:r w:rsidRPr="00281CB3">
              <w:rPr>
                <w:rFonts w:hint="eastAsia"/>
                <w:sz w:val="28"/>
                <w:szCs w:val="28"/>
              </w:rPr>
              <w:t>晉三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英國首相卡麥隆</w:t>
            </w:r>
            <w:r>
              <w:rPr>
                <w:rFonts w:hint="eastAsia"/>
                <w:sz w:val="28"/>
                <w:szCs w:val="28"/>
              </w:rPr>
              <w:t>)</w:t>
            </w:r>
            <w:r w:rsidRPr="00281CB3">
              <w:rPr>
                <w:rFonts w:hint="eastAsia"/>
                <w:sz w:val="28"/>
                <w:szCs w:val="28"/>
              </w:rPr>
              <w:t>皆</w:t>
            </w:r>
            <w:r>
              <w:rPr>
                <w:rFonts w:hint="eastAsia"/>
                <w:sz w:val="28"/>
                <w:szCs w:val="28"/>
              </w:rPr>
              <w:t>進行</w:t>
            </w:r>
            <w:r w:rsidRPr="00571C61">
              <w:rPr>
                <w:rFonts w:hint="eastAsia"/>
                <w:sz w:val="28"/>
                <w:szCs w:val="28"/>
              </w:rPr>
              <w:t>道德勸說</w:t>
            </w:r>
            <w:r w:rsidRPr="00281CB3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E6B83" w:rsidRPr="00040CCD" w:rsidTr="00583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color w:val="0000FF"/>
                <w:sz w:val="28"/>
                <w:szCs w:val="28"/>
              </w:rPr>
            </w:pPr>
            <w:r w:rsidRPr="00DE3FA8">
              <w:rPr>
                <w:rFonts w:hint="eastAsia"/>
                <w:color w:val="000000" w:themeColor="text1"/>
                <w:sz w:val="28"/>
                <w:szCs w:val="28"/>
              </w:rPr>
              <w:t>(2)</w:t>
            </w:r>
            <w:r w:rsidRPr="00281CB3">
              <w:rPr>
                <w:rFonts w:hint="eastAsia"/>
                <w:b/>
                <w:color w:val="0000FF"/>
                <w:sz w:val="28"/>
                <w:szCs w:val="28"/>
              </w:rPr>
              <w:t>推出鼓勵企業提高工資的稅負優惠</w:t>
            </w:r>
            <w:r w:rsidRPr="00281CB3">
              <w:rPr>
                <w:rFonts w:hint="eastAsia"/>
                <w:sz w:val="28"/>
                <w:szCs w:val="28"/>
              </w:rPr>
              <w:t>：</w:t>
            </w:r>
            <w:r w:rsidRPr="00281CB3">
              <w:rPr>
                <w:sz w:val="28"/>
                <w:szCs w:val="28"/>
              </w:rPr>
              <w:t>例如，</w:t>
            </w:r>
            <w:r w:rsidRPr="00281CB3">
              <w:rPr>
                <w:rFonts w:hint="eastAsia"/>
                <w:sz w:val="28"/>
                <w:szCs w:val="28"/>
              </w:rPr>
              <w:t>日本政府</w:t>
            </w:r>
            <w:r>
              <w:rPr>
                <w:rFonts w:hint="eastAsia"/>
                <w:sz w:val="28"/>
                <w:szCs w:val="28"/>
              </w:rPr>
              <w:t>於</w:t>
            </w:r>
            <w:r>
              <w:rPr>
                <w:rFonts w:hint="eastAsia"/>
                <w:sz w:val="28"/>
                <w:szCs w:val="28"/>
              </w:rPr>
              <w:t>2013</w:t>
            </w:r>
            <w:r>
              <w:rPr>
                <w:rFonts w:hint="eastAsia"/>
                <w:sz w:val="28"/>
                <w:szCs w:val="28"/>
              </w:rPr>
              <w:t>年</w:t>
            </w:r>
            <w:r w:rsidRPr="00281CB3">
              <w:rPr>
                <w:rFonts w:hint="eastAsia"/>
                <w:sz w:val="28"/>
                <w:szCs w:val="28"/>
              </w:rPr>
              <w:t>針對企業增加勞動支出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281CB3">
              <w:rPr>
                <w:rFonts w:hint="eastAsia"/>
                <w:sz w:val="28"/>
                <w:szCs w:val="28"/>
              </w:rPr>
              <w:t>給予稅額扣抵。</w:t>
            </w:r>
          </w:p>
        </w:tc>
      </w:tr>
      <w:tr w:rsidR="003E6B83" w:rsidRPr="00040CCD" w:rsidTr="00583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b/>
                <w:color w:val="0000FF"/>
                <w:sz w:val="28"/>
                <w:szCs w:val="28"/>
              </w:rPr>
            </w:pPr>
            <w:r w:rsidRPr="00AE4F3B">
              <w:rPr>
                <w:rFonts w:hint="eastAsia"/>
                <w:color w:val="000000" w:themeColor="text1"/>
                <w:sz w:val="28"/>
                <w:szCs w:val="28"/>
              </w:rPr>
              <w:t>(3)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>對企業保留盈餘課稅</w:t>
            </w:r>
            <w:r w:rsidRPr="00281CB3">
              <w:rPr>
                <w:rFonts w:hint="eastAsia"/>
                <w:sz w:val="28"/>
                <w:szCs w:val="28"/>
              </w:rPr>
              <w:t>：</w:t>
            </w:r>
            <w:r w:rsidRPr="00281CB3">
              <w:rPr>
                <w:sz w:val="28"/>
                <w:szCs w:val="28"/>
              </w:rPr>
              <w:t>例如，</w:t>
            </w:r>
            <w:r w:rsidRPr="009879DC">
              <w:rPr>
                <w:rFonts w:hint="eastAsia"/>
                <w:sz w:val="28"/>
                <w:szCs w:val="28"/>
              </w:rPr>
              <w:t>南韓政府</w:t>
            </w:r>
            <w:r>
              <w:rPr>
                <w:rFonts w:hint="eastAsia"/>
                <w:sz w:val="28"/>
                <w:szCs w:val="28"/>
              </w:rPr>
              <w:t>於</w:t>
            </w:r>
            <w:r>
              <w:rPr>
                <w:rFonts w:hint="eastAsia"/>
                <w:sz w:val="28"/>
                <w:szCs w:val="28"/>
              </w:rPr>
              <w:t>2014</w:t>
            </w:r>
            <w:r>
              <w:rPr>
                <w:rFonts w:hint="eastAsia"/>
                <w:sz w:val="28"/>
                <w:szCs w:val="28"/>
              </w:rPr>
              <w:t>年推出新</w:t>
            </w:r>
            <w:r w:rsidRPr="009879DC">
              <w:rPr>
                <w:rFonts w:hint="eastAsia"/>
                <w:sz w:val="28"/>
                <w:szCs w:val="28"/>
              </w:rPr>
              <w:t>規定，</w:t>
            </w:r>
            <w:proofErr w:type="gramStart"/>
            <w:r>
              <w:rPr>
                <w:rFonts w:hint="eastAsia"/>
                <w:sz w:val="28"/>
                <w:szCs w:val="28"/>
              </w:rPr>
              <w:t>對</w:t>
            </w:r>
            <w:r w:rsidRPr="009879DC">
              <w:rPr>
                <w:rFonts w:hint="eastAsia"/>
                <w:sz w:val="28"/>
                <w:szCs w:val="28"/>
              </w:rPr>
              <w:t>握持</w:t>
            </w:r>
            <w:proofErr w:type="gramEnd"/>
            <w:r w:rsidRPr="009879DC">
              <w:rPr>
                <w:rFonts w:hint="eastAsia"/>
                <w:sz w:val="28"/>
                <w:szCs w:val="28"/>
              </w:rPr>
              <w:t>過高未分配盈餘</w:t>
            </w:r>
            <w:r>
              <w:rPr>
                <w:rFonts w:hint="eastAsia"/>
                <w:sz w:val="28"/>
                <w:szCs w:val="28"/>
              </w:rPr>
              <w:t>的</w:t>
            </w:r>
            <w:r w:rsidRPr="009879DC">
              <w:rPr>
                <w:rFonts w:hint="eastAsia"/>
                <w:sz w:val="28"/>
                <w:szCs w:val="28"/>
              </w:rPr>
              <w:t>企業，課徵</w:t>
            </w:r>
            <w:r w:rsidRPr="009879DC">
              <w:rPr>
                <w:rFonts w:hint="eastAsia"/>
                <w:sz w:val="28"/>
                <w:szCs w:val="28"/>
              </w:rPr>
              <w:t>10%</w:t>
            </w:r>
            <w:r w:rsidRPr="009879DC">
              <w:rPr>
                <w:rFonts w:hint="eastAsia"/>
                <w:sz w:val="28"/>
                <w:szCs w:val="28"/>
              </w:rPr>
              <w:t>的稅負；美國</w:t>
            </w:r>
            <w:r>
              <w:rPr>
                <w:rFonts w:hint="eastAsia"/>
                <w:sz w:val="28"/>
                <w:szCs w:val="28"/>
              </w:rPr>
              <w:t>歐巴馬政府亦</w:t>
            </w:r>
            <w:r w:rsidRPr="009879DC">
              <w:rPr>
                <w:rFonts w:hint="eastAsia"/>
                <w:sz w:val="28"/>
                <w:szCs w:val="28"/>
              </w:rPr>
              <w:t>擬對企業累積未</w:t>
            </w:r>
            <w:proofErr w:type="gramStart"/>
            <w:r w:rsidRPr="009879DC">
              <w:rPr>
                <w:rFonts w:hint="eastAsia"/>
                <w:sz w:val="28"/>
                <w:szCs w:val="28"/>
              </w:rPr>
              <w:t>匯</w:t>
            </w:r>
            <w:proofErr w:type="gramEnd"/>
            <w:r w:rsidRPr="009879DC">
              <w:rPr>
                <w:rFonts w:hint="eastAsia"/>
                <w:sz w:val="28"/>
                <w:szCs w:val="28"/>
              </w:rPr>
              <w:t>回的海外盈餘，課徵</w:t>
            </w:r>
            <w:r w:rsidRPr="009879DC">
              <w:rPr>
                <w:rFonts w:hint="eastAsia"/>
                <w:sz w:val="28"/>
                <w:szCs w:val="28"/>
              </w:rPr>
              <w:t>14%</w:t>
            </w:r>
            <w:proofErr w:type="gramStart"/>
            <w:r w:rsidRPr="009879DC">
              <w:rPr>
                <w:rFonts w:hint="eastAsia"/>
                <w:sz w:val="28"/>
                <w:szCs w:val="28"/>
              </w:rPr>
              <w:t>一次性稅負</w:t>
            </w:r>
            <w:proofErr w:type="gramEnd"/>
            <w:r>
              <w:rPr>
                <w:rFonts w:hint="eastAsia"/>
                <w:sz w:val="28"/>
                <w:szCs w:val="28"/>
              </w:rPr>
              <w:t>，之後</w:t>
            </w:r>
            <w:r w:rsidRPr="007F0C46">
              <w:rPr>
                <w:rFonts w:hint="eastAsia"/>
                <w:sz w:val="28"/>
                <w:szCs w:val="28"/>
              </w:rPr>
              <w:t>稅率</w:t>
            </w:r>
            <w:r>
              <w:rPr>
                <w:rFonts w:hint="eastAsia"/>
                <w:sz w:val="28"/>
                <w:szCs w:val="28"/>
              </w:rPr>
              <w:t>則</w:t>
            </w:r>
            <w:r w:rsidRPr="007F0C46">
              <w:rPr>
                <w:rFonts w:hint="eastAsia"/>
                <w:sz w:val="28"/>
                <w:szCs w:val="28"/>
              </w:rPr>
              <w:t>在</w:t>
            </w:r>
            <w:r w:rsidRPr="007F0C46">
              <w:rPr>
                <w:rFonts w:hint="eastAsia"/>
                <w:sz w:val="28"/>
                <w:szCs w:val="28"/>
              </w:rPr>
              <w:t>19%</w:t>
            </w:r>
            <w:r w:rsidRPr="007F0C46">
              <w:rPr>
                <w:rFonts w:hint="eastAsia"/>
                <w:sz w:val="28"/>
                <w:szCs w:val="28"/>
              </w:rPr>
              <w:t>以上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E6B83" w:rsidRPr="00040CCD" w:rsidTr="00583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color w:val="0000FF"/>
                <w:sz w:val="28"/>
                <w:szCs w:val="28"/>
              </w:rPr>
            </w:pPr>
            <w:r w:rsidRPr="00AE4F3B">
              <w:rPr>
                <w:rFonts w:hint="eastAsia"/>
                <w:color w:val="000000" w:themeColor="text1"/>
                <w:sz w:val="28"/>
                <w:szCs w:val="28"/>
              </w:rPr>
              <w:t>(4)</w:t>
            </w:r>
            <w:r w:rsidRPr="00281CB3">
              <w:rPr>
                <w:rFonts w:hint="eastAsia"/>
                <w:b/>
                <w:color w:val="0000FF"/>
                <w:sz w:val="28"/>
                <w:szCs w:val="28"/>
              </w:rPr>
              <w:t>調高最低工資</w:t>
            </w:r>
            <w:r w:rsidRPr="00281CB3">
              <w:rPr>
                <w:rFonts w:hint="eastAsia"/>
                <w:sz w:val="28"/>
                <w:szCs w:val="28"/>
              </w:rPr>
              <w:t>：</w:t>
            </w:r>
            <w:r w:rsidRPr="00281CB3">
              <w:rPr>
                <w:rFonts w:hint="eastAsia"/>
                <w:sz w:val="28"/>
                <w:szCs w:val="28"/>
              </w:rPr>
              <w:t>Stiglitz</w:t>
            </w:r>
            <w:r w:rsidRPr="00281CB3">
              <w:rPr>
                <w:rFonts w:hint="eastAsia"/>
                <w:sz w:val="28"/>
                <w:szCs w:val="28"/>
              </w:rPr>
              <w:t>等</w:t>
            </w:r>
            <w:r w:rsidRPr="00281CB3">
              <w:rPr>
                <w:rFonts w:hint="eastAsia"/>
                <w:sz w:val="28"/>
                <w:szCs w:val="28"/>
              </w:rPr>
              <w:t>10</w:t>
            </w:r>
            <w:r w:rsidRPr="00281CB3">
              <w:rPr>
                <w:rFonts w:hint="eastAsia"/>
                <w:sz w:val="28"/>
                <w:szCs w:val="28"/>
              </w:rPr>
              <w:t>位著名學者呼籲，調升最低工資，可提升總需求與就業</w:t>
            </w:r>
            <w:r w:rsidRPr="00E40B0A">
              <w:rPr>
                <w:rStyle w:val="a7"/>
                <w:sz w:val="28"/>
                <w:szCs w:val="28"/>
              </w:rPr>
              <w:footnoteReference w:id="4"/>
            </w:r>
            <w:r w:rsidRPr="002B1971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E6B83" w:rsidRPr="00040CCD" w:rsidTr="00583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color w:val="0000FF"/>
                <w:sz w:val="28"/>
                <w:szCs w:val="28"/>
              </w:rPr>
            </w:pPr>
            <w:r w:rsidRPr="00AE4F3B">
              <w:rPr>
                <w:rFonts w:hint="eastAsia"/>
                <w:color w:val="000000" w:themeColor="text1"/>
                <w:sz w:val="28"/>
                <w:szCs w:val="28"/>
              </w:rPr>
              <w:t>(5)</w:t>
            </w:r>
            <w:r w:rsidRPr="00281CB3">
              <w:rPr>
                <w:rFonts w:hint="eastAsia"/>
                <w:b/>
                <w:color w:val="0000FF"/>
                <w:sz w:val="28"/>
                <w:szCs w:val="28"/>
              </w:rPr>
              <w:t>鼓勵企業改變人力資源管理，採取更多的利潤分享計畫</w:t>
            </w:r>
            <w:r w:rsidRPr="00281CB3">
              <w:rPr>
                <w:rFonts w:hint="eastAsia"/>
                <w:sz w:val="28"/>
                <w:szCs w:val="28"/>
              </w:rPr>
              <w:t>：前白宮經濟顧問委員會主席</w:t>
            </w:r>
            <w:r w:rsidRPr="00281CB3">
              <w:rPr>
                <w:rFonts w:hint="eastAsia"/>
                <w:sz w:val="28"/>
                <w:szCs w:val="28"/>
              </w:rPr>
              <w:t>Laura Tyson</w:t>
            </w:r>
            <w:r w:rsidRPr="00281CB3">
              <w:rPr>
                <w:rFonts w:hint="eastAsia"/>
                <w:sz w:val="28"/>
                <w:szCs w:val="28"/>
              </w:rPr>
              <w:t>援引實證研究指出，一旦勞工可直接分享企業的獲利，會更積極努力，跳槽率也降低。</w:t>
            </w:r>
          </w:p>
        </w:tc>
      </w:tr>
      <w:tr w:rsidR="003E6B83" w:rsidTr="00583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5" w:type="dxa"/>
            <w:shd w:val="clear" w:color="auto" w:fill="FFFFFF" w:themeFill="background1"/>
          </w:tcPr>
          <w:p w:rsidR="003E6B83" w:rsidRPr="00281CB3" w:rsidRDefault="003E6B83" w:rsidP="00B06F59">
            <w:pPr>
              <w:pStyle w:val="a4"/>
              <w:spacing w:beforeLines="20" w:before="72" w:afterLines="20" w:after="72" w:line="440" w:lineRule="exact"/>
              <w:ind w:left="280" w:hangingChars="100" w:hanging="280"/>
              <w:rPr>
                <w:color w:val="0000FF"/>
                <w:sz w:val="28"/>
                <w:szCs w:val="28"/>
              </w:rPr>
            </w:pPr>
            <w:r w:rsidRPr="00AE4F3B">
              <w:rPr>
                <w:rFonts w:hint="eastAsia"/>
                <w:color w:val="000000" w:themeColor="text1"/>
                <w:sz w:val="28"/>
                <w:szCs w:val="28"/>
              </w:rPr>
              <w:t>(6)</w:t>
            </w:r>
            <w:r w:rsidRPr="00281CB3">
              <w:rPr>
                <w:b/>
                <w:color w:val="0000FF"/>
                <w:sz w:val="28"/>
                <w:szCs w:val="28"/>
              </w:rPr>
              <w:t>推動社會凝聚政策</w:t>
            </w:r>
            <w:r w:rsidRPr="00281CB3">
              <w:rPr>
                <w:rFonts w:hint="eastAsia"/>
                <w:sz w:val="28"/>
                <w:szCs w:val="28"/>
              </w:rPr>
              <w:t>：</w:t>
            </w:r>
            <w:r w:rsidRPr="00281CB3">
              <w:rPr>
                <w:sz w:val="28"/>
                <w:szCs w:val="28"/>
              </w:rPr>
              <w:t>例如，</w:t>
            </w:r>
            <w:r w:rsidRPr="00281CB3">
              <w:rPr>
                <w:rFonts w:hint="eastAsia"/>
                <w:sz w:val="28"/>
                <w:szCs w:val="28"/>
              </w:rPr>
              <w:t>日本政府</w:t>
            </w:r>
            <w:r w:rsidRPr="00281CB3">
              <w:rPr>
                <w:sz w:val="28"/>
                <w:szCs w:val="28"/>
              </w:rPr>
              <w:t>透過設立三方委員會，讓日本政府更直接地參與雇主</w:t>
            </w:r>
            <w:r w:rsidRPr="00281CB3">
              <w:rPr>
                <w:rFonts w:hint="eastAsia"/>
                <w:sz w:val="28"/>
                <w:szCs w:val="28"/>
              </w:rPr>
              <w:t>及</w:t>
            </w:r>
            <w:r w:rsidRPr="00281CB3">
              <w:rPr>
                <w:sz w:val="28"/>
                <w:szCs w:val="28"/>
              </w:rPr>
              <w:t>工會之間的協商。</w:t>
            </w:r>
          </w:p>
        </w:tc>
      </w:tr>
    </w:tbl>
    <w:p w:rsidR="003E6B83" w:rsidRPr="00FF46B8" w:rsidRDefault="00E66C94" w:rsidP="003E6B83">
      <w:pPr>
        <w:pStyle w:val="a4"/>
        <w:spacing w:beforeLines="100" w:before="360" w:afterLines="20" w:after="72" w:line="520" w:lineRule="exact"/>
        <w:ind w:lef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七</w:t>
      </w:r>
      <w:r w:rsidR="007F01D2">
        <w:rPr>
          <w:rFonts w:ascii="新細明體" w:eastAsia="新細明體" w:hAnsi="新細明體" w:hint="eastAsia"/>
          <w:sz w:val="32"/>
          <w:szCs w:val="32"/>
        </w:rPr>
        <w:t>、</w:t>
      </w:r>
      <w:r w:rsidR="003E6B83" w:rsidRPr="00FF46B8">
        <w:rPr>
          <w:rFonts w:hint="eastAsia"/>
          <w:sz w:val="32"/>
          <w:szCs w:val="32"/>
        </w:rPr>
        <w:t>提高勞工薪資長遠且有效的</w:t>
      </w:r>
      <w:r w:rsidR="003E6B83">
        <w:rPr>
          <w:rFonts w:hint="eastAsia"/>
          <w:sz w:val="32"/>
          <w:szCs w:val="32"/>
        </w:rPr>
        <w:t>作</w:t>
      </w:r>
      <w:r w:rsidR="003E6B83" w:rsidRPr="00FF46B8">
        <w:rPr>
          <w:rFonts w:hint="eastAsia"/>
          <w:sz w:val="32"/>
          <w:szCs w:val="32"/>
        </w:rPr>
        <w:t>法</w:t>
      </w:r>
    </w:p>
    <w:p w:rsidR="003E6B83" w:rsidRPr="00FF46B8" w:rsidRDefault="003E6B83" w:rsidP="003E6B83">
      <w:pPr>
        <w:pStyle w:val="a4"/>
        <w:spacing w:beforeLines="25" w:before="90" w:afterLines="25" w:after="90" w:line="500" w:lineRule="exact"/>
        <w:ind w:left="336" w:hangingChars="120" w:hanging="336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1. </w:t>
      </w:r>
      <w:r w:rsidRPr="00FF46B8">
        <w:rPr>
          <w:rFonts w:hint="eastAsia"/>
          <w:b w:val="0"/>
          <w:sz w:val="28"/>
          <w:szCs w:val="28"/>
        </w:rPr>
        <w:t>讓</w:t>
      </w:r>
      <w:r w:rsidRPr="00FF46B8">
        <w:rPr>
          <w:rFonts w:hint="eastAsia"/>
          <w:color w:val="0000FF"/>
          <w:sz w:val="28"/>
          <w:szCs w:val="28"/>
        </w:rPr>
        <w:t>企業經營者</w:t>
      </w:r>
      <w:r w:rsidRPr="00FF46B8">
        <w:rPr>
          <w:rFonts w:hint="eastAsia"/>
          <w:b w:val="0"/>
          <w:sz w:val="28"/>
          <w:szCs w:val="28"/>
        </w:rPr>
        <w:t>樂於</w:t>
      </w:r>
      <w:r w:rsidRPr="00FF46B8">
        <w:rPr>
          <w:rFonts w:hint="eastAsia"/>
          <w:color w:val="0000FF"/>
          <w:sz w:val="28"/>
          <w:szCs w:val="28"/>
        </w:rPr>
        <w:t>主動提高勞工薪資</w:t>
      </w:r>
      <w:r w:rsidRPr="00FF46B8">
        <w:rPr>
          <w:rFonts w:hint="eastAsia"/>
          <w:b w:val="0"/>
          <w:sz w:val="28"/>
          <w:szCs w:val="28"/>
        </w:rPr>
        <w:t>的長遠且有效的</w:t>
      </w:r>
      <w:r>
        <w:rPr>
          <w:rFonts w:hint="eastAsia"/>
          <w:b w:val="0"/>
          <w:sz w:val="28"/>
          <w:szCs w:val="28"/>
        </w:rPr>
        <w:t>作</w:t>
      </w:r>
      <w:r w:rsidRPr="00FF46B8">
        <w:rPr>
          <w:rFonts w:hint="eastAsia"/>
          <w:b w:val="0"/>
          <w:sz w:val="28"/>
          <w:szCs w:val="28"/>
        </w:rPr>
        <w:t>法，</w:t>
      </w:r>
      <w:r w:rsidRPr="00FF46B8">
        <w:rPr>
          <w:rFonts w:hint="eastAsia"/>
          <w:color w:val="0000FF"/>
          <w:sz w:val="28"/>
          <w:szCs w:val="28"/>
        </w:rPr>
        <w:t>應該</w:t>
      </w:r>
      <w:r w:rsidRPr="00FF46B8">
        <w:rPr>
          <w:rFonts w:hint="eastAsia"/>
          <w:b w:val="0"/>
          <w:sz w:val="28"/>
          <w:szCs w:val="28"/>
        </w:rPr>
        <w:t>透過努力提升經濟轉型與升級所需要的教育與技能水準，來</w:t>
      </w:r>
      <w:r w:rsidRPr="00FF46B8">
        <w:rPr>
          <w:rFonts w:hint="eastAsia"/>
          <w:color w:val="0000FF"/>
          <w:sz w:val="28"/>
          <w:szCs w:val="28"/>
        </w:rPr>
        <w:t>提升勞動生產力</w:t>
      </w:r>
      <w:r>
        <w:rPr>
          <w:rFonts w:hint="eastAsia"/>
          <w:b w:val="0"/>
          <w:sz w:val="28"/>
          <w:szCs w:val="28"/>
        </w:rPr>
        <w:t>。</w:t>
      </w:r>
    </w:p>
    <w:p w:rsidR="003E6B83" w:rsidRPr="00EA3379" w:rsidRDefault="003E6B83" w:rsidP="003E6B83">
      <w:pPr>
        <w:pStyle w:val="a4"/>
        <w:spacing w:beforeLines="25" w:before="90" w:afterLines="25" w:after="90" w:line="500" w:lineRule="exact"/>
        <w:ind w:left="336" w:hangingChars="120" w:hanging="336"/>
        <w:rPr>
          <w:b w:val="0"/>
          <w:sz w:val="28"/>
          <w:szCs w:val="28"/>
        </w:rPr>
      </w:pPr>
      <w:r w:rsidRPr="00385E38">
        <w:rPr>
          <w:rFonts w:hint="eastAsia"/>
          <w:b w:val="0"/>
          <w:sz w:val="28"/>
          <w:szCs w:val="28"/>
        </w:rPr>
        <w:t>2.</w:t>
      </w:r>
      <w:r>
        <w:rPr>
          <w:rFonts w:hint="eastAsia"/>
          <w:b w:val="0"/>
          <w:sz w:val="28"/>
          <w:szCs w:val="28"/>
        </w:rPr>
        <w:t xml:space="preserve"> </w:t>
      </w:r>
      <w:r w:rsidRPr="00EA3379">
        <w:rPr>
          <w:rFonts w:hint="eastAsia"/>
          <w:color w:val="0000FF"/>
          <w:sz w:val="28"/>
          <w:szCs w:val="28"/>
        </w:rPr>
        <w:t>政府</w:t>
      </w:r>
      <w:r w:rsidRPr="00EA3379">
        <w:rPr>
          <w:rFonts w:hint="eastAsia"/>
          <w:b w:val="0"/>
          <w:sz w:val="28"/>
          <w:szCs w:val="28"/>
        </w:rPr>
        <w:t>應透過</w:t>
      </w:r>
      <w:r w:rsidRPr="00EA3379">
        <w:rPr>
          <w:rFonts w:hint="eastAsia"/>
          <w:color w:val="0000FF"/>
          <w:sz w:val="28"/>
          <w:szCs w:val="28"/>
        </w:rPr>
        <w:t>教育投資</w:t>
      </w:r>
      <w:r w:rsidRPr="00EA3379">
        <w:rPr>
          <w:rFonts w:hint="eastAsia"/>
          <w:b w:val="0"/>
          <w:sz w:val="28"/>
          <w:szCs w:val="28"/>
        </w:rPr>
        <w:t>，讓教育資源培養出社會真正需要的各種人才，讓勞工可學以致用，不要造成教育資源的浪費。</w:t>
      </w:r>
    </w:p>
    <w:p w:rsidR="003E6B83" w:rsidRDefault="003E6B83" w:rsidP="003E6B83">
      <w:pPr>
        <w:pStyle w:val="a4"/>
        <w:spacing w:beforeLines="25" w:before="90" w:afterLines="25" w:after="90" w:line="500" w:lineRule="exact"/>
        <w:ind w:left="0" w:firstLine="0"/>
        <w:rPr>
          <w:b w:val="0"/>
          <w:sz w:val="28"/>
          <w:szCs w:val="28"/>
        </w:rPr>
      </w:pPr>
      <w:r w:rsidRPr="00385E38">
        <w:rPr>
          <w:rFonts w:hint="eastAsia"/>
          <w:b w:val="0"/>
          <w:sz w:val="28"/>
          <w:szCs w:val="28"/>
        </w:rPr>
        <w:t>3.</w:t>
      </w:r>
      <w:r>
        <w:rPr>
          <w:rFonts w:hint="eastAsia"/>
          <w:b w:val="0"/>
          <w:sz w:val="28"/>
          <w:szCs w:val="28"/>
        </w:rPr>
        <w:t xml:space="preserve"> </w:t>
      </w:r>
      <w:r w:rsidRPr="00EA3379">
        <w:rPr>
          <w:rFonts w:hint="eastAsia"/>
          <w:color w:val="0000FF"/>
          <w:sz w:val="28"/>
          <w:szCs w:val="28"/>
        </w:rPr>
        <w:t>勞工</w:t>
      </w:r>
      <w:r w:rsidRPr="00EA3379">
        <w:rPr>
          <w:rFonts w:hint="eastAsia"/>
          <w:b w:val="0"/>
          <w:sz w:val="28"/>
          <w:szCs w:val="28"/>
        </w:rPr>
        <w:t>應藉由</w:t>
      </w:r>
      <w:r w:rsidRPr="00EA3379">
        <w:rPr>
          <w:rFonts w:hint="eastAsia"/>
          <w:color w:val="0000FF"/>
          <w:sz w:val="28"/>
          <w:szCs w:val="28"/>
        </w:rPr>
        <w:t>職業訓練</w:t>
      </w:r>
      <w:r w:rsidRPr="00EA3379">
        <w:rPr>
          <w:rFonts w:hint="eastAsia"/>
          <w:b w:val="0"/>
          <w:sz w:val="28"/>
          <w:szCs w:val="28"/>
        </w:rPr>
        <w:t>，獲取就業能力，或在就業後提升勞動生產力。</w:t>
      </w:r>
    </w:p>
    <w:p w:rsidR="0006328D" w:rsidRPr="00FF46B8" w:rsidRDefault="0006328D" w:rsidP="0006328D">
      <w:pPr>
        <w:pStyle w:val="a4"/>
        <w:spacing w:beforeLines="100" w:before="360" w:afterLines="20" w:after="72" w:line="520" w:lineRule="exact"/>
        <w:ind w:lef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八</w:t>
      </w:r>
      <w:r w:rsidRPr="0006328D">
        <w:rPr>
          <w:rFonts w:hint="eastAsia"/>
          <w:sz w:val="32"/>
          <w:szCs w:val="32"/>
        </w:rPr>
        <w:t>、政府</w:t>
      </w:r>
      <w:r>
        <w:rPr>
          <w:rFonts w:hint="eastAsia"/>
          <w:sz w:val="32"/>
          <w:szCs w:val="32"/>
        </w:rPr>
        <w:t>已採取</w:t>
      </w:r>
      <w:r w:rsidR="008675E8">
        <w:rPr>
          <w:rFonts w:hint="eastAsia"/>
          <w:sz w:val="32"/>
          <w:szCs w:val="32"/>
        </w:rPr>
        <w:t>的提高薪資</w:t>
      </w:r>
      <w:r>
        <w:rPr>
          <w:rFonts w:hint="eastAsia"/>
          <w:sz w:val="32"/>
          <w:szCs w:val="32"/>
        </w:rPr>
        <w:t>措施</w:t>
      </w:r>
    </w:p>
    <w:p w:rsidR="006119A1" w:rsidRPr="00902E31" w:rsidRDefault="00A9695C" w:rsidP="00A9695C">
      <w:pPr>
        <w:pStyle w:val="a4"/>
        <w:spacing w:beforeLines="25" w:before="90" w:afterLines="25" w:after="90" w:line="500" w:lineRule="exact"/>
        <w:ind w:left="336" w:hangingChars="120" w:hanging="336"/>
        <w:rPr>
          <w:color w:val="0000FF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1.</w:t>
      </w:r>
      <w:r w:rsidRPr="00A9695C">
        <w:rPr>
          <w:rFonts w:hint="eastAsia"/>
          <w:b w:val="0"/>
          <w:sz w:val="28"/>
          <w:szCs w:val="28"/>
        </w:rPr>
        <w:t>「</w:t>
      </w:r>
      <w:r w:rsidRPr="00A9695C">
        <w:rPr>
          <w:rFonts w:hint="eastAsia"/>
          <w:color w:val="0000FF"/>
          <w:sz w:val="28"/>
          <w:szCs w:val="28"/>
        </w:rPr>
        <w:t>公司法第</w:t>
      </w:r>
      <w:r w:rsidRPr="00A9695C">
        <w:rPr>
          <w:rFonts w:hint="eastAsia"/>
          <w:color w:val="0000FF"/>
          <w:sz w:val="28"/>
          <w:szCs w:val="28"/>
        </w:rPr>
        <w:t>235</w:t>
      </w:r>
      <w:r>
        <w:rPr>
          <w:rFonts w:hint="eastAsia"/>
          <w:color w:val="0000FF"/>
          <w:sz w:val="28"/>
          <w:szCs w:val="28"/>
        </w:rPr>
        <w:t>-1</w:t>
      </w:r>
      <w:r w:rsidRPr="00A9695C">
        <w:rPr>
          <w:rFonts w:hint="eastAsia"/>
          <w:color w:val="0000FF"/>
          <w:sz w:val="28"/>
          <w:szCs w:val="28"/>
        </w:rPr>
        <w:t>條</w:t>
      </w:r>
      <w:r w:rsidRPr="00A9695C">
        <w:rPr>
          <w:rFonts w:hint="eastAsia"/>
          <w:b w:val="0"/>
          <w:sz w:val="28"/>
          <w:szCs w:val="28"/>
        </w:rPr>
        <w:t>」</w:t>
      </w:r>
      <w:r w:rsidRPr="00A9695C">
        <w:rPr>
          <w:rFonts w:hint="eastAsia"/>
          <w:b w:val="0"/>
          <w:sz w:val="28"/>
          <w:szCs w:val="28"/>
        </w:rPr>
        <w:t>(</w:t>
      </w:r>
      <w:r w:rsidRPr="00A9695C">
        <w:rPr>
          <w:b w:val="0"/>
          <w:sz w:val="28"/>
          <w:szCs w:val="28"/>
        </w:rPr>
        <w:t>公司應於章程訂明以當年度</w:t>
      </w:r>
      <w:r w:rsidRPr="00A9695C">
        <w:rPr>
          <w:color w:val="0000FF"/>
          <w:sz w:val="28"/>
          <w:szCs w:val="28"/>
        </w:rPr>
        <w:t>獲利</w:t>
      </w:r>
      <w:r w:rsidRPr="00A9695C">
        <w:rPr>
          <w:b w:val="0"/>
          <w:sz w:val="28"/>
          <w:szCs w:val="28"/>
        </w:rPr>
        <w:t>狀況之定額或比率，</w:t>
      </w:r>
      <w:r w:rsidRPr="00A9695C">
        <w:rPr>
          <w:color w:val="0000FF"/>
          <w:sz w:val="28"/>
          <w:szCs w:val="28"/>
        </w:rPr>
        <w:t>分派員工酬勞</w:t>
      </w:r>
      <w:r w:rsidRPr="00A9695C">
        <w:rPr>
          <w:rFonts w:hint="eastAsia"/>
          <w:b w:val="0"/>
          <w:sz w:val="28"/>
          <w:szCs w:val="28"/>
        </w:rPr>
        <w:t>)</w:t>
      </w:r>
      <w:r w:rsidR="006119A1" w:rsidRPr="00902E31">
        <w:rPr>
          <w:rFonts w:hint="eastAsia"/>
          <w:color w:val="0000FF"/>
          <w:sz w:val="28"/>
          <w:szCs w:val="28"/>
        </w:rPr>
        <w:t>於</w:t>
      </w:r>
      <w:r w:rsidR="006119A1" w:rsidRPr="00902E31">
        <w:rPr>
          <w:rFonts w:hint="eastAsia"/>
          <w:color w:val="0000FF"/>
          <w:sz w:val="28"/>
          <w:szCs w:val="28"/>
        </w:rPr>
        <w:t>2015</w:t>
      </w:r>
      <w:r w:rsidR="006119A1" w:rsidRPr="00902E31">
        <w:rPr>
          <w:rFonts w:hint="eastAsia"/>
          <w:color w:val="0000FF"/>
          <w:sz w:val="28"/>
          <w:szCs w:val="28"/>
        </w:rPr>
        <w:t>年</w:t>
      </w:r>
      <w:r w:rsidR="006119A1" w:rsidRPr="00902E31">
        <w:rPr>
          <w:rFonts w:hint="eastAsia"/>
          <w:color w:val="0000FF"/>
          <w:sz w:val="28"/>
          <w:szCs w:val="28"/>
        </w:rPr>
        <w:t>5</w:t>
      </w:r>
      <w:r w:rsidR="006119A1" w:rsidRPr="00902E31">
        <w:rPr>
          <w:rFonts w:hint="eastAsia"/>
          <w:color w:val="0000FF"/>
          <w:sz w:val="28"/>
          <w:szCs w:val="28"/>
        </w:rPr>
        <w:t>月</w:t>
      </w:r>
      <w:r w:rsidR="00902E31" w:rsidRPr="00902E31">
        <w:rPr>
          <w:rFonts w:hint="eastAsia"/>
          <w:color w:val="0000FF"/>
          <w:sz w:val="28"/>
          <w:szCs w:val="28"/>
        </w:rPr>
        <w:t>20</w:t>
      </w:r>
      <w:r w:rsidR="006119A1" w:rsidRPr="00902E31">
        <w:rPr>
          <w:rFonts w:hint="eastAsia"/>
          <w:color w:val="0000FF"/>
          <w:sz w:val="28"/>
          <w:szCs w:val="28"/>
        </w:rPr>
        <w:t>日</w:t>
      </w:r>
      <w:r w:rsidR="00583577">
        <w:rPr>
          <w:rFonts w:hint="eastAsia"/>
          <w:color w:val="0000FF"/>
          <w:sz w:val="28"/>
          <w:szCs w:val="28"/>
        </w:rPr>
        <w:t>公布</w:t>
      </w:r>
      <w:r w:rsidR="006119A1" w:rsidRPr="00902E31">
        <w:rPr>
          <w:rFonts w:hint="eastAsia"/>
          <w:color w:val="0000FF"/>
          <w:sz w:val="28"/>
          <w:szCs w:val="28"/>
        </w:rPr>
        <w:t>實施。</w:t>
      </w:r>
    </w:p>
    <w:p w:rsidR="00A9695C" w:rsidRPr="00A9695C" w:rsidRDefault="006119A1" w:rsidP="00A9695C">
      <w:pPr>
        <w:pStyle w:val="a4"/>
        <w:spacing w:beforeLines="25" w:before="90" w:afterLines="25" w:after="90" w:line="500" w:lineRule="exact"/>
        <w:ind w:left="336" w:hangingChars="120" w:hanging="336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2.</w:t>
      </w:r>
      <w:r w:rsidR="00A9695C" w:rsidRPr="00A9695C">
        <w:rPr>
          <w:rFonts w:hint="eastAsia"/>
          <w:b w:val="0"/>
          <w:sz w:val="28"/>
          <w:szCs w:val="28"/>
        </w:rPr>
        <w:t>「</w:t>
      </w:r>
      <w:r w:rsidR="00A9695C" w:rsidRPr="00A9695C">
        <w:rPr>
          <w:rFonts w:hint="eastAsia"/>
          <w:color w:val="0000FF"/>
          <w:sz w:val="28"/>
          <w:szCs w:val="28"/>
        </w:rPr>
        <w:t>中小企業發展條例第</w:t>
      </w:r>
      <w:r w:rsidR="00A9695C" w:rsidRPr="00A9695C">
        <w:rPr>
          <w:rFonts w:hint="eastAsia"/>
          <w:color w:val="0000FF"/>
          <w:sz w:val="28"/>
          <w:szCs w:val="28"/>
        </w:rPr>
        <w:t>36</w:t>
      </w:r>
      <w:r w:rsidR="00A9695C">
        <w:rPr>
          <w:rFonts w:hint="eastAsia"/>
          <w:color w:val="0000FF"/>
          <w:sz w:val="28"/>
          <w:szCs w:val="28"/>
        </w:rPr>
        <w:t>-2</w:t>
      </w:r>
      <w:r w:rsidR="00A9695C" w:rsidRPr="00A9695C">
        <w:rPr>
          <w:rFonts w:hint="eastAsia"/>
          <w:color w:val="0000FF"/>
          <w:sz w:val="28"/>
          <w:szCs w:val="28"/>
        </w:rPr>
        <w:t>條</w:t>
      </w:r>
      <w:r w:rsidR="00A9695C" w:rsidRPr="00A9695C">
        <w:rPr>
          <w:rFonts w:hint="eastAsia"/>
          <w:b w:val="0"/>
          <w:sz w:val="28"/>
          <w:szCs w:val="28"/>
        </w:rPr>
        <w:t>」</w:t>
      </w:r>
      <w:r w:rsidR="00A9695C" w:rsidRPr="00A9695C">
        <w:rPr>
          <w:rFonts w:hint="eastAsia"/>
          <w:b w:val="0"/>
          <w:sz w:val="28"/>
          <w:szCs w:val="28"/>
        </w:rPr>
        <w:t>(</w:t>
      </w:r>
      <w:r w:rsidR="00A9695C" w:rsidRPr="00A9695C">
        <w:rPr>
          <w:b w:val="0"/>
          <w:sz w:val="28"/>
          <w:szCs w:val="28"/>
        </w:rPr>
        <w:t>新投資創立或增資擴展之中小企業達一定投資額，增</w:t>
      </w:r>
      <w:proofErr w:type="gramStart"/>
      <w:r w:rsidR="00A9695C" w:rsidRPr="00A9695C">
        <w:rPr>
          <w:b w:val="0"/>
          <w:sz w:val="28"/>
          <w:szCs w:val="28"/>
        </w:rPr>
        <w:t>僱</w:t>
      </w:r>
      <w:proofErr w:type="gramEnd"/>
      <w:r w:rsidR="00A9695C" w:rsidRPr="00A9695C">
        <w:rPr>
          <w:b w:val="0"/>
          <w:sz w:val="28"/>
          <w:szCs w:val="28"/>
        </w:rPr>
        <w:t>一定人數之員工且提高該企業整體薪資給付總額時，得就其每年</w:t>
      </w:r>
      <w:r w:rsidR="00A9695C" w:rsidRPr="00A9695C">
        <w:rPr>
          <w:color w:val="0000FF"/>
          <w:sz w:val="28"/>
          <w:szCs w:val="28"/>
        </w:rPr>
        <w:t>增</w:t>
      </w:r>
      <w:proofErr w:type="gramStart"/>
      <w:r w:rsidR="00A9695C" w:rsidRPr="00A9695C">
        <w:rPr>
          <w:color w:val="0000FF"/>
          <w:sz w:val="28"/>
          <w:szCs w:val="28"/>
        </w:rPr>
        <w:t>僱</w:t>
      </w:r>
      <w:proofErr w:type="gramEnd"/>
      <w:r w:rsidR="00A9695C" w:rsidRPr="00A9695C">
        <w:rPr>
          <w:color w:val="0000FF"/>
          <w:sz w:val="28"/>
          <w:szCs w:val="28"/>
        </w:rPr>
        <w:t>本國籍員工</w:t>
      </w:r>
      <w:r w:rsidR="00A9695C" w:rsidRPr="00A9695C">
        <w:rPr>
          <w:b w:val="0"/>
          <w:sz w:val="28"/>
          <w:szCs w:val="28"/>
        </w:rPr>
        <w:t>所支付薪資</w:t>
      </w:r>
      <w:r w:rsidR="00A9695C">
        <w:rPr>
          <w:b w:val="0"/>
          <w:sz w:val="28"/>
          <w:szCs w:val="28"/>
        </w:rPr>
        <w:t>金額之</w:t>
      </w:r>
      <w:r w:rsidR="00A9695C">
        <w:rPr>
          <w:rFonts w:hint="eastAsia"/>
          <w:color w:val="0000FF"/>
          <w:sz w:val="28"/>
          <w:szCs w:val="28"/>
        </w:rPr>
        <w:t>130%</w:t>
      </w:r>
      <w:r w:rsidR="00A9695C">
        <w:rPr>
          <w:b w:val="0"/>
          <w:sz w:val="28"/>
          <w:szCs w:val="28"/>
        </w:rPr>
        <w:t>限度內，自其增</w:t>
      </w:r>
      <w:proofErr w:type="gramStart"/>
      <w:r w:rsidR="00A9695C">
        <w:rPr>
          <w:b w:val="0"/>
          <w:sz w:val="28"/>
          <w:szCs w:val="28"/>
        </w:rPr>
        <w:t>僱</w:t>
      </w:r>
      <w:proofErr w:type="gramEnd"/>
      <w:r w:rsidR="00A9695C">
        <w:rPr>
          <w:b w:val="0"/>
          <w:sz w:val="28"/>
          <w:szCs w:val="28"/>
        </w:rPr>
        <w:t>當年度</w:t>
      </w:r>
      <w:r w:rsidR="00A9695C" w:rsidRPr="00A9695C">
        <w:rPr>
          <w:color w:val="0000FF"/>
          <w:sz w:val="28"/>
          <w:szCs w:val="28"/>
        </w:rPr>
        <w:t>營利事業所得額</w:t>
      </w:r>
      <w:r w:rsidR="00A9695C">
        <w:rPr>
          <w:b w:val="0"/>
          <w:sz w:val="28"/>
          <w:szCs w:val="28"/>
        </w:rPr>
        <w:t>中</w:t>
      </w:r>
      <w:r w:rsidR="00A9695C" w:rsidRPr="00A9695C">
        <w:rPr>
          <w:color w:val="0000FF"/>
          <w:sz w:val="28"/>
          <w:szCs w:val="28"/>
        </w:rPr>
        <w:t>減除</w:t>
      </w:r>
      <w:r w:rsidR="00A9695C" w:rsidRPr="00A9695C">
        <w:rPr>
          <w:rFonts w:hint="eastAsia"/>
          <w:b w:val="0"/>
          <w:sz w:val="28"/>
          <w:szCs w:val="28"/>
        </w:rPr>
        <w:t>)</w:t>
      </w:r>
      <w:r w:rsidR="00902E31">
        <w:rPr>
          <w:rFonts w:hint="eastAsia"/>
          <w:color w:val="0000FF"/>
          <w:sz w:val="28"/>
          <w:szCs w:val="28"/>
        </w:rPr>
        <w:t>於</w:t>
      </w:r>
      <w:r w:rsidR="000C4FFF">
        <w:rPr>
          <w:rFonts w:hint="eastAsia"/>
          <w:color w:val="0000FF"/>
          <w:sz w:val="28"/>
          <w:szCs w:val="28"/>
        </w:rPr>
        <w:t>2015</w:t>
      </w:r>
      <w:r w:rsidR="000C4FFF">
        <w:rPr>
          <w:rFonts w:hint="eastAsia"/>
          <w:color w:val="0000FF"/>
          <w:sz w:val="28"/>
          <w:szCs w:val="28"/>
        </w:rPr>
        <w:t>年</w:t>
      </w:r>
      <w:r w:rsidR="000C4FFF">
        <w:rPr>
          <w:rFonts w:hint="eastAsia"/>
          <w:color w:val="0000FF"/>
          <w:sz w:val="28"/>
          <w:szCs w:val="28"/>
        </w:rPr>
        <w:t>12</w:t>
      </w:r>
      <w:r w:rsidR="000C4FFF">
        <w:rPr>
          <w:rFonts w:hint="eastAsia"/>
          <w:color w:val="0000FF"/>
          <w:sz w:val="28"/>
          <w:szCs w:val="28"/>
        </w:rPr>
        <w:t>月</w:t>
      </w:r>
      <w:r w:rsidR="000C4FFF">
        <w:rPr>
          <w:rFonts w:hint="eastAsia"/>
          <w:color w:val="0000FF"/>
          <w:sz w:val="28"/>
          <w:szCs w:val="28"/>
        </w:rPr>
        <w:t>18</w:t>
      </w:r>
      <w:r w:rsidR="000C4FFF">
        <w:rPr>
          <w:rFonts w:hint="eastAsia"/>
          <w:color w:val="0000FF"/>
          <w:sz w:val="28"/>
          <w:szCs w:val="28"/>
        </w:rPr>
        <w:t>日修正</w:t>
      </w:r>
      <w:r w:rsidR="00583577">
        <w:rPr>
          <w:rFonts w:hint="eastAsia"/>
          <w:color w:val="0000FF"/>
          <w:sz w:val="28"/>
          <w:szCs w:val="28"/>
        </w:rPr>
        <w:t>通過</w:t>
      </w:r>
      <w:r w:rsidR="000C4FFF">
        <w:rPr>
          <w:rFonts w:ascii="新細明體" w:eastAsia="新細明體" w:hAnsi="新細明體" w:hint="eastAsia"/>
          <w:color w:val="0000FF"/>
          <w:sz w:val="28"/>
          <w:szCs w:val="28"/>
        </w:rPr>
        <w:t>，</w:t>
      </w:r>
      <w:r w:rsidR="000C4FFF">
        <w:rPr>
          <w:rFonts w:hint="eastAsia"/>
          <w:color w:val="0000FF"/>
          <w:sz w:val="28"/>
          <w:szCs w:val="28"/>
        </w:rPr>
        <w:t>施行期間為</w:t>
      </w:r>
      <w:r w:rsidR="000C4FFF">
        <w:rPr>
          <w:rFonts w:hint="eastAsia"/>
          <w:color w:val="0000FF"/>
          <w:sz w:val="28"/>
          <w:szCs w:val="28"/>
        </w:rPr>
        <w:t>2014</w:t>
      </w:r>
      <w:r w:rsidR="000C4FFF">
        <w:rPr>
          <w:rFonts w:hint="eastAsia"/>
          <w:color w:val="0000FF"/>
          <w:sz w:val="28"/>
          <w:szCs w:val="28"/>
        </w:rPr>
        <w:t>年</w:t>
      </w:r>
      <w:r w:rsidR="000C4FFF">
        <w:rPr>
          <w:rFonts w:hint="eastAsia"/>
          <w:color w:val="0000FF"/>
          <w:sz w:val="28"/>
          <w:szCs w:val="28"/>
        </w:rPr>
        <w:t>5</w:t>
      </w:r>
      <w:r w:rsidR="000C4FFF">
        <w:rPr>
          <w:rFonts w:hint="eastAsia"/>
          <w:color w:val="0000FF"/>
          <w:sz w:val="28"/>
          <w:szCs w:val="28"/>
        </w:rPr>
        <w:t>月</w:t>
      </w:r>
      <w:r w:rsidR="000C4FFF">
        <w:rPr>
          <w:rFonts w:hint="eastAsia"/>
          <w:color w:val="0000FF"/>
          <w:sz w:val="28"/>
          <w:szCs w:val="28"/>
        </w:rPr>
        <w:t>20</w:t>
      </w:r>
      <w:r w:rsidR="000C4FFF">
        <w:rPr>
          <w:rFonts w:hint="eastAsia"/>
          <w:color w:val="0000FF"/>
          <w:sz w:val="28"/>
          <w:szCs w:val="28"/>
        </w:rPr>
        <w:t>日起</w:t>
      </w:r>
      <w:r w:rsidR="000C4FFF">
        <w:rPr>
          <w:rFonts w:hint="eastAsia"/>
          <w:color w:val="0000FF"/>
          <w:sz w:val="28"/>
          <w:szCs w:val="28"/>
        </w:rPr>
        <w:t>10</w:t>
      </w:r>
      <w:r w:rsidR="000C4FFF">
        <w:rPr>
          <w:rFonts w:hint="eastAsia"/>
          <w:color w:val="0000FF"/>
          <w:sz w:val="28"/>
          <w:szCs w:val="28"/>
        </w:rPr>
        <w:t>年</w:t>
      </w:r>
      <w:r w:rsidR="00A9695C" w:rsidRPr="00A9695C">
        <w:rPr>
          <w:rFonts w:hint="eastAsia"/>
          <w:b w:val="0"/>
          <w:sz w:val="28"/>
          <w:szCs w:val="28"/>
        </w:rPr>
        <w:t>。</w:t>
      </w:r>
    </w:p>
    <w:p w:rsidR="007F01D2" w:rsidRDefault="006119A1" w:rsidP="0006328D">
      <w:pPr>
        <w:pStyle w:val="a4"/>
        <w:spacing w:beforeLines="25" w:before="90" w:afterLines="25" w:after="90" w:line="500" w:lineRule="exact"/>
        <w:ind w:left="336" w:hangingChars="120" w:hanging="336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3</w:t>
      </w:r>
      <w:r w:rsidR="0006328D">
        <w:rPr>
          <w:rFonts w:hint="eastAsia"/>
          <w:b w:val="0"/>
          <w:sz w:val="28"/>
          <w:szCs w:val="28"/>
        </w:rPr>
        <w:t>.</w:t>
      </w:r>
      <w:r w:rsidR="006A6106" w:rsidRPr="00FB5F17">
        <w:rPr>
          <w:rFonts w:hint="eastAsia"/>
          <w:b w:val="0"/>
          <w:sz w:val="22"/>
          <w:szCs w:val="28"/>
        </w:rPr>
        <w:t xml:space="preserve"> </w:t>
      </w:r>
      <w:r w:rsidR="007F01D2" w:rsidRPr="00FB5F17">
        <w:rPr>
          <w:rFonts w:hint="eastAsia"/>
          <w:b w:val="0"/>
          <w:sz w:val="22"/>
          <w:szCs w:val="28"/>
        </w:rPr>
        <w:t xml:space="preserve"> </w:t>
      </w:r>
      <w:r w:rsidR="007F01D2" w:rsidRPr="0006328D">
        <w:rPr>
          <w:rFonts w:hint="eastAsia"/>
          <w:color w:val="0000FF"/>
          <w:sz w:val="28"/>
          <w:szCs w:val="28"/>
        </w:rPr>
        <w:t>2011</w:t>
      </w:r>
      <w:r w:rsidR="007F01D2">
        <w:rPr>
          <w:rFonts w:hint="eastAsia"/>
          <w:b w:val="0"/>
          <w:sz w:val="28"/>
          <w:szCs w:val="28"/>
        </w:rPr>
        <w:t>年至</w:t>
      </w:r>
      <w:r w:rsidR="007F01D2" w:rsidRPr="0006328D">
        <w:rPr>
          <w:rFonts w:hint="eastAsia"/>
          <w:color w:val="0000FF"/>
          <w:sz w:val="28"/>
          <w:szCs w:val="28"/>
        </w:rPr>
        <w:t>201</w:t>
      </w:r>
      <w:r w:rsidR="00DE3FA8">
        <w:rPr>
          <w:rFonts w:hint="eastAsia"/>
          <w:color w:val="0000FF"/>
          <w:sz w:val="28"/>
          <w:szCs w:val="28"/>
        </w:rPr>
        <w:t>5</w:t>
      </w:r>
      <w:r w:rsidR="007F01D2">
        <w:rPr>
          <w:rFonts w:hint="eastAsia"/>
          <w:b w:val="0"/>
          <w:sz w:val="28"/>
          <w:szCs w:val="28"/>
        </w:rPr>
        <w:t>年</w:t>
      </w:r>
      <w:r w:rsidR="007F01D2">
        <w:rPr>
          <w:rFonts w:ascii="新細明體" w:eastAsia="新細明體" w:hAnsi="新細明體" w:hint="eastAsia"/>
          <w:b w:val="0"/>
          <w:sz w:val="28"/>
          <w:szCs w:val="28"/>
        </w:rPr>
        <w:t>，</w:t>
      </w:r>
      <w:r w:rsidR="007F01D2" w:rsidRPr="0006328D">
        <w:rPr>
          <w:rFonts w:hint="eastAsia"/>
          <w:color w:val="0000FF"/>
          <w:sz w:val="28"/>
          <w:szCs w:val="28"/>
        </w:rPr>
        <w:t>連續</w:t>
      </w:r>
      <w:r w:rsidR="007F01D2" w:rsidRPr="0006328D">
        <w:rPr>
          <w:rFonts w:hint="eastAsia"/>
          <w:color w:val="0000FF"/>
          <w:sz w:val="28"/>
          <w:szCs w:val="28"/>
        </w:rPr>
        <w:t>5</w:t>
      </w:r>
      <w:r w:rsidR="007F01D2" w:rsidRPr="0006328D">
        <w:rPr>
          <w:rFonts w:hint="eastAsia"/>
          <w:color w:val="0000FF"/>
          <w:sz w:val="28"/>
          <w:szCs w:val="28"/>
        </w:rPr>
        <w:t>年調</w:t>
      </w:r>
      <w:r w:rsidR="0006328D" w:rsidRPr="0006328D">
        <w:rPr>
          <w:rFonts w:hint="eastAsia"/>
          <w:color w:val="0000FF"/>
          <w:sz w:val="28"/>
          <w:szCs w:val="28"/>
        </w:rPr>
        <w:t>高</w:t>
      </w:r>
      <w:r w:rsidR="007F01D2" w:rsidRPr="0006328D">
        <w:rPr>
          <w:rFonts w:hint="eastAsia"/>
          <w:color w:val="0000FF"/>
          <w:sz w:val="28"/>
          <w:szCs w:val="28"/>
        </w:rPr>
        <w:t>基本工資</w:t>
      </w:r>
      <w:r w:rsidR="00DE3FA8">
        <w:rPr>
          <w:rFonts w:ascii="新細明體" w:eastAsia="新細明體" w:hAnsi="新細明體" w:hint="eastAsia"/>
          <w:color w:val="0000FF"/>
          <w:sz w:val="28"/>
          <w:szCs w:val="28"/>
        </w:rPr>
        <w:t>，</w:t>
      </w:r>
      <w:r w:rsidR="00DE3FA8">
        <w:rPr>
          <w:rFonts w:hint="eastAsia"/>
          <w:color w:val="0000FF"/>
          <w:sz w:val="28"/>
          <w:szCs w:val="28"/>
        </w:rPr>
        <w:t>累計調幅達</w:t>
      </w:r>
      <w:r w:rsidR="00DE3FA8">
        <w:rPr>
          <w:rFonts w:hint="eastAsia"/>
          <w:color w:val="0000FF"/>
          <w:sz w:val="28"/>
          <w:szCs w:val="28"/>
        </w:rPr>
        <w:t>15.79%</w:t>
      </w:r>
      <w:r w:rsidR="0006328D" w:rsidRPr="0006328D">
        <w:rPr>
          <w:rFonts w:hint="eastAsia"/>
          <w:b w:val="0"/>
          <w:sz w:val="28"/>
          <w:szCs w:val="28"/>
        </w:rPr>
        <w:t>。</w:t>
      </w:r>
    </w:p>
    <w:p w:rsidR="00A9695C" w:rsidRPr="00A9695C" w:rsidRDefault="00A9695C">
      <w:pPr>
        <w:pStyle w:val="a4"/>
        <w:spacing w:beforeLines="25" w:before="90" w:afterLines="25" w:after="90" w:line="500" w:lineRule="exact"/>
        <w:ind w:left="336" w:hangingChars="120" w:hanging="336"/>
        <w:rPr>
          <w:b w:val="0"/>
          <w:sz w:val="28"/>
          <w:szCs w:val="28"/>
        </w:rPr>
      </w:pPr>
    </w:p>
    <w:sectPr w:rsidR="00A9695C" w:rsidRPr="00A9695C" w:rsidSect="00AD1CB2">
      <w:footerReference w:type="default" r:id="rId11"/>
      <w:pgSz w:w="16838" w:h="11906" w:orient="landscape" w:code="9"/>
      <w:pgMar w:top="851" w:right="1247" w:bottom="851" w:left="124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7F" w:rsidRDefault="00FD1B7F" w:rsidP="003E6B83">
      <w:r>
        <w:separator/>
      </w:r>
    </w:p>
  </w:endnote>
  <w:endnote w:type="continuationSeparator" w:id="0">
    <w:p w:rsidR="00FD1B7F" w:rsidRDefault="00FD1B7F" w:rsidP="003E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903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D1CB2" w:rsidRPr="00AD1CB2" w:rsidRDefault="00AD1CB2">
        <w:pPr>
          <w:pStyle w:val="ac"/>
          <w:jc w:val="center"/>
          <w:rPr>
            <w:rFonts w:ascii="Times New Roman" w:hAnsi="Times New Roman" w:cs="Times New Roman"/>
          </w:rPr>
        </w:pPr>
        <w:r w:rsidRPr="00AD1CB2">
          <w:rPr>
            <w:rFonts w:ascii="Times New Roman" w:hAnsi="Times New Roman" w:cs="Times New Roman"/>
          </w:rPr>
          <w:fldChar w:fldCharType="begin"/>
        </w:r>
        <w:r w:rsidRPr="00AD1CB2">
          <w:rPr>
            <w:rFonts w:ascii="Times New Roman" w:hAnsi="Times New Roman" w:cs="Times New Roman"/>
          </w:rPr>
          <w:instrText>PAGE   \* MERGEFORMAT</w:instrText>
        </w:r>
        <w:r w:rsidRPr="00AD1CB2">
          <w:rPr>
            <w:rFonts w:ascii="Times New Roman" w:hAnsi="Times New Roman" w:cs="Times New Roman"/>
          </w:rPr>
          <w:fldChar w:fldCharType="separate"/>
        </w:r>
        <w:r w:rsidR="00325783" w:rsidRPr="00325783">
          <w:rPr>
            <w:rFonts w:ascii="Times New Roman" w:hAnsi="Times New Roman" w:cs="Times New Roman"/>
            <w:noProof/>
            <w:lang w:val="zh-TW"/>
          </w:rPr>
          <w:t>1</w:t>
        </w:r>
        <w:r w:rsidRPr="00AD1CB2">
          <w:rPr>
            <w:rFonts w:ascii="Times New Roman" w:hAnsi="Times New Roman" w:cs="Times New Roman"/>
          </w:rPr>
          <w:fldChar w:fldCharType="end"/>
        </w:r>
      </w:p>
    </w:sdtContent>
  </w:sdt>
  <w:p w:rsidR="00AD1CB2" w:rsidRDefault="00AD1C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7F" w:rsidRDefault="00FD1B7F" w:rsidP="003E6B83">
      <w:r>
        <w:separator/>
      </w:r>
    </w:p>
  </w:footnote>
  <w:footnote w:type="continuationSeparator" w:id="0">
    <w:p w:rsidR="00FD1B7F" w:rsidRDefault="00FD1B7F" w:rsidP="003E6B83">
      <w:r>
        <w:continuationSeparator/>
      </w:r>
    </w:p>
  </w:footnote>
  <w:footnote w:id="1">
    <w:p w:rsidR="00B6741D" w:rsidRPr="008215EA" w:rsidRDefault="00B6741D" w:rsidP="00B6741D">
      <w:pPr>
        <w:pStyle w:val="a5"/>
        <w:spacing w:before="60"/>
        <w:ind w:left="120" w:hanging="120"/>
      </w:pPr>
      <w:r w:rsidRPr="008215EA">
        <w:rPr>
          <w:rStyle w:val="a7"/>
        </w:rPr>
        <w:footnoteRef/>
      </w:r>
      <w:r w:rsidRPr="008215EA">
        <w:t xml:space="preserve"> </w:t>
      </w:r>
      <w:r>
        <w:t>Bank of Canad</w:t>
      </w:r>
      <w:r>
        <w:rPr>
          <w:rFonts w:hint="eastAsia"/>
        </w:rPr>
        <w:t>a</w:t>
      </w:r>
      <w:r>
        <w:t xml:space="preserve"> (2012), “Backgrounders: Monetary Policy,</w:t>
      </w:r>
      <w:proofErr w:type="gramStart"/>
      <w:r>
        <w:t>”</w:t>
      </w:r>
      <w:proofErr w:type="gramEnd"/>
      <w:r>
        <w:t xml:space="preserve"> Bank of Canad</w:t>
      </w:r>
      <w:r>
        <w:rPr>
          <w:rFonts w:hint="eastAsia"/>
        </w:rPr>
        <w:t>a</w:t>
      </w:r>
      <w:r>
        <w:t>, Apr.</w:t>
      </w:r>
      <w:r w:rsidR="005B276B">
        <w:rPr>
          <w:rFonts w:ascii="標楷體" w:eastAsia="標楷體" w:hAnsi="標楷體" w:hint="eastAsia"/>
        </w:rPr>
        <w:t>。</w:t>
      </w:r>
    </w:p>
  </w:footnote>
  <w:footnote w:id="2">
    <w:p w:rsidR="00B6741D" w:rsidRPr="008215EA" w:rsidRDefault="00B6741D" w:rsidP="00B6741D">
      <w:pPr>
        <w:pStyle w:val="a5"/>
        <w:spacing w:before="60"/>
        <w:ind w:left="120" w:hanging="120"/>
      </w:pPr>
      <w:r w:rsidRPr="008215EA">
        <w:rPr>
          <w:rStyle w:val="a7"/>
        </w:rPr>
        <w:footnoteRef/>
      </w:r>
      <w:r w:rsidRPr="008215EA">
        <w:t xml:space="preserve"> </w:t>
      </w:r>
      <w:proofErr w:type="spellStart"/>
      <w:r>
        <w:rPr>
          <w:rFonts w:hint="eastAsia"/>
        </w:rPr>
        <w:t>Mishkin</w:t>
      </w:r>
      <w:proofErr w:type="spellEnd"/>
      <w:r w:rsidRPr="008215EA">
        <w:t xml:space="preserve">, </w:t>
      </w:r>
      <w:proofErr w:type="gramStart"/>
      <w:r>
        <w:rPr>
          <w:rFonts w:hint="eastAsia"/>
        </w:rPr>
        <w:t>Frederic</w:t>
      </w:r>
      <w:r w:rsidRPr="008215EA">
        <w:t>(</w:t>
      </w:r>
      <w:proofErr w:type="gramEnd"/>
      <w:r w:rsidRPr="008215EA">
        <w:t>20</w:t>
      </w:r>
      <w:r>
        <w:rPr>
          <w:rFonts w:hint="eastAsia"/>
        </w:rPr>
        <w:t>07</w:t>
      </w:r>
      <w:r>
        <w:t>),</w:t>
      </w:r>
      <w:r w:rsidRPr="00D97C22">
        <w:rPr>
          <w:rFonts w:hint="eastAsia"/>
        </w:rPr>
        <w:t xml:space="preserve"> </w:t>
      </w:r>
      <w:r w:rsidRPr="00D97C22">
        <w:rPr>
          <w:rFonts w:hint="eastAsia"/>
          <w:i/>
        </w:rPr>
        <w:t>Monetary Policy Strategy</w:t>
      </w:r>
      <w:r>
        <w:rPr>
          <w:rFonts w:hint="eastAsia"/>
          <w:i/>
        </w:rPr>
        <w:t>,</w:t>
      </w:r>
      <w:r w:rsidRPr="008215EA">
        <w:rPr>
          <w:rFonts w:hint="eastAsia"/>
          <w:i/>
        </w:rPr>
        <w:t xml:space="preserve"> </w:t>
      </w:r>
      <w:r w:rsidRPr="00D97C22">
        <w:rPr>
          <w:rFonts w:hint="eastAsia"/>
        </w:rPr>
        <w:t>MIT Press</w:t>
      </w:r>
      <w:r>
        <w:t>,</w:t>
      </w:r>
      <w:r w:rsidRPr="006136F2">
        <w:rPr>
          <w:rFonts w:hint="eastAsia"/>
        </w:rPr>
        <w:t xml:space="preserve"> pp. 490</w:t>
      </w:r>
      <w:r>
        <w:rPr>
          <w:rFonts w:hint="eastAsia"/>
        </w:rPr>
        <w:t>.</w:t>
      </w:r>
      <w:r w:rsidR="005B276B">
        <w:rPr>
          <w:rFonts w:ascii="標楷體" w:eastAsia="標楷體" w:hAnsi="標楷體" w:hint="eastAsia"/>
        </w:rPr>
        <w:t>。</w:t>
      </w:r>
    </w:p>
  </w:footnote>
  <w:footnote w:id="3">
    <w:p w:rsidR="003E6B83" w:rsidRDefault="003E6B83" w:rsidP="006759C1">
      <w:pPr>
        <w:pStyle w:val="a5"/>
        <w:spacing w:line="260" w:lineRule="exact"/>
        <w:ind w:left="160" w:hangingChars="80" w:hanging="160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5F4BA3">
        <w:rPr>
          <w:rFonts w:eastAsia="標楷體"/>
        </w:rPr>
        <w:t>Botman</w:t>
      </w:r>
      <w:proofErr w:type="spellEnd"/>
      <w:r w:rsidRPr="005F4BA3">
        <w:rPr>
          <w:rFonts w:eastAsia="標楷體"/>
        </w:rPr>
        <w:t xml:space="preserve">, Dennis and Zoltan </w:t>
      </w:r>
      <w:proofErr w:type="spellStart"/>
      <w:r w:rsidRPr="005F4BA3">
        <w:rPr>
          <w:rFonts w:eastAsia="標楷體"/>
        </w:rPr>
        <w:t>Jakab</w:t>
      </w:r>
      <w:proofErr w:type="spellEnd"/>
      <w:r w:rsidRPr="005F4BA3">
        <w:rPr>
          <w:rFonts w:eastAsia="標楷體"/>
        </w:rPr>
        <w:t xml:space="preserve"> (2014), “</w:t>
      </w:r>
      <w:proofErr w:type="spellStart"/>
      <w:r w:rsidRPr="005F4BA3">
        <w:rPr>
          <w:rFonts w:eastAsia="標楷體"/>
        </w:rPr>
        <w:t>Abenomics</w:t>
      </w:r>
      <w:proofErr w:type="spellEnd"/>
      <w:r>
        <w:rPr>
          <w:rFonts w:eastAsia="標楷體" w:hint="eastAsia"/>
        </w:rPr>
        <w:t>-</w:t>
      </w:r>
      <w:r w:rsidRPr="005F4BA3">
        <w:rPr>
          <w:rFonts w:eastAsia="標楷體"/>
        </w:rPr>
        <w:t xml:space="preserve">Time for a Push from Higher Wages,” </w:t>
      </w:r>
      <w:proofErr w:type="spellStart"/>
      <w:r w:rsidRPr="005F4BA3">
        <w:rPr>
          <w:rFonts w:eastAsia="標楷體"/>
          <w:i/>
        </w:rPr>
        <w:t>iMFdirect</w:t>
      </w:r>
      <w:proofErr w:type="spellEnd"/>
      <w:r w:rsidRPr="005F4BA3">
        <w:rPr>
          <w:rFonts w:eastAsia="標楷體"/>
        </w:rPr>
        <w:t>, Mar. 20</w:t>
      </w:r>
      <w:r>
        <w:rPr>
          <w:rFonts w:eastAsia="標楷體" w:hint="eastAsia"/>
        </w:rPr>
        <w:t xml:space="preserve">; </w:t>
      </w:r>
      <w:proofErr w:type="spellStart"/>
      <w:r w:rsidRPr="00EC4AC0">
        <w:t>Lavorie</w:t>
      </w:r>
      <w:proofErr w:type="spellEnd"/>
      <w:r w:rsidRPr="00EC4AC0">
        <w:t xml:space="preserve">, Marc and </w:t>
      </w:r>
      <w:proofErr w:type="spellStart"/>
      <w:r w:rsidRPr="00EC4AC0">
        <w:t>Engelbert</w:t>
      </w:r>
      <w:proofErr w:type="spellEnd"/>
      <w:r w:rsidRPr="00EC4AC0">
        <w:t xml:space="preserve"> </w:t>
      </w:r>
      <w:proofErr w:type="spellStart"/>
      <w:r w:rsidRPr="00EC4AC0">
        <w:t>Stockhammer</w:t>
      </w:r>
      <w:proofErr w:type="spellEnd"/>
      <w:r w:rsidRPr="00EC4AC0">
        <w:t xml:space="preserve"> (2013), </w:t>
      </w:r>
      <w:r w:rsidRPr="00E71C95">
        <w:rPr>
          <w:i/>
        </w:rPr>
        <w:t>Wage-Led Growth: An Equitable Strategy for Economic</w:t>
      </w:r>
      <w:r>
        <w:rPr>
          <w:rFonts w:hint="eastAsia"/>
          <w:i/>
        </w:rPr>
        <w:t xml:space="preserve"> Recovery</w:t>
      </w:r>
      <w:r w:rsidRPr="005F4BA3">
        <w:rPr>
          <w:rFonts w:eastAsia="標楷體"/>
        </w:rPr>
        <w:t>,</w:t>
      </w:r>
      <w:r w:rsidRPr="00EC4AC0">
        <w:t xml:space="preserve"> International Labor Office (ILO), Nov.</w:t>
      </w:r>
      <w:r>
        <w:rPr>
          <w:rFonts w:hint="eastAsia"/>
        </w:rPr>
        <w:t>;</w:t>
      </w:r>
      <w:r w:rsidRPr="00761619">
        <w:t xml:space="preserve"> </w:t>
      </w:r>
      <w:r w:rsidRPr="00B114AA">
        <w:t xml:space="preserve">UNCTAD (2014), </w:t>
      </w:r>
      <w:r>
        <w:t>“</w:t>
      </w:r>
      <w:r w:rsidRPr="006E39A7">
        <w:t xml:space="preserve">Trade and Development Report, 2014: Global </w:t>
      </w:r>
      <w:r>
        <w:rPr>
          <w:rFonts w:hint="eastAsia"/>
        </w:rPr>
        <w:t>G</w:t>
      </w:r>
      <w:r w:rsidRPr="006E39A7">
        <w:t xml:space="preserve">overnance and </w:t>
      </w:r>
      <w:r>
        <w:rPr>
          <w:rFonts w:hint="eastAsia"/>
        </w:rPr>
        <w:t>P</w:t>
      </w:r>
      <w:r w:rsidRPr="006E39A7">
        <w:t xml:space="preserve">olicy </w:t>
      </w:r>
      <w:r>
        <w:rPr>
          <w:rFonts w:hint="eastAsia"/>
        </w:rPr>
        <w:t>S</w:t>
      </w:r>
      <w:r w:rsidRPr="006E39A7">
        <w:t xml:space="preserve">pace for </w:t>
      </w:r>
      <w:r>
        <w:rPr>
          <w:rFonts w:hint="eastAsia"/>
        </w:rPr>
        <w:t>D</w:t>
      </w:r>
      <w:r w:rsidRPr="006E39A7">
        <w:t>evelopment</w:t>
      </w:r>
      <w:r w:rsidRPr="00B114AA">
        <w:t>,</w:t>
      </w:r>
      <w:r>
        <w:t>”</w:t>
      </w:r>
      <w:r w:rsidRPr="00B114AA">
        <w:t xml:space="preserve"> UNCTAD, September 10</w:t>
      </w:r>
      <w:r>
        <w:rPr>
          <w:rFonts w:ascii="新細明體" w:hAnsi="新細明體" w:hint="eastAsia"/>
        </w:rPr>
        <w:t>。</w:t>
      </w:r>
    </w:p>
  </w:footnote>
  <w:footnote w:id="4">
    <w:p w:rsidR="003E6B83" w:rsidRPr="008712AB" w:rsidRDefault="003E6B83" w:rsidP="006759C1">
      <w:pPr>
        <w:pStyle w:val="a5"/>
        <w:spacing w:line="260" w:lineRule="exact"/>
        <w:ind w:left="160" w:hangingChars="80" w:hanging="160"/>
        <w:jc w:val="both"/>
        <w:rPr>
          <w:rFonts w:eastAsia="標楷體"/>
        </w:rPr>
      </w:pPr>
      <w:r w:rsidRPr="008712AB">
        <w:rPr>
          <w:rStyle w:val="a7"/>
          <w:rFonts w:eastAsia="標楷體"/>
        </w:rPr>
        <w:footnoteRef/>
      </w:r>
      <w:r w:rsidRPr="008712AB">
        <w:rPr>
          <w:rFonts w:eastAsia="標楷體"/>
        </w:rPr>
        <w:t xml:space="preserve"> Stiglitz</w:t>
      </w:r>
      <w:r w:rsidRPr="008712AB">
        <w:rPr>
          <w:rFonts w:eastAsia="標楷體"/>
        </w:rPr>
        <w:t>等</w:t>
      </w:r>
      <w:r w:rsidRPr="008712AB">
        <w:rPr>
          <w:rFonts w:eastAsia="標楷體"/>
        </w:rPr>
        <w:t>10</w:t>
      </w:r>
      <w:r w:rsidRPr="008712AB">
        <w:rPr>
          <w:rFonts w:eastAsia="標楷體"/>
        </w:rPr>
        <w:t>位</w:t>
      </w:r>
      <w:r w:rsidRPr="008712AB">
        <w:rPr>
          <w:rFonts w:eastAsia="標楷體" w:hint="eastAsia"/>
        </w:rPr>
        <w:t>知名</w:t>
      </w:r>
      <w:r w:rsidRPr="008712AB">
        <w:rPr>
          <w:rFonts w:eastAsia="標楷體"/>
        </w:rPr>
        <w:t>學者於</w:t>
      </w:r>
      <w:r w:rsidRPr="008712AB">
        <w:rPr>
          <w:rFonts w:eastAsia="標楷體"/>
        </w:rPr>
        <w:t>2012</w:t>
      </w:r>
      <w:r w:rsidRPr="008712AB">
        <w:rPr>
          <w:rFonts w:eastAsia="標楷體"/>
        </w:rPr>
        <w:t>年</w:t>
      </w:r>
      <w:r w:rsidRPr="008712AB">
        <w:rPr>
          <w:rFonts w:eastAsia="標楷體" w:hint="eastAsia"/>
        </w:rPr>
        <w:t>7</w:t>
      </w:r>
      <w:r w:rsidRPr="008712AB">
        <w:rPr>
          <w:rFonts w:eastAsia="標楷體" w:hint="eastAsia"/>
        </w:rPr>
        <w:t>月</w:t>
      </w:r>
      <w:r w:rsidRPr="008712AB">
        <w:rPr>
          <w:rFonts w:eastAsia="標楷體"/>
        </w:rPr>
        <w:t>聯名發表公開信，籲請美國政府調升最低工資；詳</w:t>
      </w:r>
      <w:r w:rsidRPr="008712AB">
        <w:rPr>
          <w:rFonts w:eastAsia="標楷體" w:hint="eastAsia"/>
        </w:rPr>
        <w:t>見</w:t>
      </w:r>
      <w:r w:rsidRPr="008712AB">
        <w:rPr>
          <w:rFonts w:eastAsia="標楷體"/>
        </w:rPr>
        <w:t>Stiglitz</w:t>
      </w:r>
      <w:r>
        <w:rPr>
          <w:rFonts w:eastAsia="標楷體" w:hint="eastAsia"/>
        </w:rPr>
        <w:t xml:space="preserve">, </w:t>
      </w:r>
      <w:r w:rsidRPr="008712AB">
        <w:rPr>
          <w:rFonts w:eastAsia="標楷體"/>
        </w:rPr>
        <w:t>Joseph</w:t>
      </w:r>
      <w:r>
        <w:rPr>
          <w:rFonts w:eastAsia="標楷體" w:hint="eastAsia"/>
        </w:rPr>
        <w:t>,</w:t>
      </w:r>
      <w:r w:rsidRPr="008712AB">
        <w:rPr>
          <w:rFonts w:eastAsia="標楷體"/>
        </w:rPr>
        <w:t xml:space="preserve"> et al. (2012), “Time to Raise the Minimum Wage,” </w:t>
      </w:r>
      <w:r w:rsidRPr="008712AB">
        <w:rPr>
          <w:rFonts w:eastAsia="標楷體"/>
          <w:i/>
        </w:rPr>
        <w:t>EPI</w:t>
      </w:r>
      <w:r w:rsidRPr="008712AB">
        <w:rPr>
          <w:rFonts w:eastAsia="標楷體"/>
        </w:rPr>
        <w:t>, July 23</w:t>
      </w:r>
      <w:r>
        <w:rPr>
          <w:rFonts w:ascii="標楷體" w:eastAsia="標楷體" w:hAnsi="標楷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54E"/>
    <w:multiLevelType w:val="hybridMultilevel"/>
    <w:tmpl w:val="103C3C7C"/>
    <w:lvl w:ilvl="0" w:tplc="B240E9F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6727BBF"/>
    <w:multiLevelType w:val="hybridMultilevel"/>
    <w:tmpl w:val="B2BEC986"/>
    <w:lvl w:ilvl="0" w:tplc="7D6E8BC6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B0C5C46"/>
    <w:multiLevelType w:val="hybridMultilevel"/>
    <w:tmpl w:val="7826DD5A"/>
    <w:lvl w:ilvl="0" w:tplc="4F8E5E9C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">
    <w:nsid w:val="59932835"/>
    <w:multiLevelType w:val="hybridMultilevel"/>
    <w:tmpl w:val="3C9210B4"/>
    <w:lvl w:ilvl="0" w:tplc="D2F6E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6A47CE"/>
    <w:multiLevelType w:val="hybridMultilevel"/>
    <w:tmpl w:val="0CD840C0"/>
    <w:lvl w:ilvl="0" w:tplc="14B814E4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color w:val="0000FF"/>
        <w:sz w:val="36"/>
        <w:szCs w:val="36"/>
      </w:rPr>
    </w:lvl>
    <w:lvl w:ilvl="1" w:tplc="7854D34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FF"/>
        <w:sz w:val="18"/>
        <w:szCs w:val="36"/>
      </w:rPr>
    </w:lvl>
    <w:lvl w:ilvl="2" w:tplc="68CE2BC6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 w:val="0"/>
        <w:i w:val="0"/>
        <w:color w:val="0000FF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5"/>
    <w:rsid w:val="00005F76"/>
    <w:rsid w:val="00050737"/>
    <w:rsid w:val="00060642"/>
    <w:rsid w:val="0006328D"/>
    <w:rsid w:val="000C4FFF"/>
    <w:rsid w:val="001A534B"/>
    <w:rsid w:val="001B57BF"/>
    <w:rsid w:val="00240DCE"/>
    <w:rsid w:val="002C7EE9"/>
    <w:rsid w:val="00325783"/>
    <w:rsid w:val="003E480B"/>
    <w:rsid w:val="003E6B83"/>
    <w:rsid w:val="00583577"/>
    <w:rsid w:val="00584EDA"/>
    <w:rsid w:val="005B276B"/>
    <w:rsid w:val="005B662B"/>
    <w:rsid w:val="006119A1"/>
    <w:rsid w:val="006759C1"/>
    <w:rsid w:val="006A6106"/>
    <w:rsid w:val="007106B1"/>
    <w:rsid w:val="007F01D2"/>
    <w:rsid w:val="008675E8"/>
    <w:rsid w:val="00890D55"/>
    <w:rsid w:val="00902E31"/>
    <w:rsid w:val="00994D16"/>
    <w:rsid w:val="009968F4"/>
    <w:rsid w:val="00A03715"/>
    <w:rsid w:val="00A9695C"/>
    <w:rsid w:val="00AA2713"/>
    <w:rsid w:val="00AD1CB2"/>
    <w:rsid w:val="00B06F59"/>
    <w:rsid w:val="00B318AB"/>
    <w:rsid w:val="00B6741D"/>
    <w:rsid w:val="00C57FC6"/>
    <w:rsid w:val="00C74329"/>
    <w:rsid w:val="00D463E4"/>
    <w:rsid w:val="00D542DE"/>
    <w:rsid w:val="00D85BAB"/>
    <w:rsid w:val="00DC6951"/>
    <w:rsid w:val="00DE3FA8"/>
    <w:rsid w:val="00E41CEA"/>
    <w:rsid w:val="00E437FF"/>
    <w:rsid w:val="00E66C94"/>
    <w:rsid w:val="00E85A0D"/>
    <w:rsid w:val="00EC2BB9"/>
    <w:rsid w:val="00ED3A4E"/>
    <w:rsid w:val="00F02441"/>
    <w:rsid w:val="00F41244"/>
    <w:rsid w:val="00F86CD7"/>
    <w:rsid w:val="00FB5F17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2DE"/>
    <w:pPr>
      <w:ind w:leftChars="200" w:left="480"/>
    </w:pPr>
  </w:style>
  <w:style w:type="paragraph" w:customStyle="1" w:styleId="a4">
    <w:name w:val="一、"/>
    <w:basedOn w:val="a"/>
    <w:rsid w:val="003E6B83"/>
    <w:pPr>
      <w:adjustRightInd w:val="0"/>
      <w:spacing w:line="800" w:lineRule="exact"/>
      <w:ind w:left="1615" w:hanging="1093"/>
      <w:jc w:val="both"/>
      <w:outlineLvl w:val="0"/>
    </w:pPr>
    <w:rPr>
      <w:rFonts w:ascii="Times New Roman" w:eastAsia="標楷體" w:hAnsi="Times New Roman" w:cs="Times New Roman"/>
      <w:b/>
      <w:kern w:val="52"/>
      <w:sz w:val="52"/>
      <w:szCs w:val="52"/>
    </w:rPr>
  </w:style>
  <w:style w:type="paragraph" w:styleId="a5">
    <w:name w:val="footnote text"/>
    <w:basedOn w:val="a"/>
    <w:link w:val="a6"/>
    <w:uiPriority w:val="99"/>
    <w:rsid w:val="003E6B83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3E6B83"/>
    <w:rPr>
      <w:rFonts w:ascii="Times New Roman" w:eastAsia="新細明體" w:hAnsi="Times New Roman" w:cs="Times New Roman"/>
      <w:sz w:val="20"/>
      <w:szCs w:val="20"/>
    </w:rPr>
  </w:style>
  <w:style w:type="character" w:styleId="a7">
    <w:name w:val="footnote reference"/>
    <w:rsid w:val="003E6B83"/>
    <w:rPr>
      <w:vertAlign w:val="superscript"/>
    </w:rPr>
  </w:style>
  <w:style w:type="table" w:styleId="1-5">
    <w:name w:val="Medium Shading 1 Accent 5"/>
    <w:basedOn w:val="a1"/>
    <w:uiPriority w:val="63"/>
    <w:rsid w:val="003E6B8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84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4E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1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1CB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D1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1CB2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A9695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A9695C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2DE"/>
    <w:pPr>
      <w:ind w:leftChars="200" w:left="480"/>
    </w:pPr>
  </w:style>
  <w:style w:type="paragraph" w:customStyle="1" w:styleId="a4">
    <w:name w:val="一、"/>
    <w:basedOn w:val="a"/>
    <w:rsid w:val="003E6B83"/>
    <w:pPr>
      <w:adjustRightInd w:val="0"/>
      <w:spacing w:line="800" w:lineRule="exact"/>
      <w:ind w:left="1615" w:hanging="1093"/>
      <w:jc w:val="both"/>
      <w:outlineLvl w:val="0"/>
    </w:pPr>
    <w:rPr>
      <w:rFonts w:ascii="Times New Roman" w:eastAsia="標楷體" w:hAnsi="Times New Roman" w:cs="Times New Roman"/>
      <w:b/>
      <w:kern w:val="52"/>
      <w:sz w:val="52"/>
      <w:szCs w:val="52"/>
    </w:rPr>
  </w:style>
  <w:style w:type="paragraph" w:styleId="a5">
    <w:name w:val="footnote text"/>
    <w:basedOn w:val="a"/>
    <w:link w:val="a6"/>
    <w:uiPriority w:val="99"/>
    <w:rsid w:val="003E6B83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3E6B83"/>
    <w:rPr>
      <w:rFonts w:ascii="Times New Roman" w:eastAsia="新細明體" w:hAnsi="Times New Roman" w:cs="Times New Roman"/>
      <w:sz w:val="20"/>
      <w:szCs w:val="20"/>
    </w:rPr>
  </w:style>
  <w:style w:type="character" w:styleId="a7">
    <w:name w:val="footnote reference"/>
    <w:rsid w:val="003E6B83"/>
    <w:rPr>
      <w:vertAlign w:val="superscript"/>
    </w:rPr>
  </w:style>
  <w:style w:type="table" w:styleId="1-5">
    <w:name w:val="Medium Shading 1 Accent 5"/>
    <w:basedOn w:val="a1"/>
    <w:uiPriority w:val="63"/>
    <w:rsid w:val="003E6B8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84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4E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1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1CB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D1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1CB2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A9695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A9695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C9B2-89DA-4901-B80C-BBADB3A6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陳裴紋</dc:creator>
  <cp:lastModifiedBy>林秀貞</cp:lastModifiedBy>
  <cp:revision>2</cp:revision>
  <cp:lastPrinted>2016-03-16T11:15:00Z</cp:lastPrinted>
  <dcterms:created xsi:type="dcterms:W3CDTF">2016-03-16T11:18:00Z</dcterms:created>
  <dcterms:modified xsi:type="dcterms:W3CDTF">2016-03-16T11:18:00Z</dcterms:modified>
</cp:coreProperties>
</file>