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9" w:rsidRPr="00E76CDC" w:rsidRDefault="00C56379" w:rsidP="00F96968">
      <w:pPr>
        <w:pStyle w:val="a5"/>
        <w:spacing w:line="360" w:lineRule="exact"/>
        <w:ind w:firstLineChars="0" w:firstLine="0"/>
        <w:rPr>
          <w:b w:val="0"/>
          <w:bCs/>
          <w:sz w:val="28"/>
        </w:rPr>
      </w:pPr>
      <w:r w:rsidRPr="00E76CDC">
        <w:rPr>
          <w:rFonts w:hint="eastAsia"/>
          <w:b w:val="0"/>
          <w:bCs/>
          <w:sz w:val="28"/>
        </w:rPr>
        <w:t>IMF</w:t>
      </w:r>
      <w:r w:rsidRPr="00E76CDC">
        <w:rPr>
          <w:rFonts w:hint="eastAsia"/>
          <w:b w:val="0"/>
          <w:bCs/>
          <w:sz w:val="28"/>
        </w:rPr>
        <w:t>金融健全指標</w:t>
      </w:r>
      <w:r w:rsidRPr="00E76CDC">
        <w:rPr>
          <w:rFonts w:hint="eastAsia"/>
          <w:b w:val="0"/>
          <w:bCs/>
          <w:sz w:val="28"/>
        </w:rPr>
        <w:t>(FSIs)</w:t>
      </w:r>
      <w:r w:rsidR="00323460">
        <w:rPr>
          <w:rFonts w:hint="eastAsia"/>
          <w:b w:val="0"/>
          <w:bCs/>
          <w:sz w:val="28"/>
        </w:rPr>
        <w:t xml:space="preserve"> 20</w:t>
      </w:r>
      <w:r w:rsidR="00DA71D4">
        <w:rPr>
          <w:rFonts w:hint="eastAsia"/>
          <w:b w:val="0"/>
          <w:bCs/>
          <w:sz w:val="28"/>
        </w:rPr>
        <w:t>19</w:t>
      </w:r>
      <w:r w:rsidR="00323460">
        <w:rPr>
          <w:rFonts w:hint="eastAsia"/>
          <w:b w:val="0"/>
          <w:bCs/>
          <w:sz w:val="28"/>
        </w:rPr>
        <w:t>年版</w:t>
      </w:r>
    </w:p>
    <w:tbl>
      <w:tblPr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6426"/>
      </w:tblGrid>
      <w:tr w:rsidR="00C56379" w:rsidTr="000F08BA">
        <w:trPr>
          <w:jc w:val="right"/>
        </w:trPr>
        <w:tc>
          <w:tcPr>
            <w:tcW w:w="9666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56379" w:rsidRDefault="00C563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 w:hint="eastAsia"/>
                <w:b/>
                <w:bCs/>
              </w:rPr>
              <w:t>核心指標</w:t>
            </w:r>
            <w:r>
              <w:rPr>
                <w:rFonts w:eastAsia="標楷體" w:hint="eastAsia"/>
                <w:b/>
                <w:bCs/>
              </w:rPr>
              <w:t>(Core Set)</w:t>
            </w:r>
          </w:p>
        </w:tc>
      </w:tr>
      <w:tr w:rsidR="00C56379">
        <w:trPr>
          <w:jc w:val="right"/>
        </w:trPr>
        <w:tc>
          <w:tcPr>
            <w:tcW w:w="9666" w:type="dxa"/>
            <w:gridSpan w:val="2"/>
            <w:tcBorders>
              <w:bottom w:val="single" w:sz="4" w:space="0" w:color="auto"/>
            </w:tcBorders>
          </w:tcPr>
          <w:p w:rsidR="00C56379" w:rsidRDefault="00C56379">
            <w:pPr>
              <w:autoSpaceDE w:val="0"/>
              <w:autoSpaceDN w:val="0"/>
              <w:adjustRightInd w:val="0"/>
              <w:spacing w:line="400" w:lineRule="exact"/>
              <w:ind w:leftChars="35" w:left="84"/>
              <w:rPr>
                <w:rFonts w:eastAsia="標楷體"/>
                <w:b/>
                <w:i/>
                <w:color w:val="000000"/>
                <w:kern w:val="0"/>
                <w:szCs w:val="20"/>
              </w:rPr>
            </w:pPr>
            <w:r>
              <w:rPr>
                <w:rFonts w:eastAsia="標楷體" w:hint="eastAsia"/>
                <w:b/>
                <w:i/>
                <w:color w:val="010101"/>
                <w:kern w:val="0"/>
                <w:szCs w:val="21"/>
              </w:rPr>
              <w:t>存款機構</w:t>
            </w:r>
            <w:r>
              <w:rPr>
                <w:rFonts w:eastAsia="標楷體" w:hint="eastAsia"/>
                <w:b/>
                <w:i/>
                <w:color w:val="010101"/>
                <w:kern w:val="0"/>
                <w:szCs w:val="21"/>
              </w:rPr>
              <w:t>(Deposit-takers)</w:t>
            </w:r>
          </w:p>
        </w:tc>
      </w:tr>
      <w:tr w:rsidR="00C56379" w:rsidTr="00330542">
        <w:trPr>
          <w:trHeight w:val="2743"/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bCs/>
                <w:i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Cs/>
                <w:i/>
                <w:color w:val="010101"/>
                <w:kern w:val="0"/>
                <w:szCs w:val="16"/>
              </w:rPr>
              <w:t>資本適足性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bCs/>
                <w:i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Cs/>
                <w:i/>
                <w:color w:val="010101"/>
                <w:kern w:val="0"/>
                <w:szCs w:val="16"/>
              </w:rPr>
              <w:t>(Capital adequacy)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  <w:noWrap/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662278">
              <w:rPr>
                <w:rFonts w:eastAsia="標楷體" w:hint="eastAsia"/>
                <w:color w:val="010101"/>
                <w:kern w:val="0"/>
                <w:szCs w:val="16"/>
              </w:rPr>
              <w:t>自有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資本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風險性資產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(Regulatory capital to risk-weighted assets)</w:t>
            </w:r>
          </w:p>
          <w:p w:rsidR="00C56379" w:rsidRDefault="0083384E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C56379">
              <w:rPr>
                <w:rFonts w:eastAsia="標楷體" w:hint="eastAsia"/>
                <w:color w:val="010101"/>
                <w:kern w:val="0"/>
                <w:szCs w:val="16"/>
              </w:rPr>
              <w:t>第一類資本</w:t>
            </w:r>
            <w:r w:rsidR="00C56379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="00C56379">
              <w:rPr>
                <w:rFonts w:eastAsia="標楷體" w:hint="eastAsia"/>
                <w:color w:val="010101"/>
                <w:kern w:val="0"/>
                <w:szCs w:val="16"/>
              </w:rPr>
              <w:t>風險性資產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 xml:space="preserve">(Tier 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1</w:t>
            </w:r>
            <w:r>
              <w:rPr>
                <w:rFonts w:eastAsia="標楷體"/>
                <w:color w:val="010101"/>
                <w:kern w:val="0"/>
                <w:szCs w:val="16"/>
              </w:rPr>
              <w:t xml:space="preserve"> capital to risk-weighted assets)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="138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‧逾期放款扣除特定損失準備後淨額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資本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(Nonperforming loans net of provisions to capital)</w:t>
            </w:r>
          </w:p>
          <w:p w:rsidR="00330542" w:rsidRDefault="00330542" w:rsidP="00330542">
            <w:pPr>
              <w:autoSpaceDE w:val="0"/>
              <w:autoSpaceDN w:val="0"/>
              <w:adjustRightInd w:val="0"/>
              <w:spacing w:line="300" w:lineRule="exact"/>
              <w:ind w:left="138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普通股權益第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1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類資本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風險性資產</w:t>
            </w:r>
          </w:p>
          <w:p w:rsidR="00330542" w:rsidRDefault="00330542" w:rsidP="00330542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Common Equity Tier 1 capital to risk-weighted assets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330542" w:rsidRDefault="00330542" w:rsidP="00330542">
            <w:pPr>
              <w:autoSpaceDE w:val="0"/>
              <w:autoSpaceDN w:val="0"/>
              <w:adjustRightInd w:val="0"/>
              <w:spacing w:line="300" w:lineRule="exact"/>
              <w:ind w:left="138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第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1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類資本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Pr="00330542">
              <w:rPr>
                <w:rFonts w:eastAsia="標楷體" w:hint="eastAsia"/>
                <w:color w:val="010101"/>
                <w:kern w:val="0"/>
                <w:szCs w:val="16"/>
              </w:rPr>
              <w:t>資產</w:t>
            </w:r>
          </w:p>
          <w:p w:rsidR="00330542" w:rsidRDefault="00330542" w:rsidP="00330542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Tier 1 capital to assets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</w:tc>
      </w:tr>
      <w:tr w:rsidR="00C56379">
        <w:trPr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bCs/>
                <w:i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Cs/>
                <w:i/>
                <w:color w:val="010101"/>
                <w:kern w:val="0"/>
                <w:szCs w:val="16"/>
              </w:rPr>
              <w:t>資產品質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bCs/>
                <w:i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Cs/>
                <w:i/>
                <w:color w:val="010101"/>
                <w:kern w:val="0"/>
                <w:szCs w:val="16"/>
              </w:rPr>
              <w:t>(Asset quality)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  <w:noWrap/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="138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‧逾期放款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放款總額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(Nonperforming loans to total gross loans)</w:t>
            </w:r>
          </w:p>
          <w:p w:rsidR="00C56379" w:rsidRDefault="005C00C9">
            <w:pPr>
              <w:autoSpaceDE w:val="0"/>
              <w:autoSpaceDN w:val="0"/>
              <w:adjustRightInd w:val="0"/>
              <w:spacing w:line="300" w:lineRule="exact"/>
              <w:ind w:left="138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‧經濟活動放款集中度</w:t>
            </w:r>
          </w:p>
          <w:p w:rsidR="00C56379" w:rsidRDefault="00C56379" w:rsidP="005C00C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</w:t>
            </w:r>
            <w:r w:rsidR="005C00C9">
              <w:rPr>
                <w:rFonts w:eastAsia="標楷體"/>
                <w:color w:val="010101"/>
                <w:kern w:val="0"/>
                <w:szCs w:val="16"/>
              </w:rPr>
              <w:t>Loan concentration by economic activity</w:t>
            </w:r>
            <w:r>
              <w:rPr>
                <w:rFonts w:eastAsia="標楷體"/>
                <w:color w:val="010101"/>
                <w:kern w:val="0"/>
                <w:szCs w:val="16"/>
              </w:rPr>
              <w:t>)</w:t>
            </w:r>
          </w:p>
          <w:p w:rsidR="005C00C9" w:rsidRDefault="005C00C9" w:rsidP="005C00C9">
            <w:pPr>
              <w:autoSpaceDE w:val="0"/>
              <w:autoSpaceDN w:val="0"/>
              <w:adjustRightInd w:val="0"/>
              <w:spacing w:line="300" w:lineRule="exact"/>
              <w:ind w:left="138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‧備抵呆帳覆蓋率</w:t>
            </w:r>
          </w:p>
          <w:p w:rsidR="005C00C9" w:rsidRDefault="005C00C9" w:rsidP="005C00C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Cs w:val="20"/>
              </w:rPr>
              <w:t>(Provisions to non</w:t>
            </w:r>
            <w:r>
              <w:rPr>
                <w:rFonts w:eastAsia="標楷體"/>
                <w:color w:val="000000"/>
                <w:kern w:val="0"/>
                <w:szCs w:val="20"/>
              </w:rPr>
              <w:t>performing loans</w:t>
            </w:r>
            <w:r>
              <w:rPr>
                <w:rFonts w:eastAsia="標楷體" w:hint="eastAsia"/>
                <w:color w:val="000000"/>
                <w:kern w:val="0"/>
                <w:szCs w:val="20"/>
              </w:rPr>
              <w:t>)</w:t>
            </w:r>
          </w:p>
        </w:tc>
      </w:tr>
      <w:tr w:rsidR="00C56379">
        <w:trPr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bCs/>
                <w:i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Cs/>
                <w:i/>
                <w:color w:val="010101"/>
                <w:kern w:val="0"/>
                <w:szCs w:val="16"/>
              </w:rPr>
              <w:t>盈餘及獲利能力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bCs/>
                <w:i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Cs/>
                <w:i/>
                <w:color w:val="010101"/>
                <w:kern w:val="0"/>
                <w:szCs w:val="16"/>
              </w:rPr>
              <w:t>(Earnings and profitability)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  <w:noWrap/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‧資產報酬率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(Return on assets)</w:t>
            </w:r>
          </w:p>
          <w:p w:rsidR="00C56379" w:rsidRDefault="00FA5312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‧權益</w:t>
            </w:r>
            <w:r w:rsidR="00C56379">
              <w:rPr>
                <w:rFonts w:eastAsia="標楷體" w:hint="eastAsia"/>
                <w:color w:val="010101"/>
                <w:kern w:val="0"/>
                <w:szCs w:val="16"/>
              </w:rPr>
              <w:t>報酬率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(Return on equity)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‧淨利息收入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總收入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(Interest margin to gross income)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‧非利息費用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總收入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(Noninterest expenses to gross income)</w:t>
            </w:r>
          </w:p>
        </w:tc>
      </w:tr>
      <w:tr w:rsidR="00C56379">
        <w:trPr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流動性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(Liquidity)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  <w:noWrap/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‧流動資產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資產總額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(Liquid assets to total assets</w:t>
            </w:r>
            <w:r w:rsidR="006A231F">
              <w:rPr>
                <w:rFonts w:eastAsia="標楷體" w:hint="eastAsia"/>
                <w:color w:val="010101"/>
                <w:kern w:val="0"/>
                <w:szCs w:val="16"/>
              </w:rPr>
              <w:t>;</w:t>
            </w:r>
            <w:r w:rsidR="006A231F">
              <w:rPr>
                <w:rFonts w:eastAsia="標楷體"/>
                <w:color w:val="010101"/>
                <w:kern w:val="0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eastAsia="標楷體"/>
                <w:color w:val="010101"/>
                <w:kern w:val="0"/>
                <w:szCs w:val="16"/>
              </w:rPr>
              <w:t>Liquid asset ratio)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‧流動資產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短期負債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(Liquid assets to short-term liabilities)</w:t>
            </w:r>
          </w:p>
          <w:p w:rsidR="005C00C9" w:rsidRDefault="005C00C9" w:rsidP="005C00C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‧流動性覆蓋比率</w:t>
            </w:r>
          </w:p>
          <w:p w:rsidR="005C00C9" w:rsidRDefault="00783DF0" w:rsidP="005C00C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(Liquidity coverage r</w:t>
            </w:r>
            <w:r w:rsidR="005C00C9">
              <w:rPr>
                <w:rFonts w:eastAsia="標楷體"/>
                <w:color w:val="010101"/>
                <w:kern w:val="0"/>
                <w:szCs w:val="16"/>
              </w:rPr>
              <w:t>atio)</w:t>
            </w:r>
          </w:p>
          <w:p w:rsidR="005C00C9" w:rsidRDefault="005C00C9" w:rsidP="005C00C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‧淨穩定資金比率</w:t>
            </w:r>
          </w:p>
          <w:p w:rsidR="005C00C9" w:rsidRPr="005C00C9" w:rsidRDefault="00783DF0" w:rsidP="005C00C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00000"/>
                <w:kern w:val="0"/>
                <w:szCs w:val="20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(Net stable funding r</w:t>
            </w:r>
            <w:r w:rsidR="005C00C9">
              <w:rPr>
                <w:rFonts w:eastAsia="標楷體"/>
                <w:color w:val="010101"/>
                <w:kern w:val="0"/>
                <w:szCs w:val="16"/>
              </w:rPr>
              <w:t>atio)</w:t>
            </w:r>
          </w:p>
        </w:tc>
      </w:tr>
      <w:tr w:rsidR="00C56379" w:rsidTr="00201DD4">
        <w:trPr>
          <w:trHeight w:val="471"/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市場風險敏感度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i/>
                <w:iCs/>
                <w:color w:val="010101"/>
                <w:kern w:val="0"/>
                <w:szCs w:val="21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(Sensitivity to market risk)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  <w:noWrap/>
          </w:tcPr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‧外匯淨部位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資本</w:t>
            </w:r>
          </w:p>
          <w:p w:rsidR="00C56379" w:rsidRDefault="00C56379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(Net open position in foreign exchange to capital)</w:t>
            </w:r>
          </w:p>
        </w:tc>
      </w:tr>
      <w:tr w:rsidR="00201DD4" w:rsidTr="00665024">
        <w:trPr>
          <w:trHeight w:val="180"/>
          <w:jc w:val="right"/>
        </w:trPr>
        <w:tc>
          <w:tcPr>
            <w:tcW w:w="9666" w:type="dxa"/>
            <w:gridSpan w:val="2"/>
            <w:tcBorders>
              <w:bottom w:val="single" w:sz="4" w:space="0" w:color="auto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400" w:lineRule="exact"/>
              <w:ind w:leftChars="35" w:left="84"/>
              <w:rPr>
                <w:rFonts w:eastAsia="標楷體"/>
                <w:b/>
                <w:i/>
                <w:color w:val="000000"/>
                <w:kern w:val="0"/>
                <w:szCs w:val="20"/>
              </w:rPr>
            </w:pPr>
            <w:r>
              <w:rPr>
                <w:rFonts w:eastAsia="標楷體" w:hint="eastAsia"/>
                <w:b/>
                <w:i/>
                <w:color w:val="010101"/>
                <w:kern w:val="0"/>
                <w:szCs w:val="21"/>
              </w:rPr>
              <w:t>不動產市場</w:t>
            </w:r>
            <w:r>
              <w:rPr>
                <w:rFonts w:eastAsia="標楷體" w:hint="eastAsia"/>
                <w:b/>
                <w:i/>
                <w:color w:val="010101"/>
                <w:kern w:val="0"/>
                <w:szCs w:val="21"/>
              </w:rPr>
              <w:t>(Real Estate Market</w:t>
            </w:r>
            <w:r w:rsidR="00385A29">
              <w:rPr>
                <w:rFonts w:eastAsia="標楷體"/>
                <w:b/>
                <w:i/>
                <w:color w:val="010101"/>
                <w:kern w:val="0"/>
                <w:szCs w:val="21"/>
              </w:rPr>
              <w:t>s</w:t>
            </w:r>
            <w:r>
              <w:rPr>
                <w:rFonts w:eastAsia="標楷體" w:hint="eastAsia"/>
                <w:b/>
                <w:i/>
                <w:color w:val="010101"/>
                <w:kern w:val="0"/>
                <w:szCs w:val="21"/>
              </w:rPr>
              <w:t>)</w:t>
            </w:r>
          </w:p>
        </w:tc>
      </w:tr>
      <w:tr w:rsidR="00201DD4" w:rsidTr="00201DD4">
        <w:trPr>
          <w:trHeight w:val="270"/>
          <w:jc w:val="right"/>
        </w:trPr>
        <w:tc>
          <w:tcPr>
            <w:tcW w:w="3240" w:type="dxa"/>
            <w:tcBorders>
              <w:bottom w:val="double" w:sz="4" w:space="0" w:color="auto"/>
              <w:right w:val="nil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38" w:left="331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</w:p>
        </w:tc>
        <w:tc>
          <w:tcPr>
            <w:tcW w:w="6426" w:type="dxa"/>
            <w:tcBorders>
              <w:left w:val="nil"/>
              <w:bottom w:val="double" w:sz="4" w:space="0" w:color="auto"/>
            </w:tcBorders>
            <w:noWrap/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‧住宅不動產價格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(Residential real estate prices)</w:t>
            </w:r>
          </w:p>
        </w:tc>
      </w:tr>
      <w:tr w:rsidR="00201DD4" w:rsidTr="000F08BA">
        <w:trPr>
          <w:jc w:val="right"/>
        </w:trPr>
        <w:tc>
          <w:tcPr>
            <w:tcW w:w="96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400" w:lineRule="exact"/>
              <w:ind w:leftChars="35" w:left="279" w:hangingChars="81" w:hanging="195"/>
              <w:jc w:val="center"/>
              <w:rPr>
                <w:rFonts w:eastAsia="標楷體"/>
                <w:b/>
                <w:b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b/>
                <w:bCs/>
                <w:color w:val="010101"/>
                <w:kern w:val="0"/>
                <w:szCs w:val="16"/>
              </w:rPr>
              <w:t>額外指標</w:t>
            </w:r>
            <w:r>
              <w:rPr>
                <w:rFonts w:eastAsia="標楷體" w:hint="eastAsia"/>
                <w:b/>
                <w:bCs/>
                <w:color w:val="010101"/>
                <w:kern w:val="0"/>
                <w:szCs w:val="16"/>
              </w:rPr>
              <w:t>(Additional Set)</w:t>
            </w:r>
          </w:p>
        </w:tc>
      </w:tr>
      <w:tr w:rsidR="00201DD4">
        <w:trPr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存款機構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(Deposit-takers)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‧大額暴險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資本</w:t>
            </w:r>
          </w:p>
          <w:p w:rsidR="00201DD4" w:rsidRDefault="00385A29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(Large e</w:t>
            </w:r>
            <w:r w:rsidR="00201DD4">
              <w:rPr>
                <w:rFonts w:eastAsia="標楷體" w:hint="eastAsia"/>
                <w:color w:val="010101"/>
                <w:kern w:val="0"/>
                <w:szCs w:val="16"/>
              </w:rPr>
              <w:t>xposures to capital)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‧地區別放款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放款總額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(Geographical distribution of loans to total loans)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lastRenderedPageBreak/>
              <w:t>‧衍生性金融商品總資產部位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="005D6234">
              <w:rPr>
                <w:rFonts w:eastAsia="標楷體" w:hint="eastAsia"/>
                <w:color w:val="010101"/>
                <w:kern w:val="0"/>
                <w:szCs w:val="16"/>
              </w:rPr>
              <w:t>自有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資本</w:t>
            </w:r>
          </w:p>
          <w:p w:rsidR="00201DD4" w:rsidRDefault="00201DD4" w:rsidP="00201DD4">
            <w:pPr>
              <w:pStyle w:val="a4"/>
              <w:spacing w:line="300" w:lineRule="exact"/>
            </w:pPr>
            <w:r>
              <w:t>(Gross asset position in financial derivatives to capital)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‧衍生性金融商品總負債部位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="005D6234">
              <w:rPr>
                <w:rFonts w:eastAsia="標楷體" w:hint="eastAsia"/>
                <w:color w:val="010101"/>
                <w:kern w:val="0"/>
                <w:szCs w:val="16"/>
              </w:rPr>
              <w:t>自有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資本</w:t>
            </w:r>
          </w:p>
          <w:p w:rsidR="00201DD4" w:rsidRDefault="00201DD4" w:rsidP="00201DD4">
            <w:pPr>
              <w:pStyle w:val="a4"/>
              <w:spacing w:line="300" w:lineRule="exact"/>
            </w:pPr>
            <w:r>
              <w:t>(Gross liability position in financial derivatives to capital)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‧交易性收入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總收入</w:t>
            </w:r>
          </w:p>
          <w:p w:rsidR="00201DD4" w:rsidRDefault="00201DD4" w:rsidP="00201DD4">
            <w:pPr>
              <w:pStyle w:val="a4"/>
              <w:spacing w:line="300" w:lineRule="exact"/>
            </w:pPr>
            <w:r>
              <w:t>(Trading income to total income)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‧人事費用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非利息費用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P</w:t>
            </w:r>
            <w:r>
              <w:rPr>
                <w:rFonts w:eastAsia="標楷體"/>
                <w:color w:val="010101"/>
                <w:kern w:val="0"/>
                <w:szCs w:val="16"/>
              </w:rPr>
              <w:t>ersonnel expenses to noninterest expenses)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‧放款及存款利差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(Spread between reference lending and deposit rates)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‧銀行間拆款最高及最低利率差距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 xml:space="preserve">(Spread between highest and lowest interbank 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rate</w:t>
            </w:r>
            <w:r>
              <w:rPr>
                <w:rFonts w:eastAsia="標楷體"/>
                <w:color w:val="010101"/>
                <w:kern w:val="0"/>
                <w:szCs w:val="16"/>
              </w:rPr>
              <w:t>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‧客戶存款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放款總額（不含同業拆款）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(Customer deposits to total (noninterbank) loans)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‧外幣計價放款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放款總額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(Foreign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-</w:t>
            </w:r>
            <w:r>
              <w:rPr>
                <w:rFonts w:eastAsia="標楷體"/>
                <w:color w:val="010101"/>
                <w:kern w:val="0"/>
                <w:szCs w:val="16"/>
              </w:rPr>
              <w:t>currency-denominated loans to total loans)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‧外幣計價負債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負債總額</w:t>
            </w:r>
          </w:p>
          <w:p w:rsidR="00201DD4" w:rsidRDefault="00201DD4" w:rsidP="00201DD4">
            <w:pPr>
              <w:pStyle w:val="a4"/>
              <w:spacing w:line="300" w:lineRule="exact"/>
            </w:pPr>
            <w:r>
              <w:t>(Foreign</w:t>
            </w:r>
            <w:r>
              <w:rPr>
                <w:rFonts w:hint="eastAsia"/>
              </w:rPr>
              <w:t>-</w:t>
            </w:r>
            <w:r>
              <w:t>currency-denominated liabilities to total liabilities)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5D6234">
              <w:rPr>
                <w:rFonts w:eastAsia="標楷體" w:hint="eastAsia"/>
                <w:color w:val="010101"/>
                <w:kern w:val="0"/>
                <w:szCs w:val="16"/>
              </w:rPr>
              <w:t>民間部門信用成長</w:t>
            </w:r>
          </w:p>
          <w:p w:rsidR="00201DD4" w:rsidRDefault="00201DD4" w:rsidP="005D623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</w:t>
            </w:r>
            <w:r w:rsidR="005D6234">
              <w:rPr>
                <w:rFonts w:eastAsia="標楷體"/>
                <w:color w:val="010101"/>
                <w:kern w:val="0"/>
                <w:szCs w:val="16"/>
              </w:rPr>
              <w:t>Credit growth to private sector</w:t>
            </w:r>
            <w:r>
              <w:rPr>
                <w:rFonts w:eastAsia="標楷體"/>
                <w:color w:val="010101"/>
                <w:kern w:val="0"/>
                <w:szCs w:val="16"/>
              </w:rPr>
              <w:t>)</w:t>
            </w:r>
          </w:p>
        </w:tc>
      </w:tr>
      <w:tr w:rsidR="00201DD4">
        <w:trPr>
          <w:jc w:val="right"/>
        </w:trPr>
        <w:tc>
          <w:tcPr>
            <w:tcW w:w="3240" w:type="dxa"/>
            <w:tcBorders>
              <w:right w:val="nil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lastRenderedPageBreak/>
              <w:t>其他金融機構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(Other financial corporations)</w:t>
            </w:r>
          </w:p>
        </w:tc>
        <w:tc>
          <w:tcPr>
            <w:tcW w:w="6426" w:type="dxa"/>
            <w:tcBorders>
              <w:left w:val="nil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‧資產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金融體系資產總額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(Assets to total financial system assets)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‧資產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/>
                <w:color w:val="010101"/>
                <w:kern w:val="0"/>
                <w:szCs w:val="16"/>
              </w:rPr>
              <w:t>GDP</w:t>
            </w:r>
          </w:p>
          <w:p w:rsidR="00201DD4" w:rsidRDefault="00961898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b/>
                <w:b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 w:rsidR="00201DD4">
              <w:rPr>
                <w:rFonts w:eastAsia="標楷體" w:hint="eastAsia"/>
                <w:color w:val="010101"/>
                <w:kern w:val="0"/>
                <w:szCs w:val="16"/>
              </w:rPr>
              <w:t>Assets to GDP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</w:tc>
      </w:tr>
      <w:tr w:rsidR="00201DD4" w:rsidTr="004C0092">
        <w:trPr>
          <w:trHeight w:val="1250"/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201DD4" w:rsidRDefault="00847F20" w:rsidP="00201DD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貨幣市場基金</w:t>
            </w:r>
          </w:p>
          <w:p w:rsidR="00201DD4" w:rsidRDefault="00201DD4" w:rsidP="004C0092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</w:t>
            </w:r>
            <w:r w:rsidR="004C0092"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Money market f</w:t>
            </w:r>
            <w:r w:rsidR="00847F20"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unds</w:t>
            </w: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847F20">
              <w:rPr>
                <w:rFonts w:eastAsia="標楷體" w:hint="eastAsia"/>
                <w:color w:val="010101"/>
                <w:kern w:val="0"/>
                <w:szCs w:val="16"/>
              </w:rPr>
              <w:t>部門別投資</w:t>
            </w:r>
            <w:r w:rsidR="00847F20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="00847F20">
              <w:rPr>
                <w:rFonts w:eastAsia="標楷體" w:hint="eastAsia"/>
                <w:color w:val="010101"/>
                <w:kern w:val="0"/>
                <w:szCs w:val="16"/>
              </w:rPr>
              <w:t>總投資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 w:rsidR="00847F20">
              <w:rPr>
                <w:rFonts w:eastAsia="標楷體"/>
                <w:color w:val="010101"/>
                <w:kern w:val="0"/>
                <w:szCs w:val="16"/>
              </w:rPr>
              <w:t>Sectoral distribution of investments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201DD4" w:rsidRDefault="00201DD4" w:rsidP="00201DD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4C0092">
              <w:rPr>
                <w:rFonts w:eastAsia="標楷體" w:hint="eastAsia"/>
                <w:color w:val="010101"/>
                <w:kern w:val="0"/>
                <w:szCs w:val="16"/>
              </w:rPr>
              <w:t>到期日別投資</w:t>
            </w:r>
            <w:r w:rsidR="004C0092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="004C0092">
              <w:rPr>
                <w:rFonts w:eastAsia="標楷體" w:hint="eastAsia"/>
                <w:color w:val="010101"/>
                <w:kern w:val="0"/>
                <w:szCs w:val="16"/>
              </w:rPr>
              <w:t>總投資</w:t>
            </w:r>
          </w:p>
          <w:p w:rsidR="00201DD4" w:rsidRDefault="00201DD4" w:rsidP="004C0092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b/>
                <w:bCs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 w:rsidR="004C0092">
              <w:rPr>
                <w:rFonts w:eastAsia="標楷體"/>
                <w:color w:val="010101"/>
                <w:kern w:val="0"/>
                <w:szCs w:val="16"/>
              </w:rPr>
              <w:t>Maturity distribution of investments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</w:tc>
      </w:tr>
      <w:tr w:rsidR="004C0092" w:rsidTr="00493955">
        <w:trPr>
          <w:trHeight w:val="2410"/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保險公司</w:t>
            </w:r>
          </w:p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i/>
                <w:iCs/>
                <w:color w:val="010101"/>
                <w:kern w:val="0"/>
                <w:szCs w:val="16"/>
              </w:rPr>
              <w:t>Insurance corporations</w:t>
            </w: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‧股東權益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投資性資產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含壽險及非壽險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(Shareholder equity to total invested assets)</w:t>
            </w:r>
          </w:p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‧綜合比率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僅含非壽險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(Combined ratio)</w:t>
            </w:r>
          </w:p>
          <w:p w:rsidR="004C0092" w:rsidRDefault="004C0092" w:rsidP="004C0092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9951EF">
              <w:rPr>
                <w:rFonts w:eastAsia="標楷體" w:hint="eastAsia"/>
                <w:color w:val="010101"/>
                <w:kern w:val="0"/>
                <w:szCs w:val="16"/>
              </w:rPr>
              <w:t>資產報酬率</w:t>
            </w:r>
            <w:r w:rsidR="009951EF"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 w:rsidR="009951EF">
              <w:rPr>
                <w:rFonts w:eastAsia="標楷體" w:hint="eastAsia"/>
                <w:color w:val="010101"/>
                <w:kern w:val="0"/>
                <w:szCs w:val="16"/>
              </w:rPr>
              <w:t>僅含壽險</w:t>
            </w:r>
            <w:r w:rsidR="009951EF"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4C0092" w:rsidRDefault="004C0092" w:rsidP="004C0092">
            <w:pPr>
              <w:pStyle w:val="a4"/>
              <w:spacing w:line="300" w:lineRule="exact"/>
            </w:pPr>
            <w:r>
              <w:t>(</w:t>
            </w:r>
            <w:r w:rsidR="009951EF">
              <w:rPr>
                <w:rFonts w:hint="eastAsia"/>
              </w:rPr>
              <w:t>Return on assets</w:t>
            </w:r>
            <w:r>
              <w:rPr>
                <w:rFonts w:hint="eastAsia"/>
              </w:rPr>
              <w:t>)</w:t>
            </w:r>
          </w:p>
          <w:p w:rsidR="009951EF" w:rsidRDefault="009951EF" w:rsidP="009951EF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‧權益報酬率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含壽險及非壽險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9951EF" w:rsidRDefault="009951EF" w:rsidP="009951EF">
            <w:pPr>
              <w:pStyle w:val="a4"/>
              <w:spacing w:line="300" w:lineRule="exact"/>
            </w:pPr>
            <w:r>
              <w:t>(</w:t>
            </w:r>
            <w:r>
              <w:rPr>
                <w:rFonts w:hint="eastAsia"/>
              </w:rPr>
              <w:t>Return on equity)</w:t>
            </w:r>
          </w:p>
        </w:tc>
      </w:tr>
      <w:tr w:rsidR="00493955" w:rsidTr="00961898">
        <w:trPr>
          <w:trHeight w:val="1136"/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493955" w:rsidRDefault="00493955" w:rsidP="00493955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退休基金</w:t>
            </w:r>
          </w:p>
          <w:p w:rsidR="00493955" w:rsidRDefault="00493955" w:rsidP="00493955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i/>
                <w:iCs/>
                <w:color w:val="010101"/>
                <w:kern w:val="0"/>
                <w:szCs w:val="16"/>
              </w:rPr>
              <w:t>Pension</w:t>
            </w: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 xml:space="preserve"> </w:t>
            </w:r>
            <w:r>
              <w:rPr>
                <w:rFonts w:eastAsia="標楷體"/>
                <w:i/>
                <w:iCs/>
                <w:color w:val="010101"/>
                <w:kern w:val="0"/>
                <w:szCs w:val="16"/>
              </w:rPr>
              <w:t>funds</w:t>
            </w: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493955" w:rsidRDefault="00493955" w:rsidP="00493955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D72874" w:rsidRPr="00D72874">
              <w:rPr>
                <w:rFonts w:eastAsia="標楷體" w:hint="eastAsia"/>
                <w:color w:val="010101"/>
                <w:kern w:val="0"/>
                <w:szCs w:val="16"/>
              </w:rPr>
              <w:t>流動資產</w:t>
            </w:r>
            <w:r w:rsidR="00D72874" w:rsidRPr="00D72874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="00D72874" w:rsidRPr="00D72874">
              <w:rPr>
                <w:rFonts w:eastAsia="標楷體" w:hint="eastAsia"/>
                <w:color w:val="010101"/>
                <w:kern w:val="0"/>
                <w:szCs w:val="16"/>
              </w:rPr>
              <w:t>預估未來一年退休金支出</w:t>
            </w:r>
          </w:p>
          <w:p w:rsidR="00493955" w:rsidRPr="00D94EE7" w:rsidRDefault="00493955" w:rsidP="00493955">
            <w:pPr>
              <w:pStyle w:val="a4"/>
              <w:spacing w:line="300" w:lineRule="exact"/>
            </w:pPr>
            <w:r w:rsidRPr="00D94EE7">
              <w:t>(</w:t>
            </w:r>
            <w:r w:rsidR="00D94EE7" w:rsidRPr="00D94EE7">
              <w:t>Liquid</w:t>
            </w:r>
            <w:r w:rsidR="00D72874" w:rsidRPr="00D94EE7">
              <w:t xml:space="preserve"> </w:t>
            </w:r>
            <w:r w:rsidR="00D72874" w:rsidRPr="00D94EE7">
              <w:rPr>
                <w:rFonts w:hint="eastAsia"/>
              </w:rPr>
              <w:t>assets to estimated pension payment</w:t>
            </w:r>
            <w:r w:rsidR="00D72874" w:rsidRPr="00D94EE7">
              <w:t>s in the next year</w:t>
            </w:r>
            <w:r w:rsidRPr="00D94EE7">
              <w:rPr>
                <w:rFonts w:hint="eastAsia"/>
              </w:rPr>
              <w:t>)</w:t>
            </w:r>
          </w:p>
          <w:p w:rsidR="00493955" w:rsidRDefault="00493955" w:rsidP="00493955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D72874">
              <w:rPr>
                <w:rFonts w:eastAsia="標楷體" w:hint="eastAsia"/>
                <w:color w:val="010101"/>
                <w:kern w:val="0"/>
                <w:szCs w:val="16"/>
              </w:rPr>
              <w:t>資產報酬率</w:t>
            </w:r>
          </w:p>
          <w:p w:rsidR="00493955" w:rsidRDefault="00493955" w:rsidP="00D72874">
            <w:pPr>
              <w:pStyle w:val="a4"/>
              <w:spacing w:line="300" w:lineRule="exact"/>
            </w:pPr>
            <w:r>
              <w:t>(</w:t>
            </w:r>
            <w:r>
              <w:rPr>
                <w:rFonts w:hint="eastAsia"/>
              </w:rPr>
              <w:t xml:space="preserve">Return on </w:t>
            </w:r>
            <w:r w:rsidR="00D72874">
              <w:t>assets</w:t>
            </w:r>
            <w:r>
              <w:rPr>
                <w:rFonts w:hint="eastAsia"/>
              </w:rPr>
              <w:t>)</w:t>
            </w:r>
          </w:p>
        </w:tc>
      </w:tr>
      <w:tr w:rsidR="00D72874" w:rsidTr="00D72874">
        <w:trPr>
          <w:trHeight w:val="962"/>
          <w:jc w:val="right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非金融企業部門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(Nonfinancial corporations)</w:t>
            </w:r>
          </w:p>
        </w:tc>
        <w:tc>
          <w:tcPr>
            <w:tcW w:w="6426" w:type="dxa"/>
            <w:tcBorders>
              <w:left w:val="nil"/>
              <w:bottom w:val="single" w:sz="4" w:space="0" w:color="auto"/>
            </w:tcBorders>
          </w:tcPr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‧負債總額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權益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Total debt to equity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‧外債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權益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External debt to equity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‧外幣負債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權益</w:t>
            </w:r>
          </w:p>
          <w:p w:rsidR="00667793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Foreign currency debt to equity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‧債務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/GDP</w:t>
            </w:r>
          </w:p>
          <w:p w:rsidR="00D72874" w:rsidRP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(Total</w:t>
            </w:r>
            <w:r>
              <w:rPr>
                <w:rFonts w:eastAsia="標楷體"/>
                <w:color w:val="010101"/>
                <w:kern w:val="0"/>
                <w:szCs w:val="16"/>
              </w:rPr>
              <w:t xml:space="preserve"> debt to GDP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D72874" w:rsidRDefault="00FA5312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lastRenderedPageBreak/>
              <w:t>‧權益</w:t>
            </w:r>
            <w:r w:rsidR="00D72874">
              <w:rPr>
                <w:rFonts w:eastAsia="標楷體" w:hint="eastAsia"/>
                <w:color w:val="010101"/>
                <w:kern w:val="0"/>
                <w:szCs w:val="16"/>
              </w:rPr>
              <w:t>報酬率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Return on equity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‧盈餘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借款本息支出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(Earnings to interest and principal expenses)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</w:t>
            </w:r>
            <w:r w:rsidR="00DF0838">
              <w:rPr>
                <w:rFonts w:eastAsia="標楷體" w:hint="eastAsia"/>
                <w:color w:val="010101"/>
                <w:kern w:val="0"/>
                <w:szCs w:val="16"/>
              </w:rPr>
              <w:t>盈餘</w:t>
            </w:r>
            <w:r w:rsidRPr="00D72874"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 w:rsidRPr="00D72874">
              <w:rPr>
                <w:rFonts w:eastAsia="標楷體" w:hint="eastAsia"/>
                <w:color w:val="010101"/>
                <w:kern w:val="0"/>
                <w:szCs w:val="16"/>
              </w:rPr>
              <w:t>利息費用</w:t>
            </w:r>
          </w:p>
          <w:p w:rsidR="00D72874" w:rsidRP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</w:t>
            </w:r>
            <w:r w:rsidR="00DF0838">
              <w:rPr>
                <w:rFonts w:eastAsia="標楷體"/>
                <w:color w:val="010101"/>
                <w:kern w:val="0"/>
                <w:szCs w:val="16"/>
              </w:rPr>
              <w:t>Earnings to interest expenses</w:t>
            </w:r>
            <w:r>
              <w:rPr>
                <w:rFonts w:eastAsia="標楷體"/>
                <w:color w:val="010101"/>
                <w:kern w:val="0"/>
                <w:szCs w:val="16"/>
              </w:rPr>
              <w:t>)</w:t>
            </w:r>
          </w:p>
        </w:tc>
      </w:tr>
      <w:tr w:rsidR="00D72874">
        <w:trPr>
          <w:jc w:val="right"/>
        </w:trPr>
        <w:tc>
          <w:tcPr>
            <w:tcW w:w="3240" w:type="dxa"/>
            <w:tcBorders>
              <w:right w:val="nil"/>
            </w:tcBorders>
          </w:tcPr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lastRenderedPageBreak/>
              <w:t>家計部門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(Households)</w:t>
            </w:r>
          </w:p>
        </w:tc>
        <w:tc>
          <w:tcPr>
            <w:tcW w:w="6426" w:type="dxa"/>
            <w:tcBorders>
              <w:left w:val="nil"/>
            </w:tcBorders>
          </w:tcPr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‧家計部門負債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/>
                <w:color w:val="010101"/>
                <w:kern w:val="0"/>
                <w:szCs w:val="16"/>
              </w:rPr>
              <w:t>GDP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(Household debt to GDP)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‧家計部門借款本息支出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收入</w:t>
            </w:r>
          </w:p>
          <w:p w:rsidR="00D72874" w:rsidRDefault="00D72874" w:rsidP="00D72874">
            <w:pPr>
              <w:pStyle w:val="a4"/>
              <w:spacing w:line="300" w:lineRule="exact"/>
            </w:pPr>
            <w:r>
              <w:t>(House</w:t>
            </w:r>
            <w:r>
              <w:rPr>
                <w:rFonts w:hint="eastAsia"/>
              </w:rPr>
              <w:t>hold</w:t>
            </w:r>
            <w:r>
              <w:t xml:space="preserve"> debt service and principal payments to income)</w:t>
            </w:r>
          </w:p>
          <w:p w:rsidR="00DF0838" w:rsidRDefault="00DF0838" w:rsidP="00DF0838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‧家計部門負債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可支配所得</w:t>
            </w:r>
          </w:p>
          <w:p w:rsidR="00DF0838" w:rsidRPr="00DF0838" w:rsidRDefault="00DF0838" w:rsidP="00DF0838">
            <w:pPr>
              <w:pStyle w:val="a4"/>
              <w:spacing w:line="300" w:lineRule="exact"/>
            </w:pPr>
            <w:r>
              <w:t>(House</w:t>
            </w:r>
            <w:r>
              <w:rPr>
                <w:rFonts w:hint="eastAsia"/>
              </w:rPr>
              <w:t>hold</w:t>
            </w:r>
            <w:r>
              <w:t xml:space="preserve"> debt to household disposable income)</w:t>
            </w:r>
          </w:p>
        </w:tc>
      </w:tr>
      <w:tr w:rsidR="00D72874">
        <w:trPr>
          <w:jc w:val="right"/>
        </w:trPr>
        <w:tc>
          <w:tcPr>
            <w:tcW w:w="3240" w:type="dxa"/>
            <w:tcBorders>
              <w:right w:val="nil"/>
            </w:tcBorders>
          </w:tcPr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不動產市場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/>
              <w:rPr>
                <w:rFonts w:eastAsia="標楷體"/>
                <w:i/>
                <w:i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i/>
                <w:iCs/>
                <w:color w:val="010101"/>
                <w:kern w:val="0"/>
                <w:szCs w:val="16"/>
              </w:rPr>
              <w:t>(Real estate markets)</w:t>
            </w:r>
          </w:p>
        </w:tc>
        <w:tc>
          <w:tcPr>
            <w:tcW w:w="6426" w:type="dxa"/>
            <w:tcBorders>
              <w:left w:val="nil"/>
            </w:tcBorders>
          </w:tcPr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84" w:rightChars="23" w:right="55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‧商用不動產價格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/>
                <w:color w:val="010101"/>
                <w:kern w:val="0"/>
                <w:szCs w:val="16"/>
              </w:rPr>
              <w:t>(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Commercial r</w:t>
            </w:r>
            <w:r>
              <w:rPr>
                <w:rFonts w:eastAsia="標楷體"/>
                <w:color w:val="010101"/>
                <w:kern w:val="0"/>
                <w:szCs w:val="16"/>
              </w:rPr>
              <w:t>eal estate prices)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‧住宅不動產放款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放款總額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Residential real estate loans to total loans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35" w:left="278" w:rightChars="23" w:right="55" w:hangingChars="81" w:hanging="194"/>
              <w:jc w:val="both"/>
              <w:rPr>
                <w:rFonts w:eastAsia="標楷體"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‧商業不動產放款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/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放款總額</w:t>
            </w:r>
          </w:p>
          <w:p w:rsidR="00D72874" w:rsidRDefault="00D72874" w:rsidP="00D72874">
            <w:pPr>
              <w:autoSpaceDE w:val="0"/>
              <w:autoSpaceDN w:val="0"/>
              <w:adjustRightInd w:val="0"/>
              <w:spacing w:line="300" w:lineRule="exact"/>
              <w:ind w:leftChars="115" w:left="276" w:rightChars="23" w:right="55" w:firstLineChars="15" w:firstLine="36"/>
              <w:jc w:val="both"/>
              <w:rPr>
                <w:rFonts w:eastAsia="標楷體"/>
                <w:b/>
                <w:bCs/>
                <w:color w:val="010101"/>
                <w:kern w:val="0"/>
                <w:szCs w:val="16"/>
              </w:rPr>
            </w:pPr>
            <w:r>
              <w:rPr>
                <w:rFonts w:eastAsia="標楷體" w:hint="eastAsia"/>
                <w:color w:val="010101"/>
                <w:kern w:val="0"/>
                <w:szCs w:val="16"/>
              </w:rPr>
              <w:t>(</w:t>
            </w:r>
            <w:r>
              <w:rPr>
                <w:rFonts w:eastAsia="標楷體"/>
                <w:color w:val="010101"/>
                <w:kern w:val="0"/>
                <w:szCs w:val="16"/>
              </w:rPr>
              <w:t>Commercial real estate loans to total loans</w:t>
            </w:r>
            <w:r>
              <w:rPr>
                <w:rFonts w:eastAsia="標楷體" w:hint="eastAsia"/>
                <w:color w:val="010101"/>
                <w:kern w:val="0"/>
                <w:szCs w:val="16"/>
              </w:rPr>
              <w:t>)</w:t>
            </w:r>
          </w:p>
        </w:tc>
      </w:tr>
    </w:tbl>
    <w:p w:rsidR="00C56379" w:rsidRDefault="00C56379">
      <w:pPr>
        <w:spacing w:line="3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資料來源：</w:t>
      </w:r>
      <w:r w:rsidR="002B44B1">
        <w:rPr>
          <w:rFonts w:eastAsia="標楷體" w:hint="eastAsia"/>
          <w:sz w:val="20"/>
        </w:rPr>
        <w:t>IMF (2019),</w:t>
      </w:r>
      <w:r w:rsidR="002B44B1">
        <w:rPr>
          <w:rFonts w:eastAsia="標楷體"/>
          <w:sz w:val="20"/>
        </w:rPr>
        <w:t xml:space="preserve"> </w:t>
      </w:r>
      <w:r w:rsidR="00F96968">
        <w:rPr>
          <w:rFonts w:eastAsia="標楷體"/>
          <w:sz w:val="20"/>
        </w:rPr>
        <w:t>“</w:t>
      </w:r>
      <w:r>
        <w:rPr>
          <w:rFonts w:eastAsia="標楷體" w:hint="eastAsia"/>
          <w:sz w:val="20"/>
        </w:rPr>
        <w:t>Financial Soundness Indicators</w:t>
      </w:r>
      <w:r w:rsidR="00650A21">
        <w:rPr>
          <w:rFonts w:eastAsia="標楷體" w:hint="eastAsia"/>
          <w:sz w:val="20"/>
        </w:rPr>
        <w:t>: Compilation</w:t>
      </w:r>
      <w:r w:rsidR="00F96968">
        <w:rPr>
          <w:rFonts w:eastAsia="標楷體" w:hint="eastAsia"/>
          <w:sz w:val="20"/>
        </w:rPr>
        <w:t xml:space="preserve"> </w:t>
      </w:r>
      <w:r w:rsidR="00650A21">
        <w:rPr>
          <w:rFonts w:eastAsia="標楷體" w:hint="eastAsia"/>
          <w:sz w:val="20"/>
        </w:rPr>
        <w:t>Guide</w:t>
      </w:r>
      <w:r w:rsidR="00F96968">
        <w:rPr>
          <w:rFonts w:eastAsia="標楷體" w:hint="eastAsia"/>
          <w:sz w:val="20"/>
        </w:rPr>
        <w:t>,</w:t>
      </w:r>
      <w:r w:rsidR="00F96968">
        <w:rPr>
          <w:rFonts w:eastAsia="標楷體"/>
          <w:sz w:val="20"/>
        </w:rPr>
        <w:t>”</w:t>
      </w:r>
      <w:r>
        <w:rPr>
          <w:rFonts w:eastAsia="標楷體" w:hint="eastAsia"/>
          <w:sz w:val="20"/>
        </w:rPr>
        <w:t xml:space="preserve"> </w:t>
      </w:r>
      <w:r w:rsidR="00237666">
        <w:rPr>
          <w:rFonts w:eastAsia="標楷體"/>
          <w:sz w:val="20"/>
        </w:rPr>
        <w:t>April</w:t>
      </w:r>
      <w:r>
        <w:rPr>
          <w:rFonts w:eastAsia="標楷體" w:hint="eastAsia"/>
          <w:sz w:val="20"/>
        </w:rPr>
        <w:t>.</w:t>
      </w:r>
    </w:p>
    <w:sectPr w:rsidR="00C5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0A" w:rsidRDefault="00137A0A" w:rsidP="00330542">
      <w:r>
        <w:separator/>
      </w:r>
    </w:p>
  </w:endnote>
  <w:endnote w:type="continuationSeparator" w:id="0">
    <w:p w:rsidR="00137A0A" w:rsidRDefault="00137A0A" w:rsidP="0033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0A" w:rsidRDefault="00137A0A" w:rsidP="00330542">
      <w:r>
        <w:separator/>
      </w:r>
    </w:p>
  </w:footnote>
  <w:footnote w:type="continuationSeparator" w:id="0">
    <w:p w:rsidR="00137A0A" w:rsidRDefault="00137A0A" w:rsidP="0033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53CA5"/>
    <w:multiLevelType w:val="hybridMultilevel"/>
    <w:tmpl w:val="9EC8DC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7D6EAD"/>
    <w:multiLevelType w:val="hybridMultilevel"/>
    <w:tmpl w:val="10560A52"/>
    <w:lvl w:ilvl="0" w:tplc="C778FC3C">
      <w:start w:val="2"/>
      <w:numFmt w:val="bullet"/>
      <w:lvlText w:val="‧"/>
      <w:lvlJc w:val="left"/>
      <w:pPr>
        <w:tabs>
          <w:tab w:val="num" w:pos="444"/>
        </w:tabs>
        <w:ind w:left="4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EC"/>
    <w:rsid w:val="000F08BA"/>
    <w:rsid w:val="00137A0A"/>
    <w:rsid w:val="00201DD4"/>
    <w:rsid w:val="00237666"/>
    <w:rsid w:val="002B0D16"/>
    <w:rsid w:val="002B44B1"/>
    <w:rsid w:val="002E051B"/>
    <w:rsid w:val="00323460"/>
    <w:rsid w:val="00330542"/>
    <w:rsid w:val="00385A29"/>
    <w:rsid w:val="00493955"/>
    <w:rsid w:val="004C0092"/>
    <w:rsid w:val="00562EBB"/>
    <w:rsid w:val="005C00C9"/>
    <w:rsid w:val="005D6234"/>
    <w:rsid w:val="005E42FF"/>
    <w:rsid w:val="00650A21"/>
    <w:rsid w:val="00662278"/>
    <w:rsid w:val="00665024"/>
    <w:rsid w:val="00667793"/>
    <w:rsid w:val="006A231F"/>
    <w:rsid w:val="00783DF0"/>
    <w:rsid w:val="0083384E"/>
    <w:rsid w:val="00847F20"/>
    <w:rsid w:val="0090316C"/>
    <w:rsid w:val="00961898"/>
    <w:rsid w:val="009951EF"/>
    <w:rsid w:val="00AC7A3B"/>
    <w:rsid w:val="00AD02EC"/>
    <w:rsid w:val="00BA3B7A"/>
    <w:rsid w:val="00C0386C"/>
    <w:rsid w:val="00C56379"/>
    <w:rsid w:val="00D72874"/>
    <w:rsid w:val="00D94EE7"/>
    <w:rsid w:val="00DA71D4"/>
    <w:rsid w:val="00DF0838"/>
    <w:rsid w:val="00E475D5"/>
    <w:rsid w:val="00E76CDC"/>
    <w:rsid w:val="00F96968"/>
    <w:rsid w:val="00F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DFE301D"/>
  <w15:chartTrackingRefBased/>
  <w15:docId w15:val="{78FF37A2-7E95-41D6-A789-DFCAD9A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autoRedefine/>
    <w:pPr>
      <w:spacing w:afterLines="100" w:after="360" w:line="460" w:lineRule="exact"/>
      <w:jc w:val="center"/>
    </w:pPr>
    <w:rPr>
      <w:rFonts w:eastAsia="華康楷書體W5"/>
      <w:kern w:val="0"/>
      <w:sz w:val="32"/>
    </w:rPr>
  </w:style>
  <w:style w:type="paragraph" w:styleId="a4">
    <w:name w:val="Block Text"/>
    <w:basedOn w:val="a"/>
    <w:pPr>
      <w:autoSpaceDE w:val="0"/>
      <w:autoSpaceDN w:val="0"/>
      <w:adjustRightInd w:val="0"/>
      <w:spacing w:line="360" w:lineRule="exact"/>
      <w:ind w:leftChars="130" w:left="384" w:rightChars="23" w:right="55" w:hangingChars="30" w:hanging="72"/>
      <w:jc w:val="both"/>
    </w:pPr>
    <w:rPr>
      <w:rFonts w:eastAsia="標楷體"/>
      <w:color w:val="010101"/>
      <w:kern w:val="0"/>
      <w:szCs w:val="16"/>
    </w:rPr>
  </w:style>
  <w:style w:type="paragraph" w:customStyle="1" w:styleId="a5">
    <w:name w:val="附錄"/>
    <w:basedOn w:val="a"/>
    <w:rsid w:val="00E76CDC"/>
    <w:pPr>
      <w:autoSpaceDE w:val="0"/>
      <w:autoSpaceDN w:val="0"/>
      <w:adjustRightInd w:val="0"/>
      <w:spacing w:afterLines="50" w:after="180" w:line="400" w:lineRule="exact"/>
      <w:ind w:firstLineChars="200" w:firstLine="640"/>
      <w:jc w:val="center"/>
      <w:outlineLvl w:val="0"/>
    </w:pPr>
    <w:rPr>
      <w:rFonts w:eastAsia="標楷體"/>
      <w:b/>
      <w:kern w:val="0"/>
      <w:sz w:val="36"/>
      <w:szCs w:val="36"/>
    </w:rPr>
  </w:style>
  <w:style w:type="paragraph" w:styleId="a6">
    <w:name w:val="header"/>
    <w:basedOn w:val="a"/>
    <w:link w:val="a7"/>
    <w:rsid w:val="00330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30542"/>
    <w:rPr>
      <w:kern w:val="2"/>
    </w:rPr>
  </w:style>
  <w:style w:type="paragraph" w:styleId="a8">
    <w:name w:val="footer"/>
    <w:basedOn w:val="a"/>
    <w:link w:val="a9"/>
    <w:rsid w:val="00330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30542"/>
    <w:rPr>
      <w:kern w:val="2"/>
    </w:rPr>
  </w:style>
  <w:style w:type="paragraph" w:styleId="aa">
    <w:name w:val="Balloon Text"/>
    <w:basedOn w:val="a"/>
    <w:link w:val="ab"/>
    <w:rsid w:val="00E47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E475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CAD1-BFD3-4320-963C-44DCC81D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2751</Characters>
  <Application>Microsoft Office Word</Application>
  <DocSecurity>0</DocSecurity>
  <Lines>22</Lines>
  <Paragraphs>6</Paragraphs>
  <ScaleCrop>false</ScaleCrop>
  <Company>Central Bank of China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一、IMF編製金融健全指標之目的</dc:title>
  <dc:subject/>
  <dc:creator>何慧麗</dc:creator>
  <cp:keywords/>
  <dc:description/>
  <cp:lastModifiedBy>魏怡萱</cp:lastModifiedBy>
  <cp:revision>7</cp:revision>
  <cp:lastPrinted>2020-10-08T07:16:00Z</cp:lastPrinted>
  <dcterms:created xsi:type="dcterms:W3CDTF">2020-10-08T07:37:00Z</dcterms:created>
  <dcterms:modified xsi:type="dcterms:W3CDTF">2020-10-16T07:48:00Z</dcterms:modified>
</cp:coreProperties>
</file>