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3E" w:rsidRPr="005D0A56" w:rsidRDefault="00DD793E" w:rsidP="00DD793E">
      <w:pPr>
        <w:pStyle w:val="a3"/>
        <w:ind w:leftChars="47" w:left="142" w:hangingChars="9" w:hanging="29"/>
        <w:jc w:val="left"/>
        <w:rPr>
          <w:b/>
          <w:kern w:val="0"/>
        </w:rPr>
      </w:pPr>
      <w:r w:rsidRPr="005D0A56">
        <w:t>附件</w:t>
      </w:r>
    </w:p>
    <w:p w:rsidR="00410D70" w:rsidRPr="005D0A56" w:rsidRDefault="00410D70" w:rsidP="00DD793E">
      <w:pPr>
        <w:pStyle w:val="a3"/>
        <w:spacing w:beforeLines="50" w:before="180" w:afterLines="100" w:after="360"/>
        <w:ind w:leftChars="47" w:left="142" w:hangingChars="9" w:hanging="29"/>
        <w:jc w:val="center"/>
      </w:pPr>
      <w:r w:rsidRPr="005D0A56">
        <w:rPr>
          <w:b/>
          <w:kern w:val="0"/>
        </w:rPr>
        <w:t>中央銀行辦理銀行承作受嚴重特殊傳染性肺炎疫情影響</w:t>
      </w:r>
      <w:r w:rsidR="00DD793E" w:rsidRPr="005D0A56">
        <w:rPr>
          <w:b/>
          <w:kern w:val="0"/>
        </w:rPr>
        <w:br/>
      </w:r>
      <w:r w:rsidRPr="005D0A56">
        <w:rPr>
          <w:b/>
          <w:kern w:val="0"/>
        </w:rPr>
        <w:t>之中小企業貸款專案融通</w:t>
      </w:r>
      <w:r w:rsidR="00961A53">
        <w:rPr>
          <w:rFonts w:hint="eastAsia"/>
          <w:b/>
          <w:kern w:val="0"/>
        </w:rPr>
        <w:t>方案</w:t>
      </w:r>
      <w:r w:rsidR="00465C2A" w:rsidRPr="005D0A56">
        <w:rPr>
          <w:b/>
          <w:kern w:val="0"/>
        </w:rPr>
        <w:t>重點內容</w:t>
      </w:r>
    </w:p>
    <w:tbl>
      <w:tblPr>
        <w:tblStyle w:val="a5"/>
        <w:tblW w:w="0" w:type="auto"/>
        <w:jc w:val="center"/>
        <w:tblInd w:w="-41" w:type="dxa"/>
        <w:tblLook w:val="04A0" w:firstRow="1" w:lastRow="0" w:firstColumn="1" w:lastColumn="0" w:noHBand="0" w:noVBand="1"/>
      </w:tblPr>
      <w:tblGrid>
        <w:gridCol w:w="1759"/>
        <w:gridCol w:w="2501"/>
        <w:gridCol w:w="5210"/>
      </w:tblGrid>
      <w:tr w:rsidR="00527C7C" w:rsidRPr="005D0A56" w:rsidTr="00966947">
        <w:trPr>
          <w:jc w:val="center"/>
        </w:trPr>
        <w:tc>
          <w:tcPr>
            <w:tcW w:w="1759" w:type="dxa"/>
            <w:vMerge w:val="restart"/>
          </w:tcPr>
          <w:p w:rsidR="00527C7C" w:rsidRPr="005D0A56" w:rsidRDefault="00DD793E" w:rsidP="00410D70">
            <w:pPr>
              <w:pStyle w:val="a3"/>
              <w:spacing w:line="480" w:lineRule="exact"/>
              <w:ind w:left="0" w:firstLine="0"/>
            </w:pPr>
            <w:r w:rsidRPr="005D0A56">
              <w:t>央</w:t>
            </w:r>
            <w:r w:rsidR="00527C7C" w:rsidRPr="005D0A56">
              <w:t>行對銀行專案融通</w:t>
            </w:r>
          </w:p>
        </w:tc>
        <w:tc>
          <w:tcPr>
            <w:tcW w:w="2501" w:type="dxa"/>
            <w:tcBorders>
              <w:right w:val="single" w:sz="4" w:space="0" w:color="auto"/>
            </w:tcBorders>
          </w:tcPr>
          <w:p w:rsidR="00527C7C" w:rsidRPr="005D0A56" w:rsidRDefault="00D71883" w:rsidP="00BA22E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D71883">
              <w:rPr>
                <w:rFonts w:hint="eastAsia"/>
              </w:rPr>
              <w:t>專案融通利率</w:t>
            </w:r>
          </w:p>
        </w:tc>
        <w:tc>
          <w:tcPr>
            <w:tcW w:w="5210" w:type="dxa"/>
            <w:tcBorders>
              <w:left w:val="single" w:sz="4" w:space="0" w:color="auto"/>
            </w:tcBorders>
          </w:tcPr>
          <w:p w:rsidR="00527C7C" w:rsidRPr="005D0A56" w:rsidRDefault="00527C7C" w:rsidP="00410D7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5D0A56">
              <w:t>0.25%</w:t>
            </w:r>
            <w:r w:rsidR="00D71883" w:rsidRPr="00D71883">
              <w:rPr>
                <w:rFonts w:hint="eastAsia"/>
              </w:rPr>
              <w:t>(</w:t>
            </w:r>
            <w:r w:rsidR="00D71883" w:rsidRPr="00D71883">
              <w:rPr>
                <w:rFonts w:hint="eastAsia"/>
              </w:rPr>
              <w:t>央行擔保放款融通利率減</w:t>
            </w:r>
            <w:r w:rsidR="00D71883" w:rsidRPr="00D71883">
              <w:rPr>
                <w:rFonts w:hint="eastAsia"/>
              </w:rPr>
              <w:t xml:space="preserve"> 1.25</w:t>
            </w:r>
            <w:r w:rsidR="00D71883" w:rsidRPr="00D71883">
              <w:rPr>
                <w:rFonts w:hint="eastAsia"/>
              </w:rPr>
              <w:t>個百分點</w:t>
            </w:r>
            <w:r w:rsidR="00D71883" w:rsidRPr="00D71883">
              <w:rPr>
                <w:rFonts w:hint="eastAsia"/>
              </w:rPr>
              <w:t>)</w:t>
            </w:r>
          </w:p>
        </w:tc>
      </w:tr>
      <w:tr w:rsidR="00527C7C" w:rsidRPr="005D0A56" w:rsidTr="00966947">
        <w:trPr>
          <w:jc w:val="center"/>
        </w:trPr>
        <w:tc>
          <w:tcPr>
            <w:tcW w:w="1759" w:type="dxa"/>
            <w:vMerge/>
          </w:tcPr>
          <w:p w:rsidR="00527C7C" w:rsidRPr="005D0A56" w:rsidRDefault="00527C7C" w:rsidP="00410D70">
            <w:pPr>
              <w:pStyle w:val="a3"/>
              <w:spacing w:line="480" w:lineRule="exact"/>
              <w:ind w:left="0" w:firstLine="0"/>
            </w:pPr>
          </w:p>
        </w:tc>
        <w:tc>
          <w:tcPr>
            <w:tcW w:w="2501" w:type="dxa"/>
            <w:tcBorders>
              <w:right w:val="single" w:sz="4" w:space="0" w:color="auto"/>
            </w:tcBorders>
          </w:tcPr>
          <w:p w:rsidR="00527C7C" w:rsidRPr="005D0A56" w:rsidRDefault="00D71883" w:rsidP="00BA22E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D71883">
              <w:rPr>
                <w:rFonts w:hint="eastAsia"/>
              </w:rPr>
              <w:t>專案融通額度</w:t>
            </w:r>
          </w:p>
        </w:tc>
        <w:tc>
          <w:tcPr>
            <w:tcW w:w="5210" w:type="dxa"/>
            <w:tcBorders>
              <w:left w:val="single" w:sz="4" w:space="0" w:color="auto"/>
            </w:tcBorders>
          </w:tcPr>
          <w:p w:rsidR="00527C7C" w:rsidRPr="005D0A56" w:rsidRDefault="00DD793E" w:rsidP="00410D7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5D0A56">
              <w:t>暫訂</w:t>
            </w:r>
            <w:r w:rsidR="00527C7C" w:rsidRPr="005D0A56">
              <w:t>新臺幣</w:t>
            </w:r>
            <w:r w:rsidR="00527C7C" w:rsidRPr="005D0A56">
              <w:t>2,000</w:t>
            </w:r>
            <w:r w:rsidR="00527C7C" w:rsidRPr="005D0A56">
              <w:t>億元</w:t>
            </w:r>
          </w:p>
        </w:tc>
      </w:tr>
      <w:tr w:rsidR="00527C7C" w:rsidRPr="005D0A56" w:rsidTr="00966947">
        <w:trPr>
          <w:jc w:val="center"/>
        </w:trPr>
        <w:tc>
          <w:tcPr>
            <w:tcW w:w="1759" w:type="dxa"/>
            <w:vMerge/>
          </w:tcPr>
          <w:p w:rsidR="00527C7C" w:rsidRPr="005D0A56" w:rsidRDefault="00527C7C" w:rsidP="00410D70">
            <w:pPr>
              <w:pStyle w:val="a3"/>
              <w:spacing w:line="480" w:lineRule="exact"/>
              <w:ind w:left="0" w:firstLine="0"/>
            </w:pPr>
          </w:p>
        </w:tc>
        <w:tc>
          <w:tcPr>
            <w:tcW w:w="2501" w:type="dxa"/>
            <w:tcBorders>
              <w:right w:val="single" w:sz="4" w:space="0" w:color="auto"/>
            </w:tcBorders>
          </w:tcPr>
          <w:p w:rsidR="00527C7C" w:rsidRPr="005D0A56" w:rsidRDefault="00D71883" w:rsidP="00BA22E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D71883">
              <w:rPr>
                <w:rFonts w:hint="eastAsia"/>
              </w:rPr>
              <w:t>適用期限</w:t>
            </w:r>
          </w:p>
        </w:tc>
        <w:tc>
          <w:tcPr>
            <w:tcW w:w="5210" w:type="dxa"/>
            <w:tcBorders>
              <w:left w:val="single" w:sz="4" w:space="0" w:color="auto"/>
            </w:tcBorders>
          </w:tcPr>
          <w:p w:rsidR="00527C7C" w:rsidRPr="005D0A56" w:rsidRDefault="00527C7C" w:rsidP="008C21E8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5D0A56">
              <w:t>109.4.1~110.3.27</w:t>
            </w:r>
            <w:r w:rsidR="008C21E8" w:rsidRPr="00C8577B">
              <w:rPr>
                <w:rFonts w:hint="eastAsia"/>
              </w:rPr>
              <w:t>*</w:t>
            </w:r>
          </w:p>
        </w:tc>
      </w:tr>
      <w:tr w:rsidR="00966947" w:rsidRPr="005D0A56" w:rsidTr="00966947">
        <w:trPr>
          <w:jc w:val="center"/>
        </w:trPr>
        <w:tc>
          <w:tcPr>
            <w:tcW w:w="1759" w:type="dxa"/>
            <w:vMerge w:val="restart"/>
          </w:tcPr>
          <w:p w:rsidR="00966947" w:rsidRPr="005D0A56" w:rsidRDefault="00966947" w:rsidP="00410D70">
            <w:pPr>
              <w:pStyle w:val="a3"/>
              <w:spacing w:line="480" w:lineRule="exact"/>
              <w:ind w:left="0" w:firstLine="0"/>
            </w:pPr>
            <w:r w:rsidRPr="005D0A56">
              <w:t>銀行對企業貸款</w:t>
            </w:r>
          </w:p>
        </w:tc>
        <w:tc>
          <w:tcPr>
            <w:tcW w:w="2501" w:type="dxa"/>
            <w:tcBorders>
              <w:right w:val="single" w:sz="4" w:space="0" w:color="auto"/>
            </w:tcBorders>
          </w:tcPr>
          <w:p w:rsidR="00966947" w:rsidRPr="005D0A56" w:rsidRDefault="00966947" w:rsidP="00BA22E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D71883">
              <w:rPr>
                <w:rFonts w:hint="eastAsia"/>
              </w:rPr>
              <w:t>銀行貸款項目</w:t>
            </w:r>
          </w:p>
        </w:tc>
        <w:tc>
          <w:tcPr>
            <w:tcW w:w="5210" w:type="dxa"/>
            <w:tcBorders>
              <w:left w:val="single" w:sz="4" w:space="0" w:color="auto"/>
            </w:tcBorders>
          </w:tcPr>
          <w:p w:rsidR="00966947" w:rsidRPr="005D0A56" w:rsidRDefault="00966947" w:rsidP="00410D7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D71883">
              <w:rPr>
                <w:rFonts w:hint="eastAsia"/>
              </w:rPr>
              <w:t>銀行自行評估受</w:t>
            </w:r>
            <w:proofErr w:type="gramStart"/>
            <w:r w:rsidRPr="00D71883">
              <w:rPr>
                <w:rFonts w:hint="eastAsia"/>
              </w:rPr>
              <w:t>疫</w:t>
            </w:r>
            <w:proofErr w:type="gramEnd"/>
            <w:r w:rsidRPr="00D71883">
              <w:rPr>
                <w:rFonts w:hint="eastAsia"/>
              </w:rPr>
              <w:t>情影響之中小企業擔保放款</w:t>
            </w:r>
          </w:p>
        </w:tc>
      </w:tr>
      <w:tr w:rsidR="00966947" w:rsidRPr="005D0A56" w:rsidTr="00966947">
        <w:trPr>
          <w:jc w:val="center"/>
        </w:trPr>
        <w:tc>
          <w:tcPr>
            <w:tcW w:w="1759" w:type="dxa"/>
            <w:vMerge/>
          </w:tcPr>
          <w:p w:rsidR="00966947" w:rsidRPr="005D0A56" w:rsidRDefault="00966947" w:rsidP="00410D70">
            <w:pPr>
              <w:pStyle w:val="a3"/>
              <w:spacing w:line="480" w:lineRule="exact"/>
              <w:ind w:left="0"/>
            </w:pPr>
          </w:p>
        </w:tc>
        <w:tc>
          <w:tcPr>
            <w:tcW w:w="2501" w:type="dxa"/>
            <w:tcBorders>
              <w:right w:val="single" w:sz="4" w:space="0" w:color="auto"/>
            </w:tcBorders>
          </w:tcPr>
          <w:p w:rsidR="00966947" w:rsidRPr="005D0A56" w:rsidRDefault="00966947" w:rsidP="00BA22E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D71883">
              <w:rPr>
                <w:rFonts w:hint="eastAsia"/>
              </w:rPr>
              <w:t>銀行貸款用途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</w:tcBorders>
          </w:tcPr>
          <w:p w:rsidR="00966947" w:rsidRPr="005D0A56" w:rsidRDefault="00966947" w:rsidP="00410D7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D71883">
              <w:rPr>
                <w:rFonts w:hint="eastAsia"/>
              </w:rPr>
              <w:t>企業營運週轉需求</w:t>
            </w:r>
          </w:p>
        </w:tc>
      </w:tr>
      <w:tr w:rsidR="00966947" w:rsidRPr="005D0A56" w:rsidTr="00966947">
        <w:trPr>
          <w:jc w:val="center"/>
        </w:trPr>
        <w:tc>
          <w:tcPr>
            <w:tcW w:w="1759" w:type="dxa"/>
            <w:vMerge/>
          </w:tcPr>
          <w:p w:rsidR="00966947" w:rsidRPr="005D0A56" w:rsidRDefault="00966947" w:rsidP="00410D70">
            <w:pPr>
              <w:pStyle w:val="a3"/>
              <w:spacing w:line="480" w:lineRule="exact"/>
              <w:ind w:left="0" w:firstLine="0"/>
            </w:pPr>
          </w:p>
        </w:tc>
        <w:tc>
          <w:tcPr>
            <w:tcW w:w="2501" w:type="dxa"/>
            <w:vMerge w:val="restart"/>
            <w:tcBorders>
              <w:right w:val="single" w:sz="4" w:space="0" w:color="auto"/>
            </w:tcBorders>
          </w:tcPr>
          <w:p w:rsidR="00966947" w:rsidRPr="005D0A56" w:rsidRDefault="00966947" w:rsidP="00BA22E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D71883">
              <w:rPr>
                <w:rFonts w:hint="eastAsia"/>
              </w:rPr>
              <w:t>銀行貸款額度</w:t>
            </w:r>
            <w:r w:rsidRPr="00D71883">
              <w:rPr>
                <w:rFonts w:hint="eastAsia"/>
              </w:rPr>
              <w:cr/>
            </w:r>
            <w:r w:rsidRPr="00D71883">
              <w:rPr>
                <w:rFonts w:hint="eastAsia"/>
              </w:rPr>
              <w:t>及利率上限</w:t>
            </w:r>
          </w:p>
        </w:tc>
        <w:tc>
          <w:tcPr>
            <w:tcW w:w="5210" w:type="dxa"/>
            <w:tcBorders>
              <w:left w:val="single" w:sz="4" w:space="0" w:color="auto"/>
              <w:bottom w:val="nil"/>
            </w:tcBorders>
          </w:tcPr>
          <w:p w:rsidR="00966947" w:rsidRPr="005D0A56" w:rsidRDefault="00966947" w:rsidP="00410D70">
            <w:pPr>
              <w:pStyle w:val="a3"/>
              <w:numPr>
                <w:ilvl w:val="0"/>
                <w:numId w:val="2"/>
              </w:numPr>
              <w:spacing w:beforeLines="15" w:before="54" w:afterLines="15" w:after="54" w:line="480" w:lineRule="exact"/>
              <w:ind w:left="383" w:hanging="383"/>
            </w:pPr>
            <w:r w:rsidRPr="005D0A56">
              <w:t>信保保證</w:t>
            </w:r>
            <w:proofErr w:type="gramStart"/>
            <w:r w:rsidRPr="005D0A56">
              <w:t>9</w:t>
            </w:r>
            <w:r w:rsidRPr="005D0A56">
              <w:t>成</w:t>
            </w:r>
            <w:proofErr w:type="gramEnd"/>
            <w:r w:rsidRPr="005D0A56">
              <w:t>以上之新</w:t>
            </w:r>
            <w:proofErr w:type="gramStart"/>
            <w:r w:rsidRPr="005D0A56">
              <w:t>承作</w:t>
            </w:r>
            <w:proofErr w:type="gramEnd"/>
            <w:r w:rsidRPr="005D0A56">
              <w:t>放款：</w:t>
            </w:r>
          </w:p>
          <w:p w:rsidR="00966947" w:rsidRPr="005D0A56" w:rsidRDefault="00966947" w:rsidP="00410D70">
            <w:pPr>
              <w:pStyle w:val="a3"/>
              <w:numPr>
                <w:ilvl w:val="0"/>
                <w:numId w:val="1"/>
              </w:numPr>
              <w:spacing w:beforeLines="15" w:before="54" w:afterLines="15" w:after="54" w:line="480" w:lineRule="exact"/>
              <w:ind w:left="509" w:hanging="307"/>
            </w:pPr>
            <w:r w:rsidRPr="005D0A56">
              <w:t>每戶貸款額度最高</w:t>
            </w:r>
            <w:r w:rsidRPr="005D0A56">
              <w:t>200</w:t>
            </w:r>
            <w:r w:rsidRPr="005D0A56">
              <w:t>萬元</w:t>
            </w:r>
          </w:p>
          <w:p w:rsidR="00966947" w:rsidRPr="005D0A56" w:rsidRDefault="00966947" w:rsidP="00410D70">
            <w:pPr>
              <w:pStyle w:val="a3"/>
              <w:numPr>
                <w:ilvl w:val="0"/>
                <w:numId w:val="1"/>
              </w:numPr>
              <w:spacing w:beforeLines="15" w:before="54" w:afterLines="15" w:after="54" w:line="480" w:lineRule="exact"/>
              <w:ind w:left="509" w:hanging="307"/>
            </w:pPr>
            <w:r w:rsidRPr="005D0A56">
              <w:t>年利率不超過</w:t>
            </w:r>
            <w:r w:rsidRPr="005D0A56">
              <w:t>1%(</w:t>
            </w:r>
            <w:r w:rsidRPr="005D0A56">
              <w:t>央行專案融通利率加</w:t>
            </w:r>
            <w:r w:rsidRPr="005D0A56">
              <w:t>0.75</w:t>
            </w:r>
            <w:r w:rsidRPr="005D0A56">
              <w:t>個百分點</w:t>
            </w:r>
            <w:r w:rsidRPr="005D0A56">
              <w:t>)</w:t>
            </w:r>
          </w:p>
        </w:tc>
      </w:tr>
      <w:tr w:rsidR="00966947" w:rsidRPr="005D0A56" w:rsidTr="00966947">
        <w:trPr>
          <w:jc w:val="center"/>
        </w:trPr>
        <w:tc>
          <w:tcPr>
            <w:tcW w:w="1759" w:type="dxa"/>
            <w:vMerge/>
          </w:tcPr>
          <w:p w:rsidR="00966947" w:rsidRPr="005D0A56" w:rsidRDefault="00966947" w:rsidP="00410D70">
            <w:pPr>
              <w:pStyle w:val="a3"/>
              <w:spacing w:line="480" w:lineRule="exact"/>
              <w:ind w:left="0" w:firstLine="0"/>
            </w:pPr>
          </w:p>
        </w:tc>
        <w:tc>
          <w:tcPr>
            <w:tcW w:w="2501" w:type="dxa"/>
            <w:vMerge/>
            <w:tcBorders>
              <w:right w:val="single" w:sz="4" w:space="0" w:color="auto"/>
            </w:tcBorders>
          </w:tcPr>
          <w:p w:rsidR="00966947" w:rsidRPr="005D0A56" w:rsidRDefault="00966947" w:rsidP="00410D70">
            <w:pPr>
              <w:pStyle w:val="a3"/>
              <w:spacing w:beforeLines="15" w:before="54" w:afterLines="15" w:after="54" w:line="480" w:lineRule="exact"/>
              <w:ind w:left="0" w:firstLine="0"/>
            </w:pP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6947" w:rsidRPr="005D0A56" w:rsidRDefault="00BB52F3" w:rsidP="00410D70">
            <w:pPr>
              <w:pStyle w:val="a3"/>
              <w:numPr>
                <w:ilvl w:val="0"/>
                <w:numId w:val="2"/>
              </w:numPr>
              <w:spacing w:beforeLines="15" w:before="54" w:afterLines="15" w:after="54" w:line="480" w:lineRule="exact"/>
              <w:ind w:left="383" w:hanging="383"/>
            </w:pPr>
            <w:r>
              <w:rPr>
                <w:rFonts w:hint="eastAsia"/>
              </w:rPr>
              <w:t>由</w:t>
            </w:r>
            <w:proofErr w:type="gramStart"/>
            <w:r w:rsidR="00966947" w:rsidRPr="005D0A56">
              <w:t>銀行徵提擔保</w:t>
            </w:r>
            <w:proofErr w:type="gramEnd"/>
            <w:r w:rsidR="00966947" w:rsidRPr="005D0A56">
              <w:t>品之新</w:t>
            </w:r>
            <w:proofErr w:type="gramStart"/>
            <w:r w:rsidR="00966947" w:rsidRPr="005D0A56">
              <w:t>承作</w:t>
            </w:r>
            <w:proofErr w:type="gramEnd"/>
            <w:r w:rsidR="00966947" w:rsidRPr="005D0A56">
              <w:t>放款：</w:t>
            </w:r>
          </w:p>
          <w:p w:rsidR="00966947" w:rsidRPr="005D0A56" w:rsidRDefault="00966947" w:rsidP="00410D70">
            <w:pPr>
              <w:pStyle w:val="a3"/>
              <w:numPr>
                <w:ilvl w:val="0"/>
                <w:numId w:val="1"/>
              </w:numPr>
              <w:spacing w:beforeLines="15" w:before="54" w:afterLines="15" w:after="54" w:line="480" w:lineRule="exact"/>
              <w:ind w:left="509" w:hanging="307"/>
            </w:pPr>
            <w:r w:rsidRPr="005D0A56">
              <w:t>每戶貸款額度最高</w:t>
            </w:r>
            <w:r w:rsidRPr="005D0A56">
              <w:t>600</w:t>
            </w:r>
            <w:r w:rsidRPr="005D0A56">
              <w:t>萬元</w:t>
            </w:r>
          </w:p>
          <w:p w:rsidR="00966947" w:rsidRPr="005D0A56" w:rsidRDefault="00966947" w:rsidP="00DD793E">
            <w:pPr>
              <w:pStyle w:val="a3"/>
              <w:numPr>
                <w:ilvl w:val="0"/>
                <w:numId w:val="1"/>
              </w:numPr>
              <w:spacing w:beforeLines="15" w:before="54" w:afterLines="15" w:after="54" w:line="480" w:lineRule="exact"/>
              <w:ind w:left="509" w:hanging="307"/>
            </w:pPr>
            <w:r w:rsidRPr="005D0A56">
              <w:t>年利率不超過</w:t>
            </w:r>
            <w:r w:rsidRPr="005D0A56">
              <w:t>1.5%(</w:t>
            </w:r>
            <w:r w:rsidRPr="005D0A56">
              <w:t>央行專案融通利率加</w:t>
            </w:r>
            <w:r w:rsidRPr="005D0A56">
              <w:t>1.25</w:t>
            </w:r>
            <w:r w:rsidRPr="005D0A56">
              <w:t>個百分點</w:t>
            </w:r>
            <w:r w:rsidRPr="005D0A56">
              <w:t>)</w:t>
            </w:r>
          </w:p>
        </w:tc>
      </w:tr>
      <w:tr w:rsidR="00966947" w:rsidRPr="005D0A56" w:rsidTr="00966947">
        <w:trPr>
          <w:jc w:val="center"/>
        </w:trPr>
        <w:tc>
          <w:tcPr>
            <w:tcW w:w="1759" w:type="dxa"/>
            <w:vMerge/>
          </w:tcPr>
          <w:p w:rsidR="00966947" w:rsidRPr="005D0A56" w:rsidRDefault="00966947" w:rsidP="00410D70">
            <w:pPr>
              <w:pStyle w:val="a3"/>
              <w:spacing w:line="480" w:lineRule="exact"/>
              <w:ind w:left="0" w:firstLine="0"/>
            </w:pPr>
          </w:p>
        </w:tc>
        <w:tc>
          <w:tcPr>
            <w:tcW w:w="2501" w:type="dxa"/>
            <w:tcBorders>
              <w:right w:val="single" w:sz="4" w:space="0" w:color="auto"/>
            </w:tcBorders>
          </w:tcPr>
          <w:p w:rsidR="00966947" w:rsidRPr="005D0A56" w:rsidRDefault="00966947" w:rsidP="00BA22E0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D71883">
              <w:rPr>
                <w:rFonts w:hint="eastAsia"/>
              </w:rPr>
              <w:t>搭配使用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</w:tcBorders>
          </w:tcPr>
          <w:p w:rsidR="00966947" w:rsidRPr="005D0A56" w:rsidRDefault="00966947" w:rsidP="004B0A8F">
            <w:pPr>
              <w:pStyle w:val="a3"/>
              <w:spacing w:beforeLines="15" w:before="54" w:afterLines="15" w:after="54" w:line="480" w:lineRule="exact"/>
              <w:ind w:left="0" w:firstLine="0"/>
            </w:pPr>
            <w:r w:rsidRPr="00D71883">
              <w:rPr>
                <w:rFonts w:hint="eastAsia"/>
              </w:rPr>
              <w:t>本項貸款可</w:t>
            </w:r>
            <w:r w:rsidR="004B0A8F" w:rsidRPr="00D71883">
              <w:rPr>
                <w:rFonts w:hint="eastAsia"/>
              </w:rPr>
              <w:t>搭配</w:t>
            </w:r>
            <w:r w:rsidRPr="00D71883">
              <w:rPr>
                <w:rFonts w:hint="eastAsia"/>
              </w:rPr>
              <w:t>政府</w:t>
            </w:r>
            <w:r w:rsidR="004B0A8F">
              <w:rPr>
                <w:rFonts w:hint="eastAsia"/>
              </w:rPr>
              <w:t>相關</w:t>
            </w:r>
            <w:r w:rsidRPr="00D71883">
              <w:rPr>
                <w:rFonts w:hint="eastAsia"/>
              </w:rPr>
              <w:t>紓困</w:t>
            </w:r>
            <w:r w:rsidR="004B0A8F">
              <w:rPr>
                <w:rFonts w:hint="eastAsia"/>
              </w:rPr>
              <w:t>振興</w:t>
            </w:r>
            <w:r w:rsidRPr="00D71883">
              <w:rPr>
                <w:rFonts w:hint="eastAsia"/>
              </w:rPr>
              <w:t>貸款措施</w:t>
            </w:r>
          </w:p>
        </w:tc>
      </w:tr>
    </w:tbl>
    <w:p w:rsidR="00765C90" w:rsidRPr="00C8577B" w:rsidRDefault="008C21E8" w:rsidP="00C8577B">
      <w:pPr>
        <w:ind w:firstLineChars="59" w:firstLine="165"/>
        <w:rPr>
          <w:rFonts w:eastAsia="標楷體"/>
          <w:sz w:val="28"/>
          <w:szCs w:val="28"/>
        </w:rPr>
      </w:pPr>
      <w:r w:rsidRPr="00C8577B">
        <w:rPr>
          <w:rFonts w:eastAsia="標楷體" w:hint="eastAsia"/>
          <w:sz w:val="28"/>
          <w:szCs w:val="28"/>
        </w:rPr>
        <w:t>*</w:t>
      </w:r>
      <w:r w:rsidRPr="00C8577B">
        <w:rPr>
          <w:rFonts w:eastAsia="標楷體" w:hint="eastAsia"/>
          <w:sz w:val="28"/>
          <w:szCs w:val="28"/>
        </w:rPr>
        <w:t>中央銀行法</w:t>
      </w:r>
      <w:r w:rsidR="00186C0D">
        <w:rPr>
          <w:rFonts w:eastAsia="標楷體" w:hint="eastAsia"/>
          <w:sz w:val="28"/>
          <w:szCs w:val="28"/>
        </w:rPr>
        <w:t>第</w:t>
      </w:r>
      <w:r w:rsidR="00186C0D">
        <w:rPr>
          <w:rFonts w:eastAsia="標楷體" w:hint="eastAsia"/>
          <w:sz w:val="28"/>
          <w:szCs w:val="28"/>
        </w:rPr>
        <w:t>19</w:t>
      </w:r>
      <w:r w:rsidR="00186C0D">
        <w:rPr>
          <w:rFonts w:eastAsia="標楷體" w:hint="eastAsia"/>
          <w:sz w:val="28"/>
          <w:szCs w:val="28"/>
        </w:rPr>
        <w:t>條</w:t>
      </w:r>
      <w:r w:rsidRPr="00C8577B">
        <w:rPr>
          <w:rFonts w:eastAsia="標楷體" w:hint="eastAsia"/>
          <w:sz w:val="28"/>
          <w:szCs w:val="28"/>
        </w:rPr>
        <w:t>規定</w:t>
      </w:r>
      <w:r w:rsidR="00186C0D">
        <w:rPr>
          <w:rFonts w:eastAsia="標楷體" w:hint="eastAsia"/>
          <w:sz w:val="28"/>
          <w:szCs w:val="28"/>
        </w:rPr>
        <w:t>，</w:t>
      </w:r>
      <w:bookmarkStart w:id="0" w:name="_GoBack"/>
      <w:bookmarkEnd w:id="0"/>
      <w:r w:rsidRPr="00C8577B">
        <w:rPr>
          <w:rFonts w:eastAsia="標楷體" w:hint="eastAsia"/>
          <w:sz w:val="28"/>
          <w:szCs w:val="28"/>
        </w:rPr>
        <w:t>擔保放款再融通之期限最長</w:t>
      </w:r>
      <w:r w:rsidRPr="00C8577B">
        <w:rPr>
          <w:rFonts w:eastAsia="標楷體" w:hint="eastAsia"/>
          <w:sz w:val="28"/>
          <w:szCs w:val="28"/>
        </w:rPr>
        <w:t>360</w:t>
      </w:r>
      <w:r w:rsidRPr="00C8577B">
        <w:rPr>
          <w:rFonts w:eastAsia="標楷體" w:hint="eastAsia"/>
          <w:sz w:val="28"/>
          <w:szCs w:val="28"/>
        </w:rPr>
        <w:t>天。</w:t>
      </w:r>
    </w:p>
    <w:sectPr w:rsidR="00765C90" w:rsidRPr="00C8577B" w:rsidSect="00527C7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83" w:rsidRDefault="00D71883" w:rsidP="00D71883">
      <w:r>
        <w:separator/>
      </w:r>
    </w:p>
  </w:endnote>
  <w:endnote w:type="continuationSeparator" w:id="0">
    <w:p w:rsidR="00D71883" w:rsidRDefault="00D71883" w:rsidP="00D7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83" w:rsidRDefault="00D71883" w:rsidP="00D71883">
      <w:r>
        <w:separator/>
      </w:r>
    </w:p>
  </w:footnote>
  <w:footnote w:type="continuationSeparator" w:id="0">
    <w:p w:rsidR="00D71883" w:rsidRDefault="00D71883" w:rsidP="00D7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A92"/>
    <w:multiLevelType w:val="hybridMultilevel"/>
    <w:tmpl w:val="411C21AA"/>
    <w:lvl w:ilvl="0" w:tplc="B734D16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CBF2F0D"/>
    <w:multiLevelType w:val="hybridMultilevel"/>
    <w:tmpl w:val="DAA21F5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7C"/>
    <w:rsid w:val="00186C0D"/>
    <w:rsid w:val="00301124"/>
    <w:rsid w:val="00410D70"/>
    <w:rsid w:val="00465C2A"/>
    <w:rsid w:val="004B0A8F"/>
    <w:rsid w:val="00527C7C"/>
    <w:rsid w:val="005D0A56"/>
    <w:rsid w:val="007521D5"/>
    <w:rsid w:val="00765C90"/>
    <w:rsid w:val="008C21E8"/>
    <w:rsid w:val="00961A53"/>
    <w:rsid w:val="00966947"/>
    <w:rsid w:val="00B5266E"/>
    <w:rsid w:val="00BA22E0"/>
    <w:rsid w:val="00BB52F3"/>
    <w:rsid w:val="00C8577B"/>
    <w:rsid w:val="00D71883"/>
    <w:rsid w:val="00D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rsid w:val="00527C7C"/>
    <w:pPr>
      <w:spacing w:after="0" w:line="500" w:lineRule="exact"/>
      <w:ind w:leftChars="0" w:left="981" w:hanging="981"/>
      <w:jc w:val="both"/>
    </w:pPr>
    <w:rPr>
      <w:rFonts w:eastAsia="標楷體"/>
      <w:sz w:val="32"/>
      <w:szCs w:val="32"/>
    </w:rPr>
  </w:style>
  <w:style w:type="table" w:styleId="a5">
    <w:name w:val="Table Grid"/>
    <w:basedOn w:val="a1"/>
    <w:uiPriority w:val="59"/>
    <w:rsid w:val="00527C7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6"/>
    <w:uiPriority w:val="99"/>
    <w:semiHidden/>
    <w:unhideWhenUsed/>
    <w:rsid w:val="00527C7C"/>
    <w:pPr>
      <w:spacing w:after="120"/>
      <w:ind w:leftChars="200" w:left="480"/>
    </w:pPr>
  </w:style>
  <w:style w:type="character" w:customStyle="1" w:styleId="a6">
    <w:name w:val="本文縮排 字元"/>
    <w:basedOn w:val="a0"/>
    <w:link w:val="a4"/>
    <w:uiPriority w:val="99"/>
    <w:semiHidden/>
    <w:rsid w:val="00527C7C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0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0D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71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7188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71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7188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4"/>
    <w:rsid w:val="00527C7C"/>
    <w:pPr>
      <w:spacing w:after="0" w:line="500" w:lineRule="exact"/>
      <w:ind w:leftChars="0" w:left="981" w:hanging="981"/>
      <w:jc w:val="both"/>
    </w:pPr>
    <w:rPr>
      <w:rFonts w:eastAsia="標楷體"/>
      <w:sz w:val="32"/>
      <w:szCs w:val="32"/>
    </w:rPr>
  </w:style>
  <w:style w:type="table" w:styleId="a5">
    <w:name w:val="Table Grid"/>
    <w:basedOn w:val="a1"/>
    <w:uiPriority w:val="59"/>
    <w:rsid w:val="00527C7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6"/>
    <w:uiPriority w:val="99"/>
    <w:semiHidden/>
    <w:unhideWhenUsed/>
    <w:rsid w:val="00527C7C"/>
    <w:pPr>
      <w:spacing w:after="120"/>
      <w:ind w:leftChars="200" w:left="480"/>
    </w:pPr>
  </w:style>
  <w:style w:type="character" w:customStyle="1" w:styleId="a6">
    <w:name w:val="本文縮排 字元"/>
    <w:basedOn w:val="a0"/>
    <w:link w:val="a4"/>
    <w:uiPriority w:val="99"/>
    <w:semiHidden/>
    <w:rsid w:val="00527C7C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0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0D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71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7188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71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718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</dc:creator>
  <cp:lastModifiedBy>CBC</cp:lastModifiedBy>
  <cp:revision>17</cp:revision>
  <cp:lastPrinted>2020-03-24T08:32:00Z</cp:lastPrinted>
  <dcterms:created xsi:type="dcterms:W3CDTF">2020-03-24T07:00:00Z</dcterms:created>
  <dcterms:modified xsi:type="dcterms:W3CDTF">2020-03-24T08:34:00Z</dcterms:modified>
</cp:coreProperties>
</file>