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75" w:rsidRDefault="0000746C" w:rsidP="00E1793D">
      <w:pPr>
        <w:spacing w:afterLines="50" w:after="180" w:line="500" w:lineRule="exact"/>
        <w:jc w:val="both"/>
        <w:rPr>
          <w:rFonts w:ascii="標楷體" w:eastAsia="標楷體" w:hAnsi="標楷體"/>
          <w:sz w:val="32"/>
          <w:szCs w:val="32"/>
        </w:rPr>
      </w:pPr>
      <w:bookmarkStart w:id="0" w:name="_GoBack"/>
      <w:bookmarkEnd w:id="0"/>
      <w:r w:rsidRPr="00734717">
        <w:rPr>
          <w:rFonts w:ascii="標楷體" w:eastAsia="標楷體" w:hAnsi="標楷體" w:hint="eastAsia"/>
          <w:sz w:val="32"/>
          <w:szCs w:val="32"/>
        </w:rPr>
        <w:t>銀行業辦理外匯業務作業規範</w:t>
      </w:r>
      <w:r w:rsidR="00BA66B3">
        <w:rPr>
          <w:rFonts w:ascii="標楷體" w:eastAsia="標楷體" w:hAnsi="標楷體" w:hint="eastAsia"/>
          <w:sz w:val="32"/>
          <w:szCs w:val="32"/>
        </w:rPr>
        <w:t>部分規定</w:t>
      </w:r>
      <w:r w:rsidRPr="00734717">
        <w:rPr>
          <w:rFonts w:ascii="標楷體" w:eastAsia="標楷體" w:hAnsi="標楷體" w:hint="eastAsia"/>
          <w:sz w:val="32"/>
          <w:szCs w:val="32"/>
        </w:rPr>
        <w:t>修正</w:t>
      </w:r>
      <w:r w:rsidR="00E1793D">
        <w:rPr>
          <w:rFonts w:ascii="標楷體" w:eastAsia="標楷體" w:hAnsi="標楷體" w:hint="eastAsia"/>
          <w:sz w:val="32"/>
          <w:szCs w:val="32"/>
        </w:rPr>
        <w:t>規定</w:t>
      </w:r>
    </w:p>
    <w:p w:rsidR="002B1488" w:rsidRPr="002B1488" w:rsidRDefault="002B1488" w:rsidP="002B1488">
      <w:pPr>
        <w:spacing w:line="500" w:lineRule="exact"/>
        <w:ind w:left="560" w:hangingChars="200" w:hanging="560"/>
        <w:jc w:val="both"/>
        <w:rPr>
          <w:rFonts w:ascii="標楷體" w:eastAsia="標楷體" w:hAnsi="標楷體"/>
          <w:sz w:val="28"/>
          <w:szCs w:val="28"/>
        </w:rPr>
      </w:pPr>
      <w:r w:rsidRPr="002B1488">
        <w:rPr>
          <w:rFonts w:ascii="標楷體" w:eastAsia="標楷體" w:hAnsi="標楷體" w:hint="eastAsia"/>
          <w:sz w:val="28"/>
          <w:szCs w:val="28"/>
        </w:rPr>
        <w:t>四、指定銀行及中華郵政股份有限公司所屬郵局辦理一般匯出及匯入匯款業務，應依下列規定辦理：</w:t>
      </w:r>
    </w:p>
    <w:p w:rsidR="002B1488" w:rsidRPr="002B1488" w:rsidRDefault="002B1488" w:rsidP="002B1488">
      <w:pPr>
        <w:spacing w:line="500" w:lineRule="exact"/>
        <w:ind w:leftChars="200" w:left="1320" w:hangingChars="300" w:hanging="840"/>
        <w:jc w:val="both"/>
        <w:rPr>
          <w:rFonts w:ascii="標楷體" w:eastAsia="標楷體" w:hAnsi="標楷體"/>
          <w:sz w:val="28"/>
          <w:szCs w:val="28"/>
        </w:rPr>
      </w:pPr>
      <w:r w:rsidRPr="002B1488">
        <w:rPr>
          <w:rFonts w:ascii="標楷體" w:eastAsia="標楷體" w:hAnsi="標楷體" w:hint="eastAsia"/>
          <w:sz w:val="28"/>
          <w:szCs w:val="28"/>
        </w:rPr>
        <w:t>（一）匯出匯款業務：</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1.憑辦文件：應憑顧客填具有關文件及查驗身分文件或基本登記資料後辦理；其中公司、行號部分，應查詢經濟部全國商工行政服務入口網站之「公司登記查詢」、「商業登記查詢」確認公司、行號基本登記資料。另以新臺幣結購且每筆結購金額達新臺幣五十萬元等值外幣者，應依「外匯收支或交易申報辦法」（以下簡稱申報辦法）及「銀行業輔導客戶申報外匯收支或交易應注意事項」（以下簡稱應注意事項）辦理，並確實輔導申報義務人詳實申報。</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2.掣發單證：匯出款項以新臺幣結購者，應掣發賣匯水單；其未以新臺幣結購者，應掣發其他交易憑證。</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3.發送電文：應包含必要之受款人資訊及匯款人下列資料；上述必要之受款人資訊，由本行另定之：</w:t>
      </w:r>
    </w:p>
    <w:p w:rsidR="002B1488" w:rsidRPr="002B1488" w:rsidRDefault="002B1488" w:rsidP="002B1488">
      <w:pPr>
        <w:spacing w:line="500" w:lineRule="exact"/>
        <w:ind w:leftChars="600" w:left="2140" w:hangingChars="250" w:hanging="700"/>
        <w:jc w:val="both"/>
        <w:rPr>
          <w:rFonts w:ascii="標楷體" w:eastAsia="標楷體" w:hAnsi="標楷體"/>
          <w:sz w:val="28"/>
          <w:szCs w:val="28"/>
        </w:rPr>
      </w:pPr>
      <w:r w:rsidRPr="002B1488">
        <w:rPr>
          <w:rFonts w:ascii="標楷體" w:eastAsia="標楷體" w:hAnsi="標楷體" w:hint="eastAsia"/>
          <w:sz w:val="28"/>
          <w:szCs w:val="28"/>
        </w:rPr>
        <w:t xml:space="preserve"> (1)</w:t>
      </w:r>
      <w:r>
        <w:rPr>
          <w:rFonts w:ascii="標楷體" w:eastAsia="標楷體" w:hAnsi="標楷體" w:hint="eastAsia"/>
          <w:sz w:val="28"/>
          <w:szCs w:val="28"/>
        </w:rPr>
        <w:t xml:space="preserve"> </w:t>
      </w:r>
      <w:r w:rsidRPr="002B1488">
        <w:rPr>
          <w:rFonts w:ascii="標楷體" w:eastAsia="標楷體" w:hAnsi="標楷體" w:hint="eastAsia"/>
          <w:sz w:val="28"/>
          <w:szCs w:val="28"/>
        </w:rPr>
        <w:t>全名。</w:t>
      </w:r>
    </w:p>
    <w:p w:rsidR="002B1488" w:rsidRPr="002B1488" w:rsidRDefault="002B1488" w:rsidP="002B1488">
      <w:pPr>
        <w:spacing w:line="500" w:lineRule="exact"/>
        <w:ind w:leftChars="650" w:left="2120" w:hangingChars="200" w:hanging="560"/>
        <w:jc w:val="both"/>
        <w:rPr>
          <w:rFonts w:ascii="標楷體" w:eastAsia="標楷體" w:hAnsi="標楷體"/>
          <w:sz w:val="28"/>
          <w:szCs w:val="28"/>
        </w:rPr>
      </w:pPr>
      <w:r w:rsidRPr="002B1488">
        <w:rPr>
          <w:rFonts w:ascii="標楷體" w:eastAsia="標楷體" w:hAnsi="標楷體" w:hint="eastAsia"/>
          <w:sz w:val="28"/>
          <w:szCs w:val="28"/>
        </w:rPr>
        <w:t>(2)</w:t>
      </w:r>
      <w:r>
        <w:rPr>
          <w:rFonts w:ascii="標楷體" w:eastAsia="標楷體" w:hAnsi="標楷體" w:hint="eastAsia"/>
          <w:sz w:val="28"/>
          <w:szCs w:val="28"/>
        </w:rPr>
        <w:t xml:space="preserve"> </w:t>
      </w:r>
      <w:r w:rsidRPr="002B1488">
        <w:rPr>
          <w:rFonts w:ascii="標楷體" w:eastAsia="標楷體" w:hAnsi="標楷體" w:hint="eastAsia"/>
          <w:sz w:val="28"/>
          <w:szCs w:val="28"/>
        </w:rPr>
        <w:t>帳號。匯款人未於匯款行開立帳戶者，匯款行得以可查證該項匯款之序號代替之。</w:t>
      </w:r>
    </w:p>
    <w:p w:rsidR="002B1488" w:rsidRPr="002B1488" w:rsidRDefault="002B1488" w:rsidP="002B1488">
      <w:pPr>
        <w:spacing w:line="500" w:lineRule="exact"/>
        <w:ind w:leftChars="650" w:left="2120" w:hangingChars="200" w:hanging="560"/>
        <w:jc w:val="both"/>
        <w:rPr>
          <w:rFonts w:ascii="標楷體" w:eastAsia="標楷體" w:hAnsi="標楷體"/>
          <w:sz w:val="28"/>
          <w:szCs w:val="28"/>
        </w:rPr>
      </w:pPr>
      <w:r w:rsidRPr="002B1488">
        <w:rPr>
          <w:rFonts w:ascii="標楷體" w:eastAsia="標楷體" w:hAnsi="標楷體" w:hint="eastAsia"/>
          <w:sz w:val="28"/>
          <w:szCs w:val="28"/>
        </w:rPr>
        <w:t>(3)</w:t>
      </w:r>
      <w:r>
        <w:rPr>
          <w:rFonts w:ascii="標楷體" w:eastAsia="標楷體" w:hAnsi="標楷體" w:hint="eastAsia"/>
          <w:sz w:val="28"/>
          <w:szCs w:val="28"/>
        </w:rPr>
        <w:t xml:space="preserve"> </w:t>
      </w:r>
      <w:r w:rsidRPr="002B1488">
        <w:rPr>
          <w:rFonts w:ascii="標楷體" w:eastAsia="標楷體" w:hAnsi="標楷體" w:hint="eastAsia"/>
          <w:sz w:val="28"/>
          <w:szCs w:val="28"/>
        </w:rPr>
        <w:t>地址。匯款行得視實際狀況以其身分證號碼、護照號碼或居留證號碼代替之。</w:t>
      </w:r>
    </w:p>
    <w:p w:rsidR="002B1488" w:rsidRPr="002B1488" w:rsidRDefault="002B1488" w:rsidP="002B1488">
      <w:pPr>
        <w:spacing w:line="500" w:lineRule="exact"/>
        <w:ind w:leftChars="200" w:left="1320" w:hangingChars="300" w:hanging="840"/>
        <w:jc w:val="both"/>
        <w:rPr>
          <w:rFonts w:ascii="標楷體" w:eastAsia="標楷體" w:hAnsi="標楷體"/>
          <w:sz w:val="28"/>
          <w:szCs w:val="28"/>
        </w:rPr>
      </w:pPr>
      <w:r w:rsidRPr="002B1488">
        <w:rPr>
          <w:rFonts w:ascii="標楷體" w:eastAsia="標楷體" w:hAnsi="標楷體" w:hint="eastAsia"/>
          <w:sz w:val="28"/>
          <w:szCs w:val="28"/>
        </w:rPr>
        <w:t>（二）匯入匯款業務：</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1.憑辦文件：應憑匯入匯款通知書、外幣票據或外幣現鈔及查驗身分文件或基本登記資料後辦理；其中公司、行號部分，應查詢經濟部全國商工行政服務入口網站之「公司登記查詢」、「商業登記查詢」確認公司、行號基本登記資料。另結售為新臺幣且每筆結售金額達新臺幣五十萬元等值外幣者，應依申報辦法</w:t>
      </w:r>
      <w:r w:rsidRPr="002B1488">
        <w:rPr>
          <w:rFonts w:ascii="標楷體" w:eastAsia="標楷體" w:hAnsi="標楷體" w:hint="eastAsia"/>
          <w:sz w:val="28"/>
          <w:szCs w:val="28"/>
        </w:rPr>
        <w:lastRenderedPageBreak/>
        <w:t>及應注意事項辦理，並確實輔導申報義務人詳實申報。</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2.掣發單證：匯入款項結售為新臺幣者，應掣發買匯水單；其未結售為新臺幣者，應掣發其他交易憑證。</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3.對國外匯入款提供匯款人資訊（匯款人全名、帳號、住址）不足者，應訂定風險管理程序，並加強審查；上述風險管理程序之主要內容，由本行另定之。</w:t>
      </w:r>
    </w:p>
    <w:p w:rsidR="002B1488" w:rsidRPr="002B1488" w:rsidRDefault="002B1488" w:rsidP="002B1488">
      <w:pPr>
        <w:spacing w:line="500" w:lineRule="exact"/>
        <w:ind w:leftChars="200" w:left="1320" w:hangingChars="300" w:hanging="840"/>
        <w:jc w:val="both"/>
        <w:rPr>
          <w:rFonts w:ascii="標楷體" w:eastAsia="標楷體" w:hAnsi="標楷體"/>
          <w:sz w:val="28"/>
          <w:szCs w:val="28"/>
        </w:rPr>
      </w:pPr>
      <w:r w:rsidRPr="002B1488">
        <w:rPr>
          <w:rFonts w:ascii="標楷體" w:eastAsia="標楷體" w:hAnsi="標楷體" w:hint="eastAsia"/>
          <w:sz w:val="28"/>
          <w:szCs w:val="28"/>
        </w:rPr>
        <w:t>（三）列報文件：應於承作之次營業日，依下列規定向本行外匯局報送交易日報：</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1.以書面檢送交易日報者，應附送臨櫃外匯交易所掣發之單證及網際網路外匯交易所製作之外匯交易清單與相關媒體資料、「外匯收支或交易申報書」（以下簡稱申報書）或依申報辦法規定視同申報之資料及其他規定文件。</w:t>
      </w:r>
    </w:p>
    <w:p w:rsid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2.以媒體檢送交易日報者，並附送該外匯業務所製作之媒體資料、書面之申報書或其他規定文件。</w:t>
      </w:r>
    </w:p>
    <w:p w:rsidR="002B1488" w:rsidRDefault="002B1488" w:rsidP="00E1793D">
      <w:pPr>
        <w:spacing w:line="500" w:lineRule="exact"/>
        <w:jc w:val="both"/>
        <w:rPr>
          <w:rFonts w:ascii="標楷體" w:eastAsia="標楷體" w:hAnsi="標楷體"/>
          <w:sz w:val="28"/>
          <w:szCs w:val="28"/>
        </w:rPr>
      </w:pPr>
    </w:p>
    <w:p w:rsidR="00E1793D" w:rsidRPr="00E1793D" w:rsidRDefault="00E1793D" w:rsidP="00E1793D">
      <w:pPr>
        <w:spacing w:line="500" w:lineRule="exact"/>
        <w:jc w:val="both"/>
        <w:rPr>
          <w:rFonts w:ascii="標楷體" w:eastAsia="標楷體" w:hAnsi="標楷體"/>
          <w:sz w:val="28"/>
          <w:szCs w:val="28"/>
        </w:rPr>
      </w:pPr>
      <w:r w:rsidRPr="00E1793D">
        <w:rPr>
          <w:rFonts w:ascii="標楷體" w:eastAsia="標楷體" w:hAnsi="標楷體" w:hint="eastAsia"/>
          <w:sz w:val="28"/>
          <w:szCs w:val="28"/>
        </w:rPr>
        <w:t>五、指定銀行辦理外匯存款業務，應依下列規定辦理：</w:t>
      </w:r>
    </w:p>
    <w:p w:rsidR="00E1793D" w:rsidRPr="00E1793D" w:rsidRDefault="00C3105A"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Pr>
          <w:rFonts w:ascii="標楷體" w:eastAsia="標楷體" w:hAnsi="標楷體" w:hint="eastAsia"/>
          <w:sz w:val="28"/>
          <w:szCs w:val="28"/>
        </w:rPr>
        <w:t>一</w:t>
      </w:r>
      <w:r w:rsidRPr="00E1793D">
        <w:rPr>
          <w:rFonts w:ascii="標楷體" w:eastAsia="標楷體" w:hAnsi="標楷體" w:hint="eastAsia"/>
          <w:sz w:val="28"/>
          <w:szCs w:val="28"/>
        </w:rPr>
        <w:t>）</w:t>
      </w:r>
      <w:r w:rsidR="00E1793D" w:rsidRPr="00E1793D">
        <w:rPr>
          <w:rFonts w:ascii="標楷體" w:eastAsia="標楷體" w:hAnsi="標楷體" w:hint="eastAsia"/>
          <w:sz w:val="28"/>
          <w:szCs w:val="28"/>
        </w:rPr>
        <w:t>憑辦文件：應憑匯入匯款通知書、外幣貸款、外幣票據、外幣現鈔、新臺幣結購之外匯及存入文件辦理。</w:t>
      </w:r>
    </w:p>
    <w:p w:rsidR="00E1793D" w:rsidRPr="00E1793D" w:rsidRDefault="00C3105A"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sidR="004B49E3">
        <w:rPr>
          <w:rFonts w:ascii="標楷體" w:eastAsia="標楷體" w:hAnsi="標楷體" w:hint="eastAsia"/>
          <w:sz w:val="28"/>
          <w:szCs w:val="28"/>
        </w:rPr>
        <w:t>二</w:t>
      </w:r>
      <w:r w:rsidRPr="00E1793D">
        <w:rPr>
          <w:rFonts w:ascii="標楷體" w:eastAsia="標楷體" w:hAnsi="標楷體" w:hint="eastAsia"/>
          <w:sz w:val="28"/>
          <w:szCs w:val="28"/>
        </w:rPr>
        <w:t>）</w:t>
      </w:r>
      <w:r w:rsidR="00E1793D" w:rsidRPr="00E1793D">
        <w:rPr>
          <w:rFonts w:ascii="標楷體" w:eastAsia="標楷體" w:hAnsi="標楷體" w:hint="eastAsia"/>
          <w:sz w:val="28"/>
          <w:szCs w:val="28"/>
        </w:rPr>
        <w:t>承作限制：不得以支票存款之方式辦理。</w:t>
      </w:r>
    </w:p>
    <w:p w:rsidR="00E1793D" w:rsidRPr="00E1793D" w:rsidRDefault="00C3105A"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sidR="004B49E3">
        <w:rPr>
          <w:rFonts w:ascii="標楷體" w:eastAsia="標楷體" w:hAnsi="標楷體" w:hint="eastAsia"/>
          <w:sz w:val="28"/>
          <w:szCs w:val="28"/>
        </w:rPr>
        <w:t>三</w:t>
      </w:r>
      <w:r w:rsidRPr="00E1793D">
        <w:rPr>
          <w:rFonts w:ascii="標楷體" w:eastAsia="標楷體" w:hAnsi="標楷體" w:hint="eastAsia"/>
          <w:sz w:val="28"/>
          <w:szCs w:val="28"/>
        </w:rPr>
        <w:t>）</w:t>
      </w:r>
      <w:r w:rsidR="00E1793D" w:rsidRPr="00E1793D">
        <w:rPr>
          <w:rFonts w:ascii="標楷體" w:eastAsia="標楷體" w:hAnsi="標楷體" w:hint="eastAsia"/>
          <w:sz w:val="28"/>
          <w:szCs w:val="28"/>
        </w:rPr>
        <w:t>辦理結購及結售手續：以新臺幣結購存入外匯存款及自外匯存款提出結售為新臺幣，其結購或結售金額達新臺幣五十萬元等值外幣者，均應依申報辦法及應注意事項辦理。</w:t>
      </w:r>
    </w:p>
    <w:p w:rsidR="00E1793D" w:rsidRPr="00E1793D" w:rsidRDefault="00E1793D"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（四）外匯存款轉讓：應經由指定銀行辦理，且受讓人應將其所收外匯存入其在指定銀行之外匯存款戶。</w:t>
      </w:r>
    </w:p>
    <w:p w:rsidR="00E1793D" w:rsidRPr="00E1793D" w:rsidRDefault="00E1793D"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（五）外匯定存質借：得逕憑存戶以其本人之外匯定存質借外幣。</w:t>
      </w:r>
    </w:p>
    <w:p w:rsidR="00E1793D" w:rsidRPr="00E1793D" w:rsidRDefault="00E1793D"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（六）掣發單證：存入款項以新臺幣結購存入者，掣發賣匯水單；其未以新臺幣結購存入者，掣發其他交易憑證。自外匯存款提出結售為新臺幣者，掣發買匯水單；其未結售為新臺幣者，掣發其他交</w:t>
      </w:r>
      <w:r w:rsidRPr="00E1793D">
        <w:rPr>
          <w:rFonts w:ascii="標楷體" w:eastAsia="標楷體" w:hAnsi="標楷體" w:hint="eastAsia"/>
          <w:sz w:val="28"/>
          <w:szCs w:val="28"/>
        </w:rPr>
        <w:lastRenderedPageBreak/>
        <w:t>易憑證。</w:t>
      </w:r>
    </w:p>
    <w:p w:rsidR="00E1793D" w:rsidRPr="00E1793D" w:rsidRDefault="00E1793D"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（七）列報文件：應於承作之次營業日，以媒體檢送本行外匯局交易日報及外匯存款日報，並附送該外匯業務所製作之媒體資料、書面之申報書或其他規定文件。</w:t>
      </w:r>
    </w:p>
    <w:p w:rsidR="00E1793D" w:rsidRPr="00E1793D" w:rsidRDefault="00E1793D" w:rsidP="00E1793D">
      <w:pPr>
        <w:spacing w:line="500" w:lineRule="exact"/>
        <w:jc w:val="both"/>
        <w:rPr>
          <w:rFonts w:ascii="標楷體" w:eastAsia="標楷體" w:hAnsi="標楷體"/>
          <w:sz w:val="28"/>
          <w:szCs w:val="28"/>
        </w:rPr>
      </w:pPr>
    </w:p>
    <w:p w:rsidR="00E1793D" w:rsidRPr="00E1793D" w:rsidRDefault="00E1793D" w:rsidP="00E1793D">
      <w:pPr>
        <w:spacing w:line="500" w:lineRule="exact"/>
        <w:jc w:val="both"/>
        <w:rPr>
          <w:rFonts w:ascii="標楷體" w:eastAsia="標楷體" w:hAnsi="標楷體"/>
          <w:sz w:val="28"/>
          <w:szCs w:val="28"/>
        </w:rPr>
      </w:pPr>
      <w:r w:rsidRPr="00E1793D">
        <w:rPr>
          <w:rFonts w:ascii="標楷體" w:eastAsia="標楷體" w:hAnsi="標楷體" w:hint="eastAsia"/>
          <w:sz w:val="28"/>
          <w:szCs w:val="28"/>
        </w:rPr>
        <w:t>八、指定銀行辦理外幣保證業務，應依下列規定辦理：</w:t>
      </w:r>
    </w:p>
    <w:p w:rsidR="00E1793D" w:rsidRPr="00E1793D" w:rsidRDefault="00E1793D" w:rsidP="00D47330">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（一）承作對象：以國內顧客為限。</w:t>
      </w:r>
    </w:p>
    <w:p w:rsidR="00E1793D" w:rsidRPr="00E1793D" w:rsidRDefault="00E1793D" w:rsidP="00D47330">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（二）憑辦文件：應憑國內顧客提供有外幣保證實際需求之證明文件辦理。</w:t>
      </w:r>
    </w:p>
    <w:p w:rsidR="00E1793D" w:rsidRPr="00E1793D" w:rsidRDefault="00E1793D" w:rsidP="00D47330">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（三）保證債務履行：應依申報辦法規定辦理。</w:t>
      </w:r>
    </w:p>
    <w:p w:rsidR="00E1793D" w:rsidRPr="00E1793D" w:rsidRDefault="00E1793D" w:rsidP="00D47330">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（四）列報文件：應將月底餘額及其保證性質，報送本行外匯局。</w:t>
      </w:r>
    </w:p>
    <w:p w:rsidR="00E1793D" w:rsidRPr="00E1793D" w:rsidRDefault="00E1793D" w:rsidP="00E1793D">
      <w:pPr>
        <w:spacing w:line="500" w:lineRule="exact"/>
        <w:jc w:val="both"/>
        <w:rPr>
          <w:rFonts w:ascii="標楷體" w:eastAsia="標楷體" w:hAnsi="標楷體"/>
          <w:sz w:val="28"/>
          <w:szCs w:val="28"/>
        </w:rPr>
      </w:pPr>
    </w:p>
    <w:p w:rsidR="00E1793D" w:rsidRPr="00E1793D" w:rsidRDefault="00E1793D" w:rsidP="00E43C1F">
      <w:pPr>
        <w:spacing w:line="500" w:lineRule="exact"/>
        <w:ind w:left="560" w:hangingChars="200" w:hanging="560"/>
        <w:jc w:val="both"/>
        <w:rPr>
          <w:rFonts w:ascii="標楷體" w:eastAsia="標楷體" w:hAnsi="標楷體"/>
          <w:sz w:val="28"/>
          <w:szCs w:val="28"/>
        </w:rPr>
      </w:pPr>
      <w:r w:rsidRPr="00E1793D">
        <w:rPr>
          <w:rFonts w:ascii="標楷體" w:eastAsia="標楷體" w:hAnsi="標楷體" w:hint="eastAsia"/>
          <w:sz w:val="28"/>
          <w:szCs w:val="28"/>
        </w:rPr>
        <w:t>九、經許可辦理新臺幣特定金錢信託投資外幣有價證券業務之指定銀行，應依下列規定辦理：</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sidR="003E704D">
        <w:rPr>
          <w:rFonts w:ascii="標楷體" w:eastAsia="標楷體" w:hAnsi="標楷體" w:hint="eastAsia"/>
          <w:sz w:val="28"/>
          <w:szCs w:val="28"/>
        </w:rPr>
        <w:t>一</w:t>
      </w:r>
      <w:r w:rsidRPr="00E1793D">
        <w:rPr>
          <w:rFonts w:ascii="標楷體" w:eastAsia="標楷體" w:hAnsi="標楷體" w:hint="eastAsia"/>
          <w:sz w:val="28"/>
          <w:szCs w:val="28"/>
        </w:rPr>
        <w:t>）該信託資金之委託人以下列為限：</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1.本國自然人、領有臺灣地區相關居留證、外僑居留證或外交部核發相關身分證件之外國自然人及大陸地區人民。</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2.本國法人或經我國政府認許之外國法人。</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3.其他經金融監督管理委員會（以下簡稱金管會）或本行核准者。</w:t>
      </w:r>
    </w:p>
    <w:p w:rsidR="003E704D" w:rsidRDefault="003E704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Pr>
          <w:rFonts w:ascii="標楷體" w:eastAsia="標楷體" w:hAnsi="標楷體" w:hint="eastAsia"/>
          <w:sz w:val="28"/>
          <w:szCs w:val="28"/>
        </w:rPr>
        <w:t>二</w:t>
      </w:r>
      <w:r w:rsidRPr="00E1793D">
        <w:rPr>
          <w:rFonts w:ascii="標楷體" w:eastAsia="標楷體" w:hAnsi="標楷體" w:hint="eastAsia"/>
          <w:sz w:val="28"/>
          <w:szCs w:val="28"/>
        </w:rPr>
        <w:t>）該信託資金之收受及屆期本益之攤還，均應以新臺幣為之，不得以外幣支付。</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（三）申報相關業務資料：依照本行對新臺幣特定金錢信託投資外幣有價證券業務之規定辦理申報。</w:t>
      </w:r>
    </w:p>
    <w:p w:rsidR="00E43C1F" w:rsidRDefault="00E43C1F" w:rsidP="00E1793D">
      <w:pPr>
        <w:spacing w:line="500" w:lineRule="exact"/>
        <w:jc w:val="both"/>
        <w:rPr>
          <w:rFonts w:ascii="標楷體" w:eastAsia="標楷體" w:hAnsi="標楷體"/>
          <w:sz w:val="28"/>
          <w:szCs w:val="28"/>
        </w:rPr>
      </w:pPr>
    </w:p>
    <w:p w:rsidR="00E1793D" w:rsidRPr="00E1793D" w:rsidRDefault="00E1793D" w:rsidP="00E43C1F">
      <w:pPr>
        <w:spacing w:line="500" w:lineRule="exact"/>
        <w:ind w:left="560" w:hangingChars="200" w:hanging="560"/>
        <w:jc w:val="both"/>
        <w:rPr>
          <w:rFonts w:ascii="標楷體" w:eastAsia="標楷體" w:hAnsi="標楷體"/>
          <w:sz w:val="28"/>
          <w:szCs w:val="28"/>
        </w:rPr>
      </w:pPr>
      <w:r w:rsidRPr="00E1793D">
        <w:rPr>
          <w:rFonts w:ascii="標楷體" w:eastAsia="標楷體" w:hAnsi="標楷體" w:hint="eastAsia"/>
          <w:sz w:val="28"/>
          <w:szCs w:val="28"/>
        </w:rPr>
        <w:t>十、經許可辦理外幣特定金錢信託投資外幣有價證券業務之指定銀行，應依下列規定辦理：</w:t>
      </w:r>
    </w:p>
    <w:p w:rsidR="00270AFF" w:rsidRPr="00E1793D" w:rsidRDefault="00270AFF" w:rsidP="00270AF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Pr>
          <w:rFonts w:ascii="標楷體" w:eastAsia="標楷體" w:hAnsi="標楷體" w:hint="eastAsia"/>
          <w:sz w:val="28"/>
          <w:szCs w:val="28"/>
        </w:rPr>
        <w:t>一</w:t>
      </w:r>
      <w:r w:rsidRPr="00E1793D">
        <w:rPr>
          <w:rFonts w:ascii="標楷體" w:eastAsia="標楷體" w:hAnsi="標楷體" w:hint="eastAsia"/>
          <w:sz w:val="28"/>
          <w:szCs w:val="28"/>
        </w:rPr>
        <w:t>）該信託資金之委託人以下列為限：</w:t>
      </w:r>
    </w:p>
    <w:p w:rsidR="00270AFF" w:rsidRPr="00E1793D" w:rsidRDefault="00270AFF" w:rsidP="00270AF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lastRenderedPageBreak/>
        <w:t>1.準用前點第</w:t>
      </w:r>
      <w:r w:rsidR="00C164E5">
        <w:rPr>
          <w:rFonts w:ascii="標楷體" w:eastAsia="標楷體" w:hAnsi="標楷體" w:hint="eastAsia"/>
          <w:sz w:val="28"/>
          <w:szCs w:val="28"/>
        </w:rPr>
        <w:t>一</w:t>
      </w:r>
      <w:r w:rsidRPr="00E1793D">
        <w:rPr>
          <w:rFonts w:ascii="標楷體" w:eastAsia="標楷體" w:hAnsi="標楷體" w:hint="eastAsia"/>
          <w:sz w:val="28"/>
          <w:szCs w:val="28"/>
        </w:rPr>
        <w:t>款。</w:t>
      </w:r>
    </w:p>
    <w:p w:rsidR="00E1793D" w:rsidRPr="00E1793D" w:rsidRDefault="00270AFF" w:rsidP="00270AF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2.持合法入境簽證，並依</w:t>
      </w:r>
      <w:r w:rsidR="00084C70" w:rsidRPr="00E1793D">
        <w:rPr>
          <w:rFonts w:ascii="標楷體" w:eastAsia="標楷體" w:hAnsi="標楷體" w:hint="eastAsia"/>
          <w:sz w:val="28"/>
          <w:szCs w:val="28"/>
        </w:rPr>
        <w:t>金管會</w:t>
      </w:r>
      <w:r w:rsidRPr="00E1793D">
        <w:rPr>
          <w:rFonts w:ascii="標楷體" w:eastAsia="標楷體" w:hAnsi="標楷體" w:hint="eastAsia"/>
          <w:sz w:val="28"/>
          <w:szCs w:val="28"/>
        </w:rPr>
        <w:t>相關開戶規定，在指定銀行開設外匯存款帳戶之外國自然人及大陸地區人民。</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（二）委託人應於指定銀行開立外匯存款帳戶。</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（三）該信託資金之收受及屆期本益之攤還，均應以外幣為之，不得以新臺幣支付。</w:t>
      </w:r>
    </w:p>
    <w:p w:rsidR="00270AFF" w:rsidRDefault="00270AFF"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Pr>
          <w:rFonts w:ascii="標楷體" w:eastAsia="標楷體" w:hAnsi="標楷體" w:hint="eastAsia"/>
          <w:sz w:val="28"/>
          <w:szCs w:val="28"/>
        </w:rPr>
        <w:t>四</w:t>
      </w:r>
      <w:r w:rsidRPr="00E1793D">
        <w:rPr>
          <w:rFonts w:ascii="標楷體" w:eastAsia="標楷體" w:hAnsi="標楷體" w:hint="eastAsia"/>
          <w:sz w:val="28"/>
          <w:szCs w:val="28"/>
        </w:rPr>
        <w:t>）</w:t>
      </w:r>
      <w:r w:rsidR="007E65F1" w:rsidRPr="007E65F1">
        <w:rPr>
          <w:rFonts w:ascii="標楷體" w:eastAsia="標楷體" w:hAnsi="標楷體" w:hint="eastAsia"/>
          <w:sz w:val="28"/>
          <w:szCs w:val="28"/>
        </w:rPr>
        <w:t>委託人與受益人為同一人時，委託人享有之信託受益權得為擔保設定質權辦理外幣借款，並應依信託業法及其他相關規定辦理。</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（五）申報相關業務資料：依照本行對外幣特定金錢信託投資外幣有價證券業務之規定辦理申報。</w:t>
      </w:r>
    </w:p>
    <w:p w:rsidR="00E1793D" w:rsidRPr="00E1793D" w:rsidRDefault="00E1793D" w:rsidP="00E1793D">
      <w:pPr>
        <w:spacing w:line="500" w:lineRule="exact"/>
        <w:jc w:val="both"/>
        <w:rPr>
          <w:rFonts w:ascii="標楷體" w:eastAsia="標楷體" w:hAnsi="標楷體"/>
          <w:sz w:val="28"/>
          <w:szCs w:val="28"/>
        </w:rPr>
      </w:pPr>
    </w:p>
    <w:p w:rsidR="007E65F1" w:rsidRPr="007E65F1" w:rsidRDefault="007E65F1" w:rsidP="007E65F1">
      <w:pPr>
        <w:spacing w:line="500" w:lineRule="exact"/>
        <w:jc w:val="both"/>
        <w:rPr>
          <w:rFonts w:ascii="標楷體" w:eastAsia="標楷體" w:hAnsi="標楷體"/>
          <w:sz w:val="28"/>
          <w:szCs w:val="28"/>
        </w:rPr>
      </w:pPr>
      <w:r w:rsidRPr="007E65F1">
        <w:rPr>
          <w:rFonts w:ascii="標楷體" w:eastAsia="標楷體" w:hAnsi="標楷體" w:hint="eastAsia"/>
          <w:sz w:val="28"/>
          <w:szCs w:val="28"/>
        </w:rPr>
        <w:t>十一、指定銀行辦理外幣提款機業務，應依下列規定辦理：</w:t>
      </w:r>
    </w:p>
    <w:p w:rsidR="007E65F1" w:rsidRPr="007E65F1" w:rsidRDefault="007E65F1" w:rsidP="007E65F1">
      <w:pPr>
        <w:spacing w:line="500" w:lineRule="exact"/>
        <w:ind w:leftChars="200" w:left="1320" w:hangingChars="300" w:hanging="840"/>
        <w:jc w:val="both"/>
        <w:rPr>
          <w:rFonts w:ascii="標楷體" w:eastAsia="標楷體" w:hAnsi="標楷體"/>
          <w:sz w:val="28"/>
          <w:szCs w:val="28"/>
        </w:rPr>
      </w:pPr>
      <w:r w:rsidRPr="007E65F1">
        <w:rPr>
          <w:rFonts w:ascii="標楷體" w:eastAsia="標楷體" w:hAnsi="標楷體" w:hint="eastAsia"/>
          <w:sz w:val="28"/>
          <w:szCs w:val="28"/>
        </w:rPr>
        <w:t>（一）受理金融卡持卡人以新臺幣帳戶扣款跨行提領外幣現鈔，應於外幣提款機增加操作畫面，提供跨行提領顧客點選是否為非居住民身分別之功能。</w:t>
      </w:r>
    </w:p>
    <w:p w:rsidR="00E1793D" w:rsidRPr="00E1793D" w:rsidRDefault="007E65F1" w:rsidP="007E65F1">
      <w:pPr>
        <w:spacing w:line="500" w:lineRule="exact"/>
        <w:ind w:leftChars="200" w:left="1320" w:hangingChars="300" w:hanging="840"/>
        <w:jc w:val="both"/>
        <w:rPr>
          <w:rFonts w:ascii="標楷體" w:eastAsia="標楷體" w:hAnsi="標楷體"/>
          <w:sz w:val="28"/>
          <w:szCs w:val="28"/>
        </w:rPr>
      </w:pPr>
      <w:r w:rsidRPr="007E65F1">
        <w:rPr>
          <w:rFonts w:ascii="標楷體" w:eastAsia="標楷體" w:hAnsi="標楷體" w:hint="eastAsia"/>
          <w:sz w:val="28"/>
          <w:szCs w:val="28"/>
        </w:rPr>
        <w:t>（二）以指定銀行名義每日以媒體方式依客戶身分別彙總報送交易資料，免填各筆交易之匯款編號、顧客統一編號、外幣金額、匯款分類名稱及受款地區國別。</w:t>
      </w:r>
    </w:p>
    <w:p w:rsidR="00E1793D" w:rsidRPr="00E1793D" w:rsidRDefault="00E1793D" w:rsidP="00E1793D">
      <w:pPr>
        <w:spacing w:line="500" w:lineRule="exact"/>
        <w:jc w:val="both"/>
        <w:rPr>
          <w:rFonts w:ascii="標楷體" w:eastAsia="標楷體" w:hAnsi="標楷體"/>
          <w:sz w:val="28"/>
          <w:szCs w:val="28"/>
        </w:rPr>
      </w:pPr>
    </w:p>
    <w:p w:rsidR="00E1793D" w:rsidRPr="00E1793D" w:rsidRDefault="00E1793D" w:rsidP="00E1793D">
      <w:pPr>
        <w:spacing w:line="500" w:lineRule="exact"/>
        <w:jc w:val="both"/>
        <w:rPr>
          <w:rFonts w:ascii="標楷體" w:eastAsia="標楷體" w:hAnsi="標楷體"/>
          <w:sz w:val="28"/>
          <w:szCs w:val="28"/>
        </w:rPr>
      </w:pPr>
      <w:r w:rsidRPr="00E1793D">
        <w:rPr>
          <w:rFonts w:ascii="標楷體" w:eastAsia="標楷體" w:hAnsi="標楷體" w:hint="eastAsia"/>
          <w:sz w:val="28"/>
          <w:szCs w:val="28"/>
        </w:rPr>
        <w:t>十三、銀行業辦理買賣外幣現鈔及旅行支票業務，應依下列規定辦理：</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（一）有關旅行支票買、賣匯率之訂定應依本行外匯局有關規定辦理。</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（二）憑辦文件：第四點第一款第一目及第二款第一目之規定，於辦理本項業務時準用之。</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（三）受理顧客結購（售）外幣現鈔及旅行支票之申請時，應掣發賣（買）匯水單；顧客結購（售）金額達新臺幣五十萬元以上者，應填具申報書辦理結匯。</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（四）應於門口明顯處懸掛辦理本項業務之中英文標示。</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（五）經本行許可於機場或其他臨時設置之兌換點辦理每筆未逾等值五</w:t>
      </w:r>
      <w:r w:rsidRPr="00E1793D">
        <w:rPr>
          <w:rFonts w:ascii="標楷體" w:eastAsia="標楷體" w:hAnsi="標楷體" w:hint="eastAsia"/>
          <w:sz w:val="28"/>
          <w:szCs w:val="28"/>
        </w:rPr>
        <w:lastRenderedPageBreak/>
        <w:t>千美元之買賣外幣現鈔及旅行支票業務，得向本行報備簡化結匯及申報手續。</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（六）未經本行許可辦理外匯業務之銀行、信用合作社、農漁會信用部辦理買賣外幣現鈔及旅行支票業務時，並應依下列規定辦理：</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1.得於指定銀行開設外匯存款戶，但不得與國外銀行等金融機構建立通匯往來關係。</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2.在符合其目的事業主管機關規定金融機構外幣風險上限之前提下，得持有之最高外匯買超部位以本行核給之額度為限，外匯賣超部位限額為零。</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3.辦理本項業務所需外匯資金，得依申報辦法逕向指定銀行結購（售），結匯金額毋須查詢且不計入業者當年累積結匯金額，惟應於申報書註明該項業務名稱及本行許可函文號。</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4.列報文件：應於承作之次營業日，檢附相關單證向本行外匯局報送交易日報。</w:t>
      </w:r>
    </w:p>
    <w:p w:rsidR="0000746C" w:rsidRPr="001C06B7" w:rsidRDefault="0000746C">
      <w:pPr>
        <w:rPr>
          <w:rFonts w:ascii="標楷體" w:eastAsia="標楷體" w:hAnsi="標楷體"/>
          <w:szCs w:val="24"/>
        </w:rPr>
      </w:pPr>
    </w:p>
    <w:sectPr w:rsidR="0000746C" w:rsidRPr="001C06B7" w:rsidSect="00771567">
      <w:footerReference w:type="default" r:id="rId8"/>
      <w:pgSz w:w="11906" w:h="16838"/>
      <w:pgMar w:top="1276"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3CF" w:rsidRDefault="001C33CF" w:rsidP="001B5740">
      <w:r>
        <w:separator/>
      </w:r>
    </w:p>
  </w:endnote>
  <w:endnote w:type="continuationSeparator" w:id="0">
    <w:p w:rsidR="001C33CF" w:rsidRDefault="001C33CF" w:rsidP="001B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細明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37731"/>
      <w:docPartObj>
        <w:docPartGallery w:val="Page Numbers (Bottom of Page)"/>
        <w:docPartUnique/>
      </w:docPartObj>
    </w:sdtPr>
    <w:sdtEndPr/>
    <w:sdtContent>
      <w:p w:rsidR="009D1FE0" w:rsidRDefault="009D1FE0">
        <w:pPr>
          <w:pStyle w:val="a6"/>
          <w:jc w:val="center"/>
        </w:pPr>
        <w:r>
          <w:fldChar w:fldCharType="begin"/>
        </w:r>
        <w:r>
          <w:instrText>PAGE   \* MERGEFORMAT</w:instrText>
        </w:r>
        <w:r>
          <w:fldChar w:fldCharType="separate"/>
        </w:r>
        <w:r w:rsidR="00525B6D" w:rsidRPr="00525B6D">
          <w:rPr>
            <w:noProof/>
            <w:lang w:val="zh-TW"/>
          </w:rPr>
          <w:t>1</w:t>
        </w:r>
        <w:r>
          <w:fldChar w:fldCharType="end"/>
        </w:r>
      </w:p>
    </w:sdtContent>
  </w:sdt>
  <w:p w:rsidR="009D1FE0" w:rsidRDefault="009D1F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3CF" w:rsidRDefault="001C33CF" w:rsidP="001B5740">
      <w:r>
        <w:separator/>
      </w:r>
    </w:p>
  </w:footnote>
  <w:footnote w:type="continuationSeparator" w:id="0">
    <w:p w:rsidR="001C33CF" w:rsidRDefault="001C33CF" w:rsidP="001B5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6C"/>
    <w:rsid w:val="0000746C"/>
    <w:rsid w:val="000556B8"/>
    <w:rsid w:val="00084C70"/>
    <w:rsid w:val="00085D82"/>
    <w:rsid w:val="000C1DEE"/>
    <w:rsid w:val="000E0A3E"/>
    <w:rsid w:val="000E0BC2"/>
    <w:rsid w:val="000E3A39"/>
    <w:rsid w:val="00105E01"/>
    <w:rsid w:val="00112AF9"/>
    <w:rsid w:val="00140B71"/>
    <w:rsid w:val="00140F9D"/>
    <w:rsid w:val="001428E1"/>
    <w:rsid w:val="001504AD"/>
    <w:rsid w:val="00163A1E"/>
    <w:rsid w:val="0017618B"/>
    <w:rsid w:val="001B5740"/>
    <w:rsid w:val="001C06B7"/>
    <w:rsid w:val="001C17CC"/>
    <w:rsid w:val="001C33CF"/>
    <w:rsid w:val="00200DE6"/>
    <w:rsid w:val="00211F76"/>
    <w:rsid w:val="00244CF7"/>
    <w:rsid w:val="00270AFF"/>
    <w:rsid w:val="0028188C"/>
    <w:rsid w:val="00285F94"/>
    <w:rsid w:val="00286BCE"/>
    <w:rsid w:val="002901C1"/>
    <w:rsid w:val="00290F17"/>
    <w:rsid w:val="002A0A37"/>
    <w:rsid w:val="002B1488"/>
    <w:rsid w:val="002D48E3"/>
    <w:rsid w:val="00316A49"/>
    <w:rsid w:val="00326528"/>
    <w:rsid w:val="0037709F"/>
    <w:rsid w:val="003B390B"/>
    <w:rsid w:val="003D7E83"/>
    <w:rsid w:val="003E704D"/>
    <w:rsid w:val="00421355"/>
    <w:rsid w:val="00422FA0"/>
    <w:rsid w:val="00432AF2"/>
    <w:rsid w:val="00435181"/>
    <w:rsid w:val="0043564A"/>
    <w:rsid w:val="0045582D"/>
    <w:rsid w:val="00463A9D"/>
    <w:rsid w:val="00467249"/>
    <w:rsid w:val="004834F3"/>
    <w:rsid w:val="00487B5C"/>
    <w:rsid w:val="004A5A4B"/>
    <w:rsid w:val="004B49E3"/>
    <w:rsid w:val="004B56D1"/>
    <w:rsid w:val="004B634D"/>
    <w:rsid w:val="004C7883"/>
    <w:rsid w:val="004D1060"/>
    <w:rsid w:val="004D21D6"/>
    <w:rsid w:val="004D4F40"/>
    <w:rsid w:val="00514D25"/>
    <w:rsid w:val="00517EC1"/>
    <w:rsid w:val="00525B6D"/>
    <w:rsid w:val="00554532"/>
    <w:rsid w:val="005844B7"/>
    <w:rsid w:val="005923C5"/>
    <w:rsid w:val="005A0653"/>
    <w:rsid w:val="005C1124"/>
    <w:rsid w:val="005D2EF1"/>
    <w:rsid w:val="0061297B"/>
    <w:rsid w:val="00627FC0"/>
    <w:rsid w:val="00642C8D"/>
    <w:rsid w:val="00642D50"/>
    <w:rsid w:val="00692DA7"/>
    <w:rsid w:val="00694972"/>
    <w:rsid w:val="006A4DCB"/>
    <w:rsid w:val="006D1310"/>
    <w:rsid w:val="00704F9B"/>
    <w:rsid w:val="0070707F"/>
    <w:rsid w:val="00734717"/>
    <w:rsid w:val="00771567"/>
    <w:rsid w:val="00791D81"/>
    <w:rsid w:val="007A7A05"/>
    <w:rsid w:val="007B7924"/>
    <w:rsid w:val="007C3721"/>
    <w:rsid w:val="007D2508"/>
    <w:rsid w:val="007E65F1"/>
    <w:rsid w:val="00802A82"/>
    <w:rsid w:val="00806E4F"/>
    <w:rsid w:val="00822020"/>
    <w:rsid w:val="008305FA"/>
    <w:rsid w:val="00833F23"/>
    <w:rsid w:val="00841933"/>
    <w:rsid w:val="008607EB"/>
    <w:rsid w:val="008A2F16"/>
    <w:rsid w:val="008A66D5"/>
    <w:rsid w:val="008B7FF5"/>
    <w:rsid w:val="00912EB6"/>
    <w:rsid w:val="00920FE5"/>
    <w:rsid w:val="0095021F"/>
    <w:rsid w:val="009506FB"/>
    <w:rsid w:val="00954BD9"/>
    <w:rsid w:val="0097043B"/>
    <w:rsid w:val="0098463E"/>
    <w:rsid w:val="00992975"/>
    <w:rsid w:val="009A471F"/>
    <w:rsid w:val="009B6FBC"/>
    <w:rsid w:val="009D1F6E"/>
    <w:rsid w:val="009D1FE0"/>
    <w:rsid w:val="009D5DA9"/>
    <w:rsid w:val="009E6F8D"/>
    <w:rsid w:val="009F5D4B"/>
    <w:rsid w:val="00A03747"/>
    <w:rsid w:val="00A2105C"/>
    <w:rsid w:val="00A416B7"/>
    <w:rsid w:val="00A57A02"/>
    <w:rsid w:val="00A60E33"/>
    <w:rsid w:val="00A63EF2"/>
    <w:rsid w:val="00A67340"/>
    <w:rsid w:val="00AA0984"/>
    <w:rsid w:val="00AA6D0B"/>
    <w:rsid w:val="00AA73F9"/>
    <w:rsid w:val="00AB2DC0"/>
    <w:rsid w:val="00B37BEC"/>
    <w:rsid w:val="00B459A3"/>
    <w:rsid w:val="00B50A9B"/>
    <w:rsid w:val="00B9212B"/>
    <w:rsid w:val="00B93B10"/>
    <w:rsid w:val="00BA66B3"/>
    <w:rsid w:val="00C01E98"/>
    <w:rsid w:val="00C02E44"/>
    <w:rsid w:val="00C04505"/>
    <w:rsid w:val="00C15A56"/>
    <w:rsid w:val="00C164E5"/>
    <w:rsid w:val="00C20B76"/>
    <w:rsid w:val="00C3105A"/>
    <w:rsid w:val="00C43F3A"/>
    <w:rsid w:val="00C53461"/>
    <w:rsid w:val="00C91A4E"/>
    <w:rsid w:val="00CA369E"/>
    <w:rsid w:val="00CD6088"/>
    <w:rsid w:val="00CE4260"/>
    <w:rsid w:val="00CE5120"/>
    <w:rsid w:val="00CE57BD"/>
    <w:rsid w:val="00CF3E3A"/>
    <w:rsid w:val="00CF6A83"/>
    <w:rsid w:val="00D25AA1"/>
    <w:rsid w:val="00D36BFA"/>
    <w:rsid w:val="00D47330"/>
    <w:rsid w:val="00D56AE0"/>
    <w:rsid w:val="00D73170"/>
    <w:rsid w:val="00D80F6D"/>
    <w:rsid w:val="00D96C30"/>
    <w:rsid w:val="00DD0FF3"/>
    <w:rsid w:val="00DD3E42"/>
    <w:rsid w:val="00DF20B1"/>
    <w:rsid w:val="00DF72D4"/>
    <w:rsid w:val="00E136CA"/>
    <w:rsid w:val="00E1793D"/>
    <w:rsid w:val="00E20211"/>
    <w:rsid w:val="00E35C2B"/>
    <w:rsid w:val="00E43C1F"/>
    <w:rsid w:val="00E536F7"/>
    <w:rsid w:val="00E75BAE"/>
    <w:rsid w:val="00EA2B17"/>
    <w:rsid w:val="00EA67DE"/>
    <w:rsid w:val="00EB24EF"/>
    <w:rsid w:val="00EC6DCB"/>
    <w:rsid w:val="00EE4FE2"/>
    <w:rsid w:val="00EF77B7"/>
    <w:rsid w:val="00F065DA"/>
    <w:rsid w:val="00F67E2D"/>
    <w:rsid w:val="00FB2CB1"/>
    <w:rsid w:val="00FB6E2E"/>
    <w:rsid w:val="00FC12BD"/>
    <w:rsid w:val="00FC28E0"/>
    <w:rsid w:val="00FC2A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457652">
      <w:bodyDiv w:val="1"/>
      <w:marLeft w:val="0"/>
      <w:marRight w:val="0"/>
      <w:marTop w:val="0"/>
      <w:marBottom w:val="0"/>
      <w:divBdr>
        <w:top w:val="none" w:sz="0" w:space="0" w:color="auto"/>
        <w:left w:val="none" w:sz="0" w:space="0" w:color="auto"/>
        <w:bottom w:val="none" w:sz="0" w:space="0" w:color="auto"/>
        <w:right w:val="none" w:sz="0" w:space="0" w:color="auto"/>
      </w:divBdr>
      <w:divsChild>
        <w:div w:id="1880587382">
          <w:marLeft w:val="0"/>
          <w:marRight w:val="0"/>
          <w:marTop w:val="0"/>
          <w:marBottom w:val="0"/>
          <w:divBdr>
            <w:top w:val="none" w:sz="0" w:space="0" w:color="auto"/>
            <w:left w:val="none" w:sz="0" w:space="0" w:color="auto"/>
            <w:bottom w:val="none" w:sz="0" w:space="0" w:color="auto"/>
            <w:right w:val="none" w:sz="0" w:space="0" w:color="auto"/>
          </w:divBdr>
          <w:divsChild>
            <w:div w:id="1749423502">
              <w:marLeft w:val="0"/>
              <w:marRight w:val="0"/>
              <w:marTop w:val="0"/>
              <w:marBottom w:val="0"/>
              <w:divBdr>
                <w:top w:val="none" w:sz="0" w:space="0" w:color="auto"/>
                <w:left w:val="none" w:sz="0" w:space="0" w:color="auto"/>
                <w:bottom w:val="none" w:sz="0" w:space="0" w:color="auto"/>
                <w:right w:val="none" w:sz="0" w:space="0" w:color="auto"/>
              </w:divBdr>
              <w:divsChild>
                <w:div w:id="745304872">
                  <w:marLeft w:val="0"/>
                  <w:marRight w:val="0"/>
                  <w:marTop w:val="0"/>
                  <w:marBottom w:val="0"/>
                  <w:divBdr>
                    <w:top w:val="none" w:sz="0" w:space="0" w:color="auto"/>
                    <w:left w:val="none" w:sz="0" w:space="0" w:color="auto"/>
                    <w:bottom w:val="none" w:sz="0" w:space="0" w:color="auto"/>
                    <w:right w:val="none" w:sz="0" w:space="0" w:color="auto"/>
                  </w:divBdr>
                  <w:divsChild>
                    <w:div w:id="1840651517">
                      <w:marLeft w:val="0"/>
                      <w:marRight w:val="0"/>
                      <w:marTop w:val="0"/>
                      <w:marBottom w:val="0"/>
                      <w:divBdr>
                        <w:top w:val="none" w:sz="0" w:space="0" w:color="auto"/>
                        <w:left w:val="none" w:sz="0" w:space="0" w:color="auto"/>
                        <w:bottom w:val="none" w:sz="0" w:space="0" w:color="auto"/>
                        <w:right w:val="none" w:sz="0" w:space="0" w:color="auto"/>
                      </w:divBdr>
                      <w:divsChild>
                        <w:div w:id="1338922043">
                          <w:marLeft w:val="0"/>
                          <w:marRight w:val="0"/>
                          <w:marTop w:val="0"/>
                          <w:marBottom w:val="0"/>
                          <w:divBdr>
                            <w:top w:val="none" w:sz="0" w:space="0" w:color="auto"/>
                            <w:left w:val="none" w:sz="0" w:space="0" w:color="auto"/>
                            <w:bottom w:val="none" w:sz="0" w:space="0" w:color="auto"/>
                            <w:right w:val="none" w:sz="0" w:space="0" w:color="auto"/>
                          </w:divBdr>
                          <w:divsChild>
                            <w:div w:id="227956868">
                              <w:marLeft w:val="0"/>
                              <w:marRight w:val="0"/>
                              <w:marTop w:val="0"/>
                              <w:marBottom w:val="0"/>
                              <w:divBdr>
                                <w:top w:val="none" w:sz="0" w:space="0" w:color="auto"/>
                                <w:left w:val="none" w:sz="0" w:space="0" w:color="auto"/>
                                <w:bottom w:val="none" w:sz="0" w:space="0" w:color="auto"/>
                                <w:right w:val="none" w:sz="0" w:space="0" w:color="auto"/>
                              </w:divBdr>
                              <w:divsChild>
                                <w:div w:id="9229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DB12C-A5D8-40D2-AF2A-A49B965D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408</Words>
  <Characters>2327</Characters>
  <Application>Microsoft Office Word</Application>
  <DocSecurity>0</DocSecurity>
  <Lines>19</Lines>
  <Paragraphs>5</Paragraphs>
  <ScaleCrop>false</ScaleCrop>
  <Company>CBC</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莊鯉銓</dc:creator>
  <cp:lastModifiedBy>盧志典</cp:lastModifiedBy>
  <cp:revision>2</cp:revision>
  <cp:lastPrinted>2015-07-21T08:04:00Z</cp:lastPrinted>
  <dcterms:created xsi:type="dcterms:W3CDTF">2020-02-06T03:26:00Z</dcterms:created>
  <dcterms:modified xsi:type="dcterms:W3CDTF">2020-02-06T03:26:00Z</dcterms:modified>
</cp:coreProperties>
</file>