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96" w:rsidRPr="00AF2368" w:rsidRDefault="00796B96" w:rsidP="00E56C69">
      <w:pPr>
        <w:tabs>
          <w:tab w:val="left" w:pos="8789"/>
          <w:tab w:val="left" w:pos="11255"/>
        </w:tabs>
        <w:spacing w:line="440" w:lineRule="exact"/>
        <w:ind w:left="4536" w:right="66"/>
        <w:rPr>
          <w:rFonts w:ascii="Times New Roman" w:eastAsia="標楷體" w:hAnsi="Times New Roman"/>
          <w:sz w:val="20"/>
          <w:szCs w:val="20"/>
        </w:rPr>
      </w:pPr>
      <w:bookmarkStart w:id="0" w:name="_GoBack"/>
      <w:bookmarkEnd w:id="0"/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 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           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="00EE6401" w:rsidRPr="00EE6401">
        <w:rPr>
          <w:rFonts w:ascii="Times New Roman" w:eastAsia="標楷體" w:hAnsi="Times New Roman" w:hint="eastAsia"/>
          <w:sz w:val="28"/>
          <w:szCs w:val="28"/>
        </w:rPr>
        <w:t>外匯</w:t>
      </w:r>
      <w:r w:rsidRPr="00EE6401">
        <w:rPr>
          <w:rFonts w:ascii="Times New Roman" w:eastAsia="標楷體" w:hAnsi="Times New Roman" w:hint="eastAsia"/>
          <w:sz w:val="28"/>
          <w:szCs w:val="28"/>
        </w:rPr>
        <w:t>證券商</w:t>
      </w:r>
      <w:r w:rsidRPr="00AF2368">
        <w:rPr>
          <w:rFonts w:ascii="Times New Roman" w:eastAsia="標楷體" w:hAnsi="Times New Roman"/>
          <w:sz w:val="20"/>
          <w:szCs w:val="20"/>
        </w:rPr>
        <w:t xml:space="preserve">       </w:t>
      </w:r>
      <w:r>
        <w:rPr>
          <w:rFonts w:ascii="Times New Roman" w:eastAsia="標楷體" w:hAnsi="Times New Roman"/>
          <w:sz w:val="20"/>
          <w:szCs w:val="20"/>
        </w:rPr>
        <w:tab/>
      </w:r>
      <w:r w:rsidRPr="00F8616D">
        <w:rPr>
          <w:rFonts w:ascii="Times New Roman" w:eastAsia="標楷體" w:hAnsi="Times New Roman" w:hint="eastAsia"/>
          <w:szCs w:val="24"/>
        </w:rPr>
        <w:t>幣別：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</w:t>
      </w:r>
    </w:p>
    <w:p w:rsidR="00796B96" w:rsidRPr="00AF2368" w:rsidRDefault="00796B96" w:rsidP="00E56C69">
      <w:pPr>
        <w:tabs>
          <w:tab w:val="left" w:pos="8647"/>
          <w:tab w:val="left" w:pos="10800"/>
        </w:tabs>
        <w:spacing w:after="240" w:line="440" w:lineRule="exact"/>
        <w:ind w:right="66"/>
        <w:rPr>
          <w:rFonts w:ascii="Times New Roman" w:eastAsia="標楷體" w:hAnsi="Times New Roman"/>
          <w:sz w:val="20"/>
          <w:szCs w:val="20"/>
          <w:u w:val="single"/>
        </w:rPr>
      </w:pPr>
      <w:r w:rsidRPr="00AF2368">
        <w:rPr>
          <w:rFonts w:ascii="Times New Roman" w:eastAsia="標楷體" w:hAnsi="Times New Roman"/>
          <w:sz w:val="20"/>
          <w:szCs w:val="20"/>
        </w:rPr>
        <w:t xml:space="preserve">     </w:t>
      </w:r>
      <w:r w:rsidRPr="00F8616D">
        <w:rPr>
          <w:rFonts w:ascii="Times New Roman" w:eastAsia="標楷體" w:hAnsi="Times New Roman"/>
          <w:szCs w:val="24"/>
        </w:rPr>
        <w:t xml:space="preserve"> </w:t>
      </w:r>
      <w:r w:rsidRPr="00F8616D">
        <w:rPr>
          <w:rFonts w:ascii="Times New Roman" w:eastAsia="標楷體" w:hAnsi="Times New Roman"/>
          <w:sz w:val="28"/>
          <w:szCs w:val="28"/>
        </w:rPr>
        <w:t xml:space="preserve">                                 </w:t>
      </w:r>
      <w:r w:rsidRPr="00F8616D">
        <w:rPr>
          <w:rFonts w:ascii="Times New Roman" w:eastAsia="標楷體" w:hAnsi="Times New Roman" w:hint="eastAsia"/>
          <w:sz w:val="28"/>
          <w:szCs w:val="28"/>
        </w:rPr>
        <w:t>外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 w:rsidRPr="00F8616D">
        <w:rPr>
          <w:rFonts w:ascii="Times New Roman" w:eastAsia="標楷體" w:hAnsi="Times New Roman" w:hint="eastAsia"/>
          <w:sz w:val="28"/>
          <w:szCs w:val="28"/>
        </w:rPr>
        <w:t>匯</w:t>
      </w:r>
      <w:proofErr w:type="gramEnd"/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收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入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交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易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日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報</w:t>
      </w:r>
      <w:r w:rsidRPr="00F8616D"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 w:val="20"/>
          <w:szCs w:val="20"/>
        </w:rPr>
        <w:tab/>
      </w:r>
      <w:r>
        <w:rPr>
          <w:rFonts w:ascii="Times New Roman" w:eastAsia="標楷體" w:hAnsi="Times New Roman"/>
          <w:sz w:val="20"/>
          <w:szCs w:val="20"/>
        </w:rPr>
        <w:tab/>
        <w:t xml:space="preserve">  </w:t>
      </w:r>
      <w:r w:rsidRPr="00F8616D">
        <w:rPr>
          <w:rFonts w:ascii="Times New Roman" w:eastAsia="標楷體" w:hAnsi="Times New Roman" w:hint="eastAsia"/>
          <w:szCs w:val="24"/>
        </w:rPr>
        <w:t>日期：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</w:p>
    <w:tbl>
      <w:tblPr>
        <w:tblW w:w="13231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11"/>
        <w:gridCol w:w="1944"/>
        <w:gridCol w:w="2016"/>
        <w:gridCol w:w="1872"/>
        <w:gridCol w:w="1944"/>
        <w:gridCol w:w="1944"/>
      </w:tblGrid>
      <w:tr w:rsidR="00796B96" w:rsidRPr="00EC65AD" w:rsidTr="00734EB3">
        <w:trPr>
          <w:trHeight w:val="268"/>
        </w:trPr>
        <w:tc>
          <w:tcPr>
            <w:tcW w:w="3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類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別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96B96" w:rsidRPr="00EC65AD" w:rsidRDefault="00796B96" w:rsidP="00F8616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結售新臺幣</w:t>
            </w:r>
          </w:p>
        </w:tc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未結售新臺幣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備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proofErr w:type="gramStart"/>
            <w:r w:rsidRPr="00EC65AD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</w:p>
        </w:tc>
      </w:tr>
      <w:tr w:rsidR="00796B96" w:rsidRPr="00EC65AD" w:rsidTr="00734EB3">
        <w:trPr>
          <w:trHeight w:val="589"/>
        </w:trPr>
        <w:tc>
          <w:tcPr>
            <w:tcW w:w="3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616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6B96" w:rsidRPr="00734EB3" w:rsidRDefault="00796B96" w:rsidP="00D731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734EB3">
              <w:rPr>
                <w:rFonts w:ascii="Times New Roman" w:eastAsia="標楷體" w:hAnsi="Times New Roman" w:hint="eastAsia"/>
                <w:sz w:val="22"/>
              </w:rPr>
              <w:t>存入外匯帳戶</w:t>
            </w:r>
            <w:r w:rsidR="00734EB3" w:rsidRPr="00734EB3">
              <w:rPr>
                <w:rFonts w:ascii="Times New Roman" w:eastAsia="標楷體" w:hAnsi="Times New Roman" w:hint="eastAsia"/>
                <w:sz w:val="22"/>
              </w:rPr>
              <w:t>(</w:t>
            </w:r>
            <w:r w:rsidR="00734EB3" w:rsidRPr="00734EB3">
              <w:rPr>
                <w:rFonts w:ascii="Times New Roman" w:eastAsia="標楷體" w:hAnsi="Times New Roman" w:hint="eastAsia"/>
                <w:sz w:val="22"/>
              </w:rPr>
              <w:t>客戶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保管</w:t>
            </w:r>
            <w:r w:rsidRPr="00734EB3">
              <w:rPr>
                <w:rFonts w:ascii="Times New Roman" w:eastAsia="標楷體" w:hAnsi="Times New Roman"/>
                <w:sz w:val="22"/>
              </w:rPr>
              <w:t>/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信託</w:t>
            </w:r>
            <w:r w:rsidR="00734EB3" w:rsidRPr="00734EB3">
              <w:rPr>
                <w:rFonts w:ascii="Times New Roman" w:eastAsia="標楷體" w:hAnsi="Times New Roman" w:hint="eastAsia"/>
                <w:sz w:val="22"/>
              </w:rPr>
              <w:t>/</w:t>
            </w:r>
            <w:r w:rsidR="00734EB3" w:rsidRPr="00734EB3">
              <w:rPr>
                <w:rFonts w:ascii="Times New Roman" w:eastAsia="標楷體" w:hAnsi="Times New Roman" w:hint="eastAsia"/>
                <w:sz w:val="22"/>
              </w:rPr>
              <w:t>交割</w:t>
            </w:r>
            <w:r w:rsidR="00B57760">
              <w:rPr>
                <w:rFonts w:ascii="Times New Roman" w:eastAsia="標楷體" w:hAnsi="Times New Roman" w:hint="eastAsia"/>
                <w:sz w:val="22"/>
              </w:rPr>
              <w:t>帳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戶</w:t>
            </w:r>
            <w:r w:rsidR="00734EB3" w:rsidRPr="00734EB3">
              <w:rPr>
                <w:rFonts w:ascii="Times New Roman" w:eastAsia="標楷體" w:hAnsi="Times New Roman" w:hint="eastAsia"/>
                <w:sz w:val="22"/>
              </w:rPr>
              <w:t>及證券商自有帳戶</w:t>
            </w:r>
            <w:r w:rsidR="00734EB3" w:rsidRPr="00734EB3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8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其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他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071B8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DB54CA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一、</w:t>
            </w:r>
            <w:r>
              <w:rPr>
                <w:rFonts w:ascii="Times New Roman" w:eastAsia="標楷體" w:hAnsi="Times New Roman" w:hint="eastAsia"/>
                <w:szCs w:val="24"/>
              </w:rPr>
              <w:t>客戶國外投資收回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DB54CA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二、</w:t>
            </w:r>
            <w:r>
              <w:rPr>
                <w:rFonts w:ascii="Times New Roman" w:eastAsia="標楷體" w:hAnsi="Times New Roman" w:hint="eastAsia"/>
                <w:szCs w:val="24"/>
              </w:rPr>
              <w:t>客戶國內投資收回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731C6B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三、</w:t>
            </w:r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客戶自證券商外幣帳戶提出結售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DB54CA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四、客戶其他外匯收入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253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13253" w:rsidRDefault="00B13253" w:rsidP="00734EB3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五、</w:t>
            </w:r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證券商自有外幣帳戶提出結售</w:t>
            </w:r>
          </w:p>
        </w:tc>
        <w:tc>
          <w:tcPr>
            <w:tcW w:w="1944" w:type="dxa"/>
            <w:vAlign w:val="center"/>
          </w:tcPr>
          <w:p w:rsidR="00B13253" w:rsidRPr="00EC65AD" w:rsidRDefault="00B13253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B13253" w:rsidRPr="00C426E5" w:rsidRDefault="00B13253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B13253" w:rsidRPr="00EC65AD" w:rsidRDefault="00B13253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13253" w:rsidRPr="00EC65AD" w:rsidRDefault="00B13253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B13253" w:rsidRPr="00EC65AD" w:rsidRDefault="00B13253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34EB3" w:rsidP="00734EB3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六</w:t>
            </w:r>
            <w:r w:rsidR="00796B96" w:rsidRPr="00EC65AD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734EB3">
              <w:rPr>
                <w:rFonts w:ascii="Times New Roman" w:eastAsia="標楷體" w:hAnsi="Times New Roman" w:hint="eastAsia"/>
                <w:szCs w:val="24"/>
              </w:rPr>
              <w:t>證券商自身其他外匯收入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C426E5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val="781"/>
        </w:trPr>
        <w:tc>
          <w:tcPr>
            <w:tcW w:w="3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C426E5">
            <w:pPr>
              <w:ind w:left="506" w:right="1202"/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C42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96B96" w:rsidRDefault="00796B96" w:rsidP="000D4F6A">
      <w:pPr>
        <w:spacing w:before="120"/>
        <w:ind w:left="720" w:right="403"/>
        <w:rPr>
          <w:rFonts w:eastAsia="標楷體"/>
        </w:rPr>
      </w:pPr>
      <w:r>
        <w:rPr>
          <w:rFonts w:eastAsia="標楷體" w:hint="eastAsia"/>
        </w:rPr>
        <w:t>本表相關之買</w:t>
      </w:r>
      <w:proofErr w:type="gramStart"/>
      <w:r>
        <w:rPr>
          <w:rFonts w:eastAsia="標楷體" w:hint="eastAsia"/>
        </w:rPr>
        <w:t>匯</w:t>
      </w:r>
      <w:proofErr w:type="gramEnd"/>
      <w:r>
        <w:rPr>
          <w:rFonts w:eastAsia="標楷體" w:hint="eastAsia"/>
        </w:rPr>
        <w:t>水單及其他交易憑證等資料依規定一併製作媒體資料</w:t>
      </w:r>
      <w:proofErr w:type="gramStart"/>
      <w:r>
        <w:rPr>
          <w:rFonts w:eastAsia="標楷體" w:hint="eastAsia"/>
        </w:rPr>
        <w:t>檔</w:t>
      </w:r>
      <w:proofErr w:type="gramEnd"/>
      <w:r>
        <w:rPr>
          <w:rFonts w:eastAsia="標楷體" w:hint="eastAsia"/>
        </w:rPr>
        <w:t>傳送。</w:t>
      </w:r>
    </w:p>
    <w:p w:rsidR="00796B96" w:rsidRDefault="00796B96" w:rsidP="000D4F6A">
      <w:pPr>
        <w:tabs>
          <w:tab w:val="left" w:pos="8760"/>
        </w:tabs>
        <w:ind w:left="1440" w:right="400"/>
        <w:rPr>
          <w:rFonts w:eastAsia="標楷體"/>
          <w:u w:val="single"/>
        </w:rPr>
      </w:pPr>
      <w:r>
        <w:rPr>
          <w:rFonts w:eastAsia="標楷體" w:hint="eastAsia"/>
        </w:rPr>
        <w:t>此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致</w:t>
      </w:r>
      <w:r>
        <w:rPr>
          <w:rFonts w:eastAsia="標楷體"/>
        </w:rPr>
        <w:tab/>
      </w:r>
      <w:r>
        <w:rPr>
          <w:rFonts w:eastAsia="標楷體"/>
          <w:u w:val="single"/>
        </w:rPr>
        <w:t xml:space="preserve">                                 </w:t>
      </w:r>
    </w:p>
    <w:p w:rsidR="00796B96" w:rsidRDefault="00796B96" w:rsidP="000D4F6A">
      <w:pPr>
        <w:tabs>
          <w:tab w:val="left" w:pos="9960"/>
        </w:tabs>
        <w:ind w:left="720" w:right="400"/>
        <w:rPr>
          <w:rFonts w:eastAsia="標楷體"/>
        </w:rPr>
      </w:pPr>
      <w:r>
        <w:rPr>
          <w:rFonts w:eastAsia="標楷體" w:hint="eastAsia"/>
        </w:rPr>
        <w:t>中央銀行外匯局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台照</w:t>
      </w:r>
      <w:r>
        <w:rPr>
          <w:rFonts w:eastAsia="標楷體"/>
        </w:rPr>
        <w:tab/>
        <w:t>(</w:t>
      </w:r>
      <w:r>
        <w:rPr>
          <w:rFonts w:eastAsia="標楷體" w:hint="eastAsia"/>
        </w:rPr>
        <w:t>有權簽章人</w:t>
      </w:r>
      <w:r>
        <w:rPr>
          <w:rFonts w:eastAsia="標楷體"/>
        </w:rPr>
        <w:t>)</w:t>
      </w:r>
    </w:p>
    <w:p w:rsidR="00796B96" w:rsidRPr="00AF2368" w:rsidRDefault="00796B96" w:rsidP="0068123E">
      <w:pPr>
        <w:tabs>
          <w:tab w:val="left" w:pos="8789"/>
          <w:tab w:val="left" w:pos="10940"/>
        </w:tabs>
        <w:spacing w:line="440" w:lineRule="exact"/>
        <w:ind w:left="4536" w:right="66"/>
        <w:rPr>
          <w:rFonts w:ascii="Times New Roman" w:eastAsia="標楷體" w:hAnsi="Times New Roman"/>
          <w:sz w:val="20"/>
          <w:szCs w:val="20"/>
        </w:rPr>
      </w:pPr>
      <w:r>
        <w:rPr>
          <w:rFonts w:eastAsia="標楷體"/>
        </w:rPr>
        <w:br w:type="page"/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lastRenderedPageBreak/>
        <w:t xml:space="preserve">       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           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="00EE6401" w:rsidRPr="00EE6401">
        <w:rPr>
          <w:rFonts w:ascii="Times New Roman" w:eastAsia="標楷體" w:hAnsi="Times New Roman" w:hint="eastAsia"/>
          <w:sz w:val="28"/>
          <w:szCs w:val="28"/>
        </w:rPr>
        <w:t>外匯證券商</w:t>
      </w:r>
      <w:r w:rsidRPr="00AF2368">
        <w:rPr>
          <w:rFonts w:ascii="Times New Roman" w:eastAsia="標楷體" w:hAnsi="Times New Roman"/>
          <w:sz w:val="20"/>
          <w:szCs w:val="20"/>
        </w:rPr>
        <w:t xml:space="preserve"> </w:t>
      </w:r>
      <w:r>
        <w:rPr>
          <w:rFonts w:ascii="Times New Roman" w:eastAsia="標楷體" w:hAnsi="Times New Roman"/>
          <w:sz w:val="20"/>
          <w:szCs w:val="20"/>
        </w:rPr>
        <w:t xml:space="preserve">               </w:t>
      </w:r>
      <w:r w:rsidRPr="00F8616D">
        <w:rPr>
          <w:rFonts w:ascii="Times New Roman" w:eastAsia="標楷體" w:hAnsi="Times New Roman" w:hint="eastAsia"/>
          <w:szCs w:val="24"/>
        </w:rPr>
        <w:t>幣別：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 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</w:t>
      </w:r>
    </w:p>
    <w:p w:rsidR="00796B96" w:rsidRPr="00AF2368" w:rsidRDefault="00796B96" w:rsidP="0068123E">
      <w:pPr>
        <w:tabs>
          <w:tab w:val="left" w:pos="8647"/>
          <w:tab w:val="left" w:pos="11005"/>
        </w:tabs>
        <w:spacing w:after="240" w:line="440" w:lineRule="exact"/>
        <w:ind w:right="66"/>
        <w:rPr>
          <w:rFonts w:ascii="Times New Roman" w:eastAsia="標楷體" w:hAnsi="Times New Roman"/>
          <w:sz w:val="20"/>
          <w:szCs w:val="20"/>
          <w:u w:val="single"/>
        </w:rPr>
      </w:pPr>
      <w:r w:rsidRPr="00AF2368">
        <w:rPr>
          <w:rFonts w:ascii="Times New Roman" w:eastAsia="標楷體" w:hAnsi="Times New Roman"/>
          <w:sz w:val="20"/>
          <w:szCs w:val="20"/>
        </w:rPr>
        <w:t xml:space="preserve">     </w:t>
      </w:r>
      <w:r w:rsidRPr="00F8616D">
        <w:rPr>
          <w:rFonts w:ascii="Times New Roman" w:eastAsia="標楷體" w:hAnsi="Times New Roman"/>
          <w:szCs w:val="24"/>
        </w:rPr>
        <w:t xml:space="preserve"> </w:t>
      </w:r>
      <w:r w:rsidRPr="00F8616D">
        <w:rPr>
          <w:rFonts w:ascii="Times New Roman" w:eastAsia="標楷體" w:hAnsi="Times New Roman"/>
          <w:sz w:val="28"/>
          <w:szCs w:val="28"/>
        </w:rPr>
        <w:t xml:space="preserve">                                 </w:t>
      </w:r>
      <w:r w:rsidRPr="00F8616D">
        <w:rPr>
          <w:rFonts w:ascii="Times New Roman" w:eastAsia="標楷體" w:hAnsi="Times New Roman" w:hint="eastAsia"/>
          <w:sz w:val="28"/>
          <w:szCs w:val="28"/>
        </w:rPr>
        <w:t>外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 w:rsidRPr="00F8616D">
        <w:rPr>
          <w:rFonts w:ascii="Times New Roman" w:eastAsia="標楷體" w:hAnsi="Times New Roman" w:hint="eastAsia"/>
          <w:sz w:val="28"/>
          <w:szCs w:val="28"/>
        </w:rPr>
        <w:t>匯</w:t>
      </w:r>
      <w:proofErr w:type="gramEnd"/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支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出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交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易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日</w:t>
      </w:r>
      <w:r w:rsidRPr="00F8616D">
        <w:rPr>
          <w:rFonts w:ascii="Times New Roman" w:eastAsia="標楷體" w:hAnsi="Times New Roman"/>
          <w:sz w:val="28"/>
          <w:szCs w:val="28"/>
        </w:rPr>
        <w:t xml:space="preserve"> </w:t>
      </w:r>
      <w:r w:rsidRPr="00F8616D">
        <w:rPr>
          <w:rFonts w:ascii="Times New Roman" w:eastAsia="標楷體" w:hAnsi="Times New Roman" w:hint="eastAsia"/>
          <w:sz w:val="28"/>
          <w:szCs w:val="28"/>
        </w:rPr>
        <w:t>報</w:t>
      </w:r>
      <w:r w:rsidRPr="00F8616D"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Cs w:val="24"/>
        </w:rPr>
        <w:t xml:space="preserve">             </w:t>
      </w:r>
      <w:r w:rsidRPr="00F8616D">
        <w:rPr>
          <w:rFonts w:ascii="Times New Roman" w:eastAsia="標楷體" w:hAnsi="Times New Roman" w:hint="eastAsia"/>
          <w:szCs w:val="24"/>
        </w:rPr>
        <w:t>日期：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  <w:r>
        <w:rPr>
          <w:rFonts w:ascii="Times New Roman" w:eastAsia="標楷體" w:hAnsi="Times New Roman"/>
          <w:sz w:val="20"/>
          <w:szCs w:val="20"/>
          <w:u w:val="single"/>
        </w:rPr>
        <w:t xml:space="preserve">     </w:t>
      </w:r>
      <w:r w:rsidRPr="00AF2368">
        <w:rPr>
          <w:rFonts w:ascii="Times New Roman" w:eastAsia="標楷體" w:hAnsi="Times New Roman"/>
          <w:sz w:val="20"/>
          <w:szCs w:val="20"/>
          <w:u w:val="single"/>
        </w:rPr>
        <w:t xml:space="preserve">  </w:t>
      </w:r>
    </w:p>
    <w:tbl>
      <w:tblPr>
        <w:tblW w:w="13231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11"/>
        <w:gridCol w:w="1944"/>
        <w:gridCol w:w="2016"/>
        <w:gridCol w:w="1872"/>
        <w:gridCol w:w="1944"/>
        <w:gridCol w:w="1944"/>
      </w:tblGrid>
      <w:tr w:rsidR="00796B96" w:rsidRPr="00EC65AD" w:rsidTr="00734EB3">
        <w:trPr>
          <w:trHeight w:val="268"/>
        </w:trPr>
        <w:tc>
          <w:tcPr>
            <w:tcW w:w="3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類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別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96B96" w:rsidRPr="006952A9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952A9">
              <w:rPr>
                <w:rFonts w:ascii="Times New Roman" w:eastAsia="標楷體" w:hAnsi="Times New Roman" w:hint="eastAsia"/>
                <w:szCs w:val="24"/>
              </w:rPr>
              <w:t>新臺幣</w:t>
            </w:r>
            <w:proofErr w:type="gramStart"/>
            <w:r w:rsidRPr="006952A9">
              <w:rPr>
                <w:rFonts w:ascii="Times New Roman" w:eastAsia="標楷體" w:hAnsi="Times New Roman" w:hint="eastAsia"/>
                <w:szCs w:val="24"/>
              </w:rPr>
              <w:t>結購</w:t>
            </w:r>
            <w:proofErr w:type="gramEnd"/>
          </w:p>
        </w:tc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6B96" w:rsidRPr="006952A9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952A9">
              <w:rPr>
                <w:rFonts w:ascii="Times New Roman" w:eastAsia="標楷體" w:hAnsi="Times New Roman" w:hint="eastAsia"/>
                <w:szCs w:val="24"/>
              </w:rPr>
              <w:t>未以新臺幣</w:t>
            </w:r>
            <w:proofErr w:type="gramStart"/>
            <w:r w:rsidRPr="006952A9">
              <w:rPr>
                <w:rFonts w:ascii="Times New Roman" w:eastAsia="標楷體" w:hAnsi="Times New Roman" w:hint="eastAsia"/>
                <w:szCs w:val="24"/>
              </w:rPr>
              <w:t>結購</w:t>
            </w:r>
            <w:proofErr w:type="gramEnd"/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備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proofErr w:type="gramStart"/>
            <w:r w:rsidRPr="00EC65AD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</w:p>
        </w:tc>
      </w:tr>
      <w:tr w:rsidR="00796B96" w:rsidRPr="00EC65AD" w:rsidTr="00734EB3">
        <w:trPr>
          <w:trHeight w:val="589"/>
        </w:trPr>
        <w:tc>
          <w:tcPr>
            <w:tcW w:w="3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6B96" w:rsidRPr="006952A9" w:rsidRDefault="00734EB3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34EB3">
              <w:rPr>
                <w:rFonts w:ascii="Times New Roman" w:eastAsia="標楷體" w:hAnsi="Times New Roman" w:hint="eastAsia"/>
                <w:sz w:val="22"/>
              </w:rPr>
              <w:t>外匯帳戶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客戶保管</w:t>
            </w:r>
            <w:r w:rsidRPr="00734EB3">
              <w:rPr>
                <w:rFonts w:ascii="Times New Roman" w:eastAsia="標楷體" w:hAnsi="Times New Roman"/>
                <w:sz w:val="22"/>
              </w:rPr>
              <w:t>/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信託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交割</w:t>
            </w:r>
            <w:r w:rsidR="00B57760">
              <w:rPr>
                <w:rFonts w:ascii="Times New Roman" w:eastAsia="標楷體" w:hAnsi="Times New Roman" w:hint="eastAsia"/>
                <w:sz w:val="22"/>
              </w:rPr>
              <w:t>帳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戶及證券商自有帳戶</w:t>
            </w:r>
            <w:r w:rsidRPr="00734EB3">
              <w:rPr>
                <w:rFonts w:ascii="Times New Roman" w:eastAsia="標楷體" w:hAnsi="Times New Roman" w:hint="eastAsia"/>
                <w:sz w:val="22"/>
              </w:rPr>
              <w:t>)</w:t>
            </w:r>
            <w:r w:rsidR="00796B96" w:rsidRPr="006952A9">
              <w:rPr>
                <w:rFonts w:ascii="Times New Roman" w:eastAsia="標楷體" w:hAnsi="Times New Roman" w:hint="eastAsia"/>
                <w:szCs w:val="24"/>
              </w:rPr>
              <w:t>支付</w:t>
            </w:r>
          </w:p>
        </w:tc>
        <w:tc>
          <w:tcPr>
            <w:tcW w:w="18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其</w:t>
            </w:r>
            <w:r w:rsidRPr="00EC65AD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他</w:t>
            </w: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F84CAF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一、</w:t>
            </w:r>
            <w:r>
              <w:rPr>
                <w:rFonts w:ascii="Times New Roman" w:eastAsia="標楷體" w:hAnsi="Times New Roman" w:hint="eastAsia"/>
                <w:szCs w:val="24"/>
              </w:rPr>
              <w:t>客戶國外投資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F84CAF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二、</w:t>
            </w:r>
            <w:r>
              <w:rPr>
                <w:rFonts w:ascii="Times New Roman" w:eastAsia="標楷體" w:hAnsi="Times New Roman" w:hint="eastAsia"/>
                <w:szCs w:val="24"/>
              </w:rPr>
              <w:t>客戶國內投資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F84CAF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三、</w:t>
            </w:r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客戶</w:t>
            </w:r>
            <w:proofErr w:type="gramStart"/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結購</w:t>
            </w:r>
            <w:proofErr w:type="gramEnd"/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存入證券商外幣帳戶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F84CAF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四、客戶其他外匯支出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96B96" w:rsidRPr="00EC65AD" w:rsidRDefault="00796B96" w:rsidP="00734EB3">
            <w:pPr>
              <w:ind w:left="482" w:right="155" w:hanging="48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證券商</w:t>
            </w:r>
            <w:proofErr w:type="gramStart"/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結購</w:t>
            </w:r>
            <w:proofErr w:type="gramEnd"/>
            <w:r w:rsidR="00734EB3" w:rsidRPr="00734EB3">
              <w:rPr>
                <w:rFonts w:ascii="Times New Roman" w:eastAsia="標楷體" w:hAnsi="Times New Roman" w:hint="eastAsia"/>
                <w:szCs w:val="24"/>
              </w:rPr>
              <w:t>存入自有外幣帳戶</w:t>
            </w: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96B96" w:rsidRPr="00C426E5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34EB3" w:rsidRPr="00EC65AD" w:rsidTr="00734EB3">
        <w:trPr>
          <w:cantSplit/>
          <w:trHeight w:hRule="exact" w:val="737"/>
        </w:trPr>
        <w:tc>
          <w:tcPr>
            <w:tcW w:w="3511" w:type="dxa"/>
            <w:tcBorders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34EB3" w:rsidRDefault="00734EB3" w:rsidP="00F84CAF">
            <w:pPr>
              <w:ind w:right="9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六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734EB3">
              <w:rPr>
                <w:rFonts w:ascii="Times New Roman" w:eastAsia="標楷體" w:hAnsi="Times New Roman" w:hint="eastAsia"/>
                <w:szCs w:val="24"/>
              </w:rPr>
              <w:t>證券商自身其他外匯支出</w:t>
            </w:r>
          </w:p>
        </w:tc>
        <w:tc>
          <w:tcPr>
            <w:tcW w:w="1944" w:type="dxa"/>
            <w:vAlign w:val="center"/>
          </w:tcPr>
          <w:p w:rsidR="00734EB3" w:rsidRPr="00EC65AD" w:rsidRDefault="00734EB3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734EB3" w:rsidRPr="00C426E5" w:rsidRDefault="00734EB3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34EB3" w:rsidRPr="00EC65AD" w:rsidRDefault="00734EB3" w:rsidP="00F84CAF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734EB3" w:rsidRPr="00EC65AD" w:rsidRDefault="00734EB3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  <w:vAlign w:val="center"/>
          </w:tcPr>
          <w:p w:rsidR="00734EB3" w:rsidRPr="00EC65AD" w:rsidRDefault="00734EB3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6B96" w:rsidRPr="00EC65AD" w:rsidTr="00734EB3">
        <w:trPr>
          <w:cantSplit/>
          <w:trHeight w:hRule="exact" w:val="794"/>
        </w:trPr>
        <w:tc>
          <w:tcPr>
            <w:tcW w:w="3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ind w:left="506" w:right="1202"/>
              <w:jc w:val="center"/>
              <w:rPr>
                <w:rFonts w:ascii="Times New Roman" w:eastAsia="標楷體" w:hAnsi="Times New Roman"/>
                <w:szCs w:val="24"/>
              </w:rPr>
            </w:pPr>
            <w:r w:rsidRPr="00EC65AD">
              <w:rPr>
                <w:rFonts w:ascii="Times New Roman" w:eastAsia="標楷體" w:hAnsi="Times New Roman" w:hint="eastAsia"/>
                <w:szCs w:val="24"/>
              </w:rPr>
              <w:t>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65AD">
              <w:rPr>
                <w:rFonts w:ascii="Times New Roman" w:eastAsia="標楷體" w:hAnsi="Times New Roman" w:hint="eastAsia"/>
                <w:szCs w:val="24"/>
              </w:rPr>
              <w:t>計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B96" w:rsidRPr="00EC65AD" w:rsidRDefault="00796B96" w:rsidP="00F84CA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96B96" w:rsidRDefault="00796B96" w:rsidP="0068123E">
      <w:pPr>
        <w:spacing w:before="120"/>
        <w:ind w:left="720" w:right="403"/>
        <w:rPr>
          <w:rFonts w:eastAsia="標楷體"/>
        </w:rPr>
      </w:pPr>
      <w:r>
        <w:rPr>
          <w:rFonts w:eastAsia="標楷體" w:hint="eastAsia"/>
        </w:rPr>
        <w:t>本表相關之賣</w:t>
      </w:r>
      <w:proofErr w:type="gramStart"/>
      <w:r>
        <w:rPr>
          <w:rFonts w:eastAsia="標楷體" w:hint="eastAsia"/>
        </w:rPr>
        <w:t>匯</w:t>
      </w:r>
      <w:proofErr w:type="gramEnd"/>
      <w:r>
        <w:rPr>
          <w:rFonts w:eastAsia="標楷體" w:hint="eastAsia"/>
        </w:rPr>
        <w:t>水單及其他交易憑證等資料依規定一併製作媒體資料</w:t>
      </w:r>
      <w:proofErr w:type="gramStart"/>
      <w:r>
        <w:rPr>
          <w:rFonts w:eastAsia="標楷體" w:hint="eastAsia"/>
        </w:rPr>
        <w:t>檔</w:t>
      </w:r>
      <w:proofErr w:type="gramEnd"/>
      <w:r>
        <w:rPr>
          <w:rFonts w:eastAsia="標楷體" w:hint="eastAsia"/>
        </w:rPr>
        <w:t>傳送。</w:t>
      </w:r>
    </w:p>
    <w:p w:rsidR="00796B96" w:rsidRDefault="00796B96" w:rsidP="0068123E">
      <w:pPr>
        <w:tabs>
          <w:tab w:val="left" w:pos="8760"/>
        </w:tabs>
        <w:ind w:left="1440" w:right="400"/>
        <w:rPr>
          <w:rFonts w:eastAsia="標楷體"/>
          <w:u w:val="single"/>
        </w:rPr>
      </w:pPr>
      <w:r>
        <w:rPr>
          <w:rFonts w:eastAsia="標楷體" w:hint="eastAsia"/>
        </w:rPr>
        <w:t>此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致</w:t>
      </w:r>
      <w:r>
        <w:rPr>
          <w:rFonts w:eastAsia="標楷體"/>
        </w:rPr>
        <w:tab/>
      </w:r>
      <w:r>
        <w:rPr>
          <w:rFonts w:eastAsia="標楷體"/>
          <w:u w:val="single"/>
        </w:rPr>
        <w:t xml:space="preserve">                                 </w:t>
      </w:r>
    </w:p>
    <w:p w:rsidR="00796B96" w:rsidRPr="000D4F6A" w:rsidRDefault="00796B96" w:rsidP="0068123E">
      <w:pPr>
        <w:tabs>
          <w:tab w:val="left" w:pos="9960"/>
        </w:tabs>
        <w:ind w:left="720" w:right="400"/>
      </w:pPr>
      <w:r>
        <w:rPr>
          <w:rFonts w:eastAsia="標楷體" w:hint="eastAsia"/>
        </w:rPr>
        <w:t>中央銀行外匯局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台照</w:t>
      </w:r>
      <w:r>
        <w:rPr>
          <w:rFonts w:eastAsia="標楷體"/>
        </w:rPr>
        <w:tab/>
        <w:t>(</w:t>
      </w:r>
      <w:r>
        <w:rPr>
          <w:rFonts w:eastAsia="標楷體" w:hint="eastAsia"/>
        </w:rPr>
        <w:t>有權簽章人</w:t>
      </w:r>
      <w:r>
        <w:rPr>
          <w:rFonts w:eastAsia="標楷體"/>
        </w:rPr>
        <w:t>)</w:t>
      </w:r>
    </w:p>
    <w:p w:rsidR="00796B96" w:rsidRPr="0068123E" w:rsidRDefault="00796B96" w:rsidP="000D4F6A">
      <w:pPr>
        <w:tabs>
          <w:tab w:val="left" w:pos="9960"/>
        </w:tabs>
        <w:ind w:left="720" w:right="400"/>
      </w:pPr>
    </w:p>
    <w:sectPr w:rsidR="00796B96" w:rsidRPr="0068123E" w:rsidSect="00807444">
      <w:headerReference w:type="default" r:id="rId7"/>
      <w:pgSz w:w="16838" w:h="11906" w:orient="landscape"/>
      <w:pgMar w:top="1134" w:right="1440" w:bottom="127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6C" w:rsidRDefault="00D00A6C" w:rsidP="00F66761">
      <w:r>
        <w:separator/>
      </w:r>
    </w:p>
  </w:endnote>
  <w:endnote w:type="continuationSeparator" w:id="0">
    <w:p w:rsidR="00D00A6C" w:rsidRDefault="00D00A6C" w:rsidP="00F6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6C" w:rsidRDefault="00D00A6C" w:rsidP="00F66761">
      <w:r>
        <w:separator/>
      </w:r>
    </w:p>
  </w:footnote>
  <w:footnote w:type="continuationSeparator" w:id="0">
    <w:p w:rsidR="00D00A6C" w:rsidRDefault="00D00A6C" w:rsidP="00F66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3B" w:rsidRPr="00AF753B" w:rsidRDefault="00AF753B" w:rsidP="00AF753B">
    <w:pPr>
      <w:pStyle w:val="a5"/>
      <w:tabs>
        <w:tab w:val="clear" w:pos="4153"/>
        <w:tab w:val="clear" w:pos="8306"/>
        <w:tab w:val="center" w:pos="6979"/>
      </w:tabs>
      <w:rPr>
        <w:rFonts w:ascii="標楷體" w:eastAsia="標楷體" w:hAnsi="標楷體"/>
        <w:sz w:val="24"/>
        <w:szCs w:val="24"/>
      </w:rPr>
    </w:pPr>
    <w:r>
      <w:tab/>
    </w:r>
    <w:r>
      <w:tab/>
    </w:r>
    <w:r>
      <w:rPr>
        <w:rFonts w:hint="eastAsia"/>
      </w:rPr>
      <w:t xml:space="preserve">                                                       </w:t>
    </w:r>
    <w:r w:rsidRPr="00AF753B">
      <w:rPr>
        <w:rFonts w:ascii="標楷體" w:eastAsia="標楷體" w:hAnsi="標楷體" w:hint="eastAsia"/>
        <w:sz w:val="24"/>
        <w:szCs w:val="24"/>
      </w:rPr>
      <w:t>附件2-1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6D"/>
    <w:rsid w:val="00071B85"/>
    <w:rsid w:val="00077539"/>
    <w:rsid w:val="000D4F6A"/>
    <w:rsid w:val="001169F6"/>
    <w:rsid w:val="001E67E4"/>
    <w:rsid w:val="001F53F2"/>
    <w:rsid w:val="00243B75"/>
    <w:rsid w:val="00246A09"/>
    <w:rsid w:val="002A55C0"/>
    <w:rsid w:val="002A6552"/>
    <w:rsid w:val="003F03FC"/>
    <w:rsid w:val="004518F9"/>
    <w:rsid w:val="00593C3F"/>
    <w:rsid w:val="005D1E8D"/>
    <w:rsid w:val="0061317C"/>
    <w:rsid w:val="0068123E"/>
    <w:rsid w:val="006952A9"/>
    <w:rsid w:val="006D374B"/>
    <w:rsid w:val="00731C6B"/>
    <w:rsid w:val="00734EB3"/>
    <w:rsid w:val="00744EA3"/>
    <w:rsid w:val="00772F9A"/>
    <w:rsid w:val="00796B96"/>
    <w:rsid w:val="00807444"/>
    <w:rsid w:val="009E4BCA"/>
    <w:rsid w:val="00A82B55"/>
    <w:rsid w:val="00AA6D4D"/>
    <w:rsid w:val="00AF2368"/>
    <w:rsid w:val="00AF753B"/>
    <w:rsid w:val="00B13253"/>
    <w:rsid w:val="00B57760"/>
    <w:rsid w:val="00BC3BD2"/>
    <w:rsid w:val="00C01E2E"/>
    <w:rsid w:val="00C426E5"/>
    <w:rsid w:val="00C519A3"/>
    <w:rsid w:val="00CB373C"/>
    <w:rsid w:val="00D00A6C"/>
    <w:rsid w:val="00D027CC"/>
    <w:rsid w:val="00D731F4"/>
    <w:rsid w:val="00D9627C"/>
    <w:rsid w:val="00D96C1F"/>
    <w:rsid w:val="00DB54CA"/>
    <w:rsid w:val="00E56C69"/>
    <w:rsid w:val="00EC65AD"/>
    <w:rsid w:val="00ED7EB0"/>
    <w:rsid w:val="00EE6401"/>
    <w:rsid w:val="00F32539"/>
    <w:rsid w:val="00F66761"/>
    <w:rsid w:val="00F84CAF"/>
    <w:rsid w:val="00F8616D"/>
    <w:rsid w:val="00FA7FF8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6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43B7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FD353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43B75"/>
    <w:rPr>
      <w:rFonts w:ascii="Cambria" w:eastAsia="標楷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FD3530"/>
    <w:rPr>
      <w:rFonts w:ascii="Cambria" w:eastAsia="標楷體" w:hAnsi="Cambria" w:cs="Times New Roman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99"/>
    <w:qFormat/>
    <w:rsid w:val="00FD353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locked/>
    <w:rsid w:val="00FD3530"/>
    <w:rPr>
      <w:rFonts w:ascii="Cambria" w:eastAsia="標楷體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F6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F6676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F6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F66761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753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F753B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6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43B7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FD353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43B75"/>
    <w:rPr>
      <w:rFonts w:ascii="Cambria" w:eastAsia="標楷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FD3530"/>
    <w:rPr>
      <w:rFonts w:ascii="Cambria" w:eastAsia="標楷體" w:hAnsi="Cambria" w:cs="Times New Roman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99"/>
    <w:qFormat/>
    <w:rsid w:val="00FD353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locked/>
    <w:rsid w:val="00FD3530"/>
    <w:rPr>
      <w:rFonts w:ascii="Cambria" w:eastAsia="標楷體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F6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F6676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F66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F66761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753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F753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證券商</dc:title>
  <dc:creator>李淑芬</dc:creator>
  <cp:lastModifiedBy>盧志典</cp:lastModifiedBy>
  <cp:revision>2</cp:revision>
  <cp:lastPrinted>2016-04-11T02:12:00Z</cp:lastPrinted>
  <dcterms:created xsi:type="dcterms:W3CDTF">2020-02-04T06:04:00Z</dcterms:created>
  <dcterms:modified xsi:type="dcterms:W3CDTF">2020-02-04T06:04:00Z</dcterms:modified>
</cp:coreProperties>
</file>