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03" w:rsidRPr="00556DA8" w:rsidRDefault="00556DA8" w:rsidP="00556DA8">
      <w:pPr>
        <w:spacing w:line="500" w:lineRule="exact"/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  <w:r w:rsidRPr="00556DA8">
        <w:rPr>
          <w:rFonts w:ascii="標楷體" w:eastAsia="標楷體" w:hAnsi="標楷體" w:hint="eastAsia"/>
          <w:szCs w:val="24"/>
        </w:rPr>
        <w:t>附件1-2</w:t>
      </w:r>
    </w:p>
    <w:p w:rsidR="009370CF" w:rsidRPr="00B75498" w:rsidRDefault="00290E8D" w:rsidP="0089305A">
      <w:pPr>
        <w:spacing w:afterLines="100" w:after="360" w:line="500" w:lineRule="exact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B75498">
        <w:rPr>
          <w:rFonts w:ascii="Times New Roman" w:eastAsia="標楷體" w:hAnsi="Times New Roman" w:hint="eastAsia"/>
          <w:b/>
          <w:sz w:val="28"/>
          <w:szCs w:val="28"/>
        </w:rPr>
        <w:t>掣</w:t>
      </w:r>
      <w:proofErr w:type="gramEnd"/>
      <w:r w:rsidRPr="00B75498">
        <w:rPr>
          <w:rFonts w:ascii="Times New Roman" w:eastAsia="標楷體" w:hAnsi="Times New Roman" w:hint="eastAsia"/>
          <w:b/>
          <w:sz w:val="28"/>
          <w:szCs w:val="28"/>
        </w:rPr>
        <w:t>發</w:t>
      </w:r>
      <w:r w:rsidR="00205920" w:rsidRPr="00205920">
        <w:rPr>
          <w:rFonts w:ascii="標楷體" w:eastAsia="標楷體" w:hAnsi="標楷體"/>
          <w:b/>
          <w:sz w:val="28"/>
          <w:szCs w:val="28"/>
        </w:rPr>
        <w:t>外匯收入</w:t>
      </w:r>
      <w:r w:rsidR="00E05668">
        <w:rPr>
          <w:rFonts w:ascii="標楷體" w:eastAsia="標楷體" w:hAnsi="標楷體" w:hint="eastAsia"/>
          <w:b/>
          <w:sz w:val="28"/>
          <w:szCs w:val="28"/>
        </w:rPr>
        <w:t>或</w:t>
      </w:r>
      <w:r w:rsidR="00205920" w:rsidRPr="00205920">
        <w:rPr>
          <w:rFonts w:ascii="標楷體" w:eastAsia="標楷體" w:hAnsi="標楷體"/>
          <w:b/>
          <w:sz w:val="28"/>
          <w:szCs w:val="28"/>
        </w:rPr>
        <w:t>支出</w:t>
      </w:r>
      <w:r w:rsidRPr="00B75498">
        <w:rPr>
          <w:rFonts w:ascii="Times New Roman" w:eastAsia="標楷體" w:hAnsi="Times New Roman" w:hint="eastAsia"/>
          <w:b/>
          <w:sz w:val="28"/>
          <w:szCs w:val="28"/>
        </w:rPr>
        <w:t>單證內容</w:t>
      </w:r>
      <w:r w:rsidR="00CF550A" w:rsidRPr="00B75498">
        <w:rPr>
          <w:rFonts w:ascii="Times New Roman" w:eastAsia="標楷體" w:hAnsi="Times New Roman" w:hint="eastAsia"/>
          <w:b/>
          <w:sz w:val="28"/>
          <w:szCs w:val="28"/>
        </w:rPr>
        <w:t>填報</w:t>
      </w:r>
      <w:r w:rsidR="00C32103" w:rsidRPr="00B75498">
        <w:rPr>
          <w:rFonts w:ascii="Times New Roman" w:eastAsia="標楷體" w:hAnsi="Times New Roman" w:hint="eastAsia"/>
          <w:b/>
          <w:sz w:val="28"/>
          <w:szCs w:val="28"/>
        </w:rPr>
        <w:t>說明</w:t>
      </w:r>
    </w:p>
    <w:p w:rsidR="003D3AE5" w:rsidRPr="008C7300" w:rsidRDefault="003D3AE5" w:rsidP="008C7300">
      <w:pPr>
        <w:numPr>
          <w:ilvl w:val="0"/>
          <w:numId w:val="9"/>
        </w:numPr>
        <w:spacing w:line="400" w:lineRule="exact"/>
        <w:ind w:left="488" w:hanging="488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/>
          <w:szCs w:val="24"/>
        </w:rPr>
        <w:t>外匯收入</w:t>
      </w:r>
      <w:r w:rsidR="00E05668">
        <w:rPr>
          <w:rFonts w:ascii="標楷體" w:eastAsia="標楷體" w:hAnsi="標楷體" w:hint="eastAsia"/>
          <w:szCs w:val="24"/>
        </w:rPr>
        <w:t>或</w:t>
      </w:r>
      <w:r w:rsidRPr="008C7300">
        <w:rPr>
          <w:rFonts w:ascii="標楷體" w:eastAsia="標楷體" w:hAnsi="標楷體"/>
          <w:szCs w:val="24"/>
        </w:rPr>
        <w:t>支出憑證:</w:t>
      </w:r>
    </w:p>
    <w:p w:rsidR="003D3AE5" w:rsidRPr="008C7300" w:rsidRDefault="003D3AE5" w:rsidP="008C7300">
      <w:pPr>
        <w:numPr>
          <w:ilvl w:val="0"/>
          <w:numId w:val="10"/>
        </w:numPr>
        <w:tabs>
          <w:tab w:val="clear" w:pos="1005"/>
        </w:tabs>
        <w:spacing w:line="400" w:lineRule="exact"/>
        <w:ind w:left="851" w:hanging="494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/>
          <w:szCs w:val="24"/>
        </w:rPr>
        <w:t>外匯收入：</w:t>
      </w:r>
      <w:r w:rsidR="00480689">
        <w:rPr>
          <w:rFonts w:ascii="標楷體" w:eastAsia="標楷體" w:hAnsi="標楷體" w:hint="eastAsia"/>
          <w:szCs w:val="24"/>
        </w:rPr>
        <w:t>外匯</w:t>
      </w:r>
      <w:r w:rsidRPr="008C7300">
        <w:rPr>
          <w:rFonts w:ascii="標楷體" w:eastAsia="標楷體" w:hAnsi="標楷體"/>
          <w:szCs w:val="24"/>
        </w:rPr>
        <w:t>證券商或客戶自</w:t>
      </w:r>
      <w:r w:rsidR="00370F7A">
        <w:rPr>
          <w:rFonts w:ascii="標楷體" w:eastAsia="標楷體" w:hAnsi="標楷體" w:hint="eastAsia"/>
          <w:szCs w:val="24"/>
        </w:rPr>
        <w:t>該</w:t>
      </w:r>
      <w:r w:rsidRPr="008C7300">
        <w:rPr>
          <w:rFonts w:ascii="標楷體" w:eastAsia="標楷體" w:hAnsi="標楷體"/>
          <w:szCs w:val="24"/>
        </w:rPr>
        <w:t>證券商外幣帳戶提出結售</w:t>
      </w:r>
      <w:r w:rsidR="00205920">
        <w:rPr>
          <w:rFonts w:ascii="標楷體" w:eastAsia="標楷體" w:hAnsi="標楷體" w:hint="eastAsia"/>
          <w:szCs w:val="24"/>
        </w:rPr>
        <w:t>為新臺幣</w:t>
      </w:r>
      <w:r w:rsidRPr="008C7300">
        <w:rPr>
          <w:rFonts w:ascii="標楷體" w:eastAsia="標楷體" w:hAnsi="標楷體" w:hint="eastAsia"/>
          <w:szCs w:val="24"/>
        </w:rPr>
        <w:t>、或</w:t>
      </w:r>
      <w:r w:rsidRPr="008C7300">
        <w:rPr>
          <w:rFonts w:ascii="標楷體" w:eastAsia="標楷體" w:hAnsi="標楷體"/>
          <w:szCs w:val="24"/>
        </w:rPr>
        <w:t>外匯資金轉入，</w:t>
      </w:r>
      <w:r w:rsidRPr="008C7300">
        <w:rPr>
          <w:rFonts w:ascii="標楷體" w:eastAsia="標楷體" w:hAnsi="標楷體" w:hint="eastAsia"/>
          <w:szCs w:val="24"/>
        </w:rPr>
        <w:t>應</w:t>
      </w:r>
      <w:proofErr w:type="gramStart"/>
      <w:r w:rsidRPr="008C7300">
        <w:rPr>
          <w:rFonts w:ascii="標楷體" w:eastAsia="標楷體" w:hAnsi="標楷體"/>
          <w:szCs w:val="24"/>
        </w:rPr>
        <w:t>掣</w:t>
      </w:r>
      <w:proofErr w:type="gramEnd"/>
      <w:r w:rsidRPr="008C7300">
        <w:rPr>
          <w:rFonts w:ascii="標楷體" w:eastAsia="標楷體" w:hAnsi="標楷體"/>
          <w:szCs w:val="24"/>
        </w:rPr>
        <w:t>發</w:t>
      </w:r>
      <w:r w:rsidRPr="008C7300">
        <w:rPr>
          <w:rFonts w:ascii="標楷體" w:eastAsia="標楷體" w:hAnsi="標楷體" w:hint="eastAsia"/>
          <w:szCs w:val="24"/>
        </w:rPr>
        <w:t>買</w:t>
      </w:r>
      <w:proofErr w:type="gramStart"/>
      <w:r w:rsidRPr="008C7300">
        <w:rPr>
          <w:rFonts w:ascii="標楷體" w:eastAsia="標楷體" w:hAnsi="標楷體" w:hint="eastAsia"/>
          <w:szCs w:val="24"/>
        </w:rPr>
        <w:t>匯</w:t>
      </w:r>
      <w:proofErr w:type="gramEnd"/>
      <w:r w:rsidRPr="008C7300">
        <w:rPr>
          <w:rFonts w:ascii="標楷體" w:eastAsia="標楷體" w:hAnsi="標楷體" w:hint="eastAsia"/>
          <w:szCs w:val="24"/>
        </w:rPr>
        <w:t>水單或</w:t>
      </w:r>
      <w:r w:rsidR="00205920">
        <w:rPr>
          <w:rFonts w:ascii="標楷體" w:eastAsia="標楷體" w:hAnsi="標楷體" w:hint="eastAsia"/>
          <w:szCs w:val="24"/>
        </w:rPr>
        <w:t>其他</w:t>
      </w:r>
      <w:r w:rsidRPr="008C7300">
        <w:rPr>
          <w:rFonts w:ascii="標楷體" w:eastAsia="標楷體" w:hAnsi="標楷體"/>
          <w:szCs w:val="24"/>
        </w:rPr>
        <w:t>交易憑證。</w:t>
      </w:r>
    </w:p>
    <w:p w:rsidR="003D3AE5" w:rsidRPr="008C7300" w:rsidRDefault="003D3AE5" w:rsidP="008C7300">
      <w:pPr>
        <w:numPr>
          <w:ilvl w:val="0"/>
          <w:numId w:val="10"/>
        </w:numPr>
        <w:tabs>
          <w:tab w:val="clear" w:pos="1005"/>
        </w:tabs>
        <w:spacing w:line="400" w:lineRule="exact"/>
        <w:ind w:left="851" w:hanging="494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/>
          <w:szCs w:val="24"/>
        </w:rPr>
        <w:t>外匯支出：</w:t>
      </w:r>
      <w:r w:rsidR="00131C6C">
        <w:rPr>
          <w:rFonts w:ascii="標楷體" w:eastAsia="標楷體" w:hAnsi="標楷體" w:hint="eastAsia"/>
          <w:szCs w:val="24"/>
        </w:rPr>
        <w:t>外匯</w:t>
      </w:r>
      <w:r w:rsidRPr="008C7300">
        <w:rPr>
          <w:rFonts w:ascii="標楷體" w:eastAsia="標楷體" w:hAnsi="標楷體"/>
          <w:szCs w:val="24"/>
        </w:rPr>
        <w:t>證券商或客戶</w:t>
      </w:r>
      <w:r w:rsidR="00205920">
        <w:rPr>
          <w:rFonts w:ascii="標楷體" w:eastAsia="標楷體" w:hAnsi="標楷體" w:hint="eastAsia"/>
          <w:szCs w:val="24"/>
        </w:rPr>
        <w:t>以新臺幣</w:t>
      </w:r>
      <w:proofErr w:type="gramStart"/>
      <w:r w:rsidRPr="008C7300">
        <w:rPr>
          <w:rFonts w:ascii="標楷體" w:eastAsia="標楷體" w:hAnsi="標楷體"/>
          <w:szCs w:val="24"/>
        </w:rPr>
        <w:t>結購</w:t>
      </w:r>
      <w:proofErr w:type="gramEnd"/>
      <w:r w:rsidRPr="008C7300">
        <w:rPr>
          <w:rFonts w:ascii="標楷體" w:eastAsia="標楷體" w:hAnsi="標楷體"/>
          <w:szCs w:val="24"/>
        </w:rPr>
        <w:t>外幣存入</w:t>
      </w:r>
      <w:r w:rsidR="00370F7A">
        <w:rPr>
          <w:rFonts w:ascii="標楷體" w:eastAsia="標楷體" w:hAnsi="標楷體" w:hint="eastAsia"/>
          <w:szCs w:val="24"/>
        </w:rPr>
        <w:t>該</w:t>
      </w:r>
      <w:r w:rsidRPr="008C7300">
        <w:rPr>
          <w:rFonts w:ascii="標楷體" w:eastAsia="標楷體" w:hAnsi="標楷體"/>
          <w:szCs w:val="24"/>
        </w:rPr>
        <w:t>證券商外幣帳戶</w:t>
      </w:r>
      <w:r w:rsidRPr="008C7300">
        <w:rPr>
          <w:rFonts w:ascii="標楷體" w:eastAsia="標楷體" w:hAnsi="標楷體" w:hint="eastAsia"/>
          <w:szCs w:val="24"/>
        </w:rPr>
        <w:t>、或</w:t>
      </w:r>
      <w:r w:rsidRPr="008C7300">
        <w:rPr>
          <w:rFonts w:ascii="標楷體" w:eastAsia="標楷體" w:hAnsi="標楷體"/>
          <w:szCs w:val="24"/>
        </w:rPr>
        <w:t>外匯資金轉出，</w:t>
      </w:r>
      <w:r w:rsidRPr="008C7300">
        <w:rPr>
          <w:rFonts w:ascii="標楷體" w:eastAsia="標楷體" w:hAnsi="標楷體" w:hint="eastAsia"/>
          <w:szCs w:val="24"/>
        </w:rPr>
        <w:t>應</w:t>
      </w:r>
      <w:proofErr w:type="gramStart"/>
      <w:r w:rsidRPr="008C7300">
        <w:rPr>
          <w:rFonts w:ascii="標楷體" w:eastAsia="標楷體" w:hAnsi="標楷體"/>
          <w:szCs w:val="24"/>
        </w:rPr>
        <w:t>掣</w:t>
      </w:r>
      <w:proofErr w:type="gramEnd"/>
      <w:r w:rsidRPr="008C7300">
        <w:rPr>
          <w:rFonts w:ascii="標楷體" w:eastAsia="標楷體" w:hAnsi="標楷體"/>
          <w:szCs w:val="24"/>
        </w:rPr>
        <w:t>發</w:t>
      </w:r>
      <w:r w:rsidRPr="008C7300">
        <w:rPr>
          <w:rFonts w:ascii="標楷體" w:eastAsia="標楷體" w:hAnsi="標楷體" w:hint="eastAsia"/>
          <w:szCs w:val="24"/>
        </w:rPr>
        <w:t>賣</w:t>
      </w:r>
      <w:proofErr w:type="gramStart"/>
      <w:r w:rsidRPr="008C7300">
        <w:rPr>
          <w:rFonts w:ascii="標楷體" w:eastAsia="標楷體" w:hAnsi="標楷體" w:hint="eastAsia"/>
          <w:szCs w:val="24"/>
        </w:rPr>
        <w:t>匯</w:t>
      </w:r>
      <w:proofErr w:type="gramEnd"/>
      <w:r w:rsidRPr="008C7300">
        <w:rPr>
          <w:rFonts w:ascii="標楷體" w:eastAsia="標楷體" w:hAnsi="標楷體" w:hint="eastAsia"/>
          <w:szCs w:val="24"/>
        </w:rPr>
        <w:t>水單或</w:t>
      </w:r>
      <w:r w:rsidR="00205920">
        <w:rPr>
          <w:rFonts w:ascii="標楷體" w:eastAsia="標楷體" w:hAnsi="標楷體" w:hint="eastAsia"/>
          <w:szCs w:val="24"/>
        </w:rPr>
        <w:t>其他</w:t>
      </w:r>
      <w:r w:rsidRPr="008C7300">
        <w:rPr>
          <w:rFonts w:ascii="標楷體" w:eastAsia="標楷體" w:hAnsi="標楷體"/>
          <w:szCs w:val="24"/>
        </w:rPr>
        <w:t>交易憑證。</w:t>
      </w:r>
    </w:p>
    <w:p w:rsidR="00F35C5A" w:rsidRDefault="00F35C5A" w:rsidP="00F35C5A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iCs/>
          <w:szCs w:val="24"/>
        </w:rPr>
      </w:pPr>
      <w:r>
        <w:rPr>
          <w:rFonts w:ascii="標楷體" w:eastAsia="標楷體" w:hAnsi="標楷體" w:hint="eastAsia"/>
          <w:iCs/>
          <w:szCs w:val="24"/>
        </w:rPr>
        <w:t>交割日期</w:t>
      </w:r>
      <w:r w:rsidRPr="008C7300">
        <w:rPr>
          <w:rFonts w:ascii="標楷體" w:eastAsia="標楷體" w:hAnsi="標楷體"/>
          <w:iCs/>
          <w:szCs w:val="24"/>
        </w:rPr>
        <w:t>：</w:t>
      </w:r>
      <w:r>
        <w:rPr>
          <w:rFonts w:ascii="標楷體" w:eastAsia="標楷體" w:hAnsi="標楷體" w:hint="eastAsia"/>
          <w:iCs/>
          <w:szCs w:val="24"/>
        </w:rPr>
        <w:t>以收付款項日期填列。</w:t>
      </w:r>
    </w:p>
    <w:p w:rsidR="00F35C5A" w:rsidRDefault="00F35C5A" w:rsidP="00F35C5A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iCs/>
          <w:szCs w:val="24"/>
        </w:rPr>
      </w:pPr>
      <w:r>
        <w:rPr>
          <w:rFonts w:ascii="標楷體" w:eastAsia="標楷體" w:hAnsi="標楷體" w:hint="eastAsia"/>
          <w:iCs/>
          <w:szCs w:val="24"/>
        </w:rPr>
        <w:t>交易日期:以敲定交易價格之日期填列。</w:t>
      </w:r>
    </w:p>
    <w:p w:rsidR="00F35C5A" w:rsidRPr="00F35C5A" w:rsidRDefault="00F35C5A" w:rsidP="00F35C5A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iCs/>
          <w:szCs w:val="24"/>
        </w:rPr>
      </w:pPr>
      <w:r w:rsidRPr="00F35C5A">
        <w:rPr>
          <w:rFonts w:ascii="標楷體" w:eastAsia="標楷體" w:hAnsi="標楷體" w:hint="eastAsia"/>
          <w:szCs w:val="24"/>
        </w:rPr>
        <w:t xml:space="preserve">交易編號: </w:t>
      </w:r>
      <w:r w:rsidR="00205920">
        <w:rPr>
          <w:rFonts w:ascii="標楷體" w:eastAsia="標楷體" w:hAnsi="標楷體" w:hint="eastAsia"/>
          <w:szCs w:val="24"/>
        </w:rPr>
        <w:t>共12碼，</w:t>
      </w:r>
      <w:r w:rsidRPr="00F35C5A">
        <w:rPr>
          <w:rFonts w:ascii="標楷體" w:eastAsia="標楷體" w:hAnsi="標楷體" w:hint="eastAsia"/>
          <w:szCs w:val="24"/>
        </w:rPr>
        <w:t>前二位是本行核給</w:t>
      </w:r>
      <w:r w:rsidR="00480689">
        <w:rPr>
          <w:rFonts w:ascii="標楷體" w:eastAsia="標楷體" w:hAnsi="標楷體" w:hint="eastAsia"/>
          <w:szCs w:val="24"/>
        </w:rPr>
        <w:t>外匯</w:t>
      </w:r>
      <w:r w:rsidRPr="00F35C5A">
        <w:rPr>
          <w:rFonts w:ascii="標楷體" w:eastAsia="標楷體" w:hAnsi="標楷體" w:hint="eastAsia"/>
          <w:szCs w:val="24"/>
        </w:rPr>
        <w:t>證券商</w:t>
      </w:r>
      <w:r w:rsidR="00370F7A">
        <w:rPr>
          <w:rFonts w:ascii="標楷體" w:eastAsia="標楷體" w:hAnsi="標楷體" w:hint="eastAsia"/>
          <w:szCs w:val="24"/>
        </w:rPr>
        <w:t>及OSU之</w:t>
      </w:r>
      <w:r w:rsidRPr="00F35C5A">
        <w:rPr>
          <w:rFonts w:ascii="標楷體" w:eastAsia="標楷體" w:hAnsi="標楷體" w:hint="eastAsia"/>
          <w:szCs w:val="24"/>
        </w:rPr>
        <w:t>字軌編號的後兩位，後十位為流水號。</w:t>
      </w:r>
    </w:p>
    <w:p w:rsidR="008D1213" w:rsidRPr="008C7300" w:rsidRDefault="008D1213" w:rsidP="008D1213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/>
          <w:iCs/>
          <w:szCs w:val="24"/>
        </w:rPr>
        <w:t xml:space="preserve">地區國別： </w:t>
      </w:r>
    </w:p>
    <w:p w:rsidR="008D1213" w:rsidRPr="008C7300" w:rsidRDefault="008D1213" w:rsidP="008D1213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iCs/>
        </w:rPr>
      </w:pPr>
      <w:r w:rsidRPr="008C7300">
        <w:rPr>
          <w:rFonts w:ascii="標楷體" w:eastAsia="標楷體" w:hAnsi="標楷體"/>
          <w:iCs/>
        </w:rPr>
        <w:t>外匯收入依資金來源國別填報。</w:t>
      </w:r>
    </w:p>
    <w:p w:rsidR="008D1213" w:rsidRPr="008C7300" w:rsidRDefault="008D1213" w:rsidP="008D1213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iCs/>
        </w:rPr>
      </w:pPr>
      <w:r w:rsidRPr="008C7300">
        <w:rPr>
          <w:rFonts w:ascii="標楷體" w:eastAsia="標楷體" w:hAnsi="標楷體"/>
          <w:iCs/>
        </w:rPr>
        <w:t>外匯支出依資金去處國別填報</w:t>
      </w:r>
      <w:r w:rsidRPr="008C7300">
        <w:rPr>
          <w:rFonts w:ascii="標楷體" w:eastAsia="標楷體" w:hAnsi="標楷體"/>
          <w:kern w:val="0"/>
          <w:szCs w:val="24"/>
        </w:rPr>
        <w:t>。</w:t>
      </w:r>
    </w:p>
    <w:p w:rsidR="008D1213" w:rsidRPr="008C7300" w:rsidRDefault="008D1213" w:rsidP="008D1213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 w:hint="eastAsia"/>
          <w:szCs w:val="24"/>
        </w:rPr>
        <w:t>資金來源</w:t>
      </w:r>
      <w:r w:rsidR="00D13327">
        <w:rPr>
          <w:rFonts w:ascii="標楷體" w:eastAsia="標楷體" w:hAnsi="標楷體" w:hint="eastAsia"/>
          <w:szCs w:val="24"/>
        </w:rPr>
        <w:t>或</w:t>
      </w:r>
      <w:r w:rsidRPr="008C7300">
        <w:rPr>
          <w:rFonts w:ascii="標楷體" w:eastAsia="標楷體" w:hAnsi="標楷體" w:hint="eastAsia"/>
          <w:szCs w:val="24"/>
        </w:rPr>
        <w:t>去處為外匯指定銀行(DBU)之帳戶、OSU開設於</w:t>
      </w:r>
      <w:r w:rsidR="004E2D16">
        <w:rPr>
          <w:rFonts w:ascii="標楷體" w:eastAsia="標楷體" w:hAnsi="標楷體" w:hint="eastAsia"/>
          <w:szCs w:val="24"/>
        </w:rPr>
        <w:t>DBU</w:t>
      </w:r>
      <w:r w:rsidRPr="008C7300">
        <w:rPr>
          <w:rFonts w:ascii="標楷體" w:eastAsia="標楷體" w:hAnsi="標楷體" w:hint="eastAsia"/>
          <w:szCs w:val="24"/>
        </w:rPr>
        <w:t>之帳戶</w:t>
      </w:r>
      <w:r w:rsidR="004E2D16">
        <w:rPr>
          <w:rFonts w:ascii="標楷體" w:eastAsia="標楷體" w:hAnsi="標楷體" w:hint="eastAsia"/>
          <w:szCs w:val="24"/>
        </w:rPr>
        <w:t>(</w:t>
      </w:r>
      <w:r w:rsidRPr="008C7300">
        <w:rPr>
          <w:rFonts w:ascii="標楷體" w:eastAsia="標楷體" w:hAnsi="標楷體" w:hint="eastAsia"/>
          <w:szCs w:val="24"/>
        </w:rPr>
        <w:t>保管/信託專戶等</w:t>
      </w:r>
      <w:r w:rsidR="004E2D16">
        <w:rPr>
          <w:rFonts w:ascii="標楷體" w:eastAsia="標楷體" w:hAnsi="標楷體" w:hint="eastAsia"/>
          <w:szCs w:val="24"/>
        </w:rPr>
        <w:t>)</w:t>
      </w:r>
      <w:r w:rsidRPr="008C7300">
        <w:rPr>
          <w:rFonts w:ascii="標楷體" w:eastAsia="標楷體" w:hAnsi="標楷體" w:hint="eastAsia"/>
          <w:szCs w:val="24"/>
        </w:rPr>
        <w:t>，填報</w:t>
      </w:r>
      <w:r w:rsidR="00205920">
        <w:rPr>
          <w:rFonts w:ascii="標楷體" w:eastAsia="標楷體" w:hAnsi="標楷體" w:hint="eastAsia"/>
          <w:szCs w:val="24"/>
        </w:rPr>
        <w:t>國別為</w:t>
      </w:r>
      <w:r w:rsidRPr="008C7300">
        <w:rPr>
          <w:rFonts w:ascii="標楷體" w:eastAsia="標楷體" w:hAnsi="標楷體" w:hint="eastAsia"/>
          <w:szCs w:val="24"/>
        </w:rPr>
        <w:t>本國</w:t>
      </w:r>
      <w:r w:rsidR="00205920">
        <w:rPr>
          <w:rFonts w:ascii="標楷體" w:eastAsia="標楷體" w:hAnsi="標楷體" w:hint="eastAsia"/>
          <w:szCs w:val="24"/>
        </w:rPr>
        <w:t>(</w:t>
      </w:r>
      <w:r w:rsidRPr="008C7300">
        <w:rPr>
          <w:rFonts w:ascii="標楷體" w:eastAsia="標楷體" w:hAnsi="標楷體" w:hint="eastAsia"/>
          <w:szCs w:val="24"/>
        </w:rPr>
        <w:t>TW</w:t>
      </w:r>
      <w:r w:rsidR="00205920">
        <w:rPr>
          <w:rFonts w:ascii="標楷體" w:eastAsia="標楷體" w:hAnsi="標楷體" w:hint="eastAsia"/>
          <w:szCs w:val="24"/>
        </w:rPr>
        <w:t>)</w:t>
      </w:r>
      <w:r w:rsidRPr="008C7300">
        <w:rPr>
          <w:rFonts w:ascii="標楷體" w:eastAsia="標楷體" w:hAnsi="標楷體" w:hint="eastAsia"/>
          <w:szCs w:val="24"/>
        </w:rPr>
        <w:t>。</w:t>
      </w:r>
    </w:p>
    <w:p w:rsidR="008D1213" w:rsidRPr="009117F7" w:rsidRDefault="008D1213" w:rsidP="008D1213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 w:hint="eastAsia"/>
          <w:szCs w:val="24"/>
        </w:rPr>
        <w:t>資金來源</w:t>
      </w:r>
      <w:r w:rsidR="00205920">
        <w:rPr>
          <w:rFonts w:ascii="標楷體" w:eastAsia="標楷體" w:hAnsi="標楷體" w:hint="eastAsia"/>
          <w:szCs w:val="24"/>
        </w:rPr>
        <w:t>或</w:t>
      </w:r>
      <w:r w:rsidRPr="008C7300">
        <w:rPr>
          <w:rFonts w:ascii="標楷體" w:eastAsia="標楷體" w:hAnsi="標楷體" w:hint="eastAsia"/>
          <w:szCs w:val="24"/>
        </w:rPr>
        <w:t>去處為國際金融業務分行(OBU)之帳戶及證券商開設於OBU之帳戶</w:t>
      </w:r>
      <w:r w:rsidR="004E2D16">
        <w:rPr>
          <w:rFonts w:ascii="標楷體" w:eastAsia="標楷體" w:hAnsi="標楷體" w:hint="eastAsia"/>
          <w:szCs w:val="24"/>
        </w:rPr>
        <w:t>(</w:t>
      </w:r>
      <w:r w:rsidR="004E2D16" w:rsidRPr="008C7300">
        <w:rPr>
          <w:rFonts w:ascii="標楷體" w:eastAsia="標楷體" w:hAnsi="標楷體" w:hint="eastAsia"/>
          <w:szCs w:val="24"/>
        </w:rPr>
        <w:t>保管/信託專戶等</w:t>
      </w:r>
      <w:r w:rsidR="004E2D16">
        <w:rPr>
          <w:rFonts w:ascii="標楷體" w:eastAsia="標楷體" w:hAnsi="標楷體" w:hint="eastAsia"/>
          <w:szCs w:val="24"/>
        </w:rPr>
        <w:t>)，</w:t>
      </w:r>
      <w:r w:rsidRPr="008C7300">
        <w:rPr>
          <w:rFonts w:ascii="標楷體" w:eastAsia="標楷體" w:hAnsi="標楷體" w:hint="eastAsia"/>
          <w:szCs w:val="24"/>
        </w:rPr>
        <w:t>填報</w:t>
      </w:r>
      <w:r w:rsidR="00205920">
        <w:rPr>
          <w:rFonts w:ascii="標楷體" w:eastAsia="標楷體" w:hAnsi="標楷體" w:hint="eastAsia"/>
          <w:szCs w:val="24"/>
        </w:rPr>
        <w:t>國別為</w:t>
      </w:r>
      <w:r w:rsidRPr="008C7300">
        <w:rPr>
          <w:rFonts w:ascii="標楷體" w:eastAsia="標楷體" w:hAnsi="標楷體" w:hint="eastAsia"/>
          <w:szCs w:val="24"/>
        </w:rPr>
        <w:t>本國OBU(XA)。</w:t>
      </w:r>
    </w:p>
    <w:p w:rsidR="008D1213" w:rsidRPr="008C7300" w:rsidRDefault="008D1213" w:rsidP="008D1213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/>
          <w:iCs/>
          <w:szCs w:val="24"/>
        </w:rPr>
        <w:t>地區國別</w:t>
      </w:r>
      <w:r>
        <w:rPr>
          <w:rFonts w:ascii="標楷體" w:eastAsia="標楷體" w:hAnsi="標楷體" w:hint="eastAsia"/>
          <w:iCs/>
          <w:szCs w:val="24"/>
        </w:rPr>
        <w:t>之</w:t>
      </w:r>
      <w:r w:rsidRPr="008C7300">
        <w:rPr>
          <w:rFonts w:ascii="標楷體" w:eastAsia="標楷體" w:hAnsi="標楷體"/>
          <w:iCs/>
          <w:szCs w:val="24"/>
        </w:rPr>
        <w:t>國家別代碼</w:t>
      </w:r>
      <w:r w:rsidR="00205920">
        <w:rPr>
          <w:rFonts w:ascii="標楷體" w:eastAsia="標楷體" w:hAnsi="標楷體" w:hint="eastAsia"/>
          <w:iCs/>
          <w:szCs w:val="24"/>
        </w:rPr>
        <w:t>:</w:t>
      </w:r>
      <w:r>
        <w:rPr>
          <w:rFonts w:ascii="標楷體" w:eastAsia="標楷體" w:hAnsi="標楷體" w:hint="eastAsia"/>
          <w:iCs/>
        </w:rPr>
        <w:t>參照</w:t>
      </w:r>
      <w:r>
        <w:rPr>
          <w:rFonts w:ascii="標楷體" w:eastAsia="標楷體" w:hAnsi="標楷體" w:hint="eastAsia"/>
          <w:iCs/>
          <w:szCs w:val="24"/>
        </w:rPr>
        <w:t>「國家名稱及代碼對照表」</w:t>
      </w:r>
      <w:r w:rsidR="00837068">
        <w:rPr>
          <w:rFonts w:ascii="標楷體" w:eastAsia="標楷體" w:hAnsi="標楷體" w:hint="eastAsia"/>
          <w:iCs/>
          <w:szCs w:val="24"/>
        </w:rPr>
        <w:t>(詳附件8)</w:t>
      </w:r>
      <w:r w:rsidRPr="008C7300">
        <w:rPr>
          <w:rFonts w:ascii="標楷體" w:eastAsia="標楷體" w:hAnsi="標楷體"/>
          <w:iCs/>
          <w:szCs w:val="24"/>
        </w:rPr>
        <w:t>。</w:t>
      </w:r>
    </w:p>
    <w:p w:rsidR="00F35C5A" w:rsidRPr="00F35C5A" w:rsidRDefault="00F35C5A" w:rsidP="00F35C5A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iCs/>
        </w:rPr>
      </w:pPr>
      <w:r>
        <w:rPr>
          <w:rFonts w:ascii="標楷體" w:eastAsia="標楷體" w:hAnsi="標楷體" w:hint="eastAsia"/>
          <w:iCs/>
        </w:rPr>
        <w:t>幣別:外匯交易或買賣</w:t>
      </w:r>
      <w:proofErr w:type="gramStart"/>
      <w:r>
        <w:rPr>
          <w:rFonts w:ascii="標楷體" w:eastAsia="標楷體" w:hAnsi="標楷體" w:hint="eastAsia"/>
          <w:iCs/>
        </w:rPr>
        <w:t>匯之幣</w:t>
      </w:r>
      <w:proofErr w:type="gramEnd"/>
      <w:r>
        <w:rPr>
          <w:rFonts w:ascii="標楷體" w:eastAsia="標楷體" w:hAnsi="標楷體" w:hint="eastAsia"/>
          <w:iCs/>
        </w:rPr>
        <w:t>別代碼參照</w:t>
      </w:r>
      <w:r>
        <w:rPr>
          <w:rFonts w:ascii="標楷體" w:eastAsia="標楷體" w:hAnsi="標楷體" w:hint="eastAsia"/>
          <w:iCs/>
          <w:szCs w:val="24"/>
        </w:rPr>
        <w:t>「幣別代碼表」</w:t>
      </w:r>
      <w:r w:rsidR="00837068">
        <w:rPr>
          <w:rFonts w:ascii="標楷體" w:eastAsia="標楷體" w:hAnsi="標楷體" w:hint="eastAsia"/>
          <w:iCs/>
          <w:szCs w:val="24"/>
        </w:rPr>
        <w:t>(詳附件8)</w:t>
      </w:r>
      <w:r>
        <w:rPr>
          <w:rFonts w:ascii="標楷體" w:eastAsia="標楷體" w:hAnsi="標楷體" w:hint="eastAsia"/>
          <w:iCs/>
          <w:szCs w:val="24"/>
        </w:rPr>
        <w:t>。</w:t>
      </w:r>
    </w:p>
    <w:p w:rsidR="00F35C5A" w:rsidRDefault="00F35C5A" w:rsidP="00F35C5A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iCs/>
        </w:rPr>
      </w:pPr>
      <w:r>
        <w:rPr>
          <w:rFonts w:ascii="標楷體" w:eastAsia="標楷體" w:hAnsi="標楷體" w:hint="eastAsia"/>
          <w:iCs/>
          <w:szCs w:val="24"/>
        </w:rPr>
        <w:t>金額:以交易之外幣金額填列。</w:t>
      </w:r>
    </w:p>
    <w:p w:rsidR="003D3AE5" w:rsidRPr="008C7300" w:rsidRDefault="003D3AE5" w:rsidP="008C7300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iCs/>
        </w:rPr>
      </w:pPr>
      <w:r w:rsidRPr="008C7300">
        <w:rPr>
          <w:rFonts w:ascii="標楷體" w:eastAsia="標楷體" w:hAnsi="標楷體" w:hint="eastAsia"/>
          <w:iCs/>
        </w:rPr>
        <w:t>客戶</w:t>
      </w:r>
      <w:r w:rsidRPr="008C7300">
        <w:rPr>
          <w:rFonts w:ascii="標楷體" w:eastAsia="標楷體" w:hAnsi="標楷體"/>
          <w:iCs/>
        </w:rPr>
        <w:t>證照號碼：</w:t>
      </w:r>
    </w:p>
    <w:p w:rsidR="003D3AE5" w:rsidRPr="00131C6C" w:rsidRDefault="003D3AE5" w:rsidP="008C7300">
      <w:pPr>
        <w:numPr>
          <w:ilvl w:val="0"/>
          <w:numId w:val="11"/>
        </w:numPr>
        <w:tabs>
          <w:tab w:val="clear" w:pos="1005"/>
        </w:tabs>
        <w:spacing w:line="400" w:lineRule="exact"/>
        <w:ind w:left="851" w:hanging="501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/>
          <w:iCs/>
        </w:rPr>
        <w:t>公司、</w:t>
      </w:r>
      <w:r w:rsidR="00205920">
        <w:rPr>
          <w:rFonts w:ascii="標楷體" w:eastAsia="標楷體" w:hAnsi="標楷體" w:hint="eastAsia"/>
          <w:iCs/>
        </w:rPr>
        <w:t>有限合夥、</w:t>
      </w:r>
      <w:r w:rsidRPr="008C7300">
        <w:rPr>
          <w:rFonts w:ascii="標楷體" w:eastAsia="標楷體" w:hAnsi="標楷體"/>
          <w:iCs/>
        </w:rPr>
        <w:t>行號(身分別1)</w:t>
      </w:r>
      <w:r w:rsidRPr="008C7300">
        <w:rPr>
          <w:rFonts w:ascii="標楷體" w:eastAsia="標楷體" w:hAnsi="標楷體" w:hint="eastAsia"/>
          <w:iCs/>
        </w:rPr>
        <w:t>:</w:t>
      </w:r>
      <w:r w:rsidR="00131C6C" w:rsidRPr="00131C6C">
        <w:rPr>
          <w:rFonts w:ascii="Times New Roman" w:eastAsia="標楷體" w:hAnsi="Times New Roman" w:hint="eastAsia"/>
          <w:szCs w:val="24"/>
        </w:rPr>
        <w:t>統一編號為八位數字碼，須符合經濟部公布之邏輯檢查標準（檔案格式十碼，後二碼空白）。</w:t>
      </w:r>
      <w:r w:rsidRPr="00131C6C">
        <w:rPr>
          <w:rFonts w:ascii="標楷體" w:eastAsia="標楷體" w:hAnsi="標楷體"/>
          <w:iCs/>
          <w:szCs w:val="24"/>
        </w:rPr>
        <w:t>。</w:t>
      </w:r>
    </w:p>
    <w:p w:rsidR="003D3AE5" w:rsidRPr="008C7300" w:rsidRDefault="003D3AE5" w:rsidP="008C7300">
      <w:pPr>
        <w:numPr>
          <w:ilvl w:val="0"/>
          <w:numId w:val="11"/>
        </w:numPr>
        <w:tabs>
          <w:tab w:val="clear" w:pos="1005"/>
        </w:tabs>
        <w:spacing w:line="400" w:lineRule="exact"/>
        <w:ind w:left="851" w:hanging="501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/>
          <w:iCs/>
        </w:rPr>
        <w:t>團體(身分別2)</w:t>
      </w:r>
      <w:r w:rsidRPr="008C7300">
        <w:rPr>
          <w:rFonts w:ascii="標楷體" w:eastAsia="標楷體" w:hAnsi="標楷體" w:hint="eastAsia"/>
          <w:iCs/>
        </w:rPr>
        <w:t>:</w:t>
      </w:r>
      <w:r w:rsidRPr="008C7300">
        <w:rPr>
          <w:rFonts w:ascii="標楷體" w:eastAsia="標楷體" w:hAnsi="標楷體"/>
          <w:szCs w:val="24"/>
        </w:rPr>
        <w:t>統一編號為八位數字碼，須符合經濟部公布之邏輯</w:t>
      </w:r>
      <w:r w:rsidRPr="008C7300">
        <w:rPr>
          <w:rFonts w:ascii="標楷體" w:eastAsia="標楷體" w:hAnsi="標楷體"/>
          <w:iCs/>
        </w:rPr>
        <w:t>檢查</w:t>
      </w:r>
      <w:r w:rsidRPr="008C7300">
        <w:rPr>
          <w:rFonts w:ascii="標楷體" w:eastAsia="標楷體" w:hAnsi="標楷體"/>
          <w:szCs w:val="24"/>
        </w:rPr>
        <w:t>標準；無統一編號者，依設立登記主管機關核發之登記</w:t>
      </w:r>
      <w:proofErr w:type="gramStart"/>
      <w:r w:rsidRPr="008C7300">
        <w:rPr>
          <w:rFonts w:ascii="標楷體" w:eastAsia="標楷體" w:hAnsi="標楷體"/>
          <w:szCs w:val="24"/>
        </w:rPr>
        <w:t>證號填列</w:t>
      </w:r>
      <w:proofErr w:type="gramEnd"/>
      <w:r w:rsidRPr="008C7300">
        <w:rPr>
          <w:rFonts w:ascii="標楷體" w:eastAsia="標楷體" w:hAnsi="標楷體"/>
          <w:szCs w:val="24"/>
        </w:rPr>
        <w:t>（檔案格式十碼，後二碼空白）。</w:t>
      </w:r>
    </w:p>
    <w:p w:rsidR="003D3AE5" w:rsidRPr="008C7300" w:rsidRDefault="003D3AE5" w:rsidP="008C7300">
      <w:pPr>
        <w:numPr>
          <w:ilvl w:val="0"/>
          <w:numId w:val="11"/>
        </w:numPr>
        <w:tabs>
          <w:tab w:val="clear" w:pos="1005"/>
        </w:tabs>
        <w:spacing w:line="400" w:lineRule="exact"/>
        <w:ind w:left="851" w:hanging="501"/>
        <w:rPr>
          <w:rFonts w:ascii="標楷體" w:eastAsia="標楷體" w:hAnsi="標楷體"/>
          <w:iCs/>
        </w:rPr>
      </w:pPr>
      <w:r w:rsidRPr="008C7300">
        <w:rPr>
          <w:rFonts w:ascii="標楷體" w:eastAsia="標楷體" w:hAnsi="標楷體"/>
          <w:iCs/>
        </w:rPr>
        <w:t>本國個人(身分別3)</w:t>
      </w:r>
      <w:r w:rsidRPr="008C7300">
        <w:rPr>
          <w:rFonts w:ascii="標楷體" w:eastAsia="標楷體" w:hAnsi="標楷體" w:hint="eastAsia"/>
          <w:iCs/>
        </w:rPr>
        <w:t>:</w:t>
      </w:r>
      <w:r w:rsidRPr="008C7300">
        <w:rPr>
          <w:rFonts w:ascii="標楷體" w:eastAsia="標楷體" w:hAnsi="標楷體"/>
          <w:iCs/>
        </w:rPr>
        <w:t>國民身分證統一編號共十碼，</w:t>
      </w:r>
      <w:proofErr w:type="gramStart"/>
      <w:r w:rsidRPr="008C7300">
        <w:rPr>
          <w:rFonts w:ascii="標楷體" w:eastAsia="標楷體" w:hAnsi="標楷體"/>
          <w:iCs/>
        </w:rPr>
        <w:t>第一碼</w:t>
      </w:r>
      <w:proofErr w:type="gramEnd"/>
      <w:r w:rsidRPr="008C7300">
        <w:rPr>
          <w:rFonts w:ascii="標楷體" w:eastAsia="標楷體" w:hAnsi="標楷體"/>
          <w:iCs/>
        </w:rPr>
        <w:t>為英文字母區域碼，後九碼為數字碼，須符合內政部公布之邏輯檢查標準。</w:t>
      </w:r>
    </w:p>
    <w:p w:rsidR="003D3AE5" w:rsidRPr="008C7300" w:rsidRDefault="003D3AE5" w:rsidP="008C7300">
      <w:pPr>
        <w:numPr>
          <w:ilvl w:val="0"/>
          <w:numId w:val="11"/>
        </w:numPr>
        <w:tabs>
          <w:tab w:val="clear" w:pos="1005"/>
        </w:tabs>
        <w:spacing w:line="400" w:lineRule="exact"/>
        <w:ind w:left="851" w:hanging="501"/>
        <w:rPr>
          <w:rFonts w:ascii="標楷體" w:eastAsia="標楷體" w:hAnsi="標楷體"/>
          <w:iCs/>
        </w:rPr>
      </w:pPr>
      <w:r w:rsidRPr="008C7300">
        <w:rPr>
          <w:rFonts w:ascii="標楷體" w:eastAsia="標楷體" w:hAnsi="標楷體"/>
        </w:rPr>
        <w:t>持中華民國台灣地區相關居留證或外僑居留證(身分別4)</w:t>
      </w:r>
      <w:r w:rsidRPr="008C7300">
        <w:rPr>
          <w:rFonts w:ascii="標楷體" w:eastAsia="標楷體" w:hAnsi="標楷體" w:hint="eastAsia"/>
          <w:iCs/>
        </w:rPr>
        <w:t>:</w:t>
      </w:r>
      <w:r w:rsidRPr="008C7300">
        <w:rPr>
          <w:rFonts w:ascii="標楷體" w:eastAsia="標楷體" w:hAnsi="標楷體"/>
          <w:iCs/>
        </w:rPr>
        <w:t>共十碼，</w:t>
      </w:r>
      <w:proofErr w:type="gramStart"/>
      <w:r w:rsidRPr="008C7300">
        <w:rPr>
          <w:rFonts w:ascii="標楷體" w:eastAsia="標楷體" w:hAnsi="標楷體"/>
          <w:iCs/>
        </w:rPr>
        <w:t>第一碼</w:t>
      </w:r>
      <w:proofErr w:type="gramEnd"/>
      <w:r w:rsidRPr="008C7300">
        <w:rPr>
          <w:rFonts w:ascii="標楷體" w:eastAsia="標楷體" w:hAnsi="標楷體"/>
          <w:iCs/>
        </w:rPr>
        <w:t>為英文字母區域碼，</w:t>
      </w:r>
      <w:proofErr w:type="gramStart"/>
      <w:r w:rsidRPr="008C7300">
        <w:rPr>
          <w:rFonts w:ascii="標楷體" w:eastAsia="標楷體" w:hAnsi="標楷體"/>
          <w:iCs/>
        </w:rPr>
        <w:t>第二碼</w:t>
      </w:r>
      <w:proofErr w:type="gramEnd"/>
      <w:r w:rsidRPr="008C7300">
        <w:rPr>
          <w:rFonts w:ascii="標楷體" w:eastAsia="標楷體" w:hAnsi="標楷體"/>
          <w:iCs/>
        </w:rPr>
        <w:t>為性別碼，</w:t>
      </w:r>
      <w:r w:rsidRPr="008C7300">
        <w:rPr>
          <w:rFonts w:ascii="標楷體" w:eastAsia="標楷體" w:hAnsi="標楷體"/>
        </w:rPr>
        <w:t>A、C代表男性，B、D代表女性</w:t>
      </w:r>
      <w:r w:rsidRPr="008C7300">
        <w:rPr>
          <w:rFonts w:ascii="標楷體" w:eastAsia="標楷體" w:hAnsi="標楷體"/>
          <w:iCs/>
        </w:rPr>
        <w:t>，後八碼為數字碼，須符合內政部公布之邏輯檢查標準，</w:t>
      </w:r>
      <w:r w:rsidR="00205920">
        <w:rPr>
          <w:rFonts w:ascii="標楷體" w:eastAsia="標楷體" w:hAnsi="標楷體" w:hint="eastAsia"/>
        </w:rPr>
        <w:t>並</w:t>
      </w:r>
      <w:r w:rsidRPr="008C7300">
        <w:rPr>
          <w:rFonts w:ascii="標楷體" w:eastAsia="標楷體" w:hAnsi="標楷體"/>
        </w:rPr>
        <w:t>填寫居留證之核發及到期日期，</w:t>
      </w:r>
      <w:r w:rsidRPr="008C7300">
        <w:rPr>
          <w:rFonts w:ascii="標楷體" w:eastAsia="標楷體" w:hAnsi="標楷體"/>
          <w:iCs/>
        </w:rPr>
        <w:t>該居留證應在有效期限內。</w:t>
      </w:r>
    </w:p>
    <w:p w:rsidR="003D3AE5" w:rsidRPr="008C7300" w:rsidRDefault="003D3AE5" w:rsidP="008C7300">
      <w:pPr>
        <w:numPr>
          <w:ilvl w:val="0"/>
          <w:numId w:val="11"/>
        </w:numPr>
        <w:tabs>
          <w:tab w:val="clear" w:pos="1005"/>
        </w:tabs>
        <w:spacing w:line="400" w:lineRule="exact"/>
        <w:ind w:left="851" w:hanging="501"/>
        <w:rPr>
          <w:rFonts w:ascii="標楷體" w:eastAsia="標楷體" w:hAnsi="標楷體"/>
          <w:iCs/>
        </w:rPr>
      </w:pPr>
      <w:r w:rsidRPr="008C7300">
        <w:rPr>
          <w:rFonts w:ascii="標楷體" w:eastAsia="標楷體" w:hAnsi="標楷體"/>
          <w:iCs/>
        </w:rPr>
        <w:t>外國人持官員證(身分別42)</w:t>
      </w:r>
      <w:r w:rsidRPr="008C7300">
        <w:rPr>
          <w:rFonts w:ascii="標楷體" w:eastAsia="標楷體" w:hAnsi="標楷體" w:hint="eastAsia"/>
          <w:iCs/>
        </w:rPr>
        <w:t>:</w:t>
      </w:r>
      <w:r w:rsidRPr="008C7300">
        <w:rPr>
          <w:rFonts w:ascii="標楷體" w:eastAsia="標楷體" w:hAnsi="標楷體"/>
          <w:iCs/>
        </w:rPr>
        <w:t>共九碼，</w:t>
      </w:r>
      <w:proofErr w:type="gramStart"/>
      <w:r w:rsidRPr="008C7300">
        <w:rPr>
          <w:rFonts w:ascii="標楷體" w:eastAsia="標楷體" w:hAnsi="標楷體"/>
          <w:iCs/>
        </w:rPr>
        <w:t>第一碼</w:t>
      </w:r>
      <w:proofErr w:type="gramEnd"/>
      <w:r w:rsidRPr="008C7300">
        <w:rPr>
          <w:rFonts w:ascii="標楷體" w:eastAsia="標楷體" w:hAnsi="標楷體"/>
          <w:iCs/>
        </w:rPr>
        <w:t>為英文字母，限C、D、F，第二、</w:t>
      </w:r>
      <w:r w:rsidRPr="008C7300">
        <w:rPr>
          <w:rFonts w:ascii="標楷體" w:eastAsia="標楷體" w:hAnsi="標楷體"/>
          <w:iCs/>
        </w:rPr>
        <w:lastRenderedPageBreak/>
        <w:t>三、四碼為年度，後</w:t>
      </w:r>
      <w:r w:rsidRPr="008C7300">
        <w:rPr>
          <w:rFonts w:ascii="標楷體" w:eastAsia="標楷體" w:hAnsi="標楷體"/>
        </w:rPr>
        <w:t>五</w:t>
      </w:r>
      <w:r w:rsidRPr="008C7300">
        <w:rPr>
          <w:rFonts w:ascii="標楷體" w:eastAsia="標楷體" w:hAnsi="標楷體"/>
          <w:iCs/>
        </w:rPr>
        <w:t>碼為數字碼，數字碼如不足</w:t>
      </w:r>
      <w:r w:rsidRPr="008C7300">
        <w:rPr>
          <w:rFonts w:ascii="標楷體" w:eastAsia="標楷體" w:hAnsi="標楷體"/>
        </w:rPr>
        <w:t>五</w:t>
      </w:r>
      <w:r w:rsidRPr="008C7300">
        <w:rPr>
          <w:rFonts w:ascii="標楷體" w:eastAsia="標楷體" w:hAnsi="標楷體"/>
          <w:iCs/>
        </w:rPr>
        <w:t>碼，則於前補0。</w:t>
      </w:r>
    </w:p>
    <w:p w:rsidR="003D3AE5" w:rsidRPr="008C7300" w:rsidRDefault="003D3AE5" w:rsidP="008C7300">
      <w:pPr>
        <w:numPr>
          <w:ilvl w:val="0"/>
          <w:numId w:val="11"/>
        </w:numPr>
        <w:tabs>
          <w:tab w:val="clear" w:pos="1005"/>
        </w:tabs>
        <w:spacing w:line="400" w:lineRule="exact"/>
        <w:ind w:left="851" w:hanging="501"/>
        <w:rPr>
          <w:rFonts w:ascii="標楷體" w:eastAsia="標楷體" w:hAnsi="標楷體"/>
          <w:iCs/>
        </w:rPr>
      </w:pPr>
      <w:r w:rsidRPr="008C7300">
        <w:rPr>
          <w:rFonts w:ascii="標楷體" w:eastAsia="標楷體" w:hAnsi="標楷體" w:hint="eastAsia"/>
          <w:iCs/>
        </w:rPr>
        <w:t>持護照之外國人(包含華僑)及港澳、大陸人士持入</w:t>
      </w:r>
      <w:proofErr w:type="gramStart"/>
      <w:r w:rsidRPr="008C7300">
        <w:rPr>
          <w:rFonts w:ascii="標楷體" w:eastAsia="標楷體" w:hAnsi="標楷體" w:hint="eastAsia"/>
          <w:iCs/>
        </w:rPr>
        <w:t>出境證但無</w:t>
      </w:r>
      <w:proofErr w:type="gramEnd"/>
      <w:r w:rsidRPr="008C7300">
        <w:rPr>
          <w:rFonts w:ascii="標楷體" w:eastAsia="標楷體" w:hAnsi="標楷體" w:hint="eastAsia"/>
          <w:iCs/>
        </w:rPr>
        <w:t>居留證者</w:t>
      </w:r>
      <w:r w:rsidRPr="008C7300">
        <w:rPr>
          <w:rFonts w:ascii="標楷體" w:eastAsia="標楷體" w:hAnsi="標楷體"/>
          <w:iCs/>
        </w:rPr>
        <w:t>(身分別43)</w:t>
      </w:r>
      <w:r w:rsidRPr="008C7300">
        <w:rPr>
          <w:rFonts w:ascii="標楷體" w:eastAsia="標楷體" w:hAnsi="標楷體" w:hint="eastAsia"/>
          <w:iCs/>
        </w:rPr>
        <w:t>:</w:t>
      </w:r>
      <w:r w:rsidRPr="008C7300">
        <w:rPr>
          <w:rFonts w:ascii="標楷體" w:eastAsia="標楷體" w:hAnsi="標楷體"/>
          <w:iCs/>
        </w:rPr>
        <w:t>最多十碼</w:t>
      </w:r>
      <w:r w:rsidRPr="008C7300">
        <w:rPr>
          <w:rFonts w:ascii="標楷體" w:eastAsia="標楷體" w:hAnsi="標楷體"/>
        </w:rPr>
        <w:t>（超過十碼者取後十碼，港澳或大陸人士持入出境證者，無論證照號碼為十一或十二碼，均取後十碼）</w:t>
      </w:r>
      <w:r w:rsidRPr="008C7300">
        <w:rPr>
          <w:rFonts w:ascii="標楷體" w:eastAsia="標楷體" w:hAnsi="標楷體"/>
          <w:iCs/>
        </w:rPr>
        <w:t>，須輸入護照號碼，不可輸入</w:t>
      </w:r>
      <w:proofErr w:type="gramStart"/>
      <w:r w:rsidRPr="008C7300">
        <w:rPr>
          <w:rFonts w:ascii="標楷體" w:eastAsia="標楷體" w:hAnsi="標楷體"/>
          <w:iCs/>
        </w:rPr>
        <w:t>基資表</w:t>
      </w:r>
      <w:proofErr w:type="gramEnd"/>
      <w:r w:rsidRPr="008C7300">
        <w:rPr>
          <w:rFonts w:ascii="標楷體" w:eastAsia="標楷體" w:hAnsi="標楷體"/>
          <w:iCs/>
        </w:rPr>
        <w:t>內之統一證號，另須於送件編號欄之後二位輸入國籍。</w:t>
      </w:r>
    </w:p>
    <w:p w:rsidR="003D3AE5" w:rsidRPr="008C7300" w:rsidRDefault="003D3AE5" w:rsidP="008C7300">
      <w:pPr>
        <w:numPr>
          <w:ilvl w:val="0"/>
          <w:numId w:val="11"/>
        </w:numPr>
        <w:tabs>
          <w:tab w:val="clear" w:pos="1005"/>
        </w:tabs>
        <w:spacing w:line="400" w:lineRule="exact"/>
        <w:ind w:left="851" w:hanging="501"/>
        <w:rPr>
          <w:rFonts w:ascii="標楷體" w:eastAsia="標楷體" w:hAnsi="標楷體"/>
          <w:iCs/>
        </w:rPr>
      </w:pPr>
      <w:r w:rsidRPr="008C7300">
        <w:rPr>
          <w:rFonts w:ascii="標楷體" w:eastAsia="標楷體" w:hAnsi="標楷體"/>
          <w:iCs/>
        </w:rPr>
        <w:t>代理外國人身分別為二位數字碼，原身分別代碼後加6至8代表代理外國自然人、外國法人及外國銀行。</w:t>
      </w:r>
    </w:p>
    <w:p w:rsidR="003D3AE5" w:rsidRPr="009D0CEF" w:rsidRDefault="003D3AE5" w:rsidP="008C7300">
      <w:pPr>
        <w:numPr>
          <w:ilvl w:val="0"/>
          <w:numId w:val="11"/>
        </w:numPr>
        <w:tabs>
          <w:tab w:val="clear" w:pos="1005"/>
        </w:tabs>
        <w:spacing w:line="400" w:lineRule="exact"/>
        <w:ind w:left="851" w:hanging="501"/>
        <w:rPr>
          <w:rFonts w:ascii="標楷體" w:eastAsia="標楷體" w:hAnsi="標楷體"/>
          <w:iCs/>
          <w:shd w:val="pct15" w:color="auto" w:fill="FFFFFF"/>
        </w:rPr>
      </w:pPr>
      <w:r w:rsidRPr="00521D25">
        <w:rPr>
          <w:rFonts w:ascii="標楷體" w:eastAsia="標楷體" w:hAnsi="標楷體"/>
        </w:rPr>
        <w:t>證券商本身之外匯交易(身分別6</w:t>
      </w:r>
      <w:r w:rsidR="00521D25">
        <w:rPr>
          <w:rFonts w:ascii="標楷體" w:eastAsia="標楷體" w:hAnsi="標楷體" w:hint="eastAsia"/>
        </w:rPr>
        <w:t>及61</w:t>
      </w:r>
      <w:r w:rsidRPr="00521D25">
        <w:rPr>
          <w:rFonts w:ascii="標楷體" w:eastAsia="標楷體" w:hAnsi="標楷體"/>
        </w:rPr>
        <w:t>)</w:t>
      </w:r>
      <w:r w:rsidRPr="00521D25">
        <w:rPr>
          <w:rFonts w:ascii="標楷體" w:eastAsia="標楷體" w:hAnsi="標楷體" w:hint="eastAsia"/>
        </w:rPr>
        <w:t>:</w:t>
      </w:r>
      <w:r w:rsidRPr="00521D25">
        <w:rPr>
          <w:rFonts w:ascii="標楷體" w:eastAsia="標楷體" w:hAnsi="標楷體"/>
        </w:rPr>
        <w:t>證券商</w:t>
      </w:r>
      <w:r w:rsidR="00521D25">
        <w:rPr>
          <w:rFonts w:ascii="標楷體" w:eastAsia="標楷體" w:hAnsi="標楷體" w:hint="eastAsia"/>
        </w:rPr>
        <w:t>以其</w:t>
      </w:r>
      <w:r w:rsidRPr="00521D25">
        <w:rPr>
          <w:rFonts w:ascii="標楷體" w:eastAsia="標楷體" w:hAnsi="標楷體"/>
        </w:rPr>
        <w:t>自</w:t>
      </w:r>
      <w:r w:rsidR="00521D25">
        <w:rPr>
          <w:rFonts w:ascii="標楷體" w:eastAsia="標楷體" w:hAnsi="標楷體" w:hint="eastAsia"/>
        </w:rPr>
        <w:t>有資金</w:t>
      </w:r>
      <w:r w:rsidR="0086050D">
        <w:rPr>
          <w:rFonts w:ascii="標楷體" w:eastAsia="標楷體" w:hAnsi="標楷體" w:hint="eastAsia"/>
        </w:rPr>
        <w:t>自行買賣國外有價證券，並經</w:t>
      </w:r>
      <w:r w:rsidR="00521D25">
        <w:rPr>
          <w:rFonts w:ascii="標楷體" w:eastAsia="標楷體" w:hAnsi="標楷體" w:hint="eastAsia"/>
        </w:rPr>
        <w:t>由其自</w:t>
      </w:r>
      <w:proofErr w:type="gramStart"/>
      <w:r w:rsidR="00521D25">
        <w:rPr>
          <w:rFonts w:ascii="標楷體" w:eastAsia="標楷體" w:hAnsi="標楷體" w:hint="eastAsia"/>
        </w:rPr>
        <w:t>營部門</w:t>
      </w:r>
      <w:r w:rsidR="0086050D">
        <w:rPr>
          <w:rFonts w:ascii="標楷體" w:eastAsia="標楷體" w:hAnsi="標楷體" w:hint="eastAsia"/>
        </w:rPr>
        <w:t>收付</w:t>
      </w:r>
      <w:proofErr w:type="gramEnd"/>
      <w:r w:rsidR="0086050D">
        <w:rPr>
          <w:rFonts w:ascii="標楷體" w:eastAsia="標楷體" w:hAnsi="標楷體" w:hint="eastAsia"/>
        </w:rPr>
        <w:t>投資、損益等</w:t>
      </w:r>
      <w:r w:rsidR="00521D25">
        <w:rPr>
          <w:rFonts w:ascii="標楷體" w:eastAsia="標楷體" w:hAnsi="標楷體" w:hint="eastAsia"/>
        </w:rPr>
        <w:t>款項，身分別為6；證券商以自有資金經由受託買賣、信託方式財富管理等業務，由其</w:t>
      </w:r>
      <w:r w:rsidR="0086050D">
        <w:rPr>
          <w:rFonts w:ascii="標楷體" w:eastAsia="標楷體" w:hAnsi="標楷體" w:hint="eastAsia"/>
        </w:rPr>
        <w:t>經紀或信託等相關部門收付投資等款項，身分別為61。</w:t>
      </w:r>
    </w:p>
    <w:p w:rsidR="004839B3" w:rsidRPr="008C7300" w:rsidRDefault="004839B3" w:rsidP="008C7300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szCs w:val="24"/>
        </w:rPr>
      </w:pPr>
      <w:r w:rsidRPr="008C7300">
        <w:rPr>
          <w:rFonts w:ascii="標楷體" w:eastAsia="標楷體" w:hAnsi="標楷體" w:hint="eastAsia"/>
          <w:szCs w:val="24"/>
        </w:rPr>
        <w:t>外匯收入</w:t>
      </w:r>
      <w:r w:rsidR="00E05668">
        <w:rPr>
          <w:rFonts w:ascii="標楷體" w:eastAsia="標楷體" w:hAnsi="標楷體" w:hint="eastAsia"/>
          <w:szCs w:val="24"/>
        </w:rPr>
        <w:t>或</w:t>
      </w:r>
      <w:r w:rsidRPr="008C7300">
        <w:rPr>
          <w:rFonts w:ascii="標楷體" w:eastAsia="標楷體" w:hAnsi="標楷體" w:hint="eastAsia"/>
          <w:szCs w:val="24"/>
        </w:rPr>
        <w:t>支出分類名稱及編號：</w:t>
      </w:r>
    </w:p>
    <w:p w:rsidR="004839B3" w:rsidRPr="008C7300" w:rsidRDefault="004839B3" w:rsidP="008C7300">
      <w:pPr>
        <w:numPr>
          <w:ilvl w:val="0"/>
          <w:numId w:val="14"/>
        </w:numPr>
        <w:spacing w:line="400" w:lineRule="exact"/>
        <w:rPr>
          <w:rFonts w:ascii="標楷體" w:eastAsia="標楷體" w:hAnsi="標楷體"/>
          <w:szCs w:val="24"/>
        </w:rPr>
      </w:pPr>
      <w:r w:rsidRPr="008C7300">
        <w:rPr>
          <w:rFonts w:ascii="標楷體" w:eastAsia="標楷體" w:hAnsi="標楷體" w:hint="eastAsia"/>
          <w:szCs w:val="24"/>
        </w:rPr>
        <w:t>外匯</w:t>
      </w:r>
      <w:r w:rsidRPr="008C7300">
        <w:rPr>
          <w:rFonts w:ascii="標楷體" w:eastAsia="標楷體" w:hAnsi="標楷體" w:hint="eastAsia"/>
          <w:iCs/>
        </w:rPr>
        <w:t>收入</w:t>
      </w:r>
      <w:r w:rsidRPr="008C7300">
        <w:rPr>
          <w:rFonts w:ascii="標楷體" w:eastAsia="標楷體" w:hAnsi="標楷體" w:hint="eastAsia"/>
          <w:szCs w:val="24"/>
        </w:rPr>
        <w:t>：居住民(包括身分別1公司</w:t>
      </w:r>
      <w:r w:rsidR="00205920">
        <w:rPr>
          <w:rFonts w:ascii="標楷體" w:eastAsia="標楷體" w:hAnsi="標楷體" w:hint="eastAsia"/>
          <w:iCs/>
        </w:rPr>
        <w:t>、有限合夥</w:t>
      </w:r>
      <w:r w:rsidRPr="008C7300">
        <w:rPr>
          <w:rFonts w:ascii="標楷體" w:eastAsia="標楷體" w:hAnsi="標楷體" w:hint="eastAsia"/>
          <w:szCs w:val="24"/>
        </w:rPr>
        <w:t>、行號；2團體；3本國個人；及4持居留證1年以上之外國人)應填報其外匯資金之「來源」；非居住民應填報其外匯資金之「用途」。有關非居住民之定義，參照本行「外匯收支或交易申報辦法」第3條。</w:t>
      </w:r>
    </w:p>
    <w:p w:rsidR="004839B3" w:rsidRDefault="004839B3" w:rsidP="008C7300">
      <w:pPr>
        <w:numPr>
          <w:ilvl w:val="0"/>
          <w:numId w:val="14"/>
        </w:numPr>
        <w:spacing w:line="400" w:lineRule="exact"/>
        <w:rPr>
          <w:rFonts w:ascii="標楷體" w:eastAsia="標楷體" w:hAnsi="標楷體"/>
          <w:szCs w:val="24"/>
        </w:rPr>
      </w:pPr>
      <w:r w:rsidRPr="008C7300">
        <w:rPr>
          <w:rFonts w:ascii="標楷體" w:eastAsia="標楷體" w:hAnsi="標楷體" w:hint="eastAsia"/>
          <w:szCs w:val="24"/>
        </w:rPr>
        <w:t>外匯支出：居住民應填報其外匯資金之「用途」；非居住民應填報其外匯資金之「來源」。</w:t>
      </w:r>
    </w:p>
    <w:p w:rsidR="009117F7" w:rsidRPr="008C7300" w:rsidRDefault="009117F7" w:rsidP="008C7300">
      <w:pPr>
        <w:numPr>
          <w:ilvl w:val="0"/>
          <w:numId w:val="14"/>
        </w:numPr>
        <w:spacing w:line="400" w:lineRule="exact"/>
        <w:rPr>
          <w:rFonts w:ascii="標楷體" w:eastAsia="標楷體" w:hAnsi="標楷體"/>
          <w:szCs w:val="24"/>
        </w:rPr>
      </w:pPr>
      <w:r w:rsidRPr="008C7300">
        <w:rPr>
          <w:rFonts w:ascii="標楷體" w:eastAsia="標楷體" w:hAnsi="標楷體" w:hint="eastAsia"/>
          <w:szCs w:val="24"/>
        </w:rPr>
        <w:t>外匯收入</w:t>
      </w:r>
      <w:r w:rsidR="00E05668">
        <w:rPr>
          <w:rFonts w:ascii="標楷體" w:eastAsia="標楷體" w:hAnsi="標楷體" w:hint="eastAsia"/>
          <w:szCs w:val="24"/>
        </w:rPr>
        <w:t>或</w:t>
      </w:r>
      <w:r w:rsidRPr="008C7300">
        <w:rPr>
          <w:rFonts w:ascii="標楷體" w:eastAsia="標楷體" w:hAnsi="標楷體" w:hint="eastAsia"/>
          <w:szCs w:val="24"/>
        </w:rPr>
        <w:t>支出分類名稱及編號</w:t>
      </w:r>
      <w:r>
        <w:rPr>
          <w:rFonts w:ascii="標楷體" w:eastAsia="標楷體" w:hAnsi="標楷體" w:hint="eastAsia"/>
          <w:szCs w:val="24"/>
        </w:rPr>
        <w:t>說明</w:t>
      </w:r>
      <w:r w:rsidR="00F35C5A">
        <w:rPr>
          <w:rFonts w:ascii="標楷體" w:eastAsia="標楷體" w:hAnsi="標楷體" w:hint="eastAsia"/>
          <w:szCs w:val="24"/>
        </w:rPr>
        <w:t>請</w:t>
      </w:r>
      <w:r w:rsidR="00F35C5A">
        <w:rPr>
          <w:rFonts w:ascii="標楷體" w:eastAsia="標楷體" w:hAnsi="標楷體" w:hint="eastAsia"/>
          <w:iCs/>
        </w:rPr>
        <w:t>參照</w:t>
      </w:r>
      <w:r w:rsidR="00F35C5A">
        <w:rPr>
          <w:rFonts w:ascii="標楷體" w:eastAsia="標楷體" w:hAnsi="標楷體" w:hint="eastAsia"/>
          <w:iCs/>
          <w:szCs w:val="24"/>
        </w:rPr>
        <w:t>「</w:t>
      </w:r>
      <w:r w:rsidR="00F35C5A" w:rsidRPr="008C7300">
        <w:rPr>
          <w:rFonts w:ascii="標楷體" w:eastAsia="標楷體" w:hAnsi="標楷體" w:hint="eastAsia"/>
          <w:szCs w:val="24"/>
        </w:rPr>
        <w:t>外匯收入</w:t>
      </w:r>
      <w:r w:rsidR="002949F8">
        <w:rPr>
          <w:rFonts w:ascii="標楷體" w:eastAsia="標楷體" w:hAnsi="標楷體" w:hint="eastAsia"/>
          <w:szCs w:val="24"/>
        </w:rPr>
        <w:t>、</w:t>
      </w:r>
      <w:r w:rsidR="00F35C5A" w:rsidRPr="008C7300">
        <w:rPr>
          <w:rFonts w:ascii="標楷體" w:eastAsia="標楷體" w:hAnsi="標楷體" w:hint="eastAsia"/>
          <w:szCs w:val="24"/>
        </w:rPr>
        <w:t>支出分類</w:t>
      </w:r>
      <w:r w:rsidR="00F35C5A">
        <w:rPr>
          <w:rFonts w:ascii="標楷體" w:eastAsia="標楷體" w:hAnsi="標楷體" w:hint="eastAsia"/>
          <w:szCs w:val="24"/>
        </w:rPr>
        <w:t>及說明</w:t>
      </w:r>
      <w:r w:rsidR="00F35C5A">
        <w:rPr>
          <w:rFonts w:ascii="標楷體" w:eastAsia="標楷體" w:hAnsi="標楷體" w:hint="eastAsia"/>
          <w:iCs/>
          <w:szCs w:val="24"/>
        </w:rPr>
        <w:t>」</w:t>
      </w:r>
      <w:r w:rsidR="00837068">
        <w:rPr>
          <w:rFonts w:ascii="標楷體" w:eastAsia="標楷體" w:hAnsi="標楷體" w:hint="eastAsia"/>
          <w:iCs/>
          <w:szCs w:val="24"/>
        </w:rPr>
        <w:t>(詳附件8)</w:t>
      </w:r>
      <w:r w:rsidR="00F35C5A" w:rsidRPr="008C7300">
        <w:rPr>
          <w:rFonts w:ascii="標楷體" w:eastAsia="標楷體" w:hAnsi="標楷體"/>
          <w:iCs/>
          <w:szCs w:val="24"/>
        </w:rPr>
        <w:t>。</w:t>
      </w:r>
    </w:p>
    <w:p w:rsidR="004839B3" w:rsidRPr="008C7300" w:rsidRDefault="008C7300" w:rsidP="008C7300">
      <w:pPr>
        <w:numPr>
          <w:ilvl w:val="0"/>
          <w:numId w:val="9"/>
        </w:numPr>
        <w:spacing w:line="400" w:lineRule="exact"/>
        <w:ind w:left="490" w:hanging="490"/>
        <w:rPr>
          <w:rFonts w:ascii="標楷體" w:eastAsia="標楷體" w:hAnsi="標楷體"/>
          <w:iCs/>
          <w:szCs w:val="24"/>
        </w:rPr>
      </w:pPr>
      <w:r w:rsidRPr="008C7300">
        <w:rPr>
          <w:rFonts w:ascii="標楷體" w:eastAsia="標楷體" w:hAnsi="標楷體" w:hint="eastAsia"/>
          <w:szCs w:val="24"/>
        </w:rPr>
        <w:t>辦理證券相關外匯業務項目</w:t>
      </w:r>
      <w:r w:rsidR="00205920">
        <w:rPr>
          <w:rFonts w:ascii="標楷體" w:eastAsia="標楷體" w:hAnsi="標楷體" w:hint="eastAsia"/>
          <w:szCs w:val="24"/>
        </w:rPr>
        <w:t>:</w:t>
      </w:r>
    </w:p>
    <w:p w:rsidR="008C7300" w:rsidRPr="008C7300" w:rsidRDefault="008C7300" w:rsidP="008C7300">
      <w:pPr>
        <w:spacing w:line="400" w:lineRule="exac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8C7300">
        <w:rPr>
          <w:rFonts w:ascii="標楷體" w:eastAsia="標楷體" w:hAnsi="標楷體" w:cs="新細明體" w:hint="eastAsia"/>
          <w:kern w:val="0"/>
          <w:szCs w:val="24"/>
        </w:rPr>
        <w:t>1 OSU因證券業務之借貸款項</w:t>
      </w:r>
    </w:p>
    <w:p w:rsidR="008C7300" w:rsidRPr="008C7300" w:rsidRDefault="008C7300" w:rsidP="008C7300">
      <w:pPr>
        <w:spacing w:line="400" w:lineRule="exac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8C7300">
        <w:rPr>
          <w:rFonts w:ascii="標楷體" w:eastAsia="標楷體" w:hAnsi="標楷體" w:cs="新細明體" w:hint="eastAsia"/>
          <w:kern w:val="0"/>
          <w:szCs w:val="24"/>
        </w:rPr>
        <w:t>2 承銷業務</w:t>
      </w:r>
    </w:p>
    <w:p w:rsidR="008C7300" w:rsidRPr="008C7300" w:rsidRDefault="008C7300" w:rsidP="008C7300">
      <w:pPr>
        <w:spacing w:line="400" w:lineRule="exac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8C7300">
        <w:rPr>
          <w:rFonts w:ascii="標楷體" w:eastAsia="標楷體" w:hAnsi="標楷體" w:cs="新細明體" w:hint="eastAsia"/>
          <w:kern w:val="0"/>
          <w:szCs w:val="24"/>
        </w:rPr>
        <w:t>3 自行買賣外幣有價證券業務</w:t>
      </w:r>
    </w:p>
    <w:p w:rsidR="008C7300" w:rsidRPr="008C7300" w:rsidRDefault="008C7300" w:rsidP="008C7300">
      <w:pPr>
        <w:spacing w:line="400" w:lineRule="exac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8C7300">
        <w:rPr>
          <w:rFonts w:ascii="標楷體" w:eastAsia="標楷體" w:hAnsi="標楷體" w:cs="新細明體" w:hint="eastAsia"/>
          <w:kern w:val="0"/>
          <w:szCs w:val="24"/>
        </w:rPr>
        <w:t>4 衍生性外匯商品業務</w:t>
      </w:r>
    </w:p>
    <w:p w:rsidR="008C7300" w:rsidRPr="008C7300" w:rsidRDefault="008C7300" w:rsidP="008C7300">
      <w:pPr>
        <w:spacing w:line="400" w:lineRule="exac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8C7300">
        <w:rPr>
          <w:rFonts w:ascii="標楷體" w:eastAsia="標楷體" w:hAnsi="標楷體" w:cs="新細明體" w:hint="eastAsia"/>
          <w:kern w:val="0"/>
          <w:szCs w:val="24"/>
        </w:rPr>
        <w:t>5 發行認購(售)權證業務</w:t>
      </w:r>
    </w:p>
    <w:p w:rsidR="008C7300" w:rsidRPr="008C7300" w:rsidRDefault="008C7300" w:rsidP="008C7300">
      <w:pPr>
        <w:spacing w:line="400" w:lineRule="exac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8C7300">
        <w:rPr>
          <w:rFonts w:ascii="標楷體" w:eastAsia="標楷體" w:hAnsi="標楷體" w:cs="新細明體" w:hint="eastAsia"/>
          <w:kern w:val="0"/>
          <w:szCs w:val="24"/>
        </w:rPr>
        <w:t>6 受託買賣外國有價證券業務</w:t>
      </w:r>
    </w:p>
    <w:p w:rsidR="008C7300" w:rsidRPr="008C7300" w:rsidRDefault="008C7300" w:rsidP="008C7300">
      <w:pPr>
        <w:spacing w:line="400" w:lineRule="exac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8C7300">
        <w:rPr>
          <w:rFonts w:ascii="標楷體" w:eastAsia="標楷體" w:hAnsi="標楷體" w:cs="新細明體" w:hint="eastAsia"/>
          <w:kern w:val="0"/>
          <w:szCs w:val="24"/>
        </w:rPr>
        <w:t>7 財富管理業務</w:t>
      </w:r>
    </w:p>
    <w:p w:rsidR="008C7300" w:rsidRDefault="008C7300" w:rsidP="008C7300">
      <w:pPr>
        <w:spacing w:line="400" w:lineRule="exact"/>
        <w:ind w:leftChars="177" w:left="425"/>
        <w:rPr>
          <w:rFonts w:ascii="標楷體" w:eastAsia="標楷體" w:hAnsi="標楷體"/>
          <w:szCs w:val="24"/>
        </w:rPr>
      </w:pPr>
      <w:r w:rsidRPr="008C7300">
        <w:rPr>
          <w:rFonts w:ascii="標楷體" w:eastAsia="標楷體" w:hAnsi="標楷體" w:hint="eastAsia"/>
          <w:szCs w:val="24"/>
        </w:rPr>
        <w:t>9 其他</w:t>
      </w:r>
    </w:p>
    <w:p w:rsidR="00F35C5A" w:rsidRDefault="00F35C5A" w:rsidP="00A42992">
      <w:pPr>
        <w:numPr>
          <w:ilvl w:val="0"/>
          <w:numId w:val="9"/>
        </w:numPr>
        <w:tabs>
          <w:tab w:val="clear" w:pos="996"/>
        </w:tabs>
        <w:spacing w:line="400" w:lineRule="exact"/>
        <w:ind w:left="488" w:hanging="48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外匯來源、去處，</w:t>
      </w:r>
      <w:proofErr w:type="gramStart"/>
      <w:r>
        <w:rPr>
          <w:rFonts w:ascii="標楷體" w:eastAsia="標楷體" w:hAnsi="標楷體" w:hint="eastAsia"/>
          <w:szCs w:val="24"/>
        </w:rPr>
        <w:t>以及解款</w:t>
      </w:r>
      <w:proofErr w:type="gramEnd"/>
      <w:r>
        <w:rPr>
          <w:rFonts w:ascii="標楷體" w:eastAsia="標楷體" w:hAnsi="標楷體" w:hint="eastAsia"/>
          <w:szCs w:val="24"/>
        </w:rPr>
        <w:t>、繳款方式:以實際交易狀況</w:t>
      </w:r>
      <w:r w:rsidR="00A42992">
        <w:rPr>
          <w:rFonts w:ascii="標楷體" w:eastAsia="標楷體" w:hAnsi="標楷體" w:hint="eastAsia"/>
          <w:szCs w:val="24"/>
        </w:rPr>
        <w:t>勾選。</w:t>
      </w:r>
    </w:p>
    <w:p w:rsidR="00A42992" w:rsidRPr="008C7300" w:rsidRDefault="00A42992" w:rsidP="00A42992">
      <w:pPr>
        <w:numPr>
          <w:ilvl w:val="0"/>
          <w:numId w:val="9"/>
        </w:numPr>
        <w:tabs>
          <w:tab w:val="clear" w:pos="996"/>
        </w:tabs>
        <w:spacing w:line="400" w:lineRule="exact"/>
        <w:ind w:left="488" w:hanging="48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匯率、折合</w:t>
      </w:r>
      <w:r w:rsidR="00205920">
        <w:rPr>
          <w:rFonts w:ascii="標楷體" w:eastAsia="標楷體" w:hAnsi="標楷體" w:hint="eastAsia"/>
          <w:szCs w:val="24"/>
        </w:rPr>
        <w:t>新臺幣</w:t>
      </w:r>
      <w:r>
        <w:rPr>
          <w:rFonts w:ascii="標楷體" w:eastAsia="標楷體" w:hAnsi="標楷體" w:hint="eastAsia"/>
          <w:szCs w:val="24"/>
        </w:rPr>
        <w:t>金額:涉及</w:t>
      </w:r>
      <w:r w:rsidR="00205920">
        <w:rPr>
          <w:rFonts w:ascii="標楷體" w:eastAsia="標楷體" w:hAnsi="標楷體" w:hint="eastAsia"/>
          <w:szCs w:val="24"/>
        </w:rPr>
        <w:t>新臺幣</w:t>
      </w:r>
      <w:r>
        <w:rPr>
          <w:rFonts w:ascii="標楷體" w:eastAsia="標楷體" w:hAnsi="標楷體" w:hint="eastAsia"/>
          <w:szCs w:val="24"/>
        </w:rPr>
        <w:t>結匯應填列。</w:t>
      </w:r>
    </w:p>
    <w:sectPr w:rsidR="00A42992" w:rsidRPr="008C7300" w:rsidSect="00BF4D29">
      <w:footerReference w:type="default" r:id="rId9"/>
      <w:pgSz w:w="11906" w:h="16838"/>
      <w:pgMar w:top="851" w:right="1276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6D" w:rsidRDefault="00462A6D" w:rsidP="002D2900">
      <w:r>
        <w:separator/>
      </w:r>
    </w:p>
  </w:endnote>
  <w:endnote w:type="continuationSeparator" w:id="0">
    <w:p w:rsidR="00462A6D" w:rsidRDefault="00462A6D" w:rsidP="002D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810698"/>
      <w:docPartObj>
        <w:docPartGallery w:val="Page Numbers (Bottom of Page)"/>
        <w:docPartUnique/>
      </w:docPartObj>
    </w:sdtPr>
    <w:sdtEndPr/>
    <w:sdtContent>
      <w:p w:rsidR="004839B3" w:rsidRDefault="004839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D7E" w:rsidRPr="00A54D7E">
          <w:rPr>
            <w:noProof/>
            <w:lang w:val="zh-TW"/>
          </w:rPr>
          <w:t>1</w:t>
        </w:r>
        <w:r>
          <w:fldChar w:fldCharType="end"/>
        </w:r>
      </w:p>
    </w:sdtContent>
  </w:sdt>
  <w:p w:rsidR="004839B3" w:rsidRDefault="004839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6D" w:rsidRDefault="00462A6D" w:rsidP="002D2900">
      <w:r>
        <w:separator/>
      </w:r>
    </w:p>
  </w:footnote>
  <w:footnote w:type="continuationSeparator" w:id="0">
    <w:p w:rsidR="00462A6D" w:rsidRDefault="00462A6D" w:rsidP="002D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6F47"/>
    <w:multiLevelType w:val="hybridMultilevel"/>
    <w:tmpl w:val="0E785164"/>
    <w:lvl w:ilvl="0" w:tplc="844A9B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EB2EDF"/>
    <w:multiLevelType w:val="hybridMultilevel"/>
    <w:tmpl w:val="99FE50D0"/>
    <w:lvl w:ilvl="0" w:tplc="E152A73E">
      <w:start w:val="3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2">
    <w:nsid w:val="0A3E2B70"/>
    <w:multiLevelType w:val="hybridMultilevel"/>
    <w:tmpl w:val="EAD22C5A"/>
    <w:lvl w:ilvl="0" w:tplc="18F618A6">
      <w:start w:val="1"/>
      <w:numFmt w:val="taiwaneseCountingThousand"/>
      <w:lvlText w:val="（%1）"/>
      <w:lvlJc w:val="left"/>
      <w:pPr>
        <w:ind w:left="1713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>
    <w:nsid w:val="25E85E31"/>
    <w:multiLevelType w:val="singleLevel"/>
    <w:tmpl w:val="536475F2"/>
    <w:lvl w:ilvl="0">
      <w:start w:val="1"/>
      <w:numFmt w:val="taiwaneseCountingThousand"/>
      <w:lvlText w:val="%1、"/>
      <w:lvlJc w:val="left"/>
      <w:pPr>
        <w:tabs>
          <w:tab w:val="num" w:pos="996"/>
        </w:tabs>
        <w:ind w:left="996" w:hanging="570"/>
      </w:pPr>
      <w:rPr>
        <w:rFonts w:hint="eastAsia"/>
        <w:lang w:val="en-US"/>
      </w:rPr>
    </w:lvl>
  </w:abstractNum>
  <w:abstractNum w:abstractNumId="4">
    <w:nsid w:val="2C3A713A"/>
    <w:multiLevelType w:val="hybridMultilevel"/>
    <w:tmpl w:val="0296B526"/>
    <w:lvl w:ilvl="0" w:tplc="594C4A42">
      <w:start w:val="1"/>
      <w:numFmt w:val="taiwaneseCountingThousand"/>
      <w:lvlText w:val="(%1)"/>
      <w:lvlJc w:val="left"/>
      <w:pPr>
        <w:tabs>
          <w:tab w:val="num" w:pos="1005"/>
        </w:tabs>
        <w:ind w:left="100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512856"/>
    <w:multiLevelType w:val="hybridMultilevel"/>
    <w:tmpl w:val="537C4116"/>
    <w:lvl w:ilvl="0" w:tplc="A26A3F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2E9002AE"/>
    <w:multiLevelType w:val="hybridMultilevel"/>
    <w:tmpl w:val="9A66D52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569C309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2A596A"/>
    <w:multiLevelType w:val="hybridMultilevel"/>
    <w:tmpl w:val="80943068"/>
    <w:lvl w:ilvl="0" w:tplc="190C3E06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8">
    <w:nsid w:val="49074CAF"/>
    <w:multiLevelType w:val="hybridMultilevel"/>
    <w:tmpl w:val="32600EA4"/>
    <w:lvl w:ilvl="0" w:tplc="D1D68A5C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F119A5"/>
    <w:multiLevelType w:val="singleLevel"/>
    <w:tmpl w:val="19B8F9BC"/>
    <w:lvl w:ilvl="0">
      <w:start w:val="1"/>
      <w:numFmt w:val="taiwaneseCountingThousand"/>
      <w:lvlText w:val="(%1)"/>
      <w:lvlJc w:val="left"/>
      <w:pPr>
        <w:tabs>
          <w:tab w:val="num" w:pos="1005"/>
        </w:tabs>
        <w:ind w:left="1005" w:hanging="465"/>
      </w:pPr>
      <w:rPr>
        <w:rFonts w:hint="eastAsia"/>
      </w:rPr>
    </w:lvl>
  </w:abstractNum>
  <w:abstractNum w:abstractNumId="10">
    <w:nsid w:val="55F42B80"/>
    <w:multiLevelType w:val="hybridMultilevel"/>
    <w:tmpl w:val="0FA2377C"/>
    <w:lvl w:ilvl="0" w:tplc="19A66BF4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1">
    <w:nsid w:val="5A7E6551"/>
    <w:multiLevelType w:val="hybridMultilevel"/>
    <w:tmpl w:val="537C4116"/>
    <w:lvl w:ilvl="0" w:tplc="A26A3F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>
    <w:nsid w:val="5BBF6FA3"/>
    <w:multiLevelType w:val="hybridMultilevel"/>
    <w:tmpl w:val="0E785164"/>
    <w:lvl w:ilvl="0" w:tplc="844A9B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F506DA9"/>
    <w:multiLevelType w:val="hybridMultilevel"/>
    <w:tmpl w:val="902C66FA"/>
    <w:lvl w:ilvl="0" w:tplc="D7FA333C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CF"/>
    <w:rsid w:val="00073BB6"/>
    <w:rsid w:val="000D6895"/>
    <w:rsid w:val="00131C6C"/>
    <w:rsid w:val="00205920"/>
    <w:rsid w:val="00290E8D"/>
    <w:rsid w:val="002949F8"/>
    <w:rsid w:val="002D2900"/>
    <w:rsid w:val="00332BFD"/>
    <w:rsid w:val="00370F7A"/>
    <w:rsid w:val="003C0A28"/>
    <w:rsid w:val="003D3AE5"/>
    <w:rsid w:val="004555FE"/>
    <w:rsid w:val="00462A6D"/>
    <w:rsid w:val="00480689"/>
    <w:rsid w:val="004839B3"/>
    <w:rsid w:val="00496980"/>
    <w:rsid w:val="004E2D16"/>
    <w:rsid w:val="00521D25"/>
    <w:rsid w:val="00545A4D"/>
    <w:rsid w:val="00556DA8"/>
    <w:rsid w:val="00606D97"/>
    <w:rsid w:val="006222B7"/>
    <w:rsid w:val="00641028"/>
    <w:rsid w:val="006E2572"/>
    <w:rsid w:val="0079496F"/>
    <w:rsid w:val="00837068"/>
    <w:rsid w:val="0086050D"/>
    <w:rsid w:val="0089305A"/>
    <w:rsid w:val="008C7300"/>
    <w:rsid w:val="008D1213"/>
    <w:rsid w:val="009117F7"/>
    <w:rsid w:val="009370CF"/>
    <w:rsid w:val="00975F39"/>
    <w:rsid w:val="009D0CEF"/>
    <w:rsid w:val="00A42992"/>
    <w:rsid w:val="00A54D7E"/>
    <w:rsid w:val="00AC06D9"/>
    <w:rsid w:val="00AF3FF0"/>
    <w:rsid w:val="00B3393E"/>
    <w:rsid w:val="00B72CF9"/>
    <w:rsid w:val="00B75498"/>
    <w:rsid w:val="00B91B60"/>
    <w:rsid w:val="00BF335E"/>
    <w:rsid w:val="00BF4D29"/>
    <w:rsid w:val="00C32103"/>
    <w:rsid w:val="00C40BA0"/>
    <w:rsid w:val="00CF550A"/>
    <w:rsid w:val="00D13327"/>
    <w:rsid w:val="00D319FD"/>
    <w:rsid w:val="00DD6D3A"/>
    <w:rsid w:val="00DE7095"/>
    <w:rsid w:val="00E05668"/>
    <w:rsid w:val="00F35C5A"/>
    <w:rsid w:val="00FA4C0C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900"/>
    <w:rPr>
      <w:sz w:val="20"/>
      <w:szCs w:val="20"/>
    </w:rPr>
  </w:style>
  <w:style w:type="paragraph" w:styleId="a7">
    <w:name w:val="List Paragraph"/>
    <w:basedOn w:val="a"/>
    <w:uiPriority w:val="34"/>
    <w:qFormat/>
    <w:rsid w:val="004839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900"/>
    <w:rPr>
      <w:sz w:val="20"/>
      <w:szCs w:val="20"/>
    </w:rPr>
  </w:style>
  <w:style w:type="paragraph" w:styleId="a7">
    <w:name w:val="List Paragraph"/>
    <w:basedOn w:val="a"/>
    <w:uiPriority w:val="34"/>
    <w:qFormat/>
    <w:rsid w:val="004839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006C-A383-4E3D-98D2-0CCA7B8D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>CBC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盧薇冰</dc:creator>
  <cp:lastModifiedBy>盧志典</cp:lastModifiedBy>
  <cp:revision>2</cp:revision>
  <cp:lastPrinted>2016-11-25T03:33:00Z</cp:lastPrinted>
  <dcterms:created xsi:type="dcterms:W3CDTF">2020-02-04T08:38:00Z</dcterms:created>
  <dcterms:modified xsi:type="dcterms:W3CDTF">2020-02-04T08:38:00Z</dcterms:modified>
</cp:coreProperties>
</file>