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03" w:rsidRPr="00BF4D29" w:rsidRDefault="00C32103" w:rsidP="00C32103">
      <w:pPr>
        <w:spacing w:line="500" w:lineRule="exact"/>
        <w:rPr>
          <w:rFonts w:ascii="Times New Roman" w:eastAsia="標楷體" w:hAnsi="Times New Roman"/>
          <w:sz w:val="20"/>
          <w:szCs w:val="20"/>
        </w:rPr>
      </w:pPr>
      <w:bookmarkStart w:id="0" w:name="_GoBack"/>
      <w:bookmarkEnd w:id="0"/>
    </w:p>
    <w:p w:rsidR="009370CF" w:rsidRPr="00C32103" w:rsidRDefault="00290E8D" w:rsidP="00290E8D">
      <w:pPr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掣發</w:t>
      </w:r>
      <w:r w:rsidR="00606D97">
        <w:rPr>
          <w:rFonts w:ascii="Times New Roman" w:eastAsia="標楷體" w:hAnsi="Times New Roman" w:hint="eastAsia"/>
          <w:sz w:val="36"/>
          <w:szCs w:val="36"/>
        </w:rPr>
        <w:t>各項</w:t>
      </w:r>
      <w:r>
        <w:rPr>
          <w:rFonts w:ascii="Times New Roman" w:eastAsia="標楷體" w:hAnsi="Times New Roman" w:hint="eastAsia"/>
          <w:sz w:val="36"/>
          <w:szCs w:val="36"/>
        </w:rPr>
        <w:t>單證內容</w:t>
      </w:r>
      <w:r w:rsidR="00C32103" w:rsidRPr="00C32103">
        <w:rPr>
          <w:rFonts w:ascii="Times New Roman" w:eastAsia="標楷體" w:hAnsi="Times New Roman" w:hint="eastAsia"/>
          <w:sz w:val="36"/>
          <w:szCs w:val="36"/>
        </w:rPr>
        <w:t>說明</w:t>
      </w:r>
    </w:p>
    <w:p w:rsidR="00DE7095" w:rsidRPr="00DE7095" w:rsidRDefault="00DE7095" w:rsidP="00DE7095">
      <w:pPr>
        <w:spacing w:line="500" w:lineRule="exact"/>
        <w:ind w:left="2" w:firstLineChars="177" w:firstLine="566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各項外匯業務所應</w:t>
      </w:r>
      <w:r w:rsidRPr="00DE7095">
        <w:rPr>
          <w:rFonts w:ascii="Times New Roman" w:eastAsia="標楷體" w:hAnsi="Times New Roman" w:hint="eastAsia"/>
          <w:sz w:val="32"/>
        </w:rPr>
        <w:t>掣發之單證</w:t>
      </w:r>
      <w:r>
        <w:rPr>
          <w:rFonts w:ascii="Times New Roman" w:eastAsia="標楷體" w:hAnsi="Times New Roman" w:hint="eastAsia"/>
          <w:sz w:val="32"/>
        </w:rPr>
        <w:t>，</w:t>
      </w:r>
      <w:r w:rsidRPr="00DE7095">
        <w:rPr>
          <w:rFonts w:ascii="Times New Roman" w:eastAsia="標楷體" w:hAnsi="Times New Roman" w:hint="eastAsia"/>
          <w:sz w:val="32"/>
        </w:rPr>
        <w:t>除應依客戶基本資料及交易內容，註明承作日期、單證編號、客戶名稱、統一編號或其他規定之登記證號、原幣金額，並依下列方式辦理：</w:t>
      </w:r>
    </w:p>
    <w:p w:rsidR="00DE7095" w:rsidRPr="00DE7095" w:rsidRDefault="00BF335E" w:rsidP="00DE7095">
      <w:pPr>
        <w:spacing w:line="500" w:lineRule="exact"/>
        <w:ind w:left="566" w:hangingChars="177" w:hanging="566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一</w:t>
      </w:r>
      <w:r>
        <w:rPr>
          <w:rFonts w:ascii="標楷體" w:eastAsia="標楷體" w:hAnsi="標楷體" w:hint="eastAsia"/>
          <w:sz w:val="32"/>
        </w:rPr>
        <w:t>、</w:t>
      </w:r>
      <w:r w:rsidR="00DE7095" w:rsidRPr="00DE7095">
        <w:rPr>
          <w:rFonts w:ascii="Times New Roman" w:eastAsia="標楷體" w:hAnsi="Times New Roman" w:hint="eastAsia"/>
          <w:sz w:val="32"/>
        </w:rPr>
        <w:t>與出、進口外匯有關之出、進口結匯證實書及其他交易憑證</w:t>
      </w:r>
      <w:r>
        <w:rPr>
          <w:rFonts w:ascii="Times New Roman" w:eastAsia="標楷體" w:hAnsi="Times New Roman" w:hint="eastAsia"/>
          <w:sz w:val="32"/>
        </w:rPr>
        <w:t>，</w:t>
      </w:r>
      <w:r w:rsidR="00DE7095" w:rsidRPr="00DE7095">
        <w:rPr>
          <w:rFonts w:ascii="Times New Roman" w:eastAsia="標楷體" w:hAnsi="Times New Roman" w:hint="eastAsia"/>
          <w:sz w:val="32"/>
        </w:rPr>
        <w:t>另加註下列事項：</w:t>
      </w:r>
    </w:p>
    <w:p w:rsidR="00DE7095" w:rsidRPr="00DE7095" w:rsidRDefault="00BF335E" w:rsidP="00BF335E">
      <w:pPr>
        <w:spacing w:line="500" w:lineRule="exact"/>
        <w:ind w:left="848" w:hangingChars="265" w:hanging="848"/>
        <w:rPr>
          <w:rFonts w:ascii="Times New Roman" w:eastAsia="標楷體" w:hAnsi="Times New Roman"/>
          <w:sz w:val="32"/>
        </w:rPr>
      </w:pPr>
      <w:r>
        <w:rPr>
          <w:rFonts w:ascii="標楷體" w:eastAsia="標楷體" w:hAnsi="標楷體" w:hint="eastAsia"/>
          <w:sz w:val="32"/>
        </w:rPr>
        <w:t>（</w:t>
      </w:r>
      <w:r>
        <w:rPr>
          <w:rFonts w:ascii="Times New Roman" w:eastAsia="標楷體" w:hAnsi="Times New Roman" w:hint="eastAsia"/>
          <w:sz w:val="32"/>
        </w:rPr>
        <w:t>一</w:t>
      </w:r>
      <w:r>
        <w:rPr>
          <w:rFonts w:ascii="標楷體" w:eastAsia="標楷體" w:hAnsi="標楷體" w:hint="eastAsia"/>
          <w:sz w:val="32"/>
        </w:rPr>
        <w:t>）</w:t>
      </w:r>
      <w:r w:rsidR="00DE7095" w:rsidRPr="00DE7095">
        <w:rPr>
          <w:rFonts w:ascii="Times New Roman" w:eastAsia="標楷體" w:hAnsi="Times New Roman" w:hint="eastAsia"/>
          <w:sz w:val="32"/>
        </w:rPr>
        <w:t>出口之匯款地區國別或進口之受款地區國別及付款方式；國別為大陸地區者，加註大陸地區之匯款銀行或受款銀行名稱，該名稱亦得以</w:t>
      </w:r>
      <w:r w:rsidR="00DE7095" w:rsidRPr="00DE7095">
        <w:rPr>
          <w:rFonts w:ascii="Times New Roman" w:eastAsia="標楷體" w:hAnsi="Times New Roman" w:hint="eastAsia"/>
          <w:sz w:val="32"/>
        </w:rPr>
        <w:t xml:space="preserve">SWIFT </w:t>
      </w:r>
      <w:r w:rsidR="00DE7095" w:rsidRPr="00DE7095">
        <w:rPr>
          <w:rFonts w:ascii="Times New Roman" w:eastAsia="標楷體" w:hAnsi="Times New Roman" w:hint="eastAsia"/>
          <w:sz w:val="32"/>
        </w:rPr>
        <w:t>或</w:t>
      </w:r>
      <w:r w:rsidR="00DE7095" w:rsidRPr="00DE7095">
        <w:rPr>
          <w:rFonts w:ascii="Times New Roman" w:eastAsia="標楷體" w:hAnsi="Times New Roman" w:hint="eastAsia"/>
          <w:sz w:val="32"/>
        </w:rPr>
        <w:t>CNAPS</w:t>
      </w:r>
      <w:r w:rsidR="00DE7095" w:rsidRPr="00DE7095">
        <w:rPr>
          <w:rFonts w:ascii="Times New Roman" w:eastAsia="標楷體" w:hAnsi="Times New Roman" w:hint="eastAsia"/>
          <w:sz w:val="32"/>
        </w:rPr>
        <w:t>代碼表示之。</w:t>
      </w:r>
    </w:p>
    <w:p w:rsidR="00DE7095" w:rsidRPr="00BF335E" w:rsidRDefault="00BF335E" w:rsidP="00BF335E">
      <w:pPr>
        <w:spacing w:line="500" w:lineRule="exact"/>
        <w:ind w:left="848" w:hangingChars="265" w:hanging="84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</w:t>
      </w:r>
      <w:r w:rsidR="00DE7095" w:rsidRPr="00BF335E">
        <w:rPr>
          <w:rFonts w:ascii="標楷體" w:eastAsia="標楷體" w:hAnsi="標楷體" w:hint="eastAsia"/>
          <w:sz w:val="32"/>
        </w:rPr>
        <w:t>出進口跟單付款方式註明係屬即期信用狀、遠期信用狀、承兌交單或付款交單。</w:t>
      </w:r>
    </w:p>
    <w:p w:rsidR="00DE7095" w:rsidRPr="00BF335E" w:rsidRDefault="00BF335E" w:rsidP="00BF335E">
      <w:pPr>
        <w:spacing w:line="500" w:lineRule="exact"/>
        <w:ind w:left="848" w:hangingChars="265" w:hanging="84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（三）</w:t>
      </w:r>
      <w:r w:rsidR="00DE7095" w:rsidRPr="00BF335E">
        <w:rPr>
          <w:rFonts w:ascii="標楷體" w:eastAsia="標楷體" w:hAnsi="標楷體" w:hint="eastAsia"/>
          <w:sz w:val="32"/>
        </w:rPr>
        <w:t>出口部分註明自押匯總額扣付原幣之項目與金額、或結售新臺幣金額與匯率等；進口部分註明繳款之方式與金額、或結購之新臺幣金額與匯率。</w:t>
      </w:r>
    </w:p>
    <w:p w:rsidR="00DE7095" w:rsidRPr="00DE7095" w:rsidRDefault="00BF335E" w:rsidP="00DE7095">
      <w:pPr>
        <w:spacing w:line="500" w:lineRule="exact"/>
        <w:ind w:left="566" w:hangingChars="177" w:hanging="566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二</w:t>
      </w:r>
      <w:r>
        <w:rPr>
          <w:rFonts w:ascii="標楷體" w:eastAsia="標楷體" w:hAnsi="標楷體" w:hint="eastAsia"/>
          <w:sz w:val="32"/>
        </w:rPr>
        <w:t>、</w:t>
      </w:r>
      <w:r w:rsidR="00DE7095" w:rsidRPr="00DE7095">
        <w:rPr>
          <w:rFonts w:ascii="Times New Roman" w:eastAsia="標楷體" w:hAnsi="Times New Roman" w:hint="eastAsia"/>
          <w:sz w:val="32"/>
        </w:rPr>
        <w:t>與匯入及匯出匯款有關之買、賣匯水單及其他交易憑證</w:t>
      </w:r>
      <w:r>
        <w:rPr>
          <w:rFonts w:ascii="Times New Roman" w:eastAsia="標楷體" w:hAnsi="Times New Roman" w:hint="eastAsia"/>
          <w:sz w:val="32"/>
        </w:rPr>
        <w:t>，</w:t>
      </w:r>
      <w:r w:rsidR="00DE7095" w:rsidRPr="00DE7095">
        <w:rPr>
          <w:rFonts w:ascii="Times New Roman" w:eastAsia="標楷體" w:hAnsi="Times New Roman" w:hint="eastAsia"/>
          <w:sz w:val="32"/>
        </w:rPr>
        <w:t>另加註下列事項：</w:t>
      </w:r>
    </w:p>
    <w:p w:rsidR="00DE7095" w:rsidRPr="00BF335E" w:rsidRDefault="00BF335E" w:rsidP="00BF335E">
      <w:pPr>
        <w:spacing w:line="500" w:lineRule="exact"/>
        <w:ind w:left="848" w:hangingChars="265" w:hanging="84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</w:t>
      </w:r>
      <w:r w:rsidR="00DE7095" w:rsidRPr="00BF335E">
        <w:rPr>
          <w:rFonts w:ascii="標楷體" w:eastAsia="標楷體" w:hAnsi="標楷體" w:hint="eastAsia"/>
          <w:sz w:val="32"/>
        </w:rPr>
        <w:t>依「匯出、入匯款之分類及說明」正確填註匯款分類名稱及編號。</w:t>
      </w:r>
    </w:p>
    <w:p w:rsidR="00DE7095" w:rsidRPr="00BF335E" w:rsidRDefault="00BF335E" w:rsidP="00BF335E">
      <w:pPr>
        <w:spacing w:line="500" w:lineRule="exact"/>
        <w:ind w:left="848" w:hangingChars="265" w:hanging="84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</w:t>
      </w:r>
      <w:r w:rsidR="00DE7095" w:rsidRPr="00BF335E">
        <w:rPr>
          <w:rFonts w:ascii="標楷體" w:eastAsia="標楷體" w:hAnsi="標楷體" w:hint="eastAsia"/>
          <w:sz w:val="32"/>
        </w:rPr>
        <w:t>匯款人或受款人身分別、匯款地區或受款地區國別、外匯來源或去處、解款或繳款方式以及匯款方式。</w:t>
      </w:r>
    </w:p>
    <w:p w:rsidR="009370CF" w:rsidRDefault="00BF335E" w:rsidP="00BF335E">
      <w:pPr>
        <w:spacing w:line="500" w:lineRule="exact"/>
        <w:ind w:left="848" w:hangingChars="265" w:hanging="84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（三）</w:t>
      </w:r>
      <w:r w:rsidR="00DE7095" w:rsidRPr="00BF335E">
        <w:rPr>
          <w:rFonts w:ascii="標楷體" w:eastAsia="標楷體" w:hAnsi="標楷體" w:hint="eastAsia"/>
          <w:sz w:val="32"/>
        </w:rPr>
        <w:t>匯款方式包括電匯、票匯、信匯、外幣現鈔及旅行支票以及其他。其為電匯者，買匯水單及其他交易憑證另加註匯款人及匯款銀行名稱，該名稱得以 SWIFT或CNAPS代碼表示之；賣匯水單及其他交易憑證另加註受款人及其帳號，以及受款銀行名稱，該名稱得以 SWIFT或CNAPS代碼表示之。</w:t>
      </w:r>
    </w:p>
    <w:p w:rsidR="00496980" w:rsidRPr="0079496F" w:rsidRDefault="00496980" w:rsidP="00496980">
      <w:pPr>
        <w:spacing w:line="500" w:lineRule="exact"/>
        <w:ind w:left="566" w:hangingChars="177" w:hanging="566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</w:t>
      </w:r>
      <w:r w:rsidRPr="00496980">
        <w:rPr>
          <w:rFonts w:ascii="標楷體" w:eastAsia="標楷體" w:hAnsi="標楷體" w:hint="eastAsia"/>
          <w:sz w:val="32"/>
        </w:rPr>
        <w:t>各項單證字軌、號碼之編列，應依本行外匯局核定之英文字軌編號為之，字軌以下之號碼位數以十位為限。</w:t>
      </w:r>
    </w:p>
    <w:sectPr w:rsidR="00496980" w:rsidRPr="0079496F" w:rsidSect="00BF4D29">
      <w:footerReference w:type="default" r:id="rId9"/>
      <w:pgSz w:w="11906" w:h="16838"/>
      <w:pgMar w:top="851" w:right="1276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3F" w:rsidRDefault="00A35E3F" w:rsidP="002D2900">
      <w:r>
        <w:separator/>
      </w:r>
    </w:p>
  </w:endnote>
  <w:endnote w:type="continuationSeparator" w:id="0">
    <w:p w:rsidR="00A35E3F" w:rsidRDefault="00A35E3F" w:rsidP="002D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10698"/>
      <w:docPartObj>
        <w:docPartGallery w:val="Page Numbers (Bottom of Page)"/>
        <w:docPartUnique/>
      </w:docPartObj>
    </w:sdtPr>
    <w:sdtEndPr/>
    <w:sdtContent>
      <w:p w:rsidR="002D2900" w:rsidRDefault="002D29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10B" w:rsidRPr="0041110B">
          <w:rPr>
            <w:noProof/>
            <w:lang w:val="zh-TW"/>
          </w:rPr>
          <w:t>1</w:t>
        </w:r>
        <w:r>
          <w:fldChar w:fldCharType="end"/>
        </w:r>
      </w:p>
    </w:sdtContent>
  </w:sdt>
  <w:p w:rsidR="002D2900" w:rsidRDefault="002D2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3F" w:rsidRDefault="00A35E3F" w:rsidP="002D2900">
      <w:r>
        <w:separator/>
      </w:r>
    </w:p>
  </w:footnote>
  <w:footnote w:type="continuationSeparator" w:id="0">
    <w:p w:rsidR="00A35E3F" w:rsidRDefault="00A35E3F" w:rsidP="002D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EDF"/>
    <w:multiLevelType w:val="hybridMultilevel"/>
    <w:tmpl w:val="99FE50D0"/>
    <w:lvl w:ilvl="0" w:tplc="E152A73E">
      <w:start w:val="3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">
    <w:nsid w:val="0A3E2B70"/>
    <w:multiLevelType w:val="hybridMultilevel"/>
    <w:tmpl w:val="EAD22C5A"/>
    <w:lvl w:ilvl="0" w:tplc="18F618A6">
      <w:start w:val="1"/>
      <w:numFmt w:val="taiwaneseCountingThousand"/>
      <w:lvlText w:val="（%1）"/>
      <w:lvlJc w:val="left"/>
      <w:pPr>
        <w:ind w:left="1713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>
    <w:nsid w:val="2E512856"/>
    <w:multiLevelType w:val="hybridMultilevel"/>
    <w:tmpl w:val="537C4116"/>
    <w:lvl w:ilvl="0" w:tplc="A26A3F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312A596A"/>
    <w:multiLevelType w:val="hybridMultilevel"/>
    <w:tmpl w:val="80943068"/>
    <w:lvl w:ilvl="0" w:tplc="190C3E06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">
    <w:nsid w:val="49074CAF"/>
    <w:multiLevelType w:val="hybridMultilevel"/>
    <w:tmpl w:val="32600EA4"/>
    <w:lvl w:ilvl="0" w:tplc="D1D68A5C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F42B80"/>
    <w:multiLevelType w:val="hybridMultilevel"/>
    <w:tmpl w:val="0FA2377C"/>
    <w:lvl w:ilvl="0" w:tplc="19A66BF4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5A7E6551"/>
    <w:multiLevelType w:val="hybridMultilevel"/>
    <w:tmpl w:val="537C4116"/>
    <w:lvl w:ilvl="0" w:tplc="A26A3F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7F506DA9"/>
    <w:multiLevelType w:val="hybridMultilevel"/>
    <w:tmpl w:val="902C66FA"/>
    <w:lvl w:ilvl="0" w:tplc="D7FA333C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CF"/>
    <w:rsid w:val="00073BB6"/>
    <w:rsid w:val="000D6895"/>
    <w:rsid w:val="00290E8D"/>
    <w:rsid w:val="002D2900"/>
    <w:rsid w:val="00332BFD"/>
    <w:rsid w:val="0041110B"/>
    <w:rsid w:val="00496980"/>
    <w:rsid w:val="00545A4D"/>
    <w:rsid w:val="00606D97"/>
    <w:rsid w:val="006222B7"/>
    <w:rsid w:val="00641028"/>
    <w:rsid w:val="006E2572"/>
    <w:rsid w:val="0079496F"/>
    <w:rsid w:val="009370CF"/>
    <w:rsid w:val="00975F39"/>
    <w:rsid w:val="00A271E0"/>
    <w:rsid w:val="00A35E3F"/>
    <w:rsid w:val="00AC06D9"/>
    <w:rsid w:val="00AF3FF0"/>
    <w:rsid w:val="00B3393E"/>
    <w:rsid w:val="00B91B60"/>
    <w:rsid w:val="00BF335E"/>
    <w:rsid w:val="00BF4D29"/>
    <w:rsid w:val="00C32103"/>
    <w:rsid w:val="00C40BA0"/>
    <w:rsid w:val="00D319FD"/>
    <w:rsid w:val="00DD6D3A"/>
    <w:rsid w:val="00DE7095"/>
    <w:rsid w:val="00FA4C0C"/>
    <w:rsid w:val="00FB55D3"/>
    <w:rsid w:val="00FC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9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9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7B91-328B-4376-AD3D-D30BEE65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CBC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盧薇冰</dc:creator>
  <cp:lastModifiedBy>盧志典</cp:lastModifiedBy>
  <cp:revision>2</cp:revision>
  <dcterms:created xsi:type="dcterms:W3CDTF">2020-01-22T04:43:00Z</dcterms:created>
  <dcterms:modified xsi:type="dcterms:W3CDTF">2020-01-22T04:43:00Z</dcterms:modified>
</cp:coreProperties>
</file>