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464" w:rsidRPr="00486F32" w:rsidRDefault="00F60E42" w:rsidP="00CE4C4A">
      <w:pPr>
        <w:pStyle w:val="a9"/>
        <w:spacing w:before="260"/>
        <w:ind w:firstLineChars="0" w:firstLine="0"/>
        <w:rPr>
          <w:rFonts w:ascii="Times New Roman" w:eastAsia="標楷體" w:hAnsi="Times New Roman" w:cs="Times New Roman"/>
        </w:rPr>
      </w:pPr>
      <w:bookmarkStart w:id="0" w:name="_GoBack"/>
      <w:bookmarkEnd w:id="0"/>
      <w:r w:rsidRPr="00486F32">
        <w:rPr>
          <w:rFonts w:ascii="Times New Roman" w:eastAsia="標楷體" w:hAnsi="Times New Roman" w:cs="Times New Roman"/>
        </w:rPr>
        <w:t>央行貨幣政策與台灣經濟發展</w:t>
      </w:r>
    </w:p>
    <w:p w:rsidR="00AF3C94" w:rsidRPr="00486F32" w:rsidRDefault="00AF3C94" w:rsidP="00CE4C4A">
      <w:pPr>
        <w:pStyle w:val="a9"/>
        <w:spacing w:before="260"/>
        <w:ind w:firstLineChars="0" w:firstLine="0"/>
        <w:rPr>
          <w:rFonts w:ascii="Times New Roman" w:eastAsia="標楷體" w:hAnsi="Times New Roman" w:cs="Times New Roman"/>
        </w:rPr>
      </w:pPr>
      <w:r w:rsidRPr="00486F32">
        <w:rPr>
          <w:rFonts w:ascii="Times New Roman" w:eastAsia="標楷體" w:hAnsi="Times New Roman" w:cs="Times New Roman"/>
        </w:rPr>
        <w:t>楊金龍</w:t>
      </w:r>
    </w:p>
    <w:p w:rsidR="00AF3C94" w:rsidRPr="00486F32" w:rsidRDefault="00CA3513" w:rsidP="00611176">
      <w:pPr>
        <w:snapToGrid w:val="0"/>
        <w:spacing w:beforeLines="30" w:before="156" w:afterLines="30" w:after="156" w:line="480" w:lineRule="exact"/>
        <w:ind w:firstLineChars="0" w:firstLine="0"/>
        <w:jc w:val="right"/>
        <w:rPr>
          <w:rFonts w:cs="Times New Roman"/>
          <w:b/>
          <w:szCs w:val="28"/>
        </w:rPr>
      </w:pPr>
      <w:r w:rsidRPr="00486F32">
        <w:rPr>
          <w:rFonts w:cs="Times New Roman"/>
          <w:szCs w:val="28"/>
        </w:rPr>
        <w:t>中央銀行</w:t>
      </w:r>
      <w:r w:rsidRPr="00486F32">
        <w:rPr>
          <w:rFonts w:cs="Times New Roman"/>
          <w:szCs w:val="28"/>
        </w:rPr>
        <w:t>/108.7.</w:t>
      </w:r>
      <w:r w:rsidR="00685C6D" w:rsidRPr="00486F32">
        <w:rPr>
          <w:rFonts w:cs="Times New Roman"/>
          <w:szCs w:val="28"/>
        </w:rPr>
        <w:t>12</w:t>
      </w:r>
    </w:p>
    <w:p w:rsidR="00ED5F8E" w:rsidRPr="00486F32" w:rsidRDefault="00836894" w:rsidP="00ED5F8E">
      <w:pPr>
        <w:overflowPunct w:val="0"/>
        <w:spacing w:beforeLines="30" w:before="156" w:afterLines="30" w:after="156" w:line="480" w:lineRule="exact"/>
        <w:ind w:firstLineChars="0" w:firstLine="0"/>
        <w:rPr>
          <w:rFonts w:cs="Times New Roman"/>
          <w:szCs w:val="28"/>
        </w:rPr>
      </w:pPr>
      <w:r w:rsidRPr="00486F32">
        <w:rPr>
          <w:rFonts w:cs="Times New Roman"/>
          <w:szCs w:val="28"/>
        </w:rPr>
        <w:t>林理事長、各位業界的前輩與先進、各位貴賓及媒體朋友</w:t>
      </w:r>
      <w:r w:rsidR="00ED5F8E" w:rsidRPr="00486F32">
        <w:rPr>
          <w:rFonts w:cs="Times New Roman"/>
          <w:szCs w:val="28"/>
        </w:rPr>
        <w:t>：</w:t>
      </w:r>
    </w:p>
    <w:p w:rsidR="00836894" w:rsidRPr="00486F32" w:rsidRDefault="00836894" w:rsidP="00ED5F8E">
      <w:pPr>
        <w:overflowPunct w:val="0"/>
        <w:spacing w:beforeLines="30" w:before="156" w:afterLines="30" w:after="156" w:line="480" w:lineRule="exact"/>
        <w:ind w:firstLineChars="0" w:firstLine="0"/>
        <w:rPr>
          <w:rFonts w:cs="Times New Roman"/>
          <w:szCs w:val="28"/>
        </w:rPr>
      </w:pPr>
      <w:r w:rsidRPr="00486F32">
        <w:rPr>
          <w:rFonts w:cs="Times New Roman"/>
          <w:szCs w:val="28"/>
        </w:rPr>
        <w:t>大家</w:t>
      </w:r>
      <w:r w:rsidR="00870871" w:rsidRPr="00486F32">
        <w:rPr>
          <w:rFonts w:cs="Times New Roman"/>
          <w:szCs w:val="28"/>
        </w:rPr>
        <w:t>早</w:t>
      </w:r>
      <w:r w:rsidRPr="00486F32">
        <w:rPr>
          <w:rFonts w:cs="Times New Roman"/>
          <w:szCs w:val="28"/>
        </w:rPr>
        <w:t>！今天很高興能應工商協進會的邀請，以「央行貨幣政策與台灣經濟發展」為題發表專題演講，提供一些淺見，並就教於各位。</w:t>
      </w:r>
    </w:p>
    <w:p w:rsidR="00836894" w:rsidRPr="00486F32" w:rsidRDefault="00836894" w:rsidP="0097761C">
      <w:pPr>
        <w:overflowPunct w:val="0"/>
        <w:spacing w:beforeLines="30" w:before="156" w:afterLines="30" w:after="156" w:line="480" w:lineRule="exact"/>
        <w:ind w:firstLineChars="202" w:firstLine="566"/>
        <w:rPr>
          <w:rFonts w:cs="Times New Roman"/>
          <w:szCs w:val="28"/>
        </w:rPr>
      </w:pPr>
      <w:r w:rsidRPr="00486F32">
        <w:rPr>
          <w:rFonts w:cs="Times New Roman"/>
          <w:szCs w:val="28"/>
        </w:rPr>
        <w:t>本行貨幣政策的主要目標之一，</w:t>
      </w:r>
      <w:r w:rsidR="001D29CE" w:rsidRPr="00486F32">
        <w:rPr>
          <w:rFonts w:cs="Times New Roman"/>
          <w:szCs w:val="28"/>
        </w:rPr>
        <w:t>是在於</w:t>
      </w:r>
      <w:r w:rsidRPr="00486F32">
        <w:rPr>
          <w:rFonts w:cs="Times New Roman"/>
          <w:szCs w:val="28"/>
        </w:rPr>
        <w:t>提供</w:t>
      </w:r>
      <w:r w:rsidR="00476305" w:rsidRPr="00486F32">
        <w:rPr>
          <w:rFonts w:cs="Times New Roman"/>
          <w:szCs w:val="28"/>
        </w:rPr>
        <w:t>總體</w:t>
      </w:r>
      <w:r w:rsidRPr="00486F32">
        <w:rPr>
          <w:rFonts w:cs="Times New Roman"/>
          <w:szCs w:val="28"/>
        </w:rPr>
        <w:t>經濟穩定發展的環境。多年來，本行</w:t>
      </w:r>
      <w:r w:rsidR="00476305" w:rsidRPr="00486F32">
        <w:rPr>
          <w:rFonts w:cs="Times New Roman"/>
          <w:szCs w:val="28"/>
        </w:rPr>
        <w:t>本於職責採行妥適貨幣政策，</w:t>
      </w:r>
      <w:r w:rsidRPr="00486F32">
        <w:rPr>
          <w:rFonts w:cs="Times New Roman"/>
          <w:szCs w:val="28"/>
        </w:rPr>
        <w:t>維持相對低且穩定的通膨及匯率的動態穩定，有助</w:t>
      </w:r>
      <w:r w:rsidR="00476305" w:rsidRPr="00486F32">
        <w:rPr>
          <w:rFonts w:cs="Times New Roman"/>
          <w:szCs w:val="28"/>
        </w:rPr>
        <w:t>確保</w:t>
      </w:r>
      <w:r w:rsidRPr="00486F32">
        <w:rPr>
          <w:rFonts w:cs="Times New Roman"/>
          <w:szCs w:val="28"/>
        </w:rPr>
        <w:t>新台幣購買力，也有利企業與經濟發展。</w:t>
      </w:r>
      <w:r w:rsidR="00AA1AD0" w:rsidRPr="00486F32">
        <w:rPr>
          <w:rFonts w:cs="Times New Roman"/>
          <w:szCs w:val="28"/>
        </w:rPr>
        <w:t>首先，我要向各位報告，近</w:t>
      </w:r>
      <w:r w:rsidR="00AA1AD0" w:rsidRPr="00486F32">
        <w:rPr>
          <w:rFonts w:cs="Times New Roman"/>
          <w:szCs w:val="28"/>
        </w:rPr>
        <w:t>20</w:t>
      </w:r>
      <w:r w:rsidR="00AA1AD0" w:rsidRPr="00486F32">
        <w:rPr>
          <w:rFonts w:cs="Times New Roman"/>
          <w:szCs w:val="28"/>
        </w:rPr>
        <w:t>年來</w:t>
      </w:r>
      <w:r w:rsidRPr="00486F32">
        <w:rPr>
          <w:rFonts w:cs="Times New Roman"/>
          <w:szCs w:val="28"/>
        </w:rPr>
        <w:t>關於本行貨幣政策執行情形與台灣總體經濟</w:t>
      </w:r>
      <w:r w:rsidR="00AA1AD0" w:rsidRPr="00486F32">
        <w:rPr>
          <w:rFonts w:cs="Times New Roman"/>
          <w:szCs w:val="28"/>
        </w:rPr>
        <w:t>的</w:t>
      </w:r>
      <w:r w:rsidRPr="00486F32">
        <w:rPr>
          <w:rFonts w:cs="Times New Roman"/>
          <w:szCs w:val="28"/>
        </w:rPr>
        <w:t>表現。</w:t>
      </w:r>
    </w:p>
    <w:p w:rsidR="00836894" w:rsidRPr="00486F32" w:rsidRDefault="00836894" w:rsidP="0097761C">
      <w:pPr>
        <w:overflowPunct w:val="0"/>
        <w:spacing w:beforeLines="30" w:before="156" w:afterLines="30" w:after="156" w:line="480" w:lineRule="exact"/>
        <w:ind w:firstLineChars="202" w:firstLine="566"/>
        <w:rPr>
          <w:rFonts w:cs="Times New Roman"/>
          <w:szCs w:val="28"/>
        </w:rPr>
      </w:pPr>
      <w:r w:rsidRPr="00486F32">
        <w:rPr>
          <w:rFonts w:cs="Times New Roman"/>
          <w:szCs w:val="28"/>
        </w:rPr>
        <w:t>接著，</w:t>
      </w:r>
      <w:r w:rsidR="001D29CE" w:rsidRPr="00486F32">
        <w:rPr>
          <w:rFonts w:cs="Times New Roman"/>
          <w:szCs w:val="28"/>
        </w:rPr>
        <w:t>我要簡要說明的是，</w:t>
      </w:r>
      <w:r w:rsidR="00620C46" w:rsidRPr="00486F32">
        <w:rPr>
          <w:rFonts w:cs="Times New Roman"/>
          <w:szCs w:val="28"/>
        </w:rPr>
        <w:t>全球化</w:t>
      </w:r>
      <w:r w:rsidR="00620C46" w:rsidRPr="00486F32">
        <w:rPr>
          <w:rFonts w:cs="Times New Roman"/>
          <w:szCs w:val="28"/>
        </w:rPr>
        <w:t>(globalization)</w:t>
      </w:r>
      <w:r w:rsidRPr="00486F32">
        <w:rPr>
          <w:rFonts w:cs="Times New Roman"/>
          <w:szCs w:val="28"/>
        </w:rPr>
        <w:t>、新科技</w:t>
      </w:r>
      <w:r w:rsidRPr="00486F32">
        <w:rPr>
          <w:rFonts w:cs="Times New Roman"/>
          <w:szCs w:val="28"/>
        </w:rPr>
        <w:t>(</w:t>
      </w:r>
      <w:r w:rsidRPr="00486F32">
        <w:rPr>
          <w:rFonts w:cs="Times New Roman"/>
          <w:szCs w:val="28"/>
        </w:rPr>
        <w:t>包含金融科技</w:t>
      </w:r>
      <w:r w:rsidRPr="00486F32">
        <w:rPr>
          <w:rFonts w:cs="Times New Roman"/>
          <w:szCs w:val="28"/>
        </w:rPr>
        <w:t>)</w:t>
      </w:r>
      <w:r w:rsidRPr="00486F32">
        <w:rPr>
          <w:rFonts w:cs="Times New Roman"/>
          <w:szCs w:val="28"/>
        </w:rPr>
        <w:t>及長期停滯</w:t>
      </w:r>
      <w:r w:rsidR="00DB3BF5" w:rsidRPr="00486F32">
        <w:rPr>
          <w:rStyle w:val="ad"/>
          <w:rFonts w:cs="Times New Roman"/>
        </w:rPr>
        <w:footnoteReference w:id="1"/>
      </w:r>
      <w:r w:rsidR="00DB3BF5" w:rsidRPr="00486F32">
        <w:rPr>
          <w:rFonts w:cs="Times New Roman"/>
        </w:rPr>
        <w:t>(secular stagnation)</w:t>
      </w:r>
      <w:r w:rsidRPr="00486F32">
        <w:rPr>
          <w:rFonts w:cs="Times New Roman"/>
          <w:szCs w:val="28"/>
        </w:rPr>
        <w:t>造成的全球環境變化，已</w:t>
      </w:r>
      <w:r w:rsidR="00B07318" w:rsidRPr="00486F32">
        <w:rPr>
          <w:rFonts w:cs="Times New Roman"/>
          <w:szCs w:val="28"/>
        </w:rPr>
        <w:t>為</w:t>
      </w:r>
      <w:r w:rsidRPr="00486F32">
        <w:rPr>
          <w:rFonts w:cs="Times New Roman"/>
          <w:szCs w:val="28"/>
        </w:rPr>
        <w:t>全球經濟及央行政策帶來重大影響，台灣</w:t>
      </w:r>
      <w:r w:rsidR="001D29CE" w:rsidRPr="00486F32">
        <w:rPr>
          <w:rFonts w:cs="Times New Roman"/>
          <w:szCs w:val="28"/>
        </w:rPr>
        <w:t>也</w:t>
      </w:r>
      <w:r w:rsidRPr="00486F32">
        <w:rPr>
          <w:rFonts w:cs="Times New Roman"/>
          <w:szCs w:val="28"/>
        </w:rPr>
        <w:t>面臨相關經濟結構的問題。最後，我將探討在面臨</w:t>
      </w:r>
      <w:r w:rsidRPr="00486F32">
        <w:rPr>
          <w:rFonts w:cs="Times New Roman"/>
          <w:spacing w:val="-6"/>
          <w:szCs w:val="28"/>
        </w:rPr>
        <w:t>當前經濟結構問題及挑戰下，本行</w:t>
      </w:r>
      <w:r w:rsidR="00EF0AA9" w:rsidRPr="00486F32">
        <w:rPr>
          <w:rFonts w:cs="Times New Roman"/>
          <w:spacing w:val="-6"/>
          <w:szCs w:val="28"/>
        </w:rPr>
        <w:t>貨幣政策</w:t>
      </w:r>
      <w:r w:rsidRPr="00486F32">
        <w:rPr>
          <w:rFonts w:cs="Times New Roman"/>
          <w:spacing w:val="-6"/>
          <w:szCs w:val="28"/>
        </w:rPr>
        <w:t>、</w:t>
      </w:r>
      <w:r w:rsidR="00950671" w:rsidRPr="00486F32">
        <w:rPr>
          <w:rFonts w:cs="Times New Roman"/>
          <w:spacing w:val="-6"/>
          <w:szCs w:val="28"/>
        </w:rPr>
        <w:t>政府</w:t>
      </w:r>
      <w:r w:rsidR="00EF0AA9" w:rsidRPr="00486F32">
        <w:rPr>
          <w:rFonts w:cs="Times New Roman"/>
          <w:spacing w:val="-6"/>
          <w:szCs w:val="28"/>
        </w:rPr>
        <w:t>財政政策</w:t>
      </w:r>
      <w:r w:rsidRPr="00486F32">
        <w:rPr>
          <w:rFonts w:cs="Times New Roman"/>
          <w:spacing w:val="-6"/>
          <w:szCs w:val="28"/>
        </w:rPr>
        <w:t>及</w:t>
      </w:r>
      <w:r w:rsidR="00EF0AA9" w:rsidRPr="00486F32">
        <w:rPr>
          <w:rFonts w:cs="Times New Roman"/>
          <w:spacing w:val="-6"/>
          <w:szCs w:val="28"/>
        </w:rPr>
        <w:t>產業政策</w:t>
      </w:r>
      <w:r w:rsidRPr="00486F32">
        <w:rPr>
          <w:rFonts w:cs="Times New Roman"/>
          <w:spacing w:val="-6"/>
          <w:szCs w:val="28"/>
        </w:rPr>
        <w:t>如何妥適因應。</w:t>
      </w:r>
      <w:r w:rsidRPr="00486F32">
        <w:rPr>
          <w:rFonts w:cs="Times New Roman"/>
          <w:spacing w:val="-6"/>
          <w:szCs w:val="28"/>
        </w:rPr>
        <w:t xml:space="preserve"> </w:t>
      </w:r>
    </w:p>
    <w:p w:rsidR="00E95249" w:rsidRPr="00486F32" w:rsidRDefault="00EE23E6" w:rsidP="0097761C">
      <w:pPr>
        <w:pStyle w:val="a7"/>
        <w:numPr>
          <w:ilvl w:val="0"/>
          <w:numId w:val="1"/>
        </w:numPr>
        <w:snapToGrid w:val="0"/>
        <w:spacing w:beforeLines="30" w:before="156" w:afterLines="30" w:after="156" w:line="480" w:lineRule="exact"/>
        <w:ind w:leftChars="0" w:left="566" w:hangingChars="202" w:hanging="566"/>
        <w:rPr>
          <w:rFonts w:ascii="Times New Roman" w:eastAsia="標楷體" w:hAnsi="Times New Roman" w:cs="Times New Roman"/>
          <w:b/>
          <w:sz w:val="28"/>
          <w:szCs w:val="28"/>
        </w:rPr>
      </w:pPr>
      <w:r w:rsidRPr="00486F32">
        <w:rPr>
          <w:rFonts w:ascii="Times New Roman" w:eastAsia="標楷體" w:hAnsi="Times New Roman" w:cs="Times New Roman"/>
          <w:b/>
          <w:sz w:val="28"/>
          <w:szCs w:val="28"/>
        </w:rPr>
        <w:tab/>
      </w:r>
      <w:r w:rsidR="00082F4D" w:rsidRPr="00486F32">
        <w:rPr>
          <w:rFonts w:ascii="Times New Roman" w:eastAsia="標楷體" w:hAnsi="Times New Roman" w:cs="Times New Roman"/>
          <w:b/>
          <w:sz w:val="28"/>
          <w:szCs w:val="28"/>
        </w:rPr>
        <w:t>台灣總體經濟表現與</w:t>
      </w:r>
      <w:r w:rsidR="00383E86" w:rsidRPr="00486F32">
        <w:rPr>
          <w:rFonts w:ascii="Times New Roman" w:eastAsia="標楷體" w:hAnsi="Times New Roman" w:cs="Times New Roman"/>
          <w:b/>
          <w:sz w:val="28"/>
          <w:szCs w:val="28"/>
        </w:rPr>
        <w:t>本</w:t>
      </w:r>
      <w:r w:rsidR="003301BE" w:rsidRPr="00486F32">
        <w:rPr>
          <w:rFonts w:ascii="Times New Roman" w:eastAsia="標楷體" w:hAnsi="Times New Roman" w:cs="Times New Roman"/>
          <w:b/>
          <w:sz w:val="28"/>
          <w:szCs w:val="28"/>
        </w:rPr>
        <w:t>行貨幣政策執行情形</w:t>
      </w:r>
    </w:p>
    <w:p w:rsidR="00AB019D" w:rsidRPr="00486F32" w:rsidRDefault="00AB019D" w:rsidP="0097761C">
      <w:pPr>
        <w:pStyle w:val="a7"/>
        <w:numPr>
          <w:ilvl w:val="0"/>
          <w:numId w:val="3"/>
        </w:numPr>
        <w:spacing w:beforeLines="50" w:before="260" w:afterLines="50" w:after="260" w:line="480" w:lineRule="exact"/>
        <w:ind w:leftChars="0" w:left="0" w:firstLine="0"/>
        <w:rPr>
          <w:rFonts w:ascii="Times New Roman" w:eastAsia="標楷體" w:hAnsi="Times New Roman" w:cs="Times New Roman"/>
          <w:b/>
          <w:sz w:val="28"/>
          <w:szCs w:val="28"/>
        </w:rPr>
      </w:pPr>
      <w:r w:rsidRPr="00486F32">
        <w:rPr>
          <w:rFonts w:ascii="Times New Roman" w:eastAsia="標楷體" w:hAnsi="Times New Roman" w:cs="Times New Roman"/>
          <w:b/>
          <w:sz w:val="28"/>
          <w:szCs w:val="28"/>
        </w:rPr>
        <w:t>中央銀行</w:t>
      </w:r>
      <w:r w:rsidR="001713E6" w:rsidRPr="00486F32">
        <w:rPr>
          <w:rFonts w:ascii="Times New Roman" w:eastAsia="標楷體" w:hAnsi="Times New Roman" w:cs="Times New Roman"/>
          <w:b/>
          <w:sz w:val="28"/>
          <w:szCs w:val="28"/>
        </w:rPr>
        <w:t>落實</w:t>
      </w:r>
      <w:r w:rsidRPr="00486F32">
        <w:rPr>
          <w:rFonts w:ascii="Times New Roman" w:eastAsia="標楷體" w:hAnsi="Times New Roman" w:cs="Times New Roman"/>
          <w:b/>
          <w:sz w:val="28"/>
          <w:szCs w:val="28"/>
        </w:rPr>
        <w:t>法定經營目標</w:t>
      </w:r>
    </w:p>
    <w:p w:rsidR="00783E81" w:rsidRPr="00486F32" w:rsidRDefault="00783E81" w:rsidP="0097761C">
      <w:pPr>
        <w:overflowPunct w:val="0"/>
        <w:spacing w:beforeLines="30" w:before="156" w:afterLines="30" w:after="156" w:line="500" w:lineRule="exact"/>
        <w:ind w:firstLineChars="202" w:firstLine="566"/>
        <w:rPr>
          <w:rFonts w:cs="Times New Roman"/>
          <w:szCs w:val="28"/>
        </w:rPr>
      </w:pPr>
      <w:r w:rsidRPr="00486F32">
        <w:rPr>
          <w:rFonts w:cs="Times New Roman"/>
          <w:szCs w:val="28"/>
        </w:rPr>
        <w:t>根據「中央銀行法」</w:t>
      </w:r>
      <w:r w:rsidR="001D29CE" w:rsidRPr="00486F32">
        <w:rPr>
          <w:rFonts w:cs="Times New Roman"/>
          <w:szCs w:val="28"/>
        </w:rPr>
        <w:t>的</w:t>
      </w:r>
      <w:r w:rsidRPr="00486F32">
        <w:rPr>
          <w:rFonts w:cs="Times New Roman"/>
          <w:szCs w:val="28"/>
        </w:rPr>
        <w:t>規定</w:t>
      </w:r>
      <w:r w:rsidRPr="00486F32">
        <w:rPr>
          <w:rFonts w:cs="Times New Roman"/>
          <w:szCs w:val="28"/>
          <w:vertAlign w:val="superscript"/>
        </w:rPr>
        <w:footnoteReference w:id="2"/>
      </w:r>
      <w:r w:rsidRPr="00486F32">
        <w:rPr>
          <w:rFonts w:cs="Times New Roman"/>
          <w:szCs w:val="28"/>
        </w:rPr>
        <w:t>，本行經營目標為促進金融穩定、健全銀行業務、維護對內及對外幣值之穩定，並於上列目標範圍內，</w:t>
      </w:r>
      <w:r w:rsidRPr="00486F32">
        <w:rPr>
          <w:rFonts w:cs="Times New Roman"/>
          <w:szCs w:val="28"/>
        </w:rPr>
        <w:lastRenderedPageBreak/>
        <w:t>協助經濟之發展。本行的貨幣政策</w:t>
      </w:r>
      <w:r w:rsidR="0006476B" w:rsidRPr="00486F32">
        <w:rPr>
          <w:rFonts w:cs="Times New Roman"/>
          <w:szCs w:val="28"/>
        </w:rPr>
        <w:t>就是</w:t>
      </w:r>
      <w:r w:rsidRPr="00486F32">
        <w:rPr>
          <w:rFonts w:cs="Times New Roman"/>
          <w:szCs w:val="28"/>
        </w:rPr>
        <w:t>透過利率及匯率等政策的</w:t>
      </w:r>
      <w:r w:rsidR="001D29CE" w:rsidRPr="00486F32">
        <w:rPr>
          <w:rFonts w:cs="Times New Roman"/>
          <w:szCs w:val="28"/>
        </w:rPr>
        <w:t>運用</w:t>
      </w:r>
      <w:r w:rsidRPr="00486F32">
        <w:rPr>
          <w:rFonts w:cs="Times New Roman"/>
          <w:szCs w:val="28"/>
        </w:rPr>
        <w:t>，來達成上述目標。其中利率政策係考量當前國內物價，產出缺口及通膨展望等</w:t>
      </w:r>
      <w:r w:rsidR="008A0750" w:rsidRPr="00486F32">
        <w:rPr>
          <w:rFonts w:cs="Times New Roman"/>
          <w:szCs w:val="28"/>
        </w:rPr>
        <w:t>因素來訂定</w:t>
      </w:r>
      <w:r w:rsidRPr="00486F32">
        <w:rPr>
          <w:rFonts w:cs="Times New Roman"/>
          <w:szCs w:val="28"/>
        </w:rPr>
        <w:t>；匯率政策</w:t>
      </w:r>
      <w:r w:rsidR="00F35D48" w:rsidRPr="00486F32">
        <w:rPr>
          <w:rFonts w:cs="Times New Roman"/>
          <w:szCs w:val="28"/>
        </w:rPr>
        <w:t>則</w:t>
      </w:r>
      <w:r w:rsidRPr="00486F32">
        <w:rPr>
          <w:rFonts w:cs="Times New Roman"/>
          <w:szCs w:val="28"/>
        </w:rPr>
        <w:t>採行管理浮動匯率制度</w:t>
      </w:r>
      <w:r w:rsidRPr="00486F32">
        <w:rPr>
          <w:rFonts w:cs="Times New Roman"/>
          <w:szCs w:val="28"/>
          <w:vertAlign w:val="superscript"/>
        </w:rPr>
        <w:footnoteReference w:id="3"/>
      </w:r>
      <w:r w:rsidRPr="00486F32">
        <w:rPr>
          <w:rFonts w:cs="Times New Roman"/>
          <w:szCs w:val="28"/>
        </w:rPr>
        <w:t>，維持新台幣匯率動態穩定。此外，本行</w:t>
      </w:r>
      <w:r w:rsidR="00F35D48" w:rsidRPr="00486F32">
        <w:rPr>
          <w:rFonts w:cs="Times New Roman"/>
          <w:szCs w:val="28"/>
        </w:rPr>
        <w:t>也</w:t>
      </w:r>
      <w:r w:rsidRPr="00486F32">
        <w:rPr>
          <w:rFonts w:cs="Times New Roman"/>
          <w:szCs w:val="28"/>
        </w:rPr>
        <w:t>採行總體審慎政策，來維持金融穩定</w:t>
      </w:r>
      <w:r w:rsidRPr="00486F32">
        <w:rPr>
          <w:rFonts w:cs="Times New Roman"/>
          <w:szCs w:val="28"/>
        </w:rPr>
        <w:t>(</w:t>
      </w:r>
      <w:r w:rsidRPr="00486F32">
        <w:rPr>
          <w:rFonts w:cs="Times New Roman"/>
          <w:szCs w:val="28"/>
        </w:rPr>
        <w:t>例如房價穩定</w:t>
      </w:r>
      <w:r w:rsidRPr="00486F32">
        <w:rPr>
          <w:rFonts w:cs="Times New Roman"/>
          <w:szCs w:val="28"/>
        </w:rPr>
        <w:t>)</w:t>
      </w:r>
      <w:r w:rsidRPr="00486F32">
        <w:rPr>
          <w:rFonts w:cs="Times New Roman"/>
          <w:szCs w:val="28"/>
        </w:rPr>
        <w:t>。</w:t>
      </w:r>
    </w:p>
    <w:p w:rsidR="00783E81" w:rsidRPr="00486F32" w:rsidRDefault="00783E81" w:rsidP="00783E81">
      <w:pPr>
        <w:overflowPunct w:val="0"/>
        <w:spacing w:beforeLines="30" w:before="156" w:afterLines="30" w:after="156" w:line="520" w:lineRule="exact"/>
        <w:ind w:firstLineChars="202" w:firstLine="566"/>
        <w:rPr>
          <w:rFonts w:cs="Times New Roman"/>
          <w:szCs w:val="28"/>
        </w:rPr>
      </w:pPr>
      <w:r w:rsidRPr="00486F32">
        <w:rPr>
          <w:rFonts w:cs="Times New Roman"/>
          <w:szCs w:val="28"/>
        </w:rPr>
        <w:t>本行貨幣政策的主要目標，在於維持總體經濟穩定與金融穩定。穩定的總體經濟與金融環境，有助於降低不確定性，並使企業與個人能聚焦於具生產性的投資決策。誠如加拿大央行指出</w:t>
      </w:r>
      <w:r w:rsidRPr="00486F32">
        <w:rPr>
          <w:rFonts w:cs="Times New Roman"/>
          <w:vertAlign w:val="superscript"/>
        </w:rPr>
        <w:footnoteReference w:id="4"/>
      </w:r>
      <w:r w:rsidRPr="00486F32">
        <w:rPr>
          <w:rFonts w:cs="Times New Roman"/>
          <w:szCs w:val="28"/>
        </w:rPr>
        <w:t>，維持低且穩定</w:t>
      </w:r>
      <w:r w:rsidRPr="00486F32">
        <w:rPr>
          <w:rFonts w:cs="Times New Roman"/>
          <w:szCs w:val="28"/>
        </w:rPr>
        <w:t>(low and stable inflation)</w:t>
      </w:r>
      <w:r w:rsidRPr="00486F32">
        <w:rPr>
          <w:rFonts w:cs="Times New Roman"/>
          <w:szCs w:val="28"/>
        </w:rPr>
        <w:t>，以及具可測性的通膨率，是提振大眾對貨幣價值信心、鼓勵</w:t>
      </w:r>
      <w:r w:rsidR="0097761C" w:rsidRPr="00486F32">
        <w:rPr>
          <w:rFonts w:cs="Times New Roman"/>
          <w:szCs w:val="28"/>
        </w:rPr>
        <w:t>企業</w:t>
      </w:r>
      <w:r w:rsidRPr="00486F32">
        <w:rPr>
          <w:rFonts w:cs="Times New Roman"/>
          <w:szCs w:val="28"/>
        </w:rPr>
        <w:t>長期投資、促進強勁經濟表現，以及提升生活水準的最佳方法。</w:t>
      </w:r>
    </w:p>
    <w:p w:rsidR="003D0654" w:rsidRPr="00486F32" w:rsidRDefault="00B07E3B" w:rsidP="00B07E3B">
      <w:pPr>
        <w:overflowPunct w:val="0"/>
        <w:spacing w:beforeLines="30" w:before="156" w:afterLines="30" w:after="156" w:line="520" w:lineRule="exact"/>
        <w:ind w:firstLineChars="202" w:firstLine="566"/>
        <w:rPr>
          <w:rFonts w:cs="Times New Roman"/>
          <w:szCs w:val="28"/>
        </w:rPr>
      </w:pPr>
      <w:r w:rsidRPr="00486F32">
        <w:rPr>
          <w:rFonts w:cs="Times New Roman"/>
          <w:szCs w:val="28"/>
        </w:rPr>
        <w:t>多年來，本行貨幣政策因應台灣總體經濟</w:t>
      </w:r>
      <w:r w:rsidR="008A0750" w:rsidRPr="00486F32">
        <w:rPr>
          <w:rFonts w:cs="Times New Roman"/>
          <w:szCs w:val="28"/>
        </w:rPr>
        <w:t>的</w:t>
      </w:r>
      <w:r w:rsidRPr="00486F32">
        <w:rPr>
          <w:rFonts w:cs="Times New Roman"/>
          <w:szCs w:val="28"/>
        </w:rPr>
        <w:t>發展，具有成效，受到國際信評及研究機構的肯定</w:t>
      </w:r>
      <w:r w:rsidRPr="00486F32">
        <w:rPr>
          <w:rFonts w:cs="Times New Roman"/>
          <w:vertAlign w:val="superscript"/>
        </w:rPr>
        <w:footnoteReference w:id="5"/>
      </w:r>
      <w:r w:rsidRPr="00486F32">
        <w:rPr>
          <w:rFonts w:cs="Times New Roman"/>
          <w:szCs w:val="28"/>
        </w:rPr>
        <w:t>。</w:t>
      </w:r>
      <w:r w:rsidR="003D0654" w:rsidRPr="00486F32">
        <w:rPr>
          <w:rFonts w:cs="Times New Roman"/>
          <w:szCs w:val="28"/>
        </w:rPr>
        <w:t>如信評機構標準普爾即指出</w:t>
      </w:r>
      <w:r w:rsidR="003D0654" w:rsidRPr="00486F32">
        <w:rPr>
          <w:rFonts w:cs="Times New Roman"/>
          <w:szCs w:val="28"/>
          <w:vertAlign w:val="superscript"/>
        </w:rPr>
        <w:footnoteReference w:id="6"/>
      </w:r>
      <w:r w:rsidR="003D0654" w:rsidRPr="00486F32">
        <w:rPr>
          <w:rFonts w:cs="Times New Roman"/>
          <w:szCs w:val="28"/>
        </w:rPr>
        <w:t>，</w:t>
      </w:r>
      <w:r w:rsidRPr="00486F32">
        <w:rPr>
          <w:rFonts w:cs="Times New Roman"/>
          <w:szCs w:val="28"/>
        </w:rPr>
        <w:t>台灣貨幣政策極具彈性，維持低且穩定的通膨</w:t>
      </w:r>
      <w:r w:rsidR="008A0750" w:rsidRPr="00486F32">
        <w:rPr>
          <w:rFonts w:cs="Times New Roman"/>
          <w:szCs w:val="28"/>
        </w:rPr>
        <w:t>，而且</w:t>
      </w:r>
      <w:r w:rsidRPr="00486F32">
        <w:rPr>
          <w:rFonts w:cs="Times New Roman"/>
          <w:szCs w:val="28"/>
        </w:rPr>
        <w:t>相對有彈性的新台幣匯</w:t>
      </w:r>
      <w:r w:rsidRPr="00486F32">
        <w:rPr>
          <w:rFonts w:cs="Times New Roman"/>
          <w:spacing w:val="-4"/>
          <w:szCs w:val="28"/>
        </w:rPr>
        <w:t>率，有助舒緩經濟與金融衝擊；</w:t>
      </w:r>
      <w:r w:rsidR="008A0750" w:rsidRPr="00486F32">
        <w:rPr>
          <w:rFonts w:cs="Times New Roman"/>
          <w:spacing w:val="-4"/>
          <w:szCs w:val="28"/>
        </w:rPr>
        <w:t>另外，</w:t>
      </w:r>
      <w:r w:rsidR="0063464F" w:rsidRPr="00486F32">
        <w:rPr>
          <w:rFonts w:cs="Times New Roman" w:hint="eastAsia"/>
          <w:spacing w:val="-4"/>
          <w:szCs w:val="28"/>
        </w:rPr>
        <w:t>使</w:t>
      </w:r>
      <w:r w:rsidRPr="00486F32">
        <w:rPr>
          <w:rFonts w:cs="Times New Roman"/>
          <w:spacing w:val="-4"/>
          <w:szCs w:val="28"/>
        </w:rPr>
        <w:t>台灣安然度過亞洲及全球金融危機。</w:t>
      </w:r>
    </w:p>
    <w:p w:rsidR="00AD2F7D" w:rsidRPr="00486F32" w:rsidRDefault="00BB4169" w:rsidP="00411DA9">
      <w:pPr>
        <w:pStyle w:val="a7"/>
        <w:numPr>
          <w:ilvl w:val="0"/>
          <w:numId w:val="3"/>
        </w:numPr>
        <w:spacing w:beforeLines="50" w:before="260" w:afterLines="50" w:after="260" w:line="520" w:lineRule="exact"/>
        <w:ind w:leftChars="0" w:left="0" w:firstLine="0"/>
        <w:rPr>
          <w:rFonts w:ascii="Times New Roman" w:eastAsia="標楷體" w:hAnsi="Times New Roman" w:cs="Times New Roman"/>
          <w:b/>
          <w:sz w:val="28"/>
          <w:szCs w:val="28"/>
        </w:rPr>
      </w:pPr>
      <w:r w:rsidRPr="00486F32">
        <w:rPr>
          <w:rFonts w:ascii="Times New Roman" w:eastAsia="標楷體" w:hAnsi="Times New Roman" w:cs="Times New Roman"/>
          <w:b/>
          <w:sz w:val="28"/>
          <w:szCs w:val="28"/>
        </w:rPr>
        <w:t>近</w:t>
      </w:r>
      <w:r w:rsidR="00AD2F7D" w:rsidRPr="00486F32">
        <w:rPr>
          <w:rFonts w:ascii="Times New Roman" w:eastAsia="標楷體" w:hAnsi="Times New Roman" w:cs="Times New Roman"/>
          <w:b/>
          <w:sz w:val="28"/>
          <w:szCs w:val="28"/>
        </w:rPr>
        <w:t>20</w:t>
      </w:r>
      <w:r w:rsidR="00AD2F7D" w:rsidRPr="00486F32">
        <w:rPr>
          <w:rFonts w:ascii="Times New Roman" w:eastAsia="標楷體" w:hAnsi="Times New Roman" w:cs="Times New Roman"/>
          <w:b/>
          <w:sz w:val="28"/>
          <w:szCs w:val="28"/>
        </w:rPr>
        <w:t>年台灣總體經濟表現</w:t>
      </w:r>
    </w:p>
    <w:p w:rsidR="003D29C8" w:rsidRPr="00486F32" w:rsidRDefault="00185CEF" w:rsidP="00BB4169">
      <w:pPr>
        <w:overflowPunct w:val="0"/>
        <w:spacing w:beforeLines="30" w:before="156" w:afterLines="30" w:after="156" w:line="520" w:lineRule="exact"/>
        <w:ind w:firstLineChars="202" w:firstLine="566"/>
        <w:rPr>
          <w:rFonts w:cs="Times New Roman"/>
          <w:szCs w:val="28"/>
        </w:rPr>
      </w:pPr>
      <w:r w:rsidRPr="00486F32">
        <w:rPr>
          <w:rFonts w:cs="Times New Roman"/>
          <w:szCs w:val="28"/>
        </w:rPr>
        <w:t>現在</w:t>
      </w:r>
      <w:r w:rsidR="009C15CD" w:rsidRPr="00486F32">
        <w:rPr>
          <w:rFonts w:cs="Times New Roman"/>
          <w:szCs w:val="28"/>
        </w:rPr>
        <w:t>，</w:t>
      </w:r>
      <w:r w:rsidR="00F903B7" w:rsidRPr="00486F32">
        <w:rPr>
          <w:rFonts w:cs="Times New Roman"/>
          <w:szCs w:val="28"/>
        </w:rPr>
        <w:t>先</w:t>
      </w:r>
      <w:r w:rsidR="003D29C8" w:rsidRPr="00486F32">
        <w:rPr>
          <w:rFonts w:cs="Times New Roman"/>
          <w:szCs w:val="28"/>
        </w:rPr>
        <w:t>回顧一下</w:t>
      </w:r>
      <w:r w:rsidR="00BB4169" w:rsidRPr="00486F32">
        <w:rPr>
          <w:rFonts w:cs="Times New Roman"/>
          <w:szCs w:val="28"/>
        </w:rPr>
        <w:t>近</w:t>
      </w:r>
      <w:r w:rsidR="008A6909" w:rsidRPr="00486F32">
        <w:rPr>
          <w:rFonts w:cs="Times New Roman"/>
          <w:szCs w:val="28"/>
        </w:rPr>
        <w:t>20</w:t>
      </w:r>
      <w:r w:rsidR="008A6909" w:rsidRPr="00486F32">
        <w:rPr>
          <w:rFonts w:cs="Times New Roman"/>
          <w:szCs w:val="28"/>
        </w:rPr>
        <w:t>年</w:t>
      </w:r>
      <w:r w:rsidR="008A0750" w:rsidRPr="00486F32">
        <w:rPr>
          <w:rFonts w:cs="Times New Roman"/>
          <w:szCs w:val="28"/>
        </w:rPr>
        <w:t>來</w:t>
      </w:r>
      <w:r w:rsidR="003D29C8" w:rsidRPr="00486F32">
        <w:rPr>
          <w:rFonts w:cs="Times New Roman"/>
          <w:szCs w:val="28"/>
        </w:rPr>
        <w:t>台灣</w:t>
      </w:r>
      <w:r w:rsidR="00572AA4" w:rsidRPr="00486F32">
        <w:rPr>
          <w:rFonts w:cs="Times New Roman"/>
          <w:szCs w:val="28"/>
        </w:rPr>
        <w:t>總體經濟表現</w:t>
      </w:r>
      <w:r w:rsidR="003D29C8" w:rsidRPr="00486F32">
        <w:rPr>
          <w:rFonts w:cs="Times New Roman"/>
          <w:szCs w:val="28"/>
        </w:rPr>
        <w:t>。</w:t>
      </w:r>
      <w:r w:rsidR="006034B3" w:rsidRPr="00486F32">
        <w:rPr>
          <w:rFonts w:cs="Times New Roman"/>
          <w:szCs w:val="28"/>
        </w:rPr>
        <w:t>2000</w:t>
      </w:r>
      <w:r w:rsidR="006034B3" w:rsidRPr="00486F32">
        <w:rPr>
          <w:rFonts w:cs="Times New Roman"/>
          <w:szCs w:val="28"/>
        </w:rPr>
        <w:t>年至</w:t>
      </w:r>
      <w:r w:rsidR="006034B3" w:rsidRPr="00486F32">
        <w:rPr>
          <w:rFonts w:cs="Times New Roman"/>
          <w:szCs w:val="28"/>
        </w:rPr>
        <w:t>2018</w:t>
      </w:r>
      <w:r w:rsidR="006034B3" w:rsidRPr="00486F32">
        <w:rPr>
          <w:rFonts w:cs="Times New Roman"/>
          <w:szCs w:val="28"/>
        </w:rPr>
        <w:t>年台灣經濟成長率平均為</w:t>
      </w:r>
      <w:r w:rsidR="006034B3" w:rsidRPr="00486F32">
        <w:rPr>
          <w:rFonts w:cs="Times New Roman"/>
          <w:szCs w:val="28"/>
        </w:rPr>
        <w:t>3.62%</w:t>
      </w:r>
      <w:r w:rsidR="006034B3" w:rsidRPr="00486F32">
        <w:rPr>
          <w:rFonts w:cs="Times New Roman"/>
          <w:szCs w:val="28"/>
        </w:rPr>
        <w:t>，表現仍屬穩健；若以人均</w:t>
      </w:r>
      <w:r w:rsidR="003016CF" w:rsidRPr="00486F32">
        <w:rPr>
          <w:rFonts w:cs="Times New Roman"/>
          <w:szCs w:val="28"/>
        </w:rPr>
        <w:t>GDP</w:t>
      </w:r>
      <w:r w:rsidR="006034B3" w:rsidRPr="00486F32">
        <w:rPr>
          <w:rFonts w:cs="Times New Roman"/>
          <w:szCs w:val="28"/>
        </w:rPr>
        <w:t>觀</w:t>
      </w:r>
      <w:r w:rsidR="006034B3" w:rsidRPr="00486F32">
        <w:rPr>
          <w:rFonts w:cs="Times New Roman"/>
          <w:szCs w:val="28"/>
        </w:rPr>
        <w:lastRenderedPageBreak/>
        <w:t>察，大抵呈上升趨勢，由</w:t>
      </w:r>
      <w:r w:rsidR="006034B3" w:rsidRPr="00486F32">
        <w:rPr>
          <w:rFonts w:cs="Times New Roman"/>
          <w:szCs w:val="28"/>
        </w:rPr>
        <w:t>2000</w:t>
      </w:r>
      <w:r w:rsidR="006034B3" w:rsidRPr="00486F32">
        <w:rPr>
          <w:rFonts w:cs="Times New Roman"/>
          <w:szCs w:val="28"/>
        </w:rPr>
        <w:t>年的</w:t>
      </w:r>
      <w:r w:rsidR="006034B3" w:rsidRPr="00486F32">
        <w:rPr>
          <w:rFonts w:cs="Times New Roman"/>
          <w:szCs w:val="28"/>
        </w:rPr>
        <w:t>14,941</w:t>
      </w:r>
      <w:r w:rsidR="006034B3" w:rsidRPr="00486F32">
        <w:rPr>
          <w:rFonts w:cs="Times New Roman"/>
          <w:szCs w:val="28"/>
        </w:rPr>
        <w:t>美元，</w:t>
      </w:r>
      <w:r w:rsidR="00852BF8" w:rsidRPr="00486F32">
        <w:rPr>
          <w:rFonts w:cs="Times New Roman"/>
          <w:szCs w:val="28"/>
        </w:rPr>
        <w:t>逐步</w:t>
      </w:r>
      <w:r w:rsidR="006034B3" w:rsidRPr="00486F32">
        <w:rPr>
          <w:rFonts w:cs="Times New Roman"/>
          <w:szCs w:val="28"/>
        </w:rPr>
        <w:t>增加</w:t>
      </w:r>
      <w:r w:rsidR="002306B5" w:rsidRPr="00486F32">
        <w:rPr>
          <w:rFonts w:cs="Times New Roman"/>
          <w:szCs w:val="28"/>
        </w:rPr>
        <w:t>到</w:t>
      </w:r>
      <w:r w:rsidR="005C1666" w:rsidRPr="00486F32">
        <w:rPr>
          <w:rFonts w:cs="Times New Roman"/>
          <w:szCs w:val="28"/>
        </w:rPr>
        <w:t>上</w:t>
      </w:r>
      <w:r w:rsidR="005C1666" w:rsidRPr="00486F32">
        <w:rPr>
          <w:rFonts w:cs="Times New Roman"/>
          <w:szCs w:val="28"/>
        </w:rPr>
        <w:t>(2018)</w:t>
      </w:r>
      <w:r w:rsidR="005C1666" w:rsidRPr="00486F32">
        <w:rPr>
          <w:rFonts w:cs="Times New Roman"/>
          <w:szCs w:val="28"/>
        </w:rPr>
        <w:t>年的</w:t>
      </w:r>
      <w:r w:rsidR="005C1666" w:rsidRPr="00486F32">
        <w:rPr>
          <w:rFonts w:cs="Times New Roman"/>
          <w:szCs w:val="28"/>
        </w:rPr>
        <w:t>25,026</w:t>
      </w:r>
      <w:r w:rsidR="005C1666" w:rsidRPr="00486F32">
        <w:rPr>
          <w:rFonts w:cs="Times New Roman"/>
          <w:szCs w:val="28"/>
        </w:rPr>
        <w:t>美元。</w:t>
      </w:r>
    </w:p>
    <w:p w:rsidR="007B7915" w:rsidRPr="00486F32" w:rsidRDefault="007B7915" w:rsidP="007B7915">
      <w:pPr>
        <w:overflowPunct w:val="0"/>
        <w:spacing w:beforeLines="30" w:before="156" w:afterLines="30" w:after="156" w:line="520" w:lineRule="exact"/>
        <w:ind w:firstLineChars="202" w:firstLine="566"/>
        <w:rPr>
          <w:rFonts w:cs="Times New Roman"/>
          <w:szCs w:val="28"/>
        </w:rPr>
      </w:pPr>
      <w:r w:rsidRPr="00486F32">
        <w:rPr>
          <w:rFonts w:cs="Times New Roman"/>
          <w:szCs w:val="28"/>
        </w:rPr>
        <w:t>其次，就物價穩定的表現來看，</w:t>
      </w:r>
      <w:r w:rsidRPr="00486F32">
        <w:rPr>
          <w:rFonts w:cs="Times New Roman"/>
          <w:szCs w:val="28"/>
        </w:rPr>
        <w:t>2000</w:t>
      </w:r>
      <w:r w:rsidR="001B7D19" w:rsidRPr="00486F32">
        <w:rPr>
          <w:rFonts w:cs="Times New Roman"/>
          <w:szCs w:val="28"/>
        </w:rPr>
        <w:t>到</w:t>
      </w:r>
      <w:r w:rsidRPr="00486F32">
        <w:rPr>
          <w:rFonts w:cs="Times New Roman"/>
          <w:szCs w:val="28"/>
        </w:rPr>
        <w:t>2018</w:t>
      </w:r>
      <w:r w:rsidRPr="00486F32">
        <w:rPr>
          <w:rFonts w:cs="Times New Roman"/>
          <w:szCs w:val="28"/>
        </w:rPr>
        <w:t>年台灣</w:t>
      </w:r>
      <w:r w:rsidRPr="00486F32">
        <w:rPr>
          <w:rFonts w:cs="Times New Roman"/>
          <w:szCs w:val="28"/>
        </w:rPr>
        <w:t>CPI</w:t>
      </w:r>
      <w:r w:rsidRPr="00486F32">
        <w:rPr>
          <w:rFonts w:cs="Times New Roman"/>
          <w:szCs w:val="28"/>
        </w:rPr>
        <w:t>通膨率及核心通膨年增率分別為</w:t>
      </w:r>
      <w:r w:rsidRPr="00486F32">
        <w:rPr>
          <w:rFonts w:cs="Times New Roman"/>
          <w:szCs w:val="28"/>
        </w:rPr>
        <w:t>1.01%</w:t>
      </w:r>
      <w:r w:rsidRPr="00486F32">
        <w:rPr>
          <w:rFonts w:cs="Times New Roman"/>
          <w:szCs w:val="28"/>
        </w:rPr>
        <w:t>及</w:t>
      </w:r>
      <w:r w:rsidRPr="00486F32">
        <w:rPr>
          <w:rFonts w:cs="Times New Roman"/>
          <w:szCs w:val="28"/>
        </w:rPr>
        <w:t>0.8</w:t>
      </w:r>
      <w:r w:rsidR="00BF0861" w:rsidRPr="00486F32">
        <w:rPr>
          <w:rFonts w:cs="Times New Roman" w:hint="eastAsia"/>
          <w:szCs w:val="28"/>
        </w:rPr>
        <w:t>5</w:t>
      </w:r>
      <w:r w:rsidRPr="00486F32">
        <w:rPr>
          <w:rFonts w:cs="Times New Roman"/>
          <w:szCs w:val="28"/>
        </w:rPr>
        <w:t>%</w:t>
      </w:r>
      <w:r w:rsidRPr="00486F32">
        <w:rPr>
          <w:rFonts w:cs="Times New Roman"/>
          <w:szCs w:val="28"/>
        </w:rPr>
        <w:t>，顯示新台幣購買力長期保持穩定。如與主要國家比較，台灣</w:t>
      </w:r>
      <w:r w:rsidRPr="00486F32">
        <w:rPr>
          <w:rFonts w:cs="Times New Roman"/>
          <w:szCs w:val="28"/>
        </w:rPr>
        <w:t>CPI</w:t>
      </w:r>
      <w:r w:rsidRPr="00486F32">
        <w:rPr>
          <w:rFonts w:cs="Times New Roman"/>
          <w:szCs w:val="28"/>
        </w:rPr>
        <w:t>通膨率確實維持低而穩定。</w:t>
      </w:r>
    </w:p>
    <w:p w:rsidR="005E0F9D" w:rsidRPr="00486F32" w:rsidRDefault="005E0F9D" w:rsidP="005E0F9D">
      <w:pPr>
        <w:overflowPunct w:val="0"/>
        <w:spacing w:beforeLines="30" w:before="156" w:afterLines="30" w:after="156" w:line="520" w:lineRule="exact"/>
        <w:ind w:firstLineChars="202" w:firstLine="566"/>
        <w:rPr>
          <w:rFonts w:cs="Times New Roman"/>
          <w:szCs w:val="28"/>
        </w:rPr>
      </w:pPr>
      <w:r w:rsidRPr="00486F32">
        <w:rPr>
          <w:rFonts w:cs="Times New Roman"/>
          <w:szCs w:val="28"/>
        </w:rPr>
        <w:t>此外，就國際收支觀</w:t>
      </w:r>
      <w:r w:rsidR="001B7D19" w:rsidRPr="00486F32">
        <w:rPr>
          <w:rFonts w:cs="Times New Roman"/>
          <w:szCs w:val="28"/>
        </w:rPr>
        <w:t>察</w:t>
      </w:r>
      <w:r w:rsidRPr="00486F32">
        <w:rPr>
          <w:rFonts w:cs="Times New Roman"/>
          <w:szCs w:val="28"/>
        </w:rPr>
        <w:t>，台灣經常帳長期呈現順差，如上年全年經常帳順差約</w:t>
      </w:r>
      <w:r w:rsidRPr="00486F32">
        <w:rPr>
          <w:rFonts w:cs="Times New Roman"/>
          <w:szCs w:val="28"/>
        </w:rPr>
        <w:t>718.7</w:t>
      </w:r>
      <w:r w:rsidRPr="00486F32">
        <w:rPr>
          <w:rFonts w:cs="Times New Roman"/>
          <w:szCs w:val="28"/>
        </w:rPr>
        <w:t>億美元，其中商品貿易順差貢獻大，約</w:t>
      </w:r>
      <w:r w:rsidRPr="00486F32">
        <w:rPr>
          <w:rFonts w:cs="Times New Roman"/>
          <w:szCs w:val="28"/>
        </w:rPr>
        <w:t>674.3</w:t>
      </w:r>
      <w:r w:rsidRPr="00486F32">
        <w:rPr>
          <w:rFonts w:cs="Times New Roman"/>
          <w:szCs w:val="28"/>
        </w:rPr>
        <w:t>億美元。</w:t>
      </w:r>
      <w:r w:rsidRPr="00486F32">
        <w:rPr>
          <w:rFonts w:cs="Times New Roman"/>
          <w:szCs w:val="28"/>
        </w:rPr>
        <w:t>2000</w:t>
      </w:r>
      <w:r w:rsidR="001B7D19" w:rsidRPr="00486F32">
        <w:rPr>
          <w:rFonts w:cs="Times New Roman"/>
          <w:szCs w:val="28"/>
        </w:rPr>
        <w:t>到</w:t>
      </w:r>
      <w:r w:rsidRPr="00486F32">
        <w:rPr>
          <w:rFonts w:cs="Times New Roman"/>
          <w:szCs w:val="28"/>
        </w:rPr>
        <w:t>2018</w:t>
      </w:r>
      <w:r w:rsidRPr="00486F32">
        <w:rPr>
          <w:rFonts w:cs="Times New Roman"/>
          <w:szCs w:val="28"/>
        </w:rPr>
        <w:t>年台灣經常帳順差對</w:t>
      </w:r>
      <w:r w:rsidRPr="00486F32">
        <w:rPr>
          <w:rFonts w:cs="Times New Roman"/>
          <w:szCs w:val="28"/>
        </w:rPr>
        <w:t>GDP</w:t>
      </w:r>
      <w:r w:rsidRPr="00486F32">
        <w:rPr>
          <w:rFonts w:cs="Times New Roman"/>
          <w:szCs w:val="28"/>
        </w:rPr>
        <w:t>比率</w:t>
      </w:r>
      <w:r w:rsidR="001B7D19" w:rsidRPr="00486F32">
        <w:rPr>
          <w:rFonts w:cs="Times New Roman"/>
          <w:szCs w:val="28"/>
        </w:rPr>
        <w:t>也是</w:t>
      </w:r>
      <w:r w:rsidRPr="00486F32">
        <w:rPr>
          <w:rFonts w:cs="Times New Roman"/>
          <w:szCs w:val="28"/>
        </w:rPr>
        <w:t>逐步攀升，由</w:t>
      </w:r>
      <w:r w:rsidRPr="00486F32">
        <w:rPr>
          <w:rFonts w:cs="Times New Roman"/>
          <w:szCs w:val="28"/>
        </w:rPr>
        <w:t>2000</w:t>
      </w:r>
      <w:r w:rsidRPr="00486F32">
        <w:rPr>
          <w:rFonts w:cs="Times New Roman"/>
          <w:szCs w:val="28"/>
        </w:rPr>
        <w:t>年的</w:t>
      </w:r>
      <w:r w:rsidRPr="00486F32">
        <w:rPr>
          <w:rFonts w:cs="Times New Roman"/>
          <w:szCs w:val="28"/>
        </w:rPr>
        <w:t>2.5%</w:t>
      </w:r>
      <w:r w:rsidRPr="00486F32">
        <w:rPr>
          <w:rFonts w:cs="Times New Roman"/>
          <w:szCs w:val="28"/>
        </w:rPr>
        <w:t>，上揚至</w:t>
      </w:r>
      <w:r w:rsidRPr="00486F32">
        <w:rPr>
          <w:rFonts w:cs="Times New Roman"/>
          <w:szCs w:val="28"/>
        </w:rPr>
        <w:t>2018</w:t>
      </w:r>
      <w:r w:rsidRPr="00486F32">
        <w:rPr>
          <w:rFonts w:cs="Times New Roman"/>
          <w:szCs w:val="28"/>
        </w:rPr>
        <w:t>年的</w:t>
      </w:r>
      <w:r w:rsidRPr="00486F32">
        <w:rPr>
          <w:rFonts w:cs="Times New Roman"/>
          <w:szCs w:val="28"/>
        </w:rPr>
        <w:t>12.2%</w:t>
      </w:r>
      <w:r w:rsidRPr="00486F32">
        <w:rPr>
          <w:rFonts w:cs="Times New Roman"/>
          <w:szCs w:val="28"/>
        </w:rPr>
        <w:t>，這段期間平均為</w:t>
      </w:r>
      <w:r w:rsidRPr="00486F32">
        <w:rPr>
          <w:rFonts w:cs="Times New Roman"/>
          <w:szCs w:val="28"/>
        </w:rPr>
        <w:t>8.6%</w:t>
      </w:r>
      <w:r w:rsidRPr="00486F32">
        <w:rPr>
          <w:rFonts w:cs="Times New Roman"/>
          <w:vertAlign w:val="superscript"/>
        </w:rPr>
        <w:footnoteReference w:id="7"/>
      </w:r>
      <w:r w:rsidRPr="00486F32">
        <w:rPr>
          <w:rFonts w:cs="Times New Roman"/>
          <w:szCs w:val="28"/>
        </w:rPr>
        <w:t>。另觀察國際投資部位，截至上年底，台灣對外資產達</w:t>
      </w:r>
      <w:r w:rsidRPr="00486F32">
        <w:rPr>
          <w:rFonts w:cs="Times New Roman"/>
          <w:szCs w:val="28"/>
        </w:rPr>
        <w:t>2</w:t>
      </w:r>
      <w:r w:rsidRPr="00486F32">
        <w:rPr>
          <w:rFonts w:cs="Times New Roman"/>
          <w:szCs w:val="28"/>
        </w:rPr>
        <w:t>兆</w:t>
      </w:r>
      <w:r w:rsidRPr="00486F32">
        <w:rPr>
          <w:rFonts w:cs="Times New Roman"/>
          <w:szCs w:val="28"/>
        </w:rPr>
        <w:t>488.7</w:t>
      </w:r>
      <w:r w:rsidRPr="00486F32">
        <w:rPr>
          <w:rFonts w:cs="Times New Roman"/>
          <w:szCs w:val="28"/>
        </w:rPr>
        <w:t>億美元，對外負債為</w:t>
      </w:r>
      <w:r w:rsidRPr="00486F32">
        <w:rPr>
          <w:rFonts w:cs="Times New Roman"/>
          <w:szCs w:val="28"/>
        </w:rPr>
        <w:t>7,683.7</w:t>
      </w:r>
      <w:r w:rsidRPr="00486F32">
        <w:rPr>
          <w:rFonts w:cs="Times New Roman"/>
          <w:szCs w:val="28"/>
        </w:rPr>
        <w:t>億美元，對外淨債權</w:t>
      </w:r>
      <w:r w:rsidRPr="00486F32">
        <w:rPr>
          <w:rFonts w:cs="Times New Roman"/>
          <w:szCs w:val="28"/>
        </w:rPr>
        <w:t>(</w:t>
      </w:r>
      <w:r w:rsidRPr="00486F32">
        <w:rPr>
          <w:rFonts w:cs="Times New Roman"/>
          <w:szCs w:val="28"/>
        </w:rPr>
        <w:t>即國際投資部位淨資產</w:t>
      </w:r>
      <w:r w:rsidRPr="00486F32">
        <w:rPr>
          <w:rFonts w:cs="Times New Roman"/>
          <w:szCs w:val="28"/>
        </w:rPr>
        <w:t>)</w:t>
      </w:r>
      <w:r w:rsidRPr="00486F32">
        <w:rPr>
          <w:rFonts w:cs="Times New Roman"/>
          <w:szCs w:val="28"/>
        </w:rPr>
        <w:t>達</w:t>
      </w:r>
      <w:r w:rsidRPr="00486F32">
        <w:rPr>
          <w:rFonts w:cs="Times New Roman"/>
          <w:szCs w:val="28"/>
        </w:rPr>
        <w:t>1</w:t>
      </w:r>
      <w:r w:rsidRPr="00486F32">
        <w:rPr>
          <w:rFonts w:cs="Times New Roman"/>
          <w:szCs w:val="28"/>
        </w:rPr>
        <w:t>兆</w:t>
      </w:r>
      <w:r w:rsidRPr="00486F32">
        <w:rPr>
          <w:rFonts w:cs="Times New Roman"/>
          <w:szCs w:val="28"/>
        </w:rPr>
        <w:t>2,805</w:t>
      </w:r>
      <w:r w:rsidRPr="00486F32">
        <w:rPr>
          <w:rFonts w:cs="Times New Roman"/>
          <w:szCs w:val="28"/>
        </w:rPr>
        <w:t>億美元，成為全球第五大淨債權國</w:t>
      </w:r>
      <w:r w:rsidRPr="00486F32">
        <w:rPr>
          <w:rFonts w:cs="Times New Roman"/>
          <w:szCs w:val="28"/>
          <w:vertAlign w:val="superscript"/>
        </w:rPr>
        <w:footnoteReference w:id="8"/>
      </w:r>
      <w:r w:rsidRPr="00486F32">
        <w:rPr>
          <w:rFonts w:cs="Times New Roman"/>
          <w:szCs w:val="28"/>
        </w:rPr>
        <w:t>。經常帳順差主要反映國外淨債權持續增加，</w:t>
      </w:r>
      <w:r w:rsidR="001B7D19" w:rsidRPr="00486F32">
        <w:rPr>
          <w:rFonts w:cs="Times New Roman"/>
          <w:szCs w:val="28"/>
        </w:rPr>
        <w:t>也</w:t>
      </w:r>
      <w:r w:rsidRPr="00486F32">
        <w:rPr>
          <w:rFonts w:cs="Times New Roman"/>
          <w:szCs w:val="28"/>
        </w:rPr>
        <w:t>反映</w:t>
      </w:r>
      <w:r w:rsidR="001B7D19" w:rsidRPr="00486F32">
        <w:rPr>
          <w:rFonts w:cs="Times New Roman"/>
          <w:szCs w:val="28"/>
        </w:rPr>
        <w:t>出</w:t>
      </w:r>
      <w:r w:rsidRPr="00486F32">
        <w:rPr>
          <w:rFonts w:cs="Times New Roman"/>
          <w:szCs w:val="28"/>
        </w:rPr>
        <w:t>國內存在超額儲蓄</w:t>
      </w:r>
      <w:r w:rsidR="001B7D19" w:rsidRPr="00486F32">
        <w:rPr>
          <w:rFonts w:cs="Times New Roman"/>
          <w:szCs w:val="28"/>
        </w:rPr>
        <w:t>的現象</w:t>
      </w:r>
      <w:r w:rsidRPr="00486F32">
        <w:rPr>
          <w:rFonts w:cs="Times New Roman"/>
          <w:szCs w:val="28"/>
        </w:rPr>
        <w:t>。</w:t>
      </w:r>
    </w:p>
    <w:p w:rsidR="00BF184E" w:rsidRPr="00486F32" w:rsidRDefault="00383E86" w:rsidP="00411DA9">
      <w:pPr>
        <w:pStyle w:val="a7"/>
        <w:numPr>
          <w:ilvl w:val="0"/>
          <w:numId w:val="3"/>
        </w:numPr>
        <w:spacing w:beforeLines="50" w:before="260" w:afterLines="50" w:after="260" w:line="520" w:lineRule="exact"/>
        <w:ind w:leftChars="0"/>
        <w:rPr>
          <w:rFonts w:ascii="Times New Roman" w:eastAsia="標楷體" w:hAnsi="Times New Roman" w:cs="Times New Roman"/>
          <w:b/>
          <w:sz w:val="28"/>
          <w:szCs w:val="28"/>
        </w:rPr>
      </w:pPr>
      <w:r w:rsidRPr="00486F32">
        <w:rPr>
          <w:rFonts w:ascii="Times New Roman" w:eastAsia="標楷體" w:hAnsi="Times New Roman" w:cs="Times New Roman"/>
          <w:b/>
          <w:sz w:val="28"/>
          <w:szCs w:val="28"/>
        </w:rPr>
        <w:t>本</w:t>
      </w:r>
      <w:r w:rsidR="00DE0925" w:rsidRPr="00486F32">
        <w:rPr>
          <w:rFonts w:ascii="Times New Roman" w:eastAsia="標楷體" w:hAnsi="Times New Roman" w:cs="Times New Roman"/>
          <w:b/>
          <w:sz w:val="28"/>
          <w:szCs w:val="28"/>
        </w:rPr>
        <w:t>行貨幣政策執行情況</w:t>
      </w:r>
    </w:p>
    <w:p w:rsidR="00DC0365" w:rsidRPr="00486F32" w:rsidRDefault="00DC0365" w:rsidP="00411DA9">
      <w:pPr>
        <w:pStyle w:val="a7"/>
        <w:numPr>
          <w:ilvl w:val="0"/>
          <w:numId w:val="4"/>
        </w:numPr>
        <w:spacing w:before="30" w:after="30" w:line="520" w:lineRule="exact"/>
        <w:ind w:leftChars="0"/>
        <w:rPr>
          <w:rFonts w:ascii="Times New Roman" w:eastAsia="標楷體" w:hAnsi="Times New Roman" w:cs="Times New Roman"/>
          <w:b/>
          <w:sz w:val="28"/>
          <w:szCs w:val="28"/>
        </w:rPr>
      </w:pPr>
      <w:r w:rsidRPr="00486F32">
        <w:rPr>
          <w:rFonts w:ascii="Times New Roman" w:eastAsia="標楷體" w:hAnsi="Times New Roman" w:cs="Times New Roman"/>
          <w:b/>
          <w:sz w:val="28"/>
          <w:szCs w:val="28"/>
        </w:rPr>
        <w:t>利率政策及信用市場方面</w:t>
      </w:r>
    </w:p>
    <w:p w:rsidR="005E0F9D" w:rsidRPr="00486F32" w:rsidRDefault="005E0F9D" w:rsidP="005E0F9D">
      <w:pPr>
        <w:pStyle w:val="a7"/>
        <w:numPr>
          <w:ilvl w:val="0"/>
          <w:numId w:val="15"/>
        </w:numPr>
        <w:overflowPunct w:val="0"/>
        <w:spacing w:beforeLines="30" w:before="156" w:afterLines="30" w:after="156" w:line="520" w:lineRule="exact"/>
        <w:ind w:leftChars="0" w:left="426"/>
        <w:rPr>
          <w:rFonts w:ascii="Times New Roman" w:eastAsia="標楷體" w:hAnsi="Times New Roman" w:cs="Times New Roman"/>
          <w:sz w:val="28"/>
          <w:szCs w:val="28"/>
        </w:rPr>
      </w:pPr>
      <w:r w:rsidRPr="00486F32">
        <w:rPr>
          <w:rFonts w:ascii="Times New Roman" w:eastAsia="標楷體" w:hAnsi="Times New Roman" w:cs="Times New Roman"/>
          <w:sz w:val="28"/>
          <w:szCs w:val="28"/>
        </w:rPr>
        <w:t>引導市場利率與調整貨幣數量，以確保國內物價及金融穩定，並充分提供經濟活動所需資金</w:t>
      </w:r>
    </w:p>
    <w:p w:rsidR="005E0F9D" w:rsidRPr="00486F32" w:rsidRDefault="005E0F9D" w:rsidP="005E0F9D">
      <w:pPr>
        <w:overflowPunct w:val="0"/>
        <w:spacing w:beforeLines="30" w:before="156" w:afterLines="30" w:after="156" w:line="520" w:lineRule="exact"/>
        <w:ind w:firstLineChars="202" w:firstLine="566"/>
        <w:rPr>
          <w:rFonts w:cs="Times New Roman"/>
          <w:szCs w:val="28"/>
        </w:rPr>
      </w:pPr>
      <w:r w:rsidRPr="00486F32">
        <w:rPr>
          <w:rFonts w:cs="Times New Roman"/>
          <w:szCs w:val="28"/>
        </w:rPr>
        <w:t>長期以來，台灣利率與全球利率走勢相近。全球金融危機以來，全球名目利率走低，加上我國通膨率低且穩定、通膨展望平穩，國內利率</w:t>
      </w:r>
      <w:r w:rsidR="00486717" w:rsidRPr="00486F32">
        <w:rPr>
          <w:rFonts w:cs="Times New Roman"/>
          <w:szCs w:val="28"/>
        </w:rPr>
        <w:t>也</w:t>
      </w:r>
      <w:r w:rsidRPr="00486F32">
        <w:rPr>
          <w:rFonts w:cs="Times New Roman"/>
          <w:szCs w:val="28"/>
        </w:rPr>
        <w:t>維持低檔，</w:t>
      </w:r>
      <w:r w:rsidR="00486717" w:rsidRPr="00486F32">
        <w:rPr>
          <w:rFonts w:cs="Times New Roman"/>
          <w:szCs w:val="28"/>
        </w:rPr>
        <w:t>而</w:t>
      </w:r>
      <w:r w:rsidRPr="00486F32">
        <w:rPr>
          <w:rFonts w:cs="Times New Roman"/>
          <w:szCs w:val="28"/>
        </w:rPr>
        <w:t>與主要國家相比，我國實質利率水準仍屬適中。有關全球利率走低部分，請容我在接下來的「全球經濟結構問題與挑戰」一節再進一步說明。</w:t>
      </w:r>
    </w:p>
    <w:p w:rsidR="005E0F9D" w:rsidRPr="00486F32" w:rsidRDefault="005E0F9D" w:rsidP="005E0F9D">
      <w:pPr>
        <w:overflowPunct w:val="0"/>
        <w:spacing w:beforeLines="30" w:before="156" w:afterLines="30" w:after="156" w:line="520" w:lineRule="exact"/>
        <w:ind w:firstLineChars="202" w:firstLine="566"/>
        <w:rPr>
          <w:rFonts w:cs="Times New Roman"/>
          <w:szCs w:val="28"/>
        </w:rPr>
      </w:pPr>
      <w:r w:rsidRPr="00486F32">
        <w:rPr>
          <w:rFonts w:cs="Times New Roman"/>
          <w:szCs w:val="28"/>
        </w:rPr>
        <w:lastRenderedPageBreak/>
        <w:t>就貨幣數量方面</w:t>
      </w:r>
      <w:r w:rsidR="005C7536" w:rsidRPr="00486F32">
        <w:rPr>
          <w:rFonts w:cs="Times New Roman"/>
          <w:szCs w:val="28"/>
        </w:rPr>
        <w:t>來說</w:t>
      </w:r>
      <w:r w:rsidRPr="00486F32">
        <w:rPr>
          <w:rFonts w:cs="Times New Roman"/>
          <w:szCs w:val="28"/>
        </w:rPr>
        <w:t>，由於貨幣總計數</w:t>
      </w:r>
      <w:r w:rsidRPr="00486F32">
        <w:rPr>
          <w:rFonts w:cs="Times New Roman"/>
          <w:szCs w:val="28"/>
        </w:rPr>
        <w:t>(M2)</w:t>
      </w:r>
      <w:r w:rsidR="00A561C1" w:rsidRPr="00486F32">
        <w:rPr>
          <w:rFonts w:cs="Times New Roman"/>
          <w:szCs w:val="28"/>
        </w:rPr>
        <w:t>成長</w:t>
      </w:r>
      <w:r w:rsidR="00303A31" w:rsidRPr="00486F32">
        <w:rPr>
          <w:rFonts w:cs="Times New Roman"/>
          <w:szCs w:val="28"/>
        </w:rPr>
        <w:t>情形</w:t>
      </w:r>
      <w:r w:rsidRPr="00486F32">
        <w:rPr>
          <w:rFonts w:cs="Times New Roman"/>
          <w:szCs w:val="28"/>
        </w:rPr>
        <w:t>攸關經濟活動所需資金，因此本行自</w:t>
      </w:r>
      <w:r w:rsidRPr="00486F32">
        <w:rPr>
          <w:rFonts w:cs="Times New Roman"/>
          <w:szCs w:val="28"/>
        </w:rPr>
        <w:t>1990</w:t>
      </w:r>
      <w:r w:rsidRPr="00486F32">
        <w:rPr>
          <w:rFonts w:cs="Times New Roman"/>
          <w:szCs w:val="28"/>
        </w:rPr>
        <w:t>年代初期起，每年即根據</w:t>
      </w:r>
      <w:r w:rsidRPr="00486F32">
        <w:rPr>
          <w:rFonts w:cs="Times New Roman"/>
          <w:szCs w:val="28"/>
        </w:rPr>
        <w:t>GDP</w:t>
      </w:r>
      <w:r w:rsidRPr="00486F32">
        <w:rPr>
          <w:rFonts w:cs="Times New Roman"/>
          <w:szCs w:val="28"/>
        </w:rPr>
        <w:t>與</w:t>
      </w:r>
      <w:r w:rsidRPr="00486F32">
        <w:rPr>
          <w:rFonts w:cs="Times New Roman"/>
          <w:szCs w:val="28"/>
        </w:rPr>
        <w:t>CPI</w:t>
      </w:r>
      <w:r w:rsidRPr="00486F32">
        <w:rPr>
          <w:rFonts w:cs="Times New Roman"/>
          <w:szCs w:val="28"/>
        </w:rPr>
        <w:t>年增率等因素，訂定與公布</w:t>
      </w:r>
      <w:r w:rsidRPr="00486F32">
        <w:rPr>
          <w:rFonts w:cs="Times New Roman"/>
          <w:szCs w:val="28"/>
        </w:rPr>
        <w:t>M2</w:t>
      </w:r>
      <w:r w:rsidRPr="00486F32">
        <w:rPr>
          <w:rFonts w:cs="Times New Roman"/>
          <w:szCs w:val="28"/>
        </w:rPr>
        <w:t>成長目標區間，透過調節準備貨幣供給與利率，影響</w:t>
      </w:r>
      <w:r w:rsidRPr="00486F32">
        <w:rPr>
          <w:rFonts w:cs="Times New Roman"/>
          <w:szCs w:val="28"/>
        </w:rPr>
        <w:t>M2</w:t>
      </w:r>
      <w:r w:rsidRPr="00486F32">
        <w:rPr>
          <w:rFonts w:cs="Times New Roman"/>
          <w:szCs w:val="28"/>
        </w:rPr>
        <w:t>，來達成物價及金融之穩定，以支持實體經濟成長。</w:t>
      </w:r>
    </w:p>
    <w:p w:rsidR="00E33A4B" w:rsidRPr="00486F32" w:rsidRDefault="00E33A4B" w:rsidP="00E33A4B">
      <w:pPr>
        <w:overflowPunct w:val="0"/>
        <w:spacing w:beforeLines="30" w:before="156" w:afterLines="30" w:after="156" w:line="520" w:lineRule="exact"/>
        <w:ind w:firstLineChars="202" w:firstLine="566"/>
        <w:rPr>
          <w:rFonts w:cs="Times New Roman"/>
          <w:szCs w:val="28"/>
        </w:rPr>
      </w:pPr>
      <w:r w:rsidRPr="00486F32">
        <w:rPr>
          <w:rFonts w:cs="Times New Roman"/>
          <w:szCs w:val="28"/>
        </w:rPr>
        <w:t>回顧過去，除全球金融危機期間，本行刻意維持偏寬鬆的貨幣情勢外，</w:t>
      </w:r>
      <w:r w:rsidRPr="00486F32">
        <w:rPr>
          <w:rFonts w:cs="Times New Roman"/>
          <w:szCs w:val="28"/>
        </w:rPr>
        <w:t>M2</w:t>
      </w:r>
      <w:r w:rsidRPr="00486F32">
        <w:rPr>
          <w:rFonts w:cs="Times New Roman"/>
          <w:szCs w:val="28"/>
        </w:rPr>
        <w:t>成長率多維持於目標區內，充分支應經濟成長所需；近年</w:t>
      </w:r>
      <w:r w:rsidRPr="00486F32">
        <w:rPr>
          <w:rFonts w:cs="Times New Roman"/>
          <w:szCs w:val="28"/>
        </w:rPr>
        <w:t>M2</w:t>
      </w:r>
      <w:r w:rsidRPr="00486F32">
        <w:rPr>
          <w:rFonts w:cs="Times New Roman"/>
          <w:szCs w:val="28"/>
        </w:rPr>
        <w:t>成長率不高，反映通膨率與實質</w:t>
      </w:r>
      <w:r w:rsidRPr="00486F32">
        <w:rPr>
          <w:rFonts w:cs="Times New Roman"/>
          <w:szCs w:val="28"/>
        </w:rPr>
        <w:t>GDP</w:t>
      </w:r>
      <w:r w:rsidRPr="00486F32">
        <w:rPr>
          <w:rFonts w:cs="Times New Roman"/>
          <w:szCs w:val="28"/>
        </w:rPr>
        <w:t>成長率偏低的現象。整體而言，本行透過貨幣供給與政策利率等工具，及時因應國內外經濟金融</w:t>
      </w:r>
      <w:r w:rsidR="005C7536" w:rsidRPr="00486F32">
        <w:rPr>
          <w:rFonts w:cs="Times New Roman"/>
          <w:szCs w:val="28"/>
        </w:rPr>
        <w:t>的</w:t>
      </w:r>
      <w:r w:rsidRPr="00486F32">
        <w:rPr>
          <w:rFonts w:cs="Times New Roman"/>
          <w:szCs w:val="28"/>
        </w:rPr>
        <w:t>變化，有助於物價與金融穩定，並</w:t>
      </w:r>
      <w:r w:rsidR="00E80F7C" w:rsidRPr="00486F32">
        <w:rPr>
          <w:rFonts w:cs="Times New Roman"/>
          <w:szCs w:val="28"/>
        </w:rPr>
        <w:t>滿足</w:t>
      </w:r>
      <w:r w:rsidRPr="00486F32">
        <w:rPr>
          <w:rFonts w:cs="Times New Roman"/>
          <w:szCs w:val="28"/>
        </w:rPr>
        <w:t>經濟活動所需資金。</w:t>
      </w:r>
    </w:p>
    <w:p w:rsidR="00E33A4B" w:rsidRPr="00486F32" w:rsidRDefault="00BE7EA2" w:rsidP="00E33A4B">
      <w:pPr>
        <w:pStyle w:val="a7"/>
        <w:numPr>
          <w:ilvl w:val="0"/>
          <w:numId w:val="15"/>
        </w:numPr>
        <w:overflowPunct w:val="0"/>
        <w:spacing w:beforeLines="30" w:before="156" w:afterLines="30" w:after="156" w:line="520" w:lineRule="exact"/>
        <w:ind w:leftChars="0" w:left="426"/>
        <w:rPr>
          <w:rFonts w:ascii="Times New Roman" w:eastAsia="標楷體" w:hAnsi="Times New Roman" w:cs="Times New Roman"/>
          <w:sz w:val="28"/>
          <w:szCs w:val="28"/>
        </w:rPr>
      </w:pPr>
      <w:r w:rsidRPr="00486F32">
        <w:rPr>
          <w:rFonts w:ascii="Times New Roman" w:eastAsia="標楷體" w:hAnsi="Times New Roman" w:cs="Times New Roman"/>
          <w:szCs w:val="28"/>
        </w:rPr>
        <w:tab/>
      </w:r>
      <w:r w:rsidR="00383E86" w:rsidRPr="00486F32">
        <w:rPr>
          <w:rFonts w:ascii="Times New Roman" w:eastAsia="標楷體" w:hAnsi="Times New Roman" w:cs="Times New Roman"/>
          <w:sz w:val="28"/>
          <w:szCs w:val="28"/>
        </w:rPr>
        <w:tab/>
      </w:r>
      <w:r w:rsidR="00E33A4B" w:rsidRPr="00486F32">
        <w:rPr>
          <w:rFonts w:ascii="Times New Roman" w:eastAsia="標楷體" w:hAnsi="Times New Roman" w:cs="Times New Roman"/>
          <w:sz w:val="28"/>
          <w:szCs w:val="28"/>
        </w:rPr>
        <w:t>台灣金融體系以間接金融為主，健全銀行業務</w:t>
      </w:r>
      <w:r w:rsidR="00E80F7C" w:rsidRPr="00486F32">
        <w:rPr>
          <w:rFonts w:ascii="Times New Roman" w:eastAsia="標楷體" w:hAnsi="Times New Roman" w:cs="Times New Roman"/>
          <w:sz w:val="28"/>
          <w:szCs w:val="28"/>
        </w:rPr>
        <w:t>有助</w:t>
      </w:r>
      <w:r w:rsidR="00E33A4B" w:rsidRPr="00486F32">
        <w:rPr>
          <w:rFonts w:ascii="Times New Roman" w:eastAsia="標楷體" w:hAnsi="Times New Roman" w:cs="Times New Roman"/>
          <w:sz w:val="28"/>
          <w:szCs w:val="28"/>
        </w:rPr>
        <w:t>金融穩定，</w:t>
      </w:r>
      <w:r w:rsidR="005C7536" w:rsidRPr="00486F32">
        <w:rPr>
          <w:rFonts w:ascii="Times New Roman" w:eastAsia="標楷體" w:hAnsi="Times New Roman" w:cs="Times New Roman"/>
          <w:sz w:val="28"/>
          <w:szCs w:val="28"/>
        </w:rPr>
        <w:t>也</w:t>
      </w:r>
      <w:r w:rsidR="00E33A4B" w:rsidRPr="00486F32">
        <w:rPr>
          <w:rFonts w:ascii="Times New Roman" w:eastAsia="標楷體" w:hAnsi="Times New Roman" w:cs="Times New Roman"/>
          <w:sz w:val="28"/>
          <w:szCs w:val="28"/>
        </w:rPr>
        <w:t>有益貨幣政策傳導機制</w:t>
      </w:r>
    </w:p>
    <w:p w:rsidR="00DD3AEF" w:rsidRPr="00486F32" w:rsidRDefault="00DD3AEF" w:rsidP="00DD3AEF">
      <w:pPr>
        <w:overflowPunct w:val="0"/>
        <w:spacing w:beforeLines="30" w:before="156" w:afterLines="30" w:after="156" w:line="520" w:lineRule="exact"/>
        <w:ind w:firstLineChars="202" w:firstLine="566"/>
        <w:rPr>
          <w:rFonts w:cs="Times New Roman"/>
          <w:szCs w:val="28"/>
        </w:rPr>
      </w:pPr>
      <w:r w:rsidRPr="00486F32">
        <w:rPr>
          <w:rFonts w:cs="Times New Roman"/>
          <w:szCs w:val="28"/>
        </w:rPr>
        <w:t>台灣金融體系以間接金融</w:t>
      </w:r>
      <w:r w:rsidRPr="00486F32">
        <w:rPr>
          <w:rFonts w:cs="Times New Roman"/>
          <w:szCs w:val="28"/>
        </w:rPr>
        <w:t>(</w:t>
      </w:r>
      <w:r w:rsidRPr="00486F32">
        <w:rPr>
          <w:rFonts w:cs="Times New Roman"/>
          <w:szCs w:val="28"/>
        </w:rPr>
        <w:t>金融中介</w:t>
      </w:r>
      <w:r w:rsidRPr="00486F32">
        <w:rPr>
          <w:rFonts w:cs="Times New Roman"/>
          <w:szCs w:val="28"/>
        </w:rPr>
        <w:t>)</w:t>
      </w:r>
      <w:r w:rsidRPr="00486F32">
        <w:rPr>
          <w:rFonts w:cs="Times New Roman"/>
          <w:szCs w:val="28"/>
        </w:rPr>
        <w:t>為主，上年底間接金融比重高達</w:t>
      </w:r>
      <w:r w:rsidRPr="00486F32">
        <w:rPr>
          <w:rFonts w:cs="Times New Roman"/>
          <w:szCs w:val="28"/>
        </w:rPr>
        <w:t>81%</w:t>
      </w:r>
      <w:r w:rsidRPr="00486F32">
        <w:rPr>
          <w:rFonts w:cs="Times New Roman"/>
          <w:szCs w:val="28"/>
        </w:rPr>
        <w:t>，顯見銀行業在金融體系扮演的重要角色，其體質穩健有助於金融穩定，</w:t>
      </w:r>
      <w:r w:rsidR="00C013FB" w:rsidRPr="00486F32">
        <w:rPr>
          <w:rFonts w:cs="Times New Roman"/>
          <w:szCs w:val="28"/>
        </w:rPr>
        <w:t>而健全銀行業務</w:t>
      </w:r>
      <w:r w:rsidR="005C7536" w:rsidRPr="00486F32">
        <w:rPr>
          <w:rFonts w:cs="Times New Roman"/>
          <w:szCs w:val="28"/>
        </w:rPr>
        <w:t>也是</w:t>
      </w:r>
      <w:r w:rsidRPr="00486F32">
        <w:rPr>
          <w:rFonts w:cs="Times New Roman"/>
          <w:szCs w:val="28"/>
        </w:rPr>
        <w:t>本行</w:t>
      </w:r>
      <w:r w:rsidR="00C013FB" w:rsidRPr="00486F32">
        <w:rPr>
          <w:rFonts w:cs="Times New Roman"/>
          <w:szCs w:val="28"/>
        </w:rPr>
        <w:t>與金管會</w:t>
      </w:r>
      <w:r w:rsidR="005C7536" w:rsidRPr="00486F32">
        <w:rPr>
          <w:rFonts w:cs="Times New Roman"/>
          <w:szCs w:val="28"/>
        </w:rPr>
        <w:t>的</w:t>
      </w:r>
      <w:r w:rsidRPr="00486F32">
        <w:rPr>
          <w:rFonts w:cs="Times New Roman"/>
          <w:szCs w:val="28"/>
        </w:rPr>
        <w:t>法定職責。台灣銀行業資產品質良好，上年第四季備抵呆帳覆蓋率高達</w:t>
      </w:r>
      <w:r w:rsidRPr="00486F32">
        <w:rPr>
          <w:rFonts w:cs="Times New Roman"/>
          <w:szCs w:val="28"/>
        </w:rPr>
        <w:t>573.7%</w:t>
      </w:r>
      <w:r w:rsidRPr="00486F32">
        <w:rPr>
          <w:rFonts w:cs="Times New Roman"/>
          <w:szCs w:val="28"/>
        </w:rPr>
        <w:t>、</w:t>
      </w:r>
      <w:r w:rsidRPr="00486F32">
        <w:rPr>
          <w:rFonts w:cs="Times New Roman"/>
          <w:spacing w:val="-6"/>
          <w:szCs w:val="28"/>
        </w:rPr>
        <w:t>逾期放款率僅</w:t>
      </w:r>
      <w:r w:rsidRPr="00486F32">
        <w:rPr>
          <w:rFonts w:cs="Times New Roman"/>
          <w:spacing w:val="-6"/>
          <w:szCs w:val="28"/>
        </w:rPr>
        <w:t>0.2%</w:t>
      </w:r>
      <w:r w:rsidRPr="00486F32">
        <w:rPr>
          <w:rFonts w:cs="Times New Roman"/>
          <w:spacing w:val="-6"/>
          <w:szCs w:val="28"/>
        </w:rPr>
        <w:t>，且獲利表現</w:t>
      </w:r>
      <w:r w:rsidR="00CD5445" w:rsidRPr="00486F32">
        <w:rPr>
          <w:rFonts w:cs="Times New Roman"/>
          <w:spacing w:val="-6"/>
          <w:szCs w:val="28"/>
        </w:rPr>
        <w:t>穩健</w:t>
      </w:r>
      <w:r w:rsidRPr="00486F32">
        <w:rPr>
          <w:rFonts w:cs="Times New Roman"/>
          <w:spacing w:val="-6"/>
          <w:szCs w:val="28"/>
        </w:rPr>
        <w:t>，</w:t>
      </w:r>
      <w:r w:rsidRPr="00486F32">
        <w:rPr>
          <w:rFonts w:cs="Times New Roman"/>
          <w:spacing w:val="-6"/>
          <w:szCs w:val="28"/>
        </w:rPr>
        <w:t>ROE</w:t>
      </w:r>
      <w:r w:rsidRPr="00486F32">
        <w:rPr>
          <w:rFonts w:cs="Times New Roman"/>
          <w:spacing w:val="-6"/>
          <w:szCs w:val="28"/>
        </w:rPr>
        <w:t>與</w:t>
      </w:r>
      <w:r w:rsidRPr="00486F32">
        <w:rPr>
          <w:rFonts w:cs="Times New Roman"/>
          <w:spacing w:val="-6"/>
          <w:szCs w:val="28"/>
        </w:rPr>
        <w:t>ROA</w:t>
      </w:r>
      <w:r w:rsidRPr="00486F32">
        <w:rPr>
          <w:rFonts w:cs="Times New Roman"/>
          <w:spacing w:val="-6"/>
          <w:szCs w:val="28"/>
        </w:rPr>
        <w:t>分別為</w:t>
      </w:r>
      <w:r w:rsidRPr="00486F32">
        <w:rPr>
          <w:rFonts w:cs="Times New Roman"/>
          <w:spacing w:val="-6"/>
          <w:szCs w:val="28"/>
        </w:rPr>
        <w:t>9.3%</w:t>
      </w:r>
      <w:r w:rsidRPr="00486F32">
        <w:rPr>
          <w:rFonts w:cs="Times New Roman"/>
          <w:spacing w:val="-6"/>
          <w:szCs w:val="28"/>
        </w:rPr>
        <w:t>與</w:t>
      </w:r>
      <w:r w:rsidRPr="00486F32">
        <w:rPr>
          <w:rFonts w:cs="Times New Roman"/>
          <w:spacing w:val="-6"/>
          <w:szCs w:val="28"/>
        </w:rPr>
        <w:t>0.7%</w:t>
      </w:r>
      <w:r w:rsidRPr="00486F32">
        <w:rPr>
          <w:rFonts w:cs="Times New Roman"/>
          <w:spacing w:val="-6"/>
          <w:szCs w:val="28"/>
        </w:rPr>
        <w:t>。</w:t>
      </w:r>
    </w:p>
    <w:p w:rsidR="00DD3AEF" w:rsidRPr="00486F32" w:rsidRDefault="00DD3AEF" w:rsidP="00DD3AEF">
      <w:pPr>
        <w:overflowPunct w:val="0"/>
        <w:spacing w:beforeLines="30" w:before="156" w:afterLines="30" w:after="156" w:line="520" w:lineRule="exact"/>
        <w:ind w:firstLineChars="202" w:firstLine="566"/>
        <w:rPr>
          <w:rFonts w:cs="Times New Roman"/>
          <w:szCs w:val="28"/>
        </w:rPr>
      </w:pPr>
      <w:r w:rsidRPr="00486F32">
        <w:rPr>
          <w:rFonts w:cs="Times New Roman"/>
          <w:szCs w:val="28"/>
        </w:rPr>
        <w:t>健全銀行業務可促進銀行完善經營，進而強化金融中介功能、暢通國內信用管道，有助民間融資。台灣銀行業</w:t>
      </w:r>
      <w:r w:rsidRPr="00486F32">
        <w:rPr>
          <w:rFonts w:cs="Times New Roman"/>
          <w:szCs w:val="28"/>
        </w:rPr>
        <w:t>2000~2018</w:t>
      </w:r>
      <w:r w:rsidRPr="00486F32">
        <w:rPr>
          <w:rFonts w:cs="Times New Roman"/>
          <w:szCs w:val="28"/>
        </w:rPr>
        <w:t>年放款與投資平均年增率為</w:t>
      </w:r>
      <w:r w:rsidRPr="00486F32">
        <w:rPr>
          <w:rFonts w:cs="Times New Roman"/>
          <w:szCs w:val="28"/>
        </w:rPr>
        <w:t>4.03%</w:t>
      </w:r>
      <w:r w:rsidRPr="00486F32">
        <w:rPr>
          <w:rFonts w:cs="Times New Roman"/>
          <w:szCs w:val="28"/>
        </w:rPr>
        <w:t>，其中全體貨幣機構放款與投資以民間部門債權為主，</w:t>
      </w:r>
      <w:r w:rsidR="003C65C4" w:rsidRPr="00486F32">
        <w:rPr>
          <w:rFonts w:cs="Times New Roman"/>
          <w:szCs w:val="28"/>
        </w:rPr>
        <w:t>這段期間</w:t>
      </w:r>
      <w:r w:rsidRPr="00486F32">
        <w:rPr>
          <w:rFonts w:cs="Times New Roman"/>
          <w:szCs w:val="28"/>
        </w:rPr>
        <w:t>平均比重為</w:t>
      </w:r>
      <w:r w:rsidRPr="00486F32">
        <w:rPr>
          <w:rFonts w:cs="Times New Roman"/>
          <w:szCs w:val="28"/>
        </w:rPr>
        <w:t>80%</w:t>
      </w:r>
      <w:r w:rsidRPr="00486F32">
        <w:rPr>
          <w:rFonts w:cs="Times New Roman"/>
          <w:szCs w:val="28"/>
        </w:rPr>
        <w:t>；顯示市場資金充裕，</w:t>
      </w:r>
      <w:r w:rsidR="00E80F7C" w:rsidRPr="00486F32">
        <w:rPr>
          <w:rFonts w:cs="Times New Roman"/>
          <w:szCs w:val="28"/>
        </w:rPr>
        <w:t>國內貨幣傳導機制順暢</w:t>
      </w:r>
      <w:r w:rsidRPr="00486F32">
        <w:rPr>
          <w:rFonts w:cs="Times New Roman"/>
          <w:szCs w:val="28"/>
        </w:rPr>
        <w:t>。</w:t>
      </w:r>
    </w:p>
    <w:p w:rsidR="001633B6" w:rsidRPr="00486F32" w:rsidRDefault="00582828" w:rsidP="003B5F4A">
      <w:pPr>
        <w:pStyle w:val="a7"/>
        <w:numPr>
          <w:ilvl w:val="0"/>
          <w:numId w:val="15"/>
        </w:numPr>
        <w:overflowPunct w:val="0"/>
        <w:spacing w:beforeLines="30" w:before="156" w:afterLines="30" w:after="156" w:line="520" w:lineRule="exact"/>
        <w:ind w:leftChars="0" w:left="426"/>
        <w:rPr>
          <w:rFonts w:ascii="Times New Roman" w:eastAsia="標楷體" w:hAnsi="Times New Roman" w:cs="Times New Roman"/>
          <w:sz w:val="28"/>
          <w:szCs w:val="28"/>
        </w:rPr>
      </w:pPr>
      <w:r w:rsidRPr="00486F32">
        <w:rPr>
          <w:rFonts w:ascii="Times New Roman" w:eastAsia="標楷體" w:hAnsi="Times New Roman" w:cs="Times New Roman"/>
          <w:sz w:val="28"/>
          <w:szCs w:val="28"/>
        </w:rPr>
        <w:t>全球金融危機期間</w:t>
      </w:r>
      <w:r w:rsidR="001633B6" w:rsidRPr="00486F32">
        <w:rPr>
          <w:rFonts w:ascii="Times New Roman" w:eastAsia="標楷體" w:hAnsi="Times New Roman" w:cs="Times New Roman"/>
          <w:sz w:val="28"/>
          <w:szCs w:val="28"/>
        </w:rPr>
        <w:t>本行</w:t>
      </w:r>
      <w:r w:rsidRPr="00486F32">
        <w:rPr>
          <w:rFonts w:ascii="Times New Roman" w:eastAsia="標楷體" w:hAnsi="Times New Roman" w:cs="Times New Roman"/>
          <w:sz w:val="28"/>
          <w:szCs w:val="28"/>
        </w:rPr>
        <w:t>7</w:t>
      </w:r>
      <w:r w:rsidRPr="00486F32">
        <w:rPr>
          <w:rFonts w:ascii="Times New Roman" w:eastAsia="標楷體" w:hAnsi="Times New Roman" w:cs="Times New Roman"/>
          <w:sz w:val="28"/>
          <w:szCs w:val="28"/>
        </w:rPr>
        <w:t>度降息、</w:t>
      </w:r>
      <w:r w:rsidR="00751056" w:rsidRPr="00486F32">
        <w:rPr>
          <w:rFonts w:ascii="Times New Roman" w:eastAsia="標楷體" w:hAnsi="Times New Roman" w:cs="Times New Roman"/>
          <w:sz w:val="28"/>
          <w:szCs w:val="28"/>
        </w:rPr>
        <w:t>實施台版量化寬鬆</w:t>
      </w:r>
      <w:r w:rsidR="008042FF" w:rsidRPr="00486F32">
        <w:rPr>
          <w:rFonts w:ascii="Times New Roman" w:eastAsia="標楷體" w:hAnsi="Times New Roman" w:cs="Times New Roman"/>
          <w:sz w:val="28"/>
          <w:szCs w:val="28"/>
        </w:rPr>
        <w:t>，</w:t>
      </w:r>
      <w:r w:rsidRPr="00486F32">
        <w:rPr>
          <w:rFonts w:ascii="Times New Roman" w:eastAsia="標楷體" w:hAnsi="Times New Roman" w:cs="Times New Roman"/>
          <w:sz w:val="28"/>
          <w:szCs w:val="28"/>
        </w:rPr>
        <w:t>並</w:t>
      </w:r>
      <w:r w:rsidR="008042FF" w:rsidRPr="00486F32">
        <w:rPr>
          <w:rFonts w:ascii="Times New Roman" w:eastAsia="標楷體" w:hAnsi="Times New Roman" w:cs="Times New Roman"/>
          <w:sz w:val="28"/>
          <w:szCs w:val="28"/>
        </w:rPr>
        <w:t>配合資本移動管理措施</w:t>
      </w:r>
      <w:r w:rsidR="00751056" w:rsidRPr="00486F32">
        <w:rPr>
          <w:rFonts w:ascii="Times New Roman" w:eastAsia="標楷體" w:hAnsi="Times New Roman" w:cs="Times New Roman"/>
          <w:sz w:val="28"/>
          <w:szCs w:val="28"/>
        </w:rPr>
        <w:t>，</w:t>
      </w:r>
      <w:r w:rsidR="008042FF" w:rsidRPr="00486F32">
        <w:rPr>
          <w:rFonts w:ascii="Times New Roman" w:eastAsia="標楷體" w:hAnsi="Times New Roman" w:cs="Times New Roman"/>
          <w:sz w:val="28"/>
          <w:szCs w:val="28"/>
        </w:rPr>
        <w:t>維持新台幣匯率穩定，協助台灣</w:t>
      </w:r>
      <w:r w:rsidR="00312EC6" w:rsidRPr="00486F32">
        <w:rPr>
          <w:rFonts w:ascii="Times New Roman" w:eastAsia="標楷體" w:hAnsi="Times New Roman" w:cs="Times New Roman"/>
          <w:sz w:val="28"/>
          <w:szCs w:val="28"/>
        </w:rPr>
        <w:t>成功</w:t>
      </w:r>
      <w:r w:rsidR="008042FF" w:rsidRPr="00486F32">
        <w:rPr>
          <w:rFonts w:ascii="Times New Roman" w:eastAsia="標楷體" w:hAnsi="Times New Roman" w:cs="Times New Roman"/>
          <w:sz w:val="28"/>
          <w:szCs w:val="28"/>
        </w:rPr>
        <w:t>度過</w:t>
      </w:r>
      <w:r w:rsidRPr="00486F32">
        <w:rPr>
          <w:rFonts w:ascii="Times New Roman" w:eastAsia="標楷體" w:hAnsi="Times New Roman" w:cs="Times New Roman"/>
          <w:sz w:val="28"/>
          <w:szCs w:val="28"/>
        </w:rPr>
        <w:t>危機</w:t>
      </w:r>
    </w:p>
    <w:p w:rsidR="003E0C83" w:rsidRPr="00486F32" w:rsidRDefault="003E0C83" w:rsidP="003E0C83">
      <w:pPr>
        <w:overflowPunct w:val="0"/>
        <w:spacing w:beforeLines="30" w:before="156" w:afterLines="30" w:after="156" w:line="520" w:lineRule="exact"/>
        <w:ind w:firstLineChars="202" w:firstLine="566"/>
        <w:rPr>
          <w:rFonts w:cs="Times New Roman"/>
          <w:szCs w:val="28"/>
        </w:rPr>
      </w:pPr>
      <w:r w:rsidRPr="00486F32">
        <w:rPr>
          <w:rFonts w:cs="Times New Roman"/>
          <w:szCs w:val="28"/>
        </w:rPr>
        <w:lastRenderedPageBreak/>
        <w:t>2008</w:t>
      </w:r>
      <w:r w:rsidRPr="00486F32">
        <w:rPr>
          <w:rFonts w:cs="Times New Roman"/>
          <w:szCs w:val="28"/>
        </w:rPr>
        <w:t>年全球金融危機爆發，使全球及台灣經濟均嚴重受創。為確保金融穩定並提振國內景氣，本行</w:t>
      </w:r>
      <w:r w:rsidRPr="00486F32">
        <w:rPr>
          <w:rFonts w:cs="Times New Roman"/>
          <w:szCs w:val="28"/>
        </w:rPr>
        <w:t>7</w:t>
      </w:r>
      <w:r w:rsidRPr="00486F32">
        <w:rPr>
          <w:rFonts w:cs="Times New Roman"/>
          <w:szCs w:val="28"/>
        </w:rPr>
        <w:t>度調降政策利率，短短</w:t>
      </w:r>
      <w:r w:rsidRPr="00486F32">
        <w:rPr>
          <w:rFonts w:cs="Times New Roman"/>
          <w:szCs w:val="28"/>
        </w:rPr>
        <w:t>5</w:t>
      </w:r>
      <w:r w:rsidRPr="00486F32">
        <w:rPr>
          <w:rFonts w:cs="Times New Roman"/>
          <w:szCs w:val="28"/>
        </w:rPr>
        <w:t>個月內累計降幅達</w:t>
      </w:r>
      <w:r w:rsidRPr="00486F32">
        <w:rPr>
          <w:rFonts w:cs="Times New Roman"/>
          <w:szCs w:val="28"/>
        </w:rPr>
        <w:t>2.375%</w:t>
      </w:r>
      <w:r w:rsidR="005C7536" w:rsidRPr="00486F32">
        <w:rPr>
          <w:rFonts w:cs="Times New Roman"/>
          <w:szCs w:val="28"/>
        </w:rPr>
        <w:t>。</w:t>
      </w:r>
      <w:r w:rsidRPr="00486F32">
        <w:rPr>
          <w:rFonts w:cs="Times New Roman"/>
          <w:szCs w:val="28"/>
        </w:rPr>
        <w:t>期間並採行「台版量化寬鬆」，刻意營造寬鬆的貨幣情勢，以緩解金融體系的壓力，銀行超額準備最高曾接近</w:t>
      </w:r>
      <w:r w:rsidRPr="00486F32">
        <w:rPr>
          <w:rFonts w:cs="Times New Roman"/>
          <w:szCs w:val="28"/>
        </w:rPr>
        <w:t>1,600</w:t>
      </w:r>
      <w:r w:rsidRPr="00486F32">
        <w:rPr>
          <w:rFonts w:cs="Times New Roman"/>
          <w:szCs w:val="28"/>
        </w:rPr>
        <w:t>億元，金融業隔夜拆款利率隨之降至</w:t>
      </w:r>
      <w:r w:rsidRPr="00486F32">
        <w:rPr>
          <w:rFonts w:cs="Times New Roman"/>
          <w:szCs w:val="28"/>
        </w:rPr>
        <w:t>0.10%</w:t>
      </w:r>
      <w:r w:rsidRPr="00486F32">
        <w:rPr>
          <w:rFonts w:cs="Times New Roman"/>
          <w:szCs w:val="28"/>
        </w:rPr>
        <w:t>左右</w:t>
      </w:r>
      <w:r w:rsidR="004C54DE" w:rsidRPr="00486F32">
        <w:rPr>
          <w:rFonts w:cs="Times New Roman"/>
          <w:szCs w:val="28"/>
        </w:rPr>
        <w:t>。</w:t>
      </w:r>
    </w:p>
    <w:p w:rsidR="003E0C83" w:rsidRPr="00486F32" w:rsidRDefault="003E0C83" w:rsidP="003E0C83">
      <w:pPr>
        <w:overflowPunct w:val="0"/>
        <w:spacing w:beforeLines="30" w:before="156" w:afterLines="30" w:after="156" w:line="520" w:lineRule="exact"/>
        <w:ind w:firstLineChars="202" w:firstLine="566"/>
        <w:rPr>
          <w:rFonts w:cs="Times New Roman"/>
          <w:szCs w:val="28"/>
        </w:rPr>
      </w:pPr>
      <w:r w:rsidRPr="00486F32">
        <w:rPr>
          <w:rFonts w:cs="Times New Roman"/>
          <w:szCs w:val="28"/>
        </w:rPr>
        <w:t>本行除藉由降息及</w:t>
      </w:r>
      <w:r w:rsidR="001F14BA" w:rsidRPr="00486F32">
        <w:rPr>
          <w:rFonts w:cs="Times New Roman"/>
          <w:szCs w:val="28"/>
        </w:rPr>
        <w:t>提供充裕流動性</w:t>
      </w:r>
      <w:r w:rsidRPr="00486F32">
        <w:rPr>
          <w:rFonts w:cs="Times New Roman"/>
          <w:szCs w:val="28"/>
        </w:rPr>
        <w:t>等措施</w:t>
      </w:r>
      <w:r w:rsidR="005C7536" w:rsidRPr="00486F32">
        <w:rPr>
          <w:rFonts w:cs="Times New Roman"/>
          <w:szCs w:val="28"/>
        </w:rPr>
        <w:t>外</w:t>
      </w:r>
      <w:r w:rsidRPr="00486F32">
        <w:rPr>
          <w:rFonts w:cs="Times New Roman"/>
          <w:szCs w:val="28"/>
        </w:rPr>
        <w:t>，更搭配實施資本移動管理措施，維持新台幣匯率穩定，</w:t>
      </w:r>
      <w:r w:rsidR="0063464F" w:rsidRPr="00486F32">
        <w:rPr>
          <w:rFonts w:cs="Times New Roman" w:hint="eastAsia"/>
          <w:szCs w:val="28"/>
        </w:rPr>
        <w:t>使</w:t>
      </w:r>
      <w:r w:rsidRPr="00486F32">
        <w:rPr>
          <w:rFonts w:cs="Times New Roman"/>
          <w:szCs w:val="28"/>
        </w:rPr>
        <w:t>台灣安然度過全球金融危機，</w:t>
      </w:r>
      <w:r w:rsidR="003F1FCF" w:rsidRPr="00486F32">
        <w:rPr>
          <w:rFonts w:cs="Times New Roman"/>
          <w:szCs w:val="28"/>
        </w:rPr>
        <w:t>經濟迅速恢復，</w:t>
      </w:r>
      <w:r w:rsidRPr="00486F32">
        <w:rPr>
          <w:rFonts w:cs="Times New Roman"/>
          <w:szCs w:val="28"/>
        </w:rPr>
        <w:t>備受國際機構肯定。關於本行在金融危機期間所採行的匯率相關措施，容我在後續</w:t>
      </w:r>
      <w:r w:rsidR="001F14BA" w:rsidRPr="00486F32">
        <w:rPr>
          <w:rFonts w:cs="Times New Roman"/>
          <w:szCs w:val="28"/>
        </w:rPr>
        <w:t>介紹</w:t>
      </w:r>
      <w:r w:rsidRPr="00486F32">
        <w:rPr>
          <w:rFonts w:cs="Times New Roman"/>
          <w:szCs w:val="28"/>
        </w:rPr>
        <w:t>匯率政策時</w:t>
      </w:r>
      <w:r w:rsidR="00787155" w:rsidRPr="00486F32">
        <w:rPr>
          <w:rFonts w:cs="Times New Roman"/>
          <w:szCs w:val="28"/>
        </w:rPr>
        <w:t>，</w:t>
      </w:r>
      <w:r w:rsidR="001F14BA" w:rsidRPr="00486F32">
        <w:rPr>
          <w:rFonts w:cs="Times New Roman"/>
          <w:szCs w:val="28"/>
        </w:rPr>
        <w:t>再</w:t>
      </w:r>
      <w:r w:rsidRPr="00486F32">
        <w:rPr>
          <w:rFonts w:cs="Times New Roman"/>
          <w:szCs w:val="28"/>
        </w:rPr>
        <w:t>一併說明。</w:t>
      </w:r>
    </w:p>
    <w:p w:rsidR="003E0C83" w:rsidRPr="00486F32" w:rsidRDefault="003E0C83" w:rsidP="003E0C83">
      <w:pPr>
        <w:overflowPunct w:val="0"/>
        <w:spacing w:beforeLines="30" w:before="156" w:afterLines="30" w:after="156" w:line="520" w:lineRule="exact"/>
        <w:ind w:firstLineChars="202" w:firstLine="566"/>
        <w:rPr>
          <w:rFonts w:cs="Times New Roman"/>
          <w:szCs w:val="28"/>
        </w:rPr>
      </w:pPr>
      <w:r w:rsidRPr="00486F32">
        <w:rPr>
          <w:rFonts w:cs="Times New Roman"/>
          <w:szCs w:val="28"/>
        </w:rPr>
        <w:t>之後，隨著全球金融危機趨緩，景氣逐漸復甦，本行彈性調整貨幣政策，將銀行超額準備回降至約</w:t>
      </w:r>
      <w:r w:rsidRPr="00486F32">
        <w:rPr>
          <w:rFonts w:cs="Times New Roman"/>
          <w:szCs w:val="28"/>
        </w:rPr>
        <w:t>300</w:t>
      </w:r>
      <w:r w:rsidRPr="00486F32">
        <w:rPr>
          <w:rFonts w:cs="Times New Roman"/>
          <w:szCs w:val="28"/>
        </w:rPr>
        <w:t>億元左右、金融業隔夜拆款利率則持穩於</w:t>
      </w:r>
      <w:r w:rsidRPr="00486F32">
        <w:rPr>
          <w:rFonts w:cs="Times New Roman"/>
          <w:szCs w:val="28"/>
        </w:rPr>
        <w:t>0.38%</w:t>
      </w:r>
      <w:r w:rsidRPr="00486F32">
        <w:rPr>
          <w:rFonts w:cs="Times New Roman"/>
          <w:szCs w:val="28"/>
        </w:rPr>
        <w:t>附近，</w:t>
      </w:r>
      <w:r w:rsidRPr="00486F32">
        <w:rPr>
          <w:rFonts w:cs="Times New Roman"/>
          <w:szCs w:val="28"/>
        </w:rPr>
        <w:t>M2</w:t>
      </w:r>
      <w:r w:rsidRPr="00486F32">
        <w:rPr>
          <w:rFonts w:cs="Times New Roman"/>
          <w:szCs w:val="28"/>
        </w:rPr>
        <w:t>成長率則再度維持於目標區內。</w:t>
      </w:r>
    </w:p>
    <w:p w:rsidR="00751056" w:rsidRPr="00486F32" w:rsidRDefault="00D6221D" w:rsidP="005C329B">
      <w:pPr>
        <w:pStyle w:val="a7"/>
        <w:numPr>
          <w:ilvl w:val="0"/>
          <w:numId w:val="4"/>
        </w:numPr>
        <w:spacing w:before="30" w:after="30" w:line="520" w:lineRule="exact"/>
        <w:ind w:leftChars="0"/>
        <w:rPr>
          <w:rFonts w:ascii="Times New Roman" w:eastAsia="標楷體" w:hAnsi="Times New Roman" w:cs="Times New Roman"/>
          <w:b/>
          <w:sz w:val="28"/>
          <w:szCs w:val="28"/>
        </w:rPr>
      </w:pPr>
      <w:r w:rsidRPr="00486F32">
        <w:rPr>
          <w:rFonts w:ascii="Times New Roman" w:eastAsia="標楷體" w:hAnsi="Times New Roman" w:cs="Times New Roman"/>
          <w:b/>
          <w:sz w:val="28"/>
          <w:szCs w:val="28"/>
        </w:rPr>
        <w:t>匯率政策方面</w:t>
      </w:r>
    </w:p>
    <w:p w:rsidR="00A41266" w:rsidRPr="00486F32" w:rsidRDefault="0082639A" w:rsidP="007318C6">
      <w:pPr>
        <w:pStyle w:val="a7"/>
        <w:numPr>
          <w:ilvl w:val="0"/>
          <w:numId w:val="17"/>
        </w:numPr>
        <w:overflowPunct w:val="0"/>
        <w:spacing w:beforeLines="30" w:before="156" w:afterLines="30" w:after="156" w:line="520" w:lineRule="exact"/>
        <w:ind w:leftChars="0" w:left="426"/>
        <w:rPr>
          <w:rFonts w:ascii="Times New Roman" w:eastAsia="標楷體" w:hAnsi="Times New Roman" w:cs="Times New Roman"/>
          <w:szCs w:val="28"/>
        </w:rPr>
      </w:pPr>
      <w:r w:rsidRPr="00486F32">
        <w:rPr>
          <w:rFonts w:ascii="Times New Roman" w:eastAsia="標楷體" w:hAnsi="Times New Roman" w:cs="Times New Roman"/>
          <w:szCs w:val="28"/>
        </w:rPr>
        <w:tab/>
      </w:r>
      <w:r w:rsidR="007318C6" w:rsidRPr="00486F32">
        <w:rPr>
          <w:rFonts w:ascii="Times New Roman" w:eastAsia="標楷體" w:hAnsi="Times New Roman" w:cs="Times New Roman"/>
          <w:sz w:val="28"/>
          <w:szCs w:val="28"/>
        </w:rPr>
        <w:t>台灣貿易依存度高且經濟規模小，資本移動十分頻繁，匯率波動幅度不宜過大，適合採行管理浮動匯率制度</w:t>
      </w:r>
    </w:p>
    <w:p w:rsidR="008A19DF" w:rsidRPr="00486F32" w:rsidRDefault="008A19DF" w:rsidP="008A19DF">
      <w:pPr>
        <w:overflowPunct w:val="0"/>
        <w:spacing w:beforeLines="30" w:before="156" w:afterLines="30" w:after="156" w:line="520" w:lineRule="exact"/>
        <w:ind w:firstLineChars="202" w:firstLine="566"/>
        <w:rPr>
          <w:rFonts w:cs="Times New Roman"/>
          <w:szCs w:val="28"/>
        </w:rPr>
      </w:pPr>
      <w:r w:rsidRPr="00486F32">
        <w:rPr>
          <w:rFonts w:cs="Times New Roman"/>
          <w:szCs w:val="28"/>
        </w:rPr>
        <w:t>就匯率政策方面</w:t>
      </w:r>
      <w:r w:rsidR="005C7536" w:rsidRPr="00486F32">
        <w:rPr>
          <w:rFonts w:cs="Times New Roman"/>
          <w:szCs w:val="28"/>
        </w:rPr>
        <w:t>來說，</w:t>
      </w:r>
      <w:r w:rsidRPr="00486F32">
        <w:rPr>
          <w:rFonts w:cs="Times New Roman"/>
          <w:szCs w:val="28"/>
        </w:rPr>
        <w:t>由於台灣為小型開放經濟體，貿易依存度高</w:t>
      </w:r>
      <w:r w:rsidRPr="00486F32">
        <w:rPr>
          <w:rFonts w:cs="Times New Roman"/>
          <w:szCs w:val="28"/>
          <w:vertAlign w:val="superscript"/>
        </w:rPr>
        <w:footnoteReference w:id="9"/>
      </w:r>
      <w:r w:rsidRPr="00486F32">
        <w:rPr>
          <w:rFonts w:cs="Times New Roman"/>
          <w:szCs w:val="28"/>
        </w:rPr>
        <w:t>，資本移動</w:t>
      </w:r>
      <w:r w:rsidR="00F16FBB" w:rsidRPr="00486F32">
        <w:rPr>
          <w:rFonts w:cs="Times New Roman"/>
          <w:szCs w:val="28"/>
        </w:rPr>
        <w:t>十分</w:t>
      </w:r>
      <w:r w:rsidRPr="00486F32">
        <w:rPr>
          <w:rFonts w:cs="Times New Roman"/>
          <w:szCs w:val="28"/>
        </w:rPr>
        <w:t>頻繁，在考量匯率波動幅度不宜過大的情形下，本行自</w:t>
      </w:r>
      <w:r w:rsidRPr="00486F32">
        <w:rPr>
          <w:rFonts w:cs="Times New Roman"/>
          <w:szCs w:val="28"/>
        </w:rPr>
        <w:t>1989</w:t>
      </w:r>
      <w:r w:rsidRPr="00486F32">
        <w:rPr>
          <w:rFonts w:cs="Times New Roman"/>
          <w:szCs w:val="28"/>
        </w:rPr>
        <w:t>年</w:t>
      </w:r>
      <w:r w:rsidRPr="00486F32">
        <w:rPr>
          <w:rFonts w:cs="Times New Roman"/>
          <w:szCs w:val="28"/>
        </w:rPr>
        <w:t>4</w:t>
      </w:r>
      <w:r w:rsidRPr="00486F32">
        <w:rPr>
          <w:rFonts w:cs="Times New Roman"/>
          <w:szCs w:val="28"/>
        </w:rPr>
        <w:t>月</w:t>
      </w:r>
      <w:r w:rsidR="00F16FBB" w:rsidRPr="00486F32">
        <w:rPr>
          <w:rFonts w:cs="Times New Roman"/>
          <w:szCs w:val="28"/>
        </w:rPr>
        <w:t>即</w:t>
      </w:r>
      <w:r w:rsidRPr="00486F32">
        <w:rPr>
          <w:rFonts w:cs="Times New Roman"/>
          <w:szCs w:val="28"/>
        </w:rPr>
        <w:t>採行管理浮動匯率制度</w:t>
      </w:r>
      <w:r w:rsidRPr="00486F32">
        <w:rPr>
          <w:rFonts w:cs="Times New Roman"/>
          <w:szCs w:val="28"/>
          <w:vertAlign w:val="superscript"/>
        </w:rPr>
        <w:footnoteReference w:id="10"/>
      </w:r>
      <w:r w:rsidRPr="00486F32">
        <w:rPr>
          <w:rFonts w:cs="Times New Roman"/>
          <w:szCs w:val="28"/>
        </w:rPr>
        <w:t>。</w:t>
      </w:r>
    </w:p>
    <w:p w:rsidR="008A19DF" w:rsidRPr="00486F32" w:rsidRDefault="008A19DF" w:rsidP="008A19DF">
      <w:pPr>
        <w:overflowPunct w:val="0"/>
        <w:spacing w:beforeLines="30" w:before="156" w:afterLines="30" w:after="156" w:line="520" w:lineRule="exact"/>
        <w:ind w:firstLineChars="202" w:firstLine="566"/>
        <w:rPr>
          <w:rFonts w:cs="Times New Roman"/>
          <w:szCs w:val="28"/>
        </w:rPr>
      </w:pPr>
      <w:r w:rsidRPr="00486F32">
        <w:rPr>
          <w:rFonts w:cs="Times New Roman"/>
          <w:szCs w:val="28"/>
        </w:rPr>
        <w:t>在管理浮動匯率制度下，新台幣匯率原則上由市場供需決定，</w:t>
      </w:r>
      <w:r w:rsidR="005C7536" w:rsidRPr="00486F32">
        <w:rPr>
          <w:rFonts w:cs="Times New Roman"/>
          <w:szCs w:val="28"/>
        </w:rPr>
        <w:t>而</w:t>
      </w:r>
      <w:r w:rsidRPr="00486F32">
        <w:rPr>
          <w:rFonts w:cs="Times New Roman"/>
          <w:szCs w:val="28"/>
        </w:rPr>
        <w:t>為維持新台幣動態穩定，本行僅在必要時加以調節；</w:t>
      </w:r>
      <w:r w:rsidR="005C7536" w:rsidRPr="00486F32">
        <w:rPr>
          <w:rFonts w:cs="Times New Roman"/>
          <w:szCs w:val="28"/>
        </w:rPr>
        <w:t>但目的只在於</w:t>
      </w:r>
      <w:r w:rsidRPr="00486F32">
        <w:rPr>
          <w:rFonts w:cs="Times New Roman"/>
          <w:szCs w:val="28"/>
        </w:rPr>
        <w:t>減</w:t>
      </w:r>
      <w:r w:rsidRPr="00486F32">
        <w:rPr>
          <w:rFonts w:cs="Times New Roman"/>
          <w:szCs w:val="28"/>
        </w:rPr>
        <w:lastRenderedPageBreak/>
        <w:t>緩匯率過度波動，不會也無法扭轉匯率趨勢。自</w:t>
      </w:r>
      <w:r w:rsidRPr="00486F32">
        <w:rPr>
          <w:rFonts w:cs="Times New Roman"/>
          <w:szCs w:val="28"/>
        </w:rPr>
        <w:t>1998</w:t>
      </w:r>
      <w:r w:rsidRPr="00486F32">
        <w:rPr>
          <w:rFonts w:cs="Times New Roman"/>
          <w:szCs w:val="28"/>
        </w:rPr>
        <w:t>年以來，新台幣名目有效匯率</w:t>
      </w:r>
      <w:r w:rsidRPr="00486F32">
        <w:rPr>
          <w:rFonts w:cs="Times New Roman"/>
          <w:szCs w:val="28"/>
        </w:rPr>
        <w:t>(NEER)</w:t>
      </w:r>
      <w:r w:rsidRPr="00486F32">
        <w:rPr>
          <w:rFonts w:cs="Times New Roman"/>
          <w:szCs w:val="28"/>
        </w:rPr>
        <w:t>大致維持在過去</w:t>
      </w:r>
      <w:r w:rsidRPr="00486F32">
        <w:rPr>
          <w:rFonts w:cs="Times New Roman"/>
          <w:szCs w:val="28"/>
        </w:rPr>
        <w:t>36</w:t>
      </w:r>
      <w:r w:rsidRPr="00486F32">
        <w:rPr>
          <w:rFonts w:cs="Times New Roman"/>
          <w:szCs w:val="28"/>
        </w:rPr>
        <w:t>個月移動平均值</w:t>
      </w:r>
      <w:r w:rsidRPr="00486F32">
        <w:rPr>
          <w:rFonts w:cs="Times New Roman"/>
          <w:szCs w:val="28"/>
          <w:vertAlign w:val="superscript"/>
        </w:rPr>
        <w:footnoteReference w:id="11"/>
      </w:r>
      <w:r w:rsidRPr="00486F32">
        <w:rPr>
          <w:rFonts w:cs="Times New Roman"/>
          <w:szCs w:val="28"/>
        </w:rPr>
        <w:t>上下</w:t>
      </w:r>
      <w:r w:rsidRPr="00486F32">
        <w:rPr>
          <w:rFonts w:cs="Times New Roman"/>
          <w:szCs w:val="28"/>
        </w:rPr>
        <w:t>5%</w:t>
      </w:r>
      <w:r w:rsidRPr="00486F32">
        <w:rPr>
          <w:rFonts w:cs="Times New Roman"/>
          <w:szCs w:val="28"/>
          <w:vertAlign w:val="superscript"/>
        </w:rPr>
        <w:footnoteReference w:id="12"/>
      </w:r>
      <w:r w:rsidRPr="00486F32">
        <w:rPr>
          <w:rFonts w:cs="Times New Roman"/>
          <w:szCs w:val="28"/>
        </w:rPr>
        <w:t>的範圍內。</w:t>
      </w:r>
    </w:p>
    <w:p w:rsidR="00A41266" w:rsidRPr="00486F32" w:rsidRDefault="00A41266" w:rsidP="008A19DF">
      <w:pPr>
        <w:pStyle w:val="a7"/>
        <w:numPr>
          <w:ilvl w:val="0"/>
          <w:numId w:val="17"/>
        </w:numPr>
        <w:overflowPunct w:val="0"/>
        <w:spacing w:beforeLines="30" w:before="156" w:afterLines="30" w:after="156" w:line="520" w:lineRule="exact"/>
        <w:ind w:leftChars="0" w:left="426"/>
        <w:rPr>
          <w:rFonts w:ascii="Times New Roman" w:eastAsia="標楷體" w:hAnsi="Times New Roman" w:cs="Times New Roman"/>
          <w:sz w:val="28"/>
          <w:szCs w:val="28"/>
        </w:rPr>
      </w:pPr>
      <w:r w:rsidRPr="00486F32">
        <w:rPr>
          <w:rFonts w:ascii="Times New Roman" w:eastAsia="標楷體" w:hAnsi="Times New Roman" w:cs="Times New Roman"/>
          <w:sz w:val="28"/>
          <w:szCs w:val="28"/>
        </w:rPr>
        <w:tab/>
      </w:r>
      <w:r w:rsidR="008A19DF" w:rsidRPr="00486F32">
        <w:rPr>
          <w:rFonts w:ascii="Times New Roman" w:eastAsia="標楷體" w:hAnsi="Times New Roman" w:cs="Times New Roman"/>
          <w:sz w:val="28"/>
          <w:szCs w:val="28"/>
        </w:rPr>
        <w:t>新台幣匯率動態穩定有利市場參與者從事交易，促進國內經濟資源最適配置，同時有助央行達成法定經營目標</w:t>
      </w:r>
    </w:p>
    <w:p w:rsidR="008A19DF" w:rsidRPr="00486F32" w:rsidRDefault="008A19DF" w:rsidP="008A19DF">
      <w:pPr>
        <w:overflowPunct w:val="0"/>
        <w:spacing w:beforeLines="30" w:before="156" w:afterLines="30" w:after="156" w:line="520" w:lineRule="exact"/>
        <w:ind w:firstLineChars="202" w:firstLine="566"/>
        <w:rPr>
          <w:rFonts w:cs="Times New Roman"/>
          <w:szCs w:val="28"/>
        </w:rPr>
      </w:pPr>
      <w:r w:rsidRPr="00486F32">
        <w:rPr>
          <w:rFonts w:cs="Times New Roman"/>
          <w:szCs w:val="28"/>
        </w:rPr>
        <w:t>接下來，我</w:t>
      </w:r>
      <w:r w:rsidR="00CE0C98" w:rsidRPr="00486F32">
        <w:rPr>
          <w:rFonts w:cs="Times New Roman"/>
          <w:szCs w:val="28"/>
        </w:rPr>
        <w:t>想</w:t>
      </w:r>
      <w:r w:rsidRPr="00486F32">
        <w:rPr>
          <w:rFonts w:cs="Times New Roman"/>
          <w:szCs w:val="28"/>
        </w:rPr>
        <w:t>談一下維持新台幣動態穩定對台灣經濟的好處。動態穩定的匯率政策可維持外匯市場有序運作，為市場參與者營造公平合理的環境，促進匯市發揮價格發現功能，有助經濟資源獲得最適配置，又能維持本國貨幣的對外購買力，有利全民福祉。我將從個體與總體經濟的角度來進一步說明：</w:t>
      </w:r>
    </w:p>
    <w:p w:rsidR="00D237F5" w:rsidRPr="00486F32" w:rsidRDefault="000A744C" w:rsidP="008A19DF">
      <w:pPr>
        <w:overflowPunct w:val="0"/>
        <w:spacing w:beforeLines="30" w:before="156" w:afterLines="30" w:after="156" w:line="520" w:lineRule="exact"/>
        <w:ind w:firstLineChars="202" w:firstLine="566"/>
        <w:rPr>
          <w:rFonts w:cs="Times New Roman"/>
          <w:szCs w:val="28"/>
        </w:rPr>
      </w:pPr>
      <w:r w:rsidRPr="00486F32">
        <w:rPr>
          <w:rFonts w:cs="Times New Roman"/>
          <w:szCs w:val="28"/>
        </w:rPr>
        <w:t>對</w:t>
      </w:r>
      <w:r w:rsidR="008A19DF" w:rsidRPr="00486F32">
        <w:rPr>
          <w:rFonts w:cs="Times New Roman"/>
          <w:szCs w:val="28"/>
        </w:rPr>
        <w:t>個體經濟的好處包括：有助企業對外報價及經營，民眾從事跨國理財與旅遊</w:t>
      </w:r>
      <w:r w:rsidR="00CE0C98" w:rsidRPr="00486F32">
        <w:rPr>
          <w:rFonts w:cs="Times New Roman"/>
          <w:szCs w:val="28"/>
        </w:rPr>
        <w:t>，以</w:t>
      </w:r>
      <w:r w:rsidR="008A19DF" w:rsidRPr="00486F32">
        <w:rPr>
          <w:rFonts w:cs="Times New Roman"/>
          <w:szCs w:val="28"/>
        </w:rPr>
        <w:t>及有利國外長期投資者深耕台灣市場。其次，對總體經濟的重要性而言，本行實證研究</w:t>
      </w:r>
      <w:r w:rsidR="008A19DF" w:rsidRPr="00486F32">
        <w:rPr>
          <w:rFonts w:cs="Times New Roman"/>
          <w:szCs w:val="28"/>
          <w:vertAlign w:val="superscript"/>
        </w:rPr>
        <w:footnoteReference w:id="13"/>
      </w:r>
      <w:r w:rsidR="008A19DF" w:rsidRPr="00486F32">
        <w:rPr>
          <w:rFonts w:cs="Times New Roman"/>
          <w:szCs w:val="28"/>
        </w:rPr>
        <w:t>顯示，新台幣匯率具有反通膨及反景氣循環特性，</w:t>
      </w:r>
      <w:r w:rsidR="00CE0C98" w:rsidRPr="00486F32">
        <w:rPr>
          <w:rFonts w:cs="Times New Roman"/>
          <w:szCs w:val="28"/>
        </w:rPr>
        <w:t>就是</w:t>
      </w:r>
      <w:r w:rsidR="008A19DF" w:rsidRPr="00486F32">
        <w:rPr>
          <w:rFonts w:cs="Times New Roman"/>
          <w:szCs w:val="28"/>
        </w:rPr>
        <w:t>國內物價上漲時，新台幣匯率呈升值走勢；景氣衰退時，新台幣匯率則呈貶值走勢。這個特性有助於避免國內物價出現高通膨或通縮的現象，以及避免台灣經濟產生過熱或過冷的情形。另外，新台幣維持動態穩定</w:t>
      </w:r>
      <w:r w:rsidR="00CE0C98" w:rsidRPr="00486F32">
        <w:rPr>
          <w:rFonts w:cs="Times New Roman"/>
          <w:szCs w:val="28"/>
        </w:rPr>
        <w:t>也</w:t>
      </w:r>
      <w:r w:rsidR="008A19DF" w:rsidRPr="00486F32">
        <w:rPr>
          <w:rFonts w:cs="Times New Roman"/>
          <w:szCs w:val="28"/>
        </w:rPr>
        <w:t>可降低匯率不確定性，有利提振民間投資，並增進台灣經濟成長；以及舒緩台灣所面對的金融衝擊，防範金融危機發生。</w:t>
      </w:r>
      <w:r w:rsidR="008A19DF" w:rsidRPr="00486F32">
        <w:rPr>
          <w:rFonts w:cs="Times New Roman"/>
          <w:szCs w:val="28"/>
        </w:rPr>
        <w:tab/>
      </w:r>
    </w:p>
    <w:p w:rsidR="002A1864" w:rsidRPr="00486F32" w:rsidRDefault="00900EC6" w:rsidP="0075280D">
      <w:pPr>
        <w:pStyle w:val="a7"/>
        <w:numPr>
          <w:ilvl w:val="0"/>
          <w:numId w:val="17"/>
        </w:numPr>
        <w:overflowPunct w:val="0"/>
        <w:spacing w:beforeLines="30" w:before="156" w:afterLines="30" w:after="156" w:line="520" w:lineRule="exact"/>
        <w:ind w:leftChars="0" w:left="426"/>
        <w:rPr>
          <w:rFonts w:ascii="Times New Roman" w:eastAsia="標楷體" w:hAnsi="Times New Roman" w:cs="Times New Roman"/>
          <w:sz w:val="28"/>
          <w:szCs w:val="28"/>
        </w:rPr>
      </w:pPr>
      <w:r w:rsidRPr="00486F32">
        <w:rPr>
          <w:rFonts w:ascii="Times New Roman" w:eastAsia="標楷體" w:hAnsi="Times New Roman" w:cs="Times New Roman"/>
          <w:sz w:val="28"/>
          <w:szCs w:val="28"/>
        </w:rPr>
        <w:lastRenderedPageBreak/>
        <w:tab/>
      </w:r>
      <w:r w:rsidR="0075280D" w:rsidRPr="00486F32">
        <w:rPr>
          <w:rFonts w:ascii="Times New Roman" w:eastAsia="標楷體" w:hAnsi="Times New Roman" w:cs="Times New Roman"/>
          <w:sz w:val="28"/>
          <w:szCs w:val="28"/>
        </w:rPr>
        <w:t>台灣出口價格競爭力仍優於南韓等主要貿易對手</w:t>
      </w:r>
    </w:p>
    <w:p w:rsidR="00AE0939" w:rsidRPr="00486F32" w:rsidRDefault="00AE0939" w:rsidP="00AE0939">
      <w:pPr>
        <w:overflowPunct w:val="0"/>
        <w:spacing w:beforeLines="30" w:before="156" w:afterLines="30" w:after="156" w:line="520" w:lineRule="exact"/>
        <w:ind w:firstLineChars="202" w:firstLine="566"/>
        <w:rPr>
          <w:rFonts w:cs="Times New Roman"/>
          <w:szCs w:val="28"/>
        </w:rPr>
      </w:pPr>
      <w:r w:rsidRPr="00486F32">
        <w:rPr>
          <w:rFonts w:cs="Times New Roman"/>
          <w:szCs w:val="28"/>
        </w:rPr>
        <w:tab/>
      </w:r>
      <w:r w:rsidR="0075280D" w:rsidRPr="00486F32">
        <w:rPr>
          <w:rFonts w:cs="Times New Roman"/>
          <w:szCs w:val="28"/>
        </w:rPr>
        <w:t>由於各國貿易對象不只是美國，因此，透過一國貨幣對其主要貿易對手一籃通貨的加權平均實質匯率來觀察出口價格競爭力。</w:t>
      </w:r>
      <w:r w:rsidRPr="00486F32">
        <w:rPr>
          <w:rFonts w:cs="Times New Roman"/>
          <w:szCs w:val="28"/>
        </w:rPr>
        <w:t>長期來看，韓元實質有效匯率指數</w:t>
      </w:r>
      <w:r w:rsidRPr="00486F32">
        <w:rPr>
          <w:rFonts w:cs="Times New Roman"/>
          <w:szCs w:val="28"/>
        </w:rPr>
        <w:t>(REER)</w:t>
      </w:r>
      <w:r w:rsidRPr="00486F32">
        <w:rPr>
          <w:rFonts w:cs="Times New Roman"/>
          <w:szCs w:val="28"/>
        </w:rPr>
        <w:t>波動較大，新台幣</w:t>
      </w:r>
      <w:r w:rsidRPr="00486F32">
        <w:rPr>
          <w:rFonts w:cs="Times New Roman"/>
          <w:szCs w:val="28"/>
        </w:rPr>
        <w:t>REER</w:t>
      </w:r>
      <w:r w:rsidRPr="00486F32">
        <w:rPr>
          <w:rFonts w:cs="Times New Roman"/>
          <w:szCs w:val="28"/>
        </w:rPr>
        <w:t>相對穩定。自</w:t>
      </w:r>
      <w:r w:rsidRPr="00486F32">
        <w:rPr>
          <w:rFonts w:cs="Times New Roman"/>
          <w:szCs w:val="28"/>
        </w:rPr>
        <w:t>2013</w:t>
      </w:r>
      <w:r w:rsidRPr="00486F32">
        <w:rPr>
          <w:rFonts w:cs="Times New Roman"/>
          <w:szCs w:val="28"/>
        </w:rPr>
        <w:t>年</w:t>
      </w:r>
      <w:r w:rsidRPr="00486F32">
        <w:rPr>
          <w:rFonts w:cs="Times New Roman"/>
          <w:szCs w:val="28"/>
        </w:rPr>
        <w:t>7</w:t>
      </w:r>
      <w:r w:rsidRPr="00486F32">
        <w:rPr>
          <w:rFonts w:cs="Times New Roman"/>
          <w:szCs w:val="28"/>
        </w:rPr>
        <w:t>月起，新台幣</w:t>
      </w:r>
      <w:r w:rsidRPr="00486F32">
        <w:rPr>
          <w:rFonts w:cs="Times New Roman"/>
          <w:szCs w:val="28"/>
        </w:rPr>
        <w:t>REER</w:t>
      </w:r>
      <w:r w:rsidRPr="00486F32">
        <w:rPr>
          <w:rFonts w:cs="Times New Roman"/>
          <w:szCs w:val="28"/>
        </w:rPr>
        <w:t>均低於韓元</w:t>
      </w:r>
      <w:r w:rsidRPr="00486F32">
        <w:rPr>
          <w:rFonts w:cs="Times New Roman"/>
          <w:szCs w:val="28"/>
        </w:rPr>
        <w:t>REER</w:t>
      </w:r>
      <w:r w:rsidRPr="00486F32">
        <w:rPr>
          <w:rFonts w:cs="Times New Roman"/>
          <w:szCs w:val="28"/>
        </w:rPr>
        <w:t>；自</w:t>
      </w:r>
      <w:r w:rsidRPr="00486F32">
        <w:rPr>
          <w:rFonts w:cs="Times New Roman"/>
          <w:szCs w:val="28"/>
        </w:rPr>
        <w:t>2017</w:t>
      </w:r>
      <w:r w:rsidRPr="00486F32">
        <w:rPr>
          <w:rFonts w:cs="Times New Roman"/>
          <w:szCs w:val="28"/>
        </w:rPr>
        <w:t>年</w:t>
      </w:r>
      <w:r w:rsidRPr="00486F32">
        <w:rPr>
          <w:rFonts w:cs="Times New Roman"/>
          <w:szCs w:val="28"/>
        </w:rPr>
        <w:t>6</w:t>
      </w:r>
      <w:r w:rsidRPr="00486F32">
        <w:rPr>
          <w:rFonts w:cs="Times New Roman"/>
          <w:szCs w:val="28"/>
        </w:rPr>
        <w:t>月起，台灣出口價格競爭力均優於新加坡、中國大陸及南韓等主要貿易對手國。</w:t>
      </w:r>
    </w:p>
    <w:p w:rsidR="00AE0939" w:rsidRPr="00486F32" w:rsidRDefault="00AE0939" w:rsidP="00AE0939">
      <w:pPr>
        <w:overflowPunct w:val="0"/>
        <w:spacing w:beforeLines="30" w:before="156" w:afterLines="30" w:after="156" w:line="520" w:lineRule="exact"/>
        <w:ind w:firstLineChars="202" w:firstLine="566"/>
        <w:rPr>
          <w:rFonts w:cs="Times New Roman"/>
          <w:szCs w:val="28"/>
        </w:rPr>
      </w:pPr>
      <w:r w:rsidRPr="00486F32">
        <w:rPr>
          <w:rFonts w:cs="Times New Roman"/>
          <w:szCs w:val="28"/>
        </w:rPr>
        <w:t>此外，</w:t>
      </w:r>
      <w:r w:rsidRPr="00486F32">
        <w:rPr>
          <w:rFonts w:cs="Times New Roman"/>
          <w:szCs w:val="28"/>
        </w:rPr>
        <w:tab/>
      </w:r>
      <w:r w:rsidRPr="00486F32">
        <w:rPr>
          <w:rFonts w:cs="Times New Roman"/>
          <w:szCs w:val="28"/>
        </w:rPr>
        <w:t>本年以來，受到全球經濟成長動能減弱及美中貿易摩擦衝擊，亞洲主要國家出口多呈負成長。台灣出口減少</w:t>
      </w:r>
      <w:r w:rsidRPr="00486F32">
        <w:rPr>
          <w:rFonts w:cs="Times New Roman"/>
          <w:szCs w:val="28"/>
        </w:rPr>
        <w:t>3.4%</w:t>
      </w:r>
      <w:r w:rsidRPr="00486F32">
        <w:rPr>
          <w:rFonts w:cs="Times New Roman"/>
          <w:szCs w:val="28"/>
        </w:rPr>
        <w:t>，表現僅次於香港</w:t>
      </w:r>
      <w:r w:rsidRPr="00486F32">
        <w:rPr>
          <w:rFonts w:cs="Times New Roman"/>
          <w:szCs w:val="28"/>
        </w:rPr>
        <w:t>(6.4%)</w:t>
      </w:r>
      <w:r w:rsidRPr="00486F32">
        <w:rPr>
          <w:rFonts w:cs="Times New Roman"/>
          <w:szCs w:val="28"/>
        </w:rPr>
        <w:t>、中國大陸</w:t>
      </w:r>
      <w:r w:rsidRPr="00486F32">
        <w:rPr>
          <w:rFonts w:cs="Times New Roman"/>
          <w:szCs w:val="28"/>
        </w:rPr>
        <w:t>(0.4%)</w:t>
      </w:r>
      <w:r w:rsidRPr="00486F32">
        <w:rPr>
          <w:rFonts w:cs="Times New Roman"/>
          <w:szCs w:val="28"/>
        </w:rPr>
        <w:t>及泰國</w:t>
      </w:r>
      <w:r w:rsidRPr="00486F32">
        <w:rPr>
          <w:rFonts w:cs="Times New Roman"/>
          <w:szCs w:val="28"/>
        </w:rPr>
        <w:t>(-3.1%)</w:t>
      </w:r>
      <w:r w:rsidRPr="00486F32">
        <w:rPr>
          <w:rFonts w:cs="Times New Roman"/>
          <w:szCs w:val="28"/>
        </w:rPr>
        <w:t>，仍優於馬來西亞</w:t>
      </w:r>
      <w:r w:rsidRPr="00486F32">
        <w:rPr>
          <w:rFonts w:cs="Times New Roman"/>
          <w:szCs w:val="28"/>
        </w:rPr>
        <w:t>(-4.2%)</w:t>
      </w:r>
      <w:r w:rsidRPr="00486F32">
        <w:rPr>
          <w:rFonts w:cs="Times New Roman"/>
          <w:szCs w:val="28"/>
        </w:rPr>
        <w:t>、日本</w:t>
      </w:r>
      <w:r w:rsidRPr="00486F32">
        <w:rPr>
          <w:rFonts w:cs="Times New Roman"/>
          <w:szCs w:val="28"/>
        </w:rPr>
        <w:t>(-6.2%)</w:t>
      </w:r>
      <w:r w:rsidRPr="00486F32">
        <w:rPr>
          <w:rFonts w:cs="Times New Roman"/>
          <w:szCs w:val="28"/>
        </w:rPr>
        <w:t>、南韓</w:t>
      </w:r>
      <w:r w:rsidRPr="00486F32">
        <w:rPr>
          <w:rFonts w:cs="Times New Roman"/>
          <w:szCs w:val="28"/>
        </w:rPr>
        <w:t>(-8.5%)</w:t>
      </w:r>
      <w:r w:rsidRPr="00486F32">
        <w:rPr>
          <w:rFonts w:cs="Times New Roman"/>
          <w:szCs w:val="28"/>
        </w:rPr>
        <w:t>及新加坡</w:t>
      </w:r>
      <w:r w:rsidRPr="00486F32">
        <w:rPr>
          <w:rFonts w:cs="Times New Roman"/>
          <w:szCs w:val="28"/>
        </w:rPr>
        <w:t>(-9.8%)</w:t>
      </w:r>
      <w:r w:rsidRPr="00486F32">
        <w:rPr>
          <w:rFonts w:cs="Times New Roman"/>
          <w:szCs w:val="28"/>
        </w:rPr>
        <w:t>。本年</w:t>
      </w:r>
      <w:r w:rsidRPr="00486F32">
        <w:rPr>
          <w:rFonts w:cs="Times New Roman"/>
          <w:szCs w:val="28"/>
        </w:rPr>
        <w:t>6</w:t>
      </w:r>
      <w:r w:rsidRPr="00486F32">
        <w:rPr>
          <w:rFonts w:cs="Times New Roman"/>
          <w:szCs w:val="28"/>
        </w:rPr>
        <w:t>月，台灣出口</w:t>
      </w:r>
      <w:r w:rsidR="00620C46" w:rsidRPr="00486F32">
        <w:rPr>
          <w:rFonts w:cs="Times New Roman"/>
          <w:szCs w:val="28"/>
        </w:rPr>
        <w:t>已</w:t>
      </w:r>
      <w:r w:rsidRPr="00486F32">
        <w:rPr>
          <w:rFonts w:cs="Times New Roman"/>
          <w:szCs w:val="28"/>
        </w:rPr>
        <w:t>轉為正成長</w:t>
      </w:r>
      <w:r w:rsidRPr="00486F32">
        <w:rPr>
          <w:rFonts w:cs="Times New Roman"/>
          <w:szCs w:val="28"/>
        </w:rPr>
        <w:t>0.5%</w:t>
      </w:r>
      <w:r w:rsidRPr="00486F32">
        <w:rPr>
          <w:rFonts w:cs="Times New Roman"/>
          <w:szCs w:val="28"/>
        </w:rPr>
        <w:t>。</w:t>
      </w:r>
    </w:p>
    <w:p w:rsidR="008A19DF" w:rsidRPr="00486F32" w:rsidRDefault="008A19DF" w:rsidP="008A19DF">
      <w:pPr>
        <w:pStyle w:val="a7"/>
        <w:numPr>
          <w:ilvl w:val="0"/>
          <w:numId w:val="17"/>
        </w:numPr>
        <w:overflowPunct w:val="0"/>
        <w:spacing w:beforeLines="30" w:before="156" w:afterLines="30" w:after="156" w:line="520" w:lineRule="exact"/>
        <w:ind w:leftChars="0" w:left="426"/>
        <w:rPr>
          <w:rFonts w:ascii="Times New Roman" w:eastAsia="標楷體" w:hAnsi="Times New Roman" w:cs="Times New Roman"/>
          <w:sz w:val="28"/>
          <w:szCs w:val="28"/>
        </w:rPr>
      </w:pPr>
      <w:r w:rsidRPr="00486F32">
        <w:rPr>
          <w:rFonts w:ascii="Times New Roman" w:eastAsia="標楷體" w:hAnsi="Times New Roman" w:cs="Times New Roman"/>
          <w:sz w:val="28"/>
          <w:szCs w:val="28"/>
        </w:rPr>
        <w:t>本行致力維持新台幣匯率動態穩定，協助台灣安然度過亞洲與全球金融危機</w:t>
      </w:r>
    </w:p>
    <w:p w:rsidR="008A19DF" w:rsidRPr="00486F32" w:rsidRDefault="008A19DF" w:rsidP="008A19DF">
      <w:pPr>
        <w:overflowPunct w:val="0"/>
        <w:spacing w:beforeLines="30" w:before="156" w:afterLines="30" w:after="156" w:line="520" w:lineRule="exact"/>
        <w:ind w:firstLineChars="202" w:firstLine="566"/>
        <w:rPr>
          <w:rFonts w:cs="Times New Roman"/>
          <w:szCs w:val="28"/>
        </w:rPr>
      </w:pPr>
      <w:r w:rsidRPr="00486F32">
        <w:rPr>
          <w:rFonts w:cs="Times New Roman"/>
          <w:szCs w:val="28"/>
        </w:rPr>
        <w:t>從過去國際經驗來看，金融危機常伴隨資本鉅額且快速</w:t>
      </w:r>
      <w:r w:rsidR="000A744C" w:rsidRPr="00486F32">
        <w:rPr>
          <w:rFonts w:cs="Times New Roman"/>
          <w:szCs w:val="28"/>
        </w:rPr>
        <w:t>撤離</w:t>
      </w:r>
      <w:r w:rsidRPr="00486F32">
        <w:rPr>
          <w:rFonts w:cs="Times New Roman"/>
          <w:szCs w:val="28"/>
        </w:rPr>
        <w:t>，並導致金融危機加劇。長期以來，新台幣匯率維持動態穩定，相對其他主要貨幣</w:t>
      </w:r>
      <w:r w:rsidRPr="00486F32">
        <w:rPr>
          <w:rFonts w:cs="Times New Roman"/>
          <w:szCs w:val="28"/>
        </w:rPr>
        <w:t>(</w:t>
      </w:r>
      <w:r w:rsidRPr="00486F32">
        <w:rPr>
          <w:rFonts w:cs="Times New Roman"/>
          <w:szCs w:val="28"/>
        </w:rPr>
        <w:t>如日圓、韓元、歐元及新加坡幣等</w:t>
      </w:r>
      <w:r w:rsidRPr="00486F32">
        <w:rPr>
          <w:rFonts w:cs="Times New Roman"/>
          <w:szCs w:val="28"/>
        </w:rPr>
        <w:t>)</w:t>
      </w:r>
      <w:r w:rsidRPr="00486F32">
        <w:rPr>
          <w:rFonts w:cs="Times New Roman"/>
          <w:szCs w:val="28"/>
        </w:rPr>
        <w:t>波動較小，是台灣維持金融穩定及防範金融危機的重要支柱。</w:t>
      </w:r>
    </w:p>
    <w:p w:rsidR="008A19DF" w:rsidRPr="00486F32" w:rsidRDefault="008A19DF" w:rsidP="008A19DF">
      <w:pPr>
        <w:overflowPunct w:val="0"/>
        <w:spacing w:beforeLines="30" w:before="156" w:afterLines="30" w:after="156" w:line="520" w:lineRule="exact"/>
        <w:ind w:firstLineChars="202" w:firstLine="566"/>
        <w:rPr>
          <w:rFonts w:cs="Times New Roman"/>
          <w:szCs w:val="28"/>
        </w:rPr>
      </w:pPr>
      <w:r w:rsidRPr="00486F32">
        <w:rPr>
          <w:rFonts w:cs="Times New Roman"/>
          <w:szCs w:val="28"/>
        </w:rPr>
        <w:t>舉例來說，在</w:t>
      </w:r>
      <w:r w:rsidRPr="00486F32">
        <w:rPr>
          <w:rFonts w:cs="Times New Roman"/>
          <w:szCs w:val="28"/>
        </w:rPr>
        <w:t>199</w:t>
      </w:r>
      <w:r w:rsidR="0075550B" w:rsidRPr="00486F32">
        <w:rPr>
          <w:rFonts w:cs="Times New Roman"/>
          <w:szCs w:val="28"/>
        </w:rPr>
        <w:t>8</w:t>
      </w:r>
      <w:r w:rsidRPr="00486F32">
        <w:rPr>
          <w:rFonts w:cs="Times New Roman"/>
          <w:szCs w:val="28"/>
        </w:rPr>
        <w:t>年</w:t>
      </w:r>
      <w:r w:rsidR="002532C0" w:rsidRPr="00486F32">
        <w:rPr>
          <w:rFonts w:cs="Times New Roman"/>
          <w:szCs w:val="28"/>
        </w:rPr>
        <w:t>亞洲金融危機</w:t>
      </w:r>
      <w:r w:rsidRPr="00486F32">
        <w:rPr>
          <w:rFonts w:cs="Times New Roman"/>
          <w:szCs w:val="28"/>
        </w:rPr>
        <w:t>拖累亞幣及亞股重挫，經濟大幅衰退。</w:t>
      </w:r>
      <w:r w:rsidR="0075550B" w:rsidRPr="00486F32">
        <w:rPr>
          <w:rFonts w:cs="Times New Roman"/>
          <w:szCs w:val="28"/>
        </w:rPr>
        <w:t>當時</w:t>
      </w:r>
      <w:r w:rsidRPr="00486F32">
        <w:rPr>
          <w:rFonts w:cs="Times New Roman"/>
          <w:szCs w:val="28"/>
        </w:rPr>
        <w:t>本行為遏阻投機資金炒作，決議停止</w:t>
      </w:r>
      <w:r w:rsidRPr="00486F32">
        <w:rPr>
          <w:rFonts w:cs="Times New Roman"/>
          <w:szCs w:val="28"/>
        </w:rPr>
        <w:t>DBU</w:t>
      </w:r>
      <w:r w:rsidRPr="00486F32">
        <w:rPr>
          <w:rFonts w:cs="Times New Roman"/>
          <w:szCs w:val="28"/>
        </w:rPr>
        <w:t>辦理顧客間新台幣</w:t>
      </w:r>
      <w:r w:rsidRPr="00486F32">
        <w:rPr>
          <w:rFonts w:cs="Times New Roman"/>
          <w:szCs w:val="28"/>
        </w:rPr>
        <w:t>NDF(</w:t>
      </w:r>
      <w:r w:rsidRPr="00486F32">
        <w:rPr>
          <w:rFonts w:cs="Times New Roman"/>
          <w:szCs w:val="28"/>
        </w:rPr>
        <w:t>無本金交割遠期外匯</w:t>
      </w:r>
      <w:r w:rsidRPr="00486F32">
        <w:rPr>
          <w:rFonts w:cs="Times New Roman"/>
          <w:szCs w:val="28"/>
        </w:rPr>
        <w:t>)</w:t>
      </w:r>
      <w:r w:rsidRPr="00486F32">
        <w:rPr>
          <w:rFonts w:cs="Times New Roman"/>
          <w:szCs w:val="28"/>
        </w:rPr>
        <w:t>業務</w:t>
      </w:r>
      <w:r w:rsidR="0075550B" w:rsidRPr="00486F32">
        <w:rPr>
          <w:rStyle w:val="ad"/>
          <w:rFonts w:cs="Times New Roman"/>
          <w:szCs w:val="28"/>
        </w:rPr>
        <w:footnoteReference w:id="14"/>
      </w:r>
      <w:r w:rsidRPr="00486F32">
        <w:rPr>
          <w:rFonts w:cs="Times New Roman"/>
          <w:szCs w:val="28"/>
        </w:rPr>
        <w:t>，並進場阻貶新台幣匯率。因此，當時新台幣匯率相對穩定，台股跌幅也較小，且國內經濟仍是正成長，表現優於亞洲其他國家。</w:t>
      </w:r>
    </w:p>
    <w:p w:rsidR="008A19DF" w:rsidRPr="00486F32" w:rsidRDefault="008A19DF" w:rsidP="00D237F5">
      <w:pPr>
        <w:overflowPunct w:val="0"/>
        <w:spacing w:beforeLines="30" w:before="156" w:afterLines="30" w:after="156" w:line="480" w:lineRule="exact"/>
        <w:ind w:firstLineChars="202" w:firstLine="566"/>
        <w:rPr>
          <w:rFonts w:cs="Times New Roman"/>
          <w:szCs w:val="28"/>
        </w:rPr>
      </w:pPr>
      <w:r w:rsidRPr="00486F32">
        <w:rPr>
          <w:rFonts w:cs="Times New Roman"/>
          <w:szCs w:val="28"/>
        </w:rPr>
        <w:lastRenderedPageBreak/>
        <w:t>至於在</w:t>
      </w:r>
      <w:r w:rsidRPr="00486F32">
        <w:rPr>
          <w:rFonts w:cs="Times New Roman"/>
          <w:szCs w:val="28"/>
        </w:rPr>
        <w:t>2008</w:t>
      </w:r>
      <w:r w:rsidRPr="00486F32">
        <w:rPr>
          <w:rFonts w:cs="Times New Roman"/>
          <w:szCs w:val="28"/>
        </w:rPr>
        <w:t>年全球金融危機爆發那一年，雖然台灣國際收支順差</w:t>
      </w:r>
      <w:r w:rsidRPr="00486F32">
        <w:rPr>
          <w:rFonts w:cs="Times New Roman"/>
          <w:szCs w:val="28"/>
        </w:rPr>
        <w:t>263</w:t>
      </w:r>
      <w:r w:rsidRPr="00486F32">
        <w:rPr>
          <w:rFonts w:cs="Times New Roman"/>
          <w:szCs w:val="28"/>
        </w:rPr>
        <w:t>億美元，使新台幣面臨升值壓力，</w:t>
      </w:r>
      <w:r w:rsidR="00CE0C98" w:rsidRPr="00486F32">
        <w:rPr>
          <w:rFonts w:cs="Times New Roman"/>
          <w:szCs w:val="28"/>
        </w:rPr>
        <w:t>但</w:t>
      </w:r>
      <w:r w:rsidRPr="00486F32">
        <w:rPr>
          <w:rFonts w:cs="Times New Roman"/>
          <w:szCs w:val="28"/>
        </w:rPr>
        <w:t>當年</w:t>
      </w:r>
      <w:r w:rsidRPr="00486F32">
        <w:rPr>
          <w:rFonts w:cs="Times New Roman"/>
          <w:szCs w:val="28"/>
        </w:rPr>
        <w:t>9</w:t>
      </w:r>
      <w:r w:rsidRPr="00486F32">
        <w:rPr>
          <w:rFonts w:cs="Times New Roman"/>
          <w:szCs w:val="28"/>
        </w:rPr>
        <w:t>月起台灣因國外需求明顯萎縮，出口轉為負成長，下半年經濟成長率轉為負值，新台幣匯率無法反映經濟基本面，本行遂進場調</w:t>
      </w:r>
      <w:r w:rsidR="00CE0C98" w:rsidRPr="00486F32">
        <w:rPr>
          <w:rFonts w:cs="Times New Roman"/>
          <w:szCs w:val="28"/>
        </w:rPr>
        <w:t>節</w:t>
      </w:r>
      <w:r w:rsidRPr="00486F32">
        <w:rPr>
          <w:rFonts w:cs="Times New Roman"/>
          <w:szCs w:val="28"/>
        </w:rPr>
        <w:t>外匯市場供需，阻升新台幣，並搭配實施多項總體審慎措施，再度讓台灣自金融危機中全身而退。</w:t>
      </w:r>
    </w:p>
    <w:p w:rsidR="00A43FBD" w:rsidRPr="00486F32" w:rsidRDefault="00A43FBD" w:rsidP="00D237F5">
      <w:pPr>
        <w:overflowPunct w:val="0"/>
        <w:spacing w:beforeLines="30" w:before="156" w:afterLines="30" w:after="156" w:line="480" w:lineRule="exact"/>
        <w:ind w:firstLineChars="202" w:firstLine="566"/>
        <w:rPr>
          <w:rFonts w:cs="Times New Roman"/>
          <w:szCs w:val="28"/>
        </w:rPr>
      </w:pPr>
      <w:r w:rsidRPr="00486F32">
        <w:rPr>
          <w:rFonts w:cs="Times New Roman"/>
          <w:szCs w:val="28"/>
        </w:rPr>
        <w:t>反觀南韓，</w:t>
      </w:r>
      <w:r w:rsidRPr="00486F32">
        <w:rPr>
          <w:rFonts w:cs="Times New Roman"/>
          <w:szCs w:val="28"/>
        </w:rPr>
        <w:t>1994</w:t>
      </w:r>
      <w:r w:rsidRPr="00486F32">
        <w:rPr>
          <w:rFonts w:cs="Times New Roman"/>
          <w:szCs w:val="28"/>
        </w:rPr>
        <w:t>至</w:t>
      </w:r>
      <w:r w:rsidRPr="00486F32">
        <w:rPr>
          <w:rFonts w:cs="Times New Roman"/>
          <w:szCs w:val="28"/>
        </w:rPr>
        <w:t>1997</w:t>
      </w:r>
      <w:r w:rsidRPr="00486F32">
        <w:rPr>
          <w:rFonts w:cs="Times New Roman"/>
          <w:szCs w:val="28"/>
        </w:rPr>
        <w:t>年經常帳轉為逆差，惟外資持續流入。</w:t>
      </w:r>
      <w:r w:rsidR="002532C0" w:rsidRPr="00486F32">
        <w:rPr>
          <w:rFonts w:cs="Times New Roman"/>
          <w:szCs w:val="28"/>
        </w:rPr>
        <w:t>亞洲金融危機</w:t>
      </w:r>
      <w:r w:rsidRPr="00486F32">
        <w:rPr>
          <w:rFonts w:cs="Times New Roman"/>
          <w:szCs w:val="28"/>
        </w:rPr>
        <w:t>爆發後，</w:t>
      </w:r>
      <w:r w:rsidR="0075550B" w:rsidRPr="00486F32">
        <w:rPr>
          <w:rFonts w:cs="Times New Roman"/>
          <w:szCs w:val="28"/>
        </w:rPr>
        <w:t>1997</w:t>
      </w:r>
      <w:r w:rsidR="0075550B" w:rsidRPr="00486F32">
        <w:rPr>
          <w:rFonts w:cs="Times New Roman"/>
          <w:szCs w:val="28"/>
        </w:rPr>
        <w:t>年至</w:t>
      </w:r>
      <w:r w:rsidR="0075550B" w:rsidRPr="00486F32">
        <w:rPr>
          <w:rFonts w:cs="Times New Roman"/>
          <w:szCs w:val="28"/>
        </w:rPr>
        <w:t>1998</w:t>
      </w:r>
      <w:r w:rsidR="0075550B" w:rsidRPr="00486F32">
        <w:rPr>
          <w:rFonts w:cs="Times New Roman"/>
          <w:szCs w:val="28"/>
        </w:rPr>
        <w:t>年</w:t>
      </w:r>
      <w:r w:rsidRPr="00486F32">
        <w:rPr>
          <w:rFonts w:cs="Times New Roman"/>
          <w:szCs w:val="28"/>
        </w:rPr>
        <w:t>外資自亞洲撤出，南韓</w:t>
      </w:r>
      <w:r w:rsidR="004D3B70" w:rsidRPr="00486F32">
        <w:rPr>
          <w:rFonts w:cs="Times New Roman"/>
          <w:szCs w:val="28"/>
        </w:rPr>
        <w:t>也</w:t>
      </w:r>
      <w:r w:rsidRPr="00486F32">
        <w:rPr>
          <w:rFonts w:cs="Times New Roman"/>
          <w:szCs w:val="28"/>
        </w:rPr>
        <w:t>因外資反轉流出，導致韓元大貶，隨後獲得</w:t>
      </w:r>
      <w:r w:rsidRPr="00486F32">
        <w:rPr>
          <w:rFonts w:cs="Times New Roman"/>
          <w:szCs w:val="28"/>
        </w:rPr>
        <w:t>IMF</w:t>
      </w:r>
      <w:r w:rsidRPr="00486F32">
        <w:rPr>
          <w:rFonts w:cs="Times New Roman"/>
          <w:szCs w:val="28"/>
        </w:rPr>
        <w:t>援助</w:t>
      </w:r>
      <w:r w:rsidR="000C4599" w:rsidRPr="00486F32">
        <w:rPr>
          <w:rFonts w:cs="Times New Roman"/>
          <w:szCs w:val="28"/>
        </w:rPr>
        <w:t>始</w:t>
      </w:r>
      <w:r w:rsidRPr="00486F32">
        <w:rPr>
          <w:rFonts w:cs="Times New Roman"/>
          <w:szCs w:val="28"/>
        </w:rPr>
        <w:t>度過難關。</w:t>
      </w:r>
    </w:p>
    <w:p w:rsidR="009954C7" w:rsidRPr="00486F32" w:rsidRDefault="009954C7" w:rsidP="00D237F5">
      <w:pPr>
        <w:overflowPunct w:val="0"/>
        <w:spacing w:beforeLines="30" w:before="156" w:afterLines="30" w:after="156" w:line="480" w:lineRule="exact"/>
        <w:ind w:firstLineChars="202" w:firstLine="566"/>
        <w:rPr>
          <w:rFonts w:cs="Times New Roman"/>
          <w:szCs w:val="28"/>
        </w:rPr>
      </w:pPr>
      <w:r w:rsidRPr="00486F32">
        <w:rPr>
          <w:rFonts w:cs="Times New Roman"/>
          <w:szCs w:val="28"/>
        </w:rPr>
        <w:t>另</w:t>
      </w:r>
      <w:r w:rsidRPr="00486F32">
        <w:rPr>
          <w:rFonts w:cs="Times New Roman"/>
          <w:szCs w:val="28"/>
        </w:rPr>
        <w:t>2008</w:t>
      </w:r>
      <w:r w:rsidRPr="00486F32">
        <w:rPr>
          <w:rFonts w:cs="Times New Roman"/>
          <w:szCs w:val="28"/>
        </w:rPr>
        <w:t>年全球金融危機時，外資大量自南韓撤出，韓元遽貶，加重外債償還負擔，國際收支逆差達</w:t>
      </w:r>
      <w:r w:rsidRPr="00486F32">
        <w:rPr>
          <w:rFonts w:cs="Times New Roman"/>
          <w:szCs w:val="28"/>
        </w:rPr>
        <w:t>564</w:t>
      </w:r>
      <w:r w:rsidRPr="00486F32">
        <w:rPr>
          <w:rFonts w:cs="Times New Roman"/>
          <w:szCs w:val="28"/>
        </w:rPr>
        <w:t>億美元，外匯存底劇減</w:t>
      </w:r>
      <w:r w:rsidRPr="00486F32">
        <w:rPr>
          <w:rFonts w:cs="Times New Roman"/>
          <w:szCs w:val="28"/>
        </w:rPr>
        <w:t>613</w:t>
      </w:r>
      <w:r w:rsidRPr="00486F32">
        <w:rPr>
          <w:rFonts w:cs="Times New Roman"/>
          <w:szCs w:val="28"/>
        </w:rPr>
        <w:t>億美元</w:t>
      </w:r>
      <w:r w:rsidR="004D3B70" w:rsidRPr="00486F32">
        <w:rPr>
          <w:rFonts w:cs="Times New Roman"/>
          <w:szCs w:val="28"/>
        </w:rPr>
        <w:t>。</w:t>
      </w:r>
      <w:r w:rsidRPr="00486F32">
        <w:rPr>
          <w:rFonts w:cs="Times New Roman"/>
          <w:szCs w:val="28"/>
        </w:rPr>
        <w:t>所幸當時南韓央行因與美國</w:t>
      </w:r>
      <w:r w:rsidRPr="00486F32">
        <w:rPr>
          <w:rFonts w:cs="Times New Roman"/>
          <w:szCs w:val="28"/>
        </w:rPr>
        <w:t>Fed</w:t>
      </w:r>
      <w:r w:rsidRPr="00486F32">
        <w:rPr>
          <w:rFonts w:cs="Times New Roman"/>
          <w:szCs w:val="28"/>
        </w:rPr>
        <w:t>簽訂</w:t>
      </w:r>
      <w:r w:rsidRPr="00486F32">
        <w:rPr>
          <w:rFonts w:cs="Times New Roman"/>
          <w:szCs w:val="28"/>
        </w:rPr>
        <w:t>300</w:t>
      </w:r>
      <w:r w:rsidRPr="00486F32">
        <w:rPr>
          <w:rFonts w:cs="Times New Roman"/>
          <w:szCs w:val="28"/>
        </w:rPr>
        <w:t>億美元換匯額度</w:t>
      </w:r>
      <w:r w:rsidRPr="00486F32">
        <w:rPr>
          <w:rFonts w:cs="Times New Roman"/>
          <w:szCs w:val="28"/>
        </w:rPr>
        <w:t>(swap line)</w:t>
      </w:r>
      <w:r w:rsidRPr="00486F32">
        <w:rPr>
          <w:rFonts w:cs="Times New Roman"/>
          <w:szCs w:val="28"/>
        </w:rPr>
        <w:t>，支援該國美元流動性，加以南韓採行多項總體審慎措施，方使其經濟金融體系穩定下來</w:t>
      </w:r>
      <w:r w:rsidR="00CD7A7E" w:rsidRPr="00486F32">
        <w:rPr>
          <w:rFonts w:cs="Times New Roman"/>
          <w:szCs w:val="28"/>
        </w:rPr>
        <w:t>並</w:t>
      </w:r>
      <w:r w:rsidRPr="00486F32">
        <w:rPr>
          <w:rFonts w:cs="Times New Roman"/>
          <w:szCs w:val="28"/>
        </w:rPr>
        <w:t>度過危機。</w:t>
      </w:r>
    </w:p>
    <w:p w:rsidR="00361E0E" w:rsidRPr="00486F32" w:rsidRDefault="00361E0E" w:rsidP="00D237F5">
      <w:pPr>
        <w:overflowPunct w:val="0"/>
        <w:spacing w:beforeLines="30" w:before="156" w:afterLines="30" w:after="156" w:line="480" w:lineRule="exact"/>
        <w:ind w:firstLineChars="202" w:firstLine="566"/>
        <w:rPr>
          <w:rFonts w:cs="Times New Roman"/>
          <w:szCs w:val="28"/>
        </w:rPr>
      </w:pPr>
      <w:r w:rsidRPr="00486F32">
        <w:rPr>
          <w:rFonts w:cs="Times New Roman"/>
          <w:szCs w:val="28"/>
        </w:rPr>
        <w:t>由以上經驗可知，</w:t>
      </w:r>
      <w:r w:rsidRPr="00486F32">
        <w:rPr>
          <w:rFonts w:cs="Times New Roman"/>
          <w:szCs w:val="28"/>
        </w:rPr>
        <w:tab/>
      </w:r>
      <w:r w:rsidRPr="00486F32">
        <w:rPr>
          <w:rFonts w:cs="Times New Roman"/>
          <w:szCs w:val="28"/>
        </w:rPr>
        <w:t>為因應金融危機，維持匯率穩定至關重要。尤其我國並非</w:t>
      </w:r>
      <w:r w:rsidRPr="00486F32">
        <w:rPr>
          <w:rFonts w:cs="Times New Roman"/>
          <w:szCs w:val="28"/>
        </w:rPr>
        <w:t>IMF</w:t>
      </w:r>
      <w:r w:rsidRPr="00486F32">
        <w:rPr>
          <w:rFonts w:cs="Times New Roman"/>
          <w:szCs w:val="28"/>
        </w:rPr>
        <w:t>會員國，在發生金融危機時，無法獲得其奧援，</w:t>
      </w:r>
      <w:r w:rsidR="004D012F" w:rsidRPr="00486F32">
        <w:rPr>
          <w:rFonts w:cs="Times New Roman"/>
          <w:szCs w:val="28"/>
        </w:rPr>
        <w:t>從而</w:t>
      </w:r>
      <w:r w:rsidRPr="00486F32">
        <w:rPr>
          <w:rFonts w:cs="Times New Roman"/>
          <w:szCs w:val="28"/>
        </w:rPr>
        <w:t>更加凸顯本行維持新台幣匯率穩定的重要性。</w:t>
      </w:r>
    </w:p>
    <w:p w:rsidR="002B6C92" w:rsidRPr="00486F32" w:rsidRDefault="002B6C92" w:rsidP="00D237F5">
      <w:pPr>
        <w:pStyle w:val="a7"/>
        <w:numPr>
          <w:ilvl w:val="0"/>
          <w:numId w:val="1"/>
        </w:numPr>
        <w:snapToGrid w:val="0"/>
        <w:spacing w:beforeLines="30" w:before="156" w:afterLines="30" w:after="156" w:line="480" w:lineRule="exact"/>
        <w:ind w:leftChars="0" w:left="566" w:hangingChars="202" w:hanging="566"/>
        <w:rPr>
          <w:rFonts w:ascii="Times New Roman" w:eastAsia="標楷體" w:hAnsi="Times New Roman" w:cs="Times New Roman"/>
          <w:b/>
          <w:sz w:val="28"/>
          <w:szCs w:val="28"/>
        </w:rPr>
      </w:pPr>
      <w:r w:rsidRPr="00486F32">
        <w:rPr>
          <w:rFonts w:ascii="Times New Roman" w:eastAsia="標楷體" w:hAnsi="Times New Roman" w:cs="Times New Roman"/>
          <w:b/>
          <w:sz w:val="28"/>
          <w:szCs w:val="28"/>
        </w:rPr>
        <w:t>全球經濟結構性問題及挑戰</w:t>
      </w:r>
    </w:p>
    <w:p w:rsidR="00882F94" w:rsidRPr="00486F32" w:rsidRDefault="00882F94" w:rsidP="00D237F5">
      <w:pPr>
        <w:overflowPunct w:val="0"/>
        <w:spacing w:beforeLines="30" w:before="156" w:afterLines="30" w:after="156" w:line="480" w:lineRule="exact"/>
        <w:ind w:firstLineChars="202" w:firstLine="566"/>
        <w:jc w:val="left"/>
        <w:rPr>
          <w:rFonts w:cs="Times New Roman"/>
          <w:szCs w:val="28"/>
        </w:rPr>
      </w:pPr>
      <w:r w:rsidRPr="00486F32">
        <w:rPr>
          <w:rFonts w:cs="Times New Roman"/>
          <w:szCs w:val="28"/>
        </w:rPr>
        <w:t>接下來讓我們談談全球經濟結構性問題及挑戰</w:t>
      </w:r>
      <w:r w:rsidR="004611EC" w:rsidRPr="00486F32">
        <w:rPr>
          <w:rFonts w:cs="Times New Roman"/>
          <w:szCs w:val="28"/>
        </w:rPr>
        <w:t>。</w:t>
      </w:r>
      <w:r w:rsidRPr="00486F32">
        <w:rPr>
          <w:rFonts w:cs="Times New Roman"/>
          <w:szCs w:val="28"/>
        </w:rPr>
        <w:t>首先是</w:t>
      </w:r>
      <w:r w:rsidRPr="00486F32">
        <w:rPr>
          <w:rFonts w:cs="Times New Roman"/>
          <w:szCs w:val="28"/>
        </w:rPr>
        <w:tab/>
      </w:r>
      <w:r w:rsidRPr="00486F32">
        <w:rPr>
          <w:rFonts w:cs="Times New Roman"/>
          <w:szCs w:val="28"/>
        </w:rPr>
        <w:t>，全球化、科技進步及長期停滯</w:t>
      </w:r>
      <w:r w:rsidR="004611EC" w:rsidRPr="00486F32">
        <w:rPr>
          <w:rFonts w:cs="Times New Roman"/>
          <w:szCs w:val="28"/>
        </w:rPr>
        <w:t>的</w:t>
      </w:r>
      <w:r w:rsidRPr="00486F32">
        <w:rPr>
          <w:rFonts w:cs="Times New Roman"/>
          <w:szCs w:val="28"/>
        </w:rPr>
        <w:t>問題</w:t>
      </w:r>
      <w:r w:rsidR="004611EC" w:rsidRPr="00486F32">
        <w:rPr>
          <w:rFonts w:cs="Times New Roman"/>
          <w:szCs w:val="28"/>
        </w:rPr>
        <w:t>；</w:t>
      </w:r>
      <w:r w:rsidRPr="00486F32">
        <w:rPr>
          <w:rFonts w:cs="Times New Roman"/>
          <w:szCs w:val="28"/>
        </w:rPr>
        <w:t>其次是，</w:t>
      </w:r>
      <w:r w:rsidRPr="00486F32">
        <w:rPr>
          <w:rFonts w:cs="Times New Roman"/>
          <w:szCs w:val="28"/>
        </w:rPr>
        <w:tab/>
      </w:r>
      <w:r w:rsidRPr="00486F32">
        <w:rPr>
          <w:rFonts w:cs="Times New Roman"/>
          <w:szCs w:val="28"/>
        </w:rPr>
        <w:t>央行雙率政策面臨</w:t>
      </w:r>
      <w:r w:rsidR="004611EC" w:rsidRPr="00486F32">
        <w:rPr>
          <w:rFonts w:cs="Times New Roman"/>
          <w:szCs w:val="28"/>
        </w:rPr>
        <w:t>的</w:t>
      </w:r>
      <w:r w:rsidRPr="00486F32">
        <w:rPr>
          <w:rFonts w:cs="Times New Roman"/>
          <w:szCs w:val="28"/>
        </w:rPr>
        <w:t>挑戰，以及</w:t>
      </w:r>
      <w:r w:rsidRPr="00486F32">
        <w:rPr>
          <w:rFonts w:cs="Times New Roman"/>
          <w:szCs w:val="28"/>
        </w:rPr>
        <w:tab/>
      </w:r>
      <w:r w:rsidRPr="00486F32">
        <w:rPr>
          <w:rFonts w:cs="Times New Roman"/>
          <w:szCs w:val="28"/>
        </w:rPr>
        <w:t>台灣經濟發展及企業面臨</w:t>
      </w:r>
      <w:r w:rsidR="004D3B70" w:rsidRPr="00486F32">
        <w:rPr>
          <w:rFonts w:cs="Times New Roman"/>
          <w:szCs w:val="28"/>
        </w:rPr>
        <w:t>的</w:t>
      </w:r>
      <w:r w:rsidRPr="00486F32">
        <w:rPr>
          <w:rFonts w:cs="Times New Roman"/>
          <w:szCs w:val="28"/>
        </w:rPr>
        <w:t>結構性問題。</w:t>
      </w:r>
    </w:p>
    <w:p w:rsidR="001056A7" w:rsidRPr="00486F32" w:rsidRDefault="001056A7" w:rsidP="00D237F5">
      <w:pPr>
        <w:pStyle w:val="a7"/>
        <w:numPr>
          <w:ilvl w:val="0"/>
          <w:numId w:val="6"/>
        </w:numPr>
        <w:spacing w:beforeLines="50" w:before="260" w:afterLines="50" w:after="260" w:line="480" w:lineRule="exact"/>
        <w:ind w:leftChars="0"/>
        <w:rPr>
          <w:rFonts w:ascii="Times New Roman" w:eastAsia="標楷體" w:hAnsi="Times New Roman" w:cs="Times New Roman"/>
          <w:b/>
          <w:sz w:val="28"/>
          <w:szCs w:val="28"/>
        </w:rPr>
      </w:pPr>
      <w:r w:rsidRPr="00486F32">
        <w:rPr>
          <w:rFonts w:ascii="Times New Roman" w:eastAsia="標楷體" w:hAnsi="Times New Roman" w:cs="Times New Roman"/>
          <w:b/>
          <w:sz w:val="28"/>
          <w:szCs w:val="28"/>
        </w:rPr>
        <w:t>全球化、科技進步及長期停滯</w:t>
      </w:r>
      <w:r w:rsidR="004611EC" w:rsidRPr="00486F32">
        <w:rPr>
          <w:rFonts w:ascii="Times New Roman" w:eastAsia="標楷體" w:hAnsi="Times New Roman" w:cs="Times New Roman"/>
          <w:b/>
          <w:sz w:val="28"/>
          <w:szCs w:val="28"/>
        </w:rPr>
        <w:t>的</w:t>
      </w:r>
      <w:r w:rsidRPr="00486F32">
        <w:rPr>
          <w:rFonts w:ascii="Times New Roman" w:eastAsia="標楷體" w:hAnsi="Times New Roman" w:cs="Times New Roman"/>
          <w:b/>
          <w:sz w:val="28"/>
          <w:szCs w:val="28"/>
        </w:rPr>
        <w:t>問題</w:t>
      </w:r>
    </w:p>
    <w:p w:rsidR="00E42FD6" w:rsidRPr="00486F32" w:rsidRDefault="001056A7" w:rsidP="00D237F5">
      <w:pPr>
        <w:pStyle w:val="a7"/>
        <w:numPr>
          <w:ilvl w:val="0"/>
          <w:numId w:val="7"/>
        </w:numPr>
        <w:spacing w:before="30" w:after="30" w:line="480" w:lineRule="exact"/>
        <w:ind w:leftChars="0" w:left="284" w:hanging="284"/>
        <w:rPr>
          <w:rFonts w:ascii="Times New Roman" w:eastAsia="標楷體" w:hAnsi="Times New Roman" w:cs="Times New Roman"/>
          <w:b/>
          <w:sz w:val="28"/>
          <w:szCs w:val="28"/>
        </w:rPr>
      </w:pPr>
      <w:r w:rsidRPr="00486F32">
        <w:rPr>
          <w:rFonts w:ascii="Times New Roman" w:eastAsia="標楷體" w:hAnsi="Times New Roman" w:cs="Times New Roman"/>
          <w:b/>
          <w:sz w:val="28"/>
          <w:szCs w:val="28"/>
        </w:rPr>
        <w:t>受全球化、科技進步影響，全球薪資成長趨緩，</w:t>
      </w:r>
      <w:r w:rsidR="00E42FD6" w:rsidRPr="00486F32">
        <w:rPr>
          <w:rFonts w:ascii="Times New Roman" w:eastAsia="標楷體" w:hAnsi="Times New Roman" w:cs="Times New Roman"/>
          <w:b/>
          <w:sz w:val="28"/>
          <w:szCs w:val="28"/>
        </w:rPr>
        <w:t>各國國內所得分配不均惡化，致勞工購買力下降，有效需求下降</w:t>
      </w:r>
    </w:p>
    <w:p w:rsidR="001056A7" w:rsidRPr="00486F32" w:rsidRDefault="001056A7" w:rsidP="00D237F5">
      <w:pPr>
        <w:overflowPunct w:val="0"/>
        <w:spacing w:beforeLines="30" w:before="156" w:afterLines="30" w:after="156" w:line="480" w:lineRule="exact"/>
        <w:ind w:firstLineChars="202" w:firstLine="566"/>
        <w:rPr>
          <w:rFonts w:cs="Times New Roman"/>
          <w:szCs w:val="28"/>
        </w:rPr>
      </w:pPr>
      <w:r w:rsidRPr="00486F32">
        <w:rPr>
          <w:rFonts w:cs="Times New Roman"/>
          <w:szCs w:val="28"/>
        </w:rPr>
        <w:t>全球化主要是各國透過商品與服務、資本、人員的自由流動，所帶來全球高度的經濟整合</w:t>
      </w:r>
      <w:r w:rsidRPr="00486F32">
        <w:rPr>
          <w:rFonts w:cs="Times New Roman"/>
          <w:szCs w:val="28"/>
        </w:rPr>
        <w:t>(economic integration)</w:t>
      </w:r>
      <w:r w:rsidRPr="00486F32">
        <w:rPr>
          <w:rFonts w:cs="Times New Roman"/>
          <w:szCs w:val="28"/>
        </w:rPr>
        <w:t>現象。其中，企業為了</w:t>
      </w:r>
      <w:r w:rsidRPr="00486F32">
        <w:rPr>
          <w:rFonts w:cs="Times New Roman"/>
          <w:szCs w:val="28"/>
        </w:rPr>
        <w:lastRenderedPageBreak/>
        <w:t>降低成本、提升附加價值及競爭力，基於比較利益，結合各國生產要素，</w:t>
      </w:r>
      <w:r w:rsidR="004611EC" w:rsidRPr="00486F32">
        <w:rPr>
          <w:rFonts w:cs="Times New Roman"/>
          <w:szCs w:val="28"/>
        </w:rPr>
        <w:t>在</w:t>
      </w:r>
      <w:r w:rsidRPr="00486F32">
        <w:rPr>
          <w:rFonts w:cs="Times New Roman"/>
          <w:szCs w:val="28"/>
        </w:rPr>
        <w:t>各產業及地理區域交織形成網絡架構，進行專業分工</w:t>
      </w:r>
      <w:r w:rsidR="004611EC" w:rsidRPr="00486F32">
        <w:rPr>
          <w:rFonts w:cs="Times New Roman"/>
          <w:szCs w:val="28"/>
        </w:rPr>
        <w:t>；</w:t>
      </w:r>
      <w:r w:rsidRPr="00486F32">
        <w:rPr>
          <w:rFonts w:cs="Times New Roman"/>
          <w:szCs w:val="28"/>
        </w:rPr>
        <w:t>跨國企業是全球化浪潮的主要推波者，全球化與全球供應鏈發展相輔相成。</w:t>
      </w:r>
    </w:p>
    <w:p w:rsidR="001056A7" w:rsidRPr="00486F32" w:rsidRDefault="001056A7" w:rsidP="001056A7">
      <w:pPr>
        <w:overflowPunct w:val="0"/>
        <w:spacing w:beforeLines="30" w:before="156" w:afterLines="30" w:after="156" w:line="520" w:lineRule="exact"/>
        <w:ind w:firstLineChars="202" w:firstLine="566"/>
        <w:rPr>
          <w:rFonts w:cs="Times New Roman"/>
          <w:szCs w:val="28"/>
        </w:rPr>
      </w:pPr>
      <w:r w:rsidRPr="00486F32">
        <w:rPr>
          <w:rFonts w:cs="Times New Roman"/>
          <w:szCs w:val="28"/>
        </w:rPr>
        <w:t>伴隨著全球化、技術進步出現的結構性變革，金融部門</w:t>
      </w:r>
      <w:r w:rsidR="004611EC" w:rsidRPr="00486F32">
        <w:rPr>
          <w:rFonts w:cs="Times New Roman"/>
          <w:szCs w:val="28"/>
        </w:rPr>
        <w:t>也</w:t>
      </w:r>
      <w:r w:rsidRPr="00486F32">
        <w:rPr>
          <w:rFonts w:cs="Times New Roman"/>
          <w:szCs w:val="28"/>
        </w:rPr>
        <w:t>因管制變革及金融科技</w:t>
      </w:r>
      <w:r w:rsidRPr="00486F32">
        <w:rPr>
          <w:rFonts w:cs="Times New Roman"/>
          <w:szCs w:val="28"/>
        </w:rPr>
        <w:t>(Financial Technology, FinTech)</w:t>
      </w:r>
      <w:r w:rsidRPr="00486F32">
        <w:rPr>
          <w:rFonts w:cs="Times New Roman"/>
          <w:szCs w:val="28"/>
        </w:rPr>
        <w:t>創新，出現了結構性轉變</w:t>
      </w:r>
      <w:r w:rsidR="004D3B70" w:rsidRPr="00486F32">
        <w:rPr>
          <w:rFonts w:ascii="新細明體" w:eastAsia="新細明體" w:hAnsi="新細明體" w:cs="Times New Roman" w:hint="eastAsia"/>
          <w:szCs w:val="28"/>
        </w:rPr>
        <w:t>。</w:t>
      </w:r>
      <w:r w:rsidRPr="00486F32">
        <w:rPr>
          <w:rFonts w:cs="Times New Roman"/>
          <w:szCs w:val="28"/>
        </w:rPr>
        <w:t>加上人口結構老化問題，近年來全球就業市場出現明顯轉變，</w:t>
      </w:r>
      <w:r w:rsidR="00EA34D6" w:rsidRPr="00486F32">
        <w:rPr>
          <w:rFonts w:cs="Times New Roman"/>
          <w:szCs w:val="28"/>
        </w:rPr>
        <w:t>也</w:t>
      </w:r>
      <w:r w:rsidRPr="00486F32">
        <w:rPr>
          <w:rFonts w:cs="Times New Roman"/>
          <w:szCs w:val="28"/>
        </w:rPr>
        <w:t>使得各國低技術受雇人員受到負面衝擊。這些發展亦使許多國家均出現工資成長緩慢、勞動份額下降、所得分配不均惡化、生產力成長減緩，以及有效需求下降等問題。</w:t>
      </w:r>
    </w:p>
    <w:p w:rsidR="001056A7" w:rsidRPr="00486F32" w:rsidRDefault="001056A7" w:rsidP="001056A7">
      <w:pPr>
        <w:pStyle w:val="a7"/>
        <w:numPr>
          <w:ilvl w:val="0"/>
          <w:numId w:val="7"/>
        </w:numPr>
        <w:spacing w:before="30" w:after="30" w:line="520" w:lineRule="exact"/>
        <w:ind w:leftChars="0" w:left="284" w:hanging="284"/>
        <w:rPr>
          <w:rFonts w:ascii="Times New Roman" w:eastAsia="標楷體" w:hAnsi="Times New Roman" w:cs="Times New Roman"/>
          <w:b/>
          <w:sz w:val="28"/>
          <w:szCs w:val="28"/>
        </w:rPr>
      </w:pPr>
      <w:r w:rsidRPr="00486F32">
        <w:rPr>
          <w:rFonts w:ascii="Times New Roman" w:eastAsia="標楷體" w:hAnsi="Times New Roman" w:cs="Times New Roman"/>
          <w:b/>
          <w:sz w:val="28"/>
          <w:szCs w:val="28"/>
        </w:rPr>
        <w:t>全球金融危機後，全球經濟長期停滯</w:t>
      </w:r>
    </w:p>
    <w:p w:rsidR="001056A7" w:rsidRPr="00486F32" w:rsidRDefault="001056A7" w:rsidP="001056A7">
      <w:pPr>
        <w:overflowPunct w:val="0"/>
        <w:spacing w:beforeLines="30" w:before="156" w:afterLines="30" w:after="156" w:line="520" w:lineRule="exact"/>
        <w:ind w:firstLineChars="202" w:firstLine="566"/>
        <w:rPr>
          <w:rFonts w:cs="Times New Roman"/>
        </w:rPr>
      </w:pPr>
      <w:r w:rsidRPr="00486F32">
        <w:rPr>
          <w:rFonts w:cs="Times New Roman"/>
        </w:rPr>
        <w:t>2008</w:t>
      </w:r>
      <w:r w:rsidRPr="00486F32">
        <w:rPr>
          <w:rFonts w:cs="Times New Roman"/>
        </w:rPr>
        <w:t>年全球金融危機爆發，引發大衰退</w:t>
      </w:r>
      <w:r w:rsidRPr="00486F32">
        <w:rPr>
          <w:rFonts w:cs="Times New Roman"/>
        </w:rPr>
        <w:t>(Great Recession)</w:t>
      </w:r>
      <w:r w:rsidR="004D3B70" w:rsidRPr="00486F32">
        <w:rPr>
          <w:rFonts w:ascii="新細明體" w:eastAsia="新細明體" w:hAnsi="新細明體" w:cs="Times New Roman" w:hint="eastAsia"/>
        </w:rPr>
        <w:t>。</w:t>
      </w:r>
      <w:r w:rsidRPr="00486F32">
        <w:rPr>
          <w:rFonts w:cs="Times New Roman"/>
        </w:rPr>
        <w:t>全球經濟雖一度於</w:t>
      </w:r>
      <w:r w:rsidRPr="00486F32">
        <w:rPr>
          <w:rFonts w:cs="Times New Roman"/>
        </w:rPr>
        <w:t>2010</w:t>
      </w:r>
      <w:r w:rsidRPr="00486F32">
        <w:rPr>
          <w:rFonts w:cs="Times New Roman"/>
        </w:rPr>
        <w:t>年強勁成長，</w:t>
      </w:r>
      <w:r w:rsidR="00EA34D6" w:rsidRPr="00486F32">
        <w:rPr>
          <w:rFonts w:cs="Times New Roman"/>
        </w:rPr>
        <w:t>但</w:t>
      </w:r>
      <w:r w:rsidRPr="00486F32">
        <w:rPr>
          <w:rFonts w:cs="Times New Roman"/>
        </w:rPr>
        <w:t>2011</w:t>
      </w:r>
      <w:r w:rsidRPr="00486F32">
        <w:rPr>
          <w:rFonts w:cs="Times New Roman"/>
        </w:rPr>
        <w:t>年迄今，全球經濟</w:t>
      </w:r>
      <w:r w:rsidR="00EA34D6" w:rsidRPr="00486F32">
        <w:rPr>
          <w:rFonts w:cs="Times New Roman"/>
        </w:rPr>
        <w:t>依然</w:t>
      </w:r>
      <w:r w:rsidRPr="00486F32">
        <w:rPr>
          <w:rFonts w:cs="Times New Roman"/>
        </w:rPr>
        <w:t>處在低成長陷阱</w:t>
      </w:r>
      <w:r w:rsidRPr="00486F32">
        <w:rPr>
          <w:rFonts w:cs="Times New Roman"/>
        </w:rPr>
        <w:t>(low growth trap)</w:t>
      </w:r>
      <w:r w:rsidRPr="00486F32">
        <w:rPr>
          <w:rFonts w:cs="Times New Roman"/>
        </w:rPr>
        <w:t>中</w:t>
      </w:r>
      <w:r w:rsidR="004D3B70" w:rsidRPr="00486F32">
        <w:rPr>
          <w:rFonts w:ascii="新細明體" w:eastAsia="新細明體" w:hAnsi="新細明體" w:cs="Times New Roman" w:hint="eastAsia"/>
        </w:rPr>
        <w:t>。</w:t>
      </w:r>
      <w:r w:rsidRPr="00486F32">
        <w:rPr>
          <w:rFonts w:cs="Times New Roman"/>
        </w:rPr>
        <w:t>無論是近年來經濟學家不斷提出的長期停滯，或</w:t>
      </w:r>
      <w:r w:rsidR="00EA34D6" w:rsidRPr="00486F32">
        <w:rPr>
          <w:rFonts w:cs="Times New Roman"/>
        </w:rPr>
        <w:t>是</w:t>
      </w:r>
      <w:r w:rsidRPr="00486F32">
        <w:rPr>
          <w:rFonts w:cs="Times New Roman"/>
        </w:rPr>
        <w:t>IMF</w:t>
      </w:r>
      <w:r w:rsidRPr="00486F32">
        <w:rPr>
          <w:rFonts w:cs="Times New Roman"/>
        </w:rPr>
        <w:t>執行長</w:t>
      </w:r>
      <w:r w:rsidRPr="00486F32">
        <w:rPr>
          <w:rFonts w:cs="Times New Roman"/>
        </w:rPr>
        <w:t>Christine Lagarde</w:t>
      </w:r>
      <w:r w:rsidRPr="00486F32">
        <w:rPr>
          <w:rFonts w:cs="Times New Roman"/>
        </w:rPr>
        <w:t>所</w:t>
      </w:r>
      <w:r w:rsidR="00EA34D6" w:rsidRPr="00486F32">
        <w:rPr>
          <w:rFonts w:cs="Times New Roman"/>
        </w:rPr>
        <w:t>說</w:t>
      </w:r>
      <w:r w:rsidRPr="00486F32">
        <w:rPr>
          <w:rFonts w:cs="Times New Roman"/>
        </w:rPr>
        <w:t>的新平庸</w:t>
      </w:r>
      <w:r w:rsidRPr="00486F32">
        <w:rPr>
          <w:rFonts w:cs="Times New Roman"/>
        </w:rPr>
        <w:t>(new mediocre)</w:t>
      </w:r>
      <w:r w:rsidRPr="00486F32">
        <w:rPr>
          <w:rFonts w:cs="Times New Roman"/>
        </w:rPr>
        <w:t>，</w:t>
      </w:r>
      <w:r w:rsidR="00EA34D6" w:rsidRPr="00486F32">
        <w:rPr>
          <w:rFonts w:cs="Times New Roman"/>
        </w:rPr>
        <w:t>都在</w:t>
      </w:r>
      <w:r w:rsidRPr="00486F32">
        <w:rPr>
          <w:rFonts w:cs="Times New Roman"/>
        </w:rPr>
        <w:t>描述全球金融危機後，全球經濟陷入投資不足、低信心、低成長、低通膨的惡性循環，導致經濟疲弱不振的困境。</w:t>
      </w:r>
    </w:p>
    <w:p w:rsidR="00137FA7" w:rsidRPr="00486F32" w:rsidRDefault="00137FA7" w:rsidP="00137FA7">
      <w:pPr>
        <w:overflowPunct w:val="0"/>
        <w:spacing w:beforeLines="30" w:before="156" w:afterLines="30" w:after="156" w:line="520" w:lineRule="exact"/>
        <w:ind w:firstLineChars="202" w:firstLine="566"/>
        <w:rPr>
          <w:rFonts w:cs="Times New Roman"/>
        </w:rPr>
      </w:pPr>
      <w:r w:rsidRPr="00486F32">
        <w:rPr>
          <w:rFonts w:cs="Times New Roman"/>
        </w:rPr>
        <w:t>關於長期停滯的成因，有些可歸因於需求面</w:t>
      </w:r>
      <w:r w:rsidR="00B1198E" w:rsidRPr="00486F32">
        <w:rPr>
          <w:rFonts w:cs="Times New Roman"/>
        </w:rPr>
        <w:t>所</w:t>
      </w:r>
      <w:r w:rsidRPr="00486F32">
        <w:rPr>
          <w:rFonts w:cs="Times New Roman"/>
        </w:rPr>
        <w:t>面臨</w:t>
      </w:r>
      <w:r w:rsidR="00B1198E" w:rsidRPr="00486F32">
        <w:rPr>
          <w:rFonts w:cs="Times New Roman"/>
        </w:rPr>
        <w:t>的</w:t>
      </w:r>
      <w:r w:rsidRPr="00486F32">
        <w:rPr>
          <w:rFonts w:cs="Times New Roman"/>
        </w:rPr>
        <w:t>疲弱不振，例如政府支出不足，政治、經濟、法規等前景之不確定性，缺乏投資信心，全球供應鏈改變，貿易量出現結構性下降，以及薪資成長停滯，削弱消費能力，</w:t>
      </w:r>
      <w:r w:rsidR="00B1198E" w:rsidRPr="00486F32">
        <w:rPr>
          <w:rFonts w:cs="Times New Roman"/>
        </w:rPr>
        <w:t>在在</w:t>
      </w:r>
      <w:r w:rsidRPr="00486F32">
        <w:rPr>
          <w:rFonts w:cs="Times New Roman"/>
        </w:rPr>
        <w:t>使得有效需求下降；另有些可歸因於供給面因素，如人口老化加速</w:t>
      </w:r>
      <w:r w:rsidR="00F22318" w:rsidRPr="00486F32">
        <w:rPr>
          <w:rFonts w:cs="Times New Roman"/>
        </w:rPr>
        <w:t>，</w:t>
      </w:r>
      <w:r w:rsidR="00DB3BF5" w:rsidRPr="00486F32">
        <w:rPr>
          <w:rFonts w:cs="Times New Roman"/>
        </w:rPr>
        <w:t>勞動力參與率下降，就業市場</w:t>
      </w:r>
      <w:r w:rsidR="007D676B" w:rsidRPr="00486F32">
        <w:rPr>
          <w:rFonts w:cs="Times New Roman"/>
        </w:rPr>
        <w:t>學用落差</w:t>
      </w:r>
      <w:r w:rsidRPr="00486F32">
        <w:rPr>
          <w:rFonts w:cs="Times New Roman"/>
        </w:rPr>
        <w:t>，銀行去槓桿化，民間投資欠缺資金，政府縮減公共投資，基礎建設投資出現瓶頸，缺乏重大創新，技術進步停滯等。</w:t>
      </w:r>
      <w:r w:rsidR="00C633F9" w:rsidRPr="00486F32">
        <w:rPr>
          <w:rFonts w:cs="Times New Roman"/>
        </w:rPr>
        <w:t>當前全球經濟長期停滯，有效</w:t>
      </w:r>
      <w:r w:rsidRPr="00486F32">
        <w:rPr>
          <w:rFonts w:cs="Times New Roman"/>
        </w:rPr>
        <w:t>需求不足</w:t>
      </w:r>
      <w:r w:rsidR="00C633F9" w:rsidRPr="00486F32">
        <w:rPr>
          <w:rFonts w:cs="Times New Roman"/>
        </w:rPr>
        <w:t>；</w:t>
      </w:r>
      <w:r w:rsidRPr="00486F32">
        <w:rPr>
          <w:rFonts w:cs="Times New Roman"/>
        </w:rPr>
        <w:t>而全球化又使各國經貿金融關係牽一髮動全身，無論政府或企業均須找到新的、</w:t>
      </w:r>
      <w:r w:rsidR="00712241" w:rsidRPr="00486F32">
        <w:rPr>
          <w:rFonts w:cs="Times New Roman"/>
        </w:rPr>
        <w:t>因應</w:t>
      </w:r>
      <w:r w:rsidRPr="00486F32">
        <w:rPr>
          <w:rFonts w:cs="Times New Roman"/>
        </w:rPr>
        <w:t>全球經濟結構變化的策略。</w:t>
      </w:r>
    </w:p>
    <w:p w:rsidR="00E81C21" w:rsidRPr="00486F32" w:rsidRDefault="00E81C21" w:rsidP="00411DA9">
      <w:pPr>
        <w:pStyle w:val="a7"/>
        <w:numPr>
          <w:ilvl w:val="0"/>
          <w:numId w:val="6"/>
        </w:numPr>
        <w:spacing w:beforeLines="50" w:before="260" w:afterLines="50" w:after="260" w:line="520" w:lineRule="exact"/>
        <w:ind w:leftChars="0"/>
        <w:rPr>
          <w:rFonts w:ascii="Times New Roman" w:eastAsia="標楷體" w:hAnsi="Times New Roman" w:cs="Times New Roman"/>
          <w:b/>
          <w:sz w:val="28"/>
          <w:szCs w:val="28"/>
        </w:rPr>
      </w:pPr>
      <w:r w:rsidRPr="00486F32">
        <w:rPr>
          <w:rFonts w:ascii="Times New Roman" w:eastAsia="標楷體" w:hAnsi="Times New Roman" w:cs="Times New Roman"/>
          <w:b/>
          <w:sz w:val="28"/>
          <w:szCs w:val="28"/>
        </w:rPr>
        <w:lastRenderedPageBreak/>
        <w:t>央行雙率政策面臨</w:t>
      </w:r>
      <w:r w:rsidR="00B1198E" w:rsidRPr="00486F32">
        <w:rPr>
          <w:rFonts w:ascii="Times New Roman" w:eastAsia="標楷體" w:hAnsi="Times New Roman" w:cs="Times New Roman"/>
          <w:b/>
          <w:sz w:val="28"/>
          <w:szCs w:val="28"/>
        </w:rPr>
        <w:t>的</w:t>
      </w:r>
      <w:r w:rsidRPr="00486F32">
        <w:rPr>
          <w:rFonts w:ascii="Times New Roman" w:eastAsia="標楷體" w:hAnsi="Times New Roman" w:cs="Times New Roman"/>
          <w:b/>
          <w:sz w:val="28"/>
          <w:szCs w:val="28"/>
        </w:rPr>
        <w:t>挑戰</w:t>
      </w:r>
    </w:p>
    <w:p w:rsidR="00310C42" w:rsidRPr="00486F32" w:rsidRDefault="00310C42" w:rsidP="00310C42">
      <w:pPr>
        <w:pStyle w:val="a7"/>
        <w:numPr>
          <w:ilvl w:val="0"/>
          <w:numId w:val="21"/>
        </w:numPr>
        <w:spacing w:before="30" w:after="30" w:line="520" w:lineRule="exact"/>
        <w:ind w:leftChars="0" w:left="284" w:hanging="284"/>
        <w:rPr>
          <w:rFonts w:ascii="Times New Roman" w:eastAsia="標楷體" w:hAnsi="Times New Roman" w:cs="Times New Roman"/>
          <w:b/>
          <w:sz w:val="28"/>
          <w:szCs w:val="28"/>
        </w:rPr>
      </w:pPr>
      <w:r w:rsidRPr="00486F32">
        <w:rPr>
          <w:rFonts w:ascii="Times New Roman" w:eastAsia="標楷體" w:hAnsi="Times New Roman" w:cs="Times New Roman"/>
          <w:b/>
          <w:sz w:val="28"/>
          <w:szCs w:val="28"/>
        </w:rPr>
        <w:t>全球利率走低，寬鬆性貨幣政策激勵經濟成長的效果有其侷限</w:t>
      </w:r>
    </w:p>
    <w:p w:rsidR="00B33789" w:rsidRPr="00486F32" w:rsidRDefault="00B33789" w:rsidP="00B33789">
      <w:pPr>
        <w:overflowPunct w:val="0"/>
        <w:spacing w:beforeLines="30" w:before="156" w:afterLines="30" w:after="156" w:line="520" w:lineRule="exact"/>
        <w:ind w:firstLineChars="202" w:firstLine="566"/>
        <w:rPr>
          <w:rFonts w:cs="Times New Roman"/>
        </w:rPr>
      </w:pPr>
      <w:r w:rsidRPr="00486F32">
        <w:rPr>
          <w:rFonts w:cs="Times New Roman"/>
        </w:rPr>
        <w:t>除了實質面經濟出現結構性轉變外，近年來新經濟的快速發展，</w:t>
      </w:r>
      <w:r w:rsidR="00B1198E" w:rsidRPr="00486F32">
        <w:rPr>
          <w:rFonts w:cs="Times New Roman"/>
        </w:rPr>
        <w:t>也</w:t>
      </w:r>
      <w:r w:rsidRPr="00486F32">
        <w:rPr>
          <w:rFonts w:cs="Times New Roman"/>
        </w:rPr>
        <w:t>使傳統經濟理論及央行貨幣政策面臨不小的挑戰。自全球金融危機以來，全球經濟出現長期停滯的現象，有效需求不足，再加上主要經濟體央行實施非傳統的量化寬鬆貨幣政策，造成全球普遍面臨低利率問題，限縮央行因應經濟下行的能力，使得各國央行貨幣政策傳遞機制弱化，</w:t>
      </w:r>
      <w:r w:rsidR="00B1198E" w:rsidRPr="00486F32">
        <w:rPr>
          <w:rFonts w:cs="Times New Roman"/>
        </w:rPr>
        <w:t>也</w:t>
      </w:r>
      <w:r w:rsidRPr="00486F32">
        <w:rPr>
          <w:rFonts w:cs="Times New Roman"/>
        </w:rPr>
        <w:t>壓低</w:t>
      </w:r>
      <w:r w:rsidR="00B1198E" w:rsidRPr="00486F32">
        <w:rPr>
          <w:rFonts w:cs="Times New Roman"/>
        </w:rPr>
        <w:t>了</w:t>
      </w:r>
      <w:r w:rsidRPr="00486F32">
        <w:rPr>
          <w:rFonts w:cs="Times New Roman"/>
        </w:rPr>
        <w:t>民眾對未來通膨的預期</w:t>
      </w:r>
      <w:r w:rsidRPr="00486F32">
        <w:rPr>
          <w:rFonts w:cs="Times New Roman"/>
          <w:vertAlign w:val="superscript"/>
        </w:rPr>
        <w:footnoteReference w:id="15"/>
      </w:r>
      <w:r w:rsidRPr="00486F32">
        <w:rPr>
          <w:rFonts w:cs="Times New Roman"/>
        </w:rPr>
        <w:t>。一般咸認，貨幣政策已無足夠的發揮空間，寬鬆性貨幣政策激勵經濟成長的效果，可能已瀕臨極限</w:t>
      </w:r>
      <w:r w:rsidRPr="00486F32">
        <w:rPr>
          <w:rFonts w:cs="Times New Roman"/>
          <w:vertAlign w:val="superscript"/>
        </w:rPr>
        <w:footnoteReference w:id="16"/>
      </w:r>
      <w:r w:rsidRPr="00486F32">
        <w:rPr>
          <w:rFonts w:cs="Times New Roman"/>
        </w:rPr>
        <w:t>。</w:t>
      </w:r>
    </w:p>
    <w:p w:rsidR="00E42FD6" w:rsidRPr="00486F32" w:rsidRDefault="00E42FD6" w:rsidP="00E42FD6">
      <w:pPr>
        <w:pStyle w:val="a7"/>
        <w:numPr>
          <w:ilvl w:val="0"/>
          <w:numId w:val="21"/>
        </w:numPr>
        <w:spacing w:before="30" w:after="30" w:line="520" w:lineRule="exact"/>
        <w:ind w:leftChars="0" w:left="284" w:hanging="284"/>
        <w:rPr>
          <w:rFonts w:ascii="Times New Roman" w:eastAsia="標楷體" w:hAnsi="Times New Roman" w:cs="Times New Roman"/>
          <w:b/>
          <w:sz w:val="28"/>
          <w:szCs w:val="28"/>
        </w:rPr>
      </w:pPr>
      <w:r w:rsidRPr="00486F32">
        <w:rPr>
          <w:rFonts w:ascii="Times New Roman" w:eastAsia="標楷體" w:hAnsi="Times New Roman" w:cs="Times New Roman"/>
          <w:b/>
          <w:sz w:val="28"/>
          <w:szCs w:val="28"/>
        </w:rPr>
        <w:t>當代貨幣政策</w:t>
      </w:r>
      <w:r w:rsidR="008A031E" w:rsidRPr="00486F32">
        <w:rPr>
          <w:rFonts w:ascii="Times New Roman" w:eastAsia="標楷體" w:hAnsi="Times New Roman" w:cs="Times New Roman"/>
          <w:b/>
          <w:sz w:val="28"/>
          <w:szCs w:val="28"/>
        </w:rPr>
        <w:t>面臨</w:t>
      </w:r>
      <w:r w:rsidR="00B1198E" w:rsidRPr="00486F32">
        <w:rPr>
          <w:rFonts w:ascii="Times New Roman" w:eastAsia="標楷體" w:hAnsi="Times New Roman" w:cs="Times New Roman"/>
          <w:b/>
          <w:sz w:val="28"/>
          <w:szCs w:val="28"/>
        </w:rPr>
        <w:t>的</w:t>
      </w:r>
      <w:r w:rsidRPr="00486F32">
        <w:rPr>
          <w:rFonts w:ascii="Times New Roman" w:eastAsia="標楷體" w:hAnsi="Times New Roman" w:cs="Times New Roman"/>
          <w:b/>
          <w:sz w:val="28"/>
          <w:szCs w:val="28"/>
        </w:rPr>
        <w:t>挑戰</w:t>
      </w:r>
    </w:p>
    <w:p w:rsidR="009B2A0B" w:rsidRPr="00486F32" w:rsidRDefault="009B2A0B" w:rsidP="009B2A0B">
      <w:pPr>
        <w:overflowPunct w:val="0"/>
        <w:spacing w:beforeLines="30" w:before="156" w:afterLines="30" w:after="156" w:line="520" w:lineRule="exact"/>
        <w:ind w:firstLineChars="202" w:firstLine="566"/>
        <w:rPr>
          <w:rFonts w:cs="Times New Roman"/>
          <w:szCs w:val="28"/>
        </w:rPr>
      </w:pPr>
      <w:r w:rsidRPr="00486F32">
        <w:rPr>
          <w:rFonts w:cs="Times New Roman"/>
          <w:szCs w:val="28"/>
        </w:rPr>
        <w:t>有關貨幣政策的傳遞管道或執行層面，隨著全球化與科技進步的發展，</w:t>
      </w:r>
      <w:r w:rsidR="00B1198E" w:rsidRPr="00486F32">
        <w:rPr>
          <w:rFonts w:cs="Times New Roman"/>
        </w:rPr>
        <w:t>也</w:t>
      </w:r>
      <w:r w:rsidRPr="00486F32">
        <w:rPr>
          <w:rFonts w:cs="Times New Roman"/>
          <w:szCs w:val="28"/>
        </w:rPr>
        <w:t>存在幾個</w:t>
      </w:r>
      <w:r w:rsidR="00B1198E" w:rsidRPr="00486F32">
        <w:rPr>
          <w:rFonts w:cs="Times New Roman"/>
          <w:szCs w:val="28"/>
        </w:rPr>
        <w:t>值得</w:t>
      </w:r>
      <w:r w:rsidRPr="00486F32">
        <w:rPr>
          <w:rFonts w:cs="Times New Roman"/>
          <w:szCs w:val="28"/>
        </w:rPr>
        <w:t>關注的議題</w:t>
      </w:r>
      <w:r w:rsidR="00B1198E" w:rsidRPr="00486F32">
        <w:rPr>
          <w:rFonts w:cs="Times New Roman"/>
          <w:szCs w:val="28"/>
        </w:rPr>
        <w:t>和</w:t>
      </w:r>
      <w:r w:rsidRPr="00486F32">
        <w:rPr>
          <w:rFonts w:cs="Times New Roman"/>
          <w:szCs w:val="28"/>
        </w:rPr>
        <w:t>挑戰。首先，貨幣政策模型設定仰賴失業率、通膨率等重要指標</w:t>
      </w:r>
      <w:r w:rsidR="00B1198E" w:rsidRPr="00486F32">
        <w:rPr>
          <w:rFonts w:cs="Times New Roman"/>
          <w:szCs w:val="28"/>
        </w:rPr>
        <w:t>；</w:t>
      </w:r>
      <w:r w:rsidRPr="00486F32">
        <w:rPr>
          <w:rFonts w:cs="Times New Roman"/>
          <w:szCs w:val="28"/>
        </w:rPr>
        <w:t>然而，近年來研究發現，失業率與通膨率間的抵換關係弱化，加上經濟與市場結構的快速變動，愈來愈難以掌握或選取適切的貨幣政策指標。</w:t>
      </w:r>
    </w:p>
    <w:p w:rsidR="009B2A0B" w:rsidRPr="00486F32" w:rsidRDefault="009B2A0B" w:rsidP="009B2A0B">
      <w:pPr>
        <w:overflowPunct w:val="0"/>
        <w:spacing w:beforeLines="30" w:before="156" w:afterLines="30" w:after="156" w:line="520" w:lineRule="exact"/>
        <w:ind w:firstLineChars="202" w:firstLine="566"/>
        <w:rPr>
          <w:rFonts w:cs="Times New Roman"/>
          <w:szCs w:val="28"/>
        </w:rPr>
      </w:pPr>
      <w:r w:rsidRPr="00486F32">
        <w:rPr>
          <w:rFonts w:cs="Times New Roman"/>
          <w:szCs w:val="28"/>
        </w:rPr>
        <w:t>其次，人口結構老化，意味著相較於年輕人，年長者通常握有更多資產或常為債權人，借款需求較少，對利率高低及信用鬆緊較不敏</w:t>
      </w:r>
      <w:r w:rsidRPr="00486F32">
        <w:rPr>
          <w:rFonts w:cs="Times New Roman"/>
          <w:szCs w:val="28"/>
        </w:rPr>
        <w:lastRenderedPageBreak/>
        <w:t>感，減弱利率、信用等貨幣政策主要傳遞管道的重要性，影響貨幣政策的效力。</w:t>
      </w:r>
    </w:p>
    <w:p w:rsidR="006645B6" w:rsidRPr="00486F32" w:rsidRDefault="006645B6" w:rsidP="006645B6">
      <w:pPr>
        <w:overflowPunct w:val="0"/>
        <w:spacing w:beforeLines="30" w:before="156" w:afterLines="30" w:after="156" w:line="520" w:lineRule="exact"/>
        <w:ind w:firstLineChars="202" w:firstLine="566"/>
        <w:rPr>
          <w:rFonts w:cs="Times New Roman"/>
          <w:szCs w:val="28"/>
        </w:rPr>
      </w:pPr>
      <w:r w:rsidRPr="00486F32">
        <w:rPr>
          <w:rFonts w:cs="Times New Roman"/>
          <w:szCs w:val="28"/>
        </w:rPr>
        <w:t>再者，大企業的市場力量增加，影響商品及服務的訂價與通膨趨勢；加上網路零售的競爭，使價格調整頻率增加，挑戰了主流經濟學派在價格僵固性的假設前提下、短期貨幣政策具有實質效果的理論，</w:t>
      </w:r>
      <w:r w:rsidR="002A167C" w:rsidRPr="00486F32">
        <w:rPr>
          <w:rFonts w:cs="Times New Roman"/>
          <w:szCs w:val="28"/>
        </w:rPr>
        <w:t>這也增加了央行</w:t>
      </w:r>
      <w:r w:rsidRPr="00486F32">
        <w:rPr>
          <w:rFonts w:cs="Times New Roman"/>
          <w:szCs w:val="28"/>
        </w:rPr>
        <w:t>決策的困難度。</w:t>
      </w:r>
    </w:p>
    <w:p w:rsidR="006645B6" w:rsidRPr="00486F32" w:rsidRDefault="006645B6" w:rsidP="006645B6">
      <w:pPr>
        <w:overflowPunct w:val="0"/>
        <w:spacing w:beforeLines="30" w:before="156" w:afterLines="30" w:after="156" w:line="520" w:lineRule="exact"/>
        <w:ind w:firstLineChars="202" w:firstLine="566"/>
        <w:rPr>
          <w:rFonts w:cs="Times New Roman"/>
          <w:szCs w:val="28"/>
        </w:rPr>
      </w:pPr>
      <w:r w:rsidRPr="00486F32">
        <w:rPr>
          <w:rFonts w:cs="Times New Roman"/>
          <w:szCs w:val="28"/>
        </w:rPr>
        <w:t>此外，非銀行金融、虛擬通貨、</w:t>
      </w:r>
      <w:r w:rsidRPr="00486F32">
        <w:rPr>
          <w:rFonts w:cs="Times New Roman"/>
          <w:szCs w:val="28"/>
        </w:rPr>
        <w:t>P2P</w:t>
      </w:r>
      <w:r w:rsidRPr="00486F32">
        <w:rPr>
          <w:rFonts w:cs="Times New Roman"/>
          <w:szCs w:val="28"/>
        </w:rPr>
        <w:t>借貸及群眾募資等新型金融蓬勃發展，這些金融與支付系統的創新，讓民間的融資來源不再侷限於傳統的銀行放款，</w:t>
      </w:r>
      <w:r w:rsidR="0063464F" w:rsidRPr="00486F32">
        <w:rPr>
          <w:rFonts w:cs="Times New Roman" w:hint="eastAsia"/>
          <w:szCs w:val="28"/>
        </w:rPr>
        <w:t>可能</w:t>
      </w:r>
      <w:r w:rsidR="00F22318" w:rsidRPr="00486F32">
        <w:rPr>
          <w:rFonts w:cs="Times New Roman"/>
          <w:szCs w:val="28"/>
        </w:rPr>
        <w:t>影響傳統銀行在金融體系所扮演</w:t>
      </w:r>
      <w:r w:rsidR="004D5121" w:rsidRPr="00486F32">
        <w:rPr>
          <w:rFonts w:cs="Times New Roman"/>
          <w:szCs w:val="28"/>
        </w:rPr>
        <w:t>的</w:t>
      </w:r>
      <w:r w:rsidRPr="00486F32">
        <w:rPr>
          <w:rFonts w:cs="Times New Roman"/>
          <w:szCs w:val="28"/>
        </w:rPr>
        <w:t>角色，從而使央行對貨幣供給、利率及通膨率的控制能力下滑，影響貨幣政策的傳遞管道；同時也可能造成金融主管機關監理難題，影響金融穩定。例如：臉書近期宣布計畫發行臉書幣</w:t>
      </w:r>
      <w:r w:rsidRPr="00486F32">
        <w:rPr>
          <w:rFonts w:cs="Times New Roman"/>
          <w:szCs w:val="28"/>
        </w:rPr>
        <w:t>(Libra)</w:t>
      </w:r>
      <w:r w:rsidRPr="00486F32">
        <w:rPr>
          <w:rFonts w:cs="Times New Roman"/>
          <w:szCs w:val="28"/>
        </w:rPr>
        <w:t>，引起各國央行擔憂</w:t>
      </w:r>
      <w:r w:rsidRPr="00486F32">
        <w:rPr>
          <w:rFonts w:cs="Times New Roman"/>
          <w:szCs w:val="28"/>
        </w:rPr>
        <w:t>Libra</w:t>
      </w:r>
      <w:r w:rsidRPr="00486F32">
        <w:rPr>
          <w:rFonts w:cs="Times New Roman"/>
          <w:szCs w:val="28"/>
        </w:rPr>
        <w:t>的出現</w:t>
      </w:r>
      <w:r w:rsidR="008A031E" w:rsidRPr="00486F32">
        <w:rPr>
          <w:rFonts w:cs="Times New Roman"/>
          <w:szCs w:val="28"/>
        </w:rPr>
        <w:t>，</w:t>
      </w:r>
      <w:r w:rsidRPr="00486F32">
        <w:rPr>
          <w:rFonts w:cs="Times New Roman"/>
          <w:szCs w:val="28"/>
        </w:rPr>
        <w:t>可能削弱決策者控制通膨</w:t>
      </w:r>
      <w:r w:rsidR="008A031E" w:rsidRPr="00486F32">
        <w:rPr>
          <w:rFonts w:cs="Times New Roman"/>
          <w:szCs w:val="28"/>
        </w:rPr>
        <w:t>與維持金融穩定</w:t>
      </w:r>
      <w:r w:rsidRPr="00486F32">
        <w:rPr>
          <w:rFonts w:cs="Times New Roman"/>
          <w:szCs w:val="28"/>
        </w:rPr>
        <w:t>的能力</w:t>
      </w:r>
      <w:r w:rsidR="008A031E" w:rsidRPr="00486F32">
        <w:rPr>
          <w:rFonts w:cs="Times New Roman"/>
          <w:szCs w:val="28"/>
        </w:rPr>
        <w:t>；目前</w:t>
      </w:r>
      <w:r w:rsidRPr="00486F32">
        <w:rPr>
          <w:rFonts w:cs="Times New Roman"/>
          <w:szCs w:val="28"/>
        </w:rPr>
        <w:t>美國國會</w:t>
      </w:r>
      <w:r w:rsidR="00333AE8" w:rsidRPr="00486F32">
        <w:rPr>
          <w:rFonts w:cs="Times New Roman"/>
          <w:szCs w:val="28"/>
        </w:rPr>
        <w:t>及</w:t>
      </w:r>
      <w:r w:rsidR="00333AE8" w:rsidRPr="00486F32">
        <w:rPr>
          <w:rFonts w:cs="Times New Roman"/>
          <w:szCs w:val="28"/>
        </w:rPr>
        <w:t>Fed</w:t>
      </w:r>
      <w:r w:rsidR="00333AE8" w:rsidRPr="00486F32">
        <w:rPr>
          <w:rFonts w:cs="Times New Roman"/>
          <w:szCs w:val="28"/>
        </w:rPr>
        <w:t>主席</w:t>
      </w:r>
      <w:r w:rsidR="00CE1EDC" w:rsidRPr="00486F32">
        <w:rPr>
          <w:rFonts w:cs="Times New Roman"/>
          <w:szCs w:val="28"/>
        </w:rPr>
        <w:t>Jerome Powell</w:t>
      </w:r>
      <w:r w:rsidR="00CE1EDC" w:rsidRPr="00486F32">
        <w:rPr>
          <w:rFonts w:cs="Times New Roman"/>
          <w:szCs w:val="28"/>
        </w:rPr>
        <w:t>皆</w:t>
      </w:r>
      <w:r w:rsidRPr="00486F32">
        <w:rPr>
          <w:rFonts w:cs="Times New Roman"/>
          <w:szCs w:val="28"/>
        </w:rPr>
        <w:t>對此表達疑慮並建議暫緩發行，顯示面對新型態的金融商品或交易，尚待金融監理單位更完整的評估與考量。</w:t>
      </w:r>
    </w:p>
    <w:p w:rsidR="00411DA9" w:rsidRPr="00486F32" w:rsidRDefault="00411DA9" w:rsidP="00B66F5A">
      <w:pPr>
        <w:pStyle w:val="a7"/>
        <w:numPr>
          <w:ilvl w:val="0"/>
          <w:numId w:val="21"/>
        </w:numPr>
        <w:spacing w:before="30" w:after="30" w:line="520" w:lineRule="exact"/>
        <w:ind w:leftChars="0" w:left="284" w:hanging="284"/>
        <w:rPr>
          <w:rFonts w:ascii="Times New Roman" w:eastAsia="標楷體" w:hAnsi="Times New Roman" w:cs="Times New Roman"/>
          <w:b/>
          <w:sz w:val="28"/>
          <w:szCs w:val="28"/>
        </w:rPr>
      </w:pPr>
      <w:r w:rsidRPr="00486F32">
        <w:rPr>
          <w:rFonts w:ascii="Times New Roman" w:eastAsia="標楷體" w:hAnsi="Times New Roman" w:cs="Times New Roman"/>
          <w:b/>
          <w:sz w:val="28"/>
          <w:szCs w:val="28"/>
        </w:rPr>
        <w:t>匯率政策的挑戰</w:t>
      </w:r>
    </w:p>
    <w:p w:rsidR="00B33789" w:rsidRPr="00486F32" w:rsidRDefault="00B33789" w:rsidP="00B33789">
      <w:pPr>
        <w:overflowPunct w:val="0"/>
        <w:spacing w:beforeLines="30" w:before="156" w:afterLines="30" w:after="156" w:line="520" w:lineRule="exact"/>
        <w:ind w:firstLineChars="202" w:firstLine="566"/>
        <w:rPr>
          <w:rFonts w:cs="Times New Roman"/>
          <w:szCs w:val="28"/>
        </w:rPr>
      </w:pPr>
      <w:r w:rsidRPr="00486F32">
        <w:rPr>
          <w:rFonts w:cs="Times New Roman"/>
          <w:szCs w:val="28"/>
        </w:rPr>
        <w:t>在匯率政策的部分，目前台灣外匯市場主要參與者已從早期的進、出口商轉為跨境資本交易者。觀察我國過去近</w:t>
      </w:r>
      <w:r w:rsidRPr="00486F32">
        <w:rPr>
          <w:rFonts w:cs="Times New Roman"/>
          <w:szCs w:val="28"/>
        </w:rPr>
        <w:t>30</w:t>
      </w:r>
      <w:r w:rsidRPr="00486F32">
        <w:rPr>
          <w:rFonts w:cs="Times New Roman"/>
          <w:szCs w:val="28"/>
        </w:rPr>
        <w:t>年外匯收支，與商品貿易相關部分大致保持穩定，但隨著逐步鬆綁跨境資本移動管理措施，除大幅開放外資進入國內證券市場外，</w:t>
      </w:r>
      <w:r w:rsidR="0085273B" w:rsidRPr="00486F32">
        <w:rPr>
          <w:rFonts w:cs="Times New Roman"/>
          <w:szCs w:val="28"/>
        </w:rPr>
        <w:t>也</w:t>
      </w:r>
      <w:r w:rsidRPr="00486F32">
        <w:rPr>
          <w:rFonts w:cs="Times New Roman"/>
          <w:szCs w:val="28"/>
        </w:rPr>
        <w:t>放寬本國資金海外投資，使得外資與本國資金進出之跨境資本交易，包括國人及國內廠商對外投資理財與外幣資金調度等，明顯成長，上年跨境資本交易幾乎是商品貿易收支金額的</w:t>
      </w:r>
      <w:r w:rsidRPr="00486F32">
        <w:rPr>
          <w:rFonts w:cs="Times New Roman"/>
          <w:szCs w:val="28"/>
        </w:rPr>
        <w:t>10</w:t>
      </w:r>
      <w:r w:rsidRPr="00486F32">
        <w:rPr>
          <w:rFonts w:cs="Times New Roman"/>
          <w:szCs w:val="28"/>
        </w:rPr>
        <w:t>倍。</w:t>
      </w:r>
    </w:p>
    <w:p w:rsidR="00B33789" w:rsidRPr="00486F32" w:rsidRDefault="00B33789" w:rsidP="00B33789">
      <w:pPr>
        <w:overflowPunct w:val="0"/>
        <w:spacing w:beforeLines="30" w:before="156" w:afterLines="30" w:after="156" w:line="520" w:lineRule="exact"/>
        <w:ind w:firstLineChars="202" w:firstLine="566"/>
        <w:rPr>
          <w:rFonts w:cs="Times New Roman"/>
          <w:szCs w:val="28"/>
        </w:rPr>
      </w:pPr>
      <w:r w:rsidRPr="00486F32">
        <w:rPr>
          <w:rFonts w:cs="Times New Roman"/>
          <w:szCs w:val="28"/>
        </w:rPr>
        <w:lastRenderedPageBreak/>
        <w:t>在跨境資本交易中，短期外資進出國內匯市金額占整體銀行間外匯交易比重高</w:t>
      </w:r>
      <w:r w:rsidR="0085273B" w:rsidRPr="00486F32">
        <w:rPr>
          <w:rFonts w:cs="Times New Roman"/>
          <w:szCs w:val="28"/>
        </w:rPr>
        <w:t>；</w:t>
      </w:r>
      <w:r w:rsidRPr="00486F32">
        <w:rPr>
          <w:rFonts w:cs="Times New Roman"/>
          <w:szCs w:val="28"/>
        </w:rPr>
        <w:t>其進出匯市頻繁、鉅額且集中，已成為影響我國匯市動向的主要因素</w:t>
      </w:r>
      <w:r w:rsidR="0085273B" w:rsidRPr="00486F32">
        <w:rPr>
          <w:rFonts w:cs="Times New Roman"/>
          <w:szCs w:val="28"/>
        </w:rPr>
        <w:t>。從</w:t>
      </w:r>
      <w:r w:rsidR="0085273B" w:rsidRPr="00486F32">
        <w:rPr>
          <w:rFonts w:cs="Times New Roman"/>
          <w:szCs w:val="28"/>
        </w:rPr>
        <w:t>2017</w:t>
      </w:r>
      <w:r w:rsidR="0085273B" w:rsidRPr="00486F32">
        <w:rPr>
          <w:rFonts w:cs="Times New Roman"/>
          <w:szCs w:val="28"/>
        </w:rPr>
        <w:t>年初到本年</w:t>
      </w:r>
      <w:r w:rsidR="0085273B" w:rsidRPr="00486F32">
        <w:rPr>
          <w:rFonts w:cs="Times New Roman"/>
          <w:szCs w:val="28"/>
        </w:rPr>
        <w:t>6</w:t>
      </w:r>
      <w:r w:rsidR="0085273B" w:rsidRPr="00486F32">
        <w:rPr>
          <w:rFonts w:cs="Times New Roman"/>
          <w:szCs w:val="28"/>
        </w:rPr>
        <w:t>月底</w:t>
      </w:r>
      <w:r w:rsidRPr="00486F32">
        <w:rPr>
          <w:rFonts w:cs="Times New Roman"/>
          <w:szCs w:val="28"/>
        </w:rPr>
        <w:t>，投資台灣股市的外資共</w:t>
      </w:r>
      <w:r w:rsidRPr="00486F32">
        <w:rPr>
          <w:rFonts w:cs="Times New Roman"/>
          <w:szCs w:val="28"/>
        </w:rPr>
        <w:t>8</w:t>
      </w:r>
      <w:r w:rsidRPr="00486F32">
        <w:rPr>
          <w:rFonts w:cs="Times New Roman"/>
          <w:szCs w:val="28"/>
        </w:rPr>
        <w:t>千多戶，其資金進出金額占銀行間外匯交易比重高達</w:t>
      </w:r>
      <w:r w:rsidRPr="00486F32">
        <w:rPr>
          <w:rFonts w:cs="Times New Roman"/>
          <w:szCs w:val="28"/>
        </w:rPr>
        <w:t>57.75%</w:t>
      </w:r>
      <w:r w:rsidRPr="00486F32">
        <w:rPr>
          <w:rFonts w:cs="Times New Roman"/>
          <w:szCs w:val="28"/>
        </w:rPr>
        <w:t>。</w:t>
      </w:r>
      <w:r w:rsidRPr="00486F32">
        <w:rPr>
          <w:rFonts w:cs="Times New Roman"/>
          <w:szCs w:val="28"/>
        </w:rPr>
        <w:tab/>
      </w:r>
      <w:r w:rsidRPr="00486F32">
        <w:rPr>
          <w:rFonts w:cs="Times New Roman"/>
          <w:szCs w:val="28"/>
        </w:rPr>
        <w:t>其中資金頻繁進出的前</w:t>
      </w:r>
      <w:r w:rsidRPr="00486F32">
        <w:rPr>
          <w:rFonts w:cs="Times New Roman"/>
          <w:szCs w:val="28"/>
        </w:rPr>
        <w:t>20</w:t>
      </w:r>
      <w:r w:rsidRPr="00486F32">
        <w:rPr>
          <w:rFonts w:cs="Times New Roman"/>
          <w:szCs w:val="28"/>
        </w:rPr>
        <w:t>戶，其進出金額占全體外資資金進出總額</w:t>
      </w:r>
      <w:r w:rsidR="0085273B" w:rsidRPr="00486F32">
        <w:rPr>
          <w:rFonts w:cs="Times New Roman"/>
          <w:szCs w:val="28"/>
        </w:rPr>
        <w:t>的</w:t>
      </w:r>
      <w:r w:rsidRPr="00486F32">
        <w:rPr>
          <w:rFonts w:cs="Times New Roman"/>
          <w:szCs w:val="28"/>
        </w:rPr>
        <w:t>45%</w:t>
      </w:r>
      <w:r w:rsidRPr="00486F32">
        <w:rPr>
          <w:rFonts w:cs="Times New Roman"/>
          <w:szCs w:val="28"/>
        </w:rPr>
        <w:t>。</w:t>
      </w:r>
      <w:r w:rsidRPr="00486F32">
        <w:rPr>
          <w:rFonts w:cs="Times New Roman"/>
          <w:szCs w:val="28"/>
        </w:rPr>
        <w:tab/>
        <w:t>2005</w:t>
      </w:r>
      <w:r w:rsidRPr="00486F32">
        <w:rPr>
          <w:rFonts w:cs="Times New Roman"/>
          <w:szCs w:val="28"/>
        </w:rPr>
        <w:t>年以來，外資淨匯入與新台幣對美元升值的相</w:t>
      </w:r>
      <w:r w:rsidR="0063464F" w:rsidRPr="00486F32">
        <w:rPr>
          <w:rFonts w:cs="Times New Roman" w:hint="eastAsia"/>
          <w:szCs w:val="28"/>
        </w:rPr>
        <w:t>關</w:t>
      </w:r>
      <w:r w:rsidRPr="00486F32">
        <w:rPr>
          <w:rFonts w:cs="Times New Roman"/>
          <w:szCs w:val="28"/>
        </w:rPr>
        <w:t>係數為</w:t>
      </w:r>
      <w:r w:rsidRPr="00486F32">
        <w:rPr>
          <w:rFonts w:cs="Times New Roman"/>
          <w:szCs w:val="28"/>
        </w:rPr>
        <w:t>0.57</w:t>
      </w:r>
      <w:r w:rsidRPr="00486F32">
        <w:rPr>
          <w:rFonts w:cs="Times New Roman"/>
          <w:szCs w:val="28"/>
        </w:rPr>
        <w:t>，使得新台幣匯率容易產生過度波動</w:t>
      </w:r>
      <w:r w:rsidRPr="00486F32">
        <w:rPr>
          <w:rFonts w:cs="Times New Roman"/>
          <w:szCs w:val="28"/>
        </w:rPr>
        <w:t>(overshooting)</w:t>
      </w:r>
      <w:r w:rsidRPr="00486F32">
        <w:rPr>
          <w:rFonts w:cs="Times New Roman"/>
          <w:szCs w:val="28"/>
        </w:rPr>
        <w:t>的現象偏離經濟基本面，不利國內經濟與金融穩定</w:t>
      </w:r>
      <w:r w:rsidRPr="00486F32">
        <w:rPr>
          <w:rFonts w:cs="Times New Roman"/>
          <w:szCs w:val="28"/>
        </w:rPr>
        <w:tab/>
      </w:r>
      <w:r w:rsidRPr="00486F32">
        <w:rPr>
          <w:rFonts w:cs="Times New Roman"/>
          <w:szCs w:val="28"/>
        </w:rPr>
        <w:t>。</w:t>
      </w:r>
      <w:r w:rsidRPr="00486F32">
        <w:rPr>
          <w:rFonts w:cs="Times New Roman"/>
          <w:szCs w:val="28"/>
        </w:rPr>
        <w:tab/>
      </w:r>
    </w:p>
    <w:p w:rsidR="00824671" w:rsidRPr="00486F32" w:rsidRDefault="00824671" w:rsidP="009B2A0B">
      <w:pPr>
        <w:pStyle w:val="a7"/>
        <w:numPr>
          <w:ilvl w:val="0"/>
          <w:numId w:val="6"/>
        </w:numPr>
        <w:spacing w:beforeLines="50" w:before="260" w:afterLines="50" w:after="260" w:line="520" w:lineRule="exact"/>
        <w:ind w:leftChars="0"/>
        <w:rPr>
          <w:rFonts w:ascii="Times New Roman" w:eastAsia="標楷體" w:hAnsi="Times New Roman" w:cs="Times New Roman"/>
          <w:b/>
          <w:sz w:val="28"/>
          <w:szCs w:val="28"/>
        </w:rPr>
      </w:pPr>
      <w:r w:rsidRPr="00486F32">
        <w:rPr>
          <w:rFonts w:ascii="Times New Roman" w:eastAsia="標楷體" w:hAnsi="Times New Roman" w:cs="Times New Roman"/>
          <w:b/>
          <w:sz w:val="28"/>
          <w:szCs w:val="28"/>
        </w:rPr>
        <w:t>台灣經濟發展及企業面臨</w:t>
      </w:r>
      <w:r w:rsidR="0085273B" w:rsidRPr="00486F32">
        <w:rPr>
          <w:rFonts w:ascii="Times New Roman" w:eastAsia="標楷體" w:hAnsi="Times New Roman" w:cs="Times New Roman"/>
          <w:b/>
          <w:sz w:val="28"/>
          <w:szCs w:val="28"/>
        </w:rPr>
        <w:t>的</w:t>
      </w:r>
      <w:r w:rsidRPr="00486F32">
        <w:rPr>
          <w:rFonts w:ascii="Times New Roman" w:eastAsia="標楷體" w:hAnsi="Times New Roman" w:cs="Times New Roman"/>
          <w:b/>
          <w:sz w:val="28"/>
          <w:szCs w:val="28"/>
        </w:rPr>
        <w:t>結構性問題</w:t>
      </w:r>
    </w:p>
    <w:p w:rsidR="00824671" w:rsidRPr="00486F32" w:rsidRDefault="00824671" w:rsidP="00411DA9">
      <w:pPr>
        <w:pStyle w:val="a7"/>
        <w:numPr>
          <w:ilvl w:val="0"/>
          <w:numId w:val="8"/>
        </w:numPr>
        <w:spacing w:before="30" w:after="30" w:line="520" w:lineRule="exact"/>
        <w:ind w:leftChars="0"/>
        <w:rPr>
          <w:rFonts w:ascii="Times New Roman" w:eastAsia="標楷體" w:hAnsi="Times New Roman" w:cs="Times New Roman"/>
          <w:b/>
          <w:sz w:val="28"/>
          <w:szCs w:val="28"/>
        </w:rPr>
      </w:pPr>
      <w:r w:rsidRPr="00486F32">
        <w:rPr>
          <w:rFonts w:ascii="Times New Roman" w:eastAsia="標楷體" w:hAnsi="Times New Roman" w:cs="Times New Roman"/>
          <w:b/>
          <w:sz w:val="28"/>
          <w:szCs w:val="28"/>
        </w:rPr>
        <w:t>台灣易受全球長期停滯、需求不足及全球價值鏈轉變的影響</w:t>
      </w:r>
    </w:p>
    <w:p w:rsidR="000A65C1" w:rsidRPr="00486F32" w:rsidRDefault="00D947FA" w:rsidP="00B33789">
      <w:pPr>
        <w:overflowPunct w:val="0"/>
        <w:spacing w:beforeLines="30" w:before="156" w:afterLines="30" w:after="156" w:line="520" w:lineRule="exact"/>
        <w:ind w:firstLineChars="202" w:firstLine="566"/>
        <w:rPr>
          <w:rFonts w:cs="Times New Roman"/>
          <w:szCs w:val="28"/>
        </w:rPr>
      </w:pPr>
      <w:r w:rsidRPr="00486F32">
        <w:rPr>
          <w:rFonts w:cs="Times New Roman"/>
          <w:szCs w:val="28"/>
        </w:rPr>
        <w:t>全球金融危機後，全球經濟陷入長期停滯，貿易成長動能減緩，台灣經濟</w:t>
      </w:r>
      <w:r w:rsidR="0085273B" w:rsidRPr="00486F32">
        <w:rPr>
          <w:rFonts w:cs="Times New Roman"/>
          <w:szCs w:val="28"/>
        </w:rPr>
        <w:t>也</w:t>
      </w:r>
      <w:r w:rsidRPr="00486F32">
        <w:rPr>
          <w:rFonts w:cs="Times New Roman"/>
          <w:szCs w:val="28"/>
        </w:rPr>
        <w:t>受到衝擊，而</w:t>
      </w:r>
      <w:r w:rsidR="00C92277" w:rsidRPr="00486F32">
        <w:rPr>
          <w:rFonts w:cs="Times New Roman"/>
          <w:szCs w:val="28"/>
        </w:rPr>
        <w:t>全球新經濟金融發展及結構轉變</w:t>
      </w:r>
      <w:r w:rsidR="0085273B" w:rsidRPr="00486F32">
        <w:rPr>
          <w:rFonts w:cs="Times New Roman"/>
          <w:szCs w:val="28"/>
        </w:rPr>
        <w:t>也</w:t>
      </w:r>
      <w:r w:rsidR="00C92277" w:rsidRPr="00486F32">
        <w:rPr>
          <w:rFonts w:cs="Times New Roman"/>
          <w:szCs w:val="28"/>
        </w:rPr>
        <w:t>對台灣經濟發展帶來重大挑戰</w:t>
      </w:r>
      <w:r w:rsidR="00184F16" w:rsidRPr="00486F32">
        <w:rPr>
          <w:rFonts w:cs="Times New Roman"/>
          <w:szCs w:val="28"/>
        </w:rPr>
        <w:t>；</w:t>
      </w:r>
      <w:r w:rsidR="00987260" w:rsidRPr="00486F32">
        <w:rPr>
          <w:rFonts w:cs="Times New Roman"/>
          <w:szCs w:val="28"/>
        </w:rPr>
        <w:t>例如</w:t>
      </w:r>
      <w:r w:rsidR="00184F16" w:rsidRPr="00486F32">
        <w:rPr>
          <w:rFonts w:cs="Times New Roman"/>
          <w:szCs w:val="28"/>
        </w:rPr>
        <w:t>，</w:t>
      </w:r>
      <w:r w:rsidR="00C92277" w:rsidRPr="00486F32">
        <w:rPr>
          <w:rFonts w:cs="Times New Roman"/>
          <w:szCs w:val="28"/>
        </w:rPr>
        <w:t>近年來國內面臨</w:t>
      </w:r>
      <w:r w:rsidR="00184F16" w:rsidRPr="00486F32">
        <w:rPr>
          <w:rFonts w:cs="Times New Roman"/>
          <w:szCs w:val="28"/>
        </w:rPr>
        <w:t>著</w:t>
      </w:r>
      <w:r w:rsidR="00C92277" w:rsidRPr="00486F32">
        <w:rPr>
          <w:rFonts w:cs="Times New Roman"/>
          <w:szCs w:val="28"/>
        </w:rPr>
        <w:t>投資不振、生產力成長減緩、薪資成長停滯，以及人口加速老化等結構性問題。</w:t>
      </w:r>
    </w:p>
    <w:p w:rsidR="00B33789" w:rsidRPr="00486F32" w:rsidRDefault="00B33789" w:rsidP="00B33789">
      <w:pPr>
        <w:overflowPunct w:val="0"/>
        <w:spacing w:beforeLines="30" w:before="156" w:afterLines="30" w:after="156" w:line="520" w:lineRule="exact"/>
        <w:ind w:firstLineChars="202" w:firstLine="566"/>
        <w:rPr>
          <w:rFonts w:cs="Times New Roman"/>
          <w:szCs w:val="28"/>
        </w:rPr>
      </w:pPr>
      <w:r w:rsidRPr="00486F32">
        <w:rPr>
          <w:rFonts w:cs="Times New Roman"/>
          <w:szCs w:val="28"/>
        </w:rPr>
        <w:t>台灣為小型開放經濟體，商品與服務輸出入對</w:t>
      </w:r>
      <w:r w:rsidRPr="00486F32">
        <w:rPr>
          <w:rFonts w:cs="Times New Roman"/>
          <w:szCs w:val="28"/>
        </w:rPr>
        <w:t>GDP</w:t>
      </w:r>
      <w:r w:rsidRPr="00486F32">
        <w:rPr>
          <w:rFonts w:cs="Times New Roman"/>
          <w:szCs w:val="28"/>
        </w:rPr>
        <w:t>比率高達</w:t>
      </w:r>
      <w:r w:rsidRPr="00486F32">
        <w:rPr>
          <w:rFonts w:cs="Times New Roman"/>
          <w:szCs w:val="28"/>
        </w:rPr>
        <w:t>147%</w:t>
      </w:r>
      <w:r w:rsidR="0085273B" w:rsidRPr="00486F32">
        <w:rPr>
          <w:rFonts w:cs="Times New Roman"/>
          <w:szCs w:val="28"/>
        </w:rPr>
        <w:t>。</w:t>
      </w:r>
      <w:r w:rsidRPr="00486F32">
        <w:rPr>
          <w:rFonts w:cs="Times New Roman"/>
          <w:szCs w:val="28"/>
        </w:rPr>
        <w:t>在國內資源稟賦及國內市場均有限的情況下，全球化是必然的道路，</w:t>
      </w:r>
      <w:r w:rsidR="0085273B" w:rsidRPr="00486F32">
        <w:rPr>
          <w:rFonts w:cs="Times New Roman"/>
          <w:szCs w:val="28"/>
        </w:rPr>
        <w:t>也</w:t>
      </w:r>
      <w:r w:rsidRPr="00486F32">
        <w:rPr>
          <w:rFonts w:cs="Times New Roman"/>
          <w:szCs w:val="28"/>
        </w:rPr>
        <w:t>會深度參與全球價值鏈。台灣雖在全球化的過程中，提高國際競爭力，但也因此深受國際經貿變化的影響，尤其全球經濟長期停滯成為新常態下，更衝擊我們的經濟成長動能。</w:t>
      </w:r>
    </w:p>
    <w:p w:rsidR="00B33789" w:rsidRPr="00486F32" w:rsidRDefault="00B33789" w:rsidP="00B33789">
      <w:pPr>
        <w:overflowPunct w:val="0"/>
        <w:spacing w:beforeLines="30" w:before="156" w:afterLines="30" w:after="156" w:line="520" w:lineRule="exact"/>
        <w:ind w:firstLineChars="202" w:firstLine="566"/>
        <w:rPr>
          <w:rFonts w:cs="Times New Roman"/>
          <w:szCs w:val="28"/>
        </w:rPr>
      </w:pPr>
      <w:r w:rsidRPr="00486F32">
        <w:rPr>
          <w:rFonts w:cs="Times New Roman"/>
          <w:szCs w:val="28"/>
        </w:rPr>
        <w:t>另一方面，台商生產全球化的過程中，我們與亞洲各國的關係愈趨緊密。尤其在中國大陸逐漸成為世界工廠及東亞供應鏈的重心</w:t>
      </w:r>
      <w:r w:rsidR="0085273B" w:rsidRPr="00486F32">
        <w:rPr>
          <w:rFonts w:cs="Times New Roman"/>
          <w:szCs w:val="28"/>
        </w:rPr>
        <w:t>之</w:t>
      </w:r>
      <w:r w:rsidRPr="00486F32">
        <w:rPr>
          <w:rFonts w:cs="Times New Roman"/>
          <w:szCs w:val="28"/>
        </w:rPr>
        <w:t>後，因其生產要素成本較低且兩岸語文相通，使得台灣</w:t>
      </w:r>
      <w:r w:rsidR="003864D3" w:rsidRPr="00486F32">
        <w:rPr>
          <w:rFonts w:cs="Times New Roman"/>
          <w:szCs w:val="28"/>
        </w:rPr>
        <w:t>外銷訂單之</w:t>
      </w:r>
      <w:r w:rsidRPr="00486F32">
        <w:rPr>
          <w:rFonts w:cs="Times New Roman"/>
          <w:szCs w:val="28"/>
        </w:rPr>
        <w:t>生產及</w:t>
      </w:r>
      <w:r w:rsidR="006638B8" w:rsidRPr="00486F32">
        <w:rPr>
          <w:rFonts w:cs="Times New Roman"/>
          <w:szCs w:val="28"/>
        </w:rPr>
        <w:t>商品</w:t>
      </w:r>
      <w:r w:rsidRPr="00486F32">
        <w:rPr>
          <w:rFonts w:cs="Times New Roman"/>
          <w:szCs w:val="28"/>
        </w:rPr>
        <w:t>出口市場均相當集中於中國大陸，二者比重均逾</w:t>
      </w:r>
      <w:r w:rsidRPr="00486F32">
        <w:rPr>
          <w:rFonts w:cs="Times New Roman"/>
          <w:szCs w:val="28"/>
        </w:rPr>
        <w:t>4</w:t>
      </w:r>
      <w:r w:rsidRPr="00486F32">
        <w:rPr>
          <w:rFonts w:cs="Times New Roman"/>
          <w:szCs w:val="28"/>
        </w:rPr>
        <w:t>成</w:t>
      </w:r>
      <w:r w:rsidR="0085273B" w:rsidRPr="00486F32">
        <w:rPr>
          <w:rFonts w:cs="Times New Roman"/>
          <w:szCs w:val="28"/>
        </w:rPr>
        <w:t>。</w:t>
      </w:r>
      <w:r w:rsidRPr="00486F32">
        <w:rPr>
          <w:rFonts w:cs="Times New Roman"/>
          <w:szCs w:val="28"/>
        </w:rPr>
        <w:t>此外，受限於</w:t>
      </w:r>
      <w:r w:rsidRPr="00486F32">
        <w:rPr>
          <w:rFonts w:cs="Times New Roman"/>
          <w:szCs w:val="28"/>
        </w:rPr>
        <w:t>FTA</w:t>
      </w:r>
      <w:r w:rsidRPr="00486F32">
        <w:rPr>
          <w:rFonts w:cs="Times New Roman"/>
          <w:szCs w:val="28"/>
        </w:rPr>
        <w:t>洽簽尚未有突破性的進展，出口產品集中於資訊科</w:t>
      </w:r>
      <w:r w:rsidRPr="00486F32">
        <w:rPr>
          <w:rFonts w:cs="Times New Roman"/>
          <w:szCs w:val="28"/>
        </w:rPr>
        <w:lastRenderedPageBreak/>
        <w:t>技協定</w:t>
      </w:r>
      <w:r w:rsidRPr="00486F32">
        <w:rPr>
          <w:rFonts w:cs="Times New Roman"/>
          <w:szCs w:val="28"/>
        </w:rPr>
        <w:t>(ITA)</w:t>
      </w:r>
      <w:r w:rsidRPr="00486F32">
        <w:rPr>
          <w:rFonts w:cs="Times New Roman"/>
          <w:szCs w:val="28"/>
        </w:rPr>
        <w:t>下的零關稅之電子資通訊產品。在大家努力下，台灣已在東亞供應鏈占有一席之地</w:t>
      </w:r>
      <w:r w:rsidR="0085273B" w:rsidRPr="00486F32">
        <w:rPr>
          <w:rFonts w:cs="Times New Roman"/>
          <w:szCs w:val="28"/>
        </w:rPr>
        <w:t>；但就現在的出口結構來說</w:t>
      </w:r>
      <w:r w:rsidRPr="00486F32">
        <w:rPr>
          <w:rFonts w:cs="Times New Roman"/>
          <w:szCs w:val="28"/>
        </w:rPr>
        <w:t>，使台灣很容易受中國大陸市場的經貿環境及全球科技業的景氣消長所影響。</w:t>
      </w:r>
    </w:p>
    <w:p w:rsidR="00B33789" w:rsidRPr="00486F32" w:rsidRDefault="00B33789" w:rsidP="00B33789">
      <w:pPr>
        <w:overflowPunct w:val="0"/>
        <w:spacing w:beforeLines="30" w:before="156" w:afterLines="30" w:after="156" w:line="520" w:lineRule="exact"/>
        <w:ind w:firstLineChars="202" w:firstLine="566"/>
        <w:rPr>
          <w:rFonts w:cs="Times New Roman"/>
          <w:szCs w:val="28"/>
        </w:rPr>
      </w:pPr>
      <w:r w:rsidRPr="00486F32">
        <w:rPr>
          <w:rFonts w:cs="Times New Roman"/>
          <w:szCs w:val="28"/>
        </w:rPr>
        <w:t>近年來，中國大陸積極調整經濟結構，發展以內需為主的經濟成長模式，並鼓勵進口替代，提高產品零組件與中間財在境內產出的比重，降低對中間財的進口需求。然而，中間財是台灣出口的最大宗，占出口比重高達</w:t>
      </w:r>
      <w:r w:rsidRPr="00486F32">
        <w:rPr>
          <w:rFonts w:cs="Times New Roman"/>
          <w:szCs w:val="28"/>
        </w:rPr>
        <w:t>3/4</w:t>
      </w:r>
      <w:r w:rsidRPr="00486F32">
        <w:rPr>
          <w:rFonts w:cs="Times New Roman"/>
          <w:szCs w:val="28"/>
        </w:rPr>
        <w:t>，因此，前述轉變對台灣的影響不容忽視；同時，中國大陸勞動成本與營運成本快速上漲、環保法規趨嚴，加以近期的美中貿易摩擦，使台商面臨調整供應鏈的壓力，相信各位先進都有深刻的感受。</w:t>
      </w:r>
    </w:p>
    <w:p w:rsidR="002F5335" w:rsidRPr="00486F32" w:rsidRDefault="00824671" w:rsidP="002F5335">
      <w:pPr>
        <w:pStyle w:val="a7"/>
        <w:numPr>
          <w:ilvl w:val="0"/>
          <w:numId w:val="8"/>
        </w:numPr>
        <w:spacing w:before="30" w:after="30" w:line="520" w:lineRule="exact"/>
        <w:ind w:leftChars="0"/>
        <w:rPr>
          <w:rFonts w:ascii="Times New Roman" w:eastAsia="標楷體" w:hAnsi="Times New Roman" w:cs="Times New Roman"/>
          <w:b/>
          <w:sz w:val="28"/>
          <w:szCs w:val="28"/>
        </w:rPr>
      </w:pPr>
      <w:r w:rsidRPr="00486F32">
        <w:rPr>
          <w:rFonts w:ascii="Times New Roman" w:eastAsia="標楷體" w:hAnsi="Times New Roman" w:cs="Times New Roman"/>
        </w:rPr>
        <w:tab/>
      </w:r>
      <w:r w:rsidR="002F5335" w:rsidRPr="00486F32">
        <w:rPr>
          <w:rFonts w:ascii="Times New Roman" w:eastAsia="標楷體" w:hAnsi="Times New Roman" w:cs="Times New Roman"/>
          <w:b/>
          <w:sz w:val="28"/>
          <w:szCs w:val="28"/>
        </w:rPr>
        <w:t>國內投資率下降，生產力成長減弱</w:t>
      </w:r>
    </w:p>
    <w:p w:rsidR="00B33789" w:rsidRPr="00486F32" w:rsidRDefault="00B33789" w:rsidP="00B33789">
      <w:pPr>
        <w:spacing w:beforeLines="30" w:before="156" w:afterLines="30" w:after="156" w:line="520" w:lineRule="exact"/>
        <w:ind w:firstLineChars="202" w:firstLine="566"/>
        <w:rPr>
          <w:rFonts w:cs="Times New Roman"/>
          <w:szCs w:val="28"/>
        </w:rPr>
      </w:pPr>
      <w:r w:rsidRPr="00486F32">
        <w:rPr>
          <w:rFonts w:cs="Times New Roman"/>
          <w:szCs w:val="28"/>
        </w:rPr>
        <w:t>全球經濟長期停滯</w:t>
      </w:r>
      <w:r w:rsidR="0085273B" w:rsidRPr="00486F32">
        <w:rPr>
          <w:rFonts w:cs="Times New Roman"/>
          <w:szCs w:val="28"/>
        </w:rPr>
        <w:t>也</w:t>
      </w:r>
      <w:r w:rsidRPr="00486F32">
        <w:rPr>
          <w:rFonts w:cs="Times New Roman"/>
          <w:szCs w:val="28"/>
        </w:rPr>
        <w:t>對國內的經濟及投資帶來非常大的影響</w:t>
      </w:r>
      <w:r w:rsidR="0085273B" w:rsidRPr="00486F32">
        <w:rPr>
          <w:rFonts w:cs="Times New Roman"/>
          <w:szCs w:val="28"/>
        </w:rPr>
        <w:t>。</w:t>
      </w:r>
      <w:r w:rsidRPr="00486F32">
        <w:rPr>
          <w:rFonts w:cs="Times New Roman"/>
          <w:szCs w:val="28"/>
        </w:rPr>
        <w:t>比較全球金融危機後</w:t>
      </w:r>
      <w:r w:rsidRPr="00486F32">
        <w:rPr>
          <w:rFonts w:cs="Times New Roman"/>
          <w:szCs w:val="28"/>
        </w:rPr>
        <w:t>(2011~2018</w:t>
      </w:r>
      <w:r w:rsidRPr="00486F32">
        <w:rPr>
          <w:rFonts w:cs="Times New Roman"/>
          <w:szCs w:val="28"/>
        </w:rPr>
        <w:t>年</w:t>
      </w:r>
      <w:r w:rsidRPr="00486F32">
        <w:rPr>
          <w:rFonts w:cs="Times New Roman"/>
          <w:szCs w:val="28"/>
        </w:rPr>
        <w:t>)</w:t>
      </w:r>
      <w:r w:rsidRPr="00486F32">
        <w:rPr>
          <w:rFonts w:cs="Times New Roman"/>
          <w:szCs w:val="28"/>
        </w:rPr>
        <w:t>與危機前</w:t>
      </w:r>
      <w:r w:rsidRPr="00486F32">
        <w:rPr>
          <w:rFonts w:cs="Times New Roman"/>
          <w:szCs w:val="28"/>
        </w:rPr>
        <w:t>(2003~2007</w:t>
      </w:r>
      <w:r w:rsidRPr="00486F32">
        <w:rPr>
          <w:rFonts w:cs="Times New Roman"/>
          <w:szCs w:val="28"/>
        </w:rPr>
        <w:t>年</w:t>
      </w:r>
      <w:r w:rsidRPr="00486F32">
        <w:rPr>
          <w:rFonts w:cs="Times New Roman"/>
          <w:szCs w:val="28"/>
        </w:rPr>
        <w:t>)</w:t>
      </w:r>
      <w:r w:rsidRPr="00486F32">
        <w:rPr>
          <w:rFonts w:cs="Times New Roman"/>
          <w:szCs w:val="28"/>
        </w:rPr>
        <w:t>的經濟成長率可發現，台灣平均經濟成長率下降</w:t>
      </w:r>
      <w:r w:rsidRPr="00486F32">
        <w:rPr>
          <w:rFonts w:cs="Times New Roman"/>
          <w:szCs w:val="28"/>
        </w:rPr>
        <w:t>3.12</w:t>
      </w:r>
      <w:r w:rsidRPr="00486F32">
        <w:rPr>
          <w:rFonts w:cs="Times New Roman"/>
          <w:szCs w:val="28"/>
        </w:rPr>
        <w:t>個百分點，其中，來自淨外需的貢獻減少了</w:t>
      </w:r>
      <w:r w:rsidRPr="00486F32">
        <w:rPr>
          <w:rFonts w:cs="Times New Roman"/>
          <w:szCs w:val="28"/>
        </w:rPr>
        <w:t>2.06</w:t>
      </w:r>
      <w:r w:rsidRPr="00486F32">
        <w:rPr>
          <w:rFonts w:cs="Times New Roman"/>
          <w:szCs w:val="28"/>
        </w:rPr>
        <w:t>個百分點，顯示</w:t>
      </w:r>
      <w:r w:rsidR="00C84A4D" w:rsidRPr="00486F32">
        <w:rPr>
          <w:rFonts w:cs="Times New Roman"/>
          <w:szCs w:val="28"/>
        </w:rPr>
        <w:t>台灣</w:t>
      </w:r>
      <w:r w:rsidRPr="00486F32">
        <w:rPr>
          <w:rFonts w:cs="Times New Roman"/>
          <w:szCs w:val="28"/>
        </w:rPr>
        <w:t>經濟成長動能已經受到全球景氣下滑及中國大陸經濟結構轉型所影響</w:t>
      </w:r>
      <w:r w:rsidR="00E50E60" w:rsidRPr="00486F32">
        <w:rPr>
          <w:rFonts w:ascii="新細明體" w:eastAsia="新細明體" w:hAnsi="新細明體" w:cs="Times New Roman" w:hint="eastAsia"/>
          <w:szCs w:val="28"/>
        </w:rPr>
        <w:t>。</w:t>
      </w:r>
      <w:r w:rsidRPr="00486F32">
        <w:rPr>
          <w:rFonts w:cs="Times New Roman"/>
          <w:szCs w:val="28"/>
        </w:rPr>
        <w:t>同時，內需貢獻</w:t>
      </w:r>
      <w:r w:rsidR="0085273B" w:rsidRPr="00486F32">
        <w:rPr>
          <w:rFonts w:cs="Times New Roman"/>
          <w:szCs w:val="28"/>
        </w:rPr>
        <w:t>也</w:t>
      </w:r>
      <w:r w:rsidRPr="00486F32">
        <w:rPr>
          <w:rFonts w:cs="Times New Roman"/>
          <w:szCs w:val="28"/>
        </w:rPr>
        <w:t>下滑</w:t>
      </w:r>
      <w:r w:rsidRPr="00486F32">
        <w:rPr>
          <w:rFonts w:cs="Times New Roman"/>
          <w:szCs w:val="28"/>
        </w:rPr>
        <w:t>1.06</w:t>
      </w:r>
      <w:r w:rsidRPr="00486F32">
        <w:rPr>
          <w:rFonts w:cs="Times New Roman"/>
          <w:szCs w:val="28"/>
        </w:rPr>
        <w:t>個百分點</w:t>
      </w:r>
      <w:r w:rsidR="0085273B" w:rsidRPr="00486F32">
        <w:rPr>
          <w:rFonts w:cs="Times New Roman"/>
          <w:szCs w:val="28"/>
        </w:rPr>
        <w:t>；</w:t>
      </w:r>
      <w:r w:rsidRPr="00486F32">
        <w:rPr>
          <w:rFonts w:cs="Times New Roman"/>
          <w:szCs w:val="28"/>
        </w:rPr>
        <w:t>其中，以投資貢獻減少</w:t>
      </w:r>
      <w:r w:rsidRPr="00486F32">
        <w:rPr>
          <w:rFonts w:cs="Times New Roman"/>
          <w:szCs w:val="28"/>
        </w:rPr>
        <w:t>0.67</w:t>
      </w:r>
      <w:r w:rsidRPr="00486F32">
        <w:rPr>
          <w:rFonts w:cs="Times New Roman"/>
          <w:szCs w:val="28"/>
        </w:rPr>
        <w:t>個百分點最大。尤其在</w:t>
      </w:r>
      <w:r w:rsidR="00C84A4D" w:rsidRPr="00486F32">
        <w:rPr>
          <w:rFonts w:cs="Times New Roman"/>
          <w:szCs w:val="28"/>
        </w:rPr>
        <w:t>全球</w:t>
      </w:r>
      <w:r w:rsidRPr="00486F32">
        <w:rPr>
          <w:rFonts w:cs="Times New Roman"/>
          <w:szCs w:val="28"/>
        </w:rPr>
        <w:t>金融危機後，全球景氣能見度不高，民間投資的貢獻更下滑了</w:t>
      </w:r>
      <w:r w:rsidRPr="00486F32">
        <w:rPr>
          <w:rFonts w:cs="Times New Roman"/>
          <w:szCs w:val="28"/>
        </w:rPr>
        <w:t>0.77</w:t>
      </w:r>
      <w:r w:rsidRPr="00486F32">
        <w:rPr>
          <w:rFonts w:cs="Times New Roman"/>
          <w:szCs w:val="28"/>
        </w:rPr>
        <w:t>個百分點，企業</w:t>
      </w:r>
      <w:r w:rsidR="0085273B" w:rsidRPr="00486F32">
        <w:rPr>
          <w:rFonts w:cs="Times New Roman"/>
          <w:szCs w:val="28"/>
        </w:rPr>
        <w:t>也</w:t>
      </w:r>
      <w:r w:rsidRPr="00486F32">
        <w:rPr>
          <w:rFonts w:cs="Times New Roman"/>
          <w:szCs w:val="28"/>
        </w:rPr>
        <w:t>在</w:t>
      </w:r>
      <w:r w:rsidRPr="00486F32">
        <w:rPr>
          <w:rFonts w:cs="Times New Roman"/>
          <w:szCs w:val="28"/>
        </w:rPr>
        <w:t>2009</w:t>
      </w:r>
      <w:r w:rsidRPr="00486F32">
        <w:rPr>
          <w:rFonts w:cs="Times New Roman"/>
          <w:szCs w:val="28"/>
        </w:rPr>
        <w:t>年起由資金需求者轉為淨儲蓄者，且代表技術進步的總要素生產力</w:t>
      </w:r>
      <w:r w:rsidRPr="00486F32">
        <w:rPr>
          <w:rFonts w:cs="Times New Roman"/>
          <w:szCs w:val="28"/>
        </w:rPr>
        <w:t>(TFP)</w:t>
      </w:r>
      <w:r w:rsidRPr="00486F32">
        <w:rPr>
          <w:rFonts w:cs="Times New Roman"/>
          <w:szCs w:val="28"/>
        </w:rPr>
        <w:t>平均年增率也由危機前的</w:t>
      </w:r>
      <w:r w:rsidRPr="00486F32">
        <w:rPr>
          <w:rFonts w:cs="Times New Roman"/>
          <w:szCs w:val="28"/>
        </w:rPr>
        <w:t>0.81%</w:t>
      </w:r>
      <w:r w:rsidRPr="00486F32">
        <w:rPr>
          <w:rFonts w:cs="Times New Roman"/>
          <w:szCs w:val="28"/>
        </w:rPr>
        <w:t>下滑至</w:t>
      </w:r>
      <w:r w:rsidRPr="00486F32">
        <w:rPr>
          <w:rFonts w:cs="Times New Roman"/>
          <w:szCs w:val="28"/>
        </w:rPr>
        <w:t>0.19%</w:t>
      </w:r>
      <w:r w:rsidRPr="00486F32">
        <w:rPr>
          <w:rFonts w:cs="Times New Roman"/>
          <w:szCs w:val="28"/>
        </w:rPr>
        <w:t>。</w:t>
      </w:r>
    </w:p>
    <w:p w:rsidR="00D237F5" w:rsidRPr="00486F32" w:rsidRDefault="00FE5A29" w:rsidP="00FE5A29">
      <w:pPr>
        <w:spacing w:beforeLines="30" w:before="156" w:afterLines="30" w:after="156" w:line="520" w:lineRule="exact"/>
        <w:ind w:firstLineChars="202" w:firstLine="566"/>
        <w:rPr>
          <w:rFonts w:cs="Times New Roman"/>
          <w:szCs w:val="28"/>
        </w:rPr>
      </w:pPr>
      <w:r w:rsidRPr="00486F32">
        <w:rPr>
          <w:rFonts w:cs="Times New Roman"/>
          <w:szCs w:val="28"/>
        </w:rPr>
        <w:t>台灣經濟成長率在此期間的表現也低於全球平均值，如觀察台灣經濟成長來源的貢獻，無論</w:t>
      </w:r>
      <w:r w:rsidR="00C84A4D" w:rsidRPr="00486F32">
        <w:rPr>
          <w:rFonts w:cs="Times New Roman"/>
          <w:szCs w:val="28"/>
        </w:rPr>
        <w:t>代表技術進步的</w:t>
      </w:r>
      <w:r w:rsidR="00C84A4D" w:rsidRPr="00486F32">
        <w:rPr>
          <w:rFonts w:cs="Times New Roman"/>
          <w:szCs w:val="28"/>
        </w:rPr>
        <w:t>TFP</w:t>
      </w:r>
      <w:r w:rsidRPr="00486F32">
        <w:rPr>
          <w:rFonts w:cs="Times New Roman"/>
          <w:szCs w:val="28"/>
        </w:rPr>
        <w:t>、資本投入及勞動投入的貢獻</w:t>
      </w:r>
      <w:r w:rsidR="0085273B" w:rsidRPr="00486F32">
        <w:rPr>
          <w:rFonts w:cs="Times New Roman"/>
          <w:szCs w:val="28"/>
        </w:rPr>
        <w:t>都</w:t>
      </w:r>
      <w:r w:rsidR="00D9388A" w:rsidRPr="00486F32">
        <w:rPr>
          <w:rFonts w:cs="Times New Roman"/>
          <w:szCs w:val="28"/>
        </w:rPr>
        <w:t>下降</w:t>
      </w:r>
      <w:r w:rsidRPr="00486F32">
        <w:rPr>
          <w:rFonts w:cs="Times New Roman"/>
          <w:szCs w:val="28"/>
        </w:rPr>
        <w:t>，不利產出成長。</w:t>
      </w:r>
    </w:p>
    <w:p w:rsidR="00D237F5" w:rsidRPr="00486F32" w:rsidRDefault="00D237F5" w:rsidP="00D237F5">
      <w:pPr>
        <w:spacing w:before="260"/>
        <w:ind w:firstLine="560"/>
        <w:rPr>
          <w:rFonts w:cs="Times New Roman"/>
        </w:rPr>
      </w:pPr>
      <w:r w:rsidRPr="00486F32">
        <w:rPr>
          <w:rFonts w:cs="Times New Roman"/>
        </w:rPr>
        <w:br w:type="page"/>
      </w:r>
    </w:p>
    <w:p w:rsidR="005F2EEC" w:rsidRPr="00486F32" w:rsidRDefault="005F2EEC" w:rsidP="005713C3">
      <w:pPr>
        <w:pStyle w:val="a7"/>
        <w:numPr>
          <w:ilvl w:val="0"/>
          <w:numId w:val="8"/>
        </w:numPr>
        <w:spacing w:before="30" w:after="30" w:line="500" w:lineRule="exact"/>
        <w:ind w:leftChars="0"/>
        <w:rPr>
          <w:rFonts w:ascii="Times New Roman" w:eastAsia="標楷體" w:hAnsi="Times New Roman" w:cs="Times New Roman"/>
          <w:b/>
          <w:sz w:val="28"/>
          <w:szCs w:val="28"/>
        </w:rPr>
      </w:pPr>
      <w:r w:rsidRPr="00486F32">
        <w:rPr>
          <w:rFonts w:ascii="Times New Roman" w:eastAsia="標楷體" w:hAnsi="Times New Roman" w:cs="Times New Roman"/>
          <w:b/>
          <w:sz w:val="28"/>
          <w:szCs w:val="28"/>
        </w:rPr>
        <w:lastRenderedPageBreak/>
        <w:t>人口結構變化不利勞動生產力、消費能力及有效需求成長</w:t>
      </w:r>
    </w:p>
    <w:p w:rsidR="005F2EEC" w:rsidRPr="00486F32" w:rsidRDefault="005F2EEC" w:rsidP="005713C3">
      <w:pPr>
        <w:widowControl w:val="0"/>
        <w:overflowPunct w:val="0"/>
        <w:spacing w:beforeLines="30" w:before="156" w:afterLines="30" w:after="156" w:line="500" w:lineRule="exact"/>
        <w:ind w:firstLineChars="202" w:firstLine="566"/>
        <w:rPr>
          <w:rFonts w:cs="Times New Roman"/>
          <w:szCs w:val="28"/>
        </w:rPr>
      </w:pPr>
      <w:r w:rsidRPr="00486F32">
        <w:rPr>
          <w:rFonts w:cs="Times New Roman"/>
          <w:szCs w:val="28"/>
        </w:rPr>
        <w:t>台灣生育率面臨長期下滑，根據聯合國估計，</w:t>
      </w:r>
      <w:r w:rsidRPr="00486F32">
        <w:rPr>
          <w:rFonts w:cs="Times New Roman"/>
          <w:szCs w:val="28"/>
        </w:rPr>
        <w:t>2015</w:t>
      </w:r>
      <w:r w:rsidRPr="00486F32">
        <w:rPr>
          <w:rFonts w:cs="Times New Roman"/>
          <w:szCs w:val="28"/>
        </w:rPr>
        <w:t>至</w:t>
      </w:r>
      <w:r w:rsidRPr="00486F32">
        <w:rPr>
          <w:rFonts w:cs="Times New Roman"/>
          <w:szCs w:val="28"/>
        </w:rPr>
        <w:t>2020</w:t>
      </w:r>
      <w:r w:rsidRPr="00486F32">
        <w:rPr>
          <w:rFonts w:cs="Times New Roman"/>
          <w:szCs w:val="28"/>
        </w:rPr>
        <w:t>年台灣生育率為</w:t>
      </w:r>
      <w:r w:rsidRPr="00486F32">
        <w:rPr>
          <w:rFonts w:cs="Times New Roman"/>
          <w:szCs w:val="28"/>
        </w:rPr>
        <w:t>1.15</w:t>
      </w:r>
      <w:r w:rsidRPr="00486F32">
        <w:rPr>
          <w:rFonts w:cs="Times New Roman"/>
          <w:szCs w:val="28"/>
        </w:rPr>
        <w:t>人，不及全球平均</w:t>
      </w:r>
      <w:r w:rsidRPr="00486F32">
        <w:rPr>
          <w:rFonts w:cs="Times New Roman"/>
          <w:szCs w:val="28"/>
        </w:rPr>
        <w:t>2.47</w:t>
      </w:r>
      <w:r w:rsidRPr="00486F32">
        <w:rPr>
          <w:rFonts w:cs="Times New Roman"/>
          <w:szCs w:val="28"/>
        </w:rPr>
        <w:t>人的一半，居全球倒數第二</w:t>
      </w:r>
      <w:r w:rsidR="00B35ED9" w:rsidRPr="00486F32">
        <w:rPr>
          <w:rFonts w:cs="Times New Roman"/>
          <w:szCs w:val="28"/>
        </w:rPr>
        <w:t>。</w:t>
      </w:r>
      <w:r w:rsidR="00FD2582" w:rsidRPr="00486F32">
        <w:rPr>
          <w:rFonts w:cs="Times New Roman"/>
          <w:szCs w:val="28"/>
        </w:rPr>
        <w:t>尤其根據國發會估計，台灣已在</w:t>
      </w:r>
      <w:r w:rsidR="00F94312" w:rsidRPr="00486F32">
        <w:rPr>
          <w:rFonts w:cs="Times New Roman"/>
          <w:szCs w:val="28"/>
        </w:rPr>
        <w:t>上</w:t>
      </w:r>
      <w:r w:rsidR="00FD2582" w:rsidRPr="00486F32">
        <w:rPr>
          <w:rFonts w:cs="Times New Roman"/>
          <w:szCs w:val="28"/>
        </w:rPr>
        <w:t>年邁入高齡社會，預計將於</w:t>
      </w:r>
      <w:r w:rsidR="00FD2582" w:rsidRPr="00486F32">
        <w:rPr>
          <w:rFonts w:cs="Times New Roman"/>
          <w:szCs w:val="28"/>
        </w:rPr>
        <w:t>2026</w:t>
      </w:r>
      <w:r w:rsidR="00FD2582" w:rsidRPr="00486F32">
        <w:rPr>
          <w:rFonts w:cs="Times New Roman"/>
          <w:szCs w:val="28"/>
        </w:rPr>
        <w:t>年邁入超高齡社會，</w:t>
      </w:r>
      <w:r w:rsidR="00B35ED9" w:rsidRPr="00486F32">
        <w:rPr>
          <w:rFonts w:cs="Times New Roman"/>
          <w:szCs w:val="28"/>
        </w:rPr>
        <w:t>凸顯了</w:t>
      </w:r>
      <w:r w:rsidR="00FD2582" w:rsidRPr="00486F32">
        <w:rPr>
          <w:rFonts w:cs="Times New Roman"/>
          <w:szCs w:val="28"/>
        </w:rPr>
        <w:t>台灣人口老化的問題嚴重</w:t>
      </w:r>
      <w:r w:rsidR="00FD2582" w:rsidRPr="00486F32">
        <w:rPr>
          <w:rFonts w:cs="Times New Roman"/>
          <w:vertAlign w:val="superscript"/>
        </w:rPr>
        <w:footnoteReference w:id="17"/>
      </w:r>
      <w:r w:rsidR="00FD2582" w:rsidRPr="00486F32">
        <w:rPr>
          <w:rFonts w:cs="Times New Roman"/>
          <w:szCs w:val="28"/>
        </w:rPr>
        <w:t>。</w:t>
      </w:r>
    </w:p>
    <w:p w:rsidR="005F2EEC" w:rsidRPr="00486F32" w:rsidRDefault="005F2EEC" w:rsidP="005713C3">
      <w:pPr>
        <w:widowControl w:val="0"/>
        <w:overflowPunct w:val="0"/>
        <w:spacing w:beforeLines="30" w:before="156" w:afterLines="30" w:after="156" w:line="500" w:lineRule="exact"/>
        <w:ind w:firstLineChars="202" w:firstLine="566"/>
        <w:rPr>
          <w:rFonts w:cs="Times New Roman"/>
          <w:szCs w:val="28"/>
        </w:rPr>
      </w:pPr>
      <w:r w:rsidRPr="00486F32">
        <w:rPr>
          <w:rFonts w:cs="Times New Roman"/>
          <w:szCs w:val="28"/>
        </w:rPr>
        <w:tab/>
      </w:r>
      <w:r w:rsidR="00116779" w:rsidRPr="00486F32">
        <w:rPr>
          <w:rFonts w:cs="Times New Roman"/>
          <w:szCs w:val="28"/>
        </w:rPr>
        <w:t>此外，由於</w:t>
      </w:r>
      <w:r w:rsidR="004D6EB3" w:rsidRPr="00486F32">
        <w:rPr>
          <w:rFonts w:cs="Times New Roman"/>
          <w:szCs w:val="28"/>
        </w:rPr>
        <w:t>高等教育快速擴張、學用落差</w:t>
      </w:r>
      <w:r w:rsidR="00116779" w:rsidRPr="00486F32">
        <w:rPr>
          <w:rFonts w:cs="Times New Roman"/>
          <w:szCs w:val="28"/>
        </w:rPr>
        <w:t>與</w:t>
      </w:r>
      <w:r w:rsidR="00D9388A" w:rsidRPr="00486F32">
        <w:rPr>
          <w:rFonts w:cs="Times New Roman"/>
          <w:szCs w:val="28"/>
        </w:rPr>
        <w:t>青年就學年齡延長，較晚投入就業市場</w:t>
      </w:r>
      <w:r w:rsidR="00116779" w:rsidRPr="00486F32">
        <w:rPr>
          <w:rFonts w:cs="Times New Roman"/>
          <w:szCs w:val="28"/>
        </w:rPr>
        <w:t>，使台灣</w:t>
      </w:r>
      <w:r w:rsidR="00116779" w:rsidRPr="00486F32">
        <w:rPr>
          <w:rFonts w:cs="Times New Roman"/>
          <w:szCs w:val="28"/>
        </w:rPr>
        <w:t>15-24</w:t>
      </w:r>
      <w:r w:rsidR="00116779" w:rsidRPr="00486F32">
        <w:rPr>
          <w:rFonts w:cs="Times New Roman"/>
          <w:szCs w:val="28"/>
        </w:rPr>
        <w:t>歲青年勞動力參與率較歐美國家為低。至於中高齡者則過早退離勞動市場，</w:t>
      </w:r>
      <w:r w:rsidR="00A52A0E" w:rsidRPr="00486F32">
        <w:rPr>
          <w:rFonts w:cs="Times New Roman"/>
          <w:szCs w:val="28"/>
        </w:rPr>
        <w:t>55</w:t>
      </w:r>
      <w:r w:rsidR="00116779" w:rsidRPr="00486F32">
        <w:rPr>
          <w:rFonts w:cs="Times New Roman"/>
          <w:szCs w:val="28"/>
        </w:rPr>
        <w:t>歲以上中高齡者勞動力參與率相對低於其他國家</w:t>
      </w:r>
      <w:r w:rsidRPr="00486F32">
        <w:rPr>
          <w:rFonts w:cs="Times New Roman"/>
          <w:szCs w:val="28"/>
        </w:rPr>
        <w:t>，致整體勞參率偏低，將不利潛在產出。</w:t>
      </w:r>
    </w:p>
    <w:p w:rsidR="005F2EEC" w:rsidRPr="00486F32" w:rsidRDefault="005F2EEC" w:rsidP="005F2EEC">
      <w:pPr>
        <w:widowControl w:val="0"/>
        <w:overflowPunct w:val="0"/>
        <w:spacing w:beforeLines="30" w:before="156" w:afterLines="30" w:after="156" w:line="520" w:lineRule="exact"/>
        <w:ind w:firstLineChars="202" w:firstLine="566"/>
        <w:rPr>
          <w:rFonts w:cs="Times New Roman"/>
          <w:szCs w:val="28"/>
        </w:rPr>
      </w:pPr>
      <w:r w:rsidRPr="00486F32">
        <w:rPr>
          <w:rFonts w:cs="Times New Roman"/>
          <w:szCs w:val="28"/>
        </w:rPr>
        <w:t>另一方面，由於</w:t>
      </w:r>
      <w:r w:rsidR="00116779" w:rsidRPr="00486F32">
        <w:rPr>
          <w:rFonts w:cs="Times New Roman"/>
          <w:szCs w:val="28"/>
        </w:rPr>
        <w:tab/>
      </w:r>
      <w:r w:rsidR="00116779" w:rsidRPr="00486F32">
        <w:rPr>
          <w:rFonts w:cs="Times New Roman"/>
          <w:szCs w:val="28"/>
        </w:rPr>
        <w:t>台灣工作年齡人口減少，也使得工作所得人口萎縮</w:t>
      </w:r>
      <w:r w:rsidR="004D6EB3" w:rsidRPr="00486F32">
        <w:rPr>
          <w:rFonts w:cs="Times New Roman"/>
          <w:szCs w:val="28"/>
        </w:rPr>
        <w:t>，不利消費能力及有效需求成長。</w:t>
      </w:r>
      <w:r w:rsidR="00964474" w:rsidRPr="00486F32">
        <w:rPr>
          <w:rFonts w:cs="Times New Roman"/>
          <w:szCs w:val="28"/>
        </w:rPr>
        <w:t>0</w:t>
      </w:r>
      <w:r w:rsidR="00964474" w:rsidRPr="00486F32">
        <w:rPr>
          <w:rFonts w:cs="Times New Roman"/>
          <w:szCs w:val="28"/>
        </w:rPr>
        <w:t>至</w:t>
      </w:r>
      <w:r w:rsidR="00964474" w:rsidRPr="00486F32">
        <w:rPr>
          <w:rFonts w:cs="Times New Roman"/>
          <w:szCs w:val="28"/>
        </w:rPr>
        <w:t>19</w:t>
      </w:r>
      <w:r w:rsidR="00964474" w:rsidRPr="00486F32">
        <w:rPr>
          <w:rFonts w:cs="Times New Roman"/>
          <w:szCs w:val="28"/>
        </w:rPr>
        <w:t>歲</w:t>
      </w:r>
      <w:r w:rsidRPr="00486F32">
        <w:rPr>
          <w:rFonts w:cs="Times New Roman"/>
          <w:szCs w:val="28"/>
        </w:rPr>
        <w:t>多為淨消費者，而</w:t>
      </w:r>
      <w:r w:rsidR="00964474" w:rsidRPr="00486F32">
        <w:rPr>
          <w:rFonts w:cs="Times New Roman"/>
          <w:szCs w:val="28"/>
        </w:rPr>
        <w:t>40</w:t>
      </w:r>
      <w:r w:rsidR="00964474" w:rsidRPr="00486F32">
        <w:rPr>
          <w:rFonts w:cs="Times New Roman"/>
          <w:szCs w:val="28"/>
        </w:rPr>
        <w:t>至</w:t>
      </w:r>
      <w:r w:rsidR="00964474" w:rsidRPr="00486F32">
        <w:rPr>
          <w:rFonts w:cs="Times New Roman"/>
          <w:szCs w:val="28"/>
        </w:rPr>
        <w:t>64</w:t>
      </w:r>
      <w:r w:rsidR="00964474" w:rsidRPr="00486F32">
        <w:rPr>
          <w:rFonts w:cs="Times New Roman"/>
          <w:szCs w:val="28"/>
        </w:rPr>
        <w:t>歲</w:t>
      </w:r>
      <w:r w:rsidRPr="00486F32">
        <w:rPr>
          <w:rFonts w:cs="Times New Roman"/>
          <w:szCs w:val="28"/>
        </w:rPr>
        <w:t>多為淨儲蓄者</w:t>
      </w:r>
      <w:r w:rsidR="00B35ED9" w:rsidRPr="00486F32">
        <w:rPr>
          <w:rFonts w:cs="Times New Roman"/>
          <w:szCs w:val="28"/>
        </w:rPr>
        <w:t>；</w:t>
      </w:r>
      <w:r w:rsidRPr="00486F32">
        <w:rPr>
          <w:rFonts w:cs="Times New Roman"/>
          <w:szCs w:val="28"/>
        </w:rPr>
        <w:t>少子化及人口老化不利有效需求成長，使台灣</w:t>
      </w:r>
      <w:r w:rsidR="00964474" w:rsidRPr="00486F32">
        <w:rPr>
          <w:rFonts w:cs="Times New Roman"/>
          <w:szCs w:val="28"/>
        </w:rPr>
        <w:t>家庭部門</w:t>
      </w:r>
      <w:r w:rsidRPr="00486F32">
        <w:rPr>
          <w:rFonts w:cs="Times New Roman"/>
          <w:szCs w:val="28"/>
        </w:rPr>
        <w:t>儲蓄率維持高水準。</w:t>
      </w:r>
      <w:r w:rsidR="00116779" w:rsidRPr="00486F32">
        <w:rPr>
          <w:rFonts w:cs="Times New Roman"/>
          <w:szCs w:val="28"/>
        </w:rPr>
        <w:t>值得注意的是，</w:t>
      </w:r>
      <w:r w:rsidR="004D6EB3" w:rsidRPr="00486F32">
        <w:rPr>
          <w:rFonts w:cs="Times New Roman"/>
          <w:szCs w:val="28"/>
        </w:rPr>
        <w:t>2008</w:t>
      </w:r>
      <w:r w:rsidR="004D6EB3" w:rsidRPr="00486F32">
        <w:rPr>
          <w:rFonts w:cs="Times New Roman"/>
          <w:szCs w:val="28"/>
        </w:rPr>
        <w:t>年</w:t>
      </w:r>
      <w:r w:rsidR="00F94312" w:rsidRPr="00486F32">
        <w:rPr>
          <w:rFonts w:cs="Times New Roman"/>
          <w:szCs w:val="28"/>
        </w:rPr>
        <w:t>全球</w:t>
      </w:r>
      <w:r w:rsidR="004D6EB3" w:rsidRPr="00486F32">
        <w:rPr>
          <w:rFonts w:cs="Times New Roman"/>
          <w:szCs w:val="28"/>
        </w:rPr>
        <w:t>金融危機後，企業由資金需求者轉為供給者，</w:t>
      </w:r>
      <w:r w:rsidR="00964474" w:rsidRPr="00486F32">
        <w:rPr>
          <w:rFonts w:cs="Times New Roman"/>
          <w:szCs w:val="28"/>
        </w:rPr>
        <w:t>使</w:t>
      </w:r>
      <w:r w:rsidR="004D6EB3" w:rsidRPr="00486F32">
        <w:rPr>
          <w:rFonts w:cs="Times New Roman"/>
          <w:szCs w:val="28"/>
        </w:rPr>
        <w:t>台灣</w:t>
      </w:r>
      <w:r w:rsidR="00964474" w:rsidRPr="00486F32">
        <w:rPr>
          <w:rFonts w:cs="Times New Roman"/>
          <w:szCs w:val="28"/>
        </w:rPr>
        <w:t>國民</w:t>
      </w:r>
      <w:r w:rsidR="004D6EB3" w:rsidRPr="00486F32">
        <w:rPr>
          <w:rFonts w:cs="Times New Roman"/>
          <w:szCs w:val="28"/>
        </w:rPr>
        <w:t>儲蓄率加速攀升。</w:t>
      </w:r>
    </w:p>
    <w:p w:rsidR="00D21DDF" w:rsidRPr="00486F32" w:rsidRDefault="00824671" w:rsidP="00F83BC9">
      <w:pPr>
        <w:pStyle w:val="a7"/>
        <w:numPr>
          <w:ilvl w:val="0"/>
          <w:numId w:val="1"/>
        </w:numPr>
        <w:snapToGrid w:val="0"/>
        <w:spacing w:beforeLines="30" w:before="156" w:afterLines="30" w:after="156" w:line="520" w:lineRule="exact"/>
        <w:ind w:leftChars="0" w:left="566" w:hangingChars="202" w:hanging="566"/>
        <w:rPr>
          <w:rFonts w:ascii="Times New Roman" w:eastAsia="標楷體" w:hAnsi="Times New Roman" w:cs="Times New Roman"/>
          <w:b/>
          <w:sz w:val="28"/>
          <w:szCs w:val="28"/>
        </w:rPr>
      </w:pPr>
      <w:r w:rsidRPr="00486F32">
        <w:rPr>
          <w:rFonts w:ascii="Times New Roman" w:eastAsia="標楷體" w:hAnsi="Times New Roman" w:cs="Times New Roman"/>
          <w:sz w:val="28"/>
          <w:szCs w:val="28"/>
        </w:rPr>
        <w:tab/>
      </w:r>
      <w:r w:rsidRPr="00486F32">
        <w:rPr>
          <w:rFonts w:ascii="Times New Roman" w:eastAsia="標楷體" w:hAnsi="Times New Roman" w:cs="Times New Roman"/>
          <w:sz w:val="28"/>
          <w:szCs w:val="28"/>
        </w:rPr>
        <w:tab/>
      </w:r>
      <w:r w:rsidR="00E63CA8" w:rsidRPr="00486F32">
        <w:rPr>
          <w:rFonts w:ascii="Times New Roman" w:eastAsia="標楷體" w:hAnsi="Times New Roman" w:cs="Times New Roman"/>
          <w:b/>
          <w:sz w:val="28"/>
          <w:szCs w:val="28"/>
        </w:rPr>
        <w:tab/>
      </w:r>
      <w:r w:rsidR="00393B9A" w:rsidRPr="00486F32">
        <w:rPr>
          <w:rFonts w:ascii="Times New Roman" w:eastAsia="標楷體" w:hAnsi="Times New Roman" w:cs="Times New Roman"/>
          <w:b/>
          <w:sz w:val="28"/>
          <w:szCs w:val="28"/>
        </w:rPr>
        <w:t>妥適因應經濟結構問題，協助經濟成長</w:t>
      </w:r>
      <w:r w:rsidR="00A409EF" w:rsidRPr="00486F32">
        <w:rPr>
          <w:rFonts w:ascii="Times New Roman" w:eastAsia="標楷體" w:hAnsi="Times New Roman" w:cs="Times New Roman"/>
          <w:b/>
          <w:sz w:val="28"/>
          <w:szCs w:val="28"/>
        </w:rPr>
        <w:t xml:space="preserve"> </w:t>
      </w:r>
    </w:p>
    <w:p w:rsidR="00BE0066" w:rsidRPr="00486F32" w:rsidRDefault="00BE0066" w:rsidP="00BE0066">
      <w:pPr>
        <w:widowControl w:val="0"/>
        <w:overflowPunct w:val="0"/>
        <w:spacing w:beforeLines="30" w:before="156" w:afterLines="30" w:after="156" w:line="520" w:lineRule="exact"/>
        <w:ind w:firstLineChars="202" w:firstLine="566"/>
        <w:rPr>
          <w:rFonts w:cs="Times New Roman"/>
          <w:szCs w:val="28"/>
        </w:rPr>
      </w:pPr>
      <w:r w:rsidRPr="00486F32">
        <w:rPr>
          <w:rFonts w:cs="Times New Roman"/>
          <w:szCs w:val="28"/>
        </w:rPr>
        <w:t>在探討</w:t>
      </w:r>
      <w:r w:rsidR="00E103DE" w:rsidRPr="00486F32">
        <w:rPr>
          <w:rFonts w:cs="Times New Roman"/>
          <w:szCs w:val="28"/>
        </w:rPr>
        <w:t>全球及</w:t>
      </w:r>
      <w:r w:rsidRPr="00486F32">
        <w:rPr>
          <w:rFonts w:cs="Times New Roman"/>
          <w:szCs w:val="28"/>
        </w:rPr>
        <w:t>台灣經濟面臨的結構性問題後，</w:t>
      </w:r>
      <w:r w:rsidR="002D35E6" w:rsidRPr="00486F32">
        <w:rPr>
          <w:rFonts w:cs="Times New Roman"/>
          <w:szCs w:val="28"/>
        </w:rPr>
        <w:t>現在</w:t>
      </w:r>
      <w:r w:rsidRPr="00486F32">
        <w:rPr>
          <w:rFonts w:cs="Times New Roman"/>
          <w:szCs w:val="28"/>
        </w:rPr>
        <w:t>我</w:t>
      </w:r>
      <w:r w:rsidR="00454CDC" w:rsidRPr="00486F32">
        <w:rPr>
          <w:rFonts w:cs="Times New Roman"/>
          <w:szCs w:val="28"/>
        </w:rPr>
        <w:t>們</w:t>
      </w:r>
      <w:r w:rsidR="00166A57" w:rsidRPr="00486F32">
        <w:rPr>
          <w:rFonts w:cs="Times New Roman"/>
          <w:szCs w:val="28"/>
        </w:rPr>
        <w:t>進入最後</w:t>
      </w:r>
      <w:r w:rsidR="002D35E6" w:rsidRPr="00486F32">
        <w:rPr>
          <w:rFonts w:cs="Times New Roman"/>
          <w:szCs w:val="28"/>
        </w:rPr>
        <w:t>一個</w:t>
      </w:r>
      <w:r w:rsidR="00166A57" w:rsidRPr="00486F32">
        <w:rPr>
          <w:rFonts w:cs="Times New Roman"/>
          <w:szCs w:val="28"/>
        </w:rPr>
        <w:t>主題</w:t>
      </w:r>
      <w:r w:rsidR="00F55C51" w:rsidRPr="00486F32">
        <w:rPr>
          <w:rFonts w:cs="Times New Roman"/>
          <w:szCs w:val="28"/>
        </w:rPr>
        <w:t>，</w:t>
      </w:r>
      <w:r w:rsidR="00B35ED9" w:rsidRPr="00486F32">
        <w:rPr>
          <w:rFonts w:cs="Times New Roman"/>
          <w:szCs w:val="28"/>
        </w:rPr>
        <w:t>也就是本行、政府其他部門及企業應當</w:t>
      </w:r>
      <w:r w:rsidRPr="00486F32">
        <w:rPr>
          <w:rFonts w:cs="Times New Roman"/>
          <w:szCs w:val="28"/>
        </w:rPr>
        <w:t>如何妥適因應</w:t>
      </w:r>
      <w:r w:rsidR="00166A57" w:rsidRPr="00486F32">
        <w:rPr>
          <w:rFonts w:cs="Times New Roman"/>
          <w:szCs w:val="28"/>
        </w:rPr>
        <w:t>新經濟的結構轉變</w:t>
      </w:r>
      <w:r w:rsidRPr="00486F32">
        <w:rPr>
          <w:rFonts w:cs="Times New Roman"/>
          <w:szCs w:val="28"/>
        </w:rPr>
        <w:t>，以協助</w:t>
      </w:r>
      <w:r w:rsidR="00CA3FF0" w:rsidRPr="00486F32">
        <w:rPr>
          <w:rFonts w:cs="Times New Roman"/>
          <w:szCs w:val="28"/>
        </w:rPr>
        <w:t>台灣</w:t>
      </w:r>
      <w:r w:rsidRPr="00486F32">
        <w:rPr>
          <w:rFonts w:cs="Times New Roman"/>
          <w:szCs w:val="28"/>
        </w:rPr>
        <w:t>經濟發展。</w:t>
      </w:r>
    </w:p>
    <w:p w:rsidR="00E63CA8" w:rsidRPr="00486F32" w:rsidRDefault="00383E86" w:rsidP="00411DA9">
      <w:pPr>
        <w:pStyle w:val="a7"/>
        <w:numPr>
          <w:ilvl w:val="0"/>
          <w:numId w:val="2"/>
        </w:numPr>
        <w:snapToGrid w:val="0"/>
        <w:spacing w:beforeLines="30" w:before="156" w:afterLines="30" w:after="156" w:line="520" w:lineRule="exact"/>
        <w:ind w:leftChars="0" w:left="482" w:hanging="482"/>
        <w:rPr>
          <w:rFonts w:ascii="Times New Roman" w:eastAsia="標楷體" w:hAnsi="Times New Roman" w:cs="Times New Roman"/>
          <w:b/>
          <w:sz w:val="28"/>
          <w:szCs w:val="28"/>
        </w:rPr>
      </w:pPr>
      <w:r w:rsidRPr="00486F32">
        <w:rPr>
          <w:rFonts w:ascii="Times New Roman" w:eastAsia="標楷體" w:hAnsi="Times New Roman" w:cs="Times New Roman"/>
          <w:b/>
          <w:sz w:val="28"/>
          <w:szCs w:val="28"/>
        </w:rPr>
        <w:t>本</w:t>
      </w:r>
      <w:r w:rsidR="00FE56DA" w:rsidRPr="00486F32">
        <w:rPr>
          <w:rFonts w:ascii="Times New Roman" w:eastAsia="標楷體" w:hAnsi="Times New Roman" w:cs="Times New Roman"/>
          <w:b/>
          <w:sz w:val="28"/>
          <w:szCs w:val="28"/>
        </w:rPr>
        <w:t>行貨幣政策與時俱進</w:t>
      </w:r>
    </w:p>
    <w:p w:rsidR="00303A38" w:rsidRPr="00486F32" w:rsidRDefault="00303A38" w:rsidP="00845CEA">
      <w:pPr>
        <w:pStyle w:val="a7"/>
        <w:numPr>
          <w:ilvl w:val="0"/>
          <w:numId w:val="22"/>
        </w:numPr>
        <w:spacing w:before="30" w:after="30" w:line="500" w:lineRule="exact"/>
        <w:ind w:leftChars="0"/>
        <w:rPr>
          <w:rFonts w:ascii="Times New Roman" w:eastAsia="標楷體" w:hAnsi="Times New Roman" w:cs="Times New Roman"/>
          <w:b/>
          <w:sz w:val="28"/>
          <w:szCs w:val="28"/>
        </w:rPr>
      </w:pPr>
      <w:r w:rsidRPr="00486F32">
        <w:rPr>
          <w:rFonts w:ascii="Times New Roman" w:eastAsia="標楷體" w:hAnsi="Times New Roman" w:cs="Times New Roman"/>
          <w:b/>
          <w:sz w:val="28"/>
          <w:szCs w:val="28"/>
        </w:rPr>
        <w:t>因應經濟不確定性升高，</w:t>
      </w:r>
      <w:r w:rsidR="00845CEA" w:rsidRPr="00486F32">
        <w:rPr>
          <w:rFonts w:ascii="Times New Roman" w:eastAsia="標楷體" w:hAnsi="Times New Roman" w:cs="Times New Roman"/>
          <w:b/>
          <w:sz w:val="28"/>
          <w:szCs w:val="28"/>
        </w:rPr>
        <w:t>貨幣政策</w:t>
      </w:r>
      <w:r w:rsidR="00613CCB" w:rsidRPr="00486F32">
        <w:rPr>
          <w:rFonts w:ascii="Times New Roman" w:eastAsia="標楷體" w:hAnsi="Times New Roman" w:cs="Times New Roman"/>
          <w:b/>
          <w:sz w:val="28"/>
          <w:szCs w:val="28"/>
        </w:rPr>
        <w:t>指標可靠性</w:t>
      </w:r>
      <w:r w:rsidR="00293234" w:rsidRPr="00486F32">
        <w:rPr>
          <w:rFonts w:ascii="Times New Roman" w:eastAsia="標楷體" w:hAnsi="Times New Roman" w:cs="Times New Roman"/>
          <w:b/>
          <w:sz w:val="28"/>
          <w:szCs w:val="28"/>
        </w:rPr>
        <w:t>降低</w:t>
      </w:r>
    </w:p>
    <w:p w:rsidR="00310C42" w:rsidRPr="00486F32" w:rsidRDefault="00310C42" w:rsidP="00364C61">
      <w:pPr>
        <w:widowControl w:val="0"/>
        <w:overflowPunct w:val="0"/>
        <w:spacing w:beforeLines="30" w:before="156" w:afterLines="30" w:after="156" w:line="500" w:lineRule="exact"/>
        <w:ind w:firstLineChars="202" w:firstLine="566"/>
        <w:rPr>
          <w:rFonts w:cs="Times New Roman"/>
          <w:szCs w:val="28"/>
        </w:rPr>
      </w:pPr>
      <w:r w:rsidRPr="00486F32">
        <w:rPr>
          <w:rFonts w:cs="Times New Roman"/>
          <w:szCs w:val="28"/>
        </w:rPr>
        <w:t>面對全球化快速發展，經濟結構和金融環境的變化與不確定性擴大的環境下</w:t>
      </w:r>
      <w:r w:rsidR="00613CCB" w:rsidRPr="00486F32">
        <w:rPr>
          <w:rFonts w:cs="Times New Roman"/>
          <w:szCs w:val="28"/>
        </w:rPr>
        <w:t>，過去重要的經濟金融指標可靠性降低</w:t>
      </w:r>
      <w:r w:rsidRPr="00486F32">
        <w:rPr>
          <w:rFonts w:cs="Times New Roman"/>
          <w:szCs w:val="28"/>
        </w:rPr>
        <w:t>，未來貨幣政策的</w:t>
      </w:r>
      <w:r w:rsidRPr="00486F32">
        <w:rPr>
          <w:rFonts w:cs="Times New Roman"/>
          <w:szCs w:val="28"/>
        </w:rPr>
        <w:lastRenderedPageBreak/>
        <w:t>決策更須取決於數據</w:t>
      </w:r>
      <w:r w:rsidRPr="00486F32">
        <w:rPr>
          <w:rFonts w:cs="Times New Roman"/>
          <w:szCs w:val="28"/>
        </w:rPr>
        <w:t>(data-dependent)</w:t>
      </w:r>
      <w:r w:rsidRPr="00486F32">
        <w:rPr>
          <w:rFonts w:cs="Times New Roman"/>
          <w:szCs w:val="28"/>
        </w:rPr>
        <w:t>。本行將持續透過大數據分析等新技術的協助，即時檢視範圍更廣的經濟指標，以協助本行更有效</w:t>
      </w:r>
      <w:r w:rsidR="00D83ECD" w:rsidRPr="00486F32">
        <w:rPr>
          <w:rFonts w:cs="Times New Roman"/>
          <w:szCs w:val="28"/>
        </w:rPr>
        <w:t>地</w:t>
      </w:r>
      <w:r w:rsidRPr="00486F32">
        <w:rPr>
          <w:rFonts w:cs="Times New Roman"/>
          <w:szCs w:val="28"/>
        </w:rPr>
        <w:t>預測與分析經濟金融狀況及政策執行。</w:t>
      </w:r>
    </w:p>
    <w:p w:rsidR="003358EB" w:rsidRPr="00486F32" w:rsidRDefault="003358EB" w:rsidP="00310C42">
      <w:pPr>
        <w:pStyle w:val="a7"/>
        <w:numPr>
          <w:ilvl w:val="0"/>
          <w:numId w:val="22"/>
        </w:numPr>
        <w:spacing w:before="30" w:after="30" w:line="500" w:lineRule="exact"/>
        <w:ind w:leftChars="0"/>
        <w:rPr>
          <w:rFonts w:ascii="Times New Roman" w:eastAsia="標楷體" w:hAnsi="Times New Roman" w:cs="Times New Roman"/>
          <w:b/>
          <w:sz w:val="28"/>
          <w:szCs w:val="28"/>
        </w:rPr>
      </w:pPr>
      <w:r w:rsidRPr="00486F32">
        <w:rPr>
          <w:rFonts w:ascii="Times New Roman" w:eastAsia="標楷體" w:hAnsi="Times New Roman" w:cs="Times New Roman"/>
          <w:b/>
          <w:sz w:val="28"/>
          <w:szCs w:val="28"/>
        </w:rPr>
        <w:t>因應資本快速移動，本行適時運用資本移動管理工具及總體審慎政策，維護市場秩序</w:t>
      </w:r>
    </w:p>
    <w:p w:rsidR="00FF68E7" w:rsidRPr="00486F32" w:rsidRDefault="00FF68E7" w:rsidP="00FF68E7">
      <w:pPr>
        <w:widowControl w:val="0"/>
        <w:overflowPunct w:val="0"/>
        <w:spacing w:beforeLines="30" w:before="156" w:afterLines="30" w:after="156" w:line="500" w:lineRule="exact"/>
        <w:ind w:firstLineChars="202" w:firstLine="566"/>
        <w:rPr>
          <w:rFonts w:cs="Times New Roman"/>
          <w:szCs w:val="28"/>
        </w:rPr>
      </w:pPr>
      <w:r w:rsidRPr="00486F32">
        <w:rPr>
          <w:rFonts w:cs="Times New Roman"/>
          <w:szCs w:val="28"/>
        </w:rPr>
        <w:t>另一方面，為了因應金融自由化以及國際資金快速且頻繁的移動，新台幣匯率變動常受到國際美元強弱、市場預期心理及外匯買賣投機行為等非經濟基本面因素影響，</w:t>
      </w:r>
      <w:r w:rsidRPr="00486F32">
        <w:rPr>
          <w:rFonts w:cs="Times New Roman"/>
          <w:szCs w:val="28"/>
        </w:rPr>
        <w:tab/>
      </w:r>
      <w:r w:rsidRPr="00486F32">
        <w:rPr>
          <w:rFonts w:cs="Times New Roman"/>
          <w:szCs w:val="28"/>
        </w:rPr>
        <w:t>不利於經濟金融穩定</w:t>
      </w:r>
      <w:r w:rsidR="00D83ECD" w:rsidRPr="00486F32">
        <w:rPr>
          <w:rFonts w:cs="Times New Roman"/>
          <w:szCs w:val="28"/>
        </w:rPr>
        <w:t>。</w:t>
      </w:r>
      <w:r w:rsidRPr="00486F32">
        <w:rPr>
          <w:rFonts w:cs="Times New Roman"/>
          <w:szCs w:val="28"/>
        </w:rPr>
        <w:t>因此，本行</w:t>
      </w:r>
      <w:r w:rsidR="00D83ECD" w:rsidRPr="00486F32">
        <w:rPr>
          <w:rFonts w:cs="Times New Roman"/>
          <w:szCs w:val="28"/>
        </w:rPr>
        <w:t>將繼續採行</w:t>
      </w:r>
      <w:r w:rsidRPr="00486F32">
        <w:rPr>
          <w:rFonts w:cs="Times New Roman"/>
          <w:szCs w:val="28"/>
        </w:rPr>
        <w:t>管理浮動匯率制度，適時運用資本移動管理工具及總體審慎政策，維護市場秩序。例如：本年</w:t>
      </w:r>
      <w:r w:rsidRPr="00486F32">
        <w:rPr>
          <w:rFonts w:cs="Times New Roman"/>
          <w:szCs w:val="28"/>
        </w:rPr>
        <w:t>5</w:t>
      </w:r>
      <w:r w:rsidRPr="00486F32">
        <w:rPr>
          <w:rFonts w:cs="Times New Roman"/>
          <w:szCs w:val="28"/>
        </w:rPr>
        <w:t>月因</w:t>
      </w:r>
      <w:r w:rsidR="003B3EF4" w:rsidRPr="00486F32">
        <w:rPr>
          <w:rFonts w:cs="Times New Roman"/>
          <w:szCs w:val="28"/>
        </w:rPr>
        <w:t>資金集中鉅額流出</w:t>
      </w:r>
      <w:r w:rsidRPr="00486F32">
        <w:rPr>
          <w:rFonts w:cs="Times New Roman"/>
          <w:szCs w:val="28"/>
        </w:rPr>
        <w:t>，</w:t>
      </w:r>
      <w:r w:rsidRPr="00486F32">
        <w:rPr>
          <w:rFonts w:cs="Times New Roman"/>
          <w:szCs w:val="28"/>
        </w:rPr>
        <w:t>6</w:t>
      </w:r>
      <w:r w:rsidRPr="00486F32">
        <w:rPr>
          <w:rFonts w:cs="Times New Roman"/>
          <w:szCs w:val="28"/>
        </w:rPr>
        <w:t>月則因資金集中鉅額匯入，都導致外匯市場波動較大，本行為了維持市場秩序，基於職責進場調節，以減緩匯率過度波動。此外，為了掌握資金移動趨勢，本行已建置外匯統計分析資訊系統，</w:t>
      </w:r>
      <w:r w:rsidR="0063464F" w:rsidRPr="00486F32">
        <w:rPr>
          <w:rFonts w:cs="Times New Roman" w:hint="eastAsia"/>
          <w:szCs w:val="28"/>
        </w:rPr>
        <w:t>研析</w:t>
      </w:r>
      <w:r w:rsidRPr="00486F32">
        <w:rPr>
          <w:rFonts w:cs="Times New Roman"/>
          <w:szCs w:val="28"/>
        </w:rPr>
        <w:t>我國外匯市場運作及收支</w:t>
      </w:r>
      <w:r w:rsidR="00BC17E3" w:rsidRPr="00486F32">
        <w:rPr>
          <w:rFonts w:cs="Times New Roman" w:hint="eastAsia"/>
          <w:szCs w:val="28"/>
        </w:rPr>
        <w:t>變動</w:t>
      </w:r>
      <w:r w:rsidRPr="00486F32">
        <w:rPr>
          <w:rFonts w:cs="Times New Roman"/>
          <w:szCs w:val="28"/>
        </w:rPr>
        <w:t>，</w:t>
      </w:r>
      <w:r w:rsidR="0063464F" w:rsidRPr="00486F32">
        <w:rPr>
          <w:rFonts w:cs="Times New Roman" w:hint="eastAsia"/>
          <w:szCs w:val="28"/>
        </w:rPr>
        <w:t>以掌握</w:t>
      </w:r>
      <w:r w:rsidRPr="00486F32">
        <w:rPr>
          <w:rFonts w:cs="Times New Roman"/>
          <w:szCs w:val="28"/>
        </w:rPr>
        <w:t>短、中、長期</w:t>
      </w:r>
      <w:r w:rsidR="0063464F" w:rsidRPr="00486F32">
        <w:rPr>
          <w:rFonts w:cs="Times New Roman" w:hint="eastAsia"/>
          <w:szCs w:val="28"/>
        </w:rPr>
        <w:t>資金進出狀況</w:t>
      </w:r>
      <w:r w:rsidRPr="00486F32">
        <w:rPr>
          <w:rFonts w:cs="Times New Roman"/>
          <w:szCs w:val="28"/>
        </w:rPr>
        <w:t>。</w:t>
      </w:r>
    </w:p>
    <w:p w:rsidR="005C2F2C" w:rsidRPr="00486F32" w:rsidRDefault="005C2F2C" w:rsidP="001F2CF5">
      <w:pPr>
        <w:pStyle w:val="a7"/>
        <w:numPr>
          <w:ilvl w:val="0"/>
          <w:numId w:val="22"/>
        </w:numPr>
        <w:spacing w:before="30" w:after="30" w:line="500" w:lineRule="exact"/>
        <w:ind w:leftChars="0"/>
        <w:rPr>
          <w:rFonts w:ascii="Times New Roman" w:eastAsia="標楷體" w:hAnsi="Times New Roman" w:cs="Times New Roman"/>
          <w:b/>
          <w:sz w:val="28"/>
          <w:szCs w:val="28"/>
        </w:rPr>
      </w:pPr>
      <w:r w:rsidRPr="00486F32">
        <w:rPr>
          <w:rFonts w:ascii="Times New Roman" w:eastAsia="標楷體" w:hAnsi="Times New Roman" w:cs="Times New Roman"/>
          <w:b/>
          <w:sz w:val="28"/>
          <w:szCs w:val="28"/>
        </w:rPr>
        <w:t>因應新金融科技的發展，本行加強金融科技相關研究</w:t>
      </w:r>
    </w:p>
    <w:p w:rsidR="00774F03" w:rsidRPr="00486F32" w:rsidRDefault="00774F03" w:rsidP="00774F03">
      <w:pPr>
        <w:widowControl w:val="0"/>
        <w:overflowPunct w:val="0"/>
        <w:spacing w:beforeLines="30" w:before="156" w:afterLines="30" w:after="156" w:line="500" w:lineRule="exact"/>
        <w:ind w:firstLineChars="202" w:firstLine="566"/>
        <w:rPr>
          <w:rFonts w:cs="Times New Roman"/>
          <w:szCs w:val="28"/>
        </w:rPr>
      </w:pPr>
      <w:r w:rsidRPr="00486F32">
        <w:rPr>
          <w:rFonts w:cs="Times New Roman"/>
          <w:szCs w:val="28"/>
        </w:rPr>
        <w:t>因應新金融科技的發展，本行成立「數位金融研究小組」，下設「央行數位貨幣</w:t>
      </w:r>
      <w:r w:rsidRPr="00486F32">
        <w:rPr>
          <w:rFonts w:cs="Times New Roman"/>
          <w:szCs w:val="28"/>
        </w:rPr>
        <w:t>(CBDC)</w:t>
      </w:r>
      <w:r w:rsidRPr="00486F32">
        <w:rPr>
          <w:rFonts w:cs="Times New Roman"/>
          <w:szCs w:val="28"/>
        </w:rPr>
        <w:t>研究計畫專案小組」與「金融科技工作小組」</w:t>
      </w:r>
      <w:r w:rsidRPr="00486F32">
        <w:rPr>
          <w:rFonts w:cs="Times New Roman"/>
          <w:szCs w:val="28"/>
          <w:vertAlign w:val="superscript"/>
        </w:rPr>
        <w:footnoteReference w:id="18"/>
      </w:r>
      <w:r w:rsidRPr="00486F32">
        <w:rPr>
          <w:rFonts w:cs="Times New Roman"/>
          <w:szCs w:val="28"/>
        </w:rPr>
        <w:t>，密切關注金融科技及虛擬貨幣發展，以適時掌握金融創新所帶來的</w:t>
      </w:r>
      <w:r w:rsidR="001E00D8" w:rsidRPr="00486F32">
        <w:rPr>
          <w:rFonts w:cs="Times New Roman"/>
          <w:szCs w:val="28"/>
        </w:rPr>
        <w:t>風險</w:t>
      </w:r>
      <w:r w:rsidRPr="00486F32">
        <w:rPr>
          <w:rFonts w:cs="Times New Roman"/>
          <w:szCs w:val="28"/>
        </w:rPr>
        <w:t>與</w:t>
      </w:r>
      <w:r w:rsidR="001E00D8" w:rsidRPr="00486F32">
        <w:rPr>
          <w:rFonts w:cs="Times New Roman"/>
          <w:szCs w:val="28"/>
        </w:rPr>
        <w:t>機會</w:t>
      </w:r>
      <w:r w:rsidRPr="00486F32">
        <w:rPr>
          <w:rFonts w:cs="Times New Roman"/>
          <w:szCs w:val="28"/>
        </w:rPr>
        <w:t>。</w:t>
      </w:r>
    </w:p>
    <w:p w:rsidR="00774F03" w:rsidRPr="00486F32" w:rsidRDefault="00774F03" w:rsidP="00DC76C9">
      <w:pPr>
        <w:widowControl w:val="0"/>
        <w:overflowPunct w:val="0"/>
        <w:spacing w:beforeLines="30" w:before="156" w:afterLines="30" w:after="156" w:line="490" w:lineRule="exact"/>
        <w:ind w:firstLineChars="202" w:firstLine="566"/>
        <w:rPr>
          <w:rFonts w:cs="Times New Roman"/>
          <w:szCs w:val="28"/>
        </w:rPr>
      </w:pPr>
      <w:r w:rsidRPr="00486F32">
        <w:rPr>
          <w:rFonts w:cs="Times New Roman"/>
          <w:szCs w:val="28"/>
        </w:rPr>
        <w:t>此外，本行</w:t>
      </w:r>
      <w:r w:rsidR="00517BF2" w:rsidRPr="00486F32">
        <w:rPr>
          <w:rFonts w:cs="Times New Roman"/>
          <w:szCs w:val="28"/>
        </w:rPr>
        <w:t>也</w:t>
      </w:r>
      <w:r w:rsidRPr="00486F32">
        <w:rPr>
          <w:rFonts w:cs="Times New Roman"/>
          <w:szCs w:val="28"/>
        </w:rPr>
        <w:t>督促財金公司建構行動支付基礎設施</w:t>
      </w:r>
      <w:r w:rsidRPr="00486F32">
        <w:rPr>
          <w:rFonts w:cs="Times New Roman"/>
          <w:szCs w:val="28"/>
          <w:vertAlign w:val="superscript"/>
        </w:rPr>
        <w:footnoteReference w:id="19"/>
      </w:r>
      <w:r w:rsidRPr="00486F32">
        <w:rPr>
          <w:rFonts w:cs="Times New Roman"/>
          <w:szCs w:val="28"/>
        </w:rPr>
        <w:t>，確保安全且有效率的支付系統，維持金融體系穩定。再者，適切調整網路銀行管理機制，包括：</w:t>
      </w:r>
      <w:r w:rsidRPr="00486F32">
        <w:rPr>
          <w:rFonts w:cs="Times New Roman"/>
          <w:szCs w:val="28"/>
        </w:rPr>
        <w:t>(1)</w:t>
      </w:r>
      <w:r w:rsidRPr="00486F32">
        <w:rPr>
          <w:rFonts w:cs="Times New Roman"/>
          <w:szCs w:val="28"/>
        </w:rPr>
        <w:t>因應網路銀行資金波動度較高之特性，加強監</w:t>
      </w:r>
      <w:r w:rsidRPr="00486F32">
        <w:rPr>
          <w:rFonts w:cs="Times New Roman"/>
          <w:szCs w:val="28"/>
        </w:rPr>
        <w:lastRenderedPageBreak/>
        <w:t>控非營業時間流動性變化；</w:t>
      </w:r>
      <w:r w:rsidRPr="00486F32">
        <w:rPr>
          <w:rFonts w:cs="Times New Roman"/>
          <w:szCs w:val="28"/>
        </w:rPr>
        <w:t>(2)</w:t>
      </w:r>
      <w:r w:rsidRPr="00486F32">
        <w:rPr>
          <w:rFonts w:cs="Times New Roman"/>
          <w:szCs w:val="28"/>
        </w:rPr>
        <w:t>因應網路全日交易的跨行支付需求，放寬本行對銀行開立之「跨行專戶」日終餘額抵充存款準備金上限；</w:t>
      </w:r>
      <w:r w:rsidRPr="00486F32">
        <w:rPr>
          <w:rFonts w:cs="Times New Roman"/>
          <w:szCs w:val="28"/>
        </w:rPr>
        <w:t>(3)</w:t>
      </w:r>
      <w:r w:rsidRPr="00486F32">
        <w:rPr>
          <w:rFonts w:cs="Times New Roman"/>
          <w:szCs w:val="28"/>
        </w:rPr>
        <w:t>因應純網銀設立，本行訂定純網銀申請為外匯指定銀行之資格條件，並將對純網銀申辦外匯業務辦理實地查核，確認其能有效遵循並落實外匯法規。</w:t>
      </w:r>
    </w:p>
    <w:p w:rsidR="00774F03" w:rsidRPr="00486F32" w:rsidRDefault="00774F03" w:rsidP="00DC76C9">
      <w:pPr>
        <w:widowControl w:val="0"/>
        <w:overflowPunct w:val="0"/>
        <w:spacing w:beforeLines="30" w:before="156" w:afterLines="30" w:after="156" w:line="490" w:lineRule="exact"/>
        <w:ind w:firstLineChars="202" w:firstLine="566"/>
        <w:rPr>
          <w:rFonts w:cs="Times New Roman"/>
          <w:szCs w:val="28"/>
        </w:rPr>
      </w:pPr>
      <w:r w:rsidRPr="00486F32">
        <w:rPr>
          <w:rFonts w:cs="Times New Roman"/>
          <w:szCs w:val="28"/>
        </w:rPr>
        <w:t>同時，我們</w:t>
      </w:r>
      <w:r w:rsidR="00517BF2" w:rsidRPr="00486F32">
        <w:rPr>
          <w:rFonts w:cs="Times New Roman"/>
          <w:szCs w:val="28"/>
        </w:rPr>
        <w:t>也在</w:t>
      </w:r>
      <w:r w:rsidRPr="00486F32">
        <w:rPr>
          <w:rFonts w:cs="Times New Roman"/>
          <w:szCs w:val="28"/>
        </w:rPr>
        <w:t>研議應用新科技於本行業務</w:t>
      </w:r>
      <w:r w:rsidR="00286511" w:rsidRPr="00486F32">
        <w:rPr>
          <w:rFonts w:cs="Times New Roman"/>
          <w:szCs w:val="28"/>
        </w:rPr>
        <w:t>，</w:t>
      </w:r>
      <w:r w:rsidRPr="00486F32">
        <w:rPr>
          <w:rFonts w:cs="Times New Roman"/>
          <w:szCs w:val="28"/>
        </w:rPr>
        <w:t>輔以監理科技</w:t>
      </w:r>
      <w:r w:rsidRPr="00486F32">
        <w:rPr>
          <w:rFonts w:cs="Times New Roman"/>
          <w:szCs w:val="28"/>
        </w:rPr>
        <w:t>(</w:t>
      </w:r>
      <w:r w:rsidR="00613CCB" w:rsidRPr="00486F32">
        <w:rPr>
          <w:rFonts w:cs="Times New Roman"/>
          <w:szCs w:val="28"/>
        </w:rPr>
        <w:t>Sup</w:t>
      </w:r>
      <w:r w:rsidRPr="00486F32">
        <w:rPr>
          <w:rFonts w:cs="Times New Roman"/>
          <w:szCs w:val="28"/>
        </w:rPr>
        <w:t>Tech)</w:t>
      </w:r>
      <w:r w:rsidRPr="00486F32">
        <w:rPr>
          <w:rFonts w:cs="Times New Roman"/>
          <w:szCs w:val="28"/>
        </w:rPr>
        <w:t>，即時掌握金融機構的營運狀況，強化總體審慎政策的成效。</w:t>
      </w:r>
    </w:p>
    <w:p w:rsidR="00636BA4" w:rsidRPr="00486F32" w:rsidRDefault="00636BA4" w:rsidP="00DC76C9">
      <w:pPr>
        <w:pStyle w:val="a7"/>
        <w:numPr>
          <w:ilvl w:val="0"/>
          <w:numId w:val="20"/>
        </w:numPr>
        <w:snapToGrid w:val="0"/>
        <w:spacing w:beforeLines="30" w:before="156" w:afterLines="30" w:after="156" w:line="490" w:lineRule="exact"/>
        <w:ind w:leftChars="0" w:left="567" w:hanging="567"/>
        <w:rPr>
          <w:rFonts w:ascii="Times New Roman" w:eastAsia="標楷體" w:hAnsi="Times New Roman" w:cs="Times New Roman"/>
          <w:b/>
          <w:sz w:val="28"/>
          <w:szCs w:val="28"/>
        </w:rPr>
      </w:pPr>
      <w:r w:rsidRPr="00486F32">
        <w:rPr>
          <w:rFonts w:ascii="Times New Roman" w:eastAsia="標楷體" w:hAnsi="Times New Roman" w:cs="Times New Roman"/>
          <w:b/>
          <w:sz w:val="28"/>
          <w:szCs w:val="28"/>
        </w:rPr>
        <w:t>搭配擴張性財政政策以協助經濟成長</w:t>
      </w:r>
    </w:p>
    <w:p w:rsidR="003153B4" w:rsidRPr="00486F32" w:rsidRDefault="003153B4" w:rsidP="00DC76C9">
      <w:pPr>
        <w:widowControl w:val="0"/>
        <w:overflowPunct w:val="0"/>
        <w:spacing w:beforeLines="30" w:before="156" w:afterLines="30" w:after="156" w:line="490" w:lineRule="exact"/>
        <w:ind w:firstLineChars="202" w:firstLine="566"/>
        <w:rPr>
          <w:rFonts w:cs="Times New Roman"/>
          <w:szCs w:val="28"/>
        </w:rPr>
      </w:pPr>
      <w:r w:rsidRPr="00486F32">
        <w:rPr>
          <w:rFonts w:cs="Times New Roman"/>
          <w:szCs w:val="28"/>
        </w:rPr>
        <w:t>一般</w:t>
      </w:r>
      <w:r w:rsidR="00205E32" w:rsidRPr="00486F32">
        <w:rPr>
          <w:rFonts w:cs="Times New Roman"/>
          <w:szCs w:val="28"/>
        </w:rPr>
        <w:t>認為</w:t>
      </w:r>
      <w:r w:rsidRPr="00486F32">
        <w:rPr>
          <w:rFonts w:cs="Times New Roman"/>
          <w:szCs w:val="28"/>
        </w:rPr>
        <w:t>，</w:t>
      </w:r>
      <w:r w:rsidR="00F15A94" w:rsidRPr="00486F32">
        <w:rPr>
          <w:rFonts w:cs="Times New Roman"/>
          <w:szCs w:val="28"/>
        </w:rPr>
        <w:t>當前全球經濟面臨有效需求不足，</w:t>
      </w:r>
      <w:r w:rsidRPr="00486F32">
        <w:rPr>
          <w:rFonts w:cs="Times New Roman"/>
          <w:szCs w:val="28"/>
        </w:rPr>
        <w:t>尤其在去槓桿化盛行的情況下，使貨幣政策的效果</w:t>
      </w:r>
      <w:r w:rsidR="00303A38" w:rsidRPr="00486F32">
        <w:rPr>
          <w:rFonts w:cs="Times New Roman"/>
          <w:szCs w:val="28"/>
        </w:rPr>
        <w:t>更</w:t>
      </w:r>
      <w:r w:rsidRPr="00486F32">
        <w:rPr>
          <w:rFonts w:cs="Times New Roman"/>
          <w:szCs w:val="28"/>
        </w:rPr>
        <w:t>不易傳遞至實體經濟，</w:t>
      </w:r>
      <w:r w:rsidR="00ED34A8" w:rsidRPr="00486F32">
        <w:rPr>
          <w:rFonts w:cs="Times New Roman"/>
          <w:szCs w:val="28"/>
        </w:rPr>
        <w:t>顯示</w:t>
      </w:r>
      <w:r w:rsidRPr="00486F32">
        <w:rPr>
          <w:rFonts w:cs="Times New Roman"/>
          <w:szCs w:val="28"/>
        </w:rPr>
        <w:t>貨幣政策有其侷限性。</w:t>
      </w:r>
      <w:r w:rsidR="008776D6" w:rsidRPr="00486F32">
        <w:rPr>
          <w:rFonts w:cs="Times New Roman"/>
          <w:szCs w:val="28"/>
        </w:rPr>
        <w:t>另一方面，</w:t>
      </w:r>
      <w:r w:rsidRPr="00486F32">
        <w:rPr>
          <w:rFonts w:cs="Times New Roman"/>
          <w:szCs w:val="28"/>
        </w:rPr>
        <w:t>在</w:t>
      </w:r>
      <w:r w:rsidR="00F55C51" w:rsidRPr="00486F32">
        <w:rPr>
          <w:rFonts w:cs="Times New Roman"/>
          <w:szCs w:val="28"/>
        </w:rPr>
        <w:t>低通膨</w:t>
      </w:r>
      <w:r w:rsidRPr="00486F32">
        <w:rPr>
          <w:rFonts w:cs="Times New Roman"/>
          <w:szCs w:val="28"/>
        </w:rPr>
        <w:t>、</w:t>
      </w:r>
      <w:r w:rsidR="00F55C51" w:rsidRPr="00486F32">
        <w:rPr>
          <w:rFonts w:cs="Times New Roman"/>
          <w:szCs w:val="28"/>
        </w:rPr>
        <w:t>低利率</w:t>
      </w:r>
      <w:r w:rsidRPr="00486F32">
        <w:rPr>
          <w:rFonts w:cs="Times New Roman"/>
          <w:szCs w:val="28"/>
        </w:rPr>
        <w:t>時期，擴張性財政政策不會產生排擠效果、財政乘數較大，更應善用擴張性財政政策。</w:t>
      </w:r>
    </w:p>
    <w:p w:rsidR="00636BA4" w:rsidRPr="00486F32" w:rsidRDefault="008776D6" w:rsidP="00DC76C9">
      <w:pPr>
        <w:widowControl w:val="0"/>
        <w:overflowPunct w:val="0"/>
        <w:spacing w:beforeLines="30" w:before="156" w:afterLines="30" w:after="156" w:line="490" w:lineRule="exact"/>
        <w:ind w:firstLineChars="202" w:firstLine="566"/>
        <w:rPr>
          <w:rFonts w:cs="Times New Roman"/>
          <w:szCs w:val="28"/>
        </w:rPr>
      </w:pPr>
      <w:r w:rsidRPr="00486F32">
        <w:rPr>
          <w:rFonts w:cs="Times New Roman"/>
          <w:szCs w:val="28"/>
        </w:rPr>
        <w:t>鑑</w:t>
      </w:r>
      <w:r w:rsidR="00636BA4" w:rsidRPr="00486F32">
        <w:rPr>
          <w:rFonts w:cs="Times New Roman"/>
          <w:szCs w:val="28"/>
        </w:rPr>
        <w:t>於台灣的財政空間相當寬裕，財政政策</w:t>
      </w:r>
      <w:r w:rsidR="00AB3864" w:rsidRPr="00486F32">
        <w:rPr>
          <w:rFonts w:cs="Times New Roman"/>
          <w:szCs w:val="28"/>
        </w:rPr>
        <w:t>應可</w:t>
      </w:r>
      <w:r w:rsidR="00636BA4" w:rsidRPr="00486F32">
        <w:rPr>
          <w:rFonts w:cs="Times New Roman"/>
          <w:szCs w:val="28"/>
        </w:rPr>
        <w:t>扮演更積極的角色</w:t>
      </w:r>
      <w:r w:rsidR="008A295C" w:rsidRPr="00486F32">
        <w:rPr>
          <w:rStyle w:val="ad"/>
          <w:rFonts w:cs="Times New Roman"/>
          <w:szCs w:val="28"/>
        </w:rPr>
        <w:footnoteReference w:id="20"/>
      </w:r>
      <w:r w:rsidR="00636BA4" w:rsidRPr="00486F32">
        <w:rPr>
          <w:rFonts w:cs="Times New Roman"/>
          <w:szCs w:val="28"/>
        </w:rPr>
        <w:t>。目前，我們政府債務餘額對</w:t>
      </w:r>
      <w:r w:rsidR="00636BA4" w:rsidRPr="00486F32">
        <w:rPr>
          <w:rFonts w:cs="Times New Roman"/>
          <w:szCs w:val="28"/>
        </w:rPr>
        <w:t>GDP</w:t>
      </w:r>
      <w:r w:rsidR="00636BA4" w:rsidRPr="00486F32">
        <w:rPr>
          <w:rFonts w:cs="Times New Roman"/>
          <w:szCs w:val="28"/>
        </w:rPr>
        <w:t>比率較低，根據</w:t>
      </w:r>
      <w:r w:rsidR="007E663B" w:rsidRPr="00486F32">
        <w:rPr>
          <w:rFonts w:cs="Times New Roman"/>
          <w:szCs w:val="28"/>
        </w:rPr>
        <w:t>財政部統計，</w:t>
      </w:r>
      <w:r w:rsidR="00636BA4" w:rsidRPr="00486F32">
        <w:rPr>
          <w:rFonts w:cs="Times New Roman"/>
          <w:szCs w:val="28"/>
        </w:rPr>
        <w:t>201</w:t>
      </w:r>
      <w:r w:rsidR="007E663B" w:rsidRPr="00486F32">
        <w:rPr>
          <w:rFonts w:cs="Times New Roman"/>
          <w:szCs w:val="28"/>
        </w:rPr>
        <w:t>9</w:t>
      </w:r>
      <w:r w:rsidR="00636BA4" w:rsidRPr="00486F32">
        <w:rPr>
          <w:rFonts w:cs="Times New Roman"/>
          <w:szCs w:val="28"/>
        </w:rPr>
        <w:t>年中央政府</w:t>
      </w:r>
      <w:r w:rsidR="00636BA4" w:rsidRPr="00486F32">
        <w:rPr>
          <w:rFonts w:cs="Times New Roman"/>
          <w:szCs w:val="28"/>
        </w:rPr>
        <w:t>1</w:t>
      </w:r>
      <w:r w:rsidR="00636BA4" w:rsidRPr="00486F32">
        <w:rPr>
          <w:rFonts w:cs="Times New Roman"/>
          <w:szCs w:val="28"/>
        </w:rPr>
        <w:t>年以上公共債務未償餘額相對前</w:t>
      </w:r>
      <w:r w:rsidR="00636BA4" w:rsidRPr="00486F32">
        <w:rPr>
          <w:rFonts w:cs="Times New Roman"/>
          <w:szCs w:val="28"/>
        </w:rPr>
        <w:t>3</w:t>
      </w:r>
      <w:r w:rsidR="00636BA4" w:rsidRPr="00486F32">
        <w:rPr>
          <w:rFonts w:cs="Times New Roman"/>
          <w:szCs w:val="28"/>
        </w:rPr>
        <w:t>年平均名目</w:t>
      </w:r>
      <w:r w:rsidR="00636BA4" w:rsidRPr="00486F32">
        <w:rPr>
          <w:rFonts w:cs="Times New Roman"/>
          <w:szCs w:val="28"/>
        </w:rPr>
        <w:t>GDP</w:t>
      </w:r>
      <w:r w:rsidR="00636BA4" w:rsidRPr="00486F32">
        <w:rPr>
          <w:rFonts w:cs="Times New Roman"/>
          <w:szCs w:val="28"/>
        </w:rPr>
        <w:t>為</w:t>
      </w:r>
      <w:r w:rsidR="00636BA4" w:rsidRPr="00486F32">
        <w:rPr>
          <w:rFonts w:cs="Times New Roman"/>
          <w:szCs w:val="28"/>
        </w:rPr>
        <w:t>3</w:t>
      </w:r>
      <w:r w:rsidR="007E663B" w:rsidRPr="00486F32">
        <w:rPr>
          <w:rFonts w:cs="Times New Roman"/>
          <w:szCs w:val="28"/>
        </w:rPr>
        <w:t>1.5</w:t>
      </w:r>
      <w:r w:rsidR="00636BA4" w:rsidRPr="00486F32">
        <w:rPr>
          <w:rFonts w:cs="Times New Roman"/>
          <w:szCs w:val="28"/>
        </w:rPr>
        <w:t>%</w:t>
      </w:r>
      <w:r w:rsidR="00636BA4" w:rsidRPr="00486F32">
        <w:rPr>
          <w:rFonts w:cs="Times New Roman"/>
          <w:szCs w:val="28"/>
        </w:rPr>
        <w:t>，離中央政府法定舉債上限的</w:t>
      </w:r>
      <w:r w:rsidR="00636BA4" w:rsidRPr="00486F32">
        <w:rPr>
          <w:rFonts w:cs="Times New Roman"/>
          <w:szCs w:val="28"/>
        </w:rPr>
        <w:t>40.6%</w:t>
      </w:r>
      <w:r w:rsidR="00636BA4" w:rsidRPr="00486F32">
        <w:rPr>
          <w:rFonts w:cs="Times New Roman"/>
          <w:szCs w:val="28"/>
        </w:rPr>
        <w:t>，還有</w:t>
      </w:r>
      <w:r w:rsidR="007E663B" w:rsidRPr="00486F32">
        <w:rPr>
          <w:rFonts w:cs="Times New Roman"/>
          <w:szCs w:val="28"/>
        </w:rPr>
        <w:t>9.1</w:t>
      </w:r>
      <w:r w:rsidR="00636BA4" w:rsidRPr="00486F32">
        <w:rPr>
          <w:rFonts w:cs="Times New Roman"/>
          <w:szCs w:val="28"/>
        </w:rPr>
        <w:t>個百分點</w:t>
      </w:r>
      <w:r w:rsidR="00636BA4" w:rsidRPr="00486F32">
        <w:rPr>
          <w:rFonts w:cs="Times New Roman"/>
          <w:szCs w:val="28"/>
        </w:rPr>
        <w:t>(</w:t>
      </w:r>
      <w:r w:rsidR="00636BA4" w:rsidRPr="00486F32">
        <w:rPr>
          <w:rFonts w:cs="Times New Roman"/>
          <w:szCs w:val="28"/>
        </w:rPr>
        <w:t>約當新台幣</w:t>
      </w:r>
      <w:r w:rsidR="00636BA4" w:rsidRPr="00486F32">
        <w:rPr>
          <w:rFonts w:cs="Times New Roman"/>
          <w:szCs w:val="28"/>
        </w:rPr>
        <w:t>1.4</w:t>
      </w:r>
      <w:r w:rsidR="00636BA4" w:rsidRPr="00486F32">
        <w:rPr>
          <w:rFonts w:cs="Times New Roman"/>
          <w:szCs w:val="28"/>
        </w:rPr>
        <w:t>兆元</w:t>
      </w:r>
      <w:r w:rsidR="00636BA4" w:rsidRPr="00486F32">
        <w:rPr>
          <w:rFonts w:cs="Times New Roman"/>
          <w:szCs w:val="28"/>
        </w:rPr>
        <w:t>)</w:t>
      </w:r>
      <w:r w:rsidR="00636BA4" w:rsidRPr="00486F32">
        <w:rPr>
          <w:rFonts w:cs="Times New Roman"/>
          <w:szCs w:val="28"/>
        </w:rPr>
        <w:t>的舉債空間；而本年總預算舉債占整體歲出總額的</w:t>
      </w:r>
      <w:r w:rsidR="007E663B" w:rsidRPr="00486F32">
        <w:rPr>
          <w:rFonts w:cs="Times New Roman"/>
          <w:szCs w:val="28"/>
        </w:rPr>
        <w:t>4.5</w:t>
      </w:r>
      <w:r w:rsidR="00636BA4" w:rsidRPr="00486F32">
        <w:rPr>
          <w:rFonts w:cs="Times New Roman"/>
          <w:szCs w:val="28"/>
        </w:rPr>
        <w:t>%</w:t>
      </w:r>
      <w:r w:rsidR="00636BA4" w:rsidRPr="00486F32">
        <w:rPr>
          <w:rFonts w:cs="Times New Roman"/>
          <w:szCs w:val="28"/>
        </w:rPr>
        <w:t>，距離法定上限的</w:t>
      </w:r>
      <w:r w:rsidR="00636BA4" w:rsidRPr="00486F32">
        <w:rPr>
          <w:rFonts w:cs="Times New Roman"/>
          <w:szCs w:val="28"/>
        </w:rPr>
        <w:t>15%</w:t>
      </w:r>
      <w:r w:rsidR="00636BA4" w:rsidRPr="00486F32">
        <w:rPr>
          <w:rFonts w:cs="Times New Roman"/>
          <w:szCs w:val="28"/>
        </w:rPr>
        <w:t>，尚有</w:t>
      </w:r>
      <w:r w:rsidR="007E663B" w:rsidRPr="00486F32">
        <w:rPr>
          <w:rFonts w:cs="Times New Roman"/>
          <w:szCs w:val="28"/>
        </w:rPr>
        <w:t>10.5</w:t>
      </w:r>
      <w:r w:rsidR="00636BA4" w:rsidRPr="00486F32">
        <w:rPr>
          <w:rFonts w:cs="Times New Roman"/>
          <w:szCs w:val="28"/>
        </w:rPr>
        <w:t>個百分點的空間。因此，在國家發展與財</w:t>
      </w:r>
      <w:r w:rsidR="00884320" w:rsidRPr="00486F32">
        <w:rPr>
          <w:rFonts w:cs="Times New Roman"/>
          <w:szCs w:val="28"/>
        </w:rPr>
        <w:t>政</w:t>
      </w:r>
      <w:r w:rsidR="00636BA4" w:rsidRPr="00486F32">
        <w:rPr>
          <w:rFonts w:cs="Times New Roman"/>
          <w:szCs w:val="28"/>
        </w:rPr>
        <w:t>穩健之</w:t>
      </w:r>
      <w:r w:rsidR="00AB3864" w:rsidRPr="00486F32">
        <w:rPr>
          <w:rFonts w:cs="Times New Roman"/>
          <w:szCs w:val="28"/>
        </w:rPr>
        <w:t>前提下</w:t>
      </w:r>
      <w:r w:rsidR="00636BA4" w:rsidRPr="00486F32">
        <w:rPr>
          <w:rFonts w:cs="Times New Roman"/>
          <w:szCs w:val="28"/>
        </w:rPr>
        <w:t>，善用財政空間將</w:t>
      </w:r>
      <w:r w:rsidR="00DC76C9" w:rsidRPr="00486F32">
        <w:rPr>
          <w:rFonts w:cs="Times New Roman"/>
          <w:szCs w:val="28"/>
        </w:rPr>
        <w:t>可</w:t>
      </w:r>
      <w:r w:rsidR="00AB3864" w:rsidRPr="00486F32">
        <w:rPr>
          <w:rFonts w:cs="Times New Roman"/>
          <w:szCs w:val="28"/>
        </w:rPr>
        <w:t>挹注</w:t>
      </w:r>
      <w:r w:rsidR="00636BA4" w:rsidRPr="00486F32">
        <w:rPr>
          <w:rFonts w:cs="Times New Roman"/>
          <w:szCs w:val="28"/>
        </w:rPr>
        <w:t>經濟成長動能</w:t>
      </w:r>
      <w:r w:rsidR="00AB3864" w:rsidRPr="00486F32">
        <w:rPr>
          <w:rFonts w:cs="Times New Roman"/>
          <w:szCs w:val="28"/>
        </w:rPr>
        <w:t>；</w:t>
      </w:r>
      <w:r w:rsidR="00636BA4" w:rsidRPr="00486F32">
        <w:rPr>
          <w:rFonts w:cs="Times New Roman"/>
          <w:szCs w:val="28"/>
        </w:rPr>
        <w:t>倘若</w:t>
      </w:r>
      <w:r w:rsidR="0016762D" w:rsidRPr="00486F32">
        <w:rPr>
          <w:rFonts w:cs="Times New Roman"/>
          <w:szCs w:val="28"/>
        </w:rPr>
        <w:t>能與</w:t>
      </w:r>
      <w:r w:rsidR="00636BA4" w:rsidRPr="00486F32">
        <w:rPr>
          <w:rFonts w:cs="Times New Roman"/>
          <w:szCs w:val="28"/>
        </w:rPr>
        <w:t>結構性改革政策</w:t>
      </w:r>
      <w:r w:rsidR="0016762D" w:rsidRPr="00486F32">
        <w:rPr>
          <w:rFonts w:cs="Times New Roman"/>
          <w:szCs w:val="28"/>
        </w:rPr>
        <w:t>搭配</w:t>
      </w:r>
      <w:r w:rsidR="00636BA4" w:rsidRPr="00486F32">
        <w:rPr>
          <w:rFonts w:cs="Times New Roman"/>
          <w:szCs w:val="28"/>
        </w:rPr>
        <w:t>，</w:t>
      </w:r>
      <w:r w:rsidR="0016762D" w:rsidRPr="00486F32">
        <w:rPr>
          <w:rFonts w:cs="Times New Roman"/>
          <w:szCs w:val="28"/>
        </w:rPr>
        <w:t>其成效將會更大</w:t>
      </w:r>
      <w:r w:rsidR="00636BA4" w:rsidRPr="00486F32">
        <w:rPr>
          <w:rFonts w:cs="Times New Roman"/>
          <w:szCs w:val="28"/>
        </w:rPr>
        <w:t>。</w:t>
      </w:r>
    </w:p>
    <w:p w:rsidR="00E16615" w:rsidRPr="00486F32" w:rsidRDefault="00E16615" w:rsidP="00E16615">
      <w:pPr>
        <w:pStyle w:val="a7"/>
        <w:numPr>
          <w:ilvl w:val="0"/>
          <w:numId w:val="20"/>
        </w:numPr>
        <w:snapToGrid w:val="0"/>
        <w:spacing w:beforeLines="30" w:before="156" w:afterLines="30" w:after="156" w:line="520" w:lineRule="exact"/>
        <w:ind w:leftChars="0" w:left="567" w:hanging="567"/>
        <w:rPr>
          <w:rFonts w:ascii="Times New Roman" w:eastAsia="標楷體" w:hAnsi="Times New Roman" w:cs="Times New Roman"/>
          <w:b/>
          <w:sz w:val="28"/>
          <w:szCs w:val="28"/>
        </w:rPr>
      </w:pPr>
      <w:r w:rsidRPr="00486F32">
        <w:rPr>
          <w:rFonts w:ascii="Times New Roman" w:eastAsia="標楷體" w:hAnsi="Times New Roman" w:cs="Times New Roman"/>
          <w:b/>
          <w:sz w:val="28"/>
          <w:szCs w:val="28"/>
        </w:rPr>
        <w:t>促進產業升級或轉型，提升產品附加價值</w:t>
      </w:r>
    </w:p>
    <w:p w:rsidR="000D418B" w:rsidRPr="00486F32" w:rsidRDefault="000D418B" w:rsidP="000D418B">
      <w:pPr>
        <w:widowControl w:val="0"/>
        <w:overflowPunct w:val="0"/>
        <w:spacing w:beforeLines="30" w:before="156" w:afterLines="30" w:after="156" w:line="500" w:lineRule="exact"/>
        <w:ind w:firstLineChars="202" w:firstLine="566"/>
        <w:rPr>
          <w:rFonts w:cs="Times New Roman"/>
          <w:szCs w:val="28"/>
        </w:rPr>
      </w:pPr>
      <w:r w:rsidRPr="00486F32">
        <w:rPr>
          <w:rFonts w:cs="Times New Roman"/>
          <w:szCs w:val="28"/>
        </w:rPr>
        <w:t>面對全球性的投資不足、生產力成長趨緩及勞動市場轉變等經濟結構問題，除貨幣與財政政策的搭配外，更須採行積極的產業政策並進行結構性改革來提升經濟發展，尤其可配合當前國際經貿情勢變</w:t>
      </w:r>
      <w:r w:rsidRPr="00486F32">
        <w:rPr>
          <w:rFonts w:cs="Times New Roman"/>
          <w:szCs w:val="28"/>
        </w:rPr>
        <w:lastRenderedPageBreak/>
        <w:t>遷，促進台灣產業升級或轉型。例如，目前，政府積極推動投資台灣三大方案，除可協助台商回台投資外，也擴大鼓勵根留台灣的企業進行投資，就是希望能強化實質投資動能，形成資本累積，使企業更有效率運用其資金在新創及高附加價值的產業。目前台商回台投資相當踴躍，截至本年</w:t>
      </w:r>
      <w:r w:rsidRPr="00486F32">
        <w:rPr>
          <w:rFonts w:cs="Times New Roman"/>
          <w:szCs w:val="28"/>
        </w:rPr>
        <w:t>7</w:t>
      </w:r>
      <w:r w:rsidRPr="00486F32">
        <w:rPr>
          <w:rFonts w:cs="Times New Roman"/>
          <w:szCs w:val="28"/>
        </w:rPr>
        <w:t>月</w:t>
      </w:r>
      <w:r w:rsidRPr="00486F32">
        <w:rPr>
          <w:rFonts w:cs="Times New Roman"/>
          <w:szCs w:val="28"/>
        </w:rPr>
        <w:t>4</w:t>
      </w:r>
      <w:r w:rsidRPr="00486F32">
        <w:rPr>
          <w:rFonts w:cs="Times New Roman"/>
          <w:szCs w:val="28"/>
        </w:rPr>
        <w:t>日止，</w:t>
      </w:r>
      <w:r w:rsidR="003B3EF4" w:rsidRPr="00486F32">
        <w:rPr>
          <w:rFonts w:cs="Times New Roman"/>
          <w:szCs w:val="28"/>
        </w:rPr>
        <w:t>將</w:t>
      </w:r>
      <w:r w:rsidRPr="00486F32">
        <w:rPr>
          <w:rFonts w:cs="Times New Roman"/>
          <w:szCs w:val="28"/>
        </w:rPr>
        <w:t>帶來超過</w:t>
      </w:r>
      <w:r w:rsidRPr="00486F32">
        <w:rPr>
          <w:rFonts w:cs="Times New Roman"/>
          <w:szCs w:val="28"/>
        </w:rPr>
        <w:t>4,346</w:t>
      </w:r>
      <w:r w:rsidRPr="00486F32">
        <w:rPr>
          <w:rFonts w:cs="Times New Roman"/>
          <w:szCs w:val="28"/>
        </w:rPr>
        <w:t>億元投資，其中，以「電子零組件、伺服器、網通設備」為大宗，其次為自行車與車用零組件、工具機。</w:t>
      </w:r>
    </w:p>
    <w:p w:rsidR="00DE298A" w:rsidRPr="00486F32" w:rsidRDefault="000D418B" w:rsidP="000D418B">
      <w:pPr>
        <w:widowControl w:val="0"/>
        <w:overflowPunct w:val="0"/>
        <w:spacing w:beforeLines="30" w:before="156" w:afterLines="30" w:after="156" w:line="500" w:lineRule="exact"/>
        <w:ind w:firstLineChars="202" w:firstLine="566"/>
        <w:rPr>
          <w:rFonts w:cs="Times New Roman"/>
          <w:szCs w:val="28"/>
        </w:rPr>
      </w:pPr>
      <w:r w:rsidRPr="00486F32">
        <w:rPr>
          <w:rFonts w:cs="Times New Roman"/>
          <w:szCs w:val="28"/>
        </w:rPr>
        <w:t>在當前經貿政策的推行下，已持續吸引台商回台進行高階製造與研發</w:t>
      </w:r>
      <w:r w:rsidR="00E1532D" w:rsidRPr="00486F32">
        <w:rPr>
          <w:rFonts w:cs="Times New Roman"/>
          <w:szCs w:val="28"/>
        </w:rPr>
        <w:t>，同時也</w:t>
      </w:r>
      <w:r w:rsidRPr="00486F32">
        <w:rPr>
          <w:rFonts w:cs="Times New Roman"/>
          <w:szCs w:val="28"/>
        </w:rPr>
        <w:t>吸引國際大廠加碼對台投資。台灣卓越的科技硬體實力，有助我國廠商爭取全球物聯網及</w:t>
      </w:r>
      <w:r w:rsidRPr="00486F32">
        <w:rPr>
          <w:rFonts w:cs="Times New Roman"/>
          <w:szCs w:val="28"/>
        </w:rPr>
        <w:t>AI</w:t>
      </w:r>
      <w:r w:rsidR="003B3EF4" w:rsidRPr="00486F32">
        <w:rPr>
          <w:rFonts w:cs="Times New Roman"/>
          <w:szCs w:val="28"/>
        </w:rPr>
        <w:t>的</w:t>
      </w:r>
      <w:r w:rsidRPr="00486F32">
        <w:rPr>
          <w:rFonts w:cs="Times New Roman"/>
          <w:szCs w:val="28"/>
        </w:rPr>
        <w:t>商機，且藉由數位投資及</w:t>
      </w:r>
      <w:r w:rsidRPr="00486F32">
        <w:rPr>
          <w:rFonts w:cs="Times New Roman"/>
          <w:szCs w:val="28"/>
        </w:rPr>
        <w:t>Fintech</w:t>
      </w:r>
      <w:r w:rsidRPr="00486F32">
        <w:rPr>
          <w:rFonts w:cs="Times New Roman"/>
          <w:szCs w:val="28"/>
        </w:rPr>
        <w:t>的應用，企業將可提升生產力，增進產業升級，同時</w:t>
      </w:r>
      <w:r w:rsidR="0063464F" w:rsidRPr="00486F32">
        <w:rPr>
          <w:rFonts w:cs="Times New Roman" w:hint="eastAsia"/>
          <w:szCs w:val="28"/>
        </w:rPr>
        <w:t>可協助</w:t>
      </w:r>
      <w:r w:rsidRPr="00486F32">
        <w:rPr>
          <w:rFonts w:cs="Times New Roman"/>
          <w:szCs w:val="28"/>
        </w:rPr>
        <w:t>解決勞動力不足等相關問題。</w:t>
      </w:r>
      <w:r w:rsidR="0047756F" w:rsidRPr="00486F32">
        <w:rPr>
          <w:rFonts w:cs="Times New Roman"/>
          <w:szCs w:val="28"/>
        </w:rPr>
        <w:t>政府已透過租稅獎勵來鼓勵創新</w:t>
      </w:r>
      <w:r w:rsidR="0047756F" w:rsidRPr="00486F32">
        <w:rPr>
          <w:rFonts w:cs="Times New Roman"/>
          <w:vertAlign w:val="superscript"/>
        </w:rPr>
        <w:footnoteReference w:id="21"/>
      </w:r>
      <w:r w:rsidR="0047756F" w:rsidRPr="00486F32">
        <w:rPr>
          <w:rFonts w:cs="Times New Roman"/>
          <w:szCs w:val="28"/>
        </w:rPr>
        <w:t>，以強化國內升級轉型動能，</w:t>
      </w:r>
      <w:r w:rsidR="00B96221" w:rsidRPr="00486F32">
        <w:rPr>
          <w:rFonts w:cs="Times New Roman"/>
          <w:szCs w:val="28"/>
        </w:rPr>
        <w:t>如產創</w:t>
      </w:r>
      <w:r w:rsidR="0047756F" w:rsidRPr="00486F32">
        <w:rPr>
          <w:rFonts w:cs="Times New Roman"/>
          <w:szCs w:val="28"/>
        </w:rPr>
        <w:t>條例</w:t>
      </w:r>
      <w:r w:rsidR="00B96221" w:rsidRPr="00486F32">
        <w:rPr>
          <w:rFonts w:cs="Times New Roman"/>
          <w:szCs w:val="28"/>
        </w:rPr>
        <w:t>修正</w:t>
      </w:r>
      <w:r w:rsidR="0047756F" w:rsidRPr="00486F32">
        <w:rPr>
          <w:rFonts w:cs="Times New Roman"/>
          <w:szCs w:val="28"/>
        </w:rPr>
        <w:t>，對智慧製造、</w:t>
      </w:r>
      <w:r w:rsidR="0047756F" w:rsidRPr="00486F32">
        <w:rPr>
          <w:rFonts w:cs="Times New Roman"/>
          <w:szCs w:val="28"/>
        </w:rPr>
        <w:t>5G</w:t>
      </w:r>
      <w:r w:rsidR="00DE298A" w:rsidRPr="00486F32">
        <w:rPr>
          <w:rFonts w:cs="Times New Roman"/>
          <w:szCs w:val="28"/>
        </w:rPr>
        <w:t>研發等給予</w:t>
      </w:r>
      <w:r w:rsidR="0047756F" w:rsidRPr="00486F32">
        <w:rPr>
          <w:rFonts w:cs="Times New Roman"/>
          <w:szCs w:val="28"/>
        </w:rPr>
        <w:t>租稅優惠。</w:t>
      </w:r>
    </w:p>
    <w:p w:rsidR="000D418B" w:rsidRPr="00486F32" w:rsidRDefault="000D418B" w:rsidP="000D418B">
      <w:pPr>
        <w:widowControl w:val="0"/>
        <w:overflowPunct w:val="0"/>
        <w:spacing w:beforeLines="30" w:before="156" w:afterLines="30" w:after="156" w:line="500" w:lineRule="exact"/>
        <w:ind w:firstLineChars="202" w:firstLine="566"/>
        <w:rPr>
          <w:rFonts w:cs="Times New Roman"/>
          <w:szCs w:val="28"/>
        </w:rPr>
      </w:pPr>
      <w:r w:rsidRPr="00486F32">
        <w:rPr>
          <w:rFonts w:cs="Times New Roman"/>
          <w:szCs w:val="28"/>
        </w:rPr>
        <w:t>另外，由於台灣資源有限，易受土地、勞動等生產要素等資源限制而影響產出，為了突破生產條件限制，企業可透過跨國併購</w:t>
      </w:r>
      <w:r w:rsidR="0047756F" w:rsidRPr="00486F32">
        <w:rPr>
          <w:rFonts w:cs="Times New Roman"/>
          <w:vertAlign w:val="superscript"/>
        </w:rPr>
        <w:footnoteReference w:id="22"/>
      </w:r>
      <w:r w:rsidRPr="00486F32">
        <w:rPr>
          <w:rFonts w:cs="Times New Roman"/>
          <w:szCs w:val="28"/>
        </w:rPr>
        <w:t>，取得關鍵技術及戰略性資源，整合上、下游生產鏈，鞏固台灣在全球價值鏈的關鍵地位，</w:t>
      </w:r>
      <w:r w:rsidR="00E1532D" w:rsidRPr="00486F32">
        <w:rPr>
          <w:rFonts w:cs="Times New Roman"/>
          <w:szCs w:val="28"/>
        </w:rPr>
        <w:t>也</w:t>
      </w:r>
      <w:r w:rsidRPr="00486F32">
        <w:rPr>
          <w:rFonts w:cs="Times New Roman"/>
          <w:szCs w:val="28"/>
        </w:rPr>
        <w:t>可在當前全球貿易衝突情勢下，突破關稅與非關稅的障礙。以某工具機大廠為例，該集團在中國大陸營收的比重極高，但透過跨國併購整合技術資源，取得關鍵技術能力與品牌價值，進行全球布局，因此，也能透過全球產能相互支援，緩和當前美中貿易爭端的衝擊。</w:t>
      </w:r>
    </w:p>
    <w:p w:rsidR="0047756F" w:rsidRPr="00486F32" w:rsidRDefault="000D418B" w:rsidP="000D418B">
      <w:pPr>
        <w:widowControl w:val="0"/>
        <w:overflowPunct w:val="0"/>
        <w:spacing w:beforeLines="30" w:before="156" w:afterLines="30" w:after="156" w:line="500" w:lineRule="exact"/>
        <w:ind w:firstLineChars="202" w:firstLine="566"/>
        <w:rPr>
          <w:rFonts w:cs="Times New Roman"/>
          <w:szCs w:val="28"/>
        </w:rPr>
      </w:pPr>
      <w:r w:rsidRPr="00486F32">
        <w:rPr>
          <w:rFonts w:cs="Times New Roman"/>
          <w:szCs w:val="28"/>
        </w:rPr>
        <w:t>如何創造良好的投資環境，吸引國內外企業回台或來台進行實質</w:t>
      </w:r>
      <w:r w:rsidRPr="00486F32">
        <w:rPr>
          <w:rFonts w:cs="Times New Roman"/>
          <w:szCs w:val="28"/>
        </w:rPr>
        <w:lastRenderedPageBreak/>
        <w:t>投資，</w:t>
      </w:r>
      <w:r w:rsidR="00E1532D" w:rsidRPr="00486F32">
        <w:rPr>
          <w:rFonts w:cs="Times New Roman"/>
          <w:szCs w:val="28"/>
        </w:rPr>
        <w:t>也是</w:t>
      </w:r>
      <w:r w:rsidRPr="00486F32">
        <w:rPr>
          <w:rFonts w:cs="Times New Roman"/>
          <w:szCs w:val="28"/>
        </w:rPr>
        <w:t>當前政府的重要課題。政府除積極協助解決土地、水、電、勞工及人才等問題</w:t>
      </w:r>
      <w:r w:rsidR="00590C86" w:rsidRPr="00486F32">
        <w:rPr>
          <w:rFonts w:cs="Times New Roman"/>
          <w:szCs w:val="28"/>
        </w:rPr>
        <w:t>外</w:t>
      </w:r>
      <w:r w:rsidR="00613CCB" w:rsidRPr="00486F32">
        <w:rPr>
          <w:rFonts w:cs="Times New Roman"/>
          <w:szCs w:val="28"/>
        </w:rPr>
        <w:t>，</w:t>
      </w:r>
      <w:r w:rsidR="00590C86" w:rsidRPr="00486F32">
        <w:rPr>
          <w:rFonts w:cs="Times New Roman"/>
          <w:szCs w:val="28"/>
        </w:rPr>
        <w:t>在就業市場上，</w:t>
      </w:r>
      <w:r w:rsidR="0047756F" w:rsidRPr="00486F32">
        <w:rPr>
          <w:rFonts w:cs="Times New Roman"/>
          <w:szCs w:val="28"/>
        </w:rPr>
        <w:t>更重視如何</w:t>
      </w:r>
      <w:r w:rsidR="00CB5ED9" w:rsidRPr="00486F32">
        <w:rPr>
          <w:rFonts w:cs="Times New Roman"/>
          <w:szCs w:val="28"/>
        </w:rPr>
        <w:t>提</w:t>
      </w:r>
      <w:r w:rsidR="0047756F" w:rsidRPr="00486F32">
        <w:rPr>
          <w:rFonts w:cs="Times New Roman"/>
          <w:szCs w:val="28"/>
        </w:rPr>
        <w:t>升</w:t>
      </w:r>
      <w:r w:rsidR="00613CCB" w:rsidRPr="00486F32">
        <w:rPr>
          <w:rFonts w:cs="Times New Roman"/>
          <w:szCs w:val="28"/>
        </w:rPr>
        <w:t>勞動</w:t>
      </w:r>
      <w:r w:rsidR="00166A57" w:rsidRPr="00486F32">
        <w:rPr>
          <w:rFonts w:cs="Times New Roman"/>
          <w:szCs w:val="28"/>
        </w:rPr>
        <w:t>力參</w:t>
      </w:r>
      <w:r w:rsidR="00613CCB" w:rsidRPr="00486F32">
        <w:rPr>
          <w:rFonts w:cs="Times New Roman"/>
          <w:szCs w:val="28"/>
        </w:rPr>
        <w:t>與率</w:t>
      </w:r>
      <w:r w:rsidR="00DE298A" w:rsidRPr="00486F32">
        <w:rPr>
          <w:rFonts w:cs="Times New Roman"/>
          <w:szCs w:val="28"/>
        </w:rPr>
        <w:t>、</w:t>
      </w:r>
      <w:r w:rsidR="00613CCB" w:rsidRPr="00486F32">
        <w:rPr>
          <w:rFonts w:cs="Times New Roman"/>
          <w:szCs w:val="28"/>
        </w:rPr>
        <w:t>縮短</w:t>
      </w:r>
      <w:r w:rsidR="00F932B9" w:rsidRPr="00486F32">
        <w:rPr>
          <w:rFonts w:cs="Times New Roman"/>
          <w:szCs w:val="28"/>
        </w:rPr>
        <w:t>學用</w:t>
      </w:r>
      <w:r w:rsidR="00613CCB" w:rsidRPr="00486F32">
        <w:rPr>
          <w:rFonts w:cs="Times New Roman"/>
          <w:szCs w:val="28"/>
        </w:rPr>
        <w:t>落差</w:t>
      </w:r>
      <w:r w:rsidR="00DE298A" w:rsidRPr="00486F32">
        <w:rPr>
          <w:rFonts w:cs="Times New Roman"/>
          <w:szCs w:val="28"/>
        </w:rPr>
        <w:t>及</w:t>
      </w:r>
      <w:r w:rsidR="0047756F" w:rsidRPr="00486F32">
        <w:rPr>
          <w:rFonts w:cs="Times New Roman"/>
          <w:szCs w:val="28"/>
        </w:rPr>
        <w:t>強化人才培育等問題</w:t>
      </w:r>
      <w:r w:rsidR="00DE298A" w:rsidRPr="00486F32">
        <w:rPr>
          <w:rFonts w:cs="Times New Roman"/>
          <w:szCs w:val="28"/>
        </w:rPr>
        <w:t>；同時</w:t>
      </w:r>
      <w:r w:rsidR="00E1532D" w:rsidRPr="00486F32">
        <w:rPr>
          <w:rFonts w:cs="Times New Roman"/>
          <w:szCs w:val="28"/>
        </w:rPr>
        <w:t>也</w:t>
      </w:r>
      <w:r w:rsidR="00DE298A" w:rsidRPr="00486F32">
        <w:rPr>
          <w:rFonts w:cs="Times New Roman"/>
          <w:szCs w:val="28"/>
        </w:rPr>
        <w:t>透過中小企業信保基金，強化信用機制，來促進中小企業經營及投資。</w:t>
      </w:r>
    </w:p>
    <w:p w:rsidR="000D418B" w:rsidRPr="00486F32" w:rsidRDefault="00CB5ED9" w:rsidP="000D418B">
      <w:pPr>
        <w:widowControl w:val="0"/>
        <w:overflowPunct w:val="0"/>
        <w:spacing w:beforeLines="30" w:before="156" w:afterLines="30" w:after="156" w:line="500" w:lineRule="exact"/>
        <w:ind w:firstLineChars="202" w:firstLine="566"/>
        <w:rPr>
          <w:rFonts w:cs="Times New Roman"/>
          <w:szCs w:val="28"/>
        </w:rPr>
      </w:pPr>
      <w:r w:rsidRPr="00486F32">
        <w:rPr>
          <w:rFonts w:cs="Times New Roman"/>
          <w:szCs w:val="28"/>
        </w:rPr>
        <w:t>此外，</w:t>
      </w:r>
      <w:r w:rsidR="000D418B" w:rsidRPr="00486F32">
        <w:rPr>
          <w:rFonts w:cs="Times New Roman"/>
          <w:szCs w:val="28"/>
        </w:rPr>
        <w:t>另由於台灣</w:t>
      </w:r>
      <w:r w:rsidR="000D418B" w:rsidRPr="00486F32">
        <w:rPr>
          <w:rFonts w:cs="Times New Roman"/>
          <w:szCs w:val="28"/>
        </w:rPr>
        <w:t>FTA</w:t>
      </w:r>
      <w:r w:rsidR="000D418B" w:rsidRPr="00486F32">
        <w:rPr>
          <w:rFonts w:cs="Times New Roman"/>
          <w:szCs w:val="28"/>
        </w:rPr>
        <w:t>洽簽進度落後，不利廠商出口，政府宜積極洽簽</w:t>
      </w:r>
      <w:r w:rsidR="000D418B" w:rsidRPr="00486F32">
        <w:rPr>
          <w:rFonts w:cs="Times New Roman"/>
          <w:szCs w:val="28"/>
        </w:rPr>
        <w:t>FTA</w:t>
      </w:r>
      <w:r w:rsidR="000D418B" w:rsidRPr="00486F32">
        <w:rPr>
          <w:rFonts w:cs="Times New Roman"/>
          <w:szCs w:val="28"/>
        </w:rPr>
        <w:t>、投資保障協定，以及強化新南向政策並積極爭取加入「跨太平洋夥伴全面進步協定」</w:t>
      </w:r>
      <w:r w:rsidR="000D418B" w:rsidRPr="00486F32">
        <w:rPr>
          <w:rFonts w:cs="Times New Roman"/>
          <w:szCs w:val="28"/>
        </w:rPr>
        <w:t>(CPTPP)</w:t>
      </w:r>
      <w:r w:rsidR="000D418B" w:rsidRPr="00486F32">
        <w:rPr>
          <w:rFonts w:cs="Times New Roman"/>
          <w:szCs w:val="28"/>
        </w:rPr>
        <w:t>。</w:t>
      </w:r>
    </w:p>
    <w:p w:rsidR="000D418B" w:rsidRPr="00486F32" w:rsidRDefault="000D418B" w:rsidP="000D418B">
      <w:pPr>
        <w:widowControl w:val="0"/>
        <w:overflowPunct w:val="0"/>
        <w:spacing w:beforeLines="30" w:before="156" w:afterLines="30" w:after="156" w:line="500" w:lineRule="exact"/>
        <w:ind w:firstLineChars="202" w:firstLine="566"/>
        <w:rPr>
          <w:rFonts w:cs="Times New Roman"/>
          <w:szCs w:val="28"/>
        </w:rPr>
      </w:pPr>
      <w:r w:rsidRPr="00486F32">
        <w:rPr>
          <w:rFonts w:cs="Times New Roman"/>
          <w:szCs w:val="28"/>
        </w:rPr>
        <w:t>除上述政策協助外，政府可搭配改革政策</w:t>
      </w:r>
      <w:r w:rsidRPr="00486F32">
        <w:rPr>
          <w:rFonts w:cs="Times New Roman"/>
          <w:szCs w:val="28"/>
        </w:rPr>
        <w:t>(</w:t>
      </w:r>
      <w:r w:rsidRPr="00486F32">
        <w:rPr>
          <w:rFonts w:cs="Times New Roman"/>
          <w:szCs w:val="28"/>
        </w:rPr>
        <w:t>如稅制改革、強化社會福利及教育改革</w:t>
      </w:r>
      <w:r w:rsidRPr="00486F32">
        <w:rPr>
          <w:rFonts w:cs="Times New Roman"/>
          <w:szCs w:val="28"/>
        </w:rPr>
        <w:t>)</w:t>
      </w:r>
      <w:r w:rsidRPr="00486F32">
        <w:rPr>
          <w:rFonts w:cs="Times New Roman"/>
          <w:szCs w:val="28"/>
        </w:rPr>
        <w:t>，來創造「創新、成長與分配良性循環」的成長模式，藉由創新帶動成長，進而提高就業與改善所得分配。由於工資為總合需求的主要來源，工資成長如能追隨勞動生產力成長，將可創造足夠的內需，進而創造經濟成長的良性循環</w:t>
      </w:r>
      <w:r w:rsidR="00882F94" w:rsidRPr="00486F32">
        <w:rPr>
          <w:rStyle w:val="ad"/>
          <w:rFonts w:cs="Times New Roman"/>
          <w:szCs w:val="28"/>
        </w:rPr>
        <w:footnoteReference w:id="23"/>
      </w:r>
      <w:r w:rsidRPr="00486F32">
        <w:rPr>
          <w:rFonts w:cs="Times New Roman"/>
          <w:szCs w:val="28"/>
        </w:rPr>
        <w:t>。另外，為因應人口老化等結構問題，</w:t>
      </w:r>
      <w:r w:rsidR="00E1532D" w:rsidRPr="00486F32">
        <w:rPr>
          <w:rFonts w:cs="Times New Roman"/>
          <w:szCs w:val="28"/>
        </w:rPr>
        <w:t>也</w:t>
      </w:r>
      <w:r w:rsidRPr="00486F32">
        <w:rPr>
          <w:rFonts w:cs="Times New Roman"/>
          <w:szCs w:val="28"/>
        </w:rPr>
        <w:t>可引導資金投資長照產業，或發展金融服務業及財富管理業務，滿足銀髮族長照、退休理財及跨世代財富傳承等需求，並同時提升金融業生產力。</w:t>
      </w:r>
    </w:p>
    <w:p w:rsidR="00E63CA8" w:rsidRPr="00486F32" w:rsidRDefault="00E63CA8" w:rsidP="00D80B22">
      <w:pPr>
        <w:pStyle w:val="a7"/>
        <w:numPr>
          <w:ilvl w:val="0"/>
          <w:numId w:val="1"/>
        </w:numPr>
        <w:snapToGrid w:val="0"/>
        <w:spacing w:beforeLines="30" w:before="156" w:afterLines="30" w:after="156" w:line="520" w:lineRule="exact"/>
        <w:ind w:leftChars="0" w:left="566" w:hangingChars="202" w:hanging="566"/>
        <w:rPr>
          <w:rFonts w:ascii="Times New Roman" w:eastAsia="標楷體" w:hAnsi="Times New Roman" w:cs="Times New Roman"/>
          <w:b/>
          <w:sz w:val="28"/>
          <w:szCs w:val="28"/>
        </w:rPr>
      </w:pPr>
      <w:r w:rsidRPr="00486F32">
        <w:rPr>
          <w:rFonts w:ascii="Times New Roman" w:eastAsia="標楷體" w:hAnsi="Times New Roman" w:cs="Times New Roman"/>
          <w:b/>
          <w:sz w:val="28"/>
          <w:szCs w:val="28"/>
        </w:rPr>
        <w:tab/>
      </w:r>
      <w:r w:rsidRPr="00486F32">
        <w:rPr>
          <w:rFonts w:ascii="Times New Roman" w:eastAsia="標楷體" w:hAnsi="Times New Roman" w:cs="Times New Roman"/>
          <w:b/>
          <w:sz w:val="28"/>
          <w:szCs w:val="28"/>
        </w:rPr>
        <w:t>結語</w:t>
      </w:r>
    </w:p>
    <w:p w:rsidR="00925D83" w:rsidRPr="00486F32" w:rsidRDefault="00925D83" w:rsidP="00925D83">
      <w:pPr>
        <w:widowControl w:val="0"/>
        <w:overflowPunct w:val="0"/>
        <w:spacing w:beforeLines="30" w:before="156" w:afterLines="30" w:after="156" w:line="500" w:lineRule="exact"/>
        <w:ind w:firstLineChars="202" w:firstLine="566"/>
        <w:rPr>
          <w:rFonts w:cs="Times New Roman"/>
          <w:szCs w:val="28"/>
        </w:rPr>
      </w:pPr>
      <w:r w:rsidRPr="00486F32">
        <w:rPr>
          <w:rFonts w:cs="Times New Roman"/>
          <w:szCs w:val="28"/>
        </w:rPr>
        <w:t>近</w:t>
      </w:r>
      <w:r w:rsidRPr="00486F32">
        <w:rPr>
          <w:rFonts w:cs="Times New Roman"/>
          <w:szCs w:val="28"/>
        </w:rPr>
        <w:t>20</w:t>
      </w:r>
      <w:r w:rsidRPr="00486F32">
        <w:rPr>
          <w:rFonts w:cs="Times New Roman"/>
          <w:szCs w:val="28"/>
        </w:rPr>
        <w:t>年來本行維持相對低且穩定的通膨，加以匯率穩定，維持新台幣購買力，有利於企業與經濟發展</w:t>
      </w:r>
      <w:r w:rsidR="00E1532D" w:rsidRPr="00486F32">
        <w:rPr>
          <w:rFonts w:cs="Times New Roman"/>
          <w:szCs w:val="28"/>
        </w:rPr>
        <w:t>。但</w:t>
      </w:r>
      <w:r w:rsidRPr="00486F32">
        <w:rPr>
          <w:rFonts w:cs="Times New Roman"/>
          <w:szCs w:val="28"/>
        </w:rPr>
        <w:t>全球金融危機以來，台灣存在國內投資不足、生產力成長下滑、薪資成長停滯，以及人口老化、少子化等結構性問題。</w:t>
      </w:r>
    </w:p>
    <w:p w:rsidR="00925D83" w:rsidRPr="00486F32" w:rsidRDefault="00925D83" w:rsidP="007348E0">
      <w:pPr>
        <w:widowControl w:val="0"/>
        <w:overflowPunct w:val="0"/>
        <w:spacing w:beforeLines="30" w:before="156" w:afterLines="30" w:after="156" w:line="500" w:lineRule="exact"/>
        <w:ind w:firstLineChars="202" w:firstLine="566"/>
        <w:rPr>
          <w:rFonts w:cs="Times New Roman"/>
          <w:szCs w:val="28"/>
        </w:rPr>
      </w:pPr>
      <w:r w:rsidRPr="00486F32">
        <w:rPr>
          <w:rFonts w:cs="Times New Roman"/>
          <w:szCs w:val="28"/>
        </w:rPr>
        <w:t>鑑於貨幣政策有其侷限性，除須搭配擴張性財政政策來協助經濟發展外，尚需採結構性改革來共同解決這些結構性問題；此外，企業</w:t>
      </w:r>
      <w:r w:rsidRPr="00486F32">
        <w:rPr>
          <w:rFonts w:cs="Times New Roman"/>
          <w:szCs w:val="28"/>
        </w:rPr>
        <w:lastRenderedPageBreak/>
        <w:t>也應善用自動化、數位化等新科技，以促進產業升級或轉型，協助企業提升生產力、減緩人力短缺的問題，從而促使企業的產出及市占率增加，並創造一些新興行業的工作，帶來更多工作機會。</w:t>
      </w:r>
    </w:p>
    <w:p w:rsidR="00925D83" w:rsidRPr="00486F32" w:rsidRDefault="00925D83" w:rsidP="007348E0">
      <w:pPr>
        <w:widowControl w:val="0"/>
        <w:overflowPunct w:val="0"/>
        <w:spacing w:beforeLines="30" w:before="156" w:afterLines="30" w:after="156" w:line="500" w:lineRule="exact"/>
        <w:ind w:firstLineChars="202" w:firstLine="566"/>
        <w:rPr>
          <w:rFonts w:cs="Times New Roman"/>
          <w:szCs w:val="28"/>
        </w:rPr>
      </w:pPr>
      <w:r w:rsidRPr="00486F32">
        <w:rPr>
          <w:rFonts w:cs="Times New Roman"/>
          <w:szCs w:val="28"/>
        </w:rPr>
        <w:t>藉此機會，我也期盼在員工生產力提升的前提下，企業應為員工合理加薪，俾激勵員工努力工作、提高工作滿意度與生產力，從而提升公司價值；另一方面，薪資成長若能追隨勞動生產力成長，將創造足夠的內需，並促使企業提高増強生產力的資本投資，從而創造經濟成長的良性循環。</w:t>
      </w:r>
    </w:p>
    <w:p w:rsidR="007348E0" w:rsidRPr="00486F32" w:rsidRDefault="007348E0" w:rsidP="007348E0">
      <w:pPr>
        <w:widowControl w:val="0"/>
        <w:overflowPunct w:val="0"/>
        <w:spacing w:beforeLines="30" w:before="156" w:afterLines="30" w:after="156" w:line="500" w:lineRule="exact"/>
        <w:ind w:firstLineChars="202" w:firstLine="566"/>
        <w:rPr>
          <w:rFonts w:cs="Times New Roman"/>
          <w:szCs w:val="28"/>
        </w:rPr>
      </w:pPr>
      <w:r w:rsidRPr="00486F32">
        <w:rPr>
          <w:rFonts w:cs="Times New Roman"/>
          <w:szCs w:val="28"/>
        </w:rPr>
        <w:t>本行將持續致力於達成法定經營目標，</w:t>
      </w:r>
      <w:r w:rsidR="00925D83" w:rsidRPr="00486F32">
        <w:rPr>
          <w:rFonts w:cs="Times New Roman"/>
          <w:szCs w:val="28"/>
        </w:rPr>
        <w:t>維持對內對外購買力及金融穩定，協助台灣經濟持續成長。</w:t>
      </w:r>
      <w:r w:rsidRPr="00486F32">
        <w:rPr>
          <w:rFonts w:cs="Times New Roman"/>
          <w:szCs w:val="28"/>
        </w:rPr>
        <w:t>本行向來十分注意和外界</w:t>
      </w:r>
      <w:r w:rsidR="0043750E" w:rsidRPr="00486F32">
        <w:rPr>
          <w:rFonts w:cs="Times New Roman"/>
          <w:szCs w:val="28"/>
        </w:rPr>
        <w:t>保持</w:t>
      </w:r>
      <w:r w:rsidRPr="00486F32">
        <w:rPr>
          <w:rFonts w:cs="Times New Roman"/>
          <w:szCs w:val="28"/>
        </w:rPr>
        <w:t>良好的溝通，</w:t>
      </w:r>
      <w:r w:rsidR="0043750E" w:rsidRPr="00486F32">
        <w:rPr>
          <w:rFonts w:cs="Times New Roman"/>
          <w:szCs w:val="28"/>
        </w:rPr>
        <w:t>未來也將持續強化這方面的工作</w:t>
      </w:r>
      <w:r w:rsidRPr="00486F32">
        <w:rPr>
          <w:rFonts w:cs="Times New Roman"/>
          <w:szCs w:val="28"/>
        </w:rPr>
        <w:t>，</w:t>
      </w:r>
      <w:r w:rsidR="0043750E" w:rsidRPr="00486F32">
        <w:rPr>
          <w:rFonts w:cs="Times New Roman"/>
          <w:szCs w:val="28"/>
        </w:rPr>
        <w:t>以增進外界對本行的瞭解和信任，以</w:t>
      </w:r>
      <w:r w:rsidRPr="00486F32">
        <w:rPr>
          <w:rFonts w:cs="Times New Roman"/>
          <w:szCs w:val="28"/>
        </w:rPr>
        <w:t>確保政策的有效施行。希望各位前輩與先進繼續給予本行支持及指教！</w:t>
      </w:r>
    </w:p>
    <w:p w:rsidR="007348E0" w:rsidRPr="00486F32" w:rsidRDefault="007348E0" w:rsidP="007348E0">
      <w:pPr>
        <w:widowControl w:val="0"/>
        <w:overflowPunct w:val="0"/>
        <w:spacing w:beforeLines="30" w:before="156" w:afterLines="30" w:after="156" w:line="500" w:lineRule="exact"/>
        <w:ind w:firstLineChars="202" w:firstLine="566"/>
        <w:rPr>
          <w:rFonts w:cs="Times New Roman"/>
          <w:szCs w:val="28"/>
        </w:rPr>
      </w:pPr>
      <w:r w:rsidRPr="00486F32">
        <w:rPr>
          <w:rFonts w:cs="Times New Roman"/>
          <w:szCs w:val="28"/>
        </w:rPr>
        <w:t>最後，再次感謝</w:t>
      </w:r>
      <w:r w:rsidR="003B3EF4" w:rsidRPr="00486F32">
        <w:rPr>
          <w:rFonts w:cs="Times New Roman"/>
          <w:szCs w:val="28"/>
        </w:rPr>
        <w:t>貴會</w:t>
      </w:r>
      <w:r w:rsidRPr="00486F32">
        <w:rPr>
          <w:rFonts w:cs="Times New Roman"/>
          <w:szCs w:val="28"/>
        </w:rPr>
        <w:t>的邀請。敬祝大家身體健康、萬事如意！謝謝大家！</w:t>
      </w:r>
    </w:p>
    <w:sectPr w:rsidR="007348E0" w:rsidRPr="00486F32" w:rsidSect="00F956A1">
      <w:headerReference w:type="even" r:id="rId9"/>
      <w:headerReference w:type="default" r:id="rId10"/>
      <w:footerReference w:type="even" r:id="rId11"/>
      <w:footerReference w:type="default" r:id="rId12"/>
      <w:headerReference w:type="first" r:id="rId13"/>
      <w:footerReference w:type="first" r:id="rId14"/>
      <w:pgSz w:w="11906" w:h="16838" w:code="9"/>
      <w:pgMar w:top="1440" w:right="1800" w:bottom="1440" w:left="1800" w:header="851" w:footer="992" w:gutter="0"/>
      <w:cols w:space="425"/>
      <w:docGrid w:type="lines" w:linePitch="5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A36" w:rsidRDefault="00151A36" w:rsidP="00726BAE">
      <w:pPr>
        <w:spacing w:before="120"/>
        <w:ind w:firstLine="560"/>
      </w:pPr>
      <w:r>
        <w:separator/>
      </w:r>
    </w:p>
  </w:endnote>
  <w:endnote w:type="continuationSeparator" w:id="0">
    <w:p w:rsidR="00151A36" w:rsidRDefault="00151A36" w:rsidP="00726BAE">
      <w:pPr>
        <w:spacing w:before="120"/>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AC0" w:rsidRDefault="007F2AC0" w:rsidP="00726BAE">
    <w:pPr>
      <w:pStyle w:val="a5"/>
      <w:spacing w:before="120"/>
      <w:ind w:firstLine="4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957801"/>
      <w:docPartObj>
        <w:docPartGallery w:val="Page Numbers (Bottom of Page)"/>
        <w:docPartUnique/>
      </w:docPartObj>
    </w:sdtPr>
    <w:sdtEndPr/>
    <w:sdtContent>
      <w:p w:rsidR="007F2AC0" w:rsidRDefault="007F2AC0" w:rsidP="002E469A">
        <w:pPr>
          <w:pStyle w:val="a5"/>
          <w:spacing w:before="120"/>
          <w:ind w:firstLine="400"/>
          <w:jc w:val="center"/>
        </w:pPr>
        <w:r>
          <w:fldChar w:fldCharType="begin"/>
        </w:r>
        <w:r>
          <w:instrText>PAGE   \* MERGEFORMAT</w:instrText>
        </w:r>
        <w:r>
          <w:fldChar w:fldCharType="separate"/>
        </w:r>
        <w:r w:rsidR="00D9227C" w:rsidRPr="00D9227C">
          <w:rPr>
            <w:noProof/>
            <w:lang w:val="zh-TW"/>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AC0" w:rsidRDefault="007F2AC0" w:rsidP="00726BAE">
    <w:pPr>
      <w:pStyle w:val="a5"/>
      <w:spacing w:before="120"/>
      <w:ind w:firstLine="4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A36" w:rsidRDefault="00151A36" w:rsidP="00CB6E31">
      <w:pPr>
        <w:spacing w:before="120"/>
        <w:ind w:firstLine="560"/>
      </w:pPr>
      <w:r>
        <w:separator/>
      </w:r>
    </w:p>
  </w:footnote>
  <w:footnote w:type="continuationSeparator" w:id="0">
    <w:p w:rsidR="00151A36" w:rsidRDefault="00151A36" w:rsidP="00DE7D85">
      <w:pPr>
        <w:spacing w:before="120"/>
        <w:ind w:firstLine="560"/>
      </w:pPr>
      <w:r>
        <w:continuationSeparator/>
      </w:r>
    </w:p>
  </w:footnote>
  <w:footnote w:id="1">
    <w:p w:rsidR="00DB3BF5" w:rsidRPr="00294509" w:rsidRDefault="00DB3BF5" w:rsidP="00DB3BF5">
      <w:pPr>
        <w:pStyle w:val="ab"/>
        <w:ind w:left="100" w:hangingChars="50" w:hanging="100"/>
        <w:rPr>
          <w:rFonts w:ascii="Times New Roman" w:eastAsia="標楷體" w:hAnsi="Times New Roman" w:cs="Times New Roman"/>
        </w:rPr>
      </w:pPr>
      <w:r w:rsidRPr="00294509">
        <w:rPr>
          <w:rStyle w:val="ad"/>
          <w:rFonts w:ascii="Times New Roman" w:eastAsia="標楷體" w:hAnsi="Times New Roman" w:cs="Times New Roman"/>
        </w:rPr>
        <w:footnoteRef/>
      </w:r>
      <w:r w:rsidRPr="00294509">
        <w:rPr>
          <w:rFonts w:ascii="Times New Roman" w:eastAsia="標楷體" w:hAnsi="Times New Roman" w:cs="Times New Roman"/>
        </w:rPr>
        <w:t>長期停滯乙詞，最早係由哈佛大學經濟學家</w:t>
      </w:r>
      <w:r w:rsidRPr="00294509">
        <w:rPr>
          <w:rFonts w:ascii="Times New Roman" w:eastAsia="標楷體" w:hAnsi="Times New Roman" w:cs="Times New Roman"/>
        </w:rPr>
        <w:t xml:space="preserve"> Alvin Hansen </w:t>
      </w:r>
      <w:r w:rsidRPr="00294509">
        <w:rPr>
          <w:rFonts w:ascii="Times New Roman" w:eastAsia="標楷體" w:hAnsi="Times New Roman" w:cs="Times New Roman"/>
        </w:rPr>
        <w:t>於</w:t>
      </w:r>
      <w:r w:rsidRPr="00294509">
        <w:rPr>
          <w:rFonts w:ascii="Times New Roman" w:eastAsia="標楷體" w:hAnsi="Times New Roman" w:cs="Times New Roman"/>
        </w:rPr>
        <w:t>1938</w:t>
      </w:r>
      <w:r w:rsidRPr="00294509">
        <w:rPr>
          <w:rFonts w:ascii="Times New Roman" w:eastAsia="標楷體" w:hAnsi="Times New Roman" w:cs="Times New Roman"/>
        </w:rPr>
        <w:t>年</w:t>
      </w:r>
      <w:r w:rsidRPr="00294509">
        <w:rPr>
          <w:rFonts w:ascii="Times New Roman" w:eastAsia="標楷體" w:hAnsi="Times New Roman" w:cs="Times New Roman"/>
        </w:rPr>
        <w:t>12</w:t>
      </w:r>
      <w:r w:rsidRPr="00294509">
        <w:rPr>
          <w:rFonts w:ascii="Times New Roman" w:eastAsia="標楷體" w:hAnsi="Times New Roman" w:cs="Times New Roman"/>
        </w:rPr>
        <w:t>月提出。</w:t>
      </w:r>
      <w:r w:rsidRPr="00294509">
        <w:rPr>
          <w:rFonts w:ascii="Times New Roman" w:eastAsia="標楷體" w:hAnsi="Times New Roman" w:cs="Times New Roman"/>
        </w:rPr>
        <w:t>2013</w:t>
      </w:r>
      <w:r w:rsidRPr="00294509">
        <w:rPr>
          <w:rFonts w:ascii="Times New Roman" w:eastAsia="標楷體" w:hAnsi="Times New Roman" w:cs="Times New Roman"/>
        </w:rPr>
        <w:t>年以來，前美國財政部長</w:t>
      </w:r>
      <w:r w:rsidRPr="00294509">
        <w:rPr>
          <w:rFonts w:ascii="Times New Roman" w:eastAsia="標楷體" w:hAnsi="Times New Roman" w:cs="Times New Roman"/>
        </w:rPr>
        <w:t xml:space="preserve"> Lawrence Summers</w:t>
      </w:r>
      <w:r w:rsidRPr="00294509">
        <w:rPr>
          <w:rFonts w:ascii="Times New Roman" w:eastAsia="標楷體" w:hAnsi="Times New Roman" w:cs="Times New Roman"/>
        </w:rPr>
        <w:t>及諾貝爾經濟學獎得主</w:t>
      </w:r>
      <w:r w:rsidRPr="00294509">
        <w:rPr>
          <w:rFonts w:ascii="Times New Roman" w:eastAsia="標楷體" w:hAnsi="Times New Roman" w:cs="Times New Roman"/>
        </w:rPr>
        <w:t>Paul Krugman</w:t>
      </w:r>
      <w:r w:rsidRPr="00294509">
        <w:rPr>
          <w:rFonts w:ascii="Times New Roman" w:eastAsia="標楷體" w:hAnsi="Times New Roman" w:cs="Times New Roman"/>
        </w:rPr>
        <w:t>等相繼以長期停滯來描述全球金融危機後需求疲弱、低利率、低成長、低通膨的經濟狀況</w:t>
      </w:r>
      <w:r w:rsidRPr="00294509">
        <w:rPr>
          <w:rFonts w:ascii="新細明體" w:eastAsia="新細明體" w:hAnsi="新細明體" w:cs="Times New Roman" w:hint="eastAsia"/>
        </w:rPr>
        <w:t>。</w:t>
      </w:r>
      <w:r w:rsidRPr="00294509">
        <w:rPr>
          <w:rFonts w:ascii="Times New Roman" w:eastAsia="標楷體" w:hAnsi="Times New Roman" w:cs="Times New Roman"/>
        </w:rPr>
        <w:t>請參閱中央銀行（</w:t>
      </w:r>
      <w:r w:rsidRPr="00294509">
        <w:rPr>
          <w:rFonts w:ascii="Times New Roman" w:eastAsia="標楷體" w:hAnsi="Times New Roman" w:cs="Times New Roman"/>
        </w:rPr>
        <w:t>2019</w:t>
      </w:r>
      <w:r w:rsidRPr="00294509">
        <w:rPr>
          <w:rFonts w:ascii="Times New Roman" w:eastAsia="標楷體" w:hAnsi="Times New Roman" w:cs="Times New Roman"/>
        </w:rPr>
        <w:t>），「長期停滯的成因與對策</w:t>
      </w:r>
      <w:r w:rsidRPr="00294509">
        <w:rPr>
          <w:rFonts w:ascii="Times New Roman" w:eastAsia="標楷體" w:hAnsi="Times New Roman" w:cs="Times New Roman"/>
        </w:rPr>
        <w:t>—</w:t>
      </w:r>
      <w:r w:rsidRPr="00294509">
        <w:rPr>
          <w:rFonts w:ascii="Times New Roman" w:eastAsia="標楷體" w:hAnsi="Times New Roman" w:cs="Times New Roman"/>
        </w:rPr>
        <w:t>財政政策須扮演積極角色」，</w:t>
      </w:r>
      <w:r w:rsidRPr="00294509">
        <w:rPr>
          <w:rFonts w:ascii="Times New Roman" w:eastAsia="標楷體" w:hAnsi="Times New Roman" w:cs="Times New Roman"/>
          <w:i/>
        </w:rPr>
        <w:t>央行理監事會後記者會參考資料</w:t>
      </w:r>
      <w:r w:rsidRPr="00294509">
        <w:rPr>
          <w:rFonts w:ascii="Times New Roman" w:eastAsia="標楷體" w:hAnsi="Times New Roman" w:cs="Times New Roman"/>
        </w:rPr>
        <w:t>，</w:t>
      </w:r>
      <w:r w:rsidRPr="00294509">
        <w:rPr>
          <w:rFonts w:ascii="Times New Roman" w:eastAsia="標楷體" w:hAnsi="Times New Roman" w:cs="Times New Roman"/>
        </w:rPr>
        <w:t>6</w:t>
      </w:r>
      <w:r w:rsidRPr="00294509">
        <w:rPr>
          <w:rFonts w:ascii="Times New Roman" w:eastAsia="標楷體" w:hAnsi="Times New Roman" w:cs="Times New Roman"/>
        </w:rPr>
        <w:t>月</w:t>
      </w:r>
      <w:r w:rsidRPr="00294509">
        <w:rPr>
          <w:rFonts w:ascii="Times New Roman" w:eastAsia="標楷體" w:hAnsi="Times New Roman" w:cs="Times New Roman"/>
        </w:rPr>
        <w:t>20</w:t>
      </w:r>
      <w:r w:rsidRPr="00294509">
        <w:rPr>
          <w:rFonts w:ascii="Times New Roman" w:eastAsia="標楷體" w:hAnsi="Times New Roman" w:cs="Times New Roman"/>
        </w:rPr>
        <w:t>日。</w:t>
      </w:r>
    </w:p>
  </w:footnote>
  <w:footnote w:id="2">
    <w:p w:rsidR="00783E81" w:rsidRPr="00294509" w:rsidRDefault="00783E81" w:rsidP="00783E81">
      <w:pPr>
        <w:pStyle w:val="ab"/>
        <w:rPr>
          <w:rFonts w:ascii="Times New Roman" w:eastAsia="標楷體" w:hAnsi="Times New Roman" w:cs="Times New Roman"/>
        </w:rPr>
      </w:pPr>
      <w:r w:rsidRPr="00294509">
        <w:rPr>
          <w:rStyle w:val="ad"/>
          <w:rFonts w:ascii="Times New Roman" w:eastAsia="標楷體" w:hAnsi="Times New Roman" w:cs="Times New Roman"/>
        </w:rPr>
        <w:footnoteRef/>
      </w:r>
      <w:r w:rsidRPr="00294509">
        <w:rPr>
          <w:rFonts w:ascii="Times New Roman" w:eastAsia="標楷體" w:hAnsi="Times New Roman" w:cs="Times New Roman"/>
        </w:rPr>
        <w:t xml:space="preserve"> </w:t>
      </w:r>
      <w:r w:rsidRPr="00294509">
        <w:rPr>
          <w:rFonts w:ascii="Times New Roman" w:eastAsia="標楷體" w:hAnsi="Times New Roman" w:cs="Times New Roman"/>
        </w:rPr>
        <w:t>中央銀行法第</w:t>
      </w:r>
      <w:r w:rsidRPr="00294509">
        <w:rPr>
          <w:rFonts w:ascii="Times New Roman" w:eastAsia="標楷體" w:hAnsi="Times New Roman" w:cs="Times New Roman"/>
        </w:rPr>
        <w:t>2</w:t>
      </w:r>
      <w:r w:rsidRPr="00294509">
        <w:rPr>
          <w:rFonts w:ascii="Times New Roman" w:eastAsia="標楷體" w:hAnsi="Times New Roman" w:cs="Times New Roman"/>
        </w:rPr>
        <w:t>條。</w:t>
      </w:r>
    </w:p>
  </w:footnote>
  <w:footnote w:id="3">
    <w:p w:rsidR="00783E81" w:rsidRPr="00294509" w:rsidRDefault="00783E81" w:rsidP="00783E81">
      <w:pPr>
        <w:pStyle w:val="ab"/>
        <w:ind w:left="200" w:hangingChars="100" w:hanging="200"/>
        <w:rPr>
          <w:rFonts w:ascii="Times New Roman" w:eastAsia="標楷體" w:hAnsi="Times New Roman" w:cs="Times New Roman"/>
        </w:rPr>
      </w:pPr>
      <w:r w:rsidRPr="00294509">
        <w:rPr>
          <w:rStyle w:val="ad"/>
          <w:rFonts w:ascii="Times New Roman" w:eastAsia="標楷體" w:hAnsi="Times New Roman" w:cs="Times New Roman"/>
        </w:rPr>
        <w:footnoteRef/>
      </w:r>
      <w:r w:rsidRPr="00294509">
        <w:rPr>
          <w:rFonts w:ascii="Times New Roman" w:eastAsia="標楷體" w:hAnsi="Times New Roman" w:cs="Times New Roman"/>
        </w:rPr>
        <w:t xml:space="preserve"> </w:t>
      </w:r>
      <w:r w:rsidRPr="00294509">
        <w:rPr>
          <w:rFonts w:ascii="Times New Roman" w:eastAsia="標楷體" w:hAnsi="Times New Roman" w:cs="Times New Roman"/>
        </w:rPr>
        <w:t>主要考量我國資本移動近乎完全自由化，台灣貿易依存度高，匯率波動不宜過大，同時為保有若干程度的貨幣政策自主性，以因應國內外經濟金融衝擊。自</w:t>
      </w:r>
      <w:r w:rsidRPr="00294509">
        <w:rPr>
          <w:rFonts w:ascii="Times New Roman" w:eastAsia="標楷體" w:hAnsi="Times New Roman" w:cs="Times New Roman"/>
        </w:rPr>
        <w:t>1989</w:t>
      </w:r>
      <w:r w:rsidRPr="00294509">
        <w:rPr>
          <w:rFonts w:ascii="Times New Roman" w:eastAsia="標楷體" w:hAnsi="Times New Roman" w:cs="Times New Roman"/>
        </w:rPr>
        <w:t>年</w:t>
      </w:r>
      <w:r w:rsidRPr="00294509">
        <w:rPr>
          <w:rFonts w:ascii="Times New Roman" w:eastAsia="標楷體" w:hAnsi="Times New Roman" w:cs="Times New Roman"/>
        </w:rPr>
        <w:t>4</w:t>
      </w:r>
      <w:r w:rsidRPr="00294509">
        <w:rPr>
          <w:rFonts w:ascii="Times New Roman" w:eastAsia="標楷體" w:hAnsi="Times New Roman" w:cs="Times New Roman"/>
        </w:rPr>
        <w:t>月起，本行採行較具彈性的管理浮動匯率制度。</w:t>
      </w:r>
    </w:p>
  </w:footnote>
  <w:footnote w:id="4">
    <w:p w:rsidR="00783E81" w:rsidRPr="00294509" w:rsidRDefault="00783E81" w:rsidP="00783E81">
      <w:pPr>
        <w:pStyle w:val="ab"/>
        <w:rPr>
          <w:rFonts w:ascii="Times New Roman" w:hAnsi="Times New Roman" w:cs="Times New Roman"/>
        </w:rPr>
      </w:pPr>
      <w:r w:rsidRPr="00294509">
        <w:rPr>
          <w:rStyle w:val="ad"/>
          <w:rFonts w:ascii="Times New Roman" w:hAnsi="Times New Roman" w:cs="Times New Roman"/>
        </w:rPr>
        <w:footnoteRef/>
      </w:r>
      <w:r w:rsidRPr="00294509">
        <w:rPr>
          <w:rFonts w:ascii="Times New Roman" w:hAnsi="Times New Roman" w:cs="Times New Roman"/>
        </w:rPr>
        <w:t xml:space="preserve"> Bank of Canada (2012), “</w:t>
      </w:r>
      <w:r w:rsidR="00294509" w:rsidRPr="00294509">
        <w:rPr>
          <w:rFonts w:ascii="Times New Roman" w:hAnsi="Times New Roman" w:cs="Times New Roman"/>
        </w:rPr>
        <w:t>Inflation and Price Stability</w:t>
      </w:r>
      <w:r w:rsidRPr="00294509">
        <w:rPr>
          <w:rFonts w:ascii="Times New Roman" w:hAnsi="Times New Roman" w:cs="Times New Roman"/>
        </w:rPr>
        <w:t xml:space="preserve">,” </w:t>
      </w:r>
      <w:r w:rsidR="00294509" w:rsidRPr="00294509">
        <w:rPr>
          <w:rFonts w:ascii="Times New Roman" w:hAnsi="Times New Roman" w:cs="Times New Roman"/>
          <w:i/>
        </w:rPr>
        <w:t>Backgrounders</w:t>
      </w:r>
      <w:r w:rsidR="00294509">
        <w:rPr>
          <w:rFonts w:ascii="Times New Roman" w:hAnsi="Times New Roman" w:cs="Times New Roman" w:hint="eastAsia"/>
        </w:rPr>
        <w:t>,</w:t>
      </w:r>
      <w:r w:rsidR="00294509" w:rsidRPr="00294509">
        <w:rPr>
          <w:rFonts w:ascii="Times New Roman" w:hAnsi="Times New Roman" w:cs="Times New Roman"/>
        </w:rPr>
        <w:t xml:space="preserve"> </w:t>
      </w:r>
      <w:r w:rsidRPr="00294509">
        <w:rPr>
          <w:rFonts w:ascii="Times New Roman" w:hAnsi="Times New Roman" w:cs="Times New Roman"/>
        </w:rPr>
        <w:t>Bank of Canada, Apr.</w:t>
      </w:r>
    </w:p>
  </w:footnote>
  <w:footnote w:id="5">
    <w:p w:rsidR="00B07E3B" w:rsidRPr="00294509" w:rsidRDefault="00B07E3B" w:rsidP="00B07E3B">
      <w:pPr>
        <w:pStyle w:val="ab"/>
        <w:rPr>
          <w:rFonts w:ascii="Times New Roman" w:eastAsia="標楷體" w:hAnsi="Times New Roman" w:cs="Times New Roman"/>
        </w:rPr>
      </w:pPr>
      <w:r w:rsidRPr="00294509">
        <w:rPr>
          <w:rStyle w:val="ad"/>
          <w:rFonts w:ascii="Times New Roman" w:eastAsia="標楷體" w:hAnsi="Times New Roman" w:cs="Times New Roman"/>
        </w:rPr>
        <w:footnoteRef/>
      </w:r>
      <w:r w:rsidRPr="00294509">
        <w:rPr>
          <w:rFonts w:ascii="Times New Roman" w:eastAsia="標楷體" w:hAnsi="Times New Roman" w:cs="Times New Roman"/>
        </w:rPr>
        <w:t xml:space="preserve"> </w:t>
      </w:r>
      <w:r w:rsidRPr="00294509">
        <w:rPr>
          <w:rFonts w:ascii="Times New Roman" w:eastAsia="標楷體" w:hAnsi="Times New Roman" w:cs="Times New Roman"/>
        </w:rPr>
        <w:t>如標準普爾、穆迪及惠譽分別給予台灣長期信評為</w:t>
      </w:r>
      <w:r w:rsidRPr="00294509">
        <w:rPr>
          <w:rFonts w:ascii="Times New Roman" w:eastAsia="標楷體" w:hAnsi="Times New Roman" w:cs="Times New Roman"/>
        </w:rPr>
        <w:t>AA-</w:t>
      </w:r>
      <w:r w:rsidRPr="00294509">
        <w:rPr>
          <w:rFonts w:ascii="Times New Roman" w:eastAsia="標楷體" w:hAnsi="Times New Roman" w:cs="Times New Roman"/>
        </w:rPr>
        <w:t>、</w:t>
      </w:r>
      <w:r w:rsidRPr="00294509">
        <w:rPr>
          <w:rFonts w:ascii="Times New Roman" w:eastAsia="標楷體" w:hAnsi="Times New Roman" w:cs="Times New Roman"/>
        </w:rPr>
        <w:t>Aa3</w:t>
      </w:r>
      <w:r w:rsidRPr="00294509">
        <w:rPr>
          <w:rFonts w:ascii="Times New Roman" w:eastAsia="標楷體" w:hAnsi="Times New Roman" w:cs="Times New Roman"/>
        </w:rPr>
        <w:t>及</w:t>
      </w:r>
      <w:r w:rsidRPr="00294509">
        <w:rPr>
          <w:rFonts w:ascii="Times New Roman" w:eastAsia="標楷體" w:hAnsi="Times New Roman" w:cs="Times New Roman"/>
        </w:rPr>
        <w:t>AA-</w:t>
      </w:r>
      <w:r w:rsidRPr="00294509">
        <w:rPr>
          <w:rFonts w:ascii="Times New Roman" w:eastAsia="標楷體" w:hAnsi="Times New Roman" w:cs="Times New Roman"/>
        </w:rPr>
        <w:t>。</w:t>
      </w:r>
    </w:p>
  </w:footnote>
  <w:footnote w:id="6">
    <w:p w:rsidR="003D0654" w:rsidRPr="00294509" w:rsidRDefault="003D0654" w:rsidP="003D0654">
      <w:pPr>
        <w:pStyle w:val="ab"/>
        <w:rPr>
          <w:rFonts w:ascii="Times New Roman" w:eastAsia="標楷體" w:hAnsi="Times New Roman" w:cs="Times New Roman"/>
        </w:rPr>
      </w:pPr>
      <w:r w:rsidRPr="00294509">
        <w:rPr>
          <w:rStyle w:val="ad"/>
          <w:rFonts w:ascii="Times New Roman" w:eastAsia="標楷體" w:hAnsi="Times New Roman" w:cs="Times New Roman"/>
        </w:rPr>
        <w:footnoteRef/>
      </w:r>
      <w:r w:rsidRPr="00294509">
        <w:rPr>
          <w:rFonts w:ascii="Times New Roman" w:eastAsia="標楷體" w:hAnsi="Times New Roman" w:cs="Times New Roman"/>
        </w:rPr>
        <w:t xml:space="preserve"> Yin</w:t>
      </w:r>
      <w:r w:rsidRPr="00294509">
        <w:rPr>
          <w:rFonts w:ascii="Times New Roman" w:eastAsia="標楷體" w:hAnsi="Times New Roman" w:cs="Times New Roman" w:hint="eastAsia"/>
        </w:rPr>
        <w:t xml:space="preserve">, </w:t>
      </w:r>
      <w:r w:rsidRPr="00294509">
        <w:rPr>
          <w:rFonts w:ascii="Times New Roman" w:eastAsia="標楷體" w:hAnsi="Times New Roman" w:cs="Times New Roman"/>
        </w:rPr>
        <w:t>Rain</w:t>
      </w:r>
      <w:r w:rsidRPr="00294509">
        <w:rPr>
          <w:rFonts w:ascii="Times New Roman" w:eastAsia="標楷體" w:hAnsi="Times New Roman" w:cs="Times New Roman" w:hint="eastAsia"/>
        </w:rPr>
        <w:t xml:space="preserve"> and </w:t>
      </w:r>
      <w:r w:rsidRPr="00294509">
        <w:rPr>
          <w:rFonts w:ascii="Times New Roman" w:eastAsia="標楷體" w:hAnsi="Times New Roman" w:cs="Times New Roman"/>
        </w:rPr>
        <w:t>KimEng Tan</w:t>
      </w:r>
      <w:r w:rsidRPr="00294509">
        <w:rPr>
          <w:rFonts w:ascii="Times New Roman" w:eastAsia="標楷體" w:hAnsi="Times New Roman" w:cs="Times New Roman" w:hint="eastAsia"/>
        </w:rPr>
        <w:t xml:space="preserve">(2019), </w:t>
      </w:r>
      <w:r w:rsidRPr="00294509">
        <w:rPr>
          <w:rFonts w:ascii="Times New Roman" w:eastAsia="標楷體" w:hAnsi="Times New Roman" w:cs="Times New Roman"/>
        </w:rPr>
        <w:t>“</w:t>
      </w:r>
      <w:r w:rsidRPr="00294509">
        <w:rPr>
          <w:rFonts w:ascii="Times New Roman" w:eastAsia="標楷體" w:hAnsi="Times New Roman" w:cs="Times New Roman" w:hint="eastAsia"/>
        </w:rPr>
        <w:t xml:space="preserve">Summary: </w:t>
      </w:r>
      <w:r w:rsidRPr="00294509">
        <w:rPr>
          <w:rFonts w:ascii="Times New Roman" w:eastAsia="標楷體" w:hAnsi="Times New Roman" w:cs="Times New Roman"/>
        </w:rPr>
        <w:t>Taiwan</w:t>
      </w:r>
      <w:r w:rsidRPr="00294509">
        <w:rPr>
          <w:rFonts w:ascii="Times New Roman" w:eastAsia="標楷體" w:hAnsi="Times New Roman" w:cs="Times New Roman" w:hint="eastAsia"/>
        </w:rPr>
        <w:t>,</w:t>
      </w:r>
      <w:r w:rsidRPr="00294509">
        <w:rPr>
          <w:rFonts w:ascii="Times New Roman" w:eastAsia="標楷體" w:hAnsi="Times New Roman" w:cs="Times New Roman"/>
        </w:rPr>
        <w:t>”</w:t>
      </w:r>
      <w:r w:rsidRPr="00294509">
        <w:rPr>
          <w:rFonts w:ascii="Times New Roman" w:eastAsia="標楷體" w:hAnsi="Times New Roman" w:cs="Times New Roman" w:hint="eastAsia"/>
        </w:rPr>
        <w:t xml:space="preserve"> </w:t>
      </w:r>
      <w:r w:rsidRPr="00294509">
        <w:rPr>
          <w:rFonts w:ascii="Times New Roman" w:eastAsia="標楷體" w:hAnsi="Times New Roman" w:cs="Times New Roman" w:hint="eastAsia"/>
          <w:i/>
        </w:rPr>
        <w:t>S&amp;P Global Ratings</w:t>
      </w:r>
      <w:r w:rsidRPr="00294509">
        <w:rPr>
          <w:rFonts w:ascii="Times New Roman" w:eastAsia="標楷體" w:hAnsi="Times New Roman" w:cs="Times New Roman" w:hint="eastAsia"/>
        </w:rPr>
        <w:t>, May 3</w:t>
      </w:r>
      <w:r w:rsidRPr="00294509">
        <w:rPr>
          <w:rFonts w:ascii="微軟正黑體" w:eastAsia="微軟正黑體" w:hAnsi="微軟正黑體" w:cs="Times New Roman" w:hint="eastAsia"/>
        </w:rPr>
        <w:t>；</w:t>
      </w:r>
      <w:r w:rsidRPr="00294509">
        <w:rPr>
          <w:rFonts w:ascii="Times New Roman" w:eastAsia="標楷體" w:hAnsi="Times New Roman" w:cs="Times New Roman"/>
        </w:rPr>
        <w:t>Chou</w:t>
      </w:r>
      <w:r w:rsidRPr="00294509">
        <w:rPr>
          <w:rFonts w:ascii="Times New Roman" w:eastAsia="標楷體" w:hAnsi="Times New Roman" w:cs="Times New Roman" w:hint="eastAsia"/>
        </w:rPr>
        <w:t xml:space="preserve">, </w:t>
      </w:r>
      <w:r w:rsidRPr="00294509">
        <w:rPr>
          <w:rFonts w:ascii="Times New Roman" w:eastAsia="標楷體" w:hAnsi="Times New Roman" w:cs="Times New Roman"/>
        </w:rPr>
        <w:t>Eva</w:t>
      </w:r>
      <w:r w:rsidRPr="00294509">
        <w:rPr>
          <w:rFonts w:ascii="Times New Roman" w:eastAsia="標楷體" w:hAnsi="Times New Roman" w:cs="Times New Roman" w:hint="eastAsia"/>
        </w:rPr>
        <w:t>,</w:t>
      </w:r>
    </w:p>
    <w:p w:rsidR="003D0654" w:rsidRPr="00294509" w:rsidRDefault="003D0654" w:rsidP="003D0654">
      <w:pPr>
        <w:pStyle w:val="ab"/>
        <w:ind w:firstLineChars="100" w:firstLine="200"/>
        <w:rPr>
          <w:rFonts w:ascii="Times New Roman" w:eastAsia="標楷體" w:hAnsi="Times New Roman" w:cs="Times New Roman"/>
        </w:rPr>
      </w:pPr>
      <w:r w:rsidRPr="00294509">
        <w:rPr>
          <w:rFonts w:ascii="Times New Roman" w:eastAsia="標楷體" w:hAnsi="Times New Roman" w:cs="Times New Roman"/>
        </w:rPr>
        <w:t>Raymond Hsu</w:t>
      </w:r>
      <w:r w:rsidRPr="00294509">
        <w:rPr>
          <w:rFonts w:ascii="Times New Roman" w:eastAsia="標楷體" w:hAnsi="Times New Roman" w:cs="Times New Roman" w:hint="eastAsia"/>
        </w:rPr>
        <w:t xml:space="preserve"> and</w:t>
      </w:r>
      <w:r w:rsidRPr="00294509">
        <w:t xml:space="preserve"> </w:t>
      </w:r>
      <w:r w:rsidRPr="00294509">
        <w:rPr>
          <w:rFonts w:ascii="Times New Roman" w:eastAsia="標楷體" w:hAnsi="Times New Roman" w:cs="Times New Roman"/>
        </w:rPr>
        <w:t>Joe Lin</w:t>
      </w:r>
      <w:r w:rsidRPr="00294509">
        <w:rPr>
          <w:rFonts w:ascii="Times New Roman" w:eastAsia="標楷體" w:hAnsi="Times New Roman" w:cs="Times New Roman" w:hint="eastAsia"/>
        </w:rPr>
        <w:t xml:space="preserve"> (2018), </w:t>
      </w:r>
      <w:r w:rsidRPr="00294509">
        <w:rPr>
          <w:rFonts w:ascii="Times New Roman" w:eastAsia="標楷體" w:hAnsi="Times New Roman" w:cs="Times New Roman"/>
        </w:rPr>
        <w:t>“2018 Taiwan Credit Outlook: The</w:t>
      </w:r>
      <w:r w:rsidRPr="00294509">
        <w:rPr>
          <w:rFonts w:ascii="Times New Roman" w:eastAsia="標楷體" w:hAnsi="Times New Roman" w:cs="Times New Roman" w:hint="eastAsia"/>
        </w:rPr>
        <w:t xml:space="preserve"> </w:t>
      </w:r>
      <w:r w:rsidRPr="00294509">
        <w:rPr>
          <w:rFonts w:ascii="Times New Roman" w:eastAsia="標楷體" w:hAnsi="Times New Roman" w:cs="Times New Roman"/>
        </w:rPr>
        <w:t xml:space="preserve">Strengthening Global </w:t>
      </w:r>
    </w:p>
    <w:p w:rsidR="003D0654" w:rsidRPr="00294509" w:rsidRDefault="003D0654" w:rsidP="003D0654">
      <w:pPr>
        <w:pStyle w:val="ab"/>
        <w:ind w:firstLineChars="100" w:firstLine="200"/>
      </w:pPr>
      <w:r w:rsidRPr="00294509">
        <w:rPr>
          <w:rFonts w:ascii="Times New Roman" w:eastAsia="標楷體" w:hAnsi="Times New Roman" w:cs="Times New Roman"/>
        </w:rPr>
        <w:t>Economy</w:t>
      </w:r>
      <w:r w:rsidRPr="00294509">
        <w:rPr>
          <w:rFonts w:ascii="Times New Roman" w:eastAsia="標楷體" w:hAnsi="Times New Roman" w:cs="Times New Roman" w:hint="eastAsia"/>
        </w:rPr>
        <w:t xml:space="preserve"> </w:t>
      </w:r>
      <w:r w:rsidRPr="00294509">
        <w:rPr>
          <w:rFonts w:ascii="Times New Roman" w:eastAsia="標楷體" w:hAnsi="Times New Roman" w:cs="Times New Roman"/>
        </w:rPr>
        <w:t>Supports</w:t>
      </w:r>
      <w:r w:rsidRPr="00294509">
        <w:rPr>
          <w:rFonts w:ascii="Times New Roman" w:eastAsia="標楷體" w:hAnsi="Times New Roman" w:cs="Times New Roman" w:hint="eastAsia"/>
        </w:rPr>
        <w:t xml:space="preserve"> </w:t>
      </w:r>
      <w:r w:rsidRPr="00294509">
        <w:rPr>
          <w:rFonts w:ascii="Times New Roman" w:eastAsia="標楷體" w:hAnsi="Times New Roman" w:cs="Times New Roman"/>
        </w:rPr>
        <w:t>Generally Improving</w:t>
      </w:r>
      <w:r w:rsidRPr="00294509">
        <w:rPr>
          <w:rFonts w:ascii="Times New Roman" w:eastAsia="標楷體" w:hAnsi="Times New Roman" w:cs="Times New Roman" w:hint="eastAsia"/>
        </w:rPr>
        <w:t xml:space="preserve"> </w:t>
      </w:r>
      <w:r w:rsidRPr="00294509">
        <w:rPr>
          <w:rFonts w:ascii="Times New Roman" w:eastAsia="標楷體" w:hAnsi="Times New Roman" w:cs="Times New Roman"/>
        </w:rPr>
        <w:t>Domestic Credit Profiles</w:t>
      </w:r>
      <w:r w:rsidRPr="00294509">
        <w:rPr>
          <w:rFonts w:ascii="Times New Roman" w:eastAsia="標楷體" w:hAnsi="Times New Roman" w:cs="Times New Roman" w:hint="eastAsia"/>
        </w:rPr>
        <w:t>,</w:t>
      </w:r>
      <w:r w:rsidRPr="00294509">
        <w:rPr>
          <w:rFonts w:ascii="Times New Roman" w:eastAsia="標楷體" w:hAnsi="Times New Roman" w:cs="Times New Roman"/>
        </w:rPr>
        <w:t>”</w:t>
      </w:r>
      <w:r w:rsidRPr="00294509">
        <w:rPr>
          <w:rFonts w:ascii="Times New Roman" w:eastAsia="標楷體" w:hAnsi="Times New Roman" w:cs="Times New Roman" w:hint="eastAsia"/>
        </w:rPr>
        <w:t xml:space="preserve"> </w:t>
      </w:r>
      <w:r w:rsidRPr="00294509">
        <w:rPr>
          <w:rFonts w:ascii="Times New Roman" w:eastAsia="標楷體" w:hAnsi="Times New Roman" w:cs="Times New Roman" w:hint="eastAsia"/>
          <w:i/>
        </w:rPr>
        <w:t>S&amp;P Global Ratings</w:t>
      </w:r>
      <w:r w:rsidRPr="00294509">
        <w:rPr>
          <w:rFonts w:ascii="Times New Roman" w:eastAsia="標楷體" w:hAnsi="Times New Roman" w:cs="Times New Roman" w:hint="eastAsia"/>
        </w:rPr>
        <w:t>, Jan. 21</w:t>
      </w:r>
      <w:r w:rsidRPr="00294509">
        <w:rPr>
          <w:rFonts w:ascii="新細明體" w:eastAsia="新細明體" w:hAnsi="新細明體" w:cs="Times New Roman" w:hint="eastAsia"/>
        </w:rPr>
        <w:t>。</w:t>
      </w:r>
    </w:p>
  </w:footnote>
  <w:footnote w:id="7">
    <w:p w:rsidR="005E0F9D" w:rsidRPr="00294509" w:rsidRDefault="005E0F9D" w:rsidP="005E0F9D">
      <w:pPr>
        <w:pStyle w:val="ab"/>
      </w:pPr>
      <w:r w:rsidRPr="00294509">
        <w:rPr>
          <w:rStyle w:val="ad"/>
        </w:rPr>
        <w:footnoteRef/>
      </w:r>
      <w:r w:rsidRPr="00294509">
        <w:t xml:space="preserve"> </w:t>
      </w:r>
      <w:r w:rsidRPr="00294509">
        <w:rPr>
          <w:rFonts w:ascii="Times New Roman" w:eastAsia="標楷體" w:hAnsi="Times New Roman" w:cs="Times New Roman"/>
        </w:rPr>
        <w:t>台灣經常帳</w:t>
      </w:r>
      <w:r w:rsidRPr="00971E02">
        <w:rPr>
          <w:rFonts w:ascii="Times New Roman" w:eastAsia="標楷體" w:hAnsi="Times New Roman" w:cs="Times New Roman"/>
        </w:rPr>
        <w:t>順差對</w:t>
      </w:r>
      <w:r w:rsidRPr="00971E02">
        <w:rPr>
          <w:rFonts w:ascii="Times New Roman" w:eastAsia="標楷體" w:hAnsi="Times New Roman" w:cs="Times New Roman"/>
        </w:rPr>
        <w:t>GDP</w:t>
      </w:r>
      <w:r w:rsidRPr="00971E02">
        <w:rPr>
          <w:rFonts w:ascii="Times New Roman" w:eastAsia="標楷體" w:hAnsi="Times New Roman" w:cs="Times New Roman"/>
        </w:rPr>
        <w:t>比率曾於</w:t>
      </w:r>
      <w:r w:rsidRPr="00971E02">
        <w:rPr>
          <w:rFonts w:ascii="Times New Roman" w:eastAsia="標楷體" w:hAnsi="Times New Roman" w:cs="Times New Roman"/>
        </w:rPr>
        <w:t>2017</w:t>
      </w:r>
      <w:r w:rsidRPr="00971E02">
        <w:rPr>
          <w:rFonts w:ascii="Times New Roman" w:eastAsia="標楷體" w:hAnsi="Times New Roman" w:cs="Times New Roman"/>
        </w:rPr>
        <w:t>年創下</w:t>
      </w:r>
      <w:r w:rsidRPr="00971E02">
        <w:rPr>
          <w:rFonts w:ascii="Times New Roman" w:eastAsia="標楷體" w:hAnsi="Times New Roman" w:cs="Times New Roman"/>
        </w:rPr>
        <w:t>14.5%</w:t>
      </w:r>
      <w:r w:rsidRPr="00971E02">
        <w:rPr>
          <w:rFonts w:ascii="Times New Roman" w:eastAsia="標楷體" w:hAnsi="Times New Roman" w:cs="Times New Roman"/>
        </w:rPr>
        <w:t>的高點。</w:t>
      </w:r>
    </w:p>
  </w:footnote>
  <w:footnote w:id="8">
    <w:p w:rsidR="005E0F9D" w:rsidRPr="00294509" w:rsidRDefault="005E0F9D" w:rsidP="005E0F9D">
      <w:pPr>
        <w:pStyle w:val="ab"/>
        <w:ind w:left="200" w:hangingChars="100" w:hanging="200"/>
        <w:rPr>
          <w:rFonts w:ascii="Times New Roman" w:eastAsia="標楷體" w:hAnsi="Times New Roman" w:cs="Times New Roman"/>
        </w:rPr>
      </w:pPr>
      <w:r w:rsidRPr="00294509">
        <w:rPr>
          <w:rStyle w:val="ad"/>
          <w:rFonts w:ascii="Times New Roman" w:eastAsia="標楷體" w:hAnsi="Times New Roman" w:cs="Times New Roman"/>
        </w:rPr>
        <w:footnoteRef/>
      </w:r>
      <w:r w:rsidRPr="00294509">
        <w:rPr>
          <w:rFonts w:ascii="Times New Roman" w:eastAsia="標楷體" w:hAnsi="Times New Roman" w:cs="Times New Roman" w:hint="eastAsia"/>
        </w:rPr>
        <w:t xml:space="preserve"> </w:t>
      </w:r>
      <w:r w:rsidRPr="00294509">
        <w:rPr>
          <w:rFonts w:ascii="Times New Roman" w:eastAsia="標楷體" w:hAnsi="Times New Roman" w:cs="Times New Roman"/>
        </w:rPr>
        <w:t>僅次於日本、德國、中國大陸、香港，排名全球第</w:t>
      </w:r>
      <w:r w:rsidRPr="00294509">
        <w:rPr>
          <w:rFonts w:ascii="Times New Roman" w:eastAsia="標楷體" w:hAnsi="Times New Roman" w:cs="Times New Roman"/>
        </w:rPr>
        <w:t>5</w:t>
      </w:r>
      <w:r w:rsidRPr="00294509">
        <w:rPr>
          <w:rFonts w:ascii="Times New Roman" w:eastAsia="標楷體" w:hAnsi="Times New Roman" w:cs="Times New Roman"/>
        </w:rPr>
        <w:t>大。</w:t>
      </w:r>
    </w:p>
  </w:footnote>
  <w:footnote w:id="9">
    <w:p w:rsidR="008A19DF" w:rsidRPr="00294509" w:rsidRDefault="008A19DF" w:rsidP="008A19DF">
      <w:pPr>
        <w:pStyle w:val="ab"/>
        <w:rPr>
          <w:rFonts w:ascii="Times New Roman" w:eastAsia="標楷體" w:hAnsi="Times New Roman" w:cs="Times New Roman"/>
        </w:rPr>
      </w:pPr>
      <w:r w:rsidRPr="00294509">
        <w:rPr>
          <w:rStyle w:val="ad"/>
          <w:rFonts w:ascii="Times New Roman" w:eastAsia="標楷體" w:hAnsi="Times New Roman" w:cs="Times New Roman"/>
        </w:rPr>
        <w:footnoteRef/>
      </w:r>
      <w:r w:rsidRPr="00294509">
        <w:rPr>
          <w:rFonts w:ascii="Times New Roman" w:eastAsia="標楷體" w:hAnsi="Times New Roman" w:cs="Times New Roman"/>
        </w:rPr>
        <w:t xml:space="preserve"> 2018</w:t>
      </w:r>
      <w:r w:rsidRPr="00294509">
        <w:rPr>
          <w:rFonts w:ascii="Times New Roman" w:eastAsia="標楷體" w:hAnsi="Times New Roman" w:cs="Times New Roman" w:hint="eastAsia"/>
        </w:rPr>
        <w:t>年台灣貿易依存度</w:t>
      </w:r>
      <w:r w:rsidRPr="00294509">
        <w:rPr>
          <w:rFonts w:ascii="Times New Roman" w:eastAsia="標楷體" w:hAnsi="Times New Roman" w:cs="Times New Roman"/>
        </w:rPr>
        <w:t>(</w:t>
      </w:r>
      <w:r w:rsidRPr="00294509">
        <w:rPr>
          <w:rFonts w:ascii="Times New Roman" w:eastAsia="標楷體" w:hAnsi="Times New Roman" w:cs="Times New Roman" w:hint="eastAsia"/>
        </w:rPr>
        <w:t>輸出入總額</w:t>
      </w:r>
      <w:r w:rsidRPr="00294509">
        <w:rPr>
          <w:rFonts w:ascii="Times New Roman" w:eastAsia="標楷體" w:hAnsi="Times New Roman" w:cs="Times New Roman"/>
        </w:rPr>
        <w:t>/GDP)</w:t>
      </w:r>
      <w:r w:rsidRPr="00294509">
        <w:rPr>
          <w:rFonts w:ascii="Times New Roman" w:eastAsia="標楷體" w:hAnsi="Times New Roman" w:cs="Times New Roman" w:hint="eastAsia"/>
        </w:rPr>
        <w:t>較南韓、中國大陸、日本、美國等國高。</w:t>
      </w:r>
    </w:p>
  </w:footnote>
  <w:footnote w:id="10">
    <w:p w:rsidR="008A19DF" w:rsidRPr="00294509" w:rsidRDefault="008A19DF" w:rsidP="008A19DF">
      <w:pPr>
        <w:pStyle w:val="ab"/>
        <w:ind w:left="200" w:hangingChars="100" w:hanging="200"/>
      </w:pPr>
      <w:r w:rsidRPr="00294509">
        <w:rPr>
          <w:rStyle w:val="ad"/>
          <w:rFonts w:ascii="Times New Roman" w:eastAsia="標楷體" w:hAnsi="Times New Roman" w:cs="Times New Roman"/>
        </w:rPr>
        <w:footnoteRef/>
      </w:r>
      <w:r w:rsidRPr="00294509">
        <w:rPr>
          <w:rFonts w:ascii="Times New Roman" w:eastAsia="標楷體" w:hAnsi="Times New Roman" w:cs="Times New Roman"/>
        </w:rPr>
        <w:t xml:space="preserve"> </w:t>
      </w:r>
      <w:r w:rsidRPr="00294509">
        <w:rPr>
          <w:rFonts w:ascii="Times New Roman" w:eastAsia="標楷體" w:hAnsi="Times New Roman" w:cs="Times New Roman" w:hint="eastAsia"/>
        </w:rPr>
        <w:t>台灣早期先後歷經匯率制度多次改變，從</w:t>
      </w:r>
      <w:r w:rsidRPr="00294509">
        <w:rPr>
          <w:rFonts w:ascii="Times New Roman" w:eastAsia="標楷體" w:hAnsi="Times New Roman" w:cs="Times New Roman"/>
        </w:rPr>
        <w:t>1958</w:t>
      </w:r>
      <w:r w:rsidRPr="00294509">
        <w:rPr>
          <w:rFonts w:ascii="Times New Roman" w:eastAsia="標楷體" w:hAnsi="Times New Roman" w:cs="Times New Roman" w:hint="eastAsia"/>
        </w:rPr>
        <w:t>年確立單一固定匯率制度，到</w:t>
      </w:r>
      <w:r w:rsidRPr="00294509">
        <w:rPr>
          <w:rFonts w:ascii="Times New Roman" w:eastAsia="標楷體" w:hAnsi="Times New Roman" w:cs="Times New Roman"/>
        </w:rPr>
        <w:t>1979</w:t>
      </w:r>
      <w:r w:rsidRPr="00294509">
        <w:rPr>
          <w:rFonts w:ascii="Times New Roman" w:eastAsia="標楷體" w:hAnsi="Times New Roman" w:cs="Times New Roman" w:hint="eastAsia"/>
        </w:rPr>
        <w:t>年央行改採機動匯率制度</w:t>
      </w:r>
      <w:r w:rsidRPr="00294509">
        <w:rPr>
          <w:rFonts w:ascii="Times New Roman" w:eastAsia="標楷體" w:hAnsi="Times New Roman" w:cs="Times New Roman"/>
        </w:rPr>
        <w:t xml:space="preserve"> </w:t>
      </w:r>
      <w:r w:rsidRPr="00294509">
        <w:rPr>
          <w:rFonts w:ascii="Times New Roman" w:eastAsia="標楷體" w:hAnsi="Times New Roman" w:cs="Times New Roman" w:hint="eastAsia"/>
        </w:rPr>
        <w:t>，並正式建立外匯市場。在匯率走向自由化的過程當中，央行亦逐漸放寬外匯管制。</w:t>
      </w:r>
      <w:r w:rsidRPr="00294509">
        <w:rPr>
          <w:rFonts w:ascii="Times New Roman" w:eastAsia="標楷體" w:hAnsi="Times New Roman" w:cs="Times New Roman"/>
        </w:rPr>
        <w:t>1987</w:t>
      </w:r>
      <w:r w:rsidRPr="00294509">
        <w:rPr>
          <w:rFonts w:ascii="Times New Roman" w:eastAsia="標楷體" w:hAnsi="Times New Roman" w:cs="Times New Roman" w:hint="eastAsia"/>
        </w:rPr>
        <w:t>年央行大幅放寬外匯管制後，台灣進入外匯收支自由化時期。另自</w:t>
      </w:r>
      <w:r w:rsidRPr="00294509">
        <w:rPr>
          <w:rFonts w:ascii="Times New Roman" w:eastAsia="標楷體" w:hAnsi="Times New Roman" w:cs="Times New Roman"/>
        </w:rPr>
        <w:t>1990</w:t>
      </w:r>
      <w:r w:rsidRPr="00294509">
        <w:rPr>
          <w:rFonts w:ascii="Times New Roman" w:eastAsia="標楷體" w:hAnsi="Times New Roman" w:cs="Times New Roman" w:hint="eastAsia"/>
        </w:rPr>
        <w:t>年代我國逐步鬆綁跨境資本移動管理措施，如</w:t>
      </w:r>
      <w:r w:rsidRPr="00294509">
        <w:rPr>
          <w:rFonts w:ascii="Times New Roman" w:eastAsia="標楷體" w:hAnsi="Times New Roman" w:cs="Times New Roman"/>
        </w:rPr>
        <w:t>1991</w:t>
      </w:r>
      <w:r w:rsidRPr="00294509">
        <w:rPr>
          <w:rFonts w:ascii="Times New Roman" w:eastAsia="標楷體" w:hAnsi="Times New Roman" w:cs="Times New Roman" w:hint="eastAsia"/>
        </w:rPr>
        <w:t>年我國政府開放符合條件之「外國專業投資機構」</w:t>
      </w:r>
      <w:r w:rsidRPr="00294509">
        <w:rPr>
          <w:rFonts w:ascii="Times New Roman" w:eastAsia="標楷體" w:hAnsi="Times New Roman" w:cs="Times New Roman"/>
        </w:rPr>
        <w:t>(QFII)</w:t>
      </w:r>
      <w:r w:rsidRPr="00294509">
        <w:rPr>
          <w:rFonts w:ascii="Times New Roman" w:eastAsia="標楷體" w:hAnsi="Times New Roman" w:cs="Times New Roman" w:hint="eastAsia"/>
        </w:rPr>
        <w:t>在核准額度內投資國內證券；後又於</w:t>
      </w:r>
      <w:r w:rsidRPr="00294509">
        <w:rPr>
          <w:rFonts w:ascii="Times New Roman" w:eastAsia="標楷體" w:hAnsi="Times New Roman" w:cs="Times New Roman"/>
        </w:rPr>
        <w:t>2003</w:t>
      </w:r>
      <w:r w:rsidRPr="00294509">
        <w:rPr>
          <w:rFonts w:ascii="Times New Roman" w:eastAsia="標楷體" w:hAnsi="Times New Roman" w:cs="Times New Roman" w:hint="eastAsia"/>
        </w:rPr>
        <w:t>年</w:t>
      </w:r>
      <w:r w:rsidRPr="00294509">
        <w:rPr>
          <w:rFonts w:ascii="Times New Roman" w:eastAsia="標楷體" w:hAnsi="Times New Roman" w:cs="Times New Roman"/>
        </w:rPr>
        <w:t>9</w:t>
      </w:r>
      <w:r w:rsidRPr="00294509">
        <w:rPr>
          <w:rFonts w:ascii="Times New Roman" w:eastAsia="標楷體" w:hAnsi="Times New Roman" w:cs="Times New Roman" w:hint="eastAsia"/>
        </w:rPr>
        <w:t>月廢除</w:t>
      </w:r>
      <w:r w:rsidRPr="00294509">
        <w:rPr>
          <w:rFonts w:ascii="Times New Roman" w:eastAsia="標楷體" w:hAnsi="Times New Roman" w:cs="Times New Roman"/>
        </w:rPr>
        <w:t>QFII</w:t>
      </w:r>
      <w:r w:rsidRPr="00294509">
        <w:rPr>
          <w:rFonts w:ascii="Times New Roman" w:eastAsia="標楷體" w:hAnsi="Times New Roman" w:cs="Times New Roman" w:hint="eastAsia"/>
        </w:rPr>
        <w:t>制度，對外資改採登記制</w:t>
      </w:r>
      <w:r w:rsidRPr="00294509">
        <w:rPr>
          <w:rFonts w:ascii="Times New Roman" w:eastAsia="標楷體" w:hAnsi="Times New Roman" w:cs="Times New Roman"/>
        </w:rPr>
        <w:t xml:space="preserve"> </w:t>
      </w:r>
      <w:r w:rsidRPr="00294509">
        <w:rPr>
          <w:rFonts w:ascii="Times New Roman" w:eastAsia="標楷體" w:hAnsi="Times New Roman" w:cs="Times New Roman" w:hint="eastAsia"/>
        </w:rPr>
        <w:t>，使其投資國內證券不再有額度限制。此期間中，政府也陸續開放國人海外投資，使得資金雙向進出更加自由。</w:t>
      </w:r>
    </w:p>
  </w:footnote>
  <w:footnote w:id="11">
    <w:p w:rsidR="008A19DF" w:rsidRPr="00294509" w:rsidRDefault="008A19DF" w:rsidP="008A19DF">
      <w:pPr>
        <w:pStyle w:val="ab"/>
        <w:ind w:left="200" w:hangingChars="100" w:hanging="200"/>
        <w:rPr>
          <w:rFonts w:ascii="Times New Roman" w:eastAsia="標楷體" w:hAnsi="Times New Roman" w:cs="Times New Roman"/>
        </w:rPr>
      </w:pPr>
      <w:r w:rsidRPr="00294509">
        <w:rPr>
          <w:rStyle w:val="ad"/>
          <w:rFonts w:ascii="Times New Roman" w:eastAsia="標楷體" w:hAnsi="Times New Roman"/>
        </w:rPr>
        <w:footnoteRef/>
      </w:r>
      <w:r w:rsidRPr="00294509">
        <w:rPr>
          <w:rFonts w:ascii="Times New Roman" w:eastAsia="標楷體" w:hAnsi="Times New Roman" w:cs="Times New Roman"/>
        </w:rPr>
        <w:t xml:space="preserve"> </w:t>
      </w:r>
      <w:r w:rsidRPr="00294509">
        <w:rPr>
          <w:rFonts w:ascii="Times New Roman" w:eastAsia="標楷體" w:hAnsi="Times New Roman" w:cs="Times New Roman" w:hint="eastAsia"/>
        </w:rPr>
        <w:t>根據國發會資料，從</w:t>
      </w:r>
      <w:r w:rsidRPr="00294509">
        <w:rPr>
          <w:rFonts w:ascii="Times New Roman" w:eastAsia="標楷體" w:hAnsi="Times New Roman" w:cs="Times New Roman"/>
        </w:rPr>
        <w:t>1954</w:t>
      </w:r>
      <w:r w:rsidRPr="00294509">
        <w:rPr>
          <w:rFonts w:ascii="Times New Roman" w:eastAsia="標楷體" w:hAnsi="Times New Roman" w:cs="Times New Roman" w:hint="eastAsia"/>
        </w:rPr>
        <w:t>年</w:t>
      </w:r>
      <w:r w:rsidRPr="00294509">
        <w:rPr>
          <w:rFonts w:ascii="Times New Roman" w:eastAsia="標楷體" w:hAnsi="Times New Roman" w:cs="Times New Roman"/>
        </w:rPr>
        <w:t>11</w:t>
      </w:r>
      <w:r w:rsidRPr="00294509">
        <w:rPr>
          <w:rFonts w:ascii="Times New Roman" w:eastAsia="標楷體" w:hAnsi="Times New Roman" w:cs="Times New Roman" w:hint="eastAsia"/>
        </w:rPr>
        <w:t>月至</w:t>
      </w:r>
      <w:r w:rsidRPr="00294509">
        <w:rPr>
          <w:rFonts w:ascii="Times New Roman" w:eastAsia="標楷體" w:hAnsi="Times New Roman" w:cs="Times New Roman"/>
        </w:rPr>
        <w:t>2016</w:t>
      </w:r>
      <w:r w:rsidRPr="00294509">
        <w:rPr>
          <w:rFonts w:ascii="Times New Roman" w:eastAsia="標楷體" w:hAnsi="Times New Roman" w:cs="Times New Roman" w:hint="eastAsia"/>
        </w:rPr>
        <w:t>年</w:t>
      </w:r>
      <w:r w:rsidRPr="00294509">
        <w:rPr>
          <w:rFonts w:ascii="Times New Roman" w:eastAsia="標楷體" w:hAnsi="Times New Roman" w:cs="Times New Roman"/>
        </w:rPr>
        <w:t>2</w:t>
      </w:r>
      <w:r w:rsidRPr="00294509">
        <w:rPr>
          <w:rFonts w:ascii="Times New Roman" w:eastAsia="標楷體" w:hAnsi="Times New Roman" w:cs="Times New Roman" w:hint="eastAsia"/>
        </w:rPr>
        <w:t>月台灣共有</w:t>
      </w:r>
      <w:r w:rsidRPr="00294509">
        <w:rPr>
          <w:rFonts w:ascii="Times New Roman" w:eastAsia="標楷體" w:hAnsi="Times New Roman" w:cs="Times New Roman"/>
        </w:rPr>
        <w:t>14</w:t>
      </w:r>
      <w:r w:rsidRPr="00294509">
        <w:rPr>
          <w:rFonts w:ascii="Times New Roman" w:eastAsia="標楷體" w:hAnsi="Times New Roman" w:cs="Times New Roman" w:hint="eastAsia"/>
        </w:rPr>
        <w:t>次景氣循環，一次景氣循環平均約為</w:t>
      </w:r>
      <w:r w:rsidRPr="00294509">
        <w:rPr>
          <w:rFonts w:ascii="Times New Roman" w:eastAsia="標楷體" w:hAnsi="Times New Roman" w:cs="Times New Roman"/>
        </w:rPr>
        <w:t>53</w:t>
      </w:r>
      <w:r w:rsidRPr="00294509">
        <w:rPr>
          <w:rFonts w:ascii="Times New Roman" w:eastAsia="標楷體" w:hAnsi="Times New Roman" w:cs="Times New Roman" w:hint="eastAsia"/>
        </w:rPr>
        <w:t>個月；惟前</w:t>
      </w:r>
      <w:r w:rsidRPr="00294509">
        <w:rPr>
          <w:rFonts w:ascii="Times New Roman" w:eastAsia="標楷體" w:hAnsi="Times New Roman" w:cs="Times New Roman"/>
        </w:rPr>
        <w:t>8</w:t>
      </w:r>
      <w:r w:rsidRPr="00294509">
        <w:rPr>
          <w:rFonts w:ascii="Times New Roman" w:eastAsia="標楷體" w:hAnsi="Times New Roman" w:cs="Times New Roman" w:hint="eastAsia"/>
        </w:rPr>
        <w:t>次景氣循環期間變化比較大，介於</w:t>
      </w:r>
      <w:r w:rsidRPr="00294509">
        <w:rPr>
          <w:rFonts w:ascii="Times New Roman" w:eastAsia="標楷體" w:hAnsi="Times New Roman" w:cs="Times New Roman"/>
        </w:rPr>
        <w:t>22</w:t>
      </w:r>
      <w:r w:rsidRPr="00294509">
        <w:rPr>
          <w:rFonts w:ascii="Times New Roman" w:eastAsia="標楷體" w:hAnsi="Times New Roman" w:cs="Times New Roman" w:hint="eastAsia"/>
        </w:rPr>
        <w:t>至</w:t>
      </w:r>
      <w:r w:rsidRPr="00294509">
        <w:rPr>
          <w:rFonts w:ascii="Times New Roman" w:eastAsia="標楷體" w:hAnsi="Times New Roman" w:cs="Times New Roman"/>
        </w:rPr>
        <w:t xml:space="preserve">112 </w:t>
      </w:r>
      <w:r w:rsidRPr="00294509">
        <w:rPr>
          <w:rFonts w:ascii="Times New Roman" w:eastAsia="標楷體" w:hAnsi="Times New Roman" w:cs="Times New Roman" w:hint="eastAsia"/>
        </w:rPr>
        <w:t>個月，且近年台灣產業結構改變，台灣從</w:t>
      </w:r>
      <w:r w:rsidRPr="00294509">
        <w:rPr>
          <w:rFonts w:ascii="Times New Roman" w:eastAsia="標楷體" w:hAnsi="Times New Roman" w:cs="Times New Roman"/>
        </w:rPr>
        <w:t>1996</w:t>
      </w:r>
      <w:r w:rsidRPr="00294509">
        <w:rPr>
          <w:rFonts w:ascii="Times New Roman" w:eastAsia="標楷體" w:hAnsi="Times New Roman" w:cs="Times New Roman" w:hint="eastAsia"/>
        </w:rPr>
        <w:t>年</w:t>
      </w:r>
      <w:r w:rsidRPr="00294509">
        <w:rPr>
          <w:rFonts w:ascii="Times New Roman" w:eastAsia="標楷體" w:hAnsi="Times New Roman" w:cs="Times New Roman"/>
        </w:rPr>
        <w:t>3</w:t>
      </w:r>
      <w:r w:rsidRPr="00294509">
        <w:rPr>
          <w:rFonts w:ascii="Times New Roman" w:eastAsia="標楷體" w:hAnsi="Times New Roman" w:cs="Times New Roman" w:hint="eastAsia"/>
        </w:rPr>
        <w:t>月以後每一景氣循環期間較穩定，介於</w:t>
      </w:r>
      <w:r w:rsidRPr="00294509">
        <w:rPr>
          <w:rFonts w:ascii="Times New Roman" w:eastAsia="標楷體" w:hAnsi="Times New Roman" w:cs="Times New Roman"/>
        </w:rPr>
        <w:t>33</w:t>
      </w:r>
      <w:r w:rsidRPr="00294509">
        <w:rPr>
          <w:rFonts w:ascii="Times New Roman" w:eastAsia="標楷體" w:hAnsi="Times New Roman" w:cs="Times New Roman" w:hint="eastAsia"/>
        </w:rPr>
        <w:t>至</w:t>
      </w:r>
      <w:r w:rsidRPr="00294509">
        <w:rPr>
          <w:rFonts w:ascii="Times New Roman" w:eastAsia="標楷體" w:hAnsi="Times New Roman" w:cs="Times New Roman"/>
        </w:rPr>
        <w:t>49</w:t>
      </w:r>
      <w:r w:rsidRPr="00294509">
        <w:rPr>
          <w:rFonts w:ascii="Times New Roman" w:eastAsia="標楷體" w:hAnsi="Times New Roman" w:cs="Times New Roman" w:hint="eastAsia"/>
        </w:rPr>
        <w:t>個月，平均約為</w:t>
      </w:r>
      <w:r w:rsidRPr="00294509">
        <w:rPr>
          <w:rFonts w:ascii="Times New Roman" w:eastAsia="標楷體" w:hAnsi="Times New Roman" w:cs="Times New Roman"/>
        </w:rPr>
        <w:t>3</w:t>
      </w:r>
      <w:r w:rsidRPr="00294509">
        <w:rPr>
          <w:rFonts w:ascii="Times New Roman" w:eastAsia="標楷體" w:hAnsi="Times New Roman" w:cs="Times New Roman" w:hint="eastAsia"/>
        </w:rPr>
        <w:t>年</w:t>
      </w:r>
      <w:r w:rsidRPr="00294509">
        <w:rPr>
          <w:rFonts w:ascii="Times New Roman" w:eastAsia="標楷體" w:hAnsi="Times New Roman" w:cs="Times New Roman"/>
        </w:rPr>
        <w:t>(</w:t>
      </w:r>
      <w:r w:rsidRPr="00294509">
        <w:rPr>
          <w:rFonts w:ascii="Times New Roman" w:eastAsia="標楷體" w:hAnsi="Times New Roman" w:cs="Times New Roman" w:hint="eastAsia"/>
        </w:rPr>
        <w:t>約當</w:t>
      </w:r>
      <w:r w:rsidRPr="00294509">
        <w:rPr>
          <w:rFonts w:ascii="Times New Roman" w:eastAsia="標楷體" w:hAnsi="Times New Roman" w:cs="Times New Roman"/>
        </w:rPr>
        <w:t>36</w:t>
      </w:r>
      <w:r w:rsidRPr="00294509">
        <w:rPr>
          <w:rFonts w:ascii="Times New Roman" w:eastAsia="標楷體" w:hAnsi="Times New Roman" w:cs="Times New Roman" w:hint="eastAsia"/>
        </w:rPr>
        <w:t>個月</w:t>
      </w:r>
      <w:r w:rsidRPr="00294509">
        <w:rPr>
          <w:rFonts w:ascii="Times New Roman" w:eastAsia="標楷體" w:hAnsi="Times New Roman" w:cs="Times New Roman"/>
        </w:rPr>
        <w:t>)</w:t>
      </w:r>
      <w:r w:rsidRPr="00294509">
        <w:rPr>
          <w:rFonts w:ascii="Times New Roman" w:eastAsia="標楷體" w:hAnsi="Times New Roman" w:cs="Times New Roman" w:hint="eastAsia"/>
        </w:rPr>
        <w:t>。</w:t>
      </w:r>
    </w:p>
  </w:footnote>
  <w:footnote w:id="12">
    <w:p w:rsidR="008A19DF" w:rsidRPr="00294509" w:rsidRDefault="008A19DF" w:rsidP="008A19DF">
      <w:pPr>
        <w:pStyle w:val="ab"/>
        <w:ind w:left="200" w:hangingChars="100" w:hanging="200"/>
        <w:rPr>
          <w:rFonts w:ascii="Times New Roman" w:eastAsia="標楷體" w:hAnsi="Times New Roman" w:cs="Times New Roman"/>
        </w:rPr>
      </w:pPr>
      <w:r w:rsidRPr="00294509">
        <w:rPr>
          <w:rStyle w:val="ad"/>
          <w:rFonts w:ascii="Times New Roman" w:eastAsia="標楷體" w:hAnsi="Times New Roman"/>
        </w:rPr>
        <w:footnoteRef/>
      </w:r>
      <w:r w:rsidRPr="00294509">
        <w:rPr>
          <w:rFonts w:ascii="Times New Roman" w:eastAsia="標楷體" w:hAnsi="Times New Roman" w:cs="Times New Roman" w:hint="eastAsia"/>
        </w:rPr>
        <w:t xml:space="preserve"> </w:t>
      </w:r>
      <w:r w:rsidRPr="00294509">
        <w:rPr>
          <w:rFonts w:ascii="Times New Roman" w:eastAsia="標楷體" w:hAnsi="Times New Roman" w:cs="Times New Roman" w:hint="eastAsia"/>
        </w:rPr>
        <w:t>假設新台幣</w:t>
      </w:r>
      <w:r w:rsidRPr="00294509">
        <w:rPr>
          <w:rFonts w:ascii="Times New Roman" w:eastAsia="標楷體" w:hAnsi="Times New Roman" w:cs="Times New Roman"/>
        </w:rPr>
        <w:t>NEER</w:t>
      </w:r>
      <w:r w:rsidRPr="00294509">
        <w:rPr>
          <w:rFonts w:ascii="Times New Roman" w:eastAsia="標楷體" w:hAnsi="Times New Roman" w:cs="Times New Roman" w:hint="eastAsia"/>
        </w:rPr>
        <w:t>變動呈常態分布</w:t>
      </w:r>
      <w:r w:rsidRPr="00294509">
        <w:rPr>
          <w:rFonts w:ascii="Times New Roman" w:eastAsia="標楷體" w:hAnsi="Times New Roman" w:cs="Times New Roman"/>
        </w:rPr>
        <w:t>(normal distribution)</w:t>
      </w:r>
      <w:r w:rsidRPr="00294509">
        <w:rPr>
          <w:rFonts w:ascii="Times New Roman" w:eastAsia="標楷體" w:hAnsi="Times New Roman" w:cs="Times New Roman" w:hint="eastAsia"/>
        </w:rPr>
        <w:t>，</w:t>
      </w:r>
      <w:r w:rsidRPr="00294509">
        <w:rPr>
          <w:rFonts w:ascii="Times New Roman" w:eastAsia="標楷體" w:hAnsi="Times New Roman" w:cs="Times New Roman"/>
        </w:rPr>
        <w:t>5%</w:t>
      </w:r>
      <w:r w:rsidRPr="00294509">
        <w:rPr>
          <w:rFonts w:ascii="Times New Roman" w:eastAsia="標楷體" w:hAnsi="Times New Roman" w:cs="Times New Roman" w:hint="eastAsia"/>
        </w:rPr>
        <w:t>區間約當</w:t>
      </w:r>
      <w:r w:rsidRPr="00294509">
        <w:rPr>
          <w:rFonts w:ascii="Times New Roman" w:eastAsia="標楷體" w:hAnsi="Times New Roman" w:cs="Times New Roman"/>
        </w:rPr>
        <w:t>1.50</w:t>
      </w:r>
      <w:r w:rsidRPr="00294509">
        <w:rPr>
          <w:rFonts w:ascii="Times New Roman" w:eastAsia="標楷體" w:hAnsi="Times New Roman" w:cs="Times New Roman" w:hint="eastAsia"/>
        </w:rPr>
        <w:t>倍標準差，前述移動平均上下</w:t>
      </w:r>
      <w:r w:rsidRPr="00294509">
        <w:rPr>
          <w:rFonts w:ascii="Times New Roman" w:eastAsia="標楷體" w:hAnsi="Times New Roman" w:cs="Times New Roman"/>
        </w:rPr>
        <w:t>5%</w:t>
      </w:r>
      <w:r w:rsidRPr="00294509">
        <w:rPr>
          <w:rFonts w:ascii="Times New Roman" w:eastAsia="標楷體" w:hAnsi="Times New Roman" w:cs="Times New Roman" w:hint="eastAsia"/>
        </w:rPr>
        <w:t>區間值約可涵蓋新台幣</w:t>
      </w:r>
      <w:r w:rsidRPr="00294509">
        <w:rPr>
          <w:rFonts w:ascii="Times New Roman" w:eastAsia="標楷體" w:hAnsi="Times New Roman" w:cs="Times New Roman"/>
        </w:rPr>
        <w:t>NEER</w:t>
      </w:r>
      <w:r w:rsidRPr="00294509">
        <w:rPr>
          <w:rFonts w:ascii="Times New Roman" w:eastAsia="標楷體" w:hAnsi="Times New Roman" w:cs="Times New Roman" w:hint="eastAsia"/>
        </w:rPr>
        <w:t>的</w:t>
      </w:r>
      <w:r w:rsidRPr="00294509">
        <w:rPr>
          <w:rFonts w:ascii="Times New Roman" w:eastAsia="標楷體" w:hAnsi="Times New Roman" w:cs="Times New Roman"/>
        </w:rPr>
        <w:t>86.64%</w:t>
      </w:r>
      <w:r w:rsidRPr="00294509">
        <w:rPr>
          <w:rFonts w:ascii="Times New Roman" w:eastAsia="標楷體" w:hAnsi="Times New Roman" w:cs="Times New Roman" w:hint="eastAsia"/>
        </w:rPr>
        <w:t>變動情形。另依據歷史經驗，將區間值設定為上下</w:t>
      </w:r>
      <w:r w:rsidRPr="00294509">
        <w:rPr>
          <w:rFonts w:ascii="Times New Roman" w:eastAsia="標楷體" w:hAnsi="Times New Roman" w:cs="Times New Roman"/>
        </w:rPr>
        <w:t>5%</w:t>
      </w:r>
      <w:r w:rsidRPr="00294509">
        <w:rPr>
          <w:rFonts w:ascii="Times New Roman" w:eastAsia="標楷體" w:hAnsi="Times New Roman" w:cs="Times New Roman" w:hint="eastAsia"/>
        </w:rPr>
        <w:t>，可提供當前新台幣</w:t>
      </w:r>
      <w:r w:rsidRPr="00294509">
        <w:rPr>
          <w:rFonts w:ascii="Times New Roman" w:eastAsia="標楷體" w:hAnsi="Times New Roman" w:cs="Times New Roman"/>
        </w:rPr>
        <w:t>NEER</w:t>
      </w:r>
      <w:r w:rsidRPr="00294509">
        <w:rPr>
          <w:rFonts w:ascii="Times New Roman" w:eastAsia="標楷體" w:hAnsi="Times New Roman" w:cs="Times New Roman" w:hint="eastAsia"/>
        </w:rPr>
        <w:t>合適的彈性空間，並避免區間值設定過大或過小而無法反映新台幣匯率長期趨勢的情況。</w:t>
      </w:r>
    </w:p>
  </w:footnote>
  <w:footnote w:id="13">
    <w:p w:rsidR="008A19DF" w:rsidRPr="00294509" w:rsidRDefault="008A19DF" w:rsidP="008A19DF">
      <w:pPr>
        <w:pStyle w:val="ab"/>
        <w:ind w:left="200" w:hangingChars="100" w:hanging="200"/>
        <w:rPr>
          <w:rFonts w:ascii="Times New Roman" w:eastAsia="標楷體" w:hAnsi="Times New Roman" w:cs="Times New Roman"/>
        </w:rPr>
      </w:pPr>
      <w:r w:rsidRPr="00294509">
        <w:rPr>
          <w:rStyle w:val="ad"/>
          <w:rFonts w:ascii="Times New Roman" w:eastAsia="標楷體" w:hAnsi="Times New Roman" w:cs="Times New Roman"/>
        </w:rPr>
        <w:footnoteRef/>
      </w:r>
      <w:r w:rsidRPr="00294509">
        <w:rPr>
          <w:rFonts w:ascii="Times New Roman" w:eastAsia="標楷體" w:hAnsi="Times New Roman" w:cs="Times New Roman" w:hint="eastAsia"/>
        </w:rPr>
        <w:t xml:space="preserve"> </w:t>
      </w:r>
      <w:r w:rsidRPr="00294509">
        <w:rPr>
          <w:rFonts w:ascii="Times New Roman" w:eastAsia="標楷體" w:hAnsi="Times New Roman" w:cs="Times New Roman" w:hint="eastAsia"/>
        </w:rPr>
        <w:t>參見林依伶、張志揚與陳佩玗</w:t>
      </w:r>
      <w:r w:rsidRPr="00294509">
        <w:rPr>
          <w:rFonts w:ascii="Times New Roman" w:eastAsia="標楷體" w:hAnsi="Times New Roman" w:cs="Times New Roman"/>
        </w:rPr>
        <w:t>(2013)</w:t>
      </w:r>
      <w:r w:rsidRPr="00294509">
        <w:rPr>
          <w:rFonts w:ascii="Times New Roman" w:eastAsia="標楷體" w:hAnsi="Times New Roman" w:cs="Times New Roman" w:hint="eastAsia"/>
        </w:rPr>
        <w:t>，「新台幣匯率反應函數之實證分析－兼論與主要亞洲國家</w:t>
      </w:r>
      <w:r w:rsidRPr="00294509">
        <w:rPr>
          <w:rFonts w:ascii="Times New Roman" w:eastAsia="標楷體" w:hAnsi="Times New Roman" w:cs="Times New Roman"/>
        </w:rPr>
        <w:t xml:space="preserve"> </w:t>
      </w:r>
      <w:r w:rsidRPr="00294509">
        <w:rPr>
          <w:rFonts w:ascii="Times New Roman" w:eastAsia="標楷體" w:hAnsi="Times New Roman" w:cs="Times New Roman" w:hint="eastAsia"/>
        </w:rPr>
        <w:t>之比較」，中央銀行季刊，第</w:t>
      </w:r>
      <w:r w:rsidRPr="00294509">
        <w:rPr>
          <w:rFonts w:ascii="Times New Roman" w:eastAsia="標楷體" w:hAnsi="Times New Roman" w:cs="Times New Roman"/>
        </w:rPr>
        <w:t>35</w:t>
      </w:r>
      <w:r w:rsidRPr="00294509">
        <w:rPr>
          <w:rFonts w:ascii="Times New Roman" w:eastAsia="標楷體" w:hAnsi="Times New Roman" w:cs="Times New Roman" w:hint="eastAsia"/>
        </w:rPr>
        <w:t>卷第</w:t>
      </w:r>
      <w:r w:rsidRPr="00294509">
        <w:rPr>
          <w:rFonts w:ascii="Times New Roman" w:eastAsia="標楷體" w:hAnsi="Times New Roman" w:cs="Times New Roman"/>
        </w:rPr>
        <w:t>1</w:t>
      </w:r>
      <w:r w:rsidRPr="00294509">
        <w:rPr>
          <w:rFonts w:ascii="Times New Roman" w:eastAsia="標楷體" w:hAnsi="Times New Roman" w:cs="Times New Roman" w:hint="eastAsia"/>
        </w:rPr>
        <w:t>期，頁</w:t>
      </w:r>
      <w:r w:rsidRPr="00294509">
        <w:rPr>
          <w:rFonts w:ascii="Times New Roman" w:eastAsia="標楷體" w:hAnsi="Times New Roman" w:cs="Times New Roman"/>
        </w:rPr>
        <w:t xml:space="preserve">35-62 </w:t>
      </w:r>
      <w:r w:rsidRPr="00294509">
        <w:rPr>
          <w:rFonts w:ascii="Times New Roman" w:eastAsia="標楷體" w:hAnsi="Times New Roman" w:cs="Times New Roman" w:hint="eastAsia"/>
        </w:rPr>
        <w:t>。本文引用該研究，惟已更新樣本期間為</w:t>
      </w:r>
      <w:r w:rsidRPr="00294509">
        <w:rPr>
          <w:rFonts w:ascii="Times New Roman" w:eastAsia="標楷體" w:hAnsi="Times New Roman" w:cs="Times New Roman"/>
        </w:rPr>
        <w:t xml:space="preserve"> 1994 </w:t>
      </w:r>
      <w:r w:rsidRPr="00294509">
        <w:rPr>
          <w:rFonts w:ascii="Times New Roman" w:eastAsia="標楷體" w:hAnsi="Times New Roman" w:cs="Times New Roman" w:hint="eastAsia"/>
        </w:rPr>
        <w:t>年第</w:t>
      </w:r>
      <w:r w:rsidRPr="00294509">
        <w:rPr>
          <w:rFonts w:ascii="Times New Roman" w:eastAsia="標楷體" w:hAnsi="Times New Roman" w:cs="Times New Roman"/>
        </w:rPr>
        <w:t xml:space="preserve"> 1 </w:t>
      </w:r>
      <w:r w:rsidRPr="00294509">
        <w:rPr>
          <w:rFonts w:ascii="Times New Roman" w:eastAsia="標楷體" w:hAnsi="Times New Roman" w:cs="Times New Roman" w:hint="eastAsia"/>
        </w:rPr>
        <w:t>季至</w:t>
      </w:r>
      <w:r w:rsidRPr="00294509">
        <w:rPr>
          <w:rFonts w:ascii="Times New Roman" w:eastAsia="標楷體" w:hAnsi="Times New Roman" w:cs="Times New Roman"/>
        </w:rPr>
        <w:t xml:space="preserve"> 2018 </w:t>
      </w:r>
      <w:r w:rsidRPr="00294509">
        <w:rPr>
          <w:rFonts w:ascii="Times New Roman" w:eastAsia="標楷體" w:hAnsi="Times New Roman" w:cs="Times New Roman" w:hint="eastAsia"/>
        </w:rPr>
        <w:t>年第</w:t>
      </w:r>
      <w:r w:rsidRPr="00294509">
        <w:rPr>
          <w:rFonts w:ascii="Times New Roman" w:eastAsia="標楷體" w:hAnsi="Times New Roman" w:cs="Times New Roman"/>
        </w:rPr>
        <w:t xml:space="preserve"> 4 </w:t>
      </w:r>
      <w:r w:rsidRPr="00294509">
        <w:rPr>
          <w:rFonts w:ascii="Times New Roman" w:eastAsia="標楷體" w:hAnsi="Times New Roman" w:cs="Times New Roman" w:hint="eastAsia"/>
        </w:rPr>
        <w:t>季。</w:t>
      </w:r>
    </w:p>
  </w:footnote>
  <w:footnote w:id="14">
    <w:p w:rsidR="0075550B" w:rsidRPr="0075550B" w:rsidRDefault="0075550B">
      <w:pPr>
        <w:pStyle w:val="ab"/>
        <w:rPr>
          <w:rFonts w:ascii="Times New Roman" w:eastAsia="標楷體" w:hAnsi="Times New Roman" w:cs="Times New Roman"/>
        </w:rPr>
      </w:pPr>
      <w:r w:rsidRPr="0075550B">
        <w:rPr>
          <w:rStyle w:val="ad"/>
          <w:rFonts w:ascii="Times New Roman" w:eastAsia="標楷體" w:hAnsi="Times New Roman" w:cs="Times New Roman"/>
        </w:rPr>
        <w:footnoteRef/>
      </w:r>
      <w:r w:rsidRPr="0075550B">
        <w:rPr>
          <w:rFonts w:ascii="Times New Roman" w:eastAsia="標楷體" w:hAnsi="Times New Roman" w:cs="Times New Roman"/>
        </w:rPr>
        <w:t xml:space="preserve"> 1998</w:t>
      </w:r>
      <w:r w:rsidRPr="0075550B">
        <w:rPr>
          <w:rFonts w:ascii="Times New Roman" w:eastAsia="標楷體" w:hAnsi="Times New Roman" w:cs="Times New Roman"/>
        </w:rPr>
        <w:t>年</w:t>
      </w:r>
      <w:r w:rsidRPr="0075550B">
        <w:rPr>
          <w:rFonts w:ascii="Times New Roman" w:eastAsia="標楷體" w:hAnsi="Times New Roman" w:cs="Times New Roman"/>
        </w:rPr>
        <w:t>5</w:t>
      </w:r>
      <w:r w:rsidRPr="0075550B">
        <w:rPr>
          <w:rFonts w:ascii="Times New Roman" w:eastAsia="標楷體" w:hAnsi="Times New Roman" w:cs="Times New Roman"/>
        </w:rPr>
        <w:t>月</w:t>
      </w:r>
      <w:r w:rsidRPr="0075550B">
        <w:rPr>
          <w:rFonts w:ascii="Times New Roman" w:eastAsia="標楷體" w:hAnsi="Times New Roman" w:cs="Times New Roman"/>
        </w:rPr>
        <w:t>25</w:t>
      </w:r>
      <w:r w:rsidRPr="0075550B">
        <w:rPr>
          <w:rFonts w:ascii="Times New Roman" w:eastAsia="標楷體" w:hAnsi="Times New Roman" w:cs="Times New Roman"/>
        </w:rPr>
        <w:t>日本行停止</w:t>
      </w:r>
      <w:r w:rsidRPr="0075550B">
        <w:rPr>
          <w:rFonts w:ascii="Times New Roman" w:eastAsia="標楷體" w:hAnsi="Times New Roman" w:cs="Times New Roman"/>
        </w:rPr>
        <w:t>DBU</w:t>
      </w:r>
      <w:r w:rsidRPr="0075550B">
        <w:rPr>
          <w:rFonts w:ascii="Times New Roman" w:eastAsia="標楷體" w:hAnsi="Times New Roman" w:cs="Times New Roman"/>
        </w:rPr>
        <w:t>辦理顧客間新台幣</w:t>
      </w:r>
      <w:r w:rsidRPr="0075550B">
        <w:rPr>
          <w:rFonts w:ascii="Times New Roman" w:eastAsia="標楷體" w:hAnsi="Times New Roman" w:cs="Times New Roman"/>
        </w:rPr>
        <w:t>NDF(</w:t>
      </w:r>
      <w:r w:rsidRPr="0075550B">
        <w:rPr>
          <w:rFonts w:ascii="Times New Roman" w:eastAsia="標楷體" w:hAnsi="Times New Roman" w:cs="Times New Roman"/>
        </w:rPr>
        <w:t>無本金交割遠期外匯</w:t>
      </w:r>
      <w:r w:rsidRPr="0075550B">
        <w:rPr>
          <w:rFonts w:ascii="Times New Roman" w:eastAsia="標楷體" w:hAnsi="Times New Roman" w:cs="Times New Roman"/>
        </w:rPr>
        <w:t>)</w:t>
      </w:r>
      <w:r w:rsidRPr="0075550B">
        <w:rPr>
          <w:rFonts w:ascii="Times New Roman" w:eastAsia="標楷體" w:hAnsi="Times New Roman" w:cs="Times New Roman"/>
        </w:rPr>
        <w:t>業務。</w:t>
      </w:r>
    </w:p>
  </w:footnote>
  <w:footnote w:id="15">
    <w:p w:rsidR="00B33789" w:rsidRPr="00F35DC4" w:rsidRDefault="00B33789" w:rsidP="00B33789">
      <w:pPr>
        <w:pStyle w:val="ab"/>
        <w:rPr>
          <w:rFonts w:ascii="Times New Roman" w:eastAsia="標楷體" w:hAnsi="Times New Roman" w:cs="Times New Roman"/>
          <w:i/>
        </w:rPr>
      </w:pPr>
      <w:r w:rsidRPr="00F35DC4">
        <w:rPr>
          <w:rStyle w:val="ad"/>
          <w:rFonts w:ascii="Times New Roman" w:eastAsia="標楷體" w:hAnsi="Times New Roman" w:cs="Times New Roman"/>
        </w:rPr>
        <w:footnoteRef/>
      </w:r>
      <w:r w:rsidRPr="00F35DC4">
        <w:rPr>
          <w:rFonts w:ascii="Times New Roman" w:eastAsia="標楷體" w:hAnsi="Times New Roman" w:cs="Times New Roman"/>
        </w:rPr>
        <w:t xml:space="preserve"> </w:t>
      </w:r>
      <w:r w:rsidRPr="00F35DC4">
        <w:rPr>
          <w:rFonts w:ascii="Times New Roman" w:eastAsia="標楷體" w:hAnsi="Times New Roman" w:cs="Times New Roman"/>
        </w:rPr>
        <w:t>參考</w:t>
      </w:r>
      <w:r w:rsidRPr="00F35DC4">
        <w:rPr>
          <w:rFonts w:ascii="Times New Roman" w:eastAsia="標楷體" w:hAnsi="Times New Roman" w:cs="Times New Roman"/>
        </w:rPr>
        <w:t>Williams, John (201</w:t>
      </w:r>
      <w:r w:rsidRPr="00F35DC4">
        <w:rPr>
          <w:rFonts w:ascii="Times New Roman" w:eastAsia="標楷體" w:hAnsi="Times New Roman" w:cs="Times New Roman" w:hint="eastAsia"/>
        </w:rPr>
        <w:t>9</w:t>
      </w:r>
      <w:r w:rsidRPr="00F35DC4">
        <w:rPr>
          <w:rFonts w:ascii="Times New Roman" w:eastAsia="標楷體" w:hAnsi="Times New Roman" w:cs="Times New Roman"/>
        </w:rPr>
        <w:t>) , “</w:t>
      </w:r>
      <w:r w:rsidRPr="00F35DC4">
        <w:t xml:space="preserve"> </w:t>
      </w:r>
      <w:r w:rsidRPr="00F35DC4">
        <w:rPr>
          <w:rFonts w:ascii="Times New Roman" w:eastAsia="標楷體" w:hAnsi="Times New Roman" w:cs="Times New Roman"/>
        </w:rPr>
        <w:t xml:space="preserve">When the Facts Change…,” </w:t>
      </w:r>
      <w:r w:rsidRPr="00F35DC4">
        <w:rPr>
          <w:rFonts w:ascii="Times New Roman" w:eastAsia="標楷體" w:hAnsi="Times New Roman" w:cs="Times New Roman"/>
          <w:i/>
        </w:rPr>
        <w:t>Remarks at the 9th High-Level</w:t>
      </w:r>
    </w:p>
    <w:p w:rsidR="00B33789" w:rsidRPr="00F35DC4" w:rsidRDefault="00B33789" w:rsidP="00B33789">
      <w:pPr>
        <w:pStyle w:val="ab"/>
        <w:ind w:firstLineChars="50" w:firstLine="100"/>
        <w:rPr>
          <w:rFonts w:ascii="Times New Roman" w:eastAsia="標楷體" w:hAnsi="Times New Roman" w:cs="Times New Roman"/>
        </w:rPr>
      </w:pPr>
      <w:r w:rsidRPr="00F35DC4">
        <w:rPr>
          <w:rFonts w:ascii="Times New Roman" w:eastAsia="標楷體" w:hAnsi="Times New Roman" w:cs="Times New Roman"/>
          <w:i/>
        </w:rPr>
        <w:t xml:space="preserve"> Conference on the</w:t>
      </w:r>
      <w:r w:rsidRPr="00F35DC4">
        <w:rPr>
          <w:rFonts w:ascii="Times New Roman" w:eastAsia="標楷體" w:hAnsi="Times New Roman" w:cs="Times New Roman" w:hint="eastAsia"/>
          <w:i/>
        </w:rPr>
        <w:t xml:space="preserve"> </w:t>
      </w:r>
      <w:r w:rsidRPr="00F35DC4">
        <w:rPr>
          <w:rFonts w:ascii="Times New Roman" w:eastAsia="標楷體" w:hAnsi="Times New Roman" w:cs="Times New Roman"/>
          <w:i/>
        </w:rPr>
        <w:t>International Monetary System, Zürich</w:t>
      </w:r>
      <w:r w:rsidRPr="00F35DC4">
        <w:rPr>
          <w:rFonts w:ascii="Times New Roman" w:eastAsia="標楷體" w:hAnsi="Times New Roman" w:cs="Times New Roman"/>
        </w:rPr>
        <w:t>, Switzerland</w:t>
      </w:r>
      <w:r w:rsidRPr="00F35DC4">
        <w:rPr>
          <w:rFonts w:ascii="Times New Roman" w:eastAsia="標楷體" w:hAnsi="Times New Roman" w:cs="Times New Roman" w:hint="eastAsia"/>
        </w:rPr>
        <w:t xml:space="preserve"> , May 14</w:t>
      </w:r>
      <w:r w:rsidRPr="00F35DC4">
        <w:rPr>
          <w:rFonts w:ascii="Times New Roman" w:eastAsia="標楷體" w:hAnsi="Times New Roman" w:cs="Times New Roman"/>
        </w:rPr>
        <w:t>。</w:t>
      </w:r>
    </w:p>
  </w:footnote>
  <w:footnote w:id="16">
    <w:p w:rsidR="00B33789" w:rsidRPr="00BE007A" w:rsidRDefault="00B33789" w:rsidP="00B33789">
      <w:pPr>
        <w:pStyle w:val="ab"/>
        <w:adjustRightInd w:val="0"/>
        <w:spacing w:line="240" w:lineRule="exact"/>
        <w:ind w:left="156" w:hangingChars="78" w:hanging="156"/>
        <w:jc w:val="both"/>
        <w:rPr>
          <w:rFonts w:ascii="Times New Roman" w:eastAsia="標楷體" w:hAnsi="Times New Roman" w:cs="Times New Roman"/>
        </w:rPr>
      </w:pPr>
      <w:r w:rsidRPr="00BE007A">
        <w:rPr>
          <w:rStyle w:val="ad"/>
          <w:rFonts w:ascii="Times New Roman" w:eastAsia="標楷體" w:hAnsi="Times New Roman" w:cs="Times New Roman"/>
        </w:rPr>
        <w:footnoteRef/>
      </w:r>
      <w:r>
        <w:rPr>
          <w:rFonts w:ascii="Times New Roman" w:eastAsia="標楷體" w:hAnsi="Times New Roman" w:cs="Times New Roman" w:hint="eastAsia"/>
          <w:spacing w:val="-8"/>
        </w:rPr>
        <w:t xml:space="preserve"> </w:t>
      </w:r>
      <w:r w:rsidRPr="00BE007A">
        <w:rPr>
          <w:rFonts w:ascii="Times New Roman" w:eastAsia="標楷體" w:hAnsi="Times New Roman" w:cs="Times New Roman"/>
          <w:spacing w:val="-8"/>
        </w:rPr>
        <w:t xml:space="preserve">Buiter, Willem, Ebrahim Rahbari and Joe Seydl (2015), “Preventing Secular Stagnation From Becoming the ‘New Normal’: Why the Time of One-Armed Economic Policy Is Gone, ” </w:t>
      </w:r>
      <w:r w:rsidRPr="00BE007A">
        <w:rPr>
          <w:rFonts w:ascii="Times New Roman" w:eastAsia="標楷體" w:hAnsi="Times New Roman" w:cs="Times New Roman"/>
          <w:bCs/>
          <w:i/>
          <w:spacing w:val="-8"/>
        </w:rPr>
        <w:t>Citi Research</w:t>
      </w:r>
      <w:r w:rsidRPr="00BE007A">
        <w:rPr>
          <w:rFonts w:ascii="Times New Roman" w:eastAsia="標楷體" w:hAnsi="Times New Roman" w:cs="Times New Roman"/>
          <w:spacing w:val="-8"/>
        </w:rPr>
        <w:t xml:space="preserve">, Jun. 2; Morgan Stanley (2019),“The Case for Active Fiscal Policy,” </w:t>
      </w:r>
      <w:r w:rsidRPr="00BE007A">
        <w:rPr>
          <w:rFonts w:ascii="Times New Roman" w:eastAsia="標楷體" w:hAnsi="Times New Roman" w:cs="Times New Roman"/>
          <w:i/>
          <w:spacing w:val="-8"/>
        </w:rPr>
        <w:t>Morgan Stanley Research</w:t>
      </w:r>
      <w:r w:rsidRPr="00BE007A">
        <w:rPr>
          <w:rFonts w:ascii="Times New Roman" w:eastAsia="標楷體" w:hAnsi="Times New Roman" w:cs="Times New Roman"/>
          <w:spacing w:val="-8"/>
        </w:rPr>
        <w:t>, Apr.19; Schneider, Howard and Balazs Koranyi (2015), “From Heroes to Bystanders? Central Banks’ Growth Challenge,”</w:t>
      </w:r>
      <w:r w:rsidRPr="00BE007A">
        <w:rPr>
          <w:rFonts w:ascii="Times New Roman" w:eastAsia="標楷體" w:hAnsi="Times New Roman" w:cs="Times New Roman"/>
          <w:i/>
          <w:spacing w:val="-8"/>
        </w:rPr>
        <w:t>Reuters</w:t>
      </w:r>
      <w:r w:rsidRPr="00BE007A">
        <w:rPr>
          <w:rFonts w:ascii="Times New Roman" w:eastAsia="標楷體" w:hAnsi="Times New Roman" w:cs="Times New Roman"/>
          <w:spacing w:val="-8"/>
        </w:rPr>
        <w:t>, Oct.1; Borio, Claudio (2015), “BIS Quarterly Review September 2015-Media Briefing,” Remarks at the Media Briefing, Sep. 11.</w:t>
      </w:r>
      <w:r w:rsidRPr="00BE007A">
        <w:rPr>
          <w:rFonts w:ascii="Times New Roman" w:eastAsia="標楷體" w:hAnsi="Times New Roman" w:cs="Times New Roman"/>
        </w:rPr>
        <w:t>亦有論者認為，主要國家央行寬鬆性貨幣政策的效果不斷遞減，且在零利率底限下，貨幣政策的成效更是有限。或許是基於這樣的悲觀信念，極端的「現代貨幣理論」</w:t>
      </w:r>
      <w:r w:rsidRPr="00BE007A">
        <w:rPr>
          <w:rFonts w:ascii="Times New Roman" w:eastAsia="標楷體" w:hAnsi="Times New Roman" w:cs="Times New Roman"/>
        </w:rPr>
        <w:t>(Modern Monetary Theory, MMT)</w:t>
      </w:r>
      <w:r w:rsidRPr="00BE007A">
        <w:rPr>
          <w:rFonts w:ascii="Times New Roman" w:eastAsia="標楷體" w:hAnsi="Times New Roman" w:cs="Times New Roman"/>
        </w:rPr>
        <w:t>才會在近期快速興起；</w:t>
      </w:r>
      <w:r w:rsidRPr="00BE007A">
        <w:rPr>
          <w:rFonts w:ascii="Times New Roman" w:eastAsia="標楷體" w:hAnsi="Times New Roman" w:cs="Times New Roman"/>
        </w:rPr>
        <w:t>MMT</w:t>
      </w:r>
      <w:r w:rsidRPr="00BE007A">
        <w:rPr>
          <w:rFonts w:ascii="Times New Roman" w:eastAsia="標楷體" w:hAnsi="Times New Roman" w:cs="Times New Roman"/>
        </w:rPr>
        <w:t>主張利率政策無效，力倡由財政政策扮演主導角色、以央行資金來支應政府支出，若通膨率未失控，則毋須擔憂赤字問題；然而，主要央行官員與主流經濟學家均不認同</w:t>
      </w:r>
      <w:r w:rsidRPr="00BE007A">
        <w:rPr>
          <w:rFonts w:ascii="Times New Roman" w:eastAsia="標楷體" w:hAnsi="Times New Roman" w:cs="Times New Roman"/>
        </w:rPr>
        <w:t>MMT</w:t>
      </w:r>
      <w:r w:rsidRPr="00BE007A">
        <w:rPr>
          <w:rFonts w:ascii="Times New Roman" w:eastAsia="標楷體" w:hAnsi="Times New Roman" w:cs="Times New Roman"/>
        </w:rPr>
        <w:t>，認為</w:t>
      </w:r>
      <w:r w:rsidRPr="00BE007A">
        <w:rPr>
          <w:rFonts w:ascii="Times New Roman" w:eastAsia="標楷體" w:hAnsi="Times New Roman" w:cs="Times New Roman"/>
        </w:rPr>
        <w:t>MMT</w:t>
      </w:r>
      <w:r w:rsidRPr="00BE007A">
        <w:rPr>
          <w:rFonts w:ascii="Times New Roman" w:eastAsia="標楷體" w:hAnsi="Times New Roman" w:cs="Times New Roman"/>
        </w:rPr>
        <w:t>的論點十分危險。</w:t>
      </w:r>
    </w:p>
  </w:footnote>
  <w:footnote w:id="17">
    <w:p w:rsidR="00291979" w:rsidRPr="00294509" w:rsidRDefault="00FD2582" w:rsidP="000521B7">
      <w:pPr>
        <w:pStyle w:val="ab"/>
        <w:spacing w:line="240" w:lineRule="exact"/>
        <w:rPr>
          <w:rFonts w:ascii="Times New Roman" w:eastAsia="標楷體" w:hAnsi="Times New Roman" w:cs="Times New Roman"/>
        </w:rPr>
      </w:pPr>
      <w:r w:rsidRPr="00294509">
        <w:rPr>
          <w:rStyle w:val="ad"/>
          <w:rFonts w:ascii="Times New Roman" w:eastAsia="標楷體" w:hAnsi="Times New Roman" w:cs="Times New Roman"/>
        </w:rPr>
        <w:footnoteRef/>
      </w:r>
      <w:r w:rsidR="000521B7" w:rsidRPr="00294509">
        <w:rPr>
          <w:rFonts w:ascii="Times New Roman" w:eastAsia="標楷體" w:hAnsi="Times New Roman" w:cs="Times New Roman" w:hint="eastAsia"/>
        </w:rPr>
        <w:t xml:space="preserve"> 2015</w:t>
      </w:r>
      <w:r w:rsidR="000521B7" w:rsidRPr="00294509">
        <w:rPr>
          <w:rFonts w:ascii="Times New Roman" w:eastAsia="標楷體" w:hAnsi="Times New Roman" w:cs="Times New Roman" w:hint="eastAsia"/>
        </w:rPr>
        <w:t>至</w:t>
      </w:r>
      <w:r w:rsidR="000521B7" w:rsidRPr="00294509">
        <w:rPr>
          <w:rFonts w:ascii="Times New Roman" w:eastAsia="標楷體" w:hAnsi="Times New Roman" w:cs="Times New Roman" w:hint="eastAsia"/>
        </w:rPr>
        <w:t>2020</w:t>
      </w:r>
      <w:r w:rsidR="000521B7" w:rsidRPr="00294509">
        <w:rPr>
          <w:rFonts w:ascii="Times New Roman" w:eastAsia="標楷體" w:hAnsi="Times New Roman" w:cs="Times New Roman" w:hint="eastAsia"/>
        </w:rPr>
        <w:t>年</w:t>
      </w:r>
      <w:r w:rsidRPr="00294509">
        <w:rPr>
          <w:rFonts w:ascii="Times New Roman" w:eastAsia="標楷體" w:hAnsi="Times New Roman" w:cs="Times New Roman"/>
        </w:rPr>
        <w:t>台灣生育率僅高於南韓之</w:t>
      </w:r>
      <w:r w:rsidRPr="00294509">
        <w:rPr>
          <w:rFonts w:ascii="Times New Roman" w:eastAsia="標楷體" w:hAnsi="Times New Roman" w:cs="Times New Roman"/>
        </w:rPr>
        <w:t>1.11</w:t>
      </w:r>
      <w:r w:rsidRPr="00294509">
        <w:rPr>
          <w:rFonts w:ascii="Times New Roman" w:eastAsia="標楷體" w:hAnsi="Times New Roman" w:cs="Times New Roman"/>
        </w:rPr>
        <w:t>人。</w:t>
      </w:r>
      <w:r w:rsidRPr="00294509">
        <w:rPr>
          <w:rFonts w:ascii="Times New Roman" w:eastAsia="標楷體" w:hAnsi="Times New Roman" w:cs="Times New Roman"/>
        </w:rPr>
        <w:t>2018</w:t>
      </w:r>
      <w:r w:rsidRPr="00294509">
        <w:rPr>
          <w:rFonts w:ascii="Times New Roman" w:eastAsia="標楷體" w:hAnsi="Times New Roman" w:cs="Times New Roman"/>
        </w:rPr>
        <w:t>年台灣</w:t>
      </w:r>
      <w:r w:rsidRPr="00294509">
        <w:rPr>
          <w:rFonts w:ascii="Times New Roman" w:eastAsia="標楷體" w:hAnsi="Times New Roman" w:cs="Times New Roman"/>
        </w:rPr>
        <w:t>65</w:t>
      </w:r>
      <w:r w:rsidRPr="00294509">
        <w:rPr>
          <w:rFonts w:ascii="Times New Roman" w:eastAsia="標楷體" w:hAnsi="Times New Roman" w:cs="Times New Roman"/>
        </w:rPr>
        <w:t>歲以上人口的比重</w:t>
      </w:r>
      <w:r w:rsidRPr="00294509">
        <w:rPr>
          <w:rFonts w:ascii="Times New Roman" w:eastAsia="標楷體" w:hAnsi="Times New Roman" w:cs="Times New Roman"/>
          <w:szCs w:val="28"/>
        </w:rPr>
        <w:t>超過</w:t>
      </w:r>
      <w:r w:rsidRPr="00294509">
        <w:rPr>
          <w:rFonts w:ascii="Times New Roman" w:eastAsia="標楷體" w:hAnsi="Times New Roman" w:cs="Times New Roman"/>
        </w:rPr>
        <w:t>14%</w:t>
      </w:r>
      <w:r w:rsidRPr="00294509">
        <w:rPr>
          <w:rFonts w:ascii="Times New Roman" w:eastAsia="標楷體" w:hAnsi="Times New Roman" w:cs="Times New Roman"/>
        </w:rPr>
        <w:t>，</w:t>
      </w:r>
    </w:p>
    <w:p w:rsidR="00291979" w:rsidRPr="00294509" w:rsidRDefault="00291979" w:rsidP="000521B7">
      <w:pPr>
        <w:pStyle w:val="ab"/>
        <w:spacing w:line="240" w:lineRule="exact"/>
        <w:rPr>
          <w:rFonts w:ascii="Times New Roman" w:eastAsia="標楷體" w:hAnsi="Times New Roman" w:cs="Times New Roman"/>
        </w:rPr>
      </w:pPr>
      <w:r w:rsidRPr="00294509">
        <w:rPr>
          <w:rFonts w:ascii="Times New Roman" w:eastAsia="標楷體" w:hAnsi="Times New Roman" w:cs="Times New Roman" w:hint="eastAsia"/>
        </w:rPr>
        <w:t xml:space="preserve">  </w:t>
      </w:r>
      <w:r w:rsidR="00FD2582" w:rsidRPr="00294509">
        <w:rPr>
          <w:rFonts w:ascii="Times New Roman" w:eastAsia="標楷體" w:hAnsi="Times New Roman" w:cs="Times New Roman"/>
        </w:rPr>
        <w:t>到了</w:t>
      </w:r>
      <w:r w:rsidR="00FD2582" w:rsidRPr="00294509">
        <w:rPr>
          <w:rFonts w:ascii="Times New Roman" w:eastAsia="標楷體" w:hAnsi="Times New Roman" w:cs="Times New Roman"/>
        </w:rPr>
        <w:t>2026</w:t>
      </w:r>
      <w:r w:rsidR="00FD2582" w:rsidRPr="00294509">
        <w:rPr>
          <w:rFonts w:ascii="Times New Roman" w:eastAsia="標楷體" w:hAnsi="Times New Roman" w:cs="Times New Roman"/>
        </w:rPr>
        <w:t>年該比重將</w:t>
      </w:r>
      <w:r w:rsidR="00FD2582" w:rsidRPr="00294509">
        <w:rPr>
          <w:rFonts w:ascii="Times New Roman" w:eastAsia="標楷體" w:hAnsi="Times New Roman" w:cs="Times New Roman"/>
          <w:szCs w:val="28"/>
        </w:rPr>
        <w:t>超過</w:t>
      </w:r>
      <w:r w:rsidR="00FD2582" w:rsidRPr="00294509">
        <w:rPr>
          <w:rFonts w:ascii="Times New Roman" w:eastAsia="標楷體" w:hAnsi="Times New Roman" w:cs="Times New Roman"/>
        </w:rPr>
        <w:t>20%</w:t>
      </w:r>
      <w:r w:rsidR="00FD2582" w:rsidRPr="00294509">
        <w:rPr>
          <w:rFonts w:ascii="Times New Roman" w:eastAsia="標楷體" w:hAnsi="Times New Roman" w:cs="Times New Roman"/>
        </w:rPr>
        <w:t>，預計</w:t>
      </w:r>
      <w:r w:rsidR="00FD2582" w:rsidRPr="00294509">
        <w:rPr>
          <w:rFonts w:ascii="Times New Roman" w:eastAsia="標楷體" w:hAnsi="Times New Roman" w:cs="Times New Roman"/>
        </w:rPr>
        <w:t>2065</w:t>
      </w:r>
      <w:r w:rsidR="00FD2582" w:rsidRPr="00294509">
        <w:rPr>
          <w:rFonts w:ascii="Times New Roman" w:eastAsia="標楷體" w:hAnsi="Times New Roman" w:cs="Times New Roman"/>
        </w:rPr>
        <w:t>年該比重將高達</w:t>
      </w:r>
      <w:r w:rsidR="00FD2582" w:rsidRPr="00294509">
        <w:rPr>
          <w:rFonts w:ascii="Times New Roman" w:eastAsia="標楷體" w:hAnsi="Times New Roman" w:cs="Times New Roman"/>
        </w:rPr>
        <w:t>41.2%</w:t>
      </w:r>
      <w:r w:rsidR="00FD2582" w:rsidRPr="00294509">
        <w:rPr>
          <w:rFonts w:ascii="Times New Roman" w:eastAsia="標楷體" w:hAnsi="Times New Roman" w:cs="Times New Roman"/>
        </w:rPr>
        <w:t>。此外，台灣由高齡社會轉</w:t>
      </w:r>
    </w:p>
    <w:p w:rsidR="00291979" w:rsidRPr="00294509" w:rsidRDefault="00291979" w:rsidP="000521B7">
      <w:pPr>
        <w:pStyle w:val="ab"/>
        <w:spacing w:line="240" w:lineRule="exact"/>
        <w:rPr>
          <w:rFonts w:ascii="Times New Roman" w:eastAsia="標楷體" w:hAnsi="Times New Roman" w:cs="Times New Roman"/>
        </w:rPr>
      </w:pPr>
      <w:r w:rsidRPr="00294509">
        <w:rPr>
          <w:rFonts w:ascii="Times New Roman" w:eastAsia="標楷體" w:hAnsi="Times New Roman" w:cs="Times New Roman" w:hint="eastAsia"/>
        </w:rPr>
        <w:t xml:space="preserve">  </w:t>
      </w:r>
      <w:r w:rsidR="00FD2582" w:rsidRPr="00294509">
        <w:rPr>
          <w:rFonts w:ascii="Times New Roman" w:eastAsia="標楷體" w:hAnsi="Times New Roman" w:cs="Times New Roman"/>
        </w:rPr>
        <w:t>為超高齡社會時間僅花了</w:t>
      </w:r>
      <w:r w:rsidR="00FD2582" w:rsidRPr="00294509">
        <w:rPr>
          <w:rFonts w:ascii="Times New Roman" w:eastAsia="標楷體" w:hAnsi="Times New Roman" w:cs="Times New Roman"/>
        </w:rPr>
        <w:t>8</w:t>
      </w:r>
      <w:r w:rsidR="00FD2582" w:rsidRPr="00294509">
        <w:rPr>
          <w:rFonts w:ascii="Times New Roman" w:eastAsia="標楷體" w:hAnsi="Times New Roman" w:cs="Times New Roman"/>
        </w:rPr>
        <w:t>年</w:t>
      </w:r>
      <w:r w:rsidR="000521B7" w:rsidRPr="00294509">
        <w:rPr>
          <w:rFonts w:ascii="新細明體" w:eastAsia="新細明體" w:hAnsi="新細明體" w:cs="Times New Roman" w:hint="eastAsia"/>
        </w:rPr>
        <w:t>，</w:t>
      </w:r>
      <w:r w:rsidR="00FD2582" w:rsidRPr="00294509">
        <w:rPr>
          <w:rFonts w:ascii="Times New Roman" w:eastAsia="標楷體" w:hAnsi="Times New Roman" w:cs="Times New Roman"/>
        </w:rPr>
        <w:t>較日本</w:t>
      </w:r>
      <w:r w:rsidR="00FD2582" w:rsidRPr="00294509">
        <w:rPr>
          <w:rFonts w:ascii="Times New Roman" w:eastAsia="標楷體" w:hAnsi="Times New Roman" w:cs="Times New Roman"/>
        </w:rPr>
        <w:t>(11</w:t>
      </w:r>
      <w:r w:rsidR="00FD2582" w:rsidRPr="00294509">
        <w:rPr>
          <w:rFonts w:ascii="Times New Roman" w:eastAsia="標楷體" w:hAnsi="Times New Roman" w:cs="Times New Roman"/>
        </w:rPr>
        <w:t>年</w:t>
      </w:r>
      <w:r w:rsidR="00FD2582" w:rsidRPr="00294509">
        <w:rPr>
          <w:rFonts w:ascii="Times New Roman" w:eastAsia="標楷體" w:hAnsi="Times New Roman" w:cs="Times New Roman"/>
        </w:rPr>
        <w:t>)</w:t>
      </w:r>
      <w:r w:rsidR="00FD2582" w:rsidRPr="00294509">
        <w:rPr>
          <w:rFonts w:ascii="Times New Roman" w:eastAsia="標楷體" w:hAnsi="Times New Roman" w:cs="Times New Roman"/>
        </w:rPr>
        <w:t>、美國</w:t>
      </w:r>
      <w:r w:rsidR="000F096F" w:rsidRPr="00294509">
        <w:rPr>
          <w:rFonts w:ascii="Times New Roman" w:eastAsia="標楷體" w:hAnsi="Times New Roman" w:cs="Times New Roman"/>
        </w:rPr>
        <w:t>(15</w:t>
      </w:r>
      <w:r w:rsidR="000F096F" w:rsidRPr="00294509">
        <w:rPr>
          <w:rFonts w:ascii="Times New Roman" w:eastAsia="標楷體" w:hAnsi="Times New Roman" w:cs="Times New Roman"/>
        </w:rPr>
        <w:t>年</w:t>
      </w:r>
      <w:r w:rsidR="000F096F" w:rsidRPr="00294509">
        <w:rPr>
          <w:rFonts w:ascii="Times New Roman" w:eastAsia="標楷體" w:hAnsi="Times New Roman" w:cs="Times New Roman"/>
        </w:rPr>
        <w:t>)</w:t>
      </w:r>
      <w:r w:rsidR="00FD2582" w:rsidRPr="00294509">
        <w:rPr>
          <w:rFonts w:ascii="Times New Roman" w:eastAsia="標楷體" w:hAnsi="Times New Roman" w:cs="Times New Roman"/>
        </w:rPr>
        <w:t>、法國</w:t>
      </w:r>
      <w:r w:rsidR="000F096F" w:rsidRPr="00294509">
        <w:rPr>
          <w:rFonts w:ascii="Times New Roman" w:eastAsia="標楷體" w:hAnsi="Times New Roman" w:cs="Times New Roman"/>
        </w:rPr>
        <w:t>(29</w:t>
      </w:r>
      <w:r w:rsidR="000F096F" w:rsidRPr="00294509">
        <w:rPr>
          <w:rFonts w:ascii="Times New Roman" w:eastAsia="標楷體" w:hAnsi="Times New Roman" w:cs="Times New Roman"/>
        </w:rPr>
        <w:t>年</w:t>
      </w:r>
      <w:r w:rsidR="000F096F" w:rsidRPr="00294509">
        <w:rPr>
          <w:rFonts w:ascii="Times New Roman" w:eastAsia="標楷體" w:hAnsi="Times New Roman" w:cs="Times New Roman"/>
        </w:rPr>
        <w:t>)</w:t>
      </w:r>
      <w:r w:rsidR="00FD2582" w:rsidRPr="00294509">
        <w:rPr>
          <w:rFonts w:ascii="Times New Roman" w:eastAsia="標楷體" w:hAnsi="Times New Roman" w:cs="Times New Roman"/>
        </w:rPr>
        <w:t>及英國</w:t>
      </w:r>
      <w:r w:rsidR="000F096F" w:rsidRPr="00294509">
        <w:rPr>
          <w:rFonts w:ascii="Times New Roman" w:eastAsia="標楷體" w:hAnsi="Times New Roman" w:cs="Times New Roman"/>
        </w:rPr>
        <w:t>(51</w:t>
      </w:r>
      <w:r w:rsidR="000F096F" w:rsidRPr="00294509">
        <w:rPr>
          <w:rFonts w:ascii="Times New Roman" w:eastAsia="標楷體" w:hAnsi="Times New Roman" w:cs="Times New Roman"/>
        </w:rPr>
        <w:t>年</w:t>
      </w:r>
      <w:r w:rsidR="000F096F" w:rsidRPr="00294509">
        <w:rPr>
          <w:rFonts w:ascii="Times New Roman" w:eastAsia="標楷體" w:hAnsi="Times New Roman" w:cs="Times New Roman"/>
        </w:rPr>
        <w:t>)</w:t>
      </w:r>
      <w:r w:rsidR="000521B7" w:rsidRPr="00294509">
        <w:rPr>
          <w:rFonts w:ascii="Times New Roman" w:eastAsia="標楷體" w:hAnsi="Times New Roman" w:cs="Times New Roman" w:hint="eastAsia"/>
        </w:rPr>
        <w:t>更快</w:t>
      </w:r>
      <w:r w:rsidR="00FD2582" w:rsidRPr="00294509">
        <w:rPr>
          <w:rFonts w:ascii="Times New Roman" w:eastAsia="標楷體" w:hAnsi="Times New Roman" w:cs="Times New Roman"/>
        </w:rPr>
        <w:t>(</w:t>
      </w:r>
      <w:r w:rsidR="00FD2582" w:rsidRPr="00294509">
        <w:rPr>
          <w:rFonts w:ascii="Times New Roman" w:eastAsia="標楷體" w:hAnsi="Times New Roman" w:cs="Times New Roman"/>
        </w:rPr>
        <w:t>詳</w:t>
      </w:r>
    </w:p>
    <w:p w:rsidR="00FD2582" w:rsidRPr="00294509" w:rsidRDefault="00291979" w:rsidP="000521B7">
      <w:pPr>
        <w:pStyle w:val="ab"/>
        <w:spacing w:line="240" w:lineRule="exact"/>
        <w:rPr>
          <w:rFonts w:ascii="Times New Roman" w:eastAsia="標楷體" w:hAnsi="Times New Roman" w:cs="Times New Roman"/>
        </w:rPr>
      </w:pPr>
      <w:r w:rsidRPr="00294509">
        <w:rPr>
          <w:rFonts w:ascii="Times New Roman" w:eastAsia="標楷體" w:hAnsi="Times New Roman" w:cs="Times New Roman" w:hint="eastAsia"/>
        </w:rPr>
        <w:t xml:space="preserve">  </w:t>
      </w:r>
      <w:r w:rsidR="00FD2582" w:rsidRPr="00294509">
        <w:rPr>
          <w:rFonts w:ascii="Times New Roman" w:eastAsia="標楷體" w:hAnsi="Times New Roman" w:cs="Times New Roman"/>
        </w:rPr>
        <w:t>國發會</w:t>
      </w:r>
      <w:r w:rsidR="000521B7" w:rsidRPr="00294509">
        <w:rPr>
          <w:rFonts w:ascii="Times New Roman" w:eastAsia="標楷體" w:hAnsi="Times New Roman" w:cs="Times New Roman" w:hint="eastAsia"/>
        </w:rPr>
        <w:t xml:space="preserve"> </w:t>
      </w:r>
      <w:r w:rsidR="00FD2582" w:rsidRPr="00294509">
        <w:rPr>
          <w:rFonts w:ascii="Times New Roman" w:eastAsia="標楷體" w:hAnsi="Times New Roman" w:cs="Times New Roman"/>
        </w:rPr>
        <w:t>(2018)</w:t>
      </w:r>
      <w:r w:rsidR="00FD2582" w:rsidRPr="00294509">
        <w:rPr>
          <w:rFonts w:ascii="Times New Roman" w:eastAsia="標楷體" w:hAnsi="Times New Roman" w:cs="Times New Roman"/>
        </w:rPr>
        <w:t>，「中華民國人口推估</w:t>
      </w:r>
      <w:r w:rsidR="00FD2582" w:rsidRPr="00294509">
        <w:rPr>
          <w:rFonts w:ascii="Times New Roman" w:eastAsia="標楷體" w:hAnsi="Times New Roman" w:cs="Times New Roman"/>
        </w:rPr>
        <w:t>(2018</w:t>
      </w:r>
      <w:r w:rsidR="00FD2582" w:rsidRPr="00294509">
        <w:rPr>
          <w:rFonts w:ascii="Times New Roman" w:eastAsia="標楷體" w:hAnsi="Times New Roman" w:cs="Times New Roman"/>
        </w:rPr>
        <w:t>至</w:t>
      </w:r>
      <w:r w:rsidR="00FD2582" w:rsidRPr="00294509">
        <w:rPr>
          <w:rFonts w:ascii="Times New Roman" w:eastAsia="標楷體" w:hAnsi="Times New Roman" w:cs="Times New Roman"/>
        </w:rPr>
        <w:t xml:space="preserve">2065 </w:t>
      </w:r>
      <w:r w:rsidR="00FD2582" w:rsidRPr="00294509">
        <w:rPr>
          <w:rFonts w:ascii="Times New Roman" w:eastAsia="標楷體" w:hAnsi="Times New Roman" w:cs="Times New Roman"/>
        </w:rPr>
        <w:t>年</w:t>
      </w:r>
      <w:r w:rsidR="00FD2582" w:rsidRPr="00294509">
        <w:rPr>
          <w:rFonts w:ascii="Times New Roman" w:eastAsia="標楷體" w:hAnsi="Times New Roman" w:cs="Times New Roman"/>
        </w:rPr>
        <w:t>)</w:t>
      </w:r>
      <w:r w:rsidR="00FD2582" w:rsidRPr="00294509">
        <w:rPr>
          <w:rFonts w:ascii="Times New Roman" w:eastAsia="標楷體" w:hAnsi="Times New Roman" w:cs="Times New Roman"/>
        </w:rPr>
        <w:t>」，</w:t>
      </w:r>
      <w:r w:rsidR="00FD2582" w:rsidRPr="00294509">
        <w:rPr>
          <w:rFonts w:ascii="Times New Roman" w:eastAsia="標楷體" w:hAnsi="Times New Roman" w:cs="Times New Roman"/>
        </w:rPr>
        <w:t>6</w:t>
      </w:r>
      <w:r w:rsidR="00FD2582" w:rsidRPr="00294509">
        <w:rPr>
          <w:rFonts w:ascii="Times New Roman" w:eastAsia="標楷體" w:hAnsi="Times New Roman" w:cs="Times New Roman"/>
        </w:rPr>
        <w:t>月</w:t>
      </w:r>
      <w:r w:rsidR="00FD2582" w:rsidRPr="00294509">
        <w:rPr>
          <w:rFonts w:ascii="Times New Roman" w:eastAsia="標楷體" w:hAnsi="Times New Roman" w:cs="Times New Roman"/>
        </w:rPr>
        <w:t>)</w:t>
      </w:r>
      <w:r w:rsidR="00FD2582" w:rsidRPr="00294509">
        <w:rPr>
          <w:rFonts w:ascii="Times New Roman" w:eastAsia="標楷體" w:hAnsi="Times New Roman" w:cs="Times New Roman"/>
        </w:rPr>
        <w:t>。</w:t>
      </w:r>
    </w:p>
  </w:footnote>
  <w:footnote w:id="18">
    <w:p w:rsidR="00774F03" w:rsidRPr="00294509" w:rsidRDefault="00774F03" w:rsidP="00774F03">
      <w:pPr>
        <w:pStyle w:val="ab"/>
        <w:spacing w:line="240" w:lineRule="exact"/>
        <w:ind w:left="252" w:hangingChars="126" w:hanging="252"/>
        <w:jc w:val="both"/>
        <w:rPr>
          <w:rFonts w:ascii="Times New Roman" w:hAnsi="Times New Roman" w:cs="Times New Roman"/>
        </w:rPr>
      </w:pPr>
      <w:r w:rsidRPr="00294509">
        <w:rPr>
          <w:rStyle w:val="ad"/>
          <w:rFonts w:ascii="Times New Roman" w:hAnsi="Times New Roman" w:cs="Times New Roman"/>
        </w:rPr>
        <w:footnoteRef/>
      </w:r>
      <w:r w:rsidRPr="00294509">
        <w:rPr>
          <w:rFonts w:ascii="Times New Roman" w:eastAsia="標楷體" w:hAnsi="Times New Roman" w:cs="Times New Roman"/>
          <w:color w:val="000000" w:themeColor="text1"/>
        </w:rPr>
        <w:t>「數位金融研究小組」成立於</w:t>
      </w:r>
      <w:r w:rsidR="00AE489B">
        <w:rPr>
          <w:rFonts w:ascii="Times New Roman" w:eastAsia="標楷體" w:hAnsi="Times New Roman" w:cs="Times New Roman" w:hint="eastAsia"/>
          <w:color w:val="000000" w:themeColor="text1"/>
        </w:rPr>
        <w:t>民國</w:t>
      </w:r>
      <w:r w:rsidRPr="00294509">
        <w:rPr>
          <w:rFonts w:ascii="Times New Roman" w:eastAsia="標楷體" w:hAnsi="Times New Roman" w:cs="Times New Roman"/>
          <w:color w:val="000000" w:themeColor="text1"/>
        </w:rPr>
        <w:t>105</w:t>
      </w:r>
      <w:r w:rsidRPr="00294509">
        <w:rPr>
          <w:rFonts w:ascii="Times New Roman" w:eastAsia="標楷體" w:hAnsi="Times New Roman" w:cs="Times New Roman"/>
          <w:color w:val="000000" w:themeColor="text1"/>
        </w:rPr>
        <w:t>年</w:t>
      </w:r>
      <w:r w:rsidRPr="00294509">
        <w:rPr>
          <w:rFonts w:ascii="Times New Roman" w:eastAsia="標楷體" w:hAnsi="Times New Roman" w:cs="Times New Roman"/>
          <w:color w:val="000000" w:themeColor="text1"/>
        </w:rPr>
        <w:t>2</w:t>
      </w:r>
      <w:r w:rsidRPr="00294509">
        <w:rPr>
          <w:rFonts w:ascii="Times New Roman" w:eastAsia="標楷體" w:hAnsi="Times New Roman" w:cs="Times New Roman"/>
          <w:color w:val="000000" w:themeColor="text1"/>
        </w:rPr>
        <w:t>月，並於</w:t>
      </w:r>
      <w:r w:rsidR="00AE489B">
        <w:rPr>
          <w:rFonts w:ascii="Times New Roman" w:eastAsia="標楷體" w:hAnsi="Times New Roman" w:cs="Times New Roman" w:hint="eastAsia"/>
          <w:color w:val="000000" w:themeColor="text1"/>
        </w:rPr>
        <w:t>民國</w:t>
      </w:r>
      <w:r w:rsidRPr="00294509">
        <w:rPr>
          <w:rFonts w:ascii="Times New Roman" w:eastAsia="標楷體" w:hAnsi="Times New Roman" w:cs="Times New Roman"/>
          <w:color w:val="000000" w:themeColor="text1"/>
        </w:rPr>
        <w:t>108</w:t>
      </w:r>
      <w:r w:rsidRPr="00294509">
        <w:rPr>
          <w:rFonts w:ascii="Times New Roman" w:eastAsia="標楷體" w:hAnsi="Times New Roman" w:cs="Times New Roman"/>
          <w:color w:val="000000" w:themeColor="text1"/>
        </w:rPr>
        <w:t>年</w:t>
      </w:r>
      <w:r w:rsidRPr="00294509">
        <w:rPr>
          <w:rFonts w:ascii="Times New Roman" w:eastAsia="標楷體" w:hAnsi="Times New Roman" w:cs="Times New Roman"/>
          <w:color w:val="000000" w:themeColor="text1"/>
        </w:rPr>
        <w:t>5</w:t>
      </w:r>
      <w:r w:rsidRPr="00294509">
        <w:rPr>
          <w:rFonts w:ascii="Times New Roman" w:eastAsia="標楷體" w:hAnsi="Times New Roman" w:cs="Times New Roman"/>
          <w:color w:val="000000" w:themeColor="text1"/>
        </w:rPr>
        <w:t>月重新調整小組架構，下設「央行數位貨幣</w:t>
      </w:r>
      <w:r w:rsidRPr="00294509">
        <w:rPr>
          <w:rFonts w:ascii="Times New Roman" w:eastAsia="標楷體" w:hAnsi="Times New Roman" w:cs="Times New Roman"/>
          <w:color w:val="000000" w:themeColor="text1"/>
        </w:rPr>
        <w:t>(CBDC)</w:t>
      </w:r>
      <w:r w:rsidRPr="00294509">
        <w:rPr>
          <w:rFonts w:ascii="Times New Roman" w:eastAsia="標楷體" w:hAnsi="Times New Roman" w:cs="Times New Roman"/>
          <w:color w:val="000000" w:themeColor="text1"/>
        </w:rPr>
        <w:t>研究計畫專案小組」，負責</w:t>
      </w:r>
      <w:r w:rsidRPr="00294509">
        <w:rPr>
          <w:rFonts w:ascii="Times New Roman" w:eastAsia="標楷體" w:hAnsi="Times New Roman" w:cs="Times New Roman"/>
          <w:color w:val="000000" w:themeColor="text1"/>
        </w:rPr>
        <w:t>CBDC</w:t>
      </w:r>
      <w:r w:rsidRPr="00294509">
        <w:rPr>
          <w:rFonts w:ascii="Times New Roman" w:eastAsia="標楷體" w:hAnsi="Times New Roman" w:cs="Times New Roman"/>
          <w:color w:val="000000" w:themeColor="text1"/>
        </w:rPr>
        <w:t>、區塊鏈與電子支付等業務研究，以及「金融科技工作小組」，負責人工智慧、大數據及監理科技</w:t>
      </w:r>
      <w:r w:rsidRPr="00294509">
        <w:rPr>
          <w:rFonts w:ascii="Times New Roman" w:eastAsia="標楷體" w:hAnsi="Times New Roman" w:cs="Times New Roman"/>
          <w:color w:val="000000" w:themeColor="text1"/>
        </w:rPr>
        <w:t>(SupTech)</w:t>
      </w:r>
      <w:r w:rsidRPr="00294509">
        <w:rPr>
          <w:rFonts w:ascii="Times New Roman" w:eastAsia="標楷體" w:hAnsi="Times New Roman" w:cs="Times New Roman"/>
          <w:color w:val="000000" w:themeColor="text1"/>
        </w:rPr>
        <w:t>等相關業務研究。</w:t>
      </w:r>
    </w:p>
  </w:footnote>
  <w:footnote w:id="19">
    <w:p w:rsidR="00774F03" w:rsidRPr="00294509" w:rsidRDefault="00774F03" w:rsidP="00774F03">
      <w:pPr>
        <w:pStyle w:val="ab"/>
        <w:spacing w:line="240" w:lineRule="exact"/>
        <w:ind w:left="252" w:hangingChars="126" w:hanging="252"/>
        <w:jc w:val="both"/>
        <w:rPr>
          <w:rFonts w:ascii="Times New Roman" w:hAnsi="Times New Roman" w:cs="Times New Roman"/>
        </w:rPr>
      </w:pPr>
      <w:r w:rsidRPr="00294509">
        <w:rPr>
          <w:rStyle w:val="ad"/>
          <w:rFonts w:ascii="Times New Roman" w:hAnsi="Times New Roman" w:cs="Times New Roman"/>
        </w:rPr>
        <w:footnoteRef/>
      </w:r>
      <w:r w:rsidRPr="00294509">
        <w:rPr>
          <w:rFonts w:ascii="Times New Roman" w:hAnsi="Times New Roman" w:cs="Times New Roman"/>
        </w:rPr>
        <w:t xml:space="preserve"> </w:t>
      </w:r>
      <w:r w:rsidRPr="00294509">
        <w:rPr>
          <w:rFonts w:ascii="Times New Roman" w:eastAsia="標楷體" w:hAnsi="Times New Roman" w:cs="Times New Roman"/>
          <w:color w:val="000000" w:themeColor="text1"/>
        </w:rPr>
        <w:t>自</w:t>
      </w:r>
      <w:r w:rsidRPr="00294509">
        <w:rPr>
          <w:rFonts w:ascii="Times New Roman" w:eastAsia="標楷體" w:hAnsi="Times New Roman" w:cs="Times New Roman"/>
          <w:color w:val="000000" w:themeColor="text1"/>
        </w:rPr>
        <w:t>106</w:t>
      </w:r>
      <w:r w:rsidRPr="00294509">
        <w:rPr>
          <w:rFonts w:ascii="Times New Roman" w:eastAsia="標楷體" w:hAnsi="Times New Roman" w:cs="Times New Roman"/>
          <w:color w:val="000000" w:themeColor="text1"/>
        </w:rPr>
        <w:t>年起</w:t>
      </w:r>
      <w:r w:rsidRPr="00294509">
        <w:rPr>
          <w:rFonts w:ascii="Times New Roman" w:eastAsia="標楷體" w:hAnsi="Times New Roman" w:cs="Times New Roman" w:hint="eastAsia"/>
          <w:color w:val="000000" w:themeColor="text1"/>
        </w:rPr>
        <w:t>本行</w:t>
      </w:r>
      <w:r w:rsidRPr="00294509">
        <w:rPr>
          <w:rFonts w:ascii="Times New Roman" w:eastAsia="標楷體" w:hAnsi="Times New Roman" w:cs="Times New Roman"/>
          <w:color w:val="000000" w:themeColor="text1"/>
        </w:rPr>
        <w:t>督促財金公司偕同金融機構推出</w:t>
      </w:r>
      <w:r w:rsidRPr="00294509">
        <w:rPr>
          <w:rFonts w:ascii="Times New Roman" w:eastAsia="標楷體" w:hAnsi="Times New Roman" w:cs="Times New Roman"/>
          <w:color w:val="000000" w:themeColor="text1"/>
        </w:rPr>
        <w:t>QR Code</w:t>
      </w:r>
      <w:r w:rsidRPr="00294509">
        <w:rPr>
          <w:rFonts w:ascii="Times New Roman" w:eastAsia="標楷體" w:hAnsi="Times New Roman" w:cs="Times New Roman"/>
          <w:color w:val="000000" w:themeColor="text1"/>
        </w:rPr>
        <w:t>共通支付標準，提供轉帳、繳費、繳稅及消費扣款等多元服務，便利民眾日常支付</w:t>
      </w:r>
      <w:r w:rsidRPr="00294509">
        <w:rPr>
          <w:rFonts w:ascii="Times New Roman" w:eastAsia="標楷體" w:hAnsi="Times New Roman" w:cs="Times New Roman" w:hint="eastAsia"/>
          <w:color w:val="000000" w:themeColor="text1"/>
        </w:rPr>
        <w:t>；並</w:t>
      </w:r>
      <w:r w:rsidRPr="00294509">
        <w:rPr>
          <w:rFonts w:ascii="Times New Roman" w:eastAsia="標楷體" w:hAnsi="Times New Roman" w:cs="Times New Roman"/>
          <w:color w:val="000000" w:themeColor="text1"/>
        </w:rPr>
        <w:t>促請財金公司建構跨機構共用平台，非銀行機構可加入該平台並採用</w:t>
      </w:r>
      <w:r w:rsidRPr="00294509">
        <w:rPr>
          <w:rFonts w:ascii="Times New Roman" w:eastAsia="標楷體" w:hAnsi="Times New Roman" w:cs="Times New Roman"/>
          <w:color w:val="000000" w:themeColor="text1"/>
        </w:rPr>
        <w:t>QR Code</w:t>
      </w:r>
      <w:r w:rsidRPr="00294509">
        <w:rPr>
          <w:rFonts w:ascii="Times New Roman" w:eastAsia="標楷體" w:hAnsi="Times New Roman" w:cs="Times New Roman"/>
          <w:color w:val="000000" w:themeColor="text1"/>
        </w:rPr>
        <w:t>共通支付標準，讓非銀行機構與金融機構間交易訊息得以互通，便利商家及消費者採取多元的支付選擇。</w:t>
      </w:r>
    </w:p>
  </w:footnote>
  <w:footnote w:id="20">
    <w:p w:rsidR="008A295C" w:rsidRPr="00294509" w:rsidRDefault="008A295C" w:rsidP="008A295C">
      <w:pPr>
        <w:pStyle w:val="ab"/>
        <w:ind w:left="3"/>
        <w:rPr>
          <w:rFonts w:ascii="Times New Roman" w:eastAsia="標楷體" w:hAnsi="Times New Roman" w:cs="Times New Roman"/>
        </w:rPr>
      </w:pPr>
      <w:r w:rsidRPr="00294509">
        <w:rPr>
          <w:rStyle w:val="ad"/>
          <w:rFonts w:ascii="Times New Roman" w:eastAsia="標楷體" w:hAnsi="Times New Roman" w:cs="Times New Roman"/>
        </w:rPr>
        <w:footnoteRef/>
      </w:r>
      <w:r w:rsidRPr="00294509">
        <w:rPr>
          <w:rFonts w:ascii="Times New Roman" w:eastAsia="標楷體" w:hAnsi="Times New Roman" w:cs="Times New Roman"/>
        </w:rPr>
        <w:t>國際信評機構</w:t>
      </w:r>
      <w:r w:rsidRPr="00294509">
        <w:rPr>
          <w:rFonts w:ascii="Times New Roman" w:eastAsia="標楷體" w:hAnsi="Times New Roman" w:cs="Times New Roman"/>
        </w:rPr>
        <w:t>Moody’s</w:t>
      </w:r>
      <w:r w:rsidRPr="00294509">
        <w:rPr>
          <w:rFonts w:ascii="Times New Roman" w:eastAsia="標楷體" w:hAnsi="Times New Roman" w:cs="Times New Roman"/>
        </w:rPr>
        <w:t>認為，</w:t>
      </w:r>
      <w:r w:rsidRPr="00294509">
        <w:rPr>
          <w:rFonts w:ascii="Times New Roman" w:eastAsia="標楷體" w:hAnsi="Times New Roman" w:cs="Times New Roman" w:hint="eastAsia"/>
        </w:rPr>
        <w:t>台灣有充裕的財政空間</w:t>
      </w:r>
      <w:r w:rsidRPr="00294509">
        <w:rPr>
          <w:rFonts w:ascii="Times New Roman" w:eastAsia="標楷體" w:hAnsi="Times New Roman" w:cs="Times New Roman"/>
        </w:rPr>
        <w:t>，</w:t>
      </w:r>
      <w:r w:rsidRPr="00294509">
        <w:rPr>
          <w:rFonts w:ascii="Times New Roman" w:eastAsia="標楷體" w:hAnsi="Times New Roman" w:cs="Times New Roman" w:hint="eastAsia"/>
        </w:rPr>
        <w:t>應善用財政政策支持經濟成長</w:t>
      </w:r>
      <w:r w:rsidRPr="00294509">
        <w:rPr>
          <w:rFonts w:ascii="Times New Roman" w:eastAsia="標楷體" w:hAnsi="Times New Roman" w:cs="Times New Roman" w:hint="eastAsia"/>
        </w:rPr>
        <w:t>(</w:t>
      </w:r>
      <w:r w:rsidRPr="00294509">
        <w:rPr>
          <w:rFonts w:ascii="Times New Roman" w:eastAsia="標楷體" w:hAnsi="Times New Roman" w:cs="Times New Roman" w:hint="eastAsia"/>
        </w:rPr>
        <w:t>參見</w:t>
      </w:r>
      <w:r w:rsidRPr="00294509">
        <w:rPr>
          <w:rFonts w:ascii="Times New Roman" w:eastAsia="標楷體" w:hAnsi="Times New Roman" w:cs="Times New Roman" w:hint="eastAsia"/>
        </w:rPr>
        <w:tab/>
        <w:t xml:space="preserve">      </w:t>
      </w:r>
      <w:r w:rsidRPr="00294509">
        <w:rPr>
          <w:rFonts w:ascii="Times New Roman" w:eastAsia="標楷體" w:hAnsi="Times New Roman" w:cs="Times New Roman" w:hint="eastAsia"/>
        </w:rPr>
        <w:tab/>
      </w:r>
      <w:r w:rsidRPr="00294509">
        <w:rPr>
          <w:rFonts w:ascii="Times New Roman" w:eastAsia="標楷體" w:hAnsi="Times New Roman" w:cs="Times New Roman" w:hint="eastAsia"/>
        </w:rPr>
        <w:tab/>
      </w:r>
      <w:r w:rsidRPr="00294509">
        <w:rPr>
          <w:rFonts w:ascii="Times New Roman" w:eastAsia="標楷體" w:hAnsi="Times New Roman" w:cs="Times New Roman" w:hint="eastAsia"/>
        </w:rPr>
        <w:tab/>
      </w:r>
      <w:r w:rsidRPr="00294509">
        <w:rPr>
          <w:rFonts w:ascii="Times New Roman" w:eastAsia="標楷體" w:hAnsi="Times New Roman" w:cs="Times New Roman" w:hint="eastAsia"/>
        </w:rPr>
        <w:tab/>
        <w:t xml:space="preserve">  </w:t>
      </w:r>
      <w:r w:rsidRPr="00294509">
        <w:rPr>
          <w:rFonts w:ascii="Times New Roman" w:eastAsia="標楷體" w:hAnsi="Times New Roman" w:cs="Times New Roman"/>
        </w:rPr>
        <w:t>Moody’s Analytics (2018), “Fiscal Space: An Alternative, Economic Fundamentals based Measures</w:t>
      </w:r>
    </w:p>
    <w:p w:rsidR="008A295C" w:rsidRPr="00294509" w:rsidRDefault="008A295C" w:rsidP="008A295C">
      <w:pPr>
        <w:pStyle w:val="ab"/>
        <w:ind w:left="3"/>
      </w:pPr>
      <w:r w:rsidRPr="00294509">
        <w:rPr>
          <w:rFonts w:ascii="Times New Roman" w:eastAsia="標楷體" w:hAnsi="Times New Roman" w:cs="Times New Roman"/>
        </w:rPr>
        <w:t xml:space="preserve"> </w:t>
      </w:r>
      <w:r w:rsidRPr="00294509">
        <w:rPr>
          <w:rFonts w:ascii="Times New Roman" w:eastAsia="標楷體" w:hAnsi="Times New Roman" w:cs="Times New Roman" w:hint="eastAsia"/>
        </w:rPr>
        <w:tab/>
        <w:t xml:space="preserve"> </w:t>
      </w:r>
      <w:r w:rsidRPr="00294509">
        <w:rPr>
          <w:rFonts w:ascii="Times New Roman" w:eastAsia="標楷體" w:hAnsi="Times New Roman" w:cs="Times New Roman"/>
        </w:rPr>
        <w:t xml:space="preserve">of the Risk of Sovereign Debt Default,” </w:t>
      </w:r>
      <w:r w:rsidRPr="00294509">
        <w:rPr>
          <w:rFonts w:ascii="Times New Roman" w:eastAsia="標楷體" w:hAnsi="Times New Roman" w:cs="Times New Roman"/>
          <w:i/>
        </w:rPr>
        <w:t>Moody’s Analytics</w:t>
      </w:r>
      <w:r w:rsidRPr="00294509">
        <w:rPr>
          <w:rFonts w:ascii="Times New Roman" w:eastAsia="標楷體" w:hAnsi="Times New Roman" w:cs="Times New Roman"/>
        </w:rPr>
        <w:t xml:space="preserve"> , May</w:t>
      </w:r>
      <w:r w:rsidRPr="00294509">
        <w:rPr>
          <w:rFonts w:ascii="Times New Roman" w:eastAsia="標楷體" w:hAnsi="Times New Roman" w:cs="Times New Roman" w:hint="eastAsia"/>
        </w:rPr>
        <w:t>)</w:t>
      </w:r>
      <w:r w:rsidRPr="00294509">
        <w:rPr>
          <w:rFonts w:ascii="Times New Roman" w:eastAsia="標楷體" w:hAnsi="Times New Roman" w:cs="Times New Roman"/>
        </w:rPr>
        <w:t>。</w:t>
      </w:r>
    </w:p>
  </w:footnote>
  <w:footnote w:id="21">
    <w:p w:rsidR="0047756F" w:rsidRDefault="0047756F" w:rsidP="0047756F">
      <w:pPr>
        <w:pStyle w:val="ab"/>
        <w:spacing w:line="240" w:lineRule="exact"/>
        <w:ind w:left="238" w:hangingChars="119" w:hanging="238"/>
        <w:jc w:val="both"/>
        <w:rPr>
          <w:rFonts w:ascii="Times New Roman" w:eastAsia="標楷體" w:hAnsi="Times New Roman" w:cs="Times New Roman"/>
        </w:rPr>
      </w:pPr>
      <w:r>
        <w:rPr>
          <w:rStyle w:val="ad"/>
          <w:rFonts w:ascii="Times New Roman" w:eastAsia="標楷體" w:hAnsi="Times New Roman" w:cs="Times New Roman"/>
        </w:rPr>
        <w:footnoteRef/>
      </w:r>
      <w:r>
        <w:rPr>
          <w:rFonts w:ascii="Times New Roman" w:eastAsia="標楷體" w:hAnsi="Times New Roman" w:cs="Times New Roman" w:hint="eastAsia"/>
        </w:rPr>
        <w:t xml:space="preserve"> </w:t>
      </w:r>
      <w:r w:rsidRPr="00CB4E97">
        <w:rPr>
          <w:rFonts w:ascii="Times New Roman" w:eastAsia="標楷體" w:hAnsi="Times New Roman" w:cs="Times New Roman" w:hint="eastAsia"/>
        </w:rPr>
        <w:t>鼓勵新科技所帶來的新機會及應用，對自然資源稀少的台灣而言，亦有助緩和目前台灣所面臨的五缺問題。</w:t>
      </w:r>
    </w:p>
  </w:footnote>
  <w:footnote w:id="22">
    <w:p w:rsidR="0047756F" w:rsidRDefault="0047756F" w:rsidP="0047756F">
      <w:pPr>
        <w:pStyle w:val="ab"/>
        <w:spacing w:line="240" w:lineRule="exact"/>
        <w:ind w:left="238" w:hangingChars="119" w:hanging="238"/>
        <w:jc w:val="both"/>
        <w:rPr>
          <w:rFonts w:ascii="Times New Roman" w:eastAsia="標楷體" w:hAnsi="Times New Roman" w:cs="Times New Roman"/>
        </w:rPr>
      </w:pPr>
      <w:r>
        <w:rPr>
          <w:rStyle w:val="ad"/>
          <w:rFonts w:ascii="Times New Roman" w:eastAsia="標楷體" w:hAnsi="Times New Roman" w:cs="Times New Roman"/>
        </w:rPr>
        <w:footnoteRef/>
      </w:r>
      <w:r>
        <w:rPr>
          <w:rFonts w:ascii="Times New Roman" w:eastAsia="標楷體" w:hAnsi="Times New Roman" w:cs="Times New Roman"/>
        </w:rPr>
        <w:t xml:space="preserve"> </w:t>
      </w:r>
      <w:r>
        <w:rPr>
          <w:rFonts w:ascii="Times New Roman" w:eastAsia="標楷體" w:hAnsi="Times New Roman" w:cs="Times New Roman" w:hint="eastAsia"/>
        </w:rPr>
        <w:t>跨國併購等多角化的對外直接投資，主要以調整生產線或貼近終端市場為策略核心，透過全球多元化布局，分散生產基地及經營風險、可擴大市場及銷售網絡、強化跨國產業合作及供應鏈的經營。</w:t>
      </w:r>
    </w:p>
  </w:footnote>
  <w:footnote w:id="23">
    <w:p w:rsidR="00882F94" w:rsidRPr="00882F94" w:rsidRDefault="00882F94" w:rsidP="00882F94">
      <w:pPr>
        <w:pStyle w:val="ab"/>
        <w:ind w:left="100" w:hangingChars="50" w:hanging="100"/>
        <w:rPr>
          <w:rFonts w:ascii="Times New Roman" w:eastAsia="標楷體" w:hAnsi="Times New Roman" w:cs="Times New Roman"/>
        </w:rPr>
      </w:pPr>
      <w:r w:rsidRPr="00971E02">
        <w:rPr>
          <w:rStyle w:val="ad"/>
          <w:rFonts w:ascii="Times New Roman" w:eastAsia="標楷體" w:hAnsi="Times New Roman" w:cs="Times New Roman"/>
        </w:rPr>
        <w:footnoteRef/>
      </w:r>
      <w:r w:rsidRPr="00971E02">
        <w:rPr>
          <w:rFonts w:ascii="Times New Roman" w:eastAsia="標楷體" w:hAnsi="Times New Roman" w:cs="Times New Roman"/>
        </w:rPr>
        <w:t>此即近年來國際機構經常建議各國追求的「工資帶動型成長策略」</w:t>
      </w:r>
      <w:r w:rsidRPr="00971E02">
        <w:rPr>
          <w:rFonts w:ascii="Times New Roman" w:eastAsia="標楷體" w:hAnsi="Times New Roman" w:cs="Times New Roman"/>
        </w:rPr>
        <w:t>(Wage-led Growth Strategy)</w:t>
      </w:r>
      <w:r w:rsidRPr="00971E02">
        <w:rPr>
          <w:rFonts w:ascii="新細明體" w:eastAsia="新細明體" w:hAnsi="新細明體" w:cs="Times New Roman" w:hint="eastAsia"/>
        </w:rPr>
        <w:t>，</w:t>
      </w:r>
      <w:r w:rsidRPr="00971E02">
        <w:rPr>
          <w:rFonts w:ascii="Times New Roman" w:eastAsia="標楷體" w:hAnsi="Times New Roman" w:cs="Times New Roman" w:hint="eastAsia"/>
        </w:rPr>
        <w:t>如</w:t>
      </w:r>
      <w:r w:rsidRPr="00971E02">
        <w:rPr>
          <w:rFonts w:ascii="Times New Roman" w:eastAsia="標楷體" w:hAnsi="Times New Roman" w:cs="Times New Roman" w:hint="eastAsia"/>
        </w:rPr>
        <w:t>IMF</w:t>
      </w:r>
      <w:r w:rsidRPr="00971E02">
        <w:rPr>
          <w:rFonts w:ascii="Times New Roman" w:eastAsia="標楷體" w:hAnsi="Times New Roman" w:cs="Times New Roman" w:hint="eastAsia"/>
        </w:rPr>
        <w:t>、國際勞工組織</w:t>
      </w:r>
      <w:r w:rsidRPr="00971E02">
        <w:rPr>
          <w:rFonts w:ascii="Times New Roman" w:eastAsia="標楷體" w:hAnsi="Times New Roman" w:cs="Times New Roman" w:hint="eastAsia"/>
        </w:rPr>
        <w:t>(ILO)</w:t>
      </w:r>
      <w:r w:rsidRPr="00971E02">
        <w:rPr>
          <w:rFonts w:ascii="Times New Roman" w:eastAsia="標楷體" w:hAnsi="Times New Roman" w:cs="Times New Roman" w:hint="eastAsia"/>
        </w:rPr>
        <w:t>、聯合國貿易暨發展會議</w:t>
      </w:r>
      <w:r w:rsidRPr="00971E02">
        <w:rPr>
          <w:rFonts w:ascii="Times New Roman" w:eastAsia="標楷體" w:hAnsi="Times New Roman" w:cs="Times New Roman" w:hint="eastAsia"/>
        </w:rPr>
        <w:t>(UNCTAD)</w:t>
      </w:r>
      <w:r w:rsidRPr="00971E02">
        <w:rPr>
          <w:rFonts w:ascii="Times New Roman" w:eastAsia="標楷體" w:hAnsi="Times New Roman" w:cs="Times New Roman" w:hint="eastAsia"/>
        </w:rPr>
        <w:t>等。工資帶動型成長策略的意義在於使工資成長與勞動生產力能更緊密結合，來創造經濟成長的良性循環；例如，可透過努力提升經濟轉型與升級所需要的教育與技能水準，來提升勞動生產力，讓企業經營者樂於主動提高勞工薪資；政府可透過教育投資，讓教育資源培養出社會真正需要的各種人才，讓勞工可學以致用；而勞工亦可藉由職業訓練，獲取就業能力，或在就業後提升勞動生產力。</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AC0" w:rsidRDefault="007F2AC0" w:rsidP="00726BAE">
    <w:pPr>
      <w:pStyle w:val="a3"/>
      <w:spacing w:before="120"/>
      <w:ind w:firstLine="4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AC0" w:rsidRDefault="007F2AC0" w:rsidP="005E5E9C">
    <w:pPr>
      <w:pStyle w:val="a3"/>
      <w:spacing w:before="120"/>
      <w:ind w:firstLine="4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AC0" w:rsidRDefault="007F2AC0" w:rsidP="00726BAE">
    <w:pPr>
      <w:pStyle w:val="a3"/>
      <w:spacing w:before="120"/>
      <w:ind w:firstLine="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82042"/>
    <w:multiLevelType w:val="hybridMultilevel"/>
    <w:tmpl w:val="FD067434"/>
    <w:lvl w:ilvl="0" w:tplc="6A0E346E">
      <w:start w:val="1"/>
      <w:numFmt w:val="decimal"/>
      <w:lvlText w:val="%1."/>
      <w:lvlJc w:val="left"/>
      <w:pPr>
        <w:ind w:left="360" w:hanging="36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2CF3765"/>
    <w:multiLevelType w:val="hybridMultilevel"/>
    <w:tmpl w:val="3302453C"/>
    <w:lvl w:ilvl="0" w:tplc="6720CB34">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B3B5EE1"/>
    <w:multiLevelType w:val="hybridMultilevel"/>
    <w:tmpl w:val="EC6205F2"/>
    <w:lvl w:ilvl="0" w:tplc="6A0E346E">
      <w:start w:val="1"/>
      <w:numFmt w:val="decimal"/>
      <w:lvlText w:val="%1."/>
      <w:lvlJc w:val="left"/>
      <w:pPr>
        <w:ind w:left="360" w:hanging="36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01E516C"/>
    <w:multiLevelType w:val="hybridMultilevel"/>
    <w:tmpl w:val="21CA838E"/>
    <w:lvl w:ilvl="0" w:tplc="42E6D4C0">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9C811F0"/>
    <w:multiLevelType w:val="hybridMultilevel"/>
    <w:tmpl w:val="C90C48E2"/>
    <w:lvl w:ilvl="0" w:tplc="5566BB28">
      <w:start w:val="1"/>
      <w:numFmt w:val="decimal"/>
      <w:lvlText w:val="(%1)"/>
      <w:lvlJc w:val="left"/>
      <w:pPr>
        <w:ind w:left="644" w:hanging="360"/>
      </w:pPr>
      <w:rPr>
        <w:rFonts w:hint="default"/>
        <w:b w:val="0"/>
        <w:color w:val="auto"/>
        <w:sz w:val="28"/>
        <w:szCs w:val="28"/>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
    <w:nsid w:val="2A2F1739"/>
    <w:multiLevelType w:val="hybridMultilevel"/>
    <w:tmpl w:val="3564B632"/>
    <w:lvl w:ilvl="0" w:tplc="8194A328">
      <w:start w:val="1"/>
      <w:numFmt w:val="bullet"/>
      <w:lvlText w:val="—"/>
      <w:lvlJc w:val="left"/>
      <w:pPr>
        <w:ind w:left="1046" w:hanging="480"/>
      </w:pPr>
      <w:rPr>
        <w:rFonts w:ascii="標楷體" w:eastAsia="標楷體" w:hAnsi="標楷體" w:hint="eastAsia"/>
      </w:rPr>
    </w:lvl>
    <w:lvl w:ilvl="1" w:tplc="04090003" w:tentative="1">
      <w:start w:val="1"/>
      <w:numFmt w:val="bullet"/>
      <w:lvlText w:val=""/>
      <w:lvlJc w:val="left"/>
      <w:pPr>
        <w:ind w:left="1526" w:hanging="480"/>
      </w:pPr>
      <w:rPr>
        <w:rFonts w:ascii="Wingdings" w:hAnsi="Wingdings" w:hint="default"/>
      </w:rPr>
    </w:lvl>
    <w:lvl w:ilvl="2" w:tplc="04090005" w:tentative="1">
      <w:start w:val="1"/>
      <w:numFmt w:val="bullet"/>
      <w:lvlText w:val=""/>
      <w:lvlJc w:val="left"/>
      <w:pPr>
        <w:ind w:left="2006" w:hanging="480"/>
      </w:pPr>
      <w:rPr>
        <w:rFonts w:ascii="Wingdings" w:hAnsi="Wingdings" w:hint="default"/>
      </w:rPr>
    </w:lvl>
    <w:lvl w:ilvl="3" w:tplc="04090001" w:tentative="1">
      <w:start w:val="1"/>
      <w:numFmt w:val="bullet"/>
      <w:lvlText w:val=""/>
      <w:lvlJc w:val="left"/>
      <w:pPr>
        <w:ind w:left="2486" w:hanging="480"/>
      </w:pPr>
      <w:rPr>
        <w:rFonts w:ascii="Wingdings" w:hAnsi="Wingdings" w:hint="default"/>
      </w:rPr>
    </w:lvl>
    <w:lvl w:ilvl="4" w:tplc="04090003" w:tentative="1">
      <w:start w:val="1"/>
      <w:numFmt w:val="bullet"/>
      <w:lvlText w:val=""/>
      <w:lvlJc w:val="left"/>
      <w:pPr>
        <w:ind w:left="2966" w:hanging="480"/>
      </w:pPr>
      <w:rPr>
        <w:rFonts w:ascii="Wingdings" w:hAnsi="Wingdings" w:hint="default"/>
      </w:rPr>
    </w:lvl>
    <w:lvl w:ilvl="5" w:tplc="04090005" w:tentative="1">
      <w:start w:val="1"/>
      <w:numFmt w:val="bullet"/>
      <w:lvlText w:val=""/>
      <w:lvlJc w:val="left"/>
      <w:pPr>
        <w:ind w:left="3446" w:hanging="480"/>
      </w:pPr>
      <w:rPr>
        <w:rFonts w:ascii="Wingdings" w:hAnsi="Wingdings" w:hint="default"/>
      </w:rPr>
    </w:lvl>
    <w:lvl w:ilvl="6" w:tplc="04090001" w:tentative="1">
      <w:start w:val="1"/>
      <w:numFmt w:val="bullet"/>
      <w:lvlText w:val=""/>
      <w:lvlJc w:val="left"/>
      <w:pPr>
        <w:ind w:left="3926" w:hanging="480"/>
      </w:pPr>
      <w:rPr>
        <w:rFonts w:ascii="Wingdings" w:hAnsi="Wingdings" w:hint="default"/>
      </w:rPr>
    </w:lvl>
    <w:lvl w:ilvl="7" w:tplc="04090003" w:tentative="1">
      <w:start w:val="1"/>
      <w:numFmt w:val="bullet"/>
      <w:lvlText w:val=""/>
      <w:lvlJc w:val="left"/>
      <w:pPr>
        <w:ind w:left="4406" w:hanging="480"/>
      </w:pPr>
      <w:rPr>
        <w:rFonts w:ascii="Wingdings" w:hAnsi="Wingdings" w:hint="default"/>
      </w:rPr>
    </w:lvl>
    <w:lvl w:ilvl="8" w:tplc="04090005" w:tentative="1">
      <w:start w:val="1"/>
      <w:numFmt w:val="bullet"/>
      <w:lvlText w:val=""/>
      <w:lvlJc w:val="left"/>
      <w:pPr>
        <w:ind w:left="4886" w:hanging="480"/>
      </w:pPr>
      <w:rPr>
        <w:rFonts w:ascii="Wingdings" w:hAnsi="Wingdings" w:hint="default"/>
      </w:rPr>
    </w:lvl>
  </w:abstractNum>
  <w:abstractNum w:abstractNumId="6">
    <w:nsid w:val="2E065498"/>
    <w:multiLevelType w:val="hybridMultilevel"/>
    <w:tmpl w:val="EC6205F2"/>
    <w:lvl w:ilvl="0" w:tplc="6A0E346E">
      <w:start w:val="1"/>
      <w:numFmt w:val="decimal"/>
      <w:lvlText w:val="%1."/>
      <w:lvlJc w:val="left"/>
      <w:pPr>
        <w:ind w:left="360" w:hanging="360"/>
      </w:pPr>
      <w:rPr>
        <w:rFonts w:ascii="Times New Roman" w:hAnsi="Times New Roman" w:cs="Times New Roman" w:hint="default"/>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31D92012"/>
    <w:multiLevelType w:val="hybridMultilevel"/>
    <w:tmpl w:val="FD067434"/>
    <w:lvl w:ilvl="0" w:tplc="6A0E346E">
      <w:start w:val="1"/>
      <w:numFmt w:val="decimal"/>
      <w:lvlText w:val="%1."/>
      <w:lvlJc w:val="left"/>
      <w:pPr>
        <w:ind w:left="360" w:hanging="36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4350013"/>
    <w:multiLevelType w:val="hybridMultilevel"/>
    <w:tmpl w:val="FD067434"/>
    <w:lvl w:ilvl="0" w:tplc="6A0E346E">
      <w:start w:val="1"/>
      <w:numFmt w:val="decimal"/>
      <w:lvlText w:val="%1."/>
      <w:lvlJc w:val="left"/>
      <w:pPr>
        <w:ind w:left="360" w:hanging="36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8A438EC"/>
    <w:multiLevelType w:val="hybridMultilevel"/>
    <w:tmpl w:val="17E407F6"/>
    <w:lvl w:ilvl="0" w:tplc="C1B2642E">
      <w:start w:val="1"/>
      <w:numFmt w:val="decimal"/>
      <w:lvlText w:val="%1."/>
      <w:lvlJc w:val="left"/>
      <w:pPr>
        <w:ind w:left="360" w:hanging="36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65027D6"/>
    <w:multiLevelType w:val="hybridMultilevel"/>
    <w:tmpl w:val="598CC50A"/>
    <w:lvl w:ilvl="0" w:tplc="C78CE7A8">
      <w:start w:val="1"/>
      <w:numFmt w:val="taiwaneseCountingThousand"/>
      <w:lvlText w:val="%1、"/>
      <w:lvlJc w:val="left"/>
      <w:pPr>
        <w:ind w:left="2891" w:hanging="480"/>
      </w:pPr>
      <w:rPr>
        <w:rFonts w:ascii="標楷體" w:eastAsia="標楷體" w:hAnsi="標楷體"/>
        <w:sz w:val="28"/>
        <w:szCs w:val="28"/>
        <w:lang w:val="en-US"/>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11">
    <w:nsid w:val="55864D9C"/>
    <w:multiLevelType w:val="hybridMultilevel"/>
    <w:tmpl w:val="FD067434"/>
    <w:lvl w:ilvl="0" w:tplc="6A0E346E">
      <w:start w:val="1"/>
      <w:numFmt w:val="decimal"/>
      <w:lvlText w:val="%1."/>
      <w:lvlJc w:val="left"/>
      <w:pPr>
        <w:ind w:left="360" w:hanging="36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5E6155E"/>
    <w:multiLevelType w:val="hybridMultilevel"/>
    <w:tmpl w:val="8C063102"/>
    <w:lvl w:ilvl="0" w:tplc="E24C1498">
      <w:start w:val="1"/>
      <w:numFmt w:val="decimal"/>
      <w:lvlText w:val="(%1)"/>
      <w:lvlJc w:val="left"/>
      <w:pPr>
        <w:ind w:left="1454" w:hanging="888"/>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3">
    <w:nsid w:val="5B645D5D"/>
    <w:multiLevelType w:val="hybridMultilevel"/>
    <w:tmpl w:val="FEA0F03C"/>
    <w:lvl w:ilvl="0" w:tplc="F32456F0">
      <w:start w:val="1"/>
      <w:numFmt w:val="taiwaneseCountingThousand"/>
      <w:lvlText w:val="(%1)"/>
      <w:lvlJc w:val="left"/>
      <w:pPr>
        <w:ind w:left="1046"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4">
    <w:nsid w:val="63CB1D87"/>
    <w:multiLevelType w:val="hybridMultilevel"/>
    <w:tmpl w:val="FD067434"/>
    <w:lvl w:ilvl="0" w:tplc="6A0E346E">
      <w:start w:val="1"/>
      <w:numFmt w:val="decimal"/>
      <w:lvlText w:val="%1."/>
      <w:lvlJc w:val="left"/>
      <w:pPr>
        <w:ind w:left="360" w:hanging="36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5CF0833"/>
    <w:multiLevelType w:val="hybridMultilevel"/>
    <w:tmpl w:val="FD067434"/>
    <w:lvl w:ilvl="0" w:tplc="6A0E346E">
      <w:start w:val="1"/>
      <w:numFmt w:val="decimal"/>
      <w:lvlText w:val="%1."/>
      <w:lvlJc w:val="left"/>
      <w:pPr>
        <w:ind w:left="360" w:hanging="36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A050F7B"/>
    <w:multiLevelType w:val="hybridMultilevel"/>
    <w:tmpl w:val="2B62C942"/>
    <w:lvl w:ilvl="0" w:tplc="2E5E3D2A">
      <w:start w:val="2"/>
      <w:numFmt w:val="taiwaneseCountingThousand"/>
      <w:lvlText w:val="(%1)"/>
      <w:lvlJc w:val="left"/>
      <w:pPr>
        <w:ind w:left="289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17">
    <w:nsid w:val="6B6855F4"/>
    <w:multiLevelType w:val="hybridMultilevel"/>
    <w:tmpl w:val="21CA838E"/>
    <w:lvl w:ilvl="0" w:tplc="42E6D4C0">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D0D5930"/>
    <w:multiLevelType w:val="hybridMultilevel"/>
    <w:tmpl w:val="FD067434"/>
    <w:lvl w:ilvl="0" w:tplc="6A0E346E">
      <w:start w:val="1"/>
      <w:numFmt w:val="decimal"/>
      <w:lvlText w:val="%1."/>
      <w:lvlJc w:val="left"/>
      <w:pPr>
        <w:ind w:left="360" w:hanging="36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E1A1F46"/>
    <w:multiLevelType w:val="hybridMultilevel"/>
    <w:tmpl w:val="D184643E"/>
    <w:lvl w:ilvl="0" w:tplc="FDC6395C">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0">
    <w:nsid w:val="72420E33"/>
    <w:multiLevelType w:val="hybridMultilevel"/>
    <w:tmpl w:val="C90C48E2"/>
    <w:lvl w:ilvl="0" w:tplc="5566BB28">
      <w:start w:val="1"/>
      <w:numFmt w:val="decimal"/>
      <w:lvlText w:val="(%1)"/>
      <w:lvlJc w:val="left"/>
      <w:pPr>
        <w:ind w:left="644" w:hanging="360"/>
      </w:pPr>
      <w:rPr>
        <w:rFonts w:hint="default"/>
        <w:b w:val="0"/>
        <w:color w:val="auto"/>
        <w:sz w:val="28"/>
        <w:szCs w:val="28"/>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nsid w:val="7EBE04F0"/>
    <w:multiLevelType w:val="hybridMultilevel"/>
    <w:tmpl w:val="3302453C"/>
    <w:lvl w:ilvl="0" w:tplc="6720CB34">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FCB6FFC"/>
    <w:multiLevelType w:val="hybridMultilevel"/>
    <w:tmpl w:val="889C6090"/>
    <w:lvl w:ilvl="0" w:tplc="E9445BA2">
      <w:start w:val="1"/>
      <w:numFmt w:val="decimal"/>
      <w:lvlText w:val="%1."/>
      <w:lvlJc w:val="left"/>
      <w:pPr>
        <w:ind w:left="360" w:hanging="360"/>
      </w:pPr>
      <w:rPr>
        <w:rFonts w:ascii="Times New Roman" w:hAnsi="Times New Roman" w:cs="Times New Roman" w:hint="default"/>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3"/>
  </w:num>
  <w:num w:numId="3">
    <w:abstractNumId w:val="3"/>
  </w:num>
  <w:num w:numId="4">
    <w:abstractNumId w:val="9"/>
  </w:num>
  <w:num w:numId="5">
    <w:abstractNumId w:val="2"/>
  </w:num>
  <w:num w:numId="6">
    <w:abstractNumId w:val="17"/>
  </w:num>
  <w:num w:numId="7">
    <w:abstractNumId w:val="0"/>
  </w:num>
  <w:num w:numId="8">
    <w:abstractNumId w:val="8"/>
  </w:num>
  <w:num w:numId="9">
    <w:abstractNumId w:val="21"/>
  </w:num>
  <w:num w:numId="10">
    <w:abstractNumId w:val="1"/>
  </w:num>
  <w:num w:numId="11">
    <w:abstractNumId w:val="22"/>
  </w:num>
  <w:num w:numId="12">
    <w:abstractNumId w:val="14"/>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0"/>
  </w:num>
  <w:num w:numId="16">
    <w:abstractNumId w:val="12"/>
  </w:num>
  <w:num w:numId="17">
    <w:abstractNumId w:val="4"/>
  </w:num>
  <w:num w:numId="18">
    <w:abstractNumId w:val="5"/>
  </w:num>
  <w:num w:numId="19">
    <w:abstractNumId w:val="7"/>
  </w:num>
  <w:num w:numId="20">
    <w:abstractNumId w:val="16"/>
  </w:num>
  <w:num w:numId="21">
    <w:abstractNumId w:val="18"/>
  </w:num>
  <w:num w:numId="22">
    <w:abstractNumId w:val="15"/>
  </w:num>
  <w:num w:numId="23">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0"/>
  <w:drawingGridHorizontalSpacing w:val="140"/>
  <w:drawingGridVerticalSpacing w:val="26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464"/>
    <w:rsid w:val="0000073B"/>
    <w:rsid w:val="00001FA2"/>
    <w:rsid w:val="00004FF1"/>
    <w:rsid w:val="00005334"/>
    <w:rsid w:val="00005E3C"/>
    <w:rsid w:val="00006C4D"/>
    <w:rsid w:val="0000736F"/>
    <w:rsid w:val="00011EC1"/>
    <w:rsid w:val="00012253"/>
    <w:rsid w:val="000143EF"/>
    <w:rsid w:val="00015BDE"/>
    <w:rsid w:val="00016CFF"/>
    <w:rsid w:val="00017142"/>
    <w:rsid w:val="00017519"/>
    <w:rsid w:val="0002103C"/>
    <w:rsid w:val="00021243"/>
    <w:rsid w:val="000218EA"/>
    <w:rsid w:val="00022C26"/>
    <w:rsid w:val="00024BB4"/>
    <w:rsid w:val="000251CF"/>
    <w:rsid w:val="00026EC6"/>
    <w:rsid w:val="00026F55"/>
    <w:rsid w:val="000315D1"/>
    <w:rsid w:val="000317A9"/>
    <w:rsid w:val="0003217D"/>
    <w:rsid w:val="00034F3B"/>
    <w:rsid w:val="0003567A"/>
    <w:rsid w:val="00035905"/>
    <w:rsid w:val="00047640"/>
    <w:rsid w:val="00050D75"/>
    <w:rsid w:val="000521B7"/>
    <w:rsid w:val="00056EE4"/>
    <w:rsid w:val="00056F4C"/>
    <w:rsid w:val="00057FC6"/>
    <w:rsid w:val="00061A23"/>
    <w:rsid w:val="00062E57"/>
    <w:rsid w:val="00062EC9"/>
    <w:rsid w:val="000644BA"/>
    <w:rsid w:val="0006476B"/>
    <w:rsid w:val="00064D68"/>
    <w:rsid w:val="00065DDA"/>
    <w:rsid w:val="00065E6C"/>
    <w:rsid w:val="000660F0"/>
    <w:rsid w:val="00070563"/>
    <w:rsid w:val="000713D6"/>
    <w:rsid w:val="00071E33"/>
    <w:rsid w:val="0007235B"/>
    <w:rsid w:val="00073CB5"/>
    <w:rsid w:val="000745CD"/>
    <w:rsid w:val="0007462E"/>
    <w:rsid w:val="00075EA4"/>
    <w:rsid w:val="0008067A"/>
    <w:rsid w:val="00082523"/>
    <w:rsid w:val="00082F4D"/>
    <w:rsid w:val="0008345F"/>
    <w:rsid w:val="00083635"/>
    <w:rsid w:val="0008477E"/>
    <w:rsid w:val="00084C93"/>
    <w:rsid w:val="00087CC0"/>
    <w:rsid w:val="000922F8"/>
    <w:rsid w:val="00092813"/>
    <w:rsid w:val="00092FF3"/>
    <w:rsid w:val="000932F7"/>
    <w:rsid w:val="00095238"/>
    <w:rsid w:val="00095411"/>
    <w:rsid w:val="00095625"/>
    <w:rsid w:val="00097B30"/>
    <w:rsid w:val="00097B7F"/>
    <w:rsid w:val="000A015B"/>
    <w:rsid w:val="000A0EE9"/>
    <w:rsid w:val="000A1625"/>
    <w:rsid w:val="000A1C2F"/>
    <w:rsid w:val="000A65C1"/>
    <w:rsid w:val="000A744C"/>
    <w:rsid w:val="000B0F97"/>
    <w:rsid w:val="000B23BF"/>
    <w:rsid w:val="000B2E32"/>
    <w:rsid w:val="000B3478"/>
    <w:rsid w:val="000B3527"/>
    <w:rsid w:val="000B43A9"/>
    <w:rsid w:val="000B48BF"/>
    <w:rsid w:val="000B5252"/>
    <w:rsid w:val="000B7062"/>
    <w:rsid w:val="000B7936"/>
    <w:rsid w:val="000C0389"/>
    <w:rsid w:val="000C4599"/>
    <w:rsid w:val="000C4C0F"/>
    <w:rsid w:val="000C56AA"/>
    <w:rsid w:val="000C7697"/>
    <w:rsid w:val="000D058F"/>
    <w:rsid w:val="000D05F6"/>
    <w:rsid w:val="000D0E87"/>
    <w:rsid w:val="000D418B"/>
    <w:rsid w:val="000D46E5"/>
    <w:rsid w:val="000D4CB2"/>
    <w:rsid w:val="000D5C16"/>
    <w:rsid w:val="000D7326"/>
    <w:rsid w:val="000D75F3"/>
    <w:rsid w:val="000D784E"/>
    <w:rsid w:val="000E03B0"/>
    <w:rsid w:val="000E05EF"/>
    <w:rsid w:val="000E212E"/>
    <w:rsid w:val="000E4727"/>
    <w:rsid w:val="000E67FE"/>
    <w:rsid w:val="000E70E6"/>
    <w:rsid w:val="000E71A4"/>
    <w:rsid w:val="000F096F"/>
    <w:rsid w:val="000F5A2F"/>
    <w:rsid w:val="001006E6"/>
    <w:rsid w:val="001009F3"/>
    <w:rsid w:val="0010265F"/>
    <w:rsid w:val="00104162"/>
    <w:rsid w:val="00104F6B"/>
    <w:rsid w:val="001056A7"/>
    <w:rsid w:val="001057DE"/>
    <w:rsid w:val="00106975"/>
    <w:rsid w:val="001075CC"/>
    <w:rsid w:val="001077DE"/>
    <w:rsid w:val="00107D39"/>
    <w:rsid w:val="00113114"/>
    <w:rsid w:val="00113142"/>
    <w:rsid w:val="00115735"/>
    <w:rsid w:val="00116779"/>
    <w:rsid w:val="001170E1"/>
    <w:rsid w:val="00117FEF"/>
    <w:rsid w:val="0012080C"/>
    <w:rsid w:val="00123608"/>
    <w:rsid w:val="00125C6C"/>
    <w:rsid w:val="00127404"/>
    <w:rsid w:val="0012740D"/>
    <w:rsid w:val="001303FA"/>
    <w:rsid w:val="00133AE2"/>
    <w:rsid w:val="00133C06"/>
    <w:rsid w:val="00135338"/>
    <w:rsid w:val="00137FA7"/>
    <w:rsid w:val="0014009F"/>
    <w:rsid w:val="00140566"/>
    <w:rsid w:val="00141185"/>
    <w:rsid w:val="00142A10"/>
    <w:rsid w:val="00143241"/>
    <w:rsid w:val="00143B1A"/>
    <w:rsid w:val="001452C8"/>
    <w:rsid w:val="00145380"/>
    <w:rsid w:val="00145FCD"/>
    <w:rsid w:val="001473F3"/>
    <w:rsid w:val="001474BA"/>
    <w:rsid w:val="00147DD1"/>
    <w:rsid w:val="00151A36"/>
    <w:rsid w:val="00151F1E"/>
    <w:rsid w:val="00152545"/>
    <w:rsid w:val="00155ABE"/>
    <w:rsid w:val="00156A54"/>
    <w:rsid w:val="00160A70"/>
    <w:rsid w:val="001612BB"/>
    <w:rsid w:val="00161850"/>
    <w:rsid w:val="00161BE3"/>
    <w:rsid w:val="001624EA"/>
    <w:rsid w:val="001633B6"/>
    <w:rsid w:val="00163C66"/>
    <w:rsid w:val="00164816"/>
    <w:rsid w:val="001650F5"/>
    <w:rsid w:val="00165C23"/>
    <w:rsid w:val="00166217"/>
    <w:rsid w:val="00166A57"/>
    <w:rsid w:val="00166ED7"/>
    <w:rsid w:val="0016762D"/>
    <w:rsid w:val="00170018"/>
    <w:rsid w:val="001700C2"/>
    <w:rsid w:val="001713E6"/>
    <w:rsid w:val="0017149F"/>
    <w:rsid w:val="00175246"/>
    <w:rsid w:val="00175DE0"/>
    <w:rsid w:val="001765AE"/>
    <w:rsid w:val="0017691B"/>
    <w:rsid w:val="00180C70"/>
    <w:rsid w:val="00180DCA"/>
    <w:rsid w:val="00184A99"/>
    <w:rsid w:val="00184F16"/>
    <w:rsid w:val="001857E6"/>
    <w:rsid w:val="00185CEF"/>
    <w:rsid w:val="00185EA0"/>
    <w:rsid w:val="00186C45"/>
    <w:rsid w:val="00186D7D"/>
    <w:rsid w:val="00190143"/>
    <w:rsid w:val="0019031C"/>
    <w:rsid w:val="00190C68"/>
    <w:rsid w:val="00193407"/>
    <w:rsid w:val="0019343E"/>
    <w:rsid w:val="001A15C8"/>
    <w:rsid w:val="001A1C60"/>
    <w:rsid w:val="001A2583"/>
    <w:rsid w:val="001A469A"/>
    <w:rsid w:val="001A7FCA"/>
    <w:rsid w:val="001B0112"/>
    <w:rsid w:val="001B0C56"/>
    <w:rsid w:val="001B0E91"/>
    <w:rsid w:val="001B147C"/>
    <w:rsid w:val="001B1CB3"/>
    <w:rsid w:val="001B22B1"/>
    <w:rsid w:val="001B3A08"/>
    <w:rsid w:val="001B5CF1"/>
    <w:rsid w:val="001B7D19"/>
    <w:rsid w:val="001C06E7"/>
    <w:rsid w:val="001C21D2"/>
    <w:rsid w:val="001C25BF"/>
    <w:rsid w:val="001C3673"/>
    <w:rsid w:val="001C3BF0"/>
    <w:rsid w:val="001C40FF"/>
    <w:rsid w:val="001C68A4"/>
    <w:rsid w:val="001C73B9"/>
    <w:rsid w:val="001D0680"/>
    <w:rsid w:val="001D29CE"/>
    <w:rsid w:val="001D2EA2"/>
    <w:rsid w:val="001D72EB"/>
    <w:rsid w:val="001D7358"/>
    <w:rsid w:val="001D7FAE"/>
    <w:rsid w:val="001E00D8"/>
    <w:rsid w:val="001E0909"/>
    <w:rsid w:val="001E1CA1"/>
    <w:rsid w:val="001E35B2"/>
    <w:rsid w:val="001E443D"/>
    <w:rsid w:val="001E5082"/>
    <w:rsid w:val="001E51C4"/>
    <w:rsid w:val="001F056F"/>
    <w:rsid w:val="001F0CB5"/>
    <w:rsid w:val="001F14BA"/>
    <w:rsid w:val="001F1B67"/>
    <w:rsid w:val="001F2711"/>
    <w:rsid w:val="001F2CF5"/>
    <w:rsid w:val="001F6CEC"/>
    <w:rsid w:val="001F72DE"/>
    <w:rsid w:val="001F7CF1"/>
    <w:rsid w:val="001F7E77"/>
    <w:rsid w:val="00203090"/>
    <w:rsid w:val="002032FB"/>
    <w:rsid w:val="002037C7"/>
    <w:rsid w:val="00203910"/>
    <w:rsid w:val="00204FF4"/>
    <w:rsid w:val="00205640"/>
    <w:rsid w:val="00205E30"/>
    <w:rsid w:val="00205E32"/>
    <w:rsid w:val="002072A1"/>
    <w:rsid w:val="00210065"/>
    <w:rsid w:val="002111EC"/>
    <w:rsid w:val="00211D1A"/>
    <w:rsid w:val="002138D7"/>
    <w:rsid w:val="00214144"/>
    <w:rsid w:val="00214BFD"/>
    <w:rsid w:val="00217B51"/>
    <w:rsid w:val="002202E8"/>
    <w:rsid w:val="00220A32"/>
    <w:rsid w:val="00220D72"/>
    <w:rsid w:val="0022164B"/>
    <w:rsid w:val="00221866"/>
    <w:rsid w:val="00221C97"/>
    <w:rsid w:val="00221D64"/>
    <w:rsid w:val="00222D50"/>
    <w:rsid w:val="00223FE3"/>
    <w:rsid w:val="0022788A"/>
    <w:rsid w:val="002306B5"/>
    <w:rsid w:val="00232EE0"/>
    <w:rsid w:val="00234467"/>
    <w:rsid w:val="00237521"/>
    <w:rsid w:val="00237726"/>
    <w:rsid w:val="0024015F"/>
    <w:rsid w:val="002403B7"/>
    <w:rsid w:val="00240A16"/>
    <w:rsid w:val="00242BF9"/>
    <w:rsid w:val="002452F4"/>
    <w:rsid w:val="002460E7"/>
    <w:rsid w:val="002469C2"/>
    <w:rsid w:val="00250E3F"/>
    <w:rsid w:val="002532C0"/>
    <w:rsid w:val="002541C4"/>
    <w:rsid w:val="0025592C"/>
    <w:rsid w:val="00255A31"/>
    <w:rsid w:val="00256507"/>
    <w:rsid w:val="00257004"/>
    <w:rsid w:val="00263BDA"/>
    <w:rsid w:val="002650D5"/>
    <w:rsid w:val="002701C3"/>
    <w:rsid w:val="00270DA9"/>
    <w:rsid w:val="002732C2"/>
    <w:rsid w:val="002761C6"/>
    <w:rsid w:val="00276CF4"/>
    <w:rsid w:val="0028318A"/>
    <w:rsid w:val="00283ECF"/>
    <w:rsid w:val="0028494D"/>
    <w:rsid w:val="00284EF3"/>
    <w:rsid w:val="002859A2"/>
    <w:rsid w:val="00286511"/>
    <w:rsid w:val="002870C4"/>
    <w:rsid w:val="00291979"/>
    <w:rsid w:val="00293234"/>
    <w:rsid w:val="00294509"/>
    <w:rsid w:val="002A0CA6"/>
    <w:rsid w:val="002A1189"/>
    <w:rsid w:val="002A167C"/>
    <w:rsid w:val="002A1864"/>
    <w:rsid w:val="002A2B3F"/>
    <w:rsid w:val="002A4CE5"/>
    <w:rsid w:val="002A644D"/>
    <w:rsid w:val="002A7CE7"/>
    <w:rsid w:val="002B111B"/>
    <w:rsid w:val="002B27BE"/>
    <w:rsid w:val="002B2C65"/>
    <w:rsid w:val="002B2C8B"/>
    <w:rsid w:val="002B411A"/>
    <w:rsid w:val="002B6C92"/>
    <w:rsid w:val="002C1AB7"/>
    <w:rsid w:val="002C1F74"/>
    <w:rsid w:val="002C372A"/>
    <w:rsid w:val="002C3B3F"/>
    <w:rsid w:val="002C54B8"/>
    <w:rsid w:val="002C60C6"/>
    <w:rsid w:val="002D04C8"/>
    <w:rsid w:val="002D07C0"/>
    <w:rsid w:val="002D22C4"/>
    <w:rsid w:val="002D35E6"/>
    <w:rsid w:val="002D4F79"/>
    <w:rsid w:val="002E1BA9"/>
    <w:rsid w:val="002E405D"/>
    <w:rsid w:val="002E469A"/>
    <w:rsid w:val="002E61F1"/>
    <w:rsid w:val="002E6244"/>
    <w:rsid w:val="002E725A"/>
    <w:rsid w:val="002F01FE"/>
    <w:rsid w:val="002F0E99"/>
    <w:rsid w:val="002F1DCE"/>
    <w:rsid w:val="002F43D0"/>
    <w:rsid w:val="002F486E"/>
    <w:rsid w:val="002F5335"/>
    <w:rsid w:val="002F662C"/>
    <w:rsid w:val="002F7F8F"/>
    <w:rsid w:val="00300446"/>
    <w:rsid w:val="00300572"/>
    <w:rsid w:val="003010D2"/>
    <w:rsid w:val="003016CF"/>
    <w:rsid w:val="00303A31"/>
    <w:rsid w:val="00303A38"/>
    <w:rsid w:val="00305037"/>
    <w:rsid w:val="0030750D"/>
    <w:rsid w:val="003075A7"/>
    <w:rsid w:val="00310C42"/>
    <w:rsid w:val="00310E88"/>
    <w:rsid w:val="00312A3B"/>
    <w:rsid w:val="00312EC6"/>
    <w:rsid w:val="00313679"/>
    <w:rsid w:val="00313964"/>
    <w:rsid w:val="003153B4"/>
    <w:rsid w:val="00320723"/>
    <w:rsid w:val="00320E86"/>
    <w:rsid w:val="00321287"/>
    <w:rsid w:val="00322304"/>
    <w:rsid w:val="003224D1"/>
    <w:rsid w:val="00322C24"/>
    <w:rsid w:val="00322C55"/>
    <w:rsid w:val="0032509C"/>
    <w:rsid w:val="00325855"/>
    <w:rsid w:val="00325D7C"/>
    <w:rsid w:val="00326CA5"/>
    <w:rsid w:val="00327774"/>
    <w:rsid w:val="00327AD2"/>
    <w:rsid w:val="00327ADC"/>
    <w:rsid w:val="00330047"/>
    <w:rsid w:val="003301BE"/>
    <w:rsid w:val="00331AB8"/>
    <w:rsid w:val="00332266"/>
    <w:rsid w:val="00332D18"/>
    <w:rsid w:val="00332DFD"/>
    <w:rsid w:val="00332E2B"/>
    <w:rsid w:val="00333AE8"/>
    <w:rsid w:val="00334125"/>
    <w:rsid w:val="003358EB"/>
    <w:rsid w:val="00337850"/>
    <w:rsid w:val="00340917"/>
    <w:rsid w:val="00341140"/>
    <w:rsid w:val="00343797"/>
    <w:rsid w:val="00343D39"/>
    <w:rsid w:val="00346390"/>
    <w:rsid w:val="00346DFC"/>
    <w:rsid w:val="00347199"/>
    <w:rsid w:val="0035051C"/>
    <w:rsid w:val="00350832"/>
    <w:rsid w:val="00351BD2"/>
    <w:rsid w:val="00353215"/>
    <w:rsid w:val="00360107"/>
    <w:rsid w:val="003617F7"/>
    <w:rsid w:val="00361E0E"/>
    <w:rsid w:val="0036302A"/>
    <w:rsid w:val="00363C9A"/>
    <w:rsid w:val="00364C61"/>
    <w:rsid w:val="00365CB9"/>
    <w:rsid w:val="00366965"/>
    <w:rsid w:val="0037557A"/>
    <w:rsid w:val="00375894"/>
    <w:rsid w:val="00375D38"/>
    <w:rsid w:val="003767E2"/>
    <w:rsid w:val="00376C33"/>
    <w:rsid w:val="00383E86"/>
    <w:rsid w:val="003842C5"/>
    <w:rsid w:val="00384EA1"/>
    <w:rsid w:val="0038620D"/>
    <w:rsid w:val="003864D3"/>
    <w:rsid w:val="00390DCC"/>
    <w:rsid w:val="00392E06"/>
    <w:rsid w:val="00393B9A"/>
    <w:rsid w:val="003949E5"/>
    <w:rsid w:val="00395960"/>
    <w:rsid w:val="00395D01"/>
    <w:rsid w:val="003970DF"/>
    <w:rsid w:val="00397197"/>
    <w:rsid w:val="003A12C1"/>
    <w:rsid w:val="003A1F99"/>
    <w:rsid w:val="003A2B1F"/>
    <w:rsid w:val="003A36BB"/>
    <w:rsid w:val="003A3980"/>
    <w:rsid w:val="003A694B"/>
    <w:rsid w:val="003B0071"/>
    <w:rsid w:val="003B0EB1"/>
    <w:rsid w:val="003B1342"/>
    <w:rsid w:val="003B3EF4"/>
    <w:rsid w:val="003B4398"/>
    <w:rsid w:val="003B4ED3"/>
    <w:rsid w:val="003B5F4A"/>
    <w:rsid w:val="003C077F"/>
    <w:rsid w:val="003C10FD"/>
    <w:rsid w:val="003C1242"/>
    <w:rsid w:val="003C5077"/>
    <w:rsid w:val="003C5905"/>
    <w:rsid w:val="003C65C4"/>
    <w:rsid w:val="003D0654"/>
    <w:rsid w:val="003D1159"/>
    <w:rsid w:val="003D29C8"/>
    <w:rsid w:val="003D29EF"/>
    <w:rsid w:val="003D3641"/>
    <w:rsid w:val="003D54B3"/>
    <w:rsid w:val="003D5B39"/>
    <w:rsid w:val="003D739E"/>
    <w:rsid w:val="003E0AE5"/>
    <w:rsid w:val="003E0C83"/>
    <w:rsid w:val="003E2A8B"/>
    <w:rsid w:val="003E491C"/>
    <w:rsid w:val="003E65BC"/>
    <w:rsid w:val="003E6796"/>
    <w:rsid w:val="003E7545"/>
    <w:rsid w:val="003F1FCF"/>
    <w:rsid w:val="003F3690"/>
    <w:rsid w:val="003F3F9D"/>
    <w:rsid w:val="003F464A"/>
    <w:rsid w:val="003F56E0"/>
    <w:rsid w:val="003F7EED"/>
    <w:rsid w:val="0040131E"/>
    <w:rsid w:val="00403384"/>
    <w:rsid w:val="004033D8"/>
    <w:rsid w:val="004037F2"/>
    <w:rsid w:val="004048FB"/>
    <w:rsid w:val="004052EE"/>
    <w:rsid w:val="00405362"/>
    <w:rsid w:val="00405C2B"/>
    <w:rsid w:val="00405C54"/>
    <w:rsid w:val="00406029"/>
    <w:rsid w:val="00407309"/>
    <w:rsid w:val="0040772D"/>
    <w:rsid w:val="00411DA9"/>
    <w:rsid w:val="0041341D"/>
    <w:rsid w:val="0041468B"/>
    <w:rsid w:val="00414BB7"/>
    <w:rsid w:val="00415038"/>
    <w:rsid w:val="00415CCD"/>
    <w:rsid w:val="00416017"/>
    <w:rsid w:val="00416F6D"/>
    <w:rsid w:val="00421493"/>
    <w:rsid w:val="004214BD"/>
    <w:rsid w:val="00422A5B"/>
    <w:rsid w:val="00425543"/>
    <w:rsid w:val="004261F8"/>
    <w:rsid w:val="004276CA"/>
    <w:rsid w:val="00430819"/>
    <w:rsid w:val="00431C2A"/>
    <w:rsid w:val="00435C32"/>
    <w:rsid w:val="00436054"/>
    <w:rsid w:val="00436D8B"/>
    <w:rsid w:val="0043750E"/>
    <w:rsid w:val="004377DC"/>
    <w:rsid w:val="00437BAE"/>
    <w:rsid w:val="00440895"/>
    <w:rsid w:val="00442111"/>
    <w:rsid w:val="0044258F"/>
    <w:rsid w:val="00447263"/>
    <w:rsid w:val="0045081B"/>
    <w:rsid w:val="004509D4"/>
    <w:rsid w:val="00451345"/>
    <w:rsid w:val="0045344F"/>
    <w:rsid w:val="004544F6"/>
    <w:rsid w:val="00454CDC"/>
    <w:rsid w:val="00455BE0"/>
    <w:rsid w:val="00456FBA"/>
    <w:rsid w:val="00457AB6"/>
    <w:rsid w:val="00460954"/>
    <w:rsid w:val="004611EC"/>
    <w:rsid w:val="00462A73"/>
    <w:rsid w:val="00465F9E"/>
    <w:rsid w:val="00472304"/>
    <w:rsid w:val="004740E2"/>
    <w:rsid w:val="00476305"/>
    <w:rsid w:val="00477380"/>
    <w:rsid w:val="0047756F"/>
    <w:rsid w:val="004811C6"/>
    <w:rsid w:val="00481D70"/>
    <w:rsid w:val="004828DF"/>
    <w:rsid w:val="0048305E"/>
    <w:rsid w:val="004833C1"/>
    <w:rsid w:val="00483A52"/>
    <w:rsid w:val="00483F1C"/>
    <w:rsid w:val="0048558F"/>
    <w:rsid w:val="00486717"/>
    <w:rsid w:val="00486732"/>
    <w:rsid w:val="00486F32"/>
    <w:rsid w:val="004915B8"/>
    <w:rsid w:val="004916D3"/>
    <w:rsid w:val="004923D9"/>
    <w:rsid w:val="00495EED"/>
    <w:rsid w:val="004A11EF"/>
    <w:rsid w:val="004A443D"/>
    <w:rsid w:val="004A6137"/>
    <w:rsid w:val="004A62A0"/>
    <w:rsid w:val="004B0DDC"/>
    <w:rsid w:val="004B1AF2"/>
    <w:rsid w:val="004B4E1E"/>
    <w:rsid w:val="004B60C3"/>
    <w:rsid w:val="004B70AF"/>
    <w:rsid w:val="004B742F"/>
    <w:rsid w:val="004B77C7"/>
    <w:rsid w:val="004C0101"/>
    <w:rsid w:val="004C1031"/>
    <w:rsid w:val="004C1DFA"/>
    <w:rsid w:val="004C2688"/>
    <w:rsid w:val="004C4D38"/>
    <w:rsid w:val="004C54DE"/>
    <w:rsid w:val="004C7F56"/>
    <w:rsid w:val="004D0123"/>
    <w:rsid w:val="004D012F"/>
    <w:rsid w:val="004D26AD"/>
    <w:rsid w:val="004D30AC"/>
    <w:rsid w:val="004D31BF"/>
    <w:rsid w:val="004D34D7"/>
    <w:rsid w:val="004D3B70"/>
    <w:rsid w:val="004D5121"/>
    <w:rsid w:val="004D656C"/>
    <w:rsid w:val="004D6EB3"/>
    <w:rsid w:val="004D6EFB"/>
    <w:rsid w:val="004D7A13"/>
    <w:rsid w:val="004D7F6D"/>
    <w:rsid w:val="004E00C1"/>
    <w:rsid w:val="004E085A"/>
    <w:rsid w:val="004E1444"/>
    <w:rsid w:val="004E4EDB"/>
    <w:rsid w:val="004E693E"/>
    <w:rsid w:val="004E6F33"/>
    <w:rsid w:val="004F1D00"/>
    <w:rsid w:val="004F224E"/>
    <w:rsid w:val="004F3AFE"/>
    <w:rsid w:val="004F53BB"/>
    <w:rsid w:val="004F6670"/>
    <w:rsid w:val="004F6EB8"/>
    <w:rsid w:val="004F72F7"/>
    <w:rsid w:val="0050083D"/>
    <w:rsid w:val="00500C56"/>
    <w:rsid w:val="00501F67"/>
    <w:rsid w:val="00504D8A"/>
    <w:rsid w:val="0050691B"/>
    <w:rsid w:val="0050729A"/>
    <w:rsid w:val="005101B3"/>
    <w:rsid w:val="005120EE"/>
    <w:rsid w:val="005122E3"/>
    <w:rsid w:val="00513AFA"/>
    <w:rsid w:val="00515510"/>
    <w:rsid w:val="00516031"/>
    <w:rsid w:val="00516786"/>
    <w:rsid w:val="00516A10"/>
    <w:rsid w:val="00517BF2"/>
    <w:rsid w:val="00520258"/>
    <w:rsid w:val="00520ECC"/>
    <w:rsid w:val="00521E71"/>
    <w:rsid w:val="00522992"/>
    <w:rsid w:val="00522C3A"/>
    <w:rsid w:val="00522D0B"/>
    <w:rsid w:val="00523677"/>
    <w:rsid w:val="0052562A"/>
    <w:rsid w:val="0053087E"/>
    <w:rsid w:val="00530CCF"/>
    <w:rsid w:val="00532BC2"/>
    <w:rsid w:val="00533834"/>
    <w:rsid w:val="005356E4"/>
    <w:rsid w:val="00535942"/>
    <w:rsid w:val="00544319"/>
    <w:rsid w:val="00545519"/>
    <w:rsid w:val="00546038"/>
    <w:rsid w:val="00551197"/>
    <w:rsid w:val="00551566"/>
    <w:rsid w:val="00551B0A"/>
    <w:rsid w:val="00552545"/>
    <w:rsid w:val="00553296"/>
    <w:rsid w:val="0055449E"/>
    <w:rsid w:val="00554FA7"/>
    <w:rsid w:val="00560290"/>
    <w:rsid w:val="00561E04"/>
    <w:rsid w:val="0056240F"/>
    <w:rsid w:val="00562485"/>
    <w:rsid w:val="00565DF0"/>
    <w:rsid w:val="00566CF1"/>
    <w:rsid w:val="005713C3"/>
    <w:rsid w:val="00572AA4"/>
    <w:rsid w:val="0057328C"/>
    <w:rsid w:val="00573447"/>
    <w:rsid w:val="005735C3"/>
    <w:rsid w:val="0057425D"/>
    <w:rsid w:val="00575D97"/>
    <w:rsid w:val="00576B65"/>
    <w:rsid w:val="00580F80"/>
    <w:rsid w:val="00582219"/>
    <w:rsid w:val="00582828"/>
    <w:rsid w:val="00582D9E"/>
    <w:rsid w:val="005840BD"/>
    <w:rsid w:val="0058666C"/>
    <w:rsid w:val="005869A6"/>
    <w:rsid w:val="00586F98"/>
    <w:rsid w:val="0058775A"/>
    <w:rsid w:val="00590663"/>
    <w:rsid w:val="00590C86"/>
    <w:rsid w:val="00592FDD"/>
    <w:rsid w:val="0059363D"/>
    <w:rsid w:val="00594C88"/>
    <w:rsid w:val="00596F3A"/>
    <w:rsid w:val="005A0082"/>
    <w:rsid w:val="005A1E04"/>
    <w:rsid w:val="005A4D81"/>
    <w:rsid w:val="005A7CE5"/>
    <w:rsid w:val="005B6EFA"/>
    <w:rsid w:val="005C1666"/>
    <w:rsid w:val="005C2F2C"/>
    <w:rsid w:val="005C329B"/>
    <w:rsid w:val="005C3CD0"/>
    <w:rsid w:val="005C59BE"/>
    <w:rsid w:val="005C7536"/>
    <w:rsid w:val="005D04FC"/>
    <w:rsid w:val="005D1251"/>
    <w:rsid w:val="005D28AA"/>
    <w:rsid w:val="005D299C"/>
    <w:rsid w:val="005D3743"/>
    <w:rsid w:val="005E0068"/>
    <w:rsid w:val="005E0F9D"/>
    <w:rsid w:val="005E146A"/>
    <w:rsid w:val="005E1947"/>
    <w:rsid w:val="005E1F8E"/>
    <w:rsid w:val="005E2FAC"/>
    <w:rsid w:val="005E3241"/>
    <w:rsid w:val="005E4465"/>
    <w:rsid w:val="005E5317"/>
    <w:rsid w:val="005E5E9C"/>
    <w:rsid w:val="005E6185"/>
    <w:rsid w:val="005E7275"/>
    <w:rsid w:val="005F0A79"/>
    <w:rsid w:val="005F16D8"/>
    <w:rsid w:val="005F1DC5"/>
    <w:rsid w:val="005F23E7"/>
    <w:rsid w:val="005F24AD"/>
    <w:rsid w:val="005F26F5"/>
    <w:rsid w:val="005F2EEC"/>
    <w:rsid w:val="005F6C53"/>
    <w:rsid w:val="005F7A86"/>
    <w:rsid w:val="006030E7"/>
    <w:rsid w:val="006034B3"/>
    <w:rsid w:val="00604754"/>
    <w:rsid w:val="00604E7B"/>
    <w:rsid w:val="00607068"/>
    <w:rsid w:val="00610B94"/>
    <w:rsid w:val="00611176"/>
    <w:rsid w:val="00611D8B"/>
    <w:rsid w:val="00613CCB"/>
    <w:rsid w:val="0061591D"/>
    <w:rsid w:val="00617A76"/>
    <w:rsid w:val="00617AE7"/>
    <w:rsid w:val="00617D5D"/>
    <w:rsid w:val="006207D0"/>
    <w:rsid w:val="006208D6"/>
    <w:rsid w:val="00620C46"/>
    <w:rsid w:val="00620C47"/>
    <w:rsid w:val="006220E4"/>
    <w:rsid w:val="00624A52"/>
    <w:rsid w:val="006255B7"/>
    <w:rsid w:val="0062583F"/>
    <w:rsid w:val="00625955"/>
    <w:rsid w:val="00630566"/>
    <w:rsid w:val="0063464F"/>
    <w:rsid w:val="00635248"/>
    <w:rsid w:val="00636BA4"/>
    <w:rsid w:val="00636E0C"/>
    <w:rsid w:val="00640B59"/>
    <w:rsid w:val="00641FA3"/>
    <w:rsid w:val="00642735"/>
    <w:rsid w:val="0064411B"/>
    <w:rsid w:val="00645227"/>
    <w:rsid w:val="00645369"/>
    <w:rsid w:val="00646C12"/>
    <w:rsid w:val="0064741E"/>
    <w:rsid w:val="00651AB8"/>
    <w:rsid w:val="00651D98"/>
    <w:rsid w:val="006525CC"/>
    <w:rsid w:val="00652EF4"/>
    <w:rsid w:val="006534E0"/>
    <w:rsid w:val="00653A4B"/>
    <w:rsid w:val="00654F9F"/>
    <w:rsid w:val="006560EF"/>
    <w:rsid w:val="00656F9A"/>
    <w:rsid w:val="006602B4"/>
    <w:rsid w:val="00662B28"/>
    <w:rsid w:val="006631D7"/>
    <w:rsid w:val="006638B8"/>
    <w:rsid w:val="006645B6"/>
    <w:rsid w:val="006670FE"/>
    <w:rsid w:val="006672E5"/>
    <w:rsid w:val="00667FE8"/>
    <w:rsid w:val="00671B94"/>
    <w:rsid w:val="00672B99"/>
    <w:rsid w:val="00673B35"/>
    <w:rsid w:val="00673BAF"/>
    <w:rsid w:val="00676595"/>
    <w:rsid w:val="0067678A"/>
    <w:rsid w:val="006771CD"/>
    <w:rsid w:val="00677621"/>
    <w:rsid w:val="006815AF"/>
    <w:rsid w:val="006836F1"/>
    <w:rsid w:val="006841A3"/>
    <w:rsid w:val="0068428A"/>
    <w:rsid w:val="00685C6D"/>
    <w:rsid w:val="00686C6B"/>
    <w:rsid w:val="00691A96"/>
    <w:rsid w:val="00692258"/>
    <w:rsid w:val="00695AFC"/>
    <w:rsid w:val="006973B2"/>
    <w:rsid w:val="0069790E"/>
    <w:rsid w:val="006A1832"/>
    <w:rsid w:val="006A1F44"/>
    <w:rsid w:val="006A1FC4"/>
    <w:rsid w:val="006A3B4B"/>
    <w:rsid w:val="006A46FF"/>
    <w:rsid w:val="006A492A"/>
    <w:rsid w:val="006A5326"/>
    <w:rsid w:val="006A786F"/>
    <w:rsid w:val="006A7CD5"/>
    <w:rsid w:val="006B2B3C"/>
    <w:rsid w:val="006B3E82"/>
    <w:rsid w:val="006B5DD5"/>
    <w:rsid w:val="006B6959"/>
    <w:rsid w:val="006B7B28"/>
    <w:rsid w:val="006C0226"/>
    <w:rsid w:val="006C10A3"/>
    <w:rsid w:val="006C46FA"/>
    <w:rsid w:val="006C4DF2"/>
    <w:rsid w:val="006C6251"/>
    <w:rsid w:val="006D1500"/>
    <w:rsid w:val="006D1A2E"/>
    <w:rsid w:val="006D3B9D"/>
    <w:rsid w:val="006D4A63"/>
    <w:rsid w:val="006D5F80"/>
    <w:rsid w:val="006D609D"/>
    <w:rsid w:val="006D67D3"/>
    <w:rsid w:val="006D710A"/>
    <w:rsid w:val="006D7D1D"/>
    <w:rsid w:val="006E0106"/>
    <w:rsid w:val="006E3514"/>
    <w:rsid w:val="006E43D7"/>
    <w:rsid w:val="006E5287"/>
    <w:rsid w:val="006E780F"/>
    <w:rsid w:val="006E7868"/>
    <w:rsid w:val="006F02CE"/>
    <w:rsid w:val="006F1032"/>
    <w:rsid w:val="006F29D2"/>
    <w:rsid w:val="006F6259"/>
    <w:rsid w:val="006F643F"/>
    <w:rsid w:val="006F7237"/>
    <w:rsid w:val="00700731"/>
    <w:rsid w:val="00700771"/>
    <w:rsid w:val="007025C5"/>
    <w:rsid w:val="0070481F"/>
    <w:rsid w:val="007059CB"/>
    <w:rsid w:val="00712241"/>
    <w:rsid w:val="0071384D"/>
    <w:rsid w:val="00714C77"/>
    <w:rsid w:val="007151C3"/>
    <w:rsid w:val="00716CD3"/>
    <w:rsid w:val="0071717F"/>
    <w:rsid w:val="007206E7"/>
    <w:rsid w:val="007227A9"/>
    <w:rsid w:val="0072334C"/>
    <w:rsid w:val="007243A6"/>
    <w:rsid w:val="00726707"/>
    <w:rsid w:val="00726A37"/>
    <w:rsid w:val="00726BAE"/>
    <w:rsid w:val="00727D1D"/>
    <w:rsid w:val="0073175E"/>
    <w:rsid w:val="007318C6"/>
    <w:rsid w:val="007324E6"/>
    <w:rsid w:val="00733BC6"/>
    <w:rsid w:val="00733EEF"/>
    <w:rsid w:val="00733F29"/>
    <w:rsid w:val="0073451F"/>
    <w:rsid w:val="007348E0"/>
    <w:rsid w:val="007353EF"/>
    <w:rsid w:val="0073560F"/>
    <w:rsid w:val="00735844"/>
    <w:rsid w:val="00735AB3"/>
    <w:rsid w:val="00735DB1"/>
    <w:rsid w:val="00735ECE"/>
    <w:rsid w:val="007375AF"/>
    <w:rsid w:val="007421D1"/>
    <w:rsid w:val="00745F17"/>
    <w:rsid w:val="0074704D"/>
    <w:rsid w:val="007478FA"/>
    <w:rsid w:val="00750EF5"/>
    <w:rsid w:val="00751056"/>
    <w:rsid w:val="00751F06"/>
    <w:rsid w:val="0075280D"/>
    <w:rsid w:val="00752EEC"/>
    <w:rsid w:val="00754E4F"/>
    <w:rsid w:val="0075550B"/>
    <w:rsid w:val="00756824"/>
    <w:rsid w:val="0076001D"/>
    <w:rsid w:val="00760769"/>
    <w:rsid w:val="00760838"/>
    <w:rsid w:val="00761CA1"/>
    <w:rsid w:val="00761ED8"/>
    <w:rsid w:val="00762DD0"/>
    <w:rsid w:val="00763256"/>
    <w:rsid w:val="00763CCA"/>
    <w:rsid w:val="0076497A"/>
    <w:rsid w:val="00766527"/>
    <w:rsid w:val="00766F84"/>
    <w:rsid w:val="00767A57"/>
    <w:rsid w:val="007701D3"/>
    <w:rsid w:val="00772ECB"/>
    <w:rsid w:val="00773335"/>
    <w:rsid w:val="00773E76"/>
    <w:rsid w:val="00774F03"/>
    <w:rsid w:val="00776EB1"/>
    <w:rsid w:val="00777485"/>
    <w:rsid w:val="0077772B"/>
    <w:rsid w:val="00777F91"/>
    <w:rsid w:val="00780231"/>
    <w:rsid w:val="00783E81"/>
    <w:rsid w:val="0078440B"/>
    <w:rsid w:val="00785FA8"/>
    <w:rsid w:val="00786117"/>
    <w:rsid w:val="007862C1"/>
    <w:rsid w:val="00787155"/>
    <w:rsid w:val="00790258"/>
    <w:rsid w:val="00791AF1"/>
    <w:rsid w:val="00793C0A"/>
    <w:rsid w:val="00794B16"/>
    <w:rsid w:val="00794E86"/>
    <w:rsid w:val="00795E9D"/>
    <w:rsid w:val="007972DD"/>
    <w:rsid w:val="007A0C3A"/>
    <w:rsid w:val="007A3261"/>
    <w:rsid w:val="007A34BE"/>
    <w:rsid w:val="007A43A7"/>
    <w:rsid w:val="007A4EC3"/>
    <w:rsid w:val="007A6A09"/>
    <w:rsid w:val="007A7A89"/>
    <w:rsid w:val="007A7DF0"/>
    <w:rsid w:val="007B41DD"/>
    <w:rsid w:val="007B4374"/>
    <w:rsid w:val="007B5C02"/>
    <w:rsid w:val="007B6DB2"/>
    <w:rsid w:val="007B7915"/>
    <w:rsid w:val="007C0C64"/>
    <w:rsid w:val="007C2827"/>
    <w:rsid w:val="007C6982"/>
    <w:rsid w:val="007D00C6"/>
    <w:rsid w:val="007D0870"/>
    <w:rsid w:val="007D13CA"/>
    <w:rsid w:val="007D377B"/>
    <w:rsid w:val="007D3C44"/>
    <w:rsid w:val="007D51DF"/>
    <w:rsid w:val="007D676B"/>
    <w:rsid w:val="007D6809"/>
    <w:rsid w:val="007D71FA"/>
    <w:rsid w:val="007E04C0"/>
    <w:rsid w:val="007E1613"/>
    <w:rsid w:val="007E1A37"/>
    <w:rsid w:val="007E2262"/>
    <w:rsid w:val="007E3326"/>
    <w:rsid w:val="007E4FD8"/>
    <w:rsid w:val="007E663B"/>
    <w:rsid w:val="007E70D8"/>
    <w:rsid w:val="007F0A6C"/>
    <w:rsid w:val="007F2915"/>
    <w:rsid w:val="007F2AC0"/>
    <w:rsid w:val="007F3E14"/>
    <w:rsid w:val="007F5A55"/>
    <w:rsid w:val="007F633C"/>
    <w:rsid w:val="007F672C"/>
    <w:rsid w:val="00800396"/>
    <w:rsid w:val="00800F67"/>
    <w:rsid w:val="00801F91"/>
    <w:rsid w:val="008042FF"/>
    <w:rsid w:val="00806154"/>
    <w:rsid w:val="00806952"/>
    <w:rsid w:val="00810CA2"/>
    <w:rsid w:val="008114AF"/>
    <w:rsid w:val="00812DB2"/>
    <w:rsid w:val="008140C7"/>
    <w:rsid w:val="008152B6"/>
    <w:rsid w:val="0082317C"/>
    <w:rsid w:val="008234BD"/>
    <w:rsid w:val="0082405A"/>
    <w:rsid w:val="00824671"/>
    <w:rsid w:val="0082485E"/>
    <w:rsid w:val="00824C79"/>
    <w:rsid w:val="0082639A"/>
    <w:rsid w:val="008267B6"/>
    <w:rsid w:val="00826F7B"/>
    <w:rsid w:val="008270E9"/>
    <w:rsid w:val="008271D8"/>
    <w:rsid w:val="00827AFC"/>
    <w:rsid w:val="00831591"/>
    <w:rsid w:val="0083253F"/>
    <w:rsid w:val="00833C99"/>
    <w:rsid w:val="0083421D"/>
    <w:rsid w:val="0083446C"/>
    <w:rsid w:val="008354F0"/>
    <w:rsid w:val="00836894"/>
    <w:rsid w:val="00842642"/>
    <w:rsid w:val="008434A5"/>
    <w:rsid w:val="00844FEE"/>
    <w:rsid w:val="008454B1"/>
    <w:rsid w:val="00845CBB"/>
    <w:rsid w:val="00845CEA"/>
    <w:rsid w:val="00845D2A"/>
    <w:rsid w:val="00846221"/>
    <w:rsid w:val="008465BD"/>
    <w:rsid w:val="0085273B"/>
    <w:rsid w:val="00852BF8"/>
    <w:rsid w:val="0085371F"/>
    <w:rsid w:val="0085386C"/>
    <w:rsid w:val="00854CCF"/>
    <w:rsid w:val="00855819"/>
    <w:rsid w:val="008574B0"/>
    <w:rsid w:val="00857C8E"/>
    <w:rsid w:val="00857F43"/>
    <w:rsid w:val="008603C0"/>
    <w:rsid w:val="0086103A"/>
    <w:rsid w:val="00861468"/>
    <w:rsid w:val="00862873"/>
    <w:rsid w:val="00864C64"/>
    <w:rsid w:val="00865868"/>
    <w:rsid w:val="00867931"/>
    <w:rsid w:val="0087004E"/>
    <w:rsid w:val="00870871"/>
    <w:rsid w:val="00871A01"/>
    <w:rsid w:val="00872934"/>
    <w:rsid w:val="00873052"/>
    <w:rsid w:val="008732E3"/>
    <w:rsid w:val="00875045"/>
    <w:rsid w:val="008750D4"/>
    <w:rsid w:val="0087602D"/>
    <w:rsid w:val="00876D94"/>
    <w:rsid w:val="008776D6"/>
    <w:rsid w:val="00882F94"/>
    <w:rsid w:val="00884320"/>
    <w:rsid w:val="00886054"/>
    <w:rsid w:val="00887550"/>
    <w:rsid w:val="00887623"/>
    <w:rsid w:val="008907E9"/>
    <w:rsid w:val="00891A51"/>
    <w:rsid w:val="00892833"/>
    <w:rsid w:val="00893A2D"/>
    <w:rsid w:val="00893E70"/>
    <w:rsid w:val="008942B4"/>
    <w:rsid w:val="00894E35"/>
    <w:rsid w:val="0089528D"/>
    <w:rsid w:val="00897991"/>
    <w:rsid w:val="008A031E"/>
    <w:rsid w:val="008A04CD"/>
    <w:rsid w:val="008A0750"/>
    <w:rsid w:val="008A07CD"/>
    <w:rsid w:val="008A0ADE"/>
    <w:rsid w:val="008A19DF"/>
    <w:rsid w:val="008A295C"/>
    <w:rsid w:val="008A3616"/>
    <w:rsid w:val="008A6909"/>
    <w:rsid w:val="008A6981"/>
    <w:rsid w:val="008B2903"/>
    <w:rsid w:val="008B4251"/>
    <w:rsid w:val="008B4484"/>
    <w:rsid w:val="008B634D"/>
    <w:rsid w:val="008B6972"/>
    <w:rsid w:val="008C0601"/>
    <w:rsid w:val="008C0E84"/>
    <w:rsid w:val="008C3B2F"/>
    <w:rsid w:val="008D0C89"/>
    <w:rsid w:val="008D217C"/>
    <w:rsid w:val="008D4319"/>
    <w:rsid w:val="008D47FC"/>
    <w:rsid w:val="008D6FC8"/>
    <w:rsid w:val="008D7B2D"/>
    <w:rsid w:val="008E24B1"/>
    <w:rsid w:val="008E3BB5"/>
    <w:rsid w:val="008E587B"/>
    <w:rsid w:val="008E5C0F"/>
    <w:rsid w:val="008F09C0"/>
    <w:rsid w:val="008F0DB5"/>
    <w:rsid w:val="008F15CC"/>
    <w:rsid w:val="008F210B"/>
    <w:rsid w:val="008F3274"/>
    <w:rsid w:val="008F3C55"/>
    <w:rsid w:val="008F4EC5"/>
    <w:rsid w:val="00900EC6"/>
    <w:rsid w:val="009047A7"/>
    <w:rsid w:val="00905303"/>
    <w:rsid w:val="00910A24"/>
    <w:rsid w:val="0091158E"/>
    <w:rsid w:val="00912656"/>
    <w:rsid w:val="00913A3E"/>
    <w:rsid w:val="00914CC9"/>
    <w:rsid w:val="009153F8"/>
    <w:rsid w:val="009167DD"/>
    <w:rsid w:val="0091733F"/>
    <w:rsid w:val="00917774"/>
    <w:rsid w:val="00922EB4"/>
    <w:rsid w:val="00925667"/>
    <w:rsid w:val="00925D83"/>
    <w:rsid w:val="00927737"/>
    <w:rsid w:val="00930A9C"/>
    <w:rsid w:val="009343D5"/>
    <w:rsid w:val="009351C8"/>
    <w:rsid w:val="009356BC"/>
    <w:rsid w:val="0094045D"/>
    <w:rsid w:val="009425A0"/>
    <w:rsid w:val="00943B69"/>
    <w:rsid w:val="00944110"/>
    <w:rsid w:val="009461B9"/>
    <w:rsid w:val="00946207"/>
    <w:rsid w:val="00946919"/>
    <w:rsid w:val="0094722C"/>
    <w:rsid w:val="009505D2"/>
    <w:rsid w:val="00950671"/>
    <w:rsid w:val="009508AF"/>
    <w:rsid w:val="00950DCA"/>
    <w:rsid w:val="009513BE"/>
    <w:rsid w:val="0095176B"/>
    <w:rsid w:val="00952D5E"/>
    <w:rsid w:val="009577B3"/>
    <w:rsid w:val="00962158"/>
    <w:rsid w:val="00964474"/>
    <w:rsid w:val="0096489F"/>
    <w:rsid w:val="00965283"/>
    <w:rsid w:val="009661FA"/>
    <w:rsid w:val="0096620F"/>
    <w:rsid w:val="00967711"/>
    <w:rsid w:val="0097049D"/>
    <w:rsid w:val="00970E69"/>
    <w:rsid w:val="00971E02"/>
    <w:rsid w:val="00972437"/>
    <w:rsid w:val="00972DFF"/>
    <w:rsid w:val="00977217"/>
    <w:rsid w:val="0097761C"/>
    <w:rsid w:val="00977775"/>
    <w:rsid w:val="009800D4"/>
    <w:rsid w:val="00980633"/>
    <w:rsid w:val="0098079F"/>
    <w:rsid w:val="009835A2"/>
    <w:rsid w:val="00983B01"/>
    <w:rsid w:val="00983E9B"/>
    <w:rsid w:val="00984B44"/>
    <w:rsid w:val="00987260"/>
    <w:rsid w:val="009878ED"/>
    <w:rsid w:val="00987E22"/>
    <w:rsid w:val="009907FB"/>
    <w:rsid w:val="0099134C"/>
    <w:rsid w:val="009913FE"/>
    <w:rsid w:val="009918E6"/>
    <w:rsid w:val="00992A7F"/>
    <w:rsid w:val="00992B14"/>
    <w:rsid w:val="00993E46"/>
    <w:rsid w:val="009954C7"/>
    <w:rsid w:val="00995647"/>
    <w:rsid w:val="00996D00"/>
    <w:rsid w:val="0099712B"/>
    <w:rsid w:val="009974D0"/>
    <w:rsid w:val="009A0714"/>
    <w:rsid w:val="009A075B"/>
    <w:rsid w:val="009A299C"/>
    <w:rsid w:val="009A2CA2"/>
    <w:rsid w:val="009A3447"/>
    <w:rsid w:val="009A3C58"/>
    <w:rsid w:val="009A3FA1"/>
    <w:rsid w:val="009A5C54"/>
    <w:rsid w:val="009A6029"/>
    <w:rsid w:val="009A6165"/>
    <w:rsid w:val="009B16A7"/>
    <w:rsid w:val="009B26DC"/>
    <w:rsid w:val="009B2A0B"/>
    <w:rsid w:val="009B3E05"/>
    <w:rsid w:val="009B49A2"/>
    <w:rsid w:val="009B7E85"/>
    <w:rsid w:val="009C1059"/>
    <w:rsid w:val="009C15CD"/>
    <w:rsid w:val="009C15ED"/>
    <w:rsid w:val="009C1E36"/>
    <w:rsid w:val="009C3754"/>
    <w:rsid w:val="009C483E"/>
    <w:rsid w:val="009C610F"/>
    <w:rsid w:val="009D0FE2"/>
    <w:rsid w:val="009D3CFB"/>
    <w:rsid w:val="009D4188"/>
    <w:rsid w:val="009D45AE"/>
    <w:rsid w:val="009D50B1"/>
    <w:rsid w:val="009E1961"/>
    <w:rsid w:val="009E19E6"/>
    <w:rsid w:val="009E1C6D"/>
    <w:rsid w:val="009E1D4F"/>
    <w:rsid w:val="009E3211"/>
    <w:rsid w:val="009E348E"/>
    <w:rsid w:val="009E44DB"/>
    <w:rsid w:val="009E4AAD"/>
    <w:rsid w:val="009E66B2"/>
    <w:rsid w:val="009E78AD"/>
    <w:rsid w:val="009F0DE7"/>
    <w:rsid w:val="009F2AB8"/>
    <w:rsid w:val="009F3004"/>
    <w:rsid w:val="009F56A6"/>
    <w:rsid w:val="009F6EB2"/>
    <w:rsid w:val="009F7F60"/>
    <w:rsid w:val="00A0121B"/>
    <w:rsid w:val="00A013E4"/>
    <w:rsid w:val="00A02613"/>
    <w:rsid w:val="00A04DFC"/>
    <w:rsid w:val="00A06142"/>
    <w:rsid w:val="00A06E4F"/>
    <w:rsid w:val="00A1049F"/>
    <w:rsid w:val="00A114CC"/>
    <w:rsid w:val="00A1166C"/>
    <w:rsid w:val="00A133C2"/>
    <w:rsid w:val="00A139F9"/>
    <w:rsid w:val="00A13C78"/>
    <w:rsid w:val="00A13D0A"/>
    <w:rsid w:val="00A13DFD"/>
    <w:rsid w:val="00A15216"/>
    <w:rsid w:val="00A16B9D"/>
    <w:rsid w:val="00A22132"/>
    <w:rsid w:val="00A229AF"/>
    <w:rsid w:val="00A2501F"/>
    <w:rsid w:val="00A26F2F"/>
    <w:rsid w:val="00A27F74"/>
    <w:rsid w:val="00A330FF"/>
    <w:rsid w:val="00A33708"/>
    <w:rsid w:val="00A3382A"/>
    <w:rsid w:val="00A35B7F"/>
    <w:rsid w:val="00A37F1A"/>
    <w:rsid w:val="00A409EF"/>
    <w:rsid w:val="00A41266"/>
    <w:rsid w:val="00A412D7"/>
    <w:rsid w:val="00A4145C"/>
    <w:rsid w:val="00A4176E"/>
    <w:rsid w:val="00A43FBD"/>
    <w:rsid w:val="00A45DBD"/>
    <w:rsid w:val="00A47335"/>
    <w:rsid w:val="00A4747E"/>
    <w:rsid w:val="00A52318"/>
    <w:rsid w:val="00A52A0E"/>
    <w:rsid w:val="00A54184"/>
    <w:rsid w:val="00A546D7"/>
    <w:rsid w:val="00A54E6F"/>
    <w:rsid w:val="00A561C1"/>
    <w:rsid w:val="00A620D0"/>
    <w:rsid w:val="00A62B9F"/>
    <w:rsid w:val="00A63749"/>
    <w:rsid w:val="00A64757"/>
    <w:rsid w:val="00A649D5"/>
    <w:rsid w:val="00A65AF4"/>
    <w:rsid w:val="00A666BE"/>
    <w:rsid w:val="00A67324"/>
    <w:rsid w:val="00A677D3"/>
    <w:rsid w:val="00A67DBB"/>
    <w:rsid w:val="00A702C2"/>
    <w:rsid w:val="00A71E1A"/>
    <w:rsid w:val="00A72269"/>
    <w:rsid w:val="00A725C2"/>
    <w:rsid w:val="00A738D0"/>
    <w:rsid w:val="00A74771"/>
    <w:rsid w:val="00A75F1A"/>
    <w:rsid w:val="00A7677B"/>
    <w:rsid w:val="00A76B69"/>
    <w:rsid w:val="00A811D6"/>
    <w:rsid w:val="00A8161D"/>
    <w:rsid w:val="00A81C88"/>
    <w:rsid w:val="00A82EF5"/>
    <w:rsid w:val="00A840CB"/>
    <w:rsid w:val="00A84E70"/>
    <w:rsid w:val="00A86A81"/>
    <w:rsid w:val="00A87645"/>
    <w:rsid w:val="00A87FD7"/>
    <w:rsid w:val="00A903FC"/>
    <w:rsid w:val="00A90A9B"/>
    <w:rsid w:val="00A90EAC"/>
    <w:rsid w:val="00A91E49"/>
    <w:rsid w:val="00A92152"/>
    <w:rsid w:val="00A92181"/>
    <w:rsid w:val="00A92956"/>
    <w:rsid w:val="00A94756"/>
    <w:rsid w:val="00AA1384"/>
    <w:rsid w:val="00AA1AD0"/>
    <w:rsid w:val="00AA2E45"/>
    <w:rsid w:val="00AA3366"/>
    <w:rsid w:val="00AA3550"/>
    <w:rsid w:val="00AA4EB7"/>
    <w:rsid w:val="00AA7002"/>
    <w:rsid w:val="00AB019D"/>
    <w:rsid w:val="00AB0988"/>
    <w:rsid w:val="00AB1170"/>
    <w:rsid w:val="00AB17FB"/>
    <w:rsid w:val="00AB1D5B"/>
    <w:rsid w:val="00AB3864"/>
    <w:rsid w:val="00AB3E6A"/>
    <w:rsid w:val="00AB69F4"/>
    <w:rsid w:val="00AC0D7F"/>
    <w:rsid w:val="00AC24F7"/>
    <w:rsid w:val="00AC3BF5"/>
    <w:rsid w:val="00AC6099"/>
    <w:rsid w:val="00AC7463"/>
    <w:rsid w:val="00AC7862"/>
    <w:rsid w:val="00AD256A"/>
    <w:rsid w:val="00AD2890"/>
    <w:rsid w:val="00AD2F7D"/>
    <w:rsid w:val="00AD3283"/>
    <w:rsid w:val="00AD367D"/>
    <w:rsid w:val="00AD37F6"/>
    <w:rsid w:val="00AD4F6D"/>
    <w:rsid w:val="00AE0939"/>
    <w:rsid w:val="00AE21C1"/>
    <w:rsid w:val="00AE3502"/>
    <w:rsid w:val="00AE489B"/>
    <w:rsid w:val="00AE49D5"/>
    <w:rsid w:val="00AF1BCE"/>
    <w:rsid w:val="00AF3C94"/>
    <w:rsid w:val="00AF7384"/>
    <w:rsid w:val="00B02554"/>
    <w:rsid w:val="00B02E56"/>
    <w:rsid w:val="00B03336"/>
    <w:rsid w:val="00B0381B"/>
    <w:rsid w:val="00B03A07"/>
    <w:rsid w:val="00B044A2"/>
    <w:rsid w:val="00B06201"/>
    <w:rsid w:val="00B06E29"/>
    <w:rsid w:val="00B06F96"/>
    <w:rsid w:val="00B0724D"/>
    <w:rsid w:val="00B07318"/>
    <w:rsid w:val="00B07996"/>
    <w:rsid w:val="00B07E3B"/>
    <w:rsid w:val="00B1080C"/>
    <w:rsid w:val="00B10816"/>
    <w:rsid w:val="00B1142C"/>
    <w:rsid w:val="00B11810"/>
    <w:rsid w:val="00B1198E"/>
    <w:rsid w:val="00B12917"/>
    <w:rsid w:val="00B1297E"/>
    <w:rsid w:val="00B1458B"/>
    <w:rsid w:val="00B16366"/>
    <w:rsid w:val="00B1661A"/>
    <w:rsid w:val="00B179B6"/>
    <w:rsid w:val="00B20890"/>
    <w:rsid w:val="00B23448"/>
    <w:rsid w:val="00B25115"/>
    <w:rsid w:val="00B252F3"/>
    <w:rsid w:val="00B25533"/>
    <w:rsid w:val="00B257AF"/>
    <w:rsid w:val="00B279CE"/>
    <w:rsid w:val="00B27C2D"/>
    <w:rsid w:val="00B27FE1"/>
    <w:rsid w:val="00B30378"/>
    <w:rsid w:val="00B32248"/>
    <w:rsid w:val="00B33789"/>
    <w:rsid w:val="00B35ED9"/>
    <w:rsid w:val="00B4097F"/>
    <w:rsid w:val="00B42BF7"/>
    <w:rsid w:val="00B4328A"/>
    <w:rsid w:val="00B43FBC"/>
    <w:rsid w:val="00B46BCF"/>
    <w:rsid w:val="00B478E3"/>
    <w:rsid w:val="00B50537"/>
    <w:rsid w:val="00B50A0A"/>
    <w:rsid w:val="00B50F11"/>
    <w:rsid w:val="00B60FD7"/>
    <w:rsid w:val="00B61C19"/>
    <w:rsid w:val="00B62CBA"/>
    <w:rsid w:val="00B64C86"/>
    <w:rsid w:val="00B6512E"/>
    <w:rsid w:val="00B66F5A"/>
    <w:rsid w:val="00B71DCB"/>
    <w:rsid w:val="00B73744"/>
    <w:rsid w:val="00B80AE1"/>
    <w:rsid w:val="00B80DD8"/>
    <w:rsid w:val="00B8251B"/>
    <w:rsid w:val="00B83E29"/>
    <w:rsid w:val="00B84F12"/>
    <w:rsid w:val="00B866BC"/>
    <w:rsid w:val="00B8738E"/>
    <w:rsid w:val="00B87702"/>
    <w:rsid w:val="00B878D3"/>
    <w:rsid w:val="00B90ADD"/>
    <w:rsid w:val="00B94C01"/>
    <w:rsid w:val="00B96221"/>
    <w:rsid w:val="00B96309"/>
    <w:rsid w:val="00BA0D96"/>
    <w:rsid w:val="00BA1AAD"/>
    <w:rsid w:val="00BA39DE"/>
    <w:rsid w:val="00BA410A"/>
    <w:rsid w:val="00BA4C63"/>
    <w:rsid w:val="00BA4E21"/>
    <w:rsid w:val="00BA56C0"/>
    <w:rsid w:val="00BA68B4"/>
    <w:rsid w:val="00BA7859"/>
    <w:rsid w:val="00BA7C74"/>
    <w:rsid w:val="00BB0BAF"/>
    <w:rsid w:val="00BB0E65"/>
    <w:rsid w:val="00BB171F"/>
    <w:rsid w:val="00BB1AAC"/>
    <w:rsid w:val="00BB2525"/>
    <w:rsid w:val="00BB2DB6"/>
    <w:rsid w:val="00BB4169"/>
    <w:rsid w:val="00BB53EC"/>
    <w:rsid w:val="00BB59D7"/>
    <w:rsid w:val="00BB7370"/>
    <w:rsid w:val="00BB7A40"/>
    <w:rsid w:val="00BB7A5B"/>
    <w:rsid w:val="00BC17E3"/>
    <w:rsid w:val="00BC2DF6"/>
    <w:rsid w:val="00BC2F1A"/>
    <w:rsid w:val="00BC30D6"/>
    <w:rsid w:val="00BC377A"/>
    <w:rsid w:val="00BC46C6"/>
    <w:rsid w:val="00BC681A"/>
    <w:rsid w:val="00BC6893"/>
    <w:rsid w:val="00BC71A1"/>
    <w:rsid w:val="00BC7825"/>
    <w:rsid w:val="00BD0629"/>
    <w:rsid w:val="00BD2702"/>
    <w:rsid w:val="00BD4649"/>
    <w:rsid w:val="00BD6A65"/>
    <w:rsid w:val="00BE0066"/>
    <w:rsid w:val="00BE0194"/>
    <w:rsid w:val="00BE1DF8"/>
    <w:rsid w:val="00BE29D1"/>
    <w:rsid w:val="00BE4DBF"/>
    <w:rsid w:val="00BE7EA2"/>
    <w:rsid w:val="00BF0861"/>
    <w:rsid w:val="00BF184E"/>
    <w:rsid w:val="00BF493F"/>
    <w:rsid w:val="00BF529A"/>
    <w:rsid w:val="00C01125"/>
    <w:rsid w:val="00C013FB"/>
    <w:rsid w:val="00C053D8"/>
    <w:rsid w:val="00C0734F"/>
    <w:rsid w:val="00C106B3"/>
    <w:rsid w:val="00C12741"/>
    <w:rsid w:val="00C12C25"/>
    <w:rsid w:val="00C144B6"/>
    <w:rsid w:val="00C14EB4"/>
    <w:rsid w:val="00C2143F"/>
    <w:rsid w:val="00C22AD3"/>
    <w:rsid w:val="00C246D0"/>
    <w:rsid w:val="00C24802"/>
    <w:rsid w:val="00C26E62"/>
    <w:rsid w:val="00C272BD"/>
    <w:rsid w:val="00C27AF9"/>
    <w:rsid w:val="00C313C3"/>
    <w:rsid w:val="00C34D56"/>
    <w:rsid w:val="00C35B7C"/>
    <w:rsid w:val="00C36BA3"/>
    <w:rsid w:val="00C42BA6"/>
    <w:rsid w:val="00C4388C"/>
    <w:rsid w:val="00C44488"/>
    <w:rsid w:val="00C4659F"/>
    <w:rsid w:val="00C4715B"/>
    <w:rsid w:val="00C51836"/>
    <w:rsid w:val="00C51969"/>
    <w:rsid w:val="00C521AD"/>
    <w:rsid w:val="00C52E0F"/>
    <w:rsid w:val="00C53F30"/>
    <w:rsid w:val="00C5453C"/>
    <w:rsid w:val="00C55232"/>
    <w:rsid w:val="00C5582D"/>
    <w:rsid w:val="00C558B3"/>
    <w:rsid w:val="00C575C6"/>
    <w:rsid w:val="00C60E5E"/>
    <w:rsid w:val="00C6161E"/>
    <w:rsid w:val="00C62CD1"/>
    <w:rsid w:val="00C633F9"/>
    <w:rsid w:val="00C634FC"/>
    <w:rsid w:val="00C65AE6"/>
    <w:rsid w:val="00C713AE"/>
    <w:rsid w:val="00C716F1"/>
    <w:rsid w:val="00C744B5"/>
    <w:rsid w:val="00C7455C"/>
    <w:rsid w:val="00C758BE"/>
    <w:rsid w:val="00C766A7"/>
    <w:rsid w:val="00C77788"/>
    <w:rsid w:val="00C77B44"/>
    <w:rsid w:val="00C8299D"/>
    <w:rsid w:val="00C84A4D"/>
    <w:rsid w:val="00C851E9"/>
    <w:rsid w:val="00C86B66"/>
    <w:rsid w:val="00C90AE6"/>
    <w:rsid w:val="00C9117A"/>
    <w:rsid w:val="00C91688"/>
    <w:rsid w:val="00C92277"/>
    <w:rsid w:val="00C92AB6"/>
    <w:rsid w:val="00C93A71"/>
    <w:rsid w:val="00C94A7F"/>
    <w:rsid w:val="00C95E17"/>
    <w:rsid w:val="00C96A4D"/>
    <w:rsid w:val="00C97D51"/>
    <w:rsid w:val="00C97F00"/>
    <w:rsid w:val="00CA3513"/>
    <w:rsid w:val="00CA3FF0"/>
    <w:rsid w:val="00CA4D71"/>
    <w:rsid w:val="00CA5F20"/>
    <w:rsid w:val="00CA732B"/>
    <w:rsid w:val="00CB026F"/>
    <w:rsid w:val="00CB21C7"/>
    <w:rsid w:val="00CB2836"/>
    <w:rsid w:val="00CB34D4"/>
    <w:rsid w:val="00CB4E31"/>
    <w:rsid w:val="00CB5ED9"/>
    <w:rsid w:val="00CB6E31"/>
    <w:rsid w:val="00CB788E"/>
    <w:rsid w:val="00CB7A7F"/>
    <w:rsid w:val="00CC12A5"/>
    <w:rsid w:val="00CC2197"/>
    <w:rsid w:val="00CC248F"/>
    <w:rsid w:val="00CC426A"/>
    <w:rsid w:val="00CC4545"/>
    <w:rsid w:val="00CC50E3"/>
    <w:rsid w:val="00CC69E6"/>
    <w:rsid w:val="00CC7527"/>
    <w:rsid w:val="00CC76AC"/>
    <w:rsid w:val="00CC7B70"/>
    <w:rsid w:val="00CD034D"/>
    <w:rsid w:val="00CD21E2"/>
    <w:rsid w:val="00CD537F"/>
    <w:rsid w:val="00CD5445"/>
    <w:rsid w:val="00CD5C51"/>
    <w:rsid w:val="00CD6952"/>
    <w:rsid w:val="00CD7A7E"/>
    <w:rsid w:val="00CE0609"/>
    <w:rsid w:val="00CE07B0"/>
    <w:rsid w:val="00CE0C98"/>
    <w:rsid w:val="00CE11AE"/>
    <w:rsid w:val="00CE1EDC"/>
    <w:rsid w:val="00CE2126"/>
    <w:rsid w:val="00CE3A33"/>
    <w:rsid w:val="00CE4C4A"/>
    <w:rsid w:val="00CE4C92"/>
    <w:rsid w:val="00CE63D8"/>
    <w:rsid w:val="00CE7F22"/>
    <w:rsid w:val="00CF15C0"/>
    <w:rsid w:val="00CF19D0"/>
    <w:rsid w:val="00CF1C28"/>
    <w:rsid w:val="00CF2960"/>
    <w:rsid w:val="00CF385A"/>
    <w:rsid w:val="00CF50BF"/>
    <w:rsid w:val="00CF60C9"/>
    <w:rsid w:val="00CF648E"/>
    <w:rsid w:val="00D0055A"/>
    <w:rsid w:val="00D018FA"/>
    <w:rsid w:val="00D023C6"/>
    <w:rsid w:val="00D028D6"/>
    <w:rsid w:val="00D034A4"/>
    <w:rsid w:val="00D03AA3"/>
    <w:rsid w:val="00D06ACA"/>
    <w:rsid w:val="00D10750"/>
    <w:rsid w:val="00D10ECE"/>
    <w:rsid w:val="00D1380F"/>
    <w:rsid w:val="00D1554B"/>
    <w:rsid w:val="00D15A94"/>
    <w:rsid w:val="00D15F3E"/>
    <w:rsid w:val="00D16215"/>
    <w:rsid w:val="00D16D78"/>
    <w:rsid w:val="00D17AC1"/>
    <w:rsid w:val="00D21DDF"/>
    <w:rsid w:val="00D22A24"/>
    <w:rsid w:val="00D22E4B"/>
    <w:rsid w:val="00D22E68"/>
    <w:rsid w:val="00D23461"/>
    <w:rsid w:val="00D237F5"/>
    <w:rsid w:val="00D23AB6"/>
    <w:rsid w:val="00D23ED7"/>
    <w:rsid w:val="00D261E6"/>
    <w:rsid w:val="00D26EF0"/>
    <w:rsid w:val="00D2710C"/>
    <w:rsid w:val="00D30381"/>
    <w:rsid w:val="00D311F8"/>
    <w:rsid w:val="00D32333"/>
    <w:rsid w:val="00D34279"/>
    <w:rsid w:val="00D34723"/>
    <w:rsid w:val="00D3501A"/>
    <w:rsid w:val="00D35A38"/>
    <w:rsid w:val="00D40039"/>
    <w:rsid w:val="00D41A82"/>
    <w:rsid w:val="00D43128"/>
    <w:rsid w:val="00D434B1"/>
    <w:rsid w:val="00D44A5F"/>
    <w:rsid w:val="00D44C8E"/>
    <w:rsid w:val="00D44EB2"/>
    <w:rsid w:val="00D4684E"/>
    <w:rsid w:val="00D5023F"/>
    <w:rsid w:val="00D50F3D"/>
    <w:rsid w:val="00D514C3"/>
    <w:rsid w:val="00D5182A"/>
    <w:rsid w:val="00D56C74"/>
    <w:rsid w:val="00D57B6E"/>
    <w:rsid w:val="00D609B9"/>
    <w:rsid w:val="00D6201A"/>
    <w:rsid w:val="00D6221D"/>
    <w:rsid w:val="00D640DA"/>
    <w:rsid w:val="00D67078"/>
    <w:rsid w:val="00D671A8"/>
    <w:rsid w:val="00D67537"/>
    <w:rsid w:val="00D7395C"/>
    <w:rsid w:val="00D75ACE"/>
    <w:rsid w:val="00D76279"/>
    <w:rsid w:val="00D76B96"/>
    <w:rsid w:val="00D80757"/>
    <w:rsid w:val="00D80B22"/>
    <w:rsid w:val="00D81C67"/>
    <w:rsid w:val="00D83B98"/>
    <w:rsid w:val="00D83ECD"/>
    <w:rsid w:val="00D86D38"/>
    <w:rsid w:val="00D8723A"/>
    <w:rsid w:val="00D9227C"/>
    <w:rsid w:val="00D9263D"/>
    <w:rsid w:val="00D9388A"/>
    <w:rsid w:val="00D938AB"/>
    <w:rsid w:val="00D947FA"/>
    <w:rsid w:val="00D94B46"/>
    <w:rsid w:val="00D95916"/>
    <w:rsid w:val="00D971FA"/>
    <w:rsid w:val="00DA08A3"/>
    <w:rsid w:val="00DA12A3"/>
    <w:rsid w:val="00DA1386"/>
    <w:rsid w:val="00DA3B46"/>
    <w:rsid w:val="00DA47B6"/>
    <w:rsid w:val="00DA61C4"/>
    <w:rsid w:val="00DA6B9C"/>
    <w:rsid w:val="00DA729C"/>
    <w:rsid w:val="00DB27A4"/>
    <w:rsid w:val="00DB3BF5"/>
    <w:rsid w:val="00DB610C"/>
    <w:rsid w:val="00DB7BF4"/>
    <w:rsid w:val="00DC0365"/>
    <w:rsid w:val="00DC0734"/>
    <w:rsid w:val="00DC0881"/>
    <w:rsid w:val="00DC10CF"/>
    <w:rsid w:val="00DC1229"/>
    <w:rsid w:val="00DC1824"/>
    <w:rsid w:val="00DC1EA1"/>
    <w:rsid w:val="00DC1F9B"/>
    <w:rsid w:val="00DC201A"/>
    <w:rsid w:val="00DC204B"/>
    <w:rsid w:val="00DC3BE8"/>
    <w:rsid w:val="00DC4EFB"/>
    <w:rsid w:val="00DC527E"/>
    <w:rsid w:val="00DC5DA5"/>
    <w:rsid w:val="00DC6F79"/>
    <w:rsid w:val="00DC6F9A"/>
    <w:rsid w:val="00DC76C9"/>
    <w:rsid w:val="00DD012E"/>
    <w:rsid w:val="00DD0679"/>
    <w:rsid w:val="00DD2414"/>
    <w:rsid w:val="00DD3AEF"/>
    <w:rsid w:val="00DD4284"/>
    <w:rsid w:val="00DD50DB"/>
    <w:rsid w:val="00DD65BE"/>
    <w:rsid w:val="00DD7057"/>
    <w:rsid w:val="00DD77A7"/>
    <w:rsid w:val="00DE0925"/>
    <w:rsid w:val="00DE2181"/>
    <w:rsid w:val="00DE2649"/>
    <w:rsid w:val="00DE298A"/>
    <w:rsid w:val="00DE4BE9"/>
    <w:rsid w:val="00DE5236"/>
    <w:rsid w:val="00DE6886"/>
    <w:rsid w:val="00DE7326"/>
    <w:rsid w:val="00DE7D85"/>
    <w:rsid w:val="00DF16CB"/>
    <w:rsid w:val="00DF3CCE"/>
    <w:rsid w:val="00DF3F71"/>
    <w:rsid w:val="00DF4FEF"/>
    <w:rsid w:val="00DF585D"/>
    <w:rsid w:val="00DF6B38"/>
    <w:rsid w:val="00DF761F"/>
    <w:rsid w:val="00E01073"/>
    <w:rsid w:val="00E01134"/>
    <w:rsid w:val="00E02441"/>
    <w:rsid w:val="00E04428"/>
    <w:rsid w:val="00E04769"/>
    <w:rsid w:val="00E066E9"/>
    <w:rsid w:val="00E103DE"/>
    <w:rsid w:val="00E1532D"/>
    <w:rsid w:val="00E16264"/>
    <w:rsid w:val="00E16615"/>
    <w:rsid w:val="00E20254"/>
    <w:rsid w:val="00E20766"/>
    <w:rsid w:val="00E20A22"/>
    <w:rsid w:val="00E2211C"/>
    <w:rsid w:val="00E24657"/>
    <w:rsid w:val="00E25166"/>
    <w:rsid w:val="00E258B1"/>
    <w:rsid w:val="00E268F9"/>
    <w:rsid w:val="00E26BCD"/>
    <w:rsid w:val="00E26BDE"/>
    <w:rsid w:val="00E27478"/>
    <w:rsid w:val="00E27AB3"/>
    <w:rsid w:val="00E30355"/>
    <w:rsid w:val="00E31C7A"/>
    <w:rsid w:val="00E33602"/>
    <w:rsid w:val="00E33A4B"/>
    <w:rsid w:val="00E33CEF"/>
    <w:rsid w:val="00E40559"/>
    <w:rsid w:val="00E40620"/>
    <w:rsid w:val="00E428DD"/>
    <w:rsid w:val="00E42B94"/>
    <w:rsid w:val="00E42FD6"/>
    <w:rsid w:val="00E4327D"/>
    <w:rsid w:val="00E4410E"/>
    <w:rsid w:val="00E4574D"/>
    <w:rsid w:val="00E502DF"/>
    <w:rsid w:val="00E50E60"/>
    <w:rsid w:val="00E51681"/>
    <w:rsid w:val="00E52724"/>
    <w:rsid w:val="00E5436B"/>
    <w:rsid w:val="00E5500A"/>
    <w:rsid w:val="00E55526"/>
    <w:rsid w:val="00E57BD2"/>
    <w:rsid w:val="00E605CA"/>
    <w:rsid w:val="00E626B6"/>
    <w:rsid w:val="00E63CA8"/>
    <w:rsid w:val="00E650CA"/>
    <w:rsid w:val="00E6585D"/>
    <w:rsid w:val="00E66006"/>
    <w:rsid w:val="00E67E1A"/>
    <w:rsid w:val="00E7045A"/>
    <w:rsid w:val="00E71C17"/>
    <w:rsid w:val="00E720A2"/>
    <w:rsid w:val="00E724AF"/>
    <w:rsid w:val="00E75AEC"/>
    <w:rsid w:val="00E75E91"/>
    <w:rsid w:val="00E763D1"/>
    <w:rsid w:val="00E80F7C"/>
    <w:rsid w:val="00E81C21"/>
    <w:rsid w:val="00E828E0"/>
    <w:rsid w:val="00E84A5A"/>
    <w:rsid w:val="00E86BD5"/>
    <w:rsid w:val="00E916E2"/>
    <w:rsid w:val="00E91880"/>
    <w:rsid w:val="00E933E1"/>
    <w:rsid w:val="00E93809"/>
    <w:rsid w:val="00E94535"/>
    <w:rsid w:val="00E95249"/>
    <w:rsid w:val="00E9617F"/>
    <w:rsid w:val="00E96943"/>
    <w:rsid w:val="00E971FA"/>
    <w:rsid w:val="00EA1606"/>
    <w:rsid w:val="00EA1D0E"/>
    <w:rsid w:val="00EA1D51"/>
    <w:rsid w:val="00EA1F84"/>
    <w:rsid w:val="00EA2408"/>
    <w:rsid w:val="00EA28D2"/>
    <w:rsid w:val="00EA2B80"/>
    <w:rsid w:val="00EA34D6"/>
    <w:rsid w:val="00EA5240"/>
    <w:rsid w:val="00EA5835"/>
    <w:rsid w:val="00EB15C0"/>
    <w:rsid w:val="00EB21E4"/>
    <w:rsid w:val="00EB318B"/>
    <w:rsid w:val="00EB6D79"/>
    <w:rsid w:val="00EB7370"/>
    <w:rsid w:val="00EC0B72"/>
    <w:rsid w:val="00EC1240"/>
    <w:rsid w:val="00EC1FCA"/>
    <w:rsid w:val="00EC2F38"/>
    <w:rsid w:val="00EC32C2"/>
    <w:rsid w:val="00EC42EA"/>
    <w:rsid w:val="00EC702D"/>
    <w:rsid w:val="00ED0BFD"/>
    <w:rsid w:val="00ED1A4D"/>
    <w:rsid w:val="00ED22C2"/>
    <w:rsid w:val="00ED32D3"/>
    <w:rsid w:val="00ED34A8"/>
    <w:rsid w:val="00ED50BE"/>
    <w:rsid w:val="00ED554E"/>
    <w:rsid w:val="00ED57D0"/>
    <w:rsid w:val="00ED5B70"/>
    <w:rsid w:val="00ED5F8E"/>
    <w:rsid w:val="00ED6507"/>
    <w:rsid w:val="00EE064A"/>
    <w:rsid w:val="00EE23E6"/>
    <w:rsid w:val="00EE292B"/>
    <w:rsid w:val="00EE314F"/>
    <w:rsid w:val="00EE3ED4"/>
    <w:rsid w:val="00EE476B"/>
    <w:rsid w:val="00EE5A40"/>
    <w:rsid w:val="00EE6AED"/>
    <w:rsid w:val="00EE7776"/>
    <w:rsid w:val="00EF09C9"/>
    <w:rsid w:val="00EF0AA9"/>
    <w:rsid w:val="00EF299A"/>
    <w:rsid w:val="00EF4526"/>
    <w:rsid w:val="00EF4C04"/>
    <w:rsid w:val="00EF5D9B"/>
    <w:rsid w:val="00EF62C4"/>
    <w:rsid w:val="00EF6B76"/>
    <w:rsid w:val="00F0037D"/>
    <w:rsid w:val="00F01703"/>
    <w:rsid w:val="00F02B57"/>
    <w:rsid w:val="00F04681"/>
    <w:rsid w:val="00F0582B"/>
    <w:rsid w:val="00F078EC"/>
    <w:rsid w:val="00F079AD"/>
    <w:rsid w:val="00F10DD5"/>
    <w:rsid w:val="00F12624"/>
    <w:rsid w:val="00F13DD7"/>
    <w:rsid w:val="00F15A94"/>
    <w:rsid w:val="00F16419"/>
    <w:rsid w:val="00F1653B"/>
    <w:rsid w:val="00F16FBB"/>
    <w:rsid w:val="00F176B7"/>
    <w:rsid w:val="00F1778E"/>
    <w:rsid w:val="00F20813"/>
    <w:rsid w:val="00F20BBE"/>
    <w:rsid w:val="00F22318"/>
    <w:rsid w:val="00F22F63"/>
    <w:rsid w:val="00F256BD"/>
    <w:rsid w:val="00F3078E"/>
    <w:rsid w:val="00F30FA8"/>
    <w:rsid w:val="00F32387"/>
    <w:rsid w:val="00F3339C"/>
    <w:rsid w:val="00F35CA7"/>
    <w:rsid w:val="00F35D48"/>
    <w:rsid w:val="00F35DC4"/>
    <w:rsid w:val="00F40010"/>
    <w:rsid w:val="00F40314"/>
    <w:rsid w:val="00F41D6E"/>
    <w:rsid w:val="00F428E0"/>
    <w:rsid w:val="00F44774"/>
    <w:rsid w:val="00F44EF8"/>
    <w:rsid w:val="00F4655E"/>
    <w:rsid w:val="00F508DA"/>
    <w:rsid w:val="00F50C83"/>
    <w:rsid w:val="00F5137E"/>
    <w:rsid w:val="00F525E3"/>
    <w:rsid w:val="00F53784"/>
    <w:rsid w:val="00F54263"/>
    <w:rsid w:val="00F548B3"/>
    <w:rsid w:val="00F55C51"/>
    <w:rsid w:val="00F568AB"/>
    <w:rsid w:val="00F570BE"/>
    <w:rsid w:val="00F6079F"/>
    <w:rsid w:val="00F60E42"/>
    <w:rsid w:val="00F61166"/>
    <w:rsid w:val="00F635A4"/>
    <w:rsid w:val="00F65380"/>
    <w:rsid w:val="00F67D0A"/>
    <w:rsid w:val="00F7029F"/>
    <w:rsid w:val="00F714AA"/>
    <w:rsid w:val="00F72102"/>
    <w:rsid w:val="00F725B3"/>
    <w:rsid w:val="00F731CB"/>
    <w:rsid w:val="00F73C9D"/>
    <w:rsid w:val="00F74464"/>
    <w:rsid w:val="00F75BFD"/>
    <w:rsid w:val="00F761A7"/>
    <w:rsid w:val="00F81DBC"/>
    <w:rsid w:val="00F83BC9"/>
    <w:rsid w:val="00F844B6"/>
    <w:rsid w:val="00F84990"/>
    <w:rsid w:val="00F85E32"/>
    <w:rsid w:val="00F903B7"/>
    <w:rsid w:val="00F9138E"/>
    <w:rsid w:val="00F91C08"/>
    <w:rsid w:val="00F922C4"/>
    <w:rsid w:val="00F92678"/>
    <w:rsid w:val="00F931D0"/>
    <w:rsid w:val="00F932B9"/>
    <w:rsid w:val="00F93E86"/>
    <w:rsid w:val="00F93FD3"/>
    <w:rsid w:val="00F94312"/>
    <w:rsid w:val="00F94485"/>
    <w:rsid w:val="00F94E0D"/>
    <w:rsid w:val="00F94E68"/>
    <w:rsid w:val="00F956A1"/>
    <w:rsid w:val="00F969D5"/>
    <w:rsid w:val="00FA1C6F"/>
    <w:rsid w:val="00FA2F08"/>
    <w:rsid w:val="00FA432E"/>
    <w:rsid w:val="00FA4E05"/>
    <w:rsid w:val="00FA4FDF"/>
    <w:rsid w:val="00FA6170"/>
    <w:rsid w:val="00FB1181"/>
    <w:rsid w:val="00FB223E"/>
    <w:rsid w:val="00FB48B8"/>
    <w:rsid w:val="00FB6198"/>
    <w:rsid w:val="00FC1110"/>
    <w:rsid w:val="00FC24DE"/>
    <w:rsid w:val="00FC35D0"/>
    <w:rsid w:val="00FC4BD1"/>
    <w:rsid w:val="00FC758A"/>
    <w:rsid w:val="00FC789D"/>
    <w:rsid w:val="00FC7F53"/>
    <w:rsid w:val="00FD0285"/>
    <w:rsid w:val="00FD1048"/>
    <w:rsid w:val="00FD2582"/>
    <w:rsid w:val="00FD4E0A"/>
    <w:rsid w:val="00FD59B9"/>
    <w:rsid w:val="00FD6B7B"/>
    <w:rsid w:val="00FD6C74"/>
    <w:rsid w:val="00FD7A9F"/>
    <w:rsid w:val="00FE055A"/>
    <w:rsid w:val="00FE0C8F"/>
    <w:rsid w:val="00FE1A13"/>
    <w:rsid w:val="00FE22F1"/>
    <w:rsid w:val="00FE3B75"/>
    <w:rsid w:val="00FE4E89"/>
    <w:rsid w:val="00FE56DA"/>
    <w:rsid w:val="00FE5A29"/>
    <w:rsid w:val="00FE636C"/>
    <w:rsid w:val="00FE7011"/>
    <w:rsid w:val="00FE7DAF"/>
    <w:rsid w:val="00FE7E0C"/>
    <w:rsid w:val="00FF144E"/>
    <w:rsid w:val="00FF40F2"/>
    <w:rsid w:val="00FF4EA5"/>
    <w:rsid w:val="00FF68E7"/>
    <w:rsid w:val="00FF6EC0"/>
    <w:rsid w:val="00FF73DD"/>
    <w:rsid w:val="00FF75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標楷體" w:hAnsi="Times New Roman" w:cstheme="minorBidi"/>
        <w:kern w:val="2"/>
        <w:sz w:val="28"/>
        <w:szCs w:val="22"/>
        <w:lang w:val="en-US" w:eastAsia="zh-TW" w:bidi="ar-SA"/>
      </w:rPr>
    </w:rPrDefault>
    <w:pPrDefault>
      <w:pPr>
        <w:spacing w:beforeLines="50" w:before="50"/>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6BAE"/>
    <w:pPr>
      <w:tabs>
        <w:tab w:val="center" w:pos="4153"/>
        <w:tab w:val="right" w:pos="8306"/>
      </w:tabs>
      <w:snapToGrid w:val="0"/>
    </w:pPr>
    <w:rPr>
      <w:sz w:val="20"/>
      <w:szCs w:val="20"/>
    </w:rPr>
  </w:style>
  <w:style w:type="character" w:customStyle="1" w:styleId="a4">
    <w:name w:val="頁首 字元"/>
    <w:basedOn w:val="a0"/>
    <w:link w:val="a3"/>
    <w:uiPriority w:val="99"/>
    <w:rsid w:val="00726BAE"/>
    <w:rPr>
      <w:sz w:val="20"/>
      <w:szCs w:val="20"/>
    </w:rPr>
  </w:style>
  <w:style w:type="paragraph" w:styleId="a5">
    <w:name w:val="footer"/>
    <w:basedOn w:val="a"/>
    <w:link w:val="a6"/>
    <w:uiPriority w:val="99"/>
    <w:unhideWhenUsed/>
    <w:rsid w:val="00726BAE"/>
    <w:pPr>
      <w:tabs>
        <w:tab w:val="center" w:pos="4153"/>
        <w:tab w:val="right" w:pos="8306"/>
      </w:tabs>
      <w:snapToGrid w:val="0"/>
    </w:pPr>
    <w:rPr>
      <w:sz w:val="20"/>
      <w:szCs w:val="20"/>
    </w:rPr>
  </w:style>
  <w:style w:type="character" w:customStyle="1" w:styleId="a6">
    <w:name w:val="頁尾 字元"/>
    <w:basedOn w:val="a0"/>
    <w:link w:val="a5"/>
    <w:uiPriority w:val="99"/>
    <w:rsid w:val="00726BAE"/>
    <w:rPr>
      <w:sz w:val="20"/>
      <w:szCs w:val="20"/>
    </w:rPr>
  </w:style>
  <w:style w:type="paragraph" w:styleId="a7">
    <w:name w:val="List Paragraph"/>
    <w:aliases w:val="清單段落a"/>
    <w:basedOn w:val="a"/>
    <w:link w:val="a8"/>
    <w:uiPriority w:val="34"/>
    <w:qFormat/>
    <w:rsid w:val="00AF3C94"/>
    <w:pPr>
      <w:widowControl w:val="0"/>
      <w:spacing w:beforeLines="0" w:before="0"/>
      <w:ind w:leftChars="200" w:left="480" w:firstLineChars="0" w:firstLine="0"/>
      <w:jc w:val="left"/>
    </w:pPr>
    <w:rPr>
      <w:rFonts w:asciiTheme="minorHAnsi" w:eastAsiaTheme="minorEastAsia" w:hAnsiTheme="minorHAnsi"/>
      <w:sz w:val="24"/>
    </w:rPr>
  </w:style>
  <w:style w:type="paragraph" w:styleId="a9">
    <w:name w:val="Title"/>
    <w:basedOn w:val="a"/>
    <w:next w:val="a"/>
    <w:link w:val="aa"/>
    <w:uiPriority w:val="10"/>
    <w:qFormat/>
    <w:rsid w:val="00CA3513"/>
    <w:pPr>
      <w:spacing w:before="240" w:after="60"/>
      <w:jc w:val="center"/>
      <w:outlineLvl w:val="0"/>
    </w:pPr>
    <w:rPr>
      <w:rFonts w:asciiTheme="majorHAnsi" w:eastAsia="新細明體" w:hAnsiTheme="majorHAnsi" w:cstheme="majorBidi"/>
      <w:b/>
      <w:bCs/>
      <w:sz w:val="32"/>
      <w:szCs w:val="32"/>
    </w:rPr>
  </w:style>
  <w:style w:type="character" w:customStyle="1" w:styleId="aa">
    <w:name w:val="標題 字元"/>
    <w:basedOn w:val="a0"/>
    <w:link w:val="a9"/>
    <w:uiPriority w:val="10"/>
    <w:rsid w:val="00CA3513"/>
    <w:rPr>
      <w:rFonts w:asciiTheme="majorHAnsi" w:eastAsia="新細明體" w:hAnsiTheme="majorHAnsi" w:cstheme="majorBidi"/>
      <w:b/>
      <w:bCs/>
      <w:sz w:val="32"/>
      <w:szCs w:val="32"/>
    </w:rPr>
  </w:style>
  <w:style w:type="paragraph" w:styleId="ab">
    <w:name w:val="footnote text"/>
    <w:aliases w:val="Report_note"/>
    <w:basedOn w:val="a"/>
    <w:link w:val="ac"/>
    <w:uiPriority w:val="99"/>
    <w:unhideWhenUsed/>
    <w:qFormat/>
    <w:rsid w:val="009577B3"/>
    <w:pPr>
      <w:widowControl w:val="0"/>
      <w:snapToGrid w:val="0"/>
      <w:spacing w:beforeLines="0" w:before="0"/>
      <w:ind w:firstLineChars="0" w:firstLine="0"/>
      <w:jc w:val="left"/>
    </w:pPr>
    <w:rPr>
      <w:rFonts w:asciiTheme="minorHAnsi" w:eastAsiaTheme="minorEastAsia" w:hAnsiTheme="minorHAnsi"/>
      <w:sz w:val="20"/>
      <w:szCs w:val="20"/>
    </w:rPr>
  </w:style>
  <w:style w:type="character" w:customStyle="1" w:styleId="ac">
    <w:name w:val="註腳文字 字元"/>
    <w:aliases w:val="Report_note 字元"/>
    <w:basedOn w:val="a0"/>
    <w:link w:val="ab"/>
    <w:uiPriority w:val="99"/>
    <w:qFormat/>
    <w:rsid w:val="009577B3"/>
    <w:rPr>
      <w:rFonts w:asciiTheme="minorHAnsi" w:eastAsiaTheme="minorEastAsia" w:hAnsiTheme="minorHAnsi"/>
      <w:sz w:val="20"/>
      <w:szCs w:val="20"/>
    </w:rPr>
  </w:style>
  <w:style w:type="character" w:styleId="ad">
    <w:name w:val="footnote reference"/>
    <w:basedOn w:val="a0"/>
    <w:uiPriority w:val="99"/>
    <w:unhideWhenUsed/>
    <w:qFormat/>
    <w:rsid w:val="009577B3"/>
    <w:rPr>
      <w:vertAlign w:val="superscript"/>
    </w:rPr>
  </w:style>
  <w:style w:type="character" w:customStyle="1" w:styleId="a8">
    <w:name w:val="清單段落 字元"/>
    <w:aliases w:val="清單段落a 字元"/>
    <w:link w:val="a7"/>
    <w:uiPriority w:val="34"/>
    <w:locked/>
    <w:rsid w:val="00651D98"/>
    <w:rPr>
      <w:rFonts w:asciiTheme="minorHAnsi" w:eastAsiaTheme="minorEastAsia" w:hAnsiTheme="minorHAnsi"/>
      <w:sz w:val="24"/>
    </w:rPr>
  </w:style>
  <w:style w:type="paragraph" w:styleId="ae">
    <w:name w:val="Balloon Text"/>
    <w:basedOn w:val="a"/>
    <w:link w:val="af"/>
    <w:uiPriority w:val="99"/>
    <w:semiHidden/>
    <w:unhideWhenUsed/>
    <w:rsid w:val="00BA0D96"/>
    <w:pPr>
      <w:spacing w:before="0"/>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BA0D96"/>
    <w:rPr>
      <w:rFonts w:asciiTheme="majorHAnsi" w:eastAsiaTheme="majorEastAsia" w:hAnsiTheme="majorHAnsi" w:cstheme="majorBidi"/>
      <w:sz w:val="18"/>
      <w:szCs w:val="18"/>
    </w:rPr>
  </w:style>
  <w:style w:type="character" w:styleId="af0">
    <w:name w:val="annotation reference"/>
    <w:basedOn w:val="a0"/>
    <w:rsid w:val="0007235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標楷體" w:hAnsi="Times New Roman" w:cstheme="minorBidi"/>
        <w:kern w:val="2"/>
        <w:sz w:val="28"/>
        <w:szCs w:val="22"/>
        <w:lang w:val="en-US" w:eastAsia="zh-TW" w:bidi="ar-SA"/>
      </w:rPr>
    </w:rPrDefault>
    <w:pPrDefault>
      <w:pPr>
        <w:spacing w:beforeLines="50" w:before="50"/>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6BAE"/>
    <w:pPr>
      <w:tabs>
        <w:tab w:val="center" w:pos="4153"/>
        <w:tab w:val="right" w:pos="8306"/>
      </w:tabs>
      <w:snapToGrid w:val="0"/>
    </w:pPr>
    <w:rPr>
      <w:sz w:val="20"/>
      <w:szCs w:val="20"/>
    </w:rPr>
  </w:style>
  <w:style w:type="character" w:customStyle="1" w:styleId="a4">
    <w:name w:val="頁首 字元"/>
    <w:basedOn w:val="a0"/>
    <w:link w:val="a3"/>
    <w:uiPriority w:val="99"/>
    <w:rsid w:val="00726BAE"/>
    <w:rPr>
      <w:sz w:val="20"/>
      <w:szCs w:val="20"/>
    </w:rPr>
  </w:style>
  <w:style w:type="paragraph" w:styleId="a5">
    <w:name w:val="footer"/>
    <w:basedOn w:val="a"/>
    <w:link w:val="a6"/>
    <w:uiPriority w:val="99"/>
    <w:unhideWhenUsed/>
    <w:rsid w:val="00726BAE"/>
    <w:pPr>
      <w:tabs>
        <w:tab w:val="center" w:pos="4153"/>
        <w:tab w:val="right" w:pos="8306"/>
      </w:tabs>
      <w:snapToGrid w:val="0"/>
    </w:pPr>
    <w:rPr>
      <w:sz w:val="20"/>
      <w:szCs w:val="20"/>
    </w:rPr>
  </w:style>
  <w:style w:type="character" w:customStyle="1" w:styleId="a6">
    <w:name w:val="頁尾 字元"/>
    <w:basedOn w:val="a0"/>
    <w:link w:val="a5"/>
    <w:uiPriority w:val="99"/>
    <w:rsid w:val="00726BAE"/>
    <w:rPr>
      <w:sz w:val="20"/>
      <w:szCs w:val="20"/>
    </w:rPr>
  </w:style>
  <w:style w:type="paragraph" w:styleId="a7">
    <w:name w:val="List Paragraph"/>
    <w:aliases w:val="清單段落a"/>
    <w:basedOn w:val="a"/>
    <w:link w:val="a8"/>
    <w:uiPriority w:val="34"/>
    <w:qFormat/>
    <w:rsid w:val="00AF3C94"/>
    <w:pPr>
      <w:widowControl w:val="0"/>
      <w:spacing w:beforeLines="0" w:before="0"/>
      <w:ind w:leftChars="200" w:left="480" w:firstLineChars="0" w:firstLine="0"/>
      <w:jc w:val="left"/>
    </w:pPr>
    <w:rPr>
      <w:rFonts w:asciiTheme="minorHAnsi" w:eastAsiaTheme="minorEastAsia" w:hAnsiTheme="minorHAnsi"/>
      <w:sz w:val="24"/>
    </w:rPr>
  </w:style>
  <w:style w:type="paragraph" w:styleId="a9">
    <w:name w:val="Title"/>
    <w:basedOn w:val="a"/>
    <w:next w:val="a"/>
    <w:link w:val="aa"/>
    <w:uiPriority w:val="10"/>
    <w:qFormat/>
    <w:rsid w:val="00CA3513"/>
    <w:pPr>
      <w:spacing w:before="240" w:after="60"/>
      <w:jc w:val="center"/>
      <w:outlineLvl w:val="0"/>
    </w:pPr>
    <w:rPr>
      <w:rFonts w:asciiTheme="majorHAnsi" w:eastAsia="新細明體" w:hAnsiTheme="majorHAnsi" w:cstheme="majorBidi"/>
      <w:b/>
      <w:bCs/>
      <w:sz w:val="32"/>
      <w:szCs w:val="32"/>
    </w:rPr>
  </w:style>
  <w:style w:type="character" w:customStyle="1" w:styleId="aa">
    <w:name w:val="標題 字元"/>
    <w:basedOn w:val="a0"/>
    <w:link w:val="a9"/>
    <w:uiPriority w:val="10"/>
    <w:rsid w:val="00CA3513"/>
    <w:rPr>
      <w:rFonts w:asciiTheme="majorHAnsi" w:eastAsia="新細明體" w:hAnsiTheme="majorHAnsi" w:cstheme="majorBidi"/>
      <w:b/>
      <w:bCs/>
      <w:sz w:val="32"/>
      <w:szCs w:val="32"/>
    </w:rPr>
  </w:style>
  <w:style w:type="paragraph" w:styleId="ab">
    <w:name w:val="footnote text"/>
    <w:aliases w:val="Report_note"/>
    <w:basedOn w:val="a"/>
    <w:link w:val="ac"/>
    <w:uiPriority w:val="99"/>
    <w:unhideWhenUsed/>
    <w:qFormat/>
    <w:rsid w:val="009577B3"/>
    <w:pPr>
      <w:widowControl w:val="0"/>
      <w:snapToGrid w:val="0"/>
      <w:spacing w:beforeLines="0" w:before="0"/>
      <w:ind w:firstLineChars="0" w:firstLine="0"/>
      <w:jc w:val="left"/>
    </w:pPr>
    <w:rPr>
      <w:rFonts w:asciiTheme="minorHAnsi" w:eastAsiaTheme="minorEastAsia" w:hAnsiTheme="minorHAnsi"/>
      <w:sz w:val="20"/>
      <w:szCs w:val="20"/>
    </w:rPr>
  </w:style>
  <w:style w:type="character" w:customStyle="1" w:styleId="ac">
    <w:name w:val="註腳文字 字元"/>
    <w:aliases w:val="Report_note 字元"/>
    <w:basedOn w:val="a0"/>
    <w:link w:val="ab"/>
    <w:uiPriority w:val="99"/>
    <w:qFormat/>
    <w:rsid w:val="009577B3"/>
    <w:rPr>
      <w:rFonts w:asciiTheme="minorHAnsi" w:eastAsiaTheme="minorEastAsia" w:hAnsiTheme="minorHAnsi"/>
      <w:sz w:val="20"/>
      <w:szCs w:val="20"/>
    </w:rPr>
  </w:style>
  <w:style w:type="character" w:styleId="ad">
    <w:name w:val="footnote reference"/>
    <w:basedOn w:val="a0"/>
    <w:uiPriority w:val="99"/>
    <w:unhideWhenUsed/>
    <w:qFormat/>
    <w:rsid w:val="009577B3"/>
    <w:rPr>
      <w:vertAlign w:val="superscript"/>
    </w:rPr>
  </w:style>
  <w:style w:type="character" w:customStyle="1" w:styleId="a8">
    <w:name w:val="清單段落 字元"/>
    <w:aliases w:val="清單段落a 字元"/>
    <w:link w:val="a7"/>
    <w:uiPriority w:val="34"/>
    <w:locked/>
    <w:rsid w:val="00651D98"/>
    <w:rPr>
      <w:rFonts w:asciiTheme="minorHAnsi" w:eastAsiaTheme="minorEastAsia" w:hAnsiTheme="minorHAnsi"/>
      <w:sz w:val="24"/>
    </w:rPr>
  </w:style>
  <w:style w:type="paragraph" w:styleId="ae">
    <w:name w:val="Balloon Text"/>
    <w:basedOn w:val="a"/>
    <w:link w:val="af"/>
    <w:uiPriority w:val="99"/>
    <w:semiHidden/>
    <w:unhideWhenUsed/>
    <w:rsid w:val="00BA0D96"/>
    <w:pPr>
      <w:spacing w:before="0"/>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BA0D96"/>
    <w:rPr>
      <w:rFonts w:asciiTheme="majorHAnsi" w:eastAsiaTheme="majorEastAsia" w:hAnsiTheme="majorHAnsi" w:cstheme="majorBidi"/>
      <w:sz w:val="18"/>
      <w:szCs w:val="18"/>
    </w:rPr>
  </w:style>
  <w:style w:type="character" w:styleId="af0">
    <w:name w:val="annotation reference"/>
    <w:basedOn w:val="a0"/>
    <w:rsid w:val="000723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04181">
      <w:bodyDiv w:val="1"/>
      <w:marLeft w:val="0"/>
      <w:marRight w:val="0"/>
      <w:marTop w:val="0"/>
      <w:marBottom w:val="0"/>
      <w:divBdr>
        <w:top w:val="none" w:sz="0" w:space="0" w:color="auto"/>
        <w:left w:val="none" w:sz="0" w:space="0" w:color="auto"/>
        <w:bottom w:val="none" w:sz="0" w:space="0" w:color="auto"/>
        <w:right w:val="none" w:sz="0" w:space="0" w:color="auto"/>
      </w:divBdr>
    </w:div>
    <w:div w:id="511771651">
      <w:bodyDiv w:val="1"/>
      <w:marLeft w:val="0"/>
      <w:marRight w:val="0"/>
      <w:marTop w:val="0"/>
      <w:marBottom w:val="0"/>
      <w:divBdr>
        <w:top w:val="none" w:sz="0" w:space="0" w:color="auto"/>
        <w:left w:val="none" w:sz="0" w:space="0" w:color="auto"/>
        <w:bottom w:val="none" w:sz="0" w:space="0" w:color="auto"/>
        <w:right w:val="none" w:sz="0" w:space="0" w:color="auto"/>
      </w:divBdr>
    </w:div>
    <w:div w:id="194407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DF7E9-1CDA-4632-87B2-C62C176F0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1694</Words>
  <Characters>9659</Characters>
  <Application>Microsoft Office Word</Application>
  <DocSecurity>0</DocSecurity>
  <Lines>80</Lines>
  <Paragraphs>22</Paragraphs>
  <ScaleCrop>false</ScaleCrop>
  <Company>Hewlett-Packard Company</Company>
  <LinksUpToDate>false</LinksUpToDate>
  <CharactersWithSpaces>11331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王梓彥</dc:creator>
  <cp:lastModifiedBy>李佳盈</cp:lastModifiedBy>
  <cp:revision>2</cp:revision>
  <cp:lastPrinted>2019-07-11T22:51:00Z</cp:lastPrinted>
  <dcterms:created xsi:type="dcterms:W3CDTF">2019-07-12T01:47:00Z</dcterms:created>
  <dcterms:modified xsi:type="dcterms:W3CDTF">2019-07-12T01:47:00Z</dcterms:modified>
</cp:coreProperties>
</file>