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464" w:rsidRPr="00024680" w:rsidRDefault="00F74464" w:rsidP="00CE4C4A">
      <w:pPr>
        <w:pStyle w:val="a9"/>
        <w:spacing w:before="260"/>
        <w:ind w:firstLineChars="0" w:firstLine="0"/>
        <w:rPr>
          <w:rFonts w:ascii="Times New Roman" w:eastAsia="標楷體" w:hAnsi="Times New Roman" w:cs="Times New Roman"/>
        </w:rPr>
      </w:pPr>
      <w:r w:rsidRPr="00024680">
        <w:rPr>
          <w:rFonts w:ascii="Times New Roman" w:eastAsia="標楷體" w:hAnsi="Times New Roman" w:cs="Times New Roman"/>
        </w:rPr>
        <w:t>台灣資金運用的戰略思考</w:t>
      </w:r>
    </w:p>
    <w:p w:rsidR="00AF3C94" w:rsidRPr="00024680" w:rsidRDefault="00AF3C94" w:rsidP="00CE4C4A">
      <w:pPr>
        <w:pStyle w:val="a9"/>
        <w:spacing w:before="260"/>
        <w:ind w:firstLineChars="0" w:firstLine="0"/>
        <w:rPr>
          <w:rFonts w:ascii="Times New Roman" w:eastAsia="標楷體" w:hAnsi="Times New Roman" w:cs="Times New Roman"/>
        </w:rPr>
      </w:pPr>
      <w:r w:rsidRPr="00024680">
        <w:rPr>
          <w:rFonts w:ascii="Times New Roman" w:eastAsia="標楷體" w:hAnsi="Times New Roman" w:cs="Times New Roman"/>
        </w:rPr>
        <w:t>楊金龍</w:t>
      </w:r>
    </w:p>
    <w:p w:rsidR="00AF3C94" w:rsidRPr="00024680" w:rsidRDefault="00CA3513" w:rsidP="00761CA1">
      <w:pPr>
        <w:snapToGrid w:val="0"/>
        <w:spacing w:beforeLines="30" w:before="156" w:afterLines="30" w:after="156" w:line="500" w:lineRule="exact"/>
        <w:ind w:firstLineChars="0" w:firstLine="0"/>
        <w:jc w:val="right"/>
        <w:rPr>
          <w:rFonts w:cs="Times New Roman"/>
          <w:b/>
          <w:szCs w:val="28"/>
        </w:rPr>
      </w:pPr>
      <w:r w:rsidRPr="00024680">
        <w:rPr>
          <w:rFonts w:cs="Times New Roman" w:hint="eastAsia"/>
          <w:szCs w:val="28"/>
        </w:rPr>
        <w:t>中央銀行</w:t>
      </w:r>
      <w:r w:rsidRPr="00024680">
        <w:rPr>
          <w:rFonts w:cs="Times New Roman"/>
          <w:szCs w:val="28"/>
        </w:rPr>
        <w:t>/108.</w:t>
      </w:r>
      <w:r w:rsidRPr="00024680">
        <w:rPr>
          <w:rFonts w:cs="Times New Roman" w:hint="eastAsia"/>
          <w:szCs w:val="28"/>
        </w:rPr>
        <w:t>7</w:t>
      </w:r>
      <w:r w:rsidRPr="00024680">
        <w:rPr>
          <w:rFonts w:cs="Times New Roman"/>
          <w:szCs w:val="28"/>
        </w:rPr>
        <w:t>.</w:t>
      </w:r>
      <w:r w:rsidRPr="00024680">
        <w:rPr>
          <w:rFonts w:cs="Times New Roman" w:hint="eastAsia"/>
          <w:szCs w:val="28"/>
        </w:rPr>
        <w:t>2</w:t>
      </w:r>
    </w:p>
    <w:p w:rsidR="00AF3C94" w:rsidRPr="00024680" w:rsidRDefault="00AF3C94" w:rsidP="00761CA1">
      <w:pPr>
        <w:snapToGrid w:val="0"/>
        <w:spacing w:beforeLines="30" w:before="156" w:afterLines="30" w:after="156" w:line="500" w:lineRule="exact"/>
        <w:ind w:left="617" w:hangingChars="220" w:hanging="617"/>
        <w:rPr>
          <w:rFonts w:cs="Times New Roman"/>
          <w:b/>
          <w:szCs w:val="28"/>
        </w:rPr>
      </w:pPr>
      <w:r w:rsidRPr="00024680">
        <w:rPr>
          <w:rFonts w:cs="Times New Roman" w:hint="eastAsia"/>
          <w:b/>
          <w:szCs w:val="28"/>
        </w:rPr>
        <w:t>序言</w:t>
      </w:r>
    </w:p>
    <w:p w:rsidR="00AF3C94" w:rsidRPr="00024680" w:rsidRDefault="00EC1240" w:rsidP="00761CA1">
      <w:pPr>
        <w:overflowPunct w:val="0"/>
        <w:spacing w:beforeLines="30" w:before="156" w:afterLines="30" w:after="156" w:line="500" w:lineRule="exact"/>
        <w:ind w:firstLineChars="202" w:firstLine="566"/>
        <w:rPr>
          <w:rFonts w:cs="Times New Roman"/>
          <w:szCs w:val="28"/>
        </w:rPr>
      </w:pPr>
      <w:r w:rsidRPr="00024680">
        <w:rPr>
          <w:rFonts w:cs="Times New Roman"/>
          <w:szCs w:val="28"/>
        </w:rPr>
        <w:t>吳董事長、</w:t>
      </w:r>
      <w:r w:rsidR="00AF3C94" w:rsidRPr="00024680">
        <w:rPr>
          <w:rFonts w:cs="Times New Roman"/>
          <w:szCs w:val="28"/>
        </w:rPr>
        <w:t>黃院長、劉錦添教授、</w:t>
      </w:r>
      <w:r w:rsidR="001C2E93">
        <w:rPr>
          <w:rFonts w:cs="Times New Roman" w:hint="eastAsia"/>
          <w:szCs w:val="28"/>
        </w:rPr>
        <w:t>陳院長、</w:t>
      </w:r>
      <w:r w:rsidR="00AF3C94" w:rsidRPr="00024680">
        <w:rPr>
          <w:rFonts w:cs="Times New Roman"/>
          <w:szCs w:val="28"/>
        </w:rPr>
        <w:t>陳主委、</w:t>
      </w:r>
      <w:r w:rsidR="00B843B3">
        <w:rPr>
          <w:rFonts w:cs="Times New Roman" w:hint="eastAsia"/>
          <w:szCs w:val="28"/>
        </w:rPr>
        <w:t>吳次長</w:t>
      </w:r>
      <w:r w:rsidR="00D8017A">
        <w:rPr>
          <w:rFonts w:cs="Times New Roman" w:hint="eastAsia"/>
          <w:szCs w:val="28"/>
        </w:rPr>
        <w:t>、張處長、吳處長</w:t>
      </w:r>
      <w:r w:rsidR="00AF3C94" w:rsidRPr="00024680">
        <w:rPr>
          <w:rFonts w:cs="Times New Roman"/>
          <w:szCs w:val="28"/>
        </w:rPr>
        <w:t>，各位金融界的前輩與先進、各位貴賓及媒體朋友，大家午安！</w:t>
      </w:r>
    </w:p>
    <w:p w:rsidR="00AD256A" w:rsidRPr="00024680" w:rsidRDefault="00AD256A" w:rsidP="00761CA1">
      <w:pPr>
        <w:overflowPunct w:val="0"/>
        <w:spacing w:beforeLines="30" w:before="156" w:afterLines="30" w:after="156" w:line="500" w:lineRule="exact"/>
        <w:ind w:firstLineChars="202" w:firstLine="566"/>
        <w:rPr>
          <w:rFonts w:cs="Times New Roman"/>
          <w:szCs w:val="28"/>
        </w:rPr>
      </w:pPr>
      <w:r w:rsidRPr="00024680">
        <w:rPr>
          <w:rFonts w:cs="Times New Roman" w:hint="eastAsia"/>
          <w:szCs w:val="28"/>
        </w:rPr>
        <w:t>今天很高興能應台灣金融研訓院</w:t>
      </w:r>
      <w:r w:rsidRPr="00024680">
        <w:rPr>
          <w:rFonts w:ascii="新細明體" w:eastAsia="新細明體" w:hAnsi="新細明體" w:cs="Times New Roman" w:hint="eastAsia"/>
          <w:szCs w:val="28"/>
        </w:rPr>
        <w:t>、</w:t>
      </w:r>
      <w:r w:rsidRPr="00024680">
        <w:rPr>
          <w:rFonts w:cs="Times New Roman" w:hint="eastAsia"/>
          <w:szCs w:val="28"/>
        </w:rPr>
        <w:t>臺大公共經濟研究中心、台灣公共議題研究協會、中華經濟研究院的邀請，參加本次「回流資金</w:t>
      </w:r>
      <w:proofErr w:type="gramStart"/>
      <w:r w:rsidRPr="00024680">
        <w:rPr>
          <w:rFonts w:cs="Times New Roman"/>
          <w:szCs w:val="28"/>
        </w:rPr>
        <w:t>—</w:t>
      </w:r>
      <w:proofErr w:type="gramEnd"/>
      <w:r w:rsidRPr="00024680">
        <w:rPr>
          <w:rFonts w:cs="Times New Roman" w:hint="eastAsia"/>
          <w:szCs w:val="28"/>
        </w:rPr>
        <w:t>再造產業成長契機」研討會</w:t>
      </w:r>
      <w:r w:rsidR="00566CF1" w:rsidRPr="00024680">
        <w:rPr>
          <w:rFonts w:ascii="新細明體" w:eastAsia="新細明體" w:hAnsi="新細明體" w:cs="Times New Roman" w:hint="eastAsia"/>
          <w:szCs w:val="28"/>
        </w:rPr>
        <w:t>，</w:t>
      </w:r>
      <w:r w:rsidR="00566CF1" w:rsidRPr="00024680">
        <w:rPr>
          <w:rFonts w:cs="Times New Roman" w:hint="eastAsia"/>
          <w:szCs w:val="28"/>
        </w:rPr>
        <w:t>並</w:t>
      </w:r>
      <w:r w:rsidRPr="00024680">
        <w:rPr>
          <w:rFonts w:cs="Times New Roman" w:hint="eastAsia"/>
          <w:szCs w:val="28"/>
        </w:rPr>
        <w:t>以「台灣資金運用的戰略思考」為題，提供一些淺見</w:t>
      </w:r>
      <w:r w:rsidR="00AD3283" w:rsidRPr="00024680">
        <w:rPr>
          <w:rFonts w:ascii="新細明體" w:eastAsia="新細明體" w:hAnsi="新細明體" w:cs="Times New Roman" w:hint="eastAsia"/>
          <w:szCs w:val="28"/>
        </w:rPr>
        <w:t>，</w:t>
      </w:r>
      <w:r w:rsidRPr="00024680">
        <w:rPr>
          <w:rFonts w:cs="Times New Roman" w:hint="eastAsia"/>
          <w:szCs w:val="28"/>
        </w:rPr>
        <w:t>就教於各位。</w:t>
      </w:r>
    </w:p>
    <w:p w:rsidR="00EE23E6" w:rsidRPr="00024680" w:rsidRDefault="00EE23E6" w:rsidP="00761CA1">
      <w:pPr>
        <w:pStyle w:val="a7"/>
        <w:numPr>
          <w:ilvl w:val="0"/>
          <w:numId w:val="3"/>
        </w:numPr>
        <w:snapToGrid w:val="0"/>
        <w:spacing w:beforeLines="30" w:before="156" w:afterLines="30" w:after="156" w:line="500" w:lineRule="exact"/>
        <w:ind w:leftChars="0" w:left="566" w:hangingChars="202" w:hanging="566"/>
        <w:rPr>
          <w:rFonts w:ascii="Times New Roman" w:eastAsia="標楷體" w:hAnsi="Times New Roman" w:cs="Times New Roman"/>
          <w:b/>
          <w:sz w:val="28"/>
          <w:szCs w:val="28"/>
        </w:rPr>
      </w:pPr>
      <w:r w:rsidRPr="00024680">
        <w:rPr>
          <w:rFonts w:ascii="Times New Roman" w:eastAsia="標楷體" w:hAnsi="Times New Roman" w:cs="Times New Roman" w:hint="eastAsia"/>
          <w:b/>
          <w:sz w:val="28"/>
          <w:szCs w:val="28"/>
        </w:rPr>
        <w:tab/>
      </w:r>
      <w:r w:rsidRPr="00024680">
        <w:rPr>
          <w:rFonts w:ascii="Times New Roman" w:eastAsia="標楷體" w:hAnsi="Times New Roman" w:cs="Times New Roman" w:hint="eastAsia"/>
          <w:b/>
          <w:sz w:val="28"/>
          <w:szCs w:val="28"/>
        </w:rPr>
        <w:t>台灣的</w:t>
      </w:r>
      <w:r w:rsidR="00800396" w:rsidRPr="00024680">
        <w:rPr>
          <w:rFonts w:ascii="Times New Roman" w:eastAsia="標楷體" w:hAnsi="Times New Roman" w:cs="Times New Roman" w:hint="eastAsia"/>
          <w:b/>
          <w:sz w:val="28"/>
          <w:szCs w:val="28"/>
        </w:rPr>
        <w:t>國際投資部位、經常帳順差與超額儲蓄</w:t>
      </w:r>
    </w:p>
    <w:p w:rsidR="004E00C1" w:rsidRPr="00024680" w:rsidRDefault="004E00C1" w:rsidP="00761CA1">
      <w:pPr>
        <w:spacing w:beforeLines="30" w:before="156" w:afterLines="30" w:after="156" w:line="500" w:lineRule="exact"/>
        <w:ind w:firstLineChars="202" w:firstLine="566"/>
        <w:rPr>
          <w:rFonts w:cs="Times New Roman"/>
        </w:rPr>
      </w:pPr>
      <w:r w:rsidRPr="00024680">
        <w:rPr>
          <w:rFonts w:cs="Times New Roman"/>
        </w:rPr>
        <w:t>依據本行最新</w:t>
      </w:r>
      <w:r w:rsidRPr="00024680">
        <w:rPr>
          <w:rFonts w:cs="Times New Roman" w:hint="eastAsia"/>
        </w:rPr>
        <w:t>統計</w:t>
      </w:r>
      <w:r w:rsidRPr="00024680">
        <w:rPr>
          <w:rFonts w:cs="Times New Roman"/>
        </w:rPr>
        <w:t>顯示，截至</w:t>
      </w:r>
      <w:r w:rsidR="00566CF1" w:rsidRPr="00024680">
        <w:rPr>
          <w:rFonts w:cs="Times New Roman" w:hint="eastAsia"/>
        </w:rPr>
        <w:t>上</w:t>
      </w:r>
      <w:r w:rsidR="00566CF1" w:rsidRPr="00024680">
        <w:rPr>
          <w:rFonts w:cs="Times New Roman" w:hint="eastAsia"/>
        </w:rPr>
        <w:t>(</w:t>
      </w:r>
      <w:r w:rsidRPr="00024680">
        <w:rPr>
          <w:rFonts w:cs="Times New Roman"/>
        </w:rPr>
        <w:t>2018</w:t>
      </w:r>
      <w:r w:rsidR="00566CF1" w:rsidRPr="00024680">
        <w:rPr>
          <w:rFonts w:cs="Times New Roman" w:hint="eastAsia"/>
        </w:rPr>
        <w:t>)</w:t>
      </w:r>
      <w:r w:rsidRPr="00024680">
        <w:rPr>
          <w:rFonts w:cs="Times New Roman"/>
        </w:rPr>
        <w:t>年底，台灣對外資產達</w:t>
      </w:r>
      <w:r w:rsidRPr="00024680">
        <w:rPr>
          <w:rFonts w:cs="Times New Roman"/>
        </w:rPr>
        <w:t>2</w:t>
      </w:r>
      <w:r w:rsidRPr="00024680">
        <w:rPr>
          <w:rFonts w:cs="Times New Roman"/>
        </w:rPr>
        <w:t>兆</w:t>
      </w:r>
      <w:r w:rsidRPr="00024680">
        <w:rPr>
          <w:rFonts w:cs="Times New Roman"/>
        </w:rPr>
        <w:t>488.7</w:t>
      </w:r>
      <w:r w:rsidRPr="00024680">
        <w:rPr>
          <w:rFonts w:cs="Times New Roman"/>
        </w:rPr>
        <w:t>億美元，對外負債為</w:t>
      </w:r>
      <w:r w:rsidRPr="00024680">
        <w:rPr>
          <w:rFonts w:cs="Times New Roman"/>
        </w:rPr>
        <w:t>7,683.7</w:t>
      </w:r>
      <w:r w:rsidRPr="00024680">
        <w:rPr>
          <w:rFonts w:cs="Times New Roman"/>
        </w:rPr>
        <w:t>億美元，對外淨債權</w:t>
      </w:r>
      <w:r w:rsidRPr="00024680">
        <w:rPr>
          <w:rFonts w:cs="Times New Roman"/>
        </w:rPr>
        <w:t>(</w:t>
      </w:r>
      <w:r w:rsidRPr="00024680">
        <w:rPr>
          <w:rFonts w:cs="Times New Roman"/>
        </w:rPr>
        <w:t>即國際投資部位淨資產</w:t>
      </w:r>
      <w:r w:rsidR="00F570BE" w:rsidRPr="00024680">
        <w:rPr>
          <w:rFonts w:ascii="新細明體" w:eastAsia="新細明體" w:hAnsi="新細明體" w:cs="Times New Roman" w:hint="eastAsia"/>
        </w:rPr>
        <w:t>，</w:t>
      </w:r>
      <w:r w:rsidR="00F570BE" w:rsidRPr="00024680">
        <w:rPr>
          <w:rFonts w:cs="Times New Roman" w:hint="eastAsia"/>
        </w:rPr>
        <w:t>NIIP</w:t>
      </w:r>
      <w:r w:rsidRPr="00024680">
        <w:rPr>
          <w:rFonts w:cs="Times New Roman"/>
        </w:rPr>
        <w:t>)</w:t>
      </w:r>
      <w:r w:rsidRPr="00024680">
        <w:rPr>
          <w:rFonts w:cs="Times New Roman"/>
        </w:rPr>
        <w:t>達</w:t>
      </w:r>
      <w:r w:rsidRPr="00024680">
        <w:rPr>
          <w:rFonts w:cs="Times New Roman"/>
        </w:rPr>
        <w:t>1</w:t>
      </w:r>
      <w:r w:rsidRPr="00024680">
        <w:rPr>
          <w:rFonts w:cs="Times New Roman"/>
        </w:rPr>
        <w:t>兆</w:t>
      </w:r>
      <w:r w:rsidRPr="00024680">
        <w:rPr>
          <w:rFonts w:cs="Times New Roman"/>
        </w:rPr>
        <w:t>2,805</w:t>
      </w:r>
      <w:r w:rsidRPr="00024680">
        <w:rPr>
          <w:rFonts w:cs="Times New Roman"/>
        </w:rPr>
        <w:t>億美元，</w:t>
      </w:r>
      <w:r w:rsidR="00061A23" w:rsidRPr="00024680">
        <w:rPr>
          <w:rFonts w:cs="Times New Roman" w:hint="eastAsia"/>
        </w:rPr>
        <w:t>排名</w:t>
      </w:r>
      <w:r w:rsidRPr="00024680">
        <w:rPr>
          <w:rFonts w:cs="Times New Roman"/>
        </w:rPr>
        <w:t>全球第</w:t>
      </w:r>
      <w:r w:rsidRPr="00024680">
        <w:rPr>
          <w:rFonts w:cs="Times New Roman"/>
        </w:rPr>
        <w:t>5</w:t>
      </w:r>
      <w:r w:rsidRPr="00024680">
        <w:rPr>
          <w:rFonts w:cs="Times New Roman"/>
        </w:rPr>
        <w:t>大，僅次於日本、德國、中國大陸、香港。</w:t>
      </w:r>
    </w:p>
    <w:p w:rsidR="00800396" w:rsidRPr="00024680" w:rsidRDefault="00800396" w:rsidP="00761CA1">
      <w:pPr>
        <w:pStyle w:val="a7"/>
        <w:numPr>
          <w:ilvl w:val="0"/>
          <w:numId w:val="10"/>
        </w:numPr>
        <w:snapToGrid w:val="0"/>
        <w:spacing w:beforeLines="30" w:before="156" w:afterLines="30" w:after="156" w:line="500" w:lineRule="exact"/>
        <w:ind w:leftChars="0" w:left="482" w:hanging="482"/>
        <w:rPr>
          <w:rFonts w:ascii="標楷體" w:eastAsia="標楷體" w:hAnsi="標楷體"/>
          <w:b/>
          <w:sz w:val="28"/>
          <w:szCs w:val="28"/>
        </w:rPr>
      </w:pPr>
      <w:r w:rsidRPr="00024680">
        <w:rPr>
          <w:rFonts w:ascii="標楷體" w:eastAsia="標楷體" w:hAnsi="標楷體" w:hint="eastAsia"/>
          <w:b/>
          <w:sz w:val="28"/>
          <w:szCs w:val="28"/>
        </w:rPr>
        <w:t>國外淨債權主要來自經常帳</w:t>
      </w:r>
      <w:r w:rsidR="00016CFF" w:rsidRPr="00024680">
        <w:rPr>
          <w:rFonts w:ascii="標楷體" w:eastAsia="標楷體" w:hAnsi="標楷體" w:hint="eastAsia"/>
          <w:b/>
          <w:sz w:val="28"/>
          <w:szCs w:val="28"/>
        </w:rPr>
        <w:t>長期</w:t>
      </w:r>
      <w:r w:rsidRPr="00024680">
        <w:rPr>
          <w:rFonts w:ascii="標楷體" w:eastAsia="標楷體" w:hAnsi="標楷體" w:hint="eastAsia"/>
          <w:b/>
          <w:sz w:val="28"/>
          <w:szCs w:val="28"/>
        </w:rPr>
        <w:t>順差，</w:t>
      </w:r>
      <w:r w:rsidR="006771CD" w:rsidRPr="00024680">
        <w:rPr>
          <w:rFonts w:ascii="標楷體" w:eastAsia="標楷體" w:hAnsi="標楷體" w:hint="eastAsia"/>
          <w:b/>
          <w:sz w:val="28"/>
          <w:szCs w:val="28"/>
        </w:rPr>
        <w:t>同時</w:t>
      </w:r>
      <w:r w:rsidRPr="00024680">
        <w:rPr>
          <w:rFonts w:ascii="標楷體" w:eastAsia="標楷體" w:hAnsi="標楷體" w:hint="eastAsia"/>
          <w:b/>
          <w:sz w:val="28"/>
          <w:szCs w:val="28"/>
        </w:rPr>
        <w:t>反映國內</w:t>
      </w:r>
      <w:r w:rsidR="00016CFF" w:rsidRPr="00024680">
        <w:rPr>
          <w:rFonts w:ascii="標楷體" w:eastAsia="標楷體" w:hAnsi="標楷體" w:hint="eastAsia"/>
          <w:b/>
          <w:sz w:val="28"/>
          <w:szCs w:val="28"/>
        </w:rPr>
        <w:t>的</w:t>
      </w:r>
      <w:r w:rsidRPr="00024680">
        <w:rPr>
          <w:rFonts w:ascii="標楷體" w:eastAsia="標楷體" w:hAnsi="標楷體" w:hint="eastAsia"/>
          <w:b/>
          <w:sz w:val="28"/>
          <w:szCs w:val="28"/>
        </w:rPr>
        <w:t>超額儲蓄</w:t>
      </w:r>
    </w:p>
    <w:p w:rsidR="004E00C1" w:rsidRPr="00F461C9" w:rsidRDefault="004E00C1" w:rsidP="00F461C9">
      <w:pPr>
        <w:overflowPunct w:val="0"/>
        <w:spacing w:beforeLines="30" w:before="156" w:afterLines="30" w:after="156" w:line="500" w:lineRule="exact"/>
        <w:ind w:firstLineChars="202" w:firstLine="566"/>
        <w:rPr>
          <w:rFonts w:cs="Times New Roman"/>
        </w:rPr>
      </w:pPr>
      <w:r w:rsidRPr="00F461C9">
        <w:rPr>
          <w:rFonts w:cs="Times New Roman"/>
        </w:rPr>
        <w:t>台灣國外淨債權累積主要來自經常帳長期呈現順差，而經常帳的順差則反映國內長期存在超額儲蓄</w:t>
      </w:r>
      <w:r w:rsidR="003C5905" w:rsidRPr="00F461C9">
        <w:rPr>
          <w:rFonts w:cs="Times New Roman" w:hint="eastAsia"/>
        </w:rPr>
        <w:t>，</w:t>
      </w:r>
      <w:r w:rsidR="00AD3283" w:rsidRPr="00F461C9">
        <w:rPr>
          <w:rFonts w:cs="Times New Roman" w:hint="eastAsia"/>
        </w:rPr>
        <w:t>也</w:t>
      </w:r>
      <w:r w:rsidR="003C5905" w:rsidRPr="00F461C9">
        <w:rPr>
          <w:rFonts w:cs="Times New Roman" w:hint="eastAsia"/>
        </w:rPr>
        <w:t>顯示</w:t>
      </w:r>
      <w:r w:rsidRPr="00F461C9">
        <w:rPr>
          <w:rFonts w:cs="Times New Roman"/>
        </w:rPr>
        <w:t>國內有效需求不足，特別是國內投資動能相對疲弱，使得資</w:t>
      </w:r>
      <w:r w:rsidR="00411216" w:rsidRPr="00F461C9">
        <w:rPr>
          <w:rFonts w:cs="Times New Roman" w:hint="eastAsia"/>
        </w:rPr>
        <w:t>源</w:t>
      </w:r>
      <w:r w:rsidRPr="00F461C9">
        <w:rPr>
          <w:rFonts w:cs="Times New Roman"/>
        </w:rPr>
        <w:t>未能完全運用於國內</w:t>
      </w:r>
      <w:r w:rsidR="009356BC" w:rsidRPr="00F461C9">
        <w:rPr>
          <w:rFonts w:cs="Times New Roman"/>
        </w:rPr>
        <w:t>，</w:t>
      </w:r>
      <w:r w:rsidR="009356BC" w:rsidRPr="00F461C9">
        <w:rPr>
          <w:rFonts w:cs="Times New Roman" w:hint="eastAsia"/>
        </w:rPr>
        <w:t>而</w:t>
      </w:r>
      <w:r w:rsidR="009356BC" w:rsidRPr="00F461C9">
        <w:rPr>
          <w:rFonts w:cs="Times New Roman"/>
        </w:rPr>
        <w:t>透過投資或借貸予國外部門使用</w:t>
      </w:r>
      <w:r w:rsidRPr="00F461C9">
        <w:rPr>
          <w:rFonts w:cs="Times New Roman"/>
        </w:rPr>
        <w:t>。</w:t>
      </w:r>
      <w:r w:rsidR="00050D75" w:rsidRPr="00F461C9">
        <w:rPr>
          <w:rFonts w:cs="Times New Roman"/>
        </w:rPr>
        <w:t>根據</w:t>
      </w:r>
      <w:r w:rsidRPr="00F461C9">
        <w:rPr>
          <w:rFonts w:cs="Times New Roman"/>
        </w:rPr>
        <w:t>主計總處</w:t>
      </w:r>
      <w:r w:rsidR="00050D75" w:rsidRPr="00F461C9">
        <w:rPr>
          <w:rFonts w:cs="Times New Roman"/>
        </w:rPr>
        <w:t>統計</w:t>
      </w:r>
      <w:r w:rsidRPr="00F461C9">
        <w:rPr>
          <w:rFonts w:cs="Times New Roman"/>
        </w:rPr>
        <w:t>，</w:t>
      </w:r>
      <w:r w:rsidR="00AD3283" w:rsidRPr="00F461C9">
        <w:rPr>
          <w:rFonts w:cs="Times New Roman" w:hint="eastAsia"/>
        </w:rPr>
        <w:t>從</w:t>
      </w:r>
      <w:r w:rsidRPr="00F461C9">
        <w:rPr>
          <w:rFonts w:cs="Times New Roman"/>
        </w:rPr>
        <w:t>2009</w:t>
      </w:r>
      <w:r w:rsidR="00AD3283" w:rsidRPr="00F461C9">
        <w:rPr>
          <w:rFonts w:cs="Times New Roman" w:hint="eastAsia"/>
        </w:rPr>
        <w:t>到</w:t>
      </w:r>
      <w:r w:rsidRPr="00F461C9">
        <w:rPr>
          <w:rFonts w:cs="Times New Roman"/>
        </w:rPr>
        <w:t>2018</w:t>
      </w:r>
      <w:r w:rsidRPr="00F461C9">
        <w:rPr>
          <w:rFonts w:cs="Times New Roman"/>
        </w:rPr>
        <w:t>年台灣平均儲蓄率為</w:t>
      </w:r>
      <w:r w:rsidRPr="00F461C9">
        <w:rPr>
          <w:rFonts w:cs="Times New Roman"/>
        </w:rPr>
        <w:t>32.6%</w:t>
      </w:r>
      <w:r w:rsidRPr="00F461C9">
        <w:rPr>
          <w:rFonts w:cs="Times New Roman"/>
        </w:rPr>
        <w:t>，投資率卻</w:t>
      </w:r>
      <w:r w:rsidR="00AD3283" w:rsidRPr="00F461C9">
        <w:rPr>
          <w:rFonts w:cs="Times New Roman" w:hint="eastAsia"/>
        </w:rPr>
        <w:t>只</w:t>
      </w:r>
      <w:r w:rsidRPr="00F461C9">
        <w:rPr>
          <w:rFonts w:cs="Times New Roman"/>
        </w:rPr>
        <w:t>有</w:t>
      </w:r>
      <w:r w:rsidRPr="00F461C9">
        <w:rPr>
          <w:rFonts w:cs="Times New Roman"/>
        </w:rPr>
        <w:t>21.2%</w:t>
      </w:r>
      <w:r w:rsidRPr="00F461C9">
        <w:rPr>
          <w:rFonts w:cs="Times New Roman"/>
        </w:rPr>
        <w:t>，</w:t>
      </w:r>
      <w:r w:rsidR="006207D0" w:rsidRPr="00F461C9">
        <w:rPr>
          <w:rFonts w:cs="Times New Roman"/>
        </w:rPr>
        <w:t>超額儲蓄率平均達</w:t>
      </w:r>
      <w:r w:rsidR="006207D0" w:rsidRPr="00F461C9">
        <w:rPr>
          <w:rFonts w:cs="Times New Roman"/>
        </w:rPr>
        <w:lastRenderedPageBreak/>
        <w:t>11.4%</w:t>
      </w:r>
      <w:r w:rsidR="006207D0" w:rsidRPr="00F461C9">
        <w:rPr>
          <w:rFonts w:ascii="新細明體" w:eastAsia="新細明體" w:hAnsi="新細明體" w:cs="Times New Roman" w:hint="eastAsia"/>
        </w:rPr>
        <w:t>，</w:t>
      </w:r>
      <w:proofErr w:type="gramStart"/>
      <w:r w:rsidRPr="00F461C9">
        <w:rPr>
          <w:rFonts w:cs="Times New Roman"/>
        </w:rPr>
        <w:t>凸</w:t>
      </w:r>
      <w:proofErr w:type="gramEnd"/>
      <w:r w:rsidRPr="00F461C9">
        <w:rPr>
          <w:rFonts w:cs="Times New Roman"/>
        </w:rPr>
        <w:t>顯儲蓄率</w:t>
      </w:r>
      <w:r w:rsidR="00A74771" w:rsidRPr="00F461C9">
        <w:rPr>
          <w:rFonts w:cs="Times New Roman" w:hint="eastAsia"/>
        </w:rPr>
        <w:t>偏</w:t>
      </w:r>
      <w:r w:rsidRPr="00F461C9">
        <w:rPr>
          <w:rFonts w:cs="Times New Roman"/>
        </w:rPr>
        <w:t>高而投資率不足</w:t>
      </w:r>
      <w:r w:rsidR="00050D75" w:rsidRPr="00F461C9">
        <w:rPr>
          <w:rStyle w:val="ad"/>
          <w:rFonts w:cs="Times New Roman"/>
        </w:rPr>
        <w:footnoteReference w:id="1"/>
      </w:r>
      <w:r w:rsidRPr="00F461C9">
        <w:rPr>
          <w:rFonts w:cs="Times New Roman"/>
        </w:rPr>
        <w:t>。</w:t>
      </w:r>
      <w:r w:rsidR="00AD3283" w:rsidRPr="00F461C9">
        <w:rPr>
          <w:rFonts w:cs="Times New Roman" w:hint="eastAsia"/>
        </w:rPr>
        <w:t>但</w:t>
      </w:r>
      <w:r w:rsidRPr="00F461C9">
        <w:rPr>
          <w:rFonts w:cs="Times New Roman"/>
        </w:rPr>
        <w:t>值得注意的是，過去一年由於國內投資增加、資本財進口擴增，使得</w:t>
      </w:r>
      <w:r w:rsidRPr="00F461C9">
        <w:rPr>
          <w:rFonts w:cs="Times New Roman"/>
        </w:rPr>
        <w:t>2018</w:t>
      </w:r>
      <w:r w:rsidRPr="00F461C9">
        <w:rPr>
          <w:rFonts w:cs="Times New Roman"/>
        </w:rPr>
        <w:t>年的超額儲蓄率</w:t>
      </w:r>
      <w:r w:rsidR="004C4D38" w:rsidRPr="00F461C9">
        <w:rPr>
          <w:rFonts w:cs="Times New Roman" w:hint="eastAsia"/>
        </w:rPr>
        <w:t>由</w:t>
      </w:r>
      <w:r w:rsidR="004C4D38" w:rsidRPr="00F461C9">
        <w:rPr>
          <w:rFonts w:cs="Times New Roman" w:hint="eastAsia"/>
        </w:rPr>
        <w:t>2017</w:t>
      </w:r>
      <w:r w:rsidR="004C4D38" w:rsidRPr="00F461C9">
        <w:rPr>
          <w:rFonts w:cs="Times New Roman" w:hint="eastAsia"/>
        </w:rPr>
        <w:t>年的</w:t>
      </w:r>
      <w:r w:rsidR="004C4D38" w:rsidRPr="00F461C9">
        <w:rPr>
          <w:rFonts w:cs="Times New Roman" w:hint="eastAsia"/>
        </w:rPr>
        <w:t>14.</w:t>
      </w:r>
      <w:r w:rsidR="00BC2DF6" w:rsidRPr="00F461C9">
        <w:rPr>
          <w:rFonts w:cs="Times New Roman" w:hint="eastAsia"/>
        </w:rPr>
        <w:t>6</w:t>
      </w:r>
      <w:r w:rsidR="004C4D38" w:rsidRPr="00F461C9">
        <w:rPr>
          <w:rFonts w:cs="Times New Roman" w:hint="eastAsia"/>
        </w:rPr>
        <w:t>%</w:t>
      </w:r>
      <w:r w:rsidRPr="00F461C9">
        <w:rPr>
          <w:rFonts w:cs="Times New Roman"/>
        </w:rPr>
        <w:t>降</w:t>
      </w:r>
      <w:r w:rsidR="008270E9" w:rsidRPr="00F461C9">
        <w:rPr>
          <w:rFonts w:cs="Times New Roman" w:hint="eastAsia"/>
        </w:rPr>
        <w:t>到</w:t>
      </w:r>
      <w:r w:rsidRPr="00F461C9">
        <w:rPr>
          <w:rFonts w:cs="Times New Roman"/>
        </w:rPr>
        <w:t>12.0%</w:t>
      </w:r>
      <w:r w:rsidRPr="00F461C9">
        <w:rPr>
          <w:rFonts w:cs="Times New Roman"/>
        </w:rPr>
        <w:t>，同期間經常帳順差對</w:t>
      </w:r>
      <w:r w:rsidRPr="00F461C9">
        <w:rPr>
          <w:rFonts w:cs="Times New Roman"/>
        </w:rPr>
        <w:t>GDP</w:t>
      </w:r>
      <w:r w:rsidRPr="00F461C9">
        <w:rPr>
          <w:rFonts w:cs="Times New Roman"/>
        </w:rPr>
        <w:t>比率亦降至</w:t>
      </w:r>
      <w:r w:rsidRPr="00F461C9">
        <w:rPr>
          <w:rFonts w:cs="Times New Roman"/>
        </w:rPr>
        <w:t>12.2%</w:t>
      </w:r>
      <w:r w:rsidRPr="00F461C9">
        <w:rPr>
          <w:rFonts w:cs="Times New Roman"/>
        </w:rPr>
        <w:t>。</w:t>
      </w:r>
    </w:p>
    <w:p w:rsidR="00A76B69" w:rsidRPr="00024680" w:rsidRDefault="00A76B69" w:rsidP="00761CA1">
      <w:pPr>
        <w:pStyle w:val="a7"/>
        <w:numPr>
          <w:ilvl w:val="0"/>
          <w:numId w:val="10"/>
        </w:numPr>
        <w:snapToGrid w:val="0"/>
        <w:spacing w:beforeLines="30" w:before="156" w:afterLines="30" w:after="156" w:line="500" w:lineRule="exact"/>
        <w:ind w:leftChars="0" w:left="482" w:hanging="482"/>
        <w:rPr>
          <w:rFonts w:ascii="標楷體" w:eastAsia="標楷體" w:hAnsi="標楷體"/>
          <w:b/>
          <w:sz w:val="28"/>
          <w:szCs w:val="28"/>
        </w:rPr>
      </w:pPr>
      <w:r w:rsidRPr="00024680">
        <w:rPr>
          <w:rFonts w:ascii="標楷體" w:eastAsia="標楷體" w:hAnsi="標楷體" w:hint="eastAsia"/>
          <w:b/>
          <w:sz w:val="28"/>
          <w:szCs w:val="28"/>
        </w:rPr>
        <w:t>超額儲蓄</w:t>
      </w:r>
      <w:r w:rsidR="006771CD" w:rsidRPr="00024680">
        <w:rPr>
          <w:rFonts w:ascii="標楷體" w:eastAsia="標楷體" w:hAnsi="標楷體" w:hint="eastAsia"/>
          <w:b/>
          <w:sz w:val="28"/>
          <w:szCs w:val="28"/>
        </w:rPr>
        <w:t>主要</w:t>
      </w:r>
      <w:r w:rsidRPr="00024680">
        <w:rPr>
          <w:rFonts w:ascii="標楷體" w:eastAsia="標楷體" w:hAnsi="標楷體" w:hint="eastAsia"/>
          <w:b/>
          <w:sz w:val="28"/>
          <w:szCs w:val="28"/>
        </w:rPr>
        <w:t>反映人口結構變化與企業投資不振</w:t>
      </w:r>
    </w:p>
    <w:p w:rsidR="0052562A" w:rsidRPr="00F461C9" w:rsidRDefault="006A492A" w:rsidP="00F461C9">
      <w:pPr>
        <w:overflowPunct w:val="0"/>
        <w:spacing w:beforeLines="30" w:before="156" w:afterLines="30" w:after="156" w:line="500" w:lineRule="exact"/>
        <w:ind w:firstLineChars="202" w:firstLine="566"/>
        <w:rPr>
          <w:rFonts w:cs="Times New Roman"/>
        </w:rPr>
      </w:pPr>
      <w:r w:rsidRPr="00F461C9">
        <w:rPr>
          <w:rFonts w:cs="Times New Roman"/>
        </w:rPr>
        <w:t>如就經常帳順差觀點，由於</w:t>
      </w:r>
      <w:r w:rsidR="009B26DC" w:rsidRPr="00F461C9">
        <w:rPr>
          <w:rFonts w:cs="Times New Roman"/>
        </w:rPr>
        <w:t>中</w:t>
      </w:r>
      <w:r w:rsidR="005E0068" w:rsidRPr="00F461C9">
        <w:rPr>
          <w:rFonts w:cs="Times New Roman"/>
        </w:rPr>
        <w:t>國大陸與台灣</w:t>
      </w:r>
      <w:r w:rsidR="005B6EFA" w:rsidRPr="00F461C9">
        <w:rPr>
          <w:rFonts w:cs="Times New Roman"/>
        </w:rPr>
        <w:t>分別</w:t>
      </w:r>
      <w:r w:rsidR="005E0068" w:rsidRPr="00F461C9">
        <w:rPr>
          <w:rFonts w:cs="Times New Roman"/>
        </w:rPr>
        <w:t>於</w:t>
      </w:r>
      <w:r w:rsidR="005E0068" w:rsidRPr="00F461C9">
        <w:rPr>
          <w:rFonts w:cs="Times New Roman"/>
        </w:rPr>
        <w:t>2001</w:t>
      </w:r>
      <w:r w:rsidRPr="00F461C9">
        <w:rPr>
          <w:rFonts w:cs="Times New Roman"/>
        </w:rPr>
        <w:t>至</w:t>
      </w:r>
      <w:r w:rsidR="005E0068" w:rsidRPr="00F461C9">
        <w:rPr>
          <w:rFonts w:cs="Times New Roman"/>
        </w:rPr>
        <w:t>2002</w:t>
      </w:r>
      <w:r w:rsidR="005E0068" w:rsidRPr="00F461C9">
        <w:rPr>
          <w:rFonts w:cs="Times New Roman"/>
        </w:rPr>
        <w:t>年</w:t>
      </w:r>
      <w:r w:rsidR="00535942" w:rsidRPr="00F461C9">
        <w:rPr>
          <w:rFonts w:cs="Times New Roman" w:hint="eastAsia"/>
        </w:rPr>
        <w:t>先後</w:t>
      </w:r>
      <w:r w:rsidR="005E0068" w:rsidRPr="00F461C9">
        <w:rPr>
          <w:rFonts w:cs="Times New Roman"/>
        </w:rPr>
        <w:t>加入</w:t>
      </w:r>
      <w:r w:rsidR="005E0068" w:rsidRPr="00F461C9">
        <w:rPr>
          <w:rFonts w:cs="Times New Roman"/>
        </w:rPr>
        <w:t>WTO</w:t>
      </w:r>
      <w:r w:rsidR="005E0068" w:rsidRPr="00F461C9">
        <w:rPr>
          <w:rFonts w:cs="Times New Roman"/>
        </w:rPr>
        <w:t>，</w:t>
      </w:r>
      <w:r w:rsidR="005B6EFA" w:rsidRPr="00F461C9">
        <w:rPr>
          <w:rFonts w:cs="Times New Roman"/>
        </w:rPr>
        <w:t>融入全球供應鏈，</w:t>
      </w:r>
      <w:r w:rsidR="005E0068" w:rsidRPr="00F461C9">
        <w:rPr>
          <w:rFonts w:cs="Times New Roman"/>
        </w:rPr>
        <w:t>台灣對中國大陸貿易出超</w:t>
      </w:r>
      <w:r w:rsidR="005B6EFA" w:rsidRPr="00F461C9">
        <w:rPr>
          <w:rFonts w:cs="Times New Roman"/>
        </w:rPr>
        <w:t>持續</w:t>
      </w:r>
      <w:r w:rsidR="005E0068" w:rsidRPr="00F461C9">
        <w:rPr>
          <w:rFonts w:cs="Times New Roman"/>
        </w:rPr>
        <w:t>增加，帶動</w:t>
      </w:r>
      <w:r w:rsidR="005B6EFA" w:rsidRPr="00F461C9">
        <w:rPr>
          <w:rFonts w:cs="Times New Roman"/>
        </w:rPr>
        <w:t>我國</w:t>
      </w:r>
      <w:r w:rsidR="005E0068" w:rsidRPr="00F461C9">
        <w:rPr>
          <w:rFonts w:cs="Times New Roman"/>
        </w:rPr>
        <w:t>經常帳順差擴大。</w:t>
      </w:r>
      <w:r w:rsidR="005B6EFA" w:rsidRPr="00F461C9">
        <w:rPr>
          <w:rFonts w:cs="Times New Roman"/>
        </w:rPr>
        <w:t>另</w:t>
      </w:r>
      <w:r w:rsidR="008270E9" w:rsidRPr="00F461C9">
        <w:rPr>
          <w:rFonts w:cs="Times New Roman" w:hint="eastAsia"/>
        </w:rPr>
        <w:t>外</w:t>
      </w:r>
      <w:r w:rsidRPr="00F461C9">
        <w:rPr>
          <w:rFonts w:cs="Times New Roman"/>
        </w:rPr>
        <w:t>如</w:t>
      </w:r>
      <w:r w:rsidR="008270E9" w:rsidRPr="00F461C9">
        <w:rPr>
          <w:rFonts w:cs="Times New Roman" w:hint="eastAsia"/>
        </w:rPr>
        <w:t>果</w:t>
      </w:r>
      <w:r w:rsidR="006672E5" w:rsidRPr="00F461C9">
        <w:rPr>
          <w:rFonts w:cs="Times New Roman" w:hint="eastAsia"/>
        </w:rPr>
        <w:t>以</w:t>
      </w:r>
      <w:r w:rsidRPr="00F461C9">
        <w:rPr>
          <w:rFonts w:cs="Times New Roman"/>
        </w:rPr>
        <w:t>超額儲蓄觀點</w:t>
      </w:r>
      <w:r w:rsidR="006672E5" w:rsidRPr="00F461C9">
        <w:rPr>
          <w:rFonts w:cs="Times New Roman" w:hint="eastAsia"/>
        </w:rPr>
        <w:t>分析</w:t>
      </w:r>
      <w:r w:rsidRPr="00F461C9">
        <w:rPr>
          <w:rFonts w:cs="Times New Roman"/>
        </w:rPr>
        <w:t>，可</w:t>
      </w:r>
      <w:r w:rsidR="008270E9" w:rsidRPr="00F461C9">
        <w:rPr>
          <w:rFonts w:cs="Times New Roman" w:hint="eastAsia"/>
        </w:rPr>
        <w:t>從</w:t>
      </w:r>
      <w:r w:rsidR="00FD1048" w:rsidRPr="00F461C9">
        <w:rPr>
          <w:rFonts w:cs="Times New Roman"/>
        </w:rPr>
        <w:t>儲蓄率</w:t>
      </w:r>
      <w:r w:rsidR="00A06142" w:rsidRPr="00F461C9">
        <w:rPr>
          <w:rFonts w:cs="Times New Roman"/>
        </w:rPr>
        <w:t>不斷攀升</w:t>
      </w:r>
      <w:r w:rsidR="00050D75" w:rsidRPr="00F461C9">
        <w:rPr>
          <w:rFonts w:cs="Times New Roman"/>
        </w:rPr>
        <w:t>，</w:t>
      </w:r>
      <w:r w:rsidR="00A06142" w:rsidRPr="00F461C9">
        <w:rPr>
          <w:rFonts w:cs="Times New Roman"/>
        </w:rPr>
        <w:t>而投資率卻呈持續下滑</w:t>
      </w:r>
      <w:r w:rsidRPr="00F461C9">
        <w:rPr>
          <w:rFonts w:cs="Times New Roman"/>
        </w:rPr>
        <w:t>來說明</w:t>
      </w:r>
      <w:r w:rsidR="006672E5" w:rsidRPr="00F461C9">
        <w:rPr>
          <w:rFonts w:cs="Times New Roman" w:hint="eastAsia"/>
        </w:rPr>
        <w:t>。</w:t>
      </w:r>
      <w:r w:rsidRPr="00F461C9">
        <w:rPr>
          <w:rFonts w:cs="Times New Roman"/>
        </w:rPr>
        <w:t>影響前</w:t>
      </w:r>
      <w:r w:rsidR="001E0909" w:rsidRPr="00F461C9">
        <w:rPr>
          <w:rFonts w:cs="Times New Roman"/>
        </w:rPr>
        <w:t>者</w:t>
      </w:r>
      <w:r w:rsidRPr="00F461C9">
        <w:rPr>
          <w:rFonts w:cs="Times New Roman"/>
        </w:rPr>
        <w:t>的因素</w:t>
      </w:r>
      <w:proofErr w:type="gramStart"/>
      <w:r w:rsidRPr="00F461C9">
        <w:rPr>
          <w:rFonts w:cs="Times New Roman"/>
        </w:rPr>
        <w:t>眾多，</w:t>
      </w:r>
      <w:proofErr w:type="gramEnd"/>
      <w:r w:rsidR="001E0909" w:rsidRPr="00F461C9">
        <w:rPr>
          <w:rFonts w:cs="Times New Roman"/>
        </w:rPr>
        <w:t>其中</w:t>
      </w:r>
      <w:r w:rsidRPr="00F461C9">
        <w:rPr>
          <w:rFonts w:cs="Times New Roman"/>
        </w:rPr>
        <w:t>一項因素與人口結構有關</w:t>
      </w:r>
      <w:r w:rsidR="006672E5" w:rsidRPr="00F461C9">
        <w:rPr>
          <w:rFonts w:cs="Times New Roman" w:hint="eastAsia"/>
        </w:rPr>
        <w:t>；</w:t>
      </w:r>
      <w:r w:rsidR="001E51C4" w:rsidRPr="00F461C9">
        <w:rPr>
          <w:rFonts w:cs="Times New Roman" w:hint="eastAsia"/>
        </w:rPr>
        <w:t>例</w:t>
      </w:r>
      <w:r w:rsidRPr="00F461C9">
        <w:rPr>
          <w:rFonts w:cs="Times New Roman"/>
        </w:rPr>
        <w:t>如自</w:t>
      </w:r>
      <w:proofErr w:type="gramStart"/>
      <w:r w:rsidR="001E0909" w:rsidRPr="00F461C9">
        <w:rPr>
          <w:rFonts w:cs="Times New Roman"/>
        </w:rPr>
        <w:t>1990</w:t>
      </w:r>
      <w:proofErr w:type="gramEnd"/>
      <w:r w:rsidR="001E0909" w:rsidRPr="00F461C9">
        <w:rPr>
          <w:rFonts w:cs="Times New Roman"/>
        </w:rPr>
        <w:t>年代後期</w:t>
      </w:r>
      <w:r w:rsidR="00050D75" w:rsidRPr="00F461C9">
        <w:rPr>
          <w:rFonts w:cs="Times New Roman"/>
        </w:rPr>
        <w:t>以來</w:t>
      </w:r>
      <w:r w:rsidR="00384EA1" w:rsidRPr="00F461C9">
        <w:rPr>
          <w:rFonts w:cs="Times New Roman"/>
        </w:rPr>
        <w:t>，在台灣人口結構中，</w:t>
      </w:r>
      <w:r w:rsidR="006771CD" w:rsidRPr="00F461C9">
        <w:rPr>
          <w:rFonts w:cs="Times New Roman"/>
        </w:rPr>
        <w:t>0-19</w:t>
      </w:r>
      <w:r w:rsidR="006771CD" w:rsidRPr="00F461C9">
        <w:rPr>
          <w:rFonts w:cs="Times New Roman"/>
        </w:rPr>
        <w:t>歲及</w:t>
      </w:r>
      <w:r w:rsidR="006771CD" w:rsidRPr="00F461C9">
        <w:rPr>
          <w:rFonts w:cs="Times New Roman"/>
        </w:rPr>
        <w:t>20-39</w:t>
      </w:r>
      <w:r w:rsidR="006771CD" w:rsidRPr="00F461C9">
        <w:rPr>
          <w:rFonts w:cs="Times New Roman"/>
        </w:rPr>
        <w:t>歲</w:t>
      </w:r>
      <w:proofErr w:type="gramStart"/>
      <w:r w:rsidR="00384EA1" w:rsidRPr="00F461C9">
        <w:rPr>
          <w:rFonts w:cs="Times New Roman"/>
        </w:rPr>
        <w:t>年齡層占總人口</w:t>
      </w:r>
      <w:proofErr w:type="gramEnd"/>
      <w:r w:rsidR="00384EA1" w:rsidRPr="00F461C9">
        <w:rPr>
          <w:rFonts w:cs="Times New Roman"/>
        </w:rPr>
        <w:t>比重</w:t>
      </w:r>
      <w:r w:rsidR="006672E5" w:rsidRPr="00F461C9">
        <w:rPr>
          <w:rFonts w:cs="Times New Roman" w:hint="eastAsia"/>
        </w:rPr>
        <w:t>開始</w:t>
      </w:r>
      <w:r w:rsidR="006771CD" w:rsidRPr="00F461C9">
        <w:rPr>
          <w:rFonts w:cs="Times New Roman"/>
        </w:rPr>
        <w:t>下降</w:t>
      </w:r>
      <w:r w:rsidR="00384EA1" w:rsidRPr="00F461C9">
        <w:rPr>
          <w:rFonts w:cs="Times New Roman"/>
        </w:rPr>
        <w:t>，而</w:t>
      </w:r>
      <w:r w:rsidR="006771CD" w:rsidRPr="00F461C9">
        <w:rPr>
          <w:rFonts w:cs="Times New Roman"/>
        </w:rPr>
        <w:t>40-64</w:t>
      </w:r>
      <w:r w:rsidR="006771CD" w:rsidRPr="00F461C9">
        <w:rPr>
          <w:rFonts w:cs="Times New Roman"/>
        </w:rPr>
        <w:t>歲及</w:t>
      </w:r>
      <w:r w:rsidR="006771CD" w:rsidRPr="00F461C9">
        <w:rPr>
          <w:rFonts w:cs="Times New Roman"/>
        </w:rPr>
        <w:t>65</w:t>
      </w:r>
      <w:r w:rsidR="006771CD" w:rsidRPr="00F461C9">
        <w:rPr>
          <w:rFonts w:cs="Times New Roman"/>
        </w:rPr>
        <w:t>歲以上</w:t>
      </w:r>
      <w:proofErr w:type="gramStart"/>
      <w:r w:rsidR="00384EA1" w:rsidRPr="00F461C9">
        <w:rPr>
          <w:rFonts w:cs="Times New Roman"/>
        </w:rPr>
        <w:t>年齡層占比</w:t>
      </w:r>
      <w:proofErr w:type="gramEnd"/>
      <w:r w:rsidR="00384EA1" w:rsidRPr="00F461C9">
        <w:rPr>
          <w:rFonts w:cs="Times New Roman"/>
        </w:rPr>
        <w:t>則</w:t>
      </w:r>
      <w:r w:rsidR="006771CD" w:rsidRPr="00F461C9">
        <w:rPr>
          <w:rFonts w:cs="Times New Roman"/>
        </w:rPr>
        <w:t>快速攀升</w:t>
      </w:r>
      <w:r w:rsidR="00C744B5" w:rsidRPr="00F461C9">
        <w:rPr>
          <w:rFonts w:ascii="新細明體" w:eastAsia="新細明體" w:hAnsi="新細明體" w:cs="Times New Roman" w:hint="eastAsia"/>
        </w:rPr>
        <w:t>，</w:t>
      </w:r>
      <w:r w:rsidR="00C744B5" w:rsidRPr="00F461C9">
        <w:rPr>
          <w:rFonts w:cs="Times New Roman" w:hint="eastAsia"/>
        </w:rPr>
        <w:t>且</w:t>
      </w:r>
      <w:r w:rsidR="00C744B5" w:rsidRPr="00F461C9">
        <w:rPr>
          <w:rFonts w:cs="Times New Roman"/>
        </w:rPr>
        <w:t>2000</w:t>
      </w:r>
      <w:r w:rsidR="00C744B5" w:rsidRPr="00F461C9">
        <w:rPr>
          <w:rFonts w:cs="Times New Roman"/>
        </w:rPr>
        <w:t>年</w:t>
      </w:r>
      <w:r w:rsidR="006672E5" w:rsidRPr="00F461C9">
        <w:rPr>
          <w:rFonts w:cs="Times New Roman" w:hint="eastAsia"/>
        </w:rPr>
        <w:t>初期</w:t>
      </w:r>
      <w:r w:rsidR="00C744B5" w:rsidRPr="00F461C9">
        <w:rPr>
          <w:rFonts w:cs="Times New Roman"/>
        </w:rPr>
        <w:t>以</w:t>
      </w:r>
      <w:r w:rsidR="006672E5" w:rsidRPr="00F461C9">
        <w:rPr>
          <w:rFonts w:cs="Times New Roman" w:hint="eastAsia"/>
        </w:rPr>
        <w:t>來</w:t>
      </w:r>
      <w:r w:rsidR="00C744B5" w:rsidRPr="00F461C9">
        <w:rPr>
          <w:rFonts w:cs="Times New Roman"/>
        </w:rPr>
        <w:t>40-64</w:t>
      </w:r>
      <w:r w:rsidR="00C744B5" w:rsidRPr="00F461C9">
        <w:rPr>
          <w:rFonts w:cs="Times New Roman"/>
        </w:rPr>
        <w:t>歲</w:t>
      </w:r>
      <w:r w:rsidR="006672E5" w:rsidRPr="00F461C9">
        <w:rPr>
          <w:rFonts w:cs="Times New Roman" w:hint="eastAsia"/>
        </w:rPr>
        <w:t>的</w:t>
      </w:r>
      <w:r w:rsidR="00C744B5" w:rsidRPr="00F461C9">
        <w:rPr>
          <w:rFonts w:cs="Times New Roman" w:hint="eastAsia"/>
        </w:rPr>
        <w:t>占比更超越</w:t>
      </w:r>
      <w:r w:rsidR="00C744B5" w:rsidRPr="00F461C9">
        <w:rPr>
          <w:rFonts w:cs="Times New Roman"/>
        </w:rPr>
        <w:t>0-19</w:t>
      </w:r>
      <w:r w:rsidR="00C744B5" w:rsidRPr="00F461C9">
        <w:rPr>
          <w:rFonts w:cs="Times New Roman"/>
        </w:rPr>
        <w:t>歲</w:t>
      </w:r>
      <w:r w:rsidR="009D4188" w:rsidRPr="00F461C9">
        <w:rPr>
          <w:rFonts w:cs="Times New Roman" w:hint="eastAsia"/>
        </w:rPr>
        <w:t>，</w:t>
      </w:r>
      <w:r w:rsidR="006672E5" w:rsidRPr="00F461C9">
        <w:rPr>
          <w:rFonts w:cs="Times New Roman" w:hint="eastAsia"/>
        </w:rPr>
        <w:t>此</w:t>
      </w:r>
      <w:r w:rsidR="00242BF9" w:rsidRPr="00F461C9">
        <w:rPr>
          <w:rFonts w:cs="Times New Roman" w:hint="eastAsia"/>
        </w:rPr>
        <w:t>期間</w:t>
      </w:r>
      <w:r w:rsidR="009D4188" w:rsidRPr="00F461C9">
        <w:rPr>
          <w:rFonts w:cs="Times New Roman" w:hint="eastAsia"/>
        </w:rPr>
        <w:t>儲蓄率</w:t>
      </w:r>
      <w:proofErr w:type="gramStart"/>
      <w:r w:rsidR="008270E9" w:rsidRPr="00F461C9">
        <w:rPr>
          <w:rFonts w:cs="Times New Roman" w:hint="eastAsia"/>
        </w:rPr>
        <w:t>也</w:t>
      </w:r>
      <w:r w:rsidR="009D4188" w:rsidRPr="00F461C9">
        <w:rPr>
          <w:rFonts w:cs="Times New Roman" w:hint="eastAsia"/>
        </w:rPr>
        <w:t>呈攀升</w:t>
      </w:r>
      <w:proofErr w:type="gramEnd"/>
      <w:r w:rsidR="009D4188" w:rsidRPr="00F461C9">
        <w:rPr>
          <w:rFonts w:cs="Times New Roman" w:hint="eastAsia"/>
        </w:rPr>
        <w:t>趨勢。</w:t>
      </w:r>
      <w:r w:rsidR="00384EA1" w:rsidRPr="00F461C9">
        <w:rPr>
          <w:rFonts w:cs="Times New Roman"/>
        </w:rPr>
        <w:t>由於年輕人與</w:t>
      </w:r>
      <w:r w:rsidR="00795E9D" w:rsidRPr="00F461C9">
        <w:rPr>
          <w:rFonts w:cs="Times New Roman"/>
        </w:rPr>
        <w:t>中高齡者</w:t>
      </w:r>
      <w:r w:rsidR="00384EA1" w:rsidRPr="00F461C9">
        <w:rPr>
          <w:rFonts w:cs="Times New Roman"/>
        </w:rPr>
        <w:t>的</w:t>
      </w:r>
      <w:r w:rsidR="00A620D0" w:rsidRPr="00F461C9">
        <w:rPr>
          <w:rFonts w:cs="Times New Roman"/>
          <w:bCs/>
        </w:rPr>
        <w:t>消費與儲蓄行為</w:t>
      </w:r>
      <w:r w:rsidR="00384EA1" w:rsidRPr="00F461C9">
        <w:rPr>
          <w:rFonts w:cs="Times New Roman"/>
          <w:bCs/>
        </w:rPr>
        <w:t>並不相同</w:t>
      </w:r>
      <w:r w:rsidR="00A620D0" w:rsidRPr="00F461C9">
        <w:rPr>
          <w:rFonts w:cs="Times New Roman"/>
        </w:rPr>
        <w:t>，</w:t>
      </w:r>
      <w:r w:rsidR="00384EA1" w:rsidRPr="00F461C9">
        <w:rPr>
          <w:rFonts w:cs="Times New Roman"/>
        </w:rPr>
        <w:t>前者多為淨消費者而後者多為淨儲蓄者，</w:t>
      </w:r>
      <w:r w:rsidR="0052562A" w:rsidRPr="00F461C9">
        <w:rPr>
          <w:rFonts w:cs="Times New Roman"/>
        </w:rPr>
        <w:t>少子化及人口老化</w:t>
      </w:r>
      <w:r w:rsidR="00B878D3" w:rsidRPr="00F461C9">
        <w:rPr>
          <w:rFonts w:cs="Times New Roman"/>
        </w:rPr>
        <w:t>持續</w:t>
      </w:r>
      <w:r w:rsidR="00384EA1" w:rsidRPr="00F461C9">
        <w:rPr>
          <w:rFonts w:cs="Times New Roman"/>
        </w:rPr>
        <w:t>推升</w:t>
      </w:r>
      <w:r w:rsidR="002403B7" w:rsidRPr="00F461C9">
        <w:rPr>
          <w:rFonts w:cs="Times New Roman" w:hint="eastAsia"/>
        </w:rPr>
        <w:t>台灣</w:t>
      </w:r>
      <w:r w:rsidR="0052562A" w:rsidRPr="00F461C9">
        <w:rPr>
          <w:rFonts w:cs="Times New Roman"/>
        </w:rPr>
        <w:t>民間儲蓄率</w:t>
      </w:r>
      <w:r w:rsidR="00A06142" w:rsidRPr="00F461C9">
        <w:rPr>
          <w:rFonts w:cs="Times New Roman"/>
        </w:rPr>
        <w:t>。</w:t>
      </w:r>
    </w:p>
    <w:p w:rsidR="004E00C1" w:rsidRPr="00024680" w:rsidRDefault="002F7F8F" w:rsidP="00761CA1">
      <w:pPr>
        <w:overflowPunct w:val="0"/>
        <w:spacing w:beforeLines="30" w:before="156" w:afterLines="30" w:after="156" w:line="500" w:lineRule="exact"/>
        <w:ind w:firstLineChars="202" w:firstLine="566"/>
        <w:rPr>
          <w:rFonts w:cs="Times New Roman"/>
        </w:rPr>
      </w:pPr>
      <w:r w:rsidRPr="00024680">
        <w:rPr>
          <w:rFonts w:cs="Times New Roman"/>
        </w:rPr>
        <w:t>其次，</w:t>
      </w:r>
      <w:r w:rsidR="005E1947" w:rsidRPr="00024680">
        <w:rPr>
          <w:rFonts w:cs="Times New Roman"/>
        </w:rPr>
        <w:t>就</w:t>
      </w:r>
      <w:r w:rsidR="004E00C1" w:rsidRPr="00024680">
        <w:rPr>
          <w:rFonts w:cs="Times New Roman"/>
        </w:rPr>
        <w:t>投資率持續下滑而言，</w:t>
      </w:r>
      <w:r w:rsidR="009D4188" w:rsidRPr="00024680">
        <w:rPr>
          <w:rFonts w:cs="Times New Roman" w:hint="eastAsia"/>
        </w:rPr>
        <w:t>由於</w:t>
      </w:r>
      <w:r w:rsidR="004E00C1" w:rsidRPr="00024680">
        <w:rPr>
          <w:rFonts w:cs="Times New Roman"/>
        </w:rPr>
        <w:t>全球金融危機，</w:t>
      </w:r>
      <w:r w:rsidR="00A94756" w:rsidRPr="00024680">
        <w:rPr>
          <w:rFonts w:cs="Times New Roman"/>
        </w:rPr>
        <w:t>全球經濟出現長期停滯</w:t>
      </w:r>
      <w:r w:rsidR="00A94756" w:rsidRPr="00024680">
        <w:rPr>
          <w:rFonts w:cs="Times New Roman"/>
        </w:rPr>
        <w:t>(secular stagnation)</w:t>
      </w:r>
      <w:r w:rsidR="00A94756" w:rsidRPr="00024680">
        <w:rPr>
          <w:rStyle w:val="ad"/>
          <w:rFonts w:cs="Times New Roman"/>
        </w:rPr>
        <w:footnoteReference w:id="2"/>
      </w:r>
      <w:r w:rsidR="00A94756" w:rsidRPr="00024680">
        <w:rPr>
          <w:rFonts w:cs="Times New Roman"/>
        </w:rPr>
        <w:t>現象，加以</w:t>
      </w:r>
      <w:r w:rsidR="004E00C1" w:rsidRPr="00024680">
        <w:rPr>
          <w:rFonts w:cs="Times New Roman"/>
        </w:rPr>
        <w:t>全球經濟金融的不確定性攀升</w:t>
      </w:r>
      <w:r w:rsidR="001E0909" w:rsidRPr="00024680">
        <w:rPr>
          <w:rFonts w:cs="Times New Roman" w:hint="eastAsia"/>
        </w:rPr>
        <w:t>，</w:t>
      </w:r>
      <w:r w:rsidR="009E66B2" w:rsidRPr="00024680">
        <w:rPr>
          <w:rFonts w:cs="Times New Roman"/>
        </w:rPr>
        <w:t>企業投資趨於保守</w:t>
      </w:r>
      <w:r w:rsidR="00C96A4D" w:rsidRPr="00024680">
        <w:rPr>
          <w:rFonts w:cs="Times New Roman" w:hint="eastAsia"/>
        </w:rPr>
        <w:t>，使得</w:t>
      </w:r>
      <w:r w:rsidR="00B4328A" w:rsidRPr="00024680">
        <w:rPr>
          <w:rFonts w:cs="Times New Roman"/>
        </w:rPr>
        <w:t>台灣</w:t>
      </w:r>
      <w:r w:rsidR="00C96A4D" w:rsidRPr="00024680">
        <w:rPr>
          <w:rFonts w:cs="Times New Roman" w:hint="eastAsia"/>
        </w:rPr>
        <w:t>企業投資率下降，並</w:t>
      </w:r>
      <w:r w:rsidR="00B4328A" w:rsidRPr="00024680">
        <w:rPr>
          <w:rFonts w:cs="Times New Roman" w:hint="eastAsia"/>
        </w:rPr>
        <w:t>由</w:t>
      </w:r>
      <w:r w:rsidR="004E00C1" w:rsidRPr="00024680">
        <w:rPr>
          <w:rFonts w:cs="Times New Roman"/>
        </w:rPr>
        <w:t>資金需求者轉為資金供給者</w:t>
      </w:r>
      <w:r w:rsidR="0087602D" w:rsidRPr="00024680">
        <w:rPr>
          <w:rFonts w:cs="Times New Roman"/>
        </w:rPr>
        <w:t>。國內</w:t>
      </w:r>
      <w:r w:rsidR="004E00C1" w:rsidRPr="00024680">
        <w:rPr>
          <w:rFonts w:cs="Times New Roman"/>
        </w:rPr>
        <w:t>企業超額儲蓄率</w:t>
      </w:r>
      <w:r w:rsidR="0087602D" w:rsidRPr="00024680">
        <w:rPr>
          <w:rFonts w:cs="Times New Roman"/>
        </w:rPr>
        <w:t>甚至</w:t>
      </w:r>
      <w:r w:rsidR="004E00C1" w:rsidRPr="00024680">
        <w:rPr>
          <w:rFonts w:cs="Times New Roman"/>
        </w:rPr>
        <w:t>於</w:t>
      </w:r>
      <w:r w:rsidR="004E00C1" w:rsidRPr="00024680">
        <w:rPr>
          <w:rFonts w:cs="Times New Roman"/>
        </w:rPr>
        <w:t>2017</w:t>
      </w:r>
      <w:r w:rsidR="004E00C1" w:rsidRPr="00024680">
        <w:rPr>
          <w:rFonts w:cs="Times New Roman"/>
        </w:rPr>
        <w:t>年達到</w:t>
      </w:r>
      <w:r w:rsidR="00795E9D" w:rsidRPr="00024680">
        <w:rPr>
          <w:rFonts w:cs="Times New Roman"/>
        </w:rPr>
        <w:t>7.4%</w:t>
      </w:r>
      <w:r w:rsidR="008270E9" w:rsidRPr="00024680">
        <w:rPr>
          <w:rFonts w:cs="Times New Roman" w:hint="eastAsia"/>
        </w:rPr>
        <w:t>的</w:t>
      </w:r>
      <w:r w:rsidR="004E00C1" w:rsidRPr="00024680">
        <w:rPr>
          <w:rFonts w:cs="Times New Roman"/>
        </w:rPr>
        <w:t>高點</w:t>
      </w:r>
      <w:r w:rsidR="00D1554B" w:rsidRPr="00024680">
        <w:rPr>
          <w:rFonts w:cs="Times New Roman"/>
        </w:rPr>
        <w:t>，</w:t>
      </w:r>
      <w:r w:rsidR="008270E9" w:rsidRPr="00024680">
        <w:rPr>
          <w:rFonts w:cs="Times New Roman" w:hint="eastAsia"/>
        </w:rPr>
        <w:t>這也</w:t>
      </w:r>
      <w:r w:rsidR="00590663" w:rsidRPr="00024680">
        <w:rPr>
          <w:rFonts w:cs="Times New Roman"/>
        </w:rPr>
        <w:t>是</w:t>
      </w:r>
      <w:r w:rsidR="004E00C1" w:rsidRPr="00024680">
        <w:rPr>
          <w:rFonts w:cs="Times New Roman"/>
        </w:rPr>
        <w:t>台灣整體超額儲蓄擴大的重要因素之一。</w:t>
      </w:r>
    </w:p>
    <w:p w:rsidR="004E00C1" w:rsidRPr="00024680" w:rsidRDefault="004E00C1" w:rsidP="00761CA1">
      <w:pPr>
        <w:overflowPunct w:val="0"/>
        <w:spacing w:beforeLines="30" w:before="156" w:afterLines="30" w:after="156" w:line="500" w:lineRule="exact"/>
        <w:ind w:firstLineChars="202" w:firstLine="566"/>
      </w:pPr>
      <w:r w:rsidRPr="00024680">
        <w:rPr>
          <w:rFonts w:hint="eastAsia"/>
        </w:rPr>
        <w:lastRenderedPageBreak/>
        <w:t>企業投資不足除了影響就業市場外，</w:t>
      </w:r>
      <w:r w:rsidR="008270E9" w:rsidRPr="00024680">
        <w:rPr>
          <w:rFonts w:hint="eastAsia"/>
        </w:rPr>
        <w:t>也</w:t>
      </w:r>
      <w:r w:rsidRPr="00024680">
        <w:rPr>
          <w:rFonts w:hint="eastAsia"/>
        </w:rPr>
        <w:t>會對整體</w:t>
      </w:r>
      <w:r w:rsidR="00C42BA6" w:rsidRPr="00024680">
        <w:rPr>
          <w:rFonts w:hint="eastAsia"/>
        </w:rPr>
        <w:t>經濟及</w:t>
      </w:r>
      <w:r w:rsidRPr="00024680">
        <w:rPr>
          <w:rFonts w:hint="eastAsia"/>
        </w:rPr>
        <w:t>生產力帶來不利衝擊。</w:t>
      </w:r>
      <w:r w:rsidR="00D609B9" w:rsidRPr="00024680">
        <w:rPr>
          <w:rFonts w:hint="eastAsia"/>
        </w:rPr>
        <w:t>根據</w:t>
      </w:r>
      <w:r w:rsidRPr="00024680">
        <w:rPr>
          <w:rFonts w:hint="eastAsia"/>
        </w:rPr>
        <w:t>經濟成長理論分析，勞動生產力要持續成長須仰賴包含創新與技術進步的總要素生產力</w:t>
      </w:r>
      <w:r w:rsidR="00965283" w:rsidRPr="00024680">
        <w:rPr>
          <w:rFonts w:hint="eastAsia"/>
        </w:rPr>
        <w:t>(TFP)</w:t>
      </w:r>
      <w:r w:rsidRPr="00024680">
        <w:rPr>
          <w:rFonts w:hint="eastAsia"/>
        </w:rPr>
        <w:t>提升，及固定資本形成</w:t>
      </w:r>
      <w:r w:rsidRPr="00024680">
        <w:t>—</w:t>
      </w:r>
      <w:r w:rsidRPr="00024680">
        <w:rPr>
          <w:rFonts w:hint="eastAsia"/>
        </w:rPr>
        <w:t>即投資</w:t>
      </w:r>
      <w:r w:rsidRPr="00024680">
        <w:t>—</w:t>
      </w:r>
      <w:r w:rsidRPr="00024680">
        <w:rPr>
          <w:rFonts w:hint="eastAsia"/>
        </w:rPr>
        <w:t>的持續累積</w:t>
      </w:r>
      <w:r w:rsidRPr="00024680">
        <w:rPr>
          <w:rFonts w:ascii="標楷體" w:hAnsi="標楷體" w:hint="eastAsia"/>
        </w:rPr>
        <w:t>。</w:t>
      </w:r>
      <w:r w:rsidR="008270E9" w:rsidRPr="00024680">
        <w:rPr>
          <w:rFonts w:ascii="標楷體" w:hAnsi="標楷體" w:hint="eastAsia"/>
        </w:rPr>
        <w:t>但</w:t>
      </w:r>
      <w:r w:rsidR="00B279CE" w:rsidRPr="00024680">
        <w:rPr>
          <w:rFonts w:ascii="標楷體" w:hAnsi="標楷體" w:hint="eastAsia"/>
        </w:rPr>
        <w:t>全球金融危機後</w:t>
      </w:r>
      <w:r w:rsidR="00B279CE" w:rsidRPr="00024680">
        <w:rPr>
          <w:rFonts w:ascii="新細明體" w:eastAsia="新細明體" w:hAnsi="新細明體" w:hint="eastAsia"/>
        </w:rPr>
        <w:t>，</w:t>
      </w:r>
      <w:r w:rsidR="00B279CE" w:rsidRPr="00024680">
        <w:rPr>
          <w:rFonts w:hint="eastAsia"/>
        </w:rPr>
        <w:t>台灣企業投資率</w:t>
      </w:r>
      <w:r w:rsidR="00E30355" w:rsidRPr="00024680">
        <w:rPr>
          <w:rFonts w:hint="eastAsia"/>
        </w:rPr>
        <w:t>呈現</w:t>
      </w:r>
      <w:r w:rsidR="00B279CE" w:rsidRPr="00024680">
        <w:rPr>
          <w:rFonts w:hint="eastAsia"/>
        </w:rPr>
        <w:t>下降</w:t>
      </w:r>
      <w:r w:rsidR="00E30355" w:rsidRPr="00024680">
        <w:rPr>
          <w:rFonts w:hint="eastAsia"/>
        </w:rPr>
        <w:t>趨勢</w:t>
      </w:r>
      <w:r w:rsidR="00B279CE" w:rsidRPr="00024680">
        <w:rPr>
          <w:rFonts w:hint="eastAsia"/>
        </w:rPr>
        <w:t>，不利研發創新與技術進步，</w:t>
      </w:r>
      <w:r w:rsidR="00071E33" w:rsidRPr="00024680">
        <w:rPr>
          <w:rFonts w:hint="eastAsia"/>
        </w:rPr>
        <w:t>使</w:t>
      </w:r>
      <w:r w:rsidR="00B279CE" w:rsidRPr="00024680">
        <w:rPr>
          <w:rFonts w:hint="eastAsia"/>
        </w:rPr>
        <w:t>總要素生產力成長偏弱，抑制</w:t>
      </w:r>
      <w:r w:rsidR="00071E33" w:rsidRPr="00024680">
        <w:rPr>
          <w:rFonts w:hint="eastAsia"/>
        </w:rPr>
        <w:t>了</w:t>
      </w:r>
      <w:r w:rsidR="00B279CE" w:rsidRPr="00024680">
        <w:rPr>
          <w:rFonts w:hint="eastAsia"/>
        </w:rPr>
        <w:t>經濟</w:t>
      </w:r>
      <w:r w:rsidR="00071E33" w:rsidRPr="00024680">
        <w:rPr>
          <w:rFonts w:hint="eastAsia"/>
        </w:rPr>
        <w:t>與</w:t>
      </w:r>
      <w:r w:rsidR="00B279CE" w:rsidRPr="00024680">
        <w:rPr>
          <w:rFonts w:hint="eastAsia"/>
        </w:rPr>
        <w:t>薪資成長</w:t>
      </w:r>
      <w:r w:rsidR="009D4188" w:rsidRPr="00024680">
        <w:rPr>
          <w:rFonts w:hint="eastAsia"/>
        </w:rPr>
        <w:t>，而</w:t>
      </w:r>
      <w:r w:rsidR="003D739E" w:rsidRPr="00024680">
        <w:rPr>
          <w:rFonts w:ascii="標楷體" w:hAnsi="標楷體" w:hint="eastAsia"/>
        </w:rPr>
        <w:t>台灣經濟成長</w:t>
      </w:r>
      <w:r w:rsidR="009D4188" w:rsidRPr="00024680">
        <w:rPr>
          <w:rFonts w:ascii="標楷體" w:hAnsi="標楷體" w:hint="eastAsia"/>
        </w:rPr>
        <w:t>率在此期間的表現，</w:t>
      </w:r>
      <w:r w:rsidR="008270E9" w:rsidRPr="00024680">
        <w:rPr>
          <w:rFonts w:ascii="標楷體" w:hAnsi="標楷體" w:hint="eastAsia"/>
        </w:rPr>
        <w:t>也</w:t>
      </w:r>
      <w:r w:rsidR="003D739E" w:rsidRPr="00024680">
        <w:rPr>
          <w:rFonts w:ascii="標楷體" w:hAnsi="標楷體" w:hint="eastAsia"/>
        </w:rPr>
        <w:t>低於全球經濟成長</w:t>
      </w:r>
      <w:r w:rsidR="009D4188" w:rsidRPr="00024680">
        <w:rPr>
          <w:rFonts w:ascii="標楷體" w:hAnsi="標楷體" w:hint="eastAsia"/>
        </w:rPr>
        <w:t>率</w:t>
      </w:r>
      <w:r w:rsidR="003D739E" w:rsidRPr="00024680">
        <w:rPr>
          <w:rFonts w:ascii="標楷體" w:hAnsi="標楷體" w:hint="eastAsia"/>
        </w:rPr>
        <w:t>的平均值</w:t>
      </w:r>
      <w:r w:rsidR="0024015F" w:rsidRPr="00024680">
        <w:rPr>
          <w:rFonts w:ascii="微軟正黑體" w:eastAsia="微軟正黑體" w:hAnsi="微軟正黑體" w:hint="eastAsia"/>
        </w:rPr>
        <w:t>。</w:t>
      </w:r>
    </w:p>
    <w:p w:rsidR="004E00C1" w:rsidRPr="00024680" w:rsidRDefault="004E00C1" w:rsidP="00761CA1">
      <w:pPr>
        <w:overflowPunct w:val="0"/>
        <w:spacing w:beforeLines="30" w:before="156" w:afterLines="30" w:after="156" w:line="500" w:lineRule="exact"/>
        <w:ind w:firstLineChars="202" w:firstLine="566"/>
        <w:rPr>
          <w:rFonts w:cs="Times New Roman"/>
          <w:szCs w:val="28"/>
        </w:rPr>
      </w:pPr>
      <w:r w:rsidRPr="00024680">
        <w:rPr>
          <w:rFonts w:cs="Times New Roman" w:hint="eastAsia"/>
          <w:szCs w:val="28"/>
        </w:rPr>
        <w:t>因此，在思考台灣資金運用的戰略時，</w:t>
      </w:r>
      <w:r w:rsidR="005E1947" w:rsidRPr="00024680">
        <w:rPr>
          <w:rFonts w:cs="Times New Roman" w:hint="eastAsia"/>
          <w:szCs w:val="28"/>
        </w:rPr>
        <w:t>其關鍵點</w:t>
      </w:r>
      <w:r w:rsidRPr="00024680">
        <w:rPr>
          <w:rFonts w:cs="Times New Roman" w:hint="eastAsia"/>
          <w:szCs w:val="28"/>
        </w:rPr>
        <w:t>應在</w:t>
      </w:r>
      <w:r w:rsidR="005E1947" w:rsidRPr="00024680">
        <w:rPr>
          <w:rFonts w:cs="Times New Roman" w:hint="eastAsia"/>
          <w:szCs w:val="28"/>
        </w:rPr>
        <w:t>於</w:t>
      </w:r>
      <w:r w:rsidRPr="00024680">
        <w:rPr>
          <w:rFonts w:cs="Times New Roman" w:hint="eastAsia"/>
          <w:szCs w:val="28"/>
        </w:rPr>
        <w:t>如何促進企業投資。此外，由於台灣製造業的固定資本形成中，內含</w:t>
      </w:r>
      <w:r w:rsidR="008270E9" w:rsidRPr="00024680">
        <w:rPr>
          <w:rFonts w:cs="Times New Roman" w:hint="eastAsia"/>
          <w:szCs w:val="28"/>
        </w:rPr>
        <w:t>的</w:t>
      </w:r>
      <w:r w:rsidRPr="00024680">
        <w:rPr>
          <w:rFonts w:cs="Times New Roman" w:hint="eastAsia"/>
          <w:szCs w:val="28"/>
        </w:rPr>
        <w:t>國外附加價值比重超過一半</w:t>
      </w:r>
      <w:r w:rsidR="008270E9" w:rsidRPr="00024680">
        <w:rPr>
          <w:rFonts w:ascii="微軟正黑體" w:eastAsia="微軟正黑體" w:hAnsi="微軟正黑體" w:cs="Times New Roman" w:hint="eastAsia"/>
          <w:szCs w:val="28"/>
        </w:rPr>
        <w:t>；</w:t>
      </w:r>
      <w:r w:rsidR="008270E9" w:rsidRPr="00024680">
        <w:rPr>
          <w:rFonts w:cs="Times New Roman" w:hint="eastAsia"/>
          <w:szCs w:val="28"/>
        </w:rPr>
        <w:t>這就</w:t>
      </w:r>
      <w:r w:rsidR="00180C70" w:rsidRPr="00024680">
        <w:rPr>
          <w:rFonts w:cs="Times New Roman" w:hint="eastAsia"/>
          <w:szCs w:val="28"/>
        </w:rPr>
        <w:t>意味著</w:t>
      </w:r>
      <w:r w:rsidR="00B32248" w:rsidRPr="00024680">
        <w:rPr>
          <w:rFonts w:cs="Times New Roman" w:hint="eastAsia"/>
          <w:szCs w:val="28"/>
        </w:rPr>
        <w:t>當</w:t>
      </w:r>
      <w:r w:rsidRPr="00024680">
        <w:rPr>
          <w:rFonts w:cs="Times New Roman" w:hint="eastAsia"/>
          <w:szCs w:val="28"/>
        </w:rPr>
        <w:t>製造業投資增加，將會帶動資本設備進口，有助縮減民間超額儲蓄</w:t>
      </w:r>
      <w:r w:rsidR="006A1832" w:rsidRPr="00024680">
        <w:rPr>
          <w:rFonts w:ascii="新細明體" w:eastAsia="新細明體" w:hAnsi="新細明體" w:cs="Times New Roman" w:hint="eastAsia"/>
          <w:szCs w:val="28"/>
        </w:rPr>
        <w:t>，</w:t>
      </w:r>
      <w:r w:rsidRPr="00024680">
        <w:rPr>
          <w:rFonts w:cs="Times New Roman" w:hint="eastAsia"/>
          <w:szCs w:val="28"/>
        </w:rPr>
        <w:t>並</w:t>
      </w:r>
      <w:r w:rsidR="006A1832" w:rsidRPr="00024680">
        <w:rPr>
          <w:rFonts w:cs="Times New Roman" w:hint="eastAsia"/>
          <w:szCs w:val="28"/>
        </w:rPr>
        <w:t>可</w:t>
      </w:r>
      <w:r w:rsidRPr="00024680">
        <w:rPr>
          <w:rFonts w:cs="Times New Roman" w:hint="eastAsia"/>
          <w:szCs w:val="28"/>
        </w:rPr>
        <w:t>同時降低經常帳順差。例如，</w:t>
      </w:r>
      <w:r w:rsidRPr="00024680">
        <w:rPr>
          <w:rFonts w:cs="Times New Roman" w:hint="eastAsia"/>
          <w:szCs w:val="28"/>
        </w:rPr>
        <w:t>2018</w:t>
      </w:r>
      <w:r w:rsidRPr="00024680">
        <w:rPr>
          <w:rFonts w:cs="Times New Roman" w:hint="eastAsia"/>
          <w:szCs w:val="28"/>
        </w:rPr>
        <w:t>年由於民間投資增加，超額儲蓄率</w:t>
      </w:r>
      <w:r w:rsidR="00C44488" w:rsidRPr="00024680">
        <w:rPr>
          <w:rFonts w:cs="Times New Roman" w:hint="eastAsia"/>
          <w:szCs w:val="28"/>
        </w:rPr>
        <w:t>約</w:t>
      </w:r>
      <w:r w:rsidRPr="00024680">
        <w:rPr>
          <w:rFonts w:cs="Times New Roman" w:hint="eastAsia"/>
          <w:szCs w:val="28"/>
        </w:rPr>
        <w:t>下降</w:t>
      </w:r>
      <w:r w:rsidRPr="00024680">
        <w:rPr>
          <w:rFonts w:cs="Times New Roman" w:hint="eastAsia"/>
          <w:szCs w:val="28"/>
        </w:rPr>
        <w:t>2.5</w:t>
      </w:r>
      <w:r w:rsidRPr="00024680">
        <w:rPr>
          <w:rFonts w:cs="Times New Roman" w:hint="eastAsia"/>
          <w:szCs w:val="28"/>
        </w:rPr>
        <w:t>個百分點，同期間經常帳順差較</w:t>
      </w:r>
      <w:r w:rsidRPr="00024680">
        <w:rPr>
          <w:rFonts w:cs="Times New Roman" w:hint="eastAsia"/>
          <w:szCs w:val="28"/>
        </w:rPr>
        <w:t>2017</w:t>
      </w:r>
      <w:r w:rsidRPr="00024680">
        <w:rPr>
          <w:rFonts w:cs="Times New Roman" w:hint="eastAsia"/>
          <w:szCs w:val="28"/>
        </w:rPr>
        <w:t>年減少</w:t>
      </w:r>
      <w:r w:rsidRPr="00024680">
        <w:rPr>
          <w:rFonts w:cs="Times New Roman" w:hint="eastAsia"/>
          <w:szCs w:val="28"/>
        </w:rPr>
        <w:t>13.9%</w:t>
      </w:r>
      <w:r w:rsidRPr="00024680">
        <w:rPr>
          <w:rFonts w:cs="Times New Roman" w:hint="eastAsia"/>
          <w:szCs w:val="28"/>
        </w:rPr>
        <w:t>。</w:t>
      </w:r>
      <w:r w:rsidR="00071E33" w:rsidRPr="00024680">
        <w:rPr>
          <w:rFonts w:cs="Times New Roman" w:hint="eastAsia"/>
          <w:szCs w:val="28"/>
        </w:rPr>
        <w:t>因</w:t>
      </w:r>
      <w:r w:rsidR="00CB4E31" w:rsidRPr="00024680">
        <w:rPr>
          <w:rFonts w:cs="Times New Roman" w:hint="eastAsia"/>
          <w:szCs w:val="28"/>
        </w:rPr>
        <w:t>此</w:t>
      </w:r>
      <w:r w:rsidRPr="00024680">
        <w:rPr>
          <w:rFonts w:cs="Times New Roman" w:hint="eastAsia"/>
          <w:szCs w:val="28"/>
        </w:rPr>
        <w:t>，</w:t>
      </w:r>
      <w:r w:rsidR="00CB4E31" w:rsidRPr="00024680">
        <w:rPr>
          <w:rFonts w:cs="Times New Roman" w:hint="eastAsia"/>
          <w:b/>
          <w:szCs w:val="28"/>
        </w:rPr>
        <w:t>提振民間實質投資動能</w:t>
      </w:r>
      <w:r w:rsidRPr="00024680">
        <w:rPr>
          <w:rFonts w:cs="Times New Roman" w:hint="eastAsia"/>
          <w:b/>
          <w:szCs w:val="28"/>
        </w:rPr>
        <w:t>，可減緩超額儲蓄</w:t>
      </w:r>
      <w:r w:rsidR="009D4188" w:rsidRPr="00024680">
        <w:rPr>
          <w:rFonts w:cs="Times New Roman" w:hint="eastAsia"/>
          <w:b/>
          <w:szCs w:val="28"/>
        </w:rPr>
        <w:t>擴大</w:t>
      </w:r>
      <w:r w:rsidRPr="00024680">
        <w:rPr>
          <w:rFonts w:cs="Times New Roman" w:hint="eastAsia"/>
          <w:b/>
          <w:szCs w:val="28"/>
        </w:rPr>
        <w:t>，</w:t>
      </w:r>
      <w:r w:rsidR="009D4188" w:rsidRPr="00024680">
        <w:rPr>
          <w:rFonts w:cs="Times New Roman" w:hint="eastAsia"/>
          <w:b/>
          <w:szCs w:val="28"/>
        </w:rPr>
        <w:t>降低經常帳順差，進而</w:t>
      </w:r>
      <w:r w:rsidRPr="00024680">
        <w:rPr>
          <w:rFonts w:cs="Times New Roman" w:hint="eastAsia"/>
          <w:b/>
          <w:szCs w:val="28"/>
        </w:rPr>
        <w:t>促進經濟對內對外平衡發展</w:t>
      </w:r>
      <w:r w:rsidR="003A36BB" w:rsidRPr="00024680">
        <w:rPr>
          <w:rFonts w:ascii="新細明體" w:eastAsia="新細明體" w:hAnsi="新細明體" w:cs="Times New Roman" w:hint="eastAsia"/>
          <w:szCs w:val="28"/>
        </w:rPr>
        <w:t>。</w:t>
      </w:r>
    </w:p>
    <w:p w:rsidR="002C3B3F" w:rsidRPr="00024680" w:rsidRDefault="002C3B3F" w:rsidP="00761CA1">
      <w:pPr>
        <w:pStyle w:val="a7"/>
        <w:numPr>
          <w:ilvl w:val="0"/>
          <w:numId w:val="3"/>
        </w:numPr>
        <w:snapToGrid w:val="0"/>
        <w:spacing w:beforeLines="30" w:before="156" w:afterLines="30" w:after="156" w:line="500" w:lineRule="exact"/>
        <w:ind w:leftChars="0" w:left="566" w:hangingChars="202" w:hanging="566"/>
        <w:rPr>
          <w:rFonts w:ascii="Times New Roman" w:eastAsia="標楷體" w:hAnsi="Times New Roman" w:cs="Times New Roman"/>
          <w:b/>
          <w:sz w:val="28"/>
          <w:szCs w:val="28"/>
        </w:rPr>
      </w:pPr>
      <w:r w:rsidRPr="00024680">
        <w:rPr>
          <w:rFonts w:ascii="Times New Roman" w:eastAsia="標楷體" w:hAnsi="Times New Roman" w:cs="Times New Roman" w:hint="eastAsia"/>
          <w:b/>
          <w:sz w:val="28"/>
          <w:szCs w:val="28"/>
        </w:rPr>
        <w:t>迎</w:t>
      </w:r>
      <w:r w:rsidR="00B02E56" w:rsidRPr="00024680">
        <w:rPr>
          <w:rFonts w:ascii="Times New Roman" w:eastAsia="標楷體" w:hAnsi="Times New Roman" w:cs="Times New Roman" w:hint="eastAsia"/>
          <w:b/>
          <w:sz w:val="28"/>
          <w:szCs w:val="28"/>
        </w:rPr>
        <w:t>接</w:t>
      </w:r>
      <w:r w:rsidRPr="00024680">
        <w:rPr>
          <w:rFonts w:ascii="Times New Roman" w:eastAsia="標楷體" w:hAnsi="Times New Roman" w:cs="Times New Roman" w:hint="eastAsia"/>
          <w:b/>
          <w:sz w:val="28"/>
          <w:szCs w:val="28"/>
        </w:rPr>
        <w:t>台商回流與海外資金匯回的資金</w:t>
      </w:r>
      <w:r w:rsidR="00460954" w:rsidRPr="00024680">
        <w:rPr>
          <w:rFonts w:ascii="Times New Roman" w:eastAsia="標楷體" w:hAnsi="Times New Roman" w:cs="Times New Roman" w:hint="eastAsia"/>
          <w:b/>
          <w:sz w:val="28"/>
          <w:szCs w:val="28"/>
        </w:rPr>
        <w:t>浪潮</w:t>
      </w:r>
    </w:p>
    <w:p w:rsidR="002C3B3F" w:rsidRPr="00024680" w:rsidRDefault="002C3B3F" w:rsidP="00761CA1">
      <w:pPr>
        <w:overflowPunct w:val="0"/>
        <w:spacing w:beforeLines="30" w:before="156" w:afterLines="30" w:after="156" w:line="500" w:lineRule="exact"/>
        <w:ind w:firstLineChars="202" w:firstLine="566"/>
        <w:rPr>
          <w:rFonts w:cs="Times New Roman"/>
          <w:szCs w:val="28"/>
        </w:rPr>
      </w:pPr>
      <w:r w:rsidRPr="00024680">
        <w:rPr>
          <w:rFonts w:cs="Times New Roman"/>
          <w:szCs w:val="28"/>
        </w:rPr>
        <w:t>當前在各界積極思考應如何運用國人資金之際，</w:t>
      </w:r>
      <w:r w:rsidR="008270E9" w:rsidRPr="00024680">
        <w:rPr>
          <w:rFonts w:cs="Times New Roman" w:hint="eastAsia"/>
          <w:szCs w:val="28"/>
        </w:rPr>
        <w:t>也正</w:t>
      </w:r>
      <w:r w:rsidRPr="00024680">
        <w:rPr>
          <w:rFonts w:cs="Times New Roman"/>
          <w:szCs w:val="28"/>
        </w:rPr>
        <w:t>適逢全球經貿</w:t>
      </w:r>
      <w:r w:rsidR="002403B7" w:rsidRPr="00024680">
        <w:rPr>
          <w:rFonts w:cs="Times New Roman" w:hint="eastAsia"/>
          <w:szCs w:val="28"/>
        </w:rPr>
        <w:t>環境</w:t>
      </w:r>
      <w:r w:rsidR="00876D94" w:rsidRPr="00024680">
        <w:rPr>
          <w:rFonts w:cs="Times New Roman"/>
          <w:szCs w:val="28"/>
        </w:rPr>
        <w:t>產生</w:t>
      </w:r>
      <w:r w:rsidR="00A13C78" w:rsidRPr="00024680">
        <w:rPr>
          <w:rFonts w:cs="Times New Roman"/>
          <w:szCs w:val="28"/>
        </w:rPr>
        <w:t>兩大</w:t>
      </w:r>
      <w:r w:rsidRPr="00024680">
        <w:rPr>
          <w:rFonts w:cs="Times New Roman"/>
          <w:szCs w:val="28"/>
        </w:rPr>
        <w:t>轉變</w:t>
      </w:r>
      <w:r w:rsidR="00A13C78" w:rsidRPr="00024680">
        <w:rPr>
          <w:rFonts w:cs="Times New Roman"/>
          <w:szCs w:val="28"/>
        </w:rPr>
        <w:t>：</w:t>
      </w:r>
      <w:r w:rsidRPr="00024680">
        <w:rPr>
          <w:rFonts w:cs="Times New Roman"/>
          <w:szCs w:val="28"/>
        </w:rPr>
        <w:t>一是美中經貿政策調整</w:t>
      </w:r>
      <w:r w:rsidR="001E51C4" w:rsidRPr="00024680">
        <w:rPr>
          <w:rFonts w:cs="Times New Roman" w:hint="eastAsia"/>
          <w:szCs w:val="28"/>
        </w:rPr>
        <w:t>及美中</w:t>
      </w:r>
      <w:r w:rsidRPr="00024680">
        <w:rPr>
          <w:rFonts w:cs="Times New Roman"/>
          <w:szCs w:val="28"/>
        </w:rPr>
        <w:t>貿易衝突的全球經貿變局</w:t>
      </w:r>
      <w:r w:rsidR="00A13C78" w:rsidRPr="00024680">
        <w:rPr>
          <w:rFonts w:cs="Times New Roman"/>
          <w:szCs w:val="28"/>
        </w:rPr>
        <w:t>；</w:t>
      </w:r>
      <w:r w:rsidRPr="00024680">
        <w:rPr>
          <w:rFonts w:cs="Times New Roman"/>
          <w:szCs w:val="28"/>
        </w:rPr>
        <w:t>另一項轉變則是全球興起反避稅</w:t>
      </w:r>
      <w:r w:rsidR="00824C79" w:rsidRPr="00024680">
        <w:rPr>
          <w:rFonts w:cs="Times New Roman" w:hint="eastAsia"/>
          <w:szCs w:val="28"/>
        </w:rPr>
        <w:t>風</w:t>
      </w:r>
      <w:r w:rsidRPr="00024680">
        <w:rPr>
          <w:rFonts w:cs="Times New Roman"/>
          <w:szCs w:val="28"/>
        </w:rPr>
        <w:t>潮，各國陸續實施共同申報準則</w:t>
      </w:r>
      <w:r w:rsidRPr="00024680">
        <w:rPr>
          <w:rFonts w:cs="Times New Roman"/>
          <w:szCs w:val="28"/>
        </w:rPr>
        <w:t>(</w:t>
      </w:r>
      <w:r w:rsidR="00406029" w:rsidRPr="00024680">
        <w:rPr>
          <w:rFonts w:cs="Times New Roman"/>
          <w:szCs w:val="28"/>
        </w:rPr>
        <w:t>Common Reporting Standard</w:t>
      </w:r>
      <w:r w:rsidR="00406029" w:rsidRPr="00024680">
        <w:rPr>
          <w:rFonts w:ascii="新細明體" w:eastAsia="新細明體" w:hAnsi="新細明體" w:cs="Times New Roman" w:hint="eastAsia"/>
          <w:szCs w:val="28"/>
        </w:rPr>
        <w:t>，</w:t>
      </w:r>
      <w:r w:rsidRPr="00024680">
        <w:rPr>
          <w:rFonts w:cs="Times New Roman"/>
          <w:szCs w:val="28"/>
        </w:rPr>
        <w:t>CRS)</w:t>
      </w:r>
      <w:r w:rsidR="002C372A" w:rsidRPr="00024680">
        <w:rPr>
          <w:rFonts w:cs="Times New Roman" w:hint="eastAsia"/>
          <w:szCs w:val="28"/>
        </w:rPr>
        <w:t>；</w:t>
      </w:r>
      <w:r w:rsidR="008270E9" w:rsidRPr="00024680">
        <w:rPr>
          <w:rFonts w:cs="Times New Roman" w:hint="eastAsia"/>
          <w:szCs w:val="28"/>
        </w:rPr>
        <w:t>這兩</w:t>
      </w:r>
      <w:r w:rsidRPr="00024680">
        <w:rPr>
          <w:rFonts w:cs="Times New Roman"/>
          <w:szCs w:val="28"/>
        </w:rPr>
        <w:t>因素</w:t>
      </w:r>
      <w:r w:rsidR="008270E9" w:rsidRPr="00024680">
        <w:rPr>
          <w:rFonts w:cs="Times New Roman" w:hint="eastAsia"/>
          <w:szCs w:val="28"/>
        </w:rPr>
        <w:t>也</w:t>
      </w:r>
      <w:r w:rsidR="002C372A" w:rsidRPr="00024680">
        <w:rPr>
          <w:rFonts w:cs="Times New Roman" w:hint="eastAsia"/>
          <w:szCs w:val="28"/>
        </w:rPr>
        <w:t>共同</w:t>
      </w:r>
      <w:r w:rsidR="004811C6" w:rsidRPr="00024680">
        <w:rPr>
          <w:rFonts w:cs="Times New Roman" w:hint="eastAsia"/>
          <w:szCs w:val="28"/>
        </w:rPr>
        <w:t>催生</w:t>
      </w:r>
      <w:r w:rsidR="001650F5" w:rsidRPr="00024680">
        <w:rPr>
          <w:rFonts w:cs="Times New Roman" w:hint="eastAsia"/>
          <w:szCs w:val="28"/>
        </w:rPr>
        <w:t>了</w:t>
      </w:r>
      <w:r w:rsidRPr="00024680">
        <w:rPr>
          <w:rFonts w:cs="Times New Roman"/>
          <w:szCs w:val="28"/>
        </w:rPr>
        <w:t>當前台商回台投資與海外資金匯回的資金浪潮。</w:t>
      </w:r>
      <w:r w:rsidR="00071E33" w:rsidRPr="00024680">
        <w:rPr>
          <w:rFonts w:cs="Times New Roman"/>
          <w:szCs w:val="28"/>
        </w:rPr>
        <w:t>今日研討會</w:t>
      </w:r>
      <w:r w:rsidR="002C372A" w:rsidRPr="00024680">
        <w:rPr>
          <w:rFonts w:cs="Times New Roman" w:hint="eastAsia"/>
          <w:szCs w:val="28"/>
        </w:rPr>
        <w:t>的</w:t>
      </w:r>
      <w:r w:rsidR="00071E33" w:rsidRPr="00024680">
        <w:rPr>
          <w:rFonts w:cs="Times New Roman"/>
          <w:szCs w:val="28"/>
        </w:rPr>
        <w:t>各項討論議題，</w:t>
      </w:r>
      <w:r w:rsidRPr="00024680">
        <w:rPr>
          <w:rFonts w:cs="Times New Roman"/>
          <w:szCs w:val="28"/>
        </w:rPr>
        <w:t>在</w:t>
      </w:r>
      <w:r w:rsidR="00071E33" w:rsidRPr="00024680">
        <w:rPr>
          <w:rFonts w:cs="Times New Roman" w:hint="eastAsia"/>
          <w:szCs w:val="28"/>
        </w:rPr>
        <w:t>當前</w:t>
      </w:r>
      <w:r w:rsidRPr="00024680">
        <w:rPr>
          <w:rFonts w:cs="Times New Roman"/>
          <w:szCs w:val="28"/>
        </w:rPr>
        <w:t>台灣</w:t>
      </w:r>
      <w:r w:rsidR="00071E33" w:rsidRPr="00024680">
        <w:rPr>
          <w:rFonts w:cs="Times New Roman" w:hint="eastAsia"/>
          <w:szCs w:val="28"/>
        </w:rPr>
        <w:t>握</w:t>
      </w:r>
      <w:r w:rsidRPr="00024680">
        <w:rPr>
          <w:rFonts w:cs="Times New Roman"/>
          <w:szCs w:val="28"/>
        </w:rPr>
        <w:t>有龐大國外淨資產部位</w:t>
      </w:r>
      <w:r w:rsidR="00B02554" w:rsidRPr="00024680">
        <w:rPr>
          <w:rFonts w:cs="Times New Roman" w:hint="eastAsia"/>
          <w:szCs w:val="28"/>
        </w:rPr>
        <w:t>及</w:t>
      </w:r>
      <w:r w:rsidRPr="00024680">
        <w:rPr>
          <w:rFonts w:cs="Times New Roman"/>
          <w:szCs w:val="28"/>
        </w:rPr>
        <w:t>超額儲蓄</w:t>
      </w:r>
      <w:r w:rsidR="00071E33" w:rsidRPr="00024680">
        <w:rPr>
          <w:rFonts w:cs="Times New Roman" w:hint="eastAsia"/>
          <w:szCs w:val="28"/>
        </w:rPr>
        <w:t>的</w:t>
      </w:r>
      <w:r w:rsidRPr="00024680">
        <w:rPr>
          <w:rFonts w:cs="Times New Roman"/>
          <w:szCs w:val="28"/>
        </w:rPr>
        <w:t>現況下，更凸顯其重要性與意義。</w:t>
      </w:r>
    </w:p>
    <w:p w:rsidR="00422A5B" w:rsidRPr="00024680" w:rsidRDefault="002E469A" w:rsidP="00761CA1">
      <w:pPr>
        <w:pStyle w:val="a7"/>
        <w:numPr>
          <w:ilvl w:val="0"/>
          <w:numId w:val="13"/>
        </w:numPr>
        <w:snapToGrid w:val="0"/>
        <w:spacing w:beforeLines="30" w:before="156" w:afterLines="30" w:after="156" w:line="500" w:lineRule="exact"/>
        <w:ind w:leftChars="0" w:left="482" w:hanging="482"/>
        <w:rPr>
          <w:rFonts w:ascii="Times New Roman" w:eastAsia="標楷體" w:hAnsi="Times New Roman" w:cs="Times New Roman"/>
          <w:b/>
          <w:sz w:val="28"/>
          <w:szCs w:val="28"/>
        </w:rPr>
      </w:pPr>
      <w:r w:rsidRPr="00024680">
        <w:rPr>
          <w:rFonts w:ascii="Times New Roman" w:eastAsia="標楷體" w:hAnsi="Times New Roman" w:cs="Times New Roman" w:hint="eastAsia"/>
          <w:b/>
          <w:sz w:val="28"/>
          <w:szCs w:val="28"/>
        </w:rPr>
        <w:t>美中貿易衝突加速供應鏈重組</w:t>
      </w:r>
      <w:r w:rsidR="009D3CFB" w:rsidRPr="00024680">
        <w:rPr>
          <w:rFonts w:ascii="Times New Roman" w:eastAsia="標楷體" w:hAnsi="Times New Roman" w:cs="Times New Roman" w:hint="eastAsia"/>
          <w:b/>
          <w:sz w:val="28"/>
          <w:szCs w:val="28"/>
        </w:rPr>
        <w:t>，</w:t>
      </w:r>
      <w:r w:rsidR="00175DE0" w:rsidRPr="00024680">
        <w:rPr>
          <w:rFonts w:ascii="Times New Roman" w:eastAsia="標楷體" w:hAnsi="Times New Roman" w:cs="Times New Roman" w:hint="eastAsia"/>
          <w:b/>
          <w:sz w:val="28"/>
          <w:szCs w:val="28"/>
        </w:rPr>
        <w:t>台商</w:t>
      </w:r>
      <w:r w:rsidR="00E24657" w:rsidRPr="00024680">
        <w:rPr>
          <w:rFonts w:ascii="Times New Roman" w:eastAsia="標楷體" w:hAnsi="Times New Roman" w:cs="Times New Roman" w:hint="eastAsia"/>
          <w:b/>
          <w:sz w:val="28"/>
          <w:szCs w:val="28"/>
        </w:rPr>
        <w:t>擴大全球布局與</w:t>
      </w:r>
      <w:r w:rsidR="00175DE0" w:rsidRPr="00024680">
        <w:rPr>
          <w:rFonts w:ascii="Times New Roman" w:eastAsia="標楷體" w:hAnsi="Times New Roman" w:cs="Times New Roman" w:hint="eastAsia"/>
          <w:b/>
          <w:sz w:val="28"/>
          <w:szCs w:val="28"/>
        </w:rPr>
        <w:t>回台投資</w:t>
      </w:r>
    </w:p>
    <w:p w:rsidR="00892833" w:rsidRPr="00024680" w:rsidRDefault="00892833" w:rsidP="00761CA1">
      <w:pPr>
        <w:overflowPunct w:val="0"/>
        <w:spacing w:beforeLines="30" w:before="156" w:afterLines="30" w:after="156" w:line="500" w:lineRule="exact"/>
        <w:ind w:firstLineChars="202" w:firstLine="566"/>
        <w:rPr>
          <w:rFonts w:cs="Times New Roman"/>
          <w:szCs w:val="28"/>
        </w:rPr>
      </w:pPr>
      <w:r w:rsidRPr="00024680">
        <w:rPr>
          <w:rFonts w:cs="Times New Roman"/>
          <w:szCs w:val="28"/>
        </w:rPr>
        <w:t>首先，</w:t>
      </w:r>
      <w:r w:rsidR="00645369" w:rsidRPr="00024680">
        <w:rPr>
          <w:rFonts w:cs="Times New Roman" w:hint="eastAsia"/>
          <w:szCs w:val="28"/>
        </w:rPr>
        <w:t>讓</w:t>
      </w:r>
      <w:r w:rsidRPr="00024680">
        <w:rPr>
          <w:rFonts w:cs="Times New Roman"/>
          <w:szCs w:val="28"/>
        </w:rPr>
        <w:t>我們討論近期台商回台投資的資金浪潮。</w:t>
      </w:r>
      <w:r w:rsidR="00BB53EC" w:rsidRPr="00024680">
        <w:rPr>
          <w:rFonts w:cs="Times New Roman" w:hint="eastAsia"/>
          <w:szCs w:val="28"/>
        </w:rPr>
        <w:t>回顧</w:t>
      </w:r>
      <w:r w:rsidRPr="00024680">
        <w:rPr>
          <w:rFonts w:cs="Times New Roman"/>
          <w:szCs w:val="28"/>
        </w:rPr>
        <w:t>1990</w:t>
      </w:r>
      <w:r w:rsidRPr="00024680">
        <w:rPr>
          <w:rFonts w:cs="Times New Roman"/>
          <w:szCs w:val="28"/>
        </w:rPr>
        <w:t>年代</w:t>
      </w:r>
      <w:r w:rsidR="00E720A2" w:rsidRPr="00024680">
        <w:rPr>
          <w:rFonts w:cs="Times New Roman" w:hint="eastAsia"/>
          <w:szCs w:val="28"/>
        </w:rPr>
        <w:t>以來</w:t>
      </w:r>
      <w:r w:rsidRPr="00024680">
        <w:rPr>
          <w:rFonts w:cs="Times New Roman"/>
          <w:szCs w:val="28"/>
        </w:rPr>
        <w:t>全球供應鏈</w:t>
      </w:r>
      <w:r w:rsidR="00BB53EC" w:rsidRPr="00024680">
        <w:rPr>
          <w:rFonts w:cs="Times New Roman" w:hint="eastAsia"/>
          <w:szCs w:val="28"/>
        </w:rPr>
        <w:t>開始</w:t>
      </w:r>
      <w:r w:rsidRPr="00024680">
        <w:rPr>
          <w:rFonts w:cs="Times New Roman"/>
          <w:szCs w:val="28"/>
        </w:rPr>
        <w:t>蓬勃發展，尤其</w:t>
      </w:r>
      <w:r w:rsidR="00BB53EC" w:rsidRPr="00024680">
        <w:rPr>
          <w:rFonts w:cs="Times New Roman" w:hint="eastAsia"/>
          <w:szCs w:val="28"/>
        </w:rPr>
        <w:t>中國大陸在</w:t>
      </w:r>
      <w:r w:rsidRPr="00024680">
        <w:rPr>
          <w:rFonts w:cs="Times New Roman"/>
          <w:szCs w:val="28"/>
        </w:rPr>
        <w:t>2001</w:t>
      </w:r>
      <w:r w:rsidRPr="00024680">
        <w:rPr>
          <w:rFonts w:cs="Times New Roman"/>
          <w:szCs w:val="28"/>
        </w:rPr>
        <w:t>年加入</w:t>
      </w:r>
      <w:r w:rsidRPr="00024680">
        <w:rPr>
          <w:rFonts w:cs="Times New Roman"/>
          <w:szCs w:val="28"/>
        </w:rPr>
        <w:t>WTO</w:t>
      </w:r>
      <w:r w:rsidRPr="00024680">
        <w:rPr>
          <w:rFonts w:cs="Times New Roman"/>
          <w:szCs w:val="28"/>
        </w:rPr>
        <w:lastRenderedPageBreak/>
        <w:t>後，</w:t>
      </w:r>
      <w:r w:rsidR="00EA5835" w:rsidRPr="00024680">
        <w:rPr>
          <w:rFonts w:cs="Times New Roman" w:hint="eastAsia"/>
          <w:szCs w:val="28"/>
        </w:rPr>
        <w:t>不僅</w:t>
      </w:r>
      <w:r w:rsidRPr="00024680">
        <w:rPr>
          <w:rFonts w:cs="Times New Roman"/>
          <w:szCs w:val="28"/>
        </w:rPr>
        <w:t>吸引大量外資直接投資，</w:t>
      </w:r>
      <w:r w:rsidR="00BB53EC" w:rsidRPr="00024680">
        <w:rPr>
          <w:rFonts w:cs="Times New Roman" w:hint="eastAsia"/>
          <w:szCs w:val="28"/>
        </w:rPr>
        <w:t>使</w:t>
      </w:r>
      <w:r w:rsidR="001E51C4" w:rsidRPr="00024680">
        <w:rPr>
          <w:rFonts w:cs="Times New Roman" w:hint="eastAsia"/>
          <w:szCs w:val="28"/>
        </w:rPr>
        <w:t>中國大陸</w:t>
      </w:r>
      <w:r w:rsidR="00DE5236" w:rsidRPr="00024680">
        <w:rPr>
          <w:rFonts w:cs="Times New Roman" w:hint="eastAsia"/>
          <w:szCs w:val="28"/>
        </w:rPr>
        <w:t>成</w:t>
      </w:r>
      <w:r w:rsidRPr="00024680">
        <w:rPr>
          <w:rFonts w:cs="Times New Roman"/>
          <w:szCs w:val="28"/>
        </w:rPr>
        <w:t>為世界工廠，</w:t>
      </w:r>
      <w:r w:rsidR="00D018FA" w:rsidRPr="00024680">
        <w:rPr>
          <w:rFonts w:cs="Times New Roman" w:hint="eastAsia"/>
          <w:szCs w:val="28"/>
        </w:rPr>
        <w:t>更</w:t>
      </w:r>
      <w:r w:rsidRPr="00024680">
        <w:rPr>
          <w:rFonts w:cs="Times New Roman"/>
          <w:szCs w:val="28"/>
        </w:rPr>
        <w:t>串聯日本、南韓、台灣等</w:t>
      </w:r>
      <w:r w:rsidR="00795E9D" w:rsidRPr="00024680">
        <w:rPr>
          <w:rFonts w:cs="Times New Roman" w:hint="eastAsia"/>
          <w:szCs w:val="28"/>
        </w:rPr>
        <w:t>經濟體</w:t>
      </w:r>
      <w:r w:rsidRPr="00024680">
        <w:rPr>
          <w:rFonts w:cs="Times New Roman"/>
          <w:szCs w:val="28"/>
        </w:rPr>
        <w:t>，形成了東亞供應鏈。由於中國大陸生產要素成本較低，加上台灣具有語言文化優勢，台商大舉</w:t>
      </w:r>
      <w:r w:rsidR="00EA5835" w:rsidRPr="00024680">
        <w:rPr>
          <w:rFonts w:cs="Times New Roman" w:hint="eastAsia"/>
          <w:szCs w:val="28"/>
        </w:rPr>
        <w:t>西進</w:t>
      </w:r>
      <w:r w:rsidRPr="00024680">
        <w:rPr>
          <w:rFonts w:cs="Times New Roman"/>
          <w:szCs w:val="28"/>
        </w:rPr>
        <w:t>，逐漸形成</w:t>
      </w:r>
      <w:r w:rsidR="00EA5835" w:rsidRPr="00024680">
        <w:rPr>
          <w:rFonts w:ascii="新細明體" w:eastAsia="新細明體" w:hAnsi="新細明體" w:cs="Times New Roman" w:hint="eastAsia"/>
          <w:szCs w:val="28"/>
        </w:rPr>
        <w:t>「</w:t>
      </w:r>
      <w:r w:rsidRPr="00024680">
        <w:rPr>
          <w:rFonts w:cs="Times New Roman"/>
          <w:szCs w:val="28"/>
        </w:rPr>
        <w:t>台灣接單、大陸生產並外銷歐美</w:t>
      </w:r>
      <w:r w:rsidR="00EA5835" w:rsidRPr="00024680">
        <w:rPr>
          <w:rFonts w:ascii="新細明體" w:eastAsia="新細明體" w:hAnsi="新細明體" w:cs="Times New Roman" w:hint="eastAsia"/>
          <w:szCs w:val="28"/>
        </w:rPr>
        <w:t>」</w:t>
      </w:r>
      <w:r w:rsidRPr="00024680">
        <w:rPr>
          <w:rFonts w:cs="Times New Roman"/>
          <w:szCs w:val="28"/>
        </w:rPr>
        <w:t>的三角貿易形態。</w:t>
      </w:r>
    </w:p>
    <w:p w:rsidR="00221D64" w:rsidRPr="00024680" w:rsidRDefault="00944110" w:rsidP="00B25533">
      <w:pPr>
        <w:spacing w:beforeLines="0" w:before="0" w:afterLines="50" w:after="260" w:line="500" w:lineRule="exact"/>
        <w:ind w:firstLineChars="202" w:firstLine="566"/>
        <w:rPr>
          <w:szCs w:val="24"/>
        </w:rPr>
      </w:pPr>
      <w:r w:rsidRPr="00024680">
        <w:rPr>
          <w:rFonts w:hint="eastAsia"/>
          <w:szCs w:val="24"/>
        </w:rPr>
        <w:t>到了</w:t>
      </w:r>
      <w:r w:rsidR="00221D64" w:rsidRPr="00024680">
        <w:rPr>
          <w:szCs w:val="24"/>
        </w:rPr>
        <w:t>2011</w:t>
      </w:r>
      <w:r w:rsidR="00221D64" w:rsidRPr="00024680">
        <w:rPr>
          <w:rFonts w:hint="eastAsia"/>
          <w:szCs w:val="24"/>
        </w:rPr>
        <w:t>年，中國大陸</w:t>
      </w:r>
      <w:r w:rsidR="003B4ED3" w:rsidRPr="00024680">
        <w:rPr>
          <w:rFonts w:hint="eastAsia"/>
          <w:szCs w:val="24"/>
        </w:rPr>
        <w:t>為了提振國內需求</w:t>
      </w:r>
      <w:r w:rsidR="003B4ED3" w:rsidRPr="00024680">
        <w:rPr>
          <w:rFonts w:ascii="新細明體" w:eastAsia="新細明體" w:hAnsi="新細明體" w:hint="eastAsia"/>
          <w:szCs w:val="24"/>
        </w:rPr>
        <w:t>，</w:t>
      </w:r>
      <w:r w:rsidR="00221D64" w:rsidRPr="00024680">
        <w:rPr>
          <w:rFonts w:hint="eastAsia"/>
          <w:szCs w:val="24"/>
        </w:rPr>
        <w:t>進行經濟「再平衡」</w:t>
      </w:r>
      <w:r w:rsidR="00221D64" w:rsidRPr="00024680">
        <w:rPr>
          <w:szCs w:val="24"/>
        </w:rPr>
        <w:t>(rebalance)</w:t>
      </w:r>
      <w:r w:rsidR="00221D64" w:rsidRPr="00024680">
        <w:rPr>
          <w:rFonts w:hint="eastAsia"/>
          <w:szCs w:val="24"/>
        </w:rPr>
        <w:t>結構改革，</w:t>
      </w:r>
      <w:r w:rsidR="00221D64" w:rsidRPr="00024680">
        <w:rPr>
          <w:rFonts w:hint="eastAsia"/>
        </w:rPr>
        <w:t>並</w:t>
      </w:r>
      <w:r w:rsidR="00221D64" w:rsidRPr="00024680">
        <w:rPr>
          <w:rFonts w:hint="eastAsia"/>
          <w:szCs w:val="24"/>
        </w:rPr>
        <w:t>擴大製造業升級、進口替代的政策力道，使</w:t>
      </w:r>
      <w:r w:rsidR="00430819" w:rsidRPr="00024680">
        <w:rPr>
          <w:rFonts w:hint="eastAsia"/>
          <w:szCs w:val="24"/>
        </w:rPr>
        <w:t>得</w:t>
      </w:r>
      <w:r w:rsidR="00221D64" w:rsidRPr="00024680">
        <w:rPr>
          <w:rFonts w:hint="eastAsia"/>
          <w:szCs w:val="24"/>
        </w:rPr>
        <w:t>紅色供應鏈崛起；</w:t>
      </w:r>
      <w:r w:rsidR="001E51C4" w:rsidRPr="00024680">
        <w:rPr>
          <w:rFonts w:hint="eastAsia"/>
          <w:szCs w:val="24"/>
        </w:rPr>
        <w:t>同時，</w:t>
      </w:r>
      <w:r w:rsidR="00221D64" w:rsidRPr="00024680">
        <w:rPr>
          <w:rFonts w:hint="eastAsia"/>
          <w:szCs w:val="24"/>
        </w:rPr>
        <w:t>隨著大陸勞動成本快速上漲、環保法規趨嚴、營運成本上升，迫使台商等外企開始布局投資東協國家。另一方面，</w:t>
      </w:r>
      <w:r w:rsidR="00221D64" w:rsidRPr="00024680">
        <w:rPr>
          <w:szCs w:val="24"/>
        </w:rPr>
        <w:t>200</w:t>
      </w:r>
      <w:r w:rsidR="00221D64" w:rsidRPr="00024680">
        <w:rPr>
          <w:rFonts w:hint="eastAsia"/>
          <w:szCs w:val="24"/>
        </w:rPr>
        <w:t>9</w:t>
      </w:r>
      <w:r w:rsidR="00221D64" w:rsidRPr="00024680">
        <w:rPr>
          <w:rFonts w:hint="eastAsia"/>
          <w:szCs w:val="24"/>
        </w:rPr>
        <w:t>年美國歐巴馬總統</w:t>
      </w:r>
      <w:r w:rsidR="00255A31" w:rsidRPr="00024680">
        <w:rPr>
          <w:rFonts w:hint="eastAsia"/>
          <w:szCs w:val="24"/>
        </w:rPr>
        <w:t>鼓勵</w:t>
      </w:r>
      <w:r w:rsidR="00221D64" w:rsidRPr="00024680">
        <w:rPr>
          <w:rFonts w:hint="eastAsia"/>
          <w:szCs w:val="24"/>
        </w:rPr>
        <w:t>製造業回流，</w:t>
      </w:r>
      <w:r w:rsidR="00221D64" w:rsidRPr="00024680">
        <w:rPr>
          <w:szCs w:val="24"/>
        </w:rPr>
        <w:t>2017</w:t>
      </w:r>
      <w:r w:rsidR="00221D64" w:rsidRPr="00024680">
        <w:rPr>
          <w:rFonts w:hint="eastAsia"/>
          <w:szCs w:val="24"/>
        </w:rPr>
        <w:t>年川普政府更進一步</w:t>
      </w:r>
      <w:r w:rsidR="00255A31" w:rsidRPr="00024680">
        <w:rPr>
          <w:rFonts w:hint="eastAsia"/>
          <w:szCs w:val="24"/>
        </w:rPr>
        <w:t>透過</w:t>
      </w:r>
      <w:r w:rsidR="00221D64" w:rsidRPr="00024680">
        <w:rPr>
          <w:rFonts w:hint="eastAsia"/>
          <w:szCs w:val="24"/>
        </w:rPr>
        <w:t>減稅政策吸引企業投資，同時開始</w:t>
      </w:r>
      <w:r w:rsidR="00255A31" w:rsidRPr="00024680">
        <w:rPr>
          <w:rFonts w:hint="eastAsia"/>
          <w:szCs w:val="24"/>
        </w:rPr>
        <w:t>針</w:t>
      </w:r>
      <w:r w:rsidR="00221D64" w:rsidRPr="00024680">
        <w:rPr>
          <w:rFonts w:hint="eastAsia"/>
          <w:szCs w:val="24"/>
        </w:rPr>
        <w:t>對美國主要貿易對手加徵關稅。</w:t>
      </w:r>
      <w:r w:rsidRPr="00024680">
        <w:rPr>
          <w:rFonts w:hint="eastAsia"/>
          <w:szCs w:val="24"/>
        </w:rPr>
        <w:t>前述美中經貿政策轉變使東亞供應鏈面臨調整的壓力，台商</w:t>
      </w:r>
      <w:r w:rsidR="00430819" w:rsidRPr="00024680">
        <w:rPr>
          <w:rFonts w:hint="eastAsia"/>
          <w:szCs w:val="24"/>
        </w:rPr>
        <w:t>也</w:t>
      </w:r>
      <w:r w:rsidRPr="00024680">
        <w:rPr>
          <w:rFonts w:hint="eastAsia"/>
          <w:szCs w:val="24"/>
        </w:rPr>
        <w:t>逐漸自中國大陸分散至其他海外生產地點。</w:t>
      </w:r>
    </w:p>
    <w:p w:rsidR="00221D64" w:rsidRPr="00024680" w:rsidRDefault="00944110" w:rsidP="00B25533">
      <w:pPr>
        <w:widowControl w:val="0"/>
        <w:overflowPunct w:val="0"/>
        <w:spacing w:beforeLines="30" w:before="156" w:afterLines="30" w:after="156" w:line="500" w:lineRule="exact"/>
        <w:ind w:firstLineChars="202" w:firstLine="566"/>
        <w:rPr>
          <w:rFonts w:cs="Times New Roman"/>
          <w:szCs w:val="28"/>
        </w:rPr>
      </w:pPr>
      <w:r w:rsidRPr="00024680">
        <w:rPr>
          <w:rFonts w:cs="Times New Roman" w:hint="eastAsia"/>
          <w:szCs w:val="28"/>
        </w:rPr>
        <w:t>近</w:t>
      </w:r>
      <w:r w:rsidRPr="00024680">
        <w:rPr>
          <w:rFonts w:cs="Times New Roman" w:hint="eastAsia"/>
          <w:szCs w:val="28"/>
        </w:rPr>
        <w:t>30</w:t>
      </w:r>
      <w:r w:rsidRPr="00024680">
        <w:rPr>
          <w:rFonts w:cs="Times New Roman" w:hint="eastAsia"/>
          <w:szCs w:val="28"/>
        </w:rPr>
        <w:t>年來亞洲供應鏈的發展及轉變過程中，台商一直扮演著重要</w:t>
      </w:r>
      <w:r w:rsidR="00EA2B80" w:rsidRPr="00024680">
        <w:rPr>
          <w:rFonts w:cs="Times New Roman" w:hint="eastAsia"/>
          <w:szCs w:val="28"/>
        </w:rPr>
        <w:t>且</w:t>
      </w:r>
      <w:r w:rsidRPr="00024680">
        <w:rPr>
          <w:rFonts w:cs="Times New Roman" w:hint="eastAsia"/>
          <w:szCs w:val="28"/>
        </w:rPr>
        <w:t>積極的角色。過去曾大量且集中投資於中國大陸，近年漸有分散生產基地</w:t>
      </w:r>
      <w:r w:rsidR="00F35DC4" w:rsidRPr="00024680">
        <w:rPr>
          <w:rFonts w:cs="Times New Roman" w:hint="eastAsia"/>
          <w:szCs w:val="28"/>
        </w:rPr>
        <w:t>的</w:t>
      </w:r>
      <w:r w:rsidRPr="00024680">
        <w:rPr>
          <w:rFonts w:cs="Times New Roman" w:hint="eastAsia"/>
          <w:szCs w:val="28"/>
        </w:rPr>
        <w:t>現象；</w:t>
      </w:r>
      <w:r w:rsidR="00F35DC4" w:rsidRPr="00024680">
        <w:rPr>
          <w:rFonts w:cs="Times New Roman" w:hint="eastAsia"/>
          <w:szCs w:val="28"/>
        </w:rPr>
        <w:t>但</w:t>
      </w:r>
      <w:r w:rsidR="00221D64" w:rsidRPr="00024680">
        <w:rPr>
          <w:rFonts w:cs="Times New Roman" w:hint="eastAsia"/>
          <w:szCs w:val="28"/>
        </w:rPr>
        <w:t>中國大陸迄今仍為台灣最大</w:t>
      </w:r>
      <w:r w:rsidR="00221D64" w:rsidRPr="00024680">
        <w:rPr>
          <w:rFonts w:hint="eastAsia"/>
          <w:szCs w:val="28"/>
        </w:rPr>
        <w:t>的海外生產重鎮</w:t>
      </w:r>
      <w:r w:rsidR="00221D64" w:rsidRPr="00024680">
        <w:rPr>
          <w:rFonts w:cs="Times New Roman" w:hint="eastAsia"/>
          <w:szCs w:val="28"/>
        </w:rPr>
        <w:t>及出口市場。</w:t>
      </w:r>
      <w:r w:rsidR="003F56E0" w:rsidRPr="00024680">
        <w:rPr>
          <w:rFonts w:cs="Times New Roman" w:hint="eastAsia"/>
          <w:szCs w:val="28"/>
        </w:rPr>
        <w:t>如</w:t>
      </w:r>
      <w:r w:rsidR="00221D64" w:rsidRPr="00024680">
        <w:rPr>
          <w:rFonts w:cs="Times New Roman" w:hint="eastAsia"/>
          <w:szCs w:val="28"/>
        </w:rPr>
        <w:t>2018</w:t>
      </w:r>
      <w:r w:rsidR="00221D64" w:rsidRPr="00024680">
        <w:rPr>
          <w:rFonts w:cs="Times New Roman" w:hint="eastAsia"/>
          <w:szCs w:val="28"/>
        </w:rPr>
        <w:t>年中國大陸</w:t>
      </w:r>
      <w:r w:rsidR="00221D64" w:rsidRPr="00024680">
        <w:rPr>
          <w:rFonts w:cs="Times New Roman" w:hint="eastAsia"/>
          <w:szCs w:val="28"/>
        </w:rPr>
        <w:t>(</w:t>
      </w:r>
      <w:r w:rsidR="00221D64" w:rsidRPr="00024680">
        <w:rPr>
          <w:rFonts w:cs="Times New Roman" w:hint="eastAsia"/>
          <w:szCs w:val="28"/>
        </w:rPr>
        <w:t>含香港</w:t>
      </w:r>
      <w:r w:rsidR="00221D64" w:rsidRPr="00024680">
        <w:rPr>
          <w:rFonts w:cs="Times New Roman" w:hint="eastAsia"/>
          <w:szCs w:val="28"/>
        </w:rPr>
        <w:t>)</w:t>
      </w:r>
      <w:r w:rsidR="00221D64" w:rsidRPr="00024680">
        <w:rPr>
          <w:rFonts w:cs="Times New Roman" w:hint="eastAsia"/>
          <w:szCs w:val="28"/>
        </w:rPr>
        <w:t>占台灣出口比重</w:t>
      </w:r>
      <w:r w:rsidR="00221D64" w:rsidRPr="00024680">
        <w:rPr>
          <w:rFonts w:cs="Times New Roman" w:hint="eastAsia"/>
          <w:szCs w:val="28"/>
        </w:rPr>
        <w:t>41.2%</w:t>
      </w:r>
      <w:r w:rsidR="00221D64" w:rsidRPr="00024680">
        <w:rPr>
          <w:rFonts w:cs="Times New Roman" w:hint="eastAsia"/>
          <w:szCs w:val="28"/>
        </w:rPr>
        <w:t>，中國大陸占台灣對外直接投資目的地的比重為</w:t>
      </w:r>
      <w:r w:rsidR="00221D64" w:rsidRPr="00024680">
        <w:rPr>
          <w:rFonts w:cs="Times New Roman" w:hint="eastAsia"/>
          <w:szCs w:val="28"/>
        </w:rPr>
        <w:t>37.3%</w:t>
      </w:r>
      <w:r w:rsidR="00221D64" w:rsidRPr="00024680">
        <w:rPr>
          <w:rFonts w:cs="Times New Roman" w:hint="eastAsia"/>
          <w:szCs w:val="28"/>
        </w:rPr>
        <w:t>；</w:t>
      </w:r>
      <w:r w:rsidR="00221D64" w:rsidRPr="00024680">
        <w:rPr>
          <w:rFonts w:hint="eastAsia"/>
          <w:szCs w:val="28"/>
        </w:rPr>
        <w:t>且</w:t>
      </w:r>
      <w:r w:rsidR="001E51C4" w:rsidRPr="00024680">
        <w:rPr>
          <w:rFonts w:hint="eastAsia"/>
          <w:szCs w:val="28"/>
        </w:rPr>
        <w:t>201</w:t>
      </w:r>
      <w:r w:rsidR="00910106" w:rsidRPr="00024680">
        <w:rPr>
          <w:rFonts w:hint="eastAsia"/>
          <w:szCs w:val="28"/>
        </w:rPr>
        <w:t>8</w:t>
      </w:r>
      <w:r w:rsidR="001E51C4" w:rsidRPr="00024680">
        <w:rPr>
          <w:rFonts w:hint="eastAsia"/>
          <w:szCs w:val="28"/>
        </w:rPr>
        <w:t>年</w:t>
      </w:r>
      <w:r w:rsidR="00221D64" w:rsidRPr="00024680">
        <w:rPr>
          <w:rFonts w:hint="eastAsia"/>
          <w:szCs w:val="28"/>
        </w:rPr>
        <w:t>台灣整體</w:t>
      </w:r>
      <w:r w:rsidR="00221D64" w:rsidRPr="00024680">
        <w:rPr>
          <w:rFonts w:hint="eastAsia"/>
          <w:b/>
          <w:szCs w:val="28"/>
        </w:rPr>
        <w:t>外銷訂單</w:t>
      </w:r>
      <w:r w:rsidR="00221D64" w:rsidRPr="00024680">
        <w:rPr>
          <w:rFonts w:hint="eastAsia"/>
          <w:szCs w:val="28"/>
        </w:rPr>
        <w:t>中，</w:t>
      </w:r>
      <w:r w:rsidR="00A319FC" w:rsidRPr="00024680">
        <w:rPr>
          <w:rFonts w:hint="eastAsia"/>
          <w:szCs w:val="28"/>
        </w:rPr>
        <w:t>在</w:t>
      </w:r>
      <w:r w:rsidR="00221D64" w:rsidRPr="00024680">
        <w:rPr>
          <w:rFonts w:hint="eastAsia"/>
          <w:szCs w:val="28"/>
        </w:rPr>
        <w:t>中國</w:t>
      </w:r>
      <w:r w:rsidR="00221D64" w:rsidRPr="00024680">
        <w:rPr>
          <w:rFonts w:hint="eastAsia"/>
          <w:b/>
          <w:szCs w:val="28"/>
        </w:rPr>
        <w:t>大陸生產比重達</w:t>
      </w:r>
      <w:r w:rsidR="00221D64" w:rsidRPr="00024680">
        <w:rPr>
          <w:rFonts w:hint="eastAsia"/>
          <w:b/>
          <w:szCs w:val="28"/>
        </w:rPr>
        <w:t>4</w:t>
      </w:r>
      <w:r w:rsidR="00685C14" w:rsidRPr="00024680">
        <w:rPr>
          <w:rFonts w:hint="eastAsia"/>
          <w:b/>
          <w:szCs w:val="28"/>
        </w:rPr>
        <w:t>6.7</w:t>
      </w:r>
      <w:r w:rsidR="00221D64" w:rsidRPr="00024680">
        <w:rPr>
          <w:b/>
          <w:szCs w:val="28"/>
        </w:rPr>
        <w:t>%</w:t>
      </w:r>
      <w:r w:rsidR="00221D64" w:rsidRPr="00024680">
        <w:rPr>
          <w:rFonts w:hint="eastAsia"/>
          <w:szCs w:val="28"/>
        </w:rPr>
        <w:t>，其中，</w:t>
      </w:r>
      <w:r w:rsidR="00221D64" w:rsidRPr="00024680">
        <w:rPr>
          <w:rFonts w:hint="eastAsia"/>
          <w:b/>
          <w:szCs w:val="28"/>
        </w:rPr>
        <w:t>資通訊產品在中國大陸生產</w:t>
      </w:r>
      <w:r w:rsidR="00221D64" w:rsidRPr="00024680">
        <w:rPr>
          <w:rFonts w:cs="Times New Roman"/>
          <w:b/>
          <w:szCs w:val="28"/>
        </w:rPr>
        <w:t>比重更高達</w:t>
      </w:r>
      <w:r w:rsidR="00221D64" w:rsidRPr="00024680">
        <w:rPr>
          <w:rFonts w:cs="Times New Roman"/>
          <w:b/>
          <w:szCs w:val="28"/>
        </w:rPr>
        <w:t>89.</w:t>
      </w:r>
      <w:r w:rsidR="00685C14" w:rsidRPr="00024680">
        <w:rPr>
          <w:rFonts w:cs="Times New Roman" w:hint="eastAsia"/>
          <w:b/>
          <w:szCs w:val="28"/>
        </w:rPr>
        <w:t>7</w:t>
      </w:r>
      <w:r w:rsidR="00221D64" w:rsidRPr="00024680">
        <w:rPr>
          <w:rFonts w:cs="Times New Roman"/>
          <w:b/>
          <w:szCs w:val="28"/>
        </w:rPr>
        <w:t>%</w:t>
      </w:r>
      <w:r w:rsidR="00CF60C9" w:rsidRPr="00024680">
        <w:rPr>
          <w:rFonts w:eastAsia="新細明體" w:cs="Times New Roman"/>
          <w:szCs w:val="28"/>
        </w:rPr>
        <w:t>，</w:t>
      </w:r>
      <w:r w:rsidR="00CF60C9" w:rsidRPr="00024680">
        <w:rPr>
          <w:rFonts w:cs="Times New Roman"/>
          <w:szCs w:val="28"/>
        </w:rPr>
        <w:t>顯示</w:t>
      </w:r>
      <w:r w:rsidR="00221D64" w:rsidRPr="00024680">
        <w:rPr>
          <w:rFonts w:cs="Times New Roman"/>
          <w:szCs w:val="24"/>
        </w:rPr>
        <w:t>三角貿易營運</w:t>
      </w:r>
      <w:r w:rsidR="00221D64" w:rsidRPr="00024680">
        <w:rPr>
          <w:rFonts w:cs="Times New Roman"/>
          <w:szCs w:val="28"/>
        </w:rPr>
        <w:t>模式</w:t>
      </w:r>
      <w:r w:rsidR="001E51C4" w:rsidRPr="00024680">
        <w:rPr>
          <w:rFonts w:cs="Times New Roman" w:hint="eastAsia"/>
          <w:szCs w:val="28"/>
        </w:rPr>
        <w:t>的</w:t>
      </w:r>
      <w:r w:rsidR="00221D64" w:rsidRPr="00024680">
        <w:rPr>
          <w:rFonts w:cs="Times New Roman"/>
          <w:szCs w:val="28"/>
        </w:rPr>
        <w:t>盛行。</w:t>
      </w:r>
      <w:r w:rsidR="00786117" w:rsidRPr="00024680">
        <w:rPr>
          <w:rFonts w:cs="Times New Roman" w:hint="eastAsia"/>
          <w:szCs w:val="28"/>
        </w:rPr>
        <w:t>不過，</w:t>
      </w:r>
      <w:r w:rsidR="00786117" w:rsidRPr="00024680">
        <w:rPr>
          <w:rFonts w:cs="Times New Roman"/>
          <w:szCs w:val="28"/>
        </w:rPr>
        <w:t>值得注意的是，</w:t>
      </w:r>
      <w:r w:rsidR="00786117" w:rsidRPr="00024680">
        <w:rPr>
          <w:rFonts w:cs="Times New Roman"/>
          <w:szCs w:val="28"/>
        </w:rPr>
        <w:t>2018</w:t>
      </w:r>
      <w:r w:rsidR="00786117" w:rsidRPr="00024680">
        <w:rPr>
          <w:rFonts w:cs="Times New Roman"/>
          <w:szCs w:val="28"/>
        </w:rPr>
        <w:t>年</w:t>
      </w:r>
      <w:r w:rsidR="001E51C4" w:rsidRPr="00024680">
        <w:rPr>
          <w:rFonts w:cs="Times New Roman" w:hint="eastAsia"/>
          <w:szCs w:val="28"/>
        </w:rPr>
        <w:t>台灣</w:t>
      </w:r>
      <w:r w:rsidR="00786117" w:rsidRPr="00024680">
        <w:rPr>
          <w:rFonts w:cs="Times New Roman"/>
          <w:szCs w:val="28"/>
        </w:rPr>
        <w:t>國內生產比達</w:t>
      </w:r>
      <w:r w:rsidR="00786117" w:rsidRPr="00024680">
        <w:rPr>
          <w:rFonts w:cs="Times New Roman"/>
          <w:szCs w:val="28"/>
        </w:rPr>
        <w:t>47.9%</w:t>
      </w:r>
      <w:r w:rsidR="00786117" w:rsidRPr="00024680">
        <w:rPr>
          <w:rFonts w:cs="Times New Roman"/>
          <w:szCs w:val="28"/>
        </w:rPr>
        <w:t>，創</w:t>
      </w:r>
      <w:r w:rsidR="00786117" w:rsidRPr="00024680">
        <w:rPr>
          <w:rFonts w:cs="Times New Roman"/>
          <w:szCs w:val="28"/>
        </w:rPr>
        <w:t>5</w:t>
      </w:r>
      <w:r w:rsidR="00786117" w:rsidRPr="00024680">
        <w:rPr>
          <w:rFonts w:cs="Times New Roman"/>
          <w:szCs w:val="28"/>
        </w:rPr>
        <w:t>年來新高，且</w:t>
      </w:r>
      <w:r w:rsidR="00E6585D" w:rsidRPr="00024680">
        <w:rPr>
          <w:rFonts w:cs="Times New Roman" w:hint="eastAsia"/>
          <w:szCs w:val="28"/>
        </w:rPr>
        <w:t>為</w:t>
      </w:r>
      <w:r w:rsidR="00E6585D" w:rsidRPr="00024680">
        <w:rPr>
          <w:rFonts w:cs="Times New Roman"/>
          <w:szCs w:val="28"/>
        </w:rPr>
        <w:t>201</w:t>
      </w:r>
      <w:r w:rsidR="00E6585D" w:rsidRPr="00024680">
        <w:rPr>
          <w:rFonts w:cs="Times New Roman" w:hint="eastAsia"/>
          <w:szCs w:val="28"/>
        </w:rPr>
        <w:t>5</w:t>
      </w:r>
      <w:r w:rsidR="00E6585D" w:rsidRPr="00024680">
        <w:rPr>
          <w:rFonts w:cs="Times New Roman"/>
          <w:szCs w:val="28"/>
        </w:rPr>
        <w:t>年以來首次超過</w:t>
      </w:r>
      <w:r w:rsidR="00C928BA" w:rsidRPr="00024680">
        <w:rPr>
          <w:rFonts w:cs="Times New Roman" w:hint="eastAsia"/>
          <w:szCs w:val="28"/>
        </w:rPr>
        <w:t>在</w:t>
      </w:r>
      <w:r w:rsidR="00E6585D" w:rsidRPr="00024680">
        <w:rPr>
          <w:rFonts w:cs="Times New Roman"/>
          <w:szCs w:val="28"/>
        </w:rPr>
        <w:t>中國大陸</w:t>
      </w:r>
      <w:r w:rsidR="00E6585D" w:rsidRPr="00024680">
        <w:rPr>
          <w:rFonts w:cs="Times New Roman" w:hint="eastAsia"/>
          <w:szCs w:val="28"/>
        </w:rPr>
        <w:t>(</w:t>
      </w:r>
      <w:r w:rsidR="00E6585D" w:rsidRPr="00024680">
        <w:rPr>
          <w:rFonts w:cs="Times New Roman" w:hint="eastAsia"/>
          <w:szCs w:val="28"/>
        </w:rPr>
        <w:t>含</w:t>
      </w:r>
      <w:r w:rsidR="00E6585D" w:rsidRPr="00024680">
        <w:rPr>
          <w:rFonts w:cs="Times New Roman"/>
          <w:szCs w:val="28"/>
        </w:rPr>
        <w:t>香港</w:t>
      </w:r>
      <w:r w:rsidR="00E6585D" w:rsidRPr="00024680">
        <w:rPr>
          <w:rFonts w:cs="Times New Roman" w:hint="eastAsia"/>
          <w:szCs w:val="28"/>
        </w:rPr>
        <w:t>)</w:t>
      </w:r>
      <w:r w:rsidR="00E6585D" w:rsidRPr="00024680">
        <w:rPr>
          <w:rFonts w:cs="Times New Roman" w:hint="eastAsia"/>
          <w:szCs w:val="28"/>
        </w:rPr>
        <w:t>生產比</w:t>
      </w:r>
      <w:r w:rsidR="00E6585D" w:rsidRPr="00024680">
        <w:rPr>
          <w:rFonts w:cs="Times New Roman"/>
          <w:szCs w:val="28"/>
        </w:rPr>
        <w:t>的</w:t>
      </w:r>
      <w:r w:rsidR="00E6585D" w:rsidRPr="00024680">
        <w:rPr>
          <w:rFonts w:cs="Times New Roman"/>
          <w:szCs w:val="28"/>
        </w:rPr>
        <w:t>46.7%</w:t>
      </w:r>
      <w:r w:rsidR="00E6585D" w:rsidRPr="00024680">
        <w:rPr>
          <w:rFonts w:cs="Times New Roman"/>
          <w:szCs w:val="28"/>
        </w:rPr>
        <w:t>，顯示</w:t>
      </w:r>
      <w:r w:rsidR="00E6585D" w:rsidRPr="00024680">
        <w:rPr>
          <w:rFonts w:cs="Times New Roman" w:hint="eastAsia"/>
          <w:szCs w:val="28"/>
        </w:rPr>
        <w:t>受到美中貿易衝突影響，部分廠商將生產線移回國內生產</w:t>
      </w:r>
      <w:r w:rsidR="00E6585D" w:rsidRPr="00024680">
        <w:rPr>
          <w:rFonts w:cs="Times New Roman"/>
          <w:szCs w:val="28"/>
        </w:rPr>
        <w:t>。</w:t>
      </w:r>
    </w:p>
    <w:p w:rsidR="00221D64" w:rsidRPr="00024680" w:rsidRDefault="003A694B" w:rsidP="00B25533">
      <w:pPr>
        <w:widowControl w:val="0"/>
        <w:overflowPunct w:val="0"/>
        <w:spacing w:beforeLines="30" w:before="156" w:afterLines="30" w:after="156" w:line="500" w:lineRule="exact"/>
        <w:ind w:firstLineChars="202" w:firstLine="566"/>
        <w:rPr>
          <w:rFonts w:cs="Times New Roman"/>
          <w:szCs w:val="28"/>
        </w:rPr>
      </w:pPr>
      <w:r w:rsidRPr="00024680">
        <w:rPr>
          <w:rFonts w:cs="Times New Roman" w:hint="eastAsia"/>
          <w:szCs w:val="28"/>
        </w:rPr>
        <w:t>各界多預期</w:t>
      </w:r>
      <w:r w:rsidR="003F56E0" w:rsidRPr="00024680">
        <w:rPr>
          <w:rFonts w:cs="Times New Roman" w:hint="eastAsia"/>
          <w:szCs w:val="28"/>
        </w:rPr>
        <w:t>短期內</w:t>
      </w:r>
      <w:r w:rsidR="00221D64" w:rsidRPr="00024680">
        <w:rPr>
          <w:rFonts w:cs="Times New Roman" w:hint="eastAsia"/>
          <w:szCs w:val="28"/>
        </w:rPr>
        <w:t>美中貿易</w:t>
      </w:r>
      <w:r w:rsidR="007D13CA" w:rsidRPr="00024680">
        <w:rPr>
          <w:rFonts w:cs="Times New Roman" w:hint="eastAsia"/>
          <w:szCs w:val="28"/>
        </w:rPr>
        <w:t>衝突</w:t>
      </w:r>
      <w:r w:rsidR="00C2143F" w:rsidRPr="00024680">
        <w:rPr>
          <w:rFonts w:cs="Times New Roman" w:hint="eastAsia"/>
          <w:szCs w:val="28"/>
        </w:rPr>
        <w:t>不易</w:t>
      </w:r>
      <w:r w:rsidR="007D13CA" w:rsidRPr="00024680">
        <w:rPr>
          <w:rFonts w:cs="Times New Roman" w:hint="eastAsia"/>
          <w:szCs w:val="28"/>
        </w:rPr>
        <w:t>獲得徹底解決</w:t>
      </w:r>
      <w:r w:rsidR="00221D64" w:rsidRPr="00024680">
        <w:rPr>
          <w:rFonts w:cs="Times New Roman" w:hint="eastAsia"/>
          <w:szCs w:val="28"/>
        </w:rPr>
        <w:t>，</w:t>
      </w:r>
      <w:r w:rsidR="00C2143F" w:rsidRPr="00024680">
        <w:rPr>
          <w:rFonts w:cs="Times New Roman" w:hint="eastAsia"/>
          <w:szCs w:val="28"/>
        </w:rPr>
        <w:t>未來供應鏈可能產生分流</w:t>
      </w:r>
      <w:r w:rsidR="00C2143F" w:rsidRPr="00024680">
        <w:rPr>
          <w:rFonts w:ascii="新細明體" w:eastAsia="新細明體" w:hAnsi="新細明體" w:cs="Times New Roman" w:hint="eastAsia"/>
          <w:szCs w:val="28"/>
        </w:rPr>
        <w:t>，</w:t>
      </w:r>
      <w:r w:rsidR="00C2143F" w:rsidRPr="00024680">
        <w:rPr>
          <w:rFonts w:cs="Times New Roman" w:hint="eastAsia"/>
          <w:szCs w:val="28"/>
        </w:rPr>
        <w:t>台商與跨國企業</w:t>
      </w:r>
      <w:r w:rsidR="006030E7" w:rsidRPr="00024680">
        <w:rPr>
          <w:rFonts w:cs="Times New Roman" w:hint="eastAsia"/>
          <w:szCs w:val="28"/>
        </w:rPr>
        <w:t>須</w:t>
      </w:r>
      <w:r w:rsidR="00C2143F" w:rsidRPr="00024680">
        <w:rPr>
          <w:rFonts w:cs="Times New Roman" w:hint="eastAsia"/>
          <w:szCs w:val="28"/>
        </w:rPr>
        <w:t>考慮生產要素與貼近市場</w:t>
      </w:r>
      <w:r w:rsidR="001E51C4" w:rsidRPr="00024680">
        <w:rPr>
          <w:rFonts w:cs="Times New Roman" w:hint="eastAsia"/>
          <w:szCs w:val="28"/>
        </w:rPr>
        <w:t>，來</w:t>
      </w:r>
      <w:r w:rsidR="00221D64" w:rsidRPr="00024680">
        <w:rPr>
          <w:rFonts w:cs="Times New Roman" w:hint="eastAsia"/>
          <w:szCs w:val="28"/>
        </w:rPr>
        <w:t>調整其全球布局。</w:t>
      </w:r>
      <w:r w:rsidR="00E258B1" w:rsidRPr="00024680">
        <w:rPr>
          <w:rFonts w:cs="Times New Roman" w:hint="eastAsia"/>
          <w:szCs w:val="28"/>
        </w:rPr>
        <w:t>若</w:t>
      </w:r>
      <w:r w:rsidR="00221D64" w:rsidRPr="00024680">
        <w:rPr>
          <w:rFonts w:cs="Times New Roman" w:hint="eastAsia"/>
          <w:szCs w:val="28"/>
        </w:rPr>
        <w:t>廠商以中國大陸內需市場為主，多半仍以續留大陸為考量；</w:t>
      </w:r>
      <w:r w:rsidR="00E258B1" w:rsidRPr="00024680">
        <w:rPr>
          <w:rFonts w:cs="Times New Roman" w:hint="eastAsia"/>
          <w:szCs w:val="28"/>
        </w:rPr>
        <w:t>至於</w:t>
      </w:r>
      <w:r w:rsidR="00221D64" w:rsidRPr="00024680">
        <w:rPr>
          <w:rFonts w:cs="Times New Roman" w:hint="eastAsia"/>
          <w:szCs w:val="28"/>
        </w:rPr>
        <w:t>以歐美</w:t>
      </w:r>
      <w:r w:rsidR="00E258B1" w:rsidRPr="00024680">
        <w:rPr>
          <w:rFonts w:cs="Times New Roman" w:hint="eastAsia"/>
          <w:szCs w:val="28"/>
        </w:rPr>
        <w:t>市場</w:t>
      </w:r>
      <w:r w:rsidR="00221D64" w:rsidRPr="00024680">
        <w:rPr>
          <w:rFonts w:cs="Times New Roman" w:hint="eastAsia"/>
          <w:szCs w:val="28"/>
        </w:rPr>
        <w:t>為主的廠商</w:t>
      </w:r>
      <w:r w:rsidR="00D17AC1" w:rsidRPr="00024680">
        <w:rPr>
          <w:rFonts w:cs="Times New Roman" w:hint="eastAsia"/>
          <w:szCs w:val="28"/>
        </w:rPr>
        <w:t>或</w:t>
      </w:r>
      <w:r w:rsidR="00221D64" w:rsidRPr="00024680">
        <w:rPr>
          <w:rFonts w:cs="Times New Roman" w:hint="eastAsia"/>
          <w:szCs w:val="28"/>
        </w:rPr>
        <w:t>將增加非中國大陸產能</w:t>
      </w:r>
      <w:r w:rsidR="001E51C4" w:rsidRPr="00024680">
        <w:rPr>
          <w:rFonts w:cs="Times New Roman" w:hint="eastAsia"/>
          <w:szCs w:val="28"/>
        </w:rPr>
        <w:t>，其中</w:t>
      </w:r>
      <w:r w:rsidR="00221D64" w:rsidRPr="00024680">
        <w:rPr>
          <w:rFonts w:cs="Times New Roman" w:hint="eastAsia"/>
          <w:szCs w:val="28"/>
        </w:rPr>
        <w:t>勞</w:t>
      </w:r>
      <w:r w:rsidR="00221D64" w:rsidRPr="00024680">
        <w:rPr>
          <w:rFonts w:cs="Times New Roman"/>
          <w:szCs w:val="28"/>
        </w:rPr>
        <w:lastRenderedPageBreak/>
        <w:t>力密集</w:t>
      </w:r>
      <w:r w:rsidR="0064411B" w:rsidRPr="00024680">
        <w:rPr>
          <w:rFonts w:cs="Times New Roman" w:hint="eastAsia"/>
          <w:szCs w:val="28"/>
        </w:rPr>
        <w:t>與</w:t>
      </w:r>
      <w:r w:rsidR="00221D64" w:rsidRPr="00024680">
        <w:rPr>
          <w:rFonts w:cs="Times New Roman"/>
          <w:szCs w:val="28"/>
        </w:rPr>
        <w:t>成本導向</w:t>
      </w:r>
      <w:r w:rsidR="0064411B" w:rsidRPr="00024680">
        <w:rPr>
          <w:rFonts w:cs="Times New Roman" w:hint="eastAsia"/>
          <w:szCs w:val="28"/>
        </w:rPr>
        <w:t>產業</w:t>
      </w:r>
      <w:r w:rsidR="00221D64" w:rsidRPr="00024680">
        <w:rPr>
          <w:rFonts w:cs="Times New Roman"/>
          <w:szCs w:val="28"/>
        </w:rPr>
        <w:t>，</w:t>
      </w:r>
      <w:r w:rsidR="0064411B" w:rsidRPr="00024680">
        <w:rPr>
          <w:rFonts w:cs="Times New Roman" w:hint="eastAsia"/>
          <w:szCs w:val="28"/>
        </w:rPr>
        <w:t>將</w:t>
      </w:r>
      <w:r w:rsidR="00221D64" w:rsidRPr="00024680">
        <w:rPr>
          <w:rFonts w:cs="Times New Roman" w:hint="eastAsia"/>
          <w:szCs w:val="28"/>
        </w:rPr>
        <w:t>加速</w:t>
      </w:r>
      <w:r w:rsidR="00221D64" w:rsidRPr="00024680">
        <w:rPr>
          <w:rFonts w:cs="Times New Roman"/>
          <w:szCs w:val="28"/>
        </w:rPr>
        <w:t>移往生產成本較低的國家</w:t>
      </w:r>
      <w:r w:rsidR="00221D64" w:rsidRPr="00024680">
        <w:rPr>
          <w:rFonts w:cs="Times New Roman" w:hint="eastAsia"/>
          <w:szCs w:val="28"/>
        </w:rPr>
        <w:t>，</w:t>
      </w:r>
      <w:r w:rsidR="00221D64" w:rsidRPr="00024680">
        <w:rPr>
          <w:rFonts w:cs="Times New Roman"/>
          <w:szCs w:val="28"/>
        </w:rPr>
        <w:t>如越南等</w:t>
      </w:r>
      <w:r w:rsidR="00221D64" w:rsidRPr="00024680">
        <w:rPr>
          <w:rFonts w:cs="Times New Roman" w:hint="eastAsia"/>
          <w:szCs w:val="28"/>
        </w:rPr>
        <w:t>新南向</w:t>
      </w:r>
      <w:r w:rsidR="00221D64" w:rsidRPr="00024680">
        <w:rPr>
          <w:rFonts w:cs="Times New Roman"/>
          <w:szCs w:val="28"/>
        </w:rPr>
        <w:t>國家</w:t>
      </w:r>
      <w:r w:rsidR="00221D64" w:rsidRPr="00024680">
        <w:rPr>
          <w:rFonts w:cs="Times New Roman" w:hint="eastAsia"/>
          <w:szCs w:val="28"/>
        </w:rPr>
        <w:t>；而</w:t>
      </w:r>
      <w:r w:rsidR="00221D64" w:rsidRPr="00024680">
        <w:rPr>
          <w:rFonts w:cs="Times New Roman"/>
          <w:szCs w:val="28"/>
        </w:rPr>
        <w:t>研發及高階製造者，</w:t>
      </w:r>
      <w:r w:rsidR="001E51C4" w:rsidRPr="00024680">
        <w:rPr>
          <w:rFonts w:cs="Times New Roman" w:hint="eastAsia"/>
          <w:szCs w:val="28"/>
        </w:rPr>
        <w:t>則將</w:t>
      </w:r>
      <w:r w:rsidR="00221D64" w:rsidRPr="00024680">
        <w:rPr>
          <w:rFonts w:cs="Times New Roman"/>
          <w:szCs w:val="28"/>
        </w:rPr>
        <w:t>移往人力素質高且無資安疑慮的台灣、日本、南韓及美國</w:t>
      </w:r>
      <w:r w:rsidR="00221D64" w:rsidRPr="00024680">
        <w:rPr>
          <w:rFonts w:cs="Times New Roman" w:hint="eastAsia"/>
          <w:szCs w:val="28"/>
        </w:rPr>
        <w:t>等地。此</w:t>
      </w:r>
      <w:r w:rsidR="00F35DC4" w:rsidRPr="00024680">
        <w:rPr>
          <w:rFonts w:cs="Times New Roman" w:hint="eastAsia"/>
          <w:szCs w:val="28"/>
        </w:rPr>
        <w:t>一</w:t>
      </w:r>
      <w:r w:rsidR="00221D64" w:rsidRPr="00024680">
        <w:rPr>
          <w:rFonts w:cs="Times New Roman" w:hint="eastAsia"/>
          <w:szCs w:val="28"/>
        </w:rPr>
        <w:t>轉變如能帶動大量台商回台投資，對台灣經濟將帶來正面助益。</w:t>
      </w:r>
    </w:p>
    <w:p w:rsidR="007E04C0" w:rsidRPr="00024680" w:rsidRDefault="00175DE0" w:rsidP="00800396">
      <w:pPr>
        <w:pStyle w:val="a7"/>
        <w:numPr>
          <w:ilvl w:val="0"/>
          <w:numId w:val="13"/>
        </w:numPr>
        <w:snapToGrid w:val="0"/>
        <w:spacing w:afterLines="50" w:after="260" w:line="500" w:lineRule="exact"/>
        <w:ind w:leftChars="0" w:left="482" w:hanging="482"/>
        <w:rPr>
          <w:rFonts w:ascii="Times New Roman" w:eastAsia="標楷體" w:hAnsi="Times New Roman" w:cs="Times New Roman"/>
          <w:b/>
          <w:sz w:val="28"/>
          <w:szCs w:val="28"/>
        </w:rPr>
      </w:pPr>
      <w:r w:rsidRPr="00024680">
        <w:rPr>
          <w:rFonts w:ascii="Times New Roman" w:eastAsia="標楷體" w:hAnsi="Times New Roman" w:cs="Times New Roman"/>
          <w:b/>
          <w:sz w:val="28"/>
          <w:szCs w:val="28"/>
        </w:rPr>
        <w:t>全球逐步實行</w:t>
      </w:r>
      <w:r w:rsidR="007E04C0" w:rsidRPr="00024680">
        <w:rPr>
          <w:rFonts w:ascii="Times New Roman" w:eastAsia="標楷體" w:hAnsi="Times New Roman" w:cs="Times New Roman"/>
          <w:b/>
          <w:sz w:val="28"/>
          <w:szCs w:val="28"/>
        </w:rPr>
        <w:t>「共同申報準則」</w:t>
      </w:r>
      <w:r w:rsidR="007E04C0" w:rsidRPr="00024680">
        <w:rPr>
          <w:rFonts w:ascii="Times New Roman" w:eastAsia="標楷體" w:hAnsi="Times New Roman" w:cs="Times New Roman"/>
          <w:b/>
          <w:sz w:val="28"/>
          <w:szCs w:val="28"/>
        </w:rPr>
        <w:t>(CRS)</w:t>
      </w:r>
      <w:r w:rsidR="007E04C0" w:rsidRPr="00024680">
        <w:rPr>
          <w:rFonts w:ascii="Times New Roman" w:eastAsia="標楷體" w:hAnsi="Times New Roman" w:cs="Times New Roman"/>
          <w:b/>
          <w:sz w:val="28"/>
          <w:szCs w:val="28"/>
        </w:rPr>
        <w:t>與</w:t>
      </w:r>
      <w:r w:rsidR="0025592C" w:rsidRPr="00024680">
        <w:rPr>
          <w:rFonts w:ascii="Times New Roman" w:eastAsia="標楷體" w:hAnsi="Times New Roman" w:cs="Times New Roman" w:hint="eastAsia"/>
          <w:b/>
          <w:sz w:val="28"/>
          <w:szCs w:val="28"/>
        </w:rPr>
        <w:t>國內推動</w:t>
      </w:r>
      <w:r w:rsidR="007E04C0" w:rsidRPr="00024680">
        <w:rPr>
          <w:rFonts w:ascii="Times New Roman" w:eastAsia="標楷體" w:hAnsi="Times New Roman" w:cs="Times New Roman"/>
          <w:b/>
          <w:sz w:val="28"/>
          <w:szCs w:val="28"/>
        </w:rPr>
        <w:t>「海外資金匯回專法」，台灣迎</w:t>
      </w:r>
      <w:r w:rsidR="0025592C" w:rsidRPr="00024680">
        <w:rPr>
          <w:rFonts w:ascii="Times New Roman" w:eastAsia="標楷體" w:hAnsi="Times New Roman" w:cs="Times New Roman" w:hint="eastAsia"/>
          <w:b/>
          <w:sz w:val="28"/>
          <w:szCs w:val="28"/>
        </w:rPr>
        <w:t>接</w:t>
      </w:r>
      <w:r w:rsidR="007E04C0" w:rsidRPr="00024680">
        <w:rPr>
          <w:rFonts w:ascii="Times New Roman" w:eastAsia="標楷體" w:hAnsi="Times New Roman" w:cs="Times New Roman"/>
          <w:b/>
          <w:sz w:val="28"/>
          <w:szCs w:val="28"/>
        </w:rPr>
        <w:t>海外資金回流潮</w:t>
      </w:r>
    </w:p>
    <w:p w:rsidR="00B0724D" w:rsidRPr="00024680" w:rsidRDefault="009A299C" w:rsidP="00520ECC">
      <w:pPr>
        <w:overflowPunct w:val="0"/>
        <w:spacing w:beforeLines="0" w:before="0" w:afterLines="50" w:after="260" w:line="480" w:lineRule="exact"/>
        <w:ind w:firstLineChars="202" w:firstLine="566"/>
        <w:rPr>
          <w:rFonts w:cs="Times New Roman"/>
          <w:szCs w:val="28"/>
        </w:rPr>
      </w:pPr>
      <w:r w:rsidRPr="00024680">
        <w:rPr>
          <w:rFonts w:cs="Times New Roman"/>
        </w:rPr>
        <w:t>其次，全球</w:t>
      </w:r>
      <w:r w:rsidR="003A694B" w:rsidRPr="00024680">
        <w:rPr>
          <w:rFonts w:cs="Times New Roman"/>
        </w:rPr>
        <w:t>推行</w:t>
      </w:r>
      <w:r w:rsidRPr="00024680">
        <w:rPr>
          <w:rFonts w:cs="Times New Roman"/>
        </w:rPr>
        <w:t>反避稅政策也是</w:t>
      </w:r>
      <w:r w:rsidR="005D3743" w:rsidRPr="00024680">
        <w:rPr>
          <w:rFonts w:cs="Times New Roman"/>
        </w:rPr>
        <w:t>影響台</w:t>
      </w:r>
      <w:r w:rsidR="00CC2197" w:rsidRPr="00024680">
        <w:rPr>
          <w:rFonts w:cs="Times New Roman"/>
        </w:rPr>
        <w:t>灣海外</w:t>
      </w:r>
      <w:r w:rsidR="005D3743" w:rsidRPr="00024680">
        <w:rPr>
          <w:rFonts w:cs="Times New Roman"/>
        </w:rPr>
        <w:t>資金移動的重要</w:t>
      </w:r>
      <w:r w:rsidRPr="00024680">
        <w:rPr>
          <w:rFonts w:cs="Times New Roman"/>
        </w:rPr>
        <w:t>因素</w:t>
      </w:r>
      <w:r w:rsidR="005D3743" w:rsidRPr="00024680">
        <w:rPr>
          <w:rFonts w:cs="Times New Roman"/>
        </w:rPr>
        <w:t>。由於</w:t>
      </w:r>
      <w:r w:rsidR="00B0724D" w:rsidRPr="00024680">
        <w:rPr>
          <w:rFonts w:cs="Times New Roman"/>
          <w:szCs w:val="28"/>
        </w:rPr>
        <w:t>各國陸續實施共同申報準則，國人</w:t>
      </w:r>
      <w:r w:rsidR="00CC2197" w:rsidRPr="00024680">
        <w:rPr>
          <w:rFonts w:cs="Times New Roman"/>
          <w:szCs w:val="28"/>
        </w:rPr>
        <w:t>及台商持</w:t>
      </w:r>
      <w:r w:rsidR="00E40559" w:rsidRPr="00024680">
        <w:rPr>
          <w:rFonts w:cs="Times New Roman"/>
          <w:szCs w:val="28"/>
        </w:rPr>
        <w:t>有</w:t>
      </w:r>
      <w:r w:rsidR="00B0724D" w:rsidRPr="00024680">
        <w:rPr>
          <w:rFonts w:cs="Times New Roman"/>
          <w:szCs w:val="28"/>
        </w:rPr>
        <w:t>海外高資產</w:t>
      </w:r>
      <w:r w:rsidR="00E40559" w:rsidRPr="00024680">
        <w:rPr>
          <w:rFonts w:cs="Times New Roman"/>
          <w:szCs w:val="28"/>
        </w:rPr>
        <w:t>者</w:t>
      </w:r>
      <w:r w:rsidR="00CC2197" w:rsidRPr="00024680">
        <w:rPr>
          <w:rFonts w:cs="Times New Roman"/>
          <w:szCs w:val="28"/>
        </w:rPr>
        <w:t>，</w:t>
      </w:r>
      <w:r w:rsidR="005D3743" w:rsidRPr="00024680">
        <w:rPr>
          <w:rFonts w:cs="Times New Roman"/>
          <w:szCs w:val="28"/>
        </w:rPr>
        <w:t>基於各國法規及租</w:t>
      </w:r>
      <w:r w:rsidR="00B0724D" w:rsidRPr="00024680">
        <w:rPr>
          <w:rFonts w:cs="Times New Roman"/>
          <w:szCs w:val="28"/>
        </w:rPr>
        <w:t>稅</w:t>
      </w:r>
      <w:r w:rsidR="005D3743" w:rsidRPr="00024680">
        <w:rPr>
          <w:rFonts w:cs="Times New Roman"/>
          <w:szCs w:val="28"/>
        </w:rPr>
        <w:t>考量</w:t>
      </w:r>
      <w:r w:rsidR="00B0724D" w:rsidRPr="00024680">
        <w:rPr>
          <w:rFonts w:cs="Times New Roman"/>
          <w:szCs w:val="28"/>
        </w:rPr>
        <w:t>，</w:t>
      </w:r>
      <w:r w:rsidR="00CC2197" w:rsidRPr="00024680">
        <w:rPr>
          <w:rFonts w:cs="Times New Roman"/>
          <w:szCs w:val="28"/>
        </w:rPr>
        <w:t>開始考量</w:t>
      </w:r>
      <w:r w:rsidR="00EA2B80" w:rsidRPr="00024680">
        <w:rPr>
          <w:rFonts w:cs="Times New Roman" w:hint="eastAsia"/>
          <w:szCs w:val="28"/>
        </w:rPr>
        <w:t>調整</w:t>
      </w:r>
      <w:r w:rsidR="00CC2197" w:rsidRPr="00024680">
        <w:rPr>
          <w:rFonts w:cs="Times New Roman"/>
          <w:szCs w:val="28"/>
        </w:rPr>
        <w:t>其海外</w:t>
      </w:r>
      <w:r w:rsidR="00B0724D" w:rsidRPr="00024680">
        <w:rPr>
          <w:rFonts w:cs="Times New Roman"/>
          <w:szCs w:val="28"/>
        </w:rPr>
        <w:t>資</w:t>
      </w:r>
      <w:r w:rsidR="00CC2197" w:rsidRPr="00024680">
        <w:rPr>
          <w:rFonts w:cs="Times New Roman"/>
          <w:szCs w:val="28"/>
        </w:rPr>
        <w:t>產</w:t>
      </w:r>
      <w:r w:rsidR="00EA2B80" w:rsidRPr="00024680">
        <w:rPr>
          <w:rFonts w:cs="Times New Roman" w:hint="eastAsia"/>
          <w:szCs w:val="28"/>
        </w:rPr>
        <w:t>配置</w:t>
      </w:r>
      <w:r w:rsidR="00CC2197" w:rsidRPr="00024680">
        <w:rPr>
          <w:rFonts w:cs="Times New Roman"/>
          <w:szCs w:val="28"/>
        </w:rPr>
        <w:t>。</w:t>
      </w:r>
      <w:r w:rsidR="00B0724D" w:rsidRPr="00024680">
        <w:rPr>
          <w:rFonts w:cs="Times New Roman"/>
          <w:szCs w:val="28"/>
        </w:rPr>
        <w:t>值此時期</w:t>
      </w:r>
      <w:r w:rsidR="005D3743" w:rsidRPr="00024680">
        <w:rPr>
          <w:rFonts w:cs="Times New Roman"/>
          <w:szCs w:val="28"/>
        </w:rPr>
        <w:t>，</w:t>
      </w:r>
      <w:r w:rsidR="00B0724D" w:rsidRPr="00024680">
        <w:rPr>
          <w:rFonts w:cs="Times New Roman"/>
          <w:szCs w:val="28"/>
        </w:rPr>
        <w:t>「</w:t>
      </w:r>
      <w:r w:rsidR="001D0680" w:rsidRPr="00024680">
        <w:rPr>
          <w:rFonts w:cs="Times New Roman" w:hint="eastAsia"/>
          <w:szCs w:val="28"/>
        </w:rPr>
        <w:t>境外資金匯回管理運用及課稅條例</w:t>
      </w:r>
      <w:r w:rsidR="00B0724D" w:rsidRPr="00024680">
        <w:rPr>
          <w:rFonts w:cs="Times New Roman"/>
          <w:szCs w:val="28"/>
        </w:rPr>
        <w:t>」</w:t>
      </w:r>
      <w:r w:rsidR="00A4145C" w:rsidRPr="00024680">
        <w:rPr>
          <w:rFonts w:cs="Times New Roman"/>
          <w:szCs w:val="28"/>
        </w:rPr>
        <w:t>草案</w:t>
      </w:r>
      <w:r w:rsidR="00E52724" w:rsidRPr="00024680">
        <w:rPr>
          <w:rFonts w:cs="Times New Roman"/>
          <w:szCs w:val="28"/>
        </w:rPr>
        <w:t>在</w:t>
      </w:r>
      <w:r w:rsidR="001D0680" w:rsidRPr="00024680">
        <w:rPr>
          <w:rFonts w:cs="Times New Roman" w:hint="eastAsia"/>
          <w:szCs w:val="28"/>
        </w:rPr>
        <w:t>民間部門</w:t>
      </w:r>
      <w:r w:rsidR="00E52724" w:rsidRPr="00024680">
        <w:rPr>
          <w:rFonts w:cs="Times New Roman"/>
          <w:szCs w:val="28"/>
        </w:rPr>
        <w:t>需求</w:t>
      </w:r>
      <w:r w:rsidR="001D0680" w:rsidRPr="00024680">
        <w:rPr>
          <w:rFonts w:cs="Times New Roman" w:hint="eastAsia"/>
          <w:szCs w:val="28"/>
        </w:rPr>
        <w:t>、</w:t>
      </w:r>
      <w:r w:rsidR="00E52724" w:rsidRPr="00024680">
        <w:rPr>
          <w:rFonts w:cs="Times New Roman"/>
          <w:szCs w:val="28"/>
        </w:rPr>
        <w:t>立法</w:t>
      </w:r>
      <w:r w:rsidR="001D0680" w:rsidRPr="00024680">
        <w:rPr>
          <w:rFonts w:cs="Times New Roman" w:hint="eastAsia"/>
          <w:szCs w:val="28"/>
        </w:rPr>
        <w:t>及行政部門共同</w:t>
      </w:r>
      <w:r w:rsidR="00E52724" w:rsidRPr="00024680">
        <w:rPr>
          <w:rFonts w:cs="Times New Roman"/>
          <w:szCs w:val="28"/>
        </w:rPr>
        <w:t>協助下</w:t>
      </w:r>
      <w:r w:rsidR="005D3743" w:rsidRPr="00024680">
        <w:rPr>
          <w:rFonts w:cs="Times New Roman"/>
          <w:szCs w:val="28"/>
        </w:rPr>
        <w:t>應運而生</w:t>
      </w:r>
      <w:r w:rsidR="00A4145C" w:rsidRPr="00024680">
        <w:rPr>
          <w:rFonts w:cs="Times New Roman"/>
          <w:szCs w:val="28"/>
        </w:rPr>
        <w:t>。</w:t>
      </w:r>
      <w:r w:rsidR="00E52724" w:rsidRPr="00024680">
        <w:rPr>
          <w:rFonts w:cs="Times New Roman"/>
          <w:szCs w:val="28"/>
        </w:rPr>
        <w:t>各界對如何</w:t>
      </w:r>
      <w:r w:rsidR="00E268F9" w:rsidRPr="00024680">
        <w:rPr>
          <w:rFonts w:cs="Times New Roman"/>
          <w:szCs w:val="28"/>
        </w:rPr>
        <w:t>鼓勵海外資金</w:t>
      </w:r>
      <w:r w:rsidR="00B87702" w:rsidRPr="00024680">
        <w:rPr>
          <w:rFonts w:cs="Times New Roman"/>
          <w:szCs w:val="28"/>
        </w:rPr>
        <w:t>匯回</w:t>
      </w:r>
      <w:r w:rsidR="00A4145C" w:rsidRPr="00024680">
        <w:rPr>
          <w:rFonts w:cs="Times New Roman"/>
          <w:szCs w:val="28"/>
        </w:rPr>
        <w:t>並</w:t>
      </w:r>
      <w:r w:rsidR="000251CF" w:rsidRPr="00024680">
        <w:rPr>
          <w:rFonts w:cs="Times New Roman"/>
          <w:szCs w:val="28"/>
        </w:rPr>
        <w:t>有效管理，</w:t>
      </w:r>
      <w:r w:rsidR="00E268F9" w:rsidRPr="00024680">
        <w:rPr>
          <w:rFonts w:cs="Times New Roman"/>
          <w:szCs w:val="28"/>
        </w:rPr>
        <w:t>以</w:t>
      </w:r>
      <w:r w:rsidR="00CC2197" w:rsidRPr="00024680">
        <w:rPr>
          <w:rFonts w:cs="Times New Roman"/>
          <w:szCs w:val="28"/>
        </w:rPr>
        <w:t>促進</w:t>
      </w:r>
      <w:r w:rsidR="000251CF" w:rsidRPr="00024680">
        <w:rPr>
          <w:rFonts w:cs="Times New Roman"/>
          <w:szCs w:val="28"/>
        </w:rPr>
        <w:t>國內投資</w:t>
      </w:r>
      <w:r w:rsidR="00CC2197" w:rsidRPr="00024680">
        <w:rPr>
          <w:rFonts w:cs="Times New Roman"/>
          <w:szCs w:val="28"/>
        </w:rPr>
        <w:t>、</w:t>
      </w:r>
      <w:r w:rsidR="001D0680" w:rsidRPr="00024680">
        <w:rPr>
          <w:rFonts w:cs="Times New Roman" w:hint="eastAsia"/>
          <w:szCs w:val="28"/>
        </w:rPr>
        <w:t>並</w:t>
      </w:r>
      <w:r w:rsidR="000251CF" w:rsidRPr="00024680">
        <w:rPr>
          <w:rFonts w:cs="Times New Roman"/>
          <w:szCs w:val="28"/>
        </w:rPr>
        <w:t>發展</w:t>
      </w:r>
      <w:r w:rsidR="00CC2197" w:rsidRPr="00024680">
        <w:rPr>
          <w:rFonts w:cs="Times New Roman"/>
          <w:szCs w:val="28"/>
        </w:rPr>
        <w:t>國內</w:t>
      </w:r>
      <w:r w:rsidR="000251CF" w:rsidRPr="00024680">
        <w:rPr>
          <w:rFonts w:cs="Times New Roman"/>
          <w:szCs w:val="28"/>
        </w:rPr>
        <w:t>金融市場，</w:t>
      </w:r>
      <w:r w:rsidR="00CC2197" w:rsidRPr="00024680">
        <w:rPr>
          <w:rFonts w:cs="Times New Roman"/>
          <w:szCs w:val="28"/>
        </w:rPr>
        <w:t>進而</w:t>
      </w:r>
      <w:r w:rsidR="000251CF" w:rsidRPr="00024680">
        <w:rPr>
          <w:rFonts w:cs="Times New Roman"/>
          <w:szCs w:val="28"/>
        </w:rPr>
        <w:t>提高國內經濟動能</w:t>
      </w:r>
      <w:r w:rsidR="00CC2197" w:rsidRPr="00024680">
        <w:rPr>
          <w:rFonts w:cs="Times New Roman"/>
          <w:szCs w:val="28"/>
        </w:rPr>
        <w:t>，</w:t>
      </w:r>
      <w:r w:rsidR="00A4145C" w:rsidRPr="00024680">
        <w:rPr>
          <w:rFonts w:cs="Times New Roman" w:hint="eastAsia"/>
          <w:szCs w:val="28"/>
        </w:rPr>
        <w:t>有極高</w:t>
      </w:r>
      <w:r w:rsidR="00FF75B3" w:rsidRPr="00024680">
        <w:rPr>
          <w:rFonts w:cs="Times New Roman" w:hint="eastAsia"/>
          <w:szCs w:val="28"/>
        </w:rPr>
        <w:t>的</w:t>
      </w:r>
      <w:r w:rsidR="00A4145C" w:rsidRPr="00024680">
        <w:rPr>
          <w:rFonts w:cs="Times New Roman" w:hint="eastAsia"/>
          <w:szCs w:val="28"/>
        </w:rPr>
        <w:t>期望</w:t>
      </w:r>
      <w:r w:rsidR="00B0724D" w:rsidRPr="00024680">
        <w:rPr>
          <w:rFonts w:cs="Times New Roman"/>
          <w:szCs w:val="28"/>
        </w:rPr>
        <w:t>。</w:t>
      </w:r>
    </w:p>
    <w:p w:rsidR="00E40559" w:rsidRPr="00024680" w:rsidRDefault="00B0724D" w:rsidP="00520ECC">
      <w:pPr>
        <w:spacing w:beforeLines="0" w:before="0" w:afterLines="50" w:after="260" w:line="480" w:lineRule="exact"/>
        <w:ind w:firstLineChars="202" w:firstLine="566"/>
        <w:rPr>
          <w:rFonts w:cs="Times New Roman"/>
        </w:rPr>
      </w:pPr>
      <w:r w:rsidRPr="00024680">
        <w:rPr>
          <w:rFonts w:cs="Times New Roman"/>
          <w:szCs w:val="28"/>
        </w:rPr>
        <w:t>龐大</w:t>
      </w:r>
      <w:r w:rsidR="00CC2197" w:rsidRPr="00024680">
        <w:rPr>
          <w:rFonts w:cs="Times New Roman"/>
          <w:szCs w:val="28"/>
        </w:rPr>
        <w:t>的</w:t>
      </w:r>
      <w:r w:rsidRPr="00024680">
        <w:rPr>
          <w:rFonts w:cs="Times New Roman"/>
          <w:szCs w:val="28"/>
        </w:rPr>
        <w:t>回流資金如</w:t>
      </w:r>
      <w:r w:rsidR="00221D64" w:rsidRPr="00024680">
        <w:rPr>
          <w:rFonts w:cs="Times New Roman"/>
          <w:szCs w:val="28"/>
        </w:rPr>
        <w:t>能</w:t>
      </w:r>
      <w:r w:rsidRPr="00024680">
        <w:rPr>
          <w:rFonts w:cs="Times New Roman"/>
          <w:szCs w:val="28"/>
        </w:rPr>
        <w:t>導入國內實質投資，</w:t>
      </w:r>
      <w:r w:rsidR="00D9263D" w:rsidRPr="00024680">
        <w:rPr>
          <w:rFonts w:cs="Times New Roman"/>
          <w:szCs w:val="28"/>
        </w:rPr>
        <w:t>不僅</w:t>
      </w:r>
      <w:r w:rsidRPr="00024680">
        <w:rPr>
          <w:rFonts w:cs="Times New Roman"/>
          <w:szCs w:val="28"/>
        </w:rPr>
        <w:t>可</w:t>
      </w:r>
      <w:r w:rsidR="00D9263D" w:rsidRPr="00024680">
        <w:rPr>
          <w:rFonts w:cs="Times New Roman"/>
          <w:szCs w:val="28"/>
        </w:rPr>
        <w:t>充實政府</w:t>
      </w:r>
      <w:r w:rsidRPr="00024680">
        <w:rPr>
          <w:rFonts w:cs="Times New Roman"/>
          <w:szCs w:val="28"/>
        </w:rPr>
        <w:t>稅收，</w:t>
      </w:r>
      <w:r w:rsidR="00F35DC4" w:rsidRPr="00024680">
        <w:rPr>
          <w:rFonts w:cs="Times New Roman" w:hint="eastAsia"/>
          <w:szCs w:val="28"/>
        </w:rPr>
        <w:t>也</w:t>
      </w:r>
      <w:r w:rsidRPr="00024680">
        <w:rPr>
          <w:rFonts w:cs="Times New Roman"/>
          <w:szCs w:val="28"/>
        </w:rPr>
        <w:t>可增加</w:t>
      </w:r>
      <w:r w:rsidR="00580F80" w:rsidRPr="00024680">
        <w:rPr>
          <w:rFonts w:cs="Times New Roman"/>
          <w:szCs w:val="28"/>
        </w:rPr>
        <w:t>國內</w:t>
      </w:r>
      <w:r w:rsidRPr="00024680">
        <w:rPr>
          <w:rFonts w:cs="Times New Roman"/>
          <w:szCs w:val="28"/>
        </w:rPr>
        <w:t>產出</w:t>
      </w:r>
      <w:r w:rsidR="00D4684E" w:rsidRPr="00024680">
        <w:rPr>
          <w:rFonts w:cs="Times New Roman"/>
          <w:szCs w:val="28"/>
        </w:rPr>
        <w:t>、</w:t>
      </w:r>
      <w:r w:rsidRPr="00024680">
        <w:rPr>
          <w:rFonts w:cs="Times New Roman"/>
          <w:szCs w:val="28"/>
        </w:rPr>
        <w:t>就業</w:t>
      </w:r>
      <w:r w:rsidR="00CC2197" w:rsidRPr="00024680">
        <w:rPr>
          <w:rFonts w:cs="Times New Roman"/>
          <w:szCs w:val="28"/>
        </w:rPr>
        <w:t>及生產力</w:t>
      </w:r>
      <w:r w:rsidR="00D4684E" w:rsidRPr="00024680">
        <w:rPr>
          <w:rFonts w:cs="Times New Roman"/>
          <w:szCs w:val="28"/>
        </w:rPr>
        <w:t>，帶動產業升級</w:t>
      </w:r>
      <w:r w:rsidRPr="00024680">
        <w:rPr>
          <w:rFonts w:cs="Times New Roman"/>
          <w:szCs w:val="28"/>
        </w:rPr>
        <w:t>，</w:t>
      </w:r>
      <w:r w:rsidR="00FF75B3" w:rsidRPr="00024680">
        <w:rPr>
          <w:rFonts w:cs="Times New Roman" w:hint="eastAsia"/>
          <w:szCs w:val="28"/>
        </w:rPr>
        <w:t>協</w:t>
      </w:r>
      <w:r w:rsidR="00D4684E" w:rsidRPr="00024680">
        <w:rPr>
          <w:rFonts w:cs="Times New Roman" w:hint="eastAsia"/>
          <w:szCs w:val="28"/>
        </w:rPr>
        <w:t>助</w:t>
      </w:r>
      <w:r w:rsidRPr="00024680">
        <w:rPr>
          <w:rFonts w:cs="Times New Roman"/>
          <w:szCs w:val="28"/>
        </w:rPr>
        <w:t>薪資成長；</w:t>
      </w:r>
      <w:r w:rsidR="00F35DC4" w:rsidRPr="00024680">
        <w:rPr>
          <w:rFonts w:cs="Times New Roman" w:hint="eastAsia"/>
          <w:szCs w:val="28"/>
        </w:rPr>
        <w:t>但也</w:t>
      </w:r>
      <w:r w:rsidR="0095176B" w:rsidRPr="00024680">
        <w:rPr>
          <w:rFonts w:cs="Times New Roman" w:hint="eastAsia"/>
          <w:szCs w:val="28"/>
        </w:rPr>
        <w:t>必須</w:t>
      </w:r>
      <w:r w:rsidRPr="00024680">
        <w:rPr>
          <w:rFonts w:cs="Times New Roman"/>
          <w:szCs w:val="28"/>
        </w:rPr>
        <w:t>配合完善的管理措施</w:t>
      </w:r>
      <w:r w:rsidR="00F75BFD" w:rsidRPr="00024680">
        <w:rPr>
          <w:rStyle w:val="ad"/>
          <w:rFonts w:cs="Times New Roman"/>
          <w:szCs w:val="28"/>
        </w:rPr>
        <w:footnoteReference w:id="3"/>
      </w:r>
      <w:r w:rsidRPr="00024680">
        <w:rPr>
          <w:rFonts w:cs="Times New Roman"/>
          <w:szCs w:val="28"/>
        </w:rPr>
        <w:t>，</w:t>
      </w:r>
      <w:r w:rsidR="00CC2197" w:rsidRPr="00024680">
        <w:rPr>
          <w:rFonts w:cs="Times New Roman"/>
          <w:szCs w:val="28"/>
        </w:rPr>
        <w:t>以</w:t>
      </w:r>
      <w:r w:rsidRPr="00024680">
        <w:rPr>
          <w:rFonts w:cs="Times New Roman"/>
          <w:szCs w:val="28"/>
        </w:rPr>
        <w:t>避免回流資金流入不動產</w:t>
      </w:r>
      <w:r w:rsidR="00CC2197" w:rsidRPr="00024680">
        <w:rPr>
          <w:rFonts w:cs="Times New Roman"/>
          <w:szCs w:val="28"/>
        </w:rPr>
        <w:t>市場</w:t>
      </w:r>
      <w:r w:rsidRPr="00024680">
        <w:rPr>
          <w:rFonts w:cs="Times New Roman"/>
          <w:szCs w:val="28"/>
        </w:rPr>
        <w:t>炒</w:t>
      </w:r>
      <w:r w:rsidR="005E5317" w:rsidRPr="00024680">
        <w:rPr>
          <w:rFonts w:cs="Times New Roman" w:hint="eastAsia"/>
          <w:szCs w:val="28"/>
        </w:rPr>
        <w:t>高房價</w:t>
      </w:r>
      <w:r w:rsidRPr="00024680">
        <w:rPr>
          <w:rFonts w:cs="Times New Roman"/>
          <w:szCs w:val="28"/>
        </w:rPr>
        <w:t>，</w:t>
      </w:r>
      <w:r w:rsidR="006534E0" w:rsidRPr="00024680">
        <w:rPr>
          <w:rFonts w:cs="Times New Roman" w:hint="eastAsia"/>
          <w:szCs w:val="28"/>
        </w:rPr>
        <w:t>並舒緩</w:t>
      </w:r>
      <w:r w:rsidR="00CC2197" w:rsidRPr="00024680">
        <w:rPr>
          <w:rFonts w:cs="Times New Roman"/>
          <w:szCs w:val="28"/>
        </w:rPr>
        <w:t>對</w:t>
      </w:r>
      <w:r w:rsidRPr="00024680">
        <w:rPr>
          <w:rFonts w:cs="Times New Roman"/>
          <w:szCs w:val="28"/>
        </w:rPr>
        <w:t>外匯及金融市場波動</w:t>
      </w:r>
      <w:r w:rsidR="00CC2197" w:rsidRPr="00024680">
        <w:rPr>
          <w:rFonts w:cs="Times New Roman"/>
          <w:szCs w:val="28"/>
        </w:rPr>
        <w:t>造成不利</w:t>
      </w:r>
      <w:r w:rsidR="00F35DC4" w:rsidRPr="00024680">
        <w:rPr>
          <w:rFonts w:cs="Times New Roman" w:hint="eastAsia"/>
          <w:szCs w:val="28"/>
        </w:rPr>
        <w:t>的</w:t>
      </w:r>
      <w:r w:rsidR="00CC2197" w:rsidRPr="00024680">
        <w:rPr>
          <w:rFonts w:cs="Times New Roman"/>
          <w:szCs w:val="28"/>
        </w:rPr>
        <w:t>影響</w:t>
      </w:r>
      <w:r w:rsidR="0000736F" w:rsidRPr="00024680">
        <w:rPr>
          <w:rStyle w:val="ad"/>
          <w:rFonts w:cs="Times New Roman"/>
          <w:szCs w:val="28"/>
        </w:rPr>
        <w:footnoteReference w:id="4"/>
      </w:r>
      <w:r w:rsidRPr="00024680">
        <w:rPr>
          <w:rFonts w:cs="Times New Roman"/>
          <w:szCs w:val="28"/>
        </w:rPr>
        <w:t>。</w:t>
      </w:r>
    </w:p>
    <w:p w:rsidR="001624EA" w:rsidRPr="00024680" w:rsidRDefault="00BF493F" w:rsidP="00520ECC">
      <w:pPr>
        <w:pStyle w:val="a7"/>
        <w:numPr>
          <w:ilvl w:val="0"/>
          <w:numId w:val="3"/>
        </w:numPr>
        <w:snapToGrid w:val="0"/>
        <w:spacing w:afterLines="50" w:after="260" w:line="480" w:lineRule="exact"/>
        <w:ind w:leftChars="0" w:left="566" w:hangingChars="202" w:hanging="566"/>
        <w:rPr>
          <w:rFonts w:ascii="Times New Roman" w:eastAsia="標楷體" w:hAnsi="Times New Roman" w:cs="Times New Roman"/>
          <w:b/>
          <w:sz w:val="28"/>
          <w:szCs w:val="28"/>
        </w:rPr>
      </w:pPr>
      <w:r w:rsidRPr="00024680">
        <w:rPr>
          <w:rFonts w:ascii="Times New Roman" w:eastAsia="標楷體" w:hAnsi="Times New Roman" w:cs="Times New Roman" w:hint="eastAsia"/>
          <w:b/>
          <w:sz w:val="28"/>
          <w:szCs w:val="28"/>
        </w:rPr>
        <w:t>利率與匯率</w:t>
      </w:r>
      <w:r w:rsidR="001624EA" w:rsidRPr="00024680">
        <w:rPr>
          <w:rFonts w:ascii="Times New Roman" w:eastAsia="標楷體" w:hAnsi="Times New Roman" w:cs="Times New Roman" w:hint="eastAsia"/>
          <w:b/>
          <w:sz w:val="28"/>
          <w:szCs w:val="28"/>
        </w:rPr>
        <w:t>政策</w:t>
      </w:r>
      <w:r w:rsidR="00F35DC4" w:rsidRPr="00024680">
        <w:rPr>
          <w:rFonts w:ascii="Times New Roman" w:eastAsia="標楷體" w:hAnsi="Times New Roman" w:cs="Times New Roman" w:hint="eastAsia"/>
          <w:b/>
          <w:sz w:val="28"/>
          <w:szCs w:val="28"/>
        </w:rPr>
        <w:t>的</w:t>
      </w:r>
      <w:r w:rsidR="001624EA" w:rsidRPr="00024680">
        <w:rPr>
          <w:rFonts w:ascii="Times New Roman" w:eastAsia="標楷體" w:hAnsi="Times New Roman" w:cs="Times New Roman" w:hint="eastAsia"/>
          <w:b/>
          <w:sz w:val="28"/>
          <w:szCs w:val="28"/>
        </w:rPr>
        <w:t>挑戰</w:t>
      </w:r>
    </w:p>
    <w:p w:rsidR="00221D64" w:rsidRPr="00024680" w:rsidRDefault="00CB7A7F" w:rsidP="00520ECC">
      <w:pPr>
        <w:widowControl w:val="0"/>
        <w:overflowPunct w:val="0"/>
        <w:spacing w:beforeLines="30" w:before="156" w:afterLines="30" w:after="156" w:line="480" w:lineRule="exact"/>
        <w:ind w:firstLineChars="202" w:firstLine="566"/>
        <w:rPr>
          <w:rFonts w:cs="Times New Roman"/>
        </w:rPr>
      </w:pPr>
      <w:r w:rsidRPr="00024680">
        <w:rPr>
          <w:rFonts w:cs="Times New Roman" w:hint="eastAsia"/>
        </w:rPr>
        <w:t>由於</w:t>
      </w:r>
      <w:r w:rsidR="00405362" w:rsidRPr="00024680">
        <w:rPr>
          <w:rFonts w:cs="Times New Roman" w:hint="eastAsia"/>
        </w:rPr>
        <w:t>目</w:t>
      </w:r>
      <w:r w:rsidR="00405362" w:rsidRPr="00024680">
        <w:rPr>
          <w:rFonts w:cs="Times New Roman"/>
        </w:rPr>
        <w:t>前</w:t>
      </w:r>
      <w:r w:rsidR="00B25533" w:rsidRPr="00024680">
        <w:rPr>
          <w:rFonts w:cs="Times New Roman"/>
        </w:rPr>
        <w:t>國內</w:t>
      </w:r>
      <w:r w:rsidR="00F844B6" w:rsidRPr="00024680">
        <w:rPr>
          <w:rFonts w:cs="Times New Roman" w:hint="eastAsia"/>
        </w:rPr>
        <w:t>已存在</w:t>
      </w:r>
      <w:r w:rsidR="00B25533" w:rsidRPr="00024680">
        <w:rPr>
          <w:rFonts w:cs="Times New Roman"/>
        </w:rPr>
        <w:t>龐大超額儲蓄，</w:t>
      </w:r>
      <w:r w:rsidRPr="00024680">
        <w:rPr>
          <w:rFonts w:cs="Times New Roman" w:hint="eastAsia"/>
        </w:rPr>
        <w:t>因此，</w:t>
      </w:r>
      <w:r w:rsidR="00F844B6" w:rsidRPr="00024680">
        <w:rPr>
          <w:rFonts w:cs="Times New Roman" w:hint="eastAsia"/>
        </w:rPr>
        <w:t>如未能對</w:t>
      </w:r>
      <w:r w:rsidRPr="00024680">
        <w:rPr>
          <w:rFonts w:cs="Times New Roman" w:hint="eastAsia"/>
        </w:rPr>
        <w:t>當前回流的</w:t>
      </w:r>
      <w:r w:rsidR="00221D64" w:rsidRPr="00024680">
        <w:rPr>
          <w:rFonts w:cs="Times New Roman"/>
        </w:rPr>
        <w:t>資金浪潮</w:t>
      </w:r>
      <w:r w:rsidR="00F844B6" w:rsidRPr="00024680">
        <w:rPr>
          <w:rFonts w:cs="Times New Roman" w:hint="eastAsia"/>
        </w:rPr>
        <w:t>進行有效運用</w:t>
      </w:r>
      <w:r w:rsidR="00EA2B80" w:rsidRPr="00024680">
        <w:rPr>
          <w:rFonts w:cs="Times New Roman" w:hint="eastAsia"/>
        </w:rPr>
        <w:t>及管理</w:t>
      </w:r>
      <w:r w:rsidR="00F844B6" w:rsidRPr="00024680">
        <w:rPr>
          <w:rFonts w:cs="Times New Roman" w:hint="eastAsia"/>
        </w:rPr>
        <w:t>，將會</w:t>
      </w:r>
      <w:r w:rsidR="00221D64" w:rsidRPr="00024680">
        <w:rPr>
          <w:rFonts w:cs="Times New Roman"/>
        </w:rPr>
        <w:t>對</w:t>
      </w:r>
      <w:r w:rsidR="00D30381" w:rsidRPr="00024680">
        <w:rPr>
          <w:rFonts w:cs="Times New Roman" w:hint="eastAsia"/>
        </w:rPr>
        <w:t>本</w:t>
      </w:r>
      <w:r w:rsidR="00221D64" w:rsidRPr="00024680">
        <w:rPr>
          <w:rFonts w:cs="Times New Roman"/>
        </w:rPr>
        <w:t>行的雙率政策帶來新挑戰。</w:t>
      </w:r>
    </w:p>
    <w:p w:rsidR="00A76B69" w:rsidRPr="00024680" w:rsidRDefault="00A76B69" w:rsidP="00A76B69">
      <w:pPr>
        <w:pStyle w:val="a7"/>
        <w:numPr>
          <w:ilvl w:val="0"/>
          <w:numId w:val="14"/>
        </w:numPr>
        <w:snapToGrid w:val="0"/>
        <w:spacing w:afterLines="50" w:after="260" w:line="500" w:lineRule="exact"/>
        <w:ind w:leftChars="0" w:left="482" w:hanging="482"/>
        <w:rPr>
          <w:rFonts w:ascii="Times New Roman" w:eastAsia="標楷體" w:hAnsi="Times New Roman" w:cs="Times New Roman"/>
          <w:b/>
          <w:sz w:val="28"/>
          <w:szCs w:val="28"/>
        </w:rPr>
      </w:pPr>
      <w:r w:rsidRPr="00024680">
        <w:rPr>
          <w:rFonts w:ascii="Times New Roman" w:eastAsia="標楷體" w:hAnsi="Times New Roman" w:cs="Times New Roman" w:hint="eastAsia"/>
          <w:b/>
          <w:sz w:val="28"/>
          <w:szCs w:val="28"/>
        </w:rPr>
        <w:lastRenderedPageBreak/>
        <w:t>全球金融危機壓低利率水準</w:t>
      </w:r>
    </w:p>
    <w:p w:rsidR="00A76B69" w:rsidRPr="00024680" w:rsidRDefault="00A76B69" w:rsidP="00A76B69">
      <w:pPr>
        <w:widowControl w:val="0"/>
        <w:overflowPunct w:val="0"/>
        <w:spacing w:beforeLines="30" w:before="156" w:afterLines="30" w:after="156" w:line="480" w:lineRule="exact"/>
        <w:ind w:firstLineChars="202" w:firstLine="566"/>
        <w:rPr>
          <w:rFonts w:cs="Times New Roman"/>
        </w:rPr>
      </w:pPr>
      <w:r w:rsidRPr="00024680">
        <w:rPr>
          <w:rFonts w:cs="Times New Roman" w:hint="eastAsia"/>
        </w:rPr>
        <w:t>首先</w:t>
      </w:r>
      <w:r w:rsidRPr="00024680">
        <w:rPr>
          <w:rFonts w:ascii="新細明體" w:eastAsia="新細明體" w:hAnsi="新細明體" w:cs="Times New Roman" w:hint="eastAsia"/>
        </w:rPr>
        <w:t>，</w:t>
      </w:r>
      <w:r w:rsidRPr="00024680">
        <w:rPr>
          <w:rFonts w:cs="Times New Roman" w:hint="eastAsia"/>
        </w:rPr>
        <w:t>就利率政策而言</w:t>
      </w:r>
      <w:r w:rsidRPr="00024680">
        <w:rPr>
          <w:rFonts w:ascii="新細明體" w:eastAsia="新細明體" w:hAnsi="新細明體" w:cs="Times New Roman" w:hint="eastAsia"/>
        </w:rPr>
        <w:t>，</w:t>
      </w:r>
      <w:r w:rsidRPr="00024680">
        <w:rPr>
          <w:rFonts w:cs="Times New Roman" w:hint="eastAsia"/>
        </w:rPr>
        <w:t>由於</w:t>
      </w:r>
      <w:r w:rsidRPr="00024680">
        <w:rPr>
          <w:rFonts w:cs="Times New Roman"/>
        </w:rPr>
        <w:t>全球金融危機以來，全球經濟呈現長期停滯，有效需求不足</w:t>
      </w:r>
      <w:r w:rsidRPr="00024680">
        <w:rPr>
          <w:rFonts w:cs="Times New Roman" w:hint="eastAsia"/>
        </w:rPr>
        <w:t>，同時又</w:t>
      </w:r>
      <w:r w:rsidRPr="00024680">
        <w:rPr>
          <w:rFonts w:cs="Times New Roman"/>
        </w:rPr>
        <w:t>因全球化所帶來的產能過剩與網路新經濟的快速發展等供給面因素</w:t>
      </w:r>
      <w:r w:rsidRPr="00024680">
        <w:rPr>
          <w:rFonts w:cs="Times New Roman" w:hint="eastAsia"/>
        </w:rPr>
        <w:t>影響</w:t>
      </w:r>
      <w:r w:rsidRPr="00024680">
        <w:rPr>
          <w:rFonts w:cs="Times New Roman"/>
        </w:rPr>
        <w:t>，</w:t>
      </w:r>
      <w:r w:rsidR="001566C8" w:rsidRPr="00024680">
        <w:rPr>
          <w:rFonts w:cs="Times New Roman" w:hint="eastAsia"/>
        </w:rPr>
        <w:t>先進國家</w:t>
      </w:r>
      <w:r w:rsidRPr="00024680">
        <w:rPr>
          <w:rFonts w:cs="Times New Roman" w:hint="eastAsia"/>
        </w:rPr>
        <w:t>均面對企業</w:t>
      </w:r>
      <w:r w:rsidRPr="00024680">
        <w:rPr>
          <w:rFonts w:cs="Times New Roman"/>
        </w:rPr>
        <w:t>實質投資動能轉弱</w:t>
      </w:r>
      <w:r w:rsidRPr="00024680">
        <w:rPr>
          <w:rFonts w:cs="Times New Roman" w:hint="eastAsia"/>
        </w:rPr>
        <w:t>、民間資金需求不振的問題</w:t>
      </w:r>
      <w:r w:rsidRPr="00024680">
        <w:rPr>
          <w:rFonts w:cs="Times New Roman"/>
        </w:rPr>
        <w:t>。</w:t>
      </w:r>
      <w:r w:rsidRPr="00024680">
        <w:rPr>
          <w:rFonts w:cs="Times New Roman" w:hint="eastAsia"/>
        </w:rPr>
        <w:t>而</w:t>
      </w:r>
      <w:r w:rsidRPr="00024680">
        <w:rPr>
          <w:rFonts w:cs="Times New Roman"/>
        </w:rPr>
        <w:t>人口</w:t>
      </w:r>
      <w:r w:rsidRPr="00024680">
        <w:rPr>
          <w:rFonts w:cs="Times New Roman" w:hint="eastAsia"/>
        </w:rPr>
        <w:t>成長趨緩、加速</w:t>
      </w:r>
      <w:r w:rsidRPr="00024680">
        <w:rPr>
          <w:rFonts w:cs="Times New Roman"/>
        </w:rPr>
        <w:t>老化</w:t>
      </w:r>
      <w:r w:rsidRPr="00024680">
        <w:rPr>
          <w:rFonts w:cs="Times New Roman" w:hint="eastAsia"/>
        </w:rPr>
        <w:t>及</w:t>
      </w:r>
      <w:r w:rsidRPr="00024680">
        <w:rPr>
          <w:rFonts w:cs="Times New Roman"/>
        </w:rPr>
        <w:t>生產力成長趨緩</w:t>
      </w:r>
      <w:r w:rsidRPr="00024680">
        <w:rPr>
          <w:rFonts w:cs="Times New Roman" w:hint="eastAsia"/>
        </w:rPr>
        <w:t>等結構性變動</w:t>
      </w:r>
      <w:r w:rsidRPr="00024680">
        <w:rPr>
          <w:rFonts w:cs="Times New Roman"/>
        </w:rPr>
        <w:t>，</w:t>
      </w:r>
      <w:r w:rsidRPr="00024680">
        <w:rPr>
          <w:rFonts w:cs="Times New Roman" w:hint="eastAsia"/>
        </w:rPr>
        <w:t>使</w:t>
      </w:r>
      <w:r w:rsidR="001566C8" w:rsidRPr="00024680">
        <w:rPr>
          <w:rFonts w:cs="Times New Roman" w:hint="eastAsia"/>
        </w:rPr>
        <w:t>其</w:t>
      </w:r>
      <w:r w:rsidR="00160A70" w:rsidRPr="00024680">
        <w:rPr>
          <w:rFonts w:cs="Times New Roman"/>
        </w:rPr>
        <w:t>實質</w:t>
      </w:r>
      <w:r w:rsidRPr="00024680">
        <w:rPr>
          <w:rFonts w:cs="Times New Roman"/>
        </w:rPr>
        <w:t>中性利率</w:t>
      </w:r>
      <w:r w:rsidRPr="00024680">
        <w:rPr>
          <w:rFonts w:cs="Times New Roman" w:hint="eastAsia"/>
        </w:rPr>
        <w:t>(real neutral rate)</w:t>
      </w:r>
      <w:r w:rsidRPr="00024680">
        <w:rPr>
          <w:rStyle w:val="ad"/>
          <w:rFonts w:cs="Times New Roman"/>
        </w:rPr>
        <w:footnoteReference w:id="5"/>
      </w:r>
      <w:r w:rsidRPr="00024680">
        <w:rPr>
          <w:rFonts w:cs="Times New Roman" w:hint="eastAsia"/>
        </w:rPr>
        <w:t>持續下滑</w:t>
      </w:r>
      <w:r w:rsidRPr="00024680">
        <w:rPr>
          <w:rFonts w:cs="Times New Roman"/>
        </w:rPr>
        <w:t>；</w:t>
      </w:r>
      <w:r w:rsidR="00CB7A7F" w:rsidRPr="00024680">
        <w:rPr>
          <w:rFonts w:cs="Times New Roman" w:hint="eastAsia"/>
        </w:rPr>
        <w:t>而</w:t>
      </w:r>
      <w:r w:rsidRPr="00024680">
        <w:rPr>
          <w:rFonts w:cs="Times New Roman"/>
        </w:rPr>
        <w:t>先進經濟體</w:t>
      </w:r>
      <w:r w:rsidRPr="00024680">
        <w:rPr>
          <w:rFonts w:cs="Times New Roman" w:hint="eastAsia"/>
        </w:rPr>
        <w:t>央行</w:t>
      </w:r>
      <w:r w:rsidRPr="00024680">
        <w:rPr>
          <w:rFonts w:cs="Times New Roman"/>
        </w:rPr>
        <w:t>為</w:t>
      </w:r>
      <w:r w:rsidR="001D0680" w:rsidRPr="00024680">
        <w:rPr>
          <w:rFonts w:cs="Times New Roman" w:hint="eastAsia"/>
        </w:rPr>
        <w:t>了</w:t>
      </w:r>
      <w:r w:rsidRPr="00024680">
        <w:rPr>
          <w:rFonts w:cs="Times New Roman"/>
        </w:rPr>
        <w:t>提振</w:t>
      </w:r>
      <w:r w:rsidR="001D0680" w:rsidRPr="00024680">
        <w:rPr>
          <w:rFonts w:cs="Times New Roman" w:hint="eastAsia"/>
        </w:rPr>
        <w:t>本國</w:t>
      </w:r>
      <w:r w:rsidRPr="00024680">
        <w:rPr>
          <w:rFonts w:cs="Times New Roman"/>
        </w:rPr>
        <w:t>內需</w:t>
      </w:r>
      <w:r w:rsidR="001D0680" w:rsidRPr="00024680">
        <w:rPr>
          <w:rFonts w:cs="Times New Roman" w:hint="eastAsia"/>
        </w:rPr>
        <w:t>，</w:t>
      </w:r>
      <w:r w:rsidR="00CB7A7F" w:rsidRPr="00024680">
        <w:rPr>
          <w:rFonts w:cs="Times New Roman" w:hint="eastAsia"/>
        </w:rPr>
        <w:t>所</w:t>
      </w:r>
      <w:r w:rsidRPr="00024680">
        <w:rPr>
          <w:rFonts w:cs="Times New Roman"/>
        </w:rPr>
        <w:t>實施</w:t>
      </w:r>
      <w:r w:rsidR="00CB7A7F" w:rsidRPr="00024680">
        <w:rPr>
          <w:rFonts w:cs="Times New Roman" w:hint="eastAsia"/>
        </w:rPr>
        <w:t>的</w:t>
      </w:r>
      <w:r w:rsidRPr="00024680">
        <w:rPr>
          <w:rFonts w:cs="Times New Roman"/>
        </w:rPr>
        <w:t>極寬鬆貨幣政策，</w:t>
      </w:r>
      <w:r w:rsidRPr="00024680">
        <w:rPr>
          <w:rFonts w:cs="Times New Roman" w:hint="eastAsia"/>
        </w:rPr>
        <w:t>限縮</w:t>
      </w:r>
      <w:r w:rsidRPr="00024680">
        <w:rPr>
          <w:rFonts w:cs="Times New Roman"/>
        </w:rPr>
        <w:t>其因應經濟下行的能力，壓低民眾對未來通膨的預期</w:t>
      </w:r>
      <w:r w:rsidRPr="00024680">
        <w:rPr>
          <w:rStyle w:val="ad"/>
          <w:rFonts w:cs="Times New Roman"/>
        </w:rPr>
        <w:footnoteReference w:id="6"/>
      </w:r>
      <w:r w:rsidRPr="00024680">
        <w:rPr>
          <w:rFonts w:cs="Times New Roman"/>
        </w:rPr>
        <w:t>，</w:t>
      </w:r>
      <w:r w:rsidR="00F35DC4" w:rsidRPr="00024680">
        <w:rPr>
          <w:rFonts w:cs="Times New Roman" w:hint="eastAsia"/>
        </w:rPr>
        <w:t>也</w:t>
      </w:r>
      <w:r w:rsidRPr="00024680">
        <w:rPr>
          <w:rFonts w:cs="Times New Roman" w:hint="eastAsia"/>
        </w:rPr>
        <w:t>壓低了包含通膨預期在內的</w:t>
      </w:r>
      <w:r w:rsidRPr="00024680">
        <w:rPr>
          <w:rFonts w:cs="Times New Roman"/>
        </w:rPr>
        <w:t>名目利率水準</w:t>
      </w:r>
      <w:r w:rsidRPr="00024680">
        <w:rPr>
          <w:rFonts w:cs="Times New Roman" w:hint="eastAsia"/>
        </w:rPr>
        <w:t>。</w:t>
      </w:r>
    </w:p>
    <w:p w:rsidR="00A76B69" w:rsidRPr="00024680" w:rsidRDefault="00A76B69" w:rsidP="00A76B69">
      <w:pPr>
        <w:widowControl w:val="0"/>
        <w:overflowPunct w:val="0"/>
        <w:spacing w:beforeLines="30" w:before="156" w:afterLines="30" w:after="156" w:line="500" w:lineRule="exact"/>
        <w:ind w:firstLineChars="202" w:firstLine="566"/>
        <w:rPr>
          <w:rFonts w:cs="Times New Roman"/>
        </w:rPr>
      </w:pPr>
      <w:r w:rsidRPr="00024680">
        <w:rPr>
          <w:rFonts w:cs="Times New Roman" w:hint="eastAsia"/>
        </w:rPr>
        <w:t>就</w:t>
      </w:r>
      <w:r w:rsidR="00795E9D" w:rsidRPr="00024680">
        <w:rPr>
          <w:rFonts w:cs="Times New Roman" w:hint="eastAsia"/>
        </w:rPr>
        <w:t>台灣</w:t>
      </w:r>
      <w:r w:rsidRPr="00024680">
        <w:rPr>
          <w:rFonts w:cs="Times New Roman" w:hint="eastAsia"/>
        </w:rPr>
        <w:t>而言，</w:t>
      </w:r>
      <w:r w:rsidRPr="00024680">
        <w:rPr>
          <w:rFonts w:cs="Times New Roman"/>
        </w:rPr>
        <w:t>長期以來，國內物價平穩，民眾對未來通膨預期亦</w:t>
      </w:r>
      <w:r w:rsidR="00C4715B" w:rsidRPr="00024680">
        <w:rPr>
          <w:rFonts w:cs="Times New Roman" w:hint="eastAsia"/>
        </w:rPr>
        <w:t>相當穩定</w:t>
      </w:r>
      <w:r w:rsidRPr="00024680">
        <w:rPr>
          <w:rFonts w:cs="Times New Roman"/>
        </w:rPr>
        <w:t>，</w:t>
      </w:r>
      <w:r w:rsidRPr="00024680">
        <w:rPr>
          <w:rFonts w:cs="Times New Roman" w:hint="eastAsia"/>
        </w:rPr>
        <w:t>且</w:t>
      </w:r>
      <w:r w:rsidRPr="00024680">
        <w:rPr>
          <w:rFonts w:cs="Times New Roman"/>
        </w:rPr>
        <w:t>因國內投資不足使產出缺口常</w:t>
      </w:r>
      <w:r w:rsidRPr="00024680">
        <w:rPr>
          <w:rFonts w:cs="Times New Roman" w:hint="eastAsia"/>
        </w:rPr>
        <w:t>出現</w:t>
      </w:r>
      <w:r w:rsidRPr="00024680">
        <w:rPr>
          <w:rFonts w:cs="Times New Roman"/>
        </w:rPr>
        <w:t>負值，加以先進經濟體貨幣政策的外溢效果，國內名目利率維持低檔，惟實質利率水準與主要國家相較仍屬適中。在</w:t>
      </w:r>
      <w:r w:rsidR="00CB7A7F" w:rsidRPr="00024680">
        <w:rPr>
          <w:rFonts w:cs="Times New Roman" w:hint="eastAsia"/>
        </w:rPr>
        <w:t>此</w:t>
      </w:r>
      <w:r w:rsidRPr="00024680">
        <w:rPr>
          <w:rFonts w:cs="Times New Roman"/>
        </w:rPr>
        <w:t>背景下，若國人資金大量回流且未用於實質投資而停泊於國內金融市場，將進一步壓低國內利率水準，</w:t>
      </w:r>
      <w:r w:rsidRPr="00024680">
        <w:rPr>
          <w:rFonts w:cs="Times New Roman" w:hint="eastAsia"/>
        </w:rPr>
        <w:t>恐</w:t>
      </w:r>
      <w:r w:rsidR="00C91688" w:rsidRPr="00024680">
        <w:rPr>
          <w:rFonts w:cs="Times New Roman" w:hint="eastAsia"/>
        </w:rPr>
        <w:t>將</w:t>
      </w:r>
      <w:r w:rsidRPr="00024680">
        <w:rPr>
          <w:rFonts w:cs="Times New Roman"/>
        </w:rPr>
        <w:t>影響</w:t>
      </w:r>
      <w:r w:rsidR="00392E06" w:rsidRPr="00024680">
        <w:rPr>
          <w:rFonts w:cs="Times New Roman" w:hint="eastAsia"/>
        </w:rPr>
        <w:t>本</w:t>
      </w:r>
      <w:r w:rsidRPr="00024680">
        <w:rPr>
          <w:rFonts w:cs="Times New Roman"/>
        </w:rPr>
        <w:t>行貨幣政策</w:t>
      </w:r>
      <w:r w:rsidR="008C0E84" w:rsidRPr="00024680">
        <w:rPr>
          <w:rFonts w:cs="Times New Roman" w:hint="eastAsia"/>
        </w:rPr>
        <w:t>傳遞機制的有效運作</w:t>
      </w:r>
      <w:r w:rsidRPr="00024680">
        <w:rPr>
          <w:rFonts w:cs="Times New Roman"/>
        </w:rPr>
        <w:t>。</w:t>
      </w:r>
    </w:p>
    <w:p w:rsidR="00A76B69" w:rsidRPr="00024680" w:rsidRDefault="00A76B69" w:rsidP="00A76B69">
      <w:pPr>
        <w:pStyle w:val="a7"/>
        <w:numPr>
          <w:ilvl w:val="0"/>
          <w:numId w:val="14"/>
        </w:numPr>
        <w:snapToGrid w:val="0"/>
        <w:spacing w:afterLines="50" w:after="260" w:line="500" w:lineRule="exact"/>
        <w:ind w:leftChars="0" w:left="482" w:hanging="482"/>
        <w:rPr>
          <w:rFonts w:ascii="Times New Roman" w:eastAsia="標楷體" w:hAnsi="Times New Roman" w:cs="Times New Roman"/>
          <w:b/>
          <w:sz w:val="28"/>
          <w:szCs w:val="28"/>
        </w:rPr>
      </w:pPr>
      <w:r w:rsidRPr="00024680">
        <w:rPr>
          <w:rFonts w:ascii="Times New Roman" w:eastAsia="標楷體" w:hAnsi="Times New Roman" w:cs="Times New Roman" w:hint="eastAsia"/>
          <w:b/>
          <w:sz w:val="28"/>
          <w:szCs w:val="28"/>
        </w:rPr>
        <w:t>資金匯回若大量且</w:t>
      </w:r>
      <w:r w:rsidR="00967711" w:rsidRPr="00024680">
        <w:rPr>
          <w:rFonts w:ascii="Times New Roman" w:eastAsia="標楷體" w:hAnsi="Times New Roman" w:cs="Times New Roman" w:hint="eastAsia"/>
          <w:b/>
          <w:sz w:val="28"/>
          <w:szCs w:val="28"/>
        </w:rPr>
        <w:t>集中</w:t>
      </w:r>
      <w:r w:rsidRPr="00024680">
        <w:rPr>
          <w:rFonts w:ascii="Times New Roman" w:eastAsia="標楷體" w:hAnsi="Times New Roman" w:cs="Times New Roman" w:hint="eastAsia"/>
          <w:b/>
          <w:sz w:val="28"/>
          <w:szCs w:val="28"/>
        </w:rPr>
        <w:t>兌換為新台幣，新台幣</w:t>
      </w:r>
      <w:r w:rsidR="00B1661A" w:rsidRPr="00024680">
        <w:rPr>
          <w:rFonts w:ascii="Times New Roman" w:eastAsia="標楷體" w:hAnsi="Times New Roman" w:cs="Times New Roman" w:hint="eastAsia"/>
          <w:b/>
          <w:sz w:val="28"/>
          <w:szCs w:val="28"/>
        </w:rPr>
        <w:t>將</w:t>
      </w:r>
      <w:r w:rsidRPr="00024680">
        <w:rPr>
          <w:rFonts w:ascii="Times New Roman" w:eastAsia="標楷體" w:hAnsi="Times New Roman" w:cs="Times New Roman" w:hint="eastAsia"/>
          <w:b/>
          <w:sz w:val="28"/>
          <w:szCs w:val="28"/>
        </w:rPr>
        <w:t>面臨升值壓力</w:t>
      </w:r>
    </w:p>
    <w:p w:rsidR="00166ED7" w:rsidRPr="00024680" w:rsidRDefault="00166ED7" w:rsidP="00B25533">
      <w:pPr>
        <w:widowControl w:val="0"/>
        <w:overflowPunct w:val="0"/>
        <w:spacing w:beforeLines="30" w:before="156" w:afterLines="30" w:after="156" w:line="500" w:lineRule="exact"/>
        <w:ind w:firstLineChars="202" w:firstLine="566"/>
        <w:rPr>
          <w:rFonts w:cs="Times New Roman"/>
        </w:rPr>
      </w:pPr>
      <w:r w:rsidRPr="00024680">
        <w:rPr>
          <w:rFonts w:cs="Times New Roman"/>
        </w:rPr>
        <w:t>其次，</w:t>
      </w:r>
      <w:r w:rsidR="00F35DC4" w:rsidRPr="00024680">
        <w:rPr>
          <w:rFonts w:cs="Times New Roman" w:hint="eastAsia"/>
        </w:rPr>
        <w:t>在</w:t>
      </w:r>
      <w:r w:rsidR="001624EA" w:rsidRPr="00024680">
        <w:rPr>
          <w:rFonts w:cs="Times New Roman"/>
        </w:rPr>
        <w:t>匯率</w:t>
      </w:r>
      <w:r w:rsidRPr="00024680">
        <w:rPr>
          <w:rFonts w:cs="Times New Roman"/>
        </w:rPr>
        <w:t>政策方面</w:t>
      </w:r>
      <w:r w:rsidR="001624EA" w:rsidRPr="00024680">
        <w:rPr>
          <w:rFonts w:cs="Times New Roman"/>
        </w:rPr>
        <w:t>，自</w:t>
      </w:r>
      <w:r w:rsidR="001624EA" w:rsidRPr="00024680">
        <w:rPr>
          <w:rFonts w:cs="Times New Roman"/>
        </w:rPr>
        <w:t>1990</w:t>
      </w:r>
      <w:r w:rsidR="001624EA" w:rsidRPr="00024680">
        <w:rPr>
          <w:rFonts w:cs="Times New Roman"/>
        </w:rPr>
        <w:t>年代以來，我國逐步鬆綁跨境資本移動管理措施</w:t>
      </w:r>
      <w:r w:rsidR="009E348E" w:rsidRPr="00024680">
        <w:rPr>
          <w:rFonts w:cs="Times New Roman"/>
        </w:rPr>
        <w:t>，使</w:t>
      </w:r>
      <w:r w:rsidR="001624EA" w:rsidRPr="00024680">
        <w:rPr>
          <w:rFonts w:cs="Times New Roman"/>
        </w:rPr>
        <w:t>目前台灣外匯市場主要參與者已從早期的進、出口商轉為跨境資本交易者</w:t>
      </w:r>
      <w:r w:rsidRPr="00024680">
        <w:rPr>
          <w:rStyle w:val="ad"/>
          <w:rFonts w:cs="Times New Roman"/>
        </w:rPr>
        <w:footnoteReference w:id="7"/>
      </w:r>
      <w:r w:rsidRPr="00024680">
        <w:rPr>
          <w:rFonts w:cs="Times New Roman"/>
        </w:rPr>
        <w:t>，例如，</w:t>
      </w:r>
      <w:r w:rsidR="001624EA" w:rsidRPr="00024680">
        <w:rPr>
          <w:rFonts w:cs="Times New Roman"/>
        </w:rPr>
        <w:t>上年跨境資本交易幾乎是商品貿易收支金額的</w:t>
      </w:r>
      <w:r w:rsidR="001624EA" w:rsidRPr="00024680">
        <w:rPr>
          <w:rFonts w:cs="Times New Roman"/>
        </w:rPr>
        <w:t>10</w:t>
      </w:r>
      <w:r w:rsidR="001624EA" w:rsidRPr="00024680">
        <w:rPr>
          <w:rFonts w:cs="Times New Roman"/>
        </w:rPr>
        <w:t>倍。</w:t>
      </w:r>
    </w:p>
    <w:p w:rsidR="00A90EAC" w:rsidRPr="00024680" w:rsidRDefault="00B866BC" w:rsidP="00B25533">
      <w:pPr>
        <w:widowControl w:val="0"/>
        <w:overflowPunct w:val="0"/>
        <w:spacing w:beforeLines="30" w:before="156" w:afterLines="30" w:after="156" w:line="500" w:lineRule="exact"/>
        <w:ind w:firstLineChars="202" w:firstLine="566"/>
      </w:pPr>
      <w:r w:rsidRPr="00024680">
        <w:rPr>
          <w:rFonts w:cs="Times New Roman" w:hint="eastAsia"/>
        </w:rPr>
        <w:t>此外</w:t>
      </w:r>
      <w:r w:rsidRPr="00024680">
        <w:rPr>
          <w:rFonts w:ascii="新細明體" w:eastAsia="新細明體" w:hAnsi="新細明體" w:cs="Times New Roman" w:hint="eastAsia"/>
        </w:rPr>
        <w:t>，</w:t>
      </w:r>
      <w:r w:rsidR="001624EA" w:rsidRPr="00024680">
        <w:rPr>
          <w:rFonts w:cs="Times New Roman"/>
        </w:rPr>
        <w:t>金融帳開放使得跨境資本移動</w:t>
      </w:r>
      <w:r w:rsidRPr="00024680">
        <w:rPr>
          <w:rFonts w:cs="Times New Roman" w:hint="eastAsia"/>
        </w:rPr>
        <w:t>已</w:t>
      </w:r>
      <w:r w:rsidR="001624EA" w:rsidRPr="00024680">
        <w:rPr>
          <w:rFonts w:cs="Times New Roman"/>
        </w:rPr>
        <w:t>成為近年影響新台幣匯率</w:t>
      </w:r>
      <w:r w:rsidR="001624EA" w:rsidRPr="00024680">
        <w:rPr>
          <w:rFonts w:cs="Times New Roman"/>
        </w:rPr>
        <w:lastRenderedPageBreak/>
        <w:t>的重要因素，且資金於短期間大量且頻繁地進出，恐使匯率偏離經濟基本面，不利國內經濟與金融穩定</w:t>
      </w:r>
      <w:r w:rsidR="00166ED7" w:rsidRPr="00024680">
        <w:rPr>
          <w:rStyle w:val="ad"/>
          <w:rFonts w:cs="Times New Roman"/>
        </w:rPr>
        <w:footnoteReference w:id="8"/>
      </w:r>
      <w:r w:rsidR="001624EA" w:rsidRPr="00024680">
        <w:rPr>
          <w:rFonts w:cs="Times New Roman"/>
        </w:rPr>
        <w:t>。本行致力維持新台幣匯率動態穩定，旨在減緩匯率過度波動，不會也無法扭轉匯率趨勢。未來境外資金匯回若大量</w:t>
      </w:r>
      <w:r w:rsidR="00CA5F20" w:rsidRPr="00024680">
        <w:rPr>
          <w:rFonts w:cs="Times New Roman"/>
        </w:rPr>
        <w:t>且</w:t>
      </w:r>
      <w:r w:rsidR="00795E9D" w:rsidRPr="00024680">
        <w:rPr>
          <w:rFonts w:cs="Times New Roman" w:hint="eastAsia"/>
        </w:rPr>
        <w:t>集中</w:t>
      </w:r>
      <w:r w:rsidR="001624EA" w:rsidRPr="00024680">
        <w:rPr>
          <w:rFonts w:cs="Times New Roman"/>
        </w:rPr>
        <w:t>兌換為新台幣，將使新台幣面臨升值的壓力</w:t>
      </w:r>
      <w:r w:rsidR="00F35DC4" w:rsidRPr="00024680">
        <w:rPr>
          <w:rFonts w:ascii="微軟正黑體" w:eastAsia="微軟正黑體" w:hAnsi="微軟正黑體" w:cs="Times New Roman" w:hint="eastAsia"/>
        </w:rPr>
        <w:t>。</w:t>
      </w:r>
      <w:r w:rsidR="00392E06" w:rsidRPr="00024680">
        <w:rPr>
          <w:rFonts w:cs="Times New Roman" w:hint="eastAsia"/>
        </w:rPr>
        <w:t>本</w:t>
      </w:r>
      <w:r w:rsidR="001624EA" w:rsidRPr="00024680">
        <w:rPr>
          <w:rFonts w:cs="Times New Roman"/>
        </w:rPr>
        <w:t>行將配合海外資金匯回草案的相關配套措施，</w:t>
      </w:r>
      <w:r w:rsidR="0062583F" w:rsidRPr="00024680">
        <w:rPr>
          <w:rFonts w:cs="Times New Roman"/>
        </w:rPr>
        <w:t>密切關注及因應其</w:t>
      </w:r>
      <w:r w:rsidR="001624EA" w:rsidRPr="00024680">
        <w:rPr>
          <w:rFonts w:cs="Times New Roman"/>
        </w:rPr>
        <w:t>發展</w:t>
      </w:r>
      <w:r w:rsidR="00F35DC4" w:rsidRPr="00024680">
        <w:rPr>
          <w:rFonts w:ascii="微軟正黑體" w:eastAsia="微軟正黑體" w:hAnsi="微軟正黑體" w:cs="Times New Roman" w:hint="eastAsia"/>
        </w:rPr>
        <w:t>；</w:t>
      </w:r>
      <w:r w:rsidR="001E5082" w:rsidRPr="00024680">
        <w:rPr>
          <w:rFonts w:cs="Times New Roman" w:hint="eastAsia"/>
        </w:rPr>
        <w:t>例</w:t>
      </w:r>
      <w:r w:rsidR="00A1049F" w:rsidRPr="00024680">
        <w:rPr>
          <w:rFonts w:cs="Times New Roman" w:hint="eastAsia"/>
        </w:rPr>
        <w:t>如</w:t>
      </w:r>
      <w:r w:rsidR="001E5082" w:rsidRPr="00024680">
        <w:rPr>
          <w:rFonts w:cs="Times New Roman" w:hint="eastAsia"/>
        </w:rPr>
        <w:t>在相關配套措施的設計中</w:t>
      </w:r>
      <w:r w:rsidR="001E5082" w:rsidRPr="00024680">
        <w:rPr>
          <w:rFonts w:ascii="新細明體" w:eastAsia="新細明體" w:hAnsi="新細明體" w:cs="Times New Roman" w:hint="eastAsia"/>
        </w:rPr>
        <w:t>，</w:t>
      </w:r>
      <w:r w:rsidR="00A90EAC" w:rsidRPr="00024680">
        <w:rPr>
          <w:rFonts w:hint="eastAsia"/>
        </w:rPr>
        <w:t>本行</w:t>
      </w:r>
      <w:r w:rsidR="007206E7" w:rsidRPr="00024680">
        <w:rPr>
          <w:rFonts w:hint="eastAsia"/>
        </w:rPr>
        <w:t>已</w:t>
      </w:r>
      <w:r w:rsidR="00A1049F" w:rsidRPr="00024680">
        <w:rPr>
          <w:rFonts w:hint="eastAsia"/>
        </w:rPr>
        <w:t>建</w:t>
      </w:r>
      <w:r w:rsidR="00A90EAC" w:rsidRPr="00024680">
        <w:rPr>
          <w:rFonts w:hint="eastAsia"/>
        </w:rPr>
        <w:t>請</w:t>
      </w:r>
      <w:r w:rsidR="007206E7" w:rsidRPr="00024680">
        <w:rPr>
          <w:rFonts w:hint="eastAsia"/>
        </w:rPr>
        <w:t>經濟部</w:t>
      </w:r>
      <w:r w:rsidR="001E5082" w:rsidRPr="00024680">
        <w:rPr>
          <w:rFonts w:hint="eastAsia"/>
        </w:rPr>
        <w:t>及財政部等</w:t>
      </w:r>
      <w:r w:rsidR="00A90EAC" w:rsidRPr="00024680">
        <w:rPr>
          <w:rFonts w:hint="eastAsia"/>
        </w:rPr>
        <w:t>，</w:t>
      </w:r>
      <w:r w:rsidR="001E5082" w:rsidRPr="00024680">
        <w:rPr>
          <w:rFonts w:hint="eastAsia"/>
        </w:rPr>
        <w:t>在核發許可文件時</w:t>
      </w:r>
      <w:r w:rsidR="00A90EAC" w:rsidRPr="00024680">
        <w:rPr>
          <w:rFonts w:hint="eastAsia"/>
        </w:rPr>
        <w:t>副知本行，以協助本行掌握相關資金進出</w:t>
      </w:r>
      <w:r w:rsidR="001E5082" w:rsidRPr="00024680">
        <w:rPr>
          <w:rFonts w:hint="eastAsia"/>
        </w:rPr>
        <w:t>動態</w:t>
      </w:r>
      <w:r w:rsidR="001E5082" w:rsidRPr="00024680">
        <w:rPr>
          <w:rFonts w:ascii="新細明體" w:eastAsia="新細明體" w:hAnsi="新細明體" w:hint="eastAsia"/>
        </w:rPr>
        <w:t>。</w:t>
      </w:r>
    </w:p>
    <w:p w:rsidR="009508AF" w:rsidRPr="00024680" w:rsidRDefault="009508AF" w:rsidP="00B25533">
      <w:pPr>
        <w:pStyle w:val="a7"/>
        <w:numPr>
          <w:ilvl w:val="0"/>
          <w:numId w:val="3"/>
        </w:numPr>
        <w:snapToGrid w:val="0"/>
        <w:spacing w:afterLines="50" w:after="260" w:line="500" w:lineRule="exact"/>
        <w:ind w:leftChars="0" w:left="566" w:hangingChars="202" w:hanging="566"/>
        <w:rPr>
          <w:rFonts w:ascii="Times New Roman" w:eastAsia="標楷體" w:hAnsi="Times New Roman" w:cs="Times New Roman"/>
          <w:b/>
          <w:sz w:val="28"/>
          <w:szCs w:val="28"/>
        </w:rPr>
      </w:pPr>
      <w:r w:rsidRPr="00024680">
        <w:rPr>
          <w:rFonts w:ascii="Times New Roman" w:eastAsia="標楷體" w:hAnsi="Times New Roman" w:cs="Times New Roman" w:hint="eastAsia"/>
          <w:b/>
          <w:sz w:val="28"/>
          <w:szCs w:val="28"/>
        </w:rPr>
        <w:t>引導資金</w:t>
      </w:r>
      <w:r w:rsidR="00FE1A13" w:rsidRPr="00024680">
        <w:rPr>
          <w:rFonts w:ascii="Times New Roman" w:eastAsia="標楷體" w:hAnsi="Times New Roman" w:cs="Times New Roman" w:hint="eastAsia"/>
          <w:b/>
          <w:sz w:val="28"/>
          <w:szCs w:val="28"/>
        </w:rPr>
        <w:t>運用</w:t>
      </w:r>
      <w:r w:rsidRPr="00024680">
        <w:rPr>
          <w:rFonts w:ascii="Times New Roman" w:eastAsia="標楷體" w:hAnsi="Times New Roman" w:cs="Times New Roman" w:hint="eastAsia"/>
          <w:b/>
          <w:sz w:val="28"/>
          <w:szCs w:val="28"/>
        </w:rPr>
        <w:t>的戰略意義</w:t>
      </w:r>
    </w:p>
    <w:p w:rsidR="00562485" w:rsidRPr="00024680" w:rsidRDefault="00F35DC4" w:rsidP="00562485">
      <w:pPr>
        <w:widowControl w:val="0"/>
        <w:overflowPunct w:val="0"/>
        <w:spacing w:beforeLines="30" w:before="156" w:afterLines="30" w:after="156" w:line="500" w:lineRule="exact"/>
        <w:ind w:firstLineChars="202" w:firstLine="566"/>
      </w:pPr>
      <w:r w:rsidRPr="00024680">
        <w:rPr>
          <w:rFonts w:cs="Times New Roman" w:hint="eastAsia"/>
        </w:rPr>
        <w:t>從</w:t>
      </w:r>
      <w:r w:rsidR="00483F1C" w:rsidRPr="00024680">
        <w:rPr>
          <w:rFonts w:cs="Times New Roman" w:hint="eastAsia"/>
        </w:rPr>
        <w:t>前</w:t>
      </w:r>
      <w:r w:rsidR="00C5582D" w:rsidRPr="00024680">
        <w:rPr>
          <w:rFonts w:cs="Times New Roman" w:hint="eastAsia"/>
        </w:rPr>
        <w:t>述</w:t>
      </w:r>
      <w:r w:rsidR="00483F1C" w:rsidRPr="00024680">
        <w:rPr>
          <w:rFonts w:cs="Times New Roman" w:hint="eastAsia"/>
        </w:rPr>
        <w:t>說明可知，</w:t>
      </w:r>
      <w:r w:rsidR="002B2C65" w:rsidRPr="00024680">
        <w:rPr>
          <w:rFonts w:cs="Times New Roman" w:hint="eastAsia"/>
        </w:rPr>
        <w:t>台灣當前經濟發展存在一些結構性問題，</w:t>
      </w:r>
      <w:r w:rsidR="00824C79" w:rsidRPr="00024680">
        <w:rPr>
          <w:rFonts w:cs="Times New Roman" w:hint="eastAsia"/>
        </w:rPr>
        <w:t>如</w:t>
      </w:r>
      <w:r w:rsidR="00C272BD" w:rsidRPr="00024680">
        <w:rPr>
          <w:rFonts w:cs="Times New Roman" w:hint="eastAsia"/>
        </w:rPr>
        <w:t>人口加速老化</w:t>
      </w:r>
      <w:r w:rsidR="00824C79" w:rsidRPr="00024680">
        <w:rPr>
          <w:rFonts w:cs="Times New Roman" w:hint="eastAsia"/>
        </w:rPr>
        <w:t>以及</w:t>
      </w:r>
      <w:r w:rsidR="00C272BD" w:rsidRPr="00024680">
        <w:rPr>
          <w:rFonts w:cs="Times New Roman" w:hint="eastAsia"/>
        </w:rPr>
        <w:t>企業投資不足導致生產力成長趨緩</w:t>
      </w:r>
      <w:r w:rsidR="00824C79" w:rsidRPr="00024680">
        <w:rPr>
          <w:rFonts w:cs="Times New Roman" w:hint="eastAsia"/>
        </w:rPr>
        <w:t>等問題，這些問題</w:t>
      </w:r>
      <w:r w:rsidRPr="00024680">
        <w:rPr>
          <w:rFonts w:cs="Times New Roman" w:hint="eastAsia"/>
        </w:rPr>
        <w:t>也</w:t>
      </w:r>
      <w:r w:rsidR="00C86B66" w:rsidRPr="00024680">
        <w:rPr>
          <w:rFonts w:cs="Times New Roman" w:hint="eastAsia"/>
        </w:rPr>
        <w:t>反映在國內</w:t>
      </w:r>
      <w:r w:rsidR="00824C79" w:rsidRPr="00024680">
        <w:rPr>
          <w:rFonts w:cs="Times New Roman" w:hint="eastAsia"/>
        </w:rPr>
        <w:t>超額儲蓄</w:t>
      </w:r>
      <w:r w:rsidR="00C86B66" w:rsidRPr="00024680">
        <w:rPr>
          <w:rFonts w:cs="Times New Roman" w:hint="eastAsia"/>
        </w:rPr>
        <w:t>偏高的現象上。整體而言，台灣資金</w:t>
      </w:r>
      <w:r w:rsidR="00483A52" w:rsidRPr="00024680">
        <w:rPr>
          <w:rFonts w:cs="Times New Roman" w:hint="eastAsia"/>
        </w:rPr>
        <w:t>實屬</w:t>
      </w:r>
      <w:r w:rsidR="00C86B66" w:rsidRPr="00024680">
        <w:rPr>
          <w:rFonts w:cs="Times New Roman" w:hint="eastAsia"/>
        </w:rPr>
        <w:t>充裕</w:t>
      </w:r>
      <w:r w:rsidR="00786117" w:rsidRPr="00024680">
        <w:rPr>
          <w:rFonts w:cs="Times New Roman" w:hint="eastAsia"/>
        </w:rPr>
        <w:t>，</w:t>
      </w:r>
      <w:r w:rsidR="00483A52" w:rsidRPr="00024680">
        <w:rPr>
          <w:rFonts w:cs="Times New Roman" w:hint="eastAsia"/>
        </w:rPr>
        <w:t>因此，</w:t>
      </w:r>
      <w:r w:rsidR="00786117" w:rsidRPr="00024680">
        <w:rPr>
          <w:rFonts w:cs="Times New Roman" w:hint="eastAsia"/>
        </w:rPr>
        <w:t>面對</w:t>
      </w:r>
      <w:r w:rsidR="00483F1C" w:rsidRPr="00024680">
        <w:rPr>
          <w:rFonts w:hint="eastAsia"/>
        </w:rPr>
        <w:t>台商回流及海外資金匯回的資金</w:t>
      </w:r>
      <w:r w:rsidR="002B2C65" w:rsidRPr="00024680">
        <w:rPr>
          <w:rFonts w:hint="eastAsia"/>
        </w:rPr>
        <w:t>浪潮</w:t>
      </w:r>
      <w:r w:rsidR="00786117" w:rsidRPr="00024680">
        <w:rPr>
          <w:rFonts w:hint="eastAsia"/>
        </w:rPr>
        <w:t>，應著眼於如何引導</w:t>
      </w:r>
      <w:r w:rsidR="00483A52" w:rsidRPr="00024680">
        <w:rPr>
          <w:rFonts w:hint="eastAsia"/>
        </w:rPr>
        <w:t>其</w:t>
      </w:r>
      <w:r w:rsidR="00C272BD" w:rsidRPr="00024680">
        <w:rPr>
          <w:rFonts w:hint="eastAsia"/>
        </w:rPr>
        <w:t>協助</w:t>
      </w:r>
      <w:r w:rsidR="00786117" w:rsidRPr="00024680">
        <w:rPr>
          <w:rFonts w:hint="eastAsia"/>
        </w:rPr>
        <w:t>當前</w:t>
      </w:r>
      <w:r w:rsidR="00483F1C" w:rsidRPr="00024680">
        <w:rPr>
          <w:rFonts w:hint="eastAsia"/>
        </w:rPr>
        <w:t>台灣經濟結構</w:t>
      </w:r>
      <w:r w:rsidR="00073CB5" w:rsidRPr="00024680">
        <w:rPr>
          <w:rFonts w:hint="eastAsia"/>
        </w:rPr>
        <w:t>調整及</w:t>
      </w:r>
      <w:r w:rsidR="00483F1C" w:rsidRPr="00024680">
        <w:rPr>
          <w:rFonts w:hint="eastAsia"/>
        </w:rPr>
        <w:t>未來發展，</w:t>
      </w:r>
      <w:r w:rsidR="000E70E6" w:rsidRPr="00024680">
        <w:rPr>
          <w:rFonts w:hint="eastAsia"/>
        </w:rPr>
        <w:t>並降低其所衍生</w:t>
      </w:r>
      <w:r w:rsidRPr="00024680">
        <w:rPr>
          <w:rFonts w:hint="eastAsia"/>
        </w:rPr>
        <w:t>的</w:t>
      </w:r>
      <w:r w:rsidR="000E70E6" w:rsidRPr="00024680">
        <w:rPr>
          <w:rFonts w:hint="eastAsia"/>
        </w:rPr>
        <w:t>風險</w:t>
      </w:r>
      <w:r w:rsidR="00483F1C" w:rsidRPr="00024680">
        <w:rPr>
          <w:rFonts w:hint="eastAsia"/>
        </w:rPr>
        <w:t>。</w:t>
      </w:r>
      <w:r w:rsidR="000E70E6" w:rsidRPr="00024680">
        <w:rPr>
          <w:rFonts w:hint="eastAsia"/>
        </w:rPr>
        <w:t>例如，引導資金投入國內具前瞻性及創新性的投質、協助廠商進行全球布局等，將可提升國內生產力，帶動薪資成長；另如能投資於長照等相關產業，</w:t>
      </w:r>
      <w:r w:rsidR="00C5453C" w:rsidRPr="00024680">
        <w:rPr>
          <w:rFonts w:hint="eastAsia"/>
        </w:rPr>
        <w:t>將</w:t>
      </w:r>
      <w:r w:rsidR="000E70E6" w:rsidRPr="00024680">
        <w:rPr>
          <w:rFonts w:hint="eastAsia"/>
        </w:rPr>
        <w:t>有助於因應當前人口高齡化問題。此外，</w:t>
      </w:r>
      <w:r w:rsidR="00BA7859" w:rsidRPr="00024680">
        <w:rPr>
          <w:rFonts w:hint="eastAsia"/>
        </w:rPr>
        <w:t>更可利用充裕</w:t>
      </w:r>
      <w:r w:rsidRPr="00024680">
        <w:rPr>
          <w:rFonts w:hint="eastAsia"/>
        </w:rPr>
        <w:t>的</w:t>
      </w:r>
      <w:r w:rsidR="00BA7859" w:rsidRPr="00024680">
        <w:rPr>
          <w:rFonts w:hint="eastAsia"/>
        </w:rPr>
        <w:t>資金，</w:t>
      </w:r>
      <w:r w:rsidR="007421D1" w:rsidRPr="00024680">
        <w:rPr>
          <w:rFonts w:hint="eastAsia"/>
        </w:rPr>
        <w:t>協助壯大</w:t>
      </w:r>
      <w:r w:rsidR="00BA7859" w:rsidRPr="00024680">
        <w:rPr>
          <w:rFonts w:hint="eastAsia"/>
        </w:rPr>
        <w:t>財富管理業務，提升金融服務業</w:t>
      </w:r>
      <w:r w:rsidR="00C65AE6" w:rsidRPr="00024680">
        <w:rPr>
          <w:rFonts w:hint="eastAsia"/>
        </w:rPr>
        <w:t>生產</w:t>
      </w:r>
      <w:r w:rsidR="00BA7859" w:rsidRPr="00024680">
        <w:rPr>
          <w:rFonts w:hint="eastAsia"/>
        </w:rPr>
        <w:t>力，</w:t>
      </w:r>
      <w:r w:rsidR="00DC1824" w:rsidRPr="00024680">
        <w:rPr>
          <w:rFonts w:hint="eastAsia"/>
        </w:rPr>
        <w:t>以滿足</w:t>
      </w:r>
      <w:r w:rsidR="007025C5" w:rsidRPr="00024680">
        <w:rPr>
          <w:rFonts w:hint="eastAsia"/>
        </w:rPr>
        <w:t>國人</w:t>
      </w:r>
      <w:r w:rsidR="00DC1824" w:rsidRPr="00024680">
        <w:rPr>
          <w:rFonts w:hint="eastAsia"/>
        </w:rPr>
        <w:t>退休理財及</w:t>
      </w:r>
      <w:r w:rsidR="007025C5" w:rsidRPr="00024680">
        <w:rPr>
          <w:rFonts w:hint="eastAsia"/>
        </w:rPr>
        <w:t>跨世代</w:t>
      </w:r>
      <w:r w:rsidR="00DC1824" w:rsidRPr="00024680">
        <w:rPr>
          <w:rFonts w:hint="eastAsia"/>
        </w:rPr>
        <w:t>財富傳承的需求</w:t>
      </w:r>
      <w:r w:rsidR="00BA7859" w:rsidRPr="00024680">
        <w:rPr>
          <w:rFonts w:hint="eastAsia"/>
        </w:rPr>
        <w:t>。</w:t>
      </w:r>
      <w:r w:rsidR="00DC1824" w:rsidRPr="00024680">
        <w:rPr>
          <w:rFonts w:hint="eastAsia"/>
        </w:rPr>
        <w:t>一旦各項</w:t>
      </w:r>
      <w:r w:rsidR="00BA7859" w:rsidRPr="00024680">
        <w:rPr>
          <w:rFonts w:hint="eastAsia"/>
        </w:rPr>
        <w:t>正</w:t>
      </w:r>
      <w:r w:rsidR="007421D1" w:rsidRPr="00024680">
        <w:rPr>
          <w:rFonts w:hint="eastAsia"/>
        </w:rPr>
        <w:t>向</w:t>
      </w:r>
      <w:r w:rsidR="00BA7859" w:rsidRPr="00024680">
        <w:rPr>
          <w:rFonts w:hint="eastAsia"/>
        </w:rPr>
        <w:t>效益充分發揮，</w:t>
      </w:r>
      <w:r w:rsidRPr="00024680">
        <w:rPr>
          <w:rFonts w:hint="eastAsia"/>
        </w:rPr>
        <w:t>也</w:t>
      </w:r>
      <w:r w:rsidR="00BA7859" w:rsidRPr="00024680">
        <w:rPr>
          <w:rFonts w:hint="eastAsia"/>
        </w:rPr>
        <w:t>將</w:t>
      </w:r>
      <w:r w:rsidR="00DC1824" w:rsidRPr="00024680">
        <w:rPr>
          <w:rFonts w:hint="eastAsia"/>
        </w:rPr>
        <w:t>會</w:t>
      </w:r>
      <w:r w:rsidR="00BA7859" w:rsidRPr="00024680">
        <w:rPr>
          <w:rFonts w:hint="eastAsia"/>
        </w:rPr>
        <w:t>提升</w:t>
      </w:r>
      <w:r w:rsidR="000E70E6" w:rsidRPr="00024680">
        <w:rPr>
          <w:rFonts w:cs="Times New Roman" w:hint="eastAsia"/>
        </w:rPr>
        <w:t>所得及消費，</w:t>
      </w:r>
      <w:r w:rsidR="000E70E6" w:rsidRPr="00024680">
        <w:rPr>
          <w:rFonts w:cs="Times New Roman"/>
        </w:rPr>
        <w:t>舒緩國內名目利率水準走低的壓力</w:t>
      </w:r>
      <w:r w:rsidR="000E70E6" w:rsidRPr="00024680">
        <w:rPr>
          <w:rFonts w:ascii="新細明體" w:eastAsia="新細明體" w:hAnsi="新細明體" w:cs="Times New Roman" w:hint="eastAsia"/>
        </w:rPr>
        <w:t>，</w:t>
      </w:r>
      <w:r w:rsidR="000E70E6" w:rsidRPr="00024680">
        <w:rPr>
          <w:rFonts w:cs="Times New Roman" w:hint="eastAsia"/>
        </w:rPr>
        <w:t>使貨幣政策傳遞機制</w:t>
      </w:r>
      <w:r w:rsidR="004E693E" w:rsidRPr="00024680">
        <w:rPr>
          <w:rFonts w:cs="Times New Roman" w:hint="eastAsia"/>
        </w:rPr>
        <w:t>可以</w:t>
      </w:r>
      <w:r w:rsidR="000E70E6" w:rsidRPr="00024680">
        <w:rPr>
          <w:rFonts w:cs="Times New Roman" w:hint="eastAsia"/>
        </w:rPr>
        <w:t>有效</w:t>
      </w:r>
      <w:r w:rsidR="00BC46C6" w:rsidRPr="00024680">
        <w:rPr>
          <w:rFonts w:cs="Times New Roman" w:hint="eastAsia"/>
        </w:rPr>
        <w:t>運作，協助經濟成長</w:t>
      </w:r>
      <w:r w:rsidR="000E70E6" w:rsidRPr="00024680">
        <w:rPr>
          <w:rFonts w:ascii="標楷體" w:hAnsi="標楷體" w:cs="Times New Roman" w:hint="eastAsia"/>
        </w:rPr>
        <w:t>。</w:t>
      </w:r>
    </w:p>
    <w:p w:rsidR="00786117" w:rsidRPr="00024680" w:rsidRDefault="00786117" w:rsidP="00786117">
      <w:pPr>
        <w:pStyle w:val="a7"/>
        <w:numPr>
          <w:ilvl w:val="0"/>
          <w:numId w:val="9"/>
        </w:numPr>
        <w:spacing w:beforeLines="30" w:before="156" w:afterLines="30" w:after="156" w:line="500" w:lineRule="exact"/>
        <w:ind w:leftChars="0"/>
        <w:jc w:val="both"/>
        <w:rPr>
          <w:rFonts w:ascii="Times New Roman" w:eastAsia="標楷體" w:hAnsi="Times New Roman" w:cs="Times New Roman"/>
          <w:b/>
          <w:sz w:val="28"/>
          <w:szCs w:val="28"/>
        </w:rPr>
      </w:pPr>
      <w:r w:rsidRPr="00024680">
        <w:rPr>
          <w:rFonts w:ascii="Times New Roman" w:eastAsia="標楷體" w:hAnsi="Times New Roman" w:cs="Times New Roman" w:hint="eastAsia"/>
          <w:b/>
          <w:sz w:val="28"/>
          <w:szCs w:val="28"/>
        </w:rPr>
        <w:t>引導資金投入國內實質投資</w:t>
      </w:r>
    </w:p>
    <w:p w:rsidR="00562485" w:rsidRPr="00024680" w:rsidRDefault="00A90EAC" w:rsidP="00160168">
      <w:pPr>
        <w:widowControl w:val="0"/>
        <w:overflowPunct w:val="0"/>
        <w:spacing w:beforeLines="20" w:before="104" w:afterLines="20" w:after="104" w:line="480" w:lineRule="exact"/>
        <w:ind w:firstLineChars="202" w:firstLine="566"/>
        <w:rPr>
          <w:rFonts w:cs="Times New Roman"/>
        </w:rPr>
      </w:pPr>
      <w:r w:rsidRPr="00024680">
        <w:rPr>
          <w:rFonts w:cs="Times New Roman" w:hint="eastAsia"/>
        </w:rPr>
        <w:t>首先討論資金投入實質投資的意義及重要性。</w:t>
      </w:r>
      <w:r w:rsidR="00562485" w:rsidRPr="00024680">
        <w:rPr>
          <w:rFonts w:cs="Times New Roman" w:hint="eastAsia"/>
        </w:rPr>
        <w:t>台灣雖享有</w:t>
      </w:r>
      <w:r w:rsidR="00562485" w:rsidRPr="00024680">
        <w:rPr>
          <w:rFonts w:hint="eastAsia"/>
        </w:rPr>
        <w:t>龐大國外淨債權</w:t>
      </w:r>
      <w:r w:rsidR="00C65AE6" w:rsidRPr="00024680">
        <w:rPr>
          <w:rFonts w:hint="eastAsia"/>
        </w:rPr>
        <w:t>；</w:t>
      </w:r>
      <w:r w:rsidR="00562485" w:rsidRPr="00024680">
        <w:rPr>
          <w:rFonts w:hint="eastAsia"/>
        </w:rPr>
        <w:t>惟如</w:t>
      </w:r>
      <w:r w:rsidR="00562485" w:rsidRPr="00024680">
        <w:rPr>
          <w:rFonts w:cs="Times New Roman" w:hint="eastAsia"/>
        </w:rPr>
        <w:t>觀察</w:t>
      </w:r>
      <w:r w:rsidR="00C65AE6" w:rsidRPr="00024680">
        <w:rPr>
          <w:rFonts w:cs="Times New Roman" w:hint="eastAsia"/>
        </w:rPr>
        <w:t>其</w:t>
      </w:r>
      <w:r w:rsidR="00562485" w:rsidRPr="00024680">
        <w:rPr>
          <w:rFonts w:hint="eastAsia"/>
        </w:rPr>
        <w:t>結</w:t>
      </w:r>
      <w:r w:rsidR="00562485" w:rsidRPr="00024680">
        <w:rPr>
          <w:rFonts w:cs="Times New Roman"/>
        </w:rPr>
        <w:t>構，</w:t>
      </w:r>
      <w:r w:rsidR="00562485" w:rsidRPr="00024680">
        <w:rPr>
          <w:rFonts w:cs="Times New Roman" w:hint="eastAsia"/>
        </w:rPr>
        <w:t>對外或外人</w:t>
      </w:r>
      <w:r w:rsidR="00562485" w:rsidRPr="00024680">
        <w:rPr>
          <w:rFonts w:hint="eastAsia"/>
        </w:rPr>
        <w:t>直接投資比重均相對較低</w:t>
      </w:r>
      <w:r w:rsidR="00C65AE6" w:rsidRPr="00024680">
        <w:rPr>
          <w:rFonts w:hint="eastAsia"/>
        </w:rPr>
        <w:t>。</w:t>
      </w:r>
      <w:r w:rsidR="00562485" w:rsidRPr="00024680">
        <w:rPr>
          <w:rFonts w:hint="eastAsia"/>
        </w:rPr>
        <w:t>在</w:t>
      </w:r>
      <w:r w:rsidR="00786117" w:rsidRPr="00024680">
        <w:rPr>
          <w:rFonts w:hint="eastAsia"/>
        </w:rPr>
        <w:t>我國</w:t>
      </w:r>
      <w:r w:rsidR="00562485" w:rsidRPr="00024680">
        <w:rPr>
          <w:rFonts w:cs="Times New Roman"/>
        </w:rPr>
        <w:t>對</w:t>
      </w:r>
      <w:r w:rsidR="00786117" w:rsidRPr="00024680">
        <w:rPr>
          <w:rFonts w:cs="Times New Roman" w:hint="eastAsia"/>
        </w:rPr>
        <w:t>國</w:t>
      </w:r>
      <w:r w:rsidR="00562485" w:rsidRPr="00024680">
        <w:rPr>
          <w:rFonts w:cs="Times New Roman"/>
        </w:rPr>
        <w:t>外</w:t>
      </w:r>
      <w:r w:rsidR="00786117" w:rsidRPr="00024680">
        <w:rPr>
          <w:rFonts w:cs="Times New Roman" w:hint="eastAsia"/>
        </w:rPr>
        <w:t>各項投</w:t>
      </w:r>
      <w:r w:rsidR="00562485" w:rsidRPr="00024680">
        <w:rPr>
          <w:rFonts w:cs="Times New Roman"/>
        </w:rPr>
        <w:t>資</w:t>
      </w:r>
      <w:r w:rsidR="00562485" w:rsidRPr="00024680">
        <w:rPr>
          <w:rFonts w:cs="Times New Roman" w:hint="eastAsia"/>
        </w:rPr>
        <w:t>中，</w:t>
      </w:r>
      <w:r w:rsidR="00562485" w:rsidRPr="00024680">
        <w:t>直接投資比重</w:t>
      </w:r>
      <w:r w:rsidR="00562485" w:rsidRPr="00024680">
        <w:rPr>
          <w:rFonts w:hint="eastAsia"/>
        </w:rPr>
        <w:t>僅</w:t>
      </w:r>
      <w:r w:rsidR="00562485" w:rsidRPr="00024680">
        <w:t>為</w:t>
      </w:r>
      <w:r w:rsidR="00562485" w:rsidRPr="00024680">
        <w:t>17%</w:t>
      </w:r>
      <w:r w:rsidR="00562485" w:rsidRPr="00024680">
        <w:t>，</w:t>
      </w:r>
      <w:r w:rsidR="00562485" w:rsidRPr="00024680">
        <w:rPr>
          <w:rFonts w:hint="eastAsia"/>
        </w:rPr>
        <w:t>證券投資比重為</w:t>
      </w:r>
      <w:r w:rsidR="00562485" w:rsidRPr="00024680">
        <w:rPr>
          <w:rFonts w:hint="eastAsia"/>
        </w:rPr>
        <w:lastRenderedPageBreak/>
        <w:t>41%</w:t>
      </w:r>
      <w:r w:rsidR="00562485" w:rsidRPr="00024680">
        <w:rPr>
          <w:rFonts w:hint="eastAsia"/>
        </w:rPr>
        <w:t>；而在</w:t>
      </w:r>
      <w:r w:rsidR="00786117" w:rsidRPr="00024680">
        <w:rPr>
          <w:rFonts w:hint="eastAsia"/>
        </w:rPr>
        <w:t>外國人</w:t>
      </w:r>
      <w:r w:rsidR="00562485" w:rsidRPr="00024680">
        <w:t>對</w:t>
      </w:r>
      <w:r w:rsidR="00786117" w:rsidRPr="00024680">
        <w:rPr>
          <w:rFonts w:hint="eastAsia"/>
        </w:rPr>
        <w:t>我國的投資</w:t>
      </w:r>
      <w:r w:rsidR="00562485" w:rsidRPr="00024680">
        <w:t>中，直接投資比重為</w:t>
      </w:r>
      <w:r w:rsidR="00562485" w:rsidRPr="00024680">
        <w:t>12%</w:t>
      </w:r>
      <w:r w:rsidR="00562485" w:rsidRPr="00024680">
        <w:t>，</w:t>
      </w:r>
      <w:r w:rsidR="00562485" w:rsidRPr="00024680">
        <w:rPr>
          <w:rFonts w:hint="eastAsia"/>
        </w:rPr>
        <w:t>證券投資比重則為</w:t>
      </w:r>
      <w:r w:rsidR="00562485" w:rsidRPr="00024680">
        <w:rPr>
          <w:rFonts w:hint="eastAsia"/>
        </w:rPr>
        <w:t>47%</w:t>
      </w:r>
      <w:r w:rsidR="00562485" w:rsidRPr="00024680">
        <w:rPr>
          <w:rFonts w:hint="eastAsia"/>
        </w:rPr>
        <w:t>。</w:t>
      </w:r>
      <w:r w:rsidR="00AE3502" w:rsidRPr="00024680">
        <w:rPr>
          <w:rFonts w:hint="eastAsia"/>
        </w:rPr>
        <w:t>因此，就</w:t>
      </w:r>
      <w:r w:rsidR="00562485" w:rsidRPr="00160168">
        <w:rPr>
          <w:rFonts w:cs="Times New Roman"/>
        </w:rPr>
        <w:t>資金</w:t>
      </w:r>
      <w:r w:rsidR="00562485" w:rsidRPr="00024680">
        <w:t>運用</w:t>
      </w:r>
      <w:r w:rsidR="00AE3502" w:rsidRPr="00024680">
        <w:rPr>
          <w:rFonts w:hint="eastAsia"/>
        </w:rPr>
        <w:t>而言</w:t>
      </w:r>
      <w:r w:rsidR="00562485" w:rsidRPr="00024680">
        <w:t>，</w:t>
      </w:r>
      <w:r w:rsidR="00562485" w:rsidRPr="00024680">
        <w:rPr>
          <w:rFonts w:hint="eastAsia"/>
          <w:b/>
        </w:rPr>
        <w:t>吸引</w:t>
      </w:r>
      <w:r w:rsidR="00786117" w:rsidRPr="00024680">
        <w:rPr>
          <w:rFonts w:hint="eastAsia"/>
          <w:b/>
        </w:rPr>
        <w:t>國內</w:t>
      </w:r>
      <w:r w:rsidR="00562485" w:rsidRPr="00024680">
        <w:rPr>
          <w:rFonts w:hint="eastAsia"/>
          <w:b/>
        </w:rPr>
        <w:t>外資</w:t>
      </w:r>
      <w:r w:rsidR="00786117" w:rsidRPr="00024680">
        <w:rPr>
          <w:rFonts w:hint="eastAsia"/>
          <w:b/>
        </w:rPr>
        <w:t>金對國內產業進行</w:t>
      </w:r>
      <w:r w:rsidR="00562485" w:rsidRPr="00024680">
        <w:rPr>
          <w:rFonts w:hint="eastAsia"/>
          <w:b/>
        </w:rPr>
        <w:t>直接投資或</w:t>
      </w:r>
      <w:r w:rsidR="00AE3502" w:rsidRPr="00024680">
        <w:rPr>
          <w:rFonts w:hint="eastAsia"/>
          <w:b/>
        </w:rPr>
        <w:t>協助</w:t>
      </w:r>
      <w:r w:rsidR="00562485" w:rsidRPr="00024680">
        <w:rPr>
          <w:rFonts w:hint="eastAsia"/>
          <w:b/>
        </w:rPr>
        <w:t>廠商對外投資</w:t>
      </w:r>
      <w:r w:rsidR="00562485" w:rsidRPr="00024680">
        <w:rPr>
          <w:rFonts w:hint="eastAsia"/>
        </w:rPr>
        <w:t>，</w:t>
      </w:r>
      <w:r w:rsidR="00AE3502" w:rsidRPr="00024680">
        <w:rPr>
          <w:rFonts w:hint="eastAsia"/>
        </w:rPr>
        <w:t>將</w:t>
      </w:r>
      <w:r w:rsidR="00562485" w:rsidRPr="00024680">
        <w:rPr>
          <w:rFonts w:hint="eastAsia"/>
        </w:rPr>
        <w:t>可強化國內外生產資源的整合，應是我們可以</w:t>
      </w:r>
      <w:r w:rsidR="000D05F6" w:rsidRPr="00024680">
        <w:rPr>
          <w:rFonts w:hint="eastAsia"/>
        </w:rPr>
        <w:t>積極</w:t>
      </w:r>
      <w:r w:rsidR="00562485" w:rsidRPr="00024680">
        <w:rPr>
          <w:rFonts w:hint="eastAsia"/>
        </w:rPr>
        <w:t>努力的方向。</w:t>
      </w:r>
    </w:p>
    <w:p w:rsidR="00FE1A13" w:rsidRPr="00024680" w:rsidRDefault="00FE1A13" w:rsidP="00160168">
      <w:pPr>
        <w:widowControl w:val="0"/>
        <w:overflowPunct w:val="0"/>
        <w:spacing w:beforeLines="20" w:before="104" w:afterLines="20" w:after="104" w:line="480" w:lineRule="exact"/>
        <w:ind w:firstLineChars="202" w:firstLine="566"/>
        <w:rPr>
          <w:rFonts w:cs="Times New Roman"/>
        </w:rPr>
      </w:pPr>
      <w:r w:rsidRPr="00024680">
        <w:rPr>
          <w:rFonts w:cs="Times New Roman"/>
        </w:rPr>
        <w:t>依本行估測，本</w:t>
      </w:r>
      <w:r w:rsidRPr="00024680">
        <w:rPr>
          <w:rFonts w:cs="Times New Roman"/>
        </w:rPr>
        <w:t>(2019)</w:t>
      </w:r>
      <w:r w:rsidRPr="00024680">
        <w:rPr>
          <w:rFonts w:cs="Times New Roman"/>
        </w:rPr>
        <w:t>年外需對經濟成長的貢獻可能減弱，內需將</w:t>
      </w:r>
      <w:r w:rsidR="00F35DC4" w:rsidRPr="00024680">
        <w:rPr>
          <w:rFonts w:cs="Times New Roman" w:hint="eastAsia"/>
        </w:rPr>
        <w:t>成為</w:t>
      </w:r>
      <w:r w:rsidRPr="00024680">
        <w:rPr>
          <w:rFonts w:cs="Times New Roman"/>
        </w:rPr>
        <w:t>帶動經濟成長</w:t>
      </w:r>
      <w:r w:rsidR="00F35DC4" w:rsidRPr="00024680">
        <w:rPr>
          <w:rFonts w:cs="Times New Roman" w:hint="eastAsia"/>
        </w:rPr>
        <w:t>的</w:t>
      </w:r>
      <w:r w:rsidRPr="00024680">
        <w:rPr>
          <w:rFonts w:cs="Times New Roman"/>
        </w:rPr>
        <w:t>主力，其中固定投資較往年扮演更重要的角色。</w:t>
      </w:r>
      <w:r w:rsidRPr="00024680">
        <w:rPr>
          <w:rFonts w:cs="Times New Roman" w:hint="eastAsia"/>
        </w:rPr>
        <w:t>目前政府推動投資台灣三大方案：</w:t>
      </w:r>
      <w:r w:rsidR="001566C8" w:rsidRPr="00024680">
        <w:rPr>
          <w:rFonts w:cs="Times New Roman" w:hint="eastAsia"/>
          <w:b/>
        </w:rPr>
        <w:t>歡迎</w:t>
      </w:r>
      <w:r w:rsidRPr="00024680">
        <w:rPr>
          <w:rFonts w:cs="Times New Roman" w:hint="eastAsia"/>
          <w:b/>
        </w:rPr>
        <w:t>台商回台投資</w:t>
      </w:r>
      <w:r w:rsidR="009624D5" w:rsidRPr="00024680">
        <w:rPr>
          <w:rFonts w:cs="Times New Roman" w:hint="eastAsia"/>
          <w:b/>
        </w:rPr>
        <w:t>方案</w:t>
      </w:r>
      <w:r w:rsidRPr="00024680">
        <w:rPr>
          <w:rFonts w:cs="Times New Roman" w:hint="eastAsia"/>
        </w:rPr>
        <w:t>、</w:t>
      </w:r>
      <w:r w:rsidRPr="00024680">
        <w:rPr>
          <w:rFonts w:cs="Times New Roman" w:hint="eastAsia"/>
          <w:b/>
        </w:rPr>
        <w:t>根留台灣企業</w:t>
      </w:r>
      <w:r w:rsidRPr="00024680">
        <w:rPr>
          <w:rFonts w:cs="Times New Roman" w:hint="eastAsia"/>
        </w:rPr>
        <w:t>與</w:t>
      </w:r>
      <w:r w:rsidRPr="00024680">
        <w:rPr>
          <w:rFonts w:cs="Times New Roman" w:hint="eastAsia"/>
          <w:b/>
        </w:rPr>
        <w:t>中小企業</w:t>
      </w:r>
      <w:r w:rsidR="001566C8" w:rsidRPr="00024680">
        <w:rPr>
          <w:rFonts w:cs="Times New Roman" w:hint="eastAsia"/>
          <w:b/>
        </w:rPr>
        <w:t>加速</w:t>
      </w:r>
      <w:r w:rsidRPr="00024680">
        <w:rPr>
          <w:rFonts w:cs="Times New Roman" w:hint="eastAsia"/>
          <w:b/>
        </w:rPr>
        <w:t>投資</w:t>
      </w:r>
      <w:r w:rsidR="009624D5" w:rsidRPr="00024680">
        <w:rPr>
          <w:rFonts w:cs="Times New Roman" w:hint="eastAsia"/>
          <w:b/>
        </w:rPr>
        <w:t>方案</w:t>
      </w:r>
      <w:r w:rsidRPr="00024680">
        <w:rPr>
          <w:rFonts w:cs="Times New Roman" w:hint="eastAsia"/>
        </w:rPr>
        <w:t>，即希望透過資本累積與深化提升生產力</w:t>
      </w:r>
      <w:r w:rsidRPr="00024680">
        <w:rPr>
          <w:rFonts w:ascii="新細明體" w:eastAsia="新細明體" w:hAnsi="新細明體" w:cs="Times New Roman" w:hint="eastAsia"/>
        </w:rPr>
        <w:t>。</w:t>
      </w:r>
      <w:r w:rsidRPr="00024680">
        <w:rPr>
          <w:rFonts w:cs="Times New Roman"/>
        </w:rPr>
        <w:t>在國內投資成長動能長期偏弱下，此時更應把握台商回台投資及外資來台投資的契機，</w:t>
      </w:r>
      <w:r w:rsidRPr="00024680">
        <w:rPr>
          <w:rFonts w:cs="Times New Roman"/>
          <w:b/>
        </w:rPr>
        <w:t>將資金導入前瞻性投資</w:t>
      </w:r>
      <w:r w:rsidRPr="00024680">
        <w:rPr>
          <w:rFonts w:cs="Times New Roman"/>
        </w:rPr>
        <w:t>，如</w:t>
      </w:r>
      <w:r w:rsidRPr="00024680">
        <w:rPr>
          <w:rFonts w:cs="Times New Roman"/>
          <w:b/>
        </w:rPr>
        <w:t>強化網路、</w:t>
      </w:r>
      <w:r w:rsidRPr="00024680">
        <w:rPr>
          <w:rFonts w:cs="Times New Roman"/>
          <w:b/>
        </w:rPr>
        <w:t>AI</w:t>
      </w:r>
      <w:r w:rsidRPr="00024680">
        <w:rPr>
          <w:rFonts w:cs="Times New Roman"/>
          <w:b/>
        </w:rPr>
        <w:t>、</w:t>
      </w:r>
      <w:r w:rsidRPr="00024680">
        <w:rPr>
          <w:rFonts w:cs="Times New Roman"/>
          <w:b/>
        </w:rPr>
        <w:t>5G</w:t>
      </w:r>
      <w:r w:rsidRPr="00024680">
        <w:rPr>
          <w:rFonts w:cs="Times New Roman"/>
          <w:b/>
        </w:rPr>
        <w:t>、物聯網</w:t>
      </w:r>
      <w:r w:rsidRPr="00024680">
        <w:rPr>
          <w:rFonts w:cs="Times New Roman"/>
          <w:b/>
        </w:rPr>
        <w:t>(</w:t>
      </w:r>
      <w:proofErr w:type="spellStart"/>
      <w:r w:rsidRPr="00024680">
        <w:rPr>
          <w:rFonts w:cs="Times New Roman"/>
          <w:b/>
        </w:rPr>
        <w:t>IoTs</w:t>
      </w:r>
      <w:proofErr w:type="spellEnd"/>
      <w:r w:rsidRPr="00024680">
        <w:rPr>
          <w:rFonts w:cs="Times New Roman"/>
          <w:b/>
        </w:rPr>
        <w:t>)</w:t>
      </w:r>
      <w:r w:rsidRPr="00024680">
        <w:rPr>
          <w:rFonts w:ascii="新細明體" w:eastAsia="新細明體" w:hAnsi="新細明體" w:cs="Times New Roman" w:hint="eastAsia"/>
          <w:b/>
        </w:rPr>
        <w:t>、</w:t>
      </w:r>
      <w:r w:rsidRPr="00024680">
        <w:rPr>
          <w:rFonts w:cs="Times New Roman" w:hint="eastAsia"/>
          <w:b/>
        </w:rPr>
        <w:t>金融科技</w:t>
      </w:r>
      <w:r w:rsidRPr="00024680">
        <w:rPr>
          <w:rFonts w:cs="Times New Roman"/>
        </w:rPr>
        <w:t>等</w:t>
      </w:r>
      <w:r w:rsidR="00845786">
        <w:rPr>
          <w:rFonts w:cs="Times New Roman" w:hint="eastAsia"/>
        </w:rPr>
        <w:t>建設</w:t>
      </w:r>
      <w:r w:rsidRPr="00024680">
        <w:rPr>
          <w:rFonts w:cs="Times New Roman"/>
        </w:rPr>
        <w:t>，進一步提高國內生產力、</w:t>
      </w:r>
      <w:r w:rsidR="008F210B" w:rsidRPr="00024680">
        <w:rPr>
          <w:rFonts w:cs="Times New Roman" w:hint="eastAsia"/>
        </w:rPr>
        <w:t>促進</w:t>
      </w:r>
      <w:r w:rsidRPr="00024680">
        <w:rPr>
          <w:rFonts w:cs="Times New Roman"/>
        </w:rPr>
        <w:t>產業升級，帶動經濟及國人薪資成長</w:t>
      </w:r>
      <w:r w:rsidR="00F35DC4" w:rsidRPr="00024680">
        <w:rPr>
          <w:rFonts w:ascii="微軟正黑體" w:eastAsia="微軟正黑體" w:hAnsi="微軟正黑體" w:cs="Times New Roman" w:hint="eastAsia"/>
        </w:rPr>
        <w:t>。</w:t>
      </w:r>
      <w:r w:rsidRPr="00024680">
        <w:rPr>
          <w:rFonts w:cs="Times New Roman"/>
        </w:rPr>
        <w:t>同時，面對人口老化問題，引導資金投入於銀髮或</w:t>
      </w:r>
      <w:r w:rsidRPr="00024680">
        <w:rPr>
          <w:rFonts w:cs="Times New Roman"/>
          <w:b/>
        </w:rPr>
        <w:t>長期照護</w:t>
      </w:r>
      <w:r w:rsidRPr="00024680">
        <w:rPr>
          <w:rFonts w:cs="Times New Roman"/>
        </w:rPr>
        <w:t>等具有長期未來性的產業，</w:t>
      </w:r>
      <w:r w:rsidR="00F35DC4" w:rsidRPr="00024680">
        <w:rPr>
          <w:rFonts w:cs="Times New Roman" w:hint="eastAsia"/>
        </w:rPr>
        <w:t>也是</w:t>
      </w:r>
      <w:r w:rsidRPr="00024680">
        <w:rPr>
          <w:rFonts w:cs="Times New Roman"/>
        </w:rPr>
        <w:t>當前提振內需的重要政策方向。</w:t>
      </w:r>
    </w:p>
    <w:p w:rsidR="00562485" w:rsidRPr="00024680" w:rsidRDefault="00562485" w:rsidP="00160168">
      <w:pPr>
        <w:widowControl w:val="0"/>
        <w:overflowPunct w:val="0"/>
        <w:spacing w:beforeLines="20" w:before="104" w:afterLines="20" w:after="104" w:line="480" w:lineRule="exact"/>
        <w:ind w:firstLineChars="202" w:firstLine="566"/>
        <w:rPr>
          <w:rFonts w:cs="Times New Roman"/>
        </w:rPr>
      </w:pPr>
      <w:r w:rsidRPr="00024680">
        <w:rPr>
          <w:rFonts w:cs="Times New Roman"/>
        </w:rPr>
        <w:t>此外，政府對前述供應鏈加速重組浪潮亦須積極因應</w:t>
      </w:r>
      <w:r w:rsidR="00F35DC4" w:rsidRPr="00024680">
        <w:rPr>
          <w:rFonts w:cs="Times New Roman"/>
        </w:rPr>
        <w:t>。</w:t>
      </w:r>
      <w:r w:rsidRPr="00024680">
        <w:rPr>
          <w:rFonts w:cs="Times New Roman"/>
        </w:rPr>
        <w:t>除了協助台商回台投資高產值產業外，</w:t>
      </w:r>
      <w:r w:rsidR="00334125" w:rsidRPr="00024680">
        <w:rPr>
          <w:rFonts w:cs="Times New Roman"/>
        </w:rPr>
        <w:t>以完善的資通訊產業聚落吸引外資直接投資</w:t>
      </w:r>
      <w:r w:rsidR="00017519" w:rsidRPr="00024680">
        <w:rPr>
          <w:rFonts w:cs="Times New Roman"/>
        </w:rPr>
        <w:t>，亦為重要的政策方向。</w:t>
      </w:r>
      <w:r w:rsidR="00334125" w:rsidRPr="00024680">
        <w:rPr>
          <w:rFonts w:cs="Times New Roman"/>
        </w:rPr>
        <w:t>台灣資通訊及電子產業之出口</w:t>
      </w:r>
      <w:r w:rsidRPr="00024680">
        <w:rPr>
          <w:rFonts w:cs="Times New Roman"/>
        </w:rPr>
        <w:t>占台灣</w:t>
      </w:r>
      <w:r w:rsidR="00F40314" w:rsidRPr="00024680">
        <w:rPr>
          <w:rFonts w:cs="Times New Roman"/>
        </w:rPr>
        <w:t>出口</w:t>
      </w:r>
      <w:r w:rsidRPr="00024680">
        <w:rPr>
          <w:rFonts w:cs="Times New Roman"/>
        </w:rPr>
        <w:t>比重達</w:t>
      </w:r>
      <w:r w:rsidRPr="00024680">
        <w:rPr>
          <w:rFonts w:cs="Times New Roman"/>
        </w:rPr>
        <w:t>39.6%</w:t>
      </w:r>
      <w:r w:rsidR="00F35DC4" w:rsidRPr="00024680">
        <w:rPr>
          <w:rFonts w:cs="Times New Roman"/>
        </w:rPr>
        <w:t>；</w:t>
      </w:r>
      <w:r w:rsidRPr="00024680">
        <w:rPr>
          <w:rFonts w:cs="Times New Roman"/>
        </w:rPr>
        <w:t>產出占台灣</w:t>
      </w:r>
      <w:r w:rsidR="00F40314" w:rsidRPr="00024680">
        <w:rPr>
          <w:rFonts w:cs="Times New Roman"/>
        </w:rPr>
        <w:t>產出</w:t>
      </w:r>
      <w:r w:rsidRPr="00024680">
        <w:rPr>
          <w:rFonts w:cs="Times New Roman"/>
        </w:rPr>
        <w:t>比重則達</w:t>
      </w:r>
      <w:r w:rsidRPr="00024680">
        <w:rPr>
          <w:rFonts w:cs="Times New Roman"/>
        </w:rPr>
        <w:t>15.4%</w:t>
      </w:r>
      <w:r w:rsidRPr="00024680">
        <w:rPr>
          <w:rFonts w:cs="Times New Roman"/>
        </w:rPr>
        <w:t>，產出占全球比重約</w:t>
      </w:r>
      <w:r w:rsidRPr="00024680">
        <w:rPr>
          <w:rFonts w:cs="Times New Roman"/>
        </w:rPr>
        <w:t>4.7%</w:t>
      </w:r>
      <w:r w:rsidRPr="00024680">
        <w:rPr>
          <w:rFonts w:cs="Times New Roman"/>
        </w:rPr>
        <w:t>。目前國際大廠，如</w:t>
      </w:r>
      <w:r w:rsidRPr="00024680">
        <w:rPr>
          <w:rFonts w:cs="Times New Roman"/>
        </w:rPr>
        <w:t>Google</w:t>
      </w:r>
      <w:r w:rsidRPr="00024680">
        <w:rPr>
          <w:rFonts w:cs="Times New Roman"/>
        </w:rPr>
        <w:t>、微軟、亞馬遜等已相繼在台設立研發創新中心，具有相當的示範效果。</w:t>
      </w:r>
    </w:p>
    <w:p w:rsidR="00562485" w:rsidRPr="00024680" w:rsidRDefault="00562485" w:rsidP="00160168">
      <w:pPr>
        <w:widowControl w:val="0"/>
        <w:overflowPunct w:val="0"/>
        <w:spacing w:beforeLines="20" w:before="104" w:afterLines="20" w:after="104" w:line="500" w:lineRule="exact"/>
        <w:ind w:firstLineChars="202" w:firstLine="566"/>
      </w:pPr>
      <w:r w:rsidRPr="00024680">
        <w:rPr>
          <w:rFonts w:hint="eastAsia"/>
        </w:rPr>
        <w:t>因此，如何創造良好的投資環境，以吸引國內外企業回台或來台進行實質投資，為當前重要課題。目前</w:t>
      </w:r>
      <w:r w:rsidR="00F35DC4" w:rsidRPr="00024680">
        <w:rPr>
          <w:rFonts w:ascii="新細明體" w:eastAsia="新細明體" w:hAnsi="新細明體" w:hint="eastAsia"/>
        </w:rPr>
        <w:t>，</w:t>
      </w:r>
      <w:r w:rsidRPr="00024680">
        <w:rPr>
          <w:rFonts w:hint="eastAsia"/>
        </w:rPr>
        <w:t>「台商回台投資方案」除協助台商回台投資外，</w:t>
      </w:r>
      <w:r w:rsidR="00F35DC4" w:rsidRPr="00024680">
        <w:rPr>
          <w:rFonts w:hint="eastAsia"/>
        </w:rPr>
        <w:t>也</w:t>
      </w:r>
      <w:r w:rsidRPr="00024680">
        <w:rPr>
          <w:rFonts w:hint="eastAsia"/>
        </w:rPr>
        <w:t>擴大鼓勵根留台灣的企業進行投資，</w:t>
      </w:r>
      <w:r w:rsidR="00F35DC4" w:rsidRPr="00024680">
        <w:rPr>
          <w:rFonts w:hint="eastAsia"/>
        </w:rPr>
        <w:t>就是</w:t>
      </w:r>
      <w:r w:rsidRPr="00024680">
        <w:rPr>
          <w:rFonts w:hint="eastAsia"/>
        </w:rPr>
        <w:t>希望能夠強化實質投資的動能，形成資本累積，使企業更有效率</w:t>
      </w:r>
      <w:r w:rsidR="00AE3502" w:rsidRPr="00024680">
        <w:rPr>
          <w:rFonts w:hint="eastAsia"/>
        </w:rPr>
        <w:t>運用其</w:t>
      </w:r>
      <w:r w:rsidRPr="00024680">
        <w:rPr>
          <w:rFonts w:hint="eastAsia"/>
        </w:rPr>
        <w:t>資金在新創及高附加價值的產業</w:t>
      </w:r>
      <w:r w:rsidR="00322304" w:rsidRPr="00024680">
        <w:rPr>
          <w:rStyle w:val="ad"/>
        </w:rPr>
        <w:footnoteReference w:id="9"/>
      </w:r>
      <w:r w:rsidRPr="00024680">
        <w:rPr>
          <w:rFonts w:hint="eastAsia"/>
        </w:rPr>
        <w:t>。</w:t>
      </w:r>
    </w:p>
    <w:p w:rsidR="00D16D78" w:rsidRPr="00024680" w:rsidRDefault="001A15C8" w:rsidP="00160168">
      <w:pPr>
        <w:pStyle w:val="a7"/>
        <w:numPr>
          <w:ilvl w:val="0"/>
          <w:numId w:val="9"/>
        </w:numPr>
        <w:spacing w:afterLines="30" w:after="156" w:line="500" w:lineRule="exact"/>
        <w:ind w:leftChars="0" w:left="482" w:hangingChars="172" w:hanging="482"/>
        <w:jc w:val="both"/>
        <w:rPr>
          <w:rFonts w:ascii="Times New Roman" w:eastAsia="標楷體" w:hAnsi="Times New Roman" w:cs="Times New Roman"/>
          <w:b/>
          <w:sz w:val="28"/>
          <w:szCs w:val="28"/>
        </w:rPr>
      </w:pPr>
      <w:r w:rsidRPr="00024680">
        <w:rPr>
          <w:rFonts w:ascii="Times New Roman" w:eastAsia="標楷體" w:hAnsi="Times New Roman" w:cs="Times New Roman" w:hint="eastAsia"/>
          <w:b/>
          <w:sz w:val="28"/>
          <w:szCs w:val="28"/>
        </w:rPr>
        <w:lastRenderedPageBreak/>
        <w:t>鼓勵</w:t>
      </w:r>
      <w:r w:rsidR="00FE1A13" w:rsidRPr="00024680">
        <w:rPr>
          <w:rFonts w:ascii="Times New Roman" w:eastAsia="標楷體" w:hAnsi="Times New Roman" w:cs="Times New Roman" w:hint="eastAsia"/>
          <w:b/>
          <w:sz w:val="28"/>
          <w:szCs w:val="28"/>
        </w:rPr>
        <w:t>跨國併購取得關鍵技術及戰略性資源，</w:t>
      </w:r>
      <w:r w:rsidR="00562485" w:rsidRPr="00024680">
        <w:rPr>
          <w:rFonts w:ascii="Times New Roman" w:eastAsia="標楷體" w:hAnsi="Times New Roman" w:cs="Times New Roman" w:hint="eastAsia"/>
          <w:b/>
          <w:sz w:val="28"/>
          <w:szCs w:val="28"/>
        </w:rPr>
        <w:t>協助廠商全球布局</w:t>
      </w:r>
      <w:r w:rsidR="00FE1A13" w:rsidRPr="00024680">
        <w:rPr>
          <w:rFonts w:ascii="Times New Roman" w:eastAsia="標楷體" w:hAnsi="Times New Roman" w:cs="Times New Roman" w:hint="eastAsia"/>
          <w:b/>
          <w:sz w:val="28"/>
          <w:szCs w:val="28"/>
        </w:rPr>
        <w:t>，鞏固</w:t>
      </w:r>
      <w:r w:rsidR="00562485" w:rsidRPr="00024680">
        <w:rPr>
          <w:rFonts w:ascii="Times New Roman" w:eastAsia="標楷體" w:hAnsi="Times New Roman" w:cs="Times New Roman" w:hint="eastAsia"/>
          <w:b/>
          <w:sz w:val="28"/>
          <w:szCs w:val="28"/>
        </w:rPr>
        <w:t>其</w:t>
      </w:r>
      <w:r w:rsidR="00FE1A13" w:rsidRPr="00024680">
        <w:rPr>
          <w:rFonts w:ascii="Times New Roman" w:eastAsia="標楷體" w:hAnsi="Times New Roman" w:cs="Times New Roman" w:hint="eastAsia"/>
          <w:b/>
          <w:sz w:val="28"/>
          <w:szCs w:val="28"/>
        </w:rPr>
        <w:t>全球價值鏈</w:t>
      </w:r>
      <w:r w:rsidR="00562485" w:rsidRPr="00024680">
        <w:rPr>
          <w:rFonts w:ascii="Times New Roman" w:eastAsia="標楷體" w:hAnsi="Times New Roman" w:cs="Times New Roman" w:hint="eastAsia"/>
          <w:b/>
          <w:sz w:val="28"/>
          <w:szCs w:val="28"/>
        </w:rPr>
        <w:t>的</w:t>
      </w:r>
      <w:r w:rsidR="00FE1A13" w:rsidRPr="00024680">
        <w:rPr>
          <w:rFonts w:ascii="Times New Roman" w:eastAsia="標楷體" w:hAnsi="Times New Roman" w:cs="Times New Roman" w:hint="eastAsia"/>
          <w:b/>
          <w:sz w:val="28"/>
          <w:szCs w:val="28"/>
        </w:rPr>
        <w:t>地位</w:t>
      </w:r>
    </w:p>
    <w:p w:rsidR="001E1CA1" w:rsidRPr="00024680" w:rsidRDefault="002F1DCE" w:rsidP="00B25533">
      <w:pPr>
        <w:widowControl w:val="0"/>
        <w:overflowPunct w:val="0"/>
        <w:spacing w:beforeLines="30" w:before="156" w:afterLines="30" w:after="156" w:line="500" w:lineRule="exact"/>
        <w:ind w:firstLineChars="202" w:firstLine="566"/>
      </w:pPr>
      <w:r w:rsidRPr="00024680">
        <w:rPr>
          <w:rFonts w:hint="eastAsia"/>
        </w:rPr>
        <w:t>其次，對於廠商全球布局</w:t>
      </w:r>
      <w:r w:rsidR="00F35DC4" w:rsidRPr="00024680">
        <w:rPr>
          <w:rFonts w:hint="eastAsia"/>
        </w:rPr>
        <w:t>的</w:t>
      </w:r>
      <w:r w:rsidRPr="00024680">
        <w:rPr>
          <w:rFonts w:hint="eastAsia"/>
        </w:rPr>
        <w:t>需求，政府</w:t>
      </w:r>
      <w:r w:rsidR="00F35DC4" w:rsidRPr="00024680">
        <w:rPr>
          <w:rFonts w:hint="eastAsia"/>
        </w:rPr>
        <w:t>也</w:t>
      </w:r>
      <w:r w:rsidRPr="00024680">
        <w:rPr>
          <w:rFonts w:hint="eastAsia"/>
        </w:rPr>
        <w:t>應積極加以協助，鞏固台商在全球價值鏈的地位。</w:t>
      </w:r>
      <w:r w:rsidR="00562485" w:rsidRPr="00024680">
        <w:rPr>
          <w:rFonts w:hint="eastAsia"/>
        </w:rPr>
        <w:t>由於台灣資源有限，易受土地、勞動等生產要素等資源限制而影響產出；因此，</w:t>
      </w:r>
      <w:r w:rsidR="006D1500" w:rsidRPr="00024680">
        <w:rPr>
          <w:rFonts w:hint="eastAsia"/>
        </w:rPr>
        <w:t>為突破生產條件限制，</w:t>
      </w:r>
      <w:r w:rsidR="00431C2A" w:rsidRPr="00024680">
        <w:rPr>
          <w:rFonts w:hint="eastAsia"/>
        </w:rPr>
        <w:t>使</w:t>
      </w:r>
      <w:r w:rsidR="006D1500" w:rsidRPr="00024680">
        <w:rPr>
          <w:rFonts w:hint="eastAsia"/>
        </w:rPr>
        <w:t>廠商</w:t>
      </w:r>
      <w:r w:rsidR="00431C2A" w:rsidRPr="00024680">
        <w:rPr>
          <w:rFonts w:hint="eastAsia"/>
        </w:rPr>
        <w:t>得以</w:t>
      </w:r>
      <w:r w:rsidR="007C6982" w:rsidRPr="00024680">
        <w:rPr>
          <w:rFonts w:hint="eastAsia"/>
        </w:rPr>
        <w:t>擴大</w:t>
      </w:r>
      <w:r w:rsidRPr="00024680">
        <w:rPr>
          <w:rFonts w:hint="eastAsia"/>
        </w:rPr>
        <w:t>經營實力</w:t>
      </w:r>
      <w:r w:rsidR="006D1500" w:rsidRPr="00024680">
        <w:rPr>
          <w:rFonts w:hint="eastAsia"/>
        </w:rPr>
        <w:t>，帶動生產力提升，</w:t>
      </w:r>
      <w:r w:rsidR="007C6982" w:rsidRPr="00024680">
        <w:rPr>
          <w:rFonts w:hint="eastAsia"/>
        </w:rPr>
        <w:t>除透</w:t>
      </w:r>
      <w:r w:rsidR="001E1CA1" w:rsidRPr="00024680">
        <w:rPr>
          <w:rFonts w:hint="eastAsia"/>
        </w:rPr>
        <w:t>過</w:t>
      </w:r>
      <w:r w:rsidR="007C6982" w:rsidRPr="00024680">
        <w:rPr>
          <w:rFonts w:hint="eastAsia"/>
        </w:rPr>
        <w:t>前述</w:t>
      </w:r>
      <w:r w:rsidR="001E1CA1" w:rsidRPr="00024680">
        <w:rPr>
          <w:rFonts w:hint="eastAsia"/>
        </w:rPr>
        <w:t>強化科技創新</w:t>
      </w:r>
      <w:r w:rsidR="007C6982" w:rsidRPr="00024680">
        <w:rPr>
          <w:rFonts w:hint="eastAsia"/>
        </w:rPr>
        <w:t>外</w:t>
      </w:r>
      <w:r w:rsidR="006D1500" w:rsidRPr="00024680">
        <w:rPr>
          <w:rFonts w:hint="eastAsia"/>
        </w:rPr>
        <w:t>，同時</w:t>
      </w:r>
      <w:r w:rsidR="00431C2A" w:rsidRPr="00024680">
        <w:rPr>
          <w:rFonts w:hint="eastAsia"/>
        </w:rPr>
        <w:t>廠商</w:t>
      </w:r>
      <w:r w:rsidR="00F35DC4" w:rsidRPr="00024680">
        <w:rPr>
          <w:rFonts w:hint="eastAsia"/>
        </w:rPr>
        <w:t>也</w:t>
      </w:r>
      <w:r w:rsidR="009835A2" w:rsidRPr="00024680">
        <w:rPr>
          <w:rFonts w:hint="eastAsia"/>
        </w:rPr>
        <w:t>應積極</w:t>
      </w:r>
      <w:r w:rsidR="001E1CA1" w:rsidRPr="00024680">
        <w:rPr>
          <w:rFonts w:hint="eastAsia"/>
        </w:rPr>
        <w:t>發展</w:t>
      </w:r>
      <w:r w:rsidR="006D1500" w:rsidRPr="00024680">
        <w:rPr>
          <w:rFonts w:hint="eastAsia"/>
        </w:rPr>
        <w:t>全球</w:t>
      </w:r>
      <w:r w:rsidR="001E1CA1" w:rsidRPr="00024680">
        <w:rPr>
          <w:rFonts w:hint="eastAsia"/>
        </w:rPr>
        <w:t>戰略，進行跨國併購</w:t>
      </w:r>
      <w:r w:rsidR="00551B0A" w:rsidRPr="00024680">
        <w:rPr>
          <w:rStyle w:val="ad"/>
        </w:rPr>
        <w:footnoteReference w:id="10"/>
      </w:r>
      <w:r w:rsidR="00431C2A" w:rsidRPr="00024680">
        <w:rPr>
          <w:rFonts w:hint="eastAsia"/>
        </w:rPr>
        <w:t>，取得關鍵技術及戰略性資源，以利上、下游生產鏈整合，</w:t>
      </w:r>
      <w:r w:rsidR="00F525E3" w:rsidRPr="00024680">
        <w:rPr>
          <w:rFonts w:hint="eastAsia"/>
        </w:rPr>
        <w:t>鞏固</w:t>
      </w:r>
      <w:r w:rsidR="006D1500" w:rsidRPr="00024680">
        <w:rPr>
          <w:rFonts w:hint="eastAsia"/>
        </w:rPr>
        <w:t>台灣</w:t>
      </w:r>
      <w:r w:rsidR="001E1CA1" w:rsidRPr="00024680">
        <w:rPr>
          <w:rFonts w:hint="eastAsia"/>
        </w:rPr>
        <w:t>在全球價值鏈的關鍵地位</w:t>
      </w:r>
      <w:r w:rsidR="004D34D7" w:rsidRPr="00024680">
        <w:rPr>
          <w:rFonts w:hint="eastAsia"/>
        </w:rPr>
        <w:t>，</w:t>
      </w:r>
      <w:r w:rsidR="00F35DC4" w:rsidRPr="00024680">
        <w:rPr>
          <w:rFonts w:hint="eastAsia"/>
        </w:rPr>
        <w:t>也</w:t>
      </w:r>
      <w:r w:rsidR="004D34D7" w:rsidRPr="00024680">
        <w:rPr>
          <w:rFonts w:hint="eastAsia"/>
        </w:rPr>
        <w:t>可在當前全球貿易衝突情勢下，突破關稅與非關稅的障礙。</w:t>
      </w:r>
    </w:p>
    <w:p w:rsidR="001E1CA1" w:rsidRPr="00160168" w:rsidRDefault="001E1CA1" w:rsidP="00160168">
      <w:pPr>
        <w:widowControl w:val="0"/>
        <w:overflowPunct w:val="0"/>
        <w:spacing w:beforeLines="20" w:before="104" w:afterLines="20" w:after="104" w:line="480" w:lineRule="exact"/>
        <w:ind w:firstLineChars="202" w:firstLine="549"/>
        <w:rPr>
          <w:rFonts w:cs="Times New Roman"/>
          <w:spacing w:val="-4"/>
        </w:rPr>
      </w:pPr>
      <w:r w:rsidRPr="00160168">
        <w:rPr>
          <w:rFonts w:cs="Times New Roman"/>
          <w:spacing w:val="-4"/>
        </w:rPr>
        <w:t>以</w:t>
      </w:r>
      <w:r w:rsidR="00F525E3" w:rsidRPr="00160168">
        <w:rPr>
          <w:rFonts w:cs="Times New Roman"/>
          <w:spacing w:val="-4"/>
        </w:rPr>
        <w:t>某工具機</w:t>
      </w:r>
      <w:r w:rsidR="00D311F8" w:rsidRPr="00160168">
        <w:rPr>
          <w:rFonts w:cs="Times New Roman"/>
          <w:spacing w:val="-4"/>
        </w:rPr>
        <w:t>大廠</w:t>
      </w:r>
      <w:r w:rsidRPr="00160168">
        <w:rPr>
          <w:rFonts w:cs="Times New Roman"/>
          <w:spacing w:val="-4"/>
        </w:rPr>
        <w:t>為例，該集團在中國大陸營收的比重極高，但</w:t>
      </w:r>
      <w:r w:rsidR="0012080C" w:rsidRPr="00160168">
        <w:rPr>
          <w:rFonts w:cs="Times New Roman"/>
          <w:spacing w:val="-4"/>
        </w:rPr>
        <w:t>透過跨國併購整合技術資源，取得關鍵技術能力與品牌價值，進行全球布局</w:t>
      </w:r>
      <w:r w:rsidRPr="00160168">
        <w:rPr>
          <w:rFonts w:cs="Times New Roman"/>
          <w:spacing w:val="-4"/>
        </w:rPr>
        <w:t>，因此，</w:t>
      </w:r>
      <w:r w:rsidR="00F35DC4" w:rsidRPr="00160168">
        <w:rPr>
          <w:rFonts w:cs="Times New Roman" w:hint="eastAsia"/>
          <w:spacing w:val="-4"/>
        </w:rPr>
        <w:t>也能</w:t>
      </w:r>
      <w:r w:rsidR="002F43D0" w:rsidRPr="00160168">
        <w:rPr>
          <w:rFonts w:cs="Times New Roman" w:hint="eastAsia"/>
          <w:spacing w:val="-4"/>
        </w:rPr>
        <w:t>透過全球產能相互支援</w:t>
      </w:r>
      <w:r w:rsidR="002F43D0" w:rsidRPr="00160168">
        <w:rPr>
          <w:rFonts w:ascii="新細明體" w:eastAsia="新細明體" w:hAnsi="新細明體" w:cs="Times New Roman" w:hint="eastAsia"/>
          <w:spacing w:val="-4"/>
        </w:rPr>
        <w:t>，</w:t>
      </w:r>
      <w:r w:rsidR="00DA47B6" w:rsidRPr="00160168">
        <w:rPr>
          <w:rFonts w:cs="Times New Roman" w:hint="eastAsia"/>
          <w:spacing w:val="-4"/>
        </w:rPr>
        <w:t>緩和</w:t>
      </w:r>
      <w:r w:rsidRPr="00160168">
        <w:rPr>
          <w:rFonts w:cs="Times New Roman"/>
          <w:spacing w:val="-4"/>
        </w:rPr>
        <w:t>美</w:t>
      </w:r>
      <w:r w:rsidR="004261F8" w:rsidRPr="00160168">
        <w:rPr>
          <w:rFonts w:cs="Times New Roman" w:hint="eastAsia"/>
          <w:spacing w:val="-4"/>
        </w:rPr>
        <w:t>對中</w:t>
      </w:r>
      <w:r w:rsidRPr="00160168">
        <w:rPr>
          <w:rFonts w:cs="Times New Roman"/>
          <w:spacing w:val="-4"/>
        </w:rPr>
        <w:t>加徵關稅</w:t>
      </w:r>
      <w:r w:rsidR="00DA47B6" w:rsidRPr="00160168">
        <w:rPr>
          <w:rFonts w:cs="Times New Roman"/>
          <w:spacing w:val="-4"/>
        </w:rPr>
        <w:t>的</w:t>
      </w:r>
      <w:r w:rsidRPr="00160168">
        <w:rPr>
          <w:rFonts w:cs="Times New Roman"/>
          <w:spacing w:val="-4"/>
        </w:rPr>
        <w:t>衝擊。</w:t>
      </w:r>
    </w:p>
    <w:p w:rsidR="001E1CA1" w:rsidRPr="00024680" w:rsidRDefault="001F7CF1" w:rsidP="00BF554F">
      <w:pPr>
        <w:widowControl w:val="0"/>
        <w:overflowPunct w:val="0"/>
        <w:spacing w:beforeLines="20" w:before="104" w:afterLines="20" w:after="104" w:line="480" w:lineRule="exact"/>
        <w:ind w:firstLineChars="202" w:firstLine="566"/>
      </w:pPr>
      <w:r w:rsidRPr="00024680">
        <w:rPr>
          <w:rFonts w:hint="eastAsia"/>
        </w:rPr>
        <w:t>至於對一些</w:t>
      </w:r>
      <w:r w:rsidR="001E1CA1" w:rsidRPr="00024680">
        <w:rPr>
          <w:rFonts w:hint="eastAsia"/>
        </w:rPr>
        <w:t>在台灣已不具備生產成本優勢的台商</w:t>
      </w:r>
      <w:r w:rsidRPr="00024680">
        <w:rPr>
          <w:rFonts w:hint="eastAsia"/>
        </w:rPr>
        <w:t>而言</w:t>
      </w:r>
      <w:r w:rsidR="001E1CA1" w:rsidRPr="00024680">
        <w:rPr>
          <w:rFonts w:hint="eastAsia"/>
        </w:rPr>
        <w:t>，</w:t>
      </w:r>
      <w:r w:rsidRPr="00024680">
        <w:rPr>
          <w:rFonts w:hint="eastAsia"/>
        </w:rPr>
        <w:t>政府</w:t>
      </w:r>
      <w:r w:rsidR="001E1CA1" w:rsidRPr="00024680">
        <w:rPr>
          <w:rFonts w:hint="eastAsia"/>
        </w:rPr>
        <w:t>可結合新南向政策，協助</w:t>
      </w:r>
      <w:r w:rsidRPr="00024680">
        <w:rPr>
          <w:rFonts w:hint="eastAsia"/>
        </w:rPr>
        <w:t>廠商</w:t>
      </w:r>
      <w:r w:rsidR="001E1CA1" w:rsidRPr="00024680">
        <w:rPr>
          <w:rFonts w:hint="eastAsia"/>
        </w:rPr>
        <w:t>瞭解當地投資環境、產業聚落及拓銷市場，鼓勵海外台商與根留台灣的企業進行生產的互補分工，有助台灣產能延伸及在區域供應鏈中發揮重要角色。</w:t>
      </w:r>
    </w:p>
    <w:p w:rsidR="00D16D78" w:rsidRPr="00024680" w:rsidRDefault="00016CFF" w:rsidP="0003217D">
      <w:pPr>
        <w:pStyle w:val="a7"/>
        <w:numPr>
          <w:ilvl w:val="0"/>
          <w:numId w:val="9"/>
        </w:numPr>
        <w:spacing w:beforeLines="30" w:before="156" w:afterLines="30" w:after="156" w:line="500" w:lineRule="exact"/>
        <w:ind w:leftChars="0"/>
        <w:jc w:val="both"/>
        <w:rPr>
          <w:rFonts w:ascii="Times New Roman" w:eastAsia="標楷體" w:hAnsi="Times New Roman" w:cs="Times New Roman"/>
          <w:b/>
          <w:sz w:val="28"/>
          <w:szCs w:val="28"/>
        </w:rPr>
      </w:pPr>
      <w:r w:rsidRPr="00024680">
        <w:rPr>
          <w:rFonts w:ascii="Times New Roman" w:eastAsia="標楷體" w:hAnsi="Times New Roman" w:cs="Times New Roman" w:hint="eastAsia"/>
          <w:b/>
          <w:sz w:val="28"/>
          <w:szCs w:val="28"/>
        </w:rPr>
        <w:t>促進財富管理業務</w:t>
      </w:r>
      <w:r w:rsidR="007701D3" w:rsidRPr="00024680">
        <w:rPr>
          <w:rFonts w:ascii="Times New Roman" w:eastAsia="標楷體" w:hAnsi="Times New Roman" w:cs="Times New Roman" w:hint="eastAsia"/>
          <w:b/>
          <w:sz w:val="28"/>
          <w:szCs w:val="28"/>
        </w:rPr>
        <w:t>及提升金融服務業</w:t>
      </w:r>
      <w:r w:rsidR="004261F8" w:rsidRPr="00024680">
        <w:rPr>
          <w:rFonts w:ascii="Times New Roman" w:eastAsia="標楷體" w:hAnsi="Times New Roman" w:cs="Times New Roman" w:hint="eastAsia"/>
          <w:b/>
          <w:sz w:val="28"/>
          <w:szCs w:val="28"/>
        </w:rPr>
        <w:t>生產</w:t>
      </w:r>
      <w:r w:rsidR="007701D3" w:rsidRPr="00024680">
        <w:rPr>
          <w:rFonts w:ascii="Times New Roman" w:eastAsia="標楷體" w:hAnsi="Times New Roman" w:cs="Times New Roman" w:hint="eastAsia"/>
          <w:b/>
          <w:sz w:val="28"/>
          <w:szCs w:val="28"/>
        </w:rPr>
        <w:t>力</w:t>
      </w:r>
    </w:p>
    <w:p w:rsidR="00DE7D85" w:rsidRPr="00024680" w:rsidRDefault="00DE7D85" w:rsidP="00DE7D85">
      <w:pPr>
        <w:widowControl w:val="0"/>
        <w:spacing w:beforeLines="30" w:before="156" w:afterLines="30" w:after="156" w:line="500" w:lineRule="exact"/>
        <w:ind w:firstLineChars="202" w:firstLine="566"/>
        <w:rPr>
          <w:rFonts w:cs="Times New Roman"/>
        </w:rPr>
      </w:pPr>
      <w:r w:rsidRPr="00024680">
        <w:rPr>
          <w:rFonts w:cs="Times New Roman"/>
        </w:rPr>
        <w:t>近年來，伴隨</w:t>
      </w:r>
      <w:r w:rsidR="00A87645" w:rsidRPr="00024680">
        <w:rPr>
          <w:rFonts w:cs="Times New Roman" w:hint="eastAsia"/>
        </w:rPr>
        <w:t>著</w:t>
      </w:r>
      <w:r w:rsidR="00A87645" w:rsidRPr="00024680">
        <w:rPr>
          <w:rFonts w:cs="Times New Roman"/>
        </w:rPr>
        <w:t>國人</w:t>
      </w:r>
      <w:r w:rsidR="00A87645" w:rsidRPr="00024680">
        <w:rPr>
          <w:rFonts w:cs="Times New Roman" w:hint="eastAsia"/>
        </w:rPr>
        <w:t>儲蓄</w:t>
      </w:r>
      <w:r w:rsidR="00A87645" w:rsidRPr="00024680">
        <w:rPr>
          <w:rFonts w:cs="Times New Roman"/>
        </w:rPr>
        <w:t>持續增加</w:t>
      </w:r>
      <w:r w:rsidR="00A87645" w:rsidRPr="00024680">
        <w:rPr>
          <w:rFonts w:cs="Times New Roman" w:hint="eastAsia"/>
        </w:rPr>
        <w:t>及</w:t>
      </w:r>
      <w:r w:rsidRPr="00024680">
        <w:rPr>
          <w:rFonts w:cs="Times New Roman"/>
        </w:rPr>
        <w:t>金融帳自由化，國人</w:t>
      </w:r>
      <w:r w:rsidR="00A87645" w:rsidRPr="00024680">
        <w:rPr>
          <w:rFonts w:cs="Times New Roman" w:hint="eastAsia"/>
        </w:rPr>
        <w:t>的</w:t>
      </w:r>
      <w:r w:rsidRPr="00024680">
        <w:rPr>
          <w:rFonts w:cs="Times New Roman"/>
        </w:rPr>
        <w:t>資產配置亦朝向全球化</w:t>
      </w:r>
      <w:r w:rsidR="00A87645" w:rsidRPr="00024680">
        <w:rPr>
          <w:rFonts w:cs="Times New Roman" w:hint="eastAsia"/>
        </w:rPr>
        <w:t>；尤其</w:t>
      </w:r>
      <w:r w:rsidR="009B49A2" w:rsidRPr="00024680">
        <w:rPr>
          <w:rFonts w:cs="Times New Roman" w:hint="eastAsia"/>
        </w:rPr>
        <w:t>，近年國人增加購買期限較長及具節稅效果</w:t>
      </w:r>
      <w:r w:rsidR="00F35DC4" w:rsidRPr="00024680">
        <w:rPr>
          <w:rFonts w:cs="Times New Roman" w:hint="eastAsia"/>
        </w:rPr>
        <w:t>的</w:t>
      </w:r>
      <w:r w:rsidR="009B49A2" w:rsidRPr="00024680">
        <w:rPr>
          <w:rFonts w:cs="Times New Roman" w:hint="eastAsia"/>
        </w:rPr>
        <w:t>各式保單，使得壽險公司保費收入不斷增加。</w:t>
      </w:r>
      <w:r w:rsidRPr="00024680">
        <w:rPr>
          <w:rFonts w:cs="Times New Roman"/>
        </w:rPr>
        <w:t>然</w:t>
      </w:r>
      <w:r w:rsidR="00A87645" w:rsidRPr="00024680">
        <w:rPr>
          <w:rFonts w:cs="Times New Roman" w:hint="eastAsia"/>
        </w:rPr>
        <w:t>而因</w:t>
      </w:r>
      <w:r w:rsidRPr="00024680">
        <w:rPr>
          <w:rFonts w:cs="Times New Roman"/>
        </w:rPr>
        <w:t>國內債券市場發行餘額不足</w:t>
      </w:r>
      <w:r w:rsidR="00A87645" w:rsidRPr="00024680">
        <w:rPr>
          <w:rFonts w:cs="Times New Roman" w:hint="eastAsia"/>
        </w:rPr>
        <w:t>，</w:t>
      </w:r>
      <w:r w:rsidR="009B49A2" w:rsidRPr="00024680">
        <w:rPr>
          <w:rFonts w:cs="Times New Roman" w:hint="eastAsia"/>
        </w:rPr>
        <w:t>且</w:t>
      </w:r>
      <w:r w:rsidR="009B49A2" w:rsidRPr="00024680">
        <w:rPr>
          <w:rFonts w:cs="Times New Roman"/>
        </w:rPr>
        <w:t>公債發行規模小</w:t>
      </w:r>
      <w:r w:rsidR="000B3478" w:rsidRPr="00024680">
        <w:rPr>
          <w:rStyle w:val="ad"/>
          <w:rFonts w:cs="Times New Roman"/>
        </w:rPr>
        <w:footnoteReference w:id="11"/>
      </w:r>
      <w:r w:rsidR="00A87645" w:rsidRPr="00024680">
        <w:rPr>
          <w:rFonts w:cs="Times New Roman" w:hint="eastAsia"/>
        </w:rPr>
        <w:t>、</w:t>
      </w:r>
      <w:r w:rsidR="009B49A2" w:rsidRPr="00024680">
        <w:rPr>
          <w:rFonts w:cs="Times New Roman"/>
        </w:rPr>
        <w:t>平均剩餘年限</w:t>
      </w:r>
      <w:r w:rsidR="00A87645" w:rsidRPr="00024680">
        <w:rPr>
          <w:rFonts w:cs="Times New Roman" w:hint="eastAsia"/>
        </w:rPr>
        <w:t>又</w:t>
      </w:r>
      <w:r w:rsidR="009B49A2" w:rsidRPr="00024680">
        <w:rPr>
          <w:rFonts w:cs="Times New Roman"/>
        </w:rPr>
        <w:t>小於</w:t>
      </w:r>
      <w:r w:rsidR="009B49A2" w:rsidRPr="00024680">
        <w:rPr>
          <w:rFonts w:cs="Times New Roman"/>
        </w:rPr>
        <w:t>10</w:t>
      </w:r>
      <w:r w:rsidR="009B49A2" w:rsidRPr="00024680">
        <w:rPr>
          <w:rFonts w:cs="Times New Roman"/>
        </w:rPr>
        <w:t>年</w:t>
      </w:r>
      <w:r w:rsidRPr="00024680">
        <w:rPr>
          <w:rFonts w:cs="Times New Roman"/>
        </w:rPr>
        <w:t>，</w:t>
      </w:r>
      <w:r w:rsidR="00A87645" w:rsidRPr="00024680">
        <w:rPr>
          <w:rFonts w:cs="Times New Roman" w:hint="eastAsia"/>
        </w:rPr>
        <w:t>使得</w:t>
      </w:r>
      <w:r w:rsidRPr="00024680">
        <w:rPr>
          <w:rFonts w:cs="Times New Roman"/>
        </w:rPr>
        <w:t>壽險資金</w:t>
      </w:r>
      <w:r w:rsidR="00A87645" w:rsidRPr="00024680">
        <w:rPr>
          <w:rFonts w:cs="Times New Roman" w:hint="eastAsia"/>
        </w:rPr>
        <w:t>在面</w:t>
      </w:r>
      <w:r w:rsidR="00A87645" w:rsidRPr="00024680">
        <w:rPr>
          <w:rFonts w:cs="Times New Roman"/>
        </w:rPr>
        <w:t>臨資產負債</w:t>
      </w:r>
      <w:proofErr w:type="gramStart"/>
      <w:r w:rsidR="00A87645" w:rsidRPr="00024680">
        <w:rPr>
          <w:rFonts w:cs="Times New Roman"/>
        </w:rPr>
        <w:t>期限錯配的</w:t>
      </w:r>
      <w:proofErr w:type="gramEnd"/>
      <w:r w:rsidR="00A87645" w:rsidRPr="00024680">
        <w:rPr>
          <w:rFonts w:cs="Times New Roman"/>
        </w:rPr>
        <w:t>問題</w:t>
      </w:r>
      <w:r w:rsidR="00A87645" w:rsidRPr="00024680">
        <w:rPr>
          <w:rFonts w:cs="Times New Roman" w:hint="eastAsia"/>
        </w:rPr>
        <w:t>下</w:t>
      </w:r>
      <w:r w:rsidR="00A87645" w:rsidRPr="00024680">
        <w:rPr>
          <w:rStyle w:val="ad"/>
          <w:rFonts w:cs="Times New Roman"/>
        </w:rPr>
        <w:footnoteReference w:id="12"/>
      </w:r>
      <w:r w:rsidRPr="00024680">
        <w:rPr>
          <w:rFonts w:cs="Times New Roman"/>
        </w:rPr>
        <w:t>，必須</w:t>
      </w:r>
      <w:r w:rsidR="00A87645" w:rsidRPr="00024680">
        <w:rPr>
          <w:rFonts w:cs="Times New Roman" w:hint="eastAsia"/>
        </w:rPr>
        <w:t>將</w:t>
      </w:r>
      <w:r w:rsidRPr="00024680">
        <w:rPr>
          <w:rFonts w:cs="Times New Roman"/>
        </w:rPr>
        <w:t>部分資金投</w:t>
      </w:r>
      <w:r w:rsidRPr="00024680">
        <w:rPr>
          <w:rFonts w:cs="Times New Roman"/>
        </w:rPr>
        <w:lastRenderedPageBreak/>
        <w:t>資海外金融商品</w:t>
      </w:r>
      <w:r w:rsidR="00A87645" w:rsidRPr="00024680">
        <w:rPr>
          <w:rFonts w:cs="Times New Roman" w:hint="eastAsia"/>
        </w:rPr>
        <w:t>，</w:t>
      </w:r>
      <w:r w:rsidRPr="00024680">
        <w:rPr>
          <w:rFonts w:cs="Times New Roman"/>
        </w:rPr>
        <w:t>以</w:t>
      </w:r>
      <w:r w:rsidR="00DA47B6" w:rsidRPr="00024680">
        <w:rPr>
          <w:rFonts w:cs="Times New Roman" w:hint="eastAsia"/>
        </w:rPr>
        <w:t>改善</w:t>
      </w:r>
      <w:r w:rsidRPr="00024680">
        <w:rPr>
          <w:rFonts w:cs="Times New Roman"/>
        </w:rPr>
        <w:t>其</w:t>
      </w:r>
      <w:proofErr w:type="gramStart"/>
      <w:r w:rsidRPr="00024680">
        <w:rPr>
          <w:rFonts w:cs="Times New Roman"/>
        </w:rPr>
        <w:t>期限錯配問題</w:t>
      </w:r>
      <w:proofErr w:type="gramEnd"/>
      <w:r w:rsidRPr="00024680">
        <w:rPr>
          <w:rFonts w:cs="Times New Roman"/>
        </w:rPr>
        <w:t>，</w:t>
      </w:r>
      <w:r w:rsidR="00A87645" w:rsidRPr="00024680">
        <w:rPr>
          <w:rFonts w:cs="Times New Roman" w:hint="eastAsia"/>
        </w:rPr>
        <w:t>並</w:t>
      </w:r>
      <w:r w:rsidRPr="00024680">
        <w:rPr>
          <w:rFonts w:cs="Times New Roman"/>
        </w:rPr>
        <w:t>兼顧投資收益、風險分散及提高流動性</w:t>
      </w:r>
      <w:r w:rsidR="00376C33" w:rsidRPr="00024680">
        <w:rPr>
          <w:rStyle w:val="ad"/>
          <w:rFonts w:cs="Times New Roman"/>
        </w:rPr>
        <w:footnoteReference w:id="13"/>
      </w:r>
      <w:r w:rsidR="00376C33" w:rsidRPr="00024680">
        <w:rPr>
          <w:rFonts w:ascii="新細明體" w:eastAsia="新細明體" w:hAnsi="新細明體" w:cs="Times New Roman" w:hint="eastAsia"/>
        </w:rPr>
        <w:t>，</w:t>
      </w:r>
      <w:r w:rsidR="00F35DC4" w:rsidRPr="00024680">
        <w:rPr>
          <w:rFonts w:cs="Times New Roman" w:hint="eastAsia"/>
        </w:rPr>
        <w:t>但也必須</w:t>
      </w:r>
      <w:r w:rsidR="00A87645" w:rsidRPr="00024680">
        <w:rPr>
          <w:rFonts w:cs="Times New Roman" w:hint="eastAsia"/>
        </w:rPr>
        <w:t>留意</w:t>
      </w:r>
      <w:r w:rsidR="00AE3502" w:rsidRPr="00024680">
        <w:rPr>
          <w:rFonts w:cs="Times New Roman" w:hint="eastAsia"/>
        </w:rPr>
        <w:t>所衍生</w:t>
      </w:r>
      <w:r w:rsidR="00A87645" w:rsidRPr="00024680">
        <w:rPr>
          <w:rFonts w:cs="Times New Roman" w:hint="eastAsia"/>
        </w:rPr>
        <w:t>的</w:t>
      </w:r>
      <w:r w:rsidRPr="00024680">
        <w:rPr>
          <w:rFonts w:cs="Times New Roman"/>
        </w:rPr>
        <w:t>市場波動及匯率風險。</w:t>
      </w:r>
    </w:p>
    <w:p w:rsidR="0003217D" w:rsidRPr="00024680" w:rsidRDefault="002B2C8B" w:rsidP="00A92152">
      <w:pPr>
        <w:widowControl w:val="0"/>
        <w:spacing w:beforeLines="30" w:before="156" w:afterLines="30" w:after="156" w:line="500" w:lineRule="exact"/>
        <w:ind w:firstLineChars="202" w:firstLine="566"/>
        <w:rPr>
          <w:rFonts w:cs="Times New Roman"/>
        </w:rPr>
      </w:pPr>
      <w:r w:rsidRPr="00024680">
        <w:rPr>
          <w:rFonts w:cs="Times New Roman" w:hint="eastAsia"/>
        </w:rPr>
        <w:t>另</w:t>
      </w:r>
      <w:r w:rsidR="0003217D" w:rsidRPr="00024680">
        <w:rPr>
          <w:rFonts w:cs="Times New Roman" w:hint="eastAsia"/>
        </w:rPr>
        <w:t>受限於國人投資理財觀念略偏保守，</w:t>
      </w:r>
      <w:r w:rsidR="00A87645" w:rsidRPr="00024680">
        <w:rPr>
          <w:rFonts w:cs="Times New Roman" w:hint="eastAsia"/>
        </w:rPr>
        <w:t>除保單外，國人</w:t>
      </w:r>
      <w:r w:rsidR="0003217D" w:rsidRPr="00024680">
        <w:rPr>
          <w:rFonts w:cs="Times New Roman" w:hint="eastAsia"/>
        </w:rPr>
        <w:t>資金</w:t>
      </w:r>
      <w:r w:rsidR="00F35DC4" w:rsidRPr="00024680">
        <w:rPr>
          <w:rFonts w:cs="Times New Roman" w:hint="eastAsia"/>
        </w:rPr>
        <w:t>也</w:t>
      </w:r>
      <w:r w:rsidR="0003217D" w:rsidRPr="00024680">
        <w:rPr>
          <w:rFonts w:cs="Times New Roman" w:hint="eastAsia"/>
        </w:rPr>
        <w:t>多配置</w:t>
      </w:r>
      <w:r w:rsidR="00F35DC4" w:rsidRPr="00024680">
        <w:rPr>
          <w:rFonts w:cs="Times New Roman" w:hint="eastAsia"/>
        </w:rPr>
        <w:t>在</w:t>
      </w:r>
      <w:r w:rsidR="0003217D" w:rsidRPr="00024680">
        <w:rPr>
          <w:rFonts w:cs="Times New Roman" w:hint="eastAsia"/>
        </w:rPr>
        <w:t>低風險</w:t>
      </w:r>
      <w:r w:rsidR="00F35DC4" w:rsidRPr="00024680">
        <w:rPr>
          <w:rFonts w:cs="Times New Roman" w:hint="eastAsia"/>
        </w:rPr>
        <w:t>的</w:t>
      </w:r>
      <w:r w:rsidR="0003217D" w:rsidRPr="00024680">
        <w:rPr>
          <w:rFonts w:cs="Times New Roman" w:hint="eastAsia"/>
        </w:rPr>
        <w:t>存款，收益率</w:t>
      </w:r>
      <w:r w:rsidR="00DE7D85" w:rsidRPr="00024680">
        <w:rPr>
          <w:rFonts w:cs="Times New Roman" w:hint="eastAsia"/>
        </w:rPr>
        <w:t>相對</w:t>
      </w:r>
      <w:r w:rsidR="0003217D" w:rsidRPr="00024680">
        <w:rPr>
          <w:rFonts w:cs="Times New Roman" w:hint="eastAsia"/>
        </w:rPr>
        <w:t>偏低</w:t>
      </w:r>
      <w:r w:rsidR="00DE7D85" w:rsidRPr="00024680">
        <w:rPr>
          <w:rFonts w:cs="Times New Roman" w:hint="eastAsia"/>
        </w:rPr>
        <w:t>；</w:t>
      </w:r>
      <w:r w:rsidR="0003217D" w:rsidRPr="00024680">
        <w:rPr>
          <w:rFonts w:cs="Times New Roman" w:hint="eastAsia"/>
        </w:rPr>
        <w:t>尤其，隨國內人口老化，規劃退休理財及財富傳承的需求增加</w:t>
      </w:r>
      <w:r w:rsidR="00DE7D85" w:rsidRPr="00024680">
        <w:rPr>
          <w:rFonts w:cs="Times New Roman" w:hint="eastAsia"/>
        </w:rPr>
        <w:t>，政府可與民間合作加強金融理財教育，發展財富管理業務，以</w:t>
      </w:r>
      <w:r w:rsidR="0003217D" w:rsidRPr="00024680">
        <w:rPr>
          <w:rFonts w:cs="Times New Roman"/>
        </w:rPr>
        <w:t>因應</w:t>
      </w:r>
      <w:r w:rsidR="002D22C4" w:rsidRPr="00024680">
        <w:rPr>
          <w:rFonts w:cs="Times New Roman" w:hint="eastAsia"/>
        </w:rPr>
        <w:t>高</w:t>
      </w:r>
      <w:r w:rsidR="0003217D" w:rsidRPr="00024680">
        <w:rPr>
          <w:rFonts w:cs="Times New Roman"/>
        </w:rPr>
        <w:t>齡社會的來臨</w:t>
      </w:r>
      <w:r w:rsidR="00DE7D85" w:rsidRPr="00024680">
        <w:rPr>
          <w:rFonts w:cs="Times New Roman" w:hint="eastAsia"/>
        </w:rPr>
        <w:t>。</w:t>
      </w:r>
    </w:p>
    <w:p w:rsidR="00A92152" w:rsidRPr="00024680" w:rsidRDefault="002B2C8B" w:rsidP="00A92152">
      <w:pPr>
        <w:widowControl w:val="0"/>
        <w:spacing w:beforeLines="30" w:before="156" w:afterLines="30" w:after="156" w:line="500" w:lineRule="exact"/>
        <w:ind w:firstLineChars="202" w:firstLine="566"/>
      </w:pPr>
      <w:r w:rsidRPr="00024680">
        <w:rPr>
          <w:rFonts w:hint="eastAsia"/>
        </w:rPr>
        <w:t>如</w:t>
      </w:r>
      <w:r w:rsidR="002D22C4" w:rsidRPr="00024680">
        <w:rPr>
          <w:rFonts w:hint="eastAsia"/>
        </w:rPr>
        <w:t>以全球趨勢而言，財富管理業務已成為金融服務業的重點發展項目</w:t>
      </w:r>
      <w:r w:rsidR="00F35DC4" w:rsidRPr="00024680">
        <w:rPr>
          <w:rFonts w:ascii="微軟正黑體" w:eastAsia="微軟正黑體" w:hAnsi="微軟正黑體" w:hint="eastAsia"/>
        </w:rPr>
        <w:t>；</w:t>
      </w:r>
      <w:r w:rsidR="002D22C4" w:rsidRPr="00024680">
        <w:rPr>
          <w:rFonts w:hint="eastAsia"/>
        </w:rPr>
        <w:t>國際大型資產管理業者憑藉規模經濟及長期實績的正向循環，占全球管理資產規模的比重持續攀升</w:t>
      </w:r>
      <w:r w:rsidR="00AE3502" w:rsidRPr="00024680">
        <w:rPr>
          <w:rStyle w:val="ad"/>
          <w:rFonts w:cs="Times New Roman"/>
        </w:rPr>
        <w:footnoteReference w:id="14"/>
      </w:r>
      <w:r w:rsidR="00F35DC4" w:rsidRPr="00024680">
        <w:rPr>
          <w:rFonts w:ascii="微軟正黑體" w:eastAsia="微軟正黑體" w:hAnsi="微軟正黑體" w:hint="eastAsia"/>
        </w:rPr>
        <w:t>。</w:t>
      </w:r>
      <w:r w:rsidR="002D22C4" w:rsidRPr="00024680">
        <w:rPr>
          <w:rFonts w:hint="eastAsia"/>
        </w:rPr>
        <w:t>反觀國內財富管理業務相對缺乏規模經濟，且人才培育制度及產品服務多元性不足，國內業者</w:t>
      </w:r>
      <w:r w:rsidR="00AE3502" w:rsidRPr="00024680">
        <w:rPr>
          <w:rFonts w:hint="eastAsia"/>
        </w:rPr>
        <w:t>不易</w:t>
      </w:r>
      <w:r w:rsidR="002D22C4" w:rsidRPr="00024680">
        <w:rPr>
          <w:rFonts w:hint="eastAsia"/>
        </w:rPr>
        <w:t>與國際大型同業競爭。</w:t>
      </w:r>
      <w:r w:rsidR="00DE7D85" w:rsidRPr="00024680">
        <w:rPr>
          <w:rFonts w:cs="Times New Roman" w:hint="eastAsia"/>
        </w:rPr>
        <w:t>因此，</w:t>
      </w:r>
      <w:r w:rsidR="0003217D" w:rsidRPr="00024680">
        <w:rPr>
          <w:rFonts w:cs="Times New Roman"/>
        </w:rPr>
        <w:t>值此海外資金回流之際，應可善</w:t>
      </w:r>
      <w:r w:rsidR="00DE7D85" w:rsidRPr="00024680">
        <w:rPr>
          <w:rFonts w:cs="Times New Roman" w:hint="eastAsia"/>
        </w:rPr>
        <w:t>用</w:t>
      </w:r>
      <w:r w:rsidR="0003217D" w:rsidRPr="00024680">
        <w:rPr>
          <w:rFonts w:cs="Times New Roman" w:hint="eastAsia"/>
        </w:rPr>
        <w:t>此</w:t>
      </w:r>
      <w:r w:rsidR="0003217D" w:rsidRPr="00024680">
        <w:rPr>
          <w:rFonts w:cs="Times New Roman"/>
        </w:rPr>
        <w:t>充裕資金的理財需求，</w:t>
      </w:r>
      <w:r w:rsidR="003C1242" w:rsidRPr="00024680">
        <w:rPr>
          <w:rFonts w:cs="Times New Roman" w:hint="eastAsia"/>
        </w:rPr>
        <w:t>配合政府退休基金之委託經營發揮帶動效果</w:t>
      </w:r>
      <w:r w:rsidR="0003217D" w:rsidRPr="00024680">
        <w:rPr>
          <w:rFonts w:cs="Times New Roman" w:hint="eastAsia"/>
        </w:rPr>
        <w:t>，</w:t>
      </w:r>
      <w:r w:rsidR="0003217D" w:rsidRPr="00024680">
        <w:rPr>
          <w:rFonts w:cs="Times New Roman"/>
        </w:rPr>
        <w:t>吸引優秀國外資產管理業者來台投資設立據點，協助導入</w:t>
      </w:r>
      <w:r w:rsidR="00DE7D85" w:rsidRPr="00024680">
        <w:rPr>
          <w:rFonts w:cs="Times New Roman" w:hint="eastAsia"/>
        </w:rPr>
        <w:t>其</w:t>
      </w:r>
      <w:r w:rsidR="0003217D" w:rsidRPr="00024680">
        <w:rPr>
          <w:rFonts w:cs="Times New Roman"/>
        </w:rPr>
        <w:t>技術及經驗，提升國內財富管理業者的</w:t>
      </w:r>
      <w:r w:rsidR="00DE7D85" w:rsidRPr="00024680">
        <w:rPr>
          <w:rFonts w:cs="Times New Roman" w:hint="eastAsia"/>
        </w:rPr>
        <w:t>經營能力及</w:t>
      </w:r>
      <w:r w:rsidR="00AE3502" w:rsidRPr="00024680">
        <w:rPr>
          <w:rFonts w:cs="Times New Roman" w:hint="eastAsia"/>
        </w:rPr>
        <w:t>生產</w:t>
      </w:r>
      <w:r w:rsidR="0003217D" w:rsidRPr="00024680">
        <w:rPr>
          <w:rFonts w:cs="Times New Roman"/>
        </w:rPr>
        <w:t>力</w:t>
      </w:r>
      <w:r w:rsidR="00AC7463" w:rsidRPr="00024680">
        <w:rPr>
          <w:rFonts w:ascii="標楷體" w:hAnsi="標楷體" w:cs="Times New Roman" w:hint="eastAsia"/>
        </w:rPr>
        <w:t>。</w:t>
      </w:r>
    </w:p>
    <w:p w:rsidR="00BD2702" w:rsidRPr="00024680" w:rsidRDefault="00F85E32" w:rsidP="00B25533">
      <w:pPr>
        <w:pStyle w:val="a7"/>
        <w:numPr>
          <w:ilvl w:val="0"/>
          <w:numId w:val="3"/>
        </w:numPr>
        <w:snapToGrid w:val="0"/>
        <w:spacing w:afterLines="50" w:after="260" w:line="500" w:lineRule="exact"/>
        <w:ind w:leftChars="0" w:left="566" w:hangingChars="202" w:hanging="566"/>
        <w:rPr>
          <w:rFonts w:ascii="Times New Roman" w:eastAsia="標楷體" w:hAnsi="Times New Roman" w:cs="Times New Roman"/>
          <w:b/>
          <w:sz w:val="28"/>
          <w:szCs w:val="28"/>
        </w:rPr>
      </w:pPr>
      <w:r w:rsidRPr="00024680">
        <w:rPr>
          <w:rFonts w:ascii="Times New Roman" w:eastAsia="標楷體" w:hAnsi="Times New Roman" w:cs="Times New Roman" w:hint="eastAsia"/>
          <w:b/>
          <w:sz w:val="28"/>
          <w:szCs w:val="28"/>
        </w:rPr>
        <w:t>結語</w:t>
      </w:r>
    </w:p>
    <w:p w:rsidR="003D29EF" w:rsidRPr="00024680" w:rsidRDefault="00E933E1" w:rsidP="00B25533">
      <w:pPr>
        <w:widowControl w:val="0"/>
        <w:overflowPunct w:val="0"/>
        <w:spacing w:beforeLines="30" w:before="156" w:afterLines="30" w:after="156" w:line="500" w:lineRule="exact"/>
        <w:ind w:firstLineChars="202" w:firstLine="566"/>
        <w:rPr>
          <w:rFonts w:cs="Times New Roman"/>
        </w:rPr>
      </w:pPr>
      <w:r w:rsidRPr="00024680">
        <w:rPr>
          <w:rFonts w:cs="Times New Roman"/>
        </w:rPr>
        <w:t>長期以來</w:t>
      </w:r>
      <w:r w:rsidR="00495EED" w:rsidRPr="00024680">
        <w:rPr>
          <w:rFonts w:cs="Times New Roman"/>
        </w:rPr>
        <w:t>，</w:t>
      </w:r>
      <w:r w:rsidRPr="00024680">
        <w:rPr>
          <w:rFonts w:cs="Times New Roman"/>
        </w:rPr>
        <w:t>國內存在超額儲蓄，</w:t>
      </w:r>
      <w:r w:rsidR="00996D00" w:rsidRPr="00024680">
        <w:rPr>
          <w:rFonts w:cs="Times New Roman"/>
        </w:rPr>
        <w:t>主要反映儲蓄率攀升，而投資率下滑。其中儲蓄率受</w:t>
      </w:r>
      <w:r w:rsidR="00E27AB3" w:rsidRPr="00024680">
        <w:rPr>
          <w:rFonts w:cs="Times New Roman"/>
        </w:rPr>
        <w:t>人口老化</w:t>
      </w:r>
      <w:r w:rsidR="000D4CB2" w:rsidRPr="00024680">
        <w:rPr>
          <w:rFonts w:cs="Times New Roman" w:hint="eastAsia"/>
        </w:rPr>
        <w:t>影響</w:t>
      </w:r>
      <w:r w:rsidR="00996D00" w:rsidRPr="00024680">
        <w:rPr>
          <w:rFonts w:cs="Times New Roman"/>
        </w:rPr>
        <w:t>而上升</w:t>
      </w:r>
      <w:r w:rsidR="00343D39" w:rsidRPr="00024680">
        <w:rPr>
          <w:rFonts w:ascii="新細明體" w:eastAsia="新細明體" w:hAnsi="新細明體" w:cs="Times New Roman" w:hint="eastAsia"/>
        </w:rPr>
        <w:t>，</w:t>
      </w:r>
      <w:r w:rsidR="000D4CB2" w:rsidRPr="00024680">
        <w:rPr>
          <w:rFonts w:cs="Times New Roman" w:hint="eastAsia"/>
        </w:rPr>
        <w:t>投資率則因金融危機</w:t>
      </w:r>
      <w:r w:rsidR="003D29EF" w:rsidRPr="00024680">
        <w:rPr>
          <w:rFonts w:cs="Times New Roman"/>
        </w:rPr>
        <w:t>後</w:t>
      </w:r>
      <w:r w:rsidR="000D4CB2" w:rsidRPr="00024680">
        <w:rPr>
          <w:rFonts w:cs="Times New Roman" w:hint="eastAsia"/>
        </w:rPr>
        <w:t>的全球</w:t>
      </w:r>
      <w:r w:rsidR="00996D00" w:rsidRPr="00024680">
        <w:rPr>
          <w:rFonts w:cs="Times New Roman"/>
        </w:rPr>
        <w:t>長期停滯</w:t>
      </w:r>
      <w:r w:rsidR="000D4CB2" w:rsidRPr="00024680">
        <w:rPr>
          <w:rFonts w:cs="Times New Roman" w:hint="eastAsia"/>
        </w:rPr>
        <w:t>及</w:t>
      </w:r>
      <w:r w:rsidR="003D29EF" w:rsidRPr="00024680">
        <w:rPr>
          <w:rFonts w:cs="Times New Roman"/>
        </w:rPr>
        <w:t>不確定性增加</w:t>
      </w:r>
      <w:r w:rsidR="000D4CB2" w:rsidRPr="00024680">
        <w:rPr>
          <w:rFonts w:cs="Times New Roman" w:hint="eastAsia"/>
        </w:rPr>
        <w:t>而下降</w:t>
      </w:r>
      <w:r w:rsidR="00996D00" w:rsidRPr="00024680">
        <w:rPr>
          <w:rFonts w:cs="Times New Roman"/>
        </w:rPr>
        <w:t>，</w:t>
      </w:r>
      <w:r w:rsidR="000D4CB2" w:rsidRPr="00024680">
        <w:rPr>
          <w:rFonts w:cs="Times New Roman" w:hint="eastAsia"/>
        </w:rPr>
        <w:t>進而使</w:t>
      </w:r>
      <w:r w:rsidR="00996D00" w:rsidRPr="00024680">
        <w:rPr>
          <w:rFonts w:cs="Times New Roman"/>
        </w:rPr>
        <w:t>生產力成長</w:t>
      </w:r>
      <w:r w:rsidR="000D4CB2" w:rsidRPr="00024680">
        <w:rPr>
          <w:rFonts w:cs="Times New Roman" w:hint="eastAsia"/>
        </w:rPr>
        <w:t>亦呈下滑</w:t>
      </w:r>
      <w:r w:rsidR="00E27AB3" w:rsidRPr="00024680">
        <w:rPr>
          <w:rFonts w:cs="Times New Roman"/>
        </w:rPr>
        <w:t>。</w:t>
      </w:r>
    </w:p>
    <w:p w:rsidR="008B4251" w:rsidRPr="00024680" w:rsidRDefault="00A666BE" w:rsidP="005E5E9C">
      <w:pPr>
        <w:widowControl w:val="0"/>
        <w:overflowPunct w:val="0"/>
        <w:spacing w:beforeLines="30" w:before="156" w:afterLines="30" w:after="156" w:line="500" w:lineRule="exact"/>
        <w:ind w:leftChars="1" w:left="3" w:firstLineChars="202" w:firstLine="566"/>
        <w:rPr>
          <w:rFonts w:cs="Times New Roman"/>
        </w:rPr>
      </w:pPr>
      <w:r w:rsidRPr="00024680">
        <w:rPr>
          <w:rFonts w:cs="Times New Roman"/>
        </w:rPr>
        <w:t>近年來美中貿易衝突</w:t>
      </w:r>
      <w:r w:rsidR="00EC0B72" w:rsidRPr="00024680">
        <w:rPr>
          <w:rFonts w:cs="Times New Roman" w:hint="eastAsia"/>
        </w:rPr>
        <w:t>持續升溫</w:t>
      </w:r>
      <w:r w:rsidRPr="00024680">
        <w:rPr>
          <w:rFonts w:cs="Times New Roman"/>
        </w:rPr>
        <w:t>，</w:t>
      </w:r>
      <w:r w:rsidR="00925667" w:rsidRPr="00024680">
        <w:rPr>
          <w:rFonts w:cs="Times New Roman"/>
        </w:rPr>
        <w:t>加以</w:t>
      </w:r>
      <w:r w:rsidRPr="00024680">
        <w:rPr>
          <w:rFonts w:cs="Times New Roman"/>
        </w:rPr>
        <w:t>全球</w:t>
      </w:r>
      <w:proofErr w:type="gramStart"/>
      <w:r w:rsidRPr="00024680">
        <w:rPr>
          <w:rFonts w:cs="Times New Roman"/>
        </w:rPr>
        <w:t>興起反避稅</w:t>
      </w:r>
      <w:proofErr w:type="gramEnd"/>
      <w:r w:rsidR="000D4CB2" w:rsidRPr="00024680">
        <w:rPr>
          <w:rFonts w:cs="Times New Roman"/>
        </w:rPr>
        <w:t>風</w:t>
      </w:r>
      <w:r w:rsidRPr="00024680">
        <w:rPr>
          <w:rFonts w:cs="Times New Roman"/>
        </w:rPr>
        <w:t>潮，促成台商回流與海外資金</w:t>
      </w:r>
      <w:proofErr w:type="gramStart"/>
      <w:r w:rsidRPr="00024680">
        <w:rPr>
          <w:rFonts w:cs="Times New Roman"/>
        </w:rPr>
        <w:t>匯</w:t>
      </w:r>
      <w:proofErr w:type="gramEnd"/>
      <w:r w:rsidRPr="00024680">
        <w:rPr>
          <w:rFonts w:cs="Times New Roman"/>
        </w:rPr>
        <w:t>回的資金浪潮。</w:t>
      </w:r>
      <w:r w:rsidR="00794B16" w:rsidRPr="00024680">
        <w:rPr>
          <w:rFonts w:cs="Times New Roman"/>
        </w:rPr>
        <w:t>為因應</w:t>
      </w:r>
      <w:r w:rsidR="000D4CB2" w:rsidRPr="00024680">
        <w:rPr>
          <w:rFonts w:cs="Times New Roman"/>
        </w:rPr>
        <w:t>當前</w:t>
      </w:r>
      <w:r w:rsidRPr="00024680">
        <w:rPr>
          <w:rFonts w:cs="Times New Roman"/>
        </w:rPr>
        <w:t>人口老化及生產力</w:t>
      </w:r>
      <w:r w:rsidR="000D4CB2" w:rsidRPr="00024680">
        <w:rPr>
          <w:rFonts w:cs="Times New Roman"/>
        </w:rPr>
        <w:t>成長</w:t>
      </w:r>
      <w:r w:rsidRPr="00024680">
        <w:rPr>
          <w:rFonts w:cs="Times New Roman"/>
        </w:rPr>
        <w:t>疲弱</w:t>
      </w:r>
      <w:r w:rsidR="000D4CB2" w:rsidRPr="00024680">
        <w:rPr>
          <w:rFonts w:cs="Times New Roman"/>
        </w:rPr>
        <w:t>等結構</w:t>
      </w:r>
      <w:r w:rsidR="00594C88" w:rsidRPr="00024680">
        <w:rPr>
          <w:rFonts w:cs="Times New Roman"/>
        </w:rPr>
        <w:t>性</w:t>
      </w:r>
      <w:r w:rsidR="000D4CB2" w:rsidRPr="00024680">
        <w:rPr>
          <w:rFonts w:cs="Times New Roman"/>
        </w:rPr>
        <w:t>問題</w:t>
      </w:r>
      <w:r w:rsidR="00A74771" w:rsidRPr="00024680">
        <w:rPr>
          <w:rFonts w:cs="Times New Roman"/>
        </w:rPr>
        <w:t>，</w:t>
      </w:r>
      <w:r w:rsidR="0008067A" w:rsidRPr="00024680">
        <w:rPr>
          <w:rFonts w:cs="Times New Roman"/>
        </w:rPr>
        <w:t>政府</w:t>
      </w:r>
      <w:r w:rsidR="00886054" w:rsidRPr="00024680">
        <w:rPr>
          <w:rFonts w:cs="Times New Roman"/>
        </w:rPr>
        <w:t>應把握</w:t>
      </w:r>
      <w:r w:rsidR="000D4CB2" w:rsidRPr="00024680">
        <w:rPr>
          <w:rFonts w:cs="Times New Roman"/>
        </w:rPr>
        <w:t>此</w:t>
      </w:r>
      <w:r w:rsidR="00594C88" w:rsidRPr="00024680">
        <w:rPr>
          <w:rFonts w:cs="Times New Roman"/>
        </w:rPr>
        <w:t>次</w:t>
      </w:r>
      <w:r w:rsidR="00886054" w:rsidRPr="00024680">
        <w:rPr>
          <w:rFonts w:cs="Times New Roman"/>
        </w:rPr>
        <w:t>資金回流契機，將資金</w:t>
      </w:r>
      <w:r w:rsidR="000D4CB2" w:rsidRPr="00024680">
        <w:rPr>
          <w:rFonts w:cs="Times New Roman"/>
        </w:rPr>
        <w:t>引</w:t>
      </w:r>
      <w:r w:rsidR="00886054" w:rsidRPr="00024680">
        <w:rPr>
          <w:rFonts w:cs="Times New Roman"/>
        </w:rPr>
        <w:t>導</w:t>
      </w:r>
      <w:r w:rsidR="000D4CB2" w:rsidRPr="00024680">
        <w:rPr>
          <w:rFonts w:cs="Times New Roman"/>
        </w:rPr>
        <w:t>至</w:t>
      </w:r>
      <w:r w:rsidR="005E5E9C" w:rsidRPr="00024680">
        <w:rPr>
          <w:rFonts w:cs="Times New Roman"/>
        </w:rPr>
        <w:t>實質</w:t>
      </w:r>
      <w:r w:rsidR="00886054" w:rsidRPr="00024680">
        <w:rPr>
          <w:rFonts w:cs="Times New Roman"/>
        </w:rPr>
        <w:t>投資</w:t>
      </w:r>
      <w:r w:rsidR="005E5E9C" w:rsidRPr="00024680">
        <w:rPr>
          <w:rFonts w:cs="Times New Roman"/>
        </w:rPr>
        <w:t>以促進經濟成長</w:t>
      </w:r>
      <w:r w:rsidR="00925667" w:rsidRPr="00024680">
        <w:rPr>
          <w:rFonts w:cs="Times New Roman"/>
        </w:rPr>
        <w:t>；</w:t>
      </w:r>
      <w:r w:rsidR="00925667" w:rsidRPr="00024680">
        <w:rPr>
          <w:rFonts w:cs="Times New Roman" w:hint="eastAsia"/>
        </w:rPr>
        <w:t>同時</w:t>
      </w:r>
      <w:r w:rsidR="00EC0B72" w:rsidRPr="00024680">
        <w:rPr>
          <w:rFonts w:cs="Times New Roman" w:hint="eastAsia"/>
        </w:rPr>
        <w:t>，</w:t>
      </w:r>
      <w:r w:rsidR="00343D39" w:rsidRPr="00024680">
        <w:rPr>
          <w:rFonts w:cs="Times New Roman" w:hint="eastAsia"/>
        </w:rPr>
        <w:t>也</w:t>
      </w:r>
      <w:r w:rsidR="00594C88" w:rsidRPr="00024680">
        <w:rPr>
          <w:rFonts w:cs="Times New Roman"/>
        </w:rPr>
        <w:t>應</w:t>
      </w:r>
      <w:r w:rsidR="000D4CB2" w:rsidRPr="00024680">
        <w:rPr>
          <w:rFonts w:cs="Times New Roman"/>
        </w:rPr>
        <w:t>協助</w:t>
      </w:r>
      <w:r w:rsidR="004B4E1E" w:rsidRPr="00024680">
        <w:rPr>
          <w:rFonts w:cs="Times New Roman"/>
        </w:rPr>
        <w:t>資金運用於</w:t>
      </w:r>
      <w:r w:rsidR="00943B69" w:rsidRPr="00024680">
        <w:rPr>
          <w:rFonts w:cs="Times New Roman"/>
        </w:rPr>
        <w:t>銀髮或長照</w:t>
      </w:r>
      <w:r w:rsidR="008F210B" w:rsidRPr="00024680">
        <w:rPr>
          <w:rFonts w:cs="Times New Roman"/>
        </w:rPr>
        <w:t>相</w:t>
      </w:r>
      <w:r w:rsidR="001A15C8" w:rsidRPr="00024680">
        <w:rPr>
          <w:rFonts w:cs="Times New Roman" w:hint="eastAsia"/>
        </w:rPr>
        <w:t>關</w:t>
      </w:r>
      <w:r w:rsidR="00943B69" w:rsidRPr="00024680">
        <w:rPr>
          <w:rFonts w:cs="Times New Roman"/>
        </w:rPr>
        <w:t>產業</w:t>
      </w:r>
      <w:r w:rsidR="008F210B" w:rsidRPr="00024680">
        <w:rPr>
          <w:rFonts w:cs="Times New Roman"/>
        </w:rPr>
        <w:t>的</w:t>
      </w:r>
      <w:r w:rsidR="00943B69" w:rsidRPr="00024680">
        <w:rPr>
          <w:rFonts w:cs="Times New Roman"/>
        </w:rPr>
        <w:t>投資</w:t>
      </w:r>
      <w:r w:rsidR="005E5E9C" w:rsidRPr="00024680">
        <w:rPr>
          <w:rFonts w:cs="Times New Roman"/>
        </w:rPr>
        <w:t>，</w:t>
      </w:r>
      <w:r w:rsidR="004B4E1E" w:rsidRPr="00024680">
        <w:rPr>
          <w:rFonts w:cs="Times New Roman"/>
        </w:rPr>
        <w:t>以</w:t>
      </w:r>
      <w:r w:rsidR="000D4CB2" w:rsidRPr="00024680">
        <w:rPr>
          <w:rFonts w:cs="Times New Roman"/>
        </w:rPr>
        <w:t>因應人口老化問題。</w:t>
      </w:r>
      <w:r w:rsidR="00EC0B72" w:rsidRPr="00024680">
        <w:rPr>
          <w:rFonts w:cs="Times New Roman" w:hint="eastAsia"/>
        </w:rPr>
        <w:t>尤其如能</w:t>
      </w:r>
      <w:r w:rsidR="004B4E1E" w:rsidRPr="00024680">
        <w:rPr>
          <w:rFonts w:cs="Times New Roman"/>
        </w:rPr>
        <w:t>積極引導</w:t>
      </w:r>
      <w:r w:rsidR="005E5E9C" w:rsidRPr="00024680">
        <w:rPr>
          <w:rFonts w:cs="Times New Roman"/>
        </w:rPr>
        <w:t>資金運用</w:t>
      </w:r>
      <w:r w:rsidR="005E5E9C" w:rsidRPr="00024680">
        <w:rPr>
          <w:rFonts w:cs="Times New Roman"/>
        </w:rPr>
        <w:lastRenderedPageBreak/>
        <w:t>於具前瞻性及創新性的投資，</w:t>
      </w:r>
      <w:r w:rsidR="00EC0B72" w:rsidRPr="00024680">
        <w:rPr>
          <w:rFonts w:cs="Times New Roman" w:hint="eastAsia"/>
        </w:rPr>
        <w:t>對</w:t>
      </w:r>
      <w:r w:rsidR="005E5E9C" w:rsidRPr="00024680">
        <w:rPr>
          <w:rFonts w:cs="Times New Roman"/>
        </w:rPr>
        <w:t>提振產業生產力</w:t>
      </w:r>
      <w:r w:rsidR="00EC0B72" w:rsidRPr="00024680">
        <w:rPr>
          <w:rFonts w:cs="Times New Roman" w:hint="eastAsia"/>
        </w:rPr>
        <w:t>之助益更高</w:t>
      </w:r>
      <w:r w:rsidR="005E5E9C" w:rsidRPr="00024680">
        <w:rPr>
          <w:rFonts w:cs="Times New Roman"/>
          <w:vertAlign w:val="superscript"/>
        </w:rPr>
        <w:footnoteReference w:id="15"/>
      </w:r>
      <w:r w:rsidR="005E5E9C" w:rsidRPr="00024680">
        <w:rPr>
          <w:rFonts w:cs="Times New Roman"/>
        </w:rPr>
        <w:t>，</w:t>
      </w:r>
      <w:r w:rsidR="00EC0B72" w:rsidRPr="00024680">
        <w:rPr>
          <w:rFonts w:cs="Times New Roman" w:hint="eastAsia"/>
        </w:rPr>
        <w:t>並可望</w:t>
      </w:r>
      <w:r w:rsidR="00594C88" w:rsidRPr="00024680">
        <w:rPr>
          <w:rFonts w:cs="Times New Roman"/>
        </w:rPr>
        <w:t>帶動</w:t>
      </w:r>
      <w:r w:rsidR="005E5E9C" w:rsidRPr="00024680">
        <w:rPr>
          <w:rFonts w:cs="Times New Roman"/>
        </w:rPr>
        <w:t>經濟</w:t>
      </w:r>
      <w:r w:rsidR="00594C88" w:rsidRPr="00024680">
        <w:rPr>
          <w:rFonts w:cs="Times New Roman"/>
        </w:rPr>
        <w:t>加速</w:t>
      </w:r>
      <w:r w:rsidR="005E5E9C" w:rsidRPr="00024680">
        <w:rPr>
          <w:rFonts w:cs="Times New Roman"/>
        </w:rPr>
        <w:t>成長，推升</w:t>
      </w:r>
      <w:r w:rsidR="00594C88" w:rsidRPr="00024680">
        <w:rPr>
          <w:rFonts w:cs="Times New Roman"/>
        </w:rPr>
        <w:t>國內</w:t>
      </w:r>
      <w:r w:rsidR="005E5E9C" w:rsidRPr="00024680">
        <w:rPr>
          <w:rFonts w:cs="Times New Roman"/>
        </w:rPr>
        <w:t>實質利率；</w:t>
      </w:r>
      <w:r w:rsidR="00AE3502" w:rsidRPr="00024680">
        <w:rPr>
          <w:rFonts w:cs="Times New Roman"/>
        </w:rPr>
        <w:t>且如能</w:t>
      </w:r>
      <w:r w:rsidR="00594C88" w:rsidRPr="00024680">
        <w:rPr>
          <w:rFonts w:cs="Times New Roman"/>
        </w:rPr>
        <w:t>帶動</w:t>
      </w:r>
      <w:r w:rsidR="005E5E9C" w:rsidRPr="00024680">
        <w:rPr>
          <w:rFonts w:cs="Times New Roman"/>
        </w:rPr>
        <w:t>薪資上漲，</w:t>
      </w:r>
      <w:r w:rsidR="00594C88" w:rsidRPr="00024680">
        <w:rPr>
          <w:rFonts w:cs="Times New Roman"/>
        </w:rPr>
        <w:t>除有助於所得提升</w:t>
      </w:r>
      <w:r w:rsidR="00594C88" w:rsidRPr="00024680">
        <w:rPr>
          <w:rFonts w:cs="Times New Roman" w:hint="eastAsia"/>
        </w:rPr>
        <w:t>及</w:t>
      </w:r>
      <w:r w:rsidR="00EC0B72" w:rsidRPr="00024680">
        <w:rPr>
          <w:rFonts w:cs="Times New Roman" w:hint="eastAsia"/>
        </w:rPr>
        <w:t>民間</w:t>
      </w:r>
      <w:r w:rsidR="00594C88" w:rsidRPr="00024680">
        <w:rPr>
          <w:rFonts w:cs="Times New Roman" w:hint="eastAsia"/>
        </w:rPr>
        <w:t>消費</w:t>
      </w:r>
      <w:r w:rsidR="004B4E1E" w:rsidRPr="00024680">
        <w:rPr>
          <w:rFonts w:cs="Times New Roman" w:hint="eastAsia"/>
        </w:rPr>
        <w:t>外</w:t>
      </w:r>
      <w:r w:rsidR="00594C88" w:rsidRPr="00024680">
        <w:rPr>
          <w:rFonts w:cs="Times New Roman" w:hint="eastAsia"/>
        </w:rPr>
        <w:t>，</w:t>
      </w:r>
      <w:r w:rsidR="00343D39" w:rsidRPr="00024680">
        <w:rPr>
          <w:rFonts w:cs="Times New Roman" w:hint="eastAsia"/>
        </w:rPr>
        <w:t>也</w:t>
      </w:r>
      <w:r w:rsidR="00EC0B72" w:rsidRPr="00024680">
        <w:rPr>
          <w:rFonts w:cs="Times New Roman" w:hint="eastAsia"/>
        </w:rPr>
        <w:t>將</w:t>
      </w:r>
      <w:r w:rsidR="00C4715B" w:rsidRPr="00024680">
        <w:rPr>
          <w:rFonts w:cs="Times New Roman" w:hint="eastAsia"/>
        </w:rPr>
        <w:t>有助於本行</w:t>
      </w:r>
      <w:r w:rsidR="00DF3F71" w:rsidRPr="00024680">
        <w:rPr>
          <w:rFonts w:cs="Times New Roman" w:hint="eastAsia"/>
        </w:rPr>
        <w:t>利率及匯率政策</w:t>
      </w:r>
      <w:r w:rsidR="00343D39" w:rsidRPr="00024680">
        <w:rPr>
          <w:rFonts w:cs="Times New Roman" w:hint="eastAsia"/>
        </w:rPr>
        <w:t>的</w:t>
      </w:r>
      <w:r w:rsidR="00DF3F71" w:rsidRPr="00024680">
        <w:rPr>
          <w:rFonts w:cs="Times New Roman" w:hint="eastAsia"/>
        </w:rPr>
        <w:t>有效運作，</w:t>
      </w:r>
      <w:r w:rsidR="00455BE0" w:rsidRPr="00024680">
        <w:rPr>
          <w:rFonts w:cs="Times New Roman" w:hint="eastAsia"/>
        </w:rPr>
        <w:t>以</w:t>
      </w:r>
      <w:r w:rsidR="00DF3F71" w:rsidRPr="00024680">
        <w:rPr>
          <w:rFonts w:cs="Times New Roman" w:hint="eastAsia"/>
        </w:rPr>
        <w:t>協助國內經濟成長。</w:t>
      </w:r>
    </w:p>
    <w:p w:rsidR="00C313C3" w:rsidRPr="00024680" w:rsidRDefault="00AC24F7" w:rsidP="00B25533">
      <w:pPr>
        <w:widowControl w:val="0"/>
        <w:overflowPunct w:val="0"/>
        <w:spacing w:beforeLines="30" w:before="156" w:afterLines="30" w:after="156" w:line="500" w:lineRule="exact"/>
        <w:ind w:firstLineChars="202" w:firstLine="566"/>
        <w:rPr>
          <w:rFonts w:cs="Times New Roman"/>
        </w:rPr>
      </w:pPr>
      <w:proofErr w:type="gramStart"/>
      <w:r w:rsidRPr="00024680">
        <w:rPr>
          <w:rFonts w:cs="Times New Roman"/>
        </w:rPr>
        <w:t>此外</w:t>
      </w:r>
      <w:r w:rsidR="00857F43" w:rsidRPr="00024680">
        <w:rPr>
          <w:rFonts w:cs="Times New Roman"/>
        </w:rPr>
        <w:t>，</w:t>
      </w:r>
      <w:proofErr w:type="gramEnd"/>
      <w:r w:rsidR="00343D39" w:rsidRPr="00024680">
        <w:rPr>
          <w:rFonts w:cs="Times New Roman" w:hint="eastAsia"/>
        </w:rPr>
        <w:t>也</w:t>
      </w:r>
      <w:r w:rsidR="00BE29D1" w:rsidRPr="00024680">
        <w:rPr>
          <w:rFonts w:cs="Times New Roman"/>
        </w:rPr>
        <w:t>可</w:t>
      </w:r>
      <w:r w:rsidR="00857F43" w:rsidRPr="00024680">
        <w:rPr>
          <w:rFonts w:cs="Times New Roman"/>
        </w:rPr>
        <w:t>利用資金回台浪潮</w:t>
      </w:r>
      <w:r w:rsidR="00AE3502" w:rsidRPr="00024680">
        <w:rPr>
          <w:rFonts w:cs="Times New Roman" w:hint="eastAsia"/>
        </w:rPr>
        <w:t>來</w:t>
      </w:r>
      <w:r w:rsidR="000D4CB2" w:rsidRPr="00024680">
        <w:rPr>
          <w:rFonts w:cs="Times New Roman" w:hint="eastAsia"/>
        </w:rPr>
        <w:t>發展</w:t>
      </w:r>
      <w:r w:rsidR="005E5E9C" w:rsidRPr="00024680">
        <w:rPr>
          <w:rFonts w:cs="Times New Roman" w:hint="eastAsia"/>
        </w:rPr>
        <w:t>金融服務業及</w:t>
      </w:r>
      <w:r w:rsidR="000D4CB2" w:rsidRPr="00024680">
        <w:rPr>
          <w:rFonts w:cs="Times New Roman" w:hint="eastAsia"/>
        </w:rPr>
        <w:t>財富管理業務</w:t>
      </w:r>
      <w:r w:rsidR="005E5E9C" w:rsidRPr="00024680">
        <w:rPr>
          <w:rFonts w:cs="Times New Roman" w:hint="eastAsia"/>
        </w:rPr>
        <w:t>，以</w:t>
      </w:r>
      <w:r w:rsidR="00D81C67" w:rsidRPr="00024680">
        <w:rPr>
          <w:rFonts w:cs="Times New Roman" w:hint="eastAsia"/>
        </w:rPr>
        <w:t>滿足</w:t>
      </w:r>
      <w:r w:rsidR="002D22C4" w:rsidRPr="00024680">
        <w:rPr>
          <w:rFonts w:cs="Times New Roman" w:hint="eastAsia"/>
        </w:rPr>
        <w:t>企業或個人</w:t>
      </w:r>
      <w:r w:rsidR="002D22C4" w:rsidRPr="00024680">
        <w:rPr>
          <w:rFonts w:cs="Times New Roman"/>
        </w:rPr>
        <w:t>財富傳承的需求</w:t>
      </w:r>
      <w:r w:rsidR="002D22C4" w:rsidRPr="00024680">
        <w:rPr>
          <w:rFonts w:cs="Times New Roman" w:hint="eastAsia"/>
        </w:rPr>
        <w:t>及</w:t>
      </w:r>
      <w:r w:rsidR="00857F43" w:rsidRPr="00024680">
        <w:rPr>
          <w:rFonts w:cs="Times New Roman"/>
        </w:rPr>
        <w:t>人</w:t>
      </w:r>
      <w:r w:rsidR="008B4251" w:rsidRPr="00024680">
        <w:rPr>
          <w:rFonts w:cs="Times New Roman"/>
        </w:rPr>
        <w:t>口</w:t>
      </w:r>
      <w:r w:rsidR="00F16419" w:rsidRPr="00024680">
        <w:rPr>
          <w:rFonts w:cs="Times New Roman"/>
        </w:rPr>
        <w:t>老化</w:t>
      </w:r>
      <w:r w:rsidR="005E5E9C" w:rsidRPr="00024680">
        <w:rPr>
          <w:rFonts w:cs="Times New Roman" w:hint="eastAsia"/>
        </w:rPr>
        <w:t>的退休</w:t>
      </w:r>
      <w:r w:rsidR="000D4CB2" w:rsidRPr="00024680">
        <w:rPr>
          <w:rFonts w:cs="Times New Roman" w:hint="eastAsia"/>
        </w:rPr>
        <w:t>理財需求</w:t>
      </w:r>
      <w:r w:rsidR="002D22C4" w:rsidRPr="00024680">
        <w:rPr>
          <w:rFonts w:cs="Times New Roman" w:hint="eastAsia"/>
        </w:rPr>
        <w:t>，</w:t>
      </w:r>
      <w:r w:rsidR="005E5E9C" w:rsidRPr="00024680">
        <w:rPr>
          <w:rFonts w:cs="Times New Roman" w:hint="eastAsia"/>
        </w:rPr>
        <w:t>使</w:t>
      </w:r>
      <w:r w:rsidR="008B4251" w:rsidRPr="00024680">
        <w:rPr>
          <w:rFonts w:cs="Times New Roman"/>
        </w:rPr>
        <w:t>龐大的</w:t>
      </w:r>
      <w:r w:rsidR="005E5E9C" w:rsidRPr="00024680">
        <w:rPr>
          <w:rFonts w:cs="Times New Roman" w:hint="eastAsia"/>
        </w:rPr>
        <w:t>民間</w:t>
      </w:r>
      <w:r w:rsidR="008B4251" w:rsidRPr="00024680">
        <w:rPr>
          <w:rFonts w:cs="Times New Roman"/>
        </w:rPr>
        <w:t>超額儲蓄</w:t>
      </w:r>
      <w:r w:rsidR="005E5E9C" w:rsidRPr="00024680">
        <w:rPr>
          <w:rFonts w:cs="Times New Roman" w:hint="eastAsia"/>
        </w:rPr>
        <w:t>能</w:t>
      </w:r>
      <w:r w:rsidR="00D81C67" w:rsidRPr="00024680">
        <w:rPr>
          <w:rFonts w:cs="Times New Roman" w:hint="eastAsia"/>
        </w:rPr>
        <w:t>透過</w:t>
      </w:r>
      <w:r w:rsidR="002D22C4" w:rsidRPr="00024680">
        <w:rPr>
          <w:rFonts w:cs="Times New Roman" w:hint="eastAsia"/>
        </w:rPr>
        <w:t>更</w:t>
      </w:r>
      <w:r w:rsidR="005E5E9C" w:rsidRPr="00024680">
        <w:rPr>
          <w:rFonts w:cs="Times New Roman" w:hint="eastAsia"/>
        </w:rPr>
        <w:t>有效</w:t>
      </w:r>
      <w:r w:rsidR="00D81C67" w:rsidRPr="00024680">
        <w:rPr>
          <w:rFonts w:cs="Times New Roman" w:hint="eastAsia"/>
        </w:rPr>
        <w:t>的</w:t>
      </w:r>
      <w:r w:rsidR="005E5E9C" w:rsidRPr="00024680">
        <w:rPr>
          <w:rFonts w:cs="Times New Roman" w:hint="eastAsia"/>
        </w:rPr>
        <w:t>資</w:t>
      </w:r>
      <w:r w:rsidR="00E626B6" w:rsidRPr="00024680">
        <w:rPr>
          <w:rFonts w:cs="Times New Roman" w:hint="eastAsia"/>
        </w:rPr>
        <w:t>產</w:t>
      </w:r>
      <w:r w:rsidR="005E5E9C" w:rsidRPr="00024680">
        <w:rPr>
          <w:rFonts w:cs="Times New Roman" w:hint="eastAsia"/>
        </w:rPr>
        <w:t>配置</w:t>
      </w:r>
      <w:r w:rsidR="009461B9" w:rsidRPr="00024680">
        <w:rPr>
          <w:rFonts w:cs="Times New Roman" w:hint="eastAsia"/>
        </w:rPr>
        <w:t>來</w:t>
      </w:r>
      <w:r w:rsidR="005E5E9C" w:rsidRPr="00024680">
        <w:rPr>
          <w:rFonts w:cs="Times New Roman" w:hint="eastAsia"/>
        </w:rPr>
        <w:t>提高收益率</w:t>
      </w:r>
      <w:r w:rsidR="008B4251" w:rsidRPr="00024680">
        <w:rPr>
          <w:rFonts w:cs="Times New Roman"/>
        </w:rPr>
        <w:t>。</w:t>
      </w:r>
    </w:p>
    <w:p w:rsidR="001A1C60" w:rsidRPr="00024680" w:rsidRDefault="00A74771" w:rsidP="00714C77">
      <w:pPr>
        <w:widowControl w:val="0"/>
        <w:overflowPunct w:val="0"/>
        <w:spacing w:beforeLines="30" w:before="156" w:afterLines="30" w:after="156" w:line="500" w:lineRule="exact"/>
        <w:ind w:firstLineChars="202" w:firstLine="566"/>
        <w:rPr>
          <w:rFonts w:cs="Times New Roman"/>
        </w:rPr>
      </w:pPr>
      <w:r w:rsidRPr="00024680">
        <w:rPr>
          <w:rFonts w:cs="Times New Roman"/>
        </w:rPr>
        <w:t>誠如本次研討會舉辦目的之說明</w:t>
      </w:r>
      <w:r w:rsidR="001A15C8" w:rsidRPr="00024680">
        <w:rPr>
          <w:rFonts w:cs="Times New Roman" w:hint="eastAsia"/>
        </w:rPr>
        <w:t>即</w:t>
      </w:r>
      <w:r w:rsidRPr="00024680">
        <w:rPr>
          <w:rFonts w:cs="Times New Roman"/>
        </w:rPr>
        <w:t>指出「資金回台，是機會也是風險」。面對海外資金回流浪潮，如</w:t>
      </w:r>
      <w:r w:rsidR="00343D39" w:rsidRPr="00024680">
        <w:rPr>
          <w:rFonts w:cs="Times New Roman" w:hint="eastAsia"/>
        </w:rPr>
        <w:t>不</w:t>
      </w:r>
      <w:r w:rsidRPr="00024680">
        <w:rPr>
          <w:rFonts w:cs="Times New Roman"/>
        </w:rPr>
        <w:t>能妥適運用，</w:t>
      </w:r>
      <w:r w:rsidR="00343D39" w:rsidRPr="00024680">
        <w:rPr>
          <w:rFonts w:cs="Times New Roman" w:hint="eastAsia"/>
        </w:rPr>
        <w:t>則</w:t>
      </w:r>
      <w:r w:rsidRPr="00024680">
        <w:rPr>
          <w:rFonts w:cs="Times New Roman"/>
        </w:rPr>
        <w:t>在國內資金已十分充裕下，將會進一步壓低國內利率水準，並可能流向</w:t>
      </w:r>
      <w:r w:rsidR="00594C88" w:rsidRPr="00024680">
        <w:rPr>
          <w:rFonts w:cs="Times New Roman" w:hint="eastAsia"/>
        </w:rPr>
        <w:t>房市或</w:t>
      </w:r>
      <w:r w:rsidRPr="00024680">
        <w:rPr>
          <w:rFonts w:cs="Times New Roman"/>
        </w:rPr>
        <w:t>金融</w:t>
      </w:r>
      <w:r w:rsidR="00D2710C" w:rsidRPr="00024680">
        <w:rPr>
          <w:rFonts w:cs="Times New Roman" w:hint="eastAsia"/>
        </w:rPr>
        <w:t>性</w:t>
      </w:r>
      <w:r w:rsidRPr="00024680">
        <w:rPr>
          <w:rFonts w:cs="Times New Roman"/>
        </w:rPr>
        <w:t>操作，不利金融穩定。</w:t>
      </w:r>
      <w:r w:rsidR="00F16419" w:rsidRPr="00024680">
        <w:rPr>
          <w:rFonts w:cs="Times New Roman"/>
        </w:rPr>
        <w:t>目前</w:t>
      </w:r>
      <w:r w:rsidR="00DB27A4" w:rsidRPr="00024680">
        <w:rPr>
          <w:rFonts w:cs="Times New Roman"/>
        </w:rPr>
        <w:t>「境外資金匯回管理運用及課稅條例」草案已規</w:t>
      </w:r>
      <w:r w:rsidR="00F76A6F">
        <w:rPr>
          <w:rFonts w:cs="Times New Roman" w:hint="eastAsia"/>
        </w:rPr>
        <w:t>劃</w:t>
      </w:r>
      <w:r w:rsidR="00DB27A4" w:rsidRPr="00024680">
        <w:rPr>
          <w:rFonts w:cs="Times New Roman"/>
        </w:rPr>
        <w:t>相關配套措施</w:t>
      </w:r>
      <w:r w:rsidR="00714C77" w:rsidRPr="00024680">
        <w:rPr>
          <w:rFonts w:cs="Times New Roman" w:hint="eastAsia"/>
        </w:rPr>
        <w:t>，如</w:t>
      </w:r>
      <w:r w:rsidR="00592FDD" w:rsidRPr="00024680">
        <w:rPr>
          <w:rFonts w:cs="Times New Roman" w:hint="eastAsia"/>
        </w:rPr>
        <w:t>閉鎖期設計</w:t>
      </w:r>
      <w:r w:rsidR="000922F8" w:rsidRPr="00024680">
        <w:rPr>
          <w:rFonts w:ascii="新細明體" w:eastAsia="新細明體" w:hAnsi="新細明體" w:cs="Times New Roman" w:hint="eastAsia"/>
        </w:rPr>
        <w:t>、</w:t>
      </w:r>
      <w:r w:rsidR="00592FDD" w:rsidRPr="00024680">
        <w:rPr>
          <w:rFonts w:cs="Times New Roman" w:hint="eastAsia"/>
        </w:rPr>
        <w:t>分散結匯時點</w:t>
      </w:r>
      <w:r w:rsidR="00592FDD" w:rsidRPr="00024680">
        <w:rPr>
          <w:rFonts w:ascii="新細明體" w:eastAsia="新細明體" w:hAnsi="新細明體" w:cs="Times New Roman" w:hint="eastAsia"/>
        </w:rPr>
        <w:t>、</w:t>
      </w:r>
      <w:r w:rsidR="00592FDD" w:rsidRPr="00024680">
        <w:rPr>
          <w:rFonts w:cs="Times New Roman" w:hint="eastAsia"/>
        </w:rPr>
        <w:t>原幣保留再投資使用以減少投資人反復結匯的成本</w:t>
      </w:r>
      <w:r w:rsidR="00592FDD" w:rsidRPr="00024680">
        <w:rPr>
          <w:rFonts w:ascii="新細明體" w:eastAsia="新細明體" w:hAnsi="新細明體" w:cs="Times New Roman" w:hint="eastAsia"/>
        </w:rPr>
        <w:t>，</w:t>
      </w:r>
      <w:r w:rsidR="00592FDD" w:rsidRPr="00024680">
        <w:rPr>
          <w:rFonts w:cs="Times New Roman" w:hint="eastAsia"/>
        </w:rPr>
        <w:t>及掌握資金進出的資料</w:t>
      </w:r>
      <w:r w:rsidR="00592FDD" w:rsidRPr="00024680">
        <w:rPr>
          <w:rFonts w:ascii="新細明體" w:eastAsia="新細明體" w:hAnsi="新細明體" w:cs="Times New Roman" w:hint="eastAsia"/>
        </w:rPr>
        <w:t>，</w:t>
      </w:r>
      <w:r w:rsidR="00714C77" w:rsidRPr="00024680">
        <w:rPr>
          <w:rFonts w:cs="Times New Roman" w:hint="eastAsia"/>
        </w:rPr>
        <w:t>降低對外匯、金融市場的影響</w:t>
      </w:r>
      <w:r w:rsidR="00DD4284" w:rsidRPr="00024680">
        <w:rPr>
          <w:rFonts w:ascii="新細明體" w:eastAsia="新細明體" w:hAnsi="新細明體" w:cs="Times New Roman" w:hint="eastAsia"/>
        </w:rPr>
        <w:t>。</w:t>
      </w:r>
      <w:bookmarkStart w:id="0" w:name="_GoBack"/>
      <w:bookmarkEnd w:id="0"/>
    </w:p>
    <w:p w:rsidR="00343D39" w:rsidRPr="00024680" w:rsidRDefault="00A67324" w:rsidP="00B25533">
      <w:pPr>
        <w:widowControl w:val="0"/>
        <w:overflowPunct w:val="0"/>
        <w:spacing w:beforeLines="30" w:before="156" w:afterLines="30" w:after="156" w:line="500" w:lineRule="exact"/>
        <w:ind w:firstLineChars="202" w:firstLine="566"/>
        <w:rPr>
          <w:rFonts w:cs="Times New Roman"/>
        </w:rPr>
      </w:pPr>
      <w:r w:rsidRPr="00024680">
        <w:rPr>
          <w:rFonts w:cs="Times New Roman"/>
        </w:rPr>
        <w:t>最後，</w:t>
      </w:r>
      <w:r w:rsidR="001A1C60" w:rsidRPr="00024680">
        <w:rPr>
          <w:rFonts w:cs="Times New Roman"/>
        </w:rPr>
        <w:t>政府各</w:t>
      </w:r>
      <w:r w:rsidR="00F85E32" w:rsidRPr="00024680">
        <w:rPr>
          <w:rFonts w:cs="Times New Roman"/>
        </w:rPr>
        <w:t>部會</w:t>
      </w:r>
      <w:r w:rsidR="00F16419" w:rsidRPr="00024680">
        <w:rPr>
          <w:rFonts w:cs="Times New Roman"/>
        </w:rPr>
        <w:t>正積極合作</w:t>
      </w:r>
      <w:r w:rsidR="00343D39" w:rsidRPr="00024680">
        <w:rPr>
          <w:rFonts w:ascii="新細明體" w:eastAsia="新細明體" w:hAnsi="新細明體" w:cs="Times New Roman" w:hint="eastAsia"/>
        </w:rPr>
        <w:t>，</w:t>
      </w:r>
      <w:r w:rsidR="00F16419" w:rsidRPr="00024680">
        <w:rPr>
          <w:rFonts w:cs="Times New Roman"/>
        </w:rPr>
        <w:t>對</w:t>
      </w:r>
      <w:r w:rsidR="00D2710C" w:rsidRPr="00024680">
        <w:rPr>
          <w:rFonts w:cs="Times New Roman" w:hint="eastAsia"/>
        </w:rPr>
        <w:t>海外</w:t>
      </w:r>
      <w:r w:rsidR="00F16419" w:rsidRPr="00024680">
        <w:rPr>
          <w:rFonts w:cs="Times New Roman"/>
        </w:rPr>
        <w:t>資金</w:t>
      </w:r>
      <w:r w:rsidR="00D2710C" w:rsidRPr="00024680">
        <w:rPr>
          <w:rFonts w:cs="Times New Roman" w:hint="eastAsia"/>
        </w:rPr>
        <w:t>回流</w:t>
      </w:r>
      <w:r w:rsidR="00F16419" w:rsidRPr="00024680">
        <w:rPr>
          <w:rFonts w:cs="Times New Roman"/>
        </w:rPr>
        <w:t>進行有效運用及管理</w:t>
      </w:r>
      <w:r w:rsidR="00F85E32" w:rsidRPr="00024680">
        <w:rPr>
          <w:rFonts w:cs="Times New Roman"/>
        </w:rPr>
        <w:t>，</w:t>
      </w:r>
      <w:r w:rsidR="00D2710C" w:rsidRPr="00024680">
        <w:rPr>
          <w:rFonts w:cs="Times New Roman" w:hint="eastAsia"/>
        </w:rPr>
        <w:t>以</w:t>
      </w:r>
      <w:r w:rsidR="00186D7D" w:rsidRPr="00024680">
        <w:rPr>
          <w:rFonts w:cs="Times New Roman"/>
        </w:rPr>
        <w:t>降低金融市場及不動產市場的波動風險</w:t>
      </w:r>
      <w:r w:rsidR="00343D39" w:rsidRPr="00024680">
        <w:rPr>
          <w:rFonts w:ascii="微軟正黑體" w:eastAsia="微軟正黑體" w:hAnsi="微軟正黑體" w:cs="Times New Roman" w:hint="eastAsia"/>
        </w:rPr>
        <w:t>；</w:t>
      </w:r>
      <w:r w:rsidR="00186D7D" w:rsidRPr="00024680">
        <w:rPr>
          <w:rFonts w:cs="Times New Roman"/>
        </w:rPr>
        <w:t>同時讓</w:t>
      </w:r>
      <w:r w:rsidR="00343D39" w:rsidRPr="00024680">
        <w:rPr>
          <w:rFonts w:cs="Times New Roman" w:hint="eastAsia"/>
        </w:rPr>
        <w:t>它</w:t>
      </w:r>
      <w:r w:rsidR="00186D7D" w:rsidRPr="00024680">
        <w:rPr>
          <w:rFonts w:cs="Times New Roman"/>
        </w:rPr>
        <w:t>對台灣經濟及金融市場所帶來的效益</w:t>
      </w:r>
      <w:r w:rsidR="00343D39" w:rsidRPr="00024680">
        <w:rPr>
          <w:rFonts w:ascii="新細明體" w:eastAsia="新細明體" w:hAnsi="新細明體" w:cs="Times New Roman" w:hint="eastAsia"/>
        </w:rPr>
        <w:t>，</w:t>
      </w:r>
      <w:r w:rsidR="00186D7D" w:rsidRPr="00024680">
        <w:rPr>
          <w:rFonts w:cs="Times New Roman"/>
        </w:rPr>
        <w:t>達到最大，成為</w:t>
      </w:r>
      <w:r w:rsidR="001A15C8" w:rsidRPr="00024680">
        <w:rPr>
          <w:rFonts w:cs="Times New Roman" w:hint="eastAsia"/>
        </w:rPr>
        <w:t>提升</w:t>
      </w:r>
      <w:r w:rsidR="00186D7D" w:rsidRPr="00024680">
        <w:rPr>
          <w:rFonts w:cs="Times New Roman"/>
        </w:rPr>
        <w:t>台灣</w:t>
      </w:r>
      <w:r w:rsidR="00D2710C" w:rsidRPr="00024680">
        <w:rPr>
          <w:rFonts w:cs="Times New Roman" w:hint="eastAsia"/>
        </w:rPr>
        <w:t>經濟</w:t>
      </w:r>
      <w:r w:rsidR="001A15C8" w:rsidRPr="00024680">
        <w:rPr>
          <w:rFonts w:cs="Times New Roman" w:hint="eastAsia"/>
        </w:rPr>
        <w:t>持續</w:t>
      </w:r>
      <w:r w:rsidR="00186D7D" w:rsidRPr="00024680">
        <w:rPr>
          <w:rFonts w:cs="Times New Roman"/>
        </w:rPr>
        <w:t>發展</w:t>
      </w:r>
      <w:r w:rsidR="00343D39" w:rsidRPr="00024680">
        <w:rPr>
          <w:rFonts w:cs="Times New Roman" w:hint="eastAsia"/>
        </w:rPr>
        <w:t>的</w:t>
      </w:r>
      <w:r w:rsidR="00D2710C" w:rsidRPr="00024680">
        <w:rPr>
          <w:rFonts w:cs="Times New Roman" w:hint="eastAsia"/>
        </w:rPr>
        <w:t>重要契</w:t>
      </w:r>
      <w:r w:rsidR="00186D7D" w:rsidRPr="00024680">
        <w:rPr>
          <w:rFonts w:cs="Times New Roman"/>
        </w:rPr>
        <w:t>機</w:t>
      </w:r>
      <w:r w:rsidR="00F85E32" w:rsidRPr="00024680">
        <w:rPr>
          <w:rFonts w:cs="Times New Roman"/>
        </w:rPr>
        <w:t>。</w:t>
      </w:r>
    </w:p>
    <w:p w:rsidR="00186D7D" w:rsidRPr="009A3447" w:rsidRDefault="00733EEF" w:rsidP="00C3316A">
      <w:pPr>
        <w:widowControl w:val="0"/>
        <w:overflowPunct w:val="0"/>
        <w:spacing w:beforeLines="30" w:before="156" w:afterLines="30" w:after="156" w:line="500" w:lineRule="exact"/>
        <w:ind w:firstLineChars="202" w:firstLine="566"/>
      </w:pPr>
      <w:r w:rsidRPr="00024680">
        <w:rPr>
          <w:rFonts w:cs="Times New Roman"/>
          <w:szCs w:val="28"/>
        </w:rPr>
        <w:t>再次感謝主辦單位的邀請</w:t>
      </w:r>
      <w:r w:rsidR="00343D39" w:rsidRPr="00024680">
        <w:rPr>
          <w:rFonts w:ascii="微軟正黑體" w:eastAsia="微軟正黑體" w:hAnsi="微軟正黑體" w:cs="Times New Roman" w:hint="eastAsia"/>
          <w:szCs w:val="28"/>
        </w:rPr>
        <w:t>。</w:t>
      </w:r>
      <w:r w:rsidRPr="00024680">
        <w:rPr>
          <w:rFonts w:cs="Times New Roman"/>
          <w:szCs w:val="28"/>
        </w:rPr>
        <w:t>敬祝大家身體健康、萬事如意！謝謝大家！</w:t>
      </w:r>
    </w:p>
    <w:sectPr w:rsidR="00186D7D" w:rsidRPr="009A3447" w:rsidSect="00F956A1">
      <w:headerReference w:type="even" r:id="rId9"/>
      <w:headerReference w:type="default" r:id="rId10"/>
      <w:footerReference w:type="even" r:id="rId11"/>
      <w:footerReference w:type="default" r:id="rId12"/>
      <w:headerReference w:type="first" r:id="rId13"/>
      <w:footerReference w:type="first" r:id="rId14"/>
      <w:pgSz w:w="11906" w:h="16838" w:code="9"/>
      <w:pgMar w:top="1440" w:right="1800" w:bottom="1440" w:left="1800" w:header="851" w:footer="992" w:gutter="0"/>
      <w:cols w:space="425"/>
      <w:docGrid w:type="lines" w:linePitch="5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CD6" w:rsidRDefault="00007CD6" w:rsidP="00726BAE">
      <w:pPr>
        <w:spacing w:before="120"/>
        <w:ind w:firstLine="560"/>
      </w:pPr>
      <w:r>
        <w:separator/>
      </w:r>
    </w:p>
  </w:endnote>
  <w:endnote w:type="continuationSeparator" w:id="0">
    <w:p w:rsidR="00007CD6" w:rsidRDefault="00007CD6" w:rsidP="00726BAE">
      <w:pPr>
        <w:spacing w:before="120"/>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CD6" w:rsidRDefault="00007CD6" w:rsidP="00726BAE">
    <w:pPr>
      <w:pStyle w:val="a5"/>
      <w:spacing w:before="120"/>
      <w:ind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957801"/>
      <w:docPartObj>
        <w:docPartGallery w:val="Page Numbers (Bottom of Page)"/>
        <w:docPartUnique/>
      </w:docPartObj>
    </w:sdtPr>
    <w:sdtEndPr/>
    <w:sdtContent>
      <w:p w:rsidR="00007CD6" w:rsidRDefault="00007CD6" w:rsidP="002E469A">
        <w:pPr>
          <w:pStyle w:val="a5"/>
          <w:spacing w:before="120"/>
          <w:ind w:firstLine="400"/>
          <w:jc w:val="center"/>
        </w:pPr>
        <w:r>
          <w:fldChar w:fldCharType="begin"/>
        </w:r>
        <w:r>
          <w:instrText>PAGE   \* MERGEFORMAT</w:instrText>
        </w:r>
        <w:r>
          <w:fldChar w:fldCharType="separate"/>
        </w:r>
        <w:r w:rsidR="00F76A6F" w:rsidRPr="00F76A6F">
          <w:rPr>
            <w:noProof/>
            <w:lang w:val="zh-TW"/>
          </w:rPr>
          <w:t>11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CD6" w:rsidRDefault="00007CD6" w:rsidP="00726BAE">
    <w:pPr>
      <w:pStyle w:val="a5"/>
      <w:spacing w:before="120"/>
      <w:ind w:firstLin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CD6" w:rsidRDefault="00007CD6" w:rsidP="00F461C9">
      <w:pPr>
        <w:spacing w:before="120"/>
        <w:ind w:firstLine="560"/>
      </w:pPr>
      <w:r>
        <w:separator/>
      </w:r>
    </w:p>
  </w:footnote>
  <w:footnote w:type="continuationSeparator" w:id="0">
    <w:p w:rsidR="00007CD6" w:rsidRDefault="00007CD6" w:rsidP="00DE7D85">
      <w:pPr>
        <w:spacing w:before="120"/>
        <w:ind w:firstLine="560"/>
      </w:pPr>
      <w:r>
        <w:continuationSeparator/>
      </w:r>
    </w:p>
  </w:footnote>
  <w:footnote w:id="1">
    <w:p w:rsidR="00007CD6" w:rsidRPr="003B4ED3" w:rsidRDefault="00007CD6">
      <w:pPr>
        <w:pStyle w:val="ab"/>
        <w:rPr>
          <w:rFonts w:ascii="Times New Roman" w:eastAsia="標楷體" w:hAnsi="Times New Roman" w:cs="Times New Roman"/>
        </w:rPr>
      </w:pPr>
      <w:r w:rsidRPr="00640B59">
        <w:rPr>
          <w:rStyle w:val="ad"/>
          <w:rFonts w:ascii="Times New Roman" w:eastAsia="標楷體" w:hAnsi="Times New Roman" w:cs="Times New Roman"/>
        </w:rPr>
        <w:footnoteRef/>
      </w:r>
      <w:r w:rsidRPr="00640B59">
        <w:rPr>
          <w:rFonts w:ascii="Times New Roman" w:eastAsia="標楷體" w:hAnsi="Times New Roman" w:cs="Times New Roman"/>
        </w:rPr>
        <w:t xml:space="preserve"> 2015</w:t>
      </w:r>
      <w:r w:rsidRPr="00640B59">
        <w:rPr>
          <w:rFonts w:ascii="Times New Roman" w:eastAsia="標楷體" w:hAnsi="Times New Roman" w:cs="Times New Roman"/>
        </w:rPr>
        <w:t>及</w:t>
      </w:r>
      <w:r w:rsidRPr="00640B59">
        <w:rPr>
          <w:rFonts w:ascii="Times New Roman" w:eastAsia="標楷體" w:hAnsi="Times New Roman" w:cs="Times New Roman"/>
        </w:rPr>
        <w:t>2017</w:t>
      </w:r>
      <w:r w:rsidRPr="00640B59">
        <w:rPr>
          <w:rFonts w:ascii="Times New Roman" w:eastAsia="標楷體" w:hAnsi="Times New Roman" w:cs="Times New Roman"/>
        </w:rPr>
        <w:t>年曾因投資率下滑，使</w:t>
      </w:r>
      <w:r w:rsidRPr="00640B59">
        <w:rPr>
          <w:rFonts w:ascii="Times New Roman" w:eastAsia="標楷體" w:hAnsi="Times New Roman" w:cs="Times New Roman" w:hint="eastAsia"/>
        </w:rPr>
        <w:t>國內</w:t>
      </w:r>
      <w:r w:rsidRPr="00640B59">
        <w:rPr>
          <w:rFonts w:ascii="Times New Roman" w:eastAsia="標楷體" w:hAnsi="Times New Roman" w:cs="Times New Roman"/>
        </w:rPr>
        <w:t>超額儲蓄率甚至達到</w:t>
      </w:r>
      <w:r w:rsidRPr="00640B59">
        <w:rPr>
          <w:rFonts w:ascii="Times New Roman" w:eastAsia="標楷體" w:hAnsi="Times New Roman" w:cs="Times New Roman"/>
        </w:rPr>
        <w:t>14.6%</w:t>
      </w:r>
      <w:r w:rsidRPr="00640B59">
        <w:rPr>
          <w:rFonts w:ascii="Times New Roman" w:eastAsia="標楷體" w:hAnsi="Times New Roman" w:cs="Times New Roman"/>
        </w:rPr>
        <w:t>。</w:t>
      </w:r>
    </w:p>
  </w:footnote>
  <w:footnote w:id="2">
    <w:p w:rsidR="00007CD6" w:rsidRPr="003B4ED3" w:rsidRDefault="00007CD6" w:rsidP="00BD4F6C">
      <w:pPr>
        <w:pStyle w:val="ab"/>
        <w:ind w:left="160" w:hangingChars="80" w:hanging="160"/>
        <w:jc w:val="both"/>
        <w:rPr>
          <w:rFonts w:ascii="Times New Roman" w:eastAsia="標楷體" w:hAnsi="Times New Roman" w:cs="Times New Roman"/>
        </w:rPr>
      </w:pPr>
      <w:r w:rsidRPr="003B4ED3">
        <w:rPr>
          <w:rStyle w:val="ad"/>
          <w:rFonts w:ascii="Times New Roman" w:eastAsia="標楷體" w:hAnsi="Times New Roman" w:cs="Times New Roman"/>
        </w:rPr>
        <w:footnoteRef/>
      </w:r>
      <w:r>
        <w:rPr>
          <w:rFonts w:ascii="Times New Roman" w:eastAsia="標楷體" w:hAnsi="Times New Roman" w:cs="Times New Roman" w:hint="eastAsia"/>
        </w:rPr>
        <w:t xml:space="preserve"> </w:t>
      </w:r>
      <w:r w:rsidRPr="003B4ED3">
        <w:rPr>
          <w:rFonts w:ascii="Times New Roman" w:eastAsia="標楷體" w:hAnsi="Times New Roman" w:cs="Times New Roman"/>
        </w:rPr>
        <w:t>長期</w:t>
      </w:r>
      <w:proofErr w:type="gramStart"/>
      <w:r w:rsidRPr="003B4ED3">
        <w:rPr>
          <w:rFonts w:ascii="Times New Roman" w:eastAsia="標楷體" w:hAnsi="Times New Roman" w:cs="Times New Roman"/>
        </w:rPr>
        <w:t>停滯乙詞</w:t>
      </w:r>
      <w:proofErr w:type="gramEnd"/>
      <w:r w:rsidRPr="003B4ED3">
        <w:rPr>
          <w:rFonts w:ascii="Times New Roman" w:eastAsia="標楷體" w:hAnsi="Times New Roman" w:cs="Times New Roman"/>
        </w:rPr>
        <w:t>，最早係由哈佛大學經濟學家</w:t>
      </w:r>
      <w:r w:rsidRPr="003B4ED3">
        <w:rPr>
          <w:rFonts w:ascii="Times New Roman" w:eastAsia="標楷體" w:hAnsi="Times New Roman" w:cs="Times New Roman"/>
        </w:rPr>
        <w:t xml:space="preserve"> Alvin Hansen </w:t>
      </w:r>
      <w:r w:rsidRPr="003B4ED3">
        <w:rPr>
          <w:rFonts w:ascii="Times New Roman" w:eastAsia="標楷體" w:hAnsi="Times New Roman" w:cs="Times New Roman"/>
        </w:rPr>
        <w:t>於</w:t>
      </w:r>
      <w:r w:rsidRPr="003B4ED3">
        <w:rPr>
          <w:rFonts w:ascii="Times New Roman" w:eastAsia="標楷體" w:hAnsi="Times New Roman" w:cs="Times New Roman"/>
        </w:rPr>
        <w:t>1938</w:t>
      </w:r>
      <w:r w:rsidRPr="003B4ED3">
        <w:rPr>
          <w:rFonts w:ascii="Times New Roman" w:eastAsia="標楷體" w:hAnsi="Times New Roman" w:cs="Times New Roman"/>
        </w:rPr>
        <w:t>年</w:t>
      </w:r>
      <w:r w:rsidRPr="003B4ED3">
        <w:rPr>
          <w:rFonts w:ascii="Times New Roman" w:eastAsia="標楷體" w:hAnsi="Times New Roman" w:cs="Times New Roman"/>
        </w:rPr>
        <w:t>12</w:t>
      </w:r>
      <w:r w:rsidRPr="003B4ED3">
        <w:rPr>
          <w:rFonts w:ascii="Times New Roman" w:eastAsia="標楷體" w:hAnsi="Times New Roman" w:cs="Times New Roman"/>
        </w:rPr>
        <w:t>月提出。</w:t>
      </w:r>
      <w:r w:rsidRPr="003B4ED3">
        <w:rPr>
          <w:rFonts w:ascii="Times New Roman" w:eastAsia="標楷體" w:hAnsi="Times New Roman" w:cs="Times New Roman"/>
        </w:rPr>
        <w:t>2013</w:t>
      </w:r>
      <w:r w:rsidRPr="003B4ED3">
        <w:rPr>
          <w:rFonts w:ascii="Times New Roman" w:eastAsia="標楷體" w:hAnsi="Times New Roman" w:cs="Times New Roman"/>
        </w:rPr>
        <w:t>年以來，前美國財</w:t>
      </w:r>
      <w:r w:rsidRPr="00DC3BE8">
        <w:rPr>
          <w:rFonts w:ascii="Times New Roman" w:eastAsia="標楷體" w:hAnsi="Times New Roman" w:cs="Times New Roman"/>
        </w:rPr>
        <w:t>政部長</w:t>
      </w:r>
      <w:r w:rsidRPr="00DC3BE8">
        <w:rPr>
          <w:rFonts w:ascii="Times New Roman" w:eastAsia="標楷體" w:hAnsi="Times New Roman" w:cs="Times New Roman"/>
        </w:rPr>
        <w:t xml:space="preserve"> Lawrence Summers</w:t>
      </w:r>
      <w:r w:rsidRPr="00DC3BE8">
        <w:rPr>
          <w:rFonts w:ascii="Times New Roman" w:eastAsia="標楷體" w:hAnsi="Times New Roman" w:cs="Times New Roman"/>
        </w:rPr>
        <w:t>及諾貝爾經濟學獎得主</w:t>
      </w:r>
      <w:r w:rsidRPr="00DC3BE8">
        <w:rPr>
          <w:rFonts w:ascii="Times New Roman" w:eastAsia="標楷體" w:hAnsi="Times New Roman" w:cs="Times New Roman"/>
        </w:rPr>
        <w:t>Paul Krugman</w:t>
      </w:r>
      <w:r w:rsidRPr="00DC3BE8">
        <w:rPr>
          <w:rFonts w:ascii="Times New Roman" w:eastAsia="標楷體" w:hAnsi="Times New Roman" w:cs="Times New Roman"/>
        </w:rPr>
        <w:t>等相繼以長期停滯來描述全球金融危機後需求疲弱、低利率、低成長、低通膨的經濟狀況</w:t>
      </w:r>
      <w:r w:rsidRPr="00DC3BE8">
        <w:rPr>
          <w:rFonts w:ascii="新細明體" w:eastAsia="新細明體" w:hAnsi="新細明體" w:cs="Times New Roman" w:hint="eastAsia"/>
        </w:rPr>
        <w:t>。</w:t>
      </w:r>
      <w:r w:rsidRPr="00DC3BE8">
        <w:rPr>
          <w:rFonts w:ascii="Times New Roman" w:eastAsia="標楷體" w:hAnsi="Times New Roman" w:cs="Times New Roman"/>
        </w:rPr>
        <w:t>請參閱中央銀行（</w:t>
      </w:r>
      <w:r w:rsidRPr="00DC3BE8">
        <w:rPr>
          <w:rFonts w:ascii="Times New Roman" w:eastAsia="標楷體" w:hAnsi="Times New Roman" w:cs="Times New Roman"/>
        </w:rPr>
        <w:t>2019</w:t>
      </w:r>
      <w:r w:rsidRPr="00DC3BE8">
        <w:rPr>
          <w:rFonts w:ascii="Times New Roman" w:eastAsia="標楷體" w:hAnsi="Times New Roman" w:cs="Times New Roman"/>
        </w:rPr>
        <w:t>），「長期停滯的成因與對策</w:t>
      </w:r>
      <w:proofErr w:type="gramStart"/>
      <w:r w:rsidRPr="00DC3BE8">
        <w:rPr>
          <w:rFonts w:ascii="Times New Roman" w:eastAsia="標楷體" w:hAnsi="Times New Roman" w:cs="Times New Roman"/>
        </w:rPr>
        <w:t>—</w:t>
      </w:r>
      <w:proofErr w:type="gramEnd"/>
      <w:r w:rsidRPr="00DC3BE8">
        <w:rPr>
          <w:rFonts w:ascii="Times New Roman" w:eastAsia="標楷體" w:hAnsi="Times New Roman" w:cs="Times New Roman"/>
        </w:rPr>
        <w:t>財政政策須扮演積極角色」，</w:t>
      </w:r>
      <w:r w:rsidRPr="005566AF">
        <w:rPr>
          <w:rFonts w:ascii="Times New Roman" w:eastAsia="標楷體" w:hAnsi="Times New Roman" w:cs="Times New Roman" w:hint="eastAsia"/>
          <w:i/>
        </w:rPr>
        <w:t>央行理監事會後記者會參考資料</w:t>
      </w:r>
      <w:r w:rsidRPr="00DC3BE8">
        <w:rPr>
          <w:rFonts w:ascii="Times New Roman" w:eastAsia="標楷體" w:hAnsi="Times New Roman" w:cs="Times New Roman"/>
        </w:rPr>
        <w:t>，</w:t>
      </w:r>
      <w:r w:rsidRPr="00DC3BE8">
        <w:rPr>
          <w:rFonts w:ascii="Times New Roman" w:eastAsia="標楷體" w:hAnsi="Times New Roman" w:cs="Times New Roman"/>
        </w:rPr>
        <w:t>6</w:t>
      </w:r>
      <w:r w:rsidRPr="00DC3BE8">
        <w:rPr>
          <w:rFonts w:ascii="Times New Roman" w:eastAsia="標楷體" w:hAnsi="Times New Roman" w:cs="Times New Roman"/>
        </w:rPr>
        <w:t>月</w:t>
      </w:r>
      <w:r w:rsidRPr="00DC3BE8">
        <w:rPr>
          <w:rFonts w:ascii="Times New Roman" w:eastAsia="標楷體" w:hAnsi="Times New Roman" w:cs="Times New Roman"/>
        </w:rPr>
        <w:t>20</w:t>
      </w:r>
      <w:r w:rsidRPr="00DC3BE8">
        <w:rPr>
          <w:rFonts w:ascii="Times New Roman" w:eastAsia="標楷體" w:hAnsi="Times New Roman" w:cs="Times New Roman"/>
        </w:rPr>
        <w:t>日。</w:t>
      </w:r>
    </w:p>
  </w:footnote>
  <w:footnote w:id="3">
    <w:p w:rsidR="00007CD6" w:rsidRPr="00F35DC4" w:rsidRDefault="00007CD6" w:rsidP="00D4338F">
      <w:pPr>
        <w:pStyle w:val="ab"/>
        <w:ind w:left="160" w:hangingChars="80" w:hanging="160"/>
        <w:jc w:val="both"/>
        <w:rPr>
          <w:rFonts w:ascii="Times New Roman" w:eastAsia="標楷體" w:hAnsi="Times New Roman" w:cs="Times New Roman"/>
        </w:rPr>
      </w:pPr>
      <w:r w:rsidRPr="00B866BC">
        <w:rPr>
          <w:rStyle w:val="ad"/>
          <w:rFonts w:ascii="Times New Roman" w:eastAsia="標楷體" w:hAnsi="Times New Roman" w:cs="Times New Roman"/>
        </w:rPr>
        <w:footnoteRef/>
      </w:r>
      <w:r w:rsidRPr="00B866BC">
        <w:rPr>
          <w:rFonts w:ascii="Times New Roman" w:eastAsia="標楷體" w:hAnsi="Times New Roman" w:cs="Times New Roman"/>
        </w:rPr>
        <w:t xml:space="preserve"> IMF</w:t>
      </w:r>
      <w:r w:rsidRPr="00B866BC">
        <w:rPr>
          <w:rFonts w:ascii="Times New Roman" w:eastAsia="標楷體" w:hAnsi="Times New Roman" w:cs="Times New Roman"/>
        </w:rPr>
        <w:t>研究曾指出，國際間執行租稅特赦效果會因為政府管理能力而有差異，如有些先進國家因</w:t>
      </w:r>
      <w:r w:rsidRPr="00B866BC">
        <w:rPr>
          <w:rFonts w:ascii="Times New Roman" w:eastAsia="標楷體" w:hAnsi="Times New Roman" w:cs="Times New Roman"/>
        </w:rPr>
        <w:t xml:space="preserve"> </w:t>
      </w:r>
      <w:r w:rsidRPr="00F35DC4">
        <w:rPr>
          <w:rFonts w:ascii="Times New Roman" w:eastAsia="標楷體" w:hAnsi="Times New Roman" w:cs="Times New Roman"/>
        </w:rPr>
        <w:t>有良好租稅管理系統且民眾對政府信賴度高，實施租稅特赦可能有效將可增加稅收，對國內經濟帶來正面效果</w:t>
      </w:r>
      <w:r w:rsidRPr="00F35DC4">
        <w:rPr>
          <w:rFonts w:ascii="Times New Roman" w:eastAsia="標楷體" w:hAnsi="Times New Roman" w:cs="Times New Roman"/>
        </w:rPr>
        <w:t>(</w:t>
      </w:r>
      <w:r w:rsidRPr="00F35DC4">
        <w:rPr>
          <w:rFonts w:ascii="Times New Roman" w:eastAsia="標楷體" w:hAnsi="Times New Roman" w:cs="Times New Roman"/>
        </w:rPr>
        <w:t>參見</w:t>
      </w:r>
      <w:r w:rsidRPr="00F35DC4">
        <w:rPr>
          <w:rFonts w:ascii="Times New Roman" w:eastAsia="標楷體" w:hAnsi="Times New Roman" w:cs="Times New Roman"/>
        </w:rPr>
        <w:t>Borgne ,Eric Le and Katherine Baer(2008), “Tax Amnesties : Theory, Trends, and Some Alternatives,</w:t>
      </w:r>
      <w:proofErr w:type="gramStart"/>
      <w:r w:rsidRPr="00F35DC4">
        <w:rPr>
          <w:rFonts w:ascii="Times New Roman" w:eastAsia="標楷體" w:hAnsi="Times New Roman" w:cs="Times New Roman"/>
        </w:rPr>
        <w:t>”</w:t>
      </w:r>
      <w:proofErr w:type="gramEnd"/>
      <w:r w:rsidRPr="00F35DC4">
        <w:rPr>
          <w:rFonts w:ascii="Times New Roman" w:eastAsia="標楷體" w:hAnsi="Times New Roman" w:cs="Times New Roman"/>
        </w:rPr>
        <w:t xml:space="preserve"> </w:t>
      </w:r>
      <w:r w:rsidRPr="00F35DC4">
        <w:rPr>
          <w:rFonts w:ascii="Times New Roman" w:eastAsia="標楷體" w:hAnsi="Times New Roman" w:cs="Times New Roman"/>
          <w:i/>
        </w:rPr>
        <w:t>IMF Special Issues</w:t>
      </w:r>
      <w:r w:rsidRPr="00F35DC4">
        <w:rPr>
          <w:rFonts w:ascii="Times New Roman" w:eastAsia="標楷體" w:hAnsi="Times New Roman" w:cs="Times New Roman"/>
        </w:rPr>
        <w:t>, July 29)</w:t>
      </w:r>
      <w:r w:rsidRPr="00F35DC4">
        <w:rPr>
          <w:rFonts w:ascii="Times New Roman" w:eastAsia="標楷體" w:hAnsi="Times New Roman" w:cs="Times New Roman"/>
        </w:rPr>
        <w:t>。</w:t>
      </w:r>
    </w:p>
  </w:footnote>
  <w:footnote w:id="4">
    <w:p w:rsidR="00007CD6" w:rsidRPr="0000736F" w:rsidRDefault="00007CD6" w:rsidP="00D4338F">
      <w:pPr>
        <w:pStyle w:val="ab"/>
        <w:ind w:left="160" w:hangingChars="80" w:hanging="160"/>
        <w:jc w:val="both"/>
        <w:rPr>
          <w:rFonts w:ascii="Times New Roman" w:eastAsia="標楷體" w:hAnsi="Times New Roman" w:cs="Times New Roman"/>
        </w:rPr>
      </w:pPr>
      <w:r w:rsidRPr="00F35DC4">
        <w:rPr>
          <w:rStyle w:val="ad"/>
          <w:rFonts w:ascii="Times New Roman" w:eastAsia="標楷體" w:hAnsi="Times New Roman" w:cs="Times New Roman"/>
        </w:rPr>
        <w:footnoteRef/>
      </w:r>
      <w:r>
        <w:rPr>
          <w:rFonts w:ascii="Times New Roman" w:eastAsia="標楷體" w:hAnsi="Times New Roman" w:cs="Times New Roman" w:hint="eastAsia"/>
        </w:rPr>
        <w:t xml:space="preserve"> </w:t>
      </w:r>
      <w:r w:rsidRPr="00007CD6">
        <w:rPr>
          <w:rFonts w:ascii="Times New Roman" w:eastAsia="標楷體" w:hAnsi="Times New Roman" w:cs="Times New Roman"/>
          <w:spacing w:val="-2"/>
        </w:rPr>
        <w:t>目前「境外資金</w:t>
      </w:r>
      <w:proofErr w:type="gramStart"/>
      <w:r w:rsidRPr="00007CD6">
        <w:rPr>
          <w:rFonts w:ascii="Times New Roman" w:eastAsia="標楷體" w:hAnsi="Times New Roman" w:cs="Times New Roman"/>
          <w:spacing w:val="-2"/>
        </w:rPr>
        <w:t>匯</w:t>
      </w:r>
      <w:proofErr w:type="gramEnd"/>
      <w:r w:rsidRPr="00007CD6">
        <w:rPr>
          <w:rFonts w:ascii="Times New Roman" w:eastAsia="標楷體" w:hAnsi="Times New Roman" w:cs="Times New Roman"/>
          <w:spacing w:val="-2"/>
        </w:rPr>
        <w:t>回管理運用及課稅條例」</w:t>
      </w:r>
      <w:proofErr w:type="gramStart"/>
      <w:r w:rsidRPr="00007CD6">
        <w:rPr>
          <w:rFonts w:ascii="Times New Roman" w:eastAsia="標楷體" w:hAnsi="Times New Roman" w:cs="Times New Roman"/>
          <w:spacing w:val="-2"/>
        </w:rPr>
        <w:t>規</w:t>
      </w:r>
      <w:proofErr w:type="gramEnd"/>
      <w:r w:rsidRPr="00007CD6">
        <w:rPr>
          <w:rFonts w:ascii="Times New Roman" w:eastAsia="標楷體" w:hAnsi="Times New Roman" w:cs="Times New Roman"/>
          <w:spacing w:val="-2"/>
        </w:rPr>
        <w:t>畫以導入實質投資為主，無金額限制，對自由運用和投資指定金融商品則分別定有</w:t>
      </w:r>
      <w:r w:rsidRPr="00007CD6">
        <w:rPr>
          <w:rFonts w:ascii="Times New Roman" w:eastAsia="標楷體" w:hAnsi="Times New Roman" w:cs="Times New Roman"/>
          <w:spacing w:val="-2"/>
        </w:rPr>
        <w:t>5%</w:t>
      </w:r>
      <w:r w:rsidRPr="00007CD6">
        <w:rPr>
          <w:rFonts w:ascii="Times New Roman" w:eastAsia="標楷體" w:hAnsi="Times New Roman" w:cs="Times New Roman"/>
          <w:spacing w:val="-2"/>
        </w:rPr>
        <w:t>及</w:t>
      </w:r>
      <w:r w:rsidRPr="00007CD6">
        <w:rPr>
          <w:rFonts w:ascii="Times New Roman" w:eastAsia="標楷體" w:hAnsi="Times New Roman" w:cs="Times New Roman"/>
          <w:spacing w:val="-2"/>
        </w:rPr>
        <w:t>25%</w:t>
      </w:r>
      <w:r w:rsidRPr="00007CD6">
        <w:rPr>
          <w:rFonts w:ascii="Times New Roman" w:eastAsia="標楷體" w:hAnsi="Times New Roman" w:cs="Times New Roman"/>
          <w:spacing w:val="-2"/>
        </w:rPr>
        <w:t>的上限。除實質投資事業的生產或營業用建物外</w:t>
      </w:r>
      <w:r w:rsidRPr="00007CD6">
        <w:rPr>
          <w:rFonts w:ascii="新細明體" w:eastAsia="新細明體" w:hAnsi="新細明體" w:cs="Times New Roman" w:hint="eastAsia"/>
          <w:spacing w:val="-2"/>
        </w:rPr>
        <w:t>，</w:t>
      </w:r>
      <w:r w:rsidRPr="00007CD6">
        <w:rPr>
          <w:rFonts w:ascii="Times New Roman" w:eastAsia="標楷體" w:hAnsi="Times New Roman" w:cs="Times New Roman"/>
          <w:spacing w:val="-2"/>
        </w:rPr>
        <w:t>禁止購置不動產。此規劃的目的即是在當前國際經貿環境下，協助國人重新布局資金運用，引導資金進行國內實質投資，同時可促進國內資產管理業務的發展，並避免炒作國內不動產價格。</w:t>
      </w:r>
    </w:p>
  </w:footnote>
  <w:footnote w:id="5">
    <w:p w:rsidR="00007CD6" w:rsidRPr="00F35DC4" w:rsidRDefault="00007CD6" w:rsidP="00F461C9">
      <w:pPr>
        <w:pStyle w:val="ab"/>
        <w:ind w:left="160" w:hangingChars="80" w:hanging="160"/>
        <w:jc w:val="both"/>
      </w:pPr>
      <w:r w:rsidRPr="00F35DC4">
        <w:rPr>
          <w:rStyle w:val="ad"/>
          <w:rFonts w:ascii="Times New Roman" w:eastAsia="標楷體" w:hAnsi="Times New Roman" w:cs="Times New Roman"/>
        </w:rPr>
        <w:footnoteRef/>
      </w:r>
      <w:r w:rsidRPr="00F35DC4">
        <w:rPr>
          <w:rFonts w:ascii="Times New Roman" w:eastAsia="標楷體" w:hAnsi="Times New Roman" w:cs="Times New Roman" w:hint="eastAsia"/>
        </w:rPr>
        <w:t xml:space="preserve"> </w:t>
      </w:r>
      <w:r w:rsidRPr="00F461C9">
        <w:rPr>
          <w:rFonts w:ascii="Times New Roman" w:eastAsia="標楷體" w:hAnsi="Times New Roman" w:cs="Times New Roman" w:hint="eastAsia"/>
        </w:rPr>
        <w:t>實質</w:t>
      </w:r>
      <w:r w:rsidRPr="00F35DC4">
        <w:rPr>
          <w:rFonts w:ascii="Times New Roman" w:eastAsia="標楷體" w:hAnsi="Times New Roman" w:cs="Times New Roman" w:hint="eastAsia"/>
        </w:rPr>
        <w:t>中性</w:t>
      </w:r>
      <w:r w:rsidRPr="00F35DC4">
        <w:rPr>
          <w:rFonts w:ascii="Times New Roman" w:eastAsia="標楷體" w:hAnsi="Times New Roman" w:cs="Times New Roman"/>
        </w:rPr>
        <w:t>利率</w:t>
      </w:r>
      <w:r w:rsidRPr="00F35DC4">
        <w:rPr>
          <w:rFonts w:ascii="Times New Roman" w:eastAsia="標楷體" w:hAnsi="Times New Roman" w:cs="Times New Roman"/>
        </w:rPr>
        <w:t>(</w:t>
      </w:r>
      <w:r w:rsidRPr="00F35DC4">
        <w:rPr>
          <w:rFonts w:ascii="Times New Roman" w:eastAsia="標楷體" w:hAnsi="Times New Roman" w:cs="Times New Roman"/>
        </w:rPr>
        <w:t>又稱</w:t>
      </w:r>
      <w:r w:rsidRPr="00F35DC4">
        <w:rPr>
          <w:rFonts w:ascii="Times New Roman" w:eastAsia="標楷體" w:hAnsi="Times New Roman" w:cs="Times New Roman"/>
        </w:rPr>
        <w:t>r-star)</w:t>
      </w:r>
      <w:r w:rsidRPr="00F35DC4">
        <w:rPr>
          <w:rFonts w:ascii="Times New Roman" w:eastAsia="標楷體" w:hAnsi="Times New Roman" w:cs="Times New Roman"/>
        </w:rPr>
        <w:t>係指在充分就業下且未使通膨加速成長的實質利率</w:t>
      </w:r>
      <w:r w:rsidRPr="00F35DC4">
        <w:rPr>
          <w:rFonts w:ascii="Times New Roman" w:eastAsia="標楷體" w:hAnsi="Times New Roman" w:cs="Times New Roman"/>
        </w:rPr>
        <w:t>(</w:t>
      </w:r>
      <w:r w:rsidRPr="00F35DC4">
        <w:rPr>
          <w:rFonts w:ascii="Times New Roman" w:eastAsia="標楷體" w:hAnsi="Times New Roman" w:cs="Times New Roman"/>
        </w:rPr>
        <w:t>參見</w:t>
      </w:r>
      <w:r w:rsidRPr="00F35DC4">
        <w:rPr>
          <w:rFonts w:ascii="Times New Roman" w:eastAsia="標楷體" w:hAnsi="Times New Roman" w:cs="Times New Roman"/>
        </w:rPr>
        <w:t>Williams, John (201</w:t>
      </w:r>
      <w:r w:rsidRPr="00F35DC4">
        <w:rPr>
          <w:rFonts w:ascii="Times New Roman" w:eastAsia="標楷體" w:hAnsi="Times New Roman" w:cs="Times New Roman" w:hint="eastAsia"/>
        </w:rPr>
        <w:t>9</w:t>
      </w:r>
      <w:r w:rsidRPr="00F35DC4">
        <w:rPr>
          <w:rFonts w:ascii="Times New Roman" w:eastAsia="標楷體" w:hAnsi="Times New Roman" w:cs="Times New Roman"/>
        </w:rPr>
        <w:t>) , “</w:t>
      </w:r>
      <w:r w:rsidRPr="00F35DC4">
        <w:t xml:space="preserve"> </w:t>
      </w:r>
      <w:r w:rsidRPr="00F35DC4">
        <w:rPr>
          <w:rFonts w:ascii="Times New Roman" w:eastAsia="標楷體" w:hAnsi="Times New Roman" w:cs="Times New Roman"/>
        </w:rPr>
        <w:t xml:space="preserve">When the Facts Change…,” </w:t>
      </w:r>
      <w:r w:rsidRPr="00F35DC4">
        <w:rPr>
          <w:rFonts w:ascii="Times New Roman" w:eastAsia="標楷體" w:hAnsi="Times New Roman" w:cs="Times New Roman"/>
          <w:i/>
        </w:rPr>
        <w:t>Remarks at the 9th High-Level Conference on the</w:t>
      </w:r>
      <w:r w:rsidRPr="00F35DC4">
        <w:rPr>
          <w:rFonts w:ascii="Times New Roman" w:eastAsia="標楷體" w:hAnsi="Times New Roman" w:cs="Times New Roman" w:hint="eastAsia"/>
          <w:i/>
        </w:rPr>
        <w:t xml:space="preserve"> </w:t>
      </w:r>
      <w:r w:rsidRPr="00F35DC4">
        <w:rPr>
          <w:rFonts w:ascii="Times New Roman" w:eastAsia="標楷體" w:hAnsi="Times New Roman" w:cs="Times New Roman"/>
          <w:i/>
        </w:rPr>
        <w:t>International Monetary System, Zürich</w:t>
      </w:r>
      <w:r w:rsidRPr="00F35DC4">
        <w:rPr>
          <w:rFonts w:ascii="Times New Roman" w:eastAsia="標楷體" w:hAnsi="Times New Roman" w:cs="Times New Roman"/>
        </w:rPr>
        <w:t>, Switzerland</w:t>
      </w:r>
      <w:r w:rsidRPr="00F35DC4">
        <w:rPr>
          <w:rFonts w:ascii="Times New Roman" w:eastAsia="標楷體" w:hAnsi="Times New Roman" w:cs="Times New Roman" w:hint="eastAsia"/>
        </w:rPr>
        <w:t xml:space="preserve"> , May 14</w:t>
      </w:r>
      <w:r w:rsidRPr="00F35DC4">
        <w:rPr>
          <w:rFonts w:ascii="Times New Roman" w:eastAsia="標楷體" w:hAnsi="Times New Roman" w:cs="Times New Roman"/>
        </w:rPr>
        <w:t>)</w:t>
      </w:r>
      <w:r w:rsidRPr="00F35DC4">
        <w:rPr>
          <w:rFonts w:ascii="新細明體" w:eastAsia="新細明體" w:hAnsi="新細明體" w:cs="Times New Roman" w:hint="eastAsia"/>
        </w:rPr>
        <w:t>。</w:t>
      </w:r>
    </w:p>
  </w:footnote>
  <w:footnote w:id="6">
    <w:p w:rsidR="00007CD6" w:rsidRPr="00F35DC4" w:rsidRDefault="00007CD6" w:rsidP="00F461C9">
      <w:pPr>
        <w:pStyle w:val="ab"/>
        <w:ind w:left="160" w:hangingChars="80" w:hanging="160"/>
        <w:jc w:val="both"/>
        <w:rPr>
          <w:rFonts w:ascii="Times New Roman" w:eastAsia="標楷體" w:hAnsi="Times New Roman" w:cs="Times New Roman"/>
        </w:rPr>
      </w:pPr>
      <w:r w:rsidRPr="00F35DC4">
        <w:rPr>
          <w:rStyle w:val="ad"/>
          <w:rFonts w:ascii="Times New Roman" w:eastAsia="標楷體" w:hAnsi="Times New Roman" w:cs="Times New Roman"/>
        </w:rPr>
        <w:footnoteRef/>
      </w:r>
      <w:r w:rsidRPr="00F35DC4">
        <w:rPr>
          <w:rFonts w:ascii="Times New Roman" w:eastAsia="標楷體" w:hAnsi="Times New Roman" w:cs="Times New Roman"/>
        </w:rPr>
        <w:t xml:space="preserve"> </w:t>
      </w:r>
      <w:r w:rsidRPr="00F461C9">
        <w:rPr>
          <w:rFonts w:ascii="Times New Roman" w:eastAsia="標楷體" w:hAnsi="Times New Roman" w:cs="Times New Roman"/>
        </w:rPr>
        <w:t>參考</w:t>
      </w:r>
      <w:r w:rsidRPr="00F35DC4">
        <w:rPr>
          <w:rFonts w:ascii="Times New Roman" w:eastAsia="標楷體" w:hAnsi="Times New Roman" w:cs="Times New Roman"/>
        </w:rPr>
        <w:t>Williams, John (201</w:t>
      </w:r>
      <w:r w:rsidRPr="00F35DC4">
        <w:rPr>
          <w:rFonts w:ascii="Times New Roman" w:eastAsia="標楷體" w:hAnsi="Times New Roman" w:cs="Times New Roman" w:hint="eastAsia"/>
        </w:rPr>
        <w:t>9</w:t>
      </w:r>
      <w:r w:rsidRPr="00F35DC4">
        <w:rPr>
          <w:rFonts w:ascii="Times New Roman" w:eastAsia="標楷體" w:hAnsi="Times New Roman" w:cs="Times New Roman"/>
        </w:rPr>
        <w:t>) , “</w:t>
      </w:r>
      <w:r w:rsidRPr="00F35DC4">
        <w:t xml:space="preserve"> </w:t>
      </w:r>
      <w:r w:rsidRPr="00F35DC4">
        <w:rPr>
          <w:rFonts w:ascii="Times New Roman" w:eastAsia="標楷體" w:hAnsi="Times New Roman" w:cs="Times New Roman"/>
        </w:rPr>
        <w:t xml:space="preserve">When the Facts Change…,” </w:t>
      </w:r>
      <w:r w:rsidRPr="00F35DC4">
        <w:rPr>
          <w:rFonts w:ascii="Times New Roman" w:eastAsia="標楷體" w:hAnsi="Times New Roman" w:cs="Times New Roman"/>
          <w:i/>
        </w:rPr>
        <w:t>Remarks at the 9th High-Level</w:t>
      </w:r>
      <w:r w:rsidR="00F461C9">
        <w:rPr>
          <w:rFonts w:ascii="Times New Roman" w:eastAsia="標楷體" w:hAnsi="Times New Roman" w:cs="Times New Roman" w:hint="eastAsia"/>
          <w:i/>
        </w:rPr>
        <w:t xml:space="preserve"> </w:t>
      </w:r>
      <w:r w:rsidRPr="00F35DC4">
        <w:rPr>
          <w:rFonts w:ascii="Times New Roman" w:eastAsia="標楷體" w:hAnsi="Times New Roman" w:cs="Times New Roman"/>
          <w:i/>
        </w:rPr>
        <w:t xml:space="preserve"> Conference on the</w:t>
      </w:r>
      <w:r w:rsidRPr="00F35DC4">
        <w:rPr>
          <w:rFonts w:ascii="Times New Roman" w:eastAsia="標楷體" w:hAnsi="Times New Roman" w:cs="Times New Roman" w:hint="eastAsia"/>
          <w:i/>
        </w:rPr>
        <w:t xml:space="preserve"> </w:t>
      </w:r>
      <w:r w:rsidRPr="00F35DC4">
        <w:rPr>
          <w:rFonts w:ascii="Times New Roman" w:eastAsia="標楷體" w:hAnsi="Times New Roman" w:cs="Times New Roman"/>
          <w:i/>
        </w:rPr>
        <w:t>International Monetary System, Zürich</w:t>
      </w:r>
      <w:r w:rsidRPr="00F35DC4">
        <w:rPr>
          <w:rFonts w:ascii="Times New Roman" w:eastAsia="標楷體" w:hAnsi="Times New Roman" w:cs="Times New Roman"/>
        </w:rPr>
        <w:t>, Switzerland</w:t>
      </w:r>
      <w:r w:rsidRPr="00F35DC4">
        <w:rPr>
          <w:rFonts w:ascii="Times New Roman" w:eastAsia="標楷體" w:hAnsi="Times New Roman" w:cs="Times New Roman" w:hint="eastAsia"/>
        </w:rPr>
        <w:t xml:space="preserve"> , May 14</w:t>
      </w:r>
      <w:r w:rsidRPr="00F35DC4">
        <w:rPr>
          <w:rFonts w:ascii="Times New Roman" w:eastAsia="標楷體" w:hAnsi="Times New Roman" w:cs="Times New Roman"/>
        </w:rPr>
        <w:t>。</w:t>
      </w:r>
    </w:p>
  </w:footnote>
  <w:footnote w:id="7">
    <w:p w:rsidR="00007CD6" w:rsidRPr="00F35DC4" w:rsidRDefault="00007CD6" w:rsidP="00F461C9">
      <w:pPr>
        <w:pStyle w:val="ab"/>
        <w:ind w:left="160" w:hangingChars="80" w:hanging="160"/>
        <w:jc w:val="both"/>
        <w:rPr>
          <w:rFonts w:ascii="Times New Roman" w:eastAsia="標楷體" w:hAnsi="Times New Roman" w:cs="Times New Roman"/>
        </w:rPr>
      </w:pPr>
      <w:r w:rsidRPr="00F35DC4">
        <w:rPr>
          <w:rStyle w:val="ad"/>
          <w:rFonts w:ascii="Times New Roman" w:eastAsia="標楷體" w:hAnsi="Times New Roman" w:cs="Times New Roman"/>
        </w:rPr>
        <w:footnoteRef/>
      </w:r>
      <w:r w:rsidRPr="00F35DC4">
        <w:rPr>
          <w:rFonts w:ascii="Times New Roman" w:eastAsia="標楷體" w:hAnsi="Times New Roman" w:cs="Times New Roman" w:hint="eastAsia"/>
        </w:rPr>
        <w:t xml:space="preserve"> </w:t>
      </w:r>
      <w:r w:rsidRPr="00F35DC4">
        <w:rPr>
          <w:rFonts w:ascii="Times New Roman" w:eastAsia="標楷體" w:hAnsi="Times New Roman" w:cs="Times New Roman"/>
        </w:rPr>
        <w:t>觀察</w:t>
      </w:r>
      <w:r w:rsidRPr="00F35DC4">
        <w:rPr>
          <w:rFonts w:ascii="Times New Roman" w:eastAsia="標楷體" w:hAnsi="Times New Roman" w:cs="Times New Roman" w:hint="eastAsia"/>
        </w:rPr>
        <w:t>台灣的</w:t>
      </w:r>
      <w:r w:rsidRPr="00F35DC4">
        <w:rPr>
          <w:rFonts w:ascii="Times New Roman" w:eastAsia="標楷體" w:hAnsi="Times New Roman" w:cs="Times New Roman"/>
        </w:rPr>
        <w:t>過去近</w:t>
      </w:r>
      <w:r w:rsidRPr="00F35DC4">
        <w:rPr>
          <w:rFonts w:ascii="Times New Roman" w:eastAsia="標楷體" w:hAnsi="Times New Roman" w:cs="Times New Roman"/>
        </w:rPr>
        <w:t>30</w:t>
      </w:r>
      <w:r w:rsidRPr="00F35DC4">
        <w:rPr>
          <w:rFonts w:ascii="Times New Roman" w:eastAsia="標楷體" w:hAnsi="Times New Roman" w:cs="Times New Roman"/>
        </w:rPr>
        <w:t>年外匯收支，與商品貿易相關的比重大致保持穩定，但外資與本國資金</w:t>
      </w:r>
      <w:r w:rsidRPr="00F35DC4">
        <w:rPr>
          <w:rFonts w:ascii="Times New Roman" w:eastAsia="標楷體" w:hAnsi="Times New Roman" w:cs="Times New Roman"/>
          <w:spacing w:val="-6"/>
        </w:rPr>
        <w:t>進出</w:t>
      </w:r>
      <w:r w:rsidRPr="00F35DC4">
        <w:rPr>
          <w:rFonts w:ascii="Times New Roman" w:eastAsia="標楷體" w:hAnsi="Times New Roman" w:cs="Times New Roman"/>
          <w:spacing w:val="-6"/>
        </w:rPr>
        <w:t>(</w:t>
      </w:r>
      <w:r w:rsidRPr="00F35DC4">
        <w:rPr>
          <w:rFonts w:ascii="Times New Roman" w:eastAsia="標楷體" w:hAnsi="Times New Roman" w:cs="Times New Roman"/>
          <w:spacing w:val="-6"/>
        </w:rPr>
        <w:t>含國人及國內廠商對外投資理財與外幣資金調度等</w:t>
      </w:r>
      <w:r w:rsidRPr="00F35DC4">
        <w:rPr>
          <w:rFonts w:ascii="Times New Roman" w:eastAsia="標楷體" w:hAnsi="Times New Roman" w:cs="Times New Roman"/>
          <w:spacing w:val="-6"/>
        </w:rPr>
        <w:t>)</w:t>
      </w:r>
      <w:r w:rsidRPr="00F35DC4">
        <w:rPr>
          <w:rFonts w:ascii="Times New Roman" w:eastAsia="標楷體" w:hAnsi="Times New Roman" w:cs="Times New Roman"/>
          <w:spacing w:val="-6"/>
        </w:rPr>
        <w:t>之跨境資本交易的比重則明顯</w:t>
      </w:r>
      <w:r w:rsidRPr="00F35DC4">
        <w:rPr>
          <w:rFonts w:ascii="Times New Roman" w:eastAsia="標楷體" w:hAnsi="Times New Roman" w:cs="Times New Roman" w:hint="eastAsia"/>
          <w:spacing w:val="-6"/>
        </w:rPr>
        <w:t>成長</w:t>
      </w:r>
      <w:r w:rsidRPr="00F35DC4">
        <w:rPr>
          <w:rFonts w:ascii="Times New Roman" w:eastAsia="標楷體" w:hAnsi="Times New Roman" w:cs="Times New Roman"/>
          <w:spacing w:val="-6"/>
        </w:rPr>
        <w:t>。</w:t>
      </w:r>
    </w:p>
  </w:footnote>
  <w:footnote w:id="8">
    <w:p w:rsidR="00007CD6" w:rsidRPr="00166ED7" w:rsidRDefault="00007CD6" w:rsidP="00D4338F">
      <w:pPr>
        <w:pStyle w:val="ab"/>
        <w:ind w:left="160" w:hangingChars="80" w:hanging="160"/>
        <w:jc w:val="both"/>
      </w:pPr>
      <w:r w:rsidRPr="00F35DC4">
        <w:rPr>
          <w:rStyle w:val="ad"/>
          <w:rFonts w:ascii="Times New Roman" w:eastAsia="標楷體" w:hAnsi="Times New Roman" w:cs="Times New Roman"/>
        </w:rPr>
        <w:footnoteRef/>
      </w:r>
      <w:r w:rsidRPr="00F35DC4">
        <w:rPr>
          <w:rFonts w:ascii="Times New Roman" w:eastAsia="標楷體" w:hAnsi="Times New Roman" w:cs="Times New Roman" w:hint="eastAsia"/>
        </w:rPr>
        <w:t xml:space="preserve"> </w:t>
      </w:r>
      <w:r w:rsidRPr="00F35DC4">
        <w:rPr>
          <w:rFonts w:ascii="Times New Roman" w:eastAsia="標楷體" w:hAnsi="Times New Roman" w:cs="Times New Roman"/>
        </w:rPr>
        <w:t>對小型開放經濟體而言，前述先進經濟體實施極寬鬆的貨幣政策，</w:t>
      </w:r>
      <w:r w:rsidRPr="00F35DC4">
        <w:rPr>
          <w:rFonts w:ascii="Times New Roman" w:eastAsia="標楷體" w:hAnsi="Times New Roman" w:cs="Times New Roman" w:hint="eastAsia"/>
        </w:rPr>
        <w:t>在</w:t>
      </w:r>
      <w:r w:rsidRPr="00F35DC4">
        <w:rPr>
          <w:rFonts w:ascii="Times New Roman" w:eastAsia="標楷體" w:hAnsi="Times New Roman" w:cs="Times New Roman"/>
        </w:rPr>
        <w:t>全球資本自由移動下，使得鉅額的跨境資本移動已對國內金融穩定帶來影響。</w:t>
      </w:r>
    </w:p>
  </w:footnote>
  <w:footnote w:id="9">
    <w:p w:rsidR="00007CD6" w:rsidRPr="00322304" w:rsidRDefault="00007CD6" w:rsidP="00D4338F">
      <w:pPr>
        <w:pStyle w:val="ab"/>
        <w:ind w:left="160" w:hangingChars="80" w:hanging="160"/>
        <w:jc w:val="both"/>
      </w:pPr>
      <w:r>
        <w:rPr>
          <w:rStyle w:val="ad"/>
        </w:rPr>
        <w:footnoteRef/>
      </w:r>
      <w:r>
        <w:rPr>
          <w:rFonts w:ascii="Times New Roman" w:eastAsia="標楷體" w:hAnsi="Times New Roman" w:cs="Times New Roman" w:hint="eastAsia"/>
        </w:rPr>
        <w:t xml:space="preserve"> </w:t>
      </w:r>
      <w:r w:rsidRPr="00322304">
        <w:rPr>
          <w:rFonts w:ascii="Times New Roman" w:eastAsia="標楷體" w:hAnsi="Times New Roman" w:cs="Times New Roman"/>
        </w:rPr>
        <w:t>就目前已核准的產業別來看，以「電子零組件、伺服器、網通設備」為首，此將可發揮資通訊及電子產業的產業聚落優勢，強化吸引外資直接投資，藉由技術及人才擴散效果，促進國內先進技術研發，協助台灣產業升級。</w:t>
      </w:r>
    </w:p>
  </w:footnote>
  <w:footnote w:id="10">
    <w:p w:rsidR="00007CD6" w:rsidRPr="00F35DC4" w:rsidRDefault="00007CD6" w:rsidP="00D4338F">
      <w:pPr>
        <w:pStyle w:val="ab"/>
        <w:ind w:left="238" w:hangingChars="119" w:hanging="238"/>
        <w:jc w:val="both"/>
        <w:rPr>
          <w:rFonts w:ascii="Times New Roman" w:eastAsia="標楷體" w:hAnsi="Times New Roman" w:cs="Times New Roman"/>
        </w:rPr>
      </w:pPr>
      <w:r w:rsidRPr="00F35DC4">
        <w:rPr>
          <w:rStyle w:val="ad"/>
          <w:rFonts w:ascii="Times New Roman" w:eastAsia="標楷體" w:hAnsi="Times New Roman" w:cs="Times New Roman"/>
        </w:rPr>
        <w:footnoteRef/>
      </w:r>
      <w:r w:rsidRPr="00F35DC4">
        <w:rPr>
          <w:rFonts w:ascii="Times New Roman" w:eastAsia="標楷體" w:hAnsi="Times New Roman" w:cs="Times New Roman" w:hint="eastAsia"/>
        </w:rPr>
        <w:t xml:space="preserve"> </w:t>
      </w:r>
      <w:r w:rsidRPr="00F35DC4">
        <w:rPr>
          <w:rFonts w:ascii="Times New Roman" w:eastAsia="標楷體" w:hAnsi="Times New Roman" w:cs="Times New Roman"/>
        </w:rPr>
        <w:t>跨國</w:t>
      </w:r>
      <w:proofErr w:type="gramStart"/>
      <w:r w:rsidRPr="00F35DC4">
        <w:rPr>
          <w:rFonts w:ascii="Times New Roman" w:eastAsia="標楷體" w:hAnsi="Times New Roman" w:cs="Times New Roman"/>
        </w:rPr>
        <w:t>併</w:t>
      </w:r>
      <w:proofErr w:type="gramEnd"/>
      <w:r w:rsidRPr="00F35DC4">
        <w:rPr>
          <w:rFonts w:ascii="Times New Roman" w:eastAsia="標楷體" w:hAnsi="Times New Roman" w:cs="Times New Roman"/>
        </w:rPr>
        <w:t>購等多角化的對外直接投資，主要以調整生產線或貼近終端市場為策略核心，透過全球多元化布局，分散生產基地及經營風險、可擴大市場及銷售網絡、強化跨國產業合作及供應鏈的經營。</w:t>
      </w:r>
    </w:p>
  </w:footnote>
  <w:footnote w:id="11">
    <w:p w:rsidR="00007CD6" w:rsidRPr="00F35DC4" w:rsidRDefault="00007CD6" w:rsidP="00D4338F">
      <w:pPr>
        <w:pStyle w:val="ab"/>
        <w:ind w:left="238" w:hangingChars="119" w:hanging="238"/>
        <w:jc w:val="both"/>
        <w:rPr>
          <w:rFonts w:ascii="Times New Roman" w:eastAsia="標楷體" w:hAnsi="Times New Roman" w:cs="Times New Roman"/>
        </w:rPr>
      </w:pPr>
      <w:r w:rsidRPr="00F35DC4">
        <w:rPr>
          <w:rStyle w:val="ad"/>
          <w:rFonts w:ascii="Times New Roman" w:eastAsia="標楷體" w:hAnsi="Times New Roman" w:cs="Times New Roman"/>
        </w:rPr>
        <w:footnoteRef/>
      </w:r>
      <w:r w:rsidRPr="00F35DC4">
        <w:rPr>
          <w:rFonts w:ascii="Times New Roman" w:eastAsia="標楷體" w:hAnsi="Times New Roman" w:cs="Times New Roman"/>
        </w:rPr>
        <w:t xml:space="preserve"> 2019</w:t>
      </w:r>
      <w:r w:rsidRPr="00F35DC4">
        <w:rPr>
          <w:rFonts w:ascii="Times New Roman" w:eastAsia="標楷體" w:hAnsi="Times New Roman" w:cs="Times New Roman"/>
        </w:rPr>
        <w:t>年</w:t>
      </w:r>
      <w:r w:rsidRPr="00F35DC4">
        <w:rPr>
          <w:rFonts w:ascii="Times New Roman" w:eastAsia="標楷體" w:hAnsi="Times New Roman" w:cs="Times New Roman" w:hint="eastAsia"/>
        </w:rPr>
        <w:t>5</w:t>
      </w:r>
      <w:r w:rsidRPr="00F35DC4">
        <w:rPr>
          <w:rFonts w:ascii="Times New Roman" w:eastAsia="標楷體" w:hAnsi="Times New Roman" w:cs="Times New Roman"/>
        </w:rPr>
        <w:t>月底國內債券市場發行餘額</w:t>
      </w:r>
      <w:r w:rsidRPr="00F35DC4">
        <w:rPr>
          <w:rFonts w:ascii="Times New Roman" w:eastAsia="標楷體" w:hAnsi="Times New Roman" w:cs="Times New Roman" w:hint="eastAsia"/>
        </w:rPr>
        <w:t>約</w:t>
      </w:r>
      <w:r w:rsidRPr="00F35DC4">
        <w:rPr>
          <w:rFonts w:ascii="Times New Roman" w:eastAsia="標楷體" w:hAnsi="Times New Roman" w:cs="Times New Roman"/>
        </w:rPr>
        <w:t>新台幣</w:t>
      </w:r>
      <w:r w:rsidRPr="00F35DC4">
        <w:rPr>
          <w:rFonts w:ascii="Times New Roman" w:eastAsia="標楷體" w:hAnsi="Times New Roman" w:cs="Times New Roman"/>
        </w:rPr>
        <w:t>8.</w:t>
      </w:r>
      <w:r w:rsidRPr="00F35DC4">
        <w:rPr>
          <w:rFonts w:ascii="Times New Roman" w:eastAsia="標楷體" w:hAnsi="Times New Roman" w:cs="Times New Roman" w:hint="eastAsia"/>
        </w:rPr>
        <w:t>88</w:t>
      </w:r>
      <w:r w:rsidRPr="00F35DC4">
        <w:rPr>
          <w:rFonts w:ascii="Times New Roman" w:eastAsia="標楷體" w:hAnsi="Times New Roman" w:cs="Times New Roman"/>
        </w:rPr>
        <w:t>兆</w:t>
      </w:r>
      <w:r w:rsidRPr="00F35DC4">
        <w:rPr>
          <w:rFonts w:ascii="Times New Roman" w:eastAsia="標楷體" w:hAnsi="Times New Roman" w:cs="Times New Roman"/>
        </w:rPr>
        <w:t>(</w:t>
      </w:r>
      <w:r w:rsidRPr="00F35DC4">
        <w:rPr>
          <w:rFonts w:ascii="Times New Roman" w:eastAsia="標楷體" w:hAnsi="Times New Roman" w:cs="Times New Roman"/>
        </w:rPr>
        <w:t>其中公債餘額不及新台幣</w:t>
      </w:r>
      <w:r w:rsidRPr="00F35DC4">
        <w:rPr>
          <w:rFonts w:ascii="Times New Roman" w:eastAsia="標楷體" w:hAnsi="Times New Roman" w:cs="Times New Roman"/>
        </w:rPr>
        <w:t>5.5</w:t>
      </w:r>
      <w:r w:rsidRPr="00F35DC4">
        <w:rPr>
          <w:rFonts w:ascii="Times New Roman" w:eastAsia="標楷體" w:hAnsi="Times New Roman" w:cs="Times New Roman"/>
        </w:rPr>
        <w:t>兆</w:t>
      </w:r>
      <w:r w:rsidRPr="00F35DC4">
        <w:rPr>
          <w:rFonts w:ascii="Times New Roman" w:eastAsia="標楷體" w:hAnsi="Times New Roman" w:cs="Times New Roman"/>
        </w:rPr>
        <w:t>)</w:t>
      </w:r>
      <w:r w:rsidRPr="00F35DC4">
        <w:rPr>
          <w:rFonts w:ascii="Times New Roman" w:eastAsia="標楷體" w:hAnsi="Times New Roman" w:cs="Times New Roman"/>
        </w:rPr>
        <w:t>，僅約壽險資產</w:t>
      </w:r>
      <w:r w:rsidRPr="00F35DC4">
        <w:rPr>
          <w:rFonts w:ascii="Times New Roman" w:eastAsia="標楷體" w:hAnsi="Times New Roman" w:cs="Times New Roman"/>
        </w:rPr>
        <w:t>(</w:t>
      </w:r>
      <w:r w:rsidRPr="00F35DC4">
        <w:rPr>
          <w:rFonts w:ascii="Times New Roman" w:eastAsia="標楷體" w:hAnsi="Times New Roman" w:cs="Times New Roman"/>
        </w:rPr>
        <w:t>新台幣</w:t>
      </w:r>
      <w:r w:rsidRPr="00F35DC4">
        <w:rPr>
          <w:rFonts w:ascii="Times New Roman" w:eastAsia="標楷體" w:hAnsi="Times New Roman" w:cs="Times New Roman" w:hint="eastAsia"/>
        </w:rPr>
        <w:t>28.25</w:t>
      </w:r>
      <w:r w:rsidRPr="00F35DC4">
        <w:rPr>
          <w:rFonts w:ascii="Times New Roman" w:eastAsia="標楷體" w:hAnsi="Times New Roman" w:cs="Times New Roman"/>
        </w:rPr>
        <w:t>兆</w:t>
      </w:r>
      <w:r w:rsidRPr="00F35DC4">
        <w:rPr>
          <w:rFonts w:ascii="Times New Roman" w:eastAsia="標楷體" w:hAnsi="Times New Roman" w:cs="Times New Roman"/>
        </w:rPr>
        <w:t>)</w:t>
      </w:r>
      <w:r w:rsidRPr="00F35DC4">
        <w:rPr>
          <w:rFonts w:ascii="Times New Roman" w:eastAsia="標楷體" w:hAnsi="Times New Roman" w:cs="Times New Roman"/>
        </w:rPr>
        <w:t>的</w:t>
      </w:r>
      <w:r w:rsidRPr="00F35DC4">
        <w:rPr>
          <w:rFonts w:ascii="Times New Roman" w:eastAsia="標楷體" w:hAnsi="Times New Roman" w:cs="Times New Roman" w:hint="eastAsia"/>
        </w:rPr>
        <w:t>31.4</w:t>
      </w:r>
      <w:r w:rsidRPr="00F35DC4">
        <w:rPr>
          <w:rFonts w:ascii="Times New Roman" w:eastAsia="標楷體" w:hAnsi="Times New Roman" w:cs="Times New Roman"/>
        </w:rPr>
        <w:t>%</w:t>
      </w:r>
      <w:r w:rsidRPr="00F35DC4">
        <w:rPr>
          <w:rFonts w:ascii="Times New Roman" w:eastAsia="標楷體" w:hAnsi="Times New Roman" w:cs="Times New Roman"/>
        </w:rPr>
        <w:t>。</w:t>
      </w:r>
    </w:p>
  </w:footnote>
  <w:footnote w:id="12">
    <w:p w:rsidR="00007CD6" w:rsidRPr="00376C33" w:rsidRDefault="00007CD6" w:rsidP="00D4338F">
      <w:pPr>
        <w:pStyle w:val="ab"/>
        <w:ind w:left="238" w:hangingChars="119" w:hanging="238"/>
        <w:jc w:val="both"/>
        <w:rPr>
          <w:rFonts w:ascii="Times New Roman" w:eastAsia="標楷體" w:hAnsi="Times New Roman" w:cs="Times New Roman"/>
        </w:rPr>
      </w:pPr>
      <w:r w:rsidRPr="00F35DC4">
        <w:rPr>
          <w:rStyle w:val="ad"/>
          <w:rFonts w:ascii="Times New Roman" w:eastAsia="標楷體" w:hAnsi="Times New Roman" w:cs="Times New Roman"/>
        </w:rPr>
        <w:footnoteRef/>
      </w:r>
      <w:r w:rsidRPr="00F35DC4">
        <w:rPr>
          <w:rFonts w:ascii="Times New Roman" w:eastAsia="標楷體" w:hAnsi="Times New Roman" w:cs="Times New Roman"/>
        </w:rPr>
        <w:t xml:space="preserve"> </w:t>
      </w:r>
      <w:r w:rsidRPr="00F35DC4">
        <w:rPr>
          <w:rFonts w:ascii="Times New Roman" w:eastAsia="標楷體" w:hAnsi="Times New Roman" w:cs="Times New Roman"/>
        </w:rPr>
        <w:t>以</w:t>
      </w:r>
      <w:r w:rsidRPr="00F35DC4">
        <w:rPr>
          <w:rFonts w:ascii="Times New Roman" w:eastAsia="標楷體" w:hAnsi="Times New Roman" w:cs="Times New Roman"/>
        </w:rPr>
        <w:t>2017</w:t>
      </w:r>
      <w:r w:rsidRPr="00F35DC4">
        <w:rPr>
          <w:rFonts w:ascii="Times New Roman" w:eastAsia="標楷體" w:hAnsi="Times New Roman" w:cs="Times New Roman"/>
        </w:rPr>
        <w:t>年為例，壽險業負債面的保險負債平均存續期間約</w:t>
      </w:r>
      <w:r w:rsidRPr="00F35DC4">
        <w:rPr>
          <w:rFonts w:ascii="Times New Roman" w:eastAsia="標楷體" w:hAnsi="Times New Roman" w:cs="Times New Roman"/>
        </w:rPr>
        <w:t>20</w:t>
      </w:r>
      <w:r w:rsidRPr="00F35DC4">
        <w:rPr>
          <w:rFonts w:ascii="Times New Roman" w:eastAsia="標楷體" w:hAnsi="Times New Roman" w:cs="Times New Roman"/>
        </w:rPr>
        <w:t>至</w:t>
      </w:r>
      <w:r w:rsidRPr="00F35DC4">
        <w:rPr>
          <w:rFonts w:ascii="Times New Roman" w:eastAsia="標楷體" w:hAnsi="Times New Roman" w:cs="Times New Roman"/>
        </w:rPr>
        <w:t>25</w:t>
      </w:r>
      <w:r w:rsidRPr="00F35DC4">
        <w:rPr>
          <w:rFonts w:ascii="Times New Roman" w:eastAsia="標楷體" w:hAnsi="Times New Roman" w:cs="Times New Roman"/>
        </w:rPr>
        <w:t>年，而資產面的投資平均存續期間約</w:t>
      </w:r>
      <w:r w:rsidRPr="00F35DC4">
        <w:rPr>
          <w:rFonts w:ascii="Times New Roman" w:eastAsia="標楷體" w:hAnsi="Times New Roman" w:cs="Times New Roman"/>
        </w:rPr>
        <w:t>8</w:t>
      </w:r>
      <w:r w:rsidRPr="00F35DC4">
        <w:rPr>
          <w:rFonts w:ascii="Times New Roman" w:eastAsia="標楷體" w:hAnsi="Times New Roman" w:cs="Times New Roman"/>
        </w:rPr>
        <w:t>至</w:t>
      </w:r>
      <w:r w:rsidRPr="00F35DC4">
        <w:rPr>
          <w:rFonts w:ascii="Times New Roman" w:eastAsia="標楷體" w:hAnsi="Times New Roman" w:cs="Times New Roman"/>
        </w:rPr>
        <w:t>10</w:t>
      </w:r>
      <w:r w:rsidRPr="00F35DC4">
        <w:rPr>
          <w:rFonts w:ascii="Times New Roman" w:eastAsia="標楷體" w:hAnsi="Times New Roman" w:cs="Times New Roman"/>
        </w:rPr>
        <w:t>年。</w:t>
      </w:r>
    </w:p>
  </w:footnote>
  <w:footnote w:id="13">
    <w:p w:rsidR="00007CD6" w:rsidRPr="00376C33" w:rsidRDefault="00007CD6" w:rsidP="00D4338F">
      <w:pPr>
        <w:pStyle w:val="ab"/>
        <w:ind w:left="238" w:hangingChars="119" w:hanging="238"/>
        <w:jc w:val="both"/>
      </w:pPr>
      <w:r w:rsidRPr="00376C33">
        <w:rPr>
          <w:rStyle w:val="ad"/>
          <w:rFonts w:ascii="Times New Roman" w:eastAsia="標楷體" w:hAnsi="Times New Roman" w:cs="Times New Roman"/>
        </w:rPr>
        <w:footnoteRef/>
      </w:r>
      <w:r>
        <w:rPr>
          <w:rFonts w:ascii="Times New Roman" w:eastAsia="標楷體" w:hAnsi="Times New Roman" w:cs="Times New Roman" w:hint="eastAsia"/>
        </w:rPr>
        <w:t xml:space="preserve"> </w:t>
      </w:r>
      <w:r w:rsidRPr="00376C33">
        <w:rPr>
          <w:rFonts w:ascii="Times New Roman" w:eastAsia="標楷體" w:hAnsi="Times New Roman" w:cs="Times New Roman"/>
        </w:rPr>
        <w:t>換言之，國內部分超額儲蓄已透過金融帳開放及國人資產配置成為我國國外淨債權一部分，有助提升國人資金運用效率。</w:t>
      </w:r>
    </w:p>
  </w:footnote>
  <w:footnote w:id="14">
    <w:p w:rsidR="00007CD6" w:rsidRPr="00D5023F" w:rsidRDefault="00007CD6" w:rsidP="00D4338F">
      <w:pPr>
        <w:pStyle w:val="ab"/>
        <w:ind w:left="238" w:hangingChars="119" w:hanging="238"/>
        <w:jc w:val="both"/>
        <w:rPr>
          <w:rFonts w:ascii="Times New Roman" w:eastAsia="標楷體" w:hAnsi="Times New Roman" w:cs="Times New Roman"/>
        </w:rPr>
      </w:pPr>
      <w:r w:rsidRPr="00D5023F">
        <w:rPr>
          <w:rStyle w:val="ad"/>
          <w:rFonts w:ascii="Times New Roman" w:eastAsia="標楷體" w:hAnsi="Times New Roman" w:cs="Times New Roman"/>
        </w:rPr>
        <w:footnoteRef/>
      </w:r>
      <w:r>
        <w:rPr>
          <w:rFonts w:ascii="Times New Roman" w:eastAsia="標楷體" w:hAnsi="Times New Roman" w:cs="Times New Roman" w:hint="eastAsia"/>
        </w:rPr>
        <w:t xml:space="preserve"> </w:t>
      </w:r>
      <w:r w:rsidRPr="00AE3502">
        <w:rPr>
          <w:rFonts w:ascii="Times New Roman" w:eastAsia="標楷體" w:hAnsi="Times New Roman" w:cs="Times New Roman" w:hint="eastAsia"/>
        </w:rPr>
        <w:t>如</w:t>
      </w:r>
      <w:r w:rsidRPr="00AE3502">
        <w:rPr>
          <w:rFonts w:ascii="Times New Roman" w:eastAsia="標楷體" w:hAnsi="Times New Roman" w:cs="Times New Roman" w:hint="eastAsia"/>
        </w:rPr>
        <w:t>2016</w:t>
      </w:r>
      <w:r w:rsidRPr="00AE3502">
        <w:rPr>
          <w:rFonts w:ascii="Times New Roman" w:eastAsia="標楷體" w:hAnsi="Times New Roman" w:cs="Times New Roman" w:hint="eastAsia"/>
        </w:rPr>
        <w:t>年底，全球前</w:t>
      </w:r>
      <w:r w:rsidRPr="00AE3502">
        <w:rPr>
          <w:rFonts w:ascii="Times New Roman" w:eastAsia="標楷體" w:hAnsi="Times New Roman" w:cs="Times New Roman" w:hint="eastAsia"/>
        </w:rPr>
        <w:t>20</w:t>
      </w:r>
      <w:r w:rsidRPr="00AE3502">
        <w:rPr>
          <w:rFonts w:ascii="Times New Roman" w:eastAsia="標楷體" w:hAnsi="Times New Roman" w:cs="Times New Roman" w:hint="eastAsia"/>
        </w:rPr>
        <w:t>大業者之管理資產規模比重高達</w:t>
      </w:r>
      <w:r w:rsidRPr="00AE3502">
        <w:rPr>
          <w:rFonts w:ascii="Times New Roman" w:eastAsia="標楷體" w:hAnsi="Times New Roman" w:cs="Times New Roman" w:hint="eastAsia"/>
        </w:rPr>
        <w:t>42.3%</w:t>
      </w:r>
      <w:r>
        <w:rPr>
          <w:rFonts w:ascii="Times New Roman" w:eastAsia="標楷體" w:hAnsi="Times New Roman" w:cs="Times New Roman" w:hint="eastAsia"/>
        </w:rPr>
        <w:t>。</w:t>
      </w:r>
    </w:p>
  </w:footnote>
  <w:footnote w:id="15">
    <w:p w:rsidR="00007CD6" w:rsidRPr="003B4ED3" w:rsidRDefault="00007CD6" w:rsidP="00D4338F">
      <w:pPr>
        <w:pStyle w:val="ab"/>
        <w:ind w:left="238" w:hangingChars="119" w:hanging="238"/>
        <w:jc w:val="both"/>
        <w:rPr>
          <w:rFonts w:ascii="Times New Roman" w:eastAsia="標楷體" w:hAnsi="Times New Roman" w:cs="Times New Roman"/>
        </w:rPr>
      </w:pPr>
      <w:r w:rsidRPr="003B4ED3">
        <w:rPr>
          <w:rStyle w:val="ad"/>
          <w:rFonts w:ascii="Times New Roman" w:eastAsia="標楷體" w:hAnsi="Times New Roman" w:cs="Times New Roman"/>
        </w:rPr>
        <w:footnoteRef/>
      </w:r>
      <w:r>
        <w:rPr>
          <w:rFonts w:ascii="Times New Roman" w:eastAsia="標楷體" w:hAnsi="Times New Roman" w:cs="Times New Roman" w:hint="eastAsia"/>
        </w:rPr>
        <w:t xml:space="preserve"> </w:t>
      </w:r>
      <w:r w:rsidRPr="003B4ED3">
        <w:rPr>
          <w:rFonts w:ascii="Times New Roman" w:eastAsia="標楷體" w:hAnsi="Times New Roman" w:cs="Times New Roman"/>
        </w:rPr>
        <w:t>本行實證研究顯示，資本累積增加及貿易開放度提高有助台灣生產力的提升。參見吳俊毅、林依伶</w:t>
      </w:r>
      <w:r w:rsidRPr="003B4ED3">
        <w:rPr>
          <w:rFonts w:ascii="Times New Roman" w:eastAsia="標楷體" w:hAnsi="Times New Roman" w:cs="Times New Roman"/>
        </w:rPr>
        <w:t>(2018)</w:t>
      </w:r>
      <w:r w:rsidRPr="003B4ED3">
        <w:rPr>
          <w:rFonts w:ascii="Times New Roman" w:eastAsia="標楷體" w:hAnsi="Times New Roman" w:cs="Times New Roman"/>
        </w:rPr>
        <w:t>，「生產力與新台幣匯率關係之探討」，《中央銀行季刊》，第</w:t>
      </w:r>
      <w:r w:rsidRPr="003B4ED3">
        <w:rPr>
          <w:rFonts w:ascii="Times New Roman" w:eastAsia="標楷體" w:hAnsi="Times New Roman" w:cs="Times New Roman"/>
        </w:rPr>
        <w:t>40</w:t>
      </w:r>
      <w:r w:rsidRPr="003B4ED3">
        <w:rPr>
          <w:rFonts w:ascii="Times New Roman" w:eastAsia="標楷體" w:hAnsi="Times New Roman" w:cs="Times New Roman"/>
        </w:rPr>
        <w:t>卷第</w:t>
      </w:r>
      <w:r w:rsidRPr="003B4ED3">
        <w:rPr>
          <w:rFonts w:ascii="Times New Roman" w:eastAsia="標楷體" w:hAnsi="Times New Roman" w:cs="Times New Roman"/>
        </w:rPr>
        <w:t>2</w:t>
      </w:r>
      <w:r w:rsidRPr="003B4ED3">
        <w:rPr>
          <w:rFonts w:ascii="Times New Roman" w:eastAsia="標楷體" w:hAnsi="Times New Roman" w:cs="Times New Roman"/>
        </w:rPr>
        <w:t>期，</w:t>
      </w:r>
      <w:r w:rsidRPr="003B4ED3">
        <w:rPr>
          <w:rFonts w:ascii="Times New Roman" w:eastAsia="標楷體" w:hAnsi="Times New Roman" w:cs="Times New Roman"/>
        </w:rPr>
        <w:t>p.33-70</w:t>
      </w:r>
      <w:r w:rsidRPr="003B4ED3">
        <w:rPr>
          <w:rFonts w:ascii="Times New Roman" w:eastAsia="標楷體" w:hAnsi="Times New Roman" w:cs="Times New Roman"/>
        </w:rPr>
        <w:t>，樣本期間為</w:t>
      </w:r>
      <w:r w:rsidRPr="003B4ED3">
        <w:rPr>
          <w:rFonts w:ascii="Times New Roman" w:eastAsia="標楷體" w:hAnsi="Times New Roman" w:cs="Times New Roman"/>
        </w:rPr>
        <w:t>1986</w:t>
      </w:r>
      <w:r w:rsidRPr="003B4ED3">
        <w:rPr>
          <w:rFonts w:ascii="Times New Roman" w:eastAsia="標楷體" w:hAnsi="Times New Roman" w:cs="Times New Roman"/>
        </w:rPr>
        <w:t>至</w:t>
      </w:r>
      <w:r w:rsidRPr="003B4ED3">
        <w:rPr>
          <w:rFonts w:ascii="Times New Roman" w:eastAsia="標楷體" w:hAnsi="Times New Roman" w:cs="Times New Roman"/>
        </w:rPr>
        <w:t>2016</w:t>
      </w:r>
      <w:r w:rsidRPr="003B4ED3">
        <w:rPr>
          <w:rFonts w:ascii="Times New Roman" w:eastAsia="標楷體" w:hAnsi="Times New Roman" w:cs="Times New Roman"/>
        </w:rPr>
        <w:t>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CD6" w:rsidRDefault="00007CD6" w:rsidP="00726BAE">
    <w:pPr>
      <w:pStyle w:val="a3"/>
      <w:spacing w:before="120"/>
      <w:ind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CD6" w:rsidRDefault="00007CD6" w:rsidP="005E5E9C">
    <w:pPr>
      <w:pStyle w:val="a3"/>
      <w:spacing w:before="120"/>
      <w:ind w:firstLine="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CD6" w:rsidRDefault="00007CD6" w:rsidP="00726BAE">
    <w:pPr>
      <w:pStyle w:val="a3"/>
      <w:spacing w:before="120"/>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A92"/>
    <w:multiLevelType w:val="hybridMultilevel"/>
    <w:tmpl w:val="0C8E253E"/>
    <w:lvl w:ilvl="0" w:tplc="043CAF12">
      <w:start w:val="1"/>
      <w:numFmt w:val="taiwaneseCountingThousand"/>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04651A"/>
    <w:multiLevelType w:val="hybridMultilevel"/>
    <w:tmpl w:val="C966C8FC"/>
    <w:lvl w:ilvl="0" w:tplc="04090015">
      <w:start w:val="1"/>
      <w:numFmt w:val="taiwaneseCountingThousand"/>
      <w:lvlText w:val="%1、"/>
      <w:lvlJc w:val="left"/>
      <w:pPr>
        <w:ind w:left="480" w:hanging="480"/>
      </w:pPr>
      <w:rPr>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1D95B66"/>
    <w:multiLevelType w:val="hybridMultilevel"/>
    <w:tmpl w:val="EA60EB06"/>
    <w:lvl w:ilvl="0" w:tplc="F0E4EAA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CFF210D"/>
    <w:multiLevelType w:val="hybridMultilevel"/>
    <w:tmpl w:val="1766ECE4"/>
    <w:lvl w:ilvl="0" w:tplc="C458F9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7C904DB"/>
    <w:multiLevelType w:val="hybridMultilevel"/>
    <w:tmpl w:val="71B6F75E"/>
    <w:lvl w:ilvl="0" w:tplc="1F102910">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nsid w:val="40716430"/>
    <w:multiLevelType w:val="hybridMultilevel"/>
    <w:tmpl w:val="C5748438"/>
    <w:lvl w:ilvl="0" w:tplc="8B78FFDC">
      <w:start w:val="3"/>
      <w:numFmt w:val="bullet"/>
      <w:lvlText w:val="‒"/>
      <w:lvlJc w:val="left"/>
      <w:pPr>
        <w:ind w:left="480" w:hanging="480"/>
      </w:pPr>
      <w:rPr>
        <w:rFonts w:ascii="Times New Roman" w:eastAsia="標楷體" w:hAnsi="Times New Roman" w:cs="Times New Roman"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42BA184D"/>
    <w:multiLevelType w:val="hybridMultilevel"/>
    <w:tmpl w:val="71B6F75E"/>
    <w:lvl w:ilvl="0" w:tplc="1F102910">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nsid w:val="46295F6B"/>
    <w:multiLevelType w:val="hybridMultilevel"/>
    <w:tmpl w:val="71B6F75E"/>
    <w:lvl w:ilvl="0" w:tplc="1F102910">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nsid w:val="465027D6"/>
    <w:multiLevelType w:val="hybridMultilevel"/>
    <w:tmpl w:val="598CC50A"/>
    <w:lvl w:ilvl="0" w:tplc="C78CE7A8">
      <w:start w:val="1"/>
      <w:numFmt w:val="taiwaneseCountingThousand"/>
      <w:lvlText w:val="%1、"/>
      <w:lvlJc w:val="left"/>
      <w:pPr>
        <w:ind w:left="906" w:hanging="480"/>
      </w:pPr>
      <w:rPr>
        <w:rFonts w:ascii="標楷體" w:eastAsia="標楷體" w:hAnsi="標楷體"/>
        <w:sz w:val="28"/>
        <w:szCs w:val="28"/>
        <w:lang w:val="en-US"/>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828" w:hanging="480"/>
      </w:pPr>
    </w:lvl>
    <w:lvl w:ilvl="3" w:tplc="0409000F" w:tentative="1">
      <w:start w:val="1"/>
      <w:numFmt w:val="decimal"/>
      <w:lvlText w:val="%4."/>
      <w:lvlJc w:val="left"/>
      <w:pPr>
        <w:ind w:left="-348" w:hanging="480"/>
      </w:pPr>
    </w:lvl>
    <w:lvl w:ilvl="4" w:tplc="04090019" w:tentative="1">
      <w:start w:val="1"/>
      <w:numFmt w:val="ideographTraditional"/>
      <w:lvlText w:val="%5、"/>
      <w:lvlJc w:val="left"/>
      <w:pPr>
        <w:ind w:left="132" w:hanging="480"/>
      </w:pPr>
    </w:lvl>
    <w:lvl w:ilvl="5" w:tplc="0409001B" w:tentative="1">
      <w:start w:val="1"/>
      <w:numFmt w:val="lowerRoman"/>
      <w:lvlText w:val="%6."/>
      <w:lvlJc w:val="right"/>
      <w:pPr>
        <w:ind w:left="612" w:hanging="480"/>
      </w:pPr>
    </w:lvl>
    <w:lvl w:ilvl="6" w:tplc="0409000F" w:tentative="1">
      <w:start w:val="1"/>
      <w:numFmt w:val="decimal"/>
      <w:lvlText w:val="%7."/>
      <w:lvlJc w:val="left"/>
      <w:pPr>
        <w:ind w:left="1092" w:hanging="480"/>
      </w:pPr>
    </w:lvl>
    <w:lvl w:ilvl="7" w:tplc="04090019" w:tentative="1">
      <w:start w:val="1"/>
      <w:numFmt w:val="ideographTraditional"/>
      <w:lvlText w:val="%8、"/>
      <w:lvlJc w:val="left"/>
      <w:pPr>
        <w:ind w:left="1572" w:hanging="480"/>
      </w:pPr>
    </w:lvl>
    <w:lvl w:ilvl="8" w:tplc="0409001B" w:tentative="1">
      <w:start w:val="1"/>
      <w:numFmt w:val="lowerRoman"/>
      <w:lvlText w:val="%9."/>
      <w:lvlJc w:val="right"/>
      <w:pPr>
        <w:ind w:left="2052" w:hanging="480"/>
      </w:pPr>
    </w:lvl>
  </w:abstractNum>
  <w:abstractNum w:abstractNumId="9">
    <w:nsid w:val="4C954702"/>
    <w:multiLevelType w:val="hybridMultilevel"/>
    <w:tmpl w:val="D9B6A016"/>
    <w:lvl w:ilvl="0" w:tplc="1D34AA48">
      <w:start w:val="1"/>
      <w:numFmt w:val="taiwaneseCountingThousand"/>
      <w:lvlText w:val="(%1)"/>
      <w:lvlJc w:val="left"/>
      <w:pPr>
        <w:ind w:left="477" w:hanging="480"/>
      </w:pPr>
      <w:rPr>
        <w:rFonts w:ascii="Times New Roman" w:hAnsi="Times New Roman" w:cs="Times New Roman" w:hint="default"/>
        <w:sz w:val="28"/>
        <w:szCs w:val="28"/>
      </w:rPr>
    </w:lvl>
    <w:lvl w:ilvl="1" w:tplc="04090019" w:tentative="1">
      <w:start w:val="1"/>
      <w:numFmt w:val="ideographTraditional"/>
      <w:lvlText w:val="%2、"/>
      <w:lvlJc w:val="left"/>
      <w:pPr>
        <w:ind w:left="957" w:hanging="480"/>
      </w:pPr>
    </w:lvl>
    <w:lvl w:ilvl="2" w:tplc="0409001B" w:tentative="1">
      <w:start w:val="1"/>
      <w:numFmt w:val="lowerRoman"/>
      <w:lvlText w:val="%3."/>
      <w:lvlJc w:val="right"/>
      <w:pPr>
        <w:ind w:left="1437" w:hanging="480"/>
      </w:pPr>
    </w:lvl>
    <w:lvl w:ilvl="3" w:tplc="0409000F" w:tentative="1">
      <w:start w:val="1"/>
      <w:numFmt w:val="decimal"/>
      <w:lvlText w:val="%4."/>
      <w:lvlJc w:val="left"/>
      <w:pPr>
        <w:ind w:left="1917" w:hanging="480"/>
      </w:pPr>
    </w:lvl>
    <w:lvl w:ilvl="4" w:tplc="04090019" w:tentative="1">
      <w:start w:val="1"/>
      <w:numFmt w:val="ideographTraditional"/>
      <w:lvlText w:val="%5、"/>
      <w:lvlJc w:val="left"/>
      <w:pPr>
        <w:ind w:left="2397" w:hanging="480"/>
      </w:pPr>
    </w:lvl>
    <w:lvl w:ilvl="5" w:tplc="0409001B" w:tentative="1">
      <w:start w:val="1"/>
      <w:numFmt w:val="lowerRoman"/>
      <w:lvlText w:val="%6."/>
      <w:lvlJc w:val="right"/>
      <w:pPr>
        <w:ind w:left="2877" w:hanging="480"/>
      </w:pPr>
    </w:lvl>
    <w:lvl w:ilvl="6" w:tplc="0409000F" w:tentative="1">
      <w:start w:val="1"/>
      <w:numFmt w:val="decimal"/>
      <w:lvlText w:val="%7."/>
      <w:lvlJc w:val="left"/>
      <w:pPr>
        <w:ind w:left="3357" w:hanging="480"/>
      </w:pPr>
    </w:lvl>
    <w:lvl w:ilvl="7" w:tplc="04090019" w:tentative="1">
      <w:start w:val="1"/>
      <w:numFmt w:val="ideographTraditional"/>
      <w:lvlText w:val="%8、"/>
      <w:lvlJc w:val="left"/>
      <w:pPr>
        <w:ind w:left="3837" w:hanging="480"/>
      </w:pPr>
    </w:lvl>
    <w:lvl w:ilvl="8" w:tplc="0409001B" w:tentative="1">
      <w:start w:val="1"/>
      <w:numFmt w:val="lowerRoman"/>
      <w:lvlText w:val="%9."/>
      <w:lvlJc w:val="right"/>
      <w:pPr>
        <w:ind w:left="4317" w:hanging="480"/>
      </w:pPr>
    </w:lvl>
  </w:abstractNum>
  <w:abstractNum w:abstractNumId="10">
    <w:nsid w:val="565E2B71"/>
    <w:multiLevelType w:val="hybridMultilevel"/>
    <w:tmpl w:val="F968937A"/>
    <w:lvl w:ilvl="0" w:tplc="D5A2486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4AC574D"/>
    <w:multiLevelType w:val="hybridMultilevel"/>
    <w:tmpl w:val="8A52FCA0"/>
    <w:lvl w:ilvl="0" w:tplc="511E4C7C">
      <w:start w:val="1"/>
      <w:numFmt w:val="taiwaneseCountingThousand"/>
      <w:lvlText w:val="(%1)"/>
      <w:lvlJc w:val="left"/>
      <w:pPr>
        <w:ind w:left="477"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57" w:hanging="480"/>
      </w:pPr>
    </w:lvl>
    <w:lvl w:ilvl="2" w:tplc="0409001B" w:tentative="1">
      <w:start w:val="1"/>
      <w:numFmt w:val="lowerRoman"/>
      <w:lvlText w:val="%3."/>
      <w:lvlJc w:val="right"/>
      <w:pPr>
        <w:ind w:left="1437" w:hanging="480"/>
      </w:pPr>
    </w:lvl>
    <w:lvl w:ilvl="3" w:tplc="0409000F" w:tentative="1">
      <w:start w:val="1"/>
      <w:numFmt w:val="decimal"/>
      <w:lvlText w:val="%4."/>
      <w:lvlJc w:val="left"/>
      <w:pPr>
        <w:ind w:left="1917" w:hanging="480"/>
      </w:pPr>
    </w:lvl>
    <w:lvl w:ilvl="4" w:tplc="04090019" w:tentative="1">
      <w:start w:val="1"/>
      <w:numFmt w:val="ideographTraditional"/>
      <w:lvlText w:val="%5、"/>
      <w:lvlJc w:val="left"/>
      <w:pPr>
        <w:ind w:left="2397" w:hanging="480"/>
      </w:pPr>
    </w:lvl>
    <w:lvl w:ilvl="5" w:tplc="0409001B" w:tentative="1">
      <w:start w:val="1"/>
      <w:numFmt w:val="lowerRoman"/>
      <w:lvlText w:val="%6."/>
      <w:lvlJc w:val="right"/>
      <w:pPr>
        <w:ind w:left="2877" w:hanging="480"/>
      </w:pPr>
    </w:lvl>
    <w:lvl w:ilvl="6" w:tplc="0409000F" w:tentative="1">
      <w:start w:val="1"/>
      <w:numFmt w:val="decimal"/>
      <w:lvlText w:val="%7."/>
      <w:lvlJc w:val="left"/>
      <w:pPr>
        <w:ind w:left="3357" w:hanging="480"/>
      </w:pPr>
    </w:lvl>
    <w:lvl w:ilvl="7" w:tplc="04090019" w:tentative="1">
      <w:start w:val="1"/>
      <w:numFmt w:val="ideographTraditional"/>
      <w:lvlText w:val="%8、"/>
      <w:lvlJc w:val="left"/>
      <w:pPr>
        <w:ind w:left="3837" w:hanging="480"/>
      </w:pPr>
    </w:lvl>
    <w:lvl w:ilvl="8" w:tplc="0409001B" w:tentative="1">
      <w:start w:val="1"/>
      <w:numFmt w:val="lowerRoman"/>
      <w:lvlText w:val="%9."/>
      <w:lvlJc w:val="right"/>
      <w:pPr>
        <w:ind w:left="4317" w:hanging="480"/>
      </w:pPr>
    </w:lvl>
  </w:abstractNum>
  <w:abstractNum w:abstractNumId="12">
    <w:nsid w:val="72323A17"/>
    <w:multiLevelType w:val="hybridMultilevel"/>
    <w:tmpl w:val="71B6F75E"/>
    <w:lvl w:ilvl="0" w:tplc="1F102910">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3">
    <w:nsid w:val="7A05659B"/>
    <w:multiLevelType w:val="hybridMultilevel"/>
    <w:tmpl w:val="0C8E253E"/>
    <w:lvl w:ilvl="0" w:tplc="043CAF12">
      <w:start w:val="1"/>
      <w:numFmt w:val="taiwaneseCountingThousand"/>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3"/>
  </w:num>
  <w:num w:numId="5">
    <w:abstractNumId w:val="11"/>
  </w:num>
  <w:num w:numId="6">
    <w:abstractNumId w:val="9"/>
  </w:num>
  <w:num w:numId="7">
    <w:abstractNumId w:val="5"/>
  </w:num>
  <w:num w:numId="8">
    <w:abstractNumId w:val="2"/>
  </w:num>
  <w:num w:numId="9">
    <w:abstractNumId w:val="13"/>
  </w:num>
  <w:num w:numId="10">
    <w:abstractNumId w:val="12"/>
  </w:num>
  <w:num w:numId="11">
    <w:abstractNumId w:val="10"/>
  </w:num>
  <w:num w:numId="12">
    <w:abstractNumId w:val="7"/>
  </w:num>
  <w:num w:numId="13">
    <w:abstractNumId w:val="6"/>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0"/>
  <w:drawingGridHorizontalSpacing w:val="140"/>
  <w:drawingGridVerticalSpacing w:val="26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464"/>
    <w:rsid w:val="0000073B"/>
    <w:rsid w:val="00001FA2"/>
    <w:rsid w:val="00006C4D"/>
    <w:rsid w:val="0000736F"/>
    <w:rsid w:val="00007CD6"/>
    <w:rsid w:val="00012253"/>
    <w:rsid w:val="00015BDE"/>
    <w:rsid w:val="00016CFF"/>
    <w:rsid w:val="00017519"/>
    <w:rsid w:val="00020711"/>
    <w:rsid w:val="00024680"/>
    <w:rsid w:val="000251CF"/>
    <w:rsid w:val="000315D1"/>
    <w:rsid w:val="000317A9"/>
    <w:rsid w:val="0003217D"/>
    <w:rsid w:val="00034F3B"/>
    <w:rsid w:val="0003567A"/>
    <w:rsid w:val="00050D75"/>
    <w:rsid w:val="00056EE4"/>
    <w:rsid w:val="00057FC6"/>
    <w:rsid w:val="00061A23"/>
    <w:rsid w:val="000644BA"/>
    <w:rsid w:val="00065DDA"/>
    <w:rsid w:val="000660F0"/>
    <w:rsid w:val="00070563"/>
    <w:rsid w:val="000709F2"/>
    <w:rsid w:val="000713D6"/>
    <w:rsid w:val="00071E33"/>
    <w:rsid w:val="00073CB5"/>
    <w:rsid w:val="0007462E"/>
    <w:rsid w:val="0008067A"/>
    <w:rsid w:val="00082523"/>
    <w:rsid w:val="0008345F"/>
    <w:rsid w:val="000922F8"/>
    <w:rsid w:val="00092FF3"/>
    <w:rsid w:val="000932F7"/>
    <w:rsid w:val="00095238"/>
    <w:rsid w:val="00095625"/>
    <w:rsid w:val="000B0F97"/>
    <w:rsid w:val="000B3478"/>
    <w:rsid w:val="000B3527"/>
    <w:rsid w:val="000B43A9"/>
    <w:rsid w:val="000B48BF"/>
    <w:rsid w:val="000B5252"/>
    <w:rsid w:val="000B7062"/>
    <w:rsid w:val="000C0389"/>
    <w:rsid w:val="000D05F6"/>
    <w:rsid w:val="000D46E5"/>
    <w:rsid w:val="000D4CB2"/>
    <w:rsid w:val="000D75F3"/>
    <w:rsid w:val="000E05EF"/>
    <w:rsid w:val="000E212E"/>
    <w:rsid w:val="000E70E6"/>
    <w:rsid w:val="000F5A2F"/>
    <w:rsid w:val="0010265F"/>
    <w:rsid w:val="00104162"/>
    <w:rsid w:val="001075CC"/>
    <w:rsid w:val="00113142"/>
    <w:rsid w:val="00115735"/>
    <w:rsid w:val="0012080C"/>
    <w:rsid w:val="00125C6C"/>
    <w:rsid w:val="00127404"/>
    <w:rsid w:val="0012740D"/>
    <w:rsid w:val="00133AE2"/>
    <w:rsid w:val="00133C06"/>
    <w:rsid w:val="00141185"/>
    <w:rsid w:val="00142A10"/>
    <w:rsid w:val="00143241"/>
    <w:rsid w:val="00143B1A"/>
    <w:rsid w:val="00145380"/>
    <w:rsid w:val="001473F3"/>
    <w:rsid w:val="00152545"/>
    <w:rsid w:val="001566C8"/>
    <w:rsid w:val="00160168"/>
    <w:rsid w:val="00160A70"/>
    <w:rsid w:val="00161850"/>
    <w:rsid w:val="00161BE3"/>
    <w:rsid w:val="001624EA"/>
    <w:rsid w:val="00163C66"/>
    <w:rsid w:val="001650F5"/>
    <w:rsid w:val="00165C23"/>
    <w:rsid w:val="00166ED7"/>
    <w:rsid w:val="001700C2"/>
    <w:rsid w:val="00175DE0"/>
    <w:rsid w:val="00180C70"/>
    <w:rsid w:val="00186D7D"/>
    <w:rsid w:val="00190143"/>
    <w:rsid w:val="0019031C"/>
    <w:rsid w:val="001A15C8"/>
    <w:rsid w:val="001A1C60"/>
    <w:rsid w:val="001A2583"/>
    <w:rsid w:val="001B0E91"/>
    <w:rsid w:val="001B1CB3"/>
    <w:rsid w:val="001C2E93"/>
    <w:rsid w:val="001C3BF0"/>
    <w:rsid w:val="001D0680"/>
    <w:rsid w:val="001D2EA2"/>
    <w:rsid w:val="001D72EB"/>
    <w:rsid w:val="001E0909"/>
    <w:rsid w:val="001E1CA1"/>
    <w:rsid w:val="001E5082"/>
    <w:rsid w:val="001E51C4"/>
    <w:rsid w:val="001F1B67"/>
    <w:rsid w:val="001F72DE"/>
    <w:rsid w:val="001F7CF1"/>
    <w:rsid w:val="001F7E77"/>
    <w:rsid w:val="00204FF4"/>
    <w:rsid w:val="00205640"/>
    <w:rsid w:val="00214BFD"/>
    <w:rsid w:val="00217B51"/>
    <w:rsid w:val="00220D72"/>
    <w:rsid w:val="00221C97"/>
    <w:rsid w:val="00221D64"/>
    <w:rsid w:val="00222D50"/>
    <w:rsid w:val="00232EE0"/>
    <w:rsid w:val="00234467"/>
    <w:rsid w:val="00237726"/>
    <w:rsid w:val="0024015F"/>
    <w:rsid w:val="002403B7"/>
    <w:rsid w:val="00242BF9"/>
    <w:rsid w:val="002460E7"/>
    <w:rsid w:val="00250F4D"/>
    <w:rsid w:val="002541C4"/>
    <w:rsid w:val="0025592C"/>
    <w:rsid w:val="00255A31"/>
    <w:rsid w:val="00256507"/>
    <w:rsid w:val="002650D5"/>
    <w:rsid w:val="00270DA9"/>
    <w:rsid w:val="00276CF4"/>
    <w:rsid w:val="002870C4"/>
    <w:rsid w:val="002879C1"/>
    <w:rsid w:val="002A1189"/>
    <w:rsid w:val="002B27BE"/>
    <w:rsid w:val="002B2C65"/>
    <w:rsid w:val="002B2C8B"/>
    <w:rsid w:val="002B411A"/>
    <w:rsid w:val="002C1A41"/>
    <w:rsid w:val="002C1AB7"/>
    <w:rsid w:val="002C372A"/>
    <w:rsid w:val="002C3B3F"/>
    <w:rsid w:val="002C54B8"/>
    <w:rsid w:val="002C60C6"/>
    <w:rsid w:val="002D22C4"/>
    <w:rsid w:val="002D5C1F"/>
    <w:rsid w:val="002E469A"/>
    <w:rsid w:val="002E725A"/>
    <w:rsid w:val="002F01FE"/>
    <w:rsid w:val="002F1DCE"/>
    <w:rsid w:val="002F3F96"/>
    <w:rsid w:val="002F43D0"/>
    <w:rsid w:val="002F662C"/>
    <w:rsid w:val="002F7F8F"/>
    <w:rsid w:val="00305037"/>
    <w:rsid w:val="00321287"/>
    <w:rsid w:val="00322304"/>
    <w:rsid w:val="003224D1"/>
    <w:rsid w:val="00322C55"/>
    <w:rsid w:val="00325D7C"/>
    <w:rsid w:val="00327774"/>
    <w:rsid w:val="00327AD2"/>
    <w:rsid w:val="00327ADC"/>
    <w:rsid w:val="00332DFD"/>
    <w:rsid w:val="00334125"/>
    <w:rsid w:val="00337850"/>
    <w:rsid w:val="00340917"/>
    <w:rsid w:val="00343D39"/>
    <w:rsid w:val="003461FE"/>
    <w:rsid w:val="00346390"/>
    <w:rsid w:val="003617F7"/>
    <w:rsid w:val="00365CB9"/>
    <w:rsid w:val="00375894"/>
    <w:rsid w:val="00376C33"/>
    <w:rsid w:val="003842C5"/>
    <w:rsid w:val="00384EA1"/>
    <w:rsid w:val="00392E06"/>
    <w:rsid w:val="00395960"/>
    <w:rsid w:val="00395BB2"/>
    <w:rsid w:val="003970DF"/>
    <w:rsid w:val="00397197"/>
    <w:rsid w:val="003A12C1"/>
    <w:rsid w:val="003A1F99"/>
    <w:rsid w:val="003A36BB"/>
    <w:rsid w:val="003A694B"/>
    <w:rsid w:val="003B1342"/>
    <w:rsid w:val="003B4ED3"/>
    <w:rsid w:val="003C077F"/>
    <w:rsid w:val="003C1242"/>
    <w:rsid w:val="003C5077"/>
    <w:rsid w:val="003C5905"/>
    <w:rsid w:val="003D1159"/>
    <w:rsid w:val="003D29EF"/>
    <w:rsid w:val="003D739E"/>
    <w:rsid w:val="003E491C"/>
    <w:rsid w:val="003F464A"/>
    <w:rsid w:val="003F56E0"/>
    <w:rsid w:val="00405362"/>
    <w:rsid w:val="00405C54"/>
    <w:rsid w:val="00406029"/>
    <w:rsid w:val="00411216"/>
    <w:rsid w:val="00415038"/>
    <w:rsid w:val="00422A5B"/>
    <w:rsid w:val="004261F8"/>
    <w:rsid w:val="00430819"/>
    <w:rsid w:val="00431C2A"/>
    <w:rsid w:val="00435C32"/>
    <w:rsid w:val="00436D8B"/>
    <w:rsid w:val="004377DC"/>
    <w:rsid w:val="00442111"/>
    <w:rsid w:val="004509D4"/>
    <w:rsid w:val="00451345"/>
    <w:rsid w:val="0045344F"/>
    <w:rsid w:val="004544F6"/>
    <w:rsid w:val="00455BE0"/>
    <w:rsid w:val="00460954"/>
    <w:rsid w:val="00462A73"/>
    <w:rsid w:val="004740E2"/>
    <w:rsid w:val="004811C6"/>
    <w:rsid w:val="004833C1"/>
    <w:rsid w:val="00483A52"/>
    <w:rsid w:val="00483F1C"/>
    <w:rsid w:val="00486732"/>
    <w:rsid w:val="004923D9"/>
    <w:rsid w:val="00495EED"/>
    <w:rsid w:val="004B1675"/>
    <w:rsid w:val="004B1AF2"/>
    <w:rsid w:val="004B4E1E"/>
    <w:rsid w:val="004B70AF"/>
    <w:rsid w:val="004C1031"/>
    <w:rsid w:val="004C1DFA"/>
    <w:rsid w:val="004C4D38"/>
    <w:rsid w:val="004D30AC"/>
    <w:rsid w:val="004D31BF"/>
    <w:rsid w:val="004D34D7"/>
    <w:rsid w:val="004D7F6D"/>
    <w:rsid w:val="004E00C1"/>
    <w:rsid w:val="004E1444"/>
    <w:rsid w:val="004E693E"/>
    <w:rsid w:val="004E6F33"/>
    <w:rsid w:val="004F3AFE"/>
    <w:rsid w:val="004F4287"/>
    <w:rsid w:val="004F72F7"/>
    <w:rsid w:val="00501F67"/>
    <w:rsid w:val="0050729A"/>
    <w:rsid w:val="005101B3"/>
    <w:rsid w:val="00515510"/>
    <w:rsid w:val="00516786"/>
    <w:rsid w:val="00520ECC"/>
    <w:rsid w:val="00521E71"/>
    <w:rsid w:val="00522D0B"/>
    <w:rsid w:val="00523677"/>
    <w:rsid w:val="0052562A"/>
    <w:rsid w:val="0053087E"/>
    <w:rsid w:val="005356E4"/>
    <w:rsid w:val="00535942"/>
    <w:rsid w:val="00545519"/>
    <w:rsid w:val="00546038"/>
    <w:rsid w:val="00551B0A"/>
    <w:rsid w:val="00552545"/>
    <w:rsid w:val="00554FA7"/>
    <w:rsid w:val="005566AF"/>
    <w:rsid w:val="00562485"/>
    <w:rsid w:val="00563443"/>
    <w:rsid w:val="00566CF1"/>
    <w:rsid w:val="0057328C"/>
    <w:rsid w:val="00573447"/>
    <w:rsid w:val="00580F80"/>
    <w:rsid w:val="00582D9E"/>
    <w:rsid w:val="0058666C"/>
    <w:rsid w:val="00590663"/>
    <w:rsid w:val="00592FDD"/>
    <w:rsid w:val="00594C88"/>
    <w:rsid w:val="005A1E04"/>
    <w:rsid w:val="005A7CE5"/>
    <w:rsid w:val="005B6EFA"/>
    <w:rsid w:val="005C3CD0"/>
    <w:rsid w:val="005D060E"/>
    <w:rsid w:val="005D1251"/>
    <w:rsid w:val="005D3743"/>
    <w:rsid w:val="005E0068"/>
    <w:rsid w:val="005E1947"/>
    <w:rsid w:val="005E3241"/>
    <w:rsid w:val="005E5317"/>
    <w:rsid w:val="005E5E9C"/>
    <w:rsid w:val="005F0A79"/>
    <w:rsid w:val="005F1DC5"/>
    <w:rsid w:val="005F23E7"/>
    <w:rsid w:val="005F24AD"/>
    <w:rsid w:val="006030E7"/>
    <w:rsid w:val="00607068"/>
    <w:rsid w:val="00610B94"/>
    <w:rsid w:val="0061591D"/>
    <w:rsid w:val="00617AE7"/>
    <w:rsid w:val="006207D0"/>
    <w:rsid w:val="006208D6"/>
    <w:rsid w:val="006255B7"/>
    <w:rsid w:val="0062583F"/>
    <w:rsid w:val="00625955"/>
    <w:rsid w:val="00630566"/>
    <w:rsid w:val="00640B59"/>
    <w:rsid w:val="0064411B"/>
    <w:rsid w:val="00645369"/>
    <w:rsid w:val="00646C12"/>
    <w:rsid w:val="0064741E"/>
    <w:rsid w:val="00651D98"/>
    <w:rsid w:val="006525CC"/>
    <w:rsid w:val="00652EF4"/>
    <w:rsid w:val="006534E0"/>
    <w:rsid w:val="00654F9F"/>
    <w:rsid w:val="006560EF"/>
    <w:rsid w:val="006602B4"/>
    <w:rsid w:val="006672E5"/>
    <w:rsid w:val="00671B94"/>
    <w:rsid w:val="0067678A"/>
    <w:rsid w:val="006771CD"/>
    <w:rsid w:val="00677621"/>
    <w:rsid w:val="006841A3"/>
    <w:rsid w:val="00685C14"/>
    <w:rsid w:val="00695AFC"/>
    <w:rsid w:val="006973B2"/>
    <w:rsid w:val="006A1832"/>
    <w:rsid w:val="006A46FF"/>
    <w:rsid w:val="006A492A"/>
    <w:rsid w:val="006A5326"/>
    <w:rsid w:val="006A786F"/>
    <w:rsid w:val="006B2B3C"/>
    <w:rsid w:val="006C46FA"/>
    <w:rsid w:val="006C4DF2"/>
    <w:rsid w:val="006D1500"/>
    <w:rsid w:val="006D1A2E"/>
    <w:rsid w:val="006D67D3"/>
    <w:rsid w:val="006E0106"/>
    <w:rsid w:val="006E43D7"/>
    <w:rsid w:val="006E5287"/>
    <w:rsid w:val="006E780F"/>
    <w:rsid w:val="006E7868"/>
    <w:rsid w:val="006F02CE"/>
    <w:rsid w:val="006F1032"/>
    <w:rsid w:val="006F29D2"/>
    <w:rsid w:val="007025C5"/>
    <w:rsid w:val="00714C77"/>
    <w:rsid w:val="007206E7"/>
    <w:rsid w:val="00726707"/>
    <w:rsid w:val="00726BAE"/>
    <w:rsid w:val="0073175E"/>
    <w:rsid w:val="00733EEF"/>
    <w:rsid w:val="0073451F"/>
    <w:rsid w:val="00735844"/>
    <w:rsid w:val="00735DB1"/>
    <w:rsid w:val="007375AF"/>
    <w:rsid w:val="007421D1"/>
    <w:rsid w:val="00752EEC"/>
    <w:rsid w:val="0076001D"/>
    <w:rsid w:val="00761CA1"/>
    <w:rsid w:val="00763256"/>
    <w:rsid w:val="00766527"/>
    <w:rsid w:val="00767A57"/>
    <w:rsid w:val="007701D3"/>
    <w:rsid w:val="00773E76"/>
    <w:rsid w:val="0077772B"/>
    <w:rsid w:val="00780231"/>
    <w:rsid w:val="00785FA8"/>
    <w:rsid w:val="00786117"/>
    <w:rsid w:val="00794B16"/>
    <w:rsid w:val="00795E9D"/>
    <w:rsid w:val="007A7A89"/>
    <w:rsid w:val="007A7DF0"/>
    <w:rsid w:val="007B353A"/>
    <w:rsid w:val="007C2827"/>
    <w:rsid w:val="007C4A1F"/>
    <w:rsid w:val="007C6982"/>
    <w:rsid w:val="007D13CA"/>
    <w:rsid w:val="007D51DF"/>
    <w:rsid w:val="007E04C0"/>
    <w:rsid w:val="007E2262"/>
    <w:rsid w:val="007F0A6C"/>
    <w:rsid w:val="007F2915"/>
    <w:rsid w:val="007F633C"/>
    <w:rsid w:val="00800396"/>
    <w:rsid w:val="00810CA2"/>
    <w:rsid w:val="008140C7"/>
    <w:rsid w:val="008152B6"/>
    <w:rsid w:val="0082405A"/>
    <w:rsid w:val="00824C79"/>
    <w:rsid w:val="00826F7B"/>
    <w:rsid w:val="008270E9"/>
    <w:rsid w:val="008271D8"/>
    <w:rsid w:val="0083253F"/>
    <w:rsid w:val="0083421D"/>
    <w:rsid w:val="008354F0"/>
    <w:rsid w:val="00842642"/>
    <w:rsid w:val="00844FEE"/>
    <w:rsid w:val="00845786"/>
    <w:rsid w:val="00846221"/>
    <w:rsid w:val="00854CCF"/>
    <w:rsid w:val="00855819"/>
    <w:rsid w:val="00857F43"/>
    <w:rsid w:val="00861468"/>
    <w:rsid w:val="00864C64"/>
    <w:rsid w:val="00865868"/>
    <w:rsid w:val="00872934"/>
    <w:rsid w:val="008732E3"/>
    <w:rsid w:val="00875045"/>
    <w:rsid w:val="0087602D"/>
    <w:rsid w:val="00876D94"/>
    <w:rsid w:val="00884866"/>
    <w:rsid w:val="00886054"/>
    <w:rsid w:val="00892833"/>
    <w:rsid w:val="00894E35"/>
    <w:rsid w:val="0089528D"/>
    <w:rsid w:val="008A04CD"/>
    <w:rsid w:val="008A0ADE"/>
    <w:rsid w:val="008A6981"/>
    <w:rsid w:val="008B2903"/>
    <w:rsid w:val="008B4251"/>
    <w:rsid w:val="008C0601"/>
    <w:rsid w:val="008C0E84"/>
    <w:rsid w:val="008D0C89"/>
    <w:rsid w:val="008E24B1"/>
    <w:rsid w:val="008E34A1"/>
    <w:rsid w:val="008E5C0F"/>
    <w:rsid w:val="008F0DB5"/>
    <w:rsid w:val="008F210B"/>
    <w:rsid w:val="008F3274"/>
    <w:rsid w:val="00905303"/>
    <w:rsid w:val="00910106"/>
    <w:rsid w:val="00910A24"/>
    <w:rsid w:val="009167DD"/>
    <w:rsid w:val="0091733F"/>
    <w:rsid w:val="00925667"/>
    <w:rsid w:val="009356BC"/>
    <w:rsid w:val="00943B69"/>
    <w:rsid w:val="00944110"/>
    <w:rsid w:val="009461B9"/>
    <w:rsid w:val="0094722C"/>
    <w:rsid w:val="009508AF"/>
    <w:rsid w:val="00950DCA"/>
    <w:rsid w:val="0095176B"/>
    <w:rsid w:val="009577B3"/>
    <w:rsid w:val="00962158"/>
    <w:rsid w:val="009624D5"/>
    <w:rsid w:val="0096489F"/>
    <w:rsid w:val="00965283"/>
    <w:rsid w:val="009661FA"/>
    <w:rsid w:val="00967711"/>
    <w:rsid w:val="00970E69"/>
    <w:rsid w:val="00972437"/>
    <w:rsid w:val="00977775"/>
    <w:rsid w:val="009835A2"/>
    <w:rsid w:val="00983E9B"/>
    <w:rsid w:val="00984B44"/>
    <w:rsid w:val="009878ED"/>
    <w:rsid w:val="00996D00"/>
    <w:rsid w:val="009974D0"/>
    <w:rsid w:val="009A299C"/>
    <w:rsid w:val="009A2CA2"/>
    <w:rsid w:val="009A3447"/>
    <w:rsid w:val="009A5C54"/>
    <w:rsid w:val="009B16A7"/>
    <w:rsid w:val="009B26DC"/>
    <w:rsid w:val="009B49A2"/>
    <w:rsid w:val="009C15ED"/>
    <w:rsid w:val="009D3CFB"/>
    <w:rsid w:val="009D4188"/>
    <w:rsid w:val="009D45AE"/>
    <w:rsid w:val="009D50B1"/>
    <w:rsid w:val="009E19E6"/>
    <w:rsid w:val="009E1D4F"/>
    <w:rsid w:val="009E348E"/>
    <w:rsid w:val="009E44DB"/>
    <w:rsid w:val="009E4AAD"/>
    <w:rsid w:val="009E66B2"/>
    <w:rsid w:val="009F2AB8"/>
    <w:rsid w:val="009F56A6"/>
    <w:rsid w:val="009F6EB2"/>
    <w:rsid w:val="00A06142"/>
    <w:rsid w:val="00A1049F"/>
    <w:rsid w:val="00A13C78"/>
    <w:rsid w:val="00A13DFD"/>
    <w:rsid w:val="00A15216"/>
    <w:rsid w:val="00A229AF"/>
    <w:rsid w:val="00A2501F"/>
    <w:rsid w:val="00A27F74"/>
    <w:rsid w:val="00A319FC"/>
    <w:rsid w:val="00A33708"/>
    <w:rsid w:val="00A4145C"/>
    <w:rsid w:val="00A4176E"/>
    <w:rsid w:val="00A54E6F"/>
    <w:rsid w:val="00A620D0"/>
    <w:rsid w:val="00A62B9F"/>
    <w:rsid w:val="00A649D5"/>
    <w:rsid w:val="00A65AF4"/>
    <w:rsid w:val="00A666BE"/>
    <w:rsid w:val="00A67324"/>
    <w:rsid w:val="00A725C2"/>
    <w:rsid w:val="00A738D0"/>
    <w:rsid w:val="00A74771"/>
    <w:rsid w:val="00A76B69"/>
    <w:rsid w:val="00A8161D"/>
    <w:rsid w:val="00A81C88"/>
    <w:rsid w:val="00A81CC1"/>
    <w:rsid w:val="00A84E70"/>
    <w:rsid w:val="00A86A81"/>
    <w:rsid w:val="00A87645"/>
    <w:rsid w:val="00A903FC"/>
    <w:rsid w:val="00A90EAC"/>
    <w:rsid w:val="00A91E49"/>
    <w:rsid w:val="00A92149"/>
    <w:rsid w:val="00A92152"/>
    <w:rsid w:val="00A92956"/>
    <w:rsid w:val="00A94756"/>
    <w:rsid w:val="00AB17FB"/>
    <w:rsid w:val="00AC0D7F"/>
    <w:rsid w:val="00AC24F7"/>
    <w:rsid w:val="00AC3BF5"/>
    <w:rsid w:val="00AC7463"/>
    <w:rsid w:val="00AC7862"/>
    <w:rsid w:val="00AD256A"/>
    <w:rsid w:val="00AD3283"/>
    <w:rsid w:val="00AD367D"/>
    <w:rsid w:val="00AE3502"/>
    <w:rsid w:val="00AE49D5"/>
    <w:rsid w:val="00AF3C94"/>
    <w:rsid w:val="00B02554"/>
    <w:rsid w:val="00B02E56"/>
    <w:rsid w:val="00B03336"/>
    <w:rsid w:val="00B044A2"/>
    <w:rsid w:val="00B06F96"/>
    <w:rsid w:val="00B0724D"/>
    <w:rsid w:val="00B1080C"/>
    <w:rsid w:val="00B10816"/>
    <w:rsid w:val="00B1142C"/>
    <w:rsid w:val="00B11810"/>
    <w:rsid w:val="00B1297E"/>
    <w:rsid w:val="00B1661A"/>
    <w:rsid w:val="00B25533"/>
    <w:rsid w:val="00B279CE"/>
    <w:rsid w:val="00B27C2D"/>
    <w:rsid w:val="00B32248"/>
    <w:rsid w:val="00B4097F"/>
    <w:rsid w:val="00B4328A"/>
    <w:rsid w:val="00B43FBC"/>
    <w:rsid w:val="00B478E3"/>
    <w:rsid w:val="00B61C19"/>
    <w:rsid w:val="00B62CBA"/>
    <w:rsid w:val="00B6512E"/>
    <w:rsid w:val="00B73744"/>
    <w:rsid w:val="00B75C00"/>
    <w:rsid w:val="00B843B3"/>
    <w:rsid w:val="00B84F12"/>
    <w:rsid w:val="00B866BC"/>
    <w:rsid w:val="00B8738E"/>
    <w:rsid w:val="00B87702"/>
    <w:rsid w:val="00B878D3"/>
    <w:rsid w:val="00B94C01"/>
    <w:rsid w:val="00B96309"/>
    <w:rsid w:val="00BA0D96"/>
    <w:rsid w:val="00BA39DE"/>
    <w:rsid w:val="00BA410A"/>
    <w:rsid w:val="00BA4C63"/>
    <w:rsid w:val="00BA7859"/>
    <w:rsid w:val="00BA7C74"/>
    <w:rsid w:val="00BB171F"/>
    <w:rsid w:val="00BB53EC"/>
    <w:rsid w:val="00BB7A40"/>
    <w:rsid w:val="00BC2DF6"/>
    <w:rsid w:val="00BC2F1A"/>
    <w:rsid w:val="00BC377A"/>
    <w:rsid w:val="00BC46C6"/>
    <w:rsid w:val="00BC681A"/>
    <w:rsid w:val="00BC71A1"/>
    <w:rsid w:val="00BD0629"/>
    <w:rsid w:val="00BD2702"/>
    <w:rsid w:val="00BD4F6C"/>
    <w:rsid w:val="00BE29D1"/>
    <w:rsid w:val="00BF493F"/>
    <w:rsid w:val="00BF554F"/>
    <w:rsid w:val="00C0734F"/>
    <w:rsid w:val="00C106B3"/>
    <w:rsid w:val="00C14EB4"/>
    <w:rsid w:val="00C2143F"/>
    <w:rsid w:val="00C272BD"/>
    <w:rsid w:val="00C27AF9"/>
    <w:rsid w:val="00C313C3"/>
    <w:rsid w:val="00C3316A"/>
    <w:rsid w:val="00C34D56"/>
    <w:rsid w:val="00C35B7C"/>
    <w:rsid w:val="00C42BA6"/>
    <w:rsid w:val="00C4388C"/>
    <w:rsid w:val="00C44488"/>
    <w:rsid w:val="00C4715B"/>
    <w:rsid w:val="00C51969"/>
    <w:rsid w:val="00C521AD"/>
    <w:rsid w:val="00C5453C"/>
    <w:rsid w:val="00C5582D"/>
    <w:rsid w:val="00C60E5E"/>
    <w:rsid w:val="00C6161E"/>
    <w:rsid w:val="00C65AE6"/>
    <w:rsid w:val="00C716F1"/>
    <w:rsid w:val="00C744B5"/>
    <w:rsid w:val="00C7455C"/>
    <w:rsid w:val="00C766A7"/>
    <w:rsid w:val="00C86B66"/>
    <w:rsid w:val="00C91688"/>
    <w:rsid w:val="00C928BA"/>
    <w:rsid w:val="00C96A4D"/>
    <w:rsid w:val="00C97D51"/>
    <w:rsid w:val="00CA3513"/>
    <w:rsid w:val="00CA4D71"/>
    <w:rsid w:val="00CA5F20"/>
    <w:rsid w:val="00CB21C7"/>
    <w:rsid w:val="00CB4E31"/>
    <w:rsid w:val="00CB7A7F"/>
    <w:rsid w:val="00CC2197"/>
    <w:rsid w:val="00CC426A"/>
    <w:rsid w:val="00CD21E2"/>
    <w:rsid w:val="00CE4C4A"/>
    <w:rsid w:val="00CE4C92"/>
    <w:rsid w:val="00CF19D0"/>
    <w:rsid w:val="00CF1C28"/>
    <w:rsid w:val="00CF2960"/>
    <w:rsid w:val="00CF50BF"/>
    <w:rsid w:val="00CF60C9"/>
    <w:rsid w:val="00D018FA"/>
    <w:rsid w:val="00D03AA3"/>
    <w:rsid w:val="00D1380F"/>
    <w:rsid w:val="00D1554B"/>
    <w:rsid w:val="00D15F3E"/>
    <w:rsid w:val="00D16D78"/>
    <w:rsid w:val="00D17AC1"/>
    <w:rsid w:val="00D261E6"/>
    <w:rsid w:val="00D2710C"/>
    <w:rsid w:val="00D30381"/>
    <w:rsid w:val="00D311F8"/>
    <w:rsid w:val="00D32333"/>
    <w:rsid w:val="00D34279"/>
    <w:rsid w:val="00D41A82"/>
    <w:rsid w:val="00D4338F"/>
    <w:rsid w:val="00D44A5F"/>
    <w:rsid w:val="00D44C8E"/>
    <w:rsid w:val="00D4684E"/>
    <w:rsid w:val="00D5023F"/>
    <w:rsid w:val="00D609B9"/>
    <w:rsid w:val="00D6201A"/>
    <w:rsid w:val="00D671A8"/>
    <w:rsid w:val="00D8017A"/>
    <w:rsid w:val="00D80757"/>
    <w:rsid w:val="00D81C67"/>
    <w:rsid w:val="00D83B98"/>
    <w:rsid w:val="00D9263D"/>
    <w:rsid w:val="00D938AB"/>
    <w:rsid w:val="00DA08A3"/>
    <w:rsid w:val="00DA1386"/>
    <w:rsid w:val="00DA47B6"/>
    <w:rsid w:val="00DA6B9C"/>
    <w:rsid w:val="00DB27A4"/>
    <w:rsid w:val="00DB610C"/>
    <w:rsid w:val="00DB7BF4"/>
    <w:rsid w:val="00DC0734"/>
    <w:rsid w:val="00DC1229"/>
    <w:rsid w:val="00DC1824"/>
    <w:rsid w:val="00DC201A"/>
    <w:rsid w:val="00DC3BE8"/>
    <w:rsid w:val="00DC4EFB"/>
    <w:rsid w:val="00DC5DA5"/>
    <w:rsid w:val="00DD4284"/>
    <w:rsid w:val="00DE2649"/>
    <w:rsid w:val="00DE5236"/>
    <w:rsid w:val="00DE6886"/>
    <w:rsid w:val="00DE7D85"/>
    <w:rsid w:val="00DF3F71"/>
    <w:rsid w:val="00DF6B38"/>
    <w:rsid w:val="00DF761F"/>
    <w:rsid w:val="00E04428"/>
    <w:rsid w:val="00E2211C"/>
    <w:rsid w:val="00E24657"/>
    <w:rsid w:val="00E258B1"/>
    <w:rsid w:val="00E268F9"/>
    <w:rsid w:val="00E26BDE"/>
    <w:rsid w:val="00E27AB3"/>
    <w:rsid w:val="00E30355"/>
    <w:rsid w:val="00E33602"/>
    <w:rsid w:val="00E33CEF"/>
    <w:rsid w:val="00E40559"/>
    <w:rsid w:val="00E42B94"/>
    <w:rsid w:val="00E4410E"/>
    <w:rsid w:val="00E4574D"/>
    <w:rsid w:val="00E51681"/>
    <w:rsid w:val="00E52724"/>
    <w:rsid w:val="00E5436B"/>
    <w:rsid w:val="00E626B6"/>
    <w:rsid w:val="00E650CA"/>
    <w:rsid w:val="00E6585D"/>
    <w:rsid w:val="00E71C17"/>
    <w:rsid w:val="00E720A2"/>
    <w:rsid w:val="00E75E91"/>
    <w:rsid w:val="00E828E0"/>
    <w:rsid w:val="00E933E1"/>
    <w:rsid w:val="00E94535"/>
    <w:rsid w:val="00E971FA"/>
    <w:rsid w:val="00EA1D51"/>
    <w:rsid w:val="00EA2B80"/>
    <w:rsid w:val="00EA5240"/>
    <w:rsid w:val="00EA5835"/>
    <w:rsid w:val="00EB21E4"/>
    <w:rsid w:val="00EB6D79"/>
    <w:rsid w:val="00EB7370"/>
    <w:rsid w:val="00EC0B72"/>
    <w:rsid w:val="00EC1240"/>
    <w:rsid w:val="00ED22C2"/>
    <w:rsid w:val="00ED50BE"/>
    <w:rsid w:val="00ED554E"/>
    <w:rsid w:val="00ED6507"/>
    <w:rsid w:val="00EE23E6"/>
    <w:rsid w:val="00EE292B"/>
    <w:rsid w:val="00EE3ED4"/>
    <w:rsid w:val="00EE6AED"/>
    <w:rsid w:val="00EE7776"/>
    <w:rsid w:val="00EF62C4"/>
    <w:rsid w:val="00EF6B76"/>
    <w:rsid w:val="00F0582B"/>
    <w:rsid w:val="00F078EC"/>
    <w:rsid w:val="00F16419"/>
    <w:rsid w:val="00F1653B"/>
    <w:rsid w:val="00F176B7"/>
    <w:rsid w:val="00F1778E"/>
    <w:rsid w:val="00F20813"/>
    <w:rsid w:val="00F20BBE"/>
    <w:rsid w:val="00F22F63"/>
    <w:rsid w:val="00F3078E"/>
    <w:rsid w:val="00F30FA8"/>
    <w:rsid w:val="00F35DC4"/>
    <w:rsid w:val="00F40314"/>
    <w:rsid w:val="00F461C9"/>
    <w:rsid w:val="00F508DA"/>
    <w:rsid w:val="00F50C83"/>
    <w:rsid w:val="00F525E3"/>
    <w:rsid w:val="00F570BE"/>
    <w:rsid w:val="00F65380"/>
    <w:rsid w:val="00F714AA"/>
    <w:rsid w:val="00F725B3"/>
    <w:rsid w:val="00F73C9D"/>
    <w:rsid w:val="00F74464"/>
    <w:rsid w:val="00F75BFD"/>
    <w:rsid w:val="00F76A6F"/>
    <w:rsid w:val="00F844B6"/>
    <w:rsid w:val="00F85E32"/>
    <w:rsid w:val="00F91C08"/>
    <w:rsid w:val="00F922C4"/>
    <w:rsid w:val="00F93FD3"/>
    <w:rsid w:val="00F94485"/>
    <w:rsid w:val="00F94E68"/>
    <w:rsid w:val="00F956A1"/>
    <w:rsid w:val="00F97BF8"/>
    <w:rsid w:val="00FA1C6F"/>
    <w:rsid w:val="00FA4E05"/>
    <w:rsid w:val="00FB1181"/>
    <w:rsid w:val="00FD1048"/>
    <w:rsid w:val="00FD59B9"/>
    <w:rsid w:val="00FD6B7B"/>
    <w:rsid w:val="00FE055A"/>
    <w:rsid w:val="00FE1A13"/>
    <w:rsid w:val="00FE7011"/>
    <w:rsid w:val="00FF40F2"/>
    <w:rsid w:val="00FF75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heme="minorBidi"/>
        <w:kern w:val="2"/>
        <w:sz w:val="28"/>
        <w:szCs w:val="22"/>
        <w:lang w:val="en-US" w:eastAsia="zh-TW" w:bidi="ar-SA"/>
      </w:rPr>
    </w:rPrDefault>
    <w:pPrDefault>
      <w:pPr>
        <w:spacing w:beforeLines="50" w:before="50"/>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BAE"/>
    <w:pPr>
      <w:tabs>
        <w:tab w:val="center" w:pos="4153"/>
        <w:tab w:val="right" w:pos="8306"/>
      </w:tabs>
      <w:snapToGrid w:val="0"/>
    </w:pPr>
    <w:rPr>
      <w:sz w:val="20"/>
      <w:szCs w:val="20"/>
    </w:rPr>
  </w:style>
  <w:style w:type="character" w:customStyle="1" w:styleId="a4">
    <w:name w:val="頁首 字元"/>
    <w:basedOn w:val="a0"/>
    <w:link w:val="a3"/>
    <w:uiPriority w:val="99"/>
    <w:rsid w:val="00726BAE"/>
    <w:rPr>
      <w:sz w:val="20"/>
      <w:szCs w:val="20"/>
    </w:rPr>
  </w:style>
  <w:style w:type="paragraph" w:styleId="a5">
    <w:name w:val="footer"/>
    <w:basedOn w:val="a"/>
    <w:link w:val="a6"/>
    <w:uiPriority w:val="99"/>
    <w:unhideWhenUsed/>
    <w:rsid w:val="00726BAE"/>
    <w:pPr>
      <w:tabs>
        <w:tab w:val="center" w:pos="4153"/>
        <w:tab w:val="right" w:pos="8306"/>
      </w:tabs>
      <w:snapToGrid w:val="0"/>
    </w:pPr>
    <w:rPr>
      <w:sz w:val="20"/>
      <w:szCs w:val="20"/>
    </w:rPr>
  </w:style>
  <w:style w:type="character" w:customStyle="1" w:styleId="a6">
    <w:name w:val="頁尾 字元"/>
    <w:basedOn w:val="a0"/>
    <w:link w:val="a5"/>
    <w:uiPriority w:val="99"/>
    <w:rsid w:val="00726BAE"/>
    <w:rPr>
      <w:sz w:val="20"/>
      <w:szCs w:val="20"/>
    </w:rPr>
  </w:style>
  <w:style w:type="paragraph" w:styleId="a7">
    <w:name w:val="List Paragraph"/>
    <w:aliases w:val="清單段落a"/>
    <w:basedOn w:val="a"/>
    <w:link w:val="a8"/>
    <w:uiPriority w:val="34"/>
    <w:qFormat/>
    <w:rsid w:val="00AF3C94"/>
    <w:pPr>
      <w:widowControl w:val="0"/>
      <w:spacing w:beforeLines="0" w:before="0"/>
      <w:ind w:leftChars="200" w:left="480" w:firstLineChars="0" w:firstLine="0"/>
      <w:jc w:val="left"/>
    </w:pPr>
    <w:rPr>
      <w:rFonts w:asciiTheme="minorHAnsi" w:eastAsiaTheme="minorEastAsia" w:hAnsiTheme="minorHAnsi"/>
      <w:sz w:val="24"/>
    </w:rPr>
  </w:style>
  <w:style w:type="paragraph" w:styleId="a9">
    <w:name w:val="Title"/>
    <w:basedOn w:val="a"/>
    <w:next w:val="a"/>
    <w:link w:val="aa"/>
    <w:uiPriority w:val="10"/>
    <w:qFormat/>
    <w:rsid w:val="00CA3513"/>
    <w:pPr>
      <w:spacing w:before="240" w:after="60"/>
      <w:jc w:val="center"/>
      <w:outlineLvl w:val="0"/>
    </w:pPr>
    <w:rPr>
      <w:rFonts w:asciiTheme="majorHAnsi" w:eastAsia="新細明體" w:hAnsiTheme="majorHAnsi" w:cstheme="majorBidi"/>
      <w:b/>
      <w:bCs/>
      <w:sz w:val="32"/>
      <w:szCs w:val="32"/>
    </w:rPr>
  </w:style>
  <w:style w:type="character" w:customStyle="1" w:styleId="aa">
    <w:name w:val="標題 字元"/>
    <w:basedOn w:val="a0"/>
    <w:link w:val="a9"/>
    <w:uiPriority w:val="10"/>
    <w:rsid w:val="00CA3513"/>
    <w:rPr>
      <w:rFonts w:asciiTheme="majorHAnsi" w:eastAsia="新細明體" w:hAnsiTheme="majorHAnsi" w:cstheme="majorBidi"/>
      <w:b/>
      <w:bCs/>
      <w:sz w:val="32"/>
      <w:szCs w:val="32"/>
    </w:rPr>
  </w:style>
  <w:style w:type="paragraph" w:styleId="ab">
    <w:name w:val="footnote text"/>
    <w:aliases w:val="Report_note"/>
    <w:basedOn w:val="a"/>
    <w:link w:val="ac"/>
    <w:uiPriority w:val="99"/>
    <w:unhideWhenUsed/>
    <w:qFormat/>
    <w:rsid w:val="009577B3"/>
    <w:pPr>
      <w:widowControl w:val="0"/>
      <w:snapToGrid w:val="0"/>
      <w:spacing w:beforeLines="0" w:before="0"/>
      <w:ind w:firstLineChars="0" w:firstLine="0"/>
      <w:jc w:val="left"/>
    </w:pPr>
    <w:rPr>
      <w:rFonts w:asciiTheme="minorHAnsi" w:eastAsiaTheme="minorEastAsia" w:hAnsiTheme="minorHAnsi"/>
      <w:sz w:val="20"/>
      <w:szCs w:val="20"/>
    </w:rPr>
  </w:style>
  <w:style w:type="character" w:customStyle="1" w:styleId="ac">
    <w:name w:val="註腳文字 字元"/>
    <w:aliases w:val="Report_note 字元"/>
    <w:basedOn w:val="a0"/>
    <w:link w:val="ab"/>
    <w:uiPriority w:val="99"/>
    <w:qFormat/>
    <w:rsid w:val="009577B3"/>
    <w:rPr>
      <w:rFonts w:asciiTheme="minorHAnsi" w:eastAsiaTheme="minorEastAsia" w:hAnsiTheme="minorHAnsi"/>
      <w:sz w:val="20"/>
      <w:szCs w:val="20"/>
    </w:rPr>
  </w:style>
  <w:style w:type="character" w:styleId="ad">
    <w:name w:val="footnote reference"/>
    <w:basedOn w:val="a0"/>
    <w:uiPriority w:val="99"/>
    <w:unhideWhenUsed/>
    <w:qFormat/>
    <w:rsid w:val="009577B3"/>
    <w:rPr>
      <w:vertAlign w:val="superscript"/>
    </w:rPr>
  </w:style>
  <w:style w:type="character" w:customStyle="1" w:styleId="a8">
    <w:name w:val="清單段落 字元"/>
    <w:aliases w:val="清單段落a 字元"/>
    <w:link w:val="a7"/>
    <w:uiPriority w:val="34"/>
    <w:locked/>
    <w:rsid w:val="00651D98"/>
    <w:rPr>
      <w:rFonts w:asciiTheme="minorHAnsi" w:eastAsiaTheme="minorEastAsia" w:hAnsiTheme="minorHAnsi"/>
      <w:sz w:val="24"/>
    </w:rPr>
  </w:style>
  <w:style w:type="paragraph" w:styleId="ae">
    <w:name w:val="Balloon Text"/>
    <w:basedOn w:val="a"/>
    <w:link w:val="af"/>
    <w:uiPriority w:val="99"/>
    <w:semiHidden/>
    <w:unhideWhenUsed/>
    <w:rsid w:val="00BA0D96"/>
    <w:pPr>
      <w:spacing w:before="0"/>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BA0D9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heme="minorBidi"/>
        <w:kern w:val="2"/>
        <w:sz w:val="28"/>
        <w:szCs w:val="22"/>
        <w:lang w:val="en-US" w:eastAsia="zh-TW" w:bidi="ar-SA"/>
      </w:rPr>
    </w:rPrDefault>
    <w:pPrDefault>
      <w:pPr>
        <w:spacing w:beforeLines="50" w:before="50"/>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BAE"/>
    <w:pPr>
      <w:tabs>
        <w:tab w:val="center" w:pos="4153"/>
        <w:tab w:val="right" w:pos="8306"/>
      </w:tabs>
      <w:snapToGrid w:val="0"/>
    </w:pPr>
    <w:rPr>
      <w:sz w:val="20"/>
      <w:szCs w:val="20"/>
    </w:rPr>
  </w:style>
  <w:style w:type="character" w:customStyle="1" w:styleId="a4">
    <w:name w:val="頁首 字元"/>
    <w:basedOn w:val="a0"/>
    <w:link w:val="a3"/>
    <w:uiPriority w:val="99"/>
    <w:rsid w:val="00726BAE"/>
    <w:rPr>
      <w:sz w:val="20"/>
      <w:szCs w:val="20"/>
    </w:rPr>
  </w:style>
  <w:style w:type="paragraph" w:styleId="a5">
    <w:name w:val="footer"/>
    <w:basedOn w:val="a"/>
    <w:link w:val="a6"/>
    <w:uiPriority w:val="99"/>
    <w:unhideWhenUsed/>
    <w:rsid w:val="00726BAE"/>
    <w:pPr>
      <w:tabs>
        <w:tab w:val="center" w:pos="4153"/>
        <w:tab w:val="right" w:pos="8306"/>
      </w:tabs>
      <w:snapToGrid w:val="0"/>
    </w:pPr>
    <w:rPr>
      <w:sz w:val="20"/>
      <w:szCs w:val="20"/>
    </w:rPr>
  </w:style>
  <w:style w:type="character" w:customStyle="1" w:styleId="a6">
    <w:name w:val="頁尾 字元"/>
    <w:basedOn w:val="a0"/>
    <w:link w:val="a5"/>
    <w:uiPriority w:val="99"/>
    <w:rsid w:val="00726BAE"/>
    <w:rPr>
      <w:sz w:val="20"/>
      <w:szCs w:val="20"/>
    </w:rPr>
  </w:style>
  <w:style w:type="paragraph" w:styleId="a7">
    <w:name w:val="List Paragraph"/>
    <w:aliases w:val="清單段落a"/>
    <w:basedOn w:val="a"/>
    <w:link w:val="a8"/>
    <w:uiPriority w:val="34"/>
    <w:qFormat/>
    <w:rsid w:val="00AF3C94"/>
    <w:pPr>
      <w:widowControl w:val="0"/>
      <w:spacing w:beforeLines="0" w:before="0"/>
      <w:ind w:leftChars="200" w:left="480" w:firstLineChars="0" w:firstLine="0"/>
      <w:jc w:val="left"/>
    </w:pPr>
    <w:rPr>
      <w:rFonts w:asciiTheme="minorHAnsi" w:eastAsiaTheme="minorEastAsia" w:hAnsiTheme="minorHAnsi"/>
      <w:sz w:val="24"/>
    </w:rPr>
  </w:style>
  <w:style w:type="paragraph" w:styleId="a9">
    <w:name w:val="Title"/>
    <w:basedOn w:val="a"/>
    <w:next w:val="a"/>
    <w:link w:val="aa"/>
    <w:uiPriority w:val="10"/>
    <w:qFormat/>
    <w:rsid w:val="00CA3513"/>
    <w:pPr>
      <w:spacing w:before="240" w:after="60"/>
      <w:jc w:val="center"/>
      <w:outlineLvl w:val="0"/>
    </w:pPr>
    <w:rPr>
      <w:rFonts w:asciiTheme="majorHAnsi" w:eastAsia="新細明體" w:hAnsiTheme="majorHAnsi" w:cstheme="majorBidi"/>
      <w:b/>
      <w:bCs/>
      <w:sz w:val="32"/>
      <w:szCs w:val="32"/>
    </w:rPr>
  </w:style>
  <w:style w:type="character" w:customStyle="1" w:styleId="aa">
    <w:name w:val="標題 字元"/>
    <w:basedOn w:val="a0"/>
    <w:link w:val="a9"/>
    <w:uiPriority w:val="10"/>
    <w:rsid w:val="00CA3513"/>
    <w:rPr>
      <w:rFonts w:asciiTheme="majorHAnsi" w:eastAsia="新細明體" w:hAnsiTheme="majorHAnsi" w:cstheme="majorBidi"/>
      <w:b/>
      <w:bCs/>
      <w:sz w:val="32"/>
      <w:szCs w:val="32"/>
    </w:rPr>
  </w:style>
  <w:style w:type="paragraph" w:styleId="ab">
    <w:name w:val="footnote text"/>
    <w:aliases w:val="Report_note"/>
    <w:basedOn w:val="a"/>
    <w:link w:val="ac"/>
    <w:uiPriority w:val="99"/>
    <w:unhideWhenUsed/>
    <w:qFormat/>
    <w:rsid w:val="009577B3"/>
    <w:pPr>
      <w:widowControl w:val="0"/>
      <w:snapToGrid w:val="0"/>
      <w:spacing w:beforeLines="0" w:before="0"/>
      <w:ind w:firstLineChars="0" w:firstLine="0"/>
      <w:jc w:val="left"/>
    </w:pPr>
    <w:rPr>
      <w:rFonts w:asciiTheme="minorHAnsi" w:eastAsiaTheme="minorEastAsia" w:hAnsiTheme="minorHAnsi"/>
      <w:sz w:val="20"/>
      <w:szCs w:val="20"/>
    </w:rPr>
  </w:style>
  <w:style w:type="character" w:customStyle="1" w:styleId="ac">
    <w:name w:val="註腳文字 字元"/>
    <w:aliases w:val="Report_note 字元"/>
    <w:basedOn w:val="a0"/>
    <w:link w:val="ab"/>
    <w:uiPriority w:val="99"/>
    <w:qFormat/>
    <w:rsid w:val="009577B3"/>
    <w:rPr>
      <w:rFonts w:asciiTheme="minorHAnsi" w:eastAsiaTheme="minorEastAsia" w:hAnsiTheme="minorHAnsi"/>
      <w:sz w:val="20"/>
      <w:szCs w:val="20"/>
    </w:rPr>
  </w:style>
  <w:style w:type="character" w:styleId="ad">
    <w:name w:val="footnote reference"/>
    <w:basedOn w:val="a0"/>
    <w:uiPriority w:val="99"/>
    <w:unhideWhenUsed/>
    <w:qFormat/>
    <w:rsid w:val="009577B3"/>
    <w:rPr>
      <w:vertAlign w:val="superscript"/>
    </w:rPr>
  </w:style>
  <w:style w:type="character" w:customStyle="1" w:styleId="a8">
    <w:name w:val="清單段落 字元"/>
    <w:aliases w:val="清單段落a 字元"/>
    <w:link w:val="a7"/>
    <w:uiPriority w:val="34"/>
    <w:locked/>
    <w:rsid w:val="00651D98"/>
    <w:rPr>
      <w:rFonts w:asciiTheme="minorHAnsi" w:eastAsiaTheme="minorEastAsia" w:hAnsiTheme="minorHAnsi"/>
      <w:sz w:val="24"/>
    </w:rPr>
  </w:style>
  <w:style w:type="paragraph" w:styleId="ae">
    <w:name w:val="Balloon Text"/>
    <w:basedOn w:val="a"/>
    <w:link w:val="af"/>
    <w:uiPriority w:val="99"/>
    <w:semiHidden/>
    <w:unhideWhenUsed/>
    <w:rsid w:val="00BA0D96"/>
    <w:pPr>
      <w:spacing w:before="0"/>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BA0D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07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53110-37E1-49CA-862F-01C1104C3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6564</Words>
  <Characters>329</Characters>
  <Application>Microsoft Office Word</Application>
  <DocSecurity>0</DocSecurity>
  <Lines>2</Lines>
  <Paragraphs>13</Paragraphs>
  <ScaleCrop>false</ScaleCrop>
  <Company>Hewlett-Packard Company</Company>
  <LinksUpToDate>false</LinksUpToDate>
  <CharactersWithSpaces>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蔡美芬</dc:creator>
  <cp:lastModifiedBy>蔡美芬</cp:lastModifiedBy>
  <cp:revision>11</cp:revision>
  <cp:lastPrinted>2019-07-02T07:30:00Z</cp:lastPrinted>
  <dcterms:created xsi:type="dcterms:W3CDTF">2019-07-02T07:07:00Z</dcterms:created>
  <dcterms:modified xsi:type="dcterms:W3CDTF">2019-07-02T08:42:00Z</dcterms:modified>
</cp:coreProperties>
</file>