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2F8" w:rsidRPr="00063E07" w:rsidRDefault="00FE72F8" w:rsidP="00EB3350">
      <w:pPr>
        <w:widowControl/>
        <w:spacing w:after="120" w:line="400" w:lineRule="exact"/>
        <w:ind w:right="-142"/>
        <w:rPr>
          <w:rFonts w:eastAsia="標楷體" w:hAnsi="標楷體"/>
          <w:b/>
          <w:sz w:val="32"/>
          <w:szCs w:val="32"/>
        </w:rPr>
      </w:pPr>
      <w:r w:rsidRPr="00063E07">
        <w:rPr>
          <w:rFonts w:eastAsia="標楷體" w:hAnsi="標楷體" w:hint="eastAsia"/>
          <w:b/>
          <w:sz w:val="32"/>
          <w:szCs w:val="32"/>
        </w:rPr>
        <w:t>金融機構存款及其他各種負債準備金調整及查核辦法</w:t>
      </w:r>
      <w:r w:rsidR="00EB3350" w:rsidRPr="00063E07">
        <w:rPr>
          <w:rFonts w:ascii="標楷體" w:eastAsia="標楷體" w:hAnsi="標楷體" w:hint="eastAsia"/>
          <w:b/>
          <w:sz w:val="30"/>
          <w:szCs w:val="30"/>
        </w:rPr>
        <w:t>第三條</w:t>
      </w:r>
      <w:r w:rsidR="00EB3350" w:rsidRPr="00063E07">
        <w:rPr>
          <w:rFonts w:ascii="新細明體" w:hAnsi="新細明體" w:hint="eastAsia"/>
          <w:b/>
          <w:sz w:val="30"/>
          <w:szCs w:val="30"/>
        </w:rPr>
        <w:t>、</w:t>
      </w:r>
      <w:r w:rsidR="00EB3350" w:rsidRPr="00063E07">
        <w:rPr>
          <w:rFonts w:ascii="標楷體" w:eastAsia="標楷體" w:hAnsi="標楷體" w:hint="eastAsia"/>
          <w:b/>
          <w:sz w:val="30"/>
          <w:szCs w:val="30"/>
        </w:rPr>
        <w:t>第五條</w:t>
      </w:r>
      <w:r w:rsidR="00BF4CBA" w:rsidRPr="00063E07">
        <w:rPr>
          <w:rFonts w:eastAsia="標楷體" w:hAnsi="標楷體" w:hint="eastAsia"/>
          <w:b/>
          <w:sz w:val="32"/>
          <w:szCs w:val="32"/>
        </w:rPr>
        <w:t>修正草案條文對照表</w:t>
      </w:r>
      <w:bookmarkStart w:id="0" w:name="_GoBack"/>
      <w:bookmarkEnd w:id="0"/>
    </w:p>
    <w:tbl>
      <w:tblPr>
        <w:tblStyle w:val="a8"/>
        <w:tblW w:w="10207" w:type="dxa"/>
        <w:tblInd w:w="-34" w:type="dxa"/>
        <w:tblLook w:val="04A0" w:firstRow="1" w:lastRow="0" w:firstColumn="1" w:lastColumn="0" w:noHBand="0" w:noVBand="1"/>
      </w:tblPr>
      <w:tblGrid>
        <w:gridCol w:w="3535"/>
        <w:gridCol w:w="3535"/>
        <w:gridCol w:w="3137"/>
      </w:tblGrid>
      <w:tr w:rsidR="003D1CB5" w:rsidTr="00EB3350">
        <w:trPr>
          <w:trHeight w:hRule="exact" w:val="510"/>
        </w:trPr>
        <w:tc>
          <w:tcPr>
            <w:tcW w:w="3515" w:type="dxa"/>
            <w:vAlign w:val="center"/>
          </w:tcPr>
          <w:p w:rsidR="003D1CB5" w:rsidRPr="005F4EDD" w:rsidRDefault="003D1CB5" w:rsidP="003D1CB5">
            <w:pPr>
              <w:spacing w:line="360" w:lineRule="exact"/>
              <w:jc w:val="center"/>
              <w:rPr>
                <w:rFonts w:ascii="標楷體" w:eastAsia="標楷體" w:hAnsi="標楷體"/>
                <w:spacing w:val="2"/>
              </w:rPr>
            </w:pPr>
            <w:r w:rsidRPr="005F4EDD">
              <w:rPr>
                <w:rFonts w:ascii="標楷體" w:eastAsia="標楷體" w:hAnsi="標楷體" w:hint="eastAsia"/>
                <w:spacing w:val="2"/>
              </w:rPr>
              <w:t>修</w:t>
            </w:r>
            <w:r w:rsidR="004448BD">
              <w:rPr>
                <w:rFonts w:ascii="標楷體" w:eastAsia="標楷體" w:hAnsi="標楷體" w:hint="eastAsia"/>
                <w:spacing w:val="2"/>
              </w:rPr>
              <w:t xml:space="preserve"> </w:t>
            </w:r>
            <w:r w:rsidRPr="005F4EDD">
              <w:rPr>
                <w:rFonts w:ascii="標楷體" w:eastAsia="標楷體" w:hAnsi="標楷體" w:hint="eastAsia"/>
                <w:spacing w:val="2"/>
              </w:rPr>
              <w:t>正</w:t>
            </w:r>
            <w:r w:rsidR="004448BD">
              <w:rPr>
                <w:rFonts w:ascii="標楷體" w:eastAsia="標楷體" w:hAnsi="標楷體" w:hint="eastAsia"/>
                <w:spacing w:val="2"/>
              </w:rPr>
              <w:t xml:space="preserve"> </w:t>
            </w:r>
            <w:r w:rsidRPr="005F4EDD">
              <w:rPr>
                <w:rFonts w:ascii="標楷體" w:eastAsia="標楷體" w:hAnsi="標楷體" w:hint="eastAsia"/>
                <w:spacing w:val="2"/>
              </w:rPr>
              <w:t>條</w:t>
            </w:r>
            <w:r w:rsidR="004448BD">
              <w:rPr>
                <w:rFonts w:ascii="標楷體" w:eastAsia="標楷體" w:hAnsi="標楷體" w:hint="eastAsia"/>
                <w:spacing w:val="2"/>
              </w:rPr>
              <w:t xml:space="preserve"> </w:t>
            </w:r>
            <w:r w:rsidRPr="005F4EDD">
              <w:rPr>
                <w:rFonts w:ascii="標楷體" w:eastAsia="標楷體" w:hAnsi="標楷體" w:hint="eastAsia"/>
                <w:spacing w:val="2"/>
              </w:rPr>
              <w:t>文</w:t>
            </w:r>
          </w:p>
        </w:tc>
        <w:tc>
          <w:tcPr>
            <w:tcW w:w="3515" w:type="dxa"/>
            <w:vAlign w:val="center"/>
          </w:tcPr>
          <w:p w:rsidR="003D1CB5" w:rsidRPr="005F4EDD" w:rsidRDefault="004448BD" w:rsidP="004448BD">
            <w:pPr>
              <w:spacing w:line="360" w:lineRule="exact"/>
              <w:jc w:val="center"/>
              <w:rPr>
                <w:rFonts w:ascii="標楷體" w:eastAsia="標楷體" w:hAnsi="標楷體"/>
                <w:spacing w:val="2"/>
              </w:rPr>
            </w:pPr>
            <w:r w:rsidRPr="005F4EDD">
              <w:rPr>
                <w:rFonts w:ascii="標楷體" w:eastAsia="標楷體" w:hAnsi="標楷體" w:hint="eastAsia"/>
                <w:spacing w:val="2"/>
              </w:rPr>
              <w:t>現</w:t>
            </w:r>
            <w:r>
              <w:rPr>
                <w:rFonts w:ascii="標楷體" w:eastAsia="標楷體" w:hAnsi="標楷體" w:hint="eastAsia"/>
                <w:spacing w:val="2"/>
              </w:rPr>
              <w:t xml:space="preserve"> </w:t>
            </w:r>
            <w:r w:rsidRPr="005F4EDD">
              <w:rPr>
                <w:rFonts w:ascii="標楷體" w:eastAsia="標楷體" w:hAnsi="標楷體" w:hint="eastAsia"/>
                <w:spacing w:val="2"/>
              </w:rPr>
              <w:t>行</w:t>
            </w:r>
            <w:r>
              <w:rPr>
                <w:rFonts w:ascii="標楷體" w:eastAsia="標楷體" w:hAnsi="標楷體" w:hint="eastAsia"/>
                <w:spacing w:val="2"/>
              </w:rPr>
              <w:t xml:space="preserve"> </w:t>
            </w:r>
            <w:r w:rsidRPr="005F4EDD">
              <w:rPr>
                <w:rFonts w:ascii="標楷體" w:eastAsia="標楷體" w:hAnsi="標楷體" w:hint="eastAsia"/>
                <w:spacing w:val="2"/>
              </w:rPr>
              <w:t>條</w:t>
            </w:r>
            <w:r>
              <w:rPr>
                <w:rFonts w:ascii="標楷體" w:eastAsia="標楷體" w:hAnsi="標楷體" w:hint="eastAsia"/>
                <w:spacing w:val="2"/>
              </w:rPr>
              <w:t xml:space="preserve"> </w:t>
            </w:r>
            <w:r w:rsidRPr="005F4EDD">
              <w:rPr>
                <w:rFonts w:ascii="標楷體" w:eastAsia="標楷體" w:hAnsi="標楷體" w:hint="eastAsia"/>
                <w:spacing w:val="2"/>
              </w:rPr>
              <w:t>文</w:t>
            </w:r>
          </w:p>
        </w:tc>
        <w:tc>
          <w:tcPr>
            <w:tcW w:w="3119" w:type="dxa"/>
            <w:vAlign w:val="center"/>
          </w:tcPr>
          <w:p w:rsidR="003D1CB5" w:rsidRPr="005F4EDD" w:rsidRDefault="004448BD" w:rsidP="003D1CB5">
            <w:pPr>
              <w:spacing w:line="360" w:lineRule="exact"/>
              <w:jc w:val="center"/>
              <w:rPr>
                <w:rFonts w:ascii="標楷體" w:eastAsia="標楷體" w:hAnsi="標楷體"/>
                <w:spacing w:val="2"/>
              </w:rPr>
            </w:pPr>
            <w:r>
              <w:rPr>
                <w:rFonts w:ascii="標楷體" w:eastAsia="標楷體" w:hAnsi="標楷體" w:hint="eastAsia"/>
                <w:spacing w:val="2"/>
              </w:rPr>
              <w:t>說   明</w:t>
            </w:r>
          </w:p>
        </w:tc>
      </w:tr>
      <w:tr w:rsidR="003D1CB5" w:rsidTr="00EB3350">
        <w:tc>
          <w:tcPr>
            <w:tcW w:w="3515" w:type="dxa"/>
          </w:tcPr>
          <w:p w:rsidR="003D1CB5" w:rsidRPr="005F4EDD" w:rsidRDefault="003D1CB5" w:rsidP="000A2919">
            <w:pPr>
              <w:spacing w:line="400" w:lineRule="exact"/>
              <w:ind w:left="244" w:hangingChars="100" w:hanging="244"/>
              <w:jc w:val="both"/>
              <w:rPr>
                <w:rFonts w:ascii="標楷體" w:eastAsia="標楷體" w:hAnsi="標楷體"/>
                <w:spacing w:val="2"/>
              </w:rPr>
            </w:pPr>
            <w:r w:rsidRPr="000A2919">
              <w:rPr>
                <w:rFonts w:ascii="標楷體" w:eastAsia="標楷體" w:hAnsi="標楷體" w:hint="eastAsia"/>
                <w:spacing w:val="2"/>
              </w:rPr>
              <w:t>第三條  金融機構應提存準備金之存款範圍如下：</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cs="細明體" w:hint="eastAsia"/>
                <w:spacing w:val="2"/>
                <w:kern w:val="0"/>
              </w:rPr>
              <w:t>一、支票存款（包括支票存款、領用劃撥支票之郵政劃撥儲金、保付支票、旅行支票）。</w:t>
            </w:r>
          </w:p>
          <w:p w:rsidR="003D1CB5"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二、活期存款（包括活期存款、未領用劃撥支票之郵政劃撥儲金</w:t>
            </w:r>
            <w:r w:rsidR="00FD15F3" w:rsidRPr="00FD15F3">
              <w:rPr>
                <w:rFonts w:ascii="標楷體" w:eastAsia="標楷體" w:hAnsi="標楷體" w:hint="eastAsia"/>
                <w:spacing w:val="2"/>
              </w:rPr>
              <w:t>、辦理現金儲值卡業務預收之現金餘額或備償額</w:t>
            </w:r>
            <w:r w:rsidR="00FD15F3" w:rsidRPr="00FD15F3">
              <w:rPr>
                <w:rFonts w:ascii="新細明體" w:hAnsi="新細明體" w:hint="eastAsia"/>
                <w:spacing w:val="2"/>
                <w:u w:val="single"/>
              </w:rPr>
              <w:t>、</w:t>
            </w:r>
            <w:r w:rsidR="00FD15F3" w:rsidRPr="00FD15F3">
              <w:rPr>
                <w:rFonts w:ascii="標楷體" w:eastAsia="標楷體" w:hAnsi="標楷體" w:hint="eastAsia"/>
                <w:color w:val="000000"/>
                <w:u w:val="single"/>
              </w:rPr>
              <w:t>儲存於電子票證</w:t>
            </w:r>
            <w:r w:rsidR="007451F6">
              <w:rPr>
                <w:rFonts w:ascii="標楷體" w:eastAsia="標楷體" w:hAnsi="標楷體" w:hint="eastAsia"/>
                <w:color w:val="000000"/>
                <w:u w:val="single"/>
              </w:rPr>
              <w:t>或</w:t>
            </w:r>
            <w:r w:rsidR="00FD15F3" w:rsidRPr="00FD15F3">
              <w:rPr>
                <w:rFonts w:ascii="標楷體" w:eastAsia="標楷體" w:hAnsi="標楷體" w:hint="eastAsia"/>
                <w:color w:val="000000"/>
                <w:u w:val="single"/>
              </w:rPr>
              <w:t>電子支付帳戶之</w:t>
            </w:r>
            <w:r w:rsidR="005A713E">
              <w:rPr>
                <w:rFonts w:ascii="標楷體" w:eastAsia="標楷體" w:hAnsi="標楷體" w:hint="eastAsia"/>
                <w:color w:val="000000"/>
                <w:u w:val="single"/>
              </w:rPr>
              <w:t>儲值</w:t>
            </w:r>
            <w:r w:rsidR="00FD15F3" w:rsidRPr="00FD15F3">
              <w:rPr>
                <w:rFonts w:ascii="標楷體" w:eastAsia="標楷體" w:hAnsi="標楷體" w:hint="eastAsia"/>
                <w:color w:val="000000"/>
                <w:u w:val="single"/>
              </w:rPr>
              <w:t>款項</w:t>
            </w:r>
            <w:r w:rsidRPr="005F4EDD">
              <w:rPr>
                <w:rFonts w:ascii="標楷體" w:eastAsia="標楷體" w:hAnsi="標楷體" w:hint="eastAsia"/>
                <w:spacing w:val="2"/>
              </w:rPr>
              <w:t>）。</w:t>
            </w:r>
          </w:p>
          <w:p w:rsidR="00EB3350" w:rsidRDefault="00EB3350" w:rsidP="00DD5218">
            <w:pPr>
              <w:spacing w:line="400" w:lineRule="exact"/>
              <w:ind w:leftChars="115" w:left="764" w:hangingChars="200" w:hanging="488"/>
              <w:jc w:val="both"/>
              <w:rPr>
                <w:rFonts w:ascii="標楷體" w:eastAsia="標楷體" w:hAnsi="標楷體"/>
                <w:spacing w:val="2"/>
              </w:rPr>
            </w:pP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三、儲蓄存款（包括活期儲蓄存款、行員活期儲蓄存款、郵政存簿儲金；整存整付儲蓄存款、零存整付儲蓄存款、整存零付儲蓄存款、存本付息儲蓄存款、行員定</w:t>
            </w:r>
            <w:r w:rsidR="00E43287">
              <w:rPr>
                <w:rFonts w:ascii="標楷體" w:eastAsia="標楷體" w:hAnsi="標楷體" w:hint="eastAsia"/>
                <w:spacing w:val="2"/>
              </w:rPr>
              <w:t>期</w:t>
            </w:r>
            <w:r w:rsidRPr="005F4EDD">
              <w:rPr>
                <w:rFonts w:ascii="標楷體" w:eastAsia="標楷體" w:hAnsi="標楷體" w:hint="eastAsia"/>
                <w:spacing w:val="2"/>
              </w:rPr>
              <w:t>儲蓄存款、郵政定期儲金之定期儲蓄存</w:t>
            </w:r>
            <w:r w:rsidR="00E43287">
              <w:rPr>
                <w:rFonts w:ascii="標楷體" w:eastAsia="標楷體" w:hAnsi="標楷體" w:hint="eastAsia"/>
                <w:spacing w:val="2"/>
              </w:rPr>
              <w:t>款</w:t>
            </w:r>
            <w:r w:rsidRPr="005F4EDD">
              <w:rPr>
                <w:rFonts w:ascii="標楷體" w:eastAsia="標楷體" w:hAnsi="標楷體" w:hint="eastAsia"/>
                <w:spacing w:val="2"/>
              </w:rPr>
              <w:t>等）。</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四、定期存款（包括定期存款、可轉讓定期存單、郵政定期儲金之定期存款等）。</w:t>
            </w:r>
          </w:p>
          <w:p w:rsidR="003D1CB5" w:rsidRPr="005F4EDD" w:rsidRDefault="003D1CB5" w:rsidP="00DD5218">
            <w:pPr>
              <w:widowControl/>
              <w:spacing w:line="400" w:lineRule="exact"/>
              <w:ind w:leftChars="100" w:left="240" w:firstLineChars="200" w:firstLine="488"/>
              <w:jc w:val="both"/>
              <w:rPr>
                <w:rFonts w:ascii="標楷體" w:eastAsia="標楷體" w:hAnsi="標楷體" w:cs="細明體"/>
                <w:spacing w:val="2"/>
                <w:kern w:val="0"/>
                <w:u w:val="single"/>
              </w:rPr>
            </w:pPr>
          </w:p>
          <w:p w:rsidR="003D1CB5" w:rsidRPr="005F4EDD" w:rsidRDefault="003D1CB5" w:rsidP="00DD5218">
            <w:pPr>
              <w:widowControl/>
              <w:spacing w:line="400" w:lineRule="exact"/>
              <w:ind w:leftChars="100" w:left="240" w:firstLineChars="200" w:firstLine="488"/>
              <w:jc w:val="both"/>
              <w:rPr>
                <w:rFonts w:ascii="標楷體" w:eastAsia="標楷體" w:hAnsi="標楷體" w:cs="細明體"/>
                <w:spacing w:val="2"/>
                <w:kern w:val="0"/>
              </w:rPr>
            </w:pPr>
            <w:r w:rsidRPr="005F4EDD">
              <w:rPr>
                <w:rFonts w:ascii="標楷體" w:eastAsia="標楷體" w:hAnsi="標楷體" w:cs="細明體" w:hint="eastAsia"/>
                <w:spacing w:val="2"/>
                <w:kern w:val="0"/>
              </w:rPr>
              <w:t>金融機構之下列存款免提存準備金：</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一、同業存款。</w:t>
            </w:r>
            <w:r w:rsidR="004448BD" w:rsidRPr="00C86E00">
              <w:rPr>
                <w:rFonts w:ascii="標楷體" w:eastAsia="標楷體" w:hAnsi="標楷體" w:hint="eastAsia"/>
                <w:u w:val="single"/>
              </w:rPr>
              <w:t>但不包括</w:t>
            </w:r>
            <w:r w:rsidR="00713125">
              <w:rPr>
                <w:rFonts w:ascii="標楷體" w:eastAsia="標楷體" w:hAnsi="標楷體" w:hint="eastAsia"/>
                <w:u w:val="single"/>
              </w:rPr>
              <w:t>金融</w:t>
            </w:r>
            <w:r w:rsidR="004448BD" w:rsidRPr="00C86E00">
              <w:rPr>
                <w:rFonts w:ascii="標楷體" w:eastAsia="標楷體" w:hAnsi="標楷體" w:hint="eastAsia"/>
                <w:u w:val="single"/>
              </w:rPr>
              <w:t>機構間存放之定期性存款。</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lastRenderedPageBreak/>
              <w:t xml:space="preserve">二、公庫存款。  </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 xml:space="preserve">三、公教人員退休金、國軍退伍金及國軍同袍儲蓄會等之優惠存款。  </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 xml:space="preserve">四、基層金融機構收受之定期性存款，依中央銀行（以下簡稱本行）規定   條件轉存農業行庫者。  </w:t>
            </w:r>
          </w:p>
          <w:p w:rsidR="003D1CB5" w:rsidRPr="005F4EDD" w:rsidRDefault="003D1CB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五、要保金融機構收受中央存款保險公司依存款保險條例第二十八條及第二十九條規定所為之存款。</w:t>
            </w:r>
          </w:p>
          <w:p w:rsidR="003D1CB5" w:rsidRPr="005F4EDD" w:rsidRDefault="003D1CB5" w:rsidP="00DD5218">
            <w:pPr>
              <w:spacing w:line="400" w:lineRule="exact"/>
              <w:ind w:leftChars="115" w:left="708" w:hangingChars="177" w:hanging="432"/>
              <w:jc w:val="both"/>
              <w:rPr>
                <w:rFonts w:ascii="標楷體" w:eastAsia="標楷體" w:hAnsi="標楷體"/>
                <w:spacing w:val="2"/>
              </w:rPr>
            </w:pPr>
            <w:r w:rsidRPr="005F4EDD">
              <w:rPr>
                <w:rFonts w:ascii="標楷體" w:eastAsia="標楷體" w:hAnsi="標楷體" w:hint="eastAsia"/>
                <w:spacing w:val="2"/>
              </w:rPr>
              <w:t>六、其他經本行核可之存款。</w:t>
            </w:r>
          </w:p>
          <w:p w:rsidR="003D1CB5" w:rsidRPr="005F4EDD" w:rsidRDefault="003D1CB5" w:rsidP="00DD5218">
            <w:pPr>
              <w:widowControl/>
              <w:spacing w:afterLines="50" w:after="180" w:line="400" w:lineRule="exact"/>
              <w:ind w:leftChars="100" w:left="240" w:firstLineChars="200" w:firstLine="488"/>
              <w:jc w:val="both"/>
              <w:rPr>
                <w:rFonts w:ascii="標楷體" w:eastAsia="標楷體" w:hAnsi="標楷體"/>
                <w:spacing w:val="2"/>
                <w:sz w:val="32"/>
                <w:szCs w:val="32"/>
              </w:rPr>
            </w:pPr>
            <w:r w:rsidRPr="005F4EDD">
              <w:rPr>
                <w:rFonts w:ascii="標楷體" w:eastAsia="標楷體" w:hAnsi="標楷體" w:cs="細明體" w:hint="eastAsia"/>
                <w:spacing w:val="2"/>
                <w:kern w:val="0"/>
              </w:rPr>
              <w:t>前項第四款免提準備金之定期性存款，由收受轉存之農業行庫列入第一項存款提存準備金；其處理方式另訂之。</w:t>
            </w:r>
          </w:p>
        </w:tc>
        <w:tc>
          <w:tcPr>
            <w:tcW w:w="3515" w:type="dxa"/>
          </w:tcPr>
          <w:p w:rsidR="005E4E25" w:rsidRPr="005F4EDD" w:rsidRDefault="005E4E25" w:rsidP="00DD5218">
            <w:pPr>
              <w:spacing w:line="400" w:lineRule="exact"/>
              <w:ind w:left="244" w:hangingChars="100" w:hanging="244"/>
              <w:jc w:val="both"/>
              <w:rPr>
                <w:rFonts w:ascii="標楷體" w:eastAsia="標楷體" w:hAnsi="標楷體"/>
                <w:spacing w:val="2"/>
              </w:rPr>
            </w:pPr>
            <w:r w:rsidRPr="005F4EDD">
              <w:rPr>
                <w:rFonts w:ascii="標楷體" w:eastAsia="標楷體" w:hAnsi="標楷體" w:hint="eastAsia"/>
                <w:spacing w:val="2"/>
              </w:rPr>
              <w:lastRenderedPageBreak/>
              <w:t xml:space="preserve">第三條  金融機構應提存準備金之存款範圍如下：  </w:t>
            </w:r>
          </w:p>
          <w:p w:rsidR="005E4E25" w:rsidRPr="005F4EDD" w:rsidRDefault="005E4E25" w:rsidP="00DD5218">
            <w:pPr>
              <w:spacing w:line="400" w:lineRule="exact"/>
              <w:ind w:leftChars="115" w:left="764" w:hangingChars="200" w:hanging="488"/>
              <w:jc w:val="both"/>
              <w:rPr>
                <w:rFonts w:ascii="標楷體" w:eastAsia="標楷體" w:hAnsi="標楷體" w:cs="細明體"/>
                <w:spacing w:val="2"/>
                <w:kern w:val="0"/>
              </w:rPr>
            </w:pPr>
            <w:r w:rsidRPr="005F4EDD">
              <w:rPr>
                <w:rFonts w:ascii="標楷體" w:eastAsia="標楷體" w:hAnsi="標楷體" w:cs="細明體" w:hint="eastAsia"/>
                <w:spacing w:val="2"/>
                <w:kern w:val="0"/>
              </w:rPr>
              <w:t>一、支票存款（包括支票存款、領用劃撥支票之郵政劃撥儲金、保付支票、旅行支票）。</w:t>
            </w:r>
          </w:p>
          <w:p w:rsidR="005E4E25"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二、活期存款（包括活期存款、未領用劃撥支票之郵政劃撥儲金</w:t>
            </w:r>
            <w:r w:rsidRPr="00FD15F3">
              <w:rPr>
                <w:rFonts w:ascii="標楷體" w:eastAsia="標楷體" w:hAnsi="標楷體" w:hint="eastAsia"/>
                <w:spacing w:val="2"/>
              </w:rPr>
              <w:t>、</w:t>
            </w:r>
            <w:r w:rsidRPr="00854312">
              <w:rPr>
                <w:rFonts w:ascii="標楷體" w:eastAsia="標楷體" w:hAnsi="標楷體" w:hint="eastAsia"/>
                <w:spacing w:val="2"/>
                <w:u w:val="single"/>
              </w:rPr>
              <w:t>金融機構</w:t>
            </w:r>
            <w:r w:rsidRPr="00FD15F3">
              <w:rPr>
                <w:rFonts w:ascii="標楷體" w:eastAsia="標楷體" w:hAnsi="標楷體" w:hint="eastAsia"/>
                <w:spacing w:val="2"/>
              </w:rPr>
              <w:t>辦理現金儲值卡業務預收之現金餘額或備償額</w:t>
            </w:r>
            <w:r w:rsidRPr="005F4EDD">
              <w:rPr>
                <w:rFonts w:ascii="標楷體" w:eastAsia="標楷體" w:hAnsi="標楷體" w:hint="eastAsia"/>
                <w:spacing w:val="2"/>
              </w:rPr>
              <w:t>）。</w:t>
            </w:r>
          </w:p>
          <w:p w:rsidR="00DD5218" w:rsidRDefault="00DD5218" w:rsidP="00DD5218">
            <w:pPr>
              <w:spacing w:line="400" w:lineRule="exact"/>
              <w:ind w:leftChars="115" w:left="764" w:hangingChars="200" w:hanging="488"/>
              <w:jc w:val="both"/>
              <w:rPr>
                <w:rFonts w:ascii="標楷體" w:eastAsia="標楷體" w:hAnsi="標楷體"/>
                <w:spacing w:val="2"/>
              </w:rPr>
            </w:pPr>
          </w:p>
          <w:p w:rsidR="00EB3350" w:rsidRPr="005F4EDD" w:rsidRDefault="00EB3350" w:rsidP="00DD5218">
            <w:pPr>
              <w:spacing w:line="400" w:lineRule="exact"/>
              <w:ind w:leftChars="115" w:left="764" w:hangingChars="200" w:hanging="488"/>
              <w:jc w:val="both"/>
              <w:rPr>
                <w:rFonts w:ascii="標楷體" w:eastAsia="標楷體" w:hAnsi="標楷體"/>
                <w:spacing w:val="2"/>
              </w:rPr>
            </w:pP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三、儲蓄存款（包括活期儲蓄存款、行員活期儲蓄存款、郵政存簿儲金；      整存整付儲蓄存款、零存整付儲蓄存款、整存零付儲蓄存款、存本付息儲蓄存款、行員定</w:t>
            </w:r>
            <w:r w:rsidR="00E43287">
              <w:rPr>
                <w:rFonts w:ascii="標楷體" w:eastAsia="標楷體" w:hAnsi="標楷體" w:hint="eastAsia"/>
                <w:spacing w:val="2"/>
              </w:rPr>
              <w:t>期</w:t>
            </w:r>
            <w:r w:rsidRPr="005F4EDD">
              <w:rPr>
                <w:rFonts w:ascii="標楷體" w:eastAsia="標楷體" w:hAnsi="標楷體" w:hint="eastAsia"/>
                <w:spacing w:val="2"/>
              </w:rPr>
              <w:t>儲蓄存款、郵政定期儲金之定期儲蓄存</w:t>
            </w:r>
            <w:r w:rsidR="00E43287">
              <w:rPr>
                <w:rFonts w:ascii="標楷體" w:eastAsia="標楷體" w:hAnsi="標楷體" w:hint="eastAsia"/>
                <w:spacing w:val="2"/>
              </w:rPr>
              <w:t>款</w:t>
            </w:r>
            <w:r w:rsidRPr="005F4EDD">
              <w:rPr>
                <w:rFonts w:ascii="標楷體" w:eastAsia="標楷體" w:hAnsi="標楷體" w:hint="eastAsia"/>
                <w:spacing w:val="2"/>
              </w:rPr>
              <w:t>等）。</w:t>
            </w: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四、定期存款（包括定期存款、可轉讓定期存單、郵政定期儲金之定期存款等）。</w:t>
            </w:r>
          </w:p>
          <w:p w:rsidR="005E4E25" w:rsidRPr="005F4EDD" w:rsidRDefault="005E4E25" w:rsidP="00DD5218">
            <w:pPr>
              <w:widowControl/>
              <w:spacing w:line="400" w:lineRule="exact"/>
              <w:ind w:leftChars="100" w:left="240" w:firstLineChars="200" w:firstLine="488"/>
              <w:jc w:val="both"/>
              <w:rPr>
                <w:rFonts w:ascii="標楷體" w:eastAsia="標楷體" w:hAnsi="標楷體" w:cs="細明體"/>
                <w:spacing w:val="2"/>
                <w:kern w:val="0"/>
              </w:rPr>
            </w:pPr>
          </w:p>
          <w:p w:rsidR="005E4E25" w:rsidRPr="005F4EDD" w:rsidRDefault="005E4E25" w:rsidP="00DD5218">
            <w:pPr>
              <w:widowControl/>
              <w:spacing w:line="400" w:lineRule="exact"/>
              <w:ind w:leftChars="100" w:left="240" w:firstLineChars="200" w:firstLine="488"/>
              <w:jc w:val="both"/>
              <w:rPr>
                <w:rFonts w:ascii="標楷體" w:eastAsia="標楷體" w:hAnsi="標楷體" w:cs="細明體"/>
                <w:spacing w:val="2"/>
                <w:kern w:val="0"/>
              </w:rPr>
            </w:pPr>
            <w:r w:rsidRPr="005F4EDD">
              <w:rPr>
                <w:rFonts w:ascii="標楷體" w:eastAsia="標楷體" w:hAnsi="標楷體" w:cs="細明體" w:hint="eastAsia"/>
                <w:spacing w:val="2"/>
                <w:kern w:val="0"/>
              </w:rPr>
              <w:t>金融機構之下列存款免提存準備金：</w:t>
            </w:r>
          </w:p>
          <w:p w:rsidR="005E4E25" w:rsidRPr="005F4EDD" w:rsidRDefault="005E4E25" w:rsidP="00DD5218">
            <w:pPr>
              <w:spacing w:line="400" w:lineRule="exact"/>
              <w:ind w:leftChars="115" w:left="708" w:hangingChars="177" w:hanging="432"/>
              <w:jc w:val="both"/>
              <w:rPr>
                <w:rFonts w:ascii="標楷體" w:eastAsia="標楷體" w:hAnsi="標楷體"/>
                <w:spacing w:val="2"/>
              </w:rPr>
            </w:pPr>
            <w:r w:rsidRPr="005F4EDD">
              <w:rPr>
                <w:rFonts w:ascii="標楷體" w:eastAsia="標楷體" w:hAnsi="標楷體" w:hint="eastAsia"/>
                <w:spacing w:val="2"/>
              </w:rPr>
              <w:t>一、同業存款。</w:t>
            </w:r>
          </w:p>
          <w:p w:rsidR="004448BD" w:rsidRDefault="004448BD" w:rsidP="00DD5218">
            <w:pPr>
              <w:spacing w:line="400" w:lineRule="exact"/>
              <w:ind w:leftChars="115" w:left="764" w:hangingChars="200" w:hanging="488"/>
              <w:jc w:val="both"/>
              <w:rPr>
                <w:rFonts w:ascii="標楷體" w:eastAsia="標楷體" w:hAnsi="標楷體"/>
                <w:spacing w:val="2"/>
              </w:rPr>
            </w:pPr>
          </w:p>
          <w:p w:rsidR="004448BD" w:rsidRDefault="004448BD" w:rsidP="00DD5218">
            <w:pPr>
              <w:spacing w:line="400" w:lineRule="exact"/>
              <w:ind w:leftChars="115" w:left="764" w:hangingChars="200" w:hanging="488"/>
              <w:jc w:val="both"/>
              <w:rPr>
                <w:rFonts w:ascii="標楷體" w:eastAsia="標楷體" w:hAnsi="標楷體"/>
                <w:spacing w:val="2"/>
              </w:rPr>
            </w:pP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lastRenderedPageBreak/>
              <w:t>二、公庫存款。</w:t>
            </w: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三、公教人員退休金、國軍退伍金及國軍同袍儲蓄會等之優惠存款。</w:t>
            </w: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 xml:space="preserve">四、基層金融機構收受之定期性存款，依中央銀行（以下簡稱本行）規定   條件轉存農業行庫者。  </w:t>
            </w:r>
          </w:p>
          <w:p w:rsidR="005E4E25" w:rsidRPr="005F4EDD" w:rsidRDefault="005E4E25" w:rsidP="00DD5218">
            <w:pPr>
              <w:spacing w:line="400" w:lineRule="exact"/>
              <w:ind w:leftChars="115" w:left="764" w:hangingChars="200" w:hanging="488"/>
              <w:jc w:val="both"/>
              <w:rPr>
                <w:rFonts w:ascii="標楷體" w:eastAsia="標楷體" w:hAnsi="標楷體"/>
                <w:spacing w:val="2"/>
              </w:rPr>
            </w:pPr>
            <w:r w:rsidRPr="005F4EDD">
              <w:rPr>
                <w:rFonts w:ascii="標楷體" w:eastAsia="標楷體" w:hAnsi="標楷體" w:hint="eastAsia"/>
                <w:spacing w:val="2"/>
              </w:rPr>
              <w:t>五、要保金融機構收受中央存款保險公司依存款保險條例第二十八條及第二十九條規定所為之存款。</w:t>
            </w:r>
          </w:p>
          <w:p w:rsidR="005E4E25" w:rsidRPr="005F4EDD" w:rsidRDefault="005E4E25" w:rsidP="00DD5218">
            <w:pPr>
              <w:spacing w:line="400" w:lineRule="exact"/>
              <w:ind w:leftChars="115" w:left="708" w:hangingChars="177" w:hanging="432"/>
              <w:jc w:val="both"/>
              <w:rPr>
                <w:rFonts w:ascii="標楷體" w:eastAsia="標楷體" w:hAnsi="標楷體"/>
                <w:spacing w:val="2"/>
              </w:rPr>
            </w:pPr>
            <w:r w:rsidRPr="005F4EDD">
              <w:rPr>
                <w:rFonts w:ascii="標楷體" w:eastAsia="標楷體" w:hAnsi="標楷體" w:hint="eastAsia"/>
                <w:spacing w:val="2"/>
              </w:rPr>
              <w:t>六、其他經本行核可之存款。</w:t>
            </w:r>
          </w:p>
          <w:p w:rsidR="003D1CB5" w:rsidRPr="005E4E25" w:rsidRDefault="005E4E25" w:rsidP="00DD5218">
            <w:pPr>
              <w:widowControl/>
              <w:spacing w:afterLines="50" w:after="180" w:line="400" w:lineRule="exact"/>
              <w:ind w:leftChars="100" w:left="240" w:firstLineChars="200" w:firstLine="488"/>
              <w:jc w:val="both"/>
              <w:rPr>
                <w:rFonts w:ascii="標楷體" w:eastAsia="標楷體" w:hAnsi="標楷體"/>
                <w:spacing w:val="2"/>
              </w:rPr>
            </w:pPr>
            <w:r w:rsidRPr="005F4EDD">
              <w:rPr>
                <w:rFonts w:ascii="標楷體" w:eastAsia="標楷體" w:hAnsi="標楷體" w:cs="細明體" w:hint="eastAsia"/>
                <w:spacing w:val="2"/>
                <w:kern w:val="0"/>
              </w:rPr>
              <w:t>前項第四款免提準備金之定期性存款，由收受轉存之農業行庫列入第一項存款提存準備金；其處理方式另訂之。</w:t>
            </w:r>
          </w:p>
        </w:tc>
        <w:tc>
          <w:tcPr>
            <w:tcW w:w="3119" w:type="dxa"/>
          </w:tcPr>
          <w:p w:rsidR="00952403" w:rsidRDefault="004448BD" w:rsidP="005A713E">
            <w:pPr>
              <w:spacing w:line="400" w:lineRule="exact"/>
              <w:ind w:left="408" w:hangingChars="170" w:hanging="408"/>
              <w:jc w:val="both"/>
              <w:rPr>
                <w:rFonts w:ascii="標楷體" w:eastAsia="標楷體" w:hAnsi="標楷體"/>
              </w:rPr>
            </w:pPr>
            <w:r>
              <w:rPr>
                <w:rFonts w:ascii="標楷體" w:eastAsia="標楷體" w:hAnsi="標楷體" w:hint="eastAsia"/>
              </w:rPr>
              <w:lastRenderedPageBreak/>
              <w:t>一、</w:t>
            </w:r>
            <w:r w:rsidR="00952403" w:rsidRPr="00C86E00">
              <w:rPr>
                <w:rFonts w:ascii="標楷體" w:eastAsia="標楷體" w:hAnsi="標楷體" w:hint="eastAsia"/>
              </w:rPr>
              <w:t>電子票證發行管理條例第二十九條第二項及電子支付機構管理條例第四十一條</w:t>
            </w:r>
            <w:r w:rsidR="00952403">
              <w:rPr>
                <w:rFonts w:ascii="標楷體" w:eastAsia="標楷體" w:hAnsi="標楷體" w:hint="eastAsia"/>
              </w:rPr>
              <w:t>分別</w:t>
            </w:r>
            <w:r w:rsidR="00952403" w:rsidRPr="00C86E00">
              <w:rPr>
                <w:rFonts w:ascii="標楷體" w:eastAsia="標楷體" w:hAnsi="標楷體" w:hint="eastAsia"/>
              </w:rPr>
              <w:t>規定，銀行兼營各該業務所收儲值款項，應依銀行法或其他相關法令提列準備金</w:t>
            </w:r>
            <w:r w:rsidR="005A713E">
              <w:rPr>
                <w:rFonts w:ascii="標楷體" w:eastAsia="標楷體" w:hAnsi="標楷體" w:hint="eastAsia"/>
              </w:rPr>
              <w:t>，爰將前述儲值款項增列於第一項第二款</w:t>
            </w:r>
            <w:r w:rsidR="005A713E">
              <w:rPr>
                <w:rFonts w:ascii="新細明體" w:hAnsi="新細明體" w:hint="eastAsia"/>
              </w:rPr>
              <w:t>「</w:t>
            </w:r>
            <w:r w:rsidR="005A713E" w:rsidRPr="005A713E">
              <w:rPr>
                <w:rFonts w:ascii="標楷體" w:eastAsia="標楷體" w:hAnsi="標楷體" w:hint="eastAsia"/>
              </w:rPr>
              <w:t>活期存款」</w:t>
            </w:r>
            <w:r w:rsidR="005A713E">
              <w:rPr>
                <w:rFonts w:ascii="標楷體" w:eastAsia="標楷體" w:hAnsi="標楷體" w:hint="eastAsia"/>
              </w:rPr>
              <w:t>之範圍，以為計提準備金之基礎</w:t>
            </w:r>
            <w:r w:rsidR="00952403" w:rsidRPr="00C86E00">
              <w:rPr>
                <w:rFonts w:ascii="標楷體" w:eastAsia="標楷體" w:hAnsi="標楷體" w:hint="eastAsia"/>
              </w:rPr>
              <w:t>。</w:t>
            </w:r>
          </w:p>
          <w:p w:rsidR="003D1CB5" w:rsidRDefault="005A713E" w:rsidP="005A713E">
            <w:pPr>
              <w:spacing w:line="400" w:lineRule="exact"/>
              <w:ind w:left="408" w:hangingChars="170" w:hanging="408"/>
              <w:jc w:val="both"/>
              <w:rPr>
                <w:rFonts w:ascii="標楷體" w:eastAsia="標楷體" w:hAnsi="標楷體"/>
              </w:rPr>
            </w:pPr>
            <w:r>
              <w:rPr>
                <w:rFonts w:ascii="標楷體" w:eastAsia="標楷體" w:hAnsi="標楷體" w:hint="eastAsia"/>
              </w:rPr>
              <w:t>二</w:t>
            </w:r>
            <w:r w:rsidR="00667456">
              <w:rPr>
                <w:rFonts w:ascii="標楷體" w:eastAsia="標楷體" w:hAnsi="標楷體" w:hint="eastAsia"/>
              </w:rPr>
              <w:t>、</w:t>
            </w:r>
            <w:r w:rsidR="004448BD">
              <w:rPr>
                <w:rFonts w:ascii="標楷體" w:eastAsia="標楷體" w:hAnsi="標楷體" w:hint="eastAsia"/>
              </w:rPr>
              <w:t>「同業存款</w:t>
            </w:r>
            <w:r w:rsidR="004448BD" w:rsidRPr="001503A5">
              <w:rPr>
                <w:rFonts w:ascii="標楷體" w:eastAsia="標楷體" w:hAnsi="標楷體" w:hint="eastAsia"/>
              </w:rPr>
              <w:t>」</w:t>
            </w:r>
            <w:r w:rsidR="004448BD" w:rsidRPr="00FF0BF5">
              <w:rPr>
                <w:rFonts w:ascii="標楷體" w:eastAsia="標楷體" w:hAnsi="標楷體" w:hint="eastAsia"/>
              </w:rPr>
              <w:t>免提準備金</w:t>
            </w:r>
            <w:r w:rsidR="004448BD">
              <w:rPr>
                <w:rFonts w:ascii="標楷體" w:eastAsia="標楷體" w:hAnsi="標楷體" w:hint="eastAsia"/>
              </w:rPr>
              <w:t>範圍，依</w:t>
            </w:r>
            <w:r w:rsidR="003D16F6">
              <w:rPr>
                <w:rFonts w:ascii="標楷體" w:eastAsia="標楷體" w:hAnsi="標楷體" w:hint="eastAsia"/>
              </w:rPr>
              <w:t>中央銀</w:t>
            </w:r>
            <w:r w:rsidR="004448BD">
              <w:rPr>
                <w:rFonts w:ascii="標楷體" w:eastAsia="標楷體" w:hAnsi="標楷體" w:hint="eastAsia"/>
              </w:rPr>
              <w:t>行</w:t>
            </w:r>
            <w:r w:rsidR="004448BD" w:rsidRPr="001503A5">
              <w:rPr>
                <w:rFonts w:ascii="標楷體" w:eastAsia="標楷體" w:hAnsi="標楷體" w:hint="eastAsia"/>
              </w:rPr>
              <w:t>業務局</w:t>
            </w:r>
            <w:r w:rsidR="004448BD">
              <w:rPr>
                <w:rFonts w:ascii="標楷體" w:eastAsia="標楷體" w:hAnsi="標楷體" w:hint="eastAsia"/>
              </w:rPr>
              <w:t>一</w:t>
            </w:r>
            <w:r w:rsidR="00E43287">
              <w:rPr>
                <w:rFonts w:ascii="標楷體" w:eastAsia="標楷體" w:hAnsi="標楷體" w:hint="eastAsia"/>
              </w:rPr>
              <w:t>百零</w:t>
            </w:r>
            <w:r w:rsidR="004448BD">
              <w:rPr>
                <w:rFonts w:ascii="標楷體" w:eastAsia="標楷體" w:hAnsi="標楷體" w:hint="eastAsia"/>
              </w:rPr>
              <w:t>三年五</w:t>
            </w:r>
            <w:r w:rsidR="004448BD" w:rsidRPr="001503A5">
              <w:rPr>
                <w:rFonts w:ascii="標楷體" w:eastAsia="標楷體" w:hAnsi="標楷體" w:hint="eastAsia"/>
              </w:rPr>
              <w:t>月</w:t>
            </w:r>
            <w:r w:rsidR="004448BD">
              <w:rPr>
                <w:rFonts w:ascii="標楷體" w:eastAsia="標楷體" w:hAnsi="標楷體" w:hint="eastAsia"/>
              </w:rPr>
              <w:t>九</w:t>
            </w:r>
            <w:r w:rsidR="004448BD" w:rsidRPr="001503A5">
              <w:rPr>
                <w:rFonts w:ascii="標楷體" w:eastAsia="標楷體" w:hAnsi="標楷體" w:hint="eastAsia"/>
              </w:rPr>
              <w:t>日台央業字第一Ο三ΟΟ</w:t>
            </w:r>
            <w:r w:rsidR="004448BD">
              <w:rPr>
                <w:rFonts w:ascii="標楷體" w:eastAsia="標楷體" w:hAnsi="標楷體" w:hint="eastAsia"/>
              </w:rPr>
              <w:t>二一</w:t>
            </w:r>
            <w:r w:rsidR="004448BD" w:rsidRPr="001503A5">
              <w:rPr>
                <w:rFonts w:ascii="標楷體" w:eastAsia="標楷體" w:hAnsi="標楷體" w:hint="eastAsia"/>
              </w:rPr>
              <w:t>Ο</w:t>
            </w:r>
            <w:r w:rsidR="004448BD">
              <w:rPr>
                <w:rFonts w:ascii="標楷體" w:eastAsia="標楷體" w:hAnsi="標楷體" w:hint="eastAsia"/>
              </w:rPr>
              <w:t>六八</w:t>
            </w:r>
            <w:r w:rsidR="004448BD" w:rsidRPr="001503A5">
              <w:rPr>
                <w:rFonts w:ascii="標楷體" w:eastAsia="標楷體" w:hAnsi="標楷體" w:hint="eastAsia"/>
              </w:rPr>
              <w:t>號函</w:t>
            </w:r>
            <w:r w:rsidR="004448BD">
              <w:rPr>
                <w:rFonts w:ascii="標楷體" w:eastAsia="標楷體" w:hAnsi="標楷體" w:hint="eastAsia"/>
              </w:rPr>
              <w:t>，</w:t>
            </w:r>
            <w:r w:rsidR="004448BD" w:rsidRPr="00FF0BF5">
              <w:rPr>
                <w:rFonts w:ascii="標楷體" w:eastAsia="標楷體" w:hAnsi="標楷體" w:hint="eastAsia"/>
              </w:rPr>
              <w:t>僅限於國內收受存款機構間因資金調撥及為便利相互往來所存放之活期性存款</w:t>
            </w:r>
            <w:r w:rsidR="004448BD">
              <w:rPr>
                <w:rFonts w:ascii="新細明體" w:hAnsi="新細明體" w:hint="eastAsia"/>
              </w:rPr>
              <w:t>；</w:t>
            </w:r>
            <w:r w:rsidR="007F32FC" w:rsidRPr="007F32FC">
              <w:rPr>
                <w:rFonts w:ascii="標楷體" w:eastAsia="標楷體" w:hAnsi="標楷體" w:hint="eastAsia"/>
              </w:rPr>
              <w:t>金融</w:t>
            </w:r>
            <w:r w:rsidR="004448BD" w:rsidRPr="00FF0BF5">
              <w:rPr>
                <w:rFonts w:ascii="標楷體" w:eastAsia="標楷體" w:hAnsi="標楷體" w:hint="eastAsia"/>
              </w:rPr>
              <w:t>機構間存放之定期性存款，非屬免提存準備金之範圍，</w:t>
            </w:r>
            <w:r w:rsidR="0068493B">
              <w:rPr>
                <w:rFonts w:ascii="標楷體" w:eastAsia="標楷體" w:hAnsi="標楷體" w:hint="eastAsia"/>
              </w:rPr>
              <w:t>爰於第二項第一款</w:t>
            </w:r>
            <w:r w:rsidR="004448BD">
              <w:rPr>
                <w:rFonts w:ascii="標楷體" w:eastAsia="標楷體" w:hAnsi="標楷體" w:hint="eastAsia"/>
              </w:rPr>
              <w:t>增列但書予以排除。</w:t>
            </w:r>
          </w:p>
          <w:p w:rsidR="005A713E" w:rsidRPr="005A713E" w:rsidRDefault="005A713E" w:rsidP="005A713E">
            <w:pPr>
              <w:spacing w:line="400" w:lineRule="exact"/>
              <w:ind w:left="408" w:hangingChars="170" w:hanging="408"/>
              <w:jc w:val="both"/>
              <w:rPr>
                <w:rFonts w:ascii="標楷體" w:eastAsia="標楷體" w:hAnsi="標楷體"/>
                <w:spacing w:val="2"/>
                <w:sz w:val="32"/>
                <w:szCs w:val="32"/>
              </w:rPr>
            </w:pPr>
            <w:r>
              <w:rPr>
                <w:rFonts w:ascii="標楷體" w:eastAsia="標楷體" w:hAnsi="標楷體" w:hint="eastAsia"/>
              </w:rPr>
              <w:t>三</w:t>
            </w:r>
            <w:r>
              <w:rPr>
                <w:rFonts w:ascii="新細明體" w:hAnsi="新細明體" w:hint="eastAsia"/>
              </w:rPr>
              <w:t>、</w:t>
            </w:r>
            <w:r>
              <w:rPr>
                <w:rFonts w:ascii="標楷體" w:eastAsia="標楷體" w:hAnsi="標楷體" w:hint="eastAsia"/>
              </w:rPr>
              <w:t>其餘略作文字修正。</w:t>
            </w:r>
          </w:p>
        </w:tc>
      </w:tr>
      <w:tr w:rsidR="004448BD" w:rsidTr="00E43287">
        <w:trPr>
          <w:trHeight w:val="1125"/>
        </w:trPr>
        <w:tc>
          <w:tcPr>
            <w:tcW w:w="3515" w:type="dxa"/>
          </w:tcPr>
          <w:p w:rsidR="004448BD" w:rsidRPr="005F4EDD" w:rsidRDefault="004448BD" w:rsidP="000A2919">
            <w:pPr>
              <w:spacing w:line="400" w:lineRule="exact"/>
              <w:ind w:left="244" w:hangingChars="100" w:hanging="244"/>
              <w:jc w:val="both"/>
              <w:rPr>
                <w:rFonts w:ascii="標楷體" w:eastAsia="標楷體" w:hAnsi="標楷體"/>
                <w:spacing w:val="2"/>
              </w:rPr>
            </w:pPr>
            <w:r w:rsidRPr="005F4EDD">
              <w:rPr>
                <w:rFonts w:ascii="標楷體" w:eastAsia="標楷體" w:hAnsi="標楷體" w:hint="eastAsia"/>
                <w:spacing w:val="2"/>
              </w:rPr>
              <w:lastRenderedPageBreak/>
              <w:t>第五條  第三條第一項規定之各種存款及前條規定之其他各種負債應提存準備金之比率（以下簡稱法定準備率），除本條第二項規定者外，由本行公告之。</w:t>
            </w:r>
          </w:p>
          <w:p w:rsidR="00E43287" w:rsidRPr="00B81BAF" w:rsidRDefault="00E43287" w:rsidP="00B81BAF">
            <w:pPr>
              <w:widowControl/>
              <w:ind w:leftChars="100" w:left="240" w:firstLineChars="200" w:firstLine="480"/>
              <w:jc w:val="both"/>
              <w:rPr>
                <w:rFonts w:ascii="標楷體" w:eastAsia="標楷體" w:hAnsi="標楷體"/>
              </w:rPr>
            </w:pPr>
            <w:r w:rsidRPr="00B81BAF">
              <w:rPr>
                <w:rFonts w:ascii="標楷體" w:eastAsia="標楷體" w:hAnsi="標楷體" w:cs="細明體" w:hint="eastAsia"/>
                <w:kern w:val="0"/>
              </w:rPr>
              <w:t>前條第一項第八款銀行承作結構型商品所收本金之法定準備率，屬新臺幣者，比照本行公告之定期存款準備率；屬外幣者，比照本行公告之外匯存款準備率。</w:t>
            </w:r>
          </w:p>
          <w:p w:rsidR="00E43287" w:rsidRPr="005F4EDD" w:rsidRDefault="007B3561" w:rsidP="00E43287">
            <w:pPr>
              <w:widowControl/>
              <w:spacing w:line="400" w:lineRule="exact"/>
              <w:ind w:leftChars="100" w:left="240" w:firstLineChars="200" w:firstLine="488"/>
              <w:jc w:val="both"/>
              <w:rPr>
                <w:rFonts w:ascii="標楷體" w:eastAsia="標楷體" w:hAnsi="標楷體" w:cs="細明體"/>
                <w:spacing w:val="2"/>
                <w:kern w:val="0"/>
              </w:rPr>
            </w:pPr>
            <w:r w:rsidRPr="004448BD">
              <w:rPr>
                <w:rFonts w:ascii="標楷體" w:eastAsia="標楷體" w:hAnsi="標楷體" w:cs="細明體" w:hint="eastAsia"/>
                <w:spacing w:val="2"/>
                <w:kern w:val="0"/>
                <w:u w:val="single"/>
              </w:rPr>
              <w:t>第三條第</w:t>
            </w:r>
            <w:r>
              <w:rPr>
                <w:rFonts w:ascii="標楷體" w:eastAsia="標楷體" w:hAnsi="標楷體" w:cs="細明體" w:hint="eastAsia"/>
                <w:spacing w:val="2"/>
                <w:kern w:val="0"/>
                <w:u w:val="single"/>
              </w:rPr>
              <w:t>一項第</w:t>
            </w:r>
            <w:r w:rsidRPr="004448BD">
              <w:rPr>
                <w:rFonts w:ascii="標楷體" w:eastAsia="標楷體" w:hAnsi="標楷體" w:cs="細明體" w:hint="eastAsia"/>
                <w:spacing w:val="2"/>
                <w:kern w:val="0"/>
                <w:u w:val="single"/>
              </w:rPr>
              <w:t>二</w:t>
            </w:r>
            <w:r>
              <w:rPr>
                <w:rFonts w:ascii="標楷體" w:eastAsia="標楷體" w:hAnsi="標楷體" w:cs="細明體" w:hint="eastAsia"/>
                <w:spacing w:val="2"/>
                <w:kern w:val="0"/>
                <w:u w:val="single"/>
              </w:rPr>
              <w:t>款</w:t>
            </w:r>
            <w:r w:rsidR="00065721" w:rsidRPr="00FD15F3">
              <w:rPr>
                <w:rFonts w:ascii="標楷體" w:eastAsia="標楷體" w:hAnsi="標楷體" w:hint="eastAsia"/>
                <w:color w:val="000000"/>
                <w:u w:val="single"/>
              </w:rPr>
              <w:t>儲存於電子票證</w:t>
            </w:r>
            <w:r w:rsidR="00065721">
              <w:rPr>
                <w:rFonts w:ascii="標楷體" w:eastAsia="標楷體" w:hAnsi="標楷體" w:hint="eastAsia"/>
                <w:color w:val="000000"/>
                <w:u w:val="single"/>
              </w:rPr>
              <w:t>或</w:t>
            </w:r>
            <w:r w:rsidR="00065721" w:rsidRPr="00FD15F3">
              <w:rPr>
                <w:rFonts w:ascii="標楷體" w:eastAsia="標楷體" w:hAnsi="標楷體" w:hint="eastAsia"/>
                <w:color w:val="000000"/>
                <w:u w:val="single"/>
              </w:rPr>
              <w:t>電子支付帳戶之</w:t>
            </w:r>
            <w:r w:rsidR="00065721">
              <w:rPr>
                <w:rFonts w:ascii="標楷體" w:eastAsia="標楷體" w:hAnsi="標楷體" w:hint="eastAsia"/>
                <w:color w:val="000000"/>
                <w:u w:val="single"/>
              </w:rPr>
              <w:t>儲值</w:t>
            </w:r>
            <w:r w:rsidR="00065721" w:rsidRPr="00FD15F3">
              <w:rPr>
                <w:rFonts w:ascii="標楷體" w:eastAsia="標楷體" w:hAnsi="標楷體" w:hint="eastAsia"/>
                <w:color w:val="000000"/>
                <w:u w:val="single"/>
              </w:rPr>
              <w:t>款項</w:t>
            </w:r>
            <w:r w:rsidR="00E43287">
              <w:rPr>
                <w:rFonts w:ascii="標楷體" w:eastAsia="標楷體" w:hAnsi="標楷體" w:hint="eastAsia"/>
                <w:color w:val="000000"/>
                <w:u w:val="single"/>
              </w:rPr>
              <w:t>，其</w:t>
            </w:r>
            <w:r w:rsidR="00E43287" w:rsidRPr="005F4EDD">
              <w:rPr>
                <w:rFonts w:ascii="標楷體" w:eastAsia="標楷體" w:hAnsi="標楷體" w:hint="eastAsia"/>
                <w:spacing w:val="2"/>
                <w:u w:val="single"/>
              </w:rPr>
              <w:t>法定準備率，屬新臺幣者，比照本行公告之活期存款準備率；屬外幣者，比照本行公告之外匯存款準備率。</w:t>
            </w:r>
          </w:p>
          <w:p w:rsidR="004448BD" w:rsidRPr="00E43287" w:rsidRDefault="004448BD" w:rsidP="00E43287">
            <w:pPr>
              <w:widowControl/>
              <w:spacing w:line="400" w:lineRule="exact"/>
              <w:ind w:leftChars="100" w:left="240" w:firstLineChars="200" w:firstLine="488"/>
              <w:jc w:val="both"/>
              <w:rPr>
                <w:rFonts w:ascii="標楷體" w:eastAsia="標楷體" w:hAnsi="標楷體" w:cs="細明體"/>
                <w:spacing w:val="2"/>
                <w:kern w:val="0"/>
              </w:rPr>
            </w:pPr>
          </w:p>
        </w:tc>
        <w:tc>
          <w:tcPr>
            <w:tcW w:w="3515" w:type="dxa"/>
          </w:tcPr>
          <w:p w:rsidR="004448BD" w:rsidRPr="005F4EDD" w:rsidRDefault="004448BD" w:rsidP="000A2919">
            <w:pPr>
              <w:spacing w:line="400" w:lineRule="exact"/>
              <w:ind w:left="244" w:hangingChars="100" w:hanging="244"/>
              <w:jc w:val="both"/>
              <w:rPr>
                <w:rFonts w:ascii="標楷體" w:eastAsia="標楷體" w:hAnsi="標楷體"/>
                <w:spacing w:val="2"/>
              </w:rPr>
            </w:pPr>
            <w:r w:rsidRPr="005F4EDD">
              <w:rPr>
                <w:rFonts w:ascii="標楷體" w:eastAsia="標楷體" w:hAnsi="標楷體" w:hint="eastAsia"/>
                <w:spacing w:val="2"/>
              </w:rPr>
              <w:t>第五條  第三條第一項規定之各種存款及前條規定之其他各種負債應提存準備金之比率（以下簡稱法定準備率），除本條第二項規定者外，由本行公告之。</w:t>
            </w:r>
          </w:p>
          <w:p w:rsidR="004448BD" w:rsidRPr="00B81BAF" w:rsidRDefault="004448BD" w:rsidP="00B81BAF">
            <w:pPr>
              <w:widowControl/>
              <w:ind w:leftChars="100" w:left="240" w:firstLineChars="200" w:firstLine="480"/>
              <w:jc w:val="both"/>
              <w:rPr>
                <w:rFonts w:ascii="標楷體" w:eastAsia="標楷體" w:hAnsi="標楷體"/>
              </w:rPr>
            </w:pPr>
            <w:r w:rsidRPr="00B81BAF">
              <w:rPr>
                <w:rFonts w:ascii="標楷體" w:eastAsia="標楷體" w:hAnsi="標楷體" w:cs="細明體" w:hint="eastAsia"/>
                <w:kern w:val="0"/>
              </w:rPr>
              <w:t>前條第一項第八款銀行承作結構型商品所收本金之法定準備率，屬新臺幣者，比照本行公告之定期存款準備率；屬外幣者，比照本行公告之外匯存款準備率。</w:t>
            </w:r>
          </w:p>
        </w:tc>
        <w:tc>
          <w:tcPr>
            <w:tcW w:w="3119" w:type="dxa"/>
          </w:tcPr>
          <w:p w:rsidR="004448BD" w:rsidRDefault="00DD5218" w:rsidP="00E43287">
            <w:pPr>
              <w:spacing w:line="400" w:lineRule="exact"/>
              <w:jc w:val="both"/>
              <w:rPr>
                <w:rFonts w:ascii="標楷體" w:eastAsia="標楷體" w:hAnsi="標楷體"/>
              </w:rPr>
            </w:pPr>
            <w:r>
              <w:rPr>
                <w:rFonts w:ascii="標楷體" w:eastAsia="標楷體" w:hAnsi="標楷體" w:hint="eastAsia"/>
              </w:rPr>
              <w:t>由於現行</w:t>
            </w:r>
            <w:r w:rsidRPr="005F4EDD">
              <w:rPr>
                <w:rFonts w:ascii="標楷體" w:eastAsia="標楷體" w:hAnsi="標楷體" w:cs="細明體" w:hint="eastAsia"/>
                <w:spacing w:val="2"/>
                <w:kern w:val="0"/>
              </w:rPr>
              <w:t>存款</w:t>
            </w:r>
            <w:r>
              <w:rPr>
                <w:rFonts w:ascii="標楷體" w:eastAsia="標楷體" w:hAnsi="標楷體" w:cs="細明體" w:hint="eastAsia"/>
                <w:spacing w:val="2"/>
                <w:kern w:val="0"/>
              </w:rPr>
              <w:t>及其他</w:t>
            </w:r>
            <w:r w:rsidR="00BF4B64">
              <w:rPr>
                <w:rFonts w:ascii="標楷體" w:eastAsia="標楷體" w:hAnsi="標楷體" w:cs="細明體" w:hint="eastAsia"/>
                <w:spacing w:val="2"/>
                <w:kern w:val="0"/>
              </w:rPr>
              <w:t>各種</w:t>
            </w:r>
            <w:r>
              <w:rPr>
                <w:rFonts w:ascii="標楷體" w:eastAsia="標楷體" w:hAnsi="標楷體" w:cs="細明體" w:hint="eastAsia"/>
                <w:spacing w:val="2"/>
                <w:kern w:val="0"/>
              </w:rPr>
              <w:t>負債</w:t>
            </w:r>
            <w:r w:rsidR="005A713E" w:rsidRPr="005F4EDD">
              <w:rPr>
                <w:rFonts w:ascii="標楷體" w:eastAsia="標楷體" w:hAnsi="標楷體" w:cs="細明體" w:hint="eastAsia"/>
                <w:spacing w:val="2"/>
                <w:kern w:val="0"/>
              </w:rPr>
              <w:t>之</w:t>
            </w:r>
            <w:r w:rsidR="005A713E">
              <w:rPr>
                <w:rFonts w:ascii="標楷體" w:eastAsia="標楷體" w:hAnsi="標楷體" w:hint="eastAsia"/>
              </w:rPr>
              <w:t>法定準備率</w:t>
            </w:r>
            <w:r w:rsidR="00BF4B64">
              <w:rPr>
                <w:rFonts w:ascii="標楷體" w:eastAsia="標楷體" w:hAnsi="標楷體" w:cs="細明體" w:hint="eastAsia"/>
                <w:spacing w:val="2"/>
                <w:kern w:val="0"/>
              </w:rPr>
              <w:t>，</w:t>
            </w:r>
            <w:r w:rsidR="005A713E">
              <w:rPr>
                <w:rFonts w:ascii="標楷體" w:eastAsia="標楷體" w:hAnsi="標楷體" w:cs="細明體" w:hint="eastAsia"/>
                <w:spacing w:val="2"/>
                <w:kern w:val="0"/>
              </w:rPr>
              <w:t>依</w:t>
            </w:r>
            <w:r w:rsidR="00BF4B64">
              <w:rPr>
                <w:rFonts w:ascii="標楷體" w:eastAsia="標楷體" w:hAnsi="標楷體" w:hint="eastAsia"/>
              </w:rPr>
              <w:t>新臺幣</w:t>
            </w:r>
            <w:r w:rsidR="005A713E">
              <w:rPr>
                <w:rFonts w:ascii="標楷體" w:eastAsia="標楷體" w:hAnsi="標楷體" w:hint="eastAsia"/>
              </w:rPr>
              <w:t>或</w:t>
            </w:r>
            <w:r w:rsidR="00BF4B64">
              <w:rPr>
                <w:rFonts w:ascii="標楷體" w:eastAsia="標楷體" w:hAnsi="標楷體" w:hint="eastAsia"/>
              </w:rPr>
              <w:t>外幣</w:t>
            </w:r>
            <w:r w:rsidR="00D00B64">
              <w:rPr>
                <w:rFonts w:ascii="標楷體" w:eastAsia="標楷體" w:hAnsi="標楷體" w:hint="eastAsia"/>
              </w:rPr>
              <w:t>而</w:t>
            </w:r>
            <w:r w:rsidR="00854312">
              <w:rPr>
                <w:rFonts w:ascii="標楷體" w:eastAsia="標楷體" w:hAnsi="標楷體" w:hint="eastAsia"/>
              </w:rPr>
              <w:t>有</w:t>
            </w:r>
            <w:r w:rsidR="005A713E">
              <w:rPr>
                <w:rFonts w:ascii="標楷體" w:eastAsia="標楷體" w:hAnsi="標楷體" w:hint="eastAsia"/>
              </w:rPr>
              <w:t>區</w:t>
            </w:r>
            <w:r w:rsidR="00D00B64">
              <w:rPr>
                <w:rFonts w:ascii="標楷體" w:eastAsia="標楷體" w:hAnsi="標楷體" w:hint="eastAsia"/>
              </w:rPr>
              <w:t>別</w:t>
            </w:r>
            <w:r w:rsidR="004448BD">
              <w:rPr>
                <w:rFonts w:ascii="標楷體" w:eastAsia="標楷體" w:hAnsi="標楷體" w:hint="eastAsia"/>
              </w:rPr>
              <w:t>，</w:t>
            </w:r>
            <w:r w:rsidR="00667456">
              <w:rPr>
                <w:rFonts w:ascii="標楷體" w:eastAsia="標楷體" w:hAnsi="標楷體" w:hint="eastAsia"/>
              </w:rPr>
              <w:t>爰比照「</w:t>
            </w:r>
            <w:r w:rsidR="00667456" w:rsidRPr="00FF0BF5">
              <w:rPr>
                <w:rFonts w:ascii="標楷體" w:eastAsia="標楷體" w:hAnsi="標楷體" w:hint="eastAsia"/>
              </w:rPr>
              <w:t>非銀行支付機構儲值款項準備金繳存及查核辦法</w:t>
            </w:r>
            <w:r w:rsidR="00667456">
              <w:rPr>
                <w:rFonts w:ascii="標楷體" w:eastAsia="標楷體" w:hAnsi="標楷體" w:hint="eastAsia"/>
              </w:rPr>
              <w:t>」第四條規定，</w:t>
            </w:r>
            <w:r w:rsidR="007B3561">
              <w:rPr>
                <w:rFonts w:ascii="標楷體" w:eastAsia="標楷體" w:hAnsi="標楷體" w:hint="eastAsia"/>
              </w:rPr>
              <w:t>於</w:t>
            </w:r>
            <w:r w:rsidR="004448BD">
              <w:rPr>
                <w:rFonts w:ascii="標楷體" w:eastAsia="標楷體" w:hAnsi="標楷體" w:hint="eastAsia"/>
              </w:rPr>
              <w:t>第</w:t>
            </w:r>
            <w:r w:rsidR="00E43287">
              <w:rPr>
                <w:rFonts w:ascii="標楷體" w:eastAsia="標楷體" w:hAnsi="標楷體" w:hint="eastAsia"/>
              </w:rPr>
              <w:t>三</w:t>
            </w:r>
            <w:r w:rsidR="004448BD">
              <w:rPr>
                <w:rFonts w:ascii="標楷體" w:eastAsia="標楷體" w:hAnsi="標楷體" w:hint="eastAsia"/>
              </w:rPr>
              <w:t>項</w:t>
            </w:r>
            <w:r w:rsidR="007B3561">
              <w:rPr>
                <w:rFonts w:ascii="標楷體" w:eastAsia="標楷體" w:hAnsi="標楷體" w:hint="eastAsia"/>
              </w:rPr>
              <w:t>增列</w:t>
            </w:r>
            <w:r w:rsidR="004448BD">
              <w:rPr>
                <w:rFonts w:ascii="標楷體" w:eastAsia="標楷體" w:hAnsi="標楷體" w:hint="eastAsia"/>
              </w:rPr>
              <w:t>新臺幣</w:t>
            </w:r>
            <w:r w:rsidR="004448BD">
              <w:rPr>
                <w:rFonts w:ascii="新細明體" w:hAnsi="新細明體" w:hint="eastAsia"/>
              </w:rPr>
              <w:t>、</w:t>
            </w:r>
            <w:r w:rsidR="004448BD">
              <w:rPr>
                <w:rFonts w:ascii="標楷體" w:eastAsia="標楷體" w:hAnsi="標楷體" w:hint="eastAsia"/>
              </w:rPr>
              <w:t>外幣</w:t>
            </w:r>
            <w:r w:rsidR="00667456">
              <w:rPr>
                <w:rFonts w:ascii="標楷體" w:eastAsia="標楷體" w:hAnsi="標楷體" w:hint="eastAsia"/>
              </w:rPr>
              <w:t>儲值款項</w:t>
            </w:r>
            <w:r w:rsidR="004448BD">
              <w:rPr>
                <w:rFonts w:ascii="標楷體" w:eastAsia="標楷體" w:hAnsi="標楷體" w:hint="eastAsia"/>
              </w:rPr>
              <w:t>應適用之法</w:t>
            </w:r>
            <w:r w:rsidR="003D16F6">
              <w:rPr>
                <w:rFonts w:ascii="標楷體" w:eastAsia="標楷體" w:hAnsi="標楷體" w:hint="eastAsia"/>
              </w:rPr>
              <w:t>定</w:t>
            </w:r>
            <w:r w:rsidR="004448BD">
              <w:rPr>
                <w:rFonts w:ascii="標楷體" w:eastAsia="標楷體" w:hAnsi="標楷體" w:hint="eastAsia"/>
              </w:rPr>
              <w:t>準備率。</w:t>
            </w:r>
          </w:p>
        </w:tc>
      </w:tr>
    </w:tbl>
    <w:p w:rsidR="00FE72F8" w:rsidRPr="00FE72F8" w:rsidRDefault="00FE72F8" w:rsidP="00FE72F8">
      <w:pPr>
        <w:spacing w:line="480" w:lineRule="exact"/>
        <w:jc w:val="both"/>
        <w:rPr>
          <w:rFonts w:ascii="標楷體" w:eastAsia="標楷體" w:hAnsi="標楷體"/>
          <w:sz w:val="32"/>
          <w:szCs w:val="32"/>
        </w:rPr>
      </w:pPr>
    </w:p>
    <w:sectPr w:rsidR="00FE72F8" w:rsidRPr="00FE72F8" w:rsidSect="00EB3350">
      <w:footerReference w:type="default" r:id="rId9"/>
      <w:pgSz w:w="11906" w:h="16838"/>
      <w:pgMar w:top="992" w:right="1134" w:bottom="1134" w:left="1134" w:header="851" w:footer="64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E66" w:rsidRDefault="00DF1E66" w:rsidP="00877C0A">
      <w:r>
        <w:separator/>
      </w:r>
    </w:p>
  </w:endnote>
  <w:endnote w:type="continuationSeparator" w:id="0">
    <w:p w:rsidR="00DF1E66" w:rsidRDefault="00DF1E66" w:rsidP="0087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902894"/>
      <w:docPartObj>
        <w:docPartGallery w:val="Page Numbers (Bottom of Page)"/>
        <w:docPartUnique/>
      </w:docPartObj>
    </w:sdtPr>
    <w:sdtEndPr/>
    <w:sdtContent>
      <w:p w:rsidR="00634FB9" w:rsidRDefault="00634FB9">
        <w:pPr>
          <w:pStyle w:val="ab"/>
          <w:jc w:val="center"/>
        </w:pPr>
        <w:r>
          <w:fldChar w:fldCharType="begin"/>
        </w:r>
        <w:r>
          <w:instrText>PAGE   \* MERGEFORMAT</w:instrText>
        </w:r>
        <w:r>
          <w:fldChar w:fldCharType="separate"/>
        </w:r>
        <w:r w:rsidR="00DF1E66" w:rsidRPr="00DF1E66">
          <w:rPr>
            <w:noProof/>
            <w:lang w:val="zh-TW"/>
          </w:rPr>
          <w:t>1</w:t>
        </w:r>
        <w:r>
          <w:fldChar w:fldCharType="end"/>
        </w:r>
      </w:p>
    </w:sdtContent>
  </w:sdt>
  <w:p w:rsidR="00A822C1" w:rsidRDefault="00A822C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E66" w:rsidRDefault="00DF1E66" w:rsidP="00877C0A">
      <w:r>
        <w:separator/>
      </w:r>
    </w:p>
  </w:footnote>
  <w:footnote w:type="continuationSeparator" w:id="0">
    <w:p w:rsidR="00DF1E66" w:rsidRDefault="00DF1E66" w:rsidP="00877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78B7"/>
    <w:multiLevelType w:val="hybridMultilevel"/>
    <w:tmpl w:val="AAAE7A08"/>
    <w:lvl w:ilvl="0" w:tplc="E0581B74">
      <w:start w:val="1"/>
      <w:numFmt w:val="taiwaneseCountingThousand"/>
      <w:lvlText w:val="（%1）"/>
      <w:lvlJc w:val="left"/>
      <w:pPr>
        <w:ind w:left="1620" w:hanging="10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nsid w:val="308C2B7D"/>
    <w:multiLevelType w:val="hybridMultilevel"/>
    <w:tmpl w:val="422A9A22"/>
    <w:lvl w:ilvl="0" w:tplc="BE8CA65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F8"/>
    <w:rsid w:val="00007318"/>
    <w:rsid w:val="00063192"/>
    <w:rsid w:val="00063E07"/>
    <w:rsid w:val="00065721"/>
    <w:rsid w:val="000A2919"/>
    <w:rsid w:val="000D09F3"/>
    <w:rsid w:val="001022EC"/>
    <w:rsid w:val="00110C52"/>
    <w:rsid w:val="00131947"/>
    <w:rsid w:val="00143EAA"/>
    <w:rsid w:val="001503A5"/>
    <w:rsid w:val="00174462"/>
    <w:rsid w:val="00180396"/>
    <w:rsid w:val="00190B21"/>
    <w:rsid w:val="001B1E6C"/>
    <w:rsid w:val="001C0D37"/>
    <w:rsid w:val="002135CC"/>
    <w:rsid w:val="0024610E"/>
    <w:rsid w:val="002B0CC2"/>
    <w:rsid w:val="002E0775"/>
    <w:rsid w:val="00316D81"/>
    <w:rsid w:val="003A23B8"/>
    <w:rsid w:val="003C487E"/>
    <w:rsid w:val="003D16F6"/>
    <w:rsid w:val="003D1CB5"/>
    <w:rsid w:val="00414212"/>
    <w:rsid w:val="004155A0"/>
    <w:rsid w:val="004448BD"/>
    <w:rsid w:val="004D18B7"/>
    <w:rsid w:val="004E3770"/>
    <w:rsid w:val="00526571"/>
    <w:rsid w:val="005A590F"/>
    <w:rsid w:val="005A713E"/>
    <w:rsid w:val="005E282E"/>
    <w:rsid w:val="005E4E25"/>
    <w:rsid w:val="005F4EDD"/>
    <w:rsid w:val="00613BB5"/>
    <w:rsid w:val="00634FB9"/>
    <w:rsid w:val="0063637A"/>
    <w:rsid w:val="00666A45"/>
    <w:rsid w:val="00667456"/>
    <w:rsid w:val="0068493B"/>
    <w:rsid w:val="006C6007"/>
    <w:rsid w:val="007012CA"/>
    <w:rsid w:val="007018F3"/>
    <w:rsid w:val="00713125"/>
    <w:rsid w:val="00733D1D"/>
    <w:rsid w:val="007451F6"/>
    <w:rsid w:val="00770737"/>
    <w:rsid w:val="0079636A"/>
    <w:rsid w:val="007B3561"/>
    <w:rsid w:val="007E0058"/>
    <w:rsid w:val="007E522B"/>
    <w:rsid w:val="007F32FC"/>
    <w:rsid w:val="00836FDD"/>
    <w:rsid w:val="00846EE6"/>
    <w:rsid w:val="00854312"/>
    <w:rsid w:val="00855ADB"/>
    <w:rsid w:val="00877C0A"/>
    <w:rsid w:val="008B2289"/>
    <w:rsid w:val="008D2DBD"/>
    <w:rsid w:val="00940984"/>
    <w:rsid w:val="00952403"/>
    <w:rsid w:val="0095240E"/>
    <w:rsid w:val="00954F26"/>
    <w:rsid w:val="0096372B"/>
    <w:rsid w:val="009841A3"/>
    <w:rsid w:val="009A096E"/>
    <w:rsid w:val="009A624A"/>
    <w:rsid w:val="009D1A04"/>
    <w:rsid w:val="009F0731"/>
    <w:rsid w:val="00A0375A"/>
    <w:rsid w:val="00A27DB6"/>
    <w:rsid w:val="00A822C1"/>
    <w:rsid w:val="00AE260C"/>
    <w:rsid w:val="00B06738"/>
    <w:rsid w:val="00B46955"/>
    <w:rsid w:val="00B51B35"/>
    <w:rsid w:val="00B701AA"/>
    <w:rsid w:val="00B81BAF"/>
    <w:rsid w:val="00BA37DB"/>
    <w:rsid w:val="00BF1491"/>
    <w:rsid w:val="00BF4B64"/>
    <w:rsid w:val="00BF4CBA"/>
    <w:rsid w:val="00C441B8"/>
    <w:rsid w:val="00C56045"/>
    <w:rsid w:val="00C86E00"/>
    <w:rsid w:val="00C944DE"/>
    <w:rsid w:val="00CA0095"/>
    <w:rsid w:val="00CE0CE8"/>
    <w:rsid w:val="00CF5712"/>
    <w:rsid w:val="00D00B64"/>
    <w:rsid w:val="00D0565F"/>
    <w:rsid w:val="00D126C0"/>
    <w:rsid w:val="00D1617F"/>
    <w:rsid w:val="00D427AB"/>
    <w:rsid w:val="00D470EB"/>
    <w:rsid w:val="00D6504A"/>
    <w:rsid w:val="00D805F1"/>
    <w:rsid w:val="00D82629"/>
    <w:rsid w:val="00DD40BA"/>
    <w:rsid w:val="00DD5218"/>
    <w:rsid w:val="00DF1E66"/>
    <w:rsid w:val="00DF7593"/>
    <w:rsid w:val="00E01ED2"/>
    <w:rsid w:val="00E068F2"/>
    <w:rsid w:val="00E42814"/>
    <w:rsid w:val="00E43287"/>
    <w:rsid w:val="00E7621D"/>
    <w:rsid w:val="00E852F6"/>
    <w:rsid w:val="00EA7096"/>
    <w:rsid w:val="00EB3350"/>
    <w:rsid w:val="00EC343C"/>
    <w:rsid w:val="00F17CCA"/>
    <w:rsid w:val="00FC115F"/>
    <w:rsid w:val="00FD15F3"/>
    <w:rsid w:val="00FD708A"/>
    <w:rsid w:val="00FE72F8"/>
    <w:rsid w:val="00FF0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96"/>
    <w:pPr>
      <w:widowControl w:val="0"/>
    </w:pPr>
    <w:rPr>
      <w:kern w:val="2"/>
      <w:sz w:val="24"/>
      <w:szCs w:val="24"/>
    </w:rPr>
  </w:style>
  <w:style w:type="paragraph" w:styleId="1">
    <w:name w:val="heading 1"/>
    <w:basedOn w:val="a"/>
    <w:link w:val="10"/>
    <w:uiPriority w:val="9"/>
    <w:qFormat/>
    <w:rsid w:val="0018039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semiHidden/>
    <w:unhideWhenUsed/>
    <w:qFormat/>
    <w:rsid w:val="0018039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396"/>
    <w:pPr>
      <w:ind w:leftChars="200" w:left="480"/>
    </w:pPr>
  </w:style>
  <w:style w:type="character" w:customStyle="1" w:styleId="10">
    <w:name w:val="標題 1 字元"/>
    <w:link w:val="1"/>
    <w:uiPriority w:val="9"/>
    <w:rsid w:val="00180396"/>
    <w:rPr>
      <w:rFonts w:asciiTheme="majorHAnsi" w:eastAsiaTheme="majorEastAsia" w:hAnsiTheme="majorHAnsi" w:cstheme="majorBidi"/>
      <w:b/>
      <w:bCs/>
      <w:kern w:val="52"/>
      <w:sz w:val="52"/>
      <w:szCs w:val="52"/>
    </w:rPr>
  </w:style>
  <w:style w:type="character" w:customStyle="1" w:styleId="20">
    <w:name w:val="標題 2 字元"/>
    <w:link w:val="2"/>
    <w:uiPriority w:val="9"/>
    <w:semiHidden/>
    <w:rsid w:val="00180396"/>
    <w:rPr>
      <w:rFonts w:asciiTheme="majorHAnsi" w:eastAsiaTheme="majorEastAsia" w:hAnsiTheme="majorHAnsi" w:cstheme="majorBidi"/>
      <w:b/>
      <w:bCs/>
      <w:kern w:val="2"/>
      <w:sz w:val="48"/>
      <w:szCs w:val="48"/>
    </w:rPr>
  </w:style>
  <w:style w:type="paragraph" w:styleId="a4">
    <w:name w:val="Title"/>
    <w:basedOn w:val="a"/>
    <w:next w:val="a"/>
    <w:link w:val="a5"/>
    <w:uiPriority w:val="10"/>
    <w:qFormat/>
    <w:rsid w:val="00180396"/>
    <w:pPr>
      <w:spacing w:before="240" w:after="60"/>
      <w:jc w:val="center"/>
      <w:outlineLvl w:val="0"/>
    </w:pPr>
    <w:rPr>
      <w:rFonts w:asciiTheme="majorHAnsi" w:hAnsiTheme="majorHAnsi" w:cstheme="majorBidi"/>
      <w:b/>
      <w:bCs/>
      <w:sz w:val="32"/>
      <w:szCs w:val="32"/>
    </w:rPr>
  </w:style>
  <w:style w:type="character" w:customStyle="1" w:styleId="a5">
    <w:name w:val="標題 字元"/>
    <w:link w:val="a4"/>
    <w:uiPriority w:val="10"/>
    <w:rsid w:val="00180396"/>
    <w:rPr>
      <w:rFonts w:asciiTheme="majorHAnsi" w:hAnsiTheme="majorHAnsi" w:cstheme="majorBidi"/>
      <w:b/>
      <w:bCs/>
      <w:kern w:val="2"/>
      <w:sz w:val="32"/>
      <w:szCs w:val="32"/>
    </w:rPr>
  </w:style>
  <w:style w:type="paragraph" w:styleId="a6">
    <w:name w:val="Quote"/>
    <w:basedOn w:val="a"/>
    <w:next w:val="a"/>
    <w:link w:val="a7"/>
    <w:uiPriority w:val="29"/>
    <w:qFormat/>
    <w:rsid w:val="00180396"/>
    <w:rPr>
      <w:i/>
      <w:iCs/>
      <w:color w:val="000000" w:themeColor="text1"/>
    </w:rPr>
  </w:style>
  <w:style w:type="character" w:customStyle="1" w:styleId="a7">
    <w:name w:val="引文 字元"/>
    <w:link w:val="a6"/>
    <w:uiPriority w:val="29"/>
    <w:rsid w:val="00180396"/>
    <w:rPr>
      <w:i/>
      <w:iCs/>
      <w:color w:val="000000" w:themeColor="text1"/>
      <w:kern w:val="2"/>
      <w:sz w:val="24"/>
      <w:szCs w:val="24"/>
    </w:rPr>
  </w:style>
  <w:style w:type="table" w:styleId="a8">
    <w:name w:val="Table Grid"/>
    <w:basedOn w:val="a1"/>
    <w:uiPriority w:val="59"/>
    <w:rsid w:val="00FE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77C0A"/>
    <w:pPr>
      <w:tabs>
        <w:tab w:val="center" w:pos="4153"/>
        <w:tab w:val="right" w:pos="8306"/>
      </w:tabs>
      <w:snapToGrid w:val="0"/>
    </w:pPr>
    <w:rPr>
      <w:sz w:val="20"/>
      <w:szCs w:val="20"/>
    </w:rPr>
  </w:style>
  <w:style w:type="character" w:customStyle="1" w:styleId="aa">
    <w:name w:val="頁首 字元"/>
    <w:basedOn w:val="a0"/>
    <w:link w:val="a9"/>
    <w:uiPriority w:val="99"/>
    <w:rsid w:val="00877C0A"/>
    <w:rPr>
      <w:kern w:val="2"/>
    </w:rPr>
  </w:style>
  <w:style w:type="paragraph" w:styleId="ab">
    <w:name w:val="footer"/>
    <w:basedOn w:val="a"/>
    <w:link w:val="ac"/>
    <w:uiPriority w:val="99"/>
    <w:unhideWhenUsed/>
    <w:rsid w:val="00877C0A"/>
    <w:pPr>
      <w:tabs>
        <w:tab w:val="center" w:pos="4153"/>
        <w:tab w:val="right" w:pos="8306"/>
      </w:tabs>
      <w:snapToGrid w:val="0"/>
    </w:pPr>
    <w:rPr>
      <w:sz w:val="20"/>
      <w:szCs w:val="20"/>
    </w:rPr>
  </w:style>
  <w:style w:type="character" w:customStyle="1" w:styleId="ac">
    <w:name w:val="頁尾 字元"/>
    <w:basedOn w:val="a0"/>
    <w:link w:val="ab"/>
    <w:uiPriority w:val="99"/>
    <w:rsid w:val="00877C0A"/>
    <w:rPr>
      <w:kern w:val="2"/>
    </w:rPr>
  </w:style>
  <w:style w:type="character" w:styleId="ad">
    <w:name w:val="Hyperlink"/>
    <w:basedOn w:val="a0"/>
    <w:uiPriority w:val="99"/>
    <w:semiHidden/>
    <w:unhideWhenUsed/>
    <w:rsid w:val="0024610E"/>
    <w:rPr>
      <w:strike w:val="0"/>
      <w:dstrike w:val="0"/>
      <w:color w:val="017CA5"/>
      <w:u w:val="none"/>
      <w:effect w:val="none"/>
    </w:rPr>
  </w:style>
  <w:style w:type="paragraph" w:styleId="HTML">
    <w:name w:val="HTML Preformatted"/>
    <w:basedOn w:val="a"/>
    <w:link w:val="HTML0"/>
    <w:uiPriority w:val="99"/>
    <w:unhideWhenUsed/>
    <w:rsid w:val="00246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4610E"/>
    <w:rPr>
      <w:rFonts w:ascii="細明體" w:eastAsia="細明體" w:hAnsi="細明體" w:cs="細明體"/>
      <w:sz w:val="24"/>
      <w:szCs w:val="24"/>
    </w:rPr>
  </w:style>
  <w:style w:type="paragraph" w:customStyle="1" w:styleId="Default">
    <w:name w:val="Default"/>
    <w:rsid w:val="00C944DE"/>
    <w:pPr>
      <w:widowControl w:val="0"/>
      <w:autoSpaceDE w:val="0"/>
      <w:autoSpaceDN w:val="0"/>
      <w:adjustRightInd w:val="0"/>
    </w:pPr>
    <w:rPr>
      <w:rFonts w:ascii="標楷體" w:eastAsia="標楷體" w:cs="標楷體"/>
      <w:color w:val="000000"/>
      <w:sz w:val="24"/>
      <w:szCs w:val="24"/>
    </w:rPr>
  </w:style>
  <w:style w:type="paragraph" w:styleId="ae">
    <w:name w:val="Balloon Text"/>
    <w:basedOn w:val="a"/>
    <w:link w:val="af"/>
    <w:uiPriority w:val="99"/>
    <w:semiHidden/>
    <w:unhideWhenUsed/>
    <w:rsid w:val="0071312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1312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396"/>
    <w:pPr>
      <w:widowControl w:val="0"/>
    </w:pPr>
    <w:rPr>
      <w:kern w:val="2"/>
      <w:sz w:val="24"/>
      <w:szCs w:val="24"/>
    </w:rPr>
  </w:style>
  <w:style w:type="paragraph" w:styleId="1">
    <w:name w:val="heading 1"/>
    <w:basedOn w:val="a"/>
    <w:link w:val="10"/>
    <w:uiPriority w:val="9"/>
    <w:qFormat/>
    <w:rsid w:val="0018039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semiHidden/>
    <w:unhideWhenUsed/>
    <w:qFormat/>
    <w:rsid w:val="0018039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396"/>
    <w:pPr>
      <w:ind w:leftChars="200" w:left="480"/>
    </w:pPr>
  </w:style>
  <w:style w:type="character" w:customStyle="1" w:styleId="10">
    <w:name w:val="標題 1 字元"/>
    <w:link w:val="1"/>
    <w:uiPriority w:val="9"/>
    <w:rsid w:val="00180396"/>
    <w:rPr>
      <w:rFonts w:asciiTheme="majorHAnsi" w:eastAsiaTheme="majorEastAsia" w:hAnsiTheme="majorHAnsi" w:cstheme="majorBidi"/>
      <w:b/>
      <w:bCs/>
      <w:kern w:val="52"/>
      <w:sz w:val="52"/>
      <w:szCs w:val="52"/>
    </w:rPr>
  </w:style>
  <w:style w:type="character" w:customStyle="1" w:styleId="20">
    <w:name w:val="標題 2 字元"/>
    <w:link w:val="2"/>
    <w:uiPriority w:val="9"/>
    <w:semiHidden/>
    <w:rsid w:val="00180396"/>
    <w:rPr>
      <w:rFonts w:asciiTheme="majorHAnsi" w:eastAsiaTheme="majorEastAsia" w:hAnsiTheme="majorHAnsi" w:cstheme="majorBidi"/>
      <w:b/>
      <w:bCs/>
      <w:kern w:val="2"/>
      <w:sz w:val="48"/>
      <w:szCs w:val="48"/>
    </w:rPr>
  </w:style>
  <w:style w:type="paragraph" w:styleId="a4">
    <w:name w:val="Title"/>
    <w:basedOn w:val="a"/>
    <w:next w:val="a"/>
    <w:link w:val="a5"/>
    <w:uiPriority w:val="10"/>
    <w:qFormat/>
    <w:rsid w:val="00180396"/>
    <w:pPr>
      <w:spacing w:before="240" w:after="60"/>
      <w:jc w:val="center"/>
      <w:outlineLvl w:val="0"/>
    </w:pPr>
    <w:rPr>
      <w:rFonts w:asciiTheme="majorHAnsi" w:hAnsiTheme="majorHAnsi" w:cstheme="majorBidi"/>
      <w:b/>
      <w:bCs/>
      <w:sz w:val="32"/>
      <w:szCs w:val="32"/>
    </w:rPr>
  </w:style>
  <w:style w:type="character" w:customStyle="1" w:styleId="a5">
    <w:name w:val="標題 字元"/>
    <w:link w:val="a4"/>
    <w:uiPriority w:val="10"/>
    <w:rsid w:val="00180396"/>
    <w:rPr>
      <w:rFonts w:asciiTheme="majorHAnsi" w:hAnsiTheme="majorHAnsi" w:cstheme="majorBidi"/>
      <w:b/>
      <w:bCs/>
      <w:kern w:val="2"/>
      <w:sz w:val="32"/>
      <w:szCs w:val="32"/>
    </w:rPr>
  </w:style>
  <w:style w:type="paragraph" w:styleId="a6">
    <w:name w:val="Quote"/>
    <w:basedOn w:val="a"/>
    <w:next w:val="a"/>
    <w:link w:val="a7"/>
    <w:uiPriority w:val="29"/>
    <w:qFormat/>
    <w:rsid w:val="00180396"/>
    <w:rPr>
      <w:i/>
      <w:iCs/>
      <w:color w:val="000000" w:themeColor="text1"/>
    </w:rPr>
  </w:style>
  <w:style w:type="character" w:customStyle="1" w:styleId="a7">
    <w:name w:val="引文 字元"/>
    <w:link w:val="a6"/>
    <w:uiPriority w:val="29"/>
    <w:rsid w:val="00180396"/>
    <w:rPr>
      <w:i/>
      <w:iCs/>
      <w:color w:val="000000" w:themeColor="text1"/>
      <w:kern w:val="2"/>
      <w:sz w:val="24"/>
      <w:szCs w:val="24"/>
    </w:rPr>
  </w:style>
  <w:style w:type="table" w:styleId="a8">
    <w:name w:val="Table Grid"/>
    <w:basedOn w:val="a1"/>
    <w:uiPriority w:val="59"/>
    <w:rsid w:val="00FE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77C0A"/>
    <w:pPr>
      <w:tabs>
        <w:tab w:val="center" w:pos="4153"/>
        <w:tab w:val="right" w:pos="8306"/>
      </w:tabs>
      <w:snapToGrid w:val="0"/>
    </w:pPr>
    <w:rPr>
      <w:sz w:val="20"/>
      <w:szCs w:val="20"/>
    </w:rPr>
  </w:style>
  <w:style w:type="character" w:customStyle="1" w:styleId="aa">
    <w:name w:val="頁首 字元"/>
    <w:basedOn w:val="a0"/>
    <w:link w:val="a9"/>
    <w:uiPriority w:val="99"/>
    <w:rsid w:val="00877C0A"/>
    <w:rPr>
      <w:kern w:val="2"/>
    </w:rPr>
  </w:style>
  <w:style w:type="paragraph" w:styleId="ab">
    <w:name w:val="footer"/>
    <w:basedOn w:val="a"/>
    <w:link w:val="ac"/>
    <w:uiPriority w:val="99"/>
    <w:unhideWhenUsed/>
    <w:rsid w:val="00877C0A"/>
    <w:pPr>
      <w:tabs>
        <w:tab w:val="center" w:pos="4153"/>
        <w:tab w:val="right" w:pos="8306"/>
      </w:tabs>
      <w:snapToGrid w:val="0"/>
    </w:pPr>
    <w:rPr>
      <w:sz w:val="20"/>
      <w:szCs w:val="20"/>
    </w:rPr>
  </w:style>
  <w:style w:type="character" w:customStyle="1" w:styleId="ac">
    <w:name w:val="頁尾 字元"/>
    <w:basedOn w:val="a0"/>
    <w:link w:val="ab"/>
    <w:uiPriority w:val="99"/>
    <w:rsid w:val="00877C0A"/>
    <w:rPr>
      <w:kern w:val="2"/>
    </w:rPr>
  </w:style>
  <w:style w:type="character" w:styleId="ad">
    <w:name w:val="Hyperlink"/>
    <w:basedOn w:val="a0"/>
    <w:uiPriority w:val="99"/>
    <w:semiHidden/>
    <w:unhideWhenUsed/>
    <w:rsid w:val="0024610E"/>
    <w:rPr>
      <w:strike w:val="0"/>
      <w:dstrike w:val="0"/>
      <w:color w:val="017CA5"/>
      <w:u w:val="none"/>
      <w:effect w:val="none"/>
    </w:rPr>
  </w:style>
  <w:style w:type="paragraph" w:styleId="HTML">
    <w:name w:val="HTML Preformatted"/>
    <w:basedOn w:val="a"/>
    <w:link w:val="HTML0"/>
    <w:uiPriority w:val="99"/>
    <w:unhideWhenUsed/>
    <w:rsid w:val="00246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4610E"/>
    <w:rPr>
      <w:rFonts w:ascii="細明體" w:eastAsia="細明體" w:hAnsi="細明體" w:cs="細明體"/>
      <w:sz w:val="24"/>
      <w:szCs w:val="24"/>
    </w:rPr>
  </w:style>
  <w:style w:type="paragraph" w:customStyle="1" w:styleId="Default">
    <w:name w:val="Default"/>
    <w:rsid w:val="00C944DE"/>
    <w:pPr>
      <w:widowControl w:val="0"/>
      <w:autoSpaceDE w:val="0"/>
      <w:autoSpaceDN w:val="0"/>
      <w:adjustRightInd w:val="0"/>
    </w:pPr>
    <w:rPr>
      <w:rFonts w:ascii="標楷體" w:eastAsia="標楷體" w:cs="標楷體"/>
      <w:color w:val="000000"/>
      <w:sz w:val="24"/>
      <w:szCs w:val="24"/>
    </w:rPr>
  </w:style>
  <w:style w:type="paragraph" w:styleId="ae">
    <w:name w:val="Balloon Text"/>
    <w:basedOn w:val="a"/>
    <w:link w:val="af"/>
    <w:uiPriority w:val="99"/>
    <w:semiHidden/>
    <w:unhideWhenUsed/>
    <w:rsid w:val="0071312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131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25519">
      <w:bodyDiv w:val="1"/>
      <w:marLeft w:val="0"/>
      <w:marRight w:val="0"/>
      <w:marTop w:val="0"/>
      <w:marBottom w:val="0"/>
      <w:divBdr>
        <w:top w:val="none" w:sz="0" w:space="0" w:color="auto"/>
        <w:left w:val="none" w:sz="0" w:space="0" w:color="auto"/>
        <w:bottom w:val="none" w:sz="0" w:space="0" w:color="auto"/>
        <w:right w:val="none" w:sz="0" w:space="0" w:color="auto"/>
      </w:divBdr>
      <w:divsChild>
        <w:div w:id="767116782">
          <w:marLeft w:val="0"/>
          <w:marRight w:val="0"/>
          <w:marTop w:val="0"/>
          <w:marBottom w:val="0"/>
          <w:divBdr>
            <w:top w:val="none" w:sz="0" w:space="0" w:color="auto"/>
            <w:left w:val="none" w:sz="0" w:space="0" w:color="auto"/>
            <w:bottom w:val="none" w:sz="0" w:space="0" w:color="auto"/>
            <w:right w:val="none" w:sz="0" w:space="0" w:color="auto"/>
          </w:divBdr>
          <w:divsChild>
            <w:div w:id="2006322985">
              <w:marLeft w:val="0"/>
              <w:marRight w:val="0"/>
              <w:marTop w:val="0"/>
              <w:marBottom w:val="0"/>
              <w:divBdr>
                <w:top w:val="none" w:sz="0" w:space="0" w:color="auto"/>
                <w:left w:val="none" w:sz="0" w:space="0" w:color="auto"/>
                <w:bottom w:val="none" w:sz="0" w:space="0" w:color="auto"/>
                <w:right w:val="none" w:sz="0" w:space="0" w:color="auto"/>
              </w:divBdr>
              <w:divsChild>
                <w:div w:id="31686461">
                  <w:marLeft w:val="0"/>
                  <w:marRight w:val="0"/>
                  <w:marTop w:val="0"/>
                  <w:marBottom w:val="0"/>
                  <w:divBdr>
                    <w:top w:val="none" w:sz="0" w:space="0" w:color="auto"/>
                    <w:left w:val="none" w:sz="0" w:space="0" w:color="auto"/>
                    <w:bottom w:val="none" w:sz="0" w:space="0" w:color="auto"/>
                    <w:right w:val="none" w:sz="0" w:space="0" w:color="auto"/>
                  </w:divBdr>
                  <w:divsChild>
                    <w:div w:id="1374690643">
                      <w:marLeft w:val="0"/>
                      <w:marRight w:val="0"/>
                      <w:marTop w:val="0"/>
                      <w:marBottom w:val="0"/>
                      <w:divBdr>
                        <w:top w:val="none" w:sz="0" w:space="0" w:color="auto"/>
                        <w:left w:val="none" w:sz="0" w:space="0" w:color="auto"/>
                        <w:bottom w:val="none" w:sz="0" w:space="0" w:color="auto"/>
                        <w:right w:val="none" w:sz="0" w:space="0" w:color="auto"/>
                      </w:divBdr>
                      <w:divsChild>
                        <w:div w:id="1012223490">
                          <w:marLeft w:val="0"/>
                          <w:marRight w:val="0"/>
                          <w:marTop w:val="0"/>
                          <w:marBottom w:val="0"/>
                          <w:divBdr>
                            <w:top w:val="none" w:sz="0" w:space="0" w:color="auto"/>
                            <w:left w:val="none" w:sz="0" w:space="0" w:color="auto"/>
                            <w:bottom w:val="none" w:sz="0" w:space="0" w:color="auto"/>
                            <w:right w:val="none" w:sz="0" w:space="0" w:color="auto"/>
                          </w:divBdr>
                          <w:divsChild>
                            <w:div w:id="366375956">
                              <w:marLeft w:val="0"/>
                              <w:marRight w:val="0"/>
                              <w:marTop w:val="0"/>
                              <w:marBottom w:val="0"/>
                              <w:divBdr>
                                <w:top w:val="none" w:sz="0" w:space="0" w:color="auto"/>
                                <w:left w:val="none" w:sz="0" w:space="0" w:color="auto"/>
                                <w:bottom w:val="none" w:sz="0" w:space="0" w:color="auto"/>
                                <w:right w:val="none" w:sz="0" w:space="0" w:color="auto"/>
                              </w:divBdr>
                              <w:divsChild>
                                <w:div w:id="9369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5F96-4E14-4778-A96E-94CD7ED1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李靜惠</dc:creator>
  <cp:lastModifiedBy>陳勝傑</cp:lastModifiedBy>
  <cp:revision>6</cp:revision>
  <cp:lastPrinted>2015-05-22T06:33:00Z</cp:lastPrinted>
  <dcterms:created xsi:type="dcterms:W3CDTF">2015-05-20T08:46:00Z</dcterms:created>
  <dcterms:modified xsi:type="dcterms:W3CDTF">2015-05-26T05:37:00Z</dcterms:modified>
</cp:coreProperties>
</file>