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B56" w:rsidRDefault="003C6F2F" w:rsidP="003C6F2F">
      <w:pPr>
        <w:snapToGrid w:val="0"/>
      </w:pPr>
      <w:bookmarkStart w:id="0" w:name="_GoBack"/>
      <w:bookmarkEnd w:id="0"/>
      <w:r>
        <w:rPr>
          <w:noProof/>
        </w:rPr>
        <w:drawing>
          <wp:inline distT="0" distB="0" distL="0" distR="0">
            <wp:extent cx="3207681" cy="845244"/>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7664" cy="845239"/>
                    </a:xfrm>
                    <a:prstGeom prst="rect">
                      <a:avLst/>
                    </a:prstGeom>
                    <a:noFill/>
                    <a:ln>
                      <a:noFill/>
                    </a:ln>
                  </pic:spPr>
                </pic:pic>
              </a:graphicData>
            </a:graphic>
          </wp:inline>
        </w:drawing>
      </w:r>
    </w:p>
    <w:p w:rsidR="003C6F2F" w:rsidRPr="003C6F2F" w:rsidRDefault="003C6F2F" w:rsidP="003C6F2F">
      <w:pPr>
        <w:widowControl/>
        <w:spacing w:after="120"/>
        <w:jc w:val="both"/>
        <w:outlineLvl w:val="1"/>
        <w:rPr>
          <w:rFonts w:ascii="Georgia" w:eastAsia="新細明體" w:hAnsi="Georgia" w:cs="Arial"/>
          <w:b/>
          <w:color w:val="000000"/>
          <w:kern w:val="36"/>
          <w:sz w:val="48"/>
          <w:szCs w:val="48"/>
          <w:lang w:val="en-GB"/>
        </w:rPr>
      </w:pPr>
      <w:r w:rsidRPr="003C6F2F">
        <w:rPr>
          <w:rFonts w:ascii="Georgia" w:eastAsia="新細明體" w:hAnsi="Georgia" w:cs="Arial"/>
          <w:b/>
          <w:color w:val="000000"/>
          <w:kern w:val="36"/>
          <w:sz w:val="48"/>
          <w:szCs w:val="48"/>
          <w:lang w:val="en-GB"/>
        </w:rPr>
        <w:t>Why great power demands great responsibility</w:t>
      </w:r>
    </w:p>
    <w:p w:rsidR="003C6F2F" w:rsidRPr="003C6F2F" w:rsidRDefault="003C6F2F" w:rsidP="003C6F2F">
      <w:pPr>
        <w:widowControl/>
        <w:rPr>
          <w:rFonts w:ascii="Times New Roman" w:eastAsia="新細明體" w:hAnsi="Times New Roman" w:cs="Times New Roman"/>
          <w:color w:val="333333"/>
          <w:kern w:val="0"/>
          <w:sz w:val="28"/>
          <w:szCs w:val="28"/>
          <w:lang w:val="en-GB"/>
        </w:rPr>
      </w:pPr>
      <w:r w:rsidRPr="003C6F2F">
        <w:rPr>
          <w:rFonts w:ascii="Times New Roman" w:eastAsia="新細明體" w:hAnsi="Times New Roman" w:cs="Times New Roman"/>
          <w:color w:val="333333"/>
          <w:kern w:val="0"/>
          <w:sz w:val="28"/>
          <w:szCs w:val="28"/>
          <w:lang w:val="en-GB"/>
        </w:rPr>
        <w:t xml:space="preserve">By </w:t>
      </w:r>
      <w:hyperlink r:id="rId9" w:history="1">
        <w:r w:rsidRPr="003C6F2F">
          <w:rPr>
            <w:rFonts w:ascii="Times New Roman" w:eastAsia="新細明體" w:hAnsi="Times New Roman" w:cs="Times New Roman"/>
            <w:color w:val="333333"/>
            <w:kern w:val="0"/>
            <w:sz w:val="28"/>
            <w:szCs w:val="28"/>
            <w:lang w:val="en-GB"/>
          </w:rPr>
          <w:t>Fai-nan Perng</w:t>
        </w:r>
      </w:hyperlink>
      <w:r w:rsidRPr="003C6F2F">
        <w:rPr>
          <w:rFonts w:ascii="Times New Roman" w:eastAsia="新細明體" w:hAnsi="Times New Roman" w:cs="Times New Roman"/>
          <w:color w:val="333333"/>
          <w:kern w:val="0"/>
          <w:sz w:val="28"/>
          <w:szCs w:val="28"/>
          <w:lang w:val="en-GB"/>
        </w:rPr>
        <w:t xml:space="preserve"> | Published: 02 January, 2014 </w:t>
      </w:r>
    </w:p>
    <w:p w:rsidR="003C6F2F" w:rsidRDefault="003C6F2F" w:rsidP="003C6F2F">
      <w:pPr>
        <w:widowControl/>
        <w:rPr>
          <w:rFonts w:ascii="Arial" w:eastAsia="新細明體" w:hAnsi="Arial" w:cs="Arial"/>
          <w:color w:val="333333"/>
          <w:kern w:val="0"/>
          <w:sz w:val="21"/>
          <w:szCs w:val="21"/>
          <w:lang w:val="en-GB"/>
        </w:rPr>
      </w:pPr>
    </w:p>
    <w:tbl>
      <w:tblPr>
        <w:tblStyle w:val="a5"/>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5670"/>
      </w:tblGrid>
      <w:tr w:rsidR="003C6F2F" w:rsidRPr="007F3060" w:rsidTr="00DE2352">
        <w:tc>
          <w:tcPr>
            <w:tcW w:w="3510" w:type="dxa"/>
          </w:tcPr>
          <w:p w:rsidR="003C6F2F" w:rsidRPr="007F3060" w:rsidRDefault="00B202E8" w:rsidP="003C6F2F">
            <w:pPr>
              <w:widowControl/>
              <w:rPr>
                <w:rFonts w:ascii="Arial" w:eastAsia="新細明體" w:hAnsi="Arial" w:cs="Arial"/>
                <w:color w:val="333333"/>
                <w:spacing w:val="-6"/>
                <w:kern w:val="0"/>
                <w:sz w:val="21"/>
                <w:szCs w:val="21"/>
                <w:lang w:val="en-GB"/>
              </w:rPr>
            </w:pPr>
            <w:r w:rsidRPr="007F3060">
              <w:rPr>
                <w:rFonts w:ascii="Arial" w:eastAsia="新細明體" w:hAnsi="Arial" w:cs="Arial"/>
                <w:noProof/>
                <w:color w:val="333333"/>
                <w:spacing w:val="-6"/>
                <w:kern w:val="0"/>
                <w:sz w:val="21"/>
                <w:szCs w:val="21"/>
              </w:rPr>
              <w:drawing>
                <wp:inline distT="0" distB="0" distL="0" distR="0" wp14:anchorId="06FD7DD4" wp14:editId="45D0E6F6">
                  <wp:extent cx="2087245" cy="2027555"/>
                  <wp:effectExtent l="0" t="0" r="825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87245" cy="2027555"/>
                          </a:xfrm>
                          <a:prstGeom prst="rect">
                            <a:avLst/>
                          </a:prstGeom>
                          <a:noFill/>
                          <a:ln>
                            <a:noFill/>
                          </a:ln>
                        </pic:spPr>
                      </pic:pic>
                    </a:graphicData>
                  </a:graphic>
                </wp:inline>
              </w:drawing>
            </w:r>
          </w:p>
        </w:tc>
        <w:tc>
          <w:tcPr>
            <w:tcW w:w="5670" w:type="dxa"/>
          </w:tcPr>
          <w:p w:rsidR="00DE2352" w:rsidRPr="007F3060" w:rsidRDefault="00DE2352" w:rsidP="00674398">
            <w:pPr>
              <w:widowControl/>
              <w:snapToGrid w:val="0"/>
              <w:spacing w:line="400" w:lineRule="exact"/>
              <w:jc w:val="both"/>
              <w:rPr>
                <w:rFonts w:ascii="Arial" w:hAnsi="Arial" w:cs="Arial"/>
                <w:color w:val="333333"/>
                <w:spacing w:val="-6"/>
                <w:sz w:val="28"/>
                <w:szCs w:val="28"/>
                <w:lang w:val="en-GB"/>
              </w:rPr>
            </w:pPr>
          </w:p>
          <w:p w:rsidR="003C6F2F" w:rsidRPr="007F3060" w:rsidRDefault="003C6F2F" w:rsidP="00C802F3">
            <w:pPr>
              <w:widowControl/>
              <w:snapToGrid w:val="0"/>
              <w:spacing w:line="440" w:lineRule="exact"/>
              <w:jc w:val="both"/>
              <w:rPr>
                <w:rFonts w:ascii="Arial" w:eastAsia="新細明體" w:hAnsi="Arial" w:cs="Arial"/>
                <w:color w:val="333333"/>
                <w:spacing w:val="-6"/>
                <w:kern w:val="0"/>
                <w:sz w:val="28"/>
                <w:szCs w:val="28"/>
                <w:lang w:val="en-GB"/>
              </w:rPr>
            </w:pPr>
            <w:r w:rsidRPr="007F3060">
              <w:rPr>
                <w:rFonts w:ascii="Arial" w:hAnsi="Arial" w:cs="Arial"/>
                <w:spacing w:val="-6"/>
                <w:sz w:val="28"/>
                <w:szCs w:val="28"/>
                <w:lang w:val="en-GB"/>
              </w:rPr>
              <w:t>Advanced economies such as the US and the eurozone enjoy enormous privilege as issuers of international currencies, says Taiwan’s central bank governor. This power needs to be tempered with a responsibility to promote economic stability on a global scale.</w:t>
            </w:r>
          </w:p>
        </w:tc>
      </w:tr>
    </w:tbl>
    <w:p w:rsidR="003C6F2F" w:rsidRPr="007F3060" w:rsidRDefault="003C6F2F" w:rsidP="00C802F3">
      <w:pPr>
        <w:widowControl/>
        <w:snapToGrid w:val="0"/>
        <w:spacing w:beforeLines="50" w:before="180" w:after="120" w:line="400" w:lineRule="atLeast"/>
        <w:jc w:val="both"/>
        <w:rPr>
          <w:rFonts w:ascii="Times New Roman" w:eastAsia="新細明體" w:hAnsi="Times New Roman" w:cs="Times New Roman"/>
          <w:spacing w:val="-6"/>
          <w:kern w:val="0"/>
          <w:sz w:val="29"/>
          <w:szCs w:val="29"/>
          <w:lang w:val="en-GB"/>
        </w:rPr>
      </w:pPr>
      <w:r w:rsidRPr="007F3060">
        <w:rPr>
          <w:rFonts w:ascii="Times New Roman" w:eastAsia="新細明體" w:hAnsi="Times New Roman" w:cs="Times New Roman"/>
          <w:spacing w:val="-6"/>
          <w:kern w:val="0"/>
          <w:sz w:val="29"/>
          <w:szCs w:val="29"/>
          <w:lang w:val="en-GB"/>
        </w:rPr>
        <w:t>The global financial crisis that broke out in late 2008 has cast a long shadow over the world’s economy. The severity of the downturn that immediately followed is surpassed only by the Great Depression of the 1930s. To make matters worse, Greece came to the fore in October 2009 as the curtain raiser for the European debt crisis. This generation of central bankers has never faced greater uncertainty than in the past five years.</w:t>
      </w:r>
    </w:p>
    <w:p w:rsidR="003C6F2F" w:rsidRPr="007F3060" w:rsidRDefault="003C6F2F" w:rsidP="00C802F3">
      <w:pPr>
        <w:widowControl/>
        <w:snapToGrid w:val="0"/>
        <w:spacing w:beforeLines="100" w:before="360" w:after="120" w:line="400" w:lineRule="atLeast"/>
        <w:jc w:val="both"/>
        <w:rPr>
          <w:rFonts w:ascii="Times New Roman" w:eastAsia="新細明體" w:hAnsi="Times New Roman" w:cs="Times New Roman"/>
          <w:spacing w:val="-6"/>
          <w:kern w:val="0"/>
          <w:sz w:val="29"/>
          <w:szCs w:val="29"/>
          <w:lang w:val="en-GB"/>
        </w:rPr>
      </w:pPr>
      <w:r w:rsidRPr="007F3060">
        <w:rPr>
          <w:rFonts w:ascii="Times New Roman" w:eastAsia="新細明體" w:hAnsi="Times New Roman" w:cs="Times New Roman"/>
          <w:spacing w:val="-6"/>
          <w:kern w:val="0"/>
          <w:sz w:val="29"/>
          <w:szCs w:val="29"/>
          <w:lang w:val="en-GB"/>
        </w:rPr>
        <w:t>During this turbulent period, a number of advanced economies have become heavily dependent on the unusually accommodating monetary policy that has been deployed to support stock prices, real-estate markets and inflation expectations. Very low interest rates and asset purchase programmes implemented by these countries have indirectly pushed down the exchange rates of these countries as part of the stimulus package designed to shore up aggregate demand and economic growth.</w:t>
      </w:r>
    </w:p>
    <w:p w:rsidR="003C6F2F" w:rsidRPr="007F3060" w:rsidRDefault="003C6F2F" w:rsidP="00C802F3">
      <w:pPr>
        <w:widowControl/>
        <w:snapToGrid w:val="0"/>
        <w:spacing w:beforeLines="100" w:before="360" w:after="120" w:line="400" w:lineRule="atLeast"/>
        <w:jc w:val="both"/>
        <w:rPr>
          <w:rFonts w:ascii="Times New Roman" w:eastAsia="新細明體" w:hAnsi="Times New Roman" w:cs="Times New Roman"/>
          <w:spacing w:val="-6"/>
          <w:kern w:val="0"/>
          <w:sz w:val="29"/>
          <w:szCs w:val="29"/>
          <w:lang w:val="en-GB"/>
        </w:rPr>
      </w:pPr>
      <w:r w:rsidRPr="007F3060">
        <w:rPr>
          <w:rFonts w:ascii="Times New Roman" w:eastAsia="新細明體" w:hAnsi="Times New Roman" w:cs="Times New Roman"/>
          <w:spacing w:val="-6"/>
          <w:kern w:val="0"/>
          <w:sz w:val="29"/>
          <w:szCs w:val="29"/>
          <w:lang w:val="en-GB"/>
        </w:rPr>
        <w:t xml:space="preserve">This unconventional monetary policy was perhaps warranted during the height of the financial crisis as it averted the collapse of the global financial system and provided a lifeline to economies. However, some of these countries happen to be </w:t>
      </w:r>
      <w:r w:rsidRPr="007F3060">
        <w:rPr>
          <w:rFonts w:ascii="Times New Roman" w:eastAsia="新細明體" w:hAnsi="Times New Roman" w:cs="Times New Roman"/>
          <w:spacing w:val="-6"/>
          <w:kern w:val="0"/>
          <w:sz w:val="29"/>
          <w:szCs w:val="29"/>
          <w:lang w:val="en-GB"/>
        </w:rPr>
        <w:lastRenderedPageBreak/>
        <w:t>issuers of international currencies. Monetary policy thus becomes one of their greatest exports. While the overall benefit their policy can bring to the global economy remains to be seen, there is little doubt its massive spillover effect has already seriously disrupted global financial markets.</w:t>
      </w:r>
    </w:p>
    <w:p w:rsidR="003C6F2F" w:rsidRPr="007F3060" w:rsidRDefault="003C6F2F" w:rsidP="00DE2352">
      <w:pPr>
        <w:widowControl/>
        <w:snapToGrid w:val="0"/>
        <w:spacing w:beforeLines="100" w:before="360" w:after="120" w:line="400" w:lineRule="atLeast"/>
        <w:jc w:val="both"/>
        <w:rPr>
          <w:rFonts w:ascii="Times New Roman" w:eastAsia="新細明體" w:hAnsi="Times New Roman" w:cs="Times New Roman"/>
          <w:b/>
          <w:color w:val="333333"/>
          <w:spacing w:val="-6"/>
          <w:kern w:val="0"/>
          <w:sz w:val="29"/>
          <w:szCs w:val="29"/>
          <w:lang w:val="en-GB"/>
        </w:rPr>
      </w:pPr>
      <w:r w:rsidRPr="007F3060">
        <w:rPr>
          <w:rFonts w:ascii="Times New Roman" w:eastAsia="新細明體" w:hAnsi="Times New Roman" w:cs="Times New Roman"/>
          <w:b/>
          <w:bCs/>
          <w:color w:val="333333"/>
          <w:spacing w:val="-6"/>
          <w:kern w:val="0"/>
          <w:sz w:val="29"/>
          <w:szCs w:val="29"/>
          <w:lang w:val="en-GB"/>
        </w:rPr>
        <w:t>Economies in decline</w:t>
      </w:r>
    </w:p>
    <w:p w:rsidR="003C6F2F" w:rsidRPr="007F3060" w:rsidRDefault="003C6F2F" w:rsidP="00C802F3">
      <w:pPr>
        <w:widowControl/>
        <w:snapToGrid w:val="0"/>
        <w:spacing w:beforeLines="50" w:before="180" w:after="120" w:line="400" w:lineRule="atLeast"/>
        <w:jc w:val="both"/>
        <w:rPr>
          <w:rFonts w:ascii="Times New Roman" w:eastAsia="新細明體" w:hAnsi="Times New Roman" w:cs="Times New Roman"/>
          <w:spacing w:val="-6"/>
          <w:kern w:val="0"/>
          <w:sz w:val="29"/>
          <w:szCs w:val="29"/>
          <w:lang w:val="en-GB"/>
        </w:rPr>
      </w:pPr>
      <w:r w:rsidRPr="007F3060">
        <w:rPr>
          <w:rFonts w:ascii="Times New Roman" w:eastAsia="新細明體" w:hAnsi="Times New Roman" w:cs="Times New Roman"/>
          <w:spacing w:val="-6"/>
          <w:kern w:val="0"/>
          <w:sz w:val="29"/>
          <w:szCs w:val="29"/>
          <w:lang w:val="en-GB"/>
        </w:rPr>
        <w:t>The share of advanced economies in global output has been in steady decline and their business cycles have become increasingly out of sync with the rest of the world. Yet, because of the role played by international currencies in global trade and international financial markets, monetary policy implemented by these countries can be transmitted to emerging markets with unintended and undesirable consequences.</w:t>
      </w:r>
    </w:p>
    <w:p w:rsidR="003C6F2F" w:rsidRPr="007F3060" w:rsidRDefault="003C6F2F" w:rsidP="00C802F3">
      <w:pPr>
        <w:widowControl/>
        <w:snapToGrid w:val="0"/>
        <w:spacing w:beforeLines="100" w:before="360" w:after="120" w:line="400" w:lineRule="atLeast"/>
        <w:jc w:val="both"/>
        <w:rPr>
          <w:rFonts w:ascii="Times New Roman" w:eastAsia="新細明體" w:hAnsi="Times New Roman" w:cs="Times New Roman"/>
          <w:spacing w:val="-6"/>
          <w:kern w:val="0"/>
          <w:sz w:val="29"/>
          <w:szCs w:val="29"/>
          <w:lang w:val="en-GB"/>
        </w:rPr>
      </w:pPr>
      <w:r w:rsidRPr="007F3060">
        <w:rPr>
          <w:rFonts w:ascii="Times New Roman" w:eastAsia="新細明體" w:hAnsi="Times New Roman" w:cs="Times New Roman"/>
          <w:spacing w:val="-6"/>
          <w:kern w:val="0"/>
          <w:sz w:val="29"/>
          <w:szCs w:val="29"/>
          <w:lang w:val="en-GB"/>
        </w:rPr>
        <w:t>In many instances, accommodative domestic policies are exported unwittingly to overheated foreign markets, thus fuelling asset bubbles and threatening economic and financial stability.</w:t>
      </w:r>
    </w:p>
    <w:p w:rsidR="003C6F2F" w:rsidRPr="007F3060" w:rsidRDefault="003C6F2F" w:rsidP="00C802F3">
      <w:pPr>
        <w:widowControl/>
        <w:snapToGrid w:val="0"/>
        <w:spacing w:beforeLines="100" w:before="360" w:after="120" w:line="400" w:lineRule="atLeast"/>
        <w:jc w:val="both"/>
        <w:rPr>
          <w:rFonts w:ascii="Times New Roman" w:eastAsia="新細明體" w:hAnsi="Times New Roman" w:cs="Times New Roman"/>
          <w:spacing w:val="-6"/>
          <w:kern w:val="0"/>
          <w:sz w:val="29"/>
          <w:szCs w:val="29"/>
          <w:lang w:val="en-GB"/>
        </w:rPr>
      </w:pPr>
      <w:r w:rsidRPr="007F3060">
        <w:rPr>
          <w:rFonts w:ascii="Times New Roman" w:eastAsia="新細明體" w:hAnsi="Times New Roman" w:cs="Times New Roman"/>
          <w:spacing w:val="-6"/>
          <w:kern w:val="0"/>
          <w:sz w:val="29"/>
          <w:szCs w:val="29"/>
          <w:lang w:val="en-GB"/>
        </w:rPr>
        <w:t>The impact of monetary policy adopted by advanced economies is transmitted to the financial markets of less developed countries through short-term international capital movements, where portfolio and speculative flows of capital can distort the intrinsic value of currencies. The effect is particularly acute for small and highly open economies such as Taiwan, Singapore and Hong Kong, where the exchange rate plays a large role in economic and financial stability.</w:t>
      </w:r>
    </w:p>
    <w:p w:rsidR="003C6F2F" w:rsidRPr="007F3060" w:rsidRDefault="003C6F2F" w:rsidP="00C802F3">
      <w:pPr>
        <w:widowControl/>
        <w:snapToGrid w:val="0"/>
        <w:spacing w:beforeLines="100" w:before="360" w:after="120" w:line="400" w:lineRule="atLeast"/>
        <w:jc w:val="both"/>
        <w:rPr>
          <w:rFonts w:ascii="Times New Roman" w:eastAsia="新細明體" w:hAnsi="Times New Roman" w:cs="Times New Roman"/>
          <w:spacing w:val="-6"/>
          <w:kern w:val="0"/>
          <w:sz w:val="29"/>
          <w:szCs w:val="29"/>
          <w:lang w:val="en-GB"/>
        </w:rPr>
      </w:pPr>
      <w:r w:rsidRPr="007F3060">
        <w:rPr>
          <w:rFonts w:ascii="Times New Roman" w:eastAsia="新細明體" w:hAnsi="Times New Roman" w:cs="Times New Roman"/>
          <w:spacing w:val="-6"/>
          <w:kern w:val="0"/>
          <w:sz w:val="29"/>
          <w:szCs w:val="29"/>
          <w:lang w:val="en-GB"/>
        </w:rPr>
        <w:t>Let us look at Taiwan. As a group, foreign portfolio investors have become a major force in both the equity and foreign exchange markets since the early 1990s. There are currently more than 6700 registered foreign portfolio investors in Taiwan. Collectively, they account for 36% of the turnover in the interbank foreign exchange market. The 20 most active players are responsible for the bulk of foreign exchange transactions undertaken by all foreign portfolio investors. At the end of June 2013, the combined market value of stocks, bonds and local currency deposits held by foreign portfolio investors came to $228.5bn, the equivalent of 56% of Taiwan’s international reserves. It is not difficult to see how short-term international capital movements have become the main driver of the exchange rate of the new Taiwan dollar.</w:t>
      </w:r>
    </w:p>
    <w:p w:rsidR="003C6F2F" w:rsidRPr="007F3060" w:rsidRDefault="003C6F2F" w:rsidP="00DE2352">
      <w:pPr>
        <w:widowControl/>
        <w:snapToGrid w:val="0"/>
        <w:spacing w:beforeLines="100" w:before="360" w:after="120" w:line="400" w:lineRule="atLeast"/>
        <w:jc w:val="both"/>
        <w:rPr>
          <w:rFonts w:ascii="Times New Roman" w:eastAsia="新細明體" w:hAnsi="Times New Roman" w:cs="Times New Roman"/>
          <w:b/>
          <w:bCs/>
          <w:spacing w:val="-6"/>
          <w:kern w:val="0"/>
          <w:sz w:val="29"/>
          <w:szCs w:val="29"/>
          <w:lang w:val="en-GB"/>
        </w:rPr>
      </w:pPr>
      <w:r w:rsidRPr="007F3060">
        <w:rPr>
          <w:rFonts w:ascii="Times New Roman" w:eastAsia="新細明體" w:hAnsi="Times New Roman" w:cs="Times New Roman"/>
          <w:b/>
          <w:bCs/>
          <w:spacing w:val="-6"/>
          <w:kern w:val="0"/>
          <w:sz w:val="29"/>
          <w:szCs w:val="29"/>
          <w:lang w:val="en-GB"/>
        </w:rPr>
        <w:lastRenderedPageBreak/>
        <w:t>Overshooting the mark</w:t>
      </w:r>
    </w:p>
    <w:p w:rsidR="003C6F2F" w:rsidRPr="007F3060" w:rsidRDefault="003C6F2F" w:rsidP="00C802F3">
      <w:pPr>
        <w:widowControl/>
        <w:snapToGrid w:val="0"/>
        <w:spacing w:beforeLines="50" w:before="180" w:after="120" w:line="400" w:lineRule="atLeast"/>
        <w:jc w:val="both"/>
        <w:rPr>
          <w:rFonts w:ascii="Times New Roman" w:eastAsia="新細明體" w:hAnsi="Times New Roman" w:cs="Times New Roman"/>
          <w:spacing w:val="-6"/>
          <w:kern w:val="0"/>
          <w:sz w:val="29"/>
          <w:szCs w:val="29"/>
          <w:lang w:val="en-GB"/>
        </w:rPr>
      </w:pPr>
      <w:r w:rsidRPr="007F3060">
        <w:rPr>
          <w:rFonts w:ascii="Times New Roman" w:eastAsia="新細明體" w:hAnsi="Times New Roman" w:cs="Times New Roman"/>
          <w:spacing w:val="-6"/>
          <w:kern w:val="0"/>
          <w:sz w:val="29"/>
          <w:szCs w:val="29"/>
          <w:lang w:val="en-GB"/>
        </w:rPr>
        <w:t>Currency allocation decisions made by foreign investors tend to rely on common but narrow and fickle information sources. They jointly become a seller of foreign exchange one day and a buyer the next day. Their trading strategy, driven by asymmetric and incomplete information, leads to a herding behaviour that constantly and dramatically shifts the demand and supply curves. As a result, the exchange rate has a tendency to overshoot and misalign with economic fundamentals, undermining financial and economic stability in the host country.</w:t>
      </w:r>
    </w:p>
    <w:p w:rsidR="003C6F2F" w:rsidRPr="007F3060" w:rsidRDefault="003C6F2F" w:rsidP="00C802F3">
      <w:pPr>
        <w:widowControl/>
        <w:snapToGrid w:val="0"/>
        <w:spacing w:beforeLines="100" w:before="360" w:after="120" w:line="400" w:lineRule="atLeast"/>
        <w:jc w:val="both"/>
        <w:rPr>
          <w:rFonts w:ascii="Times New Roman" w:eastAsia="新細明體" w:hAnsi="Times New Roman" w:cs="Times New Roman"/>
          <w:spacing w:val="-6"/>
          <w:kern w:val="0"/>
          <w:sz w:val="29"/>
          <w:szCs w:val="29"/>
          <w:lang w:val="en-GB"/>
        </w:rPr>
      </w:pPr>
      <w:r w:rsidRPr="007F3060">
        <w:rPr>
          <w:rFonts w:ascii="Times New Roman" w:eastAsia="新細明體" w:hAnsi="Times New Roman" w:cs="Times New Roman"/>
          <w:spacing w:val="-6"/>
          <w:kern w:val="0"/>
          <w:sz w:val="29"/>
          <w:szCs w:val="29"/>
          <w:lang w:val="en-GB"/>
        </w:rPr>
        <w:t>Communication, as a tool, has increasingly been used by some central banks to buttress the effectiveness of monetary policy. Formal statements drafted by top officials or casual remarks delivered by senior political leaders can trigger changes in risk-on/risk-off sentiments that sway global financial markets. The problem is made worse when members of the same institution express opposing views on the same subject, creating noises that amplify market volatility.</w:t>
      </w:r>
    </w:p>
    <w:p w:rsidR="003C6F2F" w:rsidRPr="007F3060" w:rsidRDefault="003C6F2F" w:rsidP="00C802F3">
      <w:pPr>
        <w:widowControl/>
        <w:snapToGrid w:val="0"/>
        <w:spacing w:beforeLines="100" w:before="360" w:after="120" w:line="400" w:lineRule="atLeast"/>
        <w:jc w:val="both"/>
        <w:rPr>
          <w:rFonts w:ascii="Times New Roman" w:eastAsia="新細明體" w:hAnsi="Times New Roman" w:cs="Times New Roman"/>
          <w:spacing w:val="-6"/>
          <w:kern w:val="0"/>
          <w:sz w:val="29"/>
          <w:szCs w:val="29"/>
          <w:lang w:val="en-GB"/>
        </w:rPr>
      </w:pPr>
      <w:r w:rsidRPr="007F3060">
        <w:rPr>
          <w:rFonts w:ascii="Times New Roman" w:eastAsia="新細明體" w:hAnsi="Times New Roman" w:cs="Times New Roman"/>
          <w:spacing w:val="-6"/>
          <w:kern w:val="0"/>
          <w:sz w:val="29"/>
          <w:szCs w:val="29"/>
          <w:lang w:val="en-GB"/>
        </w:rPr>
        <w:t>Emerging markets in the Asia-Pacific region are often at the receiving end of these destabilising forces. During the month of June 2013, as stock markets around the world went through a major correction phase, six Asian economies collectively experienced a net capital outflow of some $14.3bn. Investor sentiments then changed rapidly a couple of weeks later when we saw the share of foreign portfolio investors in Taiwan’s foreign exchange market turnover shoot up from 22% on July 9 to 34% the next day, eventually peaking at 39% on July 15. This sauna-like effect was inextricably linked to comments made by senior government officials in advanced countries in the same timeframe. Reaction to such an ‘announcement effect’ produces market volatility and puts other economies at risk.</w:t>
      </w:r>
    </w:p>
    <w:p w:rsidR="003C6F2F" w:rsidRPr="007F3060" w:rsidRDefault="003C6F2F" w:rsidP="00DE2352">
      <w:pPr>
        <w:widowControl/>
        <w:snapToGrid w:val="0"/>
        <w:spacing w:beforeLines="100" w:before="360" w:after="120" w:line="400" w:lineRule="atLeast"/>
        <w:jc w:val="both"/>
        <w:rPr>
          <w:rFonts w:ascii="Times New Roman" w:eastAsia="新細明體" w:hAnsi="Times New Roman" w:cs="Times New Roman"/>
          <w:b/>
          <w:color w:val="333333"/>
          <w:spacing w:val="-6"/>
          <w:kern w:val="0"/>
          <w:sz w:val="29"/>
          <w:szCs w:val="29"/>
          <w:lang w:val="en-GB"/>
        </w:rPr>
      </w:pPr>
      <w:r w:rsidRPr="007F3060">
        <w:rPr>
          <w:rFonts w:ascii="Times New Roman" w:eastAsia="新細明體" w:hAnsi="Times New Roman" w:cs="Times New Roman"/>
          <w:b/>
          <w:bCs/>
          <w:color w:val="333333"/>
          <w:spacing w:val="-6"/>
          <w:kern w:val="0"/>
          <w:sz w:val="29"/>
          <w:szCs w:val="29"/>
          <w:lang w:val="en-GB"/>
        </w:rPr>
        <w:t>Spillover effects</w:t>
      </w:r>
    </w:p>
    <w:p w:rsidR="003C6F2F" w:rsidRPr="007F3060" w:rsidRDefault="003C6F2F" w:rsidP="00C802F3">
      <w:pPr>
        <w:widowControl/>
        <w:snapToGrid w:val="0"/>
        <w:spacing w:beforeLines="50" w:before="180" w:after="120" w:line="400" w:lineRule="atLeast"/>
        <w:jc w:val="both"/>
        <w:rPr>
          <w:rFonts w:ascii="Times New Roman" w:eastAsia="新細明體" w:hAnsi="Times New Roman" w:cs="Times New Roman"/>
          <w:spacing w:val="-6"/>
          <w:kern w:val="0"/>
          <w:sz w:val="29"/>
          <w:szCs w:val="29"/>
          <w:lang w:val="en-GB"/>
        </w:rPr>
      </w:pPr>
      <w:r w:rsidRPr="007F3060">
        <w:rPr>
          <w:rFonts w:ascii="Times New Roman" w:eastAsia="新細明體" w:hAnsi="Times New Roman" w:cs="Times New Roman"/>
          <w:spacing w:val="-6"/>
          <w:kern w:val="0"/>
          <w:sz w:val="29"/>
          <w:szCs w:val="29"/>
          <w:lang w:val="en-GB"/>
        </w:rPr>
        <w:t>The international spillover effects created by the unconventional monetary policy have also been widely discussed at the 2013 Economic Policy Symposium in Jackson Hole, Wyoming. In particular, the paper presented by Professor Hélène Rey finds that monetary policy in the ‘centre country’ is a major determinant of the global financial cycle. Gross capital flows around the world, in turn, are closely linked to the global financial cycle, which is not aligned with the recipient country’s macroeconomic fundamentals.</w:t>
      </w:r>
    </w:p>
    <w:p w:rsidR="003C6F2F" w:rsidRPr="007F3060" w:rsidRDefault="003C6F2F" w:rsidP="00C802F3">
      <w:pPr>
        <w:widowControl/>
        <w:snapToGrid w:val="0"/>
        <w:spacing w:beforeLines="100" w:before="360" w:after="120" w:line="400" w:lineRule="atLeast"/>
        <w:jc w:val="both"/>
        <w:rPr>
          <w:rFonts w:ascii="Times New Roman" w:eastAsia="新細明體" w:hAnsi="Times New Roman" w:cs="Times New Roman"/>
          <w:spacing w:val="-6"/>
          <w:kern w:val="0"/>
          <w:sz w:val="29"/>
          <w:szCs w:val="29"/>
          <w:lang w:val="en-GB"/>
        </w:rPr>
      </w:pPr>
      <w:r w:rsidRPr="007F3060">
        <w:rPr>
          <w:rFonts w:ascii="Times New Roman" w:eastAsia="新細明體" w:hAnsi="Times New Roman" w:cs="Times New Roman"/>
          <w:spacing w:val="-6"/>
          <w:kern w:val="0"/>
          <w:sz w:val="29"/>
          <w:szCs w:val="29"/>
          <w:lang w:val="en-GB"/>
        </w:rPr>
        <w:lastRenderedPageBreak/>
        <w:t>The possible side-effects of unconventional monetary policy, therefore, include excess credit creation and large asset price bubbles in someone else’s backyard. The paper further points out that the global financial cycle constrains monetary policy in countries with liberalised capital accounts, regardless of the choice of exchange rate regime. In other words, monetary policy independence is only attainable when the capital account is managed.</w:t>
      </w:r>
    </w:p>
    <w:p w:rsidR="003C6F2F" w:rsidRPr="007F3060" w:rsidRDefault="003C6F2F" w:rsidP="00DE2352">
      <w:pPr>
        <w:widowControl/>
        <w:snapToGrid w:val="0"/>
        <w:spacing w:beforeLines="100" w:before="360" w:after="120" w:line="400" w:lineRule="atLeast"/>
        <w:jc w:val="both"/>
        <w:rPr>
          <w:rFonts w:ascii="Times New Roman" w:eastAsia="新細明體" w:hAnsi="Times New Roman" w:cs="Times New Roman"/>
          <w:b/>
          <w:spacing w:val="-6"/>
          <w:kern w:val="0"/>
          <w:sz w:val="29"/>
          <w:szCs w:val="29"/>
          <w:lang w:val="en-GB"/>
        </w:rPr>
      </w:pPr>
      <w:r w:rsidRPr="007F3060">
        <w:rPr>
          <w:rFonts w:ascii="Times New Roman" w:eastAsia="新細明體" w:hAnsi="Times New Roman" w:cs="Times New Roman"/>
          <w:b/>
          <w:bCs/>
          <w:spacing w:val="-6"/>
          <w:kern w:val="0"/>
          <w:sz w:val="29"/>
          <w:szCs w:val="29"/>
          <w:lang w:val="en-GB"/>
        </w:rPr>
        <w:t>Policy uncertainty</w:t>
      </w:r>
    </w:p>
    <w:p w:rsidR="003C6F2F" w:rsidRPr="007F3060" w:rsidRDefault="003C6F2F" w:rsidP="00C802F3">
      <w:pPr>
        <w:widowControl/>
        <w:snapToGrid w:val="0"/>
        <w:spacing w:beforeLines="50" w:before="180" w:after="120" w:line="400" w:lineRule="atLeast"/>
        <w:jc w:val="both"/>
        <w:rPr>
          <w:rFonts w:ascii="Times New Roman" w:eastAsia="新細明體" w:hAnsi="Times New Roman" w:cs="Times New Roman"/>
          <w:color w:val="333333"/>
          <w:spacing w:val="-6"/>
          <w:kern w:val="0"/>
          <w:sz w:val="29"/>
          <w:szCs w:val="29"/>
          <w:lang w:val="en-GB"/>
        </w:rPr>
      </w:pPr>
      <w:r w:rsidRPr="007F3060">
        <w:rPr>
          <w:rFonts w:ascii="Times New Roman" w:eastAsia="新細明體" w:hAnsi="Times New Roman" w:cs="Times New Roman"/>
          <w:color w:val="333333"/>
          <w:spacing w:val="-6"/>
          <w:kern w:val="0"/>
          <w:sz w:val="29"/>
          <w:szCs w:val="29"/>
          <w:lang w:val="en-GB"/>
        </w:rPr>
        <w:t>Apart from monetary policy per se, the huge policy uncertainty in some advanced nations also has a significant spillover effect, as outlined by the International Monetary Fund (IMF) in the 2013 Spillover Report – Analytical Underpinnings and Other Background. The IMF identifies a number of policy events in the US and Europe that have created so much uncertainty, undermining not only domestic economic growth but also global investment momentum through spillover effects. Such events include the debt ceiling row in 2011, the related fiscal cliff debate the next year and the manner in which the European debt crisis was handled throughout 2012.</w:t>
      </w:r>
    </w:p>
    <w:p w:rsidR="003C6F2F" w:rsidRPr="007F3060" w:rsidRDefault="003C6F2F" w:rsidP="00C802F3">
      <w:pPr>
        <w:widowControl/>
        <w:snapToGrid w:val="0"/>
        <w:spacing w:beforeLines="100" w:before="360" w:after="120" w:line="400" w:lineRule="atLeast"/>
        <w:jc w:val="both"/>
        <w:rPr>
          <w:rFonts w:ascii="Times New Roman" w:eastAsia="新細明體" w:hAnsi="Times New Roman" w:cs="Times New Roman"/>
          <w:color w:val="333333"/>
          <w:spacing w:val="-6"/>
          <w:kern w:val="0"/>
          <w:sz w:val="29"/>
          <w:szCs w:val="29"/>
          <w:lang w:val="en-GB"/>
        </w:rPr>
      </w:pPr>
      <w:r w:rsidRPr="007F3060">
        <w:rPr>
          <w:rFonts w:ascii="Times New Roman" w:eastAsia="新細明體" w:hAnsi="Times New Roman" w:cs="Times New Roman"/>
          <w:color w:val="333333"/>
          <w:spacing w:val="-6"/>
          <w:kern w:val="0"/>
          <w:sz w:val="29"/>
          <w:szCs w:val="29"/>
          <w:lang w:val="en-GB"/>
        </w:rPr>
        <w:t>In June 2009, US president Barack Obama spoke about the global financial crisis: “Inadequate regulation, coupled with a vast culture of greed and an explosion of complicated financial instruments, induced excessive risk-taking and helped trigger the economic crisis.” Whether stock market capitalism has disconnected financial market development from economic fundamentals and whether the recent monetary policy adopted by some countries has inadvertently contributed to this trend are questions that beg answers.</w:t>
      </w:r>
    </w:p>
    <w:p w:rsidR="003C6F2F" w:rsidRPr="007F3060" w:rsidRDefault="003C6F2F" w:rsidP="00C802F3">
      <w:pPr>
        <w:widowControl/>
        <w:snapToGrid w:val="0"/>
        <w:spacing w:beforeLines="100" w:before="360" w:after="120" w:line="400" w:lineRule="atLeast"/>
        <w:jc w:val="both"/>
        <w:rPr>
          <w:rFonts w:ascii="Times New Roman" w:eastAsia="新細明體" w:hAnsi="Times New Roman" w:cs="Times New Roman"/>
          <w:color w:val="333333"/>
          <w:spacing w:val="-6"/>
          <w:kern w:val="0"/>
          <w:sz w:val="29"/>
          <w:szCs w:val="29"/>
          <w:lang w:val="en-GB"/>
        </w:rPr>
      </w:pPr>
      <w:r w:rsidRPr="007F3060">
        <w:rPr>
          <w:rFonts w:ascii="Times New Roman" w:eastAsia="新細明體" w:hAnsi="Times New Roman" w:cs="Times New Roman"/>
          <w:color w:val="333333"/>
          <w:spacing w:val="-6"/>
          <w:kern w:val="0"/>
          <w:sz w:val="29"/>
          <w:szCs w:val="29"/>
          <w:lang w:val="en-GB"/>
        </w:rPr>
        <w:t>There's no such thing as a free lunch, as economist Milton Friedman put it. Monetary policy that depends on the stock market to provide on and off short-term stimulus can neither foster long-term economic development nor promote global financial stability. For individual countries, a viable economic revitalisation programme entails strengthening financial supervision, improving the standard of education and raising the level of productivity.</w:t>
      </w:r>
    </w:p>
    <w:p w:rsidR="003C6F2F" w:rsidRPr="007F3060" w:rsidRDefault="003C6F2F" w:rsidP="00C802F3">
      <w:pPr>
        <w:widowControl/>
        <w:snapToGrid w:val="0"/>
        <w:spacing w:beforeLines="100" w:before="360" w:after="120" w:line="400" w:lineRule="atLeast"/>
        <w:jc w:val="both"/>
        <w:rPr>
          <w:rFonts w:ascii="Times New Roman" w:eastAsia="新細明體" w:hAnsi="Times New Roman" w:cs="Times New Roman"/>
          <w:spacing w:val="-6"/>
          <w:kern w:val="0"/>
          <w:sz w:val="29"/>
          <w:szCs w:val="29"/>
          <w:lang w:val="en-GB"/>
        </w:rPr>
      </w:pPr>
      <w:r w:rsidRPr="007F3060">
        <w:rPr>
          <w:rFonts w:ascii="Times New Roman" w:eastAsia="新細明體" w:hAnsi="Times New Roman" w:cs="Times New Roman"/>
          <w:spacing w:val="-6"/>
          <w:kern w:val="0"/>
          <w:sz w:val="29"/>
          <w:szCs w:val="29"/>
          <w:lang w:val="en-GB"/>
        </w:rPr>
        <w:t xml:space="preserve">Only by focusing on improving fundamentals can an economy reach full potential and stay on a sustainable path. From a global perspective, major advanced </w:t>
      </w:r>
      <w:r w:rsidRPr="007F3060">
        <w:rPr>
          <w:rFonts w:ascii="Times New Roman" w:eastAsia="新細明體" w:hAnsi="Times New Roman" w:cs="Times New Roman"/>
          <w:spacing w:val="-6"/>
          <w:kern w:val="0"/>
          <w:sz w:val="29"/>
          <w:szCs w:val="29"/>
          <w:lang w:val="en-GB"/>
        </w:rPr>
        <w:lastRenderedPageBreak/>
        <w:t>countries enjoy, to varying degrees, exorbitant privilege as issuers of international currencies. Monetary policy formulated by these countries has a disproportionally large impact on global financial markets.</w:t>
      </w:r>
    </w:p>
    <w:p w:rsidR="003C6F2F" w:rsidRPr="007F3060" w:rsidRDefault="003C6F2F" w:rsidP="00C802F3">
      <w:pPr>
        <w:widowControl/>
        <w:snapToGrid w:val="0"/>
        <w:spacing w:beforeLines="100" w:before="360" w:after="120" w:line="400" w:lineRule="atLeast"/>
        <w:jc w:val="both"/>
        <w:rPr>
          <w:rFonts w:ascii="Times New Roman" w:eastAsia="新細明體" w:hAnsi="Times New Roman" w:cs="Times New Roman"/>
          <w:spacing w:val="-6"/>
          <w:kern w:val="0"/>
          <w:sz w:val="29"/>
          <w:szCs w:val="29"/>
          <w:lang w:val="en-GB"/>
        </w:rPr>
      </w:pPr>
      <w:r w:rsidRPr="007F3060">
        <w:rPr>
          <w:rFonts w:ascii="Times New Roman" w:eastAsia="新細明體" w:hAnsi="Times New Roman" w:cs="Times New Roman"/>
          <w:spacing w:val="-6"/>
          <w:kern w:val="0"/>
          <w:sz w:val="29"/>
          <w:szCs w:val="29"/>
          <w:lang w:val="en-GB"/>
        </w:rPr>
        <w:t>With great power comes great responsibility; the burden of promoting global economic and financial stability rests squarely on the shoulders of the central bankers in these countries. This understanding is the foundation on which healthy global economic development must be built.</w:t>
      </w:r>
    </w:p>
    <w:p w:rsidR="003C6F2F" w:rsidRPr="007F3060" w:rsidRDefault="003C6F2F" w:rsidP="00C802F3">
      <w:pPr>
        <w:widowControl/>
        <w:spacing w:before="240" w:after="120" w:line="440" w:lineRule="atLeast"/>
        <w:rPr>
          <w:rFonts w:ascii="Times New Roman" w:eastAsia="新細明體" w:hAnsi="Times New Roman" w:cs="Times New Roman"/>
          <w:b/>
          <w:spacing w:val="-6"/>
          <w:kern w:val="0"/>
          <w:sz w:val="29"/>
          <w:szCs w:val="29"/>
          <w:lang w:val="en-GB"/>
        </w:rPr>
      </w:pPr>
      <w:r w:rsidRPr="007F3060">
        <w:rPr>
          <w:rFonts w:ascii="Times New Roman" w:eastAsia="新細明體" w:hAnsi="Times New Roman" w:cs="Times New Roman"/>
          <w:b/>
          <w:i/>
          <w:iCs/>
          <w:spacing w:val="-6"/>
          <w:kern w:val="0"/>
          <w:sz w:val="29"/>
          <w:szCs w:val="29"/>
          <w:lang w:val="en-GB"/>
        </w:rPr>
        <w:t>Fai-nan Perng is governor of the Central Bank of the Republic of China</w:t>
      </w:r>
      <w:r w:rsidRPr="007F3060">
        <w:rPr>
          <w:rFonts w:ascii="Times New Roman" w:eastAsia="新細明體" w:hAnsi="Times New Roman" w:cs="Times New Roman"/>
          <w:i/>
          <w:iCs/>
          <w:spacing w:val="-6"/>
          <w:kern w:val="0"/>
          <w:sz w:val="29"/>
          <w:szCs w:val="29"/>
          <w:lang w:val="en-GB"/>
        </w:rPr>
        <w:t xml:space="preserve"> </w:t>
      </w:r>
      <w:r w:rsidRPr="007F3060">
        <w:rPr>
          <w:rFonts w:ascii="Times New Roman" w:eastAsia="新細明體" w:hAnsi="Times New Roman" w:cs="Times New Roman"/>
          <w:b/>
          <w:i/>
          <w:iCs/>
          <w:spacing w:val="-6"/>
          <w:kern w:val="0"/>
          <w:sz w:val="29"/>
          <w:szCs w:val="29"/>
          <w:lang w:val="en-GB"/>
        </w:rPr>
        <w:t>(Taiwan).</w:t>
      </w:r>
    </w:p>
    <w:p w:rsidR="003C6F2F" w:rsidRPr="003C6F2F" w:rsidRDefault="003C6F2F">
      <w:pPr>
        <w:rPr>
          <w:lang w:val="en-GB"/>
        </w:rPr>
      </w:pPr>
    </w:p>
    <w:sectPr w:rsidR="003C6F2F" w:rsidRPr="003C6F2F" w:rsidSect="00C802F3">
      <w:footerReference w:type="default" r:id="rId11"/>
      <w:pgSz w:w="11906" w:h="16838"/>
      <w:pgMar w:top="1191" w:right="1247" w:bottom="1361" w:left="1418" w:header="851" w:footer="68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7C2" w:rsidRDefault="001537C2" w:rsidP="003C6F2F">
      <w:r>
        <w:separator/>
      </w:r>
    </w:p>
  </w:endnote>
  <w:endnote w:type="continuationSeparator" w:id="0">
    <w:p w:rsidR="001537C2" w:rsidRDefault="001537C2" w:rsidP="003C6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2291777"/>
      <w:docPartObj>
        <w:docPartGallery w:val="Page Numbers (Bottom of Page)"/>
        <w:docPartUnique/>
      </w:docPartObj>
    </w:sdtPr>
    <w:sdtEndPr/>
    <w:sdtContent>
      <w:p w:rsidR="003C6F2F" w:rsidRDefault="003C6F2F">
        <w:pPr>
          <w:pStyle w:val="a8"/>
          <w:jc w:val="center"/>
        </w:pPr>
        <w:r>
          <w:fldChar w:fldCharType="begin"/>
        </w:r>
        <w:r>
          <w:instrText>PAGE   \* MERGEFORMAT</w:instrText>
        </w:r>
        <w:r>
          <w:fldChar w:fldCharType="separate"/>
        </w:r>
        <w:r w:rsidR="00B874CA" w:rsidRPr="00B874CA">
          <w:rPr>
            <w:noProof/>
            <w:lang w:val="zh-TW"/>
          </w:rPr>
          <w:t>1</w:t>
        </w:r>
        <w:r>
          <w:fldChar w:fldCharType="end"/>
        </w:r>
      </w:p>
    </w:sdtContent>
  </w:sdt>
  <w:p w:rsidR="003C6F2F" w:rsidRDefault="003C6F2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7C2" w:rsidRDefault="001537C2" w:rsidP="003C6F2F">
      <w:r>
        <w:separator/>
      </w:r>
    </w:p>
  </w:footnote>
  <w:footnote w:type="continuationSeparator" w:id="0">
    <w:p w:rsidR="001537C2" w:rsidRDefault="001537C2" w:rsidP="003C6F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nsid w:val="520B41AF"/>
    <w:multiLevelType w:val="multilevel"/>
    <w:tmpl w:val="564E6022"/>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F2F"/>
    <w:rsid w:val="000317F5"/>
    <w:rsid w:val="00084D32"/>
    <w:rsid w:val="001214A3"/>
    <w:rsid w:val="001537C2"/>
    <w:rsid w:val="00202608"/>
    <w:rsid w:val="003C6F2F"/>
    <w:rsid w:val="00561A9E"/>
    <w:rsid w:val="005C6CFF"/>
    <w:rsid w:val="00674398"/>
    <w:rsid w:val="007C3B56"/>
    <w:rsid w:val="007F3060"/>
    <w:rsid w:val="00B202E8"/>
    <w:rsid w:val="00B874CA"/>
    <w:rsid w:val="00C802F3"/>
    <w:rsid w:val="00DE23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2">
    <w:name w:val="heading 2"/>
    <w:basedOn w:val="a"/>
    <w:link w:val="20"/>
    <w:uiPriority w:val="9"/>
    <w:qFormat/>
    <w:rsid w:val="003C6F2F"/>
    <w:pPr>
      <w:widowControl/>
      <w:spacing w:after="120"/>
      <w:outlineLvl w:val="1"/>
    </w:pPr>
    <w:rPr>
      <w:rFonts w:ascii="Arial" w:eastAsia="新細明體" w:hAnsi="Arial" w:cs="Arial"/>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6F2F"/>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C6F2F"/>
    <w:rPr>
      <w:rFonts w:asciiTheme="majorHAnsi" w:eastAsiaTheme="majorEastAsia" w:hAnsiTheme="majorHAnsi" w:cstheme="majorBidi"/>
      <w:sz w:val="18"/>
      <w:szCs w:val="18"/>
    </w:rPr>
  </w:style>
  <w:style w:type="character" w:customStyle="1" w:styleId="author">
    <w:name w:val="author"/>
    <w:basedOn w:val="a0"/>
    <w:rsid w:val="003C6F2F"/>
  </w:style>
  <w:style w:type="character" w:customStyle="1" w:styleId="1">
    <w:name w:val="日期1"/>
    <w:basedOn w:val="a0"/>
    <w:rsid w:val="003C6F2F"/>
  </w:style>
  <w:style w:type="character" w:customStyle="1" w:styleId="comments2">
    <w:name w:val="comments2"/>
    <w:basedOn w:val="a0"/>
    <w:rsid w:val="003C6F2F"/>
    <w:rPr>
      <w:color w:val="777777"/>
    </w:rPr>
  </w:style>
  <w:style w:type="table" w:styleId="a5">
    <w:name w:val="Table Grid"/>
    <w:basedOn w:val="a1"/>
    <w:uiPriority w:val="59"/>
    <w:rsid w:val="003C6F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basedOn w:val="a0"/>
    <w:link w:val="2"/>
    <w:uiPriority w:val="9"/>
    <w:rsid w:val="003C6F2F"/>
    <w:rPr>
      <w:rFonts w:ascii="Arial" w:eastAsia="新細明體" w:hAnsi="Arial" w:cs="Arial"/>
      <w:kern w:val="0"/>
      <w:sz w:val="32"/>
      <w:szCs w:val="32"/>
    </w:rPr>
  </w:style>
  <w:style w:type="paragraph" w:styleId="Web">
    <w:name w:val="Normal (Web)"/>
    <w:basedOn w:val="a"/>
    <w:uiPriority w:val="99"/>
    <w:semiHidden/>
    <w:unhideWhenUsed/>
    <w:rsid w:val="003C6F2F"/>
    <w:pPr>
      <w:widowControl/>
      <w:spacing w:before="120" w:after="120" w:line="270" w:lineRule="atLeast"/>
    </w:pPr>
    <w:rPr>
      <w:rFonts w:ascii="新細明體" w:eastAsia="新細明體" w:hAnsi="新細明體" w:cs="新細明體"/>
      <w:kern w:val="0"/>
      <w:szCs w:val="24"/>
    </w:rPr>
  </w:style>
  <w:style w:type="paragraph" w:styleId="a6">
    <w:name w:val="header"/>
    <w:basedOn w:val="a"/>
    <w:link w:val="a7"/>
    <w:uiPriority w:val="99"/>
    <w:unhideWhenUsed/>
    <w:rsid w:val="003C6F2F"/>
    <w:pPr>
      <w:tabs>
        <w:tab w:val="center" w:pos="4153"/>
        <w:tab w:val="right" w:pos="8306"/>
      </w:tabs>
      <w:snapToGrid w:val="0"/>
    </w:pPr>
    <w:rPr>
      <w:sz w:val="20"/>
      <w:szCs w:val="20"/>
    </w:rPr>
  </w:style>
  <w:style w:type="character" w:customStyle="1" w:styleId="a7">
    <w:name w:val="頁首 字元"/>
    <w:basedOn w:val="a0"/>
    <w:link w:val="a6"/>
    <w:uiPriority w:val="99"/>
    <w:rsid w:val="003C6F2F"/>
    <w:rPr>
      <w:sz w:val="20"/>
      <w:szCs w:val="20"/>
    </w:rPr>
  </w:style>
  <w:style w:type="paragraph" w:styleId="a8">
    <w:name w:val="footer"/>
    <w:basedOn w:val="a"/>
    <w:link w:val="a9"/>
    <w:uiPriority w:val="99"/>
    <w:unhideWhenUsed/>
    <w:rsid w:val="003C6F2F"/>
    <w:pPr>
      <w:tabs>
        <w:tab w:val="center" w:pos="4153"/>
        <w:tab w:val="right" w:pos="8306"/>
      </w:tabs>
      <w:snapToGrid w:val="0"/>
    </w:pPr>
    <w:rPr>
      <w:sz w:val="20"/>
      <w:szCs w:val="20"/>
    </w:rPr>
  </w:style>
  <w:style w:type="character" w:customStyle="1" w:styleId="a9">
    <w:name w:val="頁尾 字元"/>
    <w:basedOn w:val="a0"/>
    <w:link w:val="a8"/>
    <w:uiPriority w:val="99"/>
    <w:rsid w:val="003C6F2F"/>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2">
    <w:name w:val="heading 2"/>
    <w:basedOn w:val="a"/>
    <w:link w:val="20"/>
    <w:uiPriority w:val="9"/>
    <w:qFormat/>
    <w:rsid w:val="003C6F2F"/>
    <w:pPr>
      <w:widowControl/>
      <w:spacing w:after="120"/>
      <w:outlineLvl w:val="1"/>
    </w:pPr>
    <w:rPr>
      <w:rFonts w:ascii="Arial" w:eastAsia="新細明體" w:hAnsi="Arial" w:cs="Arial"/>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6F2F"/>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C6F2F"/>
    <w:rPr>
      <w:rFonts w:asciiTheme="majorHAnsi" w:eastAsiaTheme="majorEastAsia" w:hAnsiTheme="majorHAnsi" w:cstheme="majorBidi"/>
      <w:sz w:val="18"/>
      <w:szCs w:val="18"/>
    </w:rPr>
  </w:style>
  <w:style w:type="character" w:customStyle="1" w:styleId="author">
    <w:name w:val="author"/>
    <w:basedOn w:val="a0"/>
    <w:rsid w:val="003C6F2F"/>
  </w:style>
  <w:style w:type="character" w:customStyle="1" w:styleId="1">
    <w:name w:val="日期1"/>
    <w:basedOn w:val="a0"/>
    <w:rsid w:val="003C6F2F"/>
  </w:style>
  <w:style w:type="character" w:customStyle="1" w:styleId="comments2">
    <w:name w:val="comments2"/>
    <w:basedOn w:val="a0"/>
    <w:rsid w:val="003C6F2F"/>
    <w:rPr>
      <w:color w:val="777777"/>
    </w:rPr>
  </w:style>
  <w:style w:type="table" w:styleId="a5">
    <w:name w:val="Table Grid"/>
    <w:basedOn w:val="a1"/>
    <w:uiPriority w:val="59"/>
    <w:rsid w:val="003C6F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basedOn w:val="a0"/>
    <w:link w:val="2"/>
    <w:uiPriority w:val="9"/>
    <w:rsid w:val="003C6F2F"/>
    <w:rPr>
      <w:rFonts w:ascii="Arial" w:eastAsia="新細明體" w:hAnsi="Arial" w:cs="Arial"/>
      <w:kern w:val="0"/>
      <w:sz w:val="32"/>
      <w:szCs w:val="32"/>
    </w:rPr>
  </w:style>
  <w:style w:type="paragraph" w:styleId="Web">
    <w:name w:val="Normal (Web)"/>
    <w:basedOn w:val="a"/>
    <w:uiPriority w:val="99"/>
    <w:semiHidden/>
    <w:unhideWhenUsed/>
    <w:rsid w:val="003C6F2F"/>
    <w:pPr>
      <w:widowControl/>
      <w:spacing w:before="120" w:after="120" w:line="270" w:lineRule="atLeast"/>
    </w:pPr>
    <w:rPr>
      <w:rFonts w:ascii="新細明體" w:eastAsia="新細明體" w:hAnsi="新細明體" w:cs="新細明體"/>
      <w:kern w:val="0"/>
      <w:szCs w:val="24"/>
    </w:rPr>
  </w:style>
  <w:style w:type="paragraph" w:styleId="a6">
    <w:name w:val="header"/>
    <w:basedOn w:val="a"/>
    <w:link w:val="a7"/>
    <w:uiPriority w:val="99"/>
    <w:unhideWhenUsed/>
    <w:rsid w:val="003C6F2F"/>
    <w:pPr>
      <w:tabs>
        <w:tab w:val="center" w:pos="4153"/>
        <w:tab w:val="right" w:pos="8306"/>
      </w:tabs>
      <w:snapToGrid w:val="0"/>
    </w:pPr>
    <w:rPr>
      <w:sz w:val="20"/>
      <w:szCs w:val="20"/>
    </w:rPr>
  </w:style>
  <w:style w:type="character" w:customStyle="1" w:styleId="a7">
    <w:name w:val="頁首 字元"/>
    <w:basedOn w:val="a0"/>
    <w:link w:val="a6"/>
    <w:uiPriority w:val="99"/>
    <w:rsid w:val="003C6F2F"/>
    <w:rPr>
      <w:sz w:val="20"/>
      <w:szCs w:val="20"/>
    </w:rPr>
  </w:style>
  <w:style w:type="paragraph" w:styleId="a8">
    <w:name w:val="footer"/>
    <w:basedOn w:val="a"/>
    <w:link w:val="a9"/>
    <w:uiPriority w:val="99"/>
    <w:unhideWhenUsed/>
    <w:rsid w:val="003C6F2F"/>
    <w:pPr>
      <w:tabs>
        <w:tab w:val="center" w:pos="4153"/>
        <w:tab w:val="right" w:pos="8306"/>
      </w:tabs>
      <w:snapToGrid w:val="0"/>
    </w:pPr>
    <w:rPr>
      <w:sz w:val="20"/>
      <w:szCs w:val="20"/>
    </w:rPr>
  </w:style>
  <w:style w:type="character" w:customStyle="1" w:styleId="a9">
    <w:name w:val="頁尾 字元"/>
    <w:basedOn w:val="a0"/>
    <w:link w:val="a8"/>
    <w:uiPriority w:val="99"/>
    <w:rsid w:val="003C6F2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534286">
      <w:bodyDiv w:val="1"/>
      <w:marLeft w:val="0"/>
      <w:marRight w:val="0"/>
      <w:marTop w:val="0"/>
      <w:marBottom w:val="0"/>
      <w:divBdr>
        <w:top w:val="none" w:sz="0" w:space="0" w:color="auto"/>
        <w:left w:val="none" w:sz="0" w:space="0" w:color="auto"/>
        <w:bottom w:val="none" w:sz="0" w:space="0" w:color="auto"/>
        <w:right w:val="none" w:sz="0" w:space="0" w:color="auto"/>
      </w:divBdr>
      <w:divsChild>
        <w:div w:id="1657756286">
          <w:marLeft w:val="0"/>
          <w:marRight w:val="0"/>
          <w:marTop w:val="300"/>
          <w:marBottom w:val="0"/>
          <w:divBdr>
            <w:top w:val="none" w:sz="0" w:space="0" w:color="auto"/>
            <w:left w:val="none" w:sz="0" w:space="0" w:color="auto"/>
            <w:bottom w:val="none" w:sz="0" w:space="0" w:color="auto"/>
            <w:right w:val="none" w:sz="0" w:space="0" w:color="auto"/>
          </w:divBdr>
          <w:divsChild>
            <w:div w:id="81071825">
              <w:marLeft w:val="0"/>
              <w:marRight w:val="0"/>
              <w:marTop w:val="0"/>
              <w:marBottom w:val="0"/>
              <w:divBdr>
                <w:top w:val="none" w:sz="0" w:space="0" w:color="auto"/>
                <w:left w:val="none" w:sz="0" w:space="0" w:color="auto"/>
                <w:bottom w:val="none" w:sz="0" w:space="0" w:color="auto"/>
                <w:right w:val="none" w:sz="0" w:space="0" w:color="auto"/>
              </w:divBdr>
              <w:divsChild>
                <w:div w:id="639648139">
                  <w:marLeft w:val="0"/>
                  <w:marRight w:val="0"/>
                  <w:marTop w:val="0"/>
                  <w:marBottom w:val="0"/>
                  <w:divBdr>
                    <w:top w:val="none" w:sz="0" w:space="0" w:color="auto"/>
                    <w:left w:val="none" w:sz="0" w:space="0" w:color="auto"/>
                    <w:bottom w:val="none" w:sz="0" w:space="0" w:color="auto"/>
                    <w:right w:val="none" w:sz="0" w:space="0" w:color="auto"/>
                  </w:divBdr>
                  <w:divsChild>
                    <w:div w:id="683557970">
                      <w:marLeft w:val="0"/>
                      <w:marRight w:val="0"/>
                      <w:marTop w:val="0"/>
                      <w:marBottom w:val="0"/>
                      <w:divBdr>
                        <w:top w:val="none" w:sz="0" w:space="0" w:color="auto"/>
                        <w:left w:val="none" w:sz="0" w:space="0" w:color="auto"/>
                        <w:bottom w:val="none" w:sz="0" w:space="0" w:color="auto"/>
                        <w:right w:val="none" w:sz="0" w:space="0" w:color="auto"/>
                      </w:divBdr>
                      <w:divsChild>
                        <w:div w:id="509098853">
                          <w:marLeft w:val="0"/>
                          <w:marRight w:val="0"/>
                          <w:marTop w:val="0"/>
                          <w:marBottom w:val="0"/>
                          <w:divBdr>
                            <w:top w:val="none" w:sz="0" w:space="0" w:color="auto"/>
                            <w:left w:val="none" w:sz="0" w:space="0" w:color="auto"/>
                            <w:bottom w:val="none" w:sz="0" w:space="0" w:color="auto"/>
                            <w:right w:val="none" w:sz="0" w:space="0" w:color="auto"/>
                          </w:divBdr>
                          <w:divsChild>
                            <w:div w:id="79254351">
                              <w:marLeft w:val="0"/>
                              <w:marRight w:val="0"/>
                              <w:marTop w:val="0"/>
                              <w:marBottom w:val="0"/>
                              <w:divBdr>
                                <w:top w:val="none" w:sz="0" w:space="0" w:color="auto"/>
                                <w:left w:val="none" w:sz="0" w:space="0" w:color="auto"/>
                                <w:bottom w:val="none" w:sz="0" w:space="0" w:color="auto"/>
                                <w:right w:val="none" w:sz="0" w:space="0" w:color="auto"/>
                              </w:divBdr>
                              <w:divsChild>
                                <w:div w:id="254098923">
                                  <w:marLeft w:val="-2400"/>
                                  <w:marRight w:val="0"/>
                                  <w:marTop w:val="0"/>
                                  <w:marBottom w:val="0"/>
                                  <w:divBdr>
                                    <w:top w:val="none" w:sz="0" w:space="0" w:color="auto"/>
                                    <w:left w:val="none" w:sz="0" w:space="0" w:color="auto"/>
                                    <w:bottom w:val="none" w:sz="0" w:space="0" w:color="auto"/>
                                    <w:right w:val="none" w:sz="0" w:space="0" w:color="auto"/>
                                  </w:divBdr>
                                  <w:divsChild>
                                    <w:div w:id="1322002128">
                                      <w:marLeft w:val="0"/>
                                      <w:marRight w:val="0"/>
                                      <w:marTop w:val="0"/>
                                      <w:marBottom w:val="0"/>
                                      <w:divBdr>
                                        <w:top w:val="none" w:sz="0" w:space="0" w:color="auto"/>
                                        <w:left w:val="none" w:sz="0" w:space="0" w:color="auto"/>
                                        <w:bottom w:val="none" w:sz="0" w:space="0" w:color="auto"/>
                                        <w:right w:val="none" w:sz="0" w:space="0" w:color="auto"/>
                                      </w:divBdr>
                                      <w:divsChild>
                                        <w:div w:id="1257060498">
                                          <w:marLeft w:val="0"/>
                                          <w:marRight w:val="0"/>
                                          <w:marTop w:val="0"/>
                                          <w:marBottom w:val="0"/>
                                          <w:divBdr>
                                            <w:top w:val="none" w:sz="0" w:space="0" w:color="auto"/>
                                            <w:left w:val="none" w:sz="0" w:space="0" w:color="auto"/>
                                            <w:bottom w:val="none" w:sz="0" w:space="0" w:color="auto"/>
                                            <w:right w:val="none" w:sz="0" w:space="0" w:color="auto"/>
                                          </w:divBdr>
                                          <w:divsChild>
                                            <w:div w:id="115947302">
                                              <w:marLeft w:val="0"/>
                                              <w:marRight w:val="0"/>
                                              <w:marTop w:val="0"/>
                                              <w:marBottom w:val="0"/>
                                              <w:divBdr>
                                                <w:top w:val="none" w:sz="0" w:space="0" w:color="auto"/>
                                                <w:left w:val="none" w:sz="0" w:space="0" w:color="auto"/>
                                                <w:bottom w:val="none" w:sz="0" w:space="0" w:color="auto"/>
                                                <w:right w:val="none" w:sz="0" w:space="0" w:color="auto"/>
                                              </w:divBdr>
                                              <w:divsChild>
                                                <w:div w:id="925384275">
                                                  <w:marLeft w:val="0"/>
                                                  <w:marRight w:val="0"/>
                                                  <w:marTop w:val="0"/>
                                                  <w:marBottom w:val="0"/>
                                                  <w:divBdr>
                                                    <w:top w:val="none" w:sz="0" w:space="0" w:color="auto"/>
                                                    <w:left w:val="none" w:sz="0" w:space="0" w:color="auto"/>
                                                    <w:bottom w:val="none" w:sz="0" w:space="0" w:color="auto"/>
                                                    <w:right w:val="none" w:sz="0" w:space="0" w:color="auto"/>
                                                  </w:divBdr>
                                                  <w:divsChild>
                                                    <w:div w:id="709455681">
                                                      <w:marLeft w:val="0"/>
                                                      <w:marRight w:val="0"/>
                                                      <w:marTop w:val="0"/>
                                                      <w:marBottom w:val="0"/>
                                                      <w:divBdr>
                                                        <w:top w:val="none" w:sz="0" w:space="0" w:color="auto"/>
                                                        <w:left w:val="none" w:sz="0" w:space="0" w:color="auto"/>
                                                        <w:bottom w:val="none" w:sz="0" w:space="0" w:color="auto"/>
                                                        <w:right w:val="none" w:sz="0" w:space="0" w:color="auto"/>
                                                      </w:divBdr>
                                                      <w:divsChild>
                                                        <w:div w:id="247467370">
                                                          <w:marLeft w:val="0"/>
                                                          <w:marRight w:val="0"/>
                                                          <w:marTop w:val="0"/>
                                                          <w:marBottom w:val="0"/>
                                                          <w:divBdr>
                                                            <w:top w:val="none" w:sz="0" w:space="0" w:color="auto"/>
                                                            <w:left w:val="none" w:sz="0" w:space="0" w:color="auto"/>
                                                            <w:bottom w:val="none" w:sz="0" w:space="0" w:color="auto"/>
                                                            <w:right w:val="none" w:sz="0" w:space="0" w:color="auto"/>
                                                          </w:divBdr>
                                                          <w:divsChild>
                                                            <w:div w:id="856456813">
                                                              <w:marLeft w:val="0"/>
                                                              <w:marRight w:val="0"/>
                                                              <w:marTop w:val="0"/>
                                                              <w:marBottom w:val="0"/>
                                                              <w:divBdr>
                                                                <w:top w:val="none" w:sz="0" w:space="0" w:color="auto"/>
                                                                <w:left w:val="none" w:sz="0" w:space="0" w:color="auto"/>
                                                                <w:bottom w:val="none" w:sz="0" w:space="0" w:color="auto"/>
                                                                <w:right w:val="none" w:sz="0" w:space="0" w:color="auto"/>
                                                              </w:divBdr>
                                                            </w:div>
                                                            <w:div w:id="65479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82225532">
      <w:bodyDiv w:val="1"/>
      <w:marLeft w:val="0"/>
      <w:marRight w:val="0"/>
      <w:marTop w:val="0"/>
      <w:marBottom w:val="0"/>
      <w:divBdr>
        <w:top w:val="none" w:sz="0" w:space="0" w:color="auto"/>
        <w:left w:val="none" w:sz="0" w:space="0" w:color="auto"/>
        <w:bottom w:val="none" w:sz="0" w:space="0" w:color="auto"/>
        <w:right w:val="none" w:sz="0" w:space="0" w:color="auto"/>
      </w:divBdr>
      <w:divsChild>
        <w:div w:id="1803842117">
          <w:marLeft w:val="0"/>
          <w:marRight w:val="0"/>
          <w:marTop w:val="300"/>
          <w:marBottom w:val="0"/>
          <w:divBdr>
            <w:top w:val="none" w:sz="0" w:space="0" w:color="auto"/>
            <w:left w:val="none" w:sz="0" w:space="0" w:color="auto"/>
            <w:bottom w:val="none" w:sz="0" w:space="0" w:color="auto"/>
            <w:right w:val="none" w:sz="0" w:space="0" w:color="auto"/>
          </w:divBdr>
          <w:divsChild>
            <w:div w:id="628785047">
              <w:marLeft w:val="0"/>
              <w:marRight w:val="0"/>
              <w:marTop w:val="0"/>
              <w:marBottom w:val="0"/>
              <w:divBdr>
                <w:top w:val="none" w:sz="0" w:space="0" w:color="auto"/>
                <w:left w:val="none" w:sz="0" w:space="0" w:color="auto"/>
                <w:bottom w:val="none" w:sz="0" w:space="0" w:color="auto"/>
                <w:right w:val="none" w:sz="0" w:space="0" w:color="auto"/>
              </w:divBdr>
              <w:divsChild>
                <w:div w:id="1504009897">
                  <w:marLeft w:val="0"/>
                  <w:marRight w:val="0"/>
                  <w:marTop w:val="0"/>
                  <w:marBottom w:val="0"/>
                  <w:divBdr>
                    <w:top w:val="none" w:sz="0" w:space="0" w:color="auto"/>
                    <w:left w:val="none" w:sz="0" w:space="0" w:color="auto"/>
                    <w:bottom w:val="none" w:sz="0" w:space="0" w:color="auto"/>
                    <w:right w:val="none" w:sz="0" w:space="0" w:color="auto"/>
                  </w:divBdr>
                  <w:divsChild>
                    <w:div w:id="655645147">
                      <w:marLeft w:val="0"/>
                      <w:marRight w:val="0"/>
                      <w:marTop w:val="0"/>
                      <w:marBottom w:val="0"/>
                      <w:divBdr>
                        <w:top w:val="none" w:sz="0" w:space="0" w:color="auto"/>
                        <w:left w:val="none" w:sz="0" w:space="0" w:color="auto"/>
                        <w:bottom w:val="none" w:sz="0" w:space="0" w:color="auto"/>
                        <w:right w:val="none" w:sz="0" w:space="0" w:color="auto"/>
                      </w:divBdr>
                      <w:divsChild>
                        <w:div w:id="626666543">
                          <w:marLeft w:val="0"/>
                          <w:marRight w:val="0"/>
                          <w:marTop w:val="0"/>
                          <w:marBottom w:val="0"/>
                          <w:divBdr>
                            <w:top w:val="none" w:sz="0" w:space="0" w:color="auto"/>
                            <w:left w:val="none" w:sz="0" w:space="0" w:color="auto"/>
                            <w:bottom w:val="none" w:sz="0" w:space="0" w:color="auto"/>
                            <w:right w:val="none" w:sz="0" w:space="0" w:color="auto"/>
                          </w:divBdr>
                          <w:divsChild>
                            <w:div w:id="970137403">
                              <w:marLeft w:val="0"/>
                              <w:marRight w:val="0"/>
                              <w:marTop w:val="0"/>
                              <w:marBottom w:val="0"/>
                              <w:divBdr>
                                <w:top w:val="none" w:sz="0" w:space="0" w:color="auto"/>
                                <w:left w:val="none" w:sz="0" w:space="0" w:color="auto"/>
                                <w:bottom w:val="none" w:sz="0" w:space="0" w:color="auto"/>
                                <w:right w:val="none" w:sz="0" w:space="0" w:color="auto"/>
                              </w:divBdr>
                              <w:divsChild>
                                <w:div w:id="1887178347">
                                  <w:marLeft w:val="-2400"/>
                                  <w:marRight w:val="0"/>
                                  <w:marTop w:val="0"/>
                                  <w:marBottom w:val="0"/>
                                  <w:divBdr>
                                    <w:top w:val="none" w:sz="0" w:space="0" w:color="auto"/>
                                    <w:left w:val="none" w:sz="0" w:space="0" w:color="auto"/>
                                    <w:bottom w:val="none" w:sz="0" w:space="0" w:color="auto"/>
                                    <w:right w:val="none" w:sz="0" w:space="0" w:color="auto"/>
                                  </w:divBdr>
                                  <w:divsChild>
                                    <w:div w:id="1615594776">
                                      <w:marLeft w:val="0"/>
                                      <w:marRight w:val="0"/>
                                      <w:marTop w:val="0"/>
                                      <w:marBottom w:val="0"/>
                                      <w:divBdr>
                                        <w:top w:val="none" w:sz="0" w:space="0" w:color="auto"/>
                                        <w:left w:val="none" w:sz="0" w:space="0" w:color="auto"/>
                                        <w:bottom w:val="none" w:sz="0" w:space="0" w:color="auto"/>
                                        <w:right w:val="none" w:sz="0" w:space="0" w:color="auto"/>
                                      </w:divBdr>
                                      <w:divsChild>
                                        <w:div w:id="134571895">
                                          <w:marLeft w:val="0"/>
                                          <w:marRight w:val="0"/>
                                          <w:marTop w:val="0"/>
                                          <w:marBottom w:val="0"/>
                                          <w:divBdr>
                                            <w:top w:val="none" w:sz="0" w:space="0" w:color="auto"/>
                                            <w:left w:val="none" w:sz="0" w:space="0" w:color="auto"/>
                                            <w:bottom w:val="none" w:sz="0" w:space="0" w:color="auto"/>
                                            <w:right w:val="none" w:sz="0" w:space="0" w:color="auto"/>
                                          </w:divBdr>
                                          <w:divsChild>
                                            <w:div w:id="1886257849">
                                              <w:marLeft w:val="0"/>
                                              <w:marRight w:val="0"/>
                                              <w:marTop w:val="0"/>
                                              <w:marBottom w:val="0"/>
                                              <w:divBdr>
                                                <w:top w:val="none" w:sz="0" w:space="0" w:color="auto"/>
                                                <w:left w:val="none" w:sz="0" w:space="0" w:color="auto"/>
                                                <w:bottom w:val="none" w:sz="0" w:space="0" w:color="auto"/>
                                                <w:right w:val="none" w:sz="0" w:space="0" w:color="auto"/>
                                              </w:divBdr>
                                              <w:divsChild>
                                                <w:div w:id="1239557332">
                                                  <w:marLeft w:val="0"/>
                                                  <w:marRight w:val="0"/>
                                                  <w:marTop w:val="75"/>
                                                  <w:marBottom w:val="0"/>
                                                  <w:divBdr>
                                                    <w:top w:val="none" w:sz="0" w:space="0" w:color="auto"/>
                                                    <w:left w:val="none" w:sz="0" w:space="0" w:color="auto"/>
                                                    <w:bottom w:val="none" w:sz="0" w:space="0" w:color="auto"/>
                                                    <w:right w:val="none" w:sz="0" w:space="0" w:color="auto"/>
                                                  </w:divBdr>
                                                </w:div>
                                                <w:div w:id="284698086">
                                                  <w:marLeft w:val="0"/>
                                                  <w:marRight w:val="0"/>
                                                  <w:marTop w:val="0"/>
                                                  <w:marBottom w:val="0"/>
                                                  <w:divBdr>
                                                    <w:top w:val="none" w:sz="0" w:space="0" w:color="auto"/>
                                                    <w:left w:val="none" w:sz="0" w:space="0" w:color="auto"/>
                                                    <w:bottom w:val="none" w:sz="0" w:space="0" w:color="auto"/>
                                                    <w:right w:val="none" w:sz="0" w:space="0" w:color="auto"/>
                                                  </w:divBdr>
                                                  <w:divsChild>
                                                    <w:div w:id="159601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www.thebanker.com/ftauthor/view/Fai-nan+Perng"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1334</Words>
  <Characters>7606</Characters>
  <Application>Microsoft Office Word</Application>
  <DocSecurity>0</DocSecurity>
  <Lines>63</Lines>
  <Paragraphs>17</Paragraphs>
  <ScaleCrop>false</ScaleCrop>
  <Company>CBC</Company>
  <LinksUpToDate>false</LinksUpToDate>
  <CharactersWithSpaces>8923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蔡烱民</dc:creator>
  <cp:lastModifiedBy>梁建菁</cp:lastModifiedBy>
  <cp:revision>2</cp:revision>
  <cp:lastPrinted>2015-05-05T02:46:00Z</cp:lastPrinted>
  <dcterms:created xsi:type="dcterms:W3CDTF">2015-05-26T08:56:00Z</dcterms:created>
  <dcterms:modified xsi:type="dcterms:W3CDTF">2015-05-26T08:56:00Z</dcterms:modified>
</cp:coreProperties>
</file>