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0391" w:rsidRPr="001F7804" w:rsidRDefault="00440391" w:rsidP="0089672C">
      <w:pPr>
        <w:spacing w:line="560" w:lineRule="exact"/>
        <w:ind w:rightChars="10" w:right="24"/>
        <w:jc w:val="center"/>
        <w:rPr>
          <w:rFonts w:ascii="標楷體" w:eastAsia="標楷體" w:hAnsi="標楷體"/>
          <w:b/>
          <w:bCs/>
          <w:sz w:val="28"/>
        </w:rPr>
      </w:pPr>
      <w:r>
        <w:rPr>
          <w:rFonts w:ascii="標楷體" w:eastAsia="標楷體" w:hAnsi="標楷體" w:hint="eastAsia"/>
          <w:b/>
          <w:bCs/>
          <w:sz w:val="28"/>
        </w:rPr>
        <w:t>銀行業</w:t>
      </w:r>
      <w:r w:rsidRPr="001F7804">
        <w:rPr>
          <w:rFonts w:ascii="標楷體" w:eastAsia="標楷體" w:hAnsi="標楷體" w:hint="eastAsia"/>
          <w:b/>
          <w:bCs/>
          <w:sz w:val="28"/>
        </w:rPr>
        <w:t>輔導客戶申報外匯收支或交易應注意事項</w:t>
      </w:r>
      <w:r w:rsidR="00B9005D">
        <w:rPr>
          <w:rFonts w:ascii="標楷體" w:eastAsia="標楷體" w:hAnsi="標楷體" w:hint="eastAsia"/>
          <w:b/>
          <w:bCs/>
          <w:sz w:val="28"/>
        </w:rPr>
        <w:t>第二十七點、第二十八點、第二十九點及第二十四點附表四</w:t>
      </w:r>
      <w:r w:rsidR="0089672C">
        <w:rPr>
          <w:rFonts w:ascii="標楷體" w:eastAsia="標楷體" w:hAnsi="標楷體" w:hint="eastAsia"/>
          <w:b/>
          <w:bCs/>
          <w:sz w:val="28"/>
        </w:rPr>
        <w:t>與</w:t>
      </w:r>
      <w:bookmarkStart w:id="0" w:name="_GoBack"/>
      <w:bookmarkEnd w:id="0"/>
      <w:r w:rsidR="0089672C">
        <w:rPr>
          <w:rFonts w:ascii="標楷體" w:eastAsia="標楷體" w:hAnsi="標楷體" w:hint="eastAsia"/>
          <w:b/>
          <w:bCs/>
          <w:sz w:val="28"/>
        </w:rPr>
        <w:t>附表八</w:t>
      </w:r>
      <w:r w:rsidR="00B9005D">
        <w:rPr>
          <w:rFonts w:ascii="標楷體" w:eastAsia="標楷體" w:hAnsi="標楷體" w:hint="eastAsia"/>
          <w:b/>
          <w:bCs/>
          <w:sz w:val="28"/>
        </w:rPr>
        <w:t>、第二十六點附表十</w:t>
      </w:r>
      <w:r w:rsidR="006B02F6">
        <w:rPr>
          <w:rFonts w:ascii="標楷體" w:eastAsia="標楷體" w:hAnsi="標楷體" w:hint="eastAsia"/>
          <w:b/>
          <w:bCs/>
          <w:sz w:val="28"/>
        </w:rPr>
        <w:t>修正規定</w:t>
      </w:r>
    </w:p>
    <w:p w:rsidR="00440391" w:rsidRPr="00970A42" w:rsidRDefault="00440391" w:rsidP="00B9005D">
      <w:pPr>
        <w:spacing w:line="490" w:lineRule="exact"/>
        <w:ind w:left="1064" w:hanging="1064"/>
        <w:jc w:val="both"/>
        <w:rPr>
          <w:rFonts w:eastAsia="標楷體" w:hAnsi="標楷體"/>
          <w:sz w:val="28"/>
          <w:szCs w:val="20"/>
        </w:rPr>
      </w:pPr>
      <w:r w:rsidRPr="001F7804">
        <w:rPr>
          <w:rFonts w:eastAsia="標楷體" w:hAnsi="標楷體" w:hint="eastAsia"/>
          <w:sz w:val="28"/>
          <w:szCs w:val="20"/>
        </w:rPr>
        <w:t>二十七、</w:t>
      </w:r>
      <w:r w:rsidR="004256F2" w:rsidRPr="004256F2">
        <w:rPr>
          <w:rFonts w:ascii="標楷體" w:eastAsia="標楷體" w:hAnsi="標楷體" w:hint="eastAsia"/>
          <w:sz w:val="28"/>
          <w:szCs w:val="20"/>
        </w:rPr>
        <w:t>銀行業受理公司受託依申報辦法第八條第一項規定辦理新臺幣結匯</w:t>
      </w:r>
      <w:r w:rsidR="0033035E" w:rsidRPr="004256F2">
        <w:rPr>
          <w:rFonts w:ascii="標楷體" w:eastAsia="標楷體" w:hAnsi="標楷體" w:hint="eastAsia"/>
          <w:sz w:val="28"/>
          <w:szCs w:val="28"/>
        </w:rPr>
        <w:t>（</w:t>
      </w:r>
      <w:r w:rsidR="00CA70ED" w:rsidRPr="00970A42">
        <w:rPr>
          <w:rFonts w:ascii="標楷體" w:eastAsia="標楷體" w:hAnsi="標楷體" w:hint="eastAsia"/>
          <w:sz w:val="28"/>
          <w:szCs w:val="32"/>
        </w:rPr>
        <w:t>除本行另有規定外，</w:t>
      </w:r>
      <w:r w:rsidR="0033035E" w:rsidRPr="00970A42">
        <w:rPr>
          <w:rFonts w:ascii="標楷體" w:eastAsia="標楷體" w:hAnsi="標楷體" w:hint="eastAsia"/>
          <w:sz w:val="28"/>
          <w:szCs w:val="28"/>
        </w:rPr>
        <w:t>結匯幣別不含人民幣）</w:t>
      </w:r>
      <w:r w:rsidR="004256F2" w:rsidRPr="00970A42">
        <w:rPr>
          <w:rFonts w:ascii="標楷體" w:eastAsia="標楷體" w:hAnsi="標楷體" w:hint="eastAsia"/>
          <w:sz w:val="28"/>
          <w:szCs w:val="20"/>
        </w:rPr>
        <w:t>並以受託人名義辦理申報時，應分別受託結匯類型，確認下列事項無誤後始得辦理，結匯金額無須查詢，且不計入業者或委託人當年累積結匯金額</w:t>
      </w:r>
      <w:r w:rsidRPr="00970A42">
        <w:rPr>
          <w:rFonts w:eastAsia="標楷體" w:hAnsi="標楷體" w:hint="eastAsia"/>
          <w:sz w:val="28"/>
          <w:szCs w:val="20"/>
        </w:rPr>
        <w:t>：</w:t>
      </w:r>
    </w:p>
    <w:p w:rsidR="00440391" w:rsidRPr="00970A42" w:rsidRDefault="00440391" w:rsidP="00B9005D">
      <w:pPr>
        <w:spacing w:line="490" w:lineRule="exact"/>
        <w:ind w:left="1800" w:hanging="851"/>
        <w:jc w:val="both"/>
        <w:rPr>
          <w:rFonts w:ascii="標楷體" w:eastAsia="標楷體" w:hAnsi="標楷體"/>
          <w:sz w:val="28"/>
        </w:rPr>
      </w:pPr>
      <w:r w:rsidRPr="00970A42">
        <w:rPr>
          <w:rFonts w:ascii="標楷體" w:eastAsia="標楷體" w:hAnsi="標楷體" w:hint="eastAsia"/>
          <w:sz w:val="28"/>
          <w:szCs w:val="20"/>
        </w:rPr>
        <w:t>（一）</w:t>
      </w:r>
      <w:r w:rsidR="0087687E" w:rsidRPr="00970A42">
        <w:rPr>
          <w:rFonts w:ascii="標楷體" w:eastAsia="標楷體" w:hAnsi="標楷體" w:hint="eastAsia"/>
          <w:sz w:val="28"/>
          <w:szCs w:val="20"/>
        </w:rPr>
        <w:t>私立就業服務機構代理</w:t>
      </w:r>
      <w:r w:rsidR="0087687E" w:rsidRPr="00970A42">
        <w:rPr>
          <w:rFonts w:ascii="標楷體" w:eastAsia="標楷體" w:hAnsi="標楷體" w:hint="eastAsia"/>
          <w:sz w:val="28"/>
        </w:rPr>
        <w:t>外籍</w:t>
      </w:r>
      <w:r w:rsidR="0087687E" w:rsidRPr="00970A42">
        <w:rPr>
          <w:rFonts w:ascii="標楷體" w:eastAsia="標楷體" w:hAnsi="標楷體" w:hint="eastAsia"/>
          <w:sz w:val="28"/>
          <w:szCs w:val="20"/>
        </w:rPr>
        <w:t>勞工結匯在</w:t>
      </w:r>
      <w:proofErr w:type="gramStart"/>
      <w:r w:rsidR="0087687E" w:rsidRPr="00970A42">
        <w:rPr>
          <w:rFonts w:ascii="標楷體" w:eastAsia="標楷體" w:hAnsi="標楷體" w:hint="eastAsia"/>
          <w:sz w:val="28"/>
          <w:szCs w:val="20"/>
        </w:rPr>
        <w:t>臺</w:t>
      </w:r>
      <w:proofErr w:type="gramEnd"/>
      <w:r w:rsidR="0087687E" w:rsidRPr="00970A42">
        <w:rPr>
          <w:rFonts w:ascii="標楷體" w:eastAsia="標楷體" w:hAnsi="標楷體" w:hint="eastAsia"/>
          <w:sz w:val="28"/>
          <w:szCs w:val="20"/>
        </w:rPr>
        <w:t>薪資：業者填報之申報書、</w:t>
      </w:r>
      <w:r w:rsidR="001E08E3">
        <w:rPr>
          <w:rFonts w:ascii="標楷體" w:eastAsia="標楷體" w:hAnsi="標楷體" w:hint="eastAsia"/>
          <w:sz w:val="28"/>
        </w:rPr>
        <w:t>勞動部</w:t>
      </w:r>
      <w:r w:rsidR="0087687E" w:rsidRPr="00970A42">
        <w:rPr>
          <w:rFonts w:ascii="標楷體" w:eastAsia="標楷體" w:hAnsi="標楷體" w:hint="eastAsia"/>
          <w:sz w:val="28"/>
        </w:rPr>
        <w:t>核發並在許可有效期間內之私立就業服務機構許可證、最近一次「私立就業服務機構從事跨國人力仲介服務品質評鑑」之證明文件、外籍勞工薪資結匯委託書（如附件五）及代理外籍勞工匯出在</w:t>
      </w:r>
      <w:proofErr w:type="gramStart"/>
      <w:r w:rsidR="0087687E" w:rsidRPr="00970A42">
        <w:rPr>
          <w:rFonts w:ascii="標楷體" w:eastAsia="標楷體" w:hAnsi="標楷體" w:hint="eastAsia"/>
          <w:sz w:val="28"/>
        </w:rPr>
        <w:t>臺</w:t>
      </w:r>
      <w:proofErr w:type="gramEnd"/>
      <w:r w:rsidR="0087687E" w:rsidRPr="00970A42">
        <w:rPr>
          <w:rFonts w:ascii="標楷體" w:eastAsia="標楷體" w:hAnsi="標楷體" w:hint="eastAsia"/>
          <w:sz w:val="28"/>
        </w:rPr>
        <w:t>薪資結匯清單（如附件六）；申報書結匯性質</w:t>
      </w:r>
      <w:proofErr w:type="gramStart"/>
      <w:r w:rsidR="0087687E" w:rsidRPr="00970A42">
        <w:rPr>
          <w:rFonts w:ascii="標楷體" w:eastAsia="標楷體" w:hAnsi="標楷體" w:hint="eastAsia"/>
          <w:sz w:val="28"/>
        </w:rPr>
        <w:t>欄應勾選</w:t>
      </w:r>
      <w:proofErr w:type="gramEnd"/>
      <w:r w:rsidR="0087687E" w:rsidRPr="00970A42">
        <w:rPr>
          <w:rFonts w:ascii="標楷體" w:eastAsia="標楷體" w:hAnsi="標楷體" w:hint="eastAsia"/>
          <w:sz w:val="28"/>
        </w:rPr>
        <w:t>第二項，並填寫結匯性質為「代理外籍勞工結匯在</w:t>
      </w:r>
      <w:proofErr w:type="gramStart"/>
      <w:r w:rsidR="0087687E" w:rsidRPr="00970A42">
        <w:rPr>
          <w:rFonts w:ascii="標楷體" w:eastAsia="標楷體" w:hAnsi="標楷體" w:hint="eastAsia"/>
          <w:sz w:val="28"/>
        </w:rPr>
        <w:t>臺</w:t>
      </w:r>
      <w:proofErr w:type="gramEnd"/>
      <w:r w:rsidR="0087687E" w:rsidRPr="00970A42">
        <w:rPr>
          <w:rFonts w:ascii="標楷體" w:eastAsia="標楷體" w:hAnsi="標楷體" w:hint="eastAsia"/>
          <w:sz w:val="28"/>
        </w:rPr>
        <w:t>薪資」。</w:t>
      </w:r>
    </w:p>
    <w:p w:rsidR="00440391" w:rsidRPr="00970A42" w:rsidRDefault="00440391" w:rsidP="00B9005D">
      <w:pPr>
        <w:spacing w:line="490" w:lineRule="exact"/>
        <w:ind w:left="1800" w:hanging="851"/>
        <w:jc w:val="both"/>
        <w:rPr>
          <w:rFonts w:ascii="標楷體" w:eastAsia="標楷體" w:hAnsi="標楷體"/>
          <w:sz w:val="28"/>
        </w:rPr>
      </w:pPr>
      <w:r w:rsidRPr="00970A42">
        <w:rPr>
          <w:rFonts w:ascii="標楷體" w:eastAsia="標楷體" w:hAnsi="標楷體" w:hint="eastAsia"/>
          <w:sz w:val="28"/>
        </w:rPr>
        <w:t>（二）</w:t>
      </w:r>
      <w:r w:rsidR="0087687E" w:rsidRPr="00970A42">
        <w:rPr>
          <w:rFonts w:ascii="標楷體" w:eastAsia="標楷體" w:hAnsi="標楷體" w:hint="eastAsia"/>
          <w:sz w:val="28"/>
        </w:rPr>
        <w:t>資料處理服務業者代理服務使用者之跨境網路商品或服務實質交易價金之結匯</w:t>
      </w:r>
      <w:r w:rsidR="0087687E" w:rsidRPr="00970A42">
        <w:rPr>
          <w:rFonts w:ascii="sө" w:eastAsia="標楷體" w:hAnsi="sө" w:hint="eastAsia"/>
          <w:sz w:val="28"/>
        </w:rPr>
        <w:t>：</w:t>
      </w:r>
      <w:r w:rsidR="0087687E" w:rsidRPr="00970A42">
        <w:rPr>
          <w:rFonts w:ascii="標楷體" w:eastAsia="標楷體" w:hAnsi="標楷體" w:hint="eastAsia"/>
          <w:sz w:val="28"/>
        </w:rPr>
        <w:t>業者</w:t>
      </w:r>
      <w:r w:rsidR="0087687E" w:rsidRPr="00970A42">
        <w:rPr>
          <w:rFonts w:ascii="標楷體" w:eastAsia="標楷體" w:hAnsi="標楷體" w:hint="eastAsia"/>
          <w:sz w:val="28"/>
          <w:szCs w:val="32"/>
        </w:rPr>
        <w:t>填報之申報書、經濟部核發並在有效期間內之評鑑合格證明、結匯授權書(</w:t>
      </w:r>
      <w:r w:rsidR="0087687E" w:rsidRPr="00970A42">
        <w:rPr>
          <w:rFonts w:ascii="sө" w:eastAsia="標楷體" w:hAnsi="sө" w:hint="eastAsia"/>
          <w:sz w:val="28"/>
        </w:rPr>
        <w:t>業者與服務使用者簽訂之契約已明文授權由業者辦理結匯者，得以業者出具已獲授權辦理結匯之聲明書代替</w:t>
      </w:r>
      <w:proofErr w:type="gramStart"/>
      <w:r w:rsidR="005D58DC" w:rsidRPr="00970A42">
        <w:rPr>
          <w:rFonts w:ascii="標楷體" w:eastAsia="標楷體" w:hAnsi="標楷體" w:hint="eastAsia"/>
          <w:sz w:val="28"/>
          <w:szCs w:val="32"/>
        </w:rPr>
        <w:t>）</w:t>
      </w:r>
      <w:proofErr w:type="gramEnd"/>
      <w:r w:rsidR="0087687E" w:rsidRPr="00970A42">
        <w:rPr>
          <w:rFonts w:ascii="標楷體" w:eastAsia="標楷體" w:hAnsi="標楷體" w:hint="eastAsia"/>
          <w:sz w:val="28"/>
          <w:szCs w:val="32"/>
        </w:rPr>
        <w:t>及結匯清單（內容包括服務使用者名稱、統一編號、出生日期、交易商品名稱或服務類別、結匯幣別及金額）。</w:t>
      </w:r>
    </w:p>
    <w:p w:rsidR="00CA70ED" w:rsidRPr="00970A42" w:rsidRDefault="00440391" w:rsidP="00B9005D">
      <w:pPr>
        <w:spacing w:line="490" w:lineRule="exact"/>
        <w:ind w:left="1800" w:hanging="851"/>
        <w:jc w:val="both"/>
        <w:rPr>
          <w:rFonts w:ascii="標楷體" w:eastAsia="標楷體" w:hAnsi="標楷體"/>
          <w:sz w:val="28"/>
          <w:szCs w:val="20"/>
        </w:rPr>
      </w:pPr>
      <w:r w:rsidRPr="00970A42">
        <w:rPr>
          <w:rFonts w:ascii="標楷體" w:eastAsia="標楷體" w:hAnsi="標楷體" w:hint="eastAsia"/>
          <w:sz w:val="28"/>
          <w:szCs w:val="20"/>
        </w:rPr>
        <w:t>（三）</w:t>
      </w:r>
      <w:r w:rsidR="00A80A0A" w:rsidRPr="00970A42">
        <w:rPr>
          <w:rFonts w:ascii="標楷體" w:eastAsia="標楷體" w:hAnsi="標楷體" w:hint="eastAsia"/>
          <w:sz w:val="28"/>
          <w:szCs w:val="32"/>
        </w:rPr>
        <w:t>電子支付機構或「與境外機構合作或協助境外機構於我國境內從事電子支付機構業務相關行為管理辦法」所稱「經核准機構</w:t>
      </w:r>
      <w:r w:rsidR="00A80A0A" w:rsidRPr="00970A42">
        <w:rPr>
          <w:rFonts w:ascii="標楷體" w:eastAsia="標楷體" w:hAnsi="標楷體"/>
          <w:sz w:val="28"/>
          <w:szCs w:val="32"/>
        </w:rPr>
        <w:t>」</w:t>
      </w:r>
      <w:r w:rsidR="00A80A0A" w:rsidRPr="00970A42">
        <w:rPr>
          <w:rFonts w:ascii="標楷體" w:eastAsia="標楷體" w:hAnsi="標楷體" w:hint="eastAsia"/>
          <w:sz w:val="28"/>
          <w:szCs w:val="32"/>
        </w:rPr>
        <w:t xml:space="preserve"> 之代理結匯：業者填報之申報書、金融監督管理委員會</w:t>
      </w:r>
      <w:r w:rsidR="00A80A0A" w:rsidRPr="00970A42">
        <w:rPr>
          <w:rFonts w:ascii="新細明體" w:hAnsi="新細明體" w:hint="eastAsia"/>
          <w:sz w:val="28"/>
          <w:szCs w:val="32"/>
        </w:rPr>
        <w:t>(</w:t>
      </w:r>
      <w:r w:rsidR="00A80A0A" w:rsidRPr="00970A42">
        <w:rPr>
          <w:rFonts w:ascii="標楷體" w:eastAsia="標楷體" w:hAnsi="標楷體" w:hint="eastAsia"/>
          <w:sz w:val="28"/>
          <w:szCs w:val="20"/>
        </w:rPr>
        <w:t>以下簡稱金管會</w:t>
      </w:r>
      <w:r w:rsidR="00A80A0A" w:rsidRPr="00970A42">
        <w:rPr>
          <w:rFonts w:ascii="新細明體" w:hAnsi="新細明體" w:hint="eastAsia"/>
          <w:sz w:val="28"/>
          <w:szCs w:val="32"/>
        </w:rPr>
        <w:t>)</w:t>
      </w:r>
      <w:r w:rsidR="00A80A0A" w:rsidRPr="00970A42">
        <w:rPr>
          <w:rFonts w:ascii="標楷體" w:eastAsia="標楷體" w:hAnsi="標楷體" w:hint="eastAsia"/>
          <w:sz w:val="28"/>
          <w:szCs w:val="32"/>
        </w:rPr>
        <w:t>核發之營業執</w:t>
      </w:r>
      <w:r w:rsidR="00A80A0A" w:rsidRPr="00970A42">
        <w:rPr>
          <w:rFonts w:ascii="標楷體" w:eastAsia="標楷體" w:hAnsi="標楷體" w:hint="eastAsia"/>
          <w:sz w:val="28"/>
          <w:szCs w:val="32"/>
        </w:rPr>
        <w:lastRenderedPageBreak/>
        <w:t>照或核准函(業務項目載明涉及跨境者)、結匯授權書(雙方簽訂之契約已明文授權由業者辦理結匯者，得以業者出具已獲授權辦理結匯之聲明書代替)及結匯清單（內容包括客戶名稱、統一編號、出生日期、交易商品名稱或服務類別、結匯幣別及金額）。</w:t>
      </w:r>
    </w:p>
    <w:p w:rsidR="00440391" w:rsidRPr="004256F2" w:rsidRDefault="00CA70ED" w:rsidP="00B9005D">
      <w:pPr>
        <w:spacing w:line="490" w:lineRule="exact"/>
        <w:ind w:left="1800" w:hanging="851"/>
        <w:jc w:val="both"/>
        <w:rPr>
          <w:rFonts w:ascii="標楷體" w:eastAsia="標楷體" w:hAnsi="標楷體"/>
          <w:sz w:val="28"/>
        </w:rPr>
      </w:pPr>
      <w:r w:rsidRPr="00970A42">
        <w:rPr>
          <w:rFonts w:ascii="標楷體" w:eastAsia="標楷體" w:hAnsi="標楷體" w:hint="eastAsia"/>
          <w:sz w:val="28"/>
          <w:szCs w:val="20"/>
        </w:rPr>
        <w:t>（四）</w:t>
      </w:r>
      <w:r w:rsidR="004256F2" w:rsidRPr="00970A42">
        <w:rPr>
          <w:rFonts w:ascii="標楷體" w:eastAsia="標楷體" w:hAnsi="標楷體" w:hint="eastAsia"/>
          <w:sz w:val="28"/>
          <w:szCs w:val="20"/>
        </w:rPr>
        <w:t>結匯清單所列委</w:t>
      </w:r>
      <w:r w:rsidR="004256F2" w:rsidRPr="004256F2">
        <w:rPr>
          <w:rFonts w:ascii="標楷體" w:eastAsia="標楷體" w:hAnsi="標楷體" w:hint="eastAsia"/>
          <w:sz w:val="28"/>
          <w:szCs w:val="20"/>
        </w:rPr>
        <w:t>託結匯金額應與實際結匯金額相符，如發現所列委託結匯金額、內容有不合理、異常者，應請業者提供其留存資料及相關證明文件，經確認與申報事實相符後，始得受理</w:t>
      </w:r>
      <w:r w:rsidR="00440391" w:rsidRPr="004256F2">
        <w:rPr>
          <w:rFonts w:ascii="標楷體" w:eastAsia="標楷體" w:hAnsi="標楷體" w:hint="eastAsia"/>
          <w:sz w:val="28"/>
          <w:szCs w:val="20"/>
        </w:rPr>
        <w:t>。</w:t>
      </w:r>
    </w:p>
    <w:p w:rsidR="00440391" w:rsidRPr="00970A42" w:rsidRDefault="00440391" w:rsidP="00B9005D">
      <w:pPr>
        <w:pStyle w:val="a5"/>
        <w:spacing w:line="490" w:lineRule="exact"/>
        <w:ind w:left="1064" w:rightChars="0" w:right="0" w:hangingChars="380" w:hanging="1064"/>
        <w:rPr>
          <w:rFonts w:hAnsi="標楷體" w:cs="標楷體"/>
          <w:color w:val="000000"/>
        </w:rPr>
      </w:pPr>
      <w:r w:rsidRPr="001F7804">
        <w:rPr>
          <w:rFonts w:hAnsi="標楷體" w:hint="eastAsia"/>
          <w:szCs w:val="20"/>
        </w:rPr>
        <w:t>二十八、</w:t>
      </w:r>
      <w:r w:rsidR="00CE2EBE" w:rsidRPr="00075639">
        <w:rPr>
          <w:rFonts w:hAnsi="標楷體" w:hint="eastAsia"/>
          <w:szCs w:val="20"/>
        </w:rPr>
        <w:t>銀行業受理經本行或</w:t>
      </w:r>
      <w:r w:rsidR="00CE2EBE" w:rsidRPr="00970A42">
        <w:rPr>
          <w:rFonts w:hAnsi="標楷體" w:hint="eastAsia"/>
          <w:szCs w:val="20"/>
        </w:rPr>
        <w:t>金</w:t>
      </w:r>
      <w:r w:rsidR="001A0751" w:rsidRPr="00970A42">
        <w:rPr>
          <w:rFonts w:hAnsi="標楷體" w:hint="eastAsia"/>
          <w:szCs w:val="20"/>
        </w:rPr>
        <w:t>管</w:t>
      </w:r>
      <w:r w:rsidR="00CE2EBE" w:rsidRPr="00970A42">
        <w:rPr>
          <w:rFonts w:hAnsi="標楷體" w:hint="eastAsia"/>
          <w:szCs w:val="20"/>
        </w:rPr>
        <w:t>會同意或核准辦理附表十一所列業務之業者辦理新臺幣結匯申報案件，應依該表所列確認相關文件無誤後始得辦理，結匯金額無須查詢，且不計入業者或委託人當年累積結匯金額。</w:t>
      </w:r>
      <w:r w:rsidR="00CE2EBE" w:rsidRPr="00970A42">
        <w:rPr>
          <w:rFonts w:hAnsi="標楷體" w:cs="標楷體" w:hint="eastAsia"/>
          <w:color w:val="000000"/>
        </w:rPr>
        <w:t>銀行業並應注意</w:t>
      </w:r>
      <w:r w:rsidRPr="00970A42">
        <w:rPr>
          <w:rFonts w:hAnsi="標楷體" w:cs="標楷體" w:hint="eastAsia"/>
          <w:color w:val="000000"/>
        </w:rPr>
        <w:t>：</w:t>
      </w:r>
    </w:p>
    <w:p w:rsidR="00440391" w:rsidRPr="00970A42" w:rsidRDefault="00440391" w:rsidP="00B9005D">
      <w:pPr>
        <w:spacing w:line="490" w:lineRule="exact"/>
        <w:ind w:leftChars="389" w:left="1763" w:hangingChars="296" w:hanging="829"/>
        <w:jc w:val="both"/>
        <w:rPr>
          <w:rFonts w:eastAsia="標楷體" w:hAnsi="標楷體" w:cs="標楷體"/>
          <w:color w:val="000000"/>
          <w:sz w:val="28"/>
        </w:rPr>
      </w:pPr>
      <w:r w:rsidRPr="00970A42">
        <w:rPr>
          <w:rFonts w:eastAsia="標楷體" w:hAnsi="標楷體" w:cs="標楷體" w:hint="eastAsia"/>
          <w:color w:val="000000"/>
          <w:sz w:val="28"/>
        </w:rPr>
        <w:t>（一）</w:t>
      </w:r>
      <w:r w:rsidR="00CE2EBE" w:rsidRPr="00970A42">
        <w:rPr>
          <w:rFonts w:ascii="標楷體" w:eastAsia="標楷體" w:hAnsi="標楷體" w:hint="eastAsia"/>
          <w:sz w:val="28"/>
          <w:szCs w:val="20"/>
        </w:rPr>
        <w:t>除本行另有規定外，不得受理業者代委託人辦理人民幣計價理財商品涉及人民幣之結匯</w:t>
      </w:r>
      <w:r w:rsidRPr="00970A42">
        <w:rPr>
          <w:rFonts w:ascii="標楷體" w:eastAsia="標楷體" w:hAnsi="標楷體" w:hint="eastAsia"/>
          <w:sz w:val="28"/>
          <w:szCs w:val="20"/>
        </w:rPr>
        <w:t>。</w:t>
      </w:r>
    </w:p>
    <w:p w:rsidR="00440391" w:rsidRPr="00970A42" w:rsidRDefault="00440391" w:rsidP="00B9005D">
      <w:pPr>
        <w:spacing w:line="490" w:lineRule="exact"/>
        <w:ind w:leftChars="389" w:left="1763" w:hangingChars="296" w:hanging="829"/>
        <w:jc w:val="both"/>
        <w:rPr>
          <w:rFonts w:hAnsi="標楷體"/>
          <w:szCs w:val="20"/>
        </w:rPr>
      </w:pPr>
      <w:r w:rsidRPr="00970A42">
        <w:rPr>
          <w:rFonts w:eastAsia="標楷體" w:hAnsi="標楷體" w:cs="標楷體" w:hint="eastAsia"/>
          <w:color w:val="000000"/>
          <w:sz w:val="28"/>
        </w:rPr>
        <w:t>（二</w:t>
      </w:r>
      <w:r w:rsidRPr="00970A42">
        <w:rPr>
          <w:rFonts w:ascii="標楷體" w:eastAsia="標楷體" w:hAnsi="標楷體" w:cs="標楷體" w:hint="eastAsia"/>
          <w:color w:val="000000"/>
          <w:sz w:val="28"/>
          <w:szCs w:val="28"/>
        </w:rPr>
        <w:t>）</w:t>
      </w:r>
      <w:r w:rsidR="00CE2EBE" w:rsidRPr="00970A42">
        <w:rPr>
          <w:rFonts w:ascii="標楷體" w:eastAsia="標楷體" w:hAnsi="標楷體" w:hint="eastAsia"/>
          <w:sz w:val="28"/>
          <w:szCs w:val="20"/>
        </w:rPr>
        <w:t>匯出匯款、匯入匯款為大陸地區時，應確認第二十六點規定之文件</w:t>
      </w:r>
      <w:r w:rsidRPr="00970A42">
        <w:rPr>
          <w:rFonts w:ascii="標楷體" w:eastAsia="標楷體" w:hAnsi="標楷體" w:hint="eastAsia"/>
          <w:sz w:val="28"/>
          <w:szCs w:val="20"/>
        </w:rPr>
        <w:t>。</w:t>
      </w:r>
    </w:p>
    <w:p w:rsidR="00440391" w:rsidRPr="001F7804" w:rsidRDefault="00440391" w:rsidP="00B9005D">
      <w:pPr>
        <w:pStyle w:val="a5"/>
        <w:spacing w:line="490" w:lineRule="exact"/>
        <w:ind w:left="1064" w:rightChars="0" w:right="0" w:hangingChars="380" w:hanging="1064"/>
        <w:rPr>
          <w:rFonts w:hAnsi="標楷體" w:cs="標楷體"/>
          <w:color w:val="000000"/>
        </w:rPr>
      </w:pPr>
      <w:r w:rsidRPr="00970A42">
        <w:rPr>
          <w:rFonts w:hAnsi="標楷體" w:hint="eastAsia"/>
        </w:rPr>
        <w:t>二十九、</w:t>
      </w:r>
      <w:r w:rsidR="00CE2EBE" w:rsidRPr="00970A42">
        <w:rPr>
          <w:rFonts w:hAnsi="標楷體" w:hint="eastAsia"/>
        </w:rPr>
        <w:t>銀行業受理經本行或金</w:t>
      </w:r>
      <w:r w:rsidR="001A0751" w:rsidRPr="00970A42">
        <w:rPr>
          <w:rFonts w:hAnsi="標楷體" w:hint="eastAsia"/>
        </w:rPr>
        <w:t>管</w:t>
      </w:r>
      <w:r w:rsidR="00CE2EBE" w:rsidRPr="00970A42">
        <w:rPr>
          <w:rFonts w:hAnsi="標楷體" w:hint="eastAsia"/>
        </w:rPr>
        <w:t>會同意或核准辦理附表十二所列業務之業者辦理新臺幣結匯申報案件，應依該表所列確認相關文件無誤後始得辦理，結匯金額應輸入電腦查詢及計入委託人等當年累積結匯金額；</w:t>
      </w:r>
      <w:proofErr w:type="gramStart"/>
      <w:r w:rsidR="00CE2EBE" w:rsidRPr="00970A42">
        <w:rPr>
          <w:rFonts w:hAnsi="標楷體" w:hint="eastAsia"/>
        </w:rPr>
        <w:t>惟</w:t>
      </w:r>
      <w:proofErr w:type="gramEnd"/>
      <w:r w:rsidR="00CE2EBE" w:rsidRPr="00075639">
        <w:rPr>
          <w:rFonts w:hAnsi="標楷體" w:hint="eastAsia"/>
        </w:rPr>
        <w:t>匯入款如係委託人等利用其每年得逕行結匯金額匯出，再匯入者，</w:t>
      </w:r>
      <w:proofErr w:type="gramStart"/>
      <w:r w:rsidR="00CE2EBE" w:rsidRPr="00075639">
        <w:rPr>
          <w:rFonts w:hAnsi="標楷體" w:hint="eastAsia"/>
        </w:rPr>
        <w:t>經出具</w:t>
      </w:r>
      <w:proofErr w:type="gramEnd"/>
      <w:r w:rsidR="00CE2EBE" w:rsidRPr="00075639">
        <w:rPr>
          <w:rFonts w:hAnsi="標楷體" w:hint="eastAsia"/>
        </w:rPr>
        <w:t>聲明書後，可</w:t>
      </w:r>
      <w:proofErr w:type="gramStart"/>
      <w:r w:rsidR="00CE2EBE" w:rsidRPr="00075639">
        <w:rPr>
          <w:rFonts w:hAnsi="標楷體" w:hint="eastAsia"/>
        </w:rPr>
        <w:t>逕</w:t>
      </w:r>
      <w:proofErr w:type="gramEnd"/>
      <w:r w:rsidR="00CE2EBE" w:rsidRPr="00075639">
        <w:rPr>
          <w:rFonts w:hAnsi="標楷體" w:hint="eastAsia"/>
        </w:rPr>
        <w:t>予辦理結售，無須計入委託人等當年累積結匯金額。銀行業並應注意</w:t>
      </w:r>
      <w:r w:rsidRPr="001F7804">
        <w:rPr>
          <w:rFonts w:hAnsi="標楷體" w:cs="標楷體" w:hint="eastAsia"/>
          <w:color w:val="000000"/>
        </w:rPr>
        <w:t>：</w:t>
      </w:r>
    </w:p>
    <w:p w:rsidR="00440391" w:rsidRPr="001F7804" w:rsidRDefault="00440391" w:rsidP="00B9005D">
      <w:pPr>
        <w:spacing w:line="490" w:lineRule="exact"/>
        <w:ind w:leftChars="389" w:left="1763" w:hangingChars="296" w:hanging="829"/>
        <w:jc w:val="both"/>
        <w:rPr>
          <w:rFonts w:eastAsia="標楷體" w:hAnsi="標楷體" w:cs="標楷體"/>
          <w:color w:val="000000"/>
          <w:sz w:val="28"/>
        </w:rPr>
      </w:pPr>
      <w:r w:rsidRPr="001F7804">
        <w:rPr>
          <w:rFonts w:eastAsia="標楷體" w:hAnsi="標楷體" w:cs="標楷體" w:hint="eastAsia"/>
          <w:color w:val="000000"/>
          <w:sz w:val="28"/>
        </w:rPr>
        <w:t>（一）</w:t>
      </w:r>
      <w:r w:rsidR="00CE2EBE" w:rsidRPr="00075639">
        <w:rPr>
          <w:rFonts w:eastAsia="標楷體" w:hAnsi="標楷體" w:cs="標楷體" w:hint="eastAsia"/>
          <w:color w:val="000000"/>
          <w:sz w:val="28"/>
        </w:rPr>
        <w:t>除</w:t>
      </w:r>
      <w:r w:rsidR="00CE2EBE" w:rsidRPr="00075639">
        <w:rPr>
          <w:rFonts w:eastAsia="標楷體" w:hAnsi="標楷體" w:hint="eastAsia"/>
          <w:sz w:val="28"/>
          <w:szCs w:val="20"/>
        </w:rPr>
        <w:t>本行</w:t>
      </w:r>
      <w:r w:rsidR="00CE2EBE" w:rsidRPr="00075639">
        <w:rPr>
          <w:rFonts w:eastAsia="標楷體" w:hAnsi="標楷體" w:cs="標楷體" w:hint="eastAsia"/>
          <w:color w:val="000000"/>
          <w:sz w:val="28"/>
        </w:rPr>
        <w:t>另有規定外，不得受理業者代委託人辦理人民幣計價理財商品涉及人民幣之結匯</w:t>
      </w:r>
      <w:r w:rsidRPr="001F7804">
        <w:rPr>
          <w:rFonts w:eastAsia="標楷體" w:hAnsi="標楷體" w:cs="標楷體" w:hint="eastAsia"/>
          <w:color w:val="000000"/>
          <w:sz w:val="28"/>
        </w:rPr>
        <w:t>。</w:t>
      </w:r>
    </w:p>
    <w:p w:rsidR="00440391" w:rsidRPr="001F7804" w:rsidRDefault="00440391" w:rsidP="00B9005D">
      <w:pPr>
        <w:spacing w:line="490" w:lineRule="exact"/>
        <w:ind w:leftChars="389" w:left="1763" w:hangingChars="296" w:hanging="829"/>
        <w:jc w:val="both"/>
        <w:rPr>
          <w:rFonts w:eastAsia="標楷體" w:hAnsi="標楷體" w:cs="標楷體"/>
          <w:color w:val="000000"/>
          <w:sz w:val="28"/>
        </w:rPr>
      </w:pPr>
      <w:r w:rsidRPr="001F7804">
        <w:rPr>
          <w:rFonts w:eastAsia="標楷體" w:hAnsi="標楷體" w:cs="標楷體" w:hint="eastAsia"/>
          <w:color w:val="000000"/>
          <w:sz w:val="28"/>
        </w:rPr>
        <w:t>（二）</w:t>
      </w:r>
      <w:r w:rsidR="00CE2EBE" w:rsidRPr="00075639">
        <w:rPr>
          <w:rFonts w:eastAsia="標楷體" w:hAnsi="標楷體" w:hint="eastAsia"/>
          <w:sz w:val="28"/>
        </w:rPr>
        <w:t>匯出匯款、匯入匯款為大陸地區時，應確認第二十六點規定之文件</w:t>
      </w:r>
      <w:r w:rsidRPr="001F7804">
        <w:rPr>
          <w:rFonts w:eastAsia="標楷體" w:hAnsi="標楷體" w:hint="eastAsia"/>
          <w:sz w:val="28"/>
        </w:rPr>
        <w:t>。</w:t>
      </w:r>
    </w:p>
    <w:sectPr w:rsidR="00440391" w:rsidRPr="001F7804">
      <w:footerReference w:type="default" r:id="rId9"/>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6C06" w:rsidRDefault="00A96C06">
      <w:r>
        <w:separator/>
      </w:r>
    </w:p>
  </w:endnote>
  <w:endnote w:type="continuationSeparator" w:id="0">
    <w:p w:rsidR="00A96C06" w:rsidRDefault="00A96C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altName w:val="新細明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華康楷書體W5">
    <w:altName w:val="新細明體"/>
    <w:panose1 w:val="00000000000000000000"/>
    <w:charset w:val="88"/>
    <w:family w:val="script"/>
    <w:notTrueType/>
    <w:pitch w:val="fixed"/>
    <w:sig w:usb0="00000001" w:usb1="08080000" w:usb2="00000010" w:usb3="00000000" w:csb0="001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sө">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0391" w:rsidRDefault="00440391">
    <w:pPr>
      <w:pStyle w:val="aa"/>
      <w:jc w:val="center"/>
      <w:rPr>
        <w:rFonts w:eastAsia="標楷體"/>
        <w:sz w:val="24"/>
      </w:rPr>
    </w:pPr>
    <w:r>
      <w:rPr>
        <w:rStyle w:val="ab"/>
        <w:rFonts w:eastAsia="標楷體" w:hint="eastAsia"/>
        <w:sz w:val="24"/>
      </w:rPr>
      <w:t>-</w:t>
    </w:r>
    <w:r>
      <w:rPr>
        <w:rStyle w:val="ab"/>
        <w:rFonts w:eastAsia="標楷體"/>
        <w:sz w:val="24"/>
      </w:rPr>
      <w:fldChar w:fldCharType="begin"/>
    </w:r>
    <w:r>
      <w:rPr>
        <w:rStyle w:val="ab"/>
        <w:rFonts w:eastAsia="標楷體"/>
        <w:sz w:val="24"/>
      </w:rPr>
      <w:instrText xml:space="preserve"> PAGE </w:instrText>
    </w:r>
    <w:r>
      <w:rPr>
        <w:rStyle w:val="ab"/>
        <w:rFonts w:eastAsia="標楷體"/>
        <w:sz w:val="24"/>
      </w:rPr>
      <w:fldChar w:fldCharType="separate"/>
    </w:r>
    <w:r w:rsidR="0089672C">
      <w:rPr>
        <w:rStyle w:val="ab"/>
        <w:rFonts w:eastAsia="標楷體"/>
        <w:noProof/>
        <w:sz w:val="24"/>
      </w:rPr>
      <w:t>2</w:t>
    </w:r>
    <w:r>
      <w:rPr>
        <w:rStyle w:val="ab"/>
        <w:rFonts w:eastAsia="標楷體"/>
        <w:sz w:val="24"/>
      </w:rPr>
      <w:fldChar w:fldCharType="end"/>
    </w:r>
    <w:r>
      <w:rPr>
        <w:rStyle w:val="ab"/>
        <w:rFonts w:eastAsia="標楷體" w:hint="eastAsia"/>
        <w:sz w:val="24"/>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6C06" w:rsidRDefault="00A96C06">
      <w:r>
        <w:separator/>
      </w:r>
    </w:p>
  </w:footnote>
  <w:footnote w:type="continuationSeparator" w:id="0">
    <w:p w:rsidR="00A96C06" w:rsidRDefault="00A96C0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77275"/>
    <w:multiLevelType w:val="hybridMultilevel"/>
    <w:tmpl w:val="225C6D90"/>
    <w:lvl w:ilvl="0" w:tplc="942CDAA4">
      <w:start w:val="1"/>
      <w:numFmt w:val="taiwaneseCountingThousand"/>
      <w:lvlText w:val="%1、"/>
      <w:lvlJc w:val="left"/>
      <w:pPr>
        <w:tabs>
          <w:tab w:val="num" w:pos="1038"/>
        </w:tabs>
        <w:ind w:left="1038" w:hanging="720"/>
      </w:pPr>
      <w:rPr>
        <w:rFonts w:hint="eastAsia"/>
      </w:rPr>
    </w:lvl>
    <w:lvl w:ilvl="1" w:tplc="B8DED05E">
      <w:start w:val="1"/>
      <w:numFmt w:val="taiwaneseCountingThousand"/>
      <w:pStyle w:val="a"/>
      <w:lvlText w:val="（%2）"/>
      <w:lvlJc w:val="left"/>
      <w:pPr>
        <w:tabs>
          <w:tab w:val="num" w:pos="1878"/>
        </w:tabs>
        <w:ind w:left="1878" w:hanging="1080"/>
      </w:pPr>
      <w:rPr>
        <w:rFonts w:hint="eastAsia"/>
      </w:rPr>
    </w:lvl>
    <w:lvl w:ilvl="2" w:tplc="0409001B">
      <w:start w:val="1"/>
      <w:numFmt w:val="lowerRoman"/>
      <w:lvlText w:val="%3."/>
      <w:lvlJc w:val="right"/>
      <w:pPr>
        <w:tabs>
          <w:tab w:val="num" w:pos="1758"/>
        </w:tabs>
        <w:ind w:left="1758" w:hanging="480"/>
      </w:pPr>
    </w:lvl>
    <w:lvl w:ilvl="3" w:tplc="0409000F">
      <w:start w:val="1"/>
      <w:numFmt w:val="decimal"/>
      <w:lvlText w:val="%4."/>
      <w:lvlJc w:val="left"/>
      <w:pPr>
        <w:tabs>
          <w:tab w:val="num" w:pos="2238"/>
        </w:tabs>
        <w:ind w:left="2238" w:hanging="480"/>
      </w:pPr>
    </w:lvl>
    <w:lvl w:ilvl="4" w:tplc="04090019">
      <w:start w:val="1"/>
      <w:numFmt w:val="ideographTraditional"/>
      <w:lvlText w:val="%5、"/>
      <w:lvlJc w:val="left"/>
      <w:pPr>
        <w:tabs>
          <w:tab w:val="num" w:pos="2718"/>
        </w:tabs>
        <w:ind w:left="2718" w:hanging="480"/>
      </w:pPr>
    </w:lvl>
    <w:lvl w:ilvl="5" w:tplc="0409001B">
      <w:start w:val="1"/>
      <w:numFmt w:val="lowerRoman"/>
      <w:lvlText w:val="%6."/>
      <w:lvlJc w:val="right"/>
      <w:pPr>
        <w:tabs>
          <w:tab w:val="num" w:pos="3198"/>
        </w:tabs>
        <w:ind w:left="3198" w:hanging="480"/>
      </w:pPr>
    </w:lvl>
    <w:lvl w:ilvl="6" w:tplc="0409000F">
      <w:start w:val="1"/>
      <w:numFmt w:val="decimal"/>
      <w:lvlText w:val="%7."/>
      <w:lvlJc w:val="left"/>
      <w:pPr>
        <w:tabs>
          <w:tab w:val="num" w:pos="3678"/>
        </w:tabs>
        <w:ind w:left="3678" w:hanging="480"/>
      </w:pPr>
    </w:lvl>
    <w:lvl w:ilvl="7" w:tplc="04090019">
      <w:start w:val="1"/>
      <w:numFmt w:val="ideographTraditional"/>
      <w:lvlText w:val="%8、"/>
      <w:lvlJc w:val="left"/>
      <w:pPr>
        <w:tabs>
          <w:tab w:val="num" w:pos="4158"/>
        </w:tabs>
        <w:ind w:left="4158" w:hanging="480"/>
      </w:pPr>
    </w:lvl>
    <w:lvl w:ilvl="8" w:tplc="0409001B">
      <w:start w:val="1"/>
      <w:numFmt w:val="lowerRoman"/>
      <w:lvlText w:val="%9."/>
      <w:lvlJc w:val="right"/>
      <w:pPr>
        <w:tabs>
          <w:tab w:val="num" w:pos="4638"/>
        </w:tabs>
        <w:ind w:left="4638" w:hanging="480"/>
      </w:pPr>
    </w:lvl>
  </w:abstractNum>
  <w:abstractNum w:abstractNumId="1">
    <w:nsid w:val="048D485F"/>
    <w:multiLevelType w:val="hybridMultilevel"/>
    <w:tmpl w:val="689A5DF2"/>
    <w:lvl w:ilvl="0" w:tplc="9C829180">
      <w:start w:val="1"/>
      <w:numFmt w:val="decimalFullWidth"/>
      <w:pStyle w:val="a0"/>
      <w:lvlText w:val="%1．"/>
      <w:lvlJc w:val="left"/>
      <w:pPr>
        <w:tabs>
          <w:tab w:val="num" w:pos="1440"/>
        </w:tabs>
        <w:ind w:left="1440" w:hanging="720"/>
      </w:pPr>
      <w:rPr>
        <w:rFonts w:hint="eastAsia"/>
        <w:u w:val="single"/>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2">
    <w:nsid w:val="0FFB5555"/>
    <w:multiLevelType w:val="hybridMultilevel"/>
    <w:tmpl w:val="9D00A7F0"/>
    <w:lvl w:ilvl="0" w:tplc="A36E62B2">
      <w:start w:val="1"/>
      <w:numFmt w:val="taiwaneseCountingThousand"/>
      <w:lvlText w:val="（%1）"/>
      <w:lvlJc w:val="left"/>
      <w:pPr>
        <w:tabs>
          <w:tab w:val="num" w:pos="1215"/>
        </w:tabs>
        <w:ind w:left="1215" w:hanging="720"/>
      </w:pPr>
      <w:rPr>
        <w:rFonts w:hint="eastAsia"/>
      </w:rPr>
    </w:lvl>
    <w:lvl w:ilvl="1" w:tplc="04090019" w:tentative="1">
      <w:start w:val="1"/>
      <w:numFmt w:val="ideographTraditional"/>
      <w:lvlText w:val="%2、"/>
      <w:lvlJc w:val="left"/>
      <w:pPr>
        <w:tabs>
          <w:tab w:val="num" w:pos="1455"/>
        </w:tabs>
        <w:ind w:left="1455" w:hanging="480"/>
      </w:pPr>
    </w:lvl>
    <w:lvl w:ilvl="2" w:tplc="0409001B" w:tentative="1">
      <w:start w:val="1"/>
      <w:numFmt w:val="lowerRoman"/>
      <w:lvlText w:val="%3."/>
      <w:lvlJc w:val="right"/>
      <w:pPr>
        <w:tabs>
          <w:tab w:val="num" w:pos="1935"/>
        </w:tabs>
        <w:ind w:left="1935" w:hanging="480"/>
      </w:pPr>
    </w:lvl>
    <w:lvl w:ilvl="3" w:tplc="0409000F" w:tentative="1">
      <w:start w:val="1"/>
      <w:numFmt w:val="decimal"/>
      <w:lvlText w:val="%4."/>
      <w:lvlJc w:val="left"/>
      <w:pPr>
        <w:tabs>
          <w:tab w:val="num" w:pos="2415"/>
        </w:tabs>
        <w:ind w:left="2415" w:hanging="480"/>
      </w:pPr>
    </w:lvl>
    <w:lvl w:ilvl="4" w:tplc="04090019" w:tentative="1">
      <w:start w:val="1"/>
      <w:numFmt w:val="ideographTraditional"/>
      <w:lvlText w:val="%5、"/>
      <w:lvlJc w:val="left"/>
      <w:pPr>
        <w:tabs>
          <w:tab w:val="num" w:pos="2895"/>
        </w:tabs>
        <w:ind w:left="2895" w:hanging="480"/>
      </w:pPr>
    </w:lvl>
    <w:lvl w:ilvl="5" w:tplc="0409001B" w:tentative="1">
      <w:start w:val="1"/>
      <w:numFmt w:val="lowerRoman"/>
      <w:lvlText w:val="%6."/>
      <w:lvlJc w:val="right"/>
      <w:pPr>
        <w:tabs>
          <w:tab w:val="num" w:pos="3375"/>
        </w:tabs>
        <w:ind w:left="3375" w:hanging="480"/>
      </w:pPr>
    </w:lvl>
    <w:lvl w:ilvl="6" w:tplc="0409000F" w:tentative="1">
      <w:start w:val="1"/>
      <w:numFmt w:val="decimal"/>
      <w:lvlText w:val="%7."/>
      <w:lvlJc w:val="left"/>
      <w:pPr>
        <w:tabs>
          <w:tab w:val="num" w:pos="3855"/>
        </w:tabs>
        <w:ind w:left="3855" w:hanging="480"/>
      </w:pPr>
    </w:lvl>
    <w:lvl w:ilvl="7" w:tplc="04090019" w:tentative="1">
      <w:start w:val="1"/>
      <w:numFmt w:val="ideographTraditional"/>
      <w:lvlText w:val="%8、"/>
      <w:lvlJc w:val="left"/>
      <w:pPr>
        <w:tabs>
          <w:tab w:val="num" w:pos="4335"/>
        </w:tabs>
        <w:ind w:left="4335" w:hanging="480"/>
      </w:pPr>
    </w:lvl>
    <w:lvl w:ilvl="8" w:tplc="0409001B" w:tentative="1">
      <w:start w:val="1"/>
      <w:numFmt w:val="lowerRoman"/>
      <w:lvlText w:val="%9."/>
      <w:lvlJc w:val="right"/>
      <w:pPr>
        <w:tabs>
          <w:tab w:val="num" w:pos="4815"/>
        </w:tabs>
        <w:ind w:left="4815" w:hanging="480"/>
      </w:pPr>
    </w:lvl>
  </w:abstractNum>
  <w:abstractNum w:abstractNumId="3">
    <w:nsid w:val="16A6069B"/>
    <w:multiLevelType w:val="hybridMultilevel"/>
    <w:tmpl w:val="699022DE"/>
    <w:lvl w:ilvl="0" w:tplc="87B00EEE">
      <w:start w:val="1"/>
      <w:numFmt w:val="decimalFullWidth"/>
      <w:lvlText w:val="%1、"/>
      <w:lvlJc w:val="left"/>
      <w:pPr>
        <w:tabs>
          <w:tab w:val="num" w:pos="1257"/>
        </w:tabs>
        <w:ind w:left="1257" w:hanging="720"/>
      </w:pPr>
      <w:rPr>
        <w:rFonts w:hint="eastAsia"/>
      </w:rPr>
    </w:lvl>
    <w:lvl w:ilvl="1" w:tplc="151410B8">
      <w:start w:val="1"/>
      <w:numFmt w:val="decimal"/>
      <w:lvlText w:val="（%2）"/>
      <w:lvlJc w:val="left"/>
      <w:pPr>
        <w:tabs>
          <w:tab w:val="num" w:pos="1737"/>
        </w:tabs>
        <w:ind w:left="1737" w:hanging="720"/>
      </w:pPr>
      <w:rPr>
        <w:rFonts w:hAnsi="標楷體" w:hint="eastAsia"/>
      </w:rPr>
    </w:lvl>
    <w:lvl w:ilvl="2" w:tplc="0409001B">
      <w:start w:val="1"/>
      <w:numFmt w:val="lowerRoman"/>
      <w:lvlText w:val="%3."/>
      <w:lvlJc w:val="right"/>
      <w:pPr>
        <w:tabs>
          <w:tab w:val="num" w:pos="1977"/>
        </w:tabs>
        <w:ind w:left="1977" w:hanging="480"/>
      </w:pPr>
    </w:lvl>
    <w:lvl w:ilvl="3" w:tplc="0409000F" w:tentative="1">
      <w:start w:val="1"/>
      <w:numFmt w:val="decimal"/>
      <w:lvlText w:val="%4."/>
      <w:lvlJc w:val="left"/>
      <w:pPr>
        <w:tabs>
          <w:tab w:val="num" w:pos="2457"/>
        </w:tabs>
        <w:ind w:left="2457" w:hanging="480"/>
      </w:pPr>
    </w:lvl>
    <w:lvl w:ilvl="4" w:tplc="04090019" w:tentative="1">
      <w:start w:val="1"/>
      <w:numFmt w:val="ideographTraditional"/>
      <w:lvlText w:val="%5、"/>
      <w:lvlJc w:val="left"/>
      <w:pPr>
        <w:tabs>
          <w:tab w:val="num" w:pos="2937"/>
        </w:tabs>
        <w:ind w:left="2937" w:hanging="480"/>
      </w:pPr>
    </w:lvl>
    <w:lvl w:ilvl="5" w:tplc="0409001B" w:tentative="1">
      <w:start w:val="1"/>
      <w:numFmt w:val="lowerRoman"/>
      <w:lvlText w:val="%6."/>
      <w:lvlJc w:val="right"/>
      <w:pPr>
        <w:tabs>
          <w:tab w:val="num" w:pos="3417"/>
        </w:tabs>
        <w:ind w:left="3417" w:hanging="480"/>
      </w:pPr>
    </w:lvl>
    <w:lvl w:ilvl="6" w:tplc="0409000F" w:tentative="1">
      <w:start w:val="1"/>
      <w:numFmt w:val="decimal"/>
      <w:lvlText w:val="%7."/>
      <w:lvlJc w:val="left"/>
      <w:pPr>
        <w:tabs>
          <w:tab w:val="num" w:pos="3897"/>
        </w:tabs>
        <w:ind w:left="3897" w:hanging="480"/>
      </w:pPr>
    </w:lvl>
    <w:lvl w:ilvl="7" w:tplc="04090019" w:tentative="1">
      <w:start w:val="1"/>
      <w:numFmt w:val="ideographTraditional"/>
      <w:lvlText w:val="%8、"/>
      <w:lvlJc w:val="left"/>
      <w:pPr>
        <w:tabs>
          <w:tab w:val="num" w:pos="4377"/>
        </w:tabs>
        <w:ind w:left="4377" w:hanging="480"/>
      </w:pPr>
    </w:lvl>
    <w:lvl w:ilvl="8" w:tplc="0409001B" w:tentative="1">
      <w:start w:val="1"/>
      <w:numFmt w:val="lowerRoman"/>
      <w:lvlText w:val="%9."/>
      <w:lvlJc w:val="right"/>
      <w:pPr>
        <w:tabs>
          <w:tab w:val="num" w:pos="4857"/>
        </w:tabs>
        <w:ind w:left="4857" w:hanging="480"/>
      </w:pPr>
    </w:lvl>
  </w:abstractNum>
  <w:abstractNum w:abstractNumId="4">
    <w:nsid w:val="7FDC7C3F"/>
    <w:multiLevelType w:val="hybridMultilevel"/>
    <w:tmpl w:val="88106B58"/>
    <w:lvl w:ilvl="0" w:tplc="87B00EEE">
      <w:start w:val="1"/>
      <w:numFmt w:val="decimalFullWidth"/>
      <w:lvlText w:val="%1、"/>
      <w:lvlJc w:val="left"/>
      <w:pPr>
        <w:tabs>
          <w:tab w:val="num" w:pos="1257"/>
        </w:tabs>
        <w:ind w:left="1257"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1"/>
  </w:num>
  <w:num w:numId="2">
    <w:abstractNumId w:val="0"/>
  </w:num>
  <w:num w:numId="3">
    <w:abstractNumId w:val="3"/>
  </w:num>
  <w:num w:numId="4">
    <w:abstractNumId w:val="2"/>
  </w:num>
  <w:num w:numId="5">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80"/>
  <w:displayHorizontalDrawingGridEvery w:val="0"/>
  <w:displayVerticalDrawingGridEvery w:val="2"/>
  <w:characterSpacingControl w:val="compressPunctuation"/>
  <w:hdrShapeDefaults>
    <o:shapedefaults v:ext="edit" spidmax="34817"/>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E5C6D"/>
    <w:rsid w:val="00131736"/>
    <w:rsid w:val="00186C9B"/>
    <w:rsid w:val="001A0751"/>
    <w:rsid w:val="001E08E3"/>
    <w:rsid w:val="001E528A"/>
    <w:rsid w:val="001F7804"/>
    <w:rsid w:val="002265C9"/>
    <w:rsid w:val="002B5342"/>
    <w:rsid w:val="0033035E"/>
    <w:rsid w:val="00371871"/>
    <w:rsid w:val="00386197"/>
    <w:rsid w:val="003918EC"/>
    <w:rsid w:val="004256F2"/>
    <w:rsid w:val="00440391"/>
    <w:rsid w:val="004A0773"/>
    <w:rsid w:val="004B07A0"/>
    <w:rsid w:val="004F12F6"/>
    <w:rsid w:val="00560813"/>
    <w:rsid w:val="00570F8B"/>
    <w:rsid w:val="005D58DC"/>
    <w:rsid w:val="00622C89"/>
    <w:rsid w:val="006B02F6"/>
    <w:rsid w:val="007A18D4"/>
    <w:rsid w:val="0087687E"/>
    <w:rsid w:val="0089672C"/>
    <w:rsid w:val="009117CD"/>
    <w:rsid w:val="00970A42"/>
    <w:rsid w:val="00995ADA"/>
    <w:rsid w:val="00A80A0A"/>
    <w:rsid w:val="00A96C06"/>
    <w:rsid w:val="00AB4B47"/>
    <w:rsid w:val="00B0669C"/>
    <w:rsid w:val="00B31DC9"/>
    <w:rsid w:val="00B409D1"/>
    <w:rsid w:val="00B9005D"/>
    <w:rsid w:val="00B93B6E"/>
    <w:rsid w:val="00C36680"/>
    <w:rsid w:val="00C76E3F"/>
    <w:rsid w:val="00CA70ED"/>
    <w:rsid w:val="00CE2EBE"/>
    <w:rsid w:val="00D23F44"/>
    <w:rsid w:val="00E43AA6"/>
    <w:rsid w:val="00F66806"/>
    <w:rsid w:val="00FE5C6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pPr>
      <w:widowControl w:val="0"/>
    </w:pPr>
    <w:rPr>
      <w:kern w:val="2"/>
      <w:sz w:val="24"/>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0">
    <w:name w:val="注１．"/>
    <w:basedOn w:val="2"/>
    <w:pPr>
      <w:numPr>
        <w:numId w:val="1"/>
      </w:numPr>
    </w:pPr>
    <w:rPr>
      <w:rFonts w:ascii="華康楷書體W5" w:eastAsia="華康楷書體W5"/>
      <w:u w:val="single"/>
    </w:rPr>
  </w:style>
  <w:style w:type="paragraph" w:styleId="2">
    <w:name w:val="Body Text Indent 2"/>
    <w:basedOn w:val="a1"/>
    <w:semiHidden/>
    <w:pPr>
      <w:spacing w:line="400" w:lineRule="exact"/>
      <w:ind w:left="1080" w:hanging="360"/>
      <w:jc w:val="both"/>
    </w:pPr>
    <w:rPr>
      <w:rFonts w:ascii="標楷體" w:eastAsia="標楷體"/>
      <w:sz w:val="28"/>
    </w:rPr>
  </w:style>
  <w:style w:type="paragraph" w:customStyle="1" w:styleId="a">
    <w:name w:val="（一）"/>
    <w:basedOn w:val="a5"/>
    <w:autoRedefine/>
    <w:pPr>
      <w:numPr>
        <w:ilvl w:val="1"/>
        <w:numId w:val="2"/>
      </w:numPr>
      <w:tabs>
        <w:tab w:val="left" w:leader="hyphen" w:pos="3402"/>
        <w:tab w:val="left" w:leader="hyphen" w:pos="6804"/>
        <w:tab w:val="left" w:leader="hyphen" w:pos="10206"/>
        <w:tab w:val="left" w:leader="hyphen" w:pos="13608"/>
      </w:tabs>
      <w:adjustRightInd w:val="0"/>
      <w:spacing w:line="500" w:lineRule="exact"/>
      <w:ind w:rightChars="0" w:right="0" w:firstLineChars="0" w:firstLine="0"/>
      <w:textAlignment w:val="center"/>
    </w:pPr>
    <w:rPr>
      <w:rFonts w:ascii="Times New Roman"/>
      <w:kern w:val="0"/>
      <w:sz w:val="32"/>
      <w:szCs w:val="32"/>
    </w:rPr>
  </w:style>
  <w:style w:type="paragraph" w:customStyle="1" w:styleId="a5">
    <w:name w:val="一"/>
    <w:basedOn w:val="a1"/>
    <w:pPr>
      <w:spacing w:line="400" w:lineRule="exact"/>
      <w:ind w:left="552" w:rightChars="25" w:right="60" w:hangingChars="197" w:hanging="552"/>
      <w:jc w:val="both"/>
    </w:pPr>
    <w:rPr>
      <w:rFonts w:ascii="標楷體" w:eastAsia="標楷體"/>
      <w:sz w:val="28"/>
    </w:rPr>
  </w:style>
  <w:style w:type="paragraph" w:customStyle="1" w:styleId="a6">
    <w:name w:val="注（一）"/>
    <w:basedOn w:val="1"/>
    <w:pPr>
      <w:ind w:left="918" w:hanging="737"/>
    </w:pPr>
  </w:style>
  <w:style w:type="paragraph" w:customStyle="1" w:styleId="1">
    <w:name w:val="樣式1"/>
    <w:basedOn w:val="a1"/>
    <w:pPr>
      <w:spacing w:line="400" w:lineRule="exact"/>
      <w:ind w:left="872" w:hanging="512"/>
      <w:jc w:val="both"/>
    </w:pPr>
    <w:rPr>
      <w:rFonts w:ascii="華康楷書體W5" w:eastAsia="華康楷書體W5"/>
      <w:sz w:val="28"/>
    </w:rPr>
  </w:style>
  <w:style w:type="paragraph" w:styleId="a7">
    <w:name w:val="Block Text"/>
    <w:basedOn w:val="a1"/>
    <w:semiHidden/>
    <w:pPr>
      <w:spacing w:line="500" w:lineRule="exact"/>
      <w:ind w:leftChars="213" w:left="511" w:right="25"/>
      <w:jc w:val="both"/>
    </w:pPr>
    <w:rPr>
      <w:rFonts w:ascii="標楷體" w:eastAsia="標楷體" w:hAnsi="標楷體"/>
      <w:sz w:val="28"/>
      <w:u w:val="single"/>
    </w:rPr>
  </w:style>
  <w:style w:type="paragraph" w:styleId="a8">
    <w:name w:val="Body Text Indent"/>
    <w:basedOn w:val="a1"/>
    <w:semiHidden/>
    <w:pPr>
      <w:spacing w:line="500" w:lineRule="exact"/>
      <w:ind w:left="420" w:hangingChars="150" w:hanging="420"/>
      <w:jc w:val="both"/>
    </w:pPr>
    <w:rPr>
      <w:rFonts w:eastAsia="標楷體" w:hAnsi="標楷體"/>
      <w:sz w:val="28"/>
    </w:rPr>
  </w:style>
  <w:style w:type="paragraph" w:styleId="3">
    <w:name w:val="Body Text Indent 3"/>
    <w:basedOn w:val="a1"/>
    <w:semiHidden/>
    <w:pPr>
      <w:spacing w:line="500" w:lineRule="exact"/>
      <w:ind w:left="476" w:hangingChars="170" w:hanging="476"/>
      <w:jc w:val="both"/>
    </w:pPr>
    <w:rPr>
      <w:rFonts w:eastAsia="標楷體" w:hAnsi="標楷體"/>
      <w:sz w:val="28"/>
    </w:rPr>
  </w:style>
  <w:style w:type="paragraph" w:styleId="a9">
    <w:name w:val="header"/>
    <w:basedOn w:val="a1"/>
    <w:semiHidden/>
    <w:pPr>
      <w:tabs>
        <w:tab w:val="center" w:pos="4153"/>
        <w:tab w:val="right" w:pos="8306"/>
      </w:tabs>
      <w:snapToGrid w:val="0"/>
    </w:pPr>
    <w:rPr>
      <w:sz w:val="20"/>
      <w:szCs w:val="20"/>
    </w:rPr>
  </w:style>
  <w:style w:type="paragraph" w:styleId="aa">
    <w:name w:val="footer"/>
    <w:basedOn w:val="a1"/>
    <w:semiHidden/>
    <w:pPr>
      <w:tabs>
        <w:tab w:val="center" w:pos="4153"/>
        <w:tab w:val="right" w:pos="8306"/>
      </w:tabs>
      <w:snapToGrid w:val="0"/>
    </w:pPr>
    <w:rPr>
      <w:sz w:val="20"/>
      <w:szCs w:val="20"/>
    </w:rPr>
  </w:style>
  <w:style w:type="character" w:styleId="ab">
    <w:name w:val="page number"/>
    <w:basedOn w:val="a2"/>
    <w:semiHidden/>
  </w:style>
  <w:style w:type="paragraph" w:customStyle="1" w:styleId="ac">
    <w:name w:val="說明"/>
    <w:basedOn w:val="a8"/>
    <w:pPr>
      <w:snapToGrid w:val="0"/>
      <w:spacing w:line="640" w:lineRule="exact"/>
      <w:ind w:left="952" w:firstLineChars="0" w:hanging="952"/>
      <w:jc w:val="left"/>
    </w:pPr>
    <w:rPr>
      <w:rFonts w:ascii="Arial" w:hAnsi="Arial"/>
      <w:sz w:val="32"/>
      <w:szCs w:val="20"/>
    </w:rPr>
  </w:style>
  <w:style w:type="paragraph" w:styleId="ad">
    <w:name w:val="Balloon Text"/>
    <w:basedOn w:val="a1"/>
    <w:link w:val="ae"/>
    <w:uiPriority w:val="99"/>
    <w:semiHidden/>
    <w:unhideWhenUsed/>
    <w:rsid w:val="001E528A"/>
    <w:rPr>
      <w:rFonts w:asciiTheme="majorHAnsi" w:eastAsiaTheme="majorEastAsia" w:hAnsiTheme="majorHAnsi" w:cstheme="majorBidi"/>
      <w:sz w:val="18"/>
      <w:szCs w:val="18"/>
    </w:rPr>
  </w:style>
  <w:style w:type="character" w:customStyle="1" w:styleId="ae">
    <w:name w:val="註解方塊文字 字元"/>
    <w:basedOn w:val="a2"/>
    <w:link w:val="ad"/>
    <w:uiPriority w:val="99"/>
    <w:semiHidden/>
    <w:rsid w:val="001E528A"/>
    <w:rPr>
      <w:rFonts w:asciiTheme="majorHAnsi" w:eastAsiaTheme="majorEastAsia" w:hAnsiTheme="majorHAnsi" w:cstheme="maj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pPr>
      <w:widowControl w:val="0"/>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289926-AAEC-4159-91AD-CF2421FA3A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186</Words>
  <Characters>1063</Characters>
  <Application>Microsoft Office Word</Application>
  <DocSecurity>0</DocSecurity>
  <Lines>8</Lines>
  <Paragraphs>2</Paragraphs>
  <ScaleCrop>false</ScaleCrop>
  <Company/>
  <LinksUpToDate>false</LinksUpToDate>
  <CharactersWithSpaces>1247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銀行業輔導客戶申報外匯收支或交易應注意事項修正規定</dc:title>
  <dc:creator>林郁芬</dc:creator>
  <cp:lastModifiedBy>郭素禎</cp:lastModifiedBy>
  <cp:revision>6</cp:revision>
  <cp:lastPrinted>2013-07-18T08:58:00Z</cp:lastPrinted>
  <dcterms:created xsi:type="dcterms:W3CDTF">2015-04-20T03:00:00Z</dcterms:created>
  <dcterms:modified xsi:type="dcterms:W3CDTF">2015-04-22T08:54:00Z</dcterms:modified>
</cp:coreProperties>
</file>