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12" w:rsidRDefault="000C54CF" w:rsidP="0088769C">
      <w:pPr>
        <w:pStyle w:val="Web"/>
        <w:spacing w:beforeLines="50" w:before="180" w:beforeAutospacing="0" w:afterLines="50" w:after="180" w:afterAutospacing="0" w:line="560" w:lineRule="exact"/>
        <w:ind w:left="1123" w:hanging="272"/>
        <w:jc w:val="center"/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</w:pPr>
      <w:bookmarkStart w:id="0" w:name="_GoBack"/>
      <w:bookmarkEnd w:id="0"/>
      <w:r w:rsidRPr="000C54CF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103.10.13.</w:t>
      </w:r>
      <w:r w:rsidR="000706F1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中央銀行</w:t>
      </w:r>
      <w:r w:rsidRPr="000C54CF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記者會參考資料</w:t>
      </w:r>
    </w:p>
    <w:p w:rsidR="000706F1" w:rsidRDefault="000706F1" w:rsidP="000C54CF">
      <w:pPr>
        <w:pStyle w:val="Web"/>
        <w:spacing w:beforeLines="50" w:before="180" w:beforeAutospacing="0" w:afterLines="50" w:after="180" w:afterAutospacing="0" w:line="420" w:lineRule="exact"/>
        <w:ind w:left="1123" w:hanging="272"/>
        <w:jc w:val="both"/>
        <w:rPr>
          <w:rFonts w:ascii="Times New Roman" w:eastAsia="標楷體" w:hAnsi="Times New Roman" w:cs="Times New Roman"/>
          <w:b/>
          <w:color w:val="000000" w:themeColor="text1"/>
          <w:kern w:val="24"/>
          <w:sz w:val="36"/>
          <w:szCs w:val="36"/>
        </w:rPr>
      </w:pPr>
    </w:p>
    <w:p w:rsidR="000C54CF" w:rsidRPr="008C6F58" w:rsidRDefault="000C54CF" w:rsidP="000C54CF">
      <w:pPr>
        <w:pStyle w:val="Web"/>
        <w:spacing w:beforeLines="50" w:before="180" w:beforeAutospacing="0" w:afterLines="50" w:after="180" w:afterAutospacing="0" w:line="420" w:lineRule="exact"/>
        <w:ind w:left="1123" w:hanging="272"/>
        <w:jc w:val="both"/>
        <w:rPr>
          <w:rFonts w:ascii="Times New Roman" w:eastAsia="標楷體" w:hAnsi="Times New Roman" w:cs="Times New Roman"/>
          <w:b/>
          <w:color w:val="000000" w:themeColor="text1"/>
          <w:kern w:val="24"/>
          <w:sz w:val="36"/>
          <w:szCs w:val="36"/>
        </w:rPr>
      </w:pPr>
      <w:r w:rsidRPr="008C6F58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36"/>
          <w:szCs w:val="36"/>
        </w:rPr>
        <w:t>一</w:t>
      </w:r>
      <w:r w:rsidRPr="008C6F58">
        <w:rPr>
          <w:rFonts w:cs="Times New Roman" w:hint="eastAsia"/>
          <w:b/>
          <w:color w:val="000000" w:themeColor="text1"/>
          <w:kern w:val="24"/>
          <w:sz w:val="36"/>
          <w:szCs w:val="36"/>
        </w:rPr>
        <w:t>、</w:t>
      </w:r>
      <w:r w:rsidRPr="008C6F58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36"/>
          <w:szCs w:val="36"/>
        </w:rPr>
        <w:t>外幣結算平台各項功能之建置時程</w:t>
      </w:r>
    </w:p>
    <w:tbl>
      <w:tblPr>
        <w:tblW w:w="13041" w:type="dxa"/>
        <w:tblInd w:w="8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2"/>
        <w:gridCol w:w="6500"/>
        <w:gridCol w:w="4959"/>
      </w:tblGrid>
      <w:tr w:rsidR="000C54CF" w:rsidRPr="000C54CF" w:rsidTr="000838D3">
        <w:trPr>
          <w:trHeight w:val="604"/>
        </w:trPr>
        <w:tc>
          <w:tcPr>
            <w:tcW w:w="1582" w:type="dxa"/>
            <w:tcBorders>
              <w:top w:val="single" w:sz="8" w:space="0" w:color="EEECE1"/>
              <w:left w:val="single" w:sz="8" w:space="0" w:color="EEECE1"/>
              <w:bottom w:val="single" w:sz="8" w:space="0" w:color="000000"/>
              <w:right w:val="single" w:sz="8" w:space="0" w:color="EEECE1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項目</w:t>
            </w:r>
          </w:p>
        </w:tc>
        <w:tc>
          <w:tcPr>
            <w:tcW w:w="6500" w:type="dxa"/>
            <w:tcBorders>
              <w:top w:val="single" w:sz="8" w:space="0" w:color="EEECE1"/>
              <w:left w:val="single" w:sz="8" w:space="0" w:color="EEECE1"/>
              <w:bottom w:val="single" w:sz="8" w:space="0" w:color="000000"/>
              <w:right w:val="single" w:sz="8" w:space="0" w:color="EEECE1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功能</w:t>
            </w:r>
          </w:p>
        </w:tc>
        <w:tc>
          <w:tcPr>
            <w:tcW w:w="4959" w:type="dxa"/>
            <w:tcBorders>
              <w:top w:val="single" w:sz="8" w:space="0" w:color="EEECE1"/>
              <w:left w:val="single" w:sz="8" w:space="0" w:color="EEECE1"/>
              <w:bottom w:val="single" w:sz="8" w:space="0" w:color="000000"/>
              <w:right w:val="single" w:sz="8" w:space="0" w:color="EEECE1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上線日期</w:t>
            </w:r>
          </w:p>
        </w:tc>
      </w:tr>
      <w:tr w:rsidR="000C54CF" w:rsidRPr="000C54CF" w:rsidTr="000838D3">
        <w:trPr>
          <w:trHeight w:val="1393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平台採用國際規格與網絡</w:t>
            </w:r>
          </w:p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（可與國外系統連接作業）</w:t>
            </w:r>
          </w:p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2.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開辦</w:t>
            </w:r>
            <w:r w:rsidRPr="000C54CF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「境內」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美元匯款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已於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102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日營運</w:t>
            </w:r>
          </w:p>
        </w:tc>
      </w:tr>
      <w:tr w:rsidR="000C54CF" w:rsidRPr="000C54CF" w:rsidTr="000838D3">
        <w:trPr>
          <w:trHeight w:val="770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增辦「境內」及「兩岸」之「人民幣」匯款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已於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102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9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30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日營運</w:t>
            </w:r>
          </w:p>
        </w:tc>
      </w:tr>
      <w:tr w:rsidR="000C54CF" w:rsidRPr="000C54CF" w:rsidTr="000838D3">
        <w:trPr>
          <w:trHeight w:val="1393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54CF" w:rsidRPr="000C54CF" w:rsidRDefault="000C54CF" w:rsidP="000C54CF">
            <w:pPr>
              <w:widowControl/>
              <w:spacing w:line="420" w:lineRule="exact"/>
              <w:ind w:left="418" w:hanging="418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開辦</w:t>
            </w:r>
            <w:r w:rsidRPr="000C54CF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「兩岸」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美元匯款業務；</w:t>
            </w:r>
          </w:p>
          <w:p w:rsidR="000C54CF" w:rsidRPr="000C54CF" w:rsidRDefault="000C54CF" w:rsidP="000C54CF">
            <w:pPr>
              <w:widowControl/>
              <w:spacing w:line="420" w:lineRule="exact"/>
              <w:ind w:left="274" w:hanging="274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2.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完成新台幣與外幣交易之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PVP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機制</w:t>
            </w:r>
            <w:r w:rsidRPr="000C54CF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，讓不同外幣間的外匯交易同步完成交割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已於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103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14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日上線</w:t>
            </w:r>
          </w:p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2.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已於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103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17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日上線</w:t>
            </w:r>
          </w:p>
        </w:tc>
      </w:tr>
      <w:tr w:rsidR="000C54CF" w:rsidRPr="000C54CF" w:rsidTr="000838D3">
        <w:trPr>
          <w:trHeight w:val="2335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0C54CF">
              <w:rPr>
                <w:rFonts w:ascii="Arial" w:eastAsia="標楷體" w:hAnsi="Arial" w:cs="Arial"/>
                <w:b/>
                <w:bCs/>
                <w:color w:val="000000"/>
                <w:kern w:val="24"/>
                <w:sz w:val="32"/>
                <w:szCs w:val="32"/>
              </w:rPr>
              <w:t>4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706F1" w:rsidRDefault="000C54CF" w:rsidP="000C54CF">
            <w:pPr>
              <w:pStyle w:val="aa"/>
              <w:widowControl/>
              <w:numPr>
                <w:ilvl w:val="0"/>
                <w:numId w:val="1"/>
              </w:numPr>
              <w:spacing w:line="420" w:lineRule="exact"/>
              <w:ind w:leftChars="0"/>
              <w:rPr>
                <w:rFonts w:eastAsia="標楷體"/>
                <w:b/>
                <w:bCs/>
                <w:color w:val="0000FF"/>
                <w:kern w:val="24"/>
                <w:sz w:val="32"/>
                <w:szCs w:val="32"/>
              </w:rPr>
            </w:pPr>
            <w:r w:rsidRPr="000706F1">
              <w:rPr>
                <w:rFonts w:eastAsia="標楷體"/>
                <w:b/>
                <w:bCs/>
                <w:color w:val="0000FF"/>
                <w:kern w:val="24"/>
                <w:sz w:val="32"/>
                <w:szCs w:val="32"/>
              </w:rPr>
              <w:t>增辦日圓交易之清算服務</w:t>
            </w:r>
          </w:p>
          <w:p w:rsidR="000C54CF" w:rsidRPr="000706F1" w:rsidRDefault="000C54CF" w:rsidP="000C54CF">
            <w:pPr>
              <w:pStyle w:val="aa"/>
              <w:widowControl/>
              <w:spacing w:line="420" w:lineRule="exact"/>
              <w:ind w:leftChars="0" w:left="360"/>
              <w:rPr>
                <w:rFonts w:eastAsia="標楷體"/>
                <w:b/>
                <w:bCs/>
                <w:color w:val="0000FF"/>
                <w:kern w:val="24"/>
                <w:sz w:val="32"/>
                <w:szCs w:val="32"/>
              </w:rPr>
            </w:pPr>
          </w:p>
          <w:p w:rsidR="000C54CF" w:rsidRPr="000706F1" w:rsidRDefault="000C54CF" w:rsidP="000C54CF">
            <w:pPr>
              <w:pStyle w:val="aa"/>
              <w:widowControl/>
              <w:numPr>
                <w:ilvl w:val="0"/>
                <w:numId w:val="1"/>
              </w:numPr>
              <w:spacing w:line="420" w:lineRule="exact"/>
              <w:ind w:leftChars="0"/>
              <w:rPr>
                <w:rFonts w:eastAsia="標楷體"/>
                <w:b/>
                <w:bCs/>
                <w:color w:val="0000FF"/>
                <w:kern w:val="24"/>
                <w:sz w:val="32"/>
                <w:szCs w:val="32"/>
              </w:rPr>
            </w:pPr>
            <w:r w:rsidRPr="000706F1">
              <w:rPr>
                <w:rFonts w:eastAsia="標楷體"/>
                <w:b/>
                <w:bCs/>
                <w:color w:val="0000FF"/>
                <w:kern w:val="24"/>
                <w:sz w:val="32"/>
                <w:szCs w:val="32"/>
              </w:rPr>
              <w:t>增辦歐元交易之清算服務</w:t>
            </w:r>
          </w:p>
          <w:p w:rsidR="000C54CF" w:rsidRPr="000706F1" w:rsidRDefault="000C54CF" w:rsidP="000C54CF">
            <w:pPr>
              <w:widowControl/>
              <w:spacing w:line="420" w:lineRule="exact"/>
              <w:rPr>
                <w:rFonts w:eastAsia="標楷體"/>
                <w:b/>
                <w:bCs/>
                <w:color w:val="0000FF"/>
                <w:kern w:val="24"/>
                <w:sz w:val="32"/>
                <w:szCs w:val="32"/>
              </w:rPr>
            </w:pPr>
          </w:p>
          <w:p w:rsidR="000C54CF" w:rsidRPr="000706F1" w:rsidRDefault="000C54CF" w:rsidP="000C54CF">
            <w:pPr>
              <w:pStyle w:val="aa"/>
              <w:widowControl/>
              <w:numPr>
                <w:ilvl w:val="0"/>
                <w:numId w:val="1"/>
              </w:numPr>
              <w:spacing w:line="420" w:lineRule="exact"/>
              <w:ind w:leftChars="0"/>
              <w:rPr>
                <w:rFonts w:eastAsia="標楷體"/>
                <w:b/>
                <w:color w:val="0000FF"/>
                <w:kern w:val="0"/>
                <w:sz w:val="32"/>
                <w:szCs w:val="32"/>
              </w:rPr>
            </w:pPr>
            <w:r w:rsidRPr="000706F1">
              <w:rPr>
                <w:rFonts w:eastAsia="標楷體"/>
                <w:b/>
                <w:color w:val="0000FF"/>
                <w:kern w:val="0"/>
                <w:sz w:val="32"/>
                <w:szCs w:val="32"/>
              </w:rPr>
              <w:t>提供外幣債券（如寶島債）之</w:t>
            </w:r>
            <w:r w:rsidRPr="000706F1">
              <w:rPr>
                <w:rFonts w:eastAsia="標楷體"/>
                <w:b/>
                <w:color w:val="0000FF"/>
                <w:kern w:val="0"/>
                <w:sz w:val="32"/>
                <w:szCs w:val="32"/>
              </w:rPr>
              <w:t>DVP</w:t>
            </w:r>
            <w:r w:rsidRPr="000706F1">
              <w:rPr>
                <w:rFonts w:eastAsia="標楷體"/>
                <w:b/>
                <w:color w:val="0000FF"/>
                <w:kern w:val="0"/>
                <w:sz w:val="32"/>
                <w:szCs w:val="32"/>
              </w:rPr>
              <w:t>服務</w:t>
            </w:r>
          </w:p>
          <w:p w:rsidR="000C54CF" w:rsidRPr="000C54CF" w:rsidRDefault="000C54CF" w:rsidP="000C54CF">
            <w:pPr>
              <w:widowControl/>
              <w:spacing w:line="420" w:lineRule="exact"/>
              <w:ind w:left="418" w:hanging="418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0C54CF" w:rsidRDefault="000C54CF" w:rsidP="000C54CF">
            <w:pPr>
              <w:widowControl/>
              <w:spacing w:line="420" w:lineRule="exact"/>
              <w:ind w:left="418" w:hanging="418"/>
              <w:rPr>
                <w:rFonts w:ascii="Arial" w:hAnsi="Arial" w:cs="Arial"/>
                <w:color w:val="0000FF"/>
                <w:kern w:val="0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FF"/>
                <w:kern w:val="24"/>
                <w:sz w:val="32"/>
                <w:szCs w:val="32"/>
              </w:rPr>
              <w:t>1.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預定於</w:t>
            </w:r>
            <w:r w:rsidRPr="000C54CF">
              <w:rPr>
                <w:rFonts w:ascii="Arial" w:eastAsia="標楷體" w:hAnsi="Arial" w:cs="Arial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104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年</w:t>
            </w:r>
            <w:r w:rsidRPr="000C54CF">
              <w:rPr>
                <w:rFonts w:ascii="Arial" w:eastAsia="標楷體" w:hAnsi="Arial" w:cs="Arial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1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月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開辦</w:t>
            </w:r>
          </w:p>
          <w:p w:rsidR="000C54CF" w:rsidRPr="000706F1" w:rsidRDefault="000C54CF" w:rsidP="000C54CF">
            <w:pPr>
              <w:widowControl/>
              <w:spacing w:line="420" w:lineRule="exact"/>
              <w:ind w:left="274" w:hanging="274"/>
              <w:rPr>
                <w:rFonts w:ascii="Arial" w:eastAsia="標楷體" w:hAnsi="標楷體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0C54CF">
              <w:rPr>
                <w:rFonts w:ascii="Arial" w:eastAsia="標楷體" w:hAnsi="Arial" w:cs="Arial"/>
                <w:b/>
                <w:bCs/>
                <w:color w:val="0000FF"/>
                <w:kern w:val="24"/>
                <w:sz w:val="32"/>
                <w:szCs w:val="32"/>
              </w:rPr>
              <w:t xml:space="preserve">  </w:t>
            </w:r>
            <w:r w:rsidR="00EC3A3D">
              <w:rPr>
                <w:rFonts w:ascii="新細明體" w:hAnsi="新細明體" w:cs="Arial" w:hint="eastAsia"/>
                <w:b/>
                <w:bCs/>
                <w:color w:val="0000FF"/>
                <w:kern w:val="24"/>
                <w:sz w:val="32"/>
                <w:szCs w:val="32"/>
              </w:rPr>
              <w:t>（</w:t>
            </w:r>
            <w:r w:rsidRPr="000C54CF">
              <w:rPr>
                <w:rFonts w:ascii="Arial" w:eastAsia="標楷體" w:hAnsi="Arial" w:cs="Arial"/>
                <w:b/>
                <w:bCs/>
                <w:color w:val="0000FF"/>
                <w:kern w:val="24"/>
                <w:sz w:val="32"/>
                <w:szCs w:val="32"/>
              </w:rPr>
              <w:t>103.6.19</w:t>
            </w:r>
            <w:r w:rsidRPr="000C54CF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公布日圓清算行</w:t>
            </w:r>
            <w:r w:rsidR="00EC3A3D">
              <w:rPr>
                <w:rFonts w:ascii="新細明體" w:hAnsi="新細明體" w:cs="Arial" w:hint="eastAsia"/>
                <w:b/>
                <w:bCs/>
                <w:color w:val="0000FF"/>
                <w:kern w:val="24"/>
                <w:sz w:val="32"/>
                <w:szCs w:val="32"/>
              </w:rPr>
              <w:t>）</w:t>
            </w:r>
          </w:p>
          <w:p w:rsidR="000C54CF" w:rsidRPr="000706F1" w:rsidRDefault="000C54CF" w:rsidP="000C54CF">
            <w:pPr>
              <w:widowControl/>
              <w:spacing w:line="420" w:lineRule="exact"/>
              <w:ind w:left="274" w:hanging="274"/>
              <w:rPr>
                <w:rFonts w:ascii="Arial" w:eastAsia="標楷體" w:hAnsi="標楷體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2.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預定於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104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年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6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月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開辦</w:t>
            </w:r>
          </w:p>
          <w:p w:rsidR="000C54CF" w:rsidRPr="000706F1" w:rsidRDefault="000C54CF" w:rsidP="000C54CF">
            <w:pPr>
              <w:widowControl/>
              <w:spacing w:line="420" w:lineRule="exact"/>
              <w:ind w:left="274" w:hanging="274"/>
              <w:rPr>
                <w:rFonts w:ascii="Arial" w:eastAsia="標楷體" w:hAnsi="標楷體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 xml:space="preserve">  </w:t>
            </w:r>
            <w:r w:rsidR="00EC3A3D">
              <w:rPr>
                <w:rFonts w:ascii="新細明體" w:hAnsi="新細明體" w:cs="Arial" w:hint="eastAsia"/>
                <w:b/>
                <w:bCs/>
                <w:color w:val="0000FF"/>
                <w:kern w:val="24"/>
                <w:sz w:val="32"/>
                <w:szCs w:val="32"/>
              </w:rPr>
              <w:t>（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103.10.13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公布歐元清算行</w:t>
            </w:r>
            <w:r w:rsidR="00EC3A3D">
              <w:rPr>
                <w:rFonts w:ascii="新細明體" w:hAnsi="新細明體" w:cs="Arial" w:hint="eastAsia"/>
                <w:b/>
                <w:bCs/>
                <w:color w:val="0000FF"/>
                <w:kern w:val="24"/>
                <w:sz w:val="32"/>
                <w:szCs w:val="32"/>
              </w:rPr>
              <w:t>）</w:t>
            </w:r>
          </w:p>
          <w:p w:rsidR="000C54CF" w:rsidRPr="000706F1" w:rsidRDefault="000C54CF" w:rsidP="000C54CF">
            <w:pPr>
              <w:widowControl/>
              <w:spacing w:line="420" w:lineRule="exact"/>
              <w:ind w:left="274" w:hanging="274"/>
              <w:rPr>
                <w:rFonts w:ascii="Arial" w:eastAsia="標楷體" w:hAnsi="標楷體" w:cs="Arial"/>
                <w:b/>
                <w:bCs/>
                <w:color w:val="0000FF"/>
                <w:kern w:val="24"/>
                <w:sz w:val="32"/>
                <w:szCs w:val="32"/>
              </w:rPr>
            </w:pP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3.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預定</w:t>
            </w:r>
            <w:r w:rsidR="000838D3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於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104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年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7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  <w:u w:val="single"/>
              </w:rPr>
              <w:t>月</w:t>
            </w:r>
            <w:r w:rsidRPr="000706F1">
              <w:rPr>
                <w:rFonts w:ascii="Arial" w:eastAsia="標楷體" w:hAnsi="標楷體" w:cs="Arial" w:hint="eastAsia"/>
                <w:b/>
                <w:bCs/>
                <w:color w:val="0000FF"/>
                <w:kern w:val="24"/>
                <w:sz w:val="32"/>
                <w:szCs w:val="32"/>
              </w:rPr>
              <w:t>開辦</w:t>
            </w:r>
          </w:p>
          <w:p w:rsidR="000C54CF" w:rsidRPr="000C54CF" w:rsidRDefault="000C54CF" w:rsidP="000C54CF">
            <w:pPr>
              <w:widowControl/>
              <w:spacing w:line="420" w:lineRule="exact"/>
              <w:ind w:left="274" w:hanging="274"/>
              <w:rPr>
                <w:rFonts w:ascii="Arial" w:hAnsi="Arial" w:cs="Arial"/>
                <w:color w:val="0000FF"/>
                <w:kern w:val="0"/>
                <w:sz w:val="32"/>
                <w:szCs w:val="32"/>
              </w:rPr>
            </w:pPr>
          </w:p>
        </w:tc>
      </w:tr>
    </w:tbl>
    <w:p w:rsidR="0088769C" w:rsidRPr="008C6F58" w:rsidRDefault="008C6F58" w:rsidP="00643385">
      <w:pPr>
        <w:pStyle w:val="Web"/>
        <w:spacing w:beforeLines="50" w:before="180" w:beforeAutospacing="0" w:afterLines="50" w:after="180" w:afterAutospacing="0" w:line="420" w:lineRule="exact"/>
        <w:ind w:left="1123" w:hanging="272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C6F58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36"/>
          <w:szCs w:val="36"/>
        </w:rPr>
        <w:lastRenderedPageBreak/>
        <w:t>二</w:t>
      </w:r>
      <w:r w:rsidR="0088769C" w:rsidRPr="008C6F58">
        <w:rPr>
          <w:rFonts w:cs="Times New Roman" w:hint="eastAsia"/>
          <w:b/>
          <w:color w:val="000000" w:themeColor="text1"/>
          <w:kern w:val="24"/>
          <w:sz w:val="36"/>
          <w:szCs w:val="36"/>
        </w:rPr>
        <w:t>、</w:t>
      </w:r>
      <w:r w:rsidR="0088769C" w:rsidRPr="008C6F58">
        <w:rPr>
          <w:rFonts w:ascii="Times New Roman" w:eastAsia="標楷體" w:hAnsi="Times New Roman" w:cs="Times New Roman"/>
          <w:b/>
          <w:color w:val="000000" w:themeColor="text1"/>
          <w:kern w:val="24"/>
          <w:sz w:val="36"/>
          <w:szCs w:val="36"/>
        </w:rPr>
        <w:t>運作架構</w:t>
      </w:r>
    </w:p>
    <w:p w:rsidR="0088769C" w:rsidRPr="00A61DE6" w:rsidRDefault="00BA467F" w:rsidP="00643385">
      <w:pPr>
        <w:pStyle w:val="Web"/>
        <w:spacing w:beforeLines="50" w:before="180" w:beforeAutospacing="0" w:afterLines="50" w:after="180" w:afterAutospacing="0" w:line="420" w:lineRule="exact"/>
        <w:ind w:left="1066" w:firstLine="6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61DE6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1.</w:t>
      </w:r>
      <w:r w:rsidR="0088769C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目前</w:t>
      </w:r>
      <w:r w:rsidR="0088769C" w:rsidRPr="00A61DE6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已提供</w:t>
      </w:r>
      <w:r w:rsidR="0088769C" w:rsidRPr="00A61DE6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境</w:t>
      </w:r>
      <w:r w:rsidR="0088769C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內及跨境（包括兩岸）美元、人民幣交易之支付清算服務。</w:t>
      </w:r>
    </w:p>
    <w:p w:rsidR="0088769C" w:rsidRPr="00A61DE6" w:rsidRDefault="00BA467F" w:rsidP="00643385">
      <w:pPr>
        <w:pStyle w:val="Web"/>
        <w:spacing w:beforeLines="50" w:before="180" w:beforeAutospacing="0" w:afterLines="50" w:after="180" w:afterAutospacing="0" w:line="420" w:lineRule="exact"/>
        <w:ind w:left="1066" w:firstLine="6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61DE6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2.</w:t>
      </w:r>
      <w:r w:rsidR="0088769C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未來</w:t>
      </w:r>
      <w:r w:rsidR="0088769C" w:rsidRPr="00A61DE6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將擴增</w:t>
      </w:r>
      <w:r w:rsidR="0088769C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歐元及日圓兩種幣別，並建立外幣債券</w:t>
      </w:r>
      <w:r w:rsidR="00643385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之款券同步交割（</w:t>
      </w:r>
      <w:r w:rsidR="0088769C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DVP</w:t>
      </w:r>
      <w:r w:rsidR="00643385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）</w:t>
      </w:r>
      <w:r w:rsidR="00A61DE6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機</w:t>
      </w:r>
      <w:r w:rsidR="0088769C" w:rsidRPr="00A61DE6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制。</w:t>
      </w:r>
    </w:p>
    <w:p w:rsidR="0088769C" w:rsidRPr="00111778" w:rsidRDefault="000706F1" w:rsidP="0088769C">
      <w:pPr>
        <w:pStyle w:val="1"/>
        <w:tabs>
          <w:tab w:val="clear" w:pos="2030"/>
        </w:tabs>
        <w:spacing w:afterLines="0" w:line="500" w:lineRule="exact"/>
        <w:ind w:leftChars="0" w:left="0" w:right="96" w:firstLineChars="0" w:firstLine="0"/>
        <w:rPr>
          <w:rFonts w:ascii="Times New Roman"/>
          <w:b w:val="0"/>
          <w:sz w:val="32"/>
          <w:szCs w:val="32"/>
        </w:rPr>
      </w:pPr>
      <w:r w:rsidRPr="00762CF6">
        <w:rPr>
          <w:rFonts w:ascii="Times New Roman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68356" wp14:editId="0C191DB0">
                <wp:simplePos x="0" y="0"/>
                <wp:positionH relativeFrom="column">
                  <wp:posOffset>2870200</wp:posOffset>
                </wp:positionH>
                <wp:positionV relativeFrom="paragraph">
                  <wp:posOffset>2540</wp:posOffset>
                </wp:positionV>
                <wp:extent cx="2987040" cy="416560"/>
                <wp:effectExtent l="0" t="0" r="3810" b="2540"/>
                <wp:wrapNone/>
                <wp:docPr id="2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69C" w:rsidRPr="00762CF6" w:rsidRDefault="0088769C" w:rsidP="0088769C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>外幣結算平台運作架構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6pt;margin-top:.2pt;width:235.2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" stroked="f">
                <v:textbox>
                  <w:txbxContent>
                    <w:p w:rsidR="0088769C" w:rsidRPr="00762CF6" w:rsidRDefault="0088769C" w:rsidP="0088769C">
                      <w:pPr>
                        <w:rPr>
                          <w:rFonts w:eastAsia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>外幣結算平台運作架構</w:t>
                      </w:r>
                    </w:p>
                  </w:txbxContent>
                </v:textbox>
              </v:shape>
            </w:pict>
          </mc:Fallback>
        </mc:AlternateContent>
      </w:r>
    </w:p>
    <w:p w:rsidR="0088769C" w:rsidRDefault="000706F1" w:rsidP="000706F1">
      <w:pPr>
        <w:pStyle w:val="1"/>
        <w:tabs>
          <w:tab w:val="clear" w:pos="2030"/>
        </w:tabs>
        <w:spacing w:afterLines="0" w:line="240" w:lineRule="auto"/>
        <w:ind w:leftChars="295" w:left="708" w:right="96" w:firstLineChars="0" w:firstLine="1"/>
        <w:rPr>
          <w:rFonts w:ascii="Times New Roman"/>
          <w:b w:val="0"/>
          <w:sz w:val="32"/>
          <w:szCs w:val="32"/>
        </w:rPr>
      </w:pPr>
      <w:r w:rsidRPr="000706F1">
        <w:rPr>
          <w:noProof/>
        </w:rPr>
        <w:drawing>
          <wp:inline distT="0" distB="0" distL="0" distR="0" wp14:anchorId="56C77ED7" wp14:editId="3E59E8E1">
            <wp:extent cx="8696960" cy="3462815"/>
            <wp:effectExtent l="0" t="0" r="889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212" cy="34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9C" w:rsidRDefault="000706F1" w:rsidP="0088769C">
      <w:pPr>
        <w:pStyle w:val="1"/>
        <w:tabs>
          <w:tab w:val="clear" w:pos="2030"/>
        </w:tabs>
        <w:spacing w:afterLines="0" w:line="240" w:lineRule="auto"/>
        <w:ind w:leftChars="0" w:left="0" w:right="96" w:firstLineChars="0" w:firstLine="0"/>
        <w:rPr>
          <w:rFonts w:ascii="Times New Roman"/>
          <w:b w:val="0"/>
          <w:sz w:val="32"/>
          <w:szCs w:val="32"/>
        </w:rPr>
      </w:pPr>
      <w:r>
        <w:rPr>
          <w:rFonts w:ascii="Times New Roman" w:hint="eastAsia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8B9FB" wp14:editId="4A239AB7">
                <wp:simplePos x="0" y="0"/>
                <wp:positionH relativeFrom="column">
                  <wp:posOffset>720090</wp:posOffset>
                </wp:positionH>
                <wp:positionV relativeFrom="paragraph">
                  <wp:posOffset>26035</wp:posOffset>
                </wp:positionV>
                <wp:extent cx="7264400" cy="1036320"/>
                <wp:effectExtent l="0" t="0" r="12700" b="1143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8769C" w:rsidRPr="000706F1" w:rsidRDefault="0088769C" w:rsidP="000706F1">
                            <w:pPr>
                              <w:pStyle w:val="Web"/>
                              <w:spacing w:before="0" w:beforeAutospacing="0" w:after="0" w:afterAutospacing="0" w:line="460" w:lineRule="exact"/>
                              <w:ind w:leftChars="1" w:left="330" w:hangingChars="117" w:hanging="328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括號內表各</w:t>
                            </w:r>
                            <w:r w:rsidR="00D02262" w:rsidRPr="000706F1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種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外幣開辦日期</w:t>
                            </w:r>
                          </w:p>
                          <w:p w:rsidR="0088769C" w:rsidRPr="000706F1" w:rsidRDefault="0088769C" w:rsidP="000706F1">
                            <w:pPr>
                              <w:pStyle w:val="Web"/>
                              <w:spacing w:before="0" w:beforeAutospacing="0" w:after="0" w:afterAutospacing="0" w:line="460" w:lineRule="exact"/>
                              <w:ind w:leftChars="1" w:left="330" w:hangingChars="117" w:hanging="328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**</w:t>
                            </w:r>
                            <w:r w:rsidR="003F507D"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103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年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月國際集保機構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Euroclear 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及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Clearstream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在集保系統開戶，未來外幣結算平台與集保系統連接採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DVP</w:t>
                            </w:r>
                            <w:r w:rsidRPr="000706F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，將提供國內、外投資人更安全及便捷的跨境交割服務。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left:0;text-align:left;margin-left:56.7pt;margin-top:2.05pt;width:572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" fillcolor="window" strokecolor="window" strokeweight=".5pt">
                <v:textbox>
                  <w:txbxContent>
                    <w:p w:rsidR="0088769C" w:rsidRPr="000706F1" w:rsidRDefault="0088769C" w:rsidP="000706F1">
                      <w:pPr>
                        <w:pStyle w:val="Web"/>
                        <w:spacing w:before="0" w:beforeAutospacing="0" w:after="0" w:afterAutospacing="0" w:line="460" w:lineRule="exact"/>
                        <w:ind w:leftChars="1" w:left="330" w:hangingChars="117" w:hanging="328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*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括號內表各</w:t>
                      </w:r>
                      <w:r w:rsidR="00D02262" w:rsidRPr="000706F1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種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外幣開辦日期</w:t>
                      </w:r>
                    </w:p>
                    <w:p w:rsidR="0088769C" w:rsidRPr="000706F1" w:rsidRDefault="0088769C" w:rsidP="000706F1">
                      <w:pPr>
                        <w:pStyle w:val="Web"/>
                        <w:spacing w:before="0" w:beforeAutospacing="0" w:after="0" w:afterAutospacing="0" w:line="460" w:lineRule="exact"/>
                        <w:ind w:leftChars="1" w:left="330" w:hangingChars="117" w:hanging="328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**</w:t>
                      </w:r>
                      <w:r w:rsidR="003F507D"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103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年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月國際集保機構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Euroclear 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及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Clearstream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在集保系統開戶，未來外幣結算平台與集保系統連接採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DVP</w:t>
                      </w:r>
                      <w:r w:rsidRPr="000706F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，將提供國內、外投資人更安全及便捷的跨境交割服務。</w:t>
                      </w:r>
                    </w:p>
                  </w:txbxContent>
                </v:textbox>
              </v:shape>
            </w:pict>
          </mc:Fallback>
        </mc:AlternateContent>
      </w:r>
      <w:r w:rsidR="0088769C">
        <w:rPr>
          <w:rFonts w:ascii="Times New Roman" w:hint="eastAsia"/>
          <w:b w:val="0"/>
          <w:sz w:val="32"/>
          <w:szCs w:val="32"/>
        </w:rPr>
        <w:t xml:space="preserve">              </w:t>
      </w:r>
    </w:p>
    <w:p w:rsidR="000706F1" w:rsidRDefault="000706F1" w:rsidP="00643385">
      <w:pPr>
        <w:pStyle w:val="Web"/>
        <w:spacing w:beforeLines="50" w:before="180" w:beforeAutospacing="0" w:afterLines="50" w:after="180" w:afterAutospacing="0" w:line="420" w:lineRule="exact"/>
        <w:ind w:left="1123" w:hanging="272"/>
        <w:jc w:val="both"/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88769C" w:rsidRPr="000706F1" w:rsidRDefault="000706F1" w:rsidP="00643385">
      <w:pPr>
        <w:pStyle w:val="Web"/>
        <w:spacing w:beforeLines="50" w:before="180" w:beforeAutospacing="0" w:afterLines="50" w:after="180" w:afterAutospacing="0" w:line="420" w:lineRule="exact"/>
        <w:ind w:left="1123" w:hanging="272"/>
        <w:jc w:val="both"/>
        <w:rPr>
          <w:rFonts w:ascii="Times New Roman" w:eastAsia="標楷體" w:hAnsi="Times New Roman" w:cs="Times New Roman"/>
          <w:b/>
          <w:color w:val="000000" w:themeColor="text1"/>
          <w:kern w:val="24"/>
          <w:sz w:val="36"/>
          <w:szCs w:val="36"/>
        </w:rPr>
      </w:pPr>
      <w:r w:rsidRPr="000706F1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36"/>
          <w:szCs w:val="36"/>
        </w:rPr>
        <w:lastRenderedPageBreak/>
        <w:t>三</w:t>
      </w:r>
      <w:r w:rsidR="00BA467F"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6"/>
          <w:szCs w:val="36"/>
        </w:rPr>
        <w:t>、</w:t>
      </w:r>
      <w:r w:rsidR="0088769C"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6"/>
          <w:szCs w:val="36"/>
        </w:rPr>
        <w:t>外幣結算平台營運量</w:t>
      </w:r>
    </w:p>
    <w:p w:rsidR="00A7166B" w:rsidRPr="00A7166B" w:rsidRDefault="00A7166B" w:rsidP="00643385">
      <w:pPr>
        <w:pStyle w:val="Web"/>
        <w:spacing w:beforeLines="50" w:before="180" w:beforeAutospacing="0" w:afterLines="50" w:after="180" w:afterAutospacing="0" w:line="420" w:lineRule="exact"/>
        <w:ind w:left="1066" w:firstLine="68"/>
        <w:jc w:val="both"/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</w:pP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1.</w:t>
      </w:r>
      <w:r w:rsidRPr="00A7166B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目前處理美元及人民幣</w:t>
      </w:r>
      <w:r w:rsidR="007C167C">
        <w:rPr>
          <w:rFonts w:ascii="Times New Roman" w:eastAsia="標楷體" w:hAnsi="Times New Roman" w:cs="Times New Roman" w:hint="eastAsia"/>
          <w:color w:val="000000"/>
          <w:kern w:val="24"/>
          <w:sz w:val="32"/>
          <w:szCs w:val="32"/>
        </w:rPr>
        <w:t>之</w:t>
      </w:r>
      <w:r w:rsidRPr="00A7166B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交易</w:t>
      </w:r>
      <w:r w:rsidR="007C167C">
        <w:rPr>
          <w:rFonts w:ascii="Times New Roman" w:eastAsia="標楷體" w:hAnsi="Times New Roman" w:cs="Times New Roman" w:hint="eastAsia"/>
          <w:color w:val="000000"/>
          <w:kern w:val="24"/>
          <w:sz w:val="32"/>
          <w:szCs w:val="32"/>
        </w:rPr>
        <w:t>量均有成長</w:t>
      </w:r>
      <w:r w:rsidRPr="00A7166B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，其中美元成長尤為顯著。</w:t>
      </w:r>
    </w:p>
    <w:p w:rsidR="00A7166B" w:rsidRDefault="00A7166B" w:rsidP="00643385">
      <w:pPr>
        <w:pStyle w:val="Web"/>
        <w:spacing w:beforeLines="50" w:before="180" w:beforeAutospacing="0" w:afterLines="50" w:after="180" w:afterAutospacing="0" w:line="420" w:lineRule="exact"/>
        <w:ind w:left="1418" w:hanging="284"/>
        <w:jc w:val="both"/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</w:pP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2.103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年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9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月份美元交易金額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2,009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億美元、筆數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71,305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筆，分別為開辦初期（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102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年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3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月份）之</w:t>
      </w:r>
      <w:r w:rsidRPr="00A7166B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111</w:t>
      </w:r>
      <w:r w:rsidRPr="00A7166B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倍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及</w:t>
      </w:r>
      <w:r w:rsidRPr="00A7166B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10</w:t>
      </w:r>
      <w:r w:rsidRPr="00A7166B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倍</w:t>
      </w:r>
      <w:r w:rsidRPr="00A7166B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>。</w:t>
      </w:r>
    </w:p>
    <w:p w:rsidR="00A61DE6" w:rsidRDefault="00A61DE6" w:rsidP="00A61DE6">
      <w:pPr>
        <w:pStyle w:val="Web"/>
        <w:spacing w:beforeLines="50" w:before="180" w:beforeAutospacing="0" w:afterLines="50" w:after="180" w:afterAutospacing="0" w:line="260" w:lineRule="exact"/>
        <w:ind w:left="1418" w:hanging="284"/>
        <w:jc w:val="both"/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</w:pPr>
    </w:p>
    <w:p w:rsidR="00BA467F" w:rsidRDefault="000838D3" w:rsidP="000838D3">
      <w:pPr>
        <w:pStyle w:val="1"/>
        <w:tabs>
          <w:tab w:val="clear" w:pos="2030"/>
        </w:tabs>
        <w:spacing w:afterLines="0" w:line="240" w:lineRule="auto"/>
        <w:ind w:leftChars="0" w:left="0" w:right="96" w:firstLineChars="265" w:firstLine="1698"/>
        <w:rPr>
          <w:rFonts w:ascii="Arial" w:hAnsi="標楷體" w:cs="Arial"/>
          <w:color w:val="000000" w:themeColor="text1"/>
          <w:kern w:val="24"/>
          <w:sz w:val="32"/>
          <w:szCs w:val="32"/>
        </w:rPr>
      </w:pPr>
      <w:r w:rsidRPr="000838D3">
        <w:rPr>
          <w:noProof/>
        </w:rPr>
        <w:drawing>
          <wp:inline distT="0" distB="0" distL="0" distR="0">
            <wp:extent cx="6014720" cy="4196080"/>
            <wp:effectExtent l="0" t="0" r="508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9C" w:rsidRDefault="0088769C" w:rsidP="00A7166B">
      <w:pPr>
        <w:pStyle w:val="Web"/>
        <w:spacing w:before="0" w:beforeAutospacing="0" w:after="0" w:afterAutospacing="0"/>
        <w:ind w:firstLineChars="531" w:firstLine="127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9ABE3" wp14:editId="7E0411C1">
                <wp:simplePos x="0" y="0"/>
                <wp:positionH relativeFrom="column">
                  <wp:posOffset>5513705</wp:posOffset>
                </wp:positionH>
                <wp:positionV relativeFrom="paragraph">
                  <wp:posOffset>3270250</wp:posOffset>
                </wp:positionV>
                <wp:extent cx="152400" cy="98425"/>
                <wp:effectExtent l="38100" t="19050" r="57150" b="92075"/>
                <wp:wrapNone/>
                <wp:docPr id="18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8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434.15pt;margin-top:257.5pt;width:12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" strokecolor="red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 </w:t>
      </w:r>
    </w:p>
    <w:p w:rsidR="000838D3" w:rsidRPr="00357EF5" w:rsidRDefault="000838D3" w:rsidP="00A7166B">
      <w:pPr>
        <w:pStyle w:val="Web"/>
        <w:spacing w:before="0" w:beforeAutospacing="0" w:after="0" w:afterAutospacing="0"/>
        <w:ind w:firstLineChars="531" w:firstLine="1274"/>
        <w:jc w:val="both"/>
        <w:rPr>
          <w:rFonts w:ascii="Times New Roman" w:hAnsi="Times New Roman" w:cs="Times New Roman"/>
        </w:rPr>
      </w:pPr>
    </w:p>
    <w:p w:rsidR="0088769C" w:rsidRPr="000706F1" w:rsidRDefault="00870346" w:rsidP="000706F1">
      <w:pPr>
        <w:pStyle w:val="1"/>
        <w:tabs>
          <w:tab w:val="clear" w:pos="2030"/>
        </w:tabs>
        <w:spacing w:afterLines="0" w:line="500" w:lineRule="exact"/>
        <w:ind w:leftChars="0" w:left="0" w:right="96" w:firstLineChars="265" w:firstLine="955"/>
        <w:rPr>
          <w:rFonts w:ascii="Times New Roman"/>
          <w:sz w:val="36"/>
          <w:szCs w:val="36"/>
        </w:rPr>
      </w:pPr>
      <w:r>
        <w:rPr>
          <w:rFonts w:ascii="Times New Roman" w:hint="eastAsia"/>
          <w:color w:val="000000" w:themeColor="text1"/>
          <w:kern w:val="24"/>
          <w:sz w:val="36"/>
          <w:szCs w:val="36"/>
        </w:rPr>
        <w:t>四</w:t>
      </w:r>
      <w:r w:rsidR="00A7166B" w:rsidRPr="000706F1">
        <w:rPr>
          <w:rFonts w:ascii="新細明體" w:eastAsia="新細明體" w:hAnsi="新細明體" w:hint="eastAsia"/>
          <w:color w:val="000000" w:themeColor="text1"/>
          <w:kern w:val="24"/>
          <w:sz w:val="36"/>
          <w:szCs w:val="36"/>
        </w:rPr>
        <w:t>、</w:t>
      </w:r>
      <w:r w:rsidR="0088769C" w:rsidRPr="000706F1">
        <w:rPr>
          <w:rFonts w:ascii="Arial" w:hAnsi="標楷體" w:cs="Arial" w:hint="eastAsia"/>
          <w:bCs/>
          <w:color w:val="000000"/>
          <w:kern w:val="24"/>
          <w:sz w:val="36"/>
          <w:szCs w:val="36"/>
        </w:rPr>
        <w:t>效益</w:t>
      </w:r>
    </w:p>
    <w:p w:rsidR="0088769C" w:rsidRPr="00F8332B" w:rsidRDefault="00A7166B" w:rsidP="000706F1">
      <w:pPr>
        <w:pStyle w:val="Web"/>
        <w:spacing w:before="0" w:beforeAutospacing="0" w:afterLines="20" w:after="72" w:afterAutospacing="0" w:line="460" w:lineRule="exact"/>
        <w:ind w:firstLineChars="354" w:firstLine="113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24"/>
          <w:sz w:val="32"/>
          <w:szCs w:val="32"/>
        </w:rPr>
        <w:t>1.</w:t>
      </w:r>
      <w:r w:rsidR="0088769C" w:rsidRPr="00F8332B">
        <w:rPr>
          <w:rFonts w:ascii="Times New Roman" w:eastAsia="標楷體" w:hAnsi="Times New Roman" w:cs="Times New Roman"/>
          <w:b/>
          <w:bCs/>
          <w:color w:val="000000"/>
          <w:kern w:val="24"/>
          <w:sz w:val="32"/>
          <w:szCs w:val="32"/>
        </w:rPr>
        <w:t>提升外幣匯款效率，降低匯款費用</w:t>
      </w:r>
    </w:p>
    <w:p w:rsidR="000706F1" w:rsidRPr="000706F1" w:rsidRDefault="00A7166B" w:rsidP="000706F1">
      <w:pPr>
        <w:pStyle w:val="Web"/>
        <w:spacing w:before="0" w:beforeAutospacing="0" w:afterLines="20" w:after="72" w:afterAutospacing="0" w:line="460" w:lineRule="exact"/>
        <w:ind w:leftChars="531" w:left="2043" w:hangingChars="240" w:hanging="769"/>
        <w:jc w:val="both"/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</w:pPr>
      <w:r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（</w:t>
      </w:r>
      <w:r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1</w:t>
      </w:r>
      <w:r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）</w:t>
      </w:r>
      <w:r w:rsidR="000706F1"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匯款時間縮短</w:t>
      </w:r>
    </w:p>
    <w:p w:rsidR="0088769C" w:rsidRPr="000706F1" w:rsidRDefault="000706F1" w:rsidP="000706F1">
      <w:pPr>
        <w:pStyle w:val="Web"/>
        <w:spacing w:before="0" w:beforeAutospacing="0" w:afterLines="20" w:after="72" w:afterAutospacing="0" w:line="460" w:lineRule="exact"/>
        <w:ind w:leftChars="531" w:left="2042" w:hangingChars="240" w:hanging="76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06F1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 xml:space="preserve">     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境內及兩岸之美元、人民幣匯款，無需再繞道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歐美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或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香港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等第三地轉匯，匯款時間可由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  <w:u w:val="single"/>
        </w:rPr>
        <w:t>原先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  <w:u w:val="single"/>
        </w:rPr>
        <w:t>2~3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  <w:u w:val="single"/>
        </w:rPr>
        <w:t>日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改為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  <w:u w:val="single"/>
        </w:rPr>
        <w:t>當日到匯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。</w:t>
      </w:r>
    </w:p>
    <w:p w:rsidR="000706F1" w:rsidRPr="000706F1" w:rsidRDefault="00A7166B" w:rsidP="000706F1">
      <w:pPr>
        <w:pStyle w:val="Web"/>
        <w:spacing w:before="0" w:beforeAutospacing="0" w:afterLines="20" w:after="72" w:afterAutospacing="0" w:line="460" w:lineRule="exact"/>
        <w:ind w:leftChars="531" w:left="2043" w:hangingChars="240" w:hanging="769"/>
        <w:jc w:val="both"/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</w:pPr>
      <w:r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（</w:t>
      </w:r>
      <w:r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2</w:t>
      </w:r>
      <w:r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）</w:t>
      </w:r>
      <w:r w:rsidR="000706F1" w:rsidRPr="000706F1">
        <w:rPr>
          <w:rFonts w:ascii="Times New Roman" w:eastAsia="標楷體" w:hAnsi="Times New Roman" w:cs="Times New Roman"/>
          <w:b/>
          <w:color w:val="000000" w:themeColor="text1"/>
          <w:kern w:val="24"/>
          <w:sz w:val="32"/>
          <w:szCs w:val="32"/>
        </w:rPr>
        <w:t>匯費減少</w:t>
      </w:r>
    </w:p>
    <w:p w:rsidR="0088769C" w:rsidRPr="000706F1" w:rsidRDefault="000706F1" w:rsidP="000706F1">
      <w:pPr>
        <w:pStyle w:val="Web"/>
        <w:spacing w:before="0" w:beforeAutospacing="0" w:afterLines="20" w:after="72" w:afterAutospacing="0" w:line="460" w:lineRule="exact"/>
        <w:ind w:leftChars="531" w:left="2042" w:hangingChars="240" w:hanging="768"/>
        <w:jc w:val="both"/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</w:pPr>
      <w:r w:rsidRPr="000706F1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 xml:space="preserve">     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  <w:u w:val="single"/>
        </w:rPr>
        <w:t>民眾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匯款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不用經第三地</w:t>
      </w:r>
      <w:r w:rsidR="0088769C" w:rsidRPr="000706F1">
        <w:rPr>
          <w:rFonts w:ascii="Times New Roman" w:eastAsia="標楷體" w:hAnsi="Times New Roman" w:cs="Times New Roman"/>
          <w:color w:val="000000"/>
          <w:kern w:val="24"/>
          <w:sz w:val="32"/>
          <w:szCs w:val="32"/>
        </w:rPr>
        <w:t>中轉行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轉匯，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  <w:u w:val="single"/>
        </w:rPr>
        <w:t>匯費大幅減少</w:t>
      </w:r>
      <w:r w:rsidR="0088769C" w:rsidRPr="000706F1">
        <w:rPr>
          <w:rFonts w:ascii="Times New Roman" w:eastAsia="標楷體" w:hAnsi="Times New Roman" w:cs="Times New Roman"/>
          <w:b/>
          <w:color w:val="0000FF"/>
          <w:kern w:val="24"/>
          <w:sz w:val="32"/>
          <w:szCs w:val="32"/>
        </w:rPr>
        <w:t>。</w:t>
      </w:r>
    </w:p>
    <w:p w:rsidR="0088769C" w:rsidRPr="00531942" w:rsidRDefault="0088769C" w:rsidP="000706F1">
      <w:pPr>
        <w:pStyle w:val="Web"/>
        <w:spacing w:before="0" w:beforeAutospacing="0" w:afterLines="20" w:after="72" w:afterAutospacing="0" w:line="140" w:lineRule="exact"/>
        <w:ind w:left="1513" w:hanging="833"/>
        <w:jc w:val="both"/>
        <w:rPr>
          <w:rFonts w:cs="Arial"/>
          <w:color w:val="000000"/>
          <w:kern w:val="24"/>
          <w:sz w:val="30"/>
          <w:szCs w:val="30"/>
        </w:rPr>
      </w:pPr>
    </w:p>
    <w:tbl>
      <w:tblPr>
        <w:tblStyle w:val="a3"/>
        <w:tblW w:w="7440" w:type="dxa"/>
        <w:jc w:val="center"/>
        <w:tblLook w:val="04A0" w:firstRow="1" w:lastRow="0" w:firstColumn="1" w:lastColumn="0" w:noHBand="0" w:noVBand="1"/>
      </w:tblPr>
      <w:tblGrid>
        <w:gridCol w:w="2660"/>
        <w:gridCol w:w="2325"/>
        <w:gridCol w:w="2455"/>
      </w:tblGrid>
      <w:tr w:rsidR="0088769C" w:rsidRPr="00531942" w:rsidTr="00CE5AF1">
        <w:trPr>
          <w:trHeight w:val="471"/>
          <w:jc w:val="center"/>
        </w:trPr>
        <w:tc>
          <w:tcPr>
            <w:tcW w:w="2660" w:type="dxa"/>
            <w:vMerge w:val="restart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項目</w:t>
            </w: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金融機構一般收費</w:t>
            </w: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 xml:space="preserve">  (</w:t>
            </w: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新台幣元</w:t>
            </w: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)</w:t>
            </w:r>
          </w:p>
        </w:tc>
      </w:tr>
      <w:tr w:rsidR="0088769C" w:rsidRPr="00531942" w:rsidTr="00CE5AF1">
        <w:trPr>
          <w:trHeight w:val="471"/>
          <w:jc w:val="center"/>
        </w:trPr>
        <w:tc>
          <w:tcPr>
            <w:tcW w:w="2660" w:type="dxa"/>
            <w:vMerge/>
            <w:hideMark/>
          </w:tcPr>
          <w:p w:rsidR="0088769C" w:rsidRPr="00127060" w:rsidRDefault="0088769C" w:rsidP="000706F1">
            <w:pPr>
              <w:spacing w:afterLines="20" w:after="72" w:line="380" w:lineRule="exac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2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center"/>
              <w:rPr>
                <w:rFonts w:eastAsia="標楷體" w:hAnsi="標楷體"/>
                <w:color w:val="000000" w:themeColor="text1"/>
                <w:kern w:val="24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經由第三地</w:t>
            </w:r>
          </w:p>
          <w:p w:rsidR="0088769C" w:rsidRPr="00127060" w:rsidRDefault="0088769C" w:rsidP="000706F1">
            <w:pPr>
              <w:spacing w:afterLines="20" w:after="72" w:line="380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中轉行處理</w:t>
            </w:r>
          </w:p>
        </w:tc>
        <w:tc>
          <w:tcPr>
            <w:tcW w:w="245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FF"/>
                <w:kern w:val="24"/>
                <w:sz w:val="32"/>
                <w:szCs w:val="32"/>
              </w:rPr>
              <w:t>經由平台處理</w:t>
            </w:r>
          </w:p>
        </w:tc>
      </w:tr>
      <w:tr w:rsidR="0088769C" w:rsidRPr="00531942" w:rsidTr="00CE5AF1">
        <w:trPr>
          <w:trHeight w:val="417"/>
          <w:jc w:val="center"/>
        </w:trPr>
        <w:tc>
          <w:tcPr>
            <w:tcW w:w="2660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境內美元匯款</w:t>
            </w:r>
          </w:p>
        </w:tc>
        <w:tc>
          <w:tcPr>
            <w:tcW w:w="232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1,250-2,300</w:t>
            </w:r>
          </w:p>
        </w:tc>
        <w:tc>
          <w:tcPr>
            <w:tcW w:w="245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500-1,100</w:t>
            </w:r>
          </w:p>
        </w:tc>
      </w:tr>
      <w:tr w:rsidR="00986D3E" w:rsidRPr="00531942" w:rsidTr="000A1893">
        <w:trPr>
          <w:trHeight w:val="417"/>
          <w:jc w:val="center"/>
        </w:trPr>
        <w:tc>
          <w:tcPr>
            <w:tcW w:w="2660" w:type="dxa"/>
            <w:hideMark/>
          </w:tcPr>
          <w:p w:rsidR="00986D3E" w:rsidRPr="00127060" w:rsidRDefault="00986D3E" w:rsidP="00986D3E">
            <w:pPr>
              <w:spacing w:afterLines="20" w:after="72" w:line="380" w:lineRule="exac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兩岸美元匯款</w:t>
            </w:r>
          </w:p>
        </w:tc>
        <w:tc>
          <w:tcPr>
            <w:tcW w:w="2325" w:type="dxa"/>
            <w:hideMark/>
          </w:tcPr>
          <w:p w:rsidR="00986D3E" w:rsidRPr="00127060" w:rsidRDefault="00986D3E" w:rsidP="00986D3E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1,250-2,300</w:t>
            </w:r>
          </w:p>
        </w:tc>
        <w:tc>
          <w:tcPr>
            <w:tcW w:w="2455" w:type="dxa"/>
            <w:hideMark/>
          </w:tcPr>
          <w:p w:rsidR="00986D3E" w:rsidRPr="00127060" w:rsidRDefault="00986D3E" w:rsidP="00986D3E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860-1,460</w:t>
            </w:r>
          </w:p>
        </w:tc>
      </w:tr>
      <w:tr w:rsidR="0088769C" w:rsidRPr="00531942" w:rsidTr="00CE5AF1">
        <w:trPr>
          <w:trHeight w:val="417"/>
          <w:jc w:val="center"/>
        </w:trPr>
        <w:tc>
          <w:tcPr>
            <w:tcW w:w="2660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境內人民幣匯款</w:t>
            </w:r>
          </w:p>
        </w:tc>
        <w:tc>
          <w:tcPr>
            <w:tcW w:w="232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900-1,880</w:t>
            </w:r>
          </w:p>
        </w:tc>
        <w:tc>
          <w:tcPr>
            <w:tcW w:w="245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500-1,100</w:t>
            </w:r>
          </w:p>
        </w:tc>
      </w:tr>
      <w:tr w:rsidR="0088769C" w:rsidRPr="00531942" w:rsidTr="00CE5AF1">
        <w:trPr>
          <w:trHeight w:val="417"/>
          <w:jc w:val="center"/>
        </w:trPr>
        <w:tc>
          <w:tcPr>
            <w:tcW w:w="2660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 w:hAnsi="標楷體" w:hint="eastAsia"/>
                <w:color w:val="000000" w:themeColor="text1"/>
                <w:kern w:val="24"/>
                <w:sz w:val="32"/>
                <w:szCs w:val="32"/>
              </w:rPr>
              <w:t>兩岸人民幣匯款</w:t>
            </w:r>
          </w:p>
        </w:tc>
        <w:tc>
          <w:tcPr>
            <w:tcW w:w="232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900-1,880</w:t>
            </w:r>
          </w:p>
        </w:tc>
        <w:tc>
          <w:tcPr>
            <w:tcW w:w="2455" w:type="dxa"/>
            <w:hideMark/>
          </w:tcPr>
          <w:p w:rsidR="0088769C" w:rsidRPr="00127060" w:rsidRDefault="0088769C" w:rsidP="000706F1">
            <w:pPr>
              <w:spacing w:afterLines="20" w:after="72" w:line="380" w:lineRule="exact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27060">
              <w:rPr>
                <w:rFonts w:eastAsia="標楷體"/>
                <w:color w:val="000000" w:themeColor="text1"/>
                <w:kern w:val="24"/>
                <w:sz w:val="32"/>
                <w:szCs w:val="32"/>
              </w:rPr>
              <w:t>520-1,120</w:t>
            </w:r>
          </w:p>
        </w:tc>
      </w:tr>
    </w:tbl>
    <w:p w:rsidR="0088769C" w:rsidRPr="00531942" w:rsidRDefault="004C509B" w:rsidP="000706F1">
      <w:pPr>
        <w:pStyle w:val="Web"/>
        <w:spacing w:before="0" w:beforeAutospacing="0" w:afterLines="20" w:after="72" w:afterAutospacing="0" w:line="460" w:lineRule="exact"/>
        <w:ind w:firstLineChars="354" w:firstLine="1133"/>
        <w:jc w:val="both"/>
        <w:rPr>
          <w:sz w:val="30"/>
          <w:szCs w:val="3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24"/>
          <w:sz w:val="32"/>
          <w:szCs w:val="32"/>
        </w:rPr>
        <w:t>2.</w:t>
      </w:r>
      <w:r w:rsidR="0088769C" w:rsidRPr="00531942">
        <w:rPr>
          <w:rFonts w:ascii="Times New Roman" w:eastAsia="標楷體" w:hAnsi="標楷體" w:cs="Times New Roman" w:hint="eastAsia"/>
          <w:b/>
          <w:bCs/>
          <w:color w:val="000000"/>
          <w:kern w:val="24"/>
          <w:sz w:val="30"/>
          <w:szCs w:val="30"/>
        </w:rPr>
        <w:t>便利</w:t>
      </w:r>
      <w:r w:rsidR="0088769C">
        <w:rPr>
          <w:rFonts w:ascii="Times New Roman" w:eastAsia="標楷體" w:hAnsi="標楷體" w:cs="Times New Roman" w:hint="eastAsia"/>
          <w:b/>
          <w:bCs/>
          <w:color w:val="000000"/>
          <w:kern w:val="24"/>
          <w:sz w:val="30"/>
          <w:szCs w:val="30"/>
        </w:rPr>
        <w:t>台</w:t>
      </w:r>
      <w:r w:rsidR="0088769C" w:rsidRPr="00531942">
        <w:rPr>
          <w:rFonts w:ascii="Times New Roman" w:eastAsia="標楷體" w:hAnsi="標楷體" w:cs="Times New Roman" w:hint="eastAsia"/>
          <w:b/>
          <w:bCs/>
          <w:color w:val="000000"/>
          <w:kern w:val="24"/>
          <w:sz w:val="30"/>
          <w:szCs w:val="30"/>
        </w:rPr>
        <w:t>商資金調度</w:t>
      </w:r>
    </w:p>
    <w:p w:rsidR="0088769C" w:rsidRPr="00531942" w:rsidRDefault="004C509B" w:rsidP="000706F1">
      <w:pPr>
        <w:pStyle w:val="Web"/>
        <w:spacing w:before="0" w:beforeAutospacing="0" w:afterLines="20" w:after="72" w:afterAutospacing="0" w:line="460" w:lineRule="exact"/>
        <w:ind w:leftChars="531" w:left="1994" w:hangingChars="240" w:hanging="720"/>
        <w:jc w:val="both"/>
        <w:rPr>
          <w:sz w:val="30"/>
          <w:szCs w:val="30"/>
        </w:rPr>
      </w:pPr>
      <w:r>
        <w:rPr>
          <w:rFonts w:ascii="Times New Roman" w:eastAsia="標楷體" w:hAnsi="標楷體" w:cs="Times New Roman" w:hint="eastAsia"/>
          <w:color w:val="000000"/>
          <w:kern w:val="24"/>
          <w:sz w:val="30"/>
          <w:szCs w:val="30"/>
        </w:rPr>
        <w:t xml:space="preserve"> </w:t>
      </w:r>
      <w:r w:rsidR="0088769C" w:rsidRPr="00531942">
        <w:rPr>
          <w:rFonts w:ascii="Times New Roman" w:eastAsia="標楷體" w:hAnsi="標楷體" w:cs="Times New Roman" w:hint="eastAsia"/>
          <w:color w:val="000000"/>
          <w:kern w:val="24"/>
          <w:sz w:val="30"/>
          <w:szCs w:val="30"/>
        </w:rPr>
        <w:t>經由外幣結算平台與大陸支付系統連接作業，啟動兩岸直匯</w:t>
      </w:r>
      <w:r w:rsidR="0088769C" w:rsidRPr="00531942">
        <w:rPr>
          <w:rFonts w:cs="Times New Roman" w:hint="eastAsia"/>
          <w:color w:val="000000"/>
          <w:kern w:val="24"/>
          <w:sz w:val="30"/>
          <w:szCs w:val="30"/>
        </w:rPr>
        <w:t>。</w:t>
      </w:r>
    </w:p>
    <w:p w:rsidR="0088769C" w:rsidRPr="00531942" w:rsidRDefault="0088769C" w:rsidP="000706F1">
      <w:pPr>
        <w:pStyle w:val="Web"/>
        <w:spacing w:before="0" w:beforeAutospacing="0" w:afterLines="20" w:after="72" w:afterAutospacing="0" w:line="460" w:lineRule="exact"/>
        <w:ind w:firstLineChars="354" w:firstLine="1133"/>
        <w:jc w:val="both"/>
        <w:rPr>
          <w:sz w:val="30"/>
          <w:szCs w:val="3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24"/>
          <w:sz w:val="32"/>
          <w:szCs w:val="32"/>
        </w:rPr>
        <w:t>3</w:t>
      </w:r>
      <w:r w:rsidR="004C509B">
        <w:rPr>
          <w:rFonts w:ascii="Times New Roman" w:eastAsia="標楷體" w:hAnsi="Times New Roman" w:cs="Times New Roman" w:hint="eastAsia"/>
          <w:color w:val="000000" w:themeColor="text1"/>
          <w:kern w:val="24"/>
          <w:sz w:val="32"/>
          <w:szCs w:val="32"/>
        </w:rPr>
        <w:t>.</w:t>
      </w:r>
      <w:r w:rsidRPr="00531942">
        <w:rPr>
          <w:rFonts w:ascii="Times New Roman" w:eastAsia="標楷體" w:hAnsi="標楷體" w:cs="Times New Roman" w:hint="eastAsia"/>
          <w:b/>
          <w:bCs/>
          <w:color w:val="000000"/>
          <w:kern w:val="24"/>
          <w:sz w:val="30"/>
          <w:szCs w:val="30"/>
        </w:rPr>
        <w:t>達到規模經濟效益</w:t>
      </w:r>
    </w:p>
    <w:p w:rsidR="00DF0FDE" w:rsidRPr="0088769C" w:rsidRDefault="004C509B" w:rsidP="000838D3">
      <w:pPr>
        <w:pStyle w:val="Web"/>
        <w:spacing w:before="0" w:beforeAutospacing="0" w:afterLines="20" w:after="72" w:afterAutospacing="0" w:line="460" w:lineRule="exact"/>
        <w:ind w:leftChars="531" w:left="1994" w:hangingChars="240" w:hanging="720"/>
        <w:jc w:val="both"/>
      </w:pPr>
      <w:r>
        <w:rPr>
          <w:rFonts w:ascii="Times New Roman" w:eastAsia="標楷體" w:hAnsi="標楷體" w:cs="Times New Roman" w:hint="eastAsia"/>
          <w:color w:val="000000"/>
          <w:kern w:val="24"/>
          <w:sz w:val="30"/>
          <w:szCs w:val="30"/>
        </w:rPr>
        <w:t xml:space="preserve"> </w:t>
      </w:r>
      <w:r w:rsidR="0088769C" w:rsidRPr="00531942">
        <w:rPr>
          <w:rFonts w:ascii="Times New Roman" w:eastAsia="標楷體" w:hAnsi="標楷體" w:cs="Times New Roman" w:hint="eastAsia"/>
          <w:color w:val="000000"/>
          <w:kern w:val="24"/>
          <w:sz w:val="30"/>
          <w:szCs w:val="30"/>
        </w:rPr>
        <w:t>銀行所有外幣交易可經由單一外幣結算平台集中處理，具有規模經濟效益</w:t>
      </w:r>
      <w:r w:rsidR="0088769C" w:rsidRPr="00531942">
        <w:rPr>
          <w:rFonts w:cs="Times New Roman" w:hint="eastAsia"/>
          <w:color w:val="000000"/>
          <w:kern w:val="24"/>
          <w:sz w:val="30"/>
          <w:szCs w:val="30"/>
        </w:rPr>
        <w:t>。</w:t>
      </w:r>
    </w:p>
    <w:sectPr w:rsidR="00DF0FDE" w:rsidRPr="0088769C" w:rsidSect="00BA467F">
      <w:footerReference w:type="default" r:id="rId10"/>
      <w:pgSz w:w="16838" w:h="11906" w:orient="landscape" w:code="9"/>
      <w:pgMar w:top="907" w:right="1474" w:bottom="1134" w:left="147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6F" w:rsidRDefault="0016746F" w:rsidP="002E247A">
      <w:r>
        <w:separator/>
      </w:r>
    </w:p>
  </w:endnote>
  <w:endnote w:type="continuationSeparator" w:id="0">
    <w:p w:rsidR="0016746F" w:rsidRDefault="0016746F" w:rsidP="002E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22895"/>
      <w:docPartObj>
        <w:docPartGallery w:val="Page Numbers (Bottom of Page)"/>
        <w:docPartUnique/>
      </w:docPartObj>
    </w:sdtPr>
    <w:sdtEndPr/>
    <w:sdtContent>
      <w:p w:rsidR="002E247A" w:rsidRDefault="002E24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E71" w:rsidRPr="00784E71">
          <w:rPr>
            <w:noProof/>
            <w:lang w:val="zh-TW"/>
          </w:rPr>
          <w:t>1</w:t>
        </w:r>
        <w:r>
          <w:fldChar w:fldCharType="end"/>
        </w:r>
      </w:p>
    </w:sdtContent>
  </w:sdt>
  <w:p w:rsidR="002E247A" w:rsidRDefault="002E24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6F" w:rsidRDefault="0016746F" w:rsidP="002E247A">
      <w:r>
        <w:separator/>
      </w:r>
    </w:p>
  </w:footnote>
  <w:footnote w:type="continuationSeparator" w:id="0">
    <w:p w:rsidR="0016746F" w:rsidRDefault="0016746F" w:rsidP="002E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52023"/>
    <w:multiLevelType w:val="hybridMultilevel"/>
    <w:tmpl w:val="1D2CA53E"/>
    <w:lvl w:ilvl="0" w:tplc="4A5E80FE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9C"/>
    <w:rsid w:val="000706F1"/>
    <w:rsid w:val="000838D3"/>
    <w:rsid w:val="000839D4"/>
    <w:rsid w:val="00083D86"/>
    <w:rsid w:val="000C54CF"/>
    <w:rsid w:val="0012063F"/>
    <w:rsid w:val="00127060"/>
    <w:rsid w:val="0016746F"/>
    <w:rsid w:val="00171020"/>
    <w:rsid w:val="00297009"/>
    <w:rsid w:val="002E247A"/>
    <w:rsid w:val="003F507D"/>
    <w:rsid w:val="00447181"/>
    <w:rsid w:val="004B7A57"/>
    <w:rsid w:val="004C509B"/>
    <w:rsid w:val="0057585F"/>
    <w:rsid w:val="00624F16"/>
    <w:rsid w:val="00643385"/>
    <w:rsid w:val="00655507"/>
    <w:rsid w:val="00784E71"/>
    <w:rsid w:val="007C167C"/>
    <w:rsid w:val="00870346"/>
    <w:rsid w:val="0088769C"/>
    <w:rsid w:val="008C0712"/>
    <w:rsid w:val="008C6F58"/>
    <w:rsid w:val="00907B59"/>
    <w:rsid w:val="0092159B"/>
    <w:rsid w:val="00940F0A"/>
    <w:rsid w:val="009469C3"/>
    <w:rsid w:val="00961ACC"/>
    <w:rsid w:val="00986D3E"/>
    <w:rsid w:val="009D0693"/>
    <w:rsid w:val="00A61DE6"/>
    <w:rsid w:val="00A7166B"/>
    <w:rsid w:val="00A8642A"/>
    <w:rsid w:val="00AA5864"/>
    <w:rsid w:val="00AE5D8C"/>
    <w:rsid w:val="00BA467F"/>
    <w:rsid w:val="00BA67C8"/>
    <w:rsid w:val="00BA7CEB"/>
    <w:rsid w:val="00BB716C"/>
    <w:rsid w:val="00D02262"/>
    <w:rsid w:val="00DF0FDE"/>
    <w:rsid w:val="00E70302"/>
    <w:rsid w:val="00EC3A3D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88769C"/>
    <w:pPr>
      <w:tabs>
        <w:tab w:val="left" w:pos="2030"/>
      </w:tabs>
      <w:adjustRightInd w:val="0"/>
      <w:spacing w:afterLines="50" w:line="800" w:lineRule="exact"/>
      <w:ind w:leftChars="123" w:left="1963" w:rightChars="40" w:right="176" w:hangingChars="222" w:hanging="1422"/>
      <w:jc w:val="both"/>
      <w:textAlignment w:val="center"/>
    </w:pPr>
    <w:rPr>
      <w:rFonts w:ascii="標楷體" w:eastAsia="標楷體"/>
      <w:b/>
      <w:kern w:val="0"/>
      <w:sz w:val="64"/>
      <w:szCs w:val="20"/>
    </w:rPr>
  </w:style>
  <w:style w:type="table" w:styleId="a3">
    <w:name w:val="Table Grid"/>
    <w:basedOn w:val="a1"/>
    <w:uiPriority w:val="59"/>
    <w:rsid w:val="008876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樣式1 字元"/>
    <w:basedOn w:val="a0"/>
    <w:link w:val="1"/>
    <w:rsid w:val="0088769C"/>
    <w:rPr>
      <w:rFonts w:ascii="標楷體" w:eastAsia="標楷體" w:hAnsi="Times New Roman" w:cs="Times New Roman"/>
      <w:b/>
      <w:kern w:val="0"/>
      <w:sz w:val="64"/>
      <w:szCs w:val="20"/>
    </w:rPr>
  </w:style>
  <w:style w:type="paragraph" w:styleId="Web">
    <w:name w:val="Normal (Web)"/>
    <w:basedOn w:val="a"/>
    <w:uiPriority w:val="99"/>
    <w:unhideWhenUsed/>
    <w:rsid w:val="008876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887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876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3"/>
    <w:uiPriority w:val="59"/>
    <w:rsid w:val="006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54C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88769C"/>
    <w:pPr>
      <w:tabs>
        <w:tab w:val="left" w:pos="2030"/>
      </w:tabs>
      <w:adjustRightInd w:val="0"/>
      <w:spacing w:afterLines="50" w:line="800" w:lineRule="exact"/>
      <w:ind w:leftChars="123" w:left="1963" w:rightChars="40" w:right="176" w:hangingChars="222" w:hanging="1422"/>
      <w:jc w:val="both"/>
      <w:textAlignment w:val="center"/>
    </w:pPr>
    <w:rPr>
      <w:rFonts w:ascii="標楷體" w:eastAsia="標楷體"/>
      <w:b/>
      <w:kern w:val="0"/>
      <w:sz w:val="64"/>
      <w:szCs w:val="20"/>
    </w:rPr>
  </w:style>
  <w:style w:type="table" w:styleId="a3">
    <w:name w:val="Table Grid"/>
    <w:basedOn w:val="a1"/>
    <w:uiPriority w:val="59"/>
    <w:rsid w:val="008876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樣式1 字元"/>
    <w:basedOn w:val="a0"/>
    <w:link w:val="1"/>
    <w:rsid w:val="0088769C"/>
    <w:rPr>
      <w:rFonts w:ascii="標楷體" w:eastAsia="標楷體" w:hAnsi="Times New Roman" w:cs="Times New Roman"/>
      <w:b/>
      <w:kern w:val="0"/>
      <w:sz w:val="64"/>
      <w:szCs w:val="20"/>
    </w:rPr>
  </w:style>
  <w:style w:type="paragraph" w:styleId="Web">
    <w:name w:val="Normal (Web)"/>
    <w:basedOn w:val="a"/>
    <w:uiPriority w:val="99"/>
    <w:unhideWhenUsed/>
    <w:rsid w:val="008876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887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876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3"/>
    <w:uiPriority w:val="59"/>
    <w:rsid w:val="006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54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</Words>
  <Characters>827</Characters>
  <Application>Microsoft Office Word</Application>
  <DocSecurity>4</DocSecurity>
  <Lines>6</Lines>
  <Paragraphs>1</Paragraphs>
  <ScaleCrop>false</ScaleCrop>
  <Company>CBC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謝鳳瑛</dc:creator>
  <cp:lastModifiedBy>林秀貞</cp:lastModifiedBy>
  <cp:revision>2</cp:revision>
  <cp:lastPrinted>2014-10-13T07:39:00Z</cp:lastPrinted>
  <dcterms:created xsi:type="dcterms:W3CDTF">2014-10-13T08:13:00Z</dcterms:created>
  <dcterms:modified xsi:type="dcterms:W3CDTF">2014-10-13T08:13:00Z</dcterms:modified>
</cp:coreProperties>
</file>