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3" o:spid="_x0000_s1026" type="#_x0000_t202" style="position:absolute;left:0;text-align:left;margin-left:522.75pt;margin-top:1.2pt;width:181.05pt;height:49.5pt;z-index:251657216;visibility:visible">
            <v:textbox>
              <w:txbxContent>
                <w:p w:rsidR="00F33B9E" w:rsidRPr="00E616AF" w:rsidRDefault="00F33B9E" w:rsidP="00AC3466">
                  <w:pPr>
                    <w:spacing w:line="360" w:lineRule="exact"/>
                    <w:jc w:val="distribute"/>
                    <w:rPr>
                      <w:rFonts w:ascii="Arial" w:eastAsia="標楷體" w:hAnsi="Arial" w:cs="Times New Roman"/>
                      <w:sz w:val="28"/>
                      <w:szCs w:val="28"/>
                    </w:rPr>
                  </w:pPr>
                  <w:r w:rsidRPr="00E616AF">
                    <w:rPr>
                      <w:rFonts w:ascii="Arial" w:eastAsia="標楷體" w:hAnsi="Arial" w:cs="Arial"/>
                      <w:sz w:val="28"/>
                      <w:szCs w:val="28"/>
                    </w:rPr>
                    <w:t>3</w:t>
                  </w:r>
                  <w:r w:rsidRPr="00E616AF">
                    <w:rPr>
                      <w:rFonts w:ascii="Arial" w:eastAsia="標楷體" w:hAnsi="Arial" w:cs="標楷體" w:hint="eastAsia"/>
                      <w:sz w:val="28"/>
                      <w:szCs w:val="28"/>
                    </w:rPr>
                    <w:t>月</w:t>
                  </w:r>
                  <w:r w:rsidRPr="00E616AF">
                    <w:rPr>
                      <w:rFonts w:ascii="Arial" w:eastAsia="標楷體" w:hAnsi="Arial" w:cs="Arial"/>
                      <w:sz w:val="28"/>
                      <w:szCs w:val="28"/>
                    </w:rPr>
                    <w:t>27</w:t>
                  </w:r>
                  <w:r w:rsidRPr="00E616AF">
                    <w:rPr>
                      <w:rFonts w:ascii="Arial" w:eastAsia="標楷體" w:hAnsi="Arial" w:cs="標楷體" w:hint="eastAsia"/>
                      <w:sz w:val="28"/>
                      <w:szCs w:val="28"/>
                    </w:rPr>
                    <w:t>日央行理監事會後</w:t>
                  </w:r>
                </w:p>
                <w:p w:rsidR="00F33B9E" w:rsidRPr="00E616AF" w:rsidRDefault="00F33B9E" w:rsidP="00AC3466">
                  <w:pPr>
                    <w:spacing w:line="360" w:lineRule="exact"/>
                    <w:jc w:val="distribute"/>
                    <w:rPr>
                      <w:rFonts w:ascii="Arial" w:eastAsia="標楷體" w:hAnsi="Arial" w:cs="Times New Roman"/>
                      <w:sz w:val="28"/>
                      <w:szCs w:val="28"/>
                    </w:rPr>
                  </w:pPr>
                  <w:r w:rsidRPr="00E616AF">
                    <w:rPr>
                      <w:rFonts w:ascii="Arial" w:eastAsia="標楷體" w:hAnsi="Arial" w:cs="標楷體" w:hint="eastAsia"/>
                      <w:sz w:val="28"/>
                      <w:szCs w:val="28"/>
                    </w:rPr>
                    <w:t>記者會參考資料</w:t>
                  </w:r>
                </w:p>
              </w:txbxContent>
            </v:textbox>
          </v:shape>
        </w:pict>
      </w: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Pr="003858F5" w:rsidRDefault="00F33B9E" w:rsidP="00573457">
      <w:pPr>
        <w:jc w:val="center"/>
        <w:rPr>
          <w:rFonts w:ascii="標楷體" w:eastAsia="標楷體" w:hAnsi="標楷體" w:cs="Times New Roman"/>
          <w:b/>
          <w:bCs/>
          <w:sz w:val="72"/>
          <w:szCs w:val="72"/>
        </w:rPr>
      </w:pPr>
      <w:r>
        <w:rPr>
          <w:rFonts w:ascii="標楷體" w:eastAsia="標楷體" w:hAnsi="標楷體" w:cs="標楷體" w:hint="eastAsia"/>
          <w:b/>
          <w:bCs/>
          <w:sz w:val="72"/>
          <w:szCs w:val="72"/>
        </w:rPr>
        <w:t>人民幣業務現況</w:t>
      </w:r>
      <w:r w:rsidRPr="003858F5">
        <w:rPr>
          <w:rFonts w:ascii="標楷體" w:eastAsia="標楷體" w:hAnsi="標楷體" w:cs="標楷體" w:hint="eastAsia"/>
          <w:b/>
          <w:bCs/>
          <w:sz w:val="72"/>
          <w:szCs w:val="72"/>
        </w:rPr>
        <w:t>與未來展望</w:t>
      </w: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Pr="00386FC3" w:rsidRDefault="00F33B9E" w:rsidP="003858F5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  <w:r w:rsidRPr="00386FC3">
        <w:rPr>
          <w:rFonts w:ascii="標楷體" w:eastAsia="標楷體" w:hAnsi="標楷體" w:cs="標楷體" w:hint="eastAsia"/>
          <w:b/>
          <w:bCs/>
          <w:sz w:val="48"/>
          <w:szCs w:val="48"/>
        </w:rPr>
        <w:t>中央銀行</w:t>
      </w:r>
    </w:p>
    <w:p w:rsidR="00F33B9E" w:rsidRPr="00386FC3" w:rsidRDefault="00F33B9E" w:rsidP="003858F5">
      <w:pPr>
        <w:jc w:val="center"/>
        <w:rPr>
          <w:rFonts w:ascii="Arial" w:eastAsia="標楷體" w:hAnsi="Arial" w:cs="Arial"/>
          <w:b/>
          <w:bCs/>
          <w:sz w:val="48"/>
          <w:szCs w:val="48"/>
        </w:rPr>
      </w:pPr>
      <w:r w:rsidRPr="00386FC3">
        <w:rPr>
          <w:rFonts w:ascii="Arial" w:eastAsia="標楷體" w:hAnsi="Arial" w:cs="Arial"/>
          <w:b/>
          <w:bCs/>
          <w:sz w:val="48"/>
          <w:szCs w:val="48"/>
        </w:rPr>
        <w:t>103.3.27</w:t>
      </w: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  <w:r>
        <w:rPr>
          <w:noProof/>
        </w:rPr>
        <w:pict>
          <v:shape id="文字方塊 2" o:spid="_x0000_s1027" type="#_x0000_t202" style="position:absolute;left:0;text-align:left;margin-left:341.25pt;margin-top:44.7pt;width:34.5pt;height:28.5pt;z-index:251659264;visibility:visible" stroked="f" strokeweight=".5pt">
            <v:textbox>
              <w:txbxContent>
                <w:p w:rsidR="00F33B9E" w:rsidRDefault="00F33B9E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F33B9E" w:rsidRDefault="00F33B9E" w:rsidP="00573457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Pr="00A70E66" w:rsidRDefault="00F33B9E" w:rsidP="00A70E66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noProof/>
        </w:rPr>
        <w:pict>
          <v:shape id="文字方塊 16" o:spid="_x0000_s1028" type="#_x0000_t202" style="position:absolute;left:0;text-align:left;margin-left:340.5pt;margin-top:49.95pt;width:25.5pt;height:15pt;z-index:251658240;visibility:visible" stroked="f" strokeweight=".5pt">
            <v:textbox>
              <w:txbxContent>
                <w:p w:rsidR="00F33B9E" w:rsidRDefault="00F33B9E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A70E66">
        <w:rPr>
          <w:rFonts w:ascii="標楷體" w:eastAsia="標楷體" w:hAnsi="標楷體" w:cs="標楷體" w:hint="eastAsia"/>
          <w:b/>
          <w:bCs/>
          <w:sz w:val="40"/>
          <w:szCs w:val="40"/>
        </w:rPr>
        <w:t>臺灣地區人民幣市場現況</w:t>
      </w:r>
    </w:p>
    <w:p w:rsidR="00F33B9E" w:rsidRPr="00A95A4B" w:rsidRDefault="00F33B9E" w:rsidP="004C3590">
      <w:pPr>
        <w:pStyle w:val="ListParagraph"/>
        <w:numPr>
          <w:ilvl w:val="0"/>
          <w:numId w:val="3"/>
        </w:numPr>
        <w:spacing w:line="600" w:lineRule="exact"/>
        <w:ind w:leftChars="0" w:left="1702" w:hanging="851"/>
        <w:jc w:val="both"/>
        <w:rPr>
          <w:rFonts w:ascii="Arial" w:eastAsia="標楷體" w:hAnsi="Arial" w:cs="Times New Roman"/>
          <w:b/>
          <w:bCs/>
          <w:sz w:val="36"/>
          <w:szCs w:val="36"/>
        </w:rPr>
      </w:pPr>
      <w:r w:rsidRPr="00A95A4B">
        <w:rPr>
          <w:rFonts w:ascii="Arial" w:eastAsia="標楷體" w:hAnsi="Arial" w:cs="Arial"/>
          <w:b/>
          <w:bCs/>
          <w:sz w:val="36"/>
          <w:szCs w:val="36"/>
        </w:rPr>
        <w:t>101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年</w:t>
      </w:r>
      <w:r w:rsidRPr="00A95A4B">
        <w:rPr>
          <w:rFonts w:ascii="Arial" w:eastAsia="標楷體" w:hAnsi="Arial" w:cs="Arial"/>
          <w:b/>
          <w:bCs/>
          <w:sz w:val="36"/>
          <w:szCs w:val="36"/>
        </w:rPr>
        <w:t>8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月</w:t>
      </w:r>
      <w:r w:rsidRPr="00A95A4B">
        <w:rPr>
          <w:rFonts w:ascii="Arial" w:eastAsia="標楷體" w:hAnsi="Arial" w:cs="Arial"/>
          <w:b/>
          <w:bCs/>
          <w:sz w:val="36"/>
          <w:szCs w:val="36"/>
        </w:rPr>
        <w:t>31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日</w:t>
      </w:r>
    </w:p>
    <w:p w:rsidR="00F33B9E" w:rsidRPr="00A95A4B" w:rsidRDefault="00F33B9E" w:rsidP="00F31E81">
      <w:pPr>
        <w:pStyle w:val="ListParagraph"/>
        <w:spacing w:line="600" w:lineRule="exact"/>
        <w:ind w:leftChars="0" w:left="1701"/>
        <w:jc w:val="both"/>
        <w:rPr>
          <w:rFonts w:ascii="Arial" w:eastAsia="標楷體" w:hAnsi="Arial" w:cs="Times New Roman"/>
          <w:sz w:val="36"/>
          <w:szCs w:val="36"/>
        </w:rPr>
      </w:pPr>
      <w:r w:rsidRPr="00A95A4B">
        <w:rPr>
          <w:rFonts w:ascii="Arial" w:eastAsia="標楷體" w:hAnsi="Arial" w:cs="標楷體" w:hint="eastAsia"/>
          <w:sz w:val="36"/>
          <w:szCs w:val="36"/>
        </w:rPr>
        <w:t>本行與中國人民銀行簽署「海峽兩岸貨幣清算合作備忘錄」。</w:t>
      </w:r>
    </w:p>
    <w:p w:rsidR="00F33B9E" w:rsidRPr="00A95A4B" w:rsidRDefault="00F33B9E" w:rsidP="009B7B5F">
      <w:pPr>
        <w:pStyle w:val="ListParagraph"/>
        <w:numPr>
          <w:ilvl w:val="0"/>
          <w:numId w:val="3"/>
        </w:numPr>
        <w:spacing w:beforeLines="50" w:line="600" w:lineRule="exact"/>
        <w:ind w:leftChars="0" w:left="1702" w:hanging="851"/>
        <w:jc w:val="both"/>
        <w:rPr>
          <w:rFonts w:ascii="Arial" w:eastAsia="標楷體" w:hAnsi="Arial" w:cs="Times New Roman"/>
          <w:b/>
          <w:bCs/>
          <w:sz w:val="36"/>
          <w:szCs w:val="36"/>
        </w:rPr>
      </w:pPr>
      <w:r w:rsidRPr="00A95A4B">
        <w:rPr>
          <w:rFonts w:ascii="Arial" w:eastAsia="標楷體" w:hAnsi="Arial" w:cs="Arial"/>
          <w:b/>
          <w:bCs/>
          <w:sz w:val="36"/>
          <w:szCs w:val="36"/>
        </w:rPr>
        <w:t>102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年</w:t>
      </w:r>
      <w:r w:rsidRPr="00A95A4B">
        <w:rPr>
          <w:rFonts w:ascii="Arial" w:eastAsia="標楷體" w:hAnsi="Arial" w:cs="Arial"/>
          <w:b/>
          <w:bCs/>
          <w:sz w:val="36"/>
          <w:szCs w:val="36"/>
        </w:rPr>
        <w:t>2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月</w:t>
      </w:r>
      <w:r w:rsidRPr="00A95A4B">
        <w:rPr>
          <w:rFonts w:ascii="Arial" w:eastAsia="標楷體" w:hAnsi="Arial" w:cs="Arial"/>
          <w:b/>
          <w:bCs/>
          <w:sz w:val="36"/>
          <w:szCs w:val="36"/>
        </w:rPr>
        <w:t>6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日</w:t>
      </w:r>
    </w:p>
    <w:p w:rsidR="00F33B9E" w:rsidRPr="00A95A4B" w:rsidRDefault="00F33B9E" w:rsidP="00F31E81">
      <w:pPr>
        <w:pStyle w:val="ListParagraph"/>
        <w:spacing w:line="600" w:lineRule="exact"/>
        <w:ind w:leftChars="0" w:left="1701"/>
        <w:jc w:val="both"/>
        <w:rPr>
          <w:rFonts w:ascii="Arial" w:eastAsia="標楷體" w:hAnsi="Arial" w:cs="Times New Roman"/>
          <w:sz w:val="36"/>
          <w:szCs w:val="36"/>
        </w:rPr>
      </w:pPr>
      <w:r w:rsidRPr="00A95A4B">
        <w:rPr>
          <w:rFonts w:ascii="Arial" w:eastAsia="標楷體" w:hAnsi="Arial" w:cs="標楷體" w:hint="eastAsia"/>
          <w:sz w:val="36"/>
          <w:szCs w:val="36"/>
        </w:rPr>
        <w:t>外匯指定銀行開辦人民幣業務。</w:t>
      </w:r>
    </w:p>
    <w:p w:rsidR="00F33B9E" w:rsidRPr="00A95A4B" w:rsidRDefault="00F33B9E" w:rsidP="009B7B5F">
      <w:pPr>
        <w:pStyle w:val="ListParagraph"/>
        <w:numPr>
          <w:ilvl w:val="0"/>
          <w:numId w:val="3"/>
        </w:numPr>
        <w:spacing w:beforeLines="50" w:line="600" w:lineRule="exact"/>
        <w:ind w:leftChars="0" w:left="1702" w:hanging="851"/>
        <w:jc w:val="both"/>
        <w:rPr>
          <w:rFonts w:ascii="Arial" w:eastAsia="標楷體" w:hAnsi="Arial" w:cs="Times New Roman"/>
          <w:b/>
          <w:bCs/>
          <w:sz w:val="36"/>
          <w:szCs w:val="36"/>
        </w:rPr>
      </w:pPr>
      <w:r w:rsidRPr="00A95A4B">
        <w:rPr>
          <w:rFonts w:ascii="Arial" w:eastAsia="標楷體" w:hAnsi="Arial" w:cs="Arial"/>
          <w:b/>
          <w:bCs/>
          <w:sz w:val="36"/>
          <w:szCs w:val="36"/>
        </w:rPr>
        <w:t>102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年</w:t>
      </w:r>
      <w:r w:rsidRPr="00A95A4B">
        <w:rPr>
          <w:rFonts w:ascii="Arial" w:eastAsia="標楷體" w:hAnsi="Arial" w:cs="Arial"/>
          <w:b/>
          <w:bCs/>
          <w:sz w:val="36"/>
          <w:szCs w:val="36"/>
        </w:rPr>
        <w:t>9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月</w:t>
      </w:r>
      <w:r w:rsidRPr="00A95A4B">
        <w:rPr>
          <w:rFonts w:ascii="Arial" w:eastAsia="標楷體" w:hAnsi="Arial" w:cs="Arial"/>
          <w:b/>
          <w:bCs/>
          <w:sz w:val="36"/>
          <w:szCs w:val="36"/>
        </w:rPr>
        <w:t>30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日</w:t>
      </w:r>
    </w:p>
    <w:p w:rsidR="00F33B9E" w:rsidRPr="00A95A4B" w:rsidRDefault="00F33B9E" w:rsidP="00F31E81">
      <w:pPr>
        <w:pStyle w:val="ListParagraph"/>
        <w:spacing w:line="600" w:lineRule="exact"/>
        <w:ind w:leftChars="0" w:left="1701"/>
        <w:jc w:val="both"/>
        <w:rPr>
          <w:rFonts w:ascii="Arial" w:eastAsia="標楷體" w:hAnsi="Arial" w:cs="Times New Roman"/>
          <w:sz w:val="36"/>
          <w:szCs w:val="36"/>
        </w:rPr>
      </w:pPr>
      <w:r w:rsidRPr="00A95A4B">
        <w:rPr>
          <w:rFonts w:ascii="Arial" w:eastAsia="標楷體" w:hAnsi="Arial" w:cs="標楷體" w:hint="eastAsia"/>
          <w:sz w:val="36"/>
          <w:szCs w:val="36"/>
        </w:rPr>
        <w:t>「外幣結算平台」開辦境內及兩岸人民幣匯款。</w:t>
      </w:r>
    </w:p>
    <w:p w:rsidR="00F33B9E" w:rsidRPr="00A95A4B" w:rsidRDefault="00F33B9E" w:rsidP="009B7B5F">
      <w:pPr>
        <w:pStyle w:val="ListParagraph"/>
        <w:numPr>
          <w:ilvl w:val="0"/>
          <w:numId w:val="3"/>
        </w:numPr>
        <w:spacing w:beforeLines="50" w:line="600" w:lineRule="exact"/>
        <w:ind w:leftChars="0" w:left="1702" w:hanging="851"/>
        <w:jc w:val="both"/>
        <w:rPr>
          <w:rFonts w:ascii="Arial" w:eastAsia="標楷體" w:hAnsi="Arial" w:cs="Times New Roman"/>
          <w:b/>
          <w:bCs/>
          <w:sz w:val="36"/>
          <w:szCs w:val="36"/>
        </w:rPr>
      </w:pP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臺灣離岸人民幣市場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發展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已受到國際關注</w:t>
      </w:r>
    </w:p>
    <w:p w:rsidR="00F33B9E" w:rsidRPr="001259CE" w:rsidRDefault="00F33B9E" w:rsidP="00F31E81">
      <w:pPr>
        <w:pStyle w:val="ListParagraph"/>
        <w:numPr>
          <w:ilvl w:val="2"/>
          <w:numId w:val="2"/>
        </w:numPr>
        <w:spacing w:line="600" w:lineRule="exact"/>
        <w:ind w:leftChars="0" w:left="2410" w:hanging="709"/>
        <w:jc w:val="both"/>
        <w:rPr>
          <w:rFonts w:ascii="Arial" w:eastAsia="標楷體" w:hAnsi="Arial" w:cs="Times New Roman"/>
          <w:sz w:val="36"/>
          <w:szCs w:val="36"/>
        </w:rPr>
      </w:pPr>
      <w:r w:rsidRPr="001259CE">
        <w:rPr>
          <w:rFonts w:ascii="Arial" w:eastAsia="標楷體" w:hAnsi="Arial" w:cs="標楷體" w:hint="eastAsia"/>
          <w:sz w:val="36"/>
          <w:szCs w:val="36"/>
        </w:rPr>
        <w:t>截至</w:t>
      </w:r>
      <w:r w:rsidRPr="001259CE">
        <w:rPr>
          <w:rFonts w:ascii="Arial" w:eastAsia="標楷體" w:hAnsi="Arial" w:cs="Arial"/>
          <w:sz w:val="36"/>
          <w:szCs w:val="36"/>
        </w:rPr>
        <w:t>103</w:t>
      </w:r>
      <w:r w:rsidRPr="001259CE">
        <w:rPr>
          <w:rFonts w:ascii="Arial" w:eastAsia="標楷體" w:hAnsi="Arial" w:cs="標楷體" w:hint="eastAsia"/>
          <w:sz w:val="36"/>
          <w:szCs w:val="36"/>
        </w:rPr>
        <w:t>年</w:t>
      </w:r>
      <w:r w:rsidRPr="001259CE">
        <w:rPr>
          <w:rFonts w:ascii="Arial" w:eastAsia="標楷體" w:hAnsi="Arial" w:cs="Arial"/>
          <w:sz w:val="36"/>
          <w:szCs w:val="36"/>
        </w:rPr>
        <w:t>3</w:t>
      </w:r>
      <w:r w:rsidRPr="001259CE">
        <w:rPr>
          <w:rFonts w:ascii="Arial" w:eastAsia="標楷體" w:hAnsi="Arial" w:cs="標楷體" w:hint="eastAsia"/>
          <w:sz w:val="36"/>
          <w:szCs w:val="36"/>
        </w:rPr>
        <w:t>月</w:t>
      </w:r>
      <w:r w:rsidRPr="001259CE">
        <w:rPr>
          <w:rFonts w:ascii="Arial" w:eastAsia="標楷體" w:hAnsi="Arial" w:cs="Arial"/>
          <w:sz w:val="36"/>
          <w:szCs w:val="36"/>
        </w:rPr>
        <w:t>24</w:t>
      </w:r>
      <w:r w:rsidRPr="001259CE">
        <w:rPr>
          <w:rFonts w:ascii="Arial" w:eastAsia="標楷體" w:hAnsi="Arial" w:cs="標楷體" w:hint="eastAsia"/>
          <w:sz w:val="36"/>
          <w:szCs w:val="36"/>
        </w:rPr>
        <w:t>日止，共有</w:t>
      </w:r>
      <w:r w:rsidRPr="001259CE">
        <w:rPr>
          <w:rFonts w:ascii="Arial" w:eastAsia="標楷體" w:hAnsi="Arial" w:cs="Arial"/>
          <w:b/>
          <w:bCs/>
          <w:sz w:val="36"/>
          <w:szCs w:val="36"/>
        </w:rPr>
        <w:t>75</w:t>
      </w:r>
      <w:r w:rsidRPr="001259CE">
        <w:rPr>
          <w:rFonts w:ascii="Arial" w:eastAsia="標楷體" w:hAnsi="Arial" w:cs="標楷體" w:hint="eastAsia"/>
          <w:b/>
          <w:bCs/>
          <w:sz w:val="36"/>
          <w:szCs w:val="36"/>
        </w:rPr>
        <w:t>家</w:t>
      </w:r>
      <w:r w:rsidRPr="001259CE">
        <w:rPr>
          <w:rFonts w:ascii="Arial" w:eastAsia="標楷體" w:hAnsi="Arial" w:cs="標楷體" w:hint="eastAsia"/>
          <w:sz w:val="36"/>
          <w:szCs w:val="36"/>
        </w:rPr>
        <w:t>金融機構與中國銀行臺北分行簽署「人民幣業務清算及結算協議」成為參加行。</w:t>
      </w:r>
    </w:p>
    <w:p w:rsidR="00F33B9E" w:rsidRPr="00A95A4B" w:rsidRDefault="00F33B9E" w:rsidP="009B7B5F">
      <w:pPr>
        <w:pStyle w:val="ListParagraph"/>
        <w:numPr>
          <w:ilvl w:val="2"/>
          <w:numId w:val="2"/>
        </w:numPr>
        <w:spacing w:afterLines="50" w:line="600" w:lineRule="exact"/>
        <w:ind w:leftChars="0" w:left="2410" w:hanging="709"/>
        <w:jc w:val="both"/>
        <w:rPr>
          <w:rFonts w:ascii="Arial" w:eastAsia="標楷體" w:hAnsi="Arial" w:cs="Arial"/>
          <w:sz w:val="36"/>
          <w:szCs w:val="36"/>
        </w:rPr>
      </w:pPr>
      <w:r w:rsidRPr="00A95A4B">
        <w:rPr>
          <w:rFonts w:ascii="Arial" w:eastAsia="標楷體" w:hAnsi="Arial" w:cs="標楷體" w:hint="eastAsia"/>
          <w:sz w:val="36"/>
          <w:szCs w:val="36"/>
        </w:rPr>
        <w:t>其中</w:t>
      </w:r>
      <w:r>
        <w:rPr>
          <w:rFonts w:ascii="Arial" w:eastAsia="標楷體" w:hAnsi="Arial" w:cs="Arial"/>
          <w:b/>
          <w:bCs/>
          <w:sz w:val="36"/>
          <w:szCs w:val="36"/>
        </w:rPr>
        <w:t>9</w:t>
      </w:r>
      <w:r w:rsidRPr="00A95A4B">
        <w:rPr>
          <w:rFonts w:ascii="Arial" w:eastAsia="標楷體" w:hAnsi="Arial" w:cs="標楷體" w:hint="eastAsia"/>
          <w:b/>
          <w:bCs/>
          <w:sz w:val="36"/>
          <w:szCs w:val="36"/>
        </w:rPr>
        <w:t>家</w:t>
      </w:r>
      <w:r w:rsidRPr="00A95A4B">
        <w:rPr>
          <w:rFonts w:ascii="Arial" w:eastAsia="標楷體" w:hAnsi="Arial" w:cs="標楷體" w:hint="eastAsia"/>
          <w:sz w:val="36"/>
          <w:szCs w:val="36"/>
        </w:rPr>
        <w:t>為境外銀行，分別來自</w:t>
      </w:r>
      <w:r w:rsidRPr="00A95A4B">
        <w:rPr>
          <w:rFonts w:ascii="Arial" w:eastAsia="標楷體" w:hAnsi="Arial" w:cs="Arial"/>
          <w:sz w:val="36"/>
          <w:szCs w:val="36"/>
        </w:rPr>
        <w:t>:</w:t>
      </w:r>
    </w:p>
    <w:tbl>
      <w:tblPr>
        <w:tblW w:w="0" w:type="auto"/>
        <w:tblInd w:w="2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835"/>
        <w:gridCol w:w="2835"/>
      </w:tblGrid>
      <w:tr w:rsidR="00F33B9E" w:rsidRPr="00315A9D" w:rsidTr="009B7B5F">
        <w:tc>
          <w:tcPr>
            <w:tcW w:w="3119" w:type="dxa"/>
          </w:tcPr>
          <w:p w:rsidR="00F33B9E" w:rsidRPr="00315A9D" w:rsidRDefault="00F33B9E" w:rsidP="00315A9D">
            <w:pPr>
              <w:pStyle w:val="ListParagraph"/>
              <w:numPr>
                <w:ilvl w:val="0"/>
                <w:numId w:val="7"/>
              </w:numPr>
              <w:spacing w:line="600" w:lineRule="exact"/>
              <w:ind w:leftChars="0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香港</w:t>
            </w:r>
          </w:p>
        </w:tc>
        <w:tc>
          <w:tcPr>
            <w:tcW w:w="2835" w:type="dxa"/>
          </w:tcPr>
          <w:p w:rsidR="00F33B9E" w:rsidRPr="00315A9D" w:rsidRDefault="00F33B9E" w:rsidP="00315A9D">
            <w:pPr>
              <w:spacing w:line="600" w:lineRule="exact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 xml:space="preserve">4. 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首爾</w:t>
            </w:r>
          </w:p>
        </w:tc>
        <w:tc>
          <w:tcPr>
            <w:tcW w:w="2835" w:type="dxa"/>
          </w:tcPr>
          <w:p w:rsidR="00F33B9E" w:rsidRPr="00315A9D" w:rsidRDefault="00F33B9E" w:rsidP="00315A9D">
            <w:pPr>
              <w:spacing w:line="600" w:lineRule="exact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 xml:space="preserve">7. 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盧森堡</w:t>
            </w:r>
          </w:p>
        </w:tc>
      </w:tr>
      <w:tr w:rsidR="00F33B9E" w:rsidRPr="00315A9D" w:rsidTr="009B7B5F">
        <w:tc>
          <w:tcPr>
            <w:tcW w:w="3119" w:type="dxa"/>
          </w:tcPr>
          <w:p w:rsidR="00F33B9E" w:rsidRPr="00315A9D" w:rsidRDefault="00F33B9E" w:rsidP="00315A9D">
            <w:pPr>
              <w:pStyle w:val="ListParagraph"/>
              <w:numPr>
                <w:ilvl w:val="0"/>
                <w:numId w:val="7"/>
              </w:numPr>
              <w:spacing w:line="600" w:lineRule="exact"/>
              <w:ind w:leftChars="0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澳門</w:t>
            </w:r>
          </w:p>
        </w:tc>
        <w:tc>
          <w:tcPr>
            <w:tcW w:w="2835" w:type="dxa"/>
          </w:tcPr>
          <w:p w:rsidR="00F33B9E" w:rsidRPr="00315A9D" w:rsidRDefault="00F33B9E" w:rsidP="00315A9D">
            <w:pPr>
              <w:spacing w:line="600" w:lineRule="exact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 xml:space="preserve">5. 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巴黎</w:t>
            </w:r>
          </w:p>
        </w:tc>
        <w:tc>
          <w:tcPr>
            <w:tcW w:w="2835" w:type="dxa"/>
          </w:tcPr>
          <w:p w:rsidR="00F33B9E" w:rsidRPr="00315A9D" w:rsidRDefault="00F33B9E" w:rsidP="00315A9D">
            <w:pPr>
              <w:spacing w:line="600" w:lineRule="exact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 xml:space="preserve">8. 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東京</w:t>
            </w:r>
          </w:p>
        </w:tc>
      </w:tr>
      <w:tr w:rsidR="00F33B9E" w:rsidRPr="00315A9D" w:rsidTr="009B7B5F">
        <w:tc>
          <w:tcPr>
            <w:tcW w:w="3119" w:type="dxa"/>
          </w:tcPr>
          <w:p w:rsidR="00F33B9E" w:rsidRPr="00315A9D" w:rsidRDefault="00F33B9E" w:rsidP="00315A9D">
            <w:pPr>
              <w:pStyle w:val="ListParagraph"/>
              <w:numPr>
                <w:ilvl w:val="0"/>
                <w:numId w:val="7"/>
              </w:numPr>
              <w:spacing w:line="600" w:lineRule="exact"/>
              <w:ind w:leftChars="0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新加坡</w:t>
            </w:r>
          </w:p>
        </w:tc>
        <w:tc>
          <w:tcPr>
            <w:tcW w:w="2835" w:type="dxa"/>
          </w:tcPr>
          <w:p w:rsidR="00F33B9E" w:rsidRPr="00315A9D" w:rsidRDefault="00F33B9E" w:rsidP="00315A9D">
            <w:pPr>
              <w:spacing w:line="600" w:lineRule="exact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 xml:space="preserve">6. 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法蘭克福</w:t>
            </w:r>
          </w:p>
        </w:tc>
        <w:tc>
          <w:tcPr>
            <w:tcW w:w="2835" w:type="dxa"/>
          </w:tcPr>
          <w:p w:rsidR="00F33B9E" w:rsidRPr="00315A9D" w:rsidRDefault="00F33B9E" w:rsidP="00315A9D">
            <w:pPr>
              <w:spacing w:line="600" w:lineRule="exact"/>
              <w:rPr>
                <w:rFonts w:ascii="Arial" w:eastAsia="標楷體" w:hAnsi="Arial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 xml:space="preserve">9. 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金邊</w:t>
            </w:r>
          </w:p>
        </w:tc>
      </w:tr>
    </w:tbl>
    <w:p w:rsidR="00F33B9E" w:rsidRDefault="00F33B9E" w:rsidP="009B7B5F">
      <w:pPr>
        <w:spacing w:afterLines="50"/>
        <w:rPr>
          <w:rFonts w:ascii="標楷體" w:eastAsia="標楷體" w:hAnsi="標楷體" w:cs="Times New Roman"/>
          <w:b/>
          <w:bCs/>
          <w:color w:val="CC00FF"/>
          <w:sz w:val="36"/>
          <w:szCs w:val="36"/>
        </w:rPr>
      </w:pPr>
    </w:p>
    <w:p w:rsidR="00F33B9E" w:rsidRPr="00457B2A" w:rsidRDefault="00F33B9E" w:rsidP="00F31E81">
      <w:pPr>
        <w:pStyle w:val="ListParagraph"/>
        <w:numPr>
          <w:ilvl w:val="0"/>
          <w:numId w:val="3"/>
        </w:numPr>
        <w:spacing w:line="600" w:lineRule="exact"/>
        <w:ind w:leftChars="0" w:left="1701" w:hanging="850"/>
        <w:jc w:val="both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457B2A">
        <w:rPr>
          <w:rFonts w:ascii="標楷體" w:eastAsia="標楷體" w:hAnsi="標楷體" w:cs="標楷體" w:hint="eastAsia"/>
          <w:b/>
          <w:bCs/>
          <w:sz w:val="36"/>
          <w:szCs w:val="36"/>
        </w:rPr>
        <w:t>臺灣地區</w:t>
      </w:r>
      <w:r w:rsidRPr="00F31E81">
        <w:rPr>
          <w:rFonts w:ascii="Arial" w:eastAsia="標楷體" w:hAnsi="Arial" w:cs="標楷體" w:hint="eastAsia"/>
          <w:b/>
          <w:bCs/>
          <w:sz w:val="36"/>
          <w:szCs w:val="36"/>
        </w:rPr>
        <w:t>人民幣</w:t>
      </w:r>
      <w:r w:rsidRPr="00457B2A">
        <w:rPr>
          <w:rFonts w:ascii="標楷體" w:eastAsia="標楷體" w:hAnsi="標楷體" w:cs="標楷體" w:hint="eastAsia"/>
          <w:b/>
          <w:bCs/>
          <w:sz w:val="36"/>
          <w:szCs w:val="36"/>
        </w:rPr>
        <w:t>業務概況</w:t>
      </w:r>
    </w:p>
    <w:p w:rsidR="00F33B9E" w:rsidRPr="00457B2A" w:rsidRDefault="00F33B9E" w:rsidP="009B7B5F">
      <w:pPr>
        <w:pStyle w:val="ListParagraph"/>
        <w:wordWrap w:val="0"/>
        <w:spacing w:afterLines="50"/>
        <w:ind w:leftChars="0"/>
        <w:jc w:val="right"/>
        <w:rPr>
          <w:rFonts w:ascii="標楷體" w:eastAsia="標楷體" w:hAnsi="標楷體" w:cs="Times New Roman"/>
          <w:sz w:val="28"/>
          <w:szCs w:val="28"/>
        </w:rPr>
      </w:pPr>
      <w:r w:rsidRPr="00457B2A">
        <w:rPr>
          <w:rFonts w:ascii="標楷體" w:eastAsia="標楷體" w:hAnsi="標楷體" w:cs="標楷體" w:hint="eastAsia"/>
          <w:sz w:val="28"/>
          <w:szCs w:val="28"/>
        </w:rPr>
        <w:t>單位</w:t>
      </w:r>
      <w:r w:rsidRPr="00457B2A">
        <w:rPr>
          <w:rFonts w:ascii="標楷體" w:eastAsia="標楷體" w:hAnsi="標楷體" w:cs="標楷體"/>
          <w:sz w:val="28"/>
          <w:szCs w:val="28"/>
        </w:rPr>
        <w:t>:</w:t>
      </w:r>
      <w:r w:rsidRPr="000C4AEE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億元</w:t>
      </w:r>
      <w:r w:rsidRPr="00457B2A">
        <w:rPr>
          <w:rFonts w:ascii="標楷體" w:eastAsia="標楷體" w:hAnsi="標楷體" w:cs="標楷體" w:hint="eastAsia"/>
          <w:sz w:val="28"/>
          <w:szCs w:val="28"/>
        </w:rPr>
        <w:t>人民幣</w:t>
      </w:r>
    </w:p>
    <w:tbl>
      <w:tblPr>
        <w:tblW w:w="123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7"/>
        <w:gridCol w:w="4536"/>
      </w:tblGrid>
      <w:tr w:rsidR="00F33B9E" w:rsidRPr="00315A9D">
        <w:tc>
          <w:tcPr>
            <w:tcW w:w="7797" w:type="dxa"/>
            <w:vAlign w:val="center"/>
          </w:tcPr>
          <w:p w:rsidR="00F33B9E" w:rsidRPr="00315A9D" w:rsidRDefault="00F33B9E" w:rsidP="009B7B5F">
            <w:pPr>
              <w:spacing w:beforeLines="50" w:afterLines="50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人民幣存款餘額</w:t>
            </w: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*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 xml:space="preserve"> (103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年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2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月底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)</w:t>
            </w:r>
          </w:p>
        </w:tc>
        <w:tc>
          <w:tcPr>
            <w:tcW w:w="4536" w:type="dxa"/>
            <w:vAlign w:val="center"/>
          </w:tcPr>
          <w:p w:rsidR="00F33B9E" w:rsidRPr="00315A9D" w:rsidRDefault="00F33B9E" w:rsidP="009B7B5F">
            <w:pPr>
              <w:spacing w:beforeLines="50" w:afterLines="50"/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</w:pPr>
            <w:bookmarkStart w:id="0" w:name="OLE_LINK1"/>
            <w:bookmarkStart w:id="1" w:name="OLE_LINK2"/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2,471</w:t>
            </w:r>
            <w:bookmarkEnd w:id="0"/>
            <w:bookmarkEnd w:id="1"/>
            <w:r w:rsidRPr="00315A9D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33B9E" w:rsidRPr="00315A9D">
        <w:tc>
          <w:tcPr>
            <w:tcW w:w="7797" w:type="dxa"/>
            <w:vAlign w:val="center"/>
          </w:tcPr>
          <w:p w:rsidR="00F33B9E" w:rsidRPr="00315A9D" w:rsidRDefault="00F33B9E" w:rsidP="009B7B5F">
            <w:pPr>
              <w:spacing w:beforeLines="50" w:afterLines="50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人民幣匯款總額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(102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年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2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月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-103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年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2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月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)</w:t>
            </w:r>
          </w:p>
        </w:tc>
        <w:tc>
          <w:tcPr>
            <w:tcW w:w="4536" w:type="dxa"/>
            <w:vAlign w:val="center"/>
          </w:tcPr>
          <w:p w:rsidR="00F33B9E" w:rsidRPr="00315A9D" w:rsidRDefault="00F33B9E" w:rsidP="009B7B5F">
            <w:pPr>
              <w:spacing w:beforeLines="50" w:afterLines="50"/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6,510</w:t>
            </w:r>
            <w:r w:rsidRPr="00315A9D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33B9E" w:rsidRPr="00315A9D">
        <w:tc>
          <w:tcPr>
            <w:tcW w:w="7797" w:type="dxa"/>
            <w:vAlign w:val="center"/>
          </w:tcPr>
          <w:p w:rsidR="00F33B9E" w:rsidRPr="00315A9D" w:rsidRDefault="00F33B9E" w:rsidP="009B7B5F">
            <w:pPr>
              <w:spacing w:beforeLines="50" w:afterLines="50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人民幣外匯交易總額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(102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年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2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月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-103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年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2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月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)</w:t>
            </w:r>
          </w:p>
        </w:tc>
        <w:tc>
          <w:tcPr>
            <w:tcW w:w="4536" w:type="dxa"/>
            <w:vAlign w:val="center"/>
          </w:tcPr>
          <w:p w:rsidR="00F33B9E" w:rsidRPr="00315A9D" w:rsidRDefault="00F33B9E" w:rsidP="009B7B5F">
            <w:pPr>
              <w:spacing w:beforeLines="50" w:afterLines="50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71,567</w:t>
            </w:r>
            <w:r w:rsidRPr="00315A9D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(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約</w:t>
            </w: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11,543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億美元</w:t>
            </w: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)</w:t>
            </w:r>
          </w:p>
        </w:tc>
      </w:tr>
      <w:tr w:rsidR="00F33B9E" w:rsidRPr="00315A9D">
        <w:tc>
          <w:tcPr>
            <w:tcW w:w="7797" w:type="dxa"/>
            <w:vAlign w:val="center"/>
          </w:tcPr>
          <w:p w:rsidR="00F33B9E" w:rsidRPr="00315A9D" w:rsidRDefault="00F33B9E" w:rsidP="009B7B5F">
            <w:pPr>
              <w:spacing w:beforeLines="50" w:afterLines="50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15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6"/>
                <w:szCs w:val="36"/>
              </w:rPr>
              <w:t>檔人民幣計價債券發行金額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(103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年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2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月底</w:t>
            </w:r>
            <w:r w:rsidRPr="00315A9D">
              <w:rPr>
                <w:rFonts w:ascii="Arial" w:eastAsia="標楷體" w:hAnsi="Arial" w:cs="Arial"/>
                <w:sz w:val="36"/>
                <w:szCs w:val="36"/>
              </w:rPr>
              <w:t>)</w:t>
            </w:r>
          </w:p>
        </w:tc>
        <w:tc>
          <w:tcPr>
            <w:tcW w:w="4536" w:type="dxa"/>
            <w:vAlign w:val="center"/>
          </w:tcPr>
          <w:p w:rsidR="00F33B9E" w:rsidRPr="00315A9D" w:rsidRDefault="00F33B9E" w:rsidP="009B7B5F">
            <w:pPr>
              <w:spacing w:beforeLines="50" w:afterLines="50"/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121</w:t>
            </w:r>
            <w:r w:rsidRPr="00315A9D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F33B9E" w:rsidRPr="004E1119" w:rsidRDefault="00F33B9E" w:rsidP="00F31E81">
      <w:pPr>
        <w:spacing w:line="700" w:lineRule="exact"/>
        <w:ind w:leftChars="708" w:left="1699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Arial"/>
          <w:b/>
          <w:bCs/>
          <w:sz w:val="36"/>
          <w:szCs w:val="36"/>
        </w:rPr>
        <w:t>*</w:t>
      </w:r>
      <w:r w:rsidRPr="004E1119">
        <w:rPr>
          <w:rFonts w:ascii="Arial" w:eastAsia="標楷體" w:hAnsi="Arial" w:cs="標楷體" w:hint="eastAsia"/>
          <w:sz w:val="32"/>
          <w:szCs w:val="32"/>
        </w:rPr>
        <w:t>註</w:t>
      </w:r>
      <w:r w:rsidRPr="004E1119">
        <w:rPr>
          <w:rFonts w:ascii="Arial" w:eastAsia="標楷體" w:hAnsi="Arial" w:cs="Arial"/>
          <w:sz w:val="32"/>
          <w:szCs w:val="32"/>
        </w:rPr>
        <w:t>:103</w:t>
      </w:r>
      <w:r w:rsidRPr="004E1119">
        <w:rPr>
          <w:rFonts w:ascii="Arial" w:eastAsia="標楷體" w:hAnsi="Arial" w:cs="標楷體" w:hint="eastAsia"/>
          <w:sz w:val="32"/>
          <w:szCs w:val="32"/>
        </w:rPr>
        <w:t>年</w:t>
      </w:r>
      <w:r w:rsidRPr="004E1119">
        <w:rPr>
          <w:rFonts w:ascii="Arial" w:eastAsia="標楷體" w:hAnsi="Arial" w:cs="Arial"/>
          <w:sz w:val="32"/>
          <w:szCs w:val="32"/>
        </w:rPr>
        <w:t>2</w:t>
      </w:r>
      <w:r w:rsidRPr="004E1119">
        <w:rPr>
          <w:rFonts w:ascii="Arial" w:eastAsia="標楷體" w:hAnsi="Arial" w:cs="標楷體" w:hint="eastAsia"/>
          <w:sz w:val="32"/>
          <w:szCs w:val="32"/>
        </w:rPr>
        <w:t>月底人民幣存款餘額</w:t>
      </w:r>
      <w:r>
        <w:rPr>
          <w:rFonts w:ascii="Arial" w:eastAsia="標楷體" w:hAnsi="Arial" w:cs="標楷體" w:hint="eastAsia"/>
          <w:sz w:val="32"/>
          <w:szCs w:val="32"/>
        </w:rPr>
        <w:t>創</w:t>
      </w:r>
      <w:r w:rsidRPr="004E1119">
        <w:rPr>
          <w:rFonts w:ascii="Arial" w:eastAsia="標楷體" w:hAnsi="Arial" w:cs="標楷體" w:hint="eastAsia"/>
          <w:sz w:val="32"/>
          <w:szCs w:val="32"/>
        </w:rPr>
        <w:t>歷史新高。</w:t>
      </w:r>
    </w:p>
    <w:p w:rsidR="00F33B9E" w:rsidRPr="00F31E81" w:rsidRDefault="00F33B9E" w:rsidP="0067311B">
      <w:pPr>
        <w:rPr>
          <w:rFonts w:ascii="Arial" w:eastAsia="標楷體" w:hAnsi="Arial" w:cs="Times New Roman"/>
          <w:b/>
          <w:bCs/>
          <w:sz w:val="32"/>
          <w:szCs w:val="32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  <w:r>
        <w:rPr>
          <w:noProof/>
        </w:rPr>
        <w:pict>
          <v:shape id="文字方塊 11" o:spid="_x0000_s1029" type="#_x0000_t202" style="position:absolute;margin-left:526.15pt;margin-top:191.35pt;width:211.9pt;height:184.5pt;z-index:251656192;visibility:visible" strokeweight=".5pt">
            <v:textbox>
              <w:txbxContent>
                <w:p w:rsidR="00F33B9E" w:rsidRPr="00A375C3" w:rsidRDefault="00F33B9E" w:rsidP="00A70E66">
                  <w:pPr>
                    <w:spacing w:line="600" w:lineRule="exact"/>
                    <w:rPr>
                      <w:rFonts w:ascii="Arial" w:eastAsia="標楷體" w:hAnsi="Arial" w:cs="Times New Roman"/>
                      <w:b/>
                      <w:bCs/>
                      <w:sz w:val="32"/>
                      <w:szCs w:val="32"/>
                    </w:rPr>
                  </w:pPr>
                  <w:r w:rsidRPr="00A375C3">
                    <w:rPr>
                      <w:rFonts w:ascii="Arial" w:eastAsia="標楷體" w:hAnsi="Arial" w:cs="標楷體" w:hint="eastAsia"/>
                      <w:b/>
                      <w:bCs/>
                      <w:sz w:val="32"/>
                      <w:szCs w:val="32"/>
                    </w:rPr>
                    <w:t>截至</w:t>
                  </w:r>
                  <w:r w:rsidRPr="00A375C3"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>103.2.28</w:t>
                  </w:r>
                  <w:r w:rsidRPr="00A375C3">
                    <w:rPr>
                      <w:rFonts w:ascii="Arial" w:eastAsia="標楷體" w:hAnsi="Arial" w:cs="標楷體" w:hint="eastAsia"/>
                      <w:b/>
                      <w:bCs/>
                      <w:sz w:val="32"/>
                      <w:szCs w:val="32"/>
                    </w:rPr>
                    <w:t>為止</w:t>
                  </w:r>
                </w:p>
                <w:p w:rsidR="00F33B9E" w:rsidRPr="00A375C3" w:rsidRDefault="00F33B9E" w:rsidP="009B7B5F">
                  <w:pPr>
                    <w:spacing w:afterLines="50" w:line="600" w:lineRule="exact"/>
                    <w:ind w:firstLineChars="250" w:firstLine="801"/>
                    <w:rPr>
                      <w:rFonts w:ascii="Arial" w:eastAsia="標楷體" w:hAnsi="Arial" w:cs="Arial"/>
                      <w:b/>
                      <w:bCs/>
                    </w:rPr>
                  </w:pPr>
                  <w:r w:rsidRPr="00B15511">
                    <w:rPr>
                      <w:rFonts w:ascii="Arial" w:eastAsia="標楷體" w:hAnsi="Arial" w:cs="標楷體" w:hint="eastAsia"/>
                      <w:b/>
                      <w:bCs/>
                      <w:sz w:val="32"/>
                      <w:szCs w:val="32"/>
                      <w:u w:val="single"/>
                    </w:rPr>
                    <w:t>家數</w:t>
                  </w:r>
                  <w:r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Arial" w:eastAsia="標楷體" w:hAnsi="Arial" w:cs="標楷體" w:hint="eastAsia"/>
                      <w:b/>
                      <w:bCs/>
                      <w:sz w:val="32"/>
                      <w:szCs w:val="32"/>
                      <w:u w:val="single"/>
                    </w:rPr>
                    <w:t>餘</w:t>
                  </w:r>
                  <w:r w:rsidRPr="00B15511">
                    <w:rPr>
                      <w:rFonts w:ascii="Arial" w:eastAsia="標楷體" w:hAnsi="Arial" w:cs="標楷體" w:hint="eastAsia"/>
                      <w:b/>
                      <w:bCs/>
                      <w:sz w:val="32"/>
                      <w:szCs w:val="32"/>
                      <w:u w:val="single"/>
                    </w:rPr>
                    <w:t>額</w:t>
                  </w:r>
                  <w:r w:rsidRPr="00A375C3">
                    <w:rPr>
                      <w:rFonts w:ascii="Arial" w:eastAsia="標楷體" w:hAnsi="Arial" w:cs="Arial"/>
                      <w:b/>
                      <w:bCs/>
                    </w:rPr>
                    <w:t>(</w:t>
                  </w:r>
                  <w:r w:rsidRPr="00A375C3">
                    <w:rPr>
                      <w:rFonts w:ascii="Arial" w:eastAsia="標楷體" w:hAnsi="Arial" w:cs="標楷體" w:hint="eastAsia"/>
                      <w:b/>
                      <w:bCs/>
                    </w:rPr>
                    <w:t>億</w:t>
                  </w:r>
                  <w:r>
                    <w:rPr>
                      <w:rFonts w:ascii="Arial" w:eastAsia="標楷體" w:hAnsi="Arial" w:cs="標楷體" w:hint="eastAsia"/>
                      <w:b/>
                      <w:bCs/>
                    </w:rPr>
                    <w:t>元</w:t>
                  </w:r>
                  <w:r w:rsidRPr="00A375C3">
                    <w:rPr>
                      <w:rFonts w:ascii="Arial" w:eastAsia="標楷體" w:hAnsi="Arial" w:cs="標楷體" w:hint="eastAsia"/>
                      <w:b/>
                      <w:bCs/>
                    </w:rPr>
                    <w:t>人民幣</w:t>
                  </w:r>
                  <w:r w:rsidRPr="00A375C3">
                    <w:rPr>
                      <w:rFonts w:ascii="Arial" w:eastAsia="標楷體" w:hAnsi="Arial" w:cs="Arial"/>
                      <w:b/>
                      <w:bCs/>
                    </w:rPr>
                    <w:t>)</w:t>
                  </w:r>
                </w:p>
                <w:p w:rsidR="00F33B9E" w:rsidRPr="00B15511" w:rsidRDefault="00F33B9E" w:rsidP="00A70E66">
                  <w:pPr>
                    <w:spacing w:line="600" w:lineRule="exact"/>
                    <w:rPr>
                      <w:rFonts w:ascii="Arial" w:eastAsia="標楷體" w:hAnsi="Arial" w:cs="Times New Roman"/>
                      <w:b/>
                      <w:bCs/>
                      <w:sz w:val="32"/>
                      <w:szCs w:val="32"/>
                    </w:rPr>
                  </w:pPr>
                  <w:r w:rsidRPr="00B15511"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 xml:space="preserve">DBU </w:t>
                  </w:r>
                  <w:r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 xml:space="preserve"> 67   1,926</w:t>
                  </w:r>
                </w:p>
                <w:p w:rsidR="00F33B9E" w:rsidRPr="00B15511" w:rsidRDefault="00F33B9E" w:rsidP="00A70E66">
                  <w:pPr>
                    <w:spacing w:line="600" w:lineRule="exact"/>
                    <w:rPr>
                      <w:rFonts w:ascii="Arial" w:eastAsia="標楷體" w:hAnsi="Arial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>OBU  57     545</w:t>
                  </w:r>
                </w:p>
                <w:p w:rsidR="00F33B9E" w:rsidRPr="00E17841" w:rsidRDefault="00F33B9E" w:rsidP="00A70E66">
                  <w:pPr>
                    <w:spacing w:line="600" w:lineRule="exact"/>
                    <w:rPr>
                      <w:rFonts w:ascii="Arial" w:eastAsia="標楷體" w:hAnsi="Arial" w:cs="Times New Roman"/>
                      <w:b/>
                      <w:bCs/>
                      <w:color w:val="3333CC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 xml:space="preserve">         </w:t>
                  </w:r>
                  <w:r w:rsidRPr="00B15511"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B15511">
                    <w:rPr>
                      <w:rFonts w:ascii="Arial" w:eastAsia="標楷體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標楷體" w:hAnsi="Arial" w:cs="Arial"/>
                      <w:b/>
                      <w:bCs/>
                      <w:color w:val="3333CC"/>
                      <w:sz w:val="32"/>
                      <w:szCs w:val="32"/>
                      <w:u w:val="single"/>
                    </w:rPr>
                    <w:t>2,471</w:t>
                  </w:r>
                </w:p>
              </w:txbxContent>
            </v:textbox>
          </v:shape>
        </w:pict>
      </w:r>
      <w:r w:rsidRPr="0023520C">
        <w:rPr>
          <w:noProof/>
        </w:rPr>
        <w:t xml:space="preserve"> </w:t>
      </w:r>
      <w:r w:rsidRPr="00E1362E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表 1" o:spid="_x0000_i1025" type="#_x0000_t75" style="width:514.5pt;height:376.5pt;visibility:visible">
            <v:imagedata r:id="rId7" o:title=""/>
            <o:lock v:ext="edit" aspectratio="f"/>
          </v:shape>
        </w:pict>
      </w: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jc w:val="center"/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  <w:r w:rsidRPr="00E1362E">
        <w:rPr>
          <w:rFonts w:cs="Times New Roman"/>
          <w:noProof/>
        </w:rPr>
        <w:pict>
          <v:shape id="圖表 4" o:spid="_x0000_i1026" type="#_x0000_t75" style="width:544.5pt;height:363pt;visibility:visible">
            <v:imagedata r:id="rId8" o:title=""/>
            <o:lock v:ext="edit" aspectratio="f"/>
          </v:shape>
        </w:pict>
      </w: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rPr>
          <w:rFonts w:ascii="標楷體" w:eastAsia="標楷體" w:hAnsi="標楷體" w:cs="Times New Roman"/>
          <w:b/>
          <w:bCs/>
          <w:color w:val="0000FF"/>
          <w:sz w:val="44"/>
          <w:szCs w:val="44"/>
        </w:rPr>
      </w:pPr>
    </w:p>
    <w:p w:rsidR="00F33B9E" w:rsidRDefault="00F33B9E" w:rsidP="0067311B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  <w:r w:rsidRPr="00E1362E">
        <w:rPr>
          <w:rFonts w:cs="Times New Roman"/>
          <w:noProof/>
        </w:rPr>
        <w:pict>
          <v:shape id="圖表 8" o:spid="_x0000_i1027" type="#_x0000_t75" style="width:553.5pt;height:379.5pt;visibility:visible">
            <v:imagedata r:id="rId9" o:title="" cropbottom="-17f"/>
            <o:lock v:ext="edit" aspectratio="f"/>
          </v:shape>
        </w:pict>
      </w:r>
    </w:p>
    <w:p w:rsidR="00F33B9E" w:rsidRDefault="00F33B9E" w:rsidP="0067311B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67311B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67311B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  <w:r w:rsidRPr="00E1362E">
        <w:rPr>
          <w:rFonts w:cs="Times New Roman"/>
          <w:noProof/>
        </w:rPr>
        <w:pict>
          <v:shape id="圖表 10" o:spid="_x0000_i1028" type="#_x0000_t75" style="width:549.75pt;height:367.5pt;visibility:visible">
            <v:imagedata r:id="rId10" o:title="" cropbottom="-18f"/>
            <o:lock v:ext="edit" aspectratio="f"/>
          </v:shape>
        </w:pict>
      </w:r>
    </w:p>
    <w:p w:rsidR="00F33B9E" w:rsidRDefault="00F33B9E" w:rsidP="0067311B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Default="00F33B9E" w:rsidP="0067311B">
      <w:pPr>
        <w:jc w:val="center"/>
        <w:rPr>
          <w:rFonts w:ascii="標楷體" w:eastAsia="標楷體" w:hAnsi="標楷體" w:cs="Times New Roman"/>
          <w:b/>
          <w:bCs/>
          <w:sz w:val="48"/>
          <w:szCs w:val="48"/>
        </w:rPr>
      </w:pPr>
    </w:p>
    <w:p w:rsidR="00F33B9E" w:rsidRPr="00573457" w:rsidRDefault="00F33B9E" w:rsidP="0067311B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573457">
        <w:rPr>
          <w:rFonts w:ascii="標楷體" w:eastAsia="標楷體" w:hAnsi="標楷體" w:cs="標楷體" w:hint="eastAsia"/>
          <w:b/>
          <w:bCs/>
          <w:sz w:val="36"/>
          <w:szCs w:val="36"/>
        </w:rPr>
        <w:t>臺北外匯市場交易幣別比重</w:t>
      </w:r>
    </w:p>
    <w:tbl>
      <w:tblPr>
        <w:tblW w:w="0" w:type="auto"/>
        <w:tblInd w:w="-106" w:type="dxa"/>
        <w:tblLook w:val="00A0"/>
      </w:tblPr>
      <w:tblGrid>
        <w:gridCol w:w="7110"/>
        <w:gridCol w:w="7108"/>
      </w:tblGrid>
      <w:tr w:rsidR="00F33B9E" w:rsidRPr="00315A9D">
        <w:trPr>
          <w:trHeight w:val="410"/>
        </w:trPr>
        <w:tc>
          <w:tcPr>
            <w:tcW w:w="14227" w:type="dxa"/>
            <w:gridSpan w:val="2"/>
          </w:tcPr>
          <w:p w:rsidR="00F33B9E" w:rsidRPr="00315A9D" w:rsidRDefault="00F33B9E" w:rsidP="00315A9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FF"/>
                <w:sz w:val="44"/>
                <w:szCs w:val="44"/>
              </w:rPr>
            </w:pPr>
          </w:p>
        </w:tc>
      </w:tr>
      <w:tr w:rsidR="00F33B9E" w:rsidRPr="00315A9D">
        <w:trPr>
          <w:trHeight w:val="525"/>
        </w:trPr>
        <w:tc>
          <w:tcPr>
            <w:tcW w:w="7376" w:type="dxa"/>
          </w:tcPr>
          <w:p w:rsidR="00F33B9E" w:rsidRPr="00315A9D" w:rsidRDefault="00F33B9E" w:rsidP="00315A9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FF"/>
                <w:sz w:val="36"/>
                <w:szCs w:val="36"/>
                <w:u w:val="single"/>
              </w:rPr>
            </w:pPr>
            <w:r w:rsidRPr="00315A9D">
              <w:rPr>
                <w:rFonts w:ascii="Arial" w:eastAsia="標楷體" w:hAnsi="Arial" w:cs="Arial"/>
                <w:b/>
                <w:bCs/>
                <w:color w:val="6600CC"/>
                <w:kern w:val="24"/>
                <w:sz w:val="36"/>
                <w:szCs w:val="36"/>
                <w:u w:val="single"/>
              </w:rPr>
              <w:t>102</w:t>
            </w:r>
            <w:r w:rsidRPr="00315A9D">
              <w:rPr>
                <w:rFonts w:ascii="Arial" w:eastAsia="標楷體" w:hAnsi="標楷體" w:cs="標楷體" w:hint="eastAsia"/>
                <w:b/>
                <w:bCs/>
                <w:color w:val="6600CC"/>
                <w:kern w:val="24"/>
                <w:sz w:val="36"/>
                <w:szCs w:val="36"/>
                <w:u w:val="single"/>
              </w:rPr>
              <w:t>年</w:t>
            </w:r>
            <w:r w:rsidRPr="00315A9D">
              <w:rPr>
                <w:rFonts w:ascii="Arial" w:eastAsia="標楷體" w:hAnsi="Arial" w:cs="Arial"/>
                <w:b/>
                <w:bCs/>
                <w:color w:val="6600CC"/>
                <w:kern w:val="24"/>
                <w:sz w:val="36"/>
                <w:szCs w:val="36"/>
                <w:u w:val="single"/>
              </w:rPr>
              <w:t>2</w:t>
            </w:r>
            <w:r w:rsidRPr="00315A9D">
              <w:rPr>
                <w:rFonts w:ascii="Arial" w:eastAsia="標楷體" w:hAnsi="標楷體" w:cs="標楷體" w:hint="eastAsia"/>
                <w:b/>
                <w:bCs/>
                <w:color w:val="6600CC"/>
                <w:kern w:val="24"/>
                <w:sz w:val="36"/>
                <w:szCs w:val="36"/>
                <w:u w:val="single"/>
              </w:rPr>
              <w:t>月</w:t>
            </w:r>
          </w:p>
        </w:tc>
        <w:tc>
          <w:tcPr>
            <w:tcW w:w="6851" w:type="dxa"/>
          </w:tcPr>
          <w:p w:rsidR="00F33B9E" w:rsidRPr="00315A9D" w:rsidRDefault="00F33B9E" w:rsidP="00315A9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FF"/>
                <w:sz w:val="36"/>
                <w:szCs w:val="36"/>
                <w:u w:val="single"/>
              </w:rPr>
            </w:pPr>
            <w:r w:rsidRPr="00315A9D">
              <w:rPr>
                <w:rFonts w:ascii="Arial" w:eastAsia="標楷體" w:hAnsi="Arial" w:cs="Arial"/>
                <w:b/>
                <w:bCs/>
                <w:color w:val="6600CC"/>
                <w:kern w:val="24"/>
                <w:sz w:val="36"/>
                <w:szCs w:val="36"/>
                <w:u w:val="single"/>
              </w:rPr>
              <w:t>103</w:t>
            </w:r>
            <w:r w:rsidRPr="00315A9D">
              <w:rPr>
                <w:rFonts w:ascii="Arial" w:eastAsia="標楷體" w:hAnsi="標楷體" w:cs="標楷體" w:hint="eastAsia"/>
                <w:b/>
                <w:bCs/>
                <w:color w:val="6600CC"/>
                <w:kern w:val="24"/>
                <w:sz w:val="36"/>
                <w:szCs w:val="36"/>
                <w:u w:val="single"/>
              </w:rPr>
              <w:t>年</w:t>
            </w:r>
            <w:r w:rsidRPr="00315A9D">
              <w:rPr>
                <w:rFonts w:ascii="Arial" w:eastAsia="標楷體" w:hAnsi="Arial" w:cs="Arial"/>
                <w:b/>
                <w:bCs/>
                <w:color w:val="6600CC"/>
                <w:kern w:val="24"/>
                <w:sz w:val="36"/>
                <w:szCs w:val="36"/>
                <w:u w:val="single"/>
              </w:rPr>
              <w:t>2</w:t>
            </w:r>
            <w:r w:rsidRPr="00315A9D">
              <w:rPr>
                <w:rFonts w:ascii="Arial" w:eastAsia="標楷體" w:hAnsi="標楷體" w:cs="標楷體" w:hint="eastAsia"/>
                <w:b/>
                <w:bCs/>
                <w:color w:val="6600CC"/>
                <w:kern w:val="24"/>
                <w:sz w:val="36"/>
                <w:szCs w:val="36"/>
                <w:u w:val="single"/>
              </w:rPr>
              <w:t>月</w:t>
            </w:r>
          </w:p>
        </w:tc>
      </w:tr>
      <w:tr w:rsidR="00F33B9E" w:rsidRPr="00315A9D">
        <w:tblPrEx>
          <w:tblCellMar>
            <w:left w:w="28" w:type="dxa"/>
            <w:right w:w="28" w:type="dxa"/>
          </w:tblCellMar>
        </w:tblPrEx>
        <w:trPr>
          <w:trHeight w:val="5454"/>
        </w:trPr>
        <w:tc>
          <w:tcPr>
            <w:tcW w:w="7376" w:type="dxa"/>
          </w:tcPr>
          <w:p w:rsidR="00F33B9E" w:rsidRPr="00315A9D" w:rsidRDefault="00F33B9E" w:rsidP="000B5B72">
            <w:pPr>
              <w:rPr>
                <w:rFonts w:ascii="標楷體" w:eastAsia="標楷體" w:hAnsi="標楷體" w:cs="Times New Roman"/>
                <w:b/>
                <w:bCs/>
                <w:color w:val="0000FF"/>
                <w:sz w:val="44"/>
                <w:szCs w:val="44"/>
              </w:rPr>
            </w:pPr>
            <w:r w:rsidRPr="00E1362E">
              <w:rPr>
                <w:rFonts w:cs="Times New Roman"/>
                <w:noProof/>
              </w:rPr>
              <w:pict>
                <v:shape id="圖表 9" o:spid="_x0000_i1029" type="#_x0000_t75" style="width:366pt;height:264pt;visibility:visible">
                  <v:imagedata r:id="rId11" o:title="" croptop="-14036f" cropbottom="-12535f" cropleft="-11976f" cropright="-22976f"/>
                  <o:lock v:ext="edit" aspectratio="f"/>
                </v:shape>
              </w:pict>
            </w:r>
          </w:p>
        </w:tc>
        <w:tc>
          <w:tcPr>
            <w:tcW w:w="6851" w:type="dxa"/>
          </w:tcPr>
          <w:p w:rsidR="00F33B9E" w:rsidRPr="00315A9D" w:rsidRDefault="00F33B9E" w:rsidP="000B5B72">
            <w:pPr>
              <w:rPr>
                <w:rFonts w:ascii="標楷體" w:eastAsia="標楷體" w:hAnsi="標楷體" w:cs="Times New Roman"/>
                <w:b/>
                <w:bCs/>
                <w:color w:val="0000FF"/>
                <w:sz w:val="44"/>
                <w:szCs w:val="44"/>
              </w:rPr>
            </w:pPr>
            <w:r w:rsidRPr="00E1362E">
              <w:rPr>
                <w:rFonts w:cs="Times New Roman"/>
                <w:noProof/>
              </w:rPr>
              <w:pict>
                <v:shape id="圖表 12" o:spid="_x0000_i1030" type="#_x0000_t75" style="width:366pt;height:303pt;visibility:visible">
                  <v:imagedata r:id="rId12" o:title="" croptop="-2609f" cropbottom="-15038f" cropleft="-4776f" cropright="-5827f"/>
                  <o:lock v:ext="edit" aspectratio="f"/>
                </v:shape>
              </w:pict>
            </w:r>
          </w:p>
        </w:tc>
      </w:tr>
      <w:tr w:rsidR="00F33B9E" w:rsidRPr="00315A9D">
        <w:tc>
          <w:tcPr>
            <w:tcW w:w="7376" w:type="dxa"/>
          </w:tcPr>
          <w:p w:rsidR="00F33B9E" w:rsidRPr="00315A9D" w:rsidRDefault="00F33B9E" w:rsidP="00315A9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FF"/>
                <w:sz w:val="36"/>
                <w:szCs w:val="36"/>
              </w:rPr>
            </w:pP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交易量</w:t>
            </w:r>
            <w:r w:rsidRPr="00315A9D">
              <w:rPr>
                <w:rFonts w:ascii="Arial" w:eastAsia="標楷體" w:hAnsi="Arial" w:cs="Arial"/>
                <w:b/>
                <w:bCs/>
                <w:color w:val="FF0000"/>
                <w:sz w:val="36"/>
                <w:szCs w:val="36"/>
                <w:u w:val="single"/>
              </w:rPr>
              <w:t>4,913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億美元</w:t>
            </w:r>
          </w:p>
        </w:tc>
        <w:tc>
          <w:tcPr>
            <w:tcW w:w="6851" w:type="dxa"/>
          </w:tcPr>
          <w:p w:rsidR="00F33B9E" w:rsidRPr="00315A9D" w:rsidRDefault="00F33B9E" w:rsidP="00315A9D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FF"/>
                <w:sz w:val="36"/>
                <w:szCs w:val="36"/>
              </w:rPr>
            </w:pP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交易量</w:t>
            </w:r>
            <w:r w:rsidRPr="00315A9D">
              <w:rPr>
                <w:rFonts w:ascii="Arial" w:eastAsia="標楷體" w:hAnsi="Arial" w:cs="Arial"/>
                <w:b/>
                <w:bCs/>
                <w:color w:val="FF0000"/>
                <w:sz w:val="36"/>
                <w:szCs w:val="36"/>
                <w:u w:val="single"/>
              </w:rPr>
              <w:t>6,256</w:t>
            </w:r>
            <w:r w:rsidRPr="00315A9D">
              <w:rPr>
                <w:rFonts w:ascii="Arial" w:eastAsia="標楷體" w:hAnsi="Arial" w:cs="標楷體" w:hint="eastAsia"/>
                <w:sz w:val="36"/>
                <w:szCs w:val="36"/>
              </w:rPr>
              <w:t>億美元</w:t>
            </w:r>
          </w:p>
        </w:tc>
      </w:tr>
    </w:tbl>
    <w:p w:rsidR="00F33B9E" w:rsidRDefault="00F33B9E" w:rsidP="004B2EA9">
      <w:pPr>
        <w:pStyle w:val="ListParagraph"/>
        <w:ind w:leftChars="0" w:left="822"/>
        <w:rPr>
          <w:rFonts w:ascii="標楷體" w:eastAsia="標楷體" w:hAnsi="標楷體" w:cs="Times New Roman"/>
          <w:sz w:val="40"/>
          <w:szCs w:val="40"/>
        </w:rPr>
      </w:pPr>
    </w:p>
    <w:p w:rsidR="00F33B9E" w:rsidRPr="00B54B45" w:rsidRDefault="00F33B9E" w:rsidP="004C3590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B54B45">
        <w:rPr>
          <w:rFonts w:ascii="標楷體" w:eastAsia="標楷體" w:hAnsi="標楷體" w:cs="標楷體" w:hint="eastAsia"/>
          <w:b/>
          <w:bCs/>
          <w:sz w:val="40"/>
          <w:szCs w:val="40"/>
        </w:rPr>
        <w:t>臺灣、香港及新加坡人民幣業務之比較</w:t>
      </w:r>
    </w:p>
    <w:p w:rsidR="00F33B9E" w:rsidRPr="00A70E66" w:rsidRDefault="00F33B9E" w:rsidP="00ED65C4">
      <w:pPr>
        <w:pStyle w:val="ListParagraph"/>
        <w:wordWrap w:val="0"/>
        <w:ind w:leftChars="0" w:left="825" w:right="119"/>
        <w:jc w:val="righ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Pr="00A70E66">
        <w:rPr>
          <w:rFonts w:ascii="標楷體" w:eastAsia="標楷體" w:hAnsi="標楷體" w:cs="標楷體"/>
          <w:sz w:val="28"/>
          <w:szCs w:val="28"/>
        </w:rPr>
        <w:t xml:space="preserve"> </w:t>
      </w:r>
      <w:r w:rsidRPr="00A70E66">
        <w:rPr>
          <w:rFonts w:ascii="標楷體" w:eastAsia="標楷體" w:hAnsi="標楷體" w:cs="標楷體" w:hint="eastAsia"/>
          <w:sz w:val="28"/>
          <w:szCs w:val="28"/>
        </w:rPr>
        <w:t>單位</w:t>
      </w:r>
      <w:r w:rsidRPr="00A70E66">
        <w:rPr>
          <w:rFonts w:ascii="標楷體" w:eastAsia="標楷體" w:hAnsi="標楷體" w:cs="標楷體"/>
          <w:sz w:val="28"/>
          <w:szCs w:val="28"/>
        </w:rPr>
        <w:t>:</w:t>
      </w:r>
      <w:r w:rsidRPr="00A70E66">
        <w:rPr>
          <w:rFonts w:ascii="標楷體" w:eastAsia="標楷體" w:hAnsi="標楷體" w:cs="標楷體" w:hint="eastAsia"/>
          <w:sz w:val="28"/>
          <w:szCs w:val="28"/>
        </w:rPr>
        <w:t>億元人民幣</w:t>
      </w:r>
    </w:p>
    <w:tbl>
      <w:tblPr>
        <w:tblW w:w="134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6"/>
        <w:gridCol w:w="3496"/>
        <w:gridCol w:w="3497"/>
        <w:gridCol w:w="3497"/>
      </w:tblGrid>
      <w:tr w:rsidR="00F33B9E" w:rsidRPr="00315A9D">
        <w:trPr>
          <w:trHeight w:val="809"/>
        </w:trPr>
        <w:tc>
          <w:tcPr>
            <w:tcW w:w="297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9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臺灣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香港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新加坡</w:t>
            </w:r>
          </w:p>
        </w:tc>
      </w:tr>
      <w:tr w:rsidR="00F33B9E" w:rsidRPr="00315A9D">
        <w:trPr>
          <w:trHeight w:val="1200"/>
        </w:trPr>
        <w:tc>
          <w:tcPr>
            <w:tcW w:w="297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人民幣存款</w:t>
            </w:r>
          </w:p>
        </w:tc>
        <w:tc>
          <w:tcPr>
            <w:tcW w:w="349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2,471</w:t>
            </w:r>
          </w:p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Arial"/>
                <w:b/>
                <w:bCs/>
              </w:rPr>
              <w:t>(2014.2)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8,934</w:t>
            </w:r>
          </w:p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Arial"/>
                <w:b/>
                <w:bCs/>
              </w:rPr>
              <w:t>(2014.1)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2,000</w:t>
            </w:r>
            <w:r w:rsidRPr="00315A9D">
              <w:rPr>
                <w:rFonts w:ascii="Arial" w:eastAsia="標楷體" w:hAnsi="Arial" w:cs="Arial"/>
                <w:b/>
                <w:bCs/>
              </w:rPr>
              <w:t>(</w:t>
            </w:r>
            <w:r w:rsidRPr="00315A9D">
              <w:rPr>
                <w:rFonts w:ascii="Arial" w:eastAsia="標楷體" w:hAnsi="Arial" w:cs="標楷體" w:hint="eastAsia"/>
                <w:b/>
                <w:bCs/>
              </w:rPr>
              <w:t>註</w:t>
            </w:r>
            <w:r w:rsidRPr="00315A9D">
              <w:rPr>
                <w:rFonts w:ascii="Arial" w:eastAsia="標楷體" w:hAnsi="Arial" w:cs="Arial"/>
                <w:b/>
                <w:bCs/>
              </w:rPr>
              <w:t>)</w:t>
            </w:r>
          </w:p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Arial"/>
                <w:b/>
                <w:bCs/>
              </w:rPr>
              <w:t>(2013.12)</w:t>
            </w:r>
          </w:p>
        </w:tc>
      </w:tr>
      <w:tr w:rsidR="00F33B9E" w:rsidRPr="00315A9D">
        <w:trPr>
          <w:trHeight w:val="1200"/>
        </w:trPr>
        <w:tc>
          <w:tcPr>
            <w:tcW w:w="297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人民幣債券</w:t>
            </w:r>
            <w:r w:rsidRPr="00315A9D"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  <w:br/>
            </w: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發行金額</w:t>
            </w:r>
          </w:p>
        </w:tc>
        <w:tc>
          <w:tcPr>
            <w:tcW w:w="349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121</w:t>
            </w:r>
          </w:p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315A9D">
              <w:rPr>
                <w:rFonts w:ascii="Arial" w:eastAsia="標楷體" w:hAnsi="Arial" w:cs="Arial"/>
                <w:b/>
                <w:bCs/>
              </w:rPr>
              <w:t>(2013.2-2014.2)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1,166</w:t>
            </w:r>
          </w:p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315A9D">
              <w:rPr>
                <w:rFonts w:ascii="Arial" w:eastAsia="標楷體" w:hAnsi="Arial" w:cs="Arial"/>
                <w:b/>
                <w:bCs/>
              </w:rPr>
              <w:t>(2013.1-2013.12)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75</w:t>
            </w:r>
          </w:p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315A9D">
              <w:rPr>
                <w:rFonts w:ascii="Arial" w:eastAsia="標楷體" w:hAnsi="Arial" w:cs="Arial"/>
                <w:b/>
                <w:bCs/>
              </w:rPr>
              <w:t>(2013.5-2014.2)</w:t>
            </w:r>
          </w:p>
        </w:tc>
      </w:tr>
      <w:tr w:rsidR="00F33B9E" w:rsidRPr="00315A9D">
        <w:trPr>
          <w:trHeight w:val="1200"/>
        </w:trPr>
        <w:tc>
          <w:tcPr>
            <w:tcW w:w="297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人民幣清算行</w:t>
            </w:r>
          </w:p>
        </w:tc>
        <w:tc>
          <w:tcPr>
            <w:tcW w:w="349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中國銀行</w:t>
            </w:r>
            <w:r w:rsidRPr="00315A9D"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  <w:br/>
            </w: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臺北分行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中國銀行</w:t>
            </w:r>
            <w:r w:rsidRPr="00315A9D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(</w:t>
            </w: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香港</w:t>
            </w:r>
            <w:r w:rsidRPr="00315A9D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中國工商銀行</w:t>
            </w:r>
            <w:r w:rsidRPr="00315A9D"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  <w:br/>
            </w: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新加坡分行</w:t>
            </w:r>
          </w:p>
        </w:tc>
      </w:tr>
      <w:tr w:rsidR="00F33B9E" w:rsidRPr="00315A9D">
        <w:trPr>
          <w:trHeight w:val="1200"/>
        </w:trPr>
        <w:tc>
          <w:tcPr>
            <w:tcW w:w="297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銀行辦理個人</w:t>
            </w:r>
            <w:r w:rsidRPr="00315A9D"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  <w:br/>
            </w: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人民幣匯款至大陸</w:t>
            </w:r>
          </w:p>
        </w:tc>
        <w:tc>
          <w:tcPr>
            <w:tcW w:w="3496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不限區域</w:t>
            </w:r>
          </w:p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不限同名帳戶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不限區域</w:t>
            </w:r>
          </w:p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限同名帳戶</w:t>
            </w:r>
          </w:p>
        </w:tc>
        <w:tc>
          <w:tcPr>
            <w:tcW w:w="3497" w:type="dxa"/>
            <w:vAlign w:val="center"/>
          </w:tcPr>
          <w:p w:rsidR="00F33B9E" w:rsidRPr="00315A9D" w:rsidRDefault="00F33B9E" w:rsidP="00315A9D">
            <w:pPr>
              <w:spacing w:line="500" w:lineRule="exact"/>
              <w:jc w:val="center"/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</w:pP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限大陸境內開放個人</w:t>
            </w:r>
            <w:r w:rsidRPr="00315A9D">
              <w:rPr>
                <w:rFonts w:ascii="Arial" w:eastAsia="標楷體" w:hAnsi="Arial" w:cs="Times New Roman"/>
                <w:b/>
                <w:bCs/>
                <w:sz w:val="32"/>
                <w:szCs w:val="32"/>
              </w:rPr>
              <w:br/>
            </w:r>
            <w:r w:rsidRPr="00315A9D">
              <w:rPr>
                <w:rFonts w:ascii="Arial" w:eastAsia="標楷體" w:hAnsi="Arial" w:cs="標楷體" w:hint="eastAsia"/>
                <w:b/>
                <w:bCs/>
                <w:sz w:val="32"/>
                <w:szCs w:val="32"/>
              </w:rPr>
              <w:t>人民幣匯款政策之區域</w:t>
            </w:r>
          </w:p>
        </w:tc>
      </w:tr>
    </w:tbl>
    <w:p w:rsidR="00F33B9E" w:rsidRPr="00B54B45" w:rsidRDefault="00F33B9E" w:rsidP="009B7B5F">
      <w:pPr>
        <w:pStyle w:val="ListParagraph"/>
        <w:spacing w:beforeLines="50" w:line="500" w:lineRule="exact"/>
        <w:ind w:leftChars="354" w:left="850" w:right="318"/>
        <w:rPr>
          <w:rFonts w:ascii="Arial" w:eastAsia="標楷體" w:hAnsi="Arial" w:cs="Times New Roman"/>
          <w:sz w:val="28"/>
          <w:szCs w:val="28"/>
        </w:rPr>
      </w:pPr>
      <w:r w:rsidRPr="00B54B45">
        <w:rPr>
          <w:rFonts w:ascii="Arial" w:eastAsia="標楷體" w:hAnsi="Arial" w:cs="標楷體" w:hint="eastAsia"/>
          <w:sz w:val="28"/>
          <w:szCs w:val="28"/>
        </w:rPr>
        <w:t>資料來源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B54B45">
        <w:rPr>
          <w:rFonts w:ascii="Arial" w:eastAsia="標楷體" w:hAnsi="Arial" w:cs="標楷體" w:hint="eastAsia"/>
          <w:sz w:val="28"/>
          <w:szCs w:val="28"/>
        </w:rPr>
        <w:t>本行</w:t>
      </w:r>
      <w:r w:rsidRPr="00B54B45">
        <w:rPr>
          <w:rFonts w:ascii="新細明體" w:hAnsi="新細明體" w:cs="新細明體" w:hint="eastAsia"/>
          <w:sz w:val="28"/>
          <w:szCs w:val="28"/>
        </w:rPr>
        <w:t>、</w:t>
      </w:r>
      <w:r w:rsidRPr="00B54B45">
        <w:rPr>
          <w:rFonts w:ascii="Arial" w:eastAsia="標楷體" w:hAnsi="Arial" w:cs="標楷體" w:hint="eastAsia"/>
          <w:sz w:val="28"/>
          <w:szCs w:val="28"/>
        </w:rPr>
        <w:t>香港金融管理局及新加坡金融管理局。</w:t>
      </w:r>
    </w:p>
    <w:p w:rsidR="00F33B9E" w:rsidRPr="00B54B45" w:rsidRDefault="00F33B9E" w:rsidP="004C3590">
      <w:pPr>
        <w:pStyle w:val="ListParagraph"/>
        <w:spacing w:line="500" w:lineRule="exact"/>
        <w:ind w:leftChars="353" w:left="1276" w:rightChars="45" w:right="108" w:hanging="429"/>
        <w:rPr>
          <w:rFonts w:ascii="標楷體" w:eastAsia="標楷體" w:hAnsi="標楷體" w:cs="Times New Roman"/>
          <w:sz w:val="28"/>
          <w:szCs w:val="28"/>
        </w:rPr>
      </w:pPr>
      <w:r w:rsidRPr="00B54B45">
        <w:rPr>
          <w:rFonts w:ascii="Arial" w:eastAsia="標楷體" w:hAnsi="Arial" w:cs="標楷體" w:hint="eastAsia"/>
          <w:sz w:val="28"/>
          <w:szCs w:val="28"/>
        </w:rPr>
        <w:t>註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Arial" w:eastAsia="標楷體" w:hAnsi="Arial" w:cs="Arial"/>
          <w:sz w:val="28"/>
          <w:szCs w:val="28"/>
        </w:rPr>
        <w:t>2014</w:t>
      </w:r>
      <w:r w:rsidRPr="00B54B45">
        <w:rPr>
          <w:rFonts w:ascii="Arial" w:eastAsia="標楷體" w:hAnsi="Arial" w:cs="標楷體" w:hint="eastAsia"/>
          <w:sz w:val="28"/>
          <w:szCs w:val="28"/>
        </w:rPr>
        <w:t>年</w:t>
      </w:r>
      <w:r w:rsidRPr="00B54B45">
        <w:rPr>
          <w:rFonts w:ascii="Arial" w:eastAsia="標楷體" w:hAnsi="Arial" w:cs="Arial"/>
          <w:sz w:val="28"/>
          <w:szCs w:val="28"/>
        </w:rPr>
        <w:t>3</w:t>
      </w:r>
      <w:r w:rsidRPr="00B54B45">
        <w:rPr>
          <w:rFonts w:ascii="Arial" w:eastAsia="標楷體" w:hAnsi="Arial" w:cs="標楷體" w:hint="eastAsia"/>
          <w:sz w:val="28"/>
          <w:szCs w:val="28"/>
        </w:rPr>
        <w:t>月</w:t>
      </w:r>
      <w:r w:rsidRPr="00B54B45">
        <w:rPr>
          <w:rFonts w:ascii="Arial" w:eastAsia="標楷體" w:hAnsi="Arial" w:cs="Arial"/>
          <w:sz w:val="28"/>
          <w:szCs w:val="28"/>
        </w:rPr>
        <w:t>13</w:t>
      </w:r>
      <w:r w:rsidRPr="00B54B45">
        <w:rPr>
          <w:rFonts w:ascii="Arial" w:eastAsia="標楷體" w:hAnsi="Arial" w:cs="標楷體" w:hint="eastAsia"/>
          <w:sz w:val="28"/>
          <w:szCs w:val="28"/>
        </w:rPr>
        <w:t>日</w:t>
      </w:r>
      <w:r w:rsidRPr="004464C6">
        <w:rPr>
          <w:rFonts w:ascii="Arial" w:eastAsia="標楷體" w:hAnsi="Arial" w:cs="標楷體" w:hint="eastAsia"/>
          <w:sz w:val="28"/>
          <w:szCs w:val="28"/>
        </w:rPr>
        <w:t>亞洲證券及金融市場協會</w:t>
      </w:r>
      <w:r w:rsidRPr="004464C6">
        <w:rPr>
          <w:rFonts w:ascii="Arial" w:eastAsia="標楷體" w:hAnsi="Arial" w:cs="Arial"/>
          <w:sz w:val="28"/>
          <w:szCs w:val="28"/>
        </w:rPr>
        <w:t>(ASIFMA)</w:t>
      </w:r>
      <w:r w:rsidRPr="004464C6">
        <w:rPr>
          <w:rFonts w:ascii="Arial" w:eastAsia="標楷體" w:hAnsi="Arial" w:cs="標楷體" w:hint="eastAsia"/>
          <w:sz w:val="28"/>
          <w:szCs w:val="28"/>
        </w:rPr>
        <w:t>舉辦之「第</w:t>
      </w:r>
      <w:r w:rsidRPr="004464C6">
        <w:rPr>
          <w:rFonts w:ascii="Arial" w:eastAsia="標楷體" w:hAnsi="Arial" w:cs="Arial"/>
          <w:sz w:val="28"/>
          <w:szCs w:val="28"/>
        </w:rPr>
        <w:t>4</w:t>
      </w:r>
      <w:r w:rsidRPr="004464C6">
        <w:rPr>
          <w:rFonts w:ascii="Arial" w:eastAsia="標楷體" w:hAnsi="Arial" w:cs="標楷體" w:hint="eastAsia"/>
          <w:sz w:val="28"/>
          <w:szCs w:val="28"/>
        </w:rPr>
        <w:t>屆離岸人民幣市場研討會」</w:t>
      </w:r>
      <w:r>
        <w:rPr>
          <w:rFonts w:ascii="Arial" w:eastAsia="標楷體" w:hAnsi="Arial" w:cs="標楷體" w:hint="eastAsia"/>
          <w:sz w:val="28"/>
          <w:szCs w:val="28"/>
        </w:rPr>
        <w:t>，</w:t>
      </w:r>
      <w:r w:rsidRPr="00B54B45">
        <w:rPr>
          <w:rFonts w:ascii="Arial" w:eastAsia="標楷體" w:hAnsi="Arial" w:cs="標楷體" w:hint="eastAsia"/>
          <w:sz w:val="28"/>
          <w:szCs w:val="28"/>
        </w:rPr>
        <w:t>新加坡金融管理局助理局長梁新松</w:t>
      </w:r>
      <w:r>
        <w:rPr>
          <w:rFonts w:ascii="Arial" w:eastAsia="標楷體" w:hAnsi="Arial" w:cs="標楷體" w:hint="eastAsia"/>
          <w:sz w:val="28"/>
          <w:szCs w:val="28"/>
        </w:rPr>
        <w:t>於會中</w:t>
      </w:r>
      <w:r w:rsidRPr="00B54B45">
        <w:rPr>
          <w:rFonts w:ascii="Arial" w:eastAsia="標楷體" w:hAnsi="Arial" w:cs="標楷體" w:hint="eastAsia"/>
          <w:sz w:val="28"/>
          <w:szCs w:val="28"/>
        </w:rPr>
        <w:t>表示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Arial" w:eastAsia="標楷體" w:hAnsi="Arial" w:cs="標楷體" w:hint="eastAsia"/>
          <w:sz w:val="28"/>
          <w:szCs w:val="28"/>
        </w:rPr>
        <w:t>截至</w:t>
      </w:r>
      <w:r>
        <w:rPr>
          <w:rFonts w:ascii="Arial" w:eastAsia="標楷體" w:hAnsi="Arial" w:cs="Arial"/>
          <w:sz w:val="28"/>
          <w:szCs w:val="28"/>
        </w:rPr>
        <w:t>2013</w:t>
      </w:r>
      <w:r w:rsidRPr="00B54B45">
        <w:rPr>
          <w:rFonts w:ascii="Arial" w:eastAsia="標楷體" w:hAnsi="Arial" w:cs="標楷體" w:hint="eastAsia"/>
          <w:sz w:val="28"/>
          <w:szCs w:val="28"/>
        </w:rPr>
        <w:t>年</w:t>
      </w:r>
      <w:r w:rsidRPr="00B54B45">
        <w:rPr>
          <w:rFonts w:ascii="Arial" w:eastAsia="標楷體" w:hAnsi="Arial" w:cs="Arial"/>
          <w:sz w:val="28"/>
          <w:szCs w:val="28"/>
        </w:rPr>
        <w:t>12</w:t>
      </w:r>
      <w:r w:rsidRPr="00B54B45">
        <w:rPr>
          <w:rFonts w:ascii="Arial" w:eastAsia="標楷體" w:hAnsi="Arial" w:cs="標楷體" w:hint="eastAsia"/>
          <w:sz w:val="28"/>
          <w:szCs w:val="28"/>
        </w:rPr>
        <w:t>月底止，新加坡人民幣存款已達</w:t>
      </w:r>
      <w:r w:rsidRPr="00B54B45">
        <w:rPr>
          <w:rFonts w:ascii="Arial" w:eastAsia="標楷體" w:hAnsi="Arial" w:cs="Arial"/>
          <w:sz w:val="28"/>
          <w:szCs w:val="28"/>
        </w:rPr>
        <w:t>2,000</w:t>
      </w:r>
      <w:r w:rsidRPr="00B54B45">
        <w:rPr>
          <w:rFonts w:ascii="Arial" w:eastAsia="標楷體" w:hAnsi="Arial" w:cs="標楷體" w:hint="eastAsia"/>
          <w:sz w:val="28"/>
          <w:szCs w:val="28"/>
        </w:rPr>
        <w:t>億元</w:t>
      </w:r>
      <w:r w:rsidRPr="00B54B45">
        <w:rPr>
          <w:rFonts w:ascii="標楷體" w:eastAsia="標楷體" w:hAnsi="標楷體" w:cs="標楷體" w:hint="eastAsia"/>
          <w:sz w:val="28"/>
          <w:szCs w:val="28"/>
        </w:rPr>
        <w:t>人民幣。</w:t>
      </w:r>
    </w:p>
    <w:p w:rsidR="00F33B9E" w:rsidRDefault="00F33B9E" w:rsidP="004B2EA9">
      <w:pPr>
        <w:pStyle w:val="ListParagraph"/>
        <w:ind w:leftChars="0" w:left="828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F33B9E" w:rsidRPr="00B845C9" w:rsidRDefault="00F33B9E" w:rsidP="004C3590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B845C9">
        <w:rPr>
          <w:rFonts w:ascii="標楷體" w:eastAsia="標楷體" w:hAnsi="標楷體" w:cs="標楷體" w:hint="eastAsia"/>
          <w:b/>
          <w:bCs/>
          <w:sz w:val="40"/>
          <w:szCs w:val="40"/>
        </w:rPr>
        <w:t>臺灣發展離岸人民幣業務的優勢</w:t>
      </w:r>
    </w:p>
    <w:p w:rsidR="00F33B9E" w:rsidRPr="00866B2C" w:rsidRDefault="00F33B9E" w:rsidP="009B7B5F">
      <w:pPr>
        <w:pStyle w:val="ListParagraph"/>
        <w:numPr>
          <w:ilvl w:val="0"/>
          <w:numId w:val="6"/>
        </w:numPr>
        <w:spacing w:beforeLines="50" w:line="600" w:lineRule="exact"/>
        <w:ind w:leftChars="0" w:left="1701" w:hanging="850"/>
        <w:jc w:val="both"/>
        <w:rPr>
          <w:rFonts w:ascii="Arial" w:eastAsia="標楷體" w:hAnsi="Arial" w:cs="Times New Roman"/>
          <w:sz w:val="36"/>
          <w:szCs w:val="36"/>
        </w:rPr>
      </w:pPr>
      <w:r>
        <w:rPr>
          <w:rFonts w:ascii="Arial" w:eastAsia="標楷體" w:hAnsi="Arial" w:cs="Arial"/>
          <w:sz w:val="36"/>
          <w:szCs w:val="36"/>
        </w:rPr>
        <w:t>102</w:t>
      </w:r>
      <w:r w:rsidRPr="00B845C9">
        <w:rPr>
          <w:rFonts w:ascii="Arial" w:eastAsia="標楷體" w:hAnsi="Arial" w:cs="標楷體" w:hint="eastAsia"/>
          <w:sz w:val="36"/>
          <w:szCs w:val="36"/>
        </w:rPr>
        <w:t>年兩岸貿易額高達</w:t>
      </w:r>
      <w:r w:rsidRPr="00B845C9">
        <w:rPr>
          <w:rFonts w:ascii="Arial" w:eastAsia="標楷體" w:hAnsi="Arial" w:cs="Arial"/>
          <w:b/>
          <w:bCs/>
          <w:sz w:val="36"/>
          <w:szCs w:val="36"/>
        </w:rPr>
        <w:t>1,200</w:t>
      </w: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多億美元</w:t>
      </w:r>
      <w:r w:rsidRPr="00B845C9">
        <w:rPr>
          <w:rFonts w:ascii="Arial" w:eastAsia="標楷體" w:hAnsi="Arial" w:cs="Arial"/>
          <w:sz w:val="36"/>
          <w:szCs w:val="36"/>
        </w:rPr>
        <w:t xml:space="preserve"> </w:t>
      </w:r>
      <w:r w:rsidRPr="00B845C9">
        <w:rPr>
          <w:rFonts w:ascii="Arial" w:eastAsia="標楷體" w:hAnsi="Arial" w:cs="標楷體" w:hint="eastAsia"/>
          <w:sz w:val="36"/>
          <w:szCs w:val="36"/>
        </w:rPr>
        <w:t>，兩岸匯款金額達</w:t>
      </w:r>
      <w:r w:rsidRPr="00B845C9">
        <w:rPr>
          <w:rFonts w:ascii="Arial" w:eastAsia="標楷體" w:hAnsi="Arial" w:cs="Arial"/>
          <w:b/>
          <w:bCs/>
          <w:sz w:val="36"/>
          <w:szCs w:val="36"/>
        </w:rPr>
        <w:t>5,600</w:t>
      </w: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多億美元</w:t>
      </w:r>
      <w:r w:rsidRPr="00B845C9">
        <w:rPr>
          <w:rFonts w:ascii="Arial" w:eastAsia="標楷體" w:hAnsi="Arial" w:cs="標楷體" w:hint="eastAsia"/>
          <w:sz w:val="36"/>
          <w:szCs w:val="36"/>
        </w:rPr>
        <w:t>，有</w:t>
      </w:r>
      <w:r>
        <w:rPr>
          <w:rFonts w:ascii="Arial" w:eastAsia="標楷體" w:hAnsi="Arial" w:cs="標楷體" w:hint="eastAsia"/>
          <w:sz w:val="36"/>
          <w:szCs w:val="36"/>
        </w:rPr>
        <w:t>許</w:t>
      </w:r>
      <w:r w:rsidRPr="00B845C9">
        <w:rPr>
          <w:rFonts w:ascii="Arial" w:eastAsia="標楷體" w:hAnsi="Arial" w:cs="標楷體" w:hint="eastAsia"/>
          <w:sz w:val="36"/>
          <w:szCs w:val="36"/>
        </w:rPr>
        <w:t>多臺商投資於大陸</w:t>
      </w:r>
      <w:r>
        <w:rPr>
          <w:rFonts w:ascii="Arial" w:eastAsia="標楷體" w:hAnsi="Arial" w:cs="標楷體" w:hint="eastAsia"/>
          <w:sz w:val="36"/>
          <w:szCs w:val="36"/>
        </w:rPr>
        <w:t>，兩岸經貿關係密切</w:t>
      </w:r>
      <w:r w:rsidRPr="00B845C9">
        <w:rPr>
          <w:rFonts w:ascii="Arial" w:eastAsia="標楷體" w:hAnsi="Arial" w:cs="標楷體" w:hint="eastAsia"/>
          <w:sz w:val="36"/>
          <w:szCs w:val="36"/>
        </w:rPr>
        <w:t>。</w:t>
      </w:r>
    </w:p>
    <w:p w:rsidR="00F33B9E" w:rsidRPr="00B845C9" w:rsidRDefault="00F33B9E" w:rsidP="009B7B5F">
      <w:pPr>
        <w:pStyle w:val="ListParagraph"/>
        <w:numPr>
          <w:ilvl w:val="0"/>
          <w:numId w:val="6"/>
        </w:numPr>
        <w:spacing w:beforeLines="50" w:line="600" w:lineRule="exact"/>
        <w:ind w:leftChars="0" w:left="1701" w:hanging="850"/>
        <w:jc w:val="both"/>
        <w:rPr>
          <w:rFonts w:ascii="Arial" w:eastAsia="標楷體" w:hAnsi="Arial" w:cs="Times New Roman"/>
          <w:sz w:val="36"/>
          <w:szCs w:val="36"/>
        </w:rPr>
      </w:pP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臺灣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地區</w:t>
      </w: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已有人民幣清算行</w:t>
      </w:r>
      <w:r w:rsidRPr="00B845C9">
        <w:rPr>
          <w:rFonts w:ascii="Arial" w:eastAsia="標楷體" w:hAnsi="Arial" w:cs="標楷體" w:hint="eastAsia"/>
          <w:sz w:val="36"/>
          <w:szCs w:val="36"/>
        </w:rPr>
        <w:t>，提供有效率的人民幣清算服務。</w:t>
      </w:r>
    </w:p>
    <w:p w:rsidR="00F33B9E" w:rsidRPr="00B845C9" w:rsidRDefault="00F33B9E" w:rsidP="009B7B5F">
      <w:pPr>
        <w:pStyle w:val="ListParagraph"/>
        <w:numPr>
          <w:ilvl w:val="0"/>
          <w:numId w:val="6"/>
        </w:numPr>
        <w:spacing w:beforeLines="50" w:line="600" w:lineRule="exact"/>
        <w:ind w:leftChars="0" w:left="1701" w:hanging="850"/>
        <w:jc w:val="both"/>
        <w:rPr>
          <w:rFonts w:ascii="Arial" w:eastAsia="標楷體" w:hAnsi="Arial" w:cs="Times New Roman"/>
          <w:sz w:val="36"/>
          <w:szCs w:val="36"/>
        </w:rPr>
      </w:pPr>
      <w:r>
        <w:rPr>
          <w:rFonts w:ascii="Arial" w:eastAsia="標楷體" w:hAnsi="Arial" w:cs="標楷體" w:hint="eastAsia"/>
          <w:sz w:val="36"/>
          <w:szCs w:val="36"/>
        </w:rPr>
        <w:t>已建置健全的</w:t>
      </w: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外幣結算平台</w:t>
      </w:r>
      <w:r w:rsidRPr="00B845C9">
        <w:rPr>
          <w:rFonts w:ascii="Arial" w:eastAsia="標楷體" w:hAnsi="Arial" w:cs="標楷體" w:hint="eastAsia"/>
          <w:sz w:val="36"/>
          <w:szCs w:val="36"/>
        </w:rPr>
        <w:t>，間接連結大陸人民幣清算系統</w:t>
      </w:r>
      <w:r w:rsidRPr="00B845C9">
        <w:rPr>
          <w:rFonts w:ascii="新細明體" w:hAnsi="新細明體" w:cs="新細明體" w:hint="eastAsia"/>
          <w:sz w:val="36"/>
          <w:szCs w:val="36"/>
        </w:rPr>
        <w:t>；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同時亦</w:t>
      </w: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可透過中國銀行全球海外資訊系統</w:t>
      </w:r>
      <w:r>
        <w:rPr>
          <w:rFonts w:ascii="Arial" w:eastAsia="標楷體" w:hAnsi="Arial" w:cs="標楷體" w:hint="eastAsia"/>
          <w:sz w:val="36"/>
          <w:szCs w:val="36"/>
        </w:rPr>
        <w:t>，增加</w:t>
      </w:r>
      <w:r w:rsidRPr="00B845C9">
        <w:rPr>
          <w:rFonts w:ascii="Arial" w:eastAsia="標楷體" w:hAnsi="Arial" w:cs="標楷體" w:hint="eastAsia"/>
          <w:sz w:val="36"/>
          <w:szCs w:val="36"/>
        </w:rPr>
        <w:t>人民幣匯款時效，讓資金在大陸及全球的調度更順暢。</w:t>
      </w:r>
    </w:p>
    <w:p w:rsidR="00F33B9E" w:rsidRPr="00B845C9" w:rsidRDefault="00F33B9E" w:rsidP="009B7B5F">
      <w:pPr>
        <w:pStyle w:val="ListParagraph"/>
        <w:numPr>
          <w:ilvl w:val="0"/>
          <w:numId w:val="6"/>
        </w:numPr>
        <w:spacing w:beforeLines="50" w:line="600" w:lineRule="exact"/>
        <w:ind w:leftChars="0" w:left="1701" w:hanging="850"/>
        <w:jc w:val="both"/>
        <w:rPr>
          <w:rFonts w:ascii="Arial" w:eastAsia="標楷體" w:hAnsi="Arial" w:cs="Times New Roman"/>
          <w:sz w:val="36"/>
          <w:szCs w:val="36"/>
        </w:rPr>
      </w:pPr>
      <w:r w:rsidRPr="00B845C9">
        <w:rPr>
          <w:rFonts w:ascii="Arial" w:eastAsia="標楷體" w:hAnsi="Arial" w:cs="標楷體" w:hint="eastAsia"/>
          <w:sz w:val="36"/>
          <w:szCs w:val="36"/>
        </w:rPr>
        <w:t>國內銀行已在香港、大陸及其他金融中心</w:t>
      </w:r>
      <w:r w:rsidRPr="00B845C9">
        <w:rPr>
          <w:rFonts w:ascii="Arial" w:eastAsia="標楷體" w:hAnsi="Arial" w:cs="Arial"/>
          <w:sz w:val="36"/>
          <w:szCs w:val="36"/>
        </w:rPr>
        <w:t>(</w:t>
      </w:r>
      <w:r w:rsidRPr="00B845C9">
        <w:rPr>
          <w:rFonts w:ascii="Arial" w:eastAsia="標楷體" w:hAnsi="Arial" w:cs="標楷體" w:hint="eastAsia"/>
          <w:sz w:val="36"/>
          <w:szCs w:val="36"/>
        </w:rPr>
        <w:t>如倫敦、紐約、東京及新加坡</w:t>
      </w:r>
      <w:r w:rsidRPr="00B845C9">
        <w:rPr>
          <w:rFonts w:ascii="Arial" w:eastAsia="標楷體" w:hAnsi="Arial" w:cs="Arial"/>
          <w:sz w:val="36"/>
          <w:szCs w:val="36"/>
        </w:rPr>
        <w:t>)</w:t>
      </w:r>
      <w:r>
        <w:rPr>
          <w:rFonts w:ascii="Arial" w:eastAsia="標楷體" w:hAnsi="Arial" w:cs="標楷體" w:hint="eastAsia"/>
          <w:sz w:val="36"/>
          <w:szCs w:val="36"/>
        </w:rPr>
        <w:t>設有</w:t>
      </w:r>
      <w:r w:rsidRPr="00B845C9">
        <w:rPr>
          <w:rFonts w:ascii="Arial" w:eastAsia="標楷體" w:hAnsi="Arial" w:cs="標楷體" w:hint="eastAsia"/>
          <w:sz w:val="36"/>
          <w:szCs w:val="36"/>
        </w:rPr>
        <w:t>分支機構，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提供</w:t>
      </w: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臺灣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地區發展人民幣業務一個完整的網絡</w:t>
      </w:r>
      <w:r w:rsidRPr="00B845C9">
        <w:rPr>
          <w:rFonts w:ascii="Arial" w:eastAsia="標楷體" w:hAnsi="Arial" w:cs="標楷體" w:hint="eastAsia"/>
          <w:sz w:val="36"/>
          <w:szCs w:val="36"/>
        </w:rPr>
        <w:t>。</w:t>
      </w:r>
    </w:p>
    <w:p w:rsidR="00F33B9E" w:rsidRPr="00B845C9" w:rsidRDefault="00F33B9E" w:rsidP="009B7B5F">
      <w:pPr>
        <w:pStyle w:val="ListParagraph"/>
        <w:numPr>
          <w:ilvl w:val="0"/>
          <w:numId w:val="6"/>
        </w:numPr>
        <w:spacing w:beforeLines="50" w:line="600" w:lineRule="exact"/>
        <w:ind w:leftChars="0" w:left="1701" w:hanging="850"/>
        <w:jc w:val="both"/>
        <w:rPr>
          <w:rFonts w:ascii="Arial" w:eastAsia="標楷體" w:hAnsi="Arial" w:cs="Times New Roman"/>
          <w:sz w:val="36"/>
          <w:szCs w:val="36"/>
        </w:rPr>
      </w:pPr>
      <w:r>
        <w:rPr>
          <w:rFonts w:ascii="Arial" w:eastAsia="標楷體" w:hAnsi="Arial" w:cs="標楷體" w:hint="eastAsia"/>
          <w:sz w:val="36"/>
          <w:szCs w:val="36"/>
        </w:rPr>
        <w:t>由於</w:t>
      </w:r>
      <w:r>
        <w:rPr>
          <w:rFonts w:ascii="Arial" w:eastAsia="標楷體" w:hAnsi="Arial" w:cs="Arial"/>
          <w:sz w:val="36"/>
          <w:szCs w:val="36"/>
        </w:rPr>
        <w:t>OBU</w:t>
      </w:r>
      <w:r>
        <w:rPr>
          <w:rFonts w:ascii="Arial" w:eastAsia="標楷體" w:hAnsi="Arial" w:cs="標楷體" w:hint="eastAsia"/>
          <w:sz w:val="36"/>
          <w:szCs w:val="36"/>
        </w:rPr>
        <w:t>具有</w:t>
      </w:r>
      <w:r w:rsidRPr="00B845C9">
        <w:rPr>
          <w:rFonts w:ascii="Arial" w:eastAsia="標楷體" w:hAnsi="Arial" w:cs="標楷體" w:hint="eastAsia"/>
          <w:sz w:val="36"/>
          <w:szCs w:val="36"/>
        </w:rPr>
        <w:t>優惠</w:t>
      </w:r>
      <w:r>
        <w:rPr>
          <w:rFonts w:ascii="Arial" w:eastAsia="標楷體" w:hAnsi="Arial" w:cs="標楷體" w:hint="eastAsia"/>
          <w:sz w:val="36"/>
          <w:szCs w:val="36"/>
        </w:rPr>
        <w:t>稅制</w:t>
      </w:r>
      <w:r w:rsidRPr="00B845C9">
        <w:rPr>
          <w:rFonts w:ascii="Arial" w:eastAsia="標楷體" w:hAnsi="Arial" w:cs="標楷體" w:hint="eastAsia"/>
          <w:sz w:val="36"/>
          <w:szCs w:val="36"/>
        </w:rPr>
        <w:t>，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有利</w:t>
      </w: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境外金融機構參與臺灣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地區</w:t>
      </w:r>
      <w:r w:rsidRPr="00B845C9">
        <w:rPr>
          <w:rFonts w:ascii="Arial" w:eastAsia="標楷體" w:hAnsi="Arial" w:cs="標楷體" w:hint="eastAsia"/>
          <w:b/>
          <w:bCs/>
          <w:sz w:val="36"/>
          <w:szCs w:val="36"/>
        </w:rPr>
        <w:t>人民幣離岸市場</w:t>
      </w:r>
      <w:r w:rsidRPr="00B845C9">
        <w:rPr>
          <w:rFonts w:ascii="Arial" w:eastAsia="標楷體" w:hAnsi="Arial" w:cs="標楷體" w:hint="eastAsia"/>
          <w:sz w:val="36"/>
          <w:szCs w:val="36"/>
        </w:rPr>
        <w:t>。</w:t>
      </w:r>
    </w:p>
    <w:p w:rsidR="00F33B9E" w:rsidRPr="00B845C9" w:rsidRDefault="00F33B9E" w:rsidP="009B7B5F">
      <w:pPr>
        <w:pStyle w:val="ListParagraph"/>
        <w:numPr>
          <w:ilvl w:val="0"/>
          <w:numId w:val="6"/>
        </w:numPr>
        <w:spacing w:beforeLines="50" w:line="600" w:lineRule="exact"/>
        <w:ind w:leftChars="0" w:left="1701" w:hanging="850"/>
        <w:jc w:val="both"/>
        <w:rPr>
          <w:rFonts w:ascii="Arial" w:eastAsia="標楷體" w:hAnsi="Arial" w:cs="Times New Roman"/>
          <w:sz w:val="36"/>
          <w:szCs w:val="36"/>
        </w:rPr>
      </w:pPr>
      <w:r w:rsidRPr="00463AD5">
        <w:rPr>
          <w:rFonts w:ascii="Arial" w:eastAsia="標楷體" w:hAnsi="Arial" w:cs="標楷體" w:hint="eastAsia"/>
          <w:b/>
          <w:bCs/>
          <w:sz w:val="36"/>
          <w:szCs w:val="36"/>
        </w:rPr>
        <w:t>臺灣在離岸美元市場的交易機制及法規環境完整健全</w:t>
      </w:r>
      <w:r>
        <w:rPr>
          <w:rFonts w:ascii="Arial" w:eastAsia="標楷體" w:hAnsi="Arial" w:cs="標楷體" w:hint="eastAsia"/>
          <w:sz w:val="36"/>
          <w:szCs w:val="36"/>
        </w:rPr>
        <w:t>，提供臺灣地區</w:t>
      </w:r>
      <w:r w:rsidRPr="0078044D">
        <w:rPr>
          <w:rFonts w:ascii="Arial" w:eastAsia="標楷體" w:hAnsi="Arial" w:cs="標楷體" w:hint="eastAsia"/>
          <w:sz w:val="36"/>
          <w:szCs w:val="36"/>
        </w:rPr>
        <w:t>離岸</w:t>
      </w:r>
      <w:r>
        <w:rPr>
          <w:rFonts w:ascii="Arial" w:eastAsia="標楷體" w:hAnsi="Arial" w:cs="標楷體" w:hint="eastAsia"/>
          <w:sz w:val="36"/>
          <w:szCs w:val="36"/>
        </w:rPr>
        <w:t>人民幣業務發展的良好金融基礎</w:t>
      </w:r>
      <w:r w:rsidRPr="00B845C9">
        <w:rPr>
          <w:rFonts w:ascii="Arial" w:eastAsia="標楷體" w:hAnsi="Arial" w:cs="標楷體" w:hint="eastAsia"/>
          <w:sz w:val="36"/>
          <w:szCs w:val="36"/>
        </w:rPr>
        <w:t>。</w:t>
      </w:r>
    </w:p>
    <w:p w:rsidR="00F33B9E" w:rsidRDefault="00F33B9E" w:rsidP="0062446D">
      <w:pPr>
        <w:pStyle w:val="ListParagraph"/>
        <w:spacing w:line="620" w:lineRule="exact"/>
        <w:ind w:leftChars="0" w:left="1276"/>
        <w:jc w:val="both"/>
        <w:rPr>
          <w:rFonts w:ascii="Arial" w:eastAsia="標楷體" w:hAnsi="Arial" w:cs="Times New Roman"/>
          <w:sz w:val="36"/>
          <w:szCs w:val="36"/>
        </w:rPr>
      </w:pPr>
    </w:p>
    <w:p w:rsidR="00F33B9E" w:rsidRDefault="00F33B9E" w:rsidP="004B2EA9">
      <w:pPr>
        <w:pStyle w:val="ListParagraph"/>
        <w:ind w:leftChars="0" w:left="1276"/>
        <w:jc w:val="both"/>
        <w:rPr>
          <w:rFonts w:ascii="Arial" w:eastAsia="標楷體" w:hAnsi="Arial" w:cs="Times New Roman"/>
          <w:sz w:val="36"/>
          <w:szCs w:val="36"/>
        </w:rPr>
      </w:pPr>
    </w:p>
    <w:p w:rsidR="00F33B9E" w:rsidRPr="004C3590" w:rsidRDefault="00F33B9E" w:rsidP="004C3590">
      <w:pPr>
        <w:pStyle w:val="ListParagraph"/>
        <w:numPr>
          <w:ilvl w:val="0"/>
          <w:numId w:val="9"/>
        </w:numPr>
        <w:ind w:leftChars="0"/>
        <w:rPr>
          <w:rFonts w:ascii="Arial" w:eastAsia="標楷體" w:hAnsi="Arial" w:cs="Times New Roman"/>
          <w:sz w:val="36"/>
          <w:szCs w:val="36"/>
        </w:rPr>
      </w:pPr>
      <w:r w:rsidRPr="004C3590">
        <w:rPr>
          <w:rFonts w:ascii="標楷體" w:eastAsia="標楷體" w:hAnsi="標楷體" w:cs="標楷體" w:hint="eastAsia"/>
          <w:b/>
          <w:bCs/>
          <w:sz w:val="40"/>
          <w:szCs w:val="40"/>
        </w:rPr>
        <w:t>未來努力方向</w:t>
      </w:r>
      <w:r>
        <w:rPr>
          <w:rFonts w:ascii="標楷體" w:eastAsia="標楷體" w:hAnsi="標楷體" w:cs="Times New Roman"/>
          <w:b/>
          <w:bCs/>
          <w:sz w:val="40"/>
          <w:szCs w:val="40"/>
        </w:rPr>
        <w:br/>
      </w:r>
      <w:r w:rsidRPr="004C3590">
        <w:rPr>
          <w:rFonts w:ascii="Arial" w:eastAsia="標楷體" w:hAnsi="Arial" w:cs="標楷體" w:hint="eastAsia"/>
          <w:sz w:val="36"/>
          <w:szCs w:val="36"/>
        </w:rPr>
        <w:t>本行已就下列人民幣業務發展方向擬訂具體行動方案：</w:t>
      </w:r>
    </w:p>
    <w:p w:rsidR="00F33B9E" w:rsidRPr="00C24B31" w:rsidRDefault="00F33B9E" w:rsidP="009B7B5F">
      <w:pPr>
        <w:pStyle w:val="ListParagraph"/>
        <w:numPr>
          <w:ilvl w:val="0"/>
          <w:numId w:val="8"/>
        </w:numPr>
        <w:tabs>
          <w:tab w:val="left" w:pos="1190"/>
        </w:tabs>
        <w:spacing w:beforeLines="50" w:line="600" w:lineRule="exact"/>
        <w:ind w:leftChars="0" w:left="1702" w:hanging="851"/>
        <w:textDirection w:val="lrTbV"/>
        <w:rPr>
          <w:rFonts w:ascii="Arial" w:eastAsia="標楷體" w:hAnsi="Arial" w:cs="Arial"/>
          <w:b/>
          <w:bCs/>
          <w:sz w:val="36"/>
          <w:szCs w:val="36"/>
        </w:rPr>
      </w:pP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擴大人民幣資金池，擬推動</w:t>
      </w:r>
      <w:r w:rsidRPr="00C24B31">
        <w:rPr>
          <w:rFonts w:ascii="Arial" w:eastAsia="標楷體" w:hAnsi="Arial" w:cs="Arial"/>
          <w:b/>
          <w:bCs/>
          <w:sz w:val="36"/>
          <w:szCs w:val="36"/>
        </w:rPr>
        <w:t>:</w:t>
      </w:r>
    </w:p>
    <w:p w:rsidR="00F33B9E" w:rsidRPr="00C24B31" w:rsidRDefault="00F33B9E" w:rsidP="004C3590">
      <w:pPr>
        <w:pStyle w:val="ListParagraph"/>
        <w:numPr>
          <w:ilvl w:val="0"/>
          <w:numId w:val="10"/>
        </w:numPr>
        <w:spacing w:line="600" w:lineRule="exact"/>
        <w:ind w:leftChars="0" w:firstLine="21"/>
        <w:jc w:val="both"/>
        <w:textDirection w:val="lrTbV"/>
        <w:rPr>
          <w:rFonts w:ascii="Arial" w:eastAsia="標楷體" w:hAnsi="Arial" w:cs="Times New Roman"/>
          <w:sz w:val="36"/>
          <w:szCs w:val="36"/>
        </w:rPr>
      </w:pPr>
      <w:r w:rsidRPr="004C3590">
        <w:rPr>
          <w:rFonts w:ascii="Arial" w:eastAsia="標楷體" w:hAnsi="Arial" w:cs="標楷體" w:hint="eastAsia"/>
          <w:sz w:val="36"/>
          <w:szCs w:val="36"/>
        </w:rPr>
        <w:t>鼓勵</w:t>
      </w:r>
      <w:r w:rsidRPr="00C24B31">
        <w:rPr>
          <w:rFonts w:ascii="Arial" w:eastAsia="標楷體" w:hAnsi="Arial" w:cs="標楷體" w:hint="eastAsia"/>
          <w:sz w:val="36"/>
          <w:szCs w:val="36"/>
        </w:rPr>
        <w:t>企業跨境貿易及直接投資以人民幣結算。</w:t>
      </w:r>
    </w:p>
    <w:p w:rsidR="00F33B9E" w:rsidRPr="00C24B31" w:rsidRDefault="00F33B9E" w:rsidP="004C3590">
      <w:pPr>
        <w:pStyle w:val="ListParagraph"/>
        <w:numPr>
          <w:ilvl w:val="0"/>
          <w:numId w:val="10"/>
        </w:numPr>
        <w:spacing w:line="600" w:lineRule="exact"/>
        <w:ind w:leftChars="0" w:firstLine="21"/>
        <w:jc w:val="both"/>
        <w:textDirection w:val="lrTbV"/>
        <w:rPr>
          <w:rFonts w:ascii="Arial" w:eastAsia="標楷體" w:hAnsi="Arial" w:cs="Times New Roman"/>
          <w:sz w:val="36"/>
          <w:szCs w:val="36"/>
        </w:rPr>
      </w:pPr>
      <w:r w:rsidRPr="00C24B31">
        <w:rPr>
          <w:rFonts w:ascii="Arial" w:eastAsia="標楷體" w:hAnsi="Arial" w:cs="標楷體" w:hint="eastAsia"/>
          <w:sz w:val="36"/>
          <w:szCs w:val="36"/>
        </w:rPr>
        <w:t>與人民銀行商談放寬</w:t>
      </w:r>
      <w:r w:rsidRPr="00C24B31">
        <w:rPr>
          <w:rFonts w:ascii="Arial" w:eastAsia="標楷體" w:hAnsi="Arial" w:cs="Arial"/>
          <w:sz w:val="36"/>
          <w:szCs w:val="36"/>
        </w:rPr>
        <w:t>2</w:t>
      </w:r>
      <w:r w:rsidRPr="00C24B31">
        <w:rPr>
          <w:rFonts w:ascii="Arial" w:eastAsia="標楷體" w:hAnsi="Arial" w:cs="標楷體" w:hint="eastAsia"/>
          <w:sz w:val="36"/>
          <w:szCs w:val="36"/>
        </w:rPr>
        <w:t>萬元人民幣兌換限制。</w:t>
      </w:r>
    </w:p>
    <w:p w:rsidR="00F33B9E" w:rsidRPr="00C24B31" w:rsidRDefault="00F33B9E" w:rsidP="004C3590">
      <w:pPr>
        <w:pStyle w:val="ListParagraph"/>
        <w:numPr>
          <w:ilvl w:val="0"/>
          <w:numId w:val="10"/>
        </w:numPr>
        <w:spacing w:line="600" w:lineRule="exact"/>
        <w:ind w:leftChars="0" w:left="2410" w:hanging="709"/>
        <w:jc w:val="both"/>
        <w:textDirection w:val="lrTbV"/>
        <w:rPr>
          <w:rFonts w:ascii="Arial" w:eastAsia="標楷體" w:hAnsi="Arial" w:cs="Times New Roman"/>
          <w:sz w:val="36"/>
          <w:szCs w:val="36"/>
        </w:rPr>
      </w:pPr>
      <w:r w:rsidRPr="00C24B31">
        <w:rPr>
          <w:rFonts w:ascii="Arial" w:eastAsia="標楷體" w:hAnsi="Arial" w:cs="標楷體" w:hint="eastAsia"/>
          <w:sz w:val="36"/>
          <w:szCs w:val="36"/>
        </w:rPr>
        <w:t>透過清算行及國際論壇</w:t>
      </w:r>
      <w:r w:rsidRPr="00C24B31">
        <w:rPr>
          <w:rFonts w:ascii="新細明體" w:hAnsi="新細明體" w:cs="新細明體" w:hint="eastAsia"/>
          <w:sz w:val="36"/>
          <w:szCs w:val="36"/>
        </w:rPr>
        <w:t>、</w:t>
      </w:r>
      <w:r w:rsidRPr="00C24B31">
        <w:rPr>
          <w:rFonts w:ascii="Arial" w:eastAsia="標楷體" w:hAnsi="Arial" w:cs="標楷體" w:hint="eastAsia"/>
          <w:sz w:val="36"/>
          <w:szCs w:val="36"/>
        </w:rPr>
        <w:t>研討會等對外宣導，鼓勵境外銀行參與臺灣人民幣清算平台。</w:t>
      </w:r>
    </w:p>
    <w:p w:rsidR="00F33B9E" w:rsidRPr="00C24B31" w:rsidRDefault="00F33B9E" w:rsidP="007F4A55">
      <w:pPr>
        <w:pStyle w:val="ListParagraph"/>
        <w:numPr>
          <w:ilvl w:val="0"/>
          <w:numId w:val="8"/>
        </w:numPr>
        <w:tabs>
          <w:tab w:val="left" w:pos="1190"/>
        </w:tabs>
        <w:spacing w:beforeLines="50" w:line="600" w:lineRule="exact"/>
        <w:ind w:leftChars="0" w:left="1702" w:hanging="851"/>
        <w:textDirection w:val="lrTbV"/>
        <w:rPr>
          <w:rFonts w:ascii="Arial" w:eastAsia="標楷體" w:hAnsi="Arial" w:cs="Arial"/>
          <w:b/>
          <w:bCs/>
          <w:sz w:val="36"/>
          <w:szCs w:val="36"/>
        </w:rPr>
      </w:pP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與中國人民銀行商談擴大人民幣回流機制</w:t>
      </w:r>
      <w:r w:rsidRPr="00C24B31">
        <w:rPr>
          <w:rFonts w:ascii="Arial" w:eastAsia="標楷體" w:hAnsi="Arial" w:cs="Arial"/>
          <w:b/>
          <w:bCs/>
          <w:sz w:val="36"/>
          <w:szCs w:val="36"/>
        </w:rPr>
        <w:t>:</w:t>
      </w:r>
    </w:p>
    <w:p w:rsidR="00F33B9E" w:rsidRPr="00C24B31" w:rsidRDefault="00F33B9E" w:rsidP="004C3590">
      <w:pPr>
        <w:pStyle w:val="ListParagraph"/>
        <w:numPr>
          <w:ilvl w:val="0"/>
          <w:numId w:val="11"/>
        </w:numPr>
        <w:spacing w:line="600" w:lineRule="exact"/>
        <w:ind w:leftChars="0" w:firstLine="21"/>
        <w:jc w:val="both"/>
        <w:textDirection w:val="lrTbV"/>
        <w:rPr>
          <w:rFonts w:ascii="Arial" w:eastAsia="標楷體" w:hAnsi="Arial" w:cs="Times New Roman"/>
          <w:sz w:val="36"/>
          <w:szCs w:val="36"/>
        </w:rPr>
      </w:pPr>
      <w:r w:rsidRPr="00C24B31">
        <w:rPr>
          <w:rFonts w:ascii="Arial" w:eastAsia="標楷體" w:hAnsi="Arial" w:cs="標楷體" w:hint="eastAsia"/>
          <w:sz w:val="36"/>
          <w:szCs w:val="36"/>
        </w:rPr>
        <w:t>臺灣金融機構直接對大陸境內企業辦理人民幣貸款</w:t>
      </w:r>
      <w:r w:rsidRPr="00C24B31">
        <w:rPr>
          <w:rStyle w:val="FootnoteReference"/>
          <w:rFonts w:ascii="Arial" w:eastAsia="標楷體" w:hAnsi="Arial" w:cs="Times New Roman"/>
          <w:sz w:val="36"/>
          <w:szCs w:val="36"/>
        </w:rPr>
        <w:footnoteReference w:id="1"/>
      </w:r>
      <w:r w:rsidRPr="00C24B31">
        <w:rPr>
          <w:rFonts w:ascii="Arial" w:eastAsia="標楷體" w:hAnsi="Arial" w:cs="標楷體" w:hint="eastAsia"/>
          <w:sz w:val="36"/>
          <w:szCs w:val="36"/>
        </w:rPr>
        <w:t>。</w:t>
      </w:r>
    </w:p>
    <w:p w:rsidR="00F33B9E" w:rsidRPr="00C24B31" w:rsidRDefault="00F33B9E" w:rsidP="004C3590">
      <w:pPr>
        <w:pStyle w:val="ListParagraph"/>
        <w:numPr>
          <w:ilvl w:val="0"/>
          <w:numId w:val="11"/>
        </w:numPr>
        <w:spacing w:line="600" w:lineRule="exact"/>
        <w:ind w:leftChars="0" w:firstLine="21"/>
        <w:jc w:val="both"/>
        <w:textDirection w:val="lrTbV"/>
        <w:rPr>
          <w:rFonts w:ascii="Arial" w:eastAsia="標楷體" w:hAnsi="Arial" w:cs="Times New Roman"/>
          <w:sz w:val="36"/>
          <w:szCs w:val="36"/>
        </w:rPr>
      </w:pPr>
      <w:r w:rsidRPr="00C24B31">
        <w:rPr>
          <w:rFonts w:ascii="Arial" w:eastAsia="標楷體" w:hAnsi="Arial" w:cs="標楷體" w:hint="eastAsia"/>
          <w:sz w:val="36"/>
          <w:szCs w:val="36"/>
        </w:rPr>
        <w:t>擴大臺灣地區人民幣業務參加銀行投資大陸銀行間債券市場之額度</w:t>
      </w:r>
      <w:r w:rsidRPr="00C24B31">
        <w:rPr>
          <w:rStyle w:val="FootnoteReference"/>
          <w:rFonts w:ascii="Arial" w:eastAsia="標楷體" w:hAnsi="Arial" w:cs="Times New Roman"/>
          <w:sz w:val="36"/>
          <w:szCs w:val="36"/>
        </w:rPr>
        <w:footnoteReference w:id="2"/>
      </w:r>
      <w:r w:rsidRPr="00C24B31">
        <w:rPr>
          <w:rFonts w:ascii="Arial" w:eastAsia="標楷體" w:hAnsi="Arial" w:cs="標楷體" w:hint="eastAsia"/>
          <w:sz w:val="36"/>
          <w:szCs w:val="36"/>
        </w:rPr>
        <w:t>。</w:t>
      </w:r>
    </w:p>
    <w:p w:rsidR="00F33B9E" w:rsidRDefault="00F33B9E" w:rsidP="00B168D5">
      <w:pPr>
        <w:tabs>
          <w:tab w:val="left" w:pos="1190"/>
        </w:tabs>
        <w:spacing w:line="600" w:lineRule="exact"/>
        <w:textDirection w:val="lrTbV"/>
        <w:rPr>
          <w:rFonts w:ascii="Arial" w:eastAsia="標楷體" w:hAnsi="Arial" w:cs="Times New Roman"/>
          <w:sz w:val="36"/>
          <w:szCs w:val="36"/>
        </w:rPr>
      </w:pPr>
    </w:p>
    <w:p w:rsidR="00F33B9E" w:rsidRDefault="00F33B9E" w:rsidP="00B168D5">
      <w:pPr>
        <w:tabs>
          <w:tab w:val="left" w:pos="1190"/>
        </w:tabs>
        <w:spacing w:line="600" w:lineRule="exact"/>
        <w:textDirection w:val="lrTbV"/>
        <w:rPr>
          <w:rFonts w:ascii="Arial" w:eastAsia="標楷體" w:hAnsi="Arial" w:cs="Times New Roman"/>
          <w:sz w:val="36"/>
          <w:szCs w:val="36"/>
        </w:rPr>
      </w:pPr>
    </w:p>
    <w:p w:rsidR="00F33B9E" w:rsidRPr="00B168D5" w:rsidRDefault="00F33B9E" w:rsidP="00B168D5">
      <w:pPr>
        <w:tabs>
          <w:tab w:val="left" w:pos="1190"/>
        </w:tabs>
        <w:spacing w:line="600" w:lineRule="exact"/>
        <w:textDirection w:val="lrTbV"/>
        <w:rPr>
          <w:rFonts w:ascii="Arial" w:eastAsia="標楷體" w:hAnsi="Arial" w:cs="Times New Roman"/>
          <w:sz w:val="36"/>
          <w:szCs w:val="36"/>
        </w:rPr>
      </w:pPr>
    </w:p>
    <w:p w:rsidR="00F33B9E" w:rsidRPr="00C24B31" w:rsidRDefault="00F33B9E" w:rsidP="009B7B5F">
      <w:pPr>
        <w:pStyle w:val="ListParagraph"/>
        <w:numPr>
          <w:ilvl w:val="0"/>
          <w:numId w:val="8"/>
        </w:numPr>
        <w:tabs>
          <w:tab w:val="left" w:pos="1190"/>
        </w:tabs>
        <w:spacing w:beforeLines="50" w:line="600" w:lineRule="exact"/>
        <w:ind w:leftChars="0" w:left="1702" w:hanging="851"/>
        <w:textDirection w:val="lrTbV"/>
        <w:rPr>
          <w:rFonts w:ascii="Arial" w:eastAsia="標楷體" w:hAnsi="Arial" w:cs="Times New Roman"/>
          <w:b/>
          <w:bCs/>
          <w:sz w:val="36"/>
          <w:szCs w:val="36"/>
        </w:rPr>
      </w:pPr>
      <w:r>
        <w:rPr>
          <w:rFonts w:ascii="Arial" w:eastAsia="標楷體" w:hAnsi="Arial" w:cs="標楷體" w:hint="eastAsia"/>
          <w:b/>
          <w:bCs/>
          <w:sz w:val="36"/>
          <w:szCs w:val="36"/>
        </w:rPr>
        <w:t>持續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與中國人民銀行商談簽署貨幣互換協議</w:t>
      </w:r>
      <w:r w:rsidRPr="00C24B31">
        <w:rPr>
          <w:rFonts w:ascii="Arial" w:eastAsia="標楷體" w:hAnsi="Arial" w:cs="Arial"/>
          <w:b/>
          <w:bCs/>
          <w:sz w:val="36"/>
          <w:szCs w:val="36"/>
        </w:rPr>
        <w:t>(SWAP)</w:t>
      </w:r>
      <w:r w:rsidRPr="00C24B31">
        <w:rPr>
          <w:rStyle w:val="FootnoteReference"/>
          <w:rFonts w:ascii="Arial" w:eastAsia="標楷體" w:hAnsi="Arial" w:cs="Times New Roman"/>
          <w:b/>
          <w:bCs/>
          <w:sz w:val="36"/>
          <w:szCs w:val="36"/>
        </w:rPr>
        <w:footnoteReference w:id="3"/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。</w:t>
      </w:r>
    </w:p>
    <w:p w:rsidR="00F33B9E" w:rsidRPr="00C24B31" w:rsidRDefault="00F33B9E" w:rsidP="007F4A55">
      <w:pPr>
        <w:pStyle w:val="ListParagraph"/>
        <w:numPr>
          <w:ilvl w:val="0"/>
          <w:numId w:val="8"/>
        </w:numPr>
        <w:tabs>
          <w:tab w:val="left" w:pos="1190"/>
        </w:tabs>
        <w:spacing w:beforeLines="50" w:line="600" w:lineRule="exact"/>
        <w:ind w:leftChars="0" w:left="1702" w:hanging="851"/>
        <w:textDirection w:val="lrTbV"/>
        <w:rPr>
          <w:rFonts w:ascii="Arial" w:eastAsia="標楷體" w:hAnsi="Arial" w:cs="Times New Roman"/>
          <w:b/>
          <w:bCs/>
          <w:sz w:val="36"/>
          <w:szCs w:val="36"/>
        </w:rPr>
      </w:pP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規劃延長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人民幣清算行及外幣結算平台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營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運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時間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，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以利歐美金融機構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參與人民幣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清算。</w:t>
      </w:r>
    </w:p>
    <w:p w:rsidR="00F33B9E" w:rsidRPr="00C24B31" w:rsidRDefault="00F33B9E" w:rsidP="009B7B5F">
      <w:pPr>
        <w:pStyle w:val="ListParagraph"/>
        <w:numPr>
          <w:ilvl w:val="0"/>
          <w:numId w:val="8"/>
        </w:numPr>
        <w:tabs>
          <w:tab w:val="left" w:pos="1190"/>
        </w:tabs>
        <w:spacing w:beforeLines="50" w:line="600" w:lineRule="exact"/>
        <w:ind w:leftChars="0" w:left="1702" w:hanging="851"/>
        <w:textDirection w:val="lrTbV"/>
        <w:rPr>
          <w:rFonts w:ascii="Arial" w:eastAsia="標楷體" w:hAnsi="Arial" w:cs="Times New Roman"/>
          <w:b/>
          <w:bCs/>
          <w:sz w:val="36"/>
          <w:szCs w:val="36"/>
        </w:rPr>
      </w:pP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建立臺灣地區離岸人民</w:t>
      </w:r>
      <w:bookmarkStart w:id="2" w:name="_GoBack"/>
      <w:bookmarkEnd w:id="2"/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幣匯率與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拆款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利率定盤價機制</w:t>
      </w:r>
      <w:r w:rsidRPr="00C24B31">
        <w:rPr>
          <w:rStyle w:val="FootnoteReference"/>
          <w:rFonts w:ascii="Arial" w:eastAsia="標楷體" w:hAnsi="Arial" w:cs="Times New Roman"/>
          <w:b/>
          <w:bCs/>
          <w:sz w:val="36"/>
          <w:szCs w:val="36"/>
        </w:rPr>
        <w:footnoteReference w:id="4"/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，以協助臺灣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地區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人民幣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相關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金融商品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之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發展。</w:t>
      </w:r>
    </w:p>
    <w:p w:rsidR="00F33B9E" w:rsidRPr="00C24B31" w:rsidRDefault="00F33B9E" w:rsidP="007F4A55">
      <w:pPr>
        <w:pStyle w:val="ListParagraph"/>
        <w:numPr>
          <w:ilvl w:val="0"/>
          <w:numId w:val="8"/>
        </w:numPr>
        <w:tabs>
          <w:tab w:val="left" w:pos="1190"/>
        </w:tabs>
        <w:spacing w:beforeLines="50" w:line="600" w:lineRule="exact"/>
        <w:ind w:leftChars="0" w:left="1702" w:hanging="851"/>
        <w:rPr>
          <w:rFonts w:ascii="Arial" w:eastAsia="標楷體" w:hAnsi="Arial" w:cs="Times New Roman"/>
          <w:b/>
          <w:bCs/>
          <w:sz w:val="36"/>
          <w:szCs w:val="36"/>
        </w:rPr>
      </w:pPr>
      <w:r>
        <w:rPr>
          <w:rFonts w:ascii="Arial" w:eastAsia="標楷體" w:hAnsi="Arial" w:cs="標楷體" w:hint="eastAsia"/>
          <w:b/>
          <w:bCs/>
          <w:sz w:val="36"/>
          <w:szCs w:val="36"/>
        </w:rPr>
        <w:t>加強與其他地區離岸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人民幣市場</w:t>
      </w:r>
      <w:r w:rsidRPr="00C24B31">
        <w:rPr>
          <w:rFonts w:ascii="Arial" w:eastAsia="標楷體" w:hAnsi="Arial" w:cs="Arial"/>
          <w:b/>
          <w:bCs/>
          <w:sz w:val="36"/>
          <w:szCs w:val="36"/>
        </w:rPr>
        <w:t>(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如香港、倫敦及新加坡</w:t>
      </w:r>
      <w:r w:rsidRPr="00C24B31">
        <w:rPr>
          <w:rFonts w:ascii="Arial" w:eastAsia="標楷體" w:hAnsi="Arial" w:cs="Arial"/>
          <w:b/>
          <w:bCs/>
          <w:sz w:val="36"/>
          <w:szCs w:val="36"/>
        </w:rPr>
        <w:t>)</w:t>
      </w:r>
      <w:r>
        <w:rPr>
          <w:rFonts w:ascii="Arial" w:eastAsia="標楷體" w:hAnsi="Arial" w:cs="標楷體" w:hint="eastAsia"/>
          <w:b/>
          <w:bCs/>
          <w:sz w:val="36"/>
          <w:szCs w:val="36"/>
        </w:rPr>
        <w:t>之合作</w:t>
      </w:r>
      <w:r w:rsidRPr="00C24B31">
        <w:rPr>
          <w:rFonts w:ascii="Arial" w:eastAsia="標楷體" w:hAnsi="Arial" w:cs="標楷體" w:hint="eastAsia"/>
          <w:b/>
          <w:bCs/>
          <w:sz w:val="36"/>
          <w:szCs w:val="36"/>
        </w:rPr>
        <w:t>。</w:t>
      </w:r>
    </w:p>
    <w:sectPr w:rsidR="00F33B9E" w:rsidRPr="00C24B31" w:rsidSect="00763EA5">
      <w:footerReference w:type="default" r:id="rId13"/>
      <w:pgSz w:w="16838" w:h="11906" w:orient="landscape"/>
      <w:pgMar w:top="425" w:right="1418" w:bottom="567" w:left="1418" w:header="851" w:footer="850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B9E" w:rsidRDefault="00F33B9E" w:rsidP="00CB16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3B9E" w:rsidRDefault="00F33B9E" w:rsidP="00CB16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altName w:val="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9E" w:rsidRPr="0062446D" w:rsidRDefault="00F33B9E">
    <w:pPr>
      <w:pStyle w:val="Footer"/>
      <w:jc w:val="center"/>
      <w:rPr>
        <w:rFonts w:ascii="Arial" w:hAnsi="Arial" w:cs="Arial"/>
      </w:rPr>
    </w:pPr>
    <w:r w:rsidRPr="0062446D">
      <w:rPr>
        <w:rFonts w:ascii="Arial" w:hAnsi="Arial" w:cs="Arial"/>
      </w:rPr>
      <w:fldChar w:fldCharType="begin"/>
    </w:r>
    <w:r w:rsidRPr="0062446D">
      <w:rPr>
        <w:rFonts w:ascii="Arial" w:hAnsi="Arial" w:cs="Arial"/>
      </w:rPr>
      <w:instrText>PAGE   \* MERGEFORMAT</w:instrText>
    </w:r>
    <w:r w:rsidRPr="0062446D">
      <w:rPr>
        <w:rFonts w:ascii="Arial" w:hAnsi="Arial" w:cs="Arial"/>
      </w:rPr>
      <w:fldChar w:fldCharType="separate"/>
    </w:r>
    <w:r w:rsidRPr="009B7B5F">
      <w:rPr>
        <w:rFonts w:ascii="Arial" w:hAnsi="Arial" w:cs="Arial"/>
        <w:noProof/>
        <w:lang w:val="zh-TW"/>
      </w:rPr>
      <w:t>10</w:t>
    </w:r>
    <w:r w:rsidRPr="0062446D">
      <w:rPr>
        <w:rFonts w:ascii="Arial" w:hAnsi="Arial" w:cs="Arial"/>
      </w:rPr>
      <w:fldChar w:fldCharType="end"/>
    </w:r>
  </w:p>
  <w:p w:rsidR="00F33B9E" w:rsidRDefault="00F33B9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B9E" w:rsidRDefault="00F33B9E" w:rsidP="00CB16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3B9E" w:rsidRDefault="00F33B9E" w:rsidP="00CB1662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F33B9E" w:rsidRDefault="00F33B9E" w:rsidP="000E2D31">
      <w:pPr>
        <w:pStyle w:val="FootnoteText"/>
        <w:ind w:left="281" w:hangingChars="78" w:hanging="281"/>
        <w:rPr>
          <w:rFonts w:ascii="Arial" w:eastAsia="標楷體" w:hAnsi="Arial" w:cs="Times New Roman"/>
          <w:sz w:val="24"/>
          <w:szCs w:val="24"/>
        </w:rPr>
      </w:pPr>
      <w:r w:rsidRPr="00A4714B">
        <w:rPr>
          <w:rStyle w:val="FootnoteReference"/>
          <w:rFonts w:ascii="Arial" w:hAnsi="Arial" w:cs="Arial"/>
          <w:sz w:val="36"/>
          <w:szCs w:val="36"/>
        </w:rPr>
        <w:footnoteRef/>
      </w:r>
      <w:r>
        <w:rPr>
          <w:rFonts w:ascii="Arial" w:eastAsia="標楷體" w:hAnsi="Arial" w:cs="Arial"/>
          <w:sz w:val="36"/>
          <w:szCs w:val="36"/>
        </w:rPr>
        <w:t xml:space="preserve"> </w:t>
      </w:r>
      <w:r w:rsidRPr="003D4A79">
        <w:rPr>
          <w:rFonts w:ascii="Arial" w:eastAsia="標楷體" w:hAnsi="Arial" w:cs="標楷體" w:hint="eastAsia"/>
          <w:sz w:val="24"/>
          <w:szCs w:val="24"/>
        </w:rPr>
        <w:t>經查</w:t>
      </w:r>
      <w:r>
        <w:rPr>
          <w:rFonts w:ascii="Arial" w:eastAsia="標楷體" w:hAnsi="Arial" w:cs="標楷體" w:hint="eastAsia"/>
          <w:sz w:val="24"/>
          <w:szCs w:val="24"/>
        </w:rPr>
        <w:t>大陸</w:t>
      </w:r>
      <w:r w:rsidRPr="003D4A79">
        <w:rPr>
          <w:rFonts w:ascii="Arial" w:eastAsia="標楷體" w:hAnsi="Arial" w:cs="標楷體" w:hint="eastAsia"/>
          <w:sz w:val="24"/>
          <w:szCs w:val="24"/>
        </w:rPr>
        <w:t>昆山試驗區</w:t>
      </w:r>
      <w:r>
        <w:rPr>
          <w:rFonts w:ascii="Arial" w:eastAsia="標楷體" w:hAnsi="Arial" w:cs="標楷體" w:hint="eastAsia"/>
          <w:sz w:val="24"/>
          <w:szCs w:val="24"/>
        </w:rPr>
        <w:t>已開放臺資企業集團內部人民幣雙向借款業務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>
        <w:rPr>
          <w:rFonts w:ascii="Arial" w:eastAsia="標楷體" w:hAnsi="Arial" w:cs="標楷體" w:hint="eastAsia"/>
          <w:sz w:val="24"/>
          <w:szCs w:val="24"/>
        </w:rPr>
        <w:t>及</w:t>
      </w:r>
      <w:r w:rsidRPr="005B53CE">
        <w:rPr>
          <w:rFonts w:ascii="Arial" w:eastAsia="標楷體" w:hAnsi="Arial" w:cs="標楷體" w:hint="eastAsia"/>
          <w:sz w:val="24"/>
          <w:szCs w:val="24"/>
        </w:rPr>
        <w:t>上海</w:t>
      </w:r>
      <w:r>
        <w:rPr>
          <w:rFonts w:ascii="Arial" w:eastAsia="標楷體" w:hAnsi="Arial" w:cs="標楷體" w:hint="eastAsia"/>
          <w:sz w:val="24"/>
          <w:szCs w:val="24"/>
        </w:rPr>
        <w:t>自</w:t>
      </w:r>
      <w:r w:rsidRPr="005B53CE">
        <w:rPr>
          <w:rFonts w:ascii="Arial" w:eastAsia="標楷體" w:hAnsi="Arial" w:cs="標楷體" w:hint="eastAsia"/>
          <w:sz w:val="24"/>
          <w:szCs w:val="24"/>
        </w:rPr>
        <w:t>由貿易試驗區內金融機構和企業可自境外借用人民幣資金</w:t>
      </w:r>
      <w:r>
        <w:rPr>
          <w:rFonts w:ascii="標楷體" w:eastAsia="標楷體" w:hAnsi="標楷體" w:cs="標楷體" w:hint="eastAsia"/>
          <w:sz w:val="24"/>
          <w:szCs w:val="24"/>
        </w:rPr>
        <w:t>：</w:t>
      </w:r>
    </w:p>
    <w:p w:rsidR="00F33B9E" w:rsidRDefault="00F33B9E" w:rsidP="005B53CE">
      <w:pPr>
        <w:pStyle w:val="FootnoteText"/>
        <w:numPr>
          <w:ilvl w:val="0"/>
          <w:numId w:val="12"/>
        </w:numPr>
        <w:ind w:left="709" w:hanging="425"/>
        <w:rPr>
          <w:rFonts w:ascii="Arial" w:eastAsia="標楷體" w:hAnsi="Arial" w:cs="Times New Roman"/>
          <w:sz w:val="24"/>
          <w:szCs w:val="24"/>
        </w:rPr>
      </w:pPr>
      <w:r w:rsidRPr="005B53CE">
        <w:rPr>
          <w:rFonts w:ascii="Arial" w:eastAsia="標楷體" w:hAnsi="Arial" w:cs="標楷體" w:hint="eastAsia"/>
          <w:sz w:val="24"/>
          <w:szCs w:val="24"/>
        </w:rPr>
        <w:t>昆山試驗區</w:t>
      </w:r>
      <w:r>
        <w:rPr>
          <w:rFonts w:ascii="標楷體" w:eastAsia="標楷體" w:hAnsi="標楷體" w:cs="標楷體" w:hint="eastAsia"/>
          <w:sz w:val="24"/>
          <w:szCs w:val="24"/>
        </w:rPr>
        <w:t>：</w:t>
      </w:r>
      <w:r w:rsidRPr="00DB3BC8">
        <w:rPr>
          <w:rFonts w:ascii="Arial" w:eastAsia="標楷體" w:hAnsi="Arial" w:cs="標楷體" w:hint="eastAsia"/>
          <w:sz w:val="24"/>
          <w:szCs w:val="24"/>
        </w:rPr>
        <w:t>本行於</w:t>
      </w:r>
      <w:r w:rsidRPr="00DB3BC8">
        <w:rPr>
          <w:rFonts w:ascii="Arial" w:eastAsia="標楷體" w:hAnsi="Arial" w:cs="Arial"/>
          <w:sz w:val="24"/>
          <w:szCs w:val="24"/>
        </w:rPr>
        <w:t>102</w:t>
      </w:r>
      <w:r w:rsidRPr="00DB3BC8">
        <w:rPr>
          <w:rFonts w:ascii="Arial" w:eastAsia="標楷體" w:hAnsi="Arial" w:cs="標楷體" w:hint="eastAsia"/>
          <w:sz w:val="24"/>
          <w:szCs w:val="24"/>
        </w:rPr>
        <w:t>年</w:t>
      </w:r>
      <w:r w:rsidRPr="00DB3BC8">
        <w:rPr>
          <w:rFonts w:ascii="Arial" w:eastAsia="標楷體" w:hAnsi="Arial" w:cs="Arial"/>
          <w:sz w:val="24"/>
          <w:szCs w:val="24"/>
        </w:rPr>
        <w:t>9</w:t>
      </w:r>
      <w:r w:rsidRPr="00DB3BC8">
        <w:rPr>
          <w:rFonts w:ascii="Arial" w:eastAsia="標楷體" w:hAnsi="Arial" w:cs="標楷體" w:hint="eastAsia"/>
          <w:sz w:val="24"/>
          <w:szCs w:val="24"/>
        </w:rPr>
        <w:t>月</w:t>
      </w:r>
      <w:r w:rsidRPr="00DB3BC8">
        <w:rPr>
          <w:rFonts w:ascii="Arial" w:eastAsia="標楷體" w:hAnsi="Arial" w:cs="Arial"/>
          <w:sz w:val="24"/>
          <w:szCs w:val="24"/>
        </w:rPr>
        <w:t>4</w:t>
      </w:r>
      <w:r w:rsidRPr="00DB3BC8">
        <w:rPr>
          <w:rFonts w:ascii="Arial" w:eastAsia="標楷體" w:hAnsi="Arial" w:cs="標楷體" w:hint="eastAsia"/>
          <w:sz w:val="24"/>
          <w:szCs w:val="24"/>
        </w:rPr>
        <w:t>日通函銀行開放臺灣總公司得憑與昆山子公司之貸款合約，辦理外幣貸款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B3BC8">
        <w:rPr>
          <w:rFonts w:ascii="Arial" w:eastAsia="標楷體" w:hAnsi="Arial" w:cs="標楷體" w:hint="eastAsia"/>
          <w:sz w:val="24"/>
          <w:szCs w:val="24"/>
        </w:rPr>
        <w:t>並洽請工業總會、銀行公會及海基會等配合宣導。</w:t>
      </w:r>
    </w:p>
    <w:p w:rsidR="00F33B9E" w:rsidRDefault="00F33B9E" w:rsidP="005B53CE">
      <w:pPr>
        <w:pStyle w:val="FootnoteText"/>
        <w:numPr>
          <w:ilvl w:val="0"/>
          <w:numId w:val="12"/>
        </w:numPr>
        <w:ind w:left="709" w:hanging="425"/>
        <w:rPr>
          <w:rFonts w:cs="Times New Roman"/>
        </w:rPr>
      </w:pPr>
      <w:r>
        <w:rPr>
          <w:rFonts w:ascii="Arial" w:eastAsia="標楷體" w:hAnsi="Arial" w:cs="標楷體" w:hint="eastAsia"/>
          <w:sz w:val="24"/>
          <w:szCs w:val="24"/>
        </w:rPr>
        <w:t>上</w:t>
      </w:r>
      <w:r w:rsidRPr="005B53CE">
        <w:rPr>
          <w:rFonts w:ascii="Arial" w:eastAsia="標楷體" w:hAnsi="Arial" w:cs="標楷體" w:hint="eastAsia"/>
          <w:sz w:val="24"/>
          <w:szCs w:val="24"/>
        </w:rPr>
        <w:t>海自由貿易試驗區</w:t>
      </w:r>
      <w:r>
        <w:rPr>
          <w:rFonts w:ascii="標楷體" w:eastAsia="標楷體" w:hAnsi="標楷體" w:cs="標楷體" w:hint="eastAsia"/>
          <w:sz w:val="24"/>
          <w:szCs w:val="24"/>
        </w:rPr>
        <w:t>：</w:t>
      </w:r>
      <w:r>
        <w:rPr>
          <w:rFonts w:ascii="Arial" w:eastAsia="標楷體" w:hAnsi="Arial" w:cs="標楷體" w:hint="eastAsia"/>
          <w:sz w:val="24"/>
          <w:szCs w:val="24"/>
        </w:rPr>
        <w:t>依</w:t>
      </w:r>
      <w:r w:rsidRPr="00DB3BC8">
        <w:rPr>
          <w:rFonts w:ascii="Arial" w:eastAsia="標楷體" w:hAnsi="Arial" w:cs="標楷體" w:hint="eastAsia"/>
          <w:sz w:val="24"/>
          <w:szCs w:val="24"/>
        </w:rPr>
        <w:t>據「中國人民銀行關於金融支持中國（上海）自由貿易試驗區建設的意見」，中國（上海）自由貿易試驗區內金融機構和企業可</w:t>
      </w:r>
      <w:r>
        <w:rPr>
          <w:rFonts w:ascii="Arial" w:eastAsia="標楷體" w:hAnsi="Arial" w:cs="標楷體" w:hint="eastAsia"/>
          <w:sz w:val="24"/>
          <w:szCs w:val="24"/>
        </w:rPr>
        <w:t>自</w:t>
      </w:r>
      <w:r w:rsidRPr="00DB3BC8">
        <w:rPr>
          <w:rFonts w:ascii="Arial" w:eastAsia="標楷體" w:hAnsi="Arial" w:cs="標楷體" w:hint="eastAsia"/>
          <w:sz w:val="24"/>
          <w:szCs w:val="24"/>
        </w:rPr>
        <w:t>境外借用人民幣資金。</w:t>
      </w:r>
    </w:p>
  </w:footnote>
  <w:footnote w:id="2">
    <w:p w:rsidR="00F33B9E" w:rsidRDefault="00F33B9E">
      <w:pPr>
        <w:pStyle w:val="FootnoteText"/>
        <w:rPr>
          <w:rFonts w:cs="Times New Roman"/>
        </w:rPr>
      </w:pPr>
      <w:r w:rsidRPr="00A4714B">
        <w:rPr>
          <w:rStyle w:val="FootnoteReference"/>
          <w:rFonts w:ascii="Arial" w:hAnsi="Arial" w:cs="Arial"/>
          <w:sz w:val="36"/>
          <w:szCs w:val="36"/>
        </w:rPr>
        <w:footnoteRef/>
      </w:r>
      <w:r w:rsidRPr="00A4714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eastAsia="標楷體" w:hAnsi="Arial" w:cs="標楷體" w:hint="eastAsia"/>
          <w:sz w:val="24"/>
          <w:szCs w:val="24"/>
        </w:rPr>
        <w:t>截至</w:t>
      </w:r>
      <w:r>
        <w:rPr>
          <w:rFonts w:ascii="Arial" w:eastAsia="標楷體" w:hAnsi="Arial" w:cs="Arial"/>
          <w:sz w:val="24"/>
          <w:szCs w:val="24"/>
        </w:rPr>
        <w:t>103</w:t>
      </w:r>
      <w:r w:rsidRPr="00DB3BC8">
        <w:rPr>
          <w:rFonts w:ascii="Arial" w:eastAsia="標楷體" w:hAnsi="Arial" w:cs="標楷體" w:hint="eastAsia"/>
          <w:sz w:val="24"/>
          <w:szCs w:val="24"/>
        </w:rPr>
        <w:t>年</w:t>
      </w:r>
      <w:r w:rsidRPr="00DB3BC8">
        <w:rPr>
          <w:rFonts w:ascii="Arial" w:eastAsia="標楷體" w:hAnsi="Arial" w:cs="Arial"/>
          <w:sz w:val="24"/>
          <w:szCs w:val="24"/>
        </w:rPr>
        <w:t>2</w:t>
      </w:r>
      <w:r>
        <w:rPr>
          <w:rFonts w:ascii="Arial" w:eastAsia="標楷體" w:hAnsi="Arial" w:cs="標楷體" w:hint="eastAsia"/>
          <w:sz w:val="24"/>
          <w:szCs w:val="24"/>
        </w:rPr>
        <w:t>月底止，</w:t>
      </w:r>
      <w:r w:rsidRPr="00DB3BC8">
        <w:rPr>
          <w:rFonts w:ascii="Arial" w:eastAsia="標楷體" w:hAnsi="Arial" w:cs="標楷體" w:hint="eastAsia"/>
          <w:sz w:val="24"/>
          <w:szCs w:val="24"/>
        </w:rPr>
        <w:t>臺灣</w:t>
      </w:r>
      <w:r>
        <w:rPr>
          <w:rFonts w:ascii="Arial" w:eastAsia="標楷體" w:hAnsi="Arial" w:cs="標楷體" w:hint="eastAsia"/>
          <w:sz w:val="24"/>
          <w:szCs w:val="24"/>
        </w:rPr>
        <w:t>地區參加銀行投資大陸境內銀行間債券市場之額度僅</w:t>
      </w:r>
      <w:r w:rsidRPr="00DB3BC8">
        <w:rPr>
          <w:rFonts w:ascii="Arial" w:eastAsia="標楷體" w:hAnsi="Arial" w:cs="Arial"/>
          <w:sz w:val="24"/>
          <w:szCs w:val="24"/>
        </w:rPr>
        <w:t>79</w:t>
      </w:r>
      <w:r w:rsidRPr="00DB3BC8">
        <w:rPr>
          <w:rFonts w:ascii="Arial" w:eastAsia="標楷體" w:hAnsi="Arial" w:cs="標楷體" w:hint="eastAsia"/>
          <w:sz w:val="24"/>
          <w:szCs w:val="24"/>
        </w:rPr>
        <w:t>億</w:t>
      </w:r>
      <w:r>
        <w:rPr>
          <w:rFonts w:ascii="Arial" w:eastAsia="標楷體" w:hAnsi="Arial" w:cs="標楷體" w:hint="eastAsia"/>
          <w:sz w:val="24"/>
          <w:szCs w:val="24"/>
        </w:rPr>
        <w:t>元</w:t>
      </w:r>
      <w:r w:rsidRPr="00DB3BC8">
        <w:rPr>
          <w:rFonts w:ascii="Arial" w:eastAsia="標楷體" w:hAnsi="Arial" w:cs="標楷體" w:hint="eastAsia"/>
          <w:sz w:val="24"/>
          <w:szCs w:val="24"/>
        </w:rPr>
        <w:t>人民幣。</w:t>
      </w:r>
    </w:p>
  </w:footnote>
  <w:footnote w:id="3">
    <w:p w:rsidR="00F33B9E" w:rsidRDefault="00F33B9E" w:rsidP="006C58CF">
      <w:pPr>
        <w:pStyle w:val="FootnoteText"/>
        <w:ind w:left="281" w:hangingChars="78" w:hanging="281"/>
        <w:jc w:val="both"/>
        <w:rPr>
          <w:rFonts w:cs="Times New Roman"/>
        </w:rPr>
      </w:pPr>
      <w:r w:rsidRPr="006C58CF">
        <w:rPr>
          <w:rStyle w:val="FootnoteReference"/>
          <w:rFonts w:ascii="Arial" w:hAnsi="Arial" w:cs="Arial"/>
          <w:sz w:val="36"/>
          <w:szCs w:val="36"/>
        </w:rPr>
        <w:footnoteRef/>
      </w:r>
      <w:r w:rsidRPr="000349E8">
        <w:rPr>
          <w:sz w:val="36"/>
          <w:szCs w:val="36"/>
        </w:rPr>
        <w:t xml:space="preserve"> </w:t>
      </w:r>
      <w:r w:rsidRPr="000349E8">
        <w:rPr>
          <w:rFonts w:ascii="Arial" w:eastAsia="標楷體" w:hAnsi="Arial" w:cs="標楷體" w:hint="eastAsia"/>
          <w:sz w:val="24"/>
          <w:szCs w:val="24"/>
        </w:rPr>
        <w:t>有關「兩岸貨幣互換協議」協商進度，</w:t>
      </w:r>
      <w:r>
        <w:rPr>
          <w:rFonts w:ascii="Arial" w:eastAsia="標楷體" w:hAnsi="Arial" w:cs="標楷體" w:hint="eastAsia"/>
          <w:sz w:val="24"/>
          <w:szCs w:val="24"/>
        </w:rPr>
        <w:t>本</w:t>
      </w:r>
      <w:r w:rsidRPr="000349E8">
        <w:rPr>
          <w:rFonts w:ascii="Arial" w:eastAsia="標楷體" w:hAnsi="Arial" w:cs="標楷體" w:hint="eastAsia"/>
          <w:sz w:val="24"/>
          <w:szCs w:val="24"/>
        </w:rPr>
        <w:t>行已作好應有的準備，也一直與對方聯繫。</w:t>
      </w:r>
      <w:r w:rsidRPr="000349E8">
        <w:rPr>
          <w:rFonts w:ascii="Arial" w:eastAsia="標楷體" w:hAnsi="Arial" w:cs="Arial"/>
          <w:sz w:val="24"/>
          <w:szCs w:val="24"/>
        </w:rPr>
        <w:t>2013</w:t>
      </w:r>
      <w:r w:rsidRPr="000349E8">
        <w:rPr>
          <w:rFonts w:ascii="Arial" w:eastAsia="標楷體" w:hAnsi="Arial" w:cs="標楷體" w:hint="eastAsia"/>
          <w:sz w:val="24"/>
          <w:szCs w:val="24"/>
        </w:rPr>
        <w:t>年</w:t>
      </w:r>
      <w:r w:rsidRPr="000349E8">
        <w:rPr>
          <w:rFonts w:ascii="Arial" w:eastAsia="標楷體" w:hAnsi="Arial" w:cs="Arial"/>
          <w:sz w:val="24"/>
          <w:szCs w:val="24"/>
        </w:rPr>
        <w:t>6</w:t>
      </w:r>
      <w:r w:rsidRPr="000349E8">
        <w:rPr>
          <w:rFonts w:ascii="Arial" w:eastAsia="標楷體" w:hAnsi="Arial" w:cs="標楷體" w:hint="eastAsia"/>
          <w:sz w:val="24"/>
          <w:szCs w:val="24"/>
        </w:rPr>
        <w:t>月</w:t>
      </w:r>
      <w:r w:rsidRPr="000349E8">
        <w:rPr>
          <w:rFonts w:ascii="Arial" w:eastAsia="標楷體" w:hAnsi="Arial" w:cs="Arial"/>
          <w:sz w:val="24"/>
          <w:szCs w:val="24"/>
        </w:rPr>
        <w:t>13</w:t>
      </w:r>
      <w:r w:rsidRPr="000349E8">
        <w:rPr>
          <w:rFonts w:ascii="Arial" w:eastAsia="標楷體" w:hAnsi="Arial" w:cs="標楷體" w:hint="eastAsia"/>
          <w:sz w:val="24"/>
          <w:szCs w:val="24"/>
        </w:rPr>
        <w:t>日吳伯雄先生與習近平先生會面時，習先生表示「將爭取</w:t>
      </w:r>
      <w:r w:rsidRPr="000349E8">
        <w:rPr>
          <w:rFonts w:ascii="Arial" w:eastAsia="標楷體" w:hAnsi="Arial" w:cs="Arial"/>
          <w:sz w:val="24"/>
          <w:szCs w:val="24"/>
        </w:rPr>
        <w:t>2013</w:t>
      </w:r>
      <w:r w:rsidRPr="000349E8">
        <w:rPr>
          <w:rFonts w:ascii="Arial" w:eastAsia="標楷體" w:hAnsi="Arial" w:cs="標楷體" w:hint="eastAsia"/>
          <w:sz w:val="24"/>
          <w:szCs w:val="24"/>
        </w:rPr>
        <w:t>年內展開協商」。</w:t>
      </w:r>
      <w:r>
        <w:rPr>
          <w:rFonts w:ascii="Arial" w:eastAsia="標楷體" w:hAnsi="Arial" w:cs="Arial"/>
          <w:sz w:val="24"/>
          <w:szCs w:val="24"/>
        </w:rPr>
        <w:t>2014</w:t>
      </w:r>
      <w:r>
        <w:rPr>
          <w:rFonts w:ascii="Arial" w:eastAsia="標楷體" w:hAnsi="Arial" w:cs="標楷體" w:hint="eastAsia"/>
          <w:sz w:val="24"/>
          <w:szCs w:val="24"/>
        </w:rPr>
        <w:t>年</w:t>
      </w:r>
      <w:r>
        <w:rPr>
          <w:rFonts w:ascii="Arial" w:eastAsia="標楷體" w:hAnsi="Arial" w:cs="Arial"/>
          <w:sz w:val="24"/>
          <w:szCs w:val="24"/>
        </w:rPr>
        <w:t>3</w:t>
      </w:r>
      <w:r>
        <w:rPr>
          <w:rFonts w:ascii="Arial" w:eastAsia="標楷體" w:hAnsi="Arial" w:cs="標楷體" w:hint="eastAsia"/>
          <w:sz w:val="24"/>
          <w:szCs w:val="24"/>
        </w:rPr>
        <w:t>月</w:t>
      </w:r>
      <w:r>
        <w:rPr>
          <w:rFonts w:ascii="Arial" w:eastAsia="標楷體" w:hAnsi="Arial" w:cs="Arial"/>
          <w:sz w:val="24"/>
          <w:szCs w:val="24"/>
        </w:rPr>
        <w:t>11</w:t>
      </w:r>
      <w:r>
        <w:rPr>
          <w:rFonts w:ascii="Arial" w:eastAsia="標楷體" w:hAnsi="Arial" w:cs="標楷體" w:hint="eastAsia"/>
          <w:sz w:val="24"/>
          <w:szCs w:val="24"/>
        </w:rPr>
        <w:t>日中國</w:t>
      </w:r>
      <w:r w:rsidRPr="000349E8">
        <w:rPr>
          <w:rFonts w:ascii="Arial" w:eastAsia="標楷體" w:hAnsi="Arial" w:cs="標楷體" w:hint="eastAsia"/>
          <w:sz w:val="24"/>
          <w:szCs w:val="24"/>
        </w:rPr>
        <w:t>人民銀行周小川行長</w:t>
      </w:r>
      <w:r>
        <w:rPr>
          <w:rFonts w:ascii="Arial" w:eastAsia="標楷體" w:hAnsi="Arial" w:cs="標楷體" w:hint="eastAsia"/>
          <w:sz w:val="24"/>
          <w:szCs w:val="24"/>
        </w:rPr>
        <w:t>亦表示簽署</w:t>
      </w:r>
      <w:r w:rsidRPr="000349E8">
        <w:rPr>
          <w:rFonts w:ascii="Arial" w:eastAsia="標楷體" w:hAnsi="Arial" w:cs="標楷體" w:hint="eastAsia"/>
          <w:sz w:val="24"/>
          <w:szCs w:val="24"/>
        </w:rPr>
        <w:t>「兩岸貨幣互換協議」</w:t>
      </w:r>
      <w:r>
        <w:rPr>
          <w:rFonts w:ascii="Arial" w:eastAsia="標楷體" w:hAnsi="Arial" w:cs="標楷體" w:hint="eastAsia"/>
          <w:sz w:val="24"/>
          <w:szCs w:val="24"/>
        </w:rPr>
        <w:t>之氣氛正醞釀中。</w:t>
      </w:r>
    </w:p>
  </w:footnote>
  <w:footnote w:id="4">
    <w:p w:rsidR="00F33B9E" w:rsidRDefault="00F33B9E" w:rsidP="0034749E">
      <w:pPr>
        <w:pStyle w:val="FootnoteText"/>
        <w:ind w:left="281" w:hangingChars="78" w:hanging="281"/>
        <w:rPr>
          <w:rFonts w:cs="Times New Roman"/>
        </w:rPr>
      </w:pPr>
      <w:r w:rsidRPr="006C58CF">
        <w:rPr>
          <w:rStyle w:val="FootnoteReference"/>
          <w:rFonts w:ascii="Arial" w:hAnsi="Arial" w:cs="Arial"/>
          <w:sz w:val="36"/>
          <w:szCs w:val="36"/>
        </w:rPr>
        <w:footnoteRef/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 w:rsidRPr="0034749E">
        <w:rPr>
          <w:rFonts w:ascii="標楷體" w:eastAsia="標楷體" w:hAnsi="標楷體" w:cs="標楷體" w:hint="eastAsia"/>
          <w:sz w:val="24"/>
          <w:szCs w:val="24"/>
        </w:rPr>
        <w:t>本行因應業界建議，推動建立臺灣離岸人民幣匯率與拆款利率定盤價機制，目前已由臺北外匯市場發展基金會規劃相關事宜，該基金會預定於</w:t>
      </w:r>
      <w:r w:rsidRPr="00CD70AD">
        <w:rPr>
          <w:rFonts w:ascii="Arial" w:eastAsia="標楷體" w:hAnsi="Arial" w:cs="Arial"/>
          <w:sz w:val="24"/>
          <w:szCs w:val="24"/>
        </w:rPr>
        <w:t>103</w:t>
      </w:r>
      <w:r w:rsidRPr="0034749E">
        <w:rPr>
          <w:rFonts w:ascii="標楷體" w:eastAsia="標楷體" w:hAnsi="標楷體" w:cs="標楷體" w:hint="eastAsia"/>
          <w:sz w:val="24"/>
          <w:szCs w:val="24"/>
        </w:rPr>
        <w:t>年底前完成。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752"/>
    <w:multiLevelType w:val="hybridMultilevel"/>
    <w:tmpl w:val="EA3CA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DD0D5B"/>
    <w:multiLevelType w:val="hybridMultilevel"/>
    <w:tmpl w:val="D99A8062"/>
    <w:lvl w:ilvl="0" w:tplc="D38888AC">
      <w:start w:val="1"/>
      <w:numFmt w:val="ideographLegalTraditional"/>
      <w:lvlText w:val="%1、"/>
      <w:lvlJc w:val="left"/>
      <w:pPr>
        <w:ind w:left="829" w:hanging="829"/>
      </w:pPr>
      <w:rPr>
        <w:rFonts w:hint="default"/>
        <w:b/>
        <w:bCs/>
        <w:sz w:val="40"/>
        <w:szCs w:val="4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102DF0"/>
    <w:multiLevelType w:val="hybridMultilevel"/>
    <w:tmpl w:val="FC3C42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D3E68"/>
    <w:multiLevelType w:val="hybridMultilevel"/>
    <w:tmpl w:val="5E08E7C4"/>
    <w:lvl w:ilvl="0" w:tplc="E90AB51E">
      <w:start w:val="1"/>
      <w:numFmt w:val="taiwaneseCountingThousand"/>
      <w:lvlText w:val="(%1)"/>
      <w:lvlJc w:val="left"/>
      <w:pPr>
        <w:ind w:left="1680" w:hanging="720"/>
      </w:pPr>
      <w:rPr>
        <w:rFonts w:ascii="Arial" w:hAnsi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BD5524"/>
    <w:multiLevelType w:val="hybridMultilevel"/>
    <w:tmpl w:val="71F09A0C"/>
    <w:lvl w:ilvl="0" w:tplc="3F7E10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39688F"/>
    <w:multiLevelType w:val="hybridMultilevel"/>
    <w:tmpl w:val="FD30B68A"/>
    <w:lvl w:ilvl="0" w:tplc="E76823EA">
      <w:start w:val="1"/>
      <w:numFmt w:val="taiwaneseCountingThousand"/>
      <w:lvlText w:val="%1、"/>
      <w:lvlJc w:val="left"/>
      <w:pPr>
        <w:ind w:left="1290" w:hanging="480"/>
      </w:pPr>
      <w:rPr>
        <w:rFonts w:hint="default"/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770" w:hanging="480"/>
      </w:pPr>
    </w:lvl>
    <w:lvl w:ilvl="2" w:tplc="0409001B">
      <w:start w:val="1"/>
      <w:numFmt w:val="lowerRoman"/>
      <w:lvlText w:val="%3."/>
      <w:lvlJc w:val="right"/>
      <w:pPr>
        <w:ind w:left="2250" w:hanging="480"/>
      </w:pPr>
    </w:lvl>
    <w:lvl w:ilvl="3" w:tplc="0409000F">
      <w:start w:val="1"/>
      <w:numFmt w:val="decimal"/>
      <w:lvlText w:val="%4."/>
      <w:lvlJc w:val="left"/>
      <w:pPr>
        <w:ind w:left="2730" w:hanging="480"/>
      </w:pPr>
    </w:lvl>
    <w:lvl w:ilvl="4" w:tplc="04090019">
      <w:start w:val="1"/>
      <w:numFmt w:val="ideographTraditional"/>
      <w:lvlText w:val="%5、"/>
      <w:lvlJc w:val="left"/>
      <w:pPr>
        <w:ind w:left="3210" w:hanging="480"/>
      </w:pPr>
    </w:lvl>
    <w:lvl w:ilvl="5" w:tplc="0409001B">
      <w:start w:val="1"/>
      <w:numFmt w:val="lowerRoman"/>
      <w:lvlText w:val="%6."/>
      <w:lvlJc w:val="right"/>
      <w:pPr>
        <w:ind w:left="3690" w:hanging="480"/>
      </w:pPr>
    </w:lvl>
    <w:lvl w:ilvl="6" w:tplc="0409000F">
      <w:start w:val="1"/>
      <w:numFmt w:val="decimal"/>
      <w:lvlText w:val="%7."/>
      <w:lvlJc w:val="left"/>
      <w:pPr>
        <w:ind w:left="4170" w:hanging="480"/>
      </w:pPr>
    </w:lvl>
    <w:lvl w:ilvl="7" w:tplc="04090019">
      <w:start w:val="1"/>
      <w:numFmt w:val="ideographTraditional"/>
      <w:lvlText w:val="%8、"/>
      <w:lvlJc w:val="left"/>
      <w:pPr>
        <w:ind w:left="4650" w:hanging="480"/>
      </w:pPr>
    </w:lvl>
    <w:lvl w:ilvl="8" w:tplc="0409001B">
      <w:start w:val="1"/>
      <w:numFmt w:val="lowerRoman"/>
      <w:lvlText w:val="%9."/>
      <w:lvlJc w:val="right"/>
      <w:pPr>
        <w:ind w:left="5130" w:hanging="480"/>
      </w:pPr>
    </w:lvl>
  </w:abstractNum>
  <w:abstractNum w:abstractNumId="6">
    <w:nsid w:val="2E757AE1"/>
    <w:multiLevelType w:val="hybridMultilevel"/>
    <w:tmpl w:val="CCB26DCA"/>
    <w:lvl w:ilvl="0" w:tplc="5AB8B6B8">
      <w:start w:val="2"/>
      <w:numFmt w:val="ideographLegalTraditional"/>
      <w:lvlText w:val="%1、"/>
      <w:lvlJc w:val="left"/>
      <w:pPr>
        <w:ind w:left="825" w:hanging="8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EB5534"/>
    <w:multiLevelType w:val="hybridMultilevel"/>
    <w:tmpl w:val="DF9642D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8">
    <w:nsid w:val="5B173A0C"/>
    <w:multiLevelType w:val="hybridMultilevel"/>
    <w:tmpl w:val="661E117E"/>
    <w:lvl w:ilvl="0" w:tplc="557CFBDE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b/>
        <w:bCs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5B215C2C"/>
    <w:multiLevelType w:val="hybridMultilevel"/>
    <w:tmpl w:val="37DAF1D0"/>
    <w:lvl w:ilvl="0" w:tplc="C56666FC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AB2A58"/>
    <w:multiLevelType w:val="hybridMultilevel"/>
    <w:tmpl w:val="5E08E7C4"/>
    <w:lvl w:ilvl="0" w:tplc="E90AB51E">
      <w:start w:val="1"/>
      <w:numFmt w:val="taiwaneseCountingThousand"/>
      <w:lvlText w:val="(%1)"/>
      <w:lvlJc w:val="left"/>
      <w:pPr>
        <w:ind w:left="1680" w:hanging="72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A513C82"/>
    <w:multiLevelType w:val="hybridMultilevel"/>
    <w:tmpl w:val="F1B2F1FC"/>
    <w:lvl w:ilvl="0" w:tplc="04090017">
      <w:start w:val="1"/>
      <w:numFmt w:val="ideographLegalTraditional"/>
      <w:lvlText w:val="%1、"/>
      <w:lvlJc w:val="left"/>
      <w:pPr>
        <w:ind w:left="840" w:hanging="840"/>
      </w:pPr>
      <w:rPr>
        <w:rFonts w:hint="default"/>
      </w:rPr>
    </w:lvl>
    <w:lvl w:ilvl="1" w:tplc="E76823EA">
      <w:start w:val="1"/>
      <w:numFmt w:val="taiwaneseCountingThousand"/>
      <w:lvlText w:val="%2、"/>
      <w:lvlJc w:val="left"/>
      <w:pPr>
        <w:ind w:left="1320" w:hanging="840"/>
      </w:pPr>
      <w:rPr>
        <w:rFonts w:hint="default"/>
        <w:b w:val="0"/>
        <w:bCs w:val="0"/>
        <w:color w:val="auto"/>
      </w:rPr>
    </w:lvl>
    <w:lvl w:ilvl="2" w:tplc="E90AB51E">
      <w:start w:val="1"/>
      <w:numFmt w:val="taiwaneseCountingThousand"/>
      <w:lvlText w:val="(%3)"/>
      <w:lvlJc w:val="left"/>
      <w:pPr>
        <w:ind w:left="1680" w:hanging="720"/>
      </w:pPr>
      <w:rPr>
        <w:rFonts w:ascii="Arial" w:hAnsi="Arial" w:cs="Arial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1051F3"/>
    <w:multiLevelType w:val="hybridMultilevel"/>
    <w:tmpl w:val="05F04692"/>
    <w:lvl w:ilvl="0" w:tplc="94B433DC">
      <w:start w:val="1"/>
      <w:numFmt w:val="ideographLegalTraditional"/>
      <w:lvlText w:val="%1、"/>
      <w:lvlJc w:val="left"/>
      <w:pPr>
        <w:ind w:left="825" w:hanging="8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3B7C2E"/>
    <w:multiLevelType w:val="hybridMultilevel"/>
    <w:tmpl w:val="BA225F9C"/>
    <w:lvl w:ilvl="0" w:tplc="41D8479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4">
    <w:nsid w:val="7E6C43F1"/>
    <w:multiLevelType w:val="hybridMultilevel"/>
    <w:tmpl w:val="6F3817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127"/>
    <w:rsid w:val="00030FD2"/>
    <w:rsid w:val="000349E8"/>
    <w:rsid w:val="000666AF"/>
    <w:rsid w:val="00073DA0"/>
    <w:rsid w:val="00077C70"/>
    <w:rsid w:val="000A180D"/>
    <w:rsid w:val="000B5B72"/>
    <w:rsid w:val="000C4AEE"/>
    <w:rsid w:val="000E2D31"/>
    <w:rsid w:val="00102B3D"/>
    <w:rsid w:val="001259CE"/>
    <w:rsid w:val="0013296A"/>
    <w:rsid w:val="00142935"/>
    <w:rsid w:val="00154E36"/>
    <w:rsid w:val="00167EA3"/>
    <w:rsid w:val="00182FC3"/>
    <w:rsid w:val="001863E3"/>
    <w:rsid w:val="001960C9"/>
    <w:rsid w:val="001B5054"/>
    <w:rsid w:val="001F0E51"/>
    <w:rsid w:val="001F3BE6"/>
    <w:rsid w:val="001F63B1"/>
    <w:rsid w:val="00221410"/>
    <w:rsid w:val="0023520C"/>
    <w:rsid w:val="00244317"/>
    <w:rsid w:val="00264A4A"/>
    <w:rsid w:val="002A4485"/>
    <w:rsid w:val="002F1A34"/>
    <w:rsid w:val="003037DE"/>
    <w:rsid w:val="0031403A"/>
    <w:rsid w:val="00315A9D"/>
    <w:rsid w:val="0034749E"/>
    <w:rsid w:val="00364148"/>
    <w:rsid w:val="003858F5"/>
    <w:rsid w:val="00386FC3"/>
    <w:rsid w:val="00393E61"/>
    <w:rsid w:val="003A391F"/>
    <w:rsid w:val="003D4A79"/>
    <w:rsid w:val="004464C6"/>
    <w:rsid w:val="004551AD"/>
    <w:rsid w:val="00457B2A"/>
    <w:rsid w:val="00463AD5"/>
    <w:rsid w:val="00464E3A"/>
    <w:rsid w:val="004767B1"/>
    <w:rsid w:val="004B2EA9"/>
    <w:rsid w:val="004C3590"/>
    <w:rsid w:val="004D22DE"/>
    <w:rsid w:val="004E1119"/>
    <w:rsid w:val="00501E9E"/>
    <w:rsid w:val="00560C04"/>
    <w:rsid w:val="005639F2"/>
    <w:rsid w:val="00566BE5"/>
    <w:rsid w:val="00573457"/>
    <w:rsid w:val="00581066"/>
    <w:rsid w:val="00591D04"/>
    <w:rsid w:val="005947DF"/>
    <w:rsid w:val="005A0062"/>
    <w:rsid w:val="005B53CE"/>
    <w:rsid w:val="006204D7"/>
    <w:rsid w:val="0062446D"/>
    <w:rsid w:val="006346A3"/>
    <w:rsid w:val="00654931"/>
    <w:rsid w:val="0066014A"/>
    <w:rsid w:val="0067311B"/>
    <w:rsid w:val="006A21CF"/>
    <w:rsid w:val="006A50FC"/>
    <w:rsid w:val="006C58CF"/>
    <w:rsid w:val="00703DE5"/>
    <w:rsid w:val="00713999"/>
    <w:rsid w:val="00733861"/>
    <w:rsid w:val="00737C1F"/>
    <w:rsid w:val="007463A0"/>
    <w:rsid w:val="00757CC1"/>
    <w:rsid w:val="0076366A"/>
    <w:rsid w:val="00763EA5"/>
    <w:rsid w:val="0078044D"/>
    <w:rsid w:val="007D707A"/>
    <w:rsid w:val="007F4A55"/>
    <w:rsid w:val="00813330"/>
    <w:rsid w:val="00866B2C"/>
    <w:rsid w:val="00871B00"/>
    <w:rsid w:val="00886223"/>
    <w:rsid w:val="008D4DDA"/>
    <w:rsid w:val="008D5BAC"/>
    <w:rsid w:val="008E5315"/>
    <w:rsid w:val="00905F12"/>
    <w:rsid w:val="009330A6"/>
    <w:rsid w:val="0093460F"/>
    <w:rsid w:val="00945FCA"/>
    <w:rsid w:val="009B040C"/>
    <w:rsid w:val="009B56CF"/>
    <w:rsid w:val="009B7B5F"/>
    <w:rsid w:val="009D2505"/>
    <w:rsid w:val="009E4933"/>
    <w:rsid w:val="00A03650"/>
    <w:rsid w:val="00A375C3"/>
    <w:rsid w:val="00A4509E"/>
    <w:rsid w:val="00A4714B"/>
    <w:rsid w:val="00A55CA3"/>
    <w:rsid w:val="00A6488A"/>
    <w:rsid w:val="00A70E66"/>
    <w:rsid w:val="00A73127"/>
    <w:rsid w:val="00A85A1B"/>
    <w:rsid w:val="00A95A4B"/>
    <w:rsid w:val="00A9604E"/>
    <w:rsid w:val="00AC3466"/>
    <w:rsid w:val="00AE1E2A"/>
    <w:rsid w:val="00B15511"/>
    <w:rsid w:val="00B168D5"/>
    <w:rsid w:val="00B344F0"/>
    <w:rsid w:val="00B54B45"/>
    <w:rsid w:val="00B845C9"/>
    <w:rsid w:val="00BA71A5"/>
    <w:rsid w:val="00BC4171"/>
    <w:rsid w:val="00BC71AE"/>
    <w:rsid w:val="00C23A70"/>
    <w:rsid w:val="00C24B31"/>
    <w:rsid w:val="00C51502"/>
    <w:rsid w:val="00C831BD"/>
    <w:rsid w:val="00CB1662"/>
    <w:rsid w:val="00CD5A81"/>
    <w:rsid w:val="00CD70AD"/>
    <w:rsid w:val="00D20DC9"/>
    <w:rsid w:val="00D3051C"/>
    <w:rsid w:val="00D422E0"/>
    <w:rsid w:val="00D5142A"/>
    <w:rsid w:val="00D56025"/>
    <w:rsid w:val="00DB3BC8"/>
    <w:rsid w:val="00E1362E"/>
    <w:rsid w:val="00E17841"/>
    <w:rsid w:val="00E317EB"/>
    <w:rsid w:val="00E52BAC"/>
    <w:rsid w:val="00E616AF"/>
    <w:rsid w:val="00EA09CF"/>
    <w:rsid w:val="00EA1B04"/>
    <w:rsid w:val="00EB35A0"/>
    <w:rsid w:val="00EC40A3"/>
    <w:rsid w:val="00ED577E"/>
    <w:rsid w:val="00ED65C4"/>
    <w:rsid w:val="00EE53E7"/>
    <w:rsid w:val="00EF6C1A"/>
    <w:rsid w:val="00F035ED"/>
    <w:rsid w:val="00F31E81"/>
    <w:rsid w:val="00F33B9E"/>
    <w:rsid w:val="00F36465"/>
    <w:rsid w:val="00F658BD"/>
    <w:rsid w:val="00F9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1F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311B"/>
    <w:pPr>
      <w:ind w:leftChars="200" w:left="480"/>
    </w:pPr>
  </w:style>
  <w:style w:type="table" w:styleId="TableGrid">
    <w:name w:val="Table Grid"/>
    <w:basedOn w:val="TableNormal"/>
    <w:uiPriority w:val="99"/>
    <w:rsid w:val="0067311B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7311B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11B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CB1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166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B1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166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5639F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639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639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244</Words>
  <Characters>1391</Characters>
  <Application>Microsoft Office Outlook</Application>
  <DocSecurity>0</DocSecurity>
  <Lines>0</Lines>
  <Paragraphs>0</Paragraphs>
  <ScaleCrop>false</ScaleCrop>
  <Company>CBC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邱偉勝</dc:creator>
  <cp:keywords/>
  <dc:description/>
  <cp:lastModifiedBy>jay</cp:lastModifiedBy>
  <cp:revision>3</cp:revision>
  <cp:lastPrinted>2014-03-27T01:21:00Z</cp:lastPrinted>
  <dcterms:created xsi:type="dcterms:W3CDTF">2014-03-27T07:26:00Z</dcterms:created>
  <dcterms:modified xsi:type="dcterms:W3CDTF">2014-03-27T07:27:00Z</dcterms:modified>
</cp:coreProperties>
</file>