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25" w:rsidRDefault="00462125" w:rsidP="000B61CF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30DB4">
        <w:rPr>
          <w:rFonts w:ascii="標楷體" w:eastAsia="標楷體" w:hAnsi="標楷體" w:cs="標楷體" w:hint="eastAsia"/>
          <w:b/>
          <w:bCs/>
          <w:sz w:val="32"/>
          <w:szCs w:val="32"/>
        </w:rPr>
        <w:t>臺灣人民幣市場穩健發展之說明</w:t>
      </w:r>
    </w:p>
    <w:p w:rsidR="00462125" w:rsidRPr="000B61CF" w:rsidRDefault="00462125" w:rsidP="000B61CF">
      <w:pPr>
        <w:spacing w:line="400" w:lineRule="exact"/>
        <w:jc w:val="right"/>
        <w:rPr>
          <w:rFonts w:ascii="標楷體" w:eastAsia="標楷體" w:hAnsi="標楷體" w:cs="標楷體"/>
        </w:rPr>
      </w:pPr>
      <w:r w:rsidRPr="000B61CF">
        <w:rPr>
          <w:rFonts w:ascii="標楷體" w:eastAsia="標楷體" w:hAnsi="標楷體" w:cs="標楷體"/>
        </w:rPr>
        <w:t>103.3.14</w:t>
      </w:r>
    </w:p>
    <w:p w:rsidR="00462125" w:rsidRPr="00E0214C" w:rsidRDefault="00462125" w:rsidP="00722494">
      <w:pPr>
        <w:pStyle w:val="ListParagraph"/>
        <w:numPr>
          <w:ilvl w:val="0"/>
          <w:numId w:val="1"/>
        </w:numPr>
        <w:spacing w:line="560" w:lineRule="exact"/>
        <w:ind w:leftChars="0" w:left="709" w:hanging="70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0214C">
        <w:rPr>
          <w:rFonts w:ascii="標楷體" w:eastAsia="標楷體" w:hAnsi="標楷體" w:cs="標楷體" w:hint="eastAsia"/>
          <w:b/>
          <w:bCs/>
          <w:sz w:val="32"/>
          <w:szCs w:val="32"/>
        </w:rPr>
        <w:t>人民幣存款</w:t>
      </w:r>
    </w:p>
    <w:p w:rsidR="00462125" w:rsidRPr="00722494" w:rsidRDefault="00462125" w:rsidP="00722494">
      <w:pPr>
        <w:pStyle w:val="ListParagraph"/>
        <w:numPr>
          <w:ilvl w:val="1"/>
          <w:numId w:val="1"/>
        </w:numPr>
        <w:spacing w:line="520" w:lineRule="exact"/>
        <w:ind w:leftChars="0" w:left="1418" w:hanging="93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22494">
        <w:rPr>
          <w:rFonts w:ascii="Times New Roman" w:eastAsia="標楷體" w:hAnsi="Times New Roman" w:cs="標楷體" w:hint="eastAsia"/>
          <w:sz w:val="32"/>
          <w:szCs w:val="32"/>
        </w:rPr>
        <w:t>臺灣、</w:t>
      </w:r>
      <w:r w:rsidRPr="00722494">
        <w:rPr>
          <w:rFonts w:ascii="標楷體" w:eastAsia="標楷體" w:hAnsi="標楷體" w:cs="標楷體" w:hint="eastAsia"/>
          <w:sz w:val="32"/>
          <w:szCs w:val="32"/>
        </w:rPr>
        <w:t>香港</w:t>
      </w:r>
      <w:r w:rsidRPr="00722494">
        <w:rPr>
          <w:rFonts w:ascii="Times New Roman" w:eastAsia="標楷體" w:hAnsi="Times New Roman" w:cs="標楷體" w:hint="eastAsia"/>
          <w:sz w:val="32"/>
          <w:szCs w:val="32"/>
        </w:rPr>
        <w:t>及新加坡之外幣存款占總存款比重</w:t>
      </w:r>
    </w:p>
    <w:tbl>
      <w:tblPr>
        <w:tblW w:w="8379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2992"/>
        <w:gridCol w:w="1795"/>
        <w:gridCol w:w="1796"/>
        <w:gridCol w:w="1796"/>
      </w:tblGrid>
      <w:tr w:rsidR="00462125" w:rsidRPr="000F025C">
        <w:trPr>
          <w:trHeight w:val="42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臺灣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DBU</w:t>
            </w:r>
          </w:p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(103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eastAsia="標楷體" w:hAnsi="Arial" w:cs="Times New Roman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香港</w:t>
            </w:r>
          </w:p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(103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eastAsia="標楷體" w:hAnsi="Arial" w:cs="Times New Roman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新加坡</w:t>
            </w:r>
          </w:p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(102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62125" w:rsidRPr="000F025C">
        <w:trPr>
          <w:trHeight w:val="4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外幣存款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總存款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13%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52%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45%</w:t>
            </w:r>
          </w:p>
        </w:tc>
      </w:tr>
      <w:tr w:rsidR="00462125" w:rsidRPr="000F025C">
        <w:trPr>
          <w:trHeight w:val="42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人民幣存款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總存款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3%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12%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3%</w:t>
            </w:r>
          </w:p>
        </w:tc>
      </w:tr>
      <w:tr w:rsidR="00462125" w:rsidRPr="000F025C">
        <w:trPr>
          <w:trHeight w:val="43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人民幣存款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外幣存款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24%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24%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2125" w:rsidRPr="000C7849" w:rsidRDefault="00462125" w:rsidP="00736A20">
            <w:pPr>
              <w:widowControl/>
              <w:spacing w:line="5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7%</w:t>
            </w:r>
          </w:p>
        </w:tc>
      </w:tr>
    </w:tbl>
    <w:p w:rsidR="00462125" w:rsidRPr="000C7849" w:rsidRDefault="00462125" w:rsidP="00722494">
      <w:pPr>
        <w:ind w:leftChars="236" w:left="566"/>
        <w:rPr>
          <w:rFonts w:ascii="Arial" w:eastAsia="標楷體" w:hAnsi="Arial" w:cs="Times New Roman"/>
          <w:sz w:val="28"/>
          <w:szCs w:val="28"/>
        </w:rPr>
      </w:pPr>
      <w:r w:rsidRPr="000C7849">
        <w:rPr>
          <w:rFonts w:ascii="Arial" w:eastAsia="標楷體" w:hAnsi="Arial" w:cs="標楷體" w:hint="eastAsia"/>
          <w:sz w:val="28"/>
          <w:szCs w:val="28"/>
        </w:rPr>
        <w:t>註</w:t>
      </w:r>
      <w:r w:rsidRPr="000C7849">
        <w:rPr>
          <w:rFonts w:ascii="Arial" w:eastAsia="標楷體" w:hAnsi="Arial" w:cs="Arial"/>
          <w:sz w:val="28"/>
          <w:szCs w:val="28"/>
        </w:rPr>
        <w:t>:</w:t>
      </w:r>
      <w:r w:rsidRPr="000C7849">
        <w:rPr>
          <w:rFonts w:ascii="Arial" w:eastAsia="標楷體" w:hAnsi="Arial" w:cs="標楷體" w:hint="eastAsia"/>
          <w:sz w:val="28"/>
          <w:szCs w:val="28"/>
        </w:rPr>
        <w:t>臺灣資料不包括</w:t>
      </w:r>
      <w:r w:rsidRPr="000C7849">
        <w:rPr>
          <w:rFonts w:ascii="Arial" w:eastAsia="標楷體" w:hAnsi="Arial" w:cs="Arial"/>
          <w:sz w:val="28"/>
          <w:szCs w:val="28"/>
        </w:rPr>
        <w:t>OBU</w:t>
      </w:r>
      <w:r w:rsidRPr="000C7849">
        <w:rPr>
          <w:rFonts w:ascii="Arial" w:eastAsia="標楷體" w:hAnsi="Arial" w:cs="標楷體" w:hint="eastAsia"/>
          <w:sz w:val="28"/>
          <w:szCs w:val="28"/>
        </w:rPr>
        <w:t>外幣及人民幣資料</w:t>
      </w:r>
    </w:p>
    <w:p w:rsidR="00462125" w:rsidRDefault="00462125" w:rsidP="00722494">
      <w:pPr>
        <w:pStyle w:val="ListParagraph"/>
        <w:numPr>
          <w:ilvl w:val="1"/>
          <w:numId w:val="1"/>
        </w:numPr>
        <w:spacing w:line="560" w:lineRule="exact"/>
        <w:ind w:leftChars="0" w:left="1418" w:hanging="936"/>
        <w:jc w:val="both"/>
        <w:rPr>
          <w:rFonts w:ascii="Arial" w:eastAsia="標楷體" w:hAnsi="Arial" w:cs="Times New Roman"/>
          <w:sz w:val="32"/>
          <w:szCs w:val="32"/>
        </w:rPr>
      </w:pPr>
      <w:r w:rsidRPr="000C7849">
        <w:rPr>
          <w:rFonts w:ascii="Arial" w:eastAsia="標楷體" w:hAnsi="Arial" w:cs="標楷體" w:hint="eastAsia"/>
          <w:sz w:val="32"/>
          <w:szCs w:val="32"/>
        </w:rPr>
        <w:t>另查</w:t>
      </w:r>
      <w:r w:rsidRPr="000C7849">
        <w:rPr>
          <w:rFonts w:ascii="Arial" w:eastAsia="標楷體" w:hAnsi="Arial" w:cs="Arial"/>
          <w:sz w:val="32"/>
          <w:szCs w:val="32"/>
        </w:rPr>
        <w:t>DBU</w:t>
      </w:r>
      <w:r w:rsidRPr="00722494">
        <w:rPr>
          <w:rFonts w:ascii="標楷體" w:eastAsia="標楷體" w:hAnsi="標楷體" w:cs="標楷體" w:hint="eastAsia"/>
          <w:sz w:val="32"/>
          <w:szCs w:val="32"/>
        </w:rPr>
        <w:t>外幣</w:t>
      </w:r>
      <w:r w:rsidRPr="00722494">
        <w:rPr>
          <w:rFonts w:ascii="Times New Roman" w:eastAsia="標楷體" w:hAnsi="Times New Roman" w:cs="標楷體" w:hint="eastAsia"/>
          <w:b/>
          <w:bCs/>
          <w:sz w:val="32"/>
          <w:szCs w:val="32"/>
        </w:rPr>
        <w:t>存款</w:t>
      </w:r>
      <w:r w:rsidRPr="000C7849">
        <w:rPr>
          <w:rFonts w:ascii="Arial" w:eastAsia="標楷體" w:hAnsi="Arial" w:cs="標楷體" w:hint="eastAsia"/>
          <w:sz w:val="32"/>
          <w:szCs w:val="32"/>
        </w:rPr>
        <w:t>占總存款比重，由</w:t>
      </w:r>
      <w:r w:rsidRPr="000C7849">
        <w:rPr>
          <w:rFonts w:ascii="Arial" w:eastAsia="標楷體" w:hAnsi="Arial" w:cs="Arial"/>
          <w:sz w:val="32"/>
          <w:szCs w:val="32"/>
        </w:rPr>
        <w:t>102</w:t>
      </w:r>
      <w:r w:rsidRPr="000C7849">
        <w:rPr>
          <w:rFonts w:ascii="Arial" w:eastAsia="標楷體" w:hAnsi="Arial" w:cs="標楷體" w:hint="eastAsia"/>
          <w:sz w:val="32"/>
          <w:szCs w:val="32"/>
        </w:rPr>
        <w:t>年</w:t>
      </w:r>
      <w:r w:rsidRPr="000C7849">
        <w:rPr>
          <w:rFonts w:ascii="Arial" w:eastAsia="標楷體" w:hAnsi="Arial" w:cs="Arial"/>
          <w:sz w:val="32"/>
          <w:szCs w:val="32"/>
        </w:rPr>
        <w:t>1</w:t>
      </w:r>
      <w:r w:rsidRPr="000C7849">
        <w:rPr>
          <w:rFonts w:ascii="Arial" w:eastAsia="標楷體" w:hAnsi="Arial" w:cs="標楷體" w:hint="eastAsia"/>
          <w:sz w:val="32"/>
          <w:szCs w:val="32"/>
        </w:rPr>
        <w:t>月底的</w:t>
      </w:r>
      <w:r w:rsidRPr="000C7849">
        <w:rPr>
          <w:rFonts w:ascii="Arial" w:eastAsia="標楷體" w:hAnsi="Arial" w:cs="Arial"/>
          <w:b/>
          <w:bCs/>
          <w:sz w:val="32"/>
          <w:szCs w:val="32"/>
        </w:rPr>
        <w:t>11.45%</w:t>
      </w:r>
      <w:r w:rsidRPr="000C7849">
        <w:rPr>
          <w:rFonts w:ascii="Arial" w:eastAsia="標楷體" w:hAnsi="Arial" w:cs="標楷體" w:hint="eastAsia"/>
          <w:sz w:val="32"/>
          <w:szCs w:val="32"/>
        </w:rPr>
        <w:t>，上升至</w:t>
      </w:r>
      <w:r w:rsidRPr="000C7849">
        <w:rPr>
          <w:rFonts w:ascii="Arial" w:eastAsia="標楷體" w:hAnsi="Arial" w:cs="Arial"/>
          <w:sz w:val="32"/>
          <w:szCs w:val="32"/>
        </w:rPr>
        <w:t>103</w:t>
      </w:r>
      <w:r w:rsidRPr="000C7849">
        <w:rPr>
          <w:rFonts w:ascii="Arial" w:eastAsia="標楷體" w:hAnsi="Arial" w:cs="標楷體" w:hint="eastAsia"/>
          <w:sz w:val="32"/>
          <w:szCs w:val="32"/>
        </w:rPr>
        <w:t>年</w:t>
      </w:r>
      <w:r w:rsidRPr="000C7849">
        <w:rPr>
          <w:rFonts w:ascii="Arial" w:eastAsia="標楷體" w:hAnsi="Arial" w:cs="Arial"/>
          <w:sz w:val="32"/>
          <w:szCs w:val="32"/>
        </w:rPr>
        <w:t>1</w:t>
      </w:r>
      <w:r w:rsidRPr="000C7849">
        <w:rPr>
          <w:rFonts w:ascii="Arial" w:eastAsia="標楷體" w:hAnsi="Arial" w:cs="標楷體" w:hint="eastAsia"/>
          <w:sz w:val="32"/>
          <w:szCs w:val="32"/>
        </w:rPr>
        <w:t>月底的</w:t>
      </w:r>
      <w:r w:rsidRPr="000C7849">
        <w:rPr>
          <w:rFonts w:ascii="Arial" w:eastAsia="標楷體" w:hAnsi="Arial" w:cs="Arial"/>
          <w:b/>
          <w:bCs/>
          <w:sz w:val="32"/>
          <w:szCs w:val="32"/>
        </w:rPr>
        <w:t>12.74%</w:t>
      </w:r>
      <w:r w:rsidRPr="000C7849">
        <w:rPr>
          <w:rFonts w:ascii="Arial" w:eastAsia="標楷體" w:hAnsi="Arial" w:cs="標楷體" w:hint="eastAsia"/>
          <w:sz w:val="32"/>
          <w:szCs w:val="32"/>
        </w:rPr>
        <w:t>，與多年來之比重</w:t>
      </w:r>
      <w:r w:rsidRPr="000C7849">
        <w:rPr>
          <w:rFonts w:ascii="Arial" w:eastAsia="標楷體" w:hAnsi="Arial" w:cs="Arial"/>
          <w:sz w:val="32"/>
          <w:szCs w:val="32"/>
        </w:rPr>
        <w:t>12%~13%</w:t>
      </w:r>
      <w:r w:rsidRPr="000C7849">
        <w:rPr>
          <w:rFonts w:ascii="Arial" w:eastAsia="標楷體" w:hAnsi="Arial" w:cs="標楷體" w:hint="eastAsia"/>
          <w:sz w:val="32"/>
          <w:szCs w:val="32"/>
        </w:rPr>
        <w:t>相較，其間變化不大。</w:t>
      </w:r>
    </w:p>
    <w:tbl>
      <w:tblPr>
        <w:tblW w:w="4554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559"/>
        <w:gridCol w:w="1837"/>
        <w:gridCol w:w="1646"/>
        <w:gridCol w:w="1770"/>
        <w:gridCol w:w="1552"/>
      </w:tblGrid>
      <w:tr w:rsidR="00462125" w:rsidRPr="000F025C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6A6FB6" w:rsidRDefault="00462125" w:rsidP="006A6FB6">
            <w:pPr>
              <w:widowControl/>
              <w:spacing w:before="240"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6A6FB6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臺灣人民幣存款占外幣存款</w:t>
            </w:r>
            <w:r w:rsidRPr="006A6FB6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/</w:t>
            </w:r>
            <w:r w:rsidRPr="006A6FB6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總存款比重比較表</w:t>
            </w:r>
          </w:p>
        </w:tc>
      </w:tr>
      <w:tr w:rsidR="00462125" w:rsidRPr="000F025C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0C7849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103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0C7849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0C7849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月底</w:t>
            </w:r>
          </w:p>
        </w:tc>
      </w:tr>
      <w:tr w:rsidR="00462125" w:rsidRPr="000F025C">
        <w:trPr>
          <w:trHeight w:val="20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05E7C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單位</w:t>
            </w:r>
            <w:r w:rsidRPr="00905E7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Pr="00905E7C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百萬元</w:t>
            </w:r>
          </w:p>
        </w:tc>
      </w:tr>
      <w:tr w:rsidR="00462125" w:rsidRPr="000F025C">
        <w:trPr>
          <w:trHeight w:val="20"/>
        </w:trPr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20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人民幣存款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eastAsia="標楷體" w:hAnsi="Arial" w:cs="Times New Roman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外幣存款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eastAsia="標楷體" w:hAnsi="Arial" w:cs="標楷體" w:hint="eastAsia"/>
                <w:b/>
                <w:bCs/>
                <w:color w:val="000000"/>
                <w:kern w:val="0"/>
                <w:sz w:val="28"/>
                <w:szCs w:val="28"/>
              </w:rPr>
              <w:t>人民幣</w:t>
            </w:r>
            <w:r w:rsidRPr="00905E7C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905E7C">
              <w:rPr>
                <w:rFonts w:ascii="Arial" w:eastAsia="標楷體" w:hAnsi="Arial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外幣存款</w:t>
            </w:r>
          </w:p>
        </w:tc>
      </w:tr>
      <w:tr w:rsidR="00462125" w:rsidRPr="000F025C">
        <w:trPr>
          <w:trHeight w:val="20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right"/>
              <w:rPr>
                <w:rFonts w:ascii="Arial" w:eastAsia="標楷體" w:hAnsi="Arial" w:cs="Times New Roman"/>
                <w:color w:val="000000"/>
                <w:kern w:val="0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</w:rPr>
              <w:t>幣別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905E7C">
              <w:rPr>
                <w:rFonts w:ascii="Arial" w:hAnsi="Arial" w:cs="Arial"/>
                <w:color w:val="000000"/>
                <w:kern w:val="0"/>
              </w:rPr>
              <w:t xml:space="preserve">RMB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</w:rPr>
              <w:t>折合</w:t>
            </w:r>
            <w:r w:rsidRPr="00905E7C">
              <w:rPr>
                <w:rFonts w:ascii="Arial" w:hAnsi="Arial" w:cs="Arial"/>
                <w:color w:val="000000"/>
                <w:kern w:val="0"/>
              </w:rPr>
              <w:t>NTD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</w:rPr>
              <w:t>折合</w:t>
            </w:r>
            <w:r w:rsidRPr="00905E7C">
              <w:rPr>
                <w:rFonts w:ascii="Arial" w:hAnsi="Arial" w:cs="Arial"/>
                <w:color w:val="000000"/>
                <w:kern w:val="0"/>
              </w:rPr>
              <w:t>NTD</w:t>
            </w: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62125" w:rsidRPr="000F025C">
        <w:trPr>
          <w:trHeight w:val="417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eastAsia="標楷體" w:hAnsi="Arial" w:cs="標楷體" w:hint="eastAsia"/>
                <w:color w:val="000000"/>
                <w:kern w:val="0"/>
                <w:sz w:val="28"/>
                <w:szCs w:val="28"/>
              </w:rPr>
              <w:t>機構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905E7C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905E7C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t>(2)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905E7C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t>(3)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(4)'=(2)/(3)</w:t>
            </w:r>
          </w:p>
        </w:tc>
      </w:tr>
      <w:tr w:rsidR="00462125" w:rsidRPr="000F025C">
        <w:trPr>
          <w:trHeight w:val="20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DBU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165,819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822,158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3,454,484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905E7C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:rsidR="00462125" w:rsidRPr="000F025C">
        <w:trPr>
          <w:trHeight w:val="622"/>
        </w:trPr>
        <w:tc>
          <w:tcPr>
            <w:tcW w:w="9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DBU+OBU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214,522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1,063,636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righ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4,967,423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2125" w:rsidRPr="00905E7C" w:rsidRDefault="00462125" w:rsidP="004C251D">
            <w:pPr>
              <w:widowControl/>
              <w:spacing w:line="400" w:lineRule="exact"/>
              <w:ind w:rightChars="70" w:right="168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905E7C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21%</w:t>
            </w:r>
          </w:p>
        </w:tc>
      </w:tr>
    </w:tbl>
    <w:p w:rsidR="00462125" w:rsidRPr="00C94C69" w:rsidRDefault="00462125" w:rsidP="000C7546">
      <w:pPr>
        <w:pStyle w:val="ListParagraph"/>
        <w:numPr>
          <w:ilvl w:val="1"/>
          <w:numId w:val="1"/>
        </w:numPr>
        <w:spacing w:beforeLines="50" w:line="560" w:lineRule="exact"/>
        <w:ind w:leftChars="0" w:left="1418" w:hanging="936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臺灣人民幣業務於開放之初，即全面開放個人及企業相關各項業務及商品，與香港自個人業務開始，再發展企業之跨境貿易業務之情形有所不同</w:t>
      </w:r>
      <w:r>
        <w:rPr>
          <w:rFonts w:ascii="新細明體" w:hAnsi="新細明體" w:cs="新細明體" w:hint="eastAsia"/>
          <w:sz w:val="32"/>
          <w:szCs w:val="32"/>
        </w:rPr>
        <w:t>。</w:t>
      </w:r>
      <w:r>
        <w:rPr>
          <w:rFonts w:ascii="標楷體" w:eastAsia="標楷體" w:hAnsi="標楷體" w:cs="標楷體" w:hint="eastAsia"/>
          <w:sz w:val="32"/>
          <w:szCs w:val="32"/>
        </w:rPr>
        <w:t>經查</w:t>
      </w:r>
      <w:r>
        <w:rPr>
          <w:rFonts w:ascii="標楷體" w:eastAsia="標楷體" w:hAnsi="標楷體" w:cs="標楷體"/>
          <w:sz w:val="32"/>
          <w:szCs w:val="32"/>
        </w:rPr>
        <w:t>2010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7</w:t>
      </w:r>
      <w:r>
        <w:rPr>
          <w:rFonts w:ascii="標楷體" w:eastAsia="標楷體" w:hAnsi="標楷體" w:cs="標楷體" w:hint="eastAsia"/>
          <w:sz w:val="32"/>
          <w:szCs w:val="32"/>
        </w:rPr>
        <w:t>月香港因大陸之</w:t>
      </w:r>
      <w:r w:rsidRPr="00C94C69">
        <w:rPr>
          <w:rFonts w:ascii="標楷體" w:eastAsia="標楷體" w:hAnsi="標楷體" w:cs="標楷體" w:hint="eastAsia"/>
          <w:sz w:val="32"/>
          <w:szCs w:val="32"/>
        </w:rPr>
        <w:t>跨境貿易人民幣結算擴大試點</w:t>
      </w:r>
      <w:r>
        <w:rPr>
          <w:rFonts w:ascii="標楷體" w:eastAsia="標楷體" w:hAnsi="標楷體" w:cs="標楷體" w:hint="eastAsia"/>
          <w:sz w:val="32"/>
          <w:szCs w:val="32"/>
        </w:rPr>
        <w:t>，其人民幣存款亦大幅增加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462125" w:rsidRDefault="00462125" w:rsidP="00C94C69">
      <w:pPr>
        <w:pStyle w:val="ListParagraph"/>
        <w:ind w:leftChars="0" w:left="1418"/>
        <w:jc w:val="both"/>
        <w:rPr>
          <w:rFonts w:ascii="標楷體" w:eastAsia="標楷體" w:hAnsi="標楷體" w:cs="Times New Roman"/>
          <w:sz w:val="32"/>
          <w:szCs w:val="32"/>
        </w:rPr>
      </w:pPr>
      <w:r w:rsidRPr="000F025C">
        <w:rPr>
          <w:rFonts w:ascii="標楷體" w:eastAsia="標楷體" w:hAnsi="標楷體" w:cs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377.25pt;height:228pt;visibility:visible">
            <v:imagedata r:id="rId7" o:title=""/>
          </v:shape>
        </w:pict>
      </w:r>
    </w:p>
    <w:p w:rsidR="00462125" w:rsidRDefault="00462125" w:rsidP="00722494">
      <w:pPr>
        <w:pStyle w:val="ListParagraph"/>
        <w:numPr>
          <w:ilvl w:val="1"/>
          <w:numId w:val="1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存戶結構：</w:t>
      </w:r>
      <w:r>
        <w:rPr>
          <w:rFonts w:ascii="標楷體" w:eastAsia="標楷體" w:hAnsi="標楷體" w:cs="Times New Roman"/>
          <w:sz w:val="32"/>
          <w:szCs w:val="32"/>
        </w:rPr>
        <w:br/>
      </w:r>
      <w:r>
        <w:rPr>
          <w:rFonts w:ascii="標楷體" w:eastAsia="標楷體" w:hAnsi="標楷體" w:cs="標楷體" w:hint="eastAsia"/>
          <w:sz w:val="32"/>
          <w:szCs w:val="32"/>
        </w:rPr>
        <w:t>經查</w:t>
      </w:r>
      <w:r w:rsidRPr="00C17A54">
        <w:rPr>
          <w:rFonts w:ascii="標楷體" w:eastAsia="標楷體" w:hAnsi="標楷體" w:cs="標楷體"/>
          <w:b/>
          <w:bCs/>
          <w:sz w:val="32"/>
          <w:szCs w:val="32"/>
        </w:rPr>
        <w:t>DBU</w:t>
      </w:r>
      <w:r w:rsidRPr="00C17A54">
        <w:rPr>
          <w:rFonts w:ascii="標楷體" w:eastAsia="標楷體" w:hAnsi="標楷體" w:cs="標楷體" w:hint="eastAsia"/>
          <w:b/>
          <w:bCs/>
          <w:sz w:val="32"/>
          <w:szCs w:val="32"/>
        </w:rPr>
        <w:t>人民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幣</w:t>
      </w:r>
      <w:r w:rsidRPr="00C17A54">
        <w:rPr>
          <w:rFonts w:ascii="標楷體" w:eastAsia="標楷體" w:hAnsi="標楷體" w:cs="標楷體" w:hint="eastAsia"/>
          <w:b/>
          <w:bCs/>
          <w:sz w:val="32"/>
          <w:szCs w:val="32"/>
        </w:rPr>
        <w:t>存款戶之企業客戶約佔六成，個人客戶約占四成，而</w:t>
      </w:r>
      <w:r w:rsidRPr="00C17A54">
        <w:rPr>
          <w:rFonts w:ascii="標楷體" w:eastAsia="標楷體" w:hAnsi="標楷體" w:cs="標楷體"/>
          <w:b/>
          <w:bCs/>
          <w:sz w:val="32"/>
          <w:szCs w:val="32"/>
        </w:rPr>
        <w:t>OBU</w:t>
      </w:r>
      <w:r w:rsidRPr="00C17A54">
        <w:rPr>
          <w:rFonts w:ascii="標楷體" w:eastAsia="標楷體" w:hAnsi="標楷體" w:cs="標楷體" w:hint="eastAsia"/>
          <w:b/>
          <w:bCs/>
          <w:sz w:val="32"/>
          <w:szCs w:val="32"/>
        </w:rPr>
        <w:t>人民幣之企業客戶比率更高</w:t>
      </w:r>
      <w:r>
        <w:rPr>
          <w:rFonts w:ascii="標楷體" w:eastAsia="標楷體" w:hAnsi="標楷體" w:cs="標楷體" w:hint="eastAsia"/>
          <w:sz w:val="32"/>
          <w:szCs w:val="32"/>
        </w:rPr>
        <w:t>，應係基於貿易結算需求等因素而增加人民幣存款配置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462125" w:rsidRPr="00DC2E2E" w:rsidRDefault="00462125" w:rsidP="000C7546">
      <w:pPr>
        <w:pStyle w:val="ListParagraph"/>
        <w:numPr>
          <w:ilvl w:val="0"/>
          <w:numId w:val="1"/>
        </w:numPr>
        <w:spacing w:beforeLines="50" w:line="560" w:lineRule="exact"/>
        <w:ind w:leftChars="0" w:left="709" w:hanging="709"/>
        <w:jc w:val="both"/>
        <w:rPr>
          <w:rFonts w:ascii="標楷體" w:eastAsia="標楷體" w:hAnsi="標楷體" w:cs="Times New Roman"/>
          <w:sz w:val="32"/>
          <w:szCs w:val="32"/>
        </w:rPr>
      </w:pPr>
      <w:r w:rsidRPr="00BD050F">
        <w:rPr>
          <w:rFonts w:ascii="標楷體" w:eastAsia="標楷體" w:hAnsi="標楷體" w:cs="標楷體" w:hint="eastAsia"/>
          <w:b/>
          <w:bCs/>
          <w:sz w:val="32"/>
          <w:szCs w:val="32"/>
        </w:rPr>
        <w:t>兩岸</w:t>
      </w:r>
      <w:r w:rsidRPr="00BD050F">
        <w:rPr>
          <w:rFonts w:ascii="標楷體" w:eastAsia="標楷體" w:hAnsi="標楷體" w:cs="標楷體" w:hint="eastAsia"/>
          <w:b/>
          <w:bCs/>
          <w:noProof/>
          <w:sz w:val="32"/>
          <w:szCs w:val="32"/>
        </w:rPr>
        <w:t>人民幣</w:t>
      </w:r>
      <w:r w:rsidRPr="00BD050F">
        <w:rPr>
          <w:rFonts w:ascii="標楷體" w:eastAsia="標楷體" w:hAnsi="標楷體" w:cs="標楷體" w:hint="eastAsia"/>
          <w:b/>
          <w:bCs/>
          <w:sz w:val="32"/>
          <w:szCs w:val="32"/>
        </w:rPr>
        <w:t>跨境貿易匯款穩定成長：</w:t>
      </w:r>
    </w:p>
    <w:p w:rsidR="00462125" w:rsidRPr="00DE4A9D" w:rsidRDefault="00462125" w:rsidP="00DC2E2E">
      <w:pPr>
        <w:pStyle w:val="ListParagraph"/>
        <w:numPr>
          <w:ilvl w:val="1"/>
          <w:numId w:val="1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以</w:t>
      </w:r>
      <w:r w:rsidRPr="00DE4A9D">
        <w:rPr>
          <w:rFonts w:ascii="標楷體" w:eastAsia="標楷體" w:hAnsi="標楷體" w:cs="標楷體"/>
          <w:sz w:val="32"/>
          <w:szCs w:val="32"/>
        </w:rPr>
        <w:t>103</w:t>
      </w:r>
      <w:r w:rsidRPr="00DE4A9D">
        <w:rPr>
          <w:rFonts w:ascii="標楷體" w:eastAsia="標楷體" w:hAnsi="標楷體" w:cs="標楷體" w:hint="eastAsia"/>
          <w:sz w:val="32"/>
          <w:szCs w:val="32"/>
        </w:rPr>
        <w:t>年</w:t>
      </w:r>
      <w:r w:rsidRPr="00DE4A9D">
        <w:rPr>
          <w:rFonts w:ascii="標楷體" w:eastAsia="標楷體" w:hAnsi="標楷體" w:cs="標楷體"/>
          <w:sz w:val="32"/>
          <w:szCs w:val="32"/>
        </w:rPr>
        <w:t>2</w:t>
      </w:r>
      <w:r w:rsidRPr="00DE4A9D">
        <w:rPr>
          <w:rFonts w:ascii="標楷體" w:eastAsia="標楷體" w:hAnsi="標楷體" w:cs="標楷體" w:hint="eastAsia"/>
          <w:sz w:val="32"/>
          <w:szCs w:val="32"/>
        </w:rPr>
        <w:t>月份為例，其中</w:t>
      </w:r>
      <w:r w:rsidRPr="00DE4A9D">
        <w:rPr>
          <w:rFonts w:ascii="標楷體" w:eastAsia="標楷體" w:hAnsi="標楷體" w:cs="標楷體" w:hint="eastAsia"/>
          <w:noProof/>
          <w:sz w:val="32"/>
          <w:szCs w:val="32"/>
        </w:rPr>
        <w:t>屬</w:t>
      </w:r>
      <w:r w:rsidRPr="00653F6A">
        <w:rPr>
          <w:rFonts w:ascii="標楷體" w:eastAsia="標楷體" w:hAnsi="標楷體" w:cs="標楷體" w:hint="eastAsia"/>
          <w:b/>
          <w:bCs/>
          <w:noProof/>
          <w:sz w:val="32"/>
          <w:szCs w:val="32"/>
          <w:u w:val="single"/>
        </w:rPr>
        <w:t>兩岸</w:t>
      </w:r>
      <w:r w:rsidRPr="00BD050F">
        <w:rPr>
          <w:rFonts w:ascii="標楷體" w:eastAsia="標楷體" w:hAnsi="標楷體" w:cs="標楷體" w:hint="eastAsia"/>
          <w:b/>
          <w:bCs/>
          <w:noProof/>
          <w:sz w:val="32"/>
          <w:szCs w:val="32"/>
          <w:u w:val="single"/>
        </w:rPr>
        <w:t>人民幣</w:t>
      </w:r>
      <w:r w:rsidRPr="00653F6A">
        <w:rPr>
          <w:rFonts w:ascii="標楷體" w:eastAsia="標楷體" w:hAnsi="標楷體" w:cs="標楷體" w:hint="eastAsia"/>
          <w:b/>
          <w:bCs/>
          <w:noProof/>
          <w:sz w:val="32"/>
          <w:szCs w:val="32"/>
          <w:u w:val="single"/>
        </w:rPr>
        <w:t>跨境貿易者為</w:t>
      </w:r>
      <w:r w:rsidRPr="00653F6A">
        <w:rPr>
          <w:rFonts w:ascii="標楷體" w:eastAsia="標楷體" w:hAnsi="標楷體" w:cs="標楷體"/>
          <w:b/>
          <w:bCs/>
          <w:noProof/>
          <w:sz w:val="32"/>
          <w:szCs w:val="32"/>
          <w:u w:val="single"/>
        </w:rPr>
        <w:t>235.19</w:t>
      </w:r>
      <w:r w:rsidRPr="00653F6A">
        <w:rPr>
          <w:rFonts w:ascii="標楷體" w:eastAsia="標楷體" w:hAnsi="標楷體" w:cs="標楷體" w:hint="eastAsia"/>
          <w:b/>
          <w:bCs/>
          <w:noProof/>
          <w:sz w:val="32"/>
          <w:szCs w:val="32"/>
          <w:u w:val="single"/>
        </w:rPr>
        <w:t>億人民幣</w:t>
      </w:r>
      <w:r w:rsidRPr="00DE4A9D">
        <w:rPr>
          <w:rFonts w:ascii="標楷體" w:eastAsia="標楷體" w:hAnsi="標楷體" w:cs="標楷體" w:hint="eastAsia"/>
          <w:noProof/>
          <w:sz w:val="32"/>
          <w:szCs w:val="32"/>
        </w:rPr>
        <w:t>，約占人民幣匯款</w:t>
      </w:r>
      <w:r w:rsidRPr="00DE4A9D">
        <w:rPr>
          <w:rFonts w:ascii="標楷體" w:eastAsia="標楷體" w:hAnsi="標楷體" w:cs="標楷體"/>
          <w:noProof/>
          <w:sz w:val="32"/>
          <w:szCs w:val="32"/>
        </w:rPr>
        <w:t>(</w:t>
      </w:r>
      <w:r w:rsidRPr="00DE4A9D">
        <w:rPr>
          <w:rFonts w:ascii="標楷體" w:eastAsia="標楷體" w:hAnsi="標楷體" w:cs="標楷體" w:hint="eastAsia"/>
          <w:noProof/>
          <w:sz w:val="32"/>
          <w:szCs w:val="32"/>
        </w:rPr>
        <w:t>含臺灣、兩岸及其他地區</w:t>
      </w:r>
      <w:r w:rsidRPr="00DE4A9D">
        <w:rPr>
          <w:rFonts w:ascii="標楷體" w:eastAsia="標楷體" w:hAnsi="標楷體" w:cs="標楷體"/>
          <w:noProof/>
          <w:sz w:val="32"/>
          <w:szCs w:val="32"/>
        </w:rPr>
        <w:t>)</w:t>
      </w:r>
      <w:r w:rsidRPr="00DE4A9D">
        <w:rPr>
          <w:rFonts w:ascii="標楷體" w:eastAsia="標楷體" w:hAnsi="標楷體" w:cs="標楷體" w:hint="eastAsia"/>
          <w:noProof/>
          <w:sz w:val="32"/>
          <w:szCs w:val="32"/>
        </w:rPr>
        <w:t>之</w:t>
      </w:r>
      <w:r w:rsidRPr="00653F6A">
        <w:rPr>
          <w:rFonts w:ascii="標楷體" w:eastAsia="標楷體" w:hAnsi="標楷體" w:cs="標楷體"/>
          <w:b/>
          <w:bCs/>
          <w:noProof/>
          <w:sz w:val="32"/>
          <w:szCs w:val="32"/>
        </w:rPr>
        <w:t>33%</w:t>
      </w:r>
      <w:r w:rsidRPr="00DE4A9D">
        <w:rPr>
          <w:rFonts w:ascii="新細明體" w:hAnsi="新細明體" w:cs="新細明體" w:hint="eastAsia"/>
          <w:noProof/>
          <w:sz w:val="32"/>
          <w:szCs w:val="32"/>
        </w:rPr>
        <w:t>。</w:t>
      </w:r>
    </w:p>
    <w:p w:rsidR="00462125" w:rsidRPr="00DC2E2E" w:rsidRDefault="00462125" w:rsidP="00DC2E2E">
      <w:pPr>
        <w:pStyle w:val="ListParagraph"/>
        <w:numPr>
          <w:ilvl w:val="1"/>
          <w:numId w:val="1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 w:rsidRPr="00DC2E2E">
        <w:rPr>
          <w:rFonts w:ascii="標楷體" w:eastAsia="標楷體" w:hAnsi="標楷體" w:cs="標楷體" w:hint="eastAsia"/>
          <w:sz w:val="32"/>
          <w:szCs w:val="32"/>
        </w:rPr>
        <w:t>台灣地區以人民幣貿易結算</w:t>
      </w:r>
      <w:r>
        <w:rPr>
          <w:rFonts w:ascii="標楷體" w:eastAsia="標楷體" w:hAnsi="標楷體" w:cs="標楷體" w:hint="eastAsia"/>
          <w:sz w:val="32"/>
          <w:szCs w:val="32"/>
        </w:rPr>
        <w:t>之</w:t>
      </w:r>
      <w:r w:rsidRPr="00DC2E2E">
        <w:rPr>
          <w:rFonts w:ascii="標楷體" w:eastAsia="標楷體" w:hAnsi="標楷體" w:cs="標楷體" w:hint="eastAsia"/>
          <w:sz w:val="32"/>
          <w:szCs w:val="32"/>
        </w:rPr>
        <w:t>比重仍低，其可能原因：</w:t>
      </w:r>
    </w:p>
    <w:p w:rsidR="00462125" w:rsidRDefault="00462125" w:rsidP="00DC2E2E">
      <w:pPr>
        <w:pStyle w:val="ListParagraph"/>
        <w:numPr>
          <w:ilvl w:val="2"/>
          <w:numId w:val="6"/>
        </w:numPr>
        <w:spacing w:line="56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DC2E2E">
        <w:rPr>
          <w:rFonts w:ascii="標楷體" w:eastAsia="標楷體" w:hAnsi="標楷體" w:cs="標楷體" w:hint="eastAsia"/>
          <w:sz w:val="32"/>
          <w:szCs w:val="32"/>
        </w:rPr>
        <w:t>廠商習慣美元計價的商業模式。</w:t>
      </w:r>
    </w:p>
    <w:p w:rsidR="00462125" w:rsidRDefault="00462125" w:rsidP="00DC2E2E">
      <w:pPr>
        <w:pStyle w:val="ListParagraph"/>
        <w:numPr>
          <w:ilvl w:val="2"/>
          <w:numId w:val="6"/>
        </w:numPr>
        <w:spacing w:line="56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臺商</w:t>
      </w:r>
      <w:r w:rsidRPr="00DC2E2E">
        <w:rPr>
          <w:rFonts w:ascii="標楷體" w:eastAsia="標楷體" w:hAnsi="標楷體" w:cs="標楷體" w:hint="eastAsia"/>
          <w:sz w:val="32"/>
          <w:szCs w:val="32"/>
        </w:rPr>
        <w:t>以香港為人民幣資金調度中心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 w:rsidRPr="00DC2E2E">
        <w:rPr>
          <w:rFonts w:ascii="標楷體" w:eastAsia="標楷體" w:hAnsi="標楷體" w:cs="標楷體" w:hint="eastAsia"/>
          <w:sz w:val="32"/>
          <w:szCs w:val="32"/>
        </w:rPr>
        <w:t>及人民幣貿易結算多在香港。</w:t>
      </w:r>
    </w:p>
    <w:p w:rsidR="00462125" w:rsidRPr="00DC2E2E" w:rsidRDefault="00462125" w:rsidP="00DC2E2E">
      <w:pPr>
        <w:pStyle w:val="ListParagraph"/>
        <w:numPr>
          <w:ilvl w:val="1"/>
          <w:numId w:val="1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 w:rsidRPr="00DC2E2E">
        <w:rPr>
          <w:rFonts w:ascii="標楷體" w:eastAsia="標楷體" w:hAnsi="標楷體" w:cs="標楷體" w:hint="eastAsia"/>
          <w:sz w:val="32"/>
          <w:szCs w:val="32"/>
        </w:rPr>
        <w:t>本行已多次</w:t>
      </w:r>
      <w:r>
        <w:rPr>
          <w:rFonts w:ascii="標楷體" w:eastAsia="標楷體" w:hAnsi="標楷體" w:cs="標楷體" w:hint="eastAsia"/>
          <w:sz w:val="32"/>
          <w:szCs w:val="32"/>
        </w:rPr>
        <w:t>促</w:t>
      </w:r>
      <w:r w:rsidRPr="00DC2E2E">
        <w:rPr>
          <w:rFonts w:ascii="標楷體" w:eastAsia="標楷體" w:hAnsi="標楷體" w:cs="標楷體" w:hint="eastAsia"/>
          <w:sz w:val="32"/>
          <w:szCs w:val="32"/>
        </w:rPr>
        <w:t>請銀行推廣跨境貿易以人民幣結算，</w:t>
      </w:r>
      <w:r>
        <w:rPr>
          <w:rFonts w:ascii="標楷體" w:eastAsia="標楷體" w:hAnsi="標楷體" w:cs="標楷體" w:hint="eastAsia"/>
          <w:sz w:val="32"/>
          <w:szCs w:val="32"/>
        </w:rPr>
        <w:t>各銀行</w:t>
      </w:r>
      <w:r w:rsidRPr="00DC2E2E">
        <w:rPr>
          <w:rFonts w:ascii="標楷體" w:eastAsia="標楷體" w:hAnsi="標楷體" w:cs="標楷體" w:hint="eastAsia"/>
          <w:sz w:val="32"/>
          <w:szCs w:val="32"/>
        </w:rPr>
        <w:t>不僅透過對國內廠商提供業務說明，</w:t>
      </w:r>
      <w:r>
        <w:rPr>
          <w:rFonts w:ascii="標楷體" w:eastAsia="標楷體" w:hAnsi="標楷體" w:cs="標楷體" w:hint="eastAsia"/>
          <w:sz w:val="32"/>
          <w:szCs w:val="32"/>
        </w:rPr>
        <w:t>更</w:t>
      </w:r>
      <w:r w:rsidRPr="00DC2E2E">
        <w:rPr>
          <w:rFonts w:ascii="標楷體" w:eastAsia="標楷體" w:hAnsi="標楷體" w:cs="標楷體" w:hint="eastAsia"/>
          <w:sz w:val="32"/>
          <w:szCs w:val="32"/>
        </w:rPr>
        <w:t>有銀行</w:t>
      </w:r>
      <w:r>
        <w:rPr>
          <w:rFonts w:ascii="標楷體" w:eastAsia="標楷體" w:hAnsi="標楷體" w:cs="標楷體" w:hint="eastAsia"/>
          <w:sz w:val="32"/>
          <w:szCs w:val="32"/>
        </w:rPr>
        <w:t>前往</w:t>
      </w:r>
      <w:r w:rsidRPr="00DC2E2E">
        <w:rPr>
          <w:rFonts w:ascii="標楷體" w:eastAsia="標楷體" w:hAnsi="標楷體" w:cs="標楷體" w:hint="eastAsia"/>
          <w:sz w:val="32"/>
          <w:szCs w:val="32"/>
        </w:rPr>
        <w:t>大陸</w:t>
      </w:r>
      <w:r>
        <w:rPr>
          <w:rFonts w:ascii="標楷體" w:eastAsia="標楷體" w:hAnsi="標楷體" w:cs="標楷體" w:hint="eastAsia"/>
          <w:sz w:val="32"/>
          <w:szCs w:val="32"/>
        </w:rPr>
        <w:t>向臺商</w:t>
      </w:r>
      <w:r w:rsidRPr="00DC2E2E">
        <w:rPr>
          <w:rFonts w:ascii="標楷體" w:eastAsia="標楷體" w:hAnsi="標楷體" w:cs="標楷體" w:hint="eastAsia"/>
          <w:sz w:val="32"/>
          <w:szCs w:val="32"/>
        </w:rPr>
        <w:t>宣導，兩岸貿易採人民幣結算有助於</w:t>
      </w:r>
      <w:r>
        <w:rPr>
          <w:rFonts w:ascii="標楷體" w:eastAsia="標楷體" w:hAnsi="標楷體" w:cs="標楷體" w:hint="eastAsia"/>
          <w:sz w:val="32"/>
          <w:szCs w:val="32"/>
        </w:rPr>
        <w:t>臺商</w:t>
      </w:r>
      <w:r w:rsidRPr="00DC2E2E">
        <w:rPr>
          <w:rFonts w:ascii="標楷體" w:eastAsia="標楷體" w:hAnsi="標楷體" w:cs="標楷體" w:hint="eastAsia"/>
          <w:sz w:val="32"/>
          <w:szCs w:val="32"/>
        </w:rPr>
        <w:t>資金調度</w:t>
      </w:r>
      <w:r>
        <w:rPr>
          <w:rFonts w:ascii="標楷體" w:eastAsia="標楷體" w:hAnsi="標楷體" w:cs="標楷體" w:hint="eastAsia"/>
          <w:sz w:val="32"/>
          <w:szCs w:val="32"/>
        </w:rPr>
        <w:t>之</w:t>
      </w:r>
      <w:r w:rsidRPr="00DC2E2E">
        <w:rPr>
          <w:rFonts w:ascii="標楷體" w:eastAsia="標楷體" w:hAnsi="標楷體" w:cs="標楷體" w:hint="eastAsia"/>
          <w:sz w:val="32"/>
          <w:szCs w:val="32"/>
        </w:rPr>
        <w:t>靈活性。</w:t>
      </w:r>
    </w:p>
    <w:p w:rsidR="00462125" w:rsidRPr="00DC2E2E" w:rsidRDefault="00462125" w:rsidP="00DC2E2E">
      <w:pPr>
        <w:pStyle w:val="ListParagraph"/>
        <w:numPr>
          <w:ilvl w:val="1"/>
          <w:numId w:val="1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本行亦鼓勵</w:t>
      </w:r>
      <w:r w:rsidRPr="00DC2E2E">
        <w:rPr>
          <w:rFonts w:ascii="標楷體" w:eastAsia="標楷體" w:hAnsi="標楷體" w:cs="標楷體" w:hint="eastAsia"/>
          <w:sz w:val="32"/>
          <w:szCs w:val="32"/>
        </w:rPr>
        <w:t>國內金融機構應積極研議如何使國內人民幣商品多樣化，使</w:t>
      </w:r>
      <w:r>
        <w:rPr>
          <w:rFonts w:ascii="標楷體" w:eastAsia="標楷體" w:hAnsi="標楷體" w:cs="標楷體" w:hint="eastAsia"/>
          <w:sz w:val="32"/>
          <w:szCs w:val="32"/>
        </w:rPr>
        <w:t>臺商人民幣</w:t>
      </w:r>
      <w:r w:rsidRPr="00DC2E2E">
        <w:rPr>
          <w:rFonts w:ascii="標楷體" w:eastAsia="標楷體" w:hAnsi="標楷體" w:cs="標楷體" w:hint="eastAsia"/>
          <w:sz w:val="32"/>
          <w:szCs w:val="32"/>
        </w:rPr>
        <w:t>資金能有適切之投資管道，逐步將</w:t>
      </w:r>
      <w:r>
        <w:rPr>
          <w:rFonts w:ascii="標楷體" w:eastAsia="標楷體" w:hAnsi="標楷體" w:cs="標楷體" w:hint="eastAsia"/>
          <w:sz w:val="32"/>
          <w:szCs w:val="32"/>
        </w:rPr>
        <w:t>臺商</w:t>
      </w:r>
      <w:r w:rsidRPr="00DC2E2E">
        <w:rPr>
          <w:rFonts w:ascii="標楷體" w:eastAsia="標楷體" w:hAnsi="標楷體" w:cs="標楷體" w:hint="eastAsia"/>
          <w:sz w:val="32"/>
          <w:szCs w:val="32"/>
        </w:rPr>
        <w:t>的人民幣貿易結算與人民幣資金調度移回台灣</w:t>
      </w:r>
      <w:r>
        <w:rPr>
          <w:rFonts w:ascii="新細明體" w:hAnsi="新細明體" w:cs="新細明體" w:hint="eastAsia"/>
          <w:sz w:val="32"/>
          <w:szCs w:val="32"/>
        </w:rPr>
        <w:t>。</w:t>
      </w:r>
      <w:r w:rsidRPr="00DC2E2E">
        <w:rPr>
          <w:rFonts w:ascii="標楷體" w:eastAsia="標楷體" w:hAnsi="標楷體" w:cs="標楷體" w:hint="eastAsia"/>
          <w:sz w:val="32"/>
          <w:szCs w:val="32"/>
        </w:rPr>
        <w:t>不僅為台灣離岸人民幣市場提供穩定與大量</w:t>
      </w:r>
      <w:r>
        <w:rPr>
          <w:rFonts w:ascii="標楷體" w:eastAsia="標楷體" w:hAnsi="標楷體" w:cs="標楷體" w:hint="eastAsia"/>
          <w:sz w:val="32"/>
          <w:szCs w:val="32"/>
        </w:rPr>
        <w:t>之</w:t>
      </w:r>
      <w:r w:rsidRPr="00DC2E2E">
        <w:rPr>
          <w:rFonts w:ascii="標楷體" w:eastAsia="標楷體" w:hAnsi="標楷體" w:cs="標楷體" w:hint="eastAsia"/>
          <w:sz w:val="32"/>
          <w:szCs w:val="32"/>
        </w:rPr>
        <w:t>人民幣資金來源，國內金融機構</w:t>
      </w:r>
      <w:r>
        <w:rPr>
          <w:rFonts w:ascii="標楷體" w:eastAsia="標楷體" w:hAnsi="標楷體" w:cs="標楷體" w:hint="eastAsia"/>
          <w:sz w:val="32"/>
          <w:szCs w:val="32"/>
        </w:rPr>
        <w:t>亦</w:t>
      </w:r>
      <w:r w:rsidRPr="00DC2E2E">
        <w:rPr>
          <w:rFonts w:ascii="標楷體" w:eastAsia="標楷體" w:hAnsi="標楷體" w:cs="標楷體" w:hint="eastAsia"/>
          <w:sz w:val="32"/>
          <w:szCs w:val="32"/>
        </w:rPr>
        <w:t>因此衍生更多相關</w:t>
      </w:r>
      <w:r>
        <w:rPr>
          <w:rFonts w:ascii="標楷體" w:eastAsia="標楷體" w:hAnsi="標楷體" w:cs="標楷體" w:hint="eastAsia"/>
          <w:sz w:val="32"/>
          <w:szCs w:val="32"/>
        </w:rPr>
        <w:t>之</w:t>
      </w:r>
      <w:r w:rsidRPr="00DC2E2E">
        <w:rPr>
          <w:rFonts w:ascii="標楷體" w:eastAsia="標楷體" w:hAnsi="標楷體" w:cs="標楷體" w:hint="eastAsia"/>
          <w:sz w:val="32"/>
          <w:szCs w:val="32"/>
        </w:rPr>
        <w:t>人民幣業務，例如，進、出口融資、信用狀、商業貸款、匯率避險交易及資金管理等。</w:t>
      </w:r>
    </w:p>
    <w:p w:rsidR="00462125" w:rsidRPr="00DC2E2E" w:rsidRDefault="00462125" w:rsidP="000C7546">
      <w:pPr>
        <w:pStyle w:val="ListParagraph"/>
        <w:numPr>
          <w:ilvl w:val="0"/>
          <w:numId w:val="1"/>
        </w:numPr>
        <w:spacing w:beforeLines="50" w:line="560" w:lineRule="exact"/>
        <w:ind w:leftChars="0" w:left="709" w:hanging="70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C2E2E">
        <w:rPr>
          <w:rFonts w:ascii="標楷體" w:eastAsia="標楷體" w:hAnsi="標楷體" w:cs="標楷體" w:hint="eastAsia"/>
          <w:b/>
          <w:bCs/>
          <w:sz w:val="32"/>
          <w:szCs w:val="32"/>
        </w:rPr>
        <w:t>人民幣理財商品</w:t>
      </w:r>
    </w:p>
    <w:p w:rsidR="00462125" w:rsidRDefault="00462125" w:rsidP="00722494">
      <w:pPr>
        <w:pStyle w:val="ListParagraph"/>
        <w:spacing w:line="560" w:lineRule="exact"/>
        <w:ind w:leftChars="0" w:left="709"/>
        <w:jc w:val="both"/>
        <w:rPr>
          <w:rFonts w:ascii="新細明體" w:cs="Times New Roman"/>
          <w:sz w:val="32"/>
          <w:szCs w:val="32"/>
        </w:rPr>
      </w:pPr>
      <w:r w:rsidRPr="00722494">
        <w:rPr>
          <w:rFonts w:ascii="標楷體" w:eastAsia="標楷體" w:hAnsi="標楷體" w:cs="標楷體" w:hint="eastAsia"/>
          <w:sz w:val="32"/>
          <w:szCs w:val="32"/>
        </w:rPr>
        <w:t>目前</w:t>
      </w:r>
      <w:r w:rsidRPr="00722494">
        <w:rPr>
          <w:rFonts w:ascii="標楷體" w:eastAsia="標楷體" w:hAnsi="標楷體" w:cs="標楷體"/>
          <w:sz w:val="32"/>
          <w:szCs w:val="32"/>
        </w:rPr>
        <w:t>DBU</w:t>
      </w:r>
      <w:r w:rsidRPr="00722494">
        <w:rPr>
          <w:rFonts w:ascii="標楷體" w:eastAsia="標楷體" w:hAnsi="標楷體" w:cs="標楷體" w:hint="eastAsia"/>
          <w:sz w:val="32"/>
          <w:szCs w:val="32"/>
        </w:rPr>
        <w:t>已可辦理人民幣存放款、匯款、跨境貿易人民幣結算、兌換、衍生性金融商品（含結構型商品）等相關業務。</w:t>
      </w:r>
      <w:r>
        <w:rPr>
          <w:rFonts w:ascii="標楷體" w:eastAsia="標楷體" w:hAnsi="標楷體" w:cs="標楷體" w:hint="eastAsia"/>
          <w:sz w:val="32"/>
          <w:szCs w:val="32"/>
        </w:rPr>
        <w:t>其他金融機構</w:t>
      </w:r>
      <w:r w:rsidRPr="000B61CF">
        <w:rPr>
          <w:rFonts w:ascii="標楷體" w:eastAsia="標楷體" w:hAnsi="標楷體" w:cs="標楷體" w:hint="eastAsia"/>
          <w:sz w:val="32"/>
          <w:szCs w:val="32"/>
        </w:rPr>
        <w:t>亦</w:t>
      </w:r>
      <w:r>
        <w:rPr>
          <w:rFonts w:ascii="標楷體" w:eastAsia="標楷體" w:hAnsi="標楷體" w:cs="標楷體" w:hint="eastAsia"/>
          <w:sz w:val="32"/>
          <w:szCs w:val="32"/>
        </w:rPr>
        <w:t>得</w:t>
      </w:r>
      <w:r w:rsidRPr="000B61CF">
        <w:rPr>
          <w:rFonts w:ascii="標楷體" w:eastAsia="標楷體" w:hAnsi="標楷體" w:cs="標楷體" w:hint="eastAsia"/>
          <w:sz w:val="32"/>
          <w:szCs w:val="32"/>
        </w:rPr>
        <w:t>辦理人民幣計價相關業務</w:t>
      </w:r>
      <w:r>
        <w:rPr>
          <w:rFonts w:ascii="標楷體" w:eastAsia="標楷體" w:hAnsi="標楷體" w:cs="標楷體" w:hint="eastAsia"/>
          <w:sz w:val="32"/>
          <w:szCs w:val="32"/>
        </w:rPr>
        <w:t>，如人民幣計價基金、人民幣保單等</w:t>
      </w:r>
      <w:r w:rsidRPr="000B61CF">
        <w:rPr>
          <w:rFonts w:ascii="標楷體" w:eastAsia="標楷體" w:hAnsi="標楷體" w:cs="標楷體" w:hint="eastAsia"/>
          <w:sz w:val="32"/>
          <w:szCs w:val="32"/>
        </w:rPr>
        <w:t>。</w:t>
      </w:r>
      <w:r>
        <w:rPr>
          <w:rFonts w:ascii="標楷體" w:eastAsia="標楷體" w:hAnsi="標楷體" w:cs="標楷體" w:hint="eastAsia"/>
          <w:sz w:val="32"/>
          <w:szCs w:val="32"/>
        </w:rPr>
        <w:t>惟其相關業務均屬發展初期，業務量不高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462125" w:rsidRPr="00677CE1" w:rsidRDefault="00462125" w:rsidP="001E68FC">
      <w:pPr>
        <w:pStyle w:val="ListParagraph"/>
        <w:spacing w:line="400" w:lineRule="exact"/>
        <w:ind w:leftChars="0" w:left="709"/>
        <w:jc w:val="center"/>
        <w:rPr>
          <w:rFonts w:ascii="標楷體" w:eastAsia="標楷體" w:hAnsi="標楷體" w:cs="Times New Roman"/>
          <w:sz w:val="28"/>
          <w:szCs w:val="28"/>
        </w:rPr>
      </w:pPr>
      <w:r w:rsidRPr="00677CE1">
        <w:rPr>
          <w:rFonts w:ascii="標楷體" w:eastAsia="標楷體" w:hAnsi="標楷體" w:cs="標楷體" w:hint="eastAsia"/>
          <w:sz w:val="28"/>
          <w:szCs w:val="28"/>
        </w:rPr>
        <w:t>人民幣理財商品發展一覽表</w:t>
      </w:r>
    </w:p>
    <w:p w:rsidR="00462125" w:rsidRPr="00677CE1" w:rsidRDefault="00462125" w:rsidP="001E68FC">
      <w:pPr>
        <w:pStyle w:val="ListParagraph"/>
        <w:spacing w:line="400" w:lineRule="exact"/>
        <w:ind w:leftChars="0" w:left="709"/>
        <w:jc w:val="center"/>
        <w:rPr>
          <w:rFonts w:ascii="標楷體" w:eastAsia="標楷體" w:hAnsi="標楷體" w:cs="Times New Roman"/>
          <w:color w:val="FF0000"/>
          <w:sz w:val="32"/>
          <w:szCs w:val="32"/>
        </w:rPr>
      </w:pPr>
      <w:r w:rsidRPr="00677CE1">
        <w:rPr>
          <w:rFonts w:ascii="標楷體" w:eastAsia="標楷體" w:hAnsi="標楷體" w:cs="標楷體"/>
          <w:sz w:val="28"/>
          <w:szCs w:val="28"/>
        </w:rPr>
        <w:t>103</w:t>
      </w:r>
      <w:r w:rsidRPr="00677CE1">
        <w:rPr>
          <w:rFonts w:ascii="標楷體" w:eastAsia="標楷體" w:hAnsi="標楷體" w:cs="標楷體" w:hint="eastAsia"/>
          <w:sz w:val="28"/>
          <w:szCs w:val="28"/>
        </w:rPr>
        <w:t>年</w:t>
      </w:r>
      <w:r w:rsidRPr="00677CE1">
        <w:rPr>
          <w:rFonts w:ascii="標楷體" w:eastAsia="標楷體" w:hAnsi="標楷體" w:cs="標楷體"/>
          <w:sz w:val="28"/>
          <w:szCs w:val="28"/>
        </w:rPr>
        <w:t>1</w:t>
      </w:r>
      <w:r w:rsidRPr="00677CE1">
        <w:rPr>
          <w:rFonts w:ascii="標楷體" w:eastAsia="標楷體" w:hAnsi="標楷體" w:cs="標楷體" w:hint="eastAsia"/>
          <w:sz w:val="28"/>
          <w:szCs w:val="28"/>
        </w:rPr>
        <w:t>月底</w:t>
      </w:r>
    </w:p>
    <w:p w:rsidR="00462125" w:rsidRPr="00677CE1" w:rsidRDefault="00462125" w:rsidP="001E68FC">
      <w:pPr>
        <w:pStyle w:val="ListParagraph"/>
        <w:spacing w:line="400" w:lineRule="exact"/>
        <w:jc w:val="right"/>
        <w:rPr>
          <w:rFonts w:ascii="標楷體" w:eastAsia="標楷體" w:hAnsi="標楷體" w:cs="Times New Roman"/>
        </w:rPr>
      </w:pPr>
      <w:r w:rsidRPr="00677CE1">
        <w:rPr>
          <w:rFonts w:ascii="標楷體" w:eastAsia="標楷體" w:hAnsi="標楷體" w:cs="標楷體" w:hint="eastAsia"/>
        </w:rPr>
        <w:t>單位</w:t>
      </w:r>
      <w:r w:rsidRPr="00677CE1">
        <w:rPr>
          <w:rFonts w:ascii="標楷體" w:eastAsia="標楷體" w:hAnsi="標楷體" w:cs="標楷體"/>
        </w:rPr>
        <w:t>:</w:t>
      </w:r>
      <w:r w:rsidRPr="00677CE1">
        <w:rPr>
          <w:rFonts w:ascii="標楷體" w:eastAsia="標楷體" w:hAnsi="標楷體" w:cs="標楷體" w:hint="eastAsia"/>
        </w:rPr>
        <w:t>億人民幣</w:t>
      </w:r>
    </w:p>
    <w:tbl>
      <w:tblPr>
        <w:tblW w:w="85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5103"/>
        <w:gridCol w:w="1701"/>
      </w:tblGrid>
      <w:tr w:rsidR="00462125" w:rsidRPr="000F025C">
        <w:trPr>
          <w:trHeight w:val="582"/>
        </w:trPr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人民幣業務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規模或金額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銀行</w:t>
            </w: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結構型商品所收受之本金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49.32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 w:val="restart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發債機構</w:t>
            </w: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發行寶島債檔數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檔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發行寶島債金額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121.00 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 w:val="restart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投信業</w:t>
            </w: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已募集人民幣計價基金檔數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檔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人民幣計價基金餘額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35.60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 w:val="restart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保險業</w:t>
            </w: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辦理人民幣收付投資型保單之家數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0F025C">
              <w:rPr>
                <w:rFonts w:ascii="標楷體" w:eastAsia="標楷體" w:hAnsi="標楷體" w:cs="標楷體" w:hint="eastAsia"/>
                <w:sz w:val="28"/>
                <w:szCs w:val="28"/>
              </w:rPr>
              <w:t>家</w:t>
            </w:r>
          </w:p>
        </w:tc>
      </w:tr>
      <w:tr w:rsidR="00462125" w:rsidRPr="000F025C">
        <w:trPr>
          <w:trHeight w:val="582"/>
        </w:trPr>
        <w:tc>
          <w:tcPr>
            <w:tcW w:w="1701" w:type="dxa"/>
            <w:vMerge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人民幣保費累計收入</w:t>
            </w:r>
          </w:p>
        </w:tc>
        <w:tc>
          <w:tcPr>
            <w:tcW w:w="1701" w:type="dxa"/>
            <w:vAlign w:val="center"/>
          </w:tcPr>
          <w:p w:rsidR="00462125" w:rsidRPr="000F025C" w:rsidRDefault="00462125" w:rsidP="000F025C">
            <w:pPr>
              <w:pStyle w:val="ListParagraph"/>
              <w:spacing w:line="440" w:lineRule="exact"/>
              <w:ind w:leftChars="14" w:left="34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F025C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1.83</w:t>
            </w:r>
          </w:p>
        </w:tc>
      </w:tr>
    </w:tbl>
    <w:p w:rsidR="00462125" w:rsidRDefault="00462125" w:rsidP="000C7546">
      <w:pPr>
        <w:pStyle w:val="ListParagraph"/>
        <w:numPr>
          <w:ilvl w:val="0"/>
          <w:numId w:val="1"/>
        </w:numPr>
        <w:spacing w:beforeLines="50" w:line="560" w:lineRule="exact"/>
        <w:ind w:leftChars="0" w:left="709" w:hanging="709"/>
        <w:jc w:val="both"/>
        <w:rPr>
          <w:rFonts w:ascii="標楷體" w:eastAsia="標楷體" w:hAnsi="標楷體" w:cs="Times New Roman"/>
          <w:sz w:val="32"/>
          <w:szCs w:val="32"/>
        </w:rPr>
      </w:pPr>
      <w:r w:rsidRPr="00BD050F">
        <w:rPr>
          <w:rFonts w:ascii="標楷體" w:eastAsia="標楷體" w:hAnsi="標楷體" w:cs="標楷體" w:hint="eastAsia"/>
          <w:b/>
          <w:bCs/>
          <w:sz w:val="32"/>
          <w:szCs w:val="32"/>
        </w:rPr>
        <w:t>回流管道</w:t>
      </w:r>
      <w:r w:rsidRPr="00BD050F">
        <w:rPr>
          <w:rFonts w:ascii="標楷體" w:eastAsia="標楷體" w:hAnsi="標楷體" w:cs="標楷體" w:hint="eastAsia"/>
          <w:sz w:val="32"/>
          <w:szCs w:val="32"/>
        </w:rPr>
        <w:t>：</w:t>
      </w:r>
      <w:r>
        <w:rPr>
          <w:rFonts w:ascii="標楷體" w:eastAsia="標楷體" w:hAnsi="標楷體" w:cs="Times New Roman"/>
          <w:sz w:val="32"/>
          <w:szCs w:val="32"/>
        </w:rPr>
        <w:br/>
      </w:r>
      <w:r w:rsidRPr="00BD050F">
        <w:rPr>
          <w:rFonts w:ascii="標楷體" w:eastAsia="標楷體" w:hAnsi="標楷體" w:cs="標楷體" w:hint="eastAsia"/>
          <w:sz w:val="32"/>
          <w:szCs w:val="32"/>
        </w:rPr>
        <w:t>多元的人民幣回流管道</w:t>
      </w:r>
      <w:r>
        <w:rPr>
          <w:rFonts w:ascii="標楷體" w:eastAsia="標楷體" w:hAnsi="標楷體" w:cs="標楷體" w:hint="eastAsia"/>
          <w:sz w:val="32"/>
          <w:szCs w:val="32"/>
        </w:rPr>
        <w:t>，如開放</w:t>
      </w:r>
      <w:r w:rsidRPr="00BD050F">
        <w:rPr>
          <w:rFonts w:ascii="標楷體" w:eastAsia="標楷體" w:hAnsi="標楷體" w:cs="標楷體" w:hint="eastAsia"/>
          <w:sz w:val="32"/>
          <w:szCs w:val="32"/>
        </w:rPr>
        <w:t>臺灣金融機構直接貸款至大陸境內</w:t>
      </w:r>
      <w:r>
        <w:rPr>
          <w:rFonts w:ascii="標楷體" w:eastAsia="標楷體" w:hAnsi="標楷體" w:cs="標楷體" w:hint="eastAsia"/>
          <w:sz w:val="32"/>
          <w:szCs w:val="32"/>
        </w:rPr>
        <w:t>之企業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優質臺商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</w:rPr>
        <w:t>、</w:t>
      </w:r>
      <w:r w:rsidRPr="00BD050F">
        <w:rPr>
          <w:rFonts w:ascii="標楷體" w:eastAsia="標楷體" w:hAnsi="標楷體" w:cs="標楷體" w:hint="eastAsia"/>
          <w:sz w:val="32"/>
          <w:szCs w:val="32"/>
        </w:rPr>
        <w:t>運用人民幣投資大陸銀行間債券</w:t>
      </w:r>
      <w:r w:rsidRPr="00BD050F">
        <w:rPr>
          <w:rFonts w:ascii="標楷體" w:eastAsia="標楷體" w:hAnsi="標楷體" w:cs="標楷體" w:hint="eastAsia"/>
          <w:noProof/>
          <w:sz w:val="32"/>
          <w:szCs w:val="32"/>
        </w:rPr>
        <w:t>市場</w:t>
      </w:r>
      <w:r>
        <w:rPr>
          <w:rFonts w:ascii="標楷體" w:eastAsia="標楷體" w:hAnsi="標楷體" w:cs="標楷體" w:hint="eastAsia"/>
          <w:sz w:val="32"/>
          <w:szCs w:val="32"/>
        </w:rPr>
        <w:t>之投資額度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須俟服貿協議通過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</w:rPr>
        <w:t>等，</w:t>
      </w:r>
      <w:r w:rsidRPr="00BD050F">
        <w:rPr>
          <w:rFonts w:ascii="標楷體" w:eastAsia="標楷體" w:hAnsi="標楷體" w:cs="標楷體" w:hint="eastAsia"/>
          <w:sz w:val="32"/>
          <w:szCs w:val="32"/>
        </w:rPr>
        <w:t>將有助於臺灣發展多</w:t>
      </w:r>
      <w:r>
        <w:rPr>
          <w:rFonts w:ascii="標楷體" w:eastAsia="標楷體" w:hAnsi="標楷體" w:cs="標楷體" w:hint="eastAsia"/>
          <w:sz w:val="32"/>
          <w:szCs w:val="32"/>
        </w:rPr>
        <w:t>樣</w:t>
      </w:r>
      <w:r w:rsidRPr="00BD050F">
        <w:rPr>
          <w:rFonts w:ascii="標楷體" w:eastAsia="標楷體" w:hAnsi="標楷體" w:cs="標楷體" w:hint="eastAsia"/>
          <w:sz w:val="32"/>
          <w:szCs w:val="32"/>
        </w:rPr>
        <w:t>化之商品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 w:rsidRPr="00BD050F">
        <w:rPr>
          <w:rFonts w:ascii="標楷體" w:eastAsia="標楷體" w:hAnsi="標楷體" w:cs="標楷體" w:hint="eastAsia"/>
          <w:sz w:val="32"/>
          <w:szCs w:val="32"/>
        </w:rPr>
        <w:t>有利去化人民幣存款</w:t>
      </w:r>
      <w:r>
        <w:rPr>
          <w:rFonts w:ascii="標楷體" w:eastAsia="標楷體" w:hAnsi="標楷體" w:cs="標楷體" w:hint="eastAsia"/>
          <w:sz w:val="32"/>
          <w:szCs w:val="32"/>
        </w:rPr>
        <w:t>及增加銀行人民幣資金之運用範圍，</w:t>
      </w:r>
      <w:r w:rsidRPr="00BD050F">
        <w:rPr>
          <w:rFonts w:ascii="標楷體" w:eastAsia="標楷體" w:hAnsi="標楷體" w:cs="標楷體" w:hint="eastAsia"/>
          <w:sz w:val="32"/>
          <w:szCs w:val="32"/>
        </w:rPr>
        <w:t>活絡及深化臺灣人民幣資金池之廣度及深度，</w:t>
      </w:r>
      <w:r>
        <w:rPr>
          <w:rFonts w:ascii="標楷體" w:eastAsia="標楷體" w:hAnsi="標楷體" w:cs="標楷體" w:hint="eastAsia"/>
          <w:sz w:val="32"/>
          <w:szCs w:val="32"/>
        </w:rPr>
        <w:t>並</w:t>
      </w:r>
      <w:r w:rsidRPr="00BD050F">
        <w:rPr>
          <w:rFonts w:ascii="標楷體" w:eastAsia="標楷體" w:hAnsi="標楷體" w:cs="標楷體" w:hint="eastAsia"/>
          <w:sz w:val="32"/>
          <w:szCs w:val="32"/>
        </w:rPr>
        <w:t>有助於臺灣離岸人民幣市場</w:t>
      </w:r>
      <w:r>
        <w:rPr>
          <w:rFonts w:ascii="標楷體" w:eastAsia="標楷體" w:hAnsi="標楷體" w:cs="標楷體" w:hint="eastAsia"/>
          <w:sz w:val="32"/>
          <w:szCs w:val="32"/>
        </w:rPr>
        <w:t>之健全</w:t>
      </w:r>
      <w:r w:rsidRPr="00BD050F">
        <w:rPr>
          <w:rFonts w:ascii="標楷體" w:eastAsia="標楷體" w:hAnsi="標楷體" w:cs="標楷體" w:hint="eastAsia"/>
          <w:sz w:val="32"/>
          <w:szCs w:val="32"/>
        </w:rPr>
        <w:t>發展。</w:t>
      </w:r>
    </w:p>
    <w:p w:rsidR="00462125" w:rsidRDefault="00462125" w:rsidP="004C251D">
      <w:pPr>
        <w:pStyle w:val="ListParagraph"/>
        <w:spacing w:line="560" w:lineRule="exact"/>
        <w:ind w:leftChars="0" w:left="709"/>
        <w:jc w:val="both"/>
        <w:rPr>
          <w:rFonts w:ascii="標楷體" w:eastAsia="標楷體" w:hAnsi="標楷體" w:cs="Times New Roman"/>
          <w:sz w:val="32"/>
          <w:szCs w:val="32"/>
        </w:rPr>
      </w:pPr>
    </w:p>
    <w:p w:rsidR="00462125" w:rsidRDefault="00462125" w:rsidP="00DC2E2E">
      <w:pPr>
        <w:pStyle w:val="ListParagraph"/>
        <w:numPr>
          <w:ilvl w:val="0"/>
          <w:numId w:val="1"/>
        </w:numPr>
        <w:spacing w:line="560" w:lineRule="exact"/>
        <w:ind w:leftChars="0" w:left="709" w:hanging="709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總結：</w:t>
      </w:r>
    </w:p>
    <w:p w:rsidR="00462125" w:rsidRPr="00DC2E2E" w:rsidRDefault="00462125" w:rsidP="00DE4A9D">
      <w:pPr>
        <w:pStyle w:val="ListParagraph"/>
        <w:numPr>
          <w:ilvl w:val="1"/>
          <w:numId w:val="3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開放銀行辦理人民幣業務之主要目的，即</w:t>
      </w:r>
      <w:r w:rsidRPr="00135D11">
        <w:rPr>
          <w:rFonts w:ascii="標楷體" w:eastAsia="標楷體" w:hAnsi="標楷體" w:cs="標楷體" w:hint="eastAsia"/>
          <w:sz w:val="32"/>
          <w:szCs w:val="32"/>
        </w:rPr>
        <w:t>為促進兩岸經貿活動、金融合作與發展，</w:t>
      </w:r>
      <w:r>
        <w:rPr>
          <w:rFonts w:ascii="標楷體" w:eastAsia="標楷體" w:hAnsi="標楷體" w:cs="標楷體" w:hint="eastAsia"/>
          <w:sz w:val="32"/>
          <w:szCs w:val="32"/>
        </w:rPr>
        <w:t>透過</w:t>
      </w:r>
      <w:r w:rsidRPr="00E30DB4">
        <w:rPr>
          <w:rFonts w:ascii="標楷體" w:eastAsia="標楷體" w:hAnsi="標楷體" w:cs="標楷體" w:hint="eastAsia"/>
          <w:sz w:val="32"/>
          <w:szCs w:val="32"/>
        </w:rPr>
        <w:t>增加兩岸經貿活動可使用的幣別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人民幣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E30DB4">
        <w:rPr>
          <w:rFonts w:ascii="標楷體" w:eastAsia="標楷體" w:hAnsi="標楷體" w:cs="標楷體" w:hint="eastAsia"/>
          <w:sz w:val="32"/>
          <w:szCs w:val="32"/>
        </w:rPr>
        <w:t>，提升廠商資金調度之靈活性</w:t>
      </w:r>
      <w:r>
        <w:rPr>
          <w:rFonts w:ascii="新細明體" w:hAnsi="新細明體" w:cs="新細明體" w:hint="eastAsia"/>
          <w:sz w:val="32"/>
          <w:szCs w:val="32"/>
        </w:rPr>
        <w:t>。</w:t>
      </w:r>
      <w:r w:rsidRPr="00DC2E2E">
        <w:rPr>
          <w:rFonts w:ascii="標楷體" w:eastAsia="標楷體" w:hAnsi="標楷體" w:cs="標楷體" w:hint="eastAsia"/>
          <w:sz w:val="32"/>
          <w:szCs w:val="32"/>
        </w:rPr>
        <w:t>本行</w:t>
      </w:r>
      <w:r>
        <w:rPr>
          <w:rFonts w:ascii="標楷體" w:eastAsia="標楷體" w:hAnsi="標楷體" w:cs="標楷體" w:hint="eastAsia"/>
          <w:sz w:val="32"/>
          <w:szCs w:val="32"/>
        </w:rPr>
        <w:t>已多次促請銀行</w:t>
      </w:r>
      <w:r w:rsidRPr="00DC2E2E">
        <w:rPr>
          <w:rFonts w:ascii="標楷體" w:eastAsia="標楷體" w:hAnsi="標楷體" w:cs="標楷體" w:hint="eastAsia"/>
          <w:sz w:val="32"/>
          <w:szCs w:val="32"/>
        </w:rPr>
        <w:t>推廣跨境貿易以人民幣結算</w:t>
      </w:r>
      <w:r>
        <w:rPr>
          <w:rFonts w:ascii="標楷體" w:eastAsia="標楷體" w:hAnsi="標楷體" w:cs="標楷體" w:hint="eastAsia"/>
          <w:sz w:val="32"/>
          <w:szCs w:val="32"/>
        </w:rPr>
        <w:t>，創造廠商及銀行雙贏之商機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462125" w:rsidRPr="0043445F" w:rsidRDefault="00462125" w:rsidP="00DE4A9D">
      <w:pPr>
        <w:pStyle w:val="ListParagraph"/>
        <w:numPr>
          <w:ilvl w:val="1"/>
          <w:numId w:val="3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本行一向注意臺灣人民幣業務之健全發展，並自</w:t>
      </w:r>
      <w:r>
        <w:rPr>
          <w:rFonts w:ascii="標楷體" w:eastAsia="標楷體" w:hAnsi="標楷體" w:cs="標楷體"/>
          <w:sz w:val="32"/>
          <w:szCs w:val="32"/>
        </w:rPr>
        <w:t>102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月開放人民幣業務之初，即已成立人民幣工作小組，研擬各種行動方案並積極推動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請參閱本行楊副總裁</w:t>
      </w:r>
      <w:r>
        <w:rPr>
          <w:rFonts w:ascii="標楷體" w:eastAsia="標楷體" w:hAnsi="標楷體" w:cs="標楷體"/>
          <w:sz w:val="32"/>
          <w:szCs w:val="32"/>
        </w:rPr>
        <w:t>102</w:t>
      </w:r>
      <w:r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11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日於</w:t>
      </w:r>
      <w:r>
        <w:rPr>
          <w:rFonts w:ascii="標楷體" w:eastAsia="標楷體" w:hAnsi="標楷體" w:cs="標楷體"/>
          <w:sz w:val="32"/>
          <w:szCs w:val="32"/>
        </w:rPr>
        <w:t>Euromoney</w:t>
      </w:r>
      <w:r>
        <w:rPr>
          <w:rFonts w:ascii="標楷體" w:eastAsia="標楷體" w:hAnsi="標楷體" w:cs="標楷體" w:hint="eastAsia"/>
          <w:sz w:val="32"/>
          <w:szCs w:val="32"/>
        </w:rPr>
        <w:t>之講辭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43445F">
        <w:rPr>
          <w:rFonts w:ascii="標楷體" w:eastAsia="標楷體" w:hAnsi="標楷體" w:cs="標楷體" w:hint="eastAsia"/>
          <w:sz w:val="32"/>
          <w:szCs w:val="32"/>
        </w:rPr>
        <w:t>。</w:t>
      </w:r>
      <w:r>
        <w:rPr>
          <w:rFonts w:ascii="標楷體" w:eastAsia="標楷體" w:hAnsi="標楷體" w:cs="標楷體" w:hint="eastAsia"/>
          <w:sz w:val="32"/>
          <w:szCs w:val="32"/>
        </w:rPr>
        <w:t>對於金管會於近日成立人民幣離岸中心推動小組，</w:t>
      </w:r>
      <w:r w:rsidRPr="00683929">
        <w:rPr>
          <w:rFonts w:ascii="標楷體" w:eastAsia="標楷體" w:hAnsi="標楷體" w:cs="標楷體" w:hint="eastAsia"/>
          <w:sz w:val="32"/>
          <w:szCs w:val="32"/>
        </w:rPr>
        <w:t>為臺灣人民幣業務之健全穩定發展共同努力，本行樂觀其成。</w:t>
      </w:r>
    </w:p>
    <w:p w:rsidR="00462125" w:rsidRDefault="00462125" w:rsidP="00DE4A9D">
      <w:pPr>
        <w:pStyle w:val="ListParagraph"/>
        <w:numPr>
          <w:ilvl w:val="1"/>
          <w:numId w:val="3"/>
        </w:numPr>
        <w:spacing w:line="560" w:lineRule="exact"/>
        <w:ind w:leftChars="0" w:left="1418" w:hanging="938"/>
        <w:jc w:val="both"/>
        <w:rPr>
          <w:rFonts w:ascii="標楷體" w:eastAsia="標楷體" w:hAnsi="標楷體" w:cs="Times New Roman"/>
          <w:sz w:val="32"/>
          <w:szCs w:val="32"/>
        </w:rPr>
      </w:pPr>
      <w:r w:rsidRPr="00135D11">
        <w:rPr>
          <w:rFonts w:ascii="標楷體" w:eastAsia="標楷體" w:hAnsi="標楷體" w:cs="標楷體" w:hint="eastAsia"/>
          <w:sz w:val="32"/>
          <w:szCs w:val="32"/>
        </w:rPr>
        <w:t>鑒於人民幣業務或商品仍涉及流動性、信用及匯率等風險，本行</w:t>
      </w:r>
      <w:r>
        <w:rPr>
          <w:rFonts w:ascii="標楷體" w:eastAsia="標楷體" w:hAnsi="標楷體" w:cs="標楷體" w:hint="eastAsia"/>
          <w:sz w:val="32"/>
          <w:szCs w:val="32"/>
        </w:rPr>
        <w:t>再次</w:t>
      </w:r>
      <w:r w:rsidRPr="00135D11">
        <w:rPr>
          <w:rFonts w:ascii="標楷體" w:eastAsia="標楷體" w:hAnsi="標楷體" w:cs="標楷體" w:hint="eastAsia"/>
          <w:sz w:val="32"/>
          <w:szCs w:val="32"/>
        </w:rPr>
        <w:t>呼籲</w:t>
      </w:r>
      <w:r>
        <w:rPr>
          <w:rFonts w:ascii="標楷體" w:eastAsia="標楷體" w:hAnsi="標楷體" w:cs="標楷體" w:hint="eastAsia"/>
          <w:sz w:val="32"/>
          <w:szCs w:val="32"/>
        </w:rPr>
        <w:t>，</w:t>
      </w:r>
      <w:r w:rsidRPr="00135D11">
        <w:rPr>
          <w:rFonts w:ascii="標楷體" w:eastAsia="標楷體" w:hAnsi="標楷體" w:cs="標楷體" w:hint="eastAsia"/>
          <w:sz w:val="32"/>
          <w:szCs w:val="32"/>
        </w:rPr>
        <w:t>個人及企業於投資及營運時宜審慎評估</w:t>
      </w:r>
      <w:r>
        <w:rPr>
          <w:rFonts w:ascii="標楷體" w:eastAsia="標楷體" w:hAnsi="標楷體" w:cs="標楷體" w:hint="eastAsia"/>
          <w:sz w:val="32"/>
          <w:szCs w:val="32"/>
        </w:rPr>
        <w:t>及控管</w:t>
      </w:r>
      <w:r w:rsidRPr="00135D11">
        <w:rPr>
          <w:rFonts w:ascii="標楷體" w:eastAsia="標楷體" w:hAnsi="標楷體" w:cs="標楷體" w:hint="eastAsia"/>
          <w:sz w:val="32"/>
          <w:szCs w:val="32"/>
        </w:rPr>
        <w:t>。</w:t>
      </w:r>
    </w:p>
    <w:sectPr w:rsidR="00462125" w:rsidSect="00FC49F4">
      <w:footerReference w:type="default" r:id="rId8"/>
      <w:pgSz w:w="11906" w:h="16838"/>
      <w:pgMar w:top="1418" w:right="136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25" w:rsidRDefault="00462125" w:rsidP="00653F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2125" w:rsidRDefault="00462125" w:rsidP="00653F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125" w:rsidRDefault="00462125">
    <w:pPr>
      <w:pStyle w:val="Footer"/>
      <w:jc w:val="center"/>
      <w:rPr>
        <w:rFonts w:cs="Times New Roman"/>
      </w:rPr>
    </w:pPr>
    <w:fldSimple w:instr="PAGE   \* MERGEFORMAT">
      <w:r w:rsidRPr="000C7546">
        <w:rPr>
          <w:noProof/>
          <w:lang w:val="zh-TW"/>
        </w:rPr>
        <w:t>4</w:t>
      </w:r>
    </w:fldSimple>
  </w:p>
  <w:p w:rsidR="00462125" w:rsidRDefault="0046212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25" w:rsidRDefault="00462125" w:rsidP="00653F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2125" w:rsidRDefault="00462125" w:rsidP="00653F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308A"/>
    <w:multiLevelType w:val="hybridMultilevel"/>
    <w:tmpl w:val="2362C05A"/>
    <w:lvl w:ilvl="0" w:tplc="31062A7C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  <w:b w:val="0"/>
        <w:bCs w:val="0"/>
        <w:i w:val="0"/>
        <w:iCs w:val="0"/>
        <w:sz w:val="28"/>
        <w:szCs w:val="28"/>
      </w:rPr>
    </w:lvl>
    <w:lvl w:ilvl="1" w:tplc="31062A7C">
      <w:start w:val="1"/>
      <w:numFmt w:val="taiwaneseCountingThousand"/>
      <w:lvlText w:val="（%2）"/>
      <w:lvlJc w:val="left"/>
      <w:pPr>
        <w:ind w:left="-4853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-4373" w:hanging="480"/>
      </w:pPr>
    </w:lvl>
    <w:lvl w:ilvl="3" w:tplc="0409000F">
      <w:start w:val="1"/>
      <w:numFmt w:val="decimal"/>
      <w:lvlText w:val="%4."/>
      <w:lvlJc w:val="left"/>
      <w:pPr>
        <w:ind w:left="-3893" w:hanging="480"/>
      </w:pPr>
    </w:lvl>
    <w:lvl w:ilvl="4" w:tplc="04090019">
      <w:start w:val="1"/>
      <w:numFmt w:val="ideographTraditional"/>
      <w:lvlText w:val="%5、"/>
      <w:lvlJc w:val="left"/>
      <w:pPr>
        <w:ind w:left="-3413" w:hanging="480"/>
      </w:pPr>
    </w:lvl>
    <w:lvl w:ilvl="5" w:tplc="0409001B">
      <w:start w:val="1"/>
      <w:numFmt w:val="lowerRoman"/>
      <w:lvlText w:val="%6."/>
      <w:lvlJc w:val="right"/>
      <w:pPr>
        <w:ind w:left="-2933" w:hanging="480"/>
      </w:pPr>
    </w:lvl>
    <w:lvl w:ilvl="6" w:tplc="0409000F">
      <w:start w:val="1"/>
      <w:numFmt w:val="decimal"/>
      <w:lvlText w:val="%7."/>
      <w:lvlJc w:val="left"/>
      <w:pPr>
        <w:ind w:left="-2453" w:hanging="480"/>
      </w:pPr>
    </w:lvl>
    <w:lvl w:ilvl="7" w:tplc="04090019">
      <w:start w:val="1"/>
      <w:numFmt w:val="ideographTraditional"/>
      <w:lvlText w:val="%8、"/>
      <w:lvlJc w:val="left"/>
      <w:pPr>
        <w:ind w:left="-1973" w:hanging="480"/>
      </w:pPr>
    </w:lvl>
    <w:lvl w:ilvl="8" w:tplc="0409001B">
      <w:start w:val="1"/>
      <w:numFmt w:val="lowerRoman"/>
      <w:lvlText w:val="%9."/>
      <w:lvlJc w:val="right"/>
      <w:pPr>
        <w:ind w:left="-1493" w:hanging="480"/>
      </w:pPr>
    </w:lvl>
  </w:abstractNum>
  <w:abstractNum w:abstractNumId="1">
    <w:nsid w:val="0F60089F"/>
    <w:multiLevelType w:val="hybridMultilevel"/>
    <w:tmpl w:val="5FB2ABD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1C3D78"/>
    <w:multiLevelType w:val="hybridMultilevel"/>
    <w:tmpl w:val="E0CCA0AE"/>
    <w:lvl w:ilvl="0" w:tplc="46F23EFA">
      <w:start w:val="1"/>
      <w:numFmt w:val="taiwaneseCountingThousand"/>
      <w:lvlText w:val="%1、"/>
      <w:lvlJc w:val="left"/>
      <w:pPr>
        <w:ind w:left="5726" w:hanging="480"/>
      </w:pPr>
      <w:rPr>
        <w:rFonts w:ascii="Cambria" w:eastAsia="標楷體" w:hAnsi="Cambria" w:hint="default"/>
        <w:b w:val="0"/>
        <w:bCs w:val="0"/>
        <w:i w:val="0"/>
        <w:iCs w:val="0"/>
      </w:rPr>
    </w:lvl>
    <w:lvl w:ilvl="1" w:tplc="31062A7C">
      <w:start w:val="1"/>
      <w:numFmt w:val="taiwaneseCountingThousand"/>
      <w:lvlText w:val="（%2）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2" w:tplc="B940538A">
      <w:start w:val="1"/>
      <w:numFmt w:val="decimal"/>
      <w:lvlText w:val="%3."/>
      <w:lvlJc w:val="left"/>
      <w:pPr>
        <w:ind w:left="1440" w:hanging="480"/>
      </w:pPr>
      <w:rPr>
        <w:rFonts w:hint="eastAsia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1E4EE4"/>
    <w:multiLevelType w:val="hybridMultilevel"/>
    <w:tmpl w:val="18ACCAD8"/>
    <w:lvl w:ilvl="0" w:tplc="46F23EFA">
      <w:start w:val="1"/>
      <w:numFmt w:val="taiwaneseCountingThousand"/>
      <w:lvlText w:val="%1、"/>
      <w:lvlJc w:val="left"/>
      <w:pPr>
        <w:ind w:left="480" w:hanging="480"/>
      </w:pPr>
      <w:rPr>
        <w:rFonts w:ascii="Cambria" w:eastAsia="標楷體" w:hAnsi="Cambria" w:hint="default"/>
        <w:b w:val="0"/>
        <w:bCs w:val="0"/>
        <w:i w:val="0"/>
        <w:iCs w:val="0"/>
      </w:rPr>
    </w:lvl>
    <w:lvl w:ilvl="1" w:tplc="31062A7C">
      <w:start w:val="1"/>
      <w:numFmt w:val="taiwaneseCountingThousand"/>
      <w:lvlText w:val="（%2）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C310CA"/>
    <w:multiLevelType w:val="hybridMultilevel"/>
    <w:tmpl w:val="18ACCAD8"/>
    <w:lvl w:ilvl="0" w:tplc="46F23EFA">
      <w:start w:val="1"/>
      <w:numFmt w:val="taiwaneseCountingThousand"/>
      <w:lvlText w:val="%1、"/>
      <w:lvlJc w:val="left"/>
      <w:pPr>
        <w:ind w:left="480" w:hanging="480"/>
      </w:pPr>
      <w:rPr>
        <w:rFonts w:ascii="Cambria" w:eastAsia="標楷體" w:hAnsi="Cambria" w:hint="default"/>
        <w:b w:val="0"/>
        <w:bCs w:val="0"/>
        <w:i w:val="0"/>
        <w:iCs w:val="0"/>
      </w:rPr>
    </w:lvl>
    <w:lvl w:ilvl="1" w:tplc="31062A7C">
      <w:start w:val="1"/>
      <w:numFmt w:val="taiwaneseCountingThousand"/>
      <w:lvlText w:val="（%2）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890F84"/>
    <w:multiLevelType w:val="hybridMultilevel"/>
    <w:tmpl w:val="A9D4A474"/>
    <w:lvl w:ilvl="0" w:tplc="46F23EFA">
      <w:start w:val="1"/>
      <w:numFmt w:val="taiwaneseCountingThousand"/>
      <w:lvlText w:val="%1、"/>
      <w:lvlJc w:val="left"/>
      <w:pPr>
        <w:ind w:left="2607" w:hanging="480"/>
      </w:pPr>
      <w:rPr>
        <w:rFonts w:ascii="Cambria" w:eastAsia="標楷體" w:hAnsi="Cambria" w:hint="default"/>
        <w:b w:val="0"/>
        <w:bCs w:val="0"/>
        <w:i w:val="0"/>
        <w:iCs w:val="0"/>
      </w:rPr>
    </w:lvl>
    <w:lvl w:ilvl="1" w:tplc="31062A7C">
      <w:start w:val="1"/>
      <w:numFmt w:val="taiwaneseCountingThousand"/>
      <w:lvlText w:val="（%2）"/>
      <w:lvlJc w:val="left"/>
      <w:pPr>
        <w:ind w:left="-2159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-1679" w:hanging="480"/>
      </w:pPr>
    </w:lvl>
    <w:lvl w:ilvl="3" w:tplc="0409000F">
      <w:start w:val="1"/>
      <w:numFmt w:val="decimal"/>
      <w:lvlText w:val="%4."/>
      <w:lvlJc w:val="left"/>
      <w:pPr>
        <w:ind w:left="-1199" w:hanging="480"/>
      </w:pPr>
    </w:lvl>
    <w:lvl w:ilvl="4" w:tplc="04090019">
      <w:start w:val="1"/>
      <w:numFmt w:val="ideographTraditional"/>
      <w:lvlText w:val="%5、"/>
      <w:lvlJc w:val="left"/>
      <w:pPr>
        <w:ind w:left="-719" w:hanging="480"/>
      </w:pPr>
    </w:lvl>
    <w:lvl w:ilvl="5" w:tplc="0409001B">
      <w:start w:val="1"/>
      <w:numFmt w:val="lowerRoman"/>
      <w:lvlText w:val="%6."/>
      <w:lvlJc w:val="right"/>
      <w:pPr>
        <w:ind w:left="-239" w:hanging="480"/>
      </w:pPr>
    </w:lvl>
    <w:lvl w:ilvl="6" w:tplc="0409000F">
      <w:start w:val="1"/>
      <w:numFmt w:val="decimal"/>
      <w:lvlText w:val="%7."/>
      <w:lvlJc w:val="left"/>
      <w:pPr>
        <w:ind w:left="241" w:hanging="480"/>
      </w:pPr>
    </w:lvl>
    <w:lvl w:ilvl="7" w:tplc="04090019">
      <w:start w:val="1"/>
      <w:numFmt w:val="ideographTraditional"/>
      <w:lvlText w:val="%8、"/>
      <w:lvlJc w:val="left"/>
      <w:pPr>
        <w:ind w:left="721" w:hanging="480"/>
      </w:pPr>
    </w:lvl>
    <w:lvl w:ilvl="8" w:tplc="0409001B">
      <w:start w:val="1"/>
      <w:numFmt w:val="lowerRoman"/>
      <w:lvlText w:val="%9."/>
      <w:lvlJc w:val="right"/>
      <w:pPr>
        <w:ind w:left="1201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DB4"/>
    <w:rsid w:val="000B61CF"/>
    <w:rsid w:val="000C1E2F"/>
    <w:rsid w:val="000C7546"/>
    <w:rsid w:val="000C7849"/>
    <w:rsid w:val="000E18FE"/>
    <w:rsid w:val="000F025C"/>
    <w:rsid w:val="00135D11"/>
    <w:rsid w:val="001E68FC"/>
    <w:rsid w:val="003714CC"/>
    <w:rsid w:val="003A53D1"/>
    <w:rsid w:val="0043445F"/>
    <w:rsid w:val="00460540"/>
    <w:rsid w:val="00462125"/>
    <w:rsid w:val="00465B3E"/>
    <w:rsid w:val="004B66BD"/>
    <w:rsid w:val="004C251D"/>
    <w:rsid w:val="005C0043"/>
    <w:rsid w:val="00653F6A"/>
    <w:rsid w:val="00677CE1"/>
    <w:rsid w:val="00683929"/>
    <w:rsid w:val="006A6FB6"/>
    <w:rsid w:val="00722494"/>
    <w:rsid w:val="00736A20"/>
    <w:rsid w:val="007400EF"/>
    <w:rsid w:val="00740C48"/>
    <w:rsid w:val="007C4584"/>
    <w:rsid w:val="007D5669"/>
    <w:rsid w:val="008E18CA"/>
    <w:rsid w:val="00905E7C"/>
    <w:rsid w:val="00961E33"/>
    <w:rsid w:val="00987110"/>
    <w:rsid w:val="009F4AC7"/>
    <w:rsid w:val="00AF1D76"/>
    <w:rsid w:val="00BC3552"/>
    <w:rsid w:val="00BD01DE"/>
    <w:rsid w:val="00BD050F"/>
    <w:rsid w:val="00BD428C"/>
    <w:rsid w:val="00BE096A"/>
    <w:rsid w:val="00C17A54"/>
    <w:rsid w:val="00C17E45"/>
    <w:rsid w:val="00C44B18"/>
    <w:rsid w:val="00C94C69"/>
    <w:rsid w:val="00CC5824"/>
    <w:rsid w:val="00CD47F6"/>
    <w:rsid w:val="00D365A0"/>
    <w:rsid w:val="00D422A5"/>
    <w:rsid w:val="00D81082"/>
    <w:rsid w:val="00DC2E2E"/>
    <w:rsid w:val="00DE4A9D"/>
    <w:rsid w:val="00E0214C"/>
    <w:rsid w:val="00E04ADA"/>
    <w:rsid w:val="00E30DB4"/>
    <w:rsid w:val="00E52516"/>
    <w:rsid w:val="00E62509"/>
    <w:rsid w:val="00E74A9A"/>
    <w:rsid w:val="00E775EE"/>
    <w:rsid w:val="00EB3981"/>
    <w:rsid w:val="00FC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16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0DB4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AF1D76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D76"/>
    <w:rPr>
      <w:rFonts w:ascii="Cambria" w:eastAsia="新細明體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677CE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3F6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53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F6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502</TotalTime>
  <Pages>4</Pages>
  <Words>267</Words>
  <Characters>1528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黃寶霞</dc:creator>
  <cp:keywords/>
  <dc:description/>
  <cp:lastModifiedBy>jay</cp:lastModifiedBy>
  <cp:revision>32</cp:revision>
  <cp:lastPrinted>2014-03-14T06:18:00Z</cp:lastPrinted>
  <dcterms:created xsi:type="dcterms:W3CDTF">2014-03-13T01:49:00Z</dcterms:created>
  <dcterms:modified xsi:type="dcterms:W3CDTF">2014-03-14T09:30:00Z</dcterms:modified>
</cp:coreProperties>
</file>