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ED" w:rsidRPr="00A468D8" w:rsidRDefault="00FD31ED" w:rsidP="00A468D8">
      <w:pPr>
        <w:snapToGrid w:val="0"/>
        <w:spacing w:line="600" w:lineRule="exact"/>
        <w:rPr>
          <w:rFonts w:ascii="Times New Roman" w:eastAsia="標楷體" w:hAnsi="Times New Roman"/>
          <w:sz w:val="36"/>
          <w:szCs w:val="36"/>
        </w:rPr>
      </w:pPr>
      <w:r>
        <w:rPr>
          <w:noProof/>
        </w:rPr>
        <w:pict>
          <v:shapetype id="_x0000_t202" coordsize="21600,21600" o:spt="202" path="m,l,21600r21600,l21600,xe">
            <v:stroke joinstyle="miter"/>
            <v:path gradientshapeok="t" o:connecttype="rect"/>
          </v:shapetype>
          <v:shape id="文字方塊 2" o:spid="_x0000_s1026" type="#_x0000_t202" style="position:absolute;margin-left:7in;margin-top:-36pt;width:194.65pt;height:4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">
            <v:textbox style="mso-fit-shape-to-text:t">
              <w:txbxContent>
                <w:p w:rsidR="00FD31ED" w:rsidRPr="00FB4623" w:rsidRDefault="00FD31ED" w:rsidP="00A01FAC">
                  <w:pPr>
                    <w:spacing w:line="400" w:lineRule="exact"/>
                    <w:jc w:val="distribute"/>
                    <w:rPr>
                      <w:rFonts w:ascii="標楷體" w:eastAsia="標楷體" w:hAnsi="標楷體"/>
                      <w:sz w:val="32"/>
                      <w:szCs w:val="32"/>
                    </w:rPr>
                  </w:pPr>
                  <w:smartTag w:uri="urn:schemas-microsoft-com:office:smarttags" w:element="chsdate">
                    <w:smartTagPr>
                      <w:attr w:name="Year" w:val="2013"/>
                      <w:attr w:name="Month" w:val="6"/>
                      <w:attr w:name="Day" w:val="27"/>
                      <w:attr w:name="IsLunarDate" w:val="False"/>
                      <w:attr w:name="IsROCDate" w:val="False"/>
                    </w:smartTagPr>
                    <w:r w:rsidRPr="00FB4623">
                      <w:rPr>
                        <w:rFonts w:ascii="標楷體" w:eastAsia="標楷體" w:hAnsi="標楷體"/>
                        <w:sz w:val="32"/>
                        <w:szCs w:val="32"/>
                      </w:rPr>
                      <w:t>6</w:t>
                    </w:r>
                    <w:r w:rsidRPr="00FB4623">
                      <w:rPr>
                        <w:rFonts w:ascii="標楷體" w:eastAsia="標楷體" w:hAnsi="標楷體" w:hint="eastAsia"/>
                        <w:sz w:val="32"/>
                        <w:szCs w:val="32"/>
                      </w:rPr>
                      <w:t>月</w:t>
                    </w:r>
                    <w:r w:rsidRPr="00FB4623">
                      <w:rPr>
                        <w:rFonts w:ascii="標楷體" w:eastAsia="標楷體" w:hAnsi="標楷體"/>
                        <w:sz w:val="32"/>
                        <w:szCs w:val="32"/>
                      </w:rPr>
                      <w:t>27</w:t>
                    </w:r>
                    <w:r w:rsidRPr="00FB4623">
                      <w:rPr>
                        <w:rFonts w:ascii="標楷體" w:eastAsia="標楷體" w:hAnsi="標楷體" w:hint="eastAsia"/>
                        <w:sz w:val="32"/>
                        <w:szCs w:val="32"/>
                      </w:rPr>
                      <w:t>日</w:t>
                    </w:r>
                  </w:smartTag>
                  <w:r w:rsidRPr="00FB4623">
                    <w:rPr>
                      <w:rFonts w:ascii="標楷體" w:eastAsia="標楷體" w:hAnsi="標楷體" w:hint="eastAsia"/>
                      <w:sz w:val="32"/>
                      <w:szCs w:val="32"/>
                    </w:rPr>
                    <w:t>央行理監事會後</w:t>
                  </w:r>
                </w:p>
                <w:p w:rsidR="00FD31ED" w:rsidRPr="00FB4623" w:rsidRDefault="00FD31ED" w:rsidP="00A01FAC">
                  <w:pPr>
                    <w:spacing w:line="400" w:lineRule="exact"/>
                    <w:jc w:val="distribute"/>
                    <w:rPr>
                      <w:rFonts w:ascii="標楷體" w:eastAsia="標楷體" w:hAnsi="標楷體"/>
                      <w:sz w:val="32"/>
                      <w:szCs w:val="32"/>
                    </w:rPr>
                  </w:pPr>
                  <w:r w:rsidRPr="00FB4623">
                    <w:rPr>
                      <w:rFonts w:ascii="標楷體" w:eastAsia="標楷體" w:hAnsi="標楷體" w:hint="eastAsia"/>
                      <w:sz w:val="32"/>
                      <w:szCs w:val="32"/>
                    </w:rPr>
                    <w:t>記者會參考資料</w:t>
                  </w:r>
                </w:p>
              </w:txbxContent>
            </v:textbox>
          </v:shape>
        </w:pict>
      </w:r>
      <w:r w:rsidRPr="00A468D8">
        <w:rPr>
          <w:rFonts w:ascii="Times New Roman" w:eastAsia="標楷體" w:hAnsi="Times New Roman"/>
          <w:sz w:val="36"/>
          <w:szCs w:val="36"/>
        </w:rPr>
        <w:t xml:space="preserve">Q: </w:t>
      </w:r>
      <w:r w:rsidRPr="00A468D8">
        <w:rPr>
          <w:rFonts w:ascii="Times New Roman" w:eastAsia="標楷體" w:hAnsi="Times New Roman" w:hint="eastAsia"/>
          <w:sz w:val="36"/>
          <w:szCs w:val="36"/>
        </w:rPr>
        <w:t>工具機業一再主張新台幣貶值，央行看法如何</w:t>
      </w:r>
      <w:r w:rsidRPr="00A468D8">
        <w:rPr>
          <w:rFonts w:ascii="Times New Roman" w:eastAsia="標楷體" w:hAnsi="Times New Roman"/>
          <w:sz w:val="36"/>
          <w:szCs w:val="36"/>
        </w:rPr>
        <w:t>?</w:t>
      </w:r>
    </w:p>
    <w:p w:rsidR="00FD31ED" w:rsidRDefault="00FD31ED" w:rsidP="00A468D8">
      <w:pPr>
        <w:snapToGrid w:val="0"/>
        <w:spacing w:line="600" w:lineRule="exact"/>
        <w:rPr>
          <w:rFonts w:ascii="Times New Roman" w:eastAsia="標楷體" w:hAnsi="Times New Roman"/>
          <w:sz w:val="36"/>
          <w:szCs w:val="36"/>
        </w:rPr>
      </w:pPr>
      <w:r w:rsidRPr="00A468D8">
        <w:rPr>
          <w:rFonts w:ascii="Times New Roman" w:eastAsia="標楷體" w:hAnsi="Times New Roman"/>
          <w:sz w:val="36"/>
          <w:szCs w:val="36"/>
        </w:rPr>
        <w:t>A:</w:t>
      </w:r>
    </w:p>
    <w:p w:rsidR="00FD31ED" w:rsidRPr="00A468D8" w:rsidRDefault="00FD31ED" w:rsidP="00490113">
      <w:pPr>
        <w:snapToGrid w:val="0"/>
        <w:spacing w:afterLines="50" w:line="600" w:lineRule="exact"/>
        <w:rPr>
          <w:rFonts w:ascii="Times New Roman" w:eastAsia="標楷體" w:hAnsi="Times New Roman"/>
          <w:sz w:val="36"/>
          <w:szCs w:val="36"/>
        </w:rPr>
      </w:pPr>
      <w:r w:rsidRPr="00A468D8">
        <w:rPr>
          <w:rFonts w:ascii="Times New Roman" w:eastAsia="標楷體" w:hAnsi="標楷體" w:hint="eastAsia"/>
          <w:sz w:val="36"/>
          <w:szCs w:val="36"/>
        </w:rPr>
        <w:t>歐洲發生債務危機，日圓成為避險貨幣，</w:t>
      </w:r>
      <w:r>
        <w:rPr>
          <w:rFonts w:ascii="Times New Roman" w:eastAsia="標楷體" w:hAnsi="標楷體" w:hint="eastAsia"/>
          <w:sz w:val="36"/>
          <w:szCs w:val="36"/>
        </w:rPr>
        <w:t>益</w:t>
      </w:r>
      <w:r w:rsidRPr="00A468D8">
        <w:rPr>
          <w:rFonts w:ascii="Times New Roman" w:eastAsia="標楷體" w:hAnsi="標楷體" w:hint="eastAsia"/>
          <w:sz w:val="36"/>
          <w:szCs w:val="36"/>
        </w:rPr>
        <w:t>以鄰近國家大量購買日本有價證券，致日圓對美元匯率於</w:t>
      </w:r>
      <w:smartTag w:uri="urn:schemas-microsoft-com:office:smarttags" w:element="chsdate">
        <w:smartTagPr>
          <w:attr w:name="IsROCDate" w:val="False"/>
          <w:attr w:name="IsLunarDate" w:val="False"/>
          <w:attr w:name="Day" w:val="28"/>
          <w:attr w:name="Month" w:val="10"/>
          <w:attr w:name="Year" w:val="2011"/>
        </w:smartTagPr>
        <w:r w:rsidRPr="00A468D8">
          <w:rPr>
            <w:rFonts w:ascii="Times New Roman" w:eastAsia="標楷體" w:hAnsi="Times New Roman"/>
            <w:sz w:val="36"/>
            <w:szCs w:val="36"/>
          </w:rPr>
          <w:t>2011</w:t>
        </w:r>
        <w:r w:rsidRPr="00A468D8">
          <w:rPr>
            <w:rFonts w:ascii="Times New Roman" w:eastAsia="標楷體" w:hAnsi="標楷體" w:hint="eastAsia"/>
            <w:sz w:val="36"/>
            <w:szCs w:val="36"/>
          </w:rPr>
          <w:t>年</w:t>
        </w:r>
        <w:r w:rsidRPr="00A468D8">
          <w:rPr>
            <w:rFonts w:ascii="Times New Roman" w:eastAsia="標楷體" w:hAnsi="Times New Roman"/>
            <w:sz w:val="36"/>
            <w:szCs w:val="36"/>
          </w:rPr>
          <w:t>10</w:t>
        </w:r>
        <w:r w:rsidRPr="00A468D8">
          <w:rPr>
            <w:rFonts w:ascii="Times New Roman" w:eastAsia="標楷體" w:hAnsi="標楷體" w:hint="eastAsia"/>
            <w:sz w:val="36"/>
            <w:szCs w:val="36"/>
          </w:rPr>
          <w:t>月</w:t>
        </w:r>
        <w:r w:rsidRPr="00A468D8">
          <w:rPr>
            <w:rFonts w:ascii="Times New Roman" w:eastAsia="標楷體" w:hAnsi="Times New Roman"/>
            <w:sz w:val="36"/>
            <w:szCs w:val="36"/>
          </w:rPr>
          <w:t>28</w:t>
        </w:r>
        <w:r w:rsidRPr="00A468D8">
          <w:rPr>
            <w:rFonts w:ascii="Times New Roman" w:eastAsia="標楷體" w:hAnsi="標楷體" w:hint="eastAsia"/>
            <w:sz w:val="36"/>
            <w:szCs w:val="36"/>
          </w:rPr>
          <w:t>日</w:t>
        </w:r>
      </w:smartTag>
      <w:r w:rsidRPr="00A468D8">
        <w:rPr>
          <w:rFonts w:ascii="Times New Roman" w:eastAsia="標楷體" w:hAnsi="標楷體" w:hint="eastAsia"/>
          <w:sz w:val="36"/>
          <w:szCs w:val="36"/>
        </w:rPr>
        <w:t>升值至</w:t>
      </w:r>
      <w:r w:rsidRPr="00A468D8">
        <w:rPr>
          <w:rFonts w:ascii="Times New Roman" w:eastAsia="標楷體" w:hAnsi="Times New Roman"/>
          <w:sz w:val="36"/>
          <w:szCs w:val="36"/>
        </w:rPr>
        <w:t>75.84</w:t>
      </w:r>
      <w:r w:rsidRPr="00A468D8">
        <w:rPr>
          <w:rFonts w:ascii="Times New Roman" w:eastAsia="標楷體" w:hAnsi="標楷體" w:hint="eastAsia"/>
          <w:sz w:val="36"/>
          <w:szCs w:val="36"/>
        </w:rPr>
        <w:t>。根據</w:t>
      </w:r>
      <w:r w:rsidRPr="00A468D8">
        <w:rPr>
          <w:rFonts w:ascii="Times New Roman" w:eastAsia="標楷體" w:hAnsi="Times New Roman"/>
          <w:sz w:val="36"/>
          <w:szCs w:val="36"/>
        </w:rPr>
        <w:t>OECD</w:t>
      </w:r>
      <w:r>
        <w:rPr>
          <w:rStyle w:val="FootnoteReference"/>
          <w:rFonts w:ascii="Times New Roman" w:eastAsia="標楷體" w:hAnsi="Times New Roman"/>
          <w:sz w:val="36"/>
          <w:szCs w:val="36"/>
        </w:rPr>
        <w:footnoteReference w:id="1"/>
      </w:r>
      <w:r w:rsidRPr="00A468D8">
        <w:rPr>
          <w:rFonts w:ascii="Times New Roman" w:eastAsia="標楷體" w:hAnsi="標楷體" w:hint="eastAsia"/>
          <w:sz w:val="36"/>
          <w:szCs w:val="36"/>
        </w:rPr>
        <w:t>與</w:t>
      </w:r>
      <w:r w:rsidRPr="00A468D8">
        <w:rPr>
          <w:rFonts w:ascii="Times New Roman" w:eastAsia="標楷體" w:hAnsi="Times New Roman"/>
          <w:sz w:val="36"/>
          <w:szCs w:val="36"/>
        </w:rPr>
        <w:t>IMF</w:t>
      </w:r>
      <w:r>
        <w:rPr>
          <w:rStyle w:val="FootnoteReference"/>
          <w:rFonts w:ascii="Times New Roman" w:eastAsia="標楷體" w:hAnsi="Times New Roman"/>
          <w:sz w:val="36"/>
          <w:szCs w:val="36"/>
        </w:rPr>
        <w:footnoteReference w:id="2"/>
      </w:r>
      <w:r w:rsidRPr="00A468D8">
        <w:rPr>
          <w:rFonts w:ascii="Times New Roman" w:eastAsia="標楷體" w:hAnsi="標楷體" w:hint="eastAsia"/>
          <w:sz w:val="36"/>
          <w:szCs w:val="36"/>
        </w:rPr>
        <w:t>的研究，認為日圓</w:t>
      </w:r>
      <w:r>
        <w:rPr>
          <w:rFonts w:ascii="Times New Roman" w:eastAsia="標楷體" w:hAnsi="標楷體" w:hint="eastAsia"/>
          <w:sz w:val="36"/>
          <w:szCs w:val="36"/>
        </w:rPr>
        <w:t>高</w:t>
      </w:r>
      <w:r w:rsidRPr="00A468D8">
        <w:rPr>
          <w:rFonts w:ascii="Times New Roman" w:eastAsia="標楷體" w:hAnsi="標楷體" w:hint="eastAsia"/>
          <w:sz w:val="36"/>
          <w:szCs w:val="36"/>
        </w:rPr>
        <w:t>估。</w:t>
      </w:r>
    </w:p>
    <w:p w:rsidR="00FD31ED" w:rsidRDefault="00FD31ED" w:rsidP="00490113">
      <w:pPr>
        <w:snapToGrid w:val="0"/>
        <w:spacing w:afterLines="50" w:line="600" w:lineRule="exact"/>
        <w:rPr>
          <w:rFonts w:ascii="Times New Roman" w:eastAsia="標楷體" w:hAnsi="Times New Roman"/>
          <w:sz w:val="36"/>
          <w:szCs w:val="36"/>
        </w:rPr>
      </w:pPr>
      <w:r w:rsidRPr="00A468D8">
        <w:rPr>
          <w:rFonts w:ascii="Times New Roman" w:eastAsia="標楷體" w:hAnsi="標楷體" w:hint="eastAsia"/>
          <w:sz w:val="36"/>
          <w:szCs w:val="36"/>
        </w:rPr>
        <w:t>由於歐債危機趨緩，日圓避險功能減弱，</w:t>
      </w:r>
      <w:r>
        <w:rPr>
          <w:rFonts w:ascii="Times New Roman" w:eastAsia="標楷體" w:hAnsi="標楷體" w:hint="eastAsia"/>
          <w:sz w:val="36"/>
          <w:szCs w:val="36"/>
        </w:rPr>
        <w:t>且</w:t>
      </w:r>
      <w:r w:rsidRPr="00A468D8">
        <w:rPr>
          <w:rFonts w:ascii="Times New Roman" w:eastAsia="標楷體" w:hAnsi="標楷體" w:hint="eastAsia"/>
          <w:sz w:val="36"/>
          <w:szCs w:val="36"/>
        </w:rPr>
        <w:t>日本貿易逆差擴大、日本官員放話</w:t>
      </w:r>
      <w:r w:rsidRPr="00A468D8">
        <w:rPr>
          <w:rFonts w:ascii="Times New Roman" w:eastAsia="標楷體" w:hAnsi="Times New Roman"/>
          <w:sz w:val="36"/>
          <w:szCs w:val="36"/>
        </w:rPr>
        <w:t>(talk</w:t>
      </w:r>
      <w:r>
        <w:rPr>
          <w:rFonts w:ascii="Times New Roman" w:eastAsia="標楷體" w:hAnsi="Times New Roman"/>
          <w:sz w:val="36"/>
          <w:szCs w:val="36"/>
        </w:rPr>
        <w:t xml:space="preserve"> </w:t>
      </w:r>
      <w:r w:rsidRPr="00A468D8">
        <w:rPr>
          <w:rFonts w:ascii="Times New Roman" w:eastAsia="標楷體" w:hAnsi="Times New Roman"/>
          <w:sz w:val="36"/>
          <w:szCs w:val="36"/>
        </w:rPr>
        <w:t>down)</w:t>
      </w:r>
      <w:r w:rsidRPr="00A468D8">
        <w:rPr>
          <w:rFonts w:ascii="Times New Roman" w:eastAsia="標楷體" w:hAnsi="標楷體" w:hint="eastAsia"/>
          <w:sz w:val="36"/>
          <w:szCs w:val="36"/>
        </w:rPr>
        <w:t>、國際投機客順勢放空日圓、利差交易活絡，</w:t>
      </w:r>
      <w:r>
        <w:rPr>
          <w:rFonts w:ascii="Times New Roman" w:eastAsia="標楷體" w:hAnsi="標楷體" w:hint="eastAsia"/>
          <w:sz w:val="36"/>
          <w:szCs w:val="36"/>
        </w:rPr>
        <w:t>以及</w:t>
      </w:r>
      <w:smartTag w:uri="urn:schemas-microsoft-com:office:smarttags" w:element="chsdate">
        <w:smartTagPr>
          <w:attr w:name="IsROCDate" w:val="False"/>
          <w:attr w:name="IsLunarDate" w:val="False"/>
          <w:attr w:name="Day" w:val="4"/>
          <w:attr w:name="Month" w:val="4"/>
          <w:attr w:name="Year" w:val="2013"/>
        </w:smartTagPr>
        <w:r>
          <w:rPr>
            <w:rFonts w:ascii="Times New Roman" w:eastAsia="標楷體" w:hAnsi="標楷體"/>
            <w:sz w:val="36"/>
            <w:szCs w:val="36"/>
          </w:rPr>
          <w:t>4</w:t>
        </w:r>
        <w:r>
          <w:rPr>
            <w:rFonts w:ascii="Times New Roman" w:eastAsia="標楷體" w:hAnsi="標楷體" w:hint="eastAsia"/>
            <w:sz w:val="36"/>
            <w:szCs w:val="36"/>
          </w:rPr>
          <w:t>月</w:t>
        </w:r>
        <w:r>
          <w:rPr>
            <w:rFonts w:ascii="Times New Roman" w:eastAsia="標楷體" w:hAnsi="標楷體"/>
            <w:sz w:val="36"/>
            <w:szCs w:val="36"/>
          </w:rPr>
          <w:t>4</w:t>
        </w:r>
        <w:r>
          <w:rPr>
            <w:rFonts w:ascii="Times New Roman" w:eastAsia="標楷體" w:hAnsi="標楷體" w:hint="eastAsia"/>
            <w:sz w:val="36"/>
            <w:szCs w:val="36"/>
          </w:rPr>
          <w:t>日</w:t>
        </w:r>
        <w:r w:rsidRPr="00A468D8">
          <w:rPr>
            <w:rFonts w:ascii="Times New Roman" w:eastAsia="標楷體" w:hAnsi="標楷體" w:hint="eastAsia"/>
            <w:sz w:val="36"/>
            <w:szCs w:val="36"/>
          </w:rPr>
          <w:t>日</w:t>
        </w:r>
      </w:smartTag>
      <w:r w:rsidRPr="00A468D8">
        <w:rPr>
          <w:rFonts w:ascii="Times New Roman" w:eastAsia="標楷體" w:hAnsi="標楷體" w:hint="eastAsia"/>
          <w:sz w:val="36"/>
          <w:szCs w:val="36"/>
        </w:rPr>
        <w:t>銀又擴大原先採行的量化寬鬆規模，日圓對美元匯率回貶，今年</w:t>
      </w:r>
      <w:smartTag w:uri="urn:schemas-microsoft-com:office:smarttags" w:element="chsdate">
        <w:smartTagPr>
          <w:attr w:name="IsROCDate" w:val="False"/>
          <w:attr w:name="IsLunarDate" w:val="False"/>
          <w:attr w:name="Day" w:val="22"/>
          <w:attr w:name="Month" w:val="5"/>
          <w:attr w:name="Year" w:val="2013"/>
        </w:smartTagPr>
        <w:r w:rsidRPr="00A468D8">
          <w:rPr>
            <w:rFonts w:ascii="Times New Roman" w:eastAsia="標楷體" w:hAnsi="Times New Roman"/>
            <w:sz w:val="36"/>
            <w:szCs w:val="36"/>
          </w:rPr>
          <w:t>5</w:t>
        </w:r>
        <w:r w:rsidRPr="00A468D8">
          <w:rPr>
            <w:rFonts w:ascii="Times New Roman" w:eastAsia="標楷體" w:hAnsi="標楷體" w:hint="eastAsia"/>
            <w:sz w:val="36"/>
            <w:szCs w:val="36"/>
          </w:rPr>
          <w:t>月</w:t>
        </w:r>
        <w:r w:rsidRPr="00A468D8">
          <w:rPr>
            <w:rFonts w:ascii="Times New Roman" w:eastAsia="標楷體" w:hAnsi="Times New Roman"/>
            <w:sz w:val="36"/>
            <w:szCs w:val="36"/>
          </w:rPr>
          <w:t>22</w:t>
        </w:r>
        <w:r w:rsidRPr="00A468D8">
          <w:rPr>
            <w:rFonts w:ascii="Times New Roman" w:eastAsia="標楷體" w:hAnsi="標楷體" w:hint="eastAsia"/>
            <w:sz w:val="36"/>
            <w:szCs w:val="36"/>
          </w:rPr>
          <w:t>日</w:t>
        </w:r>
      </w:smartTag>
      <w:r w:rsidRPr="00A468D8">
        <w:rPr>
          <w:rFonts w:ascii="Times New Roman" w:eastAsia="標楷體" w:hAnsi="標楷體" w:hint="eastAsia"/>
          <w:sz w:val="36"/>
          <w:szCs w:val="36"/>
        </w:rPr>
        <w:t>貶至</w:t>
      </w:r>
      <w:r w:rsidRPr="00A468D8">
        <w:rPr>
          <w:rFonts w:ascii="Times New Roman" w:eastAsia="標楷體" w:hAnsi="Times New Roman"/>
          <w:sz w:val="36"/>
          <w:szCs w:val="36"/>
        </w:rPr>
        <w:t>102.80</w:t>
      </w:r>
      <w:r w:rsidRPr="00A468D8">
        <w:rPr>
          <w:rFonts w:ascii="Times New Roman" w:eastAsia="標楷體" w:hAnsi="標楷體" w:hint="eastAsia"/>
          <w:sz w:val="36"/>
          <w:szCs w:val="36"/>
        </w:rPr>
        <w:t>。</w:t>
      </w:r>
      <w:smartTag w:uri="urn:schemas-microsoft-com:office:smarttags" w:element="chsdate">
        <w:smartTagPr>
          <w:attr w:name="IsROCDate" w:val="False"/>
          <w:attr w:name="IsLunarDate" w:val="False"/>
          <w:attr w:name="Day" w:val="27"/>
          <w:attr w:name="Month" w:val="6"/>
          <w:attr w:name="Year" w:val="2013"/>
        </w:smartTagPr>
        <w:r w:rsidRPr="00A468D8">
          <w:rPr>
            <w:rFonts w:ascii="Times New Roman" w:eastAsia="標楷體" w:hAnsi="Times New Roman"/>
            <w:sz w:val="36"/>
            <w:szCs w:val="36"/>
          </w:rPr>
          <w:t>6</w:t>
        </w:r>
        <w:r w:rsidRPr="00A468D8">
          <w:rPr>
            <w:rFonts w:ascii="Times New Roman" w:eastAsia="標楷體" w:hAnsi="標楷體" w:hint="eastAsia"/>
            <w:sz w:val="36"/>
            <w:szCs w:val="36"/>
          </w:rPr>
          <w:t>月</w:t>
        </w:r>
        <w:r w:rsidRPr="00A468D8">
          <w:rPr>
            <w:rFonts w:ascii="Times New Roman" w:eastAsia="標楷體" w:hAnsi="Times New Roman"/>
            <w:sz w:val="36"/>
            <w:szCs w:val="36"/>
          </w:rPr>
          <w:t>2</w:t>
        </w:r>
        <w:r>
          <w:rPr>
            <w:rFonts w:ascii="Times New Roman" w:eastAsia="標楷體" w:hAnsi="Times New Roman"/>
            <w:sz w:val="36"/>
            <w:szCs w:val="36"/>
          </w:rPr>
          <w:t>7</w:t>
        </w:r>
        <w:r w:rsidRPr="00A468D8">
          <w:rPr>
            <w:rFonts w:ascii="Times New Roman" w:eastAsia="標楷體" w:hAnsi="標楷體" w:hint="eastAsia"/>
            <w:sz w:val="36"/>
            <w:szCs w:val="36"/>
          </w:rPr>
          <w:t>日</w:t>
        </w:r>
      </w:smartTag>
      <w:r w:rsidRPr="00A468D8">
        <w:rPr>
          <w:rFonts w:ascii="Times New Roman" w:eastAsia="標楷體" w:hAnsi="標楷體" w:hint="eastAsia"/>
          <w:sz w:val="36"/>
          <w:szCs w:val="36"/>
        </w:rPr>
        <w:t>中午，日圓對美元匯</w:t>
      </w:r>
      <w:r w:rsidRPr="00FD294C">
        <w:rPr>
          <w:rFonts w:ascii="Times New Roman" w:eastAsia="標楷體" w:hAnsi="Times New Roman" w:hint="eastAsia"/>
          <w:sz w:val="36"/>
          <w:szCs w:val="36"/>
        </w:rPr>
        <w:t>率再回升至</w:t>
      </w:r>
      <w:r w:rsidRPr="00FD294C">
        <w:rPr>
          <w:rFonts w:ascii="Times New Roman" w:eastAsia="標楷體" w:hAnsi="Times New Roman"/>
          <w:sz w:val="36"/>
          <w:szCs w:val="36"/>
        </w:rPr>
        <w:t>97.75</w:t>
      </w:r>
      <w:r w:rsidRPr="00FD294C">
        <w:rPr>
          <w:rFonts w:ascii="Times New Roman" w:eastAsia="標楷體" w:hAnsi="標楷體" w:hint="eastAsia"/>
          <w:sz w:val="36"/>
          <w:szCs w:val="36"/>
        </w:rPr>
        <w:t>。</w:t>
      </w:r>
      <w:r>
        <w:rPr>
          <w:rFonts w:ascii="Times New Roman" w:eastAsia="標楷體" w:hAnsi="標楷體"/>
          <w:sz w:val="36"/>
          <w:szCs w:val="36"/>
        </w:rPr>
        <w:t>(</w:t>
      </w:r>
      <w:r w:rsidRPr="00FD294C">
        <w:rPr>
          <w:rFonts w:ascii="Times New Roman" w:eastAsia="標楷體" w:hAnsi="Times New Roman" w:hint="eastAsia"/>
          <w:sz w:val="36"/>
          <w:szCs w:val="36"/>
        </w:rPr>
        <w:t>詳見圖</w:t>
      </w:r>
      <w:r w:rsidRPr="00FD294C">
        <w:rPr>
          <w:rFonts w:ascii="Times New Roman" w:eastAsia="標楷體" w:hAnsi="Times New Roman"/>
          <w:sz w:val="36"/>
          <w:szCs w:val="36"/>
        </w:rPr>
        <w:t>1</w:t>
      </w:r>
      <w:r>
        <w:rPr>
          <w:rFonts w:ascii="Times New Roman" w:eastAsia="標楷體" w:hAnsi="Times New Roman"/>
          <w:sz w:val="36"/>
          <w:szCs w:val="36"/>
        </w:rPr>
        <w:t>)</w:t>
      </w:r>
    </w:p>
    <w:p w:rsidR="00FD31ED" w:rsidRPr="00A468D8" w:rsidRDefault="00FD31ED" w:rsidP="00490113">
      <w:pPr>
        <w:snapToGrid w:val="0"/>
        <w:spacing w:beforeLines="50" w:line="600" w:lineRule="exact"/>
        <w:rPr>
          <w:rFonts w:ascii="Times New Roman" w:eastAsia="標楷體" w:hAnsi="Times New Roman"/>
          <w:sz w:val="36"/>
          <w:szCs w:val="36"/>
        </w:rPr>
      </w:pPr>
      <w:r w:rsidRPr="00A468D8">
        <w:rPr>
          <w:rFonts w:ascii="Times New Roman" w:eastAsia="標楷體" w:hAnsi="標楷體" w:hint="eastAsia"/>
          <w:sz w:val="36"/>
          <w:szCs w:val="36"/>
        </w:rPr>
        <w:t>在上述背景下，工具機業一再要求新台幣</w:t>
      </w:r>
      <w:r>
        <w:rPr>
          <w:rFonts w:ascii="Times New Roman" w:eastAsia="標楷體" w:hAnsi="標楷體" w:hint="eastAsia"/>
          <w:sz w:val="36"/>
          <w:szCs w:val="36"/>
        </w:rPr>
        <w:t>應同</w:t>
      </w:r>
      <w:r w:rsidRPr="00A468D8">
        <w:rPr>
          <w:rFonts w:ascii="Times New Roman" w:eastAsia="標楷體" w:hAnsi="標楷體" w:hint="eastAsia"/>
          <w:sz w:val="36"/>
          <w:szCs w:val="36"/>
        </w:rPr>
        <w:t>日圓貶值的聲音。央行充</w:t>
      </w:r>
      <w:r>
        <w:rPr>
          <w:rFonts w:ascii="Times New Roman" w:eastAsia="標楷體" w:hAnsi="標楷體" w:hint="eastAsia"/>
          <w:sz w:val="36"/>
          <w:szCs w:val="36"/>
        </w:rPr>
        <w:t>分</w:t>
      </w:r>
      <w:r w:rsidRPr="00A468D8">
        <w:rPr>
          <w:rFonts w:ascii="Times New Roman" w:eastAsia="標楷體" w:hAnsi="標楷體" w:hint="eastAsia"/>
          <w:sz w:val="36"/>
          <w:szCs w:val="36"/>
        </w:rPr>
        <w:t>瞭解工具機業者的心情</w:t>
      </w:r>
      <w:r>
        <w:rPr>
          <w:rFonts w:ascii="Times New Roman" w:eastAsia="標楷體" w:hAnsi="標楷體" w:hint="eastAsia"/>
          <w:sz w:val="36"/>
          <w:szCs w:val="36"/>
        </w:rPr>
        <w:t>；</w:t>
      </w:r>
      <w:r w:rsidRPr="00A468D8">
        <w:rPr>
          <w:rFonts w:ascii="Times New Roman" w:eastAsia="標楷體" w:hAnsi="標楷體" w:hint="eastAsia"/>
          <w:sz w:val="36"/>
          <w:szCs w:val="36"/>
        </w:rPr>
        <w:t>央行</w:t>
      </w:r>
      <w:r>
        <w:rPr>
          <w:rFonts w:ascii="Times New Roman" w:eastAsia="標楷體" w:hAnsi="標楷體" w:hint="eastAsia"/>
          <w:sz w:val="36"/>
          <w:szCs w:val="36"/>
        </w:rPr>
        <w:t>更</w:t>
      </w:r>
      <w:r w:rsidRPr="00A468D8">
        <w:rPr>
          <w:rFonts w:ascii="Times New Roman" w:eastAsia="標楷體" w:hAnsi="標楷體" w:hint="eastAsia"/>
          <w:sz w:val="36"/>
          <w:szCs w:val="36"/>
        </w:rPr>
        <w:t>希望工具機業者能瞭解</w:t>
      </w:r>
      <w:r>
        <w:rPr>
          <w:rFonts w:ascii="Times New Roman" w:eastAsia="標楷體" w:hAnsi="標楷體" w:hint="eastAsia"/>
          <w:sz w:val="36"/>
          <w:szCs w:val="36"/>
        </w:rPr>
        <w:t>，</w:t>
      </w:r>
      <w:r w:rsidRPr="00A468D8">
        <w:rPr>
          <w:rFonts w:ascii="Times New Roman" w:eastAsia="標楷體" w:hAnsi="標楷體" w:hint="eastAsia"/>
          <w:sz w:val="36"/>
          <w:szCs w:val="36"/>
        </w:rPr>
        <w:t>匯率不但與工具機業者有關，也會影響其</w:t>
      </w:r>
      <w:r>
        <w:rPr>
          <w:rFonts w:ascii="Times New Roman" w:eastAsia="標楷體" w:hAnsi="標楷體" w:hint="eastAsia"/>
          <w:sz w:val="36"/>
          <w:szCs w:val="36"/>
        </w:rPr>
        <w:t>他</w:t>
      </w:r>
      <w:r w:rsidRPr="00A468D8">
        <w:rPr>
          <w:rFonts w:ascii="Times New Roman" w:eastAsia="標楷體" w:hAnsi="標楷體" w:hint="eastAsia"/>
          <w:sz w:val="36"/>
          <w:szCs w:val="36"/>
        </w:rPr>
        <w:t>業者，以及廣大的消費者。</w:t>
      </w:r>
    </w:p>
    <w:p w:rsidR="00FD31ED" w:rsidRPr="006275A5" w:rsidRDefault="00FD31ED" w:rsidP="00490113">
      <w:pPr>
        <w:snapToGrid w:val="0"/>
        <w:spacing w:beforeLines="50" w:afterLines="50"/>
        <w:jc w:val="center"/>
        <w:rPr>
          <w:rFonts w:ascii="Times New Roman" w:eastAsia="標楷體" w:hAnsi="標楷體"/>
          <w:sz w:val="32"/>
          <w:szCs w:val="32"/>
        </w:rPr>
      </w:pPr>
      <w:r w:rsidRPr="006275A5">
        <w:rPr>
          <w:rFonts w:ascii="Times New Roman" w:eastAsia="標楷體" w:hAnsi="標楷體" w:hint="eastAsia"/>
          <w:sz w:val="32"/>
          <w:szCs w:val="32"/>
        </w:rPr>
        <w:t>圖</w:t>
      </w:r>
      <w:r w:rsidRPr="006275A5">
        <w:rPr>
          <w:rFonts w:ascii="Times New Roman" w:eastAsia="標楷體" w:hAnsi="標楷體"/>
          <w:sz w:val="32"/>
          <w:szCs w:val="32"/>
        </w:rPr>
        <w:t xml:space="preserve">1  </w:t>
      </w:r>
      <w:r w:rsidRPr="006275A5">
        <w:rPr>
          <w:rFonts w:ascii="Times New Roman" w:eastAsia="標楷體" w:hAnsi="標楷體" w:hint="eastAsia"/>
          <w:sz w:val="32"/>
          <w:szCs w:val="32"/>
        </w:rPr>
        <w:t>日圓對美元匯率走勢圖</w:t>
      </w:r>
      <w:r w:rsidRPr="006275A5">
        <w:rPr>
          <w:rFonts w:ascii="Times New Roman" w:eastAsia="標楷體" w:hAnsi="標楷體"/>
          <w:sz w:val="32"/>
          <w:szCs w:val="32"/>
        </w:rPr>
        <w:t xml:space="preserve"> (</w:t>
      </w:r>
      <w:smartTag w:uri="urn:schemas-microsoft-com:office:smarttags" w:element="chsdate">
        <w:smartTagPr>
          <w:attr w:name="IsROCDate" w:val="False"/>
          <w:attr w:name="IsLunarDate" w:val="False"/>
          <w:attr w:name="Day" w:val="24"/>
          <w:attr w:name="Month" w:val="6"/>
          <w:attr w:name="Year" w:val="2013"/>
        </w:smartTagPr>
        <w:r w:rsidRPr="006275A5">
          <w:rPr>
            <w:rFonts w:ascii="Times New Roman" w:eastAsia="標楷體" w:hAnsi="標楷體"/>
            <w:sz w:val="32"/>
            <w:szCs w:val="32"/>
          </w:rPr>
          <w:t>2005/1/3</w:t>
        </w:r>
      </w:smartTag>
      <w:r w:rsidRPr="006275A5">
        <w:rPr>
          <w:rFonts w:ascii="Times New Roman" w:eastAsia="標楷體" w:hAnsi="標楷體" w:hint="eastAsia"/>
          <w:sz w:val="32"/>
          <w:szCs w:val="32"/>
        </w:rPr>
        <w:t>至</w:t>
      </w:r>
      <w:smartTag w:uri="urn:schemas-microsoft-com:office:smarttags" w:element="chsdate">
        <w:smartTagPr>
          <w:attr w:name="IsROCDate" w:val="False"/>
          <w:attr w:name="IsLunarDate" w:val="False"/>
          <w:attr w:name="Day" w:val="24"/>
          <w:attr w:name="Month" w:val="6"/>
          <w:attr w:name="Year" w:val="2013"/>
        </w:smartTagPr>
        <w:r w:rsidRPr="006275A5">
          <w:rPr>
            <w:rFonts w:ascii="Times New Roman" w:eastAsia="標楷體" w:hAnsi="標楷體"/>
            <w:sz w:val="32"/>
            <w:szCs w:val="32"/>
          </w:rPr>
          <w:t>2013/6/27</w:t>
        </w:r>
      </w:smartTag>
      <w:r w:rsidRPr="006275A5">
        <w:rPr>
          <w:rFonts w:ascii="Times New Roman" w:eastAsia="標楷體" w:hAnsi="標楷體"/>
          <w:sz w:val="32"/>
          <w:szCs w:val="32"/>
        </w:rPr>
        <w:t>)</w:t>
      </w:r>
    </w:p>
    <w:p w:rsidR="00FD31ED" w:rsidRDefault="00FD31ED" w:rsidP="00490113">
      <w:pPr>
        <w:snapToGrid w:val="0"/>
        <w:spacing w:beforeLines="50" w:afterLines="50"/>
        <w:jc w:val="center"/>
        <w:rPr>
          <w:rFonts w:ascii="Times New Roman" w:eastAsia="標楷體" w:hAnsi="標楷體"/>
          <w:sz w:val="36"/>
          <w:szCs w:val="36"/>
        </w:rPr>
      </w:pPr>
      <w:r w:rsidRPr="007876CA">
        <w:rPr>
          <w:rFonts w:ascii="Times New Roman" w:eastAsia="標楷體" w:hAnsi="標楷體"/>
          <w:sz w:val="36"/>
          <w:szCs w:val="36"/>
        </w:rPr>
        <w:fldChar w:fldCharType="begin"/>
      </w:r>
      <w:r w:rsidRPr="007876CA">
        <w:rPr>
          <w:rFonts w:ascii="Times New Roman" w:eastAsia="標楷體" w:hAnsi="標楷體"/>
          <w:sz w:val="36"/>
          <w:szCs w:val="36"/>
        </w:rPr>
        <w:instrText xml:space="preserve"> LINK Excel.Sheet.8 "C:\\Documents and Settings\\cmtsai\\</w:instrText>
      </w:r>
      <w:r w:rsidRPr="007876CA">
        <w:rPr>
          <w:rFonts w:ascii="Times New Roman" w:eastAsia="標楷體" w:hAnsi="標楷體" w:hint="eastAsia"/>
          <w:sz w:val="36"/>
          <w:szCs w:val="36"/>
        </w:rPr>
        <w:instrText>桌面</w:instrText>
      </w:r>
      <w:r w:rsidRPr="007876CA">
        <w:rPr>
          <w:rFonts w:ascii="Times New Roman" w:eastAsia="標楷體" w:hAnsi="標楷體"/>
          <w:sz w:val="36"/>
          <w:szCs w:val="36"/>
        </w:rPr>
        <w:instrText>\\</w:instrText>
      </w:r>
      <w:r w:rsidRPr="007876CA">
        <w:rPr>
          <w:rFonts w:ascii="Times New Roman" w:eastAsia="標楷體" w:hAnsi="標楷體" w:hint="eastAsia"/>
          <w:sz w:val="36"/>
          <w:szCs w:val="36"/>
        </w:rPr>
        <w:instrText>複本</w:instrText>
      </w:r>
      <w:r w:rsidRPr="007876CA">
        <w:rPr>
          <w:rFonts w:ascii="Times New Roman" w:eastAsia="標楷體" w:hAnsi="標楷體"/>
          <w:sz w:val="36"/>
          <w:szCs w:val="36"/>
        </w:rPr>
        <w:instrText xml:space="preserve"> </w:instrText>
      </w:r>
      <w:r w:rsidRPr="007876CA">
        <w:rPr>
          <w:rFonts w:ascii="Times New Roman" w:eastAsia="標楷體" w:hAnsi="標楷體" w:hint="eastAsia"/>
          <w:sz w:val="36"/>
          <w:szCs w:val="36"/>
        </w:rPr>
        <w:instrText>美元對日圓匯率圖</w:instrText>
      </w:r>
      <w:r w:rsidRPr="007876CA">
        <w:rPr>
          <w:rFonts w:ascii="Times New Roman" w:eastAsia="標楷體" w:hAnsi="標楷體"/>
          <w:sz w:val="36"/>
          <w:szCs w:val="36"/>
        </w:rPr>
        <w:instrText>.xls!</w:instrText>
      </w:r>
      <w:r w:rsidRPr="007876CA">
        <w:rPr>
          <w:rFonts w:ascii="Times New Roman" w:eastAsia="標楷體" w:hAnsi="標楷體" w:hint="eastAsia"/>
          <w:sz w:val="36"/>
          <w:szCs w:val="36"/>
        </w:rPr>
        <w:instrText>匯率</w:instrText>
      </w:r>
      <w:r w:rsidRPr="007876CA">
        <w:rPr>
          <w:rFonts w:ascii="Times New Roman" w:eastAsia="標楷體" w:hAnsi="標楷體"/>
          <w:sz w:val="36"/>
          <w:szCs w:val="36"/>
        </w:rPr>
        <w:instrText>![</w:instrText>
      </w:r>
      <w:r w:rsidRPr="007876CA">
        <w:rPr>
          <w:rFonts w:ascii="Times New Roman" w:eastAsia="標楷體" w:hAnsi="標楷體" w:hint="eastAsia"/>
          <w:sz w:val="36"/>
          <w:szCs w:val="36"/>
        </w:rPr>
        <w:instrText>複本</w:instrText>
      </w:r>
      <w:r w:rsidRPr="007876CA">
        <w:rPr>
          <w:rFonts w:ascii="Times New Roman" w:eastAsia="標楷體" w:hAnsi="標楷體"/>
          <w:sz w:val="36"/>
          <w:szCs w:val="36"/>
        </w:rPr>
        <w:instrText xml:space="preserve"> </w:instrText>
      </w:r>
      <w:r w:rsidRPr="007876CA">
        <w:rPr>
          <w:rFonts w:ascii="Times New Roman" w:eastAsia="標楷體" w:hAnsi="標楷體" w:hint="eastAsia"/>
          <w:sz w:val="36"/>
          <w:szCs w:val="36"/>
        </w:rPr>
        <w:instrText>美元對日圓匯率圖</w:instrText>
      </w:r>
      <w:r w:rsidRPr="007876CA">
        <w:rPr>
          <w:rFonts w:ascii="Times New Roman" w:eastAsia="標楷體" w:hAnsi="標楷體"/>
          <w:sz w:val="36"/>
          <w:szCs w:val="36"/>
        </w:rPr>
        <w:instrText>.xls]</w:instrText>
      </w:r>
      <w:r w:rsidRPr="007876CA">
        <w:rPr>
          <w:rFonts w:ascii="Times New Roman" w:eastAsia="標楷體" w:hAnsi="標楷體" w:hint="eastAsia"/>
          <w:sz w:val="36"/>
          <w:szCs w:val="36"/>
        </w:rPr>
        <w:instrText>匯率</w:instrText>
      </w:r>
      <w:r w:rsidRPr="007876CA">
        <w:rPr>
          <w:rFonts w:ascii="Times New Roman" w:eastAsia="標楷體" w:hAnsi="標楷體"/>
          <w:sz w:val="36"/>
          <w:szCs w:val="36"/>
        </w:rPr>
        <w:instrText xml:space="preserve"> </w:instrText>
      </w:r>
      <w:r w:rsidRPr="007876CA">
        <w:rPr>
          <w:rFonts w:ascii="Times New Roman" w:eastAsia="標楷體" w:hAnsi="標楷體" w:hint="eastAsia"/>
          <w:sz w:val="36"/>
          <w:szCs w:val="36"/>
        </w:rPr>
        <w:instrText>圖表</w:instrText>
      </w:r>
      <w:r w:rsidRPr="007876CA">
        <w:rPr>
          <w:rFonts w:ascii="Times New Roman" w:eastAsia="標楷體" w:hAnsi="標楷體"/>
          <w:sz w:val="36"/>
          <w:szCs w:val="36"/>
        </w:rPr>
        <w:instrText xml:space="preserve"> 1" "" \a \p </w:instrText>
      </w:r>
      <w:r w:rsidRPr="007876CA">
        <w:rPr>
          <w:rFonts w:ascii="Times New Roman" w:eastAsia="標楷體" w:hAnsi="標楷體"/>
          <w:sz w:val="36"/>
          <w:szCs w:val="36"/>
        </w:rPr>
        <w:fldChar w:fldCharType="separate"/>
      </w:r>
      <w:r w:rsidRPr="003A029E">
        <w:rPr>
          <w:rFonts w:ascii="Times New Roman" w:eastAsia="標楷體" w:hAnsi="標楷體"/>
          <w:sz w:val="36"/>
          <w:szCs w:val="36"/>
        </w:rPr>
        <w:object w:dxaOrig="12435" w:dyaOrig="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75pt;height:350.25pt">
            <v:imagedata r:id="rId7" o:title=""/>
          </v:shape>
        </w:object>
      </w:r>
      <w:r w:rsidRPr="007876CA">
        <w:rPr>
          <w:rFonts w:ascii="Times New Roman" w:eastAsia="標楷體" w:hAnsi="標楷體"/>
          <w:sz w:val="36"/>
          <w:szCs w:val="36"/>
        </w:rPr>
        <w:fldChar w:fldCharType="end"/>
      </w:r>
    </w:p>
    <w:p w:rsidR="00FD31ED" w:rsidRDefault="00FD31ED" w:rsidP="00490113">
      <w:pPr>
        <w:snapToGrid w:val="0"/>
        <w:spacing w:beforeLines="50" w:afterLines="50" w:line="600" w:lineRule="exact"/>
        <w:rPr>
          <w:rFonts w:ascii="Times New Roman" w:eastAsia="標楷體" w:hAnsi="標楷體"/>
          <w:sz w:val="36"/>
          <w:szCs w:val="36"/>
        </w:rPr>
      </w:pPr>
      <w:r>
        <w:rPr>
          <w:rFonts w:ascii="Times New Roman" w:eastAsia="標楷體" w:hAnsi="標楷體" w:hint="eastAsia"/>
          <w:sz w:val="36"/>
          <w:szCs w:val="36"/>
        </w:rPr>
        <w:t>詳細</w:t>
      </w:r>
      <w:r w:rsidRPr="00A468D8">
        <w:rPr>
          <w:rFonts w:ascii="Times New Roman" w:eastAsia="標楷體" w:hAnsi="標楷體" w:hint="eastAsia"/>
          <w:sz w:val="36"/>
          <w:szCs w:val="36"/>
        </w:rPr>
        <w:t>分析如下</w:t>
      </w:r>
      <w:r>
        <w:rPr>
          <w:rFonts w:ascii="Times New Roman" w:eastAsia="標楷體" w:hAnsi="標楷體" w:hint="eastAsia"/>
          <w:sz w:val="36"/>
          <w:szCs w:val="36"/>
        </w:rPr>
        <w:t>：</w:t>
      </w:r>
    </w:p>
    <w:p w:rsidR="00FD31ED" w:rsidRPr="00FD294C" w:rsidRDefault="00FD31ED" w:rsidP="00490113">
      <w:pPr>
        <w:snapToGrid w:val="0"/>
        <w:spacing w:afterLines="50" w:line="600" w:lineRule="exact"/>
        <w:rPr>
          <w:rFonts w:ascii="Times New Roman" w:eastAsia="標楷體" w:hAnsi="Times New Roman"/>
          <w:sz w:val="36"/>
          <w:szCs w:val="36"/>
        </w:rPr>
      </w:pPr>
      <w:r w:rsidRPr="00FD294C">
        <w:rPr>
          <w:rFonts w:ascii="Times New Roman" w:eastAsia="標楷體" w:hAnsi="標楷體" w:hint="eastAsia"/>
          <w:sz w:val="36"/>
          <w:szCs w:val="36"/>
        </w:rPr>
        <w:t>新台幣匯率如對美元貶值</w:t>
      </w:r>
      <w:r w:rsidRPr="00FD294C">
        <w:rPr>
          <w:rFonts w:ascii="Times New Roman" w:eastAsia="標楷體" w:hAnsi="Times New Roman"/>
          <w:sz w:val="36"/>
          <w:szCs w:val="36"/>
        </w:rPr>
        <w:t>1%</w:t>
      </w:r>
      <w:r w:rsidRPr="00FD294C">
        <w:rPr>
          <w:rFonts w:ascii="Times New Roman" w:eastAsia="標楷體" w:hAnsi="標楷體" w:hint="eastAsia"/>
          <w:sz w:val="36"/>
          <w:szCs w:val="36"/>
        </w:rPr>
        <w:t>，工具機業者出口所得美元，換成新台幣收益增加</w:t>
      </w:r>
      <w:r w:rsidRPr="00FD294C">
        <w:rPr>
          <w:rFonts w:ascii="Times New Roman" w:eastAsia="標楷體" w:hAnsi="Times New Roman"/>
          <w:sz w:val="36"/>
          <w:szCs w:val="36"/>
        </w:rPr>
        <w:t>1%</w:t>
      </w:r>
      <w:r w:rsidRPr="00FD294C">
        <w:rPr>
          <w:rFonts w:ascii="Times New Roman" w:eastAsia="標楷體" w:hAnsi="標楷體" w:hint="eastAsia"/>
          <w:sz w:val="36"/>
          <w:szCs w:val="36"/>
        </w:rPr>
        <w:t>。但進口業者，如中油公司，每支付一塊美金的新台幣，就需要增加</w:t>
      </w:r>
      <w:r w:rsidRPr="00FD294C">
        <w:rPr>
          <w:rFonts w:ascii="Times New Roman" w:eastAsia="標楷體" w:hAnsi="Times New Roman"/>
          <w:sz w:val="36"/>
          <w:szCs w:val="36"/>
        </w:rPr>
        <w:t>1%</w:t>
      </w:r>
      <w:r>
        <w:rPr>
          <w:rFonts w:ascii="Times New Roman" w:eastAsia="標楷體" w:hAnsi="標楷體" w:hint="eastAsia"/>
          <w:sz w:val="36"/>
          <w:szCs w:val="36"/>
        </w:rPr>
        <w:t>；而</w:t>
      </w:r>
      <w:r w:rsidRPr="00FD294C">
        <w:rPr>
          <w:rFonts w:ascii="Times New Roman" w:eastAsia="標楷體" w:hAnsi="Times New Roman"/>
          <w:sz w:val="36"/>
          <w:szCs w:val="36"/>
        </w:rPr>
        <w:t>1</w:t>
      </w:r>
      <w:r w:rsidRPr="00FD294C">
        <w:rPr>
          <w:rFonts w:ascii="Times New Roman" w:eastAsia="標楷體" w:hAnsi="標楷體" w:hint="eastAsia"/>
          <w:sz w:val="36"/>
          <w:szCs w:val="36"/>
        </w:rPr>
        <w:t>千</w:t>
      </w:r>
      <w:r w:rsidRPr="00FD294C">
        <w:rPr>
          <w:rFonts w:ascii="Times New Roman" w:eastAsia="標楷體" w:hAnsi="Times New Roman"/>
          <w:sz w:val="36"/>
          <w:szCs w:val="36"/>
        </w:rPr>
        <w:t>5</w:t>
      </w:r>
      <w:r w:rsidRPr="00FD294C">
        <w:rPr>
          <w:rFonts w:ascii="Times New Roman" w:eastAsia="標楷體" w:hAnsi="標楷體" w:hint="eastAsia"/>
          <w:sz w:val="36"/>
          <w:szCs w:val="36"/>
        </w:rPr>
        <w:t>百萬機車族，每次加油，油錢</w:t>
      </w:r>
      <w:r>
        <w:rPr>
          <w:rFonts w:ascii="Times New Roman" w:eastAsia="標楷體" w:hAnsi="標楷體" w:hint="eastAsia"/>
          <w:sz w:val="36"/>
          <w:szCs w:val="36"/>
        </w:rPr>
        <w:t>可能</w:t>
      </w:r>
      <w:r w:rsidRPr="00FD294C">
        <w:rPr>
          <w:rFonts w:ascii="Times New Roman" w:eastAsia="標楷體" w:hAnsi="標楷體" w:hint="eastAsia"/>
          <w:sz w:val="36"/>
          <w:szCs w:val="36"/>
        </w:rPr>
        <w:t>要增加</w:t>
      </w:r>
      <w:r w:rsidRPr="00FD294C">
        <w:rPr>
          <w:rFonts w:ascii="Times New Roman" w:eastAsia="標楷體" w:hAnsi="Times New Roman"/>
          <w:sz w:val="36"/>
          <w:szCs w:val="36"/>
        </w:rPr>
        <w:t>1%</w:t>
      </w:r>
      <w:r w:rsidRPr="00FD294C">
        <w:rPr>
          <w:rFonts w:ascii="Times New Roman" w:eastAsia="標楷體" w:hAnsi="標楷體" w:hint="eastAsia"/>
          <w:sz w:val="36"/>
          <w:szCs w:val="36"/>
        </w:rPr>
        <w:t>，他們是沈默的大眾</w:t>
      </w:r>
      <w:r w:rsidRPr="00FD294C">
        <w:rPr>
          <w:rFonts w:ascii="Times New Roman" w:eastAsia="標楷體" w:hAnsi="Times New Roman"/>
          <w:sz w:val="36"/>
          <w:szCs w:val="36"/>
        </w:rPr>
        <w:t>(silent majority)</w:t>
      </w:r>
      <w:r w:rsidRPr="00FD294C">
        <w:rPr>
          <w:rFonts w:ascii="Times New Roman" w:eastAsia="標楷體" w:hAnsi="標楷體" w:hint="eastAsia"/>
          <w:sz w:val="36"/>
          <w:szCs w:val="36"/>
        </w:rPr>
        <w:t>。</w:t>
      </w:r>
    </w:p>
    <w:p w:rsidR="00FD31ED" w:rsidRPr="00FD294C" w:rsidRDefault="00FD31ED" w:rsidP="00FD294C">
      <w:pPr>
        <w:snapToGrid w:val="0"/>
        <w:spacing w:after="120" w:line="600" w:lineRule="exact"/>
        <w:rPr>
          <w:rFonts w:ascii="Times New Roman" w:eastAsia="標楷體" w:hAnsi="Times New Roman"/>
          <w:sz w:val="36"/>
          <w:szCs w:val="36"/>
        </w:rPr>
      </w:pPr>
      <w:r w:rsidRPr="00A468D8">
        <w:rPr>
          <w:rFonts w:ascii="Times New Roman" w:eastAsia="標楷體" w:hAnsi="標楷體" w:hint="eastAsia"/>
          <w:sz w:val="36"/>
          <w:szCs w:val="36"/>
        </w:rPr>
        <w:t>新台幣匯率不能同時貶值又升值。新台幣匯率是一種價格</w:t>
      </w:r>
      <w:r>
        <w:rPr>
          <w:rFonts w:ascii="Times New Roman" w:eastAsia="標楷體" w:hAnsi="標楷體" w:hint="eastAsia"/>
          <w:sz w:val="36"/>
          <w:szCs w:val="36"/>
        </w:rPr>
        <w:t>，</w:t>
      </w:r>
      <w:r w:rsidRPr="00A468D8">
        <w:rPr>
          <w:rFonts w:ascii="Times New Roman" w:eastAsia="標楷體" w:hAnsi="標楷體" w:hint="eastAsia"/>
          <w:sz w:val="36"/>
          <w:szCs w:val="36"/>
        </w:rPr>
        <w:t>宜由外匯市場供需決定</w:t>
      </w:r>
      <w:r>
        <w:rPr>
          <w:rFonts w:ascii="Times New Roman" w:eastAsia="標楷體" w:hAnsi="標楷體" w:hint="eastAsia"/>
          <w:sz w:val="36"/>
          <w:szCs w:val="36"/>
        </w:rPr>
        <w:t>其</w:t>
      </w:r>
      <w:r w:rsidRPr="00A468D8">
        <w:rPr>
          <w:rFonts w:ascii="Times New Roman" w:eastAsia="標楷體" w:hAnsi="標楷體" w:hint="eastAsia"/>
          <w:sz w:val="36"/>
          <w:szCs w:val="36"/>
        </w:rPr>
        <w:t>價</w:t>
      </w:r>
      <w:r w:rsidRPr="00FD294C">
        <w:rPr>
          <w:rFonts w:ascii="Times New Roman" w:eastAsia="標楷體" w:hAnsi="標楷體" w:hint="eastAsia"/>
          <w:sz w:val="36"/>
          <w:szCs w:val="36"/>
        </w:rPr>
        <w:t>格。如過度波動或產生失序變動</w:t>
      </w:r>
      <w:r w:rsidRPr="00FD294C">
        <w:rPr>
          <w:rFonts w:ascii="Times New Roman" w:eastAsia="標楷體" w:hAnsi="Times New Roman"/>
          <w:sz w:val="36"/>
          <w:szCs w:val="36"/>
        </w:rPr>
        <w:t xml:space="preserve">(disorderly </w:t>
      </w:r>
      <w:bookmarkStart w:id="0" w:name="_GoBack"/>
      <w:r w:rsidRPr="00FD294C">
        <w:rPr>
          <w:rFonts w:ascii="Times New Roman" w:eastAsia="標楷體" w:hAnsi="Times New Roman"/>
          <w:sz w:val="36"/>
          <w:szCs w:val="36"/>
        </w:rPr>
        <w:t>movements</w:t>
      </w:r>
      <w:bookmarkEnd w:id="0"/>
      <w:r w:rsidRPr="00FD294C">
        <w:rPr>
          <w:rFonts w:ascii="Times New Roman" w:eastAsia="標楷體" w:hAnsi="Times New Roman"/>
          <w:sz w:val="36"/>
          <w:szCs w:val="36"/>
        </w:rPr>
        <w:t>)</w:t>
      </w:r>
      <w:r w:rsidRPr="00FD294C">
        <w:rPr>
          <w:rFonts w:ascii="Times New Roman" w:eastAsia="標楷體" w:hAnsi="標楷體" w:hint="eastAsia"/>
          <w:sz w:val="36"/>
          <w:szCs w:val="36"/>
        </w:rPr>
        <w:t>，央行會維持外匯市場的秩序</w:t>
      </w:r>
      <w:r>
        <w:rPr>
          <w:rStyle w:val="FootnoteReference"/>
          <w:rFonts w:ascii="Times New Roman" w:eastAsia="標楷體" w:hAnsi="標楷體"/>
          <w:sz w:val="36"/>
          <w:szCs w:val="36"/>
        </w:rPr>
        <w:footnoteReference w:id="3"/>
      </w:r>
      <w:r w:rsidRPr="00FD294C">
        <w:rPr>
          <w:rFonts w:ascii="Times New Roman" w:eastAsia="標楷體" w:hAnsi="標楷體" w:hint="eastAsia"/>
          <w:sz w:val="36"/>
          <w:szCs w:val="36"/>
        </w:rPr>
        <w:t>。</w:t>
      </w:r>
    </w:p>
    <w:p w:rsidR="00FD31ED" w:rsidRDefault="00FD31ED" w:rsidP="00FD294C">
      <w:pPr>
        <w:snapToGrid w:val="0"/>
        <w:spacing w:after="120" w:line="600" w:lineRule="exact"/>
        <w:rPr>
          <w:rFonts w:ascii="Times New Roman" w:eastAsia="標楷體" w:hAnsi="標楷體"/>
          <w:sz w:val="36"/>
          <w:szCs w:val="36"/>
        </w:rPr>
      </w:pPr>
    </w:p>
    <w:p w:rsidR="00FD31ED" w:rsidRDefault="00FD31ED" w:rsidP="00FD294C">
      <w:pPr>
        <w:snapToGrid w:val="0"/>
        <w:spacing w:after="120" w:line="600" w:lineRule="exact"/>
        <w:rPr>
          <w:rFonts w:ascii="Times New Roman" w:eastAsia="標楷體" w:hAnsi="標楷體"/>
          <w:sz w:val="36"/>
          <w:szCs w:val="36"/>
        </w:rPr>
      </w:pPr>
    </w:p>
    <w:p w:rsidR="00FD31ED" w:rsidRDefault="00FD31ED" w:rsidP="00FD294C">
      <w:pPr>
        <w:snapToGrid w:val="0"/>
        <w:spacing w:after="120" w:line="600" w:lineRule="exact"/>
        <w:rPr>
          <w:rFonts w:ascii="Times New Roman" w:eastAsia="標楷體" w:hAnsi="標楷體"/>
          <w:sz w:val="36"/>
          <w:szCs w:val="36"/>
        </w:rPr>
      </w:pPr>
    </w:p>
    <w:p w:rsidR="00FD31ED" w:rsidRDefault="00FD31ED" w:rsidP="00FD294C">
      <w:pPr>
        <w:snapToGrid w:val="0"/>
        <w:spacing w:after="120" w:line="600" w:lineRule="exact"/>
        <w:rPr>
          <w:rFonts w:ascii="Times New Roman" w:eastAsia="標楷體" w:hAnsi="標楷體"/>
          <w:sz w:val="36"/>
          <w:szCs w:val="36"/>
        </w:rPr>
      </w:pPr>
      <w:r w:rsidRPr="00A468D8">
        <w:rPr>
          <w:rFonts w:ascii="Times New Roman" w:eastAsia="標楷體" w:hAnsi="標楷體" w:hint="eastAsia"/>
          <w:sz w:val="36"/>
          <w:szCs w:val="36"/>
        </w:rPr>
        <w:t>過去數年來，與其他主要貨幣</w:t>
      </w:r>
      <w:r>
        <w:rPr>
          <w:rFonts w:ascii="Times New Roman" w:eastAsia="標楷體" w:hAnsi="標楷體" w:hint="eastAsia"/>
          <w:sz w:val="36"/>
          <w:szCs w:val="36"/>
        </w:rPr>
        <w:t>相</w:t>
      </w:r>
      <w:r w:rsidRPr="00A468D8">
        <w:rPr>
          <w:rFonts w:ascii="Times New Roman" w:eastAsia="標楷體" w:hAnsi="標楷體" w:hint="eastAsia"/>
          <w:sz w:val="36"/>
          <w:szCs w:val="36"/>
        </w:rPr>
        <w:t>較，新台幣匯率維持相對穩定，詳見表</w:t>
      </w:r>
      <w:r>
        <w:rPr>
          <w:rFonts w:ascii="Times New Roman" w:eastAsia="標楷體" w:hAnsi="標楷體"/>
          <w:sz w:val="36"/>
          <w:szCs w:val="36"/>
        </w:rPr>
        <w:t>1</w:t>
      </w:r>
      <w:r w:rsidRPr="00A468D8">
        <w:rPr>
          <w:rFonts w:ascii="Times New Roman" w:eastAsia="標楷體" w:hAnsi="標楷體" w:hint="eastAsia"/>
          <w:sz w:val="36"/>
          <w:szCs w:val="36"/>
        </w:rPr>
        <w:t>。</w:t>
      </w:r>
    </w:p>
    <w:p w:rsidR="00FD31ED" w:rsidRPr="00EF48FE" w:rsidRDefault="00FD31ED" w:rsidP="00490113">
      <w:pPr>
        <w:snapToGrid w:val="0"/>
        <w:spacing w:beforeLines="100"/>
        <w:jc w:val="center"/>
        <w:rPr>
          <w:rFonts w:ascii="標楷體" w:eastAsia="標楷體" w:hAnsi="標楷體"/>
          <w:b/>
          <w:sz w:val="28"/>
          <w:szCs w:val="28"/>
        </w:rPr>
      </w:pPr>
      <w:r w:rsidRPr="00D75A1A">
        <w:rPr>
          <w:rFonts w:ascii="Times New Roman" w:eastAsia="標楷體" w:hAnsi="Times New Roman" w:hint="eastAsia"/>
          <w:b/>
          <w:sz w:val="28"/>
          <w:szCs w:val="28"/>
        </w:rPr>
        <w:t>表</w:t>
      </w:r>
      <w:r>
        <w:rPr>
          <w:rFonts w:ascii="Times New Roman" w:eastAsia="標楷體" w:hAnsi="Times New Roman"/>
          <w:b/>
          <w:sz w:val="28"/>
          <w:szCs w:val="28"/>
        </w:rPr>
        <w:t xml:space="preserve">1  </w:t>
      </w:r>
      <w:r w:rsidRPr="00EF48FE">
        <w:rPr>
          <w:rFonts w:ascii="標楷體" w:eastAsia="標楷體" w:hAnsi="標楷體" w:hint="eastAsia"/>
          <w:b/>
          <w:sz w:val="28"/>
          <w:szCs w:val="28"/>
        </w:rPr>
        <w:t>主要幣別匯率平均波動幅度</w:t>
      </w:r>
    </w:p>
    <w:p w:rsidR="00FD31ED" w:rsidRPr="003A7114" w:rsidRDefault="00FD31ED" w:rsidP="00166589">
      <w:pPr>
        <w:snapToGrid w:val="0"/>
        <w:jc w:val="center"/>
        <w:rPr>
          <w:rFonts w:ascii="Times New Roman" w:eastAsia="標楷體" w:hAnsi="Times New Roman"/>
        </w:rPr>
      </w:pPr>
      <w:r w:rsidRPr="003A7114">
        <w:rPr>
          <w:rFonts w:ascii="Times New Roman" w:eastAsia="標楷體" w:hAnsi="Times New Roman"/>
        </w:rPr>
        <w:t>(</w:t>
      </w:r>
      <w:r w:rsidRPr="003A7114">
        <w:rPr>
          <w:rFonts w:ascii="Times New Roman" w:eastAsia="標楷體" w:hAnsi="Times New Roman" w:hint="eastAsia"/>
        </w:rPr>
        <w:t>各年底至</w:t>
      </w:r>
      <w:smartTag w:uri="urn:schemas-microsoft-com:office:smarttags" w:element="chsdate">
        <w:smartTagPr>
          <w:attr w:name="IsROCDate" w:val="False"/>
          <w:attr w:name="IsLunarDate" w:val="False"/>
          <w:attr w:name="Day" w:val="24"/>
          <w:attr w:name="Month" w:val="6"/>
          <w:attr w:name="Year" w:val="2013"/>
        </w:smartTagPr>
        <w:r w:rsidRPr="003A7114">
          <w:rPr>
            <w:rFonts w:ascii="Times New Roman" w:eastAsia="標楷體" w:hAnsi="Times New Roman"/>
          </w:rPr>
          <w:t>2013</w:t>
        </w:r>
        <w:r w:rsidRPr="003A7114">
          <w:rPr>
            <w:rFonts w:ascii="Times New Roman" w:eastAsia="標楷體" w:hAnsi="Times New Roman" w:hint="eastAsia"/>
          </w:rPr>
          <w:t>年</w:t>
        </w:r>
        <w:r w:rsidRPr="003A7114">
          <w:rPr>
            <w:rFonts w:ascii="Times New Roman" w:eastAsia="標楷體" w:hAnsi="Times New Roman"/>
          </w:rPr>
          <w:t>6</w:t>
        </w:r>
        <w:r w:rsidRPr="003A7114">
          <w:rPr>
            <w:rFonts w:ascii="Times New Roman" w:eastAsia="標楷體" w:hAnsi="Times New Roman" w:hint="eastAsia"/>
          </w:rPr>
          <w:t>月</w:t>
        </w:r>
        <w:r>
          <w:rPr>
            <w:rFonts w:ascii="Times New Roman" w:eastAsia="標楷體" w:hAnsi="Times New Roman"/>
          </w:rPr>
          <w:t>2</w:t>
        </w:r>
        <w:r w:rsidRPr="003A7114">
          <w:rPr>
            <w:rFonts w:ascii="Times New Roman" w:eastAsia="標楷體" w:hAnsi="Times New Roman"/>
          </w:rPr>
          <w:t>4</w:t>
        </w:r>
        <w:r w:rsidRPr="003A7114">
          <w:rPr>
            <w:rFonts w:ascii="Times New Roman" w:eastAsia="標楷體" w:hAnsi="Times New Roman" w:hint="eastAsia"/>
          </w:rPr>
          <w:t>日</w:t>
        </w:r>
      </w:smartTag>
      <w:r w:rsidRPr="003A7114">
        <w:rPr>
          <w:rFonts w:ascii="Times New Roman" w:eastAsia="標楷體" w:hAnsi="Times New Roman"/>
        </w:rPr>
        <w:t>)</w:t>
      </w:r>
    </w:p>
    <w:p w:rsidR="00FD31ED" w:rsidRPr="00A065AD" w:rsidRDefault="00FD31ED" w:rsidP="00166589">
      <w:pPr>
        <w:snapToGrid w:val="0"/>
        <w:ind w:left="11340" w:rightChars="263" w:right="631" w:hanging="4252"/>
        <w:jc w:val="center"/>
        <w:rPr>
          <w:rFonts w:ascii="標楷體" w:eastAsia="標楷體" w:hAnsi="標楷體"/>
          <w:szCs w:val="24"/>
        </w:rPr>
      </w:pPr>
      <w:r>
        <w:rPr>
          <w:rFonts w:ascii="標楷體" w:eastAsia="標楷體" w:hAnsi="標楷體"/>
          <w:sz w:val="28"/>
          <w:szCs w:val="28"/>
        </w:rPr>
        <w:t xml:space="preserve">                             </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Pr="00A065AD">
        <w:rPr>
          <w:rFonts w:ascii="標楷體" w:eastAsia="標楷體" w:hAnsi="標楷體" w:hint="eastAsia"/>
          <w:szCs w:val="24"/>
        </w:rPr>
        <w:t>單位：</w:t>
      </w:r>
      <w:r w:rsidRPr="00A065AD">
        <w:rPr>
          <w:rFonts w:ascii="標楷體" w:eastAsia="標楷體" w:hAnsi="標楷體"/>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3"/>
        <w:gridCol w:w="2693"/>
        <w:gridCol w:w="2693"/>
        <w:gridCol w:w="2693"/>
        <w:gridCol w:w="2694"/>
      </w:tblGrid>
      <w:tr w:rsidR="00FD31ED" w:rsidRPr="00513B6D" w:rsidTr="004B6B77">
        <w:tc>
          <w:tcPr>
            <w:tcW w:w="2693" w:type="dxa"/>
            <w:tcBorders>
              <w:left w:val="nil"/>
            </w:tcBorders>
            <w:vAlign w:val="center"/>
          </w:tcPr>
          <w:p w:rsidR="00FD31ED" w:rsidRPr="00513B6D" w:rsidRDefault="00FD31ED" w:rsidP="004B6B77">
            <w:pPr>
              <w:snapToGrid w:val="0"/>
              <w:jc w:val="center"/>
              <w:rPr>
                <w:rFonts w:ascii="Times New Roman" w:eastAsia="標楷體" w:hAnsi="Times New Roman"/>
                <w:kern w:val="0"/>
                <w:sz w:val="28"/>
                <w:szCs w:val="28"/>
              </w:rPr>
            </w:pPr>
          </w:p>
        </w:tc>
        <w:tc>
          <w:tcPr>
            <w:tcW w:w="2693" w:type="dxa"/>
            <w:tcBorders>
              <w:left w:val="nil"/>
              <w:right w:val="nil"/>
            </w:tcBorders>
            <w:vAlign w:val="center"/>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2010</w:t>
            </w:r>
            <w:r w:rsidRPr="00513B6D">
              <w:rPr>
                <w:rFonts w:ascii="Times New Roman" w:eastAsia="標楷體" w:hAnsi="Times New Roman" w:hint="eastAsia"/>
                <w:kern w:val="0"/>
                <w:sz w:val="28"/>
                <w:szCs w:val="28"/>
              </w:rPr>
              <w:t>年底</w:t>
            </w:r>
          </w:p>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至</w:t>
            </w:r>
            <w:smartTag w:uri="urn:schemas-microsoft-com:office:smarttags" w:element="chsdate">
              <w:smartTagPr>
                <w:attr w:name="IsROCDate" w:val="False"/>
                <w:attr w:name="IsLunarDate" w:val="False"/>
                <w:attr w:name="Day" w:val="24"/>
                <w:attr w:name="Month" w:val="6"/>
                <w:attr w:name="Year" w:val="2013"/>
              </w:smartTagPr>
              <w:r w:rsidRPr="00513B6D">
                <w:rPr>
                  <w:rFonts w:ascii="Times New Roman" w:eastAsia="標楷體" w:hAnsi="Times New Roman"/>
                  <w:kern w:val="0"/>
                  <w:sz w:val="28"/>
                  <w:szCs w:val="28"/>
                </w:rPr>
                <w:t>2013/6/24</w:t>
              </w:r>
            </w:smartTag>
          </w:p>
        </w:tc>
        <w:tc>
          <w:tcPr>
            <w:tcW w:w="2693" w:type="dxa"/>
            <w:tcBorders>
              <w:left w:val="nil"/>
            </w:tcBorders>
            <w:vAlign w:val="center"/>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2011</w:t>
            </w:r>
            <w:r w:rsidRPr="00513B6D">
              <w:rPr>
                <w:rFonts w:ascii="Times New Roman" w:eastAsia="標楷體" w:hAnsi="Times New Roman" w:hint="eastAsia"/>
                <w:kern w:val="0"/>
                <w:sz w:val="28"/>
                <w:szCs w:val="28"/>
              </w:rPr>
              <w:t>年底</w:t>
            </w:r>
          </w:p>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至</w:t>
            </w:r>
            <w:smartTag w:uri="urn:schemas-microsoft-com:office:smarttags" w:element="chsdate">
              <w:smartTagPr>
                <w:attr w:name="IsROCDate" w:val="False"/>
                <w:attr w:name="IsLunarDate" w:val="False"/>
                <w:attr w:name="Day" w:val="24"/>
                <w:attr w:name="Month" w:val="6"/>
                <w:attr w:name="Year" w:val="2013"/>
              </w:smartTagPr>
              <w:r w:rsidRPr="00513B6D">
                <w:rPr>
                  <w:rFonts w:ascii="Times New Roman" w:eastAsia="標楷體" w:hAnsi="Times New Roman"/>
                  <w:kern w:val="0"/>
                  <w:sz w:val="28"/>
                  <w:szCs w:val="28"/>
                </w:rPr>
                <w:t>2013/6/24</w:t>
              </w:r>
            </w:smartTag>
          </w:p>
        </w:tc>
        <w:tc>
          <w:tcPr>
            <w:tcW w:w="2693" w:type="dxa"/>
            <w:vAlign w:val="center"/>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2012</w:t>
            </w:r>
            <w:r w:rsidRPr="00513B6D">
              <w:rPr>
                <w:rFonts w:ascii="Times New Roman" w:eastAsia="標楷體" w:hAnsi="Times New Roman" w:hint="eastAsia"/>
                <w:kern w:val="0"/>
                <w:sz w:val="28"/>
                <w:szCs w:val="28"/>
              </w:rPr>
              <w:t>年底</w:t>
            </w:r>
          </w:p>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至</w:t>
            </w:r>
            <w:smartTag w:uri="urn:schemas-microsoft-com:office:smarttags" w:element="chsdate">
              <w:smartTagPr>
                <w:attr w:name="IsROCDate" w:val="False"/>
                <w:attr w:name="IsLunarDate" w:val="False"/>
                <w:attr w:name="Day" w:val="24"/>
                <w:attr w:name="Month" w:val="6"/>
                <w:attr w:name="Year" w:val="2013"/>
              </w:smartTagPr>
              <w:r w:rsidRPr="00513B6D">
                <w:rPr>
                  <w:rFonts w:ascii="Times New Roman" w:eastAsia="標楷體" w:hAnsi="Times New Roman"/>
                  <w:kern w:val="0"/>
                  <w:sz w:val="28"/>
                  <w:szCs w:val="28"/>
                </w:rPr>
                <w:t>2013/6/24</w:t>
              </w:r>
            </w:smartTag>
          </w:p>
        </w:tc>
        <w:tc>
          <w:tcPr>
            <w:tcW w:w="2694" w:type="dxa"/>
            <w:tcBorders>
              <w:right w:val="nil"/>
            </w:tcBorders>
            <w:vAlign w:val="center"/>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倍數</w:t>
            </w:r>
          </w:p>
        </w:tc>
      </w:tr>
      <w:tr w:rsidR="00FD31ED" w:rsidRPr="00513B6D" w:rsidTr="004B6B77">
        <w:tc>
          <w:tcPr>
            <w:tcW w:w="2693" w:type="dxa"/>
            <w:tcBorders>
              <w:left w:val="nil"/>
              <w:bottom w:val="nil"/>
            </w:tcBorders>
            <w:shd w:val="clear" w:color="auto" w:fill="D9D9D9"/>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新</w:t>
            </w:r>
            <w:r w:rsidRPr="00513B6D">
              <w:rPr>
                <w:rFonts w:ascii="Times New Roman" w:eastAsia="標楷體" w:hAnsi="Times New Roman"/>
                <w:kern w:val="0"/>
                <w:sz w:val="28"/>
                <w:szCs w:val="28"/>
              </w:rPr>
              <w:t xml:space="preserve"> </w:t>
            </w:r>
            <w:r w:rsidRPr="00513B6D">
              <w:rPr>
                <w:rFonts w:ascii="Times New Roman" w:eastAsia="標楷體" w:hAnsi="Times New Roman" w:hint="eastAsia"/>
                <w:kern w:val="0"/>
                <w:sz w:val="28"/>
                <w:szCs w:val="28"/>
              </w:rPr>
              <w:t>台</w:t>
            </w:r>
            <w:r w:rsidRPr="00513B6D">
              <w:rPr>
                <w:rFonts w:ascii="Times New Roman" w:eastAsia="標楷體" w:hAnsi="Times New Roman"/>
                <w:kern w:val="0"/>
                <w:sz w:val="28"/>
                <w:szCs w:val="28"/>
              </w:rPr>
              <w:t xml:space="preserve"> </w:t>
            </w:r>
            <w:r w:rsidRPr="00513B6D">
              <w:rPr>
                <w:rFonts w:ascii="Times New Roman" w:eastAsia="標楷體" w:hAnsi="Times New Roman" w:hint="eastAsia"/>
                <w:kern w:val="0"/>
                <w:sz w:val="28"/>
                <w:szCs w:val="28"/>
              </w:rPr>
              <w:t>幣</w:t>
            </w:r>
          </w:p>
        </w:tc>
        <w:tc>
          <w:tcPr>
            <w:tcW w:w="2693" w:type="dxa"/>
            <w:tcBorders>
              <w:left w:val="nil"/>
              <w:bottom w:val="nil"/>
              <w:right w:val="nil"/>
            </w:tcBorders>
            <w:shd w:val="clear" w:color="auto" w:fill="D9D9D9"/>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3.40</w:t>
            </w:r>
          </w:p>
        </w:tc>
        <w:tc>
          <w:tcPr>
            <w:tcW w:w="2693" w:type="dxa"/>
            <w:tcBorders>
              <w:left w:val="nil"/>
              <w:bottom w:val="nil"/>
            </w:tcBorders>
            <w:shd w:val="clear" w:color="auto" w:fill="D9D9D9"/>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2.78</w:t>
            </w:r>
          </w:p>
        </w:tc>
        <w:tc>
          <w:tcPr>
            <w:tcW w:w="2693" w:type="dxa"/>
            <w:tcBorders>
              <w:bottom w:val="nil"/>
            </w:tcBorders>
            <w:shd w:val="clear" w:color="auto" w:fill="D9D9D9"/>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3.22</w:t>
            </w:r>
          </w:p>
        </w:tc>
        <w:tc>
          <w:tcPr>
            <w:tcW w:w="2694" w:type="dxa"/>
            <w:tcBorders>
              <w:bottom w:val="nil"/>
              <w:right w:val="nil"/>
            </w:tcBorders>
            <w:shd w:val="clear" w:color="auto" w:fill="D9D9D9"/>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1.0</w:t>
            </w:r>
          </w:p>
        </w:tc>
      </w:tr>
      <w:tr w:rsidR="00FD31ED" w:rsidRPr="00513B6D" w:rsidTr="004B6B77">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新加坡幣</w:t>
            </w:r>
          </w:p>
        </w:tc>
        <w:tc>
          <w:tcPr>
            <w:tcW w:w="2693" w:type="dxa"/>
            <w:tcBorders>
              <w:top w:val="nil"/>
              <w:left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5.62</w:t>
            </w:r>
          </w:p>
        </w:tc>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4.67</w:t>
            </w:r>
          </w:p>
        </w:tc>
        <w:tc>
          <w:tcPr>
            <w:tcW w:w="2693" w:type="dxa"/>
            <w:tcBorders>
              <w:top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4.00</w:t>
            </w:r>
          </w:p>
        </w:tc>
        <w:tc>
          <w:tcPr>
            <w:tcW w:w="2694" w:type="dxa"/>
            <w:tcBorders>
              <w:top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1.2</w:t>
            </w:r>
          </w:p>
        </w:tc>
      </w:tr>
      <w:tr w:rsidR="00FD31ED" w:rsidRPr="00513B6D" w:rsidTr="004B6B77">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韓</w:t>
            </w:r>
            <w:r w:rsidRPr="00513B6D">
              <w:rPr>
                <w:rFonts w:ascii="Times New Roman" w:eastAsia="標楷體" w:hAnsi="Times New Roman"/>
                <w:kern w:val="0"/>
                <w:sz w:val="28"/>
                <w:szCs w:val="28"/>
              </w:rPr>
              <w:t xml:space="preserve">    </w:t>
            </w:r>
            <w:r w:rsidRPr="00513B6D">
              <w:rPr>
                <w:rFonts w:ascii="Times New Roman" w:eastAsia="標楷體" w:hAnsi="Times New Roman" w:hint="eastAsia"/>
                <w:kern w:val="0"/>
                <w:sz w:val="28"/>
                <w:szCs w:val="28"/>
              </w:rPr>
              <w:t>元</w:t>
            </w:r>
          </w:p>
        </w:tc>
        <w:tc>
          <w:tcPr>
            <w:tcW w:w="2693" w:type="dxa"/>
            <w:tcBorders>
              <w:top w:val="nil"/>
              <w:left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7.94</w:t>
            </w:r>
          </w:p>
        </w:tc>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6.54</w:t>
            </w:r>
          </w:p>
        </w:tc>
        <w:tc>
          <w:tcPr>
            <w:tcW w:w="2693" w:type="dxa"/>
            <w:tcBorders>
              <w:top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7.97</w:t>
            </w:r>
          </w:p>
        </w:tc>
        <w:tc>
          <w:tcPr>
            <w:tcW w:w="2694" w:type="dxa"/>
            <w:tcBorders>
              <w:top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2.5</w:t>
            </w:r>
          </w:p>
        </w:tc>
      </w:tr>
      <w:tr w:rsidR="00FD31ED" w:rsidRPr="00513B6D" w:rsidTr="004B6B77">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日</w:t>
            </w:r>
            <w:r w:rsidRPr="00513B6D">
              <w:rPr>
                <w:rFonts w:ascii="Times New Roman" w:eastAsia="標楷體" w:hAnsi="Times New Roman"/>
                <w:kern w:val="0"/>
                <w:sz w:val="28"/>
                <w:szCs w:val="28"/>
              </w:rPr>
              <w:t xml:space="preserve">    </w:t>
            </w:r>
            <w:r w:rsidRPr="00513B6D">
              <w:rPr>
                <w:rFonts w:ascii="Times New Roman" w:eastAsia="標楷體" w:hAnsi="Times New Roman" w:hint="eastAsia"/>
                <w:kern w:val="0"/>
                <w:sz w:val="28"/>
                <w:szCs w:val="28"/>
              </w:rPr>
              <w:t>圓</w:t>
            </w:r>
          </w:p>
        </w:tc>
        <w:tc>
          <w:tcPr>
            <w:tcW w:w="2693" w:type="dxa"/>
            <w:tcBorders>
              <w:top w:val="nil"/>
              <w:left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9.15</w:t>
            </w:r>
          </w:p>
        </w:tc>
        <w:tc>
          <w:tcPr>
            <w:tcW w:w="2693" w:type="dxa"/>
            <w:tcBorders>
              <w:top w:val="nil"/>
              <w:left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9.14</w:t>
            </w:r>
          </w:p>
        </w:tc>
        <w:tc>
          <w:tcPr>
            <w:tcW w:w="2693" w:type="dxa"/>
            <w:tcBorders>
              <w:top w:val="nil"/>
              <w:bottom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15.08</w:t>
            </w:r>
          </w:p>
        </w:tc>
        <w:tc>
          <w:tcPr>
            <w:tcW w:w="2694" w:type="dxa"/>
            <w:tcBorders>
              <w:top w:val="nil"/>
              <w:bottom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4.7</w:t>
            </w:r>
          </w:p>
        </w:tc>
      </w:tr>
      <w:tr w:rsidR="00FD31ED" w:rsidRPr="00513B6D" w:rsidTr="004B6B77">
        <w:tc>
          <w:tcPr>
            <w:tcW w:w="2693" w:type="dxa"/>
            <w:tcBorders>
              <w:top w:val="nil"/>
              <w:lef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hint="eastAsia"/>
                <w:kern w:val="0"/>
                <w:sz w:val="28"/>
                <w:szCs w:val="28"/>
              </w:rPr>
              <w:t>歐</w:t>
            </w:r>
            <w:r w:rsidRPr="00513B6D">
              <w:rPr>
                <w:rFonts w:ascii="Times New Roman" w:eastAsia="標楷體" w:hAnsi="Times New Roman"/>
                <w:kern w:val="0"/>
                <w:sz w:val="28"/>
                <w:szCs w:val="28"/>
              </w:rPr>
              <w:t xml:space="preserve">    </w:t>
            </w:r>
            <w:r w:rsidRPr="00513B6D">
              <w:rPr>
                <w:rFonts w:ascii="Times New Roman" w:eastAsia="標楷體" w:hAnsi="Times New Roman" w:hint="eastAsia"/>
                <w:kern w:val="0"/>
                <w:sz w:val="28"/>
                <w:szCs w:val="28"/>
              </w:rPr>
              <w:t>元</w:t>
            </w:r>
          </w:p>
        </w:tc>
        <w:tc>
          <w:tcPr>
            <w:tcW w:w="2693" w:type="dxa"/>
            <w:tcBorders>
              <w:top w:val="nil"/>
              <w:left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10.04</w:t>
            </w:r>
          </w:p>
        </w:tc>
        <w:tc>
          <w:tcPr>
            <w:tcW w:w="2693" w:type="dxa"/>
            <w:tcBorders>
              <w:top w:val="nil"/>
              <w:lef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8.45</w:t>
            </w:r>
          </w:p>
        </w:tc>
        <w:tc>
          <w:tcPr>
            <w:tcW w:w="2693" w:type="dxa"/>
            <w:tcBorders>
              <w:top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 xml:space="preserve"> 8.47</w:t>
            </w:r>
          </w:p>
        </w:tc>
        <w:tc>
          <w:tcPr>
            <w:tcW w:w="2694" w:type="dxa"/>
            <w:tcBorders>
              <w:top w:val="nil"/>
              <w:right w:val="nil"/>
            </w:tcBorders>
          </w:tcPr>
          <w:p w:rsidR="00FD31ED" w:rsidRPr="00513B6D" w:rsidRDefault="00FD31ED" w:rsidP="004B6B77">
            <w:pPr>
              <w:snapToGrid w:val="0"/>
              <w:jc w:val="center"/>
              <w:rPr>
                <w:rFonts w:ascii="Times New Roman" w:eastAsia="標楷體" w:hAnsi="Times New Roman"/>
                <w:kern w:val="0"/>
                <w:sz w:val="28"/>
                <w:szCs w:val="28"/>
              </w:rPr>
            </w:pPr>
            <w:r w:rsidRPr="00513B6D">
              <w:rPr>
                <w:rFonts w:ascii="Times New Roman" w:eastAsia="標楷體" w:hAnsi="Times New Roman"/>
                <w:kern w:val="0"/>
                <w:sz w:val="28"/>
                <w:szCs w:val="28"/>
              </w:rPr>
              <w:t>2.6</w:t>
            </w:r>
          </w:p>
        </w:tc>
      </w:tr>
    </w:tbl>
    <w:p w:rsidR="00FD31ED" w:rsidRPr="00AC2111" w:rsidRDefault="00FD31ED" w:rsidP="00166589">
      <w:pPr>
        <w:snapToGrid w:val="0"/>
        <w:ind w:firstLine="480"/>
        <w:rPr>
          <w:rFonts w:ascii="標楷體" w:eastAsia="標楷體" w:hAnsi="標楷體"/>
          <w:sz w:val="22"/>
          <w:szCs w:val="20"/>
        </w:rPr>
      </w:pPr>
      <w:r w:rsidRPr="00AC2111">
        <w:rPr>
          <w:rFonts w:ascii="標楷體" w:eastAsia="標楷體" w:hAnsi="標楷體" w:hint="eastAsia"/>
          <w:sz w:val="22"/>
          <w:szCs w:val="20"/>
        </w:rPr>
        <w:t>註：各幣別波動幅度係根據匯率變動計算</w:t>
      </w:r>
      <w:r w:rsidRPr="00E1305A">
        <w:rPr>
          <w:rFonts w:ascii="Times New Roman" w:eastAsia="標楷體" w:hAnsi="Times New Roman" w:hint="eastAsia"/>
          <w:sz w:val="22"/>
          <w:szCs w:val="20"/>
        </w:rPr>
        <w:t>過去</w:t>
      </w:r>
      <w:r w:rsidRPr="00E1305A">
        <w:rPr>
          <w:rFonts w:ascii="Times New Roman" w:eastAsia="標楷體" w:hAnsi="Times New Roman"/>
          <w:sz w:val="22"/>
          <w:szCs w:val="20"/>
        </w:rPr>
        <w:t>20</w:t>
      </w:r>
      <w:r w:rsidRPr="00E1305A">
        <w:rPr>
          <w:rFonts w:ascii="Times New Roman" w:eastAsia="標楷體" w:hAnsi="Times New Roman" w:hint="eastAsia"/>
          <w:sz w:val="22"/>
          <w:szCs w:val="20"/>
        </w:rPr>
        <w:t>天期之標準</w:t>
      </w:r>
      <w:r w:rsidRPr="00AC2111">
        <w:rPr>
          <w:rFonts w:ascii="標楷體" w:eastAsia="標楷體" w:hAnsi="標楷體" w:hint="eastAsia"/>
          <w:sz w:val="22"/>
          <w:szCs w:val="20"/>
        </w:rPr>
        <w:t>差，並化為年率。波動幅度愈大，代表該幣別匯率走勢愈不穩定。</w:t>
      </w:r>
    </w:p>
    <w:p w:rsidR="00FD31ED" w:rsidRPr="00AC2111" w:rsidRDefault="00FD31ED" w:rsidP="00166589">
      <w:pPr>
        <w:snapToGrid w:val="0"/>
        <w:ind w:firstLine="480"/>
        <w:rPr>
          <w:rFonts w:ascii="標楷體" w:eastAsia="標楷體" w:hAnsi="標楷體"/>
          <w:sz w:val="22"/>
          <w:szCs w:val="20"/>
        </w:rPr>
      </w:pPr>
      <w:r w:rsidRPr="00AC2111">
        <w:rPr>
          <w:rFonts w:ascii="標楷體" w:eastAsia="標楷體" w:hAnsi="標楷體" w:hint="eastAsia"/>
          <w:sz w:val="22"/>
          <w:szCs w:val="20"/>
        </w:rPr>
        <w:t>資料來源：中央銀行。</w:t>
      </w:r>
    </w:p>
    <w:p w:rsidR="00FD31ED" w:rsidRDefault="00FD31ED" w:rsidP="00FD294C">
      <w:pPr>
        <w:snapToGrid w:val="0"/>
        <w:spacing w:after="120" w:line="600" w:lineRule="exact"/>
        <w:rPr>
          <w:rFonts w:ascii="Times New Roman" w:eastAsia="標楷體" w:hAnsi="標楷體"/>
          <w:sz w:val="36"/>
          <w:szCs w:val="36"/>
        </w:rPr>
      </w:pPr>
    </w:p>
    <w:p w:rsidR="00FD31ED" w:rsidRDefault="00FD31ED" w:rsidP="00FD294C">
      <w:pPr>
        <w:snapToGrid w:val="0"/>
        <w:spacing w:after="120" w:line="600" w:lineRule="exact"/>
        <w:rPr>
          <w:rFonts w:ascii="Times New Roman" w:eastAsia="標楷體" w:hAnsi="標楷體"/>
          <w:sz w:val="36"/>
          <w:szCs w:val="36"/>
        </w:rPr>
      </w:pPr>
      <w:r w:rsidRPr="00FD294C">
        <w:rPr>
          <w:rFonts w:ascii="Times New Roman" w:eastAsia="標楷體" w:hAnsi="標楷體" w:hint="eastAsia"/>
          <w:sz w:val="36"/>
          <w:szCs w:val="36"/>
        </w:rPr>
        <w:t>匯率穩定可促進總體經濟穩定，並促進經濟成長</w:t>
      </w:r>
    </w:p>
    <w:p w:rsidR="00FD31ED" w:rsidRDefault="00FD31ED" w:rsidP="00FD294C">
      <w:pPr>
        <w:snapToGrid w:val="0"/>
        <w:spacing w:after="120" w:line="600" w:lineRule="exact"/>
        <w:rPr>
          <w:rFonts w:ascii="Times New Roman" w:eastAsia="標楷體" w:hAnsi="標楷體"/>
          <w:sz w:val="36"/>
          <w:szCs w:val="36"/>
        </w:rPr>
      </w:pPr>
      <w:r>
        <w:rPr>
          <w:rFonts w:ascii="Times New Roman" w:eastAsia="標楷體" w:hAnsi="標楷體" w:hint="eastAsia"/>
          <w:sz w:val="36"/>
          <w:szCs w:val="36"/>
        </w:rPr>
        <w:t>近年來，新台幣實質有效匯率指數，絕大多數期間，維持在</w:t>
      </w:r>
      <w:r>
        <w:rPr>
          <w:rFonts w:ascii="Times New Roman" w:eastAsia="標楷體" w:hAnsi="標楷體"/>
          <w:sz w:val="36"/>
          <w:szCs w:val="36"/>
        </w:rPr>
        <w:t>36</w:t>
      </w:r>
      <w:r>
        <w:rPr>
          <w:rFonts w:ascii="Times New Roman" w:eastAsia="標楷體" w:hAnsi="標楷體" w:hint="eastAsia"/>
          <w:sz w:val="36"/>
          <w:szCs w:val="36"/>
        </w:rPr>
        <w:t>個月移動平均數上下</w:t>
      </w:r>
      <w:r>
        <w:rPr>
          <w:rFonts w:ascii="Times New Roman" w:eastAsia="標楷體" w:hAnsi="標楷體"/>
          <w:sz w:val="36"/>
          <w:szCs w:val="36"/>
        </w:rPr>
        <w:t>5%</w:t>
      </w:r>
      <w:r>
        <w:rPr>
          <w:rFonts w:ascii="Times New Roman" w:eastAsia="標楷體" w:hAnsi="標楷體" w:hint="eastAsia"/>
          <w:sz w:val="36"/>
          <w:szCs w:val="36"/>
        </w:rPr>
        <w:t>範圍內，顯示新台幣匯率維持動態穩定。</w:t>
      </w:r>
      <w:r>
        <w:rPr>
          <w:rFonts w:ascii="Times New Roman" w:eastAsia="標楷體" w:hAnsi="標楷體"/>
          <w:sz w:val="36"/>
          <w:szCs w:val="36"/>
        </w:rPr>
        <w:t>(</w:t>
      </w:r>
      <w:r>
        <w:rPr>
          <w:rFonts w:ascii="Times New Roman" w:eastAsia="標楷體" w:hAnsi="標楷體" w:hint="eastAsia"/>
          <w:sz w:val="36"/>
          <w:szCs w:val="36"/>
        </w:rPr>
        <w:t>詳見圖</w:t>
      </w:r>
      <w:r>
        <w:rPr>
          <w:rFonts w:ascii="Times New Roman" w:eastAsia="標楷體" w:hAnsi="標楷體"/>
          <w:sz w:val="36"/>
          <w:szCs w:val="36"/>
        </w:rPr>
        <w:t>2)</w:t>
      </w:r>
    </w:p>
    <w:p w:rsidR="00FD31ED" w:rsidRPr="006275A5" w:rsidRDefault="00FD31ED" w:rsidP="00490113">
      <w:pPr>
        <w:snapToGrid w:val="0"/>
        <w:spacing w:beforeLines="50" w:afterLines="50"/>
        <w:jc w:val="center"/>
        <w:rPr>
          <w:rFonts w:ascii="Times New Roman" w:eastAsia="標楷體" w:hAnsi="標楷體"/>
          <w:sz w:val="36"/>
          <w:szCs w:val="36"/>
        </w:rPr>
      </w:pPr>
      <w:r w:rsidRPr="006275A5">
        <w:rPr>
          <w:rFonts w:ascii="Times New Roman" w:eastAsia="標楷體" w:hAnsi="標楷體" w:hint="eastAsia"/>
          <w:sz w:val="32"/>
          <w:szCs w:val="32"/>
        </w:rPr>
        <w:t>圖</w:t>
      </w:r>
      <w:r>
        <w:rPr>
          <w:rFonts w:ascii="Times New Roman" w:eastAsia="標楷體" w:hAnsi="標楷體"/>
          <w:sz w:val="32"/>
          <w:szCs w:val="32"/>
        </w:rPr>
        <w:t>2</w:t>
      </w:r>
      <w:r w:rsidRPr="006275A5">
        <w:rPr>
          <w:rFonts w:ascii="Times New Roman" w:eastAsia="標楷體" w:hAnsi="標楷體"/>
          <w:sz w:val="32"/>
          <w:szCs w:val="32"/>
        </w:rPr>
        <w:t xml:space="preserve">  </w:t>
      </w:r>
      <w:r>
        <w:rPr>
          <w:rFonts w:ascii="Times New Roman" w:eastAsia="標楷體" w:hAnsi="標楷體" w:hint="eastAsia"/>
          <w:sz w:val="32"/>
          <w:szCs w:val="32"/>
        </w:rPr>
        <w:t>新台幣實質有效</w:t>
      </w:r>
      <w:r w:rsidRPr="006275A5">
        <w:rPr>
          <w:rFonts w:ascii="Times New Roman" w:eastAsia="標楷體" w:hAnsi="標楷體" w:hint="eastAsia"/>
          <w:sz w:val="32"/>
          <w:szCs w:val="32"/>
        </w:rPr>
        <w:t>匯率</w:t>
      </w:r>
      <w:r>
        <w:rPr>
          <w:rFonts w:ascii="Times New Roman" w:eastAsia="標楷體" w:hAnsi="標楷體" w:hint="eastAsia"/>
          <w:sz w:val="32"/>
          <w:szCs w:val="32"/>
        </w:rPr>
        <w:t>指數</w:t>
      </w:r>
    </w:p>
    <w:p w:rsidR="00FD31ED" w:rsidRPr="00BB0099" w:rsidRDefault="00FD31ED" w:rsidP="006275A5">
      <w:pPr>
        <w:snapToGrid w:val="0"/>
        <w:spacing w:after="120"/>
        <w:jc w:val="center"/>
      </w:pPr>
      <w:r>
        <w:pict>
          <v:shape id="_x0000_i1026" type="#_x0000_t75" style="width:597pt;height:351pt">
            <v:imagedata r:id="rId8" o:title=""/>
          </v:shape>
        </w:pict>
      </w:r>
    </w:p>
    <w:p w:rsidR="00FD31ED" w:rsidRPr="006275A5" w:rsidRDefault="00FD31ED" w:rsidP="006275A5">
      <w:pPr>
        <w:snapToGrid w:val="0"/>
        <w:spacing w:after="120"/>
        <w:jc w:val="center"/>
        <w:rPr>
          <w:rFonts w:ascii="Times New Roman" w:eastAsia="標楷體" w:hAnsi="標楷體"/>
          <w:sz w:val="36"/>
          <w:szCs w:val="36"/>
        </w:rPr>
      </w:pPr>
    </w:p>
    <w:p w:rsidR="00FD31ED" w:rsidRDefault="00FD31ED" w:rsidP="00FD294C">
      <w:pPr>
        <w:snapToGrid w:val="0"/>
        <w:spacing w:after="120" w:line="600" w:lineRule="exact"/>
        <w:rPr>
          <w:rFonts w:ascii="Times New Roman" w:eastAsia="標楷體" w:hAnsi="標楷體"/>
          <w:sz w:val="36"/>
          <w:szCs w:val="36"/>
        </w:rPr>
      </w:pPr>
      <w:r>
        <w:rPr>
          <w:rFonts w:ascii="Times New Roman" w:eastAsia="標楷體" w:hAnsi="標楷體" w:hint="eastAsia"/>
          <w:sz w:val="36"/>
          <w:szCs w:val="36"/>
        </w:rPr>
        <w:t>動態穩定的匯率</w:t>
      </w:r>
    </w:p>
    <w:p w:rsidR="00FD31ED" w:rsidRDefault="00FD31ED" w:rsidP="00490113">
      <w:pPr>
        <w:snapToGrid w:val="0"/>
        <w:spacing w:after="120" w:line="520" w:lineRule="exact"/>
        <w:rPr>
          <w:rFonts w:ascii="Times New Roman" w:eastAsia="標楷體" w:hAnsi="標楷體"/>
          <w:sz w:val="36"/>
          <w:szCs w:val="36"/>
        </w:rPr>
      </w:pPr>
      <w:r>
        <w:rPr>
          <w:rFonts w:ascii="Times New Roman" w:eastAsia="標楷體" w:hAnsi="標楷體" w:hint="eastAsia"/>
          <w:sz w:val="36"/>
          <w:szCs w:val="36"/>
        </w:rPr>
        <w:t>根據實證研究的匯率反應函數</w:t>
      </w:r>
      <w:r>
        <w:rPr>
          <w:rFonts w:ascii="Times New Roman" w:eastAsia="標楷體" w:hAnsi="標楷體"/>
          <w:sz w:val="36"/>
          <w:szCs w:val="36"/>
        </w:rPr>
        <w:t xml:space="preserve"> (reaction function)</w:t>
      </w:r>
      <w:r>
        <w:rPr>
          <w:rFonts w:ascii="Times New Roman" w:eastAsia="標楷體" w:hAnsi="標楷體" w:hint="eastAsia"/>
          <w:sz w:val="36"/>
          <w:szCs w:val="36"/>
        </w:rPr>
        <w:t>，亞洲主要國家的貨幣，新台幣及新加坡幣具有反通膨</w:t>
      </w:r>
      <w:r>
        <w:rPr>
          <w:rFonts w:ascii="Times New Roman" w:eastAsia="標楷體" w:hAnsi="標楷體"/>
          <w:sz w:val="36"/>
          <w:szCs w:val="36"/>
        </w:rPr>
        <w:t>(anti-inflation)</w:t>
      </w:r>
      <w:r>
        <w:rPr>
          <w:rFonts w:ascii="Times New Roman" w:eastAsia="標楷體" w:hAnsi="標楷體" w:hint="eastAsia"/>
          <w:sz w:val="36"/>
          <w:szCs w:val="36"/>
        </w:rPr>
        <w:t>及反景氣循環</w:t>
      </w:r>
      <w:r>
        <w:rPr>
          <w:rFonts w:ascii="Times New Roman" w:eastAsia="標楷體" w:hAnsi="標楷體"/>
          <w:sz w:val="36"/>
          <w:szCs w:val="36"/>
        </w:rPr>
        <w:t>(counter-cyclical fluctuations)</w:t>
      </w:r>
      <w:r>
        <w:rPr>
          <w:rFonts w:ascii="Times New Roman" w:eastAsia="標楷體" w:hAnsi="標楷體" w:hint="eastAsia"/>
          <w:sz w:val="36"/>
          <w:szCs w:val="36"/>
        </w:rPr>
        <w:t>的功能，有助於總體經濟的穩定。</w:t>
      </w:r>
    </w:p>
    <w:p w:rsidR="00FD31ED" w:rsidRDefault="00FD31ED" w:rsidP="00490113">
      <w:pPr>
        <w:snapToGrid w:val="0"/>
        <w:spacing w:after="120" w:line="520" w:lineRule="exact"/>
        <w:rPr>
          <w:rFonts w:ascii="Times New Roman" w:eastAsia="標楷體" w:hAnsi="標楷體"/>
          <w:sz w:val="36"/>
          <w:szCs w:val="36"/>
        </w:rPr>
      </w:pPr>
      <w:r w:rsidRPr="00A05F09">
        <w:rPr>
          <w:rFonts w:ascii="Times New Roman" w:eastAsia="標楷體" w:hAnsi="Times New Roman" w:hint="eastAsia"/>
          <w:sz w:val="36"/>
          <w:szCs w:val="36"/>
        </w:rPr>
        <w:t>另就國際清算銀行</w:t>
      </w:r>
      <w:r w:rsidRPr="00A05F09">
        <w:rPr>
          <w:rFonts w:ascii="Times New Roman" w:eastAsia="標楷體" w:hAnsi="Times New Roman"/>
          <w:sz w:val="36"/>
          <w:szCs w:val="36"/>
        </w:rPr>
        <w:t xml:space="preserve"> (BIS) </w:t>
      </w:r>
      <w:r w:rsidRPr="00A05F09">
        <w:rPr>
          <w:rFonts w:ascii="Times New Roman" w:eastAsia="標楷體" w:hAnsi="Times New Roman" w:hint="eastAsia"/>
          <w:sz w:val="36"/>
          <w:szCs w:val="36"/>
        </w:rPr>
        <w:t>所編的實質有效匯率指數，新台幣呈平穩。本年</w:t>
      </w:r>
      <w:r w:rsidRPr="00A05F09">
        <w:rPr>
          <w:rFonts w:ascii="Times New Roman" w:eastAsia="標楷體" w:hAnsi="Times New Roman"/>
          <w:sz w:val="36"/>
          <w:szCs w:val="36"/>
        </w:rPr>
        <w:t>5</w:t>
      </w:r>
      <w:r w:rsidRPr="00A05F09">
        <w:rPr>
          <w:rFonts w:ascii="Times New Roman" w:eastAsia="標楷體" w:hAnsi="Times New Roman" w:hint="eastAsia"/>
          <w:sz w:val="36"/>
          <w:szCs w:val="36"/>
        </w:rPr>
        <w:t>月新台幣為</w:t>
      </w:r>
      <w:r w:rsidRPr="00A05F09">
        <w:rPr>
          <w:rFonts w:ascii="Times New Roman" w:eastAsia="標楷體" w:hAnsi="Times New Roman"/>
          <w:sz w:val="36"/>
          <w:szCs w:val="36"/>
        </w:rPr>
        <w:t>102.05</w:t>
      </w:r>
      <w:r w:rsidRPr="00A05F09">
        <w:rPr>
          <w:rFonts w:ascii="Times New Roman" w:eastAsia="標楷體" w:hAnsi="標楷體" w:hint="eastAsia"/>
          <w:sz w:val="36"/>
          <w:szCs w:val="36"/>
        </w:rPr>
        <w:t>，</w:t>
      </w:r>
      <w:r w:rsidRPr="00A05F09">
        <w:rPr>
          <w:rFonts w:ascii="Times New Roman" w:eastAsia="標楷體" w:hAnsi="Times New Roman"/>
          <w:sz w:val="36"/>
          <w:szCs w:val="36"/>
        </w:rPr>
        <w:t xml:space="preserve"> </w:t>
      </w:r>
      <w:r w:rsidRPr="00A05F09">
        <w:rPr>
          <w:rFonts w:ascii="Times New Roman" w:eastAsia="標楷體" w:hAnsi="標楷體" w:hint="eastAsia"/>
          <w:sz w:val="36"/>
          <w:szCs w:val="36"/>
        </w:rPr>
        <w:t>韓元</w:t>
      </w:r>
      <w:r>
        <w:rPr>
          <w:rFonts w:ascii="Times New Roman" w:eastAsia="標楷體" w:hAnsi="標楷體" w:hint="eastAsia"/>
          <w:sz w:val="36"/>
          <w:szCs w:val="36"/>
        </w:rPr>
        <w:t>為</w:t>
      </w:r>
      <w:r w:rsidRPr="00A05F09">
        <w:rPr>
          <w:rFonts w:ascii="Times New Roman" w:eastAsia="標楷體" w:hAnsi="Times New Roman"/>
          <w:sz w:val="36"/>
          <w:szCs w:val="36"/>
        </w:rPr>
        <w:t>103.47</w:t>
      </w:r>
      <w:r w:rsidRPr="00A05F09">
        <w:rPr>
          <w:rFonts w:ascii="Times New Roman" w:eastAsia="標楷體" w:hAnsi="標楷體" w:hint="eastAsia"/>
          <w:sz w:val="36"/>
          <w:szCs w:val="36"/>
        </w:rPr>
        <w:t>，新加坡幣為</w:t>
      </w:r>
      <w:r w:rsidRPr="00A05F09">
        <w:rPr>
          <w:rFonts w:ascii="Times New Roman" w:eastAsia="標楷體" w:hAnsi="Times New Roman"/>
          <w:sz w:val="36"/>
          <w:szCs w:val="36"/>
        </w:rPr>
        <w:t>112.32</w:t>
      </w:r>
      <w:r w:rsidRPr="00A05F09">
        <w:rPr>
          <w:rFonts w:ascii="Times New Roman" w:eastAsia="標楷體" w:hAnsi="標楷體" w:hint="eastAsia"/>
          <w:sz w:val="36"/>
          <w:szCs w:val="36"/>
        </w:rPr>
        <w:t>，人民幣為</w:t>
      </w:r>
      <w:r w:rsidRPr="00A05F09">
        <w:rPr>
          <w:rFonts w:ascii="Times New Roman" w:eastAsia="標楷體" w:hAnsi="Times New Roman"/>
          <w:sz w:val="36"/>
          <w:szCs w:val="36"/>
        </w:rPr>
        <w:t>116.29</w:t>
      </w:r>
      <w:r w:rsidRPr="00A05F09">
        <w:rPr>
          <w:rFonts w:ascii="Times New Roman" w:eastAsia="標楷體" w:hAnsi="標楷體" w:hint="eastAsia"/>
          <w:sz w:val="36"/>
          <w:szCs w:val="36"/>
        </w:rPr>
        <w:t>，詳見圖</w:t>
      </w:r>
      <w:r w:rsidRPr="00A05F09">
        <w:rPr>
          <w:rFonts w:ascii="Times New Roman" w:eastAsia="標楷體" w:hAnsi="Times New Roman"/>
          <w:sz w:val="36"/>
          <w:szCs w:val="36"/>
        </w:rPr>
        <w:t>3</w:t>
      </w:r>
      <w:r w:rsidRPr="00A05F09">
        <w:rPr>
          <w:rFonts w:ascii="Times New Roman" w:eastAsia="標楷體" w:hAnsi="標楷體" w:hint="eastAsia"/>
          <w:sz w:val="36"/>
          <w:szCs w:val="36"/>
        </w:rPr>
        <w:t>。</w:t>
      </w:r>
    </w:p>
    <w:p w:rsidR="00FD31ED" w:rsidRPr="00F97FD8" w:rsidRDefault="00FD31ED" w:rsidP="00842841">
      <w:pPr>
        <w:snapToGrid w:val="0"/>
        <w:spacing w:beforeLines="50" w:afterLines="50"/>
        <w:jc w:val="center"/>
        <w:rPr>
          <w:rFonts w:ascii="Times New Roman" w:eastAsia="標楷體" w:hAnsi="標楷體"/>
          <w:sz w:val="32"/>
          <w:szCs w:val="32"/>
        </w:rPr>
      </w:pPr>
      <w:bookmarkStart w:id="1" w:name="_Toc344126069"/>
      <w:bookmarkStart w:id="2" w:name="_Toc343702463"/>
      <w:bookmarkStart w:id="3" w:name="_Toc325471135"/>
      <w:bookmarkStart w:id="4" w:name="_Toc341451791"/>
      <w:r w:rsidRPr="00D1281F">
        <w:rPr>
          <w:rFonts w:ascii="Times New Roman" w:eastAsia="標楷體" w:hAnsi="標楷體" w:hint="eastAsia"/>
          <w:sz w:val="32"/>
          <w:szCs w:val="32"/>
        </w:rPr>
        <w:t>圖</w:t>
      </w:r>
      <w:r>
        <w:rPr>
          <w:rFonts w:ascii="Times New Roman" w:eastAsia="標楷體" w:hAnsi="標楷體"/>
          <w:sz w:val="32"/>
          <w:szCs w:val="32"/>
        </w:rPr>
        <w:t>3</w:t>
      </w:r>
      <w:r w:rsidRPr="00D1281F">
        <w:rPr>
          <w:rFonts w:ascii="Times New Roman" w:eastAsia="標楷體" w:hAnsi="Times New Roman"/>
          <w:sz w:val="32"/>
          <w:szCs w:val="32"/>
        </w:rPr>
        <w:t xml:space="preserve">  </w:t>
      </w:r>
      <w:r w:rsidRPr="00F97FD8">
        <w:rPr>
          <w:rFonts w:ascii="Times New Roman" w:eastAsia="標楷體" w:hAnsi="標楷體" w:hint="eastAsia"/>
          <w:sz w:val="32"/>
          <w:szCs w:val="32"/>
        </w:rPr>
        <w:t>主要貨幣之實質有效匯率指數</w:t>
      </w:r>
    </w:p>
    <w:p w:rsidR="00FD31ED" w:rsidRPr="00D1281F" w:rsidRDefault="00FD31ED" w:rsidP="00490113">
      <w:pPr>
        <w:pStyle w:val="1"/>
        <w:topLinePunct/>
        <w:autoSpaceDE/>
        <w:autoSpaceDN/>
        <w:snapToGrid w:val="0"/>
        <w:spacing w:afterLines="50"/>
        <w:ind w:firstLine="0"/>
        <w:jc w:val="center"/>
        <w:rPr>
          <w:rFonts w:ascii="Times New Roman" w:eastAsia="標楷體"/>
          <w:noProof/>
          <w:kern w:val="2"/>
          <w:sz w:val="36"/>
          <w:szCs w:val="36"/>
        </w:rPr>
      </w:pPr>
      <w:r>
        <w:rPr>
          <w:noProof/>
        </w:rPr>
        <w:pict>
          <v:shape id="_x0000_s1027" type="#_x0000_t202" style="position:absolute;left:0;text-align:left;margin-left:108pt;margin-top:213.2pt;width:8in;height:27pt;z-index:251658240" filled="f" stroked="f">
            <v:textbox>
              <w:txbxContent>
                <w:p w:rsidR="00FD31ED" w:rsidRPr="00B33282" w:rsidRDefault="00FD31ED" w:rsidP="00B33282">
                  <w:pPr>
                    <w:snapToGrid w:val="0"/>
                    <w:rPr>
                      <w:rFonts w:ascii="標楷體" w:eastAsia="標楷體" w:hAnsi="標楷體"/>
                      <w:sz w:val="28"/>
                      <w:szCs w:val="28"/>
                    </w:rPr>
                  </w:pPr>
                  <w:r w:rsidRPr="00B33282">
                    <w:rPr>
                      <w:rFonts w:ascii="標楷體" w:eastAsia="標楷體" w:hAnsi="標楷體" w:hint="eastAsia"/>
                      <w:sz w:val="28"/>
                      <w:szCs w:val="28"/>
                    </w:rPr>
                    <w:t>註：實質有效匯率指數上升表示價格競爭力減弱，下降表示價格競爭力增強。</w:t>
                  </w:r>
                </w:p>
              </w:txbxContent>
            </v:textbox>
          </v:shape>
        </w:pict>
      </w:r>
      <w:r>
        <w:pict>
          <v:shape id="_x0000_i1027" type="#_x0000_t75" style="width:525pt;height:203.25pt">
            <v:imagedata r:id="rId9" o:title=""/>
          </v:shape>
        </w:pict>
      </w:r>
    </w:p>
    <w:p w:rsidR="00FD31ED" w:rsidRPr="00166589" w:rsidRDefault="00FD31ED" w:rsidP="00490113">
      <w:pPr>
        <w:pStyle w:val="1"/>
        <w:topLinePunct/>
        <w:autoSpaceDE/>
        <w:autoSpaceDN/>
        <w:snapToGrid w:val="0"/>
        <w:spacing w:afterLines="50" w:line="600" w:lineRule="exact"/>
        <w:ind w:firstLine="0"/>
        <w:jc w:val="both"/>
        <w:rPr>
          <w:rFonts w:ascii="Times New Roman" w:eastAsia="標楷體"/>
          <w:noProof/>
          <w:kern w:val="2"/>
          <w:sz w:val="36"/>
          <w:szCs w:val="36"/>
        </w:rPr>
      </w:pPr>
      <w:r w:rsidRPr="00166589">
        <w:rPr>
          <w:rFonts w:ascii="Times New Roman" w:eastAsia="標楷體" w:hint="eastAsia"/>
          <w:noProof/>
          <w:kern w:val="2"/>
          <w:sz w:val="36"/>
          <w:szCs w:val="36"/>
        </w:rPr>
        <w:t>工具機出口成長率觀察</w:t>
      </w:r>
    </w:p>
    <w:p w:rsidR="00FD31ED" w:rsidRPr="002927B2" w:rsidRDefault="00FD31ED" w:rsidP="00490113">
      <w:pPr>
        <w:adjustRightInd w:val="0"/>
        <w:snapToGrid w:val="0"/>
        <w:spacing w:afterLines="50" w:line="600" w:lineRule="exact"/>
        <w:jc w:val="both"/>
        <w:rPr>
          <w:rFonts w:ascii="Times New Roman" w:eastAsia="標楷體" w:hAnsi="Times New Roman"/>
          <w:spacing w:val="-2"/>
          <w:kern w:val="0"/>
          <w:sz w:val="36"/>
          <w:szCs w:val="36"/>
        </w:rPr>
      </w:pPr>
      <w:r w:rsidRPr="002927B2">
        <w:rPr>
          <w:rFonts w:ascii="Times New Roman" w:eastAsia="標楷體" w:hint="eastAsia"/>
          <w:spacing w:val="-2"/>
          <w:kern w:val="0"/>
          <w:sz w:val="36"/>
          <w:szCs w:val="36"/>
        </w:rPr>
        <w:t>台灣及日本工具機出口中國大陸的比重分別達</w:t>
      </w:r>
      <w:r w:rsidRPr="002927B2">
        <w:rPr>
          <w:rFonts w:ascii="Times New Roman" w:eastAsia="標楷體" w:hAnsi="Times New Roman"/>
          <w:spacing w:val="-2"/>
          <w:kern w:val="0"/>
          <w:sz w:val="36"/>
          <w:szCs w:val="36"/>
        </w:rPr>
        <w:t>33.3%</w:t>
      </w:r>
      <w:r w:rsidRPr="002927B2">
        <w:rPr>
          <w:rFonts w:ascii="Times New Roman" w:eastAsia="標楷體" w:hint="eastAsia"/>
          <w:spacing w:val="-2"/>
          <w:kern w:val="0"/>
          <w:sz w:val="36"/>
          <w:szCs w:val="36"/>
        </w:rPr>
        <w:t>及</w:t>
      </w:r>
      <w:r w:rsidRPr="002927B2">
        <w:rPr>
          <w:rFonts w:ascii="Times New Roman" w:eastAsia="標楷體" w:hAnsi="Times New Roman"/>
          <w:spacing w:val="-2"/>
          <w:kern w:val="0"/>
          <w:sz w:val="36"/>
          <w:szCs w:val="36"/>
        </w:rPr>
        <w:t>26.5%</w:t>
      </w:r>
      <w:r w:rsidRPr="002927B2">
        <w:rPr>
          <w:rFonts w:ascii="Times New Roman" w:eastAsia="標楷體" w:hint="eastAsia"/>
          <w:spacing w:val="-2"/>
          <w:kern w:val="0"/>
          <w:sz w:val="36"/>
          <w:szCs w:val="36"/>
        </w:rPr>
        <w:t>。近期中國大陸經濟成長趨緩及產業升級，對中低階工具機需求減緩，</w:t>
      </w:r>
      <w:r w:rsidRPr="002927B2">
        <w:rPr>
          <w:rFonts w:ascii="Times New Roman" w:eastAsia="標楷體" w:hAnsi="Times New Roman"/>
          <w:spacing w:val="-2"/>
          <w:kern w:val="0"/>
          <w:sz w:val="36"/>
          <w:szCs w:val="36"/>
        </w:rPr>
        <w:t>1</w:t>
      </w:r>
      <w:r w:rsidRPr="002927B2">
        <w:rPr>
          <w:rFonts w:ascii="Times New Roman" w:eastAsia="標楷體" w:hint="eastAsia"/>
          <w:spacing w:val="-2"/>
          <w:kern w:val="0"/>
          <w:sz w:val="36"/>
          <w:szCs w:val="36"/>
        </w:rPr>
        <w:t>至</w:t>
      </w:r>
      <w:r w:rsidRPr="002927B2">
        <w:rPr>
          <w:rFonts w:ascii="Times New Roman" w:eastAsia="標楷體" w:hAnsi="Times New Roman"/>
          <w:spacing w:val="-2"/>
          <w:kern w:val="0"/>
          <w:sz w:val="36"/>
          <w:szCs w:val="36"/>
        </w:rPr>
        <w:t>4</w:t>
      </w:r>
      <w:r w:rsidRPr="002927B2">
        <w:rPr>
          <w:rFonts w:ascii="Times New Roman" w:eastAsia="標楷體" w:hint="eastAsia"/>
          <w:spacing w:val="-2"/>
          <w:kern w:val="0"/>
          <w:sz w:val="36"/>
          <w:szCs w:val="36"/>
        </w:rPr>
        <w:t>月工具機進口減少</w:t>
      </w:r>
      <w:r w:rsidRPr="002927B2">
        <w:rPr>
          <w:rFonts w:ascii="Times New Roman" w:eastAsia="標楷體" w:hAnsi="Times New Roman"/>
          <w:spacing w:val="-2"/>
          <w:kern w:val="0"/>
          <w:sz w:val="36"/>
          <w:szCs w:val="36"/>
        </w:rPr>
        <w:t>12.1%</w:t>
      </w:r>
      <w:r w:rsidRPr="002927B2">
        <w:rPr>
          <w:rFonts w:ascii="Times New Roman" w:eastAsia="標楷體" w:hint="eastAsia"/>
          <w:spacing w:val="-2"/>
          <w:kern w:val="0"/>
          <w:sz w:val="36"/>
          <w:szCs w:val="36"/>
        </w:rPr>
        <w:t>。</w:t>
      </w:r>
    </w:p>
    <w:p w:rsidR="00FD31ED" w:rsidRDefault="00FD31ED" w:rsidP="00490113">
      <w:pPr>
        <w:adjustRightInd w:val="0"/>
        <w:snapToGrid w:val="0"/>
        <w:spacing w:afterLines="50" w:line="600" w:lineRule="exact"/>
        <w:jc w:val="both"/>
        <w:rPr>
          <w:rFonts w:ascii="Times New Roman" w:eastAsia="標楷體"/>
          <w:spacing w:val="-2"/>
          <w:kern w:val="0"/>
          <w:sz w:val="36"/>
          <w:szCs w:val="36"/>
        </w:rPr>
      </w:pPr>
      <w:r w:rsidRPr="002927B2">
        <w:rPr>
          <w:rFonts w:ascii="Times New Roman" w:eastAsia="標楷體" w:hint="eastAsia"/>
          <w:spacing w:val="-2"/>
          <w:kern w:val="0"/>
          <w:sz w:val="36"/>
          <w:szCs w:val="36"/>
        </w:rPr>
        <w:t>台灣工具機出口中國大陸衰退</w:t>
      </w:r>
      <w:r w:rsidRPr="002927B2">
        <w:rPr>
          <w:rFonts w:ascii="Times New Roman" w:eastAsia="標楷體" w:hAnsi="Times New Roman"/>
          <w:spacing w:val="-2"/>
          <w:kern w:val="0"/>
          <w:sz w:val="36"/>
          <w:szCs w:val="36"/>
        </w:rPr>
        <w:t>19.1%</w:t>
      </w:r>
      <w:r w:rsidRPr="002927B2">
        <w:rPr>
          <w:rFonts w:ascii="Times New Roman" w:eastAsia="標楷體" w:hint="eastAsia"/>
          <w:spacing w:val="-2"/>
          <w:kern w:val="0"/>
          <w:sz w:val="36"/>
          <w:szCs w:val="36"/>
        </w:rPr>
        <w:t>，惟日本減幅</w:t>
      </w:r>
      <w:r w:rsidRPr="002927B2">
        <w:rPr>
          <w:rFonts w:ascii="Times New Roman" w:eastAsia="標楷體" w:hAnsi="Times New Roman"/>
          <w:spacing w:val="-2"/>
          <w:kern w:val="0"/>
          <w:sz w:val="36"/>
          <w:szCs w:val="36"/>
        </w:rPr>
        <w:t>40.8%</w:t>
      </w:r>
      <w:r w:rsidRPr="002927B2">
        <w:rPr>
          <w:rFonts w:ascii="Times New Roman" w:eastAsia="標楷體" w:hint="eastAsia"/>
          <w:spacing w:val="-2"/>
          <w:kern w:val="0"/>
          <w:sz w:val="36"/>
          <w:szCs w:val="36"/>
        </w:rPr>
        <w:t>更大，顯示日圓大幅貶值並未提升日本工具機出口。</w:t>
      </w:r>
      <w:r>
        <w:rPr>
          <w:rFonts w:ascii="Times New Roman" w:eastAsia="標楷體"/>
          <w:spacing w:val="-2"/>
          <w:kern w:val="0"/>
          <w:sz w:val="36"/>
          <w:szCs w:val="36"/>
        </w:rPr>
        <w:t>(</w:t>
      </w:r>
      <w:r>
        <w:rPr>
          <w:rFonts w:ascii="Times New Roman" w:eastAsia="標楷體" w:hint="eastAsia"/>
          <w:spacing w:val="-2"/>
          <w:kern w:val="0"/>
          <w:sz w:val="36"/>
          <w:szCs w:val="36"/>
        </w:rPr>
        <w:t>詳見表</w:t>
      </w:r>
      <w:r>
        <w:rPr>
          <w:rFonts w:ascii="Times New Roman" w:eastAsia="標楷體"/>
          <w:spacing w:val="-2"/>
          <w:kern w:val="0"/>
          <w:sz w:val="36"/>
          <w:szCs w:val="36"/>
        </w:rPr>
        <w:t>2)</w:t>
      </w:r>
    </w:p>
    <w:p w:rsidR="00FD31ED" w:rsidRDefault="00FD31ED" w:rsidP="00490113">
      <w:pPr>
        <w:adjustRightInd w:val="0"/>
        <w:snapToGrid w:val="0"/>
        <w:spacing w:afterLines="50" w:line="600" w:lineRule="exact"/>
        <w:jc w:val="both"/>
        <w:rPr>
          <w:rFonts w:ascii="Times New Roman" w:eastAsia="標楷體"/>
          <w:spacing w:val="-2"/>
          <w:kern w:val="0"/>
          <w:sz w:val="36"/>
          <w:szCs w:val="36"/>
        </w:rPr>
      </w:pPr>
      <w:r>
        <w:rPr>
          <w:noProof/>
        </w:rPr>
        <w:pict>
          <v:shape id="_x0000_s1028" type="#_x0000_t202" style="position:absolute;left:0;text-align:left;margin-left:48.6pt;margin-top:3pt;width:613.5pt;height:50.15pt;z-index:251656192" filled="f" stroked="f">
            <v:textbox style="mso-next-textbox:#_x0000_s1028">
              <w:txbxContent>
                <w:p w:rsidR="00FD31ED" w:rsidRPr="002927B2" w:rsidRDefault="00FD31ED" w:rsidP="002927B2">
                  <w:pPr>
                    <w:spacing w:line="400" w:lineRule="exact"/>
                    <w:ind w:left="482"/>
                    <w:jc w:val="center"/>
                    <w:rPr>
                      <w:rFonts w:ascii="Times New Roman" w:eastAsia="標楷體" w:hAnsi="Times New Roman"/>
                      <w:b/>
                      <w:sz w:val="28"/>
                      <w:szCs w:val="28"/>
                    </w:rPr>
                  </w:pPr>
                  <w:r w:rsidRPr="002927B2">
                    <w:rPr>
                      <w:rFonts w:ascii="Times New Roman" w:eastAsia="標楷體" w:hint="eastAsia"/>
                      <w:b/>
                      <w:sz w:val="28"/>
                      <w:szCs w:val="28"/>
                    </w:rPr>
                    <w:t>表</w:t>
                  </w:r>
                  <w:r w:rsidRPr="002927B2">
                    <w:rPr>
                      <w:rFonts w:ascii="Times New Roman" w:eastAsia="標楷體" w:hAnsi="Times New Roman"/>
                      <w:b/>
                      <w:sz w:val="28"/>
                      <w:szCs w:val="28"/>
                    </w:rPr>
                    <w:t>2</w:t>
                  </w:r>
                  <w:r w:rsidRPr="002927B2">
                    <w:rPr>
                      <w:rFonts w:ascii="Times New Roman" w:eastAsia="標楷體" w:hint="eastAsia"/>
                      <w:b/>
                      <w:sz w:val="28"/>
                      <w:szCs w:val="28"/>
                    </w:rPr>
                    <w:t xml:space="preserve">　</w:t>
                  </w:r>
                  <w:r w:rsidRPr="002927B2">
                    <w:rPr>
                      <w:rFonts w:ascii="Times New Roman" w:eastAsia="標楷體" w:hAnsi="Times New Roman"/>
                      <w:b/>
                      <w:sz w:val="28"/>
                      <w:szCs w:val="28"/>
                    </w:rPr>
                    <w:t xml:space="preserve"> </w:t>
                  </w:r>
                  <w:r w:rsidRPr="002927B2">
                    <w:rPr>
                      <w:rFonts w:ascii="Times New Roman" w:eastAsia="標楷體" w:hint="eastAsia"/>
                      <w:b/>
                      <w:sz w:val="28"/>
                      <w:szCs w:val="28"/>
                    </w:rPr>
                    <w:t>台灣及日本工具機對中國大陸</w:t>
                  </w:r>
                  <w:r w:rsidRPr="002927B2">
                    <w:rPr>
                      <w:rFonts w:ascii="Times New Roman" w:eastAsia="標楷體" w:hAnsi="Times New Roman"/>
                      <w:b/>
                      <w:sz w:val="28"/>
                      <w:szCs w:val="28"/>
                    </w:rPr>
                    <w:t>(</w:t>
                  </w:r>
                  <w:r w:rsidRPr="002927B2">
                    <w:rPr>
                      <w:rFonts w:ascii="Times New Roman" w:eastAsia="標楷體" w:hint="eastAsia"/>
                      <w:b/>
                      <w:sz w:val="28"/>
                      <w:szCs w:val="28"/>
                    </w:rPr>
                    <w:t>含香港</w:t>
                  </w:r>
                  <w:r w:rsidRPr="002927B2">
                    <w:rPr>
                      <w:rFonts w:ascii="Times New Roman" w:eastAsia="標楷體" w:hAnsi="Times New Roman"/>
                      <w:b/>
                      <w:sz w:val="28"/>
                      <w:szCs w:val="28"/>
                    </w:rPr>
                    <w:t>)</w:t>
                  </w:r>
                  <w:r w:rsidRPr="002927B2">
                    <w:rPr>
                      <w:rFonts w:ascii="Times New Roman" w:eastAsia="標楷體" w:hint="eastAsia"/>
                      <w:b/>
                      <w:sz w:val="28"/>
                      <w:szCs w:val="28"/>
                    </w:rPr>
                    <w:t>出口比重與年增率</w:t>
                  </w:r>
                </w:p>
                <w:p w:rsidR="00FD31ED" w:rsidRPr="002927B2" w:rsidRDefault="00FD31ED" w:rsidP="002927B2">
                  <w:pPr>
                    <w:spacing w:line="400" w:lineRule="exact"/>
                    <w:ind w:left="482"/>
                    <w:jc w:val="center"/>
                    <w:rPr>
                      <w:rFonts w:ascii="Times New Roman" w:eastAsia="標楷體" w:hAnsi="Times New Roman"/>
                      <w:b/>
                      <w:sz w:val="28"/>
                      <w:szCs w:val="28"/>
                    </w:rPr>
                  </w:pPr>
                  <w:r w:rsidRPr="002927B2">
                    <w:rPr>
                      <w:rFonts w:ascii="Times New Roman" w:eastAsia="標楷體" w:hAnsi="Times New Roman"/>
                      <w:b/>
                      <w:sz w:val="28"/>
                      <w:szCs w:val="28"/>
                    </w:rPr>
                    <w:t>(2013</w:t>
                  </w:r>
                  <w:r w:rsidRPr="002927B2">
                    <w:rPr>
                      <w:rFonts w:ascii="Times New Roman" w:eastAsia="標楷體" w:hint="eastAsia"/>
                      <w:b/>
                      <w:sz w:val="28"/>
                      <w:szCs w:val="28"/>
                    </w:rPr>
                    <w:t>年</w:t>
                  </w:r>
                  <w:r w:rsidRPr="002927B2">
                    <w:rPr>
                      <w:rFonts w:ascii="Times New Roman" w:eastAsia="標楷體" w:hAnsi="Times New Roman"/>
                      <w:b/>
                      <w:sz w:val="28"/>
                      <w:szCs w:val="28"/>
                    </w:rPr>
                    <w:t>1</w:t>
                  </w:r>
                  <w:r w:rsidRPr="002927B2">
                    <w:rPr>
                      <w:rFonts w:ascii="Times New Roman" w:eastAsia="標楷體" w:hint="eastAsia"/>
                      <w:b/>
                      <w:sz w:val="28"/>
                      <w:szCs w:val="28"/>
                    </w:rPr>
                    <w:t>至</w:t>
                  </w:r>
                  <w:r w:rsidRPr="002927B2">
                    <w:rPr>
                      <w:rFonts w:ascii="Times New Roman" w:eastAsia="標楷體" w:hAnsi="Times New Roman"/>
                      <w:b/>
                      <w:sz w:val="28"/>
                      <w:szCs w:val="28"/>
                    </w:rPr>
                    <w:t>4</w:t>
                  </w:r>
                  <w:r w:rsidRPr="002927B2">
                    <w:rPr>
                      <w:rFonts w:ascii="Times New Roman" w:eastAsia="標楷體" w:hint="eastAsia"/>
                      <w:b/>
                      <w:sz w:val="28"/>
                      <w:szCs w:val="28"/>
                    </w:rPr>
                    <w:t>月</w:t>
                  </w:r>
                  <w:r w:rsidRPr="002927B2">
                    <w:rPr>
                      <w:rFonts w:ascii="Times New Roman" w:eastAsia="標楷體" w:hAnsi="Times New Roman"/>
                      <w:b/>
                      <w:sz w:val="28"/>
                      <w:szCs w:val="28"/>
                    </w:rPr>
                    <w:t>)</w:t>
                  </w:r>
                </w:p>
              </w:txbxContent>
            </v:textbox>
          </v:shape>
        </w:pict>
      </w:r>
    </w:p>
    <w:p w:rsidR="00FD31ED" w:rsidRPr="007937D6" w:rsidRDefault="00FD31ED" w:rsidP="002927B2">
      <w:pPr>
        <w:adjustRightInd w:val="0"/>
        <w:snapToGrid w:val="0"/>
        <w:jc w:val="both"/>
        <w:rPr>
          <w:rFonts w:eastAsia="標楷體"/>
          <w:spacing w:val="-2"/>
          <w:kern w:val="0"/>
          <w:sz w:val="32"/>
          <w:szCs w:val="32"/>
        </w:rPr>
      </w:pPr>
      <w:r>
        <w:rPr>
          <w:noProof/>
        </w:rPr>
        <w:pict>
          <v:shape id="_x0000_s1029" type="#_x0000_t75" style="position:absolute;left:0;text-align:left;margin-left:186pt;margin-top:9pt;width:372pt;height:158.95pt;z-index:-251659264" wrapcoords="18900 815 10800 2445 -44 2445 -44 16913 174 17117 174 18645 10800 18747 784 19460 174 19562 261 20785 9842 20785 9842 20377 10756 18747 10800 17117 21600 16913 21600 2445 17202 2445 21426 1834 21339 815 18900 815">
            <v:imagedata r:id="rId10" o:title=""/>
            <w10:wrap type="tight"/>
          </v:shape>
        </w:pict>
      </w:r>
    </w:p>
    <w:p w:rsidR="00FD31ED" w:rsidRDefault="00FD31ED" w:rsidP="007920AC">
      <w:pPr>
        <w:adjustRightInd w:val="0"/>
        <w:snapToGrid w:val="0"/>
        <w:spacing w:before="25" w:after="25" w:line="480" w:lineRule="exact"/>
        <w:ind w:leftChars="402" w:left="1433" w:hangingChars="148" w:hanging="468"/>
        <w:jc w:val="both"/>
        <w:rPr>
          <w:rFonts w:eastAsia="標楷體"/>
          <w:spacing w:val="-2"/>
          <w:kern w:val="0"/>
          <w:sz w:val="32"/>
          <w:szCs w:val="32"/>
        </w:rPr>
      </w:pPr>
    </w:p>
    <w:p w:rsidR="00FD31ED" w:rsidRDefault="00FD31ED" w:rsidP="002927B2">
      <w:pPr>
        <w:adjustRightInd w:val="0"/>
        <w:snapToGrid w:val="0"/>
        <w:spacing w:before="25" w:after="25" w:line="480" w:lineRule="exact"/>
        <w:ind w:leftChars="402" w:left="1433" w:hangingChars="148" w:hanging="468"/>
        <w:jc w:val="both"/>
        <w:rPr>
          <w:rFonts w:eastAsia="標楷體"/>
          <w:spacing w:val="-2"/>
          <w:kern w:val="0"/>
          <w:sz w:val="32"/>
          <w:szCs w:val="32"/>
        </w:rPr>
      </w:pPr>
    </w:p>
    <w:p w:rsidR="00FD31ED" w:rsidRDefault="00FD31ED" w:rsidP="00490113">
      <w:pPr>
        <w:snapToGrid w:val="0"/>
        <w:spacing w:beforeLines="25" w:afterLines="25" w:line="480" w:lineRule="exact"/>
        <w:rPr>
          <w:rFonts w:ascii="標楷體" w:eastAsia="標楷體" w:hAnsi="標楷體"/>
          <w:b/>
          <w:noProof/>
          <w:sz w:val="32"/>
          <w:szCs w:val="32"/>
        </w:rPr>
      </w:pPr>
    </w:p>
    <w:p w:rsidR="00FD31ED" w:rsidRDefault="00FD31ED" w:rsidP="00490113">
      <w:pPr>
        <w:snapToGrid w:val="0"/>
        <w:spacing w:beforeLines="25" w:afterLines="25" w:line="480" w:lineRule="exact"/>
        <w:rPr>
          <w:rFonts w:ascii="標楷體" w:eastAsia="標楷體" w:hAnsi="標楷體"/>
          <w:b/>
          <w:noProof/>
          <w:sz w:val="32"/>
          <w:szCs w:val="32"/>
        </w:rPr>
      </w:pPr>
    </w:p>
    <w:p w:rsidR="00FD31ED" w:rsidRDefault="00FD31ED" w:rsidP="00490113">
      <w:pPr>
        <w:snapToGrid w:val="0"/>
        <w:spacing w:beforeLines="25" w:afterLines="25" w:line="480" w:lineRule="exact"/>
        <w:rPr>
          <w:rFonts w:ascii="標楷體" w:eastAsia="標楷體" w:hAnsi="標楷體"/>
          <w:b/>
          <w:noProof/>
          <w:sz w:val="32"/>
          <w:szCs w:val="32"/>
        </w:rPr>
      </w:pPr>
    </w:p>
    <w:p w:rsidR="00FD31ED" w:rsidRDefault="00FD31ED" w:rsidP="00842841">
      <w:pPr>
        <w:snapToGrid w:val="0"/>
        <w:spacing w:beforeLines="25" w:afterLines="25" w:line="480" w:lineRule="exact"/>
        <w:rPr>
          <w:rFonts w:ascii="標楷體" w:eastAsia="標楷體" w:hAnsi="標楷體"/>
          <w:b/>
          <w:noProof/>
          <w:sz w:val="32"/>
          <w:szCs w:val="32"/>
        </w:rPr>
      </w:pPr>
    </w:p>
    <w:bookmarkEnd w:id="1"/>
    <w:bookmarkEnd w:id="2"/>
    <w:bookmarkEnd w:id="3"/>
    <w:bookmarkEnd w:id="4"/>
    <w:p w:rsidR="00FD31ED" w:rsidRDefault="00FD31ED" w:rsidP="00FD294C">
      <w:pPr>
        <w:snapToGrid w:val="0"/>
        <w:spacing w:after="120" w:line="600" w:lineRule="exact"/>
        <w:rPr>
          <w:rFonts w:ascii="標楷體" w:eastAsia="標楷體" w:hAnsi="標楷體"/>
          <w:sz w:val="36"/>
          <w:szCs w:val="36"/>
        </w:rPr>
      </w:pPr>
      <w:r>
        <w:rPr>
          <w:rFonts w:ascii="Times New Roman" w:eastAsia="標楷體" w:hAnsi="標楷體" w:hint="eastAsia"/>
          <w:sz w:val="36"/>
          <w:szCs w:val="36"/>
        </w:rPr>
        <w:t>央行每季派員訪談企業，以實地瞭解其經營狀況及未來展望；平日並密切注意媒體的報導。央行一向關注業界的經營狀況</w:t>
      </w:r>
      <w:r>
        <w:rPr>
          <w:rFonts w:ascii="Times New Roman" w:eastAsia="標楷體" w:hAnsi="標楷體"/>
          <w:sz w:val="36"/>
          <w:szCs w:val="36"/>
        </w:rPr>
        <w:t xml:space="preserve"> (</w:t>
      </w:r>
      <w:r>
        <w:rPr>
          <w:rFonts w:ascii="Times New Roman" w:eastAsia="標楷體" w:hAnsi="標楷體" w:hint="eastAsia"/>
          <w:sz w:val="36"/>
          <w:szCs w:val="36"/>
        </w:rPr>
        <w:t>因為產業經營良好，有助於金融穩定</w:t>
      </w:r>
      <w:r w:rsidRPr="00A05F09">
        <w:rPr>
          <w:rFonts w:ascii="標楷體" w:eastAsia="標楷體" w:hAnsi="標楷體"/>
          <w:sz w:val="36"/>
          <w:szCs w:val="36"/>
        </w:rPr>
        <w:t>)</w:t>
      </w:r>
      <w:r>
        <w:rPr>
          <w:rFonts w:ascii="標楷體" w:eastAsia="標楷體" w:hAnsi="標楷體" w:hint="eastAsia"/>
          <w:sz w:val="36"/>
          <w:szCs w:val="36"/>
        </w:rPr>
        <w:t>。央行的貨幣、外匯政策，以促進總體經濟穩定及經濟健全發展為主。</w:t>
      </w:r>
    </w:p>
    <w:p w:rsidR="00FD31ED" w:rsidRPr="00593049" w:rsidRDefault="00FD31ED" w:rsidP="00FD294C">
      <w:pPr>
        <w:snapToGrid w:val="0"/>
        <w:spacing w:after="120" w:line="600" w:lineRule="exact"/>
        <w:rPr>
          <w:rFonts w:ascii="Times New Roman" w:eastAsia="標楷體" w:hAnsi="Times New Roman"/>
          <w:sz w:val="36"/>
          <w:szCs w:val="36"/>
        </w:rPr>
      </w:pPr>
      <w:r>
        <w:rPr>
          <w:rFonts w:ascii="標楷體" w:eastAsia="標楷體" w:hAnsi="標楷體" w:hint="eastAsia"/>
          <w:sz w:val="36"/>
          <w:szCs w:val="36"/>
        </w:rPr>
        <w:t>央行充分</w:t>
      </w:r>
      <w:r>
        <w:rPr>
          <w:rFonts w:ascii="Times New Roman" w:eastAsia="標楷體" w:hAnsi="標楷體" w:hint="eastAsia"/>
          <w:sz w:val="36"/>
          <w:szCs w:val="36"/>
        </w:rPr>
        <w:t>瞭解匯率無法滿足各界的期盼。央行全體同仁必當戮力以赴，也期盼各界能瞭解央行政策的侷限性。</w:t>
      </w:r>
    </w:p>
    <w:p w:rsidR="00FD31ED" w:rsidRPr="00FD294C" w:rsidRDefault="00FD31ED" w:rsidP="00FD294C">
      <w:pPr>
        <w:snapToGrid w:val="0"/>
        <w:spacing w:after="120" w:line="600" w:lineRule="exact"/>
        <w:rPr>
          <w:rFonts w:ascii="Times New Roman" w:eastAsia="標楷體" w:hAnsi="Times New Roman"/>
          <w:sz w:val="36"/>
          <w:szCs w:val="36"/>
        </w:rPr>
      </w:pPr>
      <w:r>
        <w:rPr>
          <w:rFonts w:ascii="Times New Roman" w:eastAsia="標楷體" w:hAnsi="Times New Roman"/>
          <w:sz w:val="36"/>
          <w:szCs w:val="36"/>
        </w:rPr>
        <w:t xml:space="preserve"> </w:t>
      </w:r>
    </w:p>
    <w:sectPr w:rsidR="00FD31ED" w:rsidRPr="00FD294C" w:rsidSect="00493DCB">
      <w:footerReference w:type="even" r:id="rId11"/>
      <w:footerReference w:type="default" r:id="rId12"/>
      <w:pgSz w:w="16838" w:h="11906" w:orient="landscape"/>
      <w:pgMar w:top="1797" w:right="1440" w:bottom="1797"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1ED" w:rsidRDefault="00FD31ED">
      <w:r>
        <w:separator/>
      </w:r>
    </w:p>
  </w:endnote>
  <w:endnote w:type="continuationSeparator" w:id="0">
    <w:p w:rsidR="00FD31ED" w:rsidRDefault="00FD31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1ED" w:rsidRDefault="00FD31ED" w:rsidP="00223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31ED" w:rsidRDefault="00FD31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1ED" w:rsidRDefault="00FD31ED" w:rsidP="002927B2">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p>
  <w:p w:rsidR="00FD31ED" w:rsidRDefault="00FD31E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1ED" w:rsidRDefault="00FD31ED">
      <w:r>
        <w:separator/>
      </w:r>
    </w:p>
  </w:footnote>
  <w:footnote w:type="continuationSeparator" w:id="0">
    <w:p w:rsidR="00FD31ED" w:rsidRDefault="00FD31ED">
      <w:r>
        <w:continuationSeparator/>
      </w:r>
    </w:p>
  </w:footnote>
  <w:footnote w:id="1">
    <w:p w:rsidR="00FD31ED" w:rsidRDefault="00FD31ED" w:rsidP="005D35FB">
      <w:r w:rsidRPr="005D35FB">
        <w:rPr>
          <w:rStyle w:val="FootnoteReference"/>
          <w:rFonts w:ascii="Times New Roman" w:eastAsia="標楷體" w:hAnsi="Times New Roman"/>
          <w:szCs w:val="24"/>
        </w:rPr>
        <w:footnoteRef/>
      </w:r>
      <w:r w:rsidRPr="005D35FB">
        <w:rPr>
          <w:szCs w:val="24"/>
        </w:rPr>
        <w:t xml:space="preserve"> Crane, Agnes (2013), “</w:t>
      </w:r>
      <w:smartTag w:uri="urn:schemas-microsoft-com:office:smarttags" w:element="country-region">
        <w:smartTag w:uri="urn:schemas-microsoft-com:office:smarttags" w:element="place">
          <w:r w:rsidRPr="005D35FB">
            <w:rPr>
              <w:szCs w:val="24"/>
            </w:rPr>
            <w:t>Japan</w:t>
          </w:r>
        </w:smartTag>
      </w:smartTag>
      <w:r w:rsidRPr="005D35FB">
        <w:rPr>
          <w:szCs w:val="24"/>
        </w:rPr>
        <w:t xml:space="preserve"> Comes Dangerously Late to Currency War,” </w:t>
      </w:r>
      <w:r w:rsidRPr="005D35FB">
        <w:rPr>
          <w:i/>
          <w:szCs w:val="24"/>
        </w:rPr>
        <w:t>Reuters</w:t>
      </w:r>
      <w:r w:rsidRPr="005D35FB">
        <w:rPr>
          <w:szCs w:val="24"/>
        </w:rPr>
        <w:t>, Jan. 7.</w:t>
      </w:r>
    </w:p>
  </w:footnote>
  <w:footnote w:id="2">
    <w:p w:rsidR="00FD31ED" w:rsidRDefault="00FD31ED">
      <w:pPr>
        <w:pStyle w:val="FootnoteText"/>
      </w:pPr>
      <w:r w:rsidRPr="005D35FB">
        <w:rPr>
          <w:rStyle w:val="FootnoteReference"/>
          <w:sz w:val="24"/>
          <w:szCs w:val="24"/>
        </w:rPr>
        <w:footnoteRef/>
      </w:r>
      <w:r w:rsidRPr="005D35FB">
        <w:rPr>
          <w:sz w:val="24"/>
          <w:szCs w:val="24"/>
        </w:rPr>
        <w:t xml:space="preserve"> </w:t>
      </w:r>
      <w:r w:rsidRPr="005D35FB">
        <w:rPr>
          <w:rFonts w:ascii="Times New Roman" w:eastAsia="標楷體" w:hAnsi="Times New Roman"/>
          <w:sz w:val="24"/>
          <w:szCs w:val="24"/>
        </w:rPr>
        <w:t>IMF (2012), “</w:t>
      </w:r>
      <w:smartTag w:uri="urn:schemas-microsoft-com:office:smarttags" w:element="country-region">
        <w:smartTag w:uri="urn:schemas-microsoft-com:office:smarttags" w:element="place">
          <w:r w:rsidRPr="005D35FB">
            <w:rPr>
              <w:rFonts w:ascii="Times New Roman" w:eastAsia="標楷體" w:hAnsi="Times New Roman"/>
              <w:sz w:val="24"/>
              <w:szCs w:val="24"/>
            </w:rPr>
            <w:t>Japan</w:t>
          </w:r>
        </w:smartTag>
      </w:smartTag>
      <w:r w:rsidRPr="005D35FB">
        <w:rPr>
          <w:rFonts w:ascii="Times New Roman" w:eastAsia="標楷體" w:hAnsi="Times New Roman"/>
          <w:sz w:val="24"/>
          <w:szCs w:val="24"/>
        </w:rPr>
        <w:t xml:space="preserve"> – 2012 Article IV Consultation,” </w:t>
      </w:r>
      <w:r w:rsidRPr="005D35FB">
        <w:rPr>
          <w:rFonts w:ascii="Times New Roman" w:eastAsia="標楷體" w:hAnsi="Times New Roman"/>
          <w:i/>
          <w:sz w:val="24"/>
          <w:szCs w:val="24"/>
        </w:rPr>
        <w:t>IMF Country Report No.12/208</w:t>
      </w:r>
      <w:r w:rsidRPr="005D35FB">
        <w:rPr>
          <w:rFonts w:ascii="Times New Roman" w:eastAsia="標楷體" w:hAnsi="Times New Roman"/>
          <w:sz w:val="24"/>
          <w:szCs w:val="24"/>
        </w:rPr>
        <w:t>, Aug. 1</w:t>
      </w:r>
    </w:p>
  </w:footnote>
  <w:footnote w:id="3">
    <w:p w:rsidR="00FD31ED" w:rsidRDefault="00FD31ED" w:rsidP="006275A5">
      <w:pPr>
        <w:pStyle w:val="FootnoteText"/>
        <w:spacing w:line="400" w:lineRule="exact"/>
        <w:ind w:left="180" w:hangingChars="75" w:hanging="180"/>
      </w:pPr>
      <w:r w:rsidRPr="002927B2">
        <w:rPr>
          <w:rStyle w:val="FootnoteReference"/>
          <w:rFonts w:ascii="標楷體" w:eastAsia="標楷體" w:hAnsi="標楷體"/>
          <w:sz w:val="24"/>
          <w:szCs w:val="24"/>
        </w:rPr>
        <w:footnoteRef/>
      </w:r>
      <w:r>
        <w:rPr>
          <w:rFonts w:ascii="標楷體" w:eastAsia="標楷體" w:hAnsi="標楷體"/>
          <w:sz w:val="24"/>
          <w:szCs w:val="24"/>
        </w:rPr>
        <w:t xml:space="preserve"> </w:t>
      </w:r>
      <w:r>
        <w:rPr>
          <w:rFonts w:ascii="標楷體" w:eastAsia="標楷體" w:hAnsi="標楷體" w:hint="eastAsia"/>
          <w:sz w:val="24"/>
          <w:szCs w:val="24"/>
        </w:rPr>
        <w:t>一般商品市場供需曲線較穩定，但外匯市場供需曲線則會左右移動，以致匯率會過度波動</w:t>
      </w:r>
      <w:r>
        <w:rPr>
          <w:rFonts w:ascii="標楷體" w:eastAsia="標楷體" w:hAnsi="標楷體"/>
          <w:sz w:val="24"/>
          <w:szCs w:val="24"/>
        </w:rPr>
        <w:t xml:space="preserve"> (overshooting)</w:t>
      </w:r>
      <w:r>
        <w:rPr>
          <w:rFonts w:ascii="標楷體" w:eastAsia="標楷體" w:hAnsi="標楷體" w:hint="eastAsia"/>
          <w:sz w:val="24"/>
          <w:szCs w:val="24"/>
        </w:rPr>
        <w:t>。外資大量匯入會使外匯供給曲線向右移一倍；外資大量匯出時，則會使需求曲線向右移一倍。外資經常變換供需角色，時為供給，時為需求，造成匯率過度波動。</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D4624"/>
    <w:multiLevelType w:val="hybridMultilevel"/>
    <w:tmpl w:val="16062CF4"/>
    <w:lvl w:ilvl="0" w:tplc="7EB45CBC">
      <w:start w:val="1"/>
      <w:numFmt w:val="bullet"/>
      <w:lvlText w:val=""/>
      <w:lvlJc w:val="left"/>
      <w:pPr>
        <w:ind w:left="962" w:hanging="480"/>
      </w:pPr>
      <w:rPr>
        <w:rFonts w:ascii="Wingdings" w:hAnsi="Wingdings" w:hint="default"/>
        <w:color w:val="800080"/>
        <w:sz w:val="36"/>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D3F"/>
    <w:rsid w:val="000000D6"/>
    <w:rsid w:val="00090AF5"/>
    <w:rsid w:val="001174EB"/>
    <w:rsid w:val="00166589"/>
    <w:rsid w:val="001C5880"/>
    <w:rsid w:val="002231BE"/>
    <w:rsid w:val="00226F95"/>
    <w:rsid w:val="00276E40"/>
    <w:rsid w:val="002927B2"/>
    <w:rsid w:val="002E527D"/>
    <w:rsid w:val="002E5EB6"/>
    <w:rsid w:val="00374BF3"/>
    <w:rsid w:val="003A029E"/>
    <w:rsid w:val="003A7114"/>
    <w:rsid w:val="003B0B1B"/>
    <w:rsid w:val="003B0E18"/>
    <w:rsid w:val="003B3C62"/>
    <w:rsid w:val="00416CFE"/>
    <w:rsid w:val="00435EAC"/>
    <w:rsid w:val="00490113"/>
    <w:rsid w:val="00493DCB"/>
    <w:rsid w:val="004B6B77"/>
    <w:rsid w:val="004F7FEB"/>
    <w:rsid w:val="00513B6D"/>
    <w:rsid w:val="0051791D"/>
    <w:rsid w:val="005221DD"/>
    <w:rsid w:val="00552B0B"/>
    <w:rsid w:val="00593049"/>
    <w:rsid w:val="005A4D3F"/>
    <w:rsid w:val="005C69CB"/>
    <w:rsid w:val="005D35FB"/>
    <w:rsid w:val="005D4802"/>
    <w:rsid w:val="006275A5"/>
    <w:rsid w:val="006863C1"/>
    <w:rsid w:val="007876CA"/>
    <w:rsid w:val="007920AC"/>
    <w:rsid w:val="007937D6"/>
    <w:rsid w:val="007C514E"/>
    <w:rsid w:val="007D2680"/>
    <w:rsid w:val="007E50C1"/>
    <w:rsid w:val="007F1389"/>
    <w:rsid w:val="008149D6"/>
    <w:rsid w:val="00842841"/>
    <w:rsid w:val="00843C3D"/>
    <w:rsid w:val="00857D1B"/>
    <w:rsid w:val="0088636F"/>
    <w:rsid w:val="008914BD"/>
    <w:rsid w:val="008B4A4D"/>
    <w:rsid w:val="0094501C"/>
    <w:rsid w:val="009B437F"/>
    <w:rsid w:val="009C5DEE"/>
    <w:rsid w:val="00A01FAC"/>
    <w:rsid w:val="00A05F09"/>
    <w:rsid w:val="00A065AD"/>
    <w:rsid w:val="00A30C02"/>
    <w:rsid w:val="00A4180D"/>
    <w:rsid w:val="00A468D8"/>
    <w:rsid w:val="00AC2111"/>
    <w:rsid w:val="00AD7C02"/>
    <w:rsid w:val="00B33282"/>
    <w:rsid w:val="00B542C7"/>
    <w:rsid w:val="00BA30CF"/>
    <w:rsid w:val="00BB0099"/>
    <w:rsid w:val="00C40B60"/>
    <w:rsid w:val="00CD2DED"/>
    <w:rsid w:val="00D1281F"/>
    <w:rsid w:val="00D4355A"/>
    <w:rsid w:val="00D75A1A"/>
    <w:rsid w:val="00DD63F4"/>
    <w:rsid w:val="00DE18DE"/>
    <w:rsid w:val="00E10E6B"/>
    <w:rsid w:val="00E1305A"/>
    <w:rsid w:val="00EA4A8B"/>
    <w:rsid w:val="00EB5A83"/>
    <w:rsid w:val="00EF2CEE"/>
    <w:rsid w:val="00EF48FE"/>
    <w:rsid w:val="00F97FD8"/>
    <w:rsid w:val="00FB4623"/>
    <w:rsid w:val="00FC10F1"/>
    <w:rsid w:val="00FC338C"/>
    <w:rsid w:val="00FD294C"/>
    <w:rsid w:val="00FD2C37"/>
    <w:rsid w:val="00FD31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F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468D8"/>
    <w:pPr>
      <w:snapToGrid w:val="0"/>
    </w:pPr>
    <w:rPr>
      <w:sz w:val="20"/>
      <w:szCs w:val="20"/>
    </w:rPr>
  </w:style>
  <w:style w:type="character" w:customStyle="1" w:styleId="FootnoteTextChar">
    <w:name w:val="Footnote Text Char"/>
    <w:basedOn w:val="DefaultParagraphFont"/>
    <w:link w:val="FootnoteText"/>
    <w:uiPriority w:val="99"/>
    <w:semiHidden/>
    <w:locked/>
    <w:rsid w:val="00552B0B"/>
    <w:rPr>
      <w:rFonts w:cs="Times New Roman"/>
      <w:sz w:val="20"/>
      <w:szCs w:val="20"/>
    </w:rPr>
  </w:style>
  <w:style w:type="character" w:styleId="FootnoteReference">
    <w:name w:val="footnote reference"/>
    <w:basedOn w:val="DefaultParagraphFont"/>
    <w:uiPriority w:val="99"/>
    <w:semiHidden/>
    <w:rsid w:val="00A468D8"/>
    <w:rPr>
      <w:rFonts w:cs="Times New Roman"/>
      <w:vertAlign w:val="superscript"/>
    </w:rPr>
  </w:style>
  <w:style w:type="paragraph" w:styleId="BalloonText">
    <w:name w:val="Balloon Text"/>
    <w:basedOn w:val="Normal"/>
    <w:link w:val="BalloonTextChar"/>
    <w:uiPriority w:val="99"/>
    <w:semiHidden/>
    <w:rsid w:val="002927B2"/>
    <w:rPr>
      <w:rFonts w:ascii="Arial" w:hAnsi="Arial"/>
      <w:sz w:val="18"/>
      <w:szCs w:val="18"/>
    </w:rPr>
  </w:style>
  <w:style w:type="character" w:customStyle="1" w:styleId="BalloonTextChar">
    <w:name w:val="Balloon Text Char"/>
    <w:basedOn w:val="DefaultParagraphFont"/>
    <w:link w:val="BalloonText"/>
    <w:uiPriority w:val="99"/>
    <w:semiHidden/>
    <w:locked/>
    <w:rsid w:val="00552B0B"/>
    <w:rPr>
      <w:rFonts w:ascii="Cambria" w:eastAsia="新細明體" w:hAnsi="Cambria" w:cs="Times New Roman"/>
      <w:sz w:val="2"/>
    </w:rPr>
  </w:style>
  <w:style w:type="paragraph" w:styleId="Footer">
    <w:name w:val="footer"/>
    <w:basedOn w:val="Normal"/>
    <w:link w:val="FooterChar"/>
    <w:uiPriority w:val="99"/>
    <w:semiHidden/>
    <w:rsid w:val="002927B2"/>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semiHidden/>
    <w:locked/>
    <w:rsid w:val="00552B0B"/>
    <w:rPr>
      <w:rFonts w:cs="Times New Roman"/>
      <w:sz w:val="20"/>
      <w:szCs w:val="20"/>
    </w:rPr>
  </w:style>
  <w:style w:type="character" w:styleId="PageNumber">
    <w:name w:val="page number"/>
    <w:basedOn w:val="DefaultParagraphFont"/>
    <w:uiPriority w:val="99"/>
    <w:semiHidden/>
    <w:rsid w:val="002927B2"/>
    <w:rPr>
      <w:rFonts w:cs="Times New Roman"/>
    </w:rPr>
  </w:style>
  <w:style w:type="paragraph" w:customStyle="1" w:styleId="1">
    <w:name w:val="內文1"/>
    <w:basedOn w:val="Normal"/>
    <w:uiPriority w:val="99"/>
    <w:rsid w:val="002927B2"/>
    <w:pPr>
      <w:tabs>
        <w:tab w:val="left" w:pos="960"/>
        <w:tab w:val="left" w:pos="1920"/>
        <w:tab w:val="left" w:pos="2880"/>
        <w:tab w:val="left" w:pos="3840"/>
        <w:tab w:val="left" w:pos="4800"/>
        <w:tab w:val="left" w:pos="5760"/>
        <w:tab w:val="left" w:pos="6720"/>
        <w:tab w:val="left" w:pos="7680"/>
      </w:tabs>
      <w:autoSpaceDE w:val="0"/>
      <w:autoSpaceDN w:val="0"/>
      <w:adjustRightInd w:val="0"/>
      <w:ind w:firstLine="1701"/>
    </w:pPr>
    <w:rPr>
      <w:rFonts w:ascii="細明體" w:eastAsia="細明體" w:hAnsi="Times New Roman"/>
      <w:kern w:val="0"/>
      <w:sz w:val="20"/>
      <w:szCs w:val="24"/>
    </w:rPr>
  </w:style>
  <w:style w:type="paragraph" w:styleId="BodyText">
    <w:name w:val="Body Text"/>
    <w:basedOn w:val="Normal"/>
    <w:link w:val="BodyTextChar"/>
    <w:uiPriority w:val="99"/>
    <w:rsid w:val="005D35FB"/>
    <w:pPr>
      <w:spacing w:line="500" w:lineRule="exact"/>
      <w:jc w:val="both"/>
    </w:pPr>
    <w:rPr>
      <w:rFonts w:ascii="Times New Roman" w:eastAsia="標楷體" w:hAnsi="Times New Roman"/>
      <w:sz w:val="32"/>
      <w:szCs w:val="24"/>
    </w:rPr>
  </w:style>
  <w:style w:type="character" w:customStyle="1" w:styleId="BodyTextChar">
    <w:name w:val="Body Text Char"/>
    <w:basedOn w:val="DefaultParagraphFont"/>
    <w:link w:val="BodyText"/>
    <w:uiPriority w:val="99"/>
    <w:semiHidden/>
    <w:locked/>
    <w:rsid w:val="00552B0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Pages>
  <Words>264</Words>
  <Characters>1507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工具機業一再要求新台幣貶值，央行看法如何</dc:title>
  <dc:subject/>
  <dc:creator>曹體仁</dc:creator>
  <cp:keywords/>
  <dc:description/>
  <cp:lastModifiedBy>CBC</cp:lastModifiedBy>
  <cp:revision>4</cp:revision>
  <cp:lastPrinted>2013-06-27T08:47:00Z</cp:lastPrinted>
  <dcterms:created xsi:type="dcterms:W3CDTF">2013-06-27T08:39:00Z</dcterms:created>
  <dcterms:modified xsi:type="dcterms:W3CDTF">2013-06-27T08:47:00Z</dcterms:modified>
</cp:coreProperties>
</file>