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10" w:rsidRDefault="001D3C10">
      <w:pPr>
        <w:snapToGrid w:val="0"/>
        <w:spacing w:beforeLines="50" w:afterLines="50" w:line="440" w:lineRule="atLeast"/>
        <w:ind w:firstLineChars="450" w:firstLine="900"/>
        <w:rPr>
          <w:rFonts w:ascii="Times New Roman" w:eastAsia="標楷體" w:hAnsi="Times New Roman" w:cstheme="minorBidi"/>
          <w:b/>
          <w:bCs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573.75pt;margin-top:6.9pt;width:169.05pt;height:47.1pt;z-index:251658240;visibility:visible">
            <v:textbox style="mso-fit-shape-to-text:t">
              <w:txbxContent>
                <w:p w:rsidR="001D3C10" w:rsidRDefault="001D3C10">
                  <w:pPr>
                    <w:spacing w:line="360" w:lineRule="exact"/>
                    <w:jc w:val="distribute"/>
                    <w:rPr>
                      <w:rFonts w:ascii="Times New Roman" w:eastAsia="標楷體" w:hAnsi="Times New Roman" w:cstheme="minorBidi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6</w:t>
                  </w:r>
                  <w:r>
                    <w:rPr>
                      <w:rFonts w:ascii="Times New Roman" w:eastAsia="標楷體" w:hAnsi="Times New Roman" w:cs="標楷體" w:hint="eastAsia"/>
                      <w:sz w:val="28"/>
                      <w:szCs w:val="28"/>
                    </w:rPr>
                    <w:t>月</w:t>
                  </w:r>
                  <w:r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27</w:t>
                  </w:r>
                  <w:r>
                    <w:rPr>
                      <w:rFonts w:ascii="Times New Roman" w:eastAsia="標楷體" w:hAnsi="Times New Roman" w:cs="標楷體" w:hint="eastAsia"/>
                      <w:sz w:val="28"/>
                      <w:szCs w:val="28"/>
                    </w:rPr>
                    <w:t>日央行理監事會後</w:t>
                  </w:r>
                </w:p>
                <w:p w:rsidR="001D3C10" w:rsidRDefault="001D3C10">
                  <w:pPr>
                    <w:spacing w:line="360" w:lineRule="exact"/>
                    <w:jc w:val="distribute"/>
                    <w:rPr>
                      <w:rFonts w:ascii="Times New Roman" w:eastAsia="標楷體" w:hAnsi="Times New Roman" w:cstheme="minorBidi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標楷體" w:hint="eastAsia"/>
                      <w:sz w:val="28"/>
                      <w:szCs w:val="28"/>
                    </w:rPr>
                    <w:t>記者會參考資料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標楷體" w:hAnsi="Times New Roman" w:cs="標楷體" w:hint="eastAsia"/>
          <w:b/>
          <w:bCs/>
          <w:sz w:val="36"/>
          <w:szCs w:val="36"/>
        </w:rPr>
        <w:t>中國大陸上海銀行間</w:t>
      </w:r>
      <w:r>
        <w:rPr>
          <w:rFonts w:ascii="Times New Roman" w:eastAsia="標楷體" w:hAnsi="Times New Roman" w:cs="標楷體" w:hint="eastAsia"/>
          <w:b/>
          <w:bCs/>
          <w:color w:val="3333CC"/>
          <w:sz w:val="36"/>
          <w:szCs w:val="36"/>
        </w:rPr>
        <w:t>同業拆放利率</w:t>
      </w:r>
      <w:r>
        <w:rPr>
          <w:rFonts w:ascii="Times New Roman" w:eastAsia="標楷體" w:hAnsi="Times New Roman" w:cs="標楷體" w:hint="eastAsia"/>
          <w:b/>
          <w:bCs/>
          <w:sz w:val="36"/>
          <w:szCs w:val="36"/>
        </w:rPr>
        <w:t>及</w:t>
      </w:r>
      <w:r>
        <w:rPr>
          <w:rFonts w:ascii="Times New Roman" w:eastAsia="標楷體" w:hAnsi="Times New Roman" w:cs="標楷體" w:hint="eastAsia"/>
          <w:b/>
          <w:bCs/>
          <w:color w:val="3333CC"/>
          <w:sz w:val="36"/>
          <w:szCs w:val="36"/>
        </w:rPr>
        <w:t>上證綜合指數</w:t>
      </w:r>
      <w:r>
        <w:rPr>
          <w:rFonts w:ascii="Times New Roman" w:eastAsia="標楷體" w:hAnsi="Times New Roman" w:cs="標楷體" w:hint="eastAsia"/>
          <w:b/>
          <w:bCs/>
          <w:sz w:val="36"/>
          <w:szCs w:val="36"/>
        </w:rPr>
        <w:t>走勢分析</w:t>
      </w:r>
    </w:p>
    <w:p w:rsidR="001D3C10" w:rsidRDefault="001D3C10">
      <w:pPr>
        <w:snapToGrid w:val="0"/>
        <w:spacing w:beforeLines="50" w:afterLines="50" w:line="440" w:lineRule="atLeast"/>
        <w:jc w:val="right"/>
        <w:rPr>
          <w:rFonts w:ascii="Times New Roman" w:eastAsia="標楷體" w:hAnsi="Times New Roman" w:cstheme="minorBidi"/>
        </w:rPr>
      </w:pPr>
    </w:p>
    <w:p w:rsidR="001D3C10" w:rsidRDefault="001D3C10">
      <w:pPr>
        <w:snapToGrid w:val="0"/>
        <w:spacing w:beforeLines="50" w:afterLines="50" w:line="440" w:lineRule="atLeast"/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標楷體" w:hint="eastAsia"/>
        </w:rPr>
        <w:t>中央銀行</w:t>
      </w:r>
      <w:r>
        <w:rPr>
          <w:rFonts w:ascii="Times New Roman" w:eastAsia="標楷體" w:hAnsi="Times New Roman" w:cs="Times New Roman"/>
        </w:rPr>
        <w:t>/102.6.27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6"/>
        <w:gridCol w:w="6978"/>
      </w:tblGrid>
      <w:tr w:rsidR="001D3C10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1D3C10" w:rsidRDefault="001D3C10">
            <w:pPr>
              <w:snapToGrid w:val="0"/>
              <w:spacing w:beforeLines="50" w:afterLines="50" w:line="440" w:lineRule="atLeast"/>
              <w:rPr>
                <w:rFonts w:ascii="Times New Roman" w:eastAsia="標楷體" w:hAnsi="Times New Roman" w:cstheme="minorBidi"/>
              </w:rPr>
            </w:pPr>
            <w:r>
              <w:rPr>
                <w:rFonts w:ascii="Times New Roman" w:eastAsia="標楷體" w:hAnsi="Times New Roman" w:cstheme="minorBidi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i1025" type="#_x0000_t75" style="width:347.25pt;height:213.75pt;visibility:visible">
                  <v:imagedata r:id="rId7" o:title=""/>
                </v:shape>
              </w:pic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 w:rsidR="001D3C10" w:rsidRDefault="001D3C10">
            <w:pPr>
              <w:snapToGrid w:val="0"/>
              <w:spacing w:beforeLines="50" w:afterLines="50" w:line="440" w:lineRule="atLeast"/>
              <w:rPr>
                <w:rFonts w:ascii="Times New Roman" w:eastAsia="標楷體" w:hAnsi="Times New Roman" w:cstheme="minorBidi"/>
              </w:rPr>
            </w:pPr>
            <w:r>
              <w:rPr>
                <w:rFonts w:ascii="Times New Roman" w:eastAsia="標楷體" w:hAnsi="Times New Roman" w:cstheme="minorBidi"/>
                <w:noProof/>
              </w:rPr>
              <w:pict>
                <v:shape id="圖片 4" o:spid="_x0000_i1026" type="#_x0000_t75" style="width:334.5pt;height:211.5pt;visibility:visible">
                  <v:imagedata r:id="rId8" o:title=""/>
                </v:shape>
              </w:pict>
            </w:r>
          </w:p>
        </w:tc>
        <w:bookmarkStart w:id="0" w:name="_GoBack"/>
        <w:bookmarkEnd w:id="0"/>
      </w:tr>
    </w:tbl>
    <w:p w:rsidR="001D3C10" w:rsidRDefault="001D3C10">
      <w:pPr>
        <w:snapToGrid w:val="0"/>
        <w:spacing w:afterLines="50" w:line="400" w:lineRule="atLeast"/>
        <w:rPr>
          <w:rFonts w:ascii="Times New Roman" w:eastAsia="標楷體" w:hAnsi="Times New Roman" w:cstheme="minorBidi"/>
        </w:rPr>
      </w:pPr>
      <w:r>
        <w:rPr>
          <w:rFonts w:ascii="Times New Roman" w:eastAsia="標楷體" w:hAnsi="Times New Roman" w:cs="Times New Roman"/>
          <w:b/>
          <w:bCs/>
          <w:color w:val="3333CC"/>
          <w:sz w:val="32"/>
          <w:szCs w:val="32"/>
        </w:rPr>
        <w:t xml:space="preserve"> </w:t>
      </w:r>
      <w:r>
        <w:rPr>
          <w:rFonts w:ascii="Times New Roman" w:eastAsia="標楷體" w:hAnsi="Times New Roman" w:cs="標楷體" w:hint="eastAsia"/>
        </w:rPr>
        <w:t>資料來源</w:t>
      </w:r>
      <w:r>
        <w:rPr>
          <w:rFonts w:ascii="Times New Roman" w:eastAsia="標楷體" w:hAnsi="Times New Roman" w:cs="Times New Roman"/>
        </w:rPr>
        <w:t>:</w:t>
      </w:r>
      <w:r>
        <w:rPr>
          <w:rFonts w:ascii="標楷體" w:eastAsia="標楷體" w:hAnsi="標楷體" w:cs="標楷體" w:hint="eastAsia"/>
        </w:rPr>
        <w:t>中國大陸全國銀行間同業拆借中心</w:t>
      </w:r>
      <w:r>
        <w:rPr>
          <w:rFonts w:ascii="標楷體" w:eastAsia="標楷體" w:hAnsi="標楷體" w:cs="標楷體"/>
        </w:rPr>
        <w:t xml:space="preserve">    </w:t>
      </w:r>
      <w:r>
        <w:rPr>
          <w:rFonts w:ascii="Times New Roman" w:eastAsia="標楷體" w:hAnsi="Times New Roman" w:cs="Times New Roman"/>
        </w:rPr>
        <w:t xml:space="preserve">                 </w:t>
      </w:r>
      <w:r>
        <w:rPr>
          <w:rFonts w:ascii="Times New Roman" w:eastAsia="標楷體" w:hAnsi="Times New Roman" w:cs="標楷體" w:hint="eastAsia"/>
        </w:rPr>
        <w:t>資料來源</w:t>
      </w:r>
      <w:r>
        <w:rPr>
          <w:rFonts w:ascii="Times New Roman" w:eastAsia="標楷體" w:hAnsi="Times New Roman" w:cs="Times New Roman"/>
        </w:rPr>
        <w:t>:</w:t>
      </w:r>
      <w:r>
        <w:rPr>
          <w:rFonts w:ascii="Times New Roman" w:hAnsi="Times New Roman" w:cs="Times New Roman"/>
        </w:rPr>
        <w:t>Bloomberg</w:t>
      </w:r>
    </w:p>
    <w:p w:rsidR="001D3C10" w:rsidRDefault="001D3C10">
      <w:pPr>
        <w:pStyle w:val="ListParagraph"/>
        <w:numPr>
          <w:ilvl w:val="0"/>
          <w:numId w:val="1"/>
        </w:numPr>
        <w:snapToGrid w:val="0"/>
        <w:spacing w:beforeLines="50" w:afterLines="50" w:line="380" w:lineRule="exact"/>
        <w:ind w:leftChars="0"/>
        <w:rPr>
          <w:rFonts w:ascii="Times New Roman" w:eastAsia="標楷體" w:hAnsi="Times New Roman" w:cstheme="minorBidi"/>
          <w:b/>
          <w:bCs/>
          <w:color w:val="3333CC"/>
          <w:sz w:val="32"/>
          <w:szCs w:val="32"/>
        </w:rPr>
      </w:pP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中國大陸同業拆放利率大幅攀升之分析</w:t>
      </w:r>
    </w:p>
    <w:p w:rsidR="001D3C10" w:rsidRDefault="001D3C10">
      <w:pPr>
        <w:pStyle w:val="ListParagraph"/>
        <w:numPr>
          <w:ilvl w:val="1"/>
          <w:numId w:val="1"/>
        </w:numPr>
        <w:snapToGrid w:val="0"/>
        <w:spacing w:beforeLines="50" w:afterLines="50" w:line="380" w:lineRule="exact"/>
        <w:ind w:leftChars="0" w:left="993" w:hanging="993"/>
        <w:rPr>
          <w:rFonts w:ascii="Times New Roman" w:eastAsia="標楷體" w:hAnsi="Times New Roman" w:cstheme="minorBidi"/>
          <w:sz w:val="32"/>
          <w:szCs w:val="32"/>
        </w:rPr>
      </w:pPr>
      <w:r>
        <w:rPr>
          <w:rFonts w:ascii="Times New Roman" w:eastAsia="標楷體" w:hAnsi="Times New Roman" w:cs="標楷體" w:hint="eastAsia"/>
          <w:sz w:val="32"/>
          <w:szCs w:val="32"/>
        </w:rPr>
        <w:t>本年</w:t>
      </w:r>
      <w:r>
        <w:rPr>
          <w:rFonts w:ascii="Times New Roman" w:eastAsia="標楷體" w:hAnsi="Times New Roman" w:cs="Times New Roman"/>
          <w:sz w:val="32"/>
          <w:szCs w:val="32"/>
        </w:rPr>
        <w:t>6</w:t>
      </w:r>
      <w:r>
        <w:rPr>
          <w:rFonts w:ascii="Times New Roman" w:eastAsia="標楷體" w:hAnsi="Times New Roman" w:cs="標楷體" w:hint="eastAsia"/>
          <w:sz w:val="32"/>
          <w:szCs w:val="32"/>
        </w:rPr>
        <w:t>月</w:t>
      </w:r>
      <w:r>
        <w:rPr>
          <w:rFonts w:ascii="Times New Roman" w:eastAsia="標楷體" w:hAnsi="Times New Roman" w:cs="Times New Roman"/>
          <w:sz w:val="32"/>
          <w:szCs w:val="32"/>
        </w:rPr>
        <w:t>6</w:t>
      </w:r>
      <w:r>
        <w:rPr>
          <w:rFonts w:ascii="Times New Roman" w:eastAsia="標楷體" w:hAnsi="Times New Roman" w:cs="標楷體" w:hint="eastAsia"/>
          <w:sz w:val="32"/>
          <w:szCs w:val="32"/>
        </w:rPr>
        <w:t>日市場傳言，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光大銀行</w:t>
      </w:r>
      <w:r>
        <w:rPr>
          <w:rFonts w:ascii="Times New Roman" w:eastAsia="標楷體" w:hAnsi="Times New Roman" w:cs="標楷體" w:hint="eastAsia"/>
          <w:sz w:val="32"/>
          <w:szCs w:val="32"/>
        </w:rPr>
        <w:t>向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興業銀行</w:t>
      </w:r>
      <w:r>
        <w:rPr>
          <w:rFonts w:ascii="Times New Roman" w:eastAsia="標楷體" w:hAnsi="Times New Roman" w:cs="標楷體" w:hint="eastAsia"/>
          <w:sz w:val="32"/>
          <w:szCs w:val="32"/>
        </w:rPr>
        <w:t>拆借的</w:t>
      </w:r>
      <w:r>
        <w:rPr>
          <w:rFonts w:ascii="Times New Roman" w:eastAsia="標楷體" w:hAnsi="Times New Roman" w:cs="Times New Roman"/>
          <w:sz w:val="32"/>
          <w:szCs w:val="32"/>
        </w:rPr>
        <w:t>60</w:t>
      </w:r>
      <w:r>
        <w:rPr>
          <w:rFonts w:ascii="Times New Roman" w:eastAsia="標楷體" w:hAnsi="Times New Roman" w:cs="標楷體" w:hint="eastAsia"/>
          <w:sz w:val="32"/>
          <w:szCs w:val="32"/>
        </w:rPr>
        <w:t>億人民幣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短期借款</w:t>
      </w:r>
      <w:r>
        <w:rPr>
          <w:rFonts w:ascii="Times New Roman" w:eastAsia="標楷體" w:hAnsi="Times New Roman" w:cs="標楷體" w:hint="eastAsia"/>
          <w:sz w:val="32"/>
          <w:szCs w:val="32"/>
        </w:rPr>
        <w:t>無法償還。</w:t>
      </w:r>
    </w:p>
    <w:p w:rsidR="001D3C10" w:rsidRDefault="001D3C10">
      <w:pPr>
        <w:pStyle w:val="ListParagraph"/>
        <w:numPr>
          <w:ilvl w:val="1"/>
          <w:numId w:val="1"/>
        </w:numPr>
        <w:snapToGrid w:val="0"/>
        <w:spacing w:beforeLines="50" w:afterLines="50" w:line="380" w:lineRule="exact"/>
        <w:ind w:leftChars="0" w:left="992" w:hangingChars="310" w:hanging="992"/>
        <w:rPr>
          <w:rFonts w:ascii="Times New Roman" w:eastAsia="標楷體" w:hAnsi="Times New Roman" w:cstheme="minorBidi"/>
          <w:sz w:val="32"/>
          <w:szCs w:val="32"/>
        </w:rPr>
      </w:pPr>
      <w:r>
        <w:rPr>
          <w:rFonts w:ascii="Times New Roman" w:eastAsia="標楷體" w:hAnsi="Times New Roman" w:cs="標楷體" w:hint="eastAsia"/>
          <w:sz w:val="32"/>
          <w:szCs w:val="32"/>
        </w:rPr>
        <w:t>本年</w:t>
      </w:r>
      <w:r>
        <w:rPr>
          <w:rFonts w:ascii="Times New Roman" w:eastAsia="標楷體" w:hAnsi="Times New Roman" w:cs="Times New Roman"/>
          <w:sz w:val="32"/>
          <w:szCs w:val="32"/>
        </w:rPr>
        <w:t>6</w:t>
      </w:r>
      <w:r>
        <w:rPr>
          <w:rFonts w:ascii="Times New Roman" w:eastAsia="標楷體" w:hAnsi="Times New Roman" w:cs="標楷體" w:hint="eastAsia"/>
          <w:sz w:val="32"/>
          <w:szCs w:val="32"/>
        </w:rPr>
        <w:t>月中國大陸外匯管理局要求商業銀行須依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外匯存放比</w:t>
      </w:r>
      <w:r>
        <w:rPr>
          <w:rFonts w:ascii="Times New Roman" w:hAnsi="Times New Roman" w:cs="Times New Roman"/>
          <w:position w:val="10"/>
        </w:rPr>
        <w:footnoteReference w:id="1"/>
      </w:r>
      <w:r>
        <w:rPr>
          <w:rFonts w:ascii="Times New Roman" w:eastAsia="標楷體" w:hAnsi="Times New Roman" w:cs="標楷體" w:hint="eastAsia"/>
          <w:sz w:val="32"/>
          <w:szCs w:val="32"/>
        </w:rPr>
        <w:t>之規定，於</w:t>
      </w:r>
      <w:r>
        <w:rPr>
          <w:rFonts w:ascii="Times New Roman" w:eastAsia="標楷體" w:hAnsi="Times New Roman" w:cs="Times New Roman"/>
          <w:b/>
          <w:bCs/>
          <w:color w:val="3333CC"/>
          <w:sz w:val="32"/>
          <w:szCs w:val="32"/>
        </w:rPr>
        <w:t>6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月底</w:t>
      </w:r>
      <w:r>
        <w:rPr>
          <w:rFonts w:ascii="Times New Roman" w:eastAsia="標楷體" w:hAnsi="Times New Roman" w:cs="標楷體" w:hint="eastAsia"/>
          <w:sz w:val="32"/>
          <w:szCs w:val="32"/>
        </w:rPr>
        <w:t>前需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補足外匯部位</w:t>
      </w:r>
      <w:r>
        <w:rPr>
          <w:rFonts w:ascii="Times New Roman" w:eastAsia="標楷體" w:hAnsi="Times New Roman" w:cs="標楷體" w:hint="eastAsia"/>
          <w:sz w:val="32"/>
          <w:szCs w:val="32"/>
        </w:rPr>
        <w:t>。</w:t>
      </w:r>
    </w:p>
    <w:p w:rsidR="001D3C10" w:rsidRDefault="001D3C10">
      <w:pPr>
        <w:pStyle w:val="ListParagraph"/>
        <w:numPr>
          <w:ilvl w:val="1"/>
          <w:numId w:val="1"/>
        </w:numPr>
        <w:snapToGrid w:val="0"/>
        <w:spacing w:beforeLines="50" w:afterLines="50" w:line="380" w:lineRule="exact"/>
        <w:ind w:leftChars="0" w:left="992" w:hangingChars="310" w:hanging="992"/>
        <w:rPr>
          <w:rFonts w:ascii="Times New Roman" w:eastAsia="標楷體" w:hAnsi="Times New Roman" w:cstheme="minorBidi"/>
          <w:sz w:val="32"/>
          <w:szCs w:val="32"/>
        </w:rPr>
      </w:pPr>
      <w:r>
        <w:rPr>
          <w:rFonts w:ascii="Times New Roman" w:eastAsia="標楷體" w:hAnsi="Times New Roman" w:cs="標楷體" w:hint="eastAsia"/>
          <w:sz w:val="32"/>
          <w:szCs w:val="32"/>
        </w:rPr>
        <w:t>美國</w:t>
      </w:r>
      <w:r>
        <w:rPr>
          <w:rFonts w:ascii="Times New Roman" w:eastAsia="標楷體" w:hAnsi="Times New Roman" w:cs="Times New Roman"/>
          <w:b/>
          <w:bCs/>
          <w:color w:val="3333CC"/>
          <w:sz w:val="32"/>
          <w:szCs w:val="32"/>
        </w:rPr>
        <w:t>Fed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結束</w:t>
      </w:r>
      <w:r>
        <w:rPr>
          <w:rFonts w:ascii="Times New Roman" w:eastAsia="標楷體" w:hAnsi="Times New Roman" w:cs="Times New Roman"/>
          <w:b/>
          <w:bCs/>
          <w:color w:val="3333CC"/>
          <w:sz w:val="32"/>
          <w:szCs w:val="32"/>
        </w:rPr>
        <w:t>QE</w:t>
      </w:r>
      <w:r>
        <w:rPr>
          <w:rFonts w:ascii="Times New Roman" w:eastAsia="標楷體" w:hAnsi="Times New Roman" w:cs="標楷體" w:hint="eastAsia"/>
          <w:sz w:val="32"/>
          <w:szCs w:val="32"/>
        </w:rPr>
        <w:t>之預期轉強，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資金撤離</w:t>
      </w:r>
      <w:r>
        <w:rPr>
          <w:rFonts w:ascii="Times New Roman" w:eastAsia="標楷體" w:hAnsi="Times New Roman" w:cs="標楷體" w:hint="eastAsia"/>
          <w:sz w:val="32"/>
          <w:szCs w:val="32"/>
        </w:rPr>
        <w:t>新興市場。本年</w:t>
      </w:r>
      <w:r>
        <w:rPr>
          <w:rFonts w:ascii="Times New Roman" w:eastAsia="標楷體" w:hAnsi="Times New Roman" w:cs="Times New Roman"/>
          <w:sz w:val="32"/>
          <w:szCs w:val="32"/>
        </w:rPr>
        <w:t>5</w:t>
      </w:r>
      <w:r>
        <w:rPr>
          <w:rFonts w:ascii="Times New Roman" w:eastAsia="標楷體" w:hAnsi="Times New Roman" w:cs="標楷體" w:hint="eastAsia"/>
          <w:sz w:val="32"/>
          <w:szCs w:val="32"/>
        </w:rPr>
        <w:t>月新增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外匯占款</w:t>
      </w:r>
      <w:r>
        <w:rPr>
          <w:rFonts w:ascii="Times New Roman" w:hAnsi="Times New Roman" w:cs="Times New Roman"/>
          <w:position w:val="10"/>
        </w:rPr>
        <w:footnoteReference w:id="2"/>
      </w:r>
      <w:r>
        <w:rPr>
          <w:rFonts w:ascii="Times New Roman" w:eastAsia="標楷體" w:hAnsi="Times New Roman" w:cs="標楷體" w:hint="eastAsia"/>
          <w:sz w:val="32"/>
          <w:szCs w:val="32"/>
        </w:rPr>
        <w:t>（</w:t>
      </w:r>
      <w:r>
        <w:rPr>
          <w:rFonts w:ascii="Times New Roman" w:eastAsia="標楷體" w:hAnsi="Times New Roman" w:cs="Times New Roman"/>
          <w:sz w:val="32"/>
          <w:szCs w:val="32"/>
        </w:rPr>
        <w:t>669</w:t>
      </w:r>
      <w:r>
        <w:rPr>
          <w:rFonts w:ascii="Times New Roman" w:eastAsia="標楷體" w:hAnsi="Times New Roman" w:cs="標楷體" w:hint="eastAsia"/>
          <w:sz w:val="32"/>
          <w:szCs w:val="32"/>
        </w:rPr>
        <w:t>億人民幣）較</w:t>
      </w:r>
      <w:r>
        <w:rPr>
          <w:rFonts w:ascii="Times New Roman" w:eastAsia="標楷體" w:hAnsi="Times New Roman" w:cs="Times New Roman"/>
          <w:sz w:val="32"/>
          <w:szCs w:val="32"/>
        </w:rPr>
        <w:t>4</w:t>
      </w:r>
      <w:r>
        <w:rPr>
          <w:rFonts w:ascii="Times New Roman" w:eastAsia="標楷體" w:hAnsi="Times New Roman" w:cs="標楷體" w:hint="eastAsia"/>
          <w:sz w:val="32"/>
          <w:szCs w:val="32"/>
        </w:rPr>
        <w:t>月（</w:t>
      </w:r>
      <w:r>
        <w:rPr>
          <w:rFonts w:ascii="Times New Roman" w:eastAsia="標楷體" w:hAnsi="Times New Roman" w:cs="Times New Roman"/>
          <w:sz w:val="32"/>
          <w:szCs w:val="32"/>
        </w:rPr>
        <w:t>2,944</w:t>
      </w:r>
      <w:r>
        <w:rPr>
          <w:rFonts w:ascii="Times New Roman" w:eastAsia="標楷體" w:hAnsi="Times New Roman" w:cs="標楷體" w:hint="eastAsia"/>
          <w:sz w:val="32"/>
          <w:szCs w:val="32"/>
        </w:rPr>
        <w:t>億人民幣）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減少</w:t>
      </w:r>
      <w:r>
        <w:rPr>
          <w:rFonts w:ascii="Times New Roman" w:eastAsia="標楷體" w:hAnsi="Times New Roman" w:cs="Times New Roman"/>
          <w:b/>
          <w:bCs/>
          <w:color w:val="3333CC"/>
          <w:sz w:val="32"/>
          <w:szCs w:val="32"/>
        </w:rPr>
        <w:t>77%</w:t>
      </w:r>
      <w:r>
        <w:rPr>
          <w:rFonts w:ascii="Times New Roman" w:eastAsia="標楷體" w:hAnsi="Times New Roman" w:cs="標楷體" w:hint="eastAsia"/>
          <w:sz w:val="32"/>
          <w:szCs w:val="32"/>
        </w:rPr>
        <w:t>，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資金流入大量減少</w:t>
      </w:r>
      <w:r>
        <w:rPr>
          <w:rFonts w:ascii="Times New Roman" w:eastAsia="標楷體" w:hAnsi="Times New Roman" w:cs="標楷體" w:hint="eastAsia"/>
          <w:sz w:val="32"/>
          <w:szCs w:val="32"/>
        </w:rPr>
        <w:t>。</w:t>
      </w:r>
    </w:p>
    <w:p w:rsidR="001D3C10" w:rsidRDefault="001D3C10">
      <w:pPr>
        <w:pStyle w:val="ListParagraph"/>
        <w:numPr>
          <w:ilvl w:val="1"/>
          <w:numId w:val="1"/>
        </w:numPr>
        <w:snapToGrid w:val="0"/>
        <w:spacing w:beforeLines="50" w:afterLines="50" w:line="380" w:lineRule="exact"/>
        <w:ind w:leftChars="0" w:left="992" w:hangingChars="310" w:hanging="992"/>
        <w:rPr>
          <w:rFonts w:ascii="Times New Roman" w:eastAsia="標楷體" w:hAnsi="Times New Roman" w:cstheme="minorBidi"/>
          <w:sz w:val="32"/>
          <w:szCs w:val="32"/>
        </w:rPr>
      </w:pPr>
      <w:r>
        <w:rPr>
          <w:rFonts w:ascii="Times New Roman" w:eastAsia="標楷體" w:hAnsi="標楷體" w:cs="標楷體" w:hint="eastAsia"/>
          <w:sz w:val="32"/>
          <w:szCs w:val="32"/>
        </w:rPr>
        <w:t>銀監會與中國人民銀行試圖透過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緊縮資金</w:t>
      </w:r>
      <w:r>
        <w:rPr>
          <w:rFonts w:ascii="Times New Roman" w:eastAsia="標楷體" w:hAnsi="標楷體" w:cs="標楷體" w:hint="eastAsia"/>
          <w:sz w:val="32"/>
          <w:szCs w:val="32"/>
        </w:rPr>
        <w:t>，打擊急速成長的銀行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理財商品</w:t>
      </w:r>
      <w:r>
        <w:rPr>
          <w:rFonts w:ascii="Times New Roman" w:eastAsia="標楷體" w:hAnsi="標楷體" w:cs="標楷體" w:hint="eastAsia"/>
          <w:sz w:val="32"/>
          <w:szCs w:val="32"/>
        </w:rPr>
        <w:t>與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影子銀行</w:t>
      </w:r>
      <w:r>
        <w:rPr>
          <w:rFonts w:ascii="Times New Roman" w:eastAsia="標楷體" w:hAnsi="標楷體" w:cs="標楷體" w:hint="eastAsia"/>
          <w:sz w:val="32"/>
          <w:szCs w:val="32"/>
        </w:rPr>
        <w:t>業務。</w:t>
      </w:r>
    </w:p>
    <w:p w:rsidR="001D3C10" w:rsidRDefault="001D3C10">
      <w:pPr>
        <w:pStyle w:val="ListParagraph"/>
        <w:numPr>
          <w:ilvl w:val="1"/>
          <w:numId w:val="1"/>
        </w:numPr>
        <w:snapToGrid w:val="0"/>
        <w:spacing w:beforeLines="50" w:afterLines="50" w:line="380" w:lineRule="exact"/>
        <w:ind w:leftChars="0" w:left="992" w:hangingChars="310" w:hanging="992"/>
        <w:jc w:val="both"/>
        <w:rPr>
          <w:rFonts w:ascii="Times New Roman" w:eastAsia="標楷體" w:hAnsi="Times New Roman" w:cstheme="minorBidi"/>
          <w:sz w:val="32"/>
          <w:szCs w:val="32"/>
        </w:rPr>
      </w:pPr>
      <w:r>
        <w:rPr>
          <w:rFonts w:ascii="Times New Roman" w:eastAsia="標楷體" w:hAnsi="Times New Roman" w:cs="標楷體" w:hint="eastAsia"/>
          <w:sz w:val="32"/>
          <w:szCs w:val="32"/>
        </w:rPr>
        <w:t>由於中國人民銀行對市場流動性極度關切並於</w:t>
      </w:r>
      <w:r>
        <w:rPr>
          <w:rFonts w:ascii="Times New Roman" w:eastAsia="標楷體" w:hAnsi="Times New Roman" w:cs="Times New Roman"/>
          <w:sz w:val="32"/>
          <w:szCs w:val="32"/>
        </w:rPr>
        <w:t>6</w:t>
      </w:r>
      <w:r>
        <w:rPr>
          <w:rFonts w:ascii="Times New Roman" w:eastAsia="標楷體" w:hAnsi="Times New Roman" w:cs="標楷體" w:hint="eastAsia"/>
          <w:sz w:val="32"/>
          <w:szCs w:val="32"/>
        </w:rPr>
        <w:t>月</w:t>
      </w:r>
      <w:r>
        <w:rPr>
          <w:rFonts w:ascii="Times New Roman" w:eastAsia="標楷體" w:hAnsi="Times New Roman" w:cs="Times New Roman"/>
          <w:sz w:val="32"/>
          <w:szCs w:val="32"/>
        </w:rPr>
        <w:t>25</w:t>
      </w:r>
      <w:r>
        <w:rPr>
          <w:rFonts w:ascii="Times New Roman" w:eastAsia="標楷體" w:hAnsi="Times New Roman" w:cs="標楷體" w:hint="eastAsia"/>
          <w:sz w:val="32"/>
          <w:szCs w:val="32"/>
        </w:rPr>
        <w:t>日發布「合理調節流動性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>
        <w:rPr>
          <w:rFonts w:ascii="Times New Roman" w:eastAsia="標楷體" w:hAnsi="Times New Roman" w:cs="標楷體" w:hint="eastAsia"/>
          <w:sz w:val="32"/>
          <w:szCs w:val="32"/>
        </w:rPr>
        <w:t>維護貨幣市場穩定」新聞稿，表示</w:t>
      </w:r>
      <w:r>
        <w:rPr>
          <w:rFonts w:ascii="Times New Roman" w:eastAsia="標楷體" w:hAnsi="Times New Roman" w:cs="標楷體" w:hint="eastAsia"/>
          <w:kern w:val="0"/>
          <w:sz w:val="32"/>
          <w:szCs w:val="32"/>
        </w:rPr>
        <w:t>已向部分金融機構提供流動性</w:t>
      </w:r>
      <w:r>
        <w:rPr>
          <w:rFonts w:ascii="Times New Roman" w:eastAsia="標楷體" w:hAnsi="Times New Roman" w:cs="標楷體" w:hint="eastAsia"/>
          <w:sz w:val="32"/>
          <w:szCs w:val="32"/>
        </w:rPr>
        <w:t>，</w:t>
      </w:r>
      <w:r>
        <w:rPr>
          <w:rFonts w:ascii="Times New Roman" w:eastAsia="標楷體" w:hAnsi="Times New Roman" w:cs="Times New Roman"/>
          <w:sz w:val="32"/>
          <w:szCs w:val="32"/>
        </w:rPr>
        <w:t>6</w:t>
      </w:r>
      <w:r>
        <w:rPr>
          <w:rFonts w:ascii="Times New Roman" w:eastAsia="標楷體" w:hAnsi="Times New Roman" w:cs="標楷體" w:hint="eastAsia"/>
          <w:sz w:val="32"/>
          <w:szCs w:val="32"/>
        </w:rPr>
        <w:t>月</w:t>
      </w:r>
      <w:r>
        <w:rPr>
          <w:rFonts w:ascii="Times New Roman" w:eastAsia="標楷體" w:hAnsi="Times New Roman" w:cs="Times New Roman"/>
          <w:sz w:val="32"/>
          <w:szCs w:val="32"/>
        </w:rPr>
        <w:t>26</w:t>
      </w:r>
      <w:r>
        <w:rPr>
          <w:rFonts w:ascii="Times New Roman" w:eastAsia="標楷體" w:hAnsi="Times New Roman" w:cs="標楷體" w:hint="eastAsia"/>
          <w:sz w:val="32"/>
          <w:szCs w:val="32"/>
        </w:rPr>
        <w:t>日</w:t>
      </w:r>
      <w:r>
        <w:rPr>
          <w:rFonts w:ascii="Times New Roman" w:eastAsia="標楷體" w:hAnsi="Times New Roman" w:cs="Times New Roman"/>
          <w:sz w:val="32"/>
          <w:szCs w:val="32"/>
        </w:rPr>
        <w:t xml:space="preserve">Shibor 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隔拆利率</w:t>
      </w:r>
      <w:r>
        <w:rPr>
          <w:rFonts w:ascii="Times New Roman" w:eastAsia="標楷體" w:hAnsi="Times New Roman" w:cs="標楷體" w:hint="eastAsia"/>
          <w:sz w:val="32"/>
          <w:szCs w:val="32"/>
        </w:rPr>
        <w:t>已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下降</w:t>
      </w:r>
      <w:r>
        <w:rPr>
          <w:rFonts w:ascii="Times New Roman" w:eastAsia="標楷體" w:hAnsi="Times New Roman" w:cs="標楷體" w:hint="eastAsia"/>
          <w:sz w:val="32"/>
          <w:szCs w:val="32"/>
        </w:rPr>
        <w:t>至</w:t>
      </w:r>
      <w:r>
        <w:rPr>
          <w:rFonts w:ascii="Times New Roman" w:eastAsia="標楷體" w:hAnsi="Times New Roman" w:cs="Times New Roman"/>
          <w:sz w:val="32"/>
          <w:szCs w:val="32"/>
        </w:rPr>
        <w:t>5.553%</w:t>
      </w:r>
      <w:r>
        <w:rPr>
          <w:rFonts w:ascii="Times New Roman" w:eastAsia="標楷體" w:hAnsi="Times New Roman" w:cs="標楷體" w:hint="eastAsia"/>
          <w:sz w:val="32"/>
          <w:szCs w:val="32"/>
        </w:rPr>
        <w:t>。</w:t>
      </w:r>
    </w:p>
    <w:p w:rsidR="001D3C10" w:rsidRDefault="001D3C10">
      <w:pPr>
        <w:snapToGrid w:val="0"/>
        <w:spacing w:beforeLines="50" w:afterLines="50" w:line="380" w:lineRule="exact"/>
        <w:rPr>
          <w:rFonts w:ascii="Times New Roman" w:eastAsia="標楷體" w:hAnsi="Times New Roman" w:cstheme="minorBidi"/>
          <w:b/>
          <w:bCs/>
          <w:color w:val="3333CC"/>
          <w:sz w:val="32"/>
          <w:szCs w:val="32"/>
        </w:rPr>
      </w:pP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二、中國大陸股市大跌之分析</w:t>
      </w:r>
    </w:p>
    <w:p w:rsidR="001D3C10" w:rsidRDefault="001D3C10">
      <w:pPr>
        <w:pStyle w:val="ListParagraph"/>
        <w:numPr>
          <w:ilvl w:val="0"/>
          <w:numId w:val="3"/>
        </w:numPr>
        <w:snapToGrid w:val="0"/>
        <w:spacing w:beforeLines="50" w:afterLines="50" w:line="380" w:lineRule="exact"/>
        <w:ind w:leftChars="0" w:left="993" w:hanging="993"/>
        <w:rPr>
          <w:rFonts w:ascii="Times New Roman" w:eastAsia="標楷體" w:hAnsi="Times New Roman" w:cstheme="minorBidi"/>
          <w:sz w:val="32"/>
          <w:szCs w:val="32"/>
        </w:rPr>
      </w:pPr>
      <w:r>
        <w:rPr>
          <w:rFonts w:ascii="Times New Roman" w:eastAsia="標楷體" w:hAnsi="Times New Roman" w:cs="標楷體" w:hint="eastAsia"/>
          <w:sz w:val="32"/>
          <w:szCs w:val="32"/>
        </w:rPr>
        <w:t>受到</w:t>
      </w:r>
      <w:r>
        <w:rPr>
          <w:rFonts w:ascii="Times New Roman" w:eastAsia="標楷體" w:hAnsi="Times New Roman" w:cs="Times New Roman"/>
          <w:sz w:val="32"/>
          <w:szCs w:val="32"/>
        </w:rPr>
        <w:t xml:space="preserve">Shibor </w:t>
      </w:r>
      <w:r>
        <w:rPr>
          <w:rFonts w:ascii="Times New Roman" w:eastAsia="標楷體" w:hAnsi="Times New Roman" w:cs="標楷體" w:hint="eastAsia"/>
          <w:sz w:val="32"/>
          <w:szCs w:val="32"/>
        </w:rPr>
        <w:t>隔拆利率上升的影響，市場對中國大陸銀行體系健全性產生疑慮，引發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中國大陸股市重挫</w:t>
      </w:r>
      <w:r>
        <w:rPr>
          <w:rFonts w:ascii="Times New Roman" w:eastAsia="標楷體" w:hAnsi="Times New Roman" w:cs="標楷體" w:hint="eastAsia"/>
          <w:sz w:val="32"/>
          <w:szCs w:val="32"/>
        </w:rPr>
        <w:t>。</w:t>
      </w:r>
    </w:p>
    <w:p w:rsidR="001D3C10" w:rsidRDefault="001D3C10">
      <w:pPr>
        <w:pStyle w:val="ListParagraph"/>
        <w:numPr>
          <w:ilvl w:val="0"/>
          <w:numId w:val="3"/>
        </w:numPr>
        <w:snapToGrid w:val="0"/>
        <w:spacing w:beforeLines="50" w:afterLines="50" w:line="380" w:lineRule="exact"/>
        <w:ind w:leftChars="0" w:left="993" w:hanging="993"/>
        <w:rPr>
          <w:rFonts w:ascii="Times New Roman" w:eastAsia="標楷體" w:hAnsi="Times New Roman" w:cstheme="minorBidi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6</w:t>
      </w:r>
      <w:r>
        <w:rPr>
          <w:rFonts w:ascii="Times New Roman" w:eastAsia="標楷體" w:hAnsi="Times New Roman" w:cs="標楷體" w:hint="eastAsia"/>
          <w:sz w:val="32"/>
          <w:szCs w:val="32"/>
        </w:rPr>
        <w:t>月</w:t>
      </w:r>
      <w:r>
        <w:rPr>
          <w:rFonts w:ascii="Times New Roman" w:eastAsia="標楷體" w:hAnsi="Times New Roman" w:cs="Times New Roman"/>
          <w:sz w:val="32"/>
          <w:szCs w:val="32"/>
        </w:rPr>
        <w:t>19</w:t>
      </w:r>
      <w:r>
        <w:rPr>
          <w:rFonts w:ascii="Times New Roman" w:eastAsia="標楷體" w:hAnsi="Times New Roman" w:cs="標楷體" w:hint="eastAsia"/>
          <w:sz w:val="32"/>
          <w:szCs w:val="32"/>
        </w:rPr>
        <w:t>日美國</w:t>
      </w:r>
      <w:r>
        <w:rPr>
          <w:rFonts w:ascii="Times New Roman" w:eastAsia="標楷體" w:hAnsi="Times New Roman" w:cs="Times New Roman"/>
          <w:sz w:val="32"/>
          <w:szCs w:val="32"/>
        </w:rPr>
        <w:t>Fed</w:t>
      </w:r>
      <w:r>
        <w:rPr>
          <w:rFonts w:ascii="Times New Roman" w:eastAsia="標楷體" w:hAnsi="Times New Roman" w:cs="標楷體" w:hint="eastAsia"/>
          <w:sz w:val="32"/>
          <w:szCs w:val="32"/>
        </w:rPr>
        <w:t>提出</w:t>
      </w:r>
      <w:r>
        <w:rPr>
          <w:rFonts w:ascii="Times New Roman" w:eastAsia="標楷體" w:hAnsi="Times New Roman" w:cs="Times New Roman"/>
          <w:sz w:val="32"/>
          <w:szCs w:val="32"/>
        </w:rPr>
        <w:t>QE</w:t>
      </w:r>
      <w:r>
        <w:rPr>
          <w:rFonts w:ascii="Times New Roman" w:eastAsia="標楷體" w:hAnsi="Times New Roman" w:cs="標楷體" w:hint="eastAsia"/>
          <w:sz w:val="32"/>
          <w:szCs w:val="32"/>
        </w:rPr>
        <w:t>退場時程，美股重挫，進而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引發中國大陸</w:t>
      </w:r>
      <w:r>
        <w:rPr>
          <w:rFonts w:ascii="Times New Roman" w:eastAsia="標楷體" w:hAnsi="Times New Roman" w:cs="標楷體" w:hint="eastAsia"/>
          <w:sz w:val="32"/>
          <w:szCs w:val="32"/>
        </w:rPr>
        <w:t>及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亞洲其他股市</w:t>
      </w:r>
      <w:r>
        <w:rPr>
          <w:rFonts w:ascii="Times New Roman" w:eastAsia="標楷體" w:hAnsi="Times New Roman" w:cs="標楷體" w:hint="eastAsia"/>
          <w:sz w:val="32"/>
          <w:szCs w:val="32"/>
        </w:rPr>
        <w:t>全面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大跌</w:t>
      </w:r>
      <w:r>
        <w:rPr>
          <w:rFonts w:ascii="Times New Roman" w:eastAsia="標楷體" w:hAnsi="Times New Roman" w:cs="標楷體" w:hint="eastAsia"/>
          <w:sz w:val="32"/>
          <w:szCs w:val="32"/>
        </w:rPr>
        <w:t>。</w:t>
      </w:r>
    </w:p>
    <w:p w:rsidR="001D3C10" w:rsidRDefault="001D3C10">
      <w:pPr>
        <w:pStyle w:val="ListParagraph"/>
        <w:numPr>
          <w:ilvl w:val="0"/>
          <w:numId w:val="3"/>
        </w:numPr>
        <w:snapToGrid w:val="0"/>
        <w:spacing w:beforeLines="50" w:afterLines="50" w:line="380" w:lineRule="exact"/>
        <w:ind w:leftChars="0" w:left="993" w:hanging="993"/>
        <w:rPr>
          <w:rFonts w:ascii="Times New Roman" w:eastAsia="標楷體" w:hAnsi="Times New Roman" w:cstheme="minorBidi"/>
          <w:sz w:val="32"/>
          <w:szCs w:val="32"/>
        </w:rPr>
      </w:pPr>
      <w:r>
        <w:rPr>
          <w:rFonts w:ascii="Times New Roman" w:eastAsia="標楷體" w:hAnsi="Times New Roman" w:cs="標楷體" w:hint="eastAsia"/>
          <w:sz w:val="32"/>
          <w:szCs w:val="32"/>
        </w:rPr>
        <w:t>本年</w:t>
      </w:r>
      <w:r>
        <w:rPr>
          <w:rFonts w:ascii="Times New Roman" w:eastAsia="標楷體" w:hAnsi="Times New Roman" w:cs="Times New Roman"/>
          <w:sz w:val="32"/>
          <w:szCs w:val="32"/>
        </w:rPr>
        <w:t>6</w:t>
      </w:r>
      <w:r>
        <w:rPr>
          <w:rFonts w:ascii="Times New Roman" w:eastAsia="標楷體" w:hAnsi="Times New Roman" w:cs="標楷體" w:hint="eastAsia"/>
          <w:sz w:val="32"/>
          <w:szCs w:val="32"/>
        </w:rPr>
        <w:t>月匯豐銀行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中國大陸製造業</w:t>
      </w:r>
      <w:r>
        <w:rPr>
          <w:rFonts w:ascii="Times New Roman" w:eastAsia="標楷體" w:hAnsi="Times New Roman" w:cs="Times New Roman"/>
          <w:b/>
          <w:bCs/>
          <w:color w:val="3333CC"/>
          <w:sz w:val="32"/>
          <w:szCs w:val="32"/>
        </w:rPr>
        <w:t>PMI</w:t>
      </w:r>
      <w:r>
        <w:rPr>
          <w:rFonts w:ascii="Times New Roman" w:eastAsia="標楷體" w:hAnsi="Times New Roman" w:cs="標楷體" w:hint="eastAsia"/>
          <w:sz w:val="32"/>
          <w:szCs w:val="32"/>
        </w:rPr>
        <w:t>指數降至</w:t>
      </w:r>
      <w:r>
        <w:rPr>
          <w:rFonts w:ascii="Times New Roman" w:eastAsia="標楷體" w:hAnsi="Times New Roman" w:cs="Times New Roman"/>
          <w:sz w:val="32"/>
          <w:szCs w:val="32"/>
        </w:rPr>
        <w:t>48.3</w:t>
      </w:r>
      <w:r>
        <w:rPr>
          <w:rFonts w:ascii="Times New Roman" w:eastAsia="標楷體" w:hAnsi="Times New Roman" w:cs="標楷體" w:hint="eastAsia"/>
          <w:sz w:val="32"/>
          <w:szCs w:val="32"/>
        </w:rPr>
        <w:t>，創</w:t>
      </w:r>
      <w:r>
        <w:rPr>
          <w:rFonts w:ascii="Times New Roman" w:eastAsia="標楷體" w:hAnsi="Times New Roman" w:cs="Times New Roman"/>
          <w:b/>
          <w:bCs/>
          <w:color w:val="3333CC"/>
          <w:sz w:val="32"/>
          <w:szCs w:val="32"/>
        </w:rPr>
        <w:t>2012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年</w:t>
      </w:r>
      <w:r>
        <w:rPr>
          <w:rFonts w:ascii="Times New Roman" w:eastAsia="標楷體" w:hAnsi="Times New Roman" w:cs="Times New Roman"/>
          <w:b/>
          <w:bCs/>
          <w:color w:val="3333CC"/>
          <w:sz w:val="32"/>
          <w:szCs w:val="32"/>
        </w:rPr>
        <w:t>10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月來之新低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>
        <w:rPr>
          <w:rFonts w:ascii="Times New Roman" w:eastAsia="標楷體" w:hAnsi="Times New Roman" w:cs="標楷體" w:hint="eastAsia"/>
          <w:sz w:val="32"/>
          <w:szCs w:val="32"/>
        </w:rPr>
        <w:t>市場對中國大陸經濟成長前景有疑慮。</w:t>
      </w:r>
    </w:p>
    <w:p w:rsidR="001D3C10" w:rsidRDefault="001D3C10">
      <w:pPr>
        <w:pStyle w:val="ListParagraph"/>
        <w:numPr>
          <w:ilvl w:val="0"/>
          <w:numId w:val="3"/>
        </w:numPr>
        <w:snapToGrid w:val="0"/>
        <w:spacing w:beforeLines="50" w:afterLines="50" w:line="380" w:lineRule="exact"/>
        <w:ind w:leftChars="0" w:left="993" w:hanging="993"/>
        <w:rPr>
          <w:rFonts w:ascii="Times New Roman" w:eastAsia="標楷體" w:hAnsi="Times New Roman" w:cstheme="minorBidi"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color w:val="3333CC"/>
          <w:sz w:val="32"/>
          <w:szCs w:val="32"/>
        </w:rPr>
        <w:t>6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月</w:t>
      </w:r>
      <w:r>
        <w:rPr>
          <w:rFonts w:ascii="Times New Roman" w:eastAsia="標楷體" w:hAnsi="Times New Roman" w:cs="Times New Roman"/>
          <w:b/>
          <w:bCs/>
          <w:color w:val="3333CC"/>
          <w:sz w:val="32"/>
          <w:szCs w:val="32"/>
        </w:rPr>
        <w:t>24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日</w:t>
      </w:r>
      <w:r>
        <w:rPr>
          <w:rFonts w:ascii="Times New Roman" w:eastAsia="標楷體" w:hAnsi="Times New Roman" w:cs="標楷體" w:hint="eastAsia"/>
          <w:sz w:val="32"/>
          <w:szCs w:val="32"/>
        </w:rPr>
        <w:t>上證綜合指數收在</w:t>
      </w:r>
      <w:r>
        <w:rPr>
          <w:rFonts w:ascii="Times New Roman" w:eastAsia="標楷體" w:hAnsi="Times New Roman" w:cs="Times New Roman"/>
          <w:sz w:val="32"/>
          <w:szCs w:val="32"/>
        </w:rPr>
        <w:t>1,963</w:t>
      </w:r>
      <w:r>
        <w:rPr>
          <w:rFonts w:ascii="Times New Roman" w:eastAsia="標楷體" w:hAnsi="Times New Roman" w:cs="標楷體" w:hint="eastAsia"/>
          <w:sz w:val="32"/>
          <w:szCs w:val="32"/>
        </w:rPr>
        <w:t>點，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重挫</w:t>
      </w:r>
      <w:r>
        <w:rPr>
          <w:rFonts w:ascii="Times New Roman" w:eastAsia="標楷體" w:hAnsi="Times New Roman" w:cs="Times New Roman"/>
          <w:b/>
          <w:bCs/>
          <w:color w:val="3333CC"/>
          <w:sz w:val="32"/>
          <w:szCs w:val="32"/>
        </w:rPr>
        <w:t>5.3%</w:t>
      </w:r>
      <w:r>
        <w:rPr>
          <w:rFonts w:ascii="Times New Roman" w:eastAsia="標楷體" w:hAnsi="Times New Roman" w:cs="標楷體" w:hint="eastAsia"/>
          <w:sz w:val="32"/>
          <w:szCs w:val="32"/>
        </w:rPr>
        <w:t>；</w:t>
      </w:r>
      <w:r>
        <w:rPr>
          <w:rFonts w:ascii="Times New Roman" w:eastAsia="標楷體" w:hAnsi="Times New Roman" w:cs="Times New Roman"/>
          <w:sz w:val="32"/>
          <w:szCs w:val="32"/>
        </w:rPr>
        <w:t>6</w:t>
      </w:r>
      <w:r>
        <w:rPr>
          <w:rFonts w:ascii="Times New Roman" w:eastAsia="標楷體" w:hAnsi="Times New Roman" w:cs="標楷體" w:hint="eastAsia"/>
          <w:sz w:val="32"/>
          <w:szCs w:val="32"/>
        </w:rPr>
        <w:t>月</w:t>
      </w:r>
      <w:r>
        <w:rPr>
          <w:rFonts w:ascii="Times New Roman" w:eastAsia="標楷體" w:hAnsi="Times New Roman" w:cs="Times New Roman"/>
          <w:sz w:val="32"/>
          <w:szCs w:val="32"/>
        </w:rPr>
        <w:t>25</w:t>
      </w:r>
      <w:r>
        <w:rPr>
          <w:rFonts w:ascii="Times New Roman" w:eastAsia="標楷體" w:hAnsi="Times New Roman" w:cs="標楷體" w:hint="eastAsia"/>
          <w:sz w:val="32"/>
          <w:szCs w:val="32"/>
        </w:rPr>
        <w:t>日盤中一度大跌至</w:t>
      </w:r>
      <w:r>
        <w:rPr>
          <w:rFonts w:ascii="Times New Roman" w:eastAsia="標楷體" w:hAnsi="Times New Roman" w:cs="Times New Roman"/>
          <w:sz w:val="32"/>
          <w:szCs w:val="32"/>
        </w:rPr>
        <w:t>1,850</w:t>
      </w:r>
      <w:r>
        <w:rPr>
          <w:rFonts w:ascii="Times New Roman" w:eastAsia="標楷體" w:hAnsi="Times New Roman" w:cs="標楷體" w:hint="eastAsia"/>
          <w:sz w:val="32"/>
          <w:szCs w:val="32"/>
        </w:rPr>
        <w:t>點，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跌幅近</w:t>
      </w:r>
      <w:r>
        <w:rPr>
          <w:rFonts w:ascii="Times New Roman" w:eastAsia="標楷體" w:hAnsi="Times New Roman" w:cs="Times New Roman"/>
          <w:b/>
          <w:bCs/>
          <w:color w:val="3333CC"/>
          <w:sz w:val="32"/>
          <w:szCs w:val="32"/>
        </w:rPr>
        <w:t>6%</w:t>
      </w:r>
      <w:r>
        <w:rPr>
          <w:rFonts w:ascii="Times New Roman" w:eastAsia="標楷體" w:hAnsi="Times New Roman" w:cs="標楷體" w:hint="eastAsia"/>
          <w:sz w:val="32"/>
          <w:szCs w:val="32"/>
        </w:rPr>
        <w:t>，之後在金融股帶領下，指數呈現</w:t>
      </w:r>
      <w:r>
        <w:rPr>
          <w:rFonts w:ascii="Times New Roman" w:eastAsia="標楷體" w:hAnsi="Times New Roman" w:cs="Times New Roman"/>
          <w:sz w:val="32"/>
          <w:szCs w:val="32"/>
        </w:rPr>
        <w:t>V</w:t>
      </w:r>
      <w:r>
        <w:rPr>
          <w:rFonts w:ascii="Times New Roman" w:eastAsia="標楷體" w:hAnsi="Times New Roman" w:cs="標楷體" w:hint="eastAsia"/>
          <w:sz w:val="32"/>
          <w:szCs w:val="32"/>
        </w:rPr>
        <w:t>型反彈，最後以</w:t>
      </w:r>
      <w:r>
        <w:rPr>
          <w:rFonts w:ascii="Times New Roman" w:eastAsia="標楷體" w:hAnsi="Times New Roman" w:cs="Times New Roman"/>
          <w:sz w:val="32"/>
          <w:szCs w:val="32"/>
        </w:rPr>
        <w:t>1,960</w:t>
      </w:r>
      <w:r>
        <w:rPr>
          <w:rFonts w:ascii="Times New Roman" w:eastAsia="標楷體" w:hAnsi="Times New Roman" w:cs="標楷體" w:hint="eastAsia"/>
          <w:sz w:val="32"/>
          <w:szCs w:val="32"/>
        </w:rPr>
        <w:t>點收盤，較</w:t>
      </w:r>
      <w:r>
        <w:rPr>
          <w:rFonts w:ascii="Times New Roman" w:eastAsia="標楷體" w:hAnsi="Times New Roman" w:cs="Times New Roman"/>
          <w:sz w:val="32"/>
          <w:szCs w:val="32"/>
        </w:rPr>
        <w:t>6</w:t>
      </w:r>
      <w:r>
        <w:rPr>
          <w:rFonts w:ascii="Times New Roman" w:eastAsia="標楷體" w:hAnsi="Times New Roman" w:cs="標楷體" w:hint="eastAsia"/>
          <w:sz w:val="32"/>
          <w:szCs w:val="32"/>
        </w:rPr>
        <w:t>月</w:t>
      </w:r>
      <w:r>
        <w:rPr>
          <w:rFonts w:ascii="Times New Roman" w:eastAsia="標楷體" w:hAnsi="Times New Roman" w:cs="Times New Roman"/>
          <w:sz w:val="32"/>
          <w:szCs w:val="32"/>
        </w:rPr>
        <w:t>24</w:t>
      </w:r>
      <w:r>
        <w:rPr>
          <w:rFonts w:ascii="Times New Roman" w:eastAsia="標楷體" w:hAnsi="Times New Roman" w:cs="標楷體" w:hint="eastAsia"/>
          <w:sz w:val="32"/>
          <w:szCs w:val="32"/>
        </w:rPr>
        <w:t>日收盤小跌</w:t>
      </w:r>
      <w:r>
        <w:rPr>
          <w:rFonts w:ascii="Times New Roman" w:eastAsia="標楷體" w:hAnsi="Times New Roman" w:cs="Times New Roman"/>
          <w:sz w:val="32"/>
          <w:szCs w:val="32"/>
        </w:rPr>
        <w:t>0.19%</w:t>
      </w:r>
      <w:r>
        <w:rPr>
          <w:rFonts w:ascii="Times New Roman" w:eastAsia="標楷體" w:hAnsi="Times New Roman" w:cs="標楷體" w:hint="eastAsia"/>
          <w:sz w:val="32"/>
          <w:szCs w:val="32"/>
        </w:rPr>
        <w:t>。</w:t>
      </w:r>
      <w:r>
        <w:rPr>
          <w:rFonts w:ascii="Times New Roman" w:eastAsia="標楷體" w:hAnsi="Times New Roman" w:cs="Times New Roman"/>
          <w:sz w:val="32"/>
          <w:szCs w:val="32"/>
        </w:rPr>
        <w:t>6</w:t>
      </w:r>
      <w:r>
        <w:rPr>
          <w:rFonts w:ascii="Times New Roman" w:eastAsia="標楷體" w:hAnsi="Times New Roman" w:cs="標楷體" w:hint="eastAsia"/>
          <w:sz w:val="32"/>
          <w:szCs w:val="32"/>
        </w:rPr>
        <w:t>月</w:t>
      </w:r>
      <w:r>
        <w:rPr>
          <w:rFonts w:ascii="Times New Roman" w:eastAsia="標楷體" w:hAnsi="Times New Roman" w:cs="Times New Roman"/>
          <w:sz w:val="32"/>
          <w:szCs w:val="32"/>
        </w:rPr>
        <w:t>26</w:t>
      </w:r>
      <w:r>
        <w:rPr>
          <w:rFonts w:ascii="Times New Roman" w:eastAsia="標楷體" w:hAnsi="Times New Roman" w:cs="標楷體" w:hint="eastAsia"/>
          <w:sz w:val="32"/>
          <w:szCs w:val="32"/>
        </w:rPr>
        <w:t>日上證綜合指數小幅下跌，收在</w:t>
      </w:r>
      <w:r>
        <w:rPr>
          <w:rFonts w:ascii="Times New Roman" w:eastAsia="標楷體" w:hAnsi="Times New Roman" w:cs="Times New Roman"/>
          <w:sz w:val="32"/>
          <w:szCs w:val="32"/>
        </w:rPr>
        <w:t>1,952</w:t>
      </w:r>
      <w:r>
        <w:rPr>
          <w:rFonts w:ascii="Times New Roman" w:eastAsia="標楷體" w:hAnsi="Times New Roman" w:cs="標楷體" w:hint="eastAsia"/>
          <w:sz w:val="32"/>
          <w:szCs w:val="32"/>
        </w:rPr>
        <w:t>點。</w:t>
      </w:r>
    </w:p>
    <w:p w:rsidR="001D3C10" w:rsidRDefault="001D3C10">
      <w:pPr>
        <w:pStyle w:val="ListParagraph"/>
        <w:numPr>
          <w:ilvl w:val="0"/>
          <w:numId w:val="3"/>
        </w:numPr>
        <w:snapToGrid w:val="0"/>
        <w:spacing w:beforeLines="50" w:afterLines="50" w:line="380" w:lineRule="exact"/>
        <w:ind w:leftChars="0" w:left="993" w:hanging="993"/>
        <w:rPr>
          <w:rFonts w:ascii="Times New Roman" w:eastAsia="標楷體" w:hAnsi="Times New Roman" w:cstheme="minorBidi"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color w:val="3333CC"/>
          <w:sz w:val="32"/>
          <w:szCs w:val="32"/>
        </w:rPr>
        <w:t>6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月</w:t>
      </w:r>
      <w:r>
        <w:rPr>
          <w:rFonts w:ascii="Times New Roman" w:eastAsia="標楷體" w:hAnsi="Times New Roman" w:cs="Times New Roman"/>
          <w:b/>
          <w:bCs/>
          <w:color w:val="3333CC"/>
          <w:sz w:val="32"/>
          <w:szCs w:val="32"/>
        </w:rPr>
        <w:t>19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日至</w:t>
      </w:r>
      <w:r>
        <w:rPr>
          <w:rFonts w:ascii="Times New Roman" w:eastAsia="標楷體" w:hAnsi="Times New Roman" w:cs="Times New Roman"/>
          <w:b/>
          <w:bCs/>
          <w:color w:val="3333CC"/>
          <w:sz w:val="32"/>
          <w:szCs w:val="32"/>
        </w:rPr>
        <w:t>6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月</w:t>
      </w:r>
      <w:r>
        <w:rPr>
          <w:rFonts w:ascii="Times New Roman" w:eastAsia="標楷體" w:hAnsi="Times New Roman" w:cs="Times New Roman"/>
          <w:b/>
          <w:bCs/>
          <w:color w:val="3333CC"/>
          <w:sz w:val="32"/>
          <w:szCs w:val="32"/>
        </w:rPr>
        <w:t>26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日</w:t>
      </w:r>
      <w:r>
        <w:rPr>
          <w:rFonts w:ascii="Times New Roman" w:eastAsia="標楷體" w:hAnsi="Times New Roman" w:cs="標楷體" w:hint="eastAsia"/>
          <w:sz w:val="32"/>
          <w:szCs w:val="32"/>
        </w:rPr>
        <w:t>期間上證綜合指數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累計大跌</w:t>
      </w:r>
      <w:r>
        <w:rPr>
          <w:rFonts w:ascii="Times New Roman" w:eastAsia="標楷體" w:hAnsi="Times New Roman" w:cs="Times New Roman"/>
          <w:b/>
          <w:bCs/>
          <w:color w:val="3333CC"/>
          <w:sz w:val="32"/>
          <w:szCs w:val="32"/>
        </w:rPr>
        <w:t>9.6%</w:t>
      </w:r>
      <w:r>
        <w:rPr>
          <w:rFonts w:ascii="Times New Roman" w:eastAsia="標楷體" w:hAnsi="Times New Roman" w:cs="標楷體" w:hint="eastAsia"/>
          <w:sz w:val="32"/>
          <w:szCs w:val="32"/>
        </w:rPr>
        <w:t>。</w:t>
      </w:r>
    </w:p>
    <w:p w:rsidR="001D3C10" w:rsidRDefault="001D3C10">
      <w:pPr>
        <w:snapToGrid w:val="0"/>
        <w:spacing w:beforeLines="50" w:afterLines="50" w:line="380" w:lineRule="exact"/>
        <w:rPr>
          <w:rFonts w:ascii="Times New Roman" w:eastAsia="標楷體" w:hAnsi="Times New Roman" w:cstheme="minorBidi"/>
          <w:b/>
          <w:bCs/>
          <w:color w:val="3333CC"/>
          <w:sz w:val="32"/>
          <w:szCs w:val="32"/>
        </w:rPr>
      </w:pP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三、近期多家國際金融機構調降本年中國大陸經濟成長率預測值</w:t>
      </w:r>
      <w:r>
        <w:rPr>
          <w:b/>
          <w:bCs/>
          <w:color w:val="3333CC"/>
        </w:rPr>
        <w:t xml:space="preserve"> </w:t>
      </w:r>
    </w:p>
    <w:p w:rsidR="001D3C10" w:rsidRDefault="001D3C10">
      <w:pPr>
        <w:snapToGrid w:val="0"/>
        <w:spacing w:beforeLines="50" w:afterLines="50" w:line="380" w:lineRule="exact"/>
        <w:ind w:leftChars="294" w:left="706"/>
        <w:rPr>
          <w:rFonts w:ascii="Times New Roman" w:eastAsia="標楷體" w:hAnsi="Times New Roman" w:cstheme="minorBidi"/>
          <w:sz w:val="32"/>
          <w:szCs w:val="32"/>
        </w:rPr>
      </w:pP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高盛</w:t>
      </w:r>
      <w:r>
        <w:rPr>
          <w:rFonts w:ascii="Times New Roman" w:eastAsia="標楷體" w:hAnsi="Times New Roman" w:cs="標楷體" w:hint="eastAsia"/>
          <w:sz w:val="32"/>
          <w:szCs w:val="32"/>
        </w:rPr>
        <w:t>、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巴克萊</w:t>
      </w:r>
      <w:r>
        <w:rPr>
          <w:rFonts w:ascii="Times New Roman" w:eastAsia="標楷體" w:hAnsi="Times New Roman" w:cs="標楷體" w:hint="eastAsia"/>
          <w:sz w:val="32"/>
          <w:szCs w:val="32"/>
        </w:rPr>
        <w:t>、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匯豐銀行</w:t>
      </w:r>
      <w:r>
        <w:rPr>
          <w:rFonts w:ascii="Times New Roman" w:eastAsia="標楷體" w:hAnsi="Times New Roman" w:cs="標楷體" w:hint="eastAsia"/>
          <w:sz w:val="32"/>
          <w:szCs w:val="32"/>
        </w:rPr>
        <w:t>等國際金融機構均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調降</w:t>
      </w:r>
      <w:r>
        <w:rPr>
          <w:rFonts w:ascii="Times New Roman" w:eastAsia="標楷體" w:hAnsi="Times New Roman" w:cs="標楷體" w:hint="eastAsia"/>
          <w:sz w:val="32"/>
          <w:szCs w:val="32"/>
        </w:rPr>
        <w:t>本年中國大陸</w:t>
      </w:r>
      <w:r>
        <w:rPr>
          <w:rFonts w:ascii="Times New Roman" w:eastAsia="標楷體" w:hAnsi="Times New Roman" w:cs="Times New Roman"/>
          <w:b/>
          <w:bCs/>
          <w:color w:val="3333CC"/>
          <w:sz w:val="32"/>
          <w:szCs w:val="32"/>
        </w:rPr>
        <w:t>GDP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成長率預測值至</w:t>
      </w:r>
      <w:r>
        <w:rPr>
          <w:rFonts w:ascii="Times New Roman" w:eastAsia="標楷體" w:hAnsi="Times New Roman" w:cs="Times New Roman"/>
          <w:b/>
          <w:bCs/>
          <w:color w:val="3333CC"/>
          <w:sz w:val="32"/>
          <w:szCs w:val="32"/>
        </w:rPr>
        <w:t>7.4%</w:t>
      </w:r>
      <w:r>
        <w:rPr>
          <w:rFonts w:ascii="Times New Roman" w:eastAsia="標楷體" w:hAnsi="Times New Roman" w:cs="標楷體" w:hint="eastAsia"/>
          <w:sz w:val="32"/>
          <w:szCs w:val="32"/>
        </w:rPr>
        <w:t>，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低於</w:t>
      </w:r>
      <w:r>
        <w:rPr>
          <w:rFonts w:ascii="Times New Roman" w:eastAsia="標楷體" w:hAnsi="Times New Roman" w:cs="標楷體" w:hint="eastAsia"/>
          <w:sz w:val="32"/>
          <w:szCs w:val="32"/>
        </w:rPr>
        <w:t>中國大陸</w:t>
      </w:r>
      <w:r>
        <w:rPr>
          <w:rFonts w:ascii="Times New Roman" w:eastAsia="標楷體" w:hAnsi="Times New Roman" w:cs="標楷體" w:hint="eastAsia"/>
          <w:b/>
          <w:bCs/>
          <w:color w:val="3333CC"/>
          <w:sz w:val="32"/>
          <w:szCs w:val="32"/>
        </w:rPr>
        <w:t>官方目標</w:t>
      </w:r>
      <w:r>
        <w:rPr>
          <w:rFonts w:ascii="Times New Roman" w:eastAsia="標楷體" w:hAnsi="Times New Roman" w:cs="Times New Roman"/>
          <w:b/>
          <w:bCs/>
          <w:color w:val="3333CC"/>
          <w:sz w:val="32"/>
          <w:szCs w:val="32"/>
        </w:rPr>
        <w:t>7.5%</w:t>
      </w:r>
      <w:r>
        <w:rPr>
          <w:rFonts w:ascii="Times New Roman" w:eastAsia="標楷體" w:hAnsi="Times New Roman" w:cs="標楷體" w:hint="eastAsia"/>
          <w:sz w:val="32"/>
          <w:szCs w:val="32"/>
        </w:rPr>
        <w:t>。</w:t>
      </w:r>
    </w:p>
    <w:sectPr w:rsidR="001D3C10" w:rsidSect="001D3C10">
      <w:footerReference w:type="default" r:id="rId9"/>
      <w:pgSz w:w="16838" w:h="11906" w:orient="landscape"/>
      <w:pgMar w:top="426" w:right="1440" w:bottom="0" w:left="1440" w:header="851" w:footer="50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C10" w:rsidRDefault="001D3C10">
      <w:p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D3C10" w:rsidRDefault="001D3C10">
      <w:p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C10" w:rsidRDefault="001D3C10">
    <w:pPr>
      <w:pStyle w:val="Footer"/>
      <w:jc w:val="center"/>
      <w:rPr>
        <w:rFonts w:ascii="Times New Roman" w:hAnsi="Times New Roman" w:cs="Times New Roman"/>
      </w:rPr>
    </w:pPr>
    <w:fldSimple w:instr=" PAGE   \* MERGEFORMAT ">
      <w:r>
        <w:rPr>
          <w:noProof/>
          <w:lang w:val="zh-TW"/>
        </w:rPr>
        <w:t>1</w:t>
      </w:r>
    </w:fldSimple>
  </w:p>
  <w:p w:rsidR="001D3C10" w:rsidRDefault="001D3C10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C10" w:rsidRDefault="001D3C10">
      <w:p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D3C10" w:rsidRDefault="001D3C10">
      <w:p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1D3C10" w:rsidRDefault="001D3C10">
      <w:pPr>
        <w:pStyle w:val="FootnoteText"/>
        <w:spacing w:afterLines="0" w:line="400" w:lineRule="atLeast"/>
        <w:ind w:left="150" w:hanging="150"/>
        <w:rPr>
          <w:rFonts w:cstheme="minorBidi"/>
        </w:rPr>
      </w:pPr>
      <w:r>
        <w:rPr>
          <w:rStyle w:val="FootnoteReference"/>
          <w:rFonts w:eastAsia="標楷體" w:cstheme="minorBidi"/>
        </w:rPr>
        <w:footnoteRef/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標楷體" w:cs="標楷體" w:hint="eastAsia"/>
        </w:rPr>
        <w:t>中資銀行為</w:t>
      </w:r>
      <w:r>
        <w:rPr>
          <w:rFonts w:ascii="Times New Roman" w:eastAsia="標楷體" w:hAnsi="Times New Roman" w:cs="Times New Roman"/>
        </w:rPr>
        <w:t>75%</w:t>
      </w:r>
      <w:r>
        <w:rPr>
          <w:rFonts w:ascii="Times New Roman" w:eastAsia="標楷體" w:hAnsi="標楷體" w:cs="標楷體" w:hint="eastAsia"/>
        </w:rPr>
        <w:t>、外資銀行為</w:t>
      </w:r>
      <w:r>
        <w:rPr>
          <w:rFonts w:ascii="Times New Roman" w:eastAsia="標楷體" w:hAnsi="Times New Roman" w:cs="Times New Roman"/>
        </w:rPr>
        <w:t>100%</w:t>
      </w:r>
      <w:r>
        <w:rPr>
          <w:rFonts w:ascii="Times New Roman" w:eastAsia="標楷體" w:hAnsi="標楷體" w:cs="標楷體" w:hint="eastAsia"/>
        </w:rPr>
        <w:t>。</w:t>
      </w:r>
    </w:p>
  </w:footnote>
  <w:footnote w:id="2">
    <w:p w:rsidR="001D3C10" w:rsidRDefault="001D3C10">
      <w:pPr>
        <w:pStyle w:val="FootnoteText"/>
        <w:spacing w:afterLines="0" w:line="400" w:lineRule="atLeast"/>
        <w:ind w:left="150" w:hanging="150"/>
        <w:rPr>
          <w:rFonts w:cstheme="minorBidi"/>
        </w:rPr>
      </w:pPr>
      <w:r>
        <w:rPr>
          <w:rStyle w:val="FootnoteReference"/>
          <w:rFonts w:eastAsia="標楷體" w:cstheme="minorBidi"/>
        </w:rPr>
        <w:footnoteRef/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標楷體" w:cs="標楷體" w:hint="eastAsia"/>
        </w:rPr>
        <w:t>指中國人民銀行買入外匯所釋出之等值人民幣。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2BD6"/>
    <w:multiLevelType w:val="hybridMultilevel"/>
    <w:tmpl w:val="A05EC30E"/>
    <w:lvl w:ilvl="0" w:tplc="E08E5B44">
      <w:start w:val="1"/>
      <w:numFmt w:val="taiwaneseCountingThousand"/>
      <w:lvlText w:val="(%1)"/>
      <w:lvlJc w:val="left"/>
      <w:pPr>
        <w:ind w:left="1485" w:hanging="765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ascii="Times New Roman" w:hAnsi="Times New Roman" w:cs="Times New Roman"/>
      </w:rPr>
    </w:lvl>
  </w:abstractNum>
  <w:abstractNum w:abstractNumId="1">
    <w:nsid w:val="12CC4258"/>
    <w:multiLevelType w:val="hybridMultilevel"/>
    <w:tmpl w:val="DA6A992A"/>
    <w:lvl w:ilvl="0" w:tplc="AEF69E7E">
      <w:start w:val="2"/>
      <w:numFmt w:val="taiwaneseCountingThousand"/>
      <w:lvlText w:val="（%1）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">
    <w:nsid w:val="183E4173"/>
    <w:multiLevelType w:val="hybridMultilevel"/>
    <w:tmpl w:val="3742393C"/>
    <w:lvl w:ilvl="0" w:tplc="6CF4260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31364732">
      <w:start w:val="1"/>
      <w:numFmt w:val="taiwaneseCountingThousand"/>
      <w:lvlText w:val="（%2）"/>
      <w:lvlJc w:val="left"/>
      <w:pPr>
        <w:ind w:left="1560" w:hanging="108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">
    <w:nsid w:val="3AAE51FA"/>
    <w:multiLevelType w:val="hybridMultilevel"/>
    <w:tmpl w:val="E680761C"/>
    <w:lvl w:ilvl="0" w:tplc="8228DAF8">
      <w:start w:val="1"/>
      <w:numFmt w:val="taiwaneseCountingThousand"/>
      <w:lvlText w:val="（%1）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ascii="Times New Roman" w:hAnsi="Times New Roman" w:cs="Times New Roman"/>
      </w:rPr>
    </w:lvl>
  </w:abstractNum>
  <w:abstractNum w:abstractNumId="4">
    <w:nsid w:val="6F4622A6"/>
    <w:multiLevelType w:val="hybridMultilevel"/>
    <w:tmpl w:val="BF52688C"/>
    <w:lvl w:ilvl="0" w:tplc="D99855B6">
      <w:start w:val="2"/>
      <w:numFmt w:val="taiwaneseCountingThousand"/>
      <w:lvlText w:val="（%1）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C10"/>
    <w:rsid w:val="001D3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alibri" w:eastAsia="新細明體" w:hAnsi="Calibri" w:cs="Calibri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Cambria" w:eastAsia="新細明體" w:hAnsi="Cambria" w:cs="Cambria"/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leftChars="200" w:left="480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pPr>
      <w:snapToGrid w:val="0"/>
      <w:spacing w:afterLines="50" w:line="500" w:lineRule="exact"/>
      <w:ind w:left="75" w:hangingChars="75" w:hanging="75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119</Words>
  <Characters>681</Characters>
  <Application>Microsoft Office Outlook</Application>
  <DocSecurity>0</DocSecurity>
  <Lines>0</Lines>
  <Paragraphs>0</Paragraphs>
  <ScaleCrop>false</ScaleCrop>
  <Company>CBC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中國大陸上海銀行間同業拆放利率及上證綜合指數走勢分析</dc:title>
  <dc:subject/>
  <dc:creator>邱偉勝</dc:creator>
  <cp:keywords/>
  <dc:description/>
  <cp:lastModifiedBy>陳勝傑</cp:lastModifiedBy>
  <cp:revision>3</cp:revision>
  <cp:lastPrinted>2013-06-27T05:57:00Z</cp:lastPrinted>
  <dcterms:created xsi:type="dcterms:W3CDTF">2013-06-27T05:58:00Z</dcterms:created>
  <dcterms:modified xsi:type="dcterms:W3CDTF">2013-06-27T11:04:00Z</dcterms:modified>
</cp:coreProperties>
</file>