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43" w:rsidRDefault="00597843">
      <w:pPr>
        <w:spacing w:beforeLines="50"/>
        <w:jc w:val="right"/>
        <w:rPr>
          <w:rStyle w:val="Strong"/>
          <w:rFonts w:ascii="標楷體" w:eastAsia="標楷體" w:hAnsi="標楷體" w:cs="標楷體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524.2pt;margin-top:-24.45pt;width:194.65pt;height:51.45pt;z-index:251658240;visibility:visible">
            <v:textbox style="mso-fit-shape-to-text:t">
              <w:txbxContent>
                <w:p w:rsidR="00597843" w:rsidRDefault="00597843">
                  <w:pPr>
                    <w:jc w:val="distribute"/>
                    <w:rPr>
                      <w:rFonts w:ascii="標楷體" w:eastAsia="標楷體" w:hAnsi="標楷體" w:cstheme="minorBidi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  <w:sz w:val="32"/>
                      <w:szCs w:val="32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27</w:t>
                  </w:r>
                  <w:r>
                    <w:rPr>
                      <w:rFonts w:ascii="標楷體" w:eastAsia="標楷體" w:hAnsi="標楷體" w:cs="標楷體" w:hint="eastAsia"/>
                      <w:sz w:val="32"/>
                      <w:szCs w:val="32"/>
                    </w:rPr>
                    <w:t>日央行理監事會後</w:t>
                  </w:r>
                </w:p>
                <w:p w:rsidR="00597843" w:rsidRDefault="00597843">
                  <w:pPr>
                    <w:jc w:val="distribute"/>
                    <w:rPr>
                      <w:rFonts w:cstheme="minorBidi"/>
                    </w:rPr>
                  </w:pPr>
                  <w:r>
                    <w:rPr>
                      <w:rFonts w:ascii="標楷體" w:eastAsia="標楷體" w:hAnsi="標楷體" w:cs="標楷體" w:hint="eastAsia"/>
                      <w:sz w:val="32"/>
                      <w:szCs w:val="32"/>
                    </w:rPr>
                    <w:t>記者會參考資料</w:t>
                  </w:r>
                </w:p>
              </w:txbxContent>
            </v:textbox>
          </v:shape>
        </w:pict>
      </w:r>
      <w:r>
        <w:rPr>
          <w:rStyle w:val="Strong"/>
          <w:rFonts w:ascii="標楷體" w:eastAsia="標楷體" w:hAnsi="標楷體" w:cs="標楷體"/>
          <w:sz w:val="32"/>
          <w:szCs w:val="32"/>
        </w:rPr>
        <w:t xml:space="preserve"> </w:t>
      </w:r>
    </w:p>
    <w:p w:rsidR="00597843" w:rsidRDefault="00597843">
      <w:pPr>
        <w:spacing w:beforeLines="50" w:line="660" w:lineRule="exact"/>
        <w:rPr>
          <w:rStyle w:val="Strong"/>
          <w:rFonts w:ascii="標楷體" w:eastAsia="標楷體" w:hAnsi="標楷體" w:cstheme="minorBidi"/>
          <w:sz w:val="52"/>
          <w:szCs w:val="52"/>
        </w:rPr>
      </w:pPr>
      <w:r>
        <w:rPr>
          <w:rStyle w:val="Strong"/>
          <w:rFonts w:ascii="標楷體" w:eastAsia="標楷體" w:hAnsi="標楷體" w:cs="標楷體" w:hint="eastAsia"/>
          <w:sz w:val="52"/>
          <w:szCs w:val="52"/>
        </w:rPr>
        <w:t>央行對於特定地區以外房價漲幅較大區域之購屋貸款處理情形</w:t>
      </w:r>
    </w:p>
    <w:p w:rsidR="00597843" w:rsidRDefault="00597843">
      <w:pPr>
        <w:spacing w:beforeLines="50" w:line="660" w:lineRule="exact"/>
        <w:ind w:left="1149" w:hangingChars="221" w:hanging="1149"/>
        <w:jc w:val="both"/>
        <w:rPr>
          <w:rFonts w:ascii="標楷體" w:eastAsia="標楷體" w:hAnsi="標楷體" w:cstheme="minorBidi"/>
          <w:sz w:val="52"/>
          <w:szCs w:val="52"/>
        </w:rPr>
      </w:pPr>
      <w:r>
        <w:rPr>
          <w:rFonts w:ascii="標楷體" w:eastAsia="標楷體" w:hAnsi="標楷體" w:cs="標楷體" w:hint="eastAsia"/>
          <w:sz w:val="52"/>
          <w:szCs w:val="52"/>
        </w:rPr>
        <w:t>一、本國銀行已就</w:t>
      </w:r>
      <w:r>
        <w:rPr>
          <w:rStyle w:val="Strong"/>
          <w:rFonts w:ascii="標楷體" w:eastAsia="標楷體" w:hAnsi="標楷體" w:cs="標楷體" w:hint="eastAsia"/>
          <w:sz w:val="52"/>
          <w:szCs w:val="52"/>
        </w:rPr>
        <w:t>特定地區以外房價漲幅較大區域之購屋貸款，</w:t>
      </w:r>
      <w:r>
        <w:rPr>
          <w:rFonts w:ascii="標楷體" w:eastAsia="標楷體" w:hAnsi="標楷體" w:cs="標楷體" w:hint="eastAsia"/>
          <w:b/>
          <w:bCs/>
          <w:sz w:val="52"/>
          <w:szCs w:val="52"/>
        </w:rPr>
        <w:t>採取自律控管措施</w:t>
      </w:r>
      <w:r>
        <w:rPr>
          <w:rFonts w:ascii="標楷體" w:eastAsia="標楷體" w:hAnsi="標楷體" w:cs="標楷體" w:hint="eastAsia"/>
          <w:sz w:val="52"/>
          <w:szCs w:val="52"/>
        </w:rPr>
        <w:t>，有助不動產授信風險控管：</w:t>
      </w:r>
    </w:p>
    <w:p w:rsidR="00597843" w:rsidRDefault="00597843">
      <w:pPr>
        <w:spacing w:beforeLines="50" w:line="660" w:lineRule="exact"/>
        <w:ind w:leftChars="60" w:left="1278" w:hangingChars="218" w:hanging="1134"/>
        <w:jc w:val="both"/>
        <w:rPr>
          <w:rFonts w:ascii="標楷體" w:eastAsia="標楷體" w:hAnsi="標楷體" w:cstheme="minorBidi"/>
          <w:spacing w:val="-8"/>
          <w:sz w:val="52"/>
          <w:szCs w:val="52"/>
        </w:rPr>
      </w:pPr>
      <w:r>
        <w:rPr>
          <w:rFonts w:ascii="標楷體" w:eastAsia="標楷體" w:hAnsi="標楷體" w:cs="標楷體"/>
          <w:sz w:val="52"/>
          <w:szCs w:val="52"/>
        </w:rPr>
        <w:t>(</w:t>
      </w:r>
      <w:r>
        <w:rPr>
          <w:rFonts w:ascii="標楷體" w:eastAsia="標楷體" w:hAnsi="標楷體" w:cs="標楷體" w:hint="eastAsia"/>
          <w:sz w:val="52"/>
          <w:szCs w:val="52"/>
        </w:rPr>
        <w:t>一</w:t>
      </w:r>
      <w:r>
        <w:rPr>
          <w:rFonts w:ascii="標楷體" w:eastAsia="標楷體" w:hAnsi="標楷體" w:cs="標楷體"/>
          <w:sz w:val="52"/>
          <w:szCs w:val="52"/>
        </w:rPr>
        <w:t>)</w:t>
      </w:r>
      <w:r>
        <w:rPr>
          <w:rFonts w:ascii="標楷體" w:eastAsia="標楷體" w:hAnsi="標楷體" w:cstheme="minorBidi"/>
          <w:b/>
          <w:bCs/>
          <w:spacing w:val="-8"/>
          <w:sz w:val="52"/>
          <w:szCs w:val="52"/>
        </w:rPr>
        <w:tab/>
      </w:r>
      <w:r>
        <w:rPr>
          <w:rFonts w:ascii="標楷體" w:eastAsia="標楷體" w:hAnsi="標楷體" w:cs="標楷體"/>
          <w:spacing w:val="-8"/>
          <w:sz w:val="52"/>
          <w:szCs w:val="52"/>
        </w:rPr>
        <w:t>102</w:t>
      </w:r>
      <w:r>
        <w:rPr>
          <w:rFonts w:ascii="標楷體" w:eastAsia="標楷體" w:hAnsi="標楷體" w:cs="標楷體" w:hint="eastAsia"/>
          <w:spacing w:val="-8"/>
          <w:sz w:val="52"/>
          <w:szCs w:val="52"/>
        </w:rPr>
        <w:t>年</w:t>
      </w:r>
      <w:r>
        <w:rPr>
          <w:rFonts w:ascii="標楷體" w:eastAsia="標楷體" w:hAnsi="標楷體" w:cs="標楷體"/>
          <w:spacing w:val="-8"/>
          <w:sz w:val="52"/>
          <w:szCs w:val="52"/>
        </w:rPr>
        <w:t>3</w:t>
      </w:r>
      <w:r>
        <w:rPr>
          <w:rFonts w:ascii="標楷體" w:eastAsia="標楷體" w:hAnsi="標楷體" w:cs="標楷體" w:hint="eastAsia"/>
          <w:spacing w:val="-8"/>
          <w:sz w:val="52"/>
          <w:szCs w:val="52"/>
        </w:rPr>
        <w:t>月本行理事會決議，籲請金融機構對特定地區以外房價漲幅較大區域之房貸，採取自律控管措施；總裁並函主要銀行董事長，促請強化該等區域不動產授信風險控管。</w:t>
      </w:r>
    </w:p>
    <w:p w:rsidR="00597843" w:rsidRDefault="00597843">
      <w:pPr>
        <w:spacing w:beforeLines="50" w:line="660" w:lineRule="exact"/>
        <w:ind w:leftChars="60" w:left="1243" w:hangingChars="218" w:hanging="1099"/>
        <w:jc w:val="both"/>
        <w:rPr>
          <w:rFonts w:ascii="標楷體" w:eastAsia="標楷體" w:hAnsi="標楷體" w:cs="標楷體"/>
          <w:spacing w:val="-8"/>
          <w:sz w:val="52"/>
          <w:szCs w:val="52"/>
        </w:rPr>
      </w:pPr>
      <w:r>
        <w:rPr>
          <w:rFonts w:ascii="標楷體" w:eastAsia="標楷體" w:hAnsi="標楷體" w:cs="標楷體"/>
          <w:spacing w:val="-8"/>
          <w:sz w:val="52"/>
          <w:szCs w:val="52"/>
        </w:rPr>
        <w:t>(</w:t>
      </w:r>
      <w:r>
        <w:rPr>
          <w:rFonts w:ascii="標楷體" w:eastAsia="標楷體" w:hAnsi="標楷體" w:cs="標楷體" w:hint="eastAsia"/>
          <w:spacing w:val="-8"/>
          <w:sz w:val="52"/>
          <w:szCs w:val="52"/>
        </w:rPr>
        <w:t>二</w:t>
      </w:r>
      <w:r>
        <w:rPr>
          <w:rFonts w:ascii="標楷體" w:eastAsia="標楷體" w:hAnsi="標楷體" w:cs="標楷體"/>
          <w:spacing w:val="-8"/>
          <w:sz w:val="52"/>
          <w:szCs w:val="52"/>
        </w:rPr>
        <w:t>)</w:t>
      </w:r>
      <w:r>
        <w:rPr>
          <w:rFonts w:ascii="標楷體" w:eastAsia="標楷體" w:hAnsi="標楷體" w:cs="標楷體"/>
          <w:spacing w:val="-8"/>
          <w:sz w:val="52"/>
          <w:szCs w:val="52"/>
        </w:rPr>
        <w:tab/>
      </w:r>
      <w:r>
        <w:rPr>
          <w:rFonts w:ascii="標楷體" w:eastAsia="標楷體" w:hAnsi="標楷體" w:cs="標楷體" w:hint="eastAsia"/>
          <w:spacing w:val="-8"/>
          <w:sz w:val="52"/>
          <w:szCs w:val="52"/>
        </w:rPr>
        <w:t>經查絕大多數銀行均已採行自律控管措施，主要內容包括對名下已有</w:t>
      </w:r>
      <w:r>
        <w:rPr>
          <w:rFonts w:ascii="標楷體" w:eastAsia="標楷體" w:hAnsi="標楷體" w:cs="標楷體"/>
          <w:spacing w:val="-8"/>
          <w:sz w:val="52"/>
          <w:szCs w:val="52"/>
        </w:rPr>
        <w:t>1</w:t>
      </w:r>
      <w:r>
        <w:rPr>
          <w:rFonts w:ascii="標楷體" w:eastAsia="標楷體" w:hAnsi="標楷體" w:cs="標楷體" w:hint="eastAsia"/>
          <w:spacing w:val="-8"/>
          <w:sz w:val="52"/>
          <w:szCs w:val="52"/>
        </w:rPr>
        <w:t>戶房貸者</w:t>
      </w:r>
      <w:r>
        <w:rPr>
          <w:rFonts w:ascii="標楷體" w:eastAsia="標楷體" w:hAnsi="標楷體" w:cs="標楷體" w:hint="eastAsia"/>
          <w:b/>
          <w:bCs/>
          <w:spacing w:val="-8"/>
          <w:sz w:val="52"/>
          <w:szCs w:val="52"/>
        </w:rPr>
        <w:t>無寬限期、調降貸款成數</w:t>
      </w:r>
      <w:r>
        <w:rPr>
          <w:rFonts w:ascii="標楷體" w:eastAsia="標楷體" w:hAnsi="標楷體" w:cs="標楷體"/>
          <w:b/>
          <w:bCs/>
          <w:spacing w:val="-8"/>
          <w:sz w:val="52"/>
          <w:szCs w:val="52"/>
        </w:rPr>
        <w:t>(6~7</w:t>
      </w:r>
      <w:r>
        <w:rPr>
          <w:rFonts w:ascii="標楷體" w:eastAsia="標楷體" w:hAnsi="標楷體" w:cs="標楷體" w:hint="eastAsia"/>
          <w:b/>
          <w:bCs/>
          <w:spacing w:val="-8"/>
          <w:sz w:val="52"/>
          <w:szCs w:val="52"/>
        </w:rPr>
        <w:t>成</w:t>
      </w:r>
      <w:r>
        <w:rPr>
          <w:rFonts w:ascii="標楷體" w:eastAsia="標楷體" w:hAnsi="標楷體" w:cs="標楷體"/>
          <w:b/>
          <w:bCs/>
          <w:spacing w:val="-8"/>
          <w:sz w:val="52"/>
          <w:szCs w:val="52"/>
        </w:rPr>
        <w:t>)</w:t>
      </w:r>
      <w:r>
        <w:rPr>
          <w:rFonts w:ascii="標楷體" w:eastAsia="標楷體" w:hAnsi="標楷體" w:cs="標楷體" w:hint="eastAsia"/>
          <w:b/>
          <w:bCs/>
          <w:spacing w:val="-8"/>
          <w:sz w:val="52"/>
          <w:szCs w:val="52"/>
        </w:rPr>
        <w:t>及提高貸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pacing w:val="-8"/>
          <w:sz w:val="52"/>
          <w:szCs w:val="52"/>
        </w:rPr>
        <w:t>款利率</w:t>
      </w:r>
      <w:r>
        <w:rPr>
          <w:rFonts w:ascii="標楷體" w:eastAsia="標楷體" w:hAnsi="標楷體" w:cs="標楷體"/>
          <w:b/>
          <w:bCs/>
          <w:spacing w:val="-8"/>
          <w:sz w:val="52"/>
          <w:szCs w:val="52"/>
        </w:rPr>
        <w:t>(2%</w:t>
      </w:r>
      <w:r>
        <w:rPr>
          <w:rFonts w:ascii="標楷體" w:eastAsia="標楷體" w:hAnsi="標楷體" w:cs="標楷體" w:hint="eastAsia"/>
          <w:b/>
          <w:bCs/>
          <w:spacing w:val="-8"/>
          <w:sz w:val="52"/>
          <w:szCs w:val="52"/>
        </w:rPr>
        <w:t>以上</w:t>
      </w:r>
      <w:r>
        <w:rPr>
          <w:rFonts w:ascii="標楷體" w:eastAsia="標楷體" w:hAnsi="標楷體" w:cs="標楷體"/>
          <w:b/>
          <w:bCs/>
          <w:spacing w:val="-8"/>
          <w:sz w:val="52"/>
          <w:szCs w:val="52"/>
        </w:rPr>
        <w:t>)</w:t>
      </w:r>
      <w:r>
        <w:rPr>
          <w:rFonts w:ascii="標楷體" w:eastAsia="標楷體" w:hAnsi="標楷體" w:cs="標楷體" w:hint="eastAsia"/>
          <w:b/>
          <w:bCs/>
          <w:spacing w:val="-8"/>
          <w:sz w:val="52"/>
          <w:szCs w:val="52"/>
        </w:rPr>
        <w:t>等</w:t>
      </w:r>
      <w:r>
        <w:rPr>
          <w:rFonts w:ascii="標楷體" w:eastAsia="標楷體" w:hAnsi="標楷體" w:cs="標楷體" w:hint="eastAsia"/>
          <w:spacing w:val="-8"/>
          <w:sz w:val="52"/>
          <w:szCs w:val="52"/>
        </w:rPr>
        <w:t>。</w:t>
      </w:r>
      <w:r>
        <w:rPr>
          <w:rFonts w:ascii="標楷體" w:eastAsia="標楷體" w:hAnsi="標楷體" w:cs="標楷體"/>
          <w:spacing w:val="-8"/>
          <w:sz w:val="52"/>
          <w:szCs w:val="52"/>
        </w:rPr>
        <w:t xml:space="preserve"> </w:t>
      </w:r>
    </w:p>
    <w:p w:rsidR="00597843" w:rsidRDefault="00597843">
      <w:pPr>
        <w:spacing w:beforeLines="50" w:line="660" w:lineRule="exact"/>
        <w:ind w:left="1114" w:hangingChars="221" w:hanging="1114"/>
        <w:jc w:val="both"/>
        <w:rPr>
          <w:rFonts w:ascii="Times New Roman" w:eastAsia="標楷體" w:hAnsi="Times New Roman" w:cstheme="minorBidi"/>
          <w:sz w:val="52"/>
          <w:szCs w:val="52"/>
        </w:rPr>
      </w:pPr>
      <w:r>
        <w:rPr>
          <w:rFonts w:ascii="標楷體" w:eastAsia="標楷體" w:hAnsi="標楷體" w:cs="標楷體" w:hint="eastAsia"/>
          <w:spacing w:val="-8"/>
          <w:sz w:val="52"/>
          <w:szCs w:val="52"/>
        </w:rPr>
        <w:t>二、未來，本行仍將密切觀察各地區房貸變化情形，並適時採行因應措施。</w:t>
      </w:r>
    </w:p>
    <w:sectPr w:rsidR="00597843" w:rsidSect="00597843">
      <w:pgSz w:w="16838" w:h="11906" w:orient="landscape" w:code="9"/>
      <w:pgMar w:top="1134" w:right="1191" w:bottom="1134" w:left="119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43" w:rsidRDefault="00597843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597843" w:rsidRDefault="00597843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43" w:rsidRDefault="00597843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597843" w:rsidRDefault="00597843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0BED"/>
    <w:multiLevelType w:val="multilevel"/>
    <w:tmpl w:val="B494086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0" w:hanging="63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標楷體" w:eastAsia="標楷體" w:hAnsi="標楷體" w:hint="eastAsia"/>
        <w:b w:val="0"/>
        <w:bCs w:val="0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222" w:hanging="635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3175" w:hanging="635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4127" w:hanging="635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  <w:rPr>
        <w:rFonts w:ascii="標楷體" w:eastAsia="標楷體" w:hAnsi="標楷體"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843"/>
    <w:rsid w:val="0059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新細明體" w:eastAsia="新細明體" w:hAnsi="新細明體" w:cs="新細明體"/>
      <w:kern w:val="0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a">
    <w:name w:val="主旨"/>
    <w:basedOn w:val="Normal"/>
    <w:uiPriority w:val="99"/>
    <w:pPr>
      <w:widowControl w:val="0"/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500" w:lineRule="exact"/>
      <w:ind w:left="964" w:hanging="964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a0">
    <w:name w:val="(一)"/>
    <w:basedOn w:val="Normal"/>
    <w:uiPriority w:val="99"/>
    <w:pPr>
      <w:widowControl w:val="0"/>
      <w:tabs>
        <w:tab w:val="left" w:pos="10440"/>
      </w:tabs>
      <w:adjustRightInd w:val="0"/>
      <w:spacing w:line="520" w:lineRule="exact"/>
      <w:ind w:left="953" w:right="113" w:hanging="635"/>
      <w:jc w:val="both"/>
      <w:textAlignment w:val="baseline"/>
    </w:pPr>
    <w:rPr>
      <w:rFonts w:ascii="Times New Roman" w:eastAsia="標楷體" w:hAnsi="Times New Roman" w:cs="Times New Roman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新細明體" w:eastAsia="新細明體" w:hAnsi="新細明體" w:cs="新細明體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39</Words>
  <Characters>223</Characters>
  <Application>Microsoft Office Outlook</Application>
  <DocSecurity>0</DocSecurity>
  <Lines>0</Lines>
  <Paragraphs>0</Paragraphs>
  <ScaleCrop>false</ScaleCrop>
  <Company>CBC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方晴</dc:creator>
  <cp:keywords/>
  <dc:description/>
  <cp:lastModifiedBy>陳勝傑</cp:lastModifiedBy>
  <cp:revision>4</cp:revision>
  <cp:lastPrinted>2013-06-27T06:18:00Z</cp:lastPrinted>
  <dcterms:created xsi:type="dcterms:W3CDTF">2013-06-27T06:16:00Z</dcterms:created>
  <dcterms:modified xsi:type="dcterms:W3CDTF">2013-06-27T09:25:00Z</dcterms:modified>
</cp:coreProperties>
</file>