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BA" w:rsidRPr="005F29A0" w:rsidRDefault="0050660B" w:rsidP="00EE3FBA">
      <w:pPr>
        <w:spacing w:line="5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零售支付基礎設施與普惠金融</w:t>
      </w:r>
    </w:p>
    <w:p w:rsidR="0050660B" w:rsidRPr="005F29A0" w:rsidRDefault="0050660B" w:rsidP="0050660B">
      <w:pPr>
        <w:overflowPunct w:val="0"/>
        <w:autoSpaceDN w:val="0"/>
        <w:spacing w:after="120" w:line="56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楊金龍</w:t>
      </w:r>
    </w:p>
    <w:p w:rsidR="0050660B" w:rsidRPr="005F29A0" w:rsidRDefault="0050660B" w:rsidP="0050660B">
      <w:pPr>
        <w:spacing w:after="12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中央銀行</w:t>
      </w:r>
      <w:r w:rsidRPr="005F29A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/107.11.19</w:t>
      </w:r>
    </w:p>
    <w:p w:rsidR="00161CF6" w:rsidRPr="005F29A0" w:rsidRDefault="00161CF6" w:rsidP="00161CF6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金管會顧主委、財政部蘇部長、國發會鄭副主委、趙董事長、各位金融界先進、各位貴賓以及媒體朋友，大家早安！今天很榮幸獲邀參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加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財金公司一年一度的盛會</w:t>
      </w:r>
      <w:r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大家都知道，財金公司長年擔負國內零售支付基礎設施的重大責任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9B628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成</w:t>
      </w:r>
      <w:r w:rsidR="003C1CB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效</w:t>
      </w:r>
      <w:r w:rsidR="00C07A27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顯</w:t>
      </w:r>
      <w:r w:rsidR="00040EF8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著</w:t>
      </w:r>
      <w:r w:rsidR="0012423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近年為</w:t>
      </w:r>
      <w:r w:rsidR="009B628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提升金融科技之應用及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深化普惠金融，</w:t>
      </w:r>
      <w:r w:rsidR="009B628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政府相關單位均積極推動各項措施，</w:t>
      </w:r>
      <w:r w:rsidR="009659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例</w:t>
      </w:r>
      <w:r w:rsidR="009B628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金管會致力於</w:t>
      </w:r>
      <w:r w:rsidR="0012423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法規鬆綁及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鼓勵創新</w:t>
      </w:r>
      <w:r w:rsidR="002B553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財政部主導公股銀行推動「台灣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Pay QR Code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共通支付標準」</w:t>
      </w:r>
      <w:r w:rsidR="002B553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12423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而</w:t>
      </w:r>
      <w:r w:rsidR="0017042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國發會</w:t>
      </w:r>
      <w:r w:rsidR="00EA79A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則</w:t>
      </w:r>
      <w:r w:rsidR="0017042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積極</w:t>
      </w:r>
      <w:r w:rsidR="0017042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進行跨部會整合</w:t>
      </w:r>
      <w:r w:rsidR="002B553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1E1ED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逐步</w:t>
      </w:r>
      <w:r w:rsidR="002B553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擴大行動支付應用場域</w:t>
      </w:r>
      <w:r w:rsidR="0012423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040EF8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促進數位經濟發展</w:t>
      </w:r>
      <w:r w:rsidR="002B553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61CF6" w:rsidRPr="005F29A0" w:rsidRDefault="002B5530" w:rsidP="00161CF6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有鑑</w:t>
      </w:r>
      <w:r w:rsidR="00040EF8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</w:t>
      </w:r>
      <w:r w:rsidR="0017042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各國央行在支付基礎設施</w:t>
      </w:r>
      <w:r w:rsidR="009B628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均</w:t>
      </w:r>
      <w:r w:rsidR="0017042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扮演重要的角色，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我想</w:t>
      </w:r>
      <w:r w:rsidR="00161CF6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藉著本次年會來談一談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161CF6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近年國內</w:t>
      </w:r>
      <w:r w:rsidR="00170F4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外</w:t>
      </w:r>
      <w:r w:rsidR="00161CF6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零售支付基礎設施的發展，以及其對普惠金融的助益</w:t>
      </w:r>
      <w:r w:rsidR="005F29A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401D1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最後，借鏡國外發展趨勢，提出幾個研議方向，以深化</w:t>
      </w:r>
      <w:r w:rsidR="0096597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我國</w:t>
      </w:r>
      <w:r w:rsidR="00401D1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普惠金融</w:t>
      </w:r>
      <w:r w:rsidR="00161CF6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7D03BB" w:rsidRPr="005F29A0" w:rsidRDefault="007D03BB" w:rsidP="005A6E05">
      <w:pPr>
        <w:pStyle w:val="a3"/>
        <w:numPr>
          <w:ilvl w:val="0"/>
          <w:numId w:val="17"/>
        </w:numPr>
        <w:overflowPunct w:val="0"/>
        <w:autoSpaceDN w:val="0"/>
        <w:ind w:leftChars="0" w:left="644" w:rightChars="-142" w:right="-341" w:hanging="6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新</w:t>
      </w:r>
      <w:r w:rsidR="005A6E05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興</w:t>
      </w: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科技改變金融</w:t>
      </w:r>
      <w:r w:rsidR="00855284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支付</w:t>
      </w: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服務面貌，</w:t>
      </w:r>
      <w:r w:rsidR="005A6E05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深化</w:t>
      </w: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普惠金融程度</w:t>
      </w:r>
    </w:p>
    <w:p w:rsidR="00C64FE2" w:rsidRPr="005F29A0" w:rsidRDefault="00C64FE2" w:rsidP="00C64FE2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普惠金融係指能夠全方位</w:t>
      </w:r>
      <w:r w:rsidR="00652D3A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提供符合</w:t>
      </w:r>
      <w:r w:rsidR="00652D3A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民眾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需求的金融服務，尤其是那些被傳統金融忽視的弱勢</w:t>
      </w:r>
      <w:r w:rsidR="00F52A37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民眾</w:t>
      </w:r>
      <w:r w:rsidR="00541F0F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及微</w:t>
      </w:r>
      <w:r w:rsidR="00040EF8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眾</w:t>
      </w:r>
      <w:r w:rsidR="00652D3A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商家或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企業。</w:t>
      </w:r>
      <w:r w:rsidR="00E002E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我認為在支付</w:t>
      </w:r>
      <w:r w:rsidR="00401D1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服務</w:t>
      </w:r>
      <w:r w:rsidR="00E002E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方面，須包括以下幾個要素，才</w:t>
      </w:r>
      <w:r w:rsidR="00A06EB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能讓</w:t>
      </w:r>
      <w:r w:rsidR="00E002E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大眾都願意使用</w:t>
      </w:r>
      <w:r w:rsidR="00401D1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銀行及非銀行所提供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E002E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支付服務：</w:t>
      </w:r>
    </w:p>
    <w:p w:rsidR="00E002E2" w:rsidRPr="005F29A0" w:rsidRDefault="00B73318" w:rsidP="00E002E2">
      <w:pPr>
        <w:pStyle w:val="a3"/>
        <w:numPr>
          <w:ilvl w:val="0"/>
          <w:numId w:val="18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費用</w:t>
      </w:r>
      <w:r w:rsidR="00E002E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低廉，特別是小額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支付</w:t>
      </w:r>
      <w:r w:rsidR="00E002E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部分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；</w:t>
      </w:r>
    </w:p>
    <w:p w:rsidR="00E002E2" w:rsidRPr="005F29A0" w:rsidRDefault="004B599C" w:rsidP="00E002E2">
      <w:pPr>
        <w:pStyle w:val="a3"/>
        <w:numPr>
          <w:ilvl w:val="0"/>
          <w:numId w:val="18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使用</w:t>
      </w:r>
      <w:r w:rsidR="009C0FE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便捷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；</w:t>
      </w:r>
    </w:p>
    <w:p w:rsidR="004B599C" w:rsidRPr="005F29A0" w:rsidRDefault="00B73318" w:rsidP="00E002E2">
      <w:pPr>
        <w:pStyle w:val="a3"/>
        <w:numPr>
          <w:ilvl w:val="0"/>
          <w:numId w:val="18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交易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安全；</w:t>
      </w:r>
    </w:p>
    <w:p w:rsidR="004B599C" w:rsidRPr="005F29A0" w:rsidRDefault="004B599C" w:rsidP="00E002E2">
      <w:pPr>
        <w:pStyle w:val="a3"/>
        <w:numPr>
          <w:ilvl w:val="0"/>
          <w:numId w:val="18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受款方</w:t>
      </w:r>
      <w:r w:rsidR="009C0FE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可快速取得</w:t>
      </w:r>
      <w:r w:rsidR="00401D1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並動用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資金。</w:t>
      </w:r>
    </w:p>
    <w:p w:rsidR="00F52A37" w:rsidRPr="005F29A0" w:rsidRDefault="00124231" w:rsidP="004B599C">
      <w:pPr>
        <w:overflowPunct w:val="0"/>
        <w:autoSpaceDN w:val="0"/>
        <w:spacing w:after="120"/>
        <w:ind w:firstLineChars="200" w:firstLine="640"/>
        <w:jc w:val="both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近年受到</w:t>
      </w:r>
      <w:r w:rsidR="0085528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網路銀行、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行動裝置</w:t>
      </w:r>
      <w:r w:rsidR="0085528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的普及，以</w:t>
      </w:r>
      <w:r w:rsidR="006D57AF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及</w:t>
      </w:r>
      <w:r w:rsidR="0085528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非銀行支付業者加入支付市場，結合新科技與新的運作模式，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讓民眾以</w:t>
      </w:r>
      <w:r w:rsidR="00563A8A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更便利的方式與更低廉的費用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取得所需的服務，</w:t>
      </w:r>
      <w:r w:rsidR="006D57AF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從而</w:t>
      </w:r>
      <w:r w:rsidR="005D727E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改變了金融服務的面貌</w:t>
      </w:r>
      <w:r w:rsidR="00646331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6D57AF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並</w:t>
      </w:r>
      <w:r w:rsidR="00646331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提高普惠金融程度</w:t>
      </w:r>
      <w:r w:rsidR="00F52A37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2B553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因此，</w:t>
      </w:r>
      <w:r w:rsidR="00BF556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配合</w:t>
      </w:r>
      <w:r w:rsidR="009B6282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建立安全</w:t>
      </w:r>
      <w:r w:rsidR="00855284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、</w:t>
      </w:r>
      <w:r w:rsidR="00652D3A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高</w:t>
      </w:r>
      <w:r w:rsidR="009B6282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效率的金融</w:t>
      </w:r>
      <w:r w:rsidR="00855284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支付</w:t>
      </w:r>
      <w:r w:rsidR="009B6282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基礎設施</w:t>
      </w:r>
      <w:r w:rsidR="009B6282" w:rsidRPr="005F29A0">
        <w:rPr>
          <w:rStyle w:val="aa"/>
          <w:rFonts w:ascii="標楷體" w:eastAsia="標楷體" w:hAnsi="標楷體" w:cs="Times New Roman"/>
          <w:b/>
          <w:color w:val="000000" w:themeColor="text1"/>
          <w:sz w:val="32"/>
          <w:szCs w:val="32"/>
        </w:rPr>
        <w:footnoteReference w:id="1"/>
      </w:r>
      <w:r w:rsidR="009B6282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B972DE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連結</w:t>
      </w:r>
      <w:r w:rsidR="006D57AF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各式新興支付方案，</w:t>
      </w:r>
      <w:r w:rsidR="00B73318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讓民眾享有低成本</w:t>
      </w:r>
      <w:r w:rsidR="00B73318" w:rsidRPr="005F29A0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、</w:t>
      </w:r>
      <w:r w:rsidR="00B73318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便捷及安全的支付服務</w:t>
      </w:r>
      <w:r w:rsidR="00B73318" w:rsidRPr="005F29A0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，</w:t>
      </w:r>
      <w:r w:rsidR="00855284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成為近年國際間零售快捷支付系統發展的</w:t>
      </w:r>
      <w:r w:rsidR="00806201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方向，亦為深化普惠金融</w:t>
      </w:r>
      <w:r w:rsidR="000F526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的</w:t>
      </w:r>
      <w:r w:rsidR="00806201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方式</w:t>
      </w:r>
      <w:r w:rsidR="00F52A37" w:rsidRPr="005F29A0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。</w:t>
      </w:r>
    </w:p>
    <w:p w:rsidR="007D03BB" w:rsidRPr="005F29A0" w:rsidRDefault="005D725C" w:rsidP="008E0719">
      <w:pPr>
        <w:pStyle w:val="a3"/>
        <w:numPr>
          <w:ilvl w:val="0"/>
          <w:numId w:val="17"/>
        </w:numPr>
        <w:overflowPunct w:val="0"/>
        <w:autoSpaceDN w:val="0"/>
        <w:ind w:leftChars="0" w:left="644" w:rightChars="-142" w:right="-341" w:hanging="6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國內</w:t>
      </w:r>
      <w:r w:rsidR="001D1DCC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零售支付基礎</w:t>
      </w:r>
      <w:r w:rsidR="006D57AF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設施</w:t>
      </w:r>
      <w:r w:rsidR="00354551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發展現況</w:t>
      </w:r>
    </w:p>
    <w:p w:rsidR="003C63FA" w:rsidRPr="005F29A0" w:rsidRDefault="00B972DE" w:rsidP="00916720">
      <w:pPr>
        <w:pStyle w:val="a3"/>
        <w:numPr>
          <w:ilvl w:val="0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零售</w:t>
      </w:r>
      <w:r w:rsidR="003C63FA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快捷支付</w:t>
      </w:r>
      <w:r w:rsidR="00A06EB4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基礎設施</w:t>
      </w:r>
    </w:p>
    <w:p w:rsidR="003C63FA" w:rsidRPr="005F29A0" w:rsidRDefault="00230BBE" w:rsidP="009B47D8">
      <w:pPr>
        <w:pStyle w:val="a3"/>
        <w:overflowPunct w:val="0"/>
        <w:autoSpaceDN w:val="0"/>
        <w:spacing w:after="120"/>
        <w:ind w:leftChars="0" w:left="960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首先我來說明本行跨行業務結算擔保專</w:t>
      </w:r>
      <w:r w:rsidR="002B51A3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戶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以下</w:t>
      </w:r>
      <w:r w:rsidR="00806201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簡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稱</w:t>
      </w:r>
      <w:r w:rsidR="002B51A3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跨行專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戶</w:t>
      </w:r>
      <w:r w:rsidR="002B51A3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機制對零售快捷支付的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重要性</w:t>
      </w:r>
      <w:r w:rsidR="002B51A3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7E4A17" w:rsidRPr="005F29A0" w:rsidRDefault="00806201" w:rsidP="00916720">
      <w:pPr>
        <w:pStyle w:val="a3"/>
        <w:numPr>
          <w:ilvl w:val="1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依</w:t>
      </w:r>
      <w:r w:rsidR="0030233E" w:rsidRPr="0030233E">
        <w:rPr>
          <w:rFonts w:ascii="Times New Roman" w:eastAsia="標楷體" w:hAnsi="Times New Roman" w:cs="Times New Roman" w:hint="eastAsia"/>
          <w:color w:val="C00000"/>
          <w:sz w:val="32"/>
          <w:szCs w:val="32"/>
        </w:rPr>
        <w:t>國際清算銀行</w:t>
      </w:r>
      <w:r w:rsidR="0030233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BIS</w:t>
      </w:r>
      <w:r w:rsidR="0030233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定義</w:t>
      </w:r>
      <w:r w:rsidRPr="005F29A0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2"/>
      </w:r>
      <w:r w:rsidR="00652D3A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="006278E9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快捷支付係</w:t>
      </w:r>
      <w:r w:rsidR="0096141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指收付款雙方進行支付過程中，付款人幾近即時付款</w:t>
      </w:r>
      <w:r w:rsidR="00BF556D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="0096141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且收款人亦幾近即時收到款項之</w:t>
      </w:r>
      <w:r w:rsidR="00BF556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支</w:t>
      </w:r>
      <w:r w:rsidR="0096141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付模式。</w:t>
      </w:r>
    </w:p>
    <w:p w:rsidR="003C63FA" w:rsidRPr="005F29A0" w:rsidRDefault="003C63FA" w:rsidP="00916720">
      <w:pPr>
        <w:pStyle w:val="a3"/>
        <w:numPr>
          <w:ilvl w:val="1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早在</w:t>
      </w: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1987</w:t>
      </w:r>
      <w:r w:rsidR="00354551"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年，本行即同意</w:t>
      </w: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金融機構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自</w:t>
      </w:r>
      <w:r w:rsidR="00401D1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其在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本行準備金帳戶</w:t>
      </w: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撥</w:t>
      </w:r>
      <w:r w:rsidR="00401D10"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轉</w:t>
      </w: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資金至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本行的「跨行專戶」</w:t>
      </w:r>
      <w:r w:rsidR="00401D1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作為清算資金之用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，再</w:t>
      </w: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由財金公司</w:t>
      </w:r>
      <w:r w:rsidR="00BF556D"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跨行金融資訊系統</w:t>
      </w:r>
      <w:r w:rsidRPr="005F29A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與該專戶</w:t>
      </w: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連結，並串連全體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金融機構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含基層金融機構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9A569C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進行即時清算作業，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建構出遍及全國的金融支付網絡，</w:t>
      </w:r>
      <w:r w:rsidR="009A569C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提供大眾及偏鄉居民</w:t>
      </w:r>
      <w:r w:rsidR="009A569C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24</w:t>
      </w:r>
      <w:r w:rsidR="009A569C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小時全年無休的即時跨行提款、轉帳服務。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2003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A06EB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財金公司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再增加企業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24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小時即時跨行資金調撥</w:t>
      </w:r>
      <w:r w:rsidR="00A06EB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2004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年另提供全時的繳費稅服務。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因此，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BIS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報告</w:t>
      </w:r>
      <w:r w:rsidR="0030233E" w:rsidRPr="005F29A0">
        <w:rPr>
          <w:rStyle w:val="aa"/>
          <w:rFonts w:ascii="Times New Roman" w:eastAsia="標楷體" w:hAnsi="Times New Roman" w:cs="Times New Roman"/>
          <w:color w:val="000000" w:themeColor="text1"/>
          <w:sz w:val="32"/>
          <w:szCs w:val="32"/>
        </w:rPr>
        <w:footnoteReference w:id="3"/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指出我國推展零售快捷支付系統早於其他先進國家。</w:t>
      </w:r>
    </w:p>
    <w:p w:rsidR="00DF077D" w:rsidRPr="005F29A0" w:rsidRDefault="00A06EB4" w:rsidP="00DF077D">
      <w:pPr>
        <w:pStyle w:val="a3"/>
        <w:numPr>
          <w:ilvl w:val="0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非銀行機構參與支付市場</w:t>
      </w:r>
    </w:p>
    <w:p w:rsidR="00BF556D" w:rsidRPr="005F29A0" w:rsidRDefault="00DF077D" w:rsidP="00DF077D">
      <w:pPr>
        <w:pStyle w:val="a3"/>
        <w:numPr>
          <w:ilvl w:val="1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以往銀行為支付市場之主要參與者</w:t>
      </w:r>
    </w:p>
    <w:p w:rsidR="00DF077D" w:rsidRPr="005F29A0" w:rsidRDefault="00BF556D" w:rsidP="00BF556D">
      <w:pPr>
        <w:pStyle w:val="a3"/>
        <w:overflowPunct w:val="0"/>
        <w:autoSpaceDN w:val="0"/>
        <w:spacing w:after="120"/>
        <w:ind w:leftChars="0" w:left="96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在行動支付尚未出現前的卡式支付，主要為銀行發行之信用卡</w:t>
      </w:r>
      <w:r w:rsidR="00B73318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及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提款卡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或金融卡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，銀行在支付市場扮演重要的角色。</w:t>
      </w:r>
    </w:p>
    <w:p w:rsidR="00BF556D" w:rsidRPr="005F29A0" w:rsidRDefault="006B1CA6" w:rsidP="00DF077D">
      <w:pPr>
        <w:pStyle w:val="a3"/>
        <w:numPr>
          <w:ilvl w:val="1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愈來愈多的</w:t>
      </w:r>
      <w:r w:rsidR="00DF077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非銀行支付機構</w:t>
      </w:r>
      <w:r w:rsidR="00B73318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參與支付服務</w:t>
      </w:r>
    </w:p>
    <w:p w:rsidR="00DF077D" w:rsidRPr="005F29A0" w:rsidRDefault="00BF556D" w:rsidP="00BF556D">
      <w:pPr>
        <w:pStyle w:val="a3"/>
        <w:overflowPunct w:val="0"/>
        <w:autoSpaceDN w:val="0"/>
        <w:spacing w:after="120"/>
        <w:ind w:leftChars="0" w:left="96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隨著行動支付時代的來臨，配合手機的普及率提高，銀行雖積極推動各項行動銀行服務，但非銀行支付機構亦積極透過手機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app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提供民眾多項支付選擇。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透過彼此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競爭結果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如能帶給民眾更便利及低成本的服務，也是一件好事。</w:t>
      </w:r>
    </w:p>
    <w:p w:rsidR="00DF077D" w:rsidRPr="005F29A0" w:rsidRDefault="00A06EB4" w:rsidP="00A06EB4">
      <w:pPr>
        <w:pStyle w:val="a3"/>
        <w:numPr>
          <w:ilvl w:val="0"/>
          <w:numId w:val="24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行動</w:t>
      </w:r>
      <w:r w:rsidR="00DF077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支付交易使用</w:t>
      </w:r>
      <w:r w:rsidR="00DF077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QR Code</w:t>
      </w:r>
      <w:r w:rsidR="00DF077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的情形變得普遍</w:t>
      </w:r>
    </w:p>
    <w:p w:rsidR="00DF077D" w:rsidRPr="005F29A0" w:rsidRDefault="00A06EB4" w:rsidP="00DF077D">
      <w:pPr>
        <w:pStyle w:val="a3"/>
        <w:overflowPunct w:val="0"/>
        <w:autoSpaceDN w:val="0"/>
        <w:spacing w:after="120"/>
        <w:ind w:leftChars="0" w:left="993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實務上，商家可以</w:t>
      </w:r>
      <w:r w:rsidR="004D5E4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使用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POS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讀卡機感應或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QR </w:t>
      </w:r>
      <w:r w:rsidR="00BF556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C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ode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掃碼方式接受支付，</w:t>
      </w:r>
      <w:r w:rsidR="004D5E4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而使用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QR Code</w:t>
      </w:r>
      <w:r w:rsidR="004D5E4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的好處在於商家無須配置讀卡機</w:t>
      </w:r>
      <w:r w:rsidR="004D5E4D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="004D5E4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可節省成本</w:t>
      </w:r>
      <w:r w:rsidR="004D5E4D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但因支付業者彼此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QR Code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規格不一、</w:t>
      </w:r>
      <w:r w:rsidR="00BF556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無法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互通，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造成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同一商家必須與多家不同支付機構介接或簽訂收單服務，才能應付不同支付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app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之交易需求</w:t>
      </w:r>
      <w:r w:rsidR="00BF556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，造成商家使用的不</w:t>
      </w:r>
      <w:r w:rsidR="000F526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便</w:t>
      </w:r>
      <w:r w:rsidR="00DF077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DF077D" w:rsidRPr="005F29A0" w:rsidRDefault="00DF077D" w:rsidP="00DF077D">
      <w:pPr>
        <w:pStyle w:val="a3"/>
        <w:overflowPunct w:val="0"/>
        <w:autoSpaceDN w:val="0"/>
        <w:spacing w:after="120"/>
        <w:ind w:leftChars="0" w:left="993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為解決此一問題，財金公司</w:t>
      </w:r>
      <w:r w:rsidR="00A06EB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在財政部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支持及協助下</w:t>
      </w:r>
      <w:r w:rsidR="00A06EB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，偕同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公股</w:t>
      </w:r>
      <w:r w:rsidR="00A06EB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於上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(2017)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月間推出台灣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Pay 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金融卡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QR Code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共通支付標準，整合前端交易彼此不互通的現象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</w:t>
      </w:r>
      <w:r w:rsidR="00B73318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另將於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今</w:t>
      </w:r>
      <w:r w:rsidR="00BF556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(2018)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年底，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推出信用卡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QR Code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共通支付之繳費及消費服務。</w:t>
      </w:r>
      <w:r w:rsidR="00E00F4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此外，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國發會亦積極協調跨部會推廣行動支付之應用場域，朝向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2025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年國內行動支付普及率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90%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之目標邁進。</w:t>
      </w:r>
    </w:p>
    <w:p w:rsidR="003C63FA" w:rsidRPr="005F29A0" w:rsidRDefault="003C63FA" w:rsidP="005D725C">
      <w:pPr>
        <w:pStyle w:val="a3"/>
        <w:numPr>
          <w:ilvl w:val="0"/>
          <w:numId w:val="17"/>
        </w:numPr>
        <w:overflowPunct w:val="0"/>
        <w:autoSpaceDN w:val="0"/>
        <w:ind w:leftChars="0" w:left="644" w:rightChars="-142" w:right="-341" w:hanging="658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國外零售支付</w:t>
      </w:r>
      <w:r w:rsidR="00E00F41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發展趨勢</w:t>
      </w:r>
    </w:p>
    <w:p w:rsidR="00230BBE" w:rsidRPr="005F29A0" w:rsidRDefault="00230BBE" w:rsidP="005D725C">
      <w:pPr>
        <w:pStyle w:val="a3"/>
        <w:numPr>
          <w:ilvl w:val="0"/>
          <w:numId w:val="25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採用類似本行的撥</w:t>
      </w:r>
      <w:r w:rsidR="0080798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轉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資金模式</w:t>
      </w:r>
      <w:r w:rsidR="00BF556D" w:rsidRPr="005F29A0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，</w:t>
      </w:r>
      <w:r w:rsidR="00BF556D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提供</w:t>
      </w:r>
      <w:r w:rsidR="000F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清算資金</w:t>
      </w:r>
    </w:p>
    <w:p w:rsidR="00230BBE" w:rsidRPr="005F29A0" w:rsidRDefault="00230BBE" w:rsidP="00A00DBB">
      <w:pPr>
        <w:pStyle w:val="a3"/>
        <w:overflowPunct w:val="0"/>
        <w:autoSpaceDN w:val="0"/>
        <w:spacing w:after="120"/>
        <w:ind w:leftChars="0" w:left="960" w:firstLineChars="187" w:firstLine="59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觀察近年各國積極推出的零售快捷支付系統，如美國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Real Time Payment (RTP)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、新加坡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FAST Payment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香港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轉數快</w:t>
      </w:r>
      <w:r w:rsidR="003B345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平台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(Faster Payment System, FPS)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，均採用類似我國由銀行撥</w:t>
      </w:r>
      <w:r w:rsidR="0080798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資金於央行專戶之運作模式，達</w:t>
      </w:r>
      <w:r w:rsidR="006670E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到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支付指令即時清算效果。</w:t>
      </w:r>
    </w:p>
    <w:p w:rsidR="00230BBE" w:rsidRPr="005F29A0" w:rsidRDefault="00687602" w:rsidP="005D725C">
      <w:pPr>
        <w:pStyle w:val="a3"/>
        <w:numPr>
          <w:ilvl w:val="0"/>
          <w:numId w:val="25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提高</w:t>
      </w:r>
      <w:r w:rsidR="00230BBE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用戶使用</w:t>
      </w:r>
      <w:r w:rsidR="008235E2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的便捷性</w:t>
      </w:r>
    </w:p>
    <w:p w:rsidR="00A00DBB" w:rsidRPr="005F29A0" w:rsidRDefault="00230BBE" w:rsidP="00A00DBB">
      <w:pPr>
        <w:pStyle w:val="a3"/>
        <w:overflowPunct w:val="0"/>
        <w:autoSpaceDN w:val="0"/>
        <w:spacing w:after="120"/>
        <w:ind w:leftChars="0" w:left="960" w:firstLineChars="187" w:firstLine="59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</w:t>
      </w:r>
      <w:r w:rsidR="00C507A9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吸引用戶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使用，</w:t>
      </w:r>
      <w:r w:rsidR="006670E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國外</w:t>
      </w:r>
      <w:r w:rsidR="000F526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新系統多整合其他附加功能</w:t>
      </w:r>
      <w:r w:rsidR="000F5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例如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在轉帳方面，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讓用戶可以利用受款方手機號碼或電子郵件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進行</w:t>
      </w:r>
      <w:r w:rsidR="008235E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跨行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轉帳、採用新的訊息標準以帶入更多交易訊息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，如</w:t>
      </w:r>
      <w:r w:rsidR="008316F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美國</w:t>
      </w:r>
      <w:r w:rsidR="008316F0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、</w:t>
      </w:r>
      <w:r w:rsidR="008316F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新加坡</w:t>
      </w:r>
      <w:r w:rsidR="008316F0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、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香港等。此外，在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QR Code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掃碼支付方面，</w:t>
      </w:r>
      <w:r w:rsidR="008316F0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新加坡、香港則</w:t>
      </w:r>
      <w:r w:rsidR="00A00DBB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與我國一樣，發展共通支付規格。</w:t>
      </w:r>
    </w:p>
    <w:p w:rsidR="008917F4" w:rsidRPr="005F29A0" w:rsidRDefault="00A00DBB" w:rsidP="005D725C">
      <w:pPr>
        <w:pStyle w:val="a3"/>
        <w:numPr>
          <w:ilvl w:val="0"/>
          <w:numId w:val="25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非銀行支付機</w:t>
      </w:r>
      <w:r w:rsidR="008917F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構亦可成為零售支付系統</w:t>
      </w:r>
      <w:r w:rsidR="006670E0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的</w:t>
      </w:r>
      <w:r w:rsidR="008917F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參加單位</w:t>
      </w:r>
    </w:p>
    <w:p w:rsidR="007E4A17" w:rsidRPr="005F29A0" w:rsidRDefault="00354551" w:rsidP="008917F4">
      <w:pPr>
        <w:pStyle w:val="a3"/>
        <w:overflowPunct w:val="0"/>
        <w:autoSpaceDN w:val="0"/>
        <w:spacing w:after="120"/>
        <w:ind w:leftChars="0" w:left="960" w:firstLineChars="187" w:firstLine="59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近年愈來愈多非銀行支付機構加入支付市場，</w:t>
      </w:r>
      <w:r w:rsidR="008917F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以香港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="003B345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轉數快平台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</w:t>
      </w:r>
      <w:r w:rsidR="008917F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為例，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</w:t>
      </w:r>
      <w:r w:rsidR="008917F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</w:t>
      </w:r>
      <w:r w:rsidR="003B118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在金管局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開立</w:t>
      </w:r>
      <w:r w:rsidR="00063CE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清算帳戶，因此，可成為該系統的清算參加單位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，並進行款項清算。至於非銀行</w:t>
      </w:r>
      <w:r w:rsidR="00D77A7F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機構</w:t>
      </w:r>
      <w:r w:rsidR="00D77A7F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如八達通公司</w:t>
      </w:r>
      <w:r w:rsidR="00D77A7F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亦</w:t>
      </w:r>
      <w:r w:rsidR="00063CE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為該系統之參加單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位，惟因</w:t>
      </w:r>
      <w:r w:rsidR="00807BF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其無法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在金管局開立清算帳戶，</w:t>
      </w:r>
      <w:r w:rsidR="00063CE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因此，非銀行支付機構的前端交易訊息傳送至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="003B345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轉數快平台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</w:t>
      </w:r>
      <w:r w:rsidR="00063CE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後，其後端款項清算，則由管理銀行代為處理。</w:t>
      </w:r>
      <w:r w:rsidR="00AC585C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中國大陸</w:t>
      </w:r>
      <w:r w:rsidR="00BB2F4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近年成立的網聯平台，亦採相同</w:t>
      </w:r>
      <w:r w:rsidR="00AC585C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作法。</w:t>
      </w:r>
    </w:p>
    <w:p w:rsidR="00AC585C" w:rsidRPr="005F29A0" w:rsidRDefault="008316F0" w:rsidP="005D725C">
      <w:pPr>
        <w:pStyle w:val="a3"/>
        <w:numPr>
          <w:ilvl w:val="0"/>
          <w:numId w:val="25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運用科技降低成本</w:t>
      </w:r>
    </w:p>
    <w:p w:rsidR="00A05697" w:rsidRPr="005F29A0" w:rsidRDefault="00AC585C" w:rsidP="00807BF8">
      <w:pPr>
        <w:pStyle w:val="a3"/>
        <w:overflowPunct w:val="0"/>
        <w:autoSpaceDN w:val="0"/>
        <w:spacing w:after="120"/>
        <w:ind w:leftChars="0" w:left="960" w:firstLineChars="187" w:firstLine="59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配合行動支付興起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後</w:t>
      </w:r>
      <w:r w:rsidR="00D77A7F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行動轉帳或購物的部分設備，已由實體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ATM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轉換為民眾手機，小額交易明顯增加</w:t>
      </w:r>
      <w:r w:rsidR="00F06ACA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5C14F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由於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各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國新建置之零售快捷支付</w:t>
      </w:r>
      <w:r w:rsidR="00DC499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系統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5C14F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提供民眾透過網路或行動裝置進行支付交易</w:t>
      </w:r>
      <w:r w:rsidR="005C14F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="005C14F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不再使用實體</w:t>
      </w:r>
      <w:r w:rsidR="005C14F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ATM</w:t>
      </w:r>
      <w:r w:rsidR="00045CF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="00045CF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5C14F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因此，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收費相對低廉</w:t>
      </w:r>
      <w:r w:rsidR="008316F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F06ACA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有些</w:t>
      </w:r>
      <w:bookmarkStart w:id="0" w:name="_GoBack"/>
      <w:bookmarkEnd w:id="0"/>
      <w:r w:rsidR="00F06ACA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銀行並在推廣期間，對於小額交易在定額以下者，免收手續費。</w:t>
      </w:r>
    </w:p>
    <w:p w:rsidR="00932B31" w:rsidRPr="005F29A0" w:rsidRDefault="00932B31" w:rsidP="00932B31">
      <w:pPr>
        <w:pStyle w:val="a3"/>
        <w:numPr>
          <w:ilvl w:val="0"/>
          <w:numId w:val="17"/>
        </w:numPr>
        <w:overflowPunct w:val="0"/>
        <w:autoSpaceDN w:val="0"/>
        <w:ind w:leftChars="0" w:left="644" w:rightChars="-142" w:right="-341" w:hanging="6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研議未來</w:t>
      </w:r>
      <w:r w:rsidR="00F06ACA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推動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方向</w:t>
      </w:r>
      <w:r w:rsid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，以深化我國普惠金融</w:t>
      </w:r>
    </w:p>
    <w:p w:rsidR="00932B31" w:rsidRPr="005F29A0" w:rsidRDefault="00F06ACA" w:rsidP="002C31A9">
      <w:pPr>
        <w:overflowPunct w:val="0"/>
        <w:autoSpaceDN w:val="0"/>
        <w:ind w:left="-14" w:rightChars="-142" w:right="-341" w:firstLineChars="225" w:firstLine="7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綜合前述國內發展現況與借鏡國際發展趨勢，本人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試著提出以下</w:t>
      </w:r>
      <w:r w:rsidR="008235E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個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研議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的推動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方向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，以深化我國普惠金融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932B31" w:rsidRPr="005F29A0" w:rsidRDefault="00932B31" w:rsidP="005D725C">
      <w:pPr>
        <w:pStyle w:val="a3"/>
        <w:numPr>
          <w:ilvl w:val="0"/>
          <w:numId w:val="27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研議降低小額跨行轉帳費用</w:t>
      </w:r>
    </w:p>
    <w:p w:rsidR="008754F9" w:rsidRPr="005F29A0" w:rsidRDefault="008754F9" w:rsidP="0026048F">
      <w:pPr>
        <w:overflowPunct w:val="0"/>
        <w:autoSpaceDN w:val="0"/>
        <w:spacing w:after="120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網路與行動支付興起，許多民眾改以網路或手機轉帳，因</w:t>
      </w:r>
      <w:r w:rsidR="00F06ACA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交易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不會經過實體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ATM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F06ACA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成本相對較低，</w:t>
      </w:r>
      <w:r w:rsidR="003707C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尤其小額轉帳手續費部分，</w:t>
      </w:r>
      <w:r w:rsidR="003B345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</w:t>
      </w:r>
      <w:r w:rsidR="003707C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計收方式似有調降空間。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例如，民眾購物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100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元，</w:t>
      </w:r>
      <w:r w:rsidR="003707C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透過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網路</w:t>
      </w:r>
      <w:r w:rsidR="003707C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或行動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ATM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轉帳，每筆須負擔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15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元，</w:t>
      </w:r>
      <w:r w:rsidR="00385A1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否合理</w:t>
      </w:r>
      <w:r w:rsidR="003707CD" w:rsidRPr="005F29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？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參考國際間新建置之零售快捷支付，多採較低廉的收費。</w:t>
      </w:r>
    </w:p>
    <w:p w:rsidR="00932B31" w:rsidRPr="005F29A0" w:rsidRDefault="00322F9D" w:rsidP="0026048F">
      <w:pPr>
        <w:overflowPunct w:val="0"/>
        <w:autoSpaceDN w:val="0"/>
        <w:spacing w:after="120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據悉，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目前銀行與財金公司正在研議合宜的費率</w:t>
      </w:r>
      <w:r w:rsidR="005677E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。另外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，本行也會督促</w:t>
      </w:r>
      <w:r w:rsidR="002C31A9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財金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公司就提供資訊交換服務，向銀行收取服務費率部分，配合研議調降之可行性。</w:t>
      </w:r>
    </w:p>
    <w:p w:rsidR="00932B31" w:rsidRPr="005F29A0" w:rsidRDefault="00932B31" w:rsidP="005D725C">
      <w:pPr>
        <w:pStyle w:val="a3"/>
        <w:numPr>
          <w:ilvl w:val="0"/>
          <w:numId w:val="27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研議建構電子支付、電子票證等跨機構共用平台之可行性</w:t>
      </w:r>
    </w:p>
    <w:p w:rsidR="00C57854" w:rsidRPr="005F29A0" w:rsidRDefault="00C57854" w:rsidP="00C57854">
      <w:pPr>
        <w:pStyle w:val="a3"/>
        <w:numPr>
          <w:ilvl w:val="1"/>
          <w:numId w:val="27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電支機構與銀行個別介接直連之情況若愈來愈多時，支付網</w:t>
      </w:r>
      <w:r w:rsidR="00385A1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絡</w:t>
      </w:r>
      <w:r w:rsidR="003707C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將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更</w:t>
      </w:r>
      <w:r w:rsidR="003707C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加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複雜</w:t>
      </w:r>
      <w:r w:rsidR="003707C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，交易資訊安全不易兼顧</w:t>
      </w:r>
    </w:p>
    <w:p w:rsidR="00C57854" w:rsidRPr="005F29A0" w:rsidRDefault="00C57854" w:rsidP="00C57854">
      <w:pPr>
        <w:overflowPunct w:val="0"/>
        <w:autoSpaceDN w:val="0"/>
        <w:spacing w:after="120"/>
        <w:ind w:leftChars="413" w:left="991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電支機構的不同用戶間如連結不同銀行帳戶並彼此進行</w:t>
      </w:r>
      <w:r w:rsidR="001D347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</w:t>
      </w:r>
      <w:r w:rsidR="001D347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P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轉帳時，</w:t>
      </w:r>
      <w:r w:rsidR="000C1BF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目前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該筆跨行轉帳交易</w:t>
      </w:r>
      <w:r w:rsidR="000C1BF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多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係由電支機構分別發送指令至收款及付款銀行，再由個別銀行內的電支機構帳戶及其客戶帳戶間進行互轉</w:t>
      </w:r>
      <w:r w:rsidR="001D347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B1CA6" w:rsidRPr="005F29A0" w:rsidRDefault="00C57854" w:rsidP="001D3473">
      <w:pPr>
        <w:overflowPunct w:val="0"/>
        <w:autoSpaceDN w:val="0"/>
        <w:spacing w:after="120"/>
        <w:ind w:leftChars="413" w:left="991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前述模式與先前中國大陸電支機構的清算運作模式相同，但因大陸有數百家電支機構，每家電支機構與銀行直連，則會造成支付網絡十分混亂，且</w:t>
      </w:r>
      <w:r w:rsidR="006B1CA6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交易資訊安全不易兼顧</w:t>
      </w:r>
      <w:r w:rsidR="006B1CA6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因此，大陸近年推出網聯平台</w:t>
      </w:r>
      <w:r w:rsidR="00385A1D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解決紛亂的直連問題</w:t>
      </w:r>
      <w:r w:rsidR="006B1CA6" w:rsidRPr="005F29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另觀察香港</w:t>
      </w:r>
      <w:r w:rsidR="001D347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最近於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本年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月推出的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="003B3452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轉數快平台</w:t>
      </w:r>
      <w:r w:rsidR="003B345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，電支機構亦是透過</w:t>
      </w:r>
      <w:r w:rsidR="00F1268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該平台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統一進行跨行款項清算。</w:t>
      </w:r>
    </w:p>
    <w:p w:rsidR="00C57854" w:rsidRPr="005F29A0" w:rsidRDefault="001D3473" w:rsidP="001D3473">
      <w:pPr>
        <w:overflowPunct w:val="0"/>
        <w:autoSpaceDN w:val="0"/>
        <w:spacing w:after="120"/>
        <w:ind w:leftChars="413" w:left="991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鑒於</w:t>
      </w:r>
      <w:r w:rsidR="006B1CA6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國內電支機構</w:t>
      </w:r>
      <w:r w:rsidR="00C5785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與銀行直連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的多對多網絡作業模式，會隨著</w:t>
      </w:r>
      <w:r w:rsidR="00C5785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電支機構愈來愈多，而愈加</w:t>
      </w:r>
      <w:r w:rsidR="006B1CA6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複雜與不便</w:t>
      </w:r>
      <w:r w:rsidR="006B1CA6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="00F1268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此問題值得我們進一步研議解決方案</w:t>
      </w:r>
      <w:r w:rsidR="00F1268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。因此，財金公司正規劃建置跨機構共用平台</w:t>
      </w:r>
      <w:r w:rsidR="00C5785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932B31" w:rsidRPr="005F29A0" w:rsidRDefault="00C57854" w:rsidP="006B1CA6">
      <w:pPr>
        <w:pStyle w:val="a3"/>
        <w:numPr>
          <w:ilvl w:val="1"/>
          <w:numId w:val="27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建置跨機構共用平台</w:t>
      </w:r>
    </w:p>
    <w:p w:rsidR="00932B31" w:rsidRPr="005F29A0" w:rsidRDefault="00932B31" w:rsidP="00C57854">
      <w:pPr>
        <w:overflowPunct w:val="0"/>
        <w:autoSpaceDN w:val="0"/>
        <w:spacing w:after="120"/>
        <w:ind w:leftChars="413" w:left="991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目前財金公司已發展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QR Code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共通支付標準，整合前端交易介面，至於交易後之訊息交換，可經由財金公司規劃之跨機構共用平台即時處理，再透過該平台串接後端現有的跨行清算系統，達到前端交易訊息即時交換、後端</w:t>
      </w:r>
      <w:r w:rsidR="007F115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款項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快速</w:t>
      </w:r>
      <w:r w:rsidR="007F115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清算的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效益。</w:t>
      </w:r>
    </w:p>
    <w:p w:rsidR="00932B31" w:rsidRPr="005F29A0" w:rsidRDefault="00932B31" w:rsidP="00C57854">
      <w:pPr>
        <w:overflowPunct w:val="0"/>
        <w:autoSpaceDN w:val="0"/>
        <w:spacing w:after="120"/>
        <w:ind w:leftChars="413" w:left="991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目前財金公司正在研議本案，本行</w:t>
      </w:r>
      <w:r w:rsidR="007F1150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樂見此案之推展，但亦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提醒其在研議過程中，宜與銀行及相關支付機構多方面溝通，俾建構安全、效率、且符合使用者需求的跨機構共用平台。</w:t>
      </w:r>
    </w:p>
    <w:p w:rsidR="00322F9D" w:rsidRPr="005F29A0" w:rsidRDefault="006004E4" w:rsidP="005D725C">
      <w:pPr>
        <w:pStyle w:val="a3"/>
        <w:numPr>
          <w:ilvl w:val="0"/>
          <w:numId w:val="27"/>
        </w:numPr>
        <w:overflowPunct w:val="0"/>
        <w:autoSpaceDN w:val="0"/>
        <w:spacing w:after="12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提供用戶更便捷的使用方式</w:t>
      </w:r>
    </w:p>
    <w:p w:rsidR="00AE06D6" w:rsidRPr="005F29A0" w:rsidRDefault="00322F9D" w:rsidP="006004E4">
      <w:pPr>
        <w:overflowPunct w:val="0"/>
        <w:autoSpaceDN w:val="0"/>
        <w:spacing w:after="120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參考鄰近香港及新加坡經驗，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在消費支付方面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與我國財金公司相同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均致力於推動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QR </w:t>
      </w:r>
      <w:r w:rsidR="00385A1D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C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ode</w:t>
      </w:r>
      <w:r w:rsidR="00A8350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共通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支付標準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惟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在遠端轉帳部分，或許財金公司未來亦可思考，是否可以就其零售支付基礎設施再提供其他附加功能，</w:t>
      </w:r>
      <w:r w:rsidR="00385A1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提升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用戶體驗。</w:t>
      </w:r>
    </w:p>
    <w:p w:rsidR="00322F9D" w:rsidRPr="005F29A0" w:rsidRDefault="00385A1D" w:rsidP="006004E4">
      <w:pPr>
        <w:overflowPunct w:val="0"/>
        <w:autoSpaceDN w:val="0"/>
        <w:spacing w:after="120"/>
        <w:ind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最近財金公司推出的行動支付結合雲端發票，民眾發票中獎時，獎金可直接撥入銀行帳戶的做法，就是很好的範例</w:t>
      </w:r>
      <w:r w:rsidR="00C41714" w:rsidRPr="005F29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未來可研議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讓用</w:t>
      </w:r>
      <w:r w:rsidR="00322F9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戶可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直接利用手機內的</w:t>
      </w:r>
      <w:r w:rsidR="00322F9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受款方手機號碼或電子郵件進行</w:t>
      </w:r>
      <w:r w:rsidR="00A841F3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跨行</w:t>
      </w:r>
      <w:r w:rsidR="00322F9D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轉帳服務</w:t>
      </w:r>
      <w:r w:rsidR="00421F0E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，或</w:t>
      </w:r>
      <w:r w:rsidR="00E653B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透過支付服務</w:t>
      </w: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結合帳戶管理及理財服務等，吸引</w:t>
      </w:r>
      <w:r w:rsidR="00B86ED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更多人使用</w:t>
      </w:r>
      <w:r w:rsidR="00A40A2F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行動或電子</w:t>
      </w:r>
      <w:r w:rsidR="00B86ED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支付，</w:t>
      </w:r>
      <w:r w:rsidR="00E653B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</w:t>
      </w:r>
      <w:r w:rsidR="00AE06D6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推</w:t>
      </w:r>
      <w:r w:rsidR="00B428D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廣</w:t>
      </w:r>
      <w:r w:rsidR="00B86ED8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普惠金融。</w:t>
      </w:r>
    </w:p>
    <w:p w:rsidR="006004E4" w:rsidRPr="005F29A0" w:rsidRDefault="006004E4" w:rsidP="006004E4">
      <w:pPr>
        <w:pStyle w:val="a3"/>
        <w:numPr>
          <w:ilvl w:val="0"/>
          <w:numId w:val="17"/>
        </w:numPr>
        <w:overflowPunct w:val="0"/>
        <w:autoSpaceDN w:val="0"/>
        <w:ind w:leftChars="0" w:left="644" w:rightChars="-142" w:right="-341" w:hanging="658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結</w:t>
      </w:r>
      <w:r w:rsidR="006738E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語</w:t>
      </w:r>
    </w:p>
    <w:p w:rsidR="00F12684" w:rsidRPr="005F29A0" w:rsidRDefault="006738ED" w:rsidP="009B47D8">
      <w:pPr>
        <w:overflowPunct w:val="0"/>
        <w:autoSpaceDN w:val="0"/>
        <w:spacing w:after="120"/>
        <w:ind w:firstLineChars="200" w:firstLine="641"/>
        <w:jc w:val="both"/>
        <w:rPr>
          <w:rFonts w:ascii="新細明體" w:eastAsia="新細明體" w:hAnsi="新細明體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最後，</w:t>
      </w:r>
      <w:r w:rsidR="00DA6B8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我想就促進</w:t>
      </w:r>
      <w:r w:rsidR="00A04F42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零售支付系統順暢運作的關鍵要素</w:t>
      </w:r>
      <w:r w:rsidR="00DA6B8C" w:rsidRPr="009B47D8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－</w:t>
      </w:r>
      <w:r w:rsidR="00F12684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金融機構在本行的「跨行專戶」清算資金需求，提出本行的</w:t>
      </w:r>
      <w:r w:rsidR="00E653B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調整措施</w:t>
      </w:r>
      <w:r w:rsidR="009848E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</w:p>
    <w:p w:rsidR="006004E4" w:rsidRPr="005F29A0" w:rsidRDefault="00125CFC" w:rsidP="00F12684">
      <w:pPr>
        <w:overflowPunct w:val="0"/>
        <w:autoSpaceDN w:val="0"/>
        <w:spacing w:after="120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考量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電子與行動商務交易動能持續擴大，即時跨行支付</w:t>
      </w:r>
      <w:r w:rsidR="009848E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A04F4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需求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逐年</w:t>
      </w:r>
      <w:r w:rsidR="00A04F4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增加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A04F4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為因應交易量的擴大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A04F42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目前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財金系統於金融機構營業時間內，平均每日透過</w:t>
      </w:r>
      <w:r w:rsidR="00BC54A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本行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「跨行專戶」動用的清算資金已達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2,23</w:t>
      </w:r>
      <w:r w:rsidR="00AE06D6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0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億元，另因應非營業時間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包括夜間及假日時段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跨行交易需要，平均每日日終留存</w:t>
      </w:r>
      <w:r w:rsidR="00BC54A4"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「跨行專戶」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的餘額</w:t>
      </w:r>
      <w:r w:rsidR="00BC54A4" w:rsidRPr="005F29A0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，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亦從早期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200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多億元增至今年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500</w:t>
      </w:r>
      <w:r w:rsidR="006004E4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多億元。</w:t>
      </w:r>
    </w:p>
    <w:p w:rsidR="006004E4" w:rsidRPr="005F29A0" w:rsidRDefault="006004E4" w:rsidP="00125CFC">
      <w:pPr>
        <w:overflowPunct w:val="0"/>
        <w:autoSpaceDN w:val="0"/>
        <w:spacing w:after="120"/>
        <w:ind w:firstLineChars="200" w:firstLine="641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因此</w:t>
      </w:r>
      <w:r w:rsidR="006738ED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本行將現行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金融機構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日終</w:t>
      </w:r>
      <w:r w:rsidR="00AE06D6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留存</w:t>
      </w:r>
      <w:r w:rsidR="00BC54A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跨行專戶</w:t>
      </w:r>
      <w:r w:rsidR="00BC54A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餘額可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作為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準備金之上限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比率</w:t>
      </w:r>
      <w:r w:rsidR="00111A1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，由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4%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提高</w:t>
      </w:r>
      <w:r w:rsidR="00111A1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至</w:t>
      </w:r>
      <w:r w:rsidR="00111A1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8%</w:t>
      </w:r>
      <w:r w:rsidR="00F12684" w:rsidRPr="005F29A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。</w:t>
      </w:r>
      <w:r w:rsidR="00A04F42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藉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由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提供充分</w:t>
      </w:r>
      <w:r w:rsidR="009848E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清算資金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，促進整體零售支付基礎設施</w:t>
      </w:r>
      <w:r w:rsidR="00A04F42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更加順暢運作，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以</w:t>
      </w:r>
      <w:r w:rsidR="00BC54A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便於</w:t>
      </w:r>
      <w:r w:rsidR="00F12684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金融機構</w:t>
      </w:r>
      <w:r w:rsidR="00AE06D6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提供更廣泛的支付服務，深化</w:t>
      </w:r>
      <w:r w:rsidR="00125CFC"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普惠金融</w:t>
      </w:r>
      <w:r w:rsidRPr="005F29A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。</w:t>
      </w:r>
    </w:p>
    <w:p w:rsidR="00932B31" w:rsidRPr="005F29A0" w:rsidRDefault="00AE06D6" w:rsidP="00932B31">
      <w:pPr>
        <w:widowControl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F29A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="00932B31" w:rsidRPr="005F29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以上分享內容，還請各位先進不吝賜教。最後，再次感謝財金公司的邀請，敬祝大家身體健康、萬事如意！謝謝大家！</w:t>
      </w:r>
    </w:p>
    <w:sectPr w:rsidR="00932B31" w:rsidRPr="005F29A0" w:rsidSect="00DC4994">
      <w:footerReference w:type="default" r:id="rId9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9E" w:rsidRDefault="00E97D9E" w:rsidP="00404F17">
      <w:r>
        <w:separator/>
      </w:r>
    </w:p>
  </w:endnote>
  <w:endnote w:type="continuationSeparator" w:id="0">
    <w:p w:rsidR="00E97D9E" w:rsidRDefault="00E97D9E" w:rsidP="0040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966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654F5" w:rsidRPr="00446BB8" w:rsidRDefault="006654F5" w:rsidP="00446BB8">
        <w:pPr>
          <w:pStyle w:val="a6"/>
          <w:jc w:val="center"/>
          <w:rPr>
            <w:rFonts w:ascii="Times New Roman" w:hAnsi="Times New Roman" w:cs="Times New Roman"/>
          </w:rPr>
        </w:pPr>
        <w:r w:rsidRPr="00446BB8">
          <w:rPr>
            <w:rFonts w:ascii="Times New Roman" w:hAnsi="Times New Roman" w:cs="Times New Roman"/>
          </w:rPr>
          <w:fldChar w:fldCharType="begin"/>
        </w:r>
        <w:r w:rsidRPr="00446BB8">
          <w:rPr>
            <w:rFonts w:ascii="Times New Roman" w:hAnsi="Times New Roman" w:cs="Times New Roman"/>
          </w:rPr>
          <w:instrText>PAGE   \* MERGEFORMAT</w:instrText>
        </w:r>
        <w:r w:rsidRPr="00446BB8">
          <w:rPr>
            <w:rFonts w:ascii="Times New Roman" w:hAnsi="Times New Roman" w:cs="Times New Roman"/>
          </w:rPr>
          <w:fldChar w:fldCharType="separate"/>
        </w:r>
        <w:r w:rsidR="00E97D9E" w:rsidRPr="00E97D9E">
          <w:rPr>
            <w:rFonts w:ascii="Times New Roman" w:hAnsi="Times New Roman" w:cs="Times New Roman"/>
            <w:noProof/>
            <w:lang w:val="zh-TW"/>
          </w:rPr>
          <w:t>1</w:t>
        </w:r>
        <w:r w:rsidRPr="00446BB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9E" w:rsidRDefault="00E97D9E" w:rsidP="00404F17">
      <w:r>
        <w:separator/>
      </w:r>
    </w:p>
  </w:footnote>
  <w:footnote w:type="continuationSeparator" w:id="0">
    <w:p w:rsidR="00E97D9E" w:rsidRDefault="00E97D9E" w:rsidP="00404F17">
      <w:r>
        <w:continuationSeparator/>
      </w:r>
    </w:p>
  </w:footnote>
  <w:footnote w:id="1">
    <w:p w:rsidR="006654F5" w:rsidRPr="003B1182" w:rsidRDefault="006654F5" w:rsidP="009B6282">
      <w:pPr>
        <w:pStyle w:val="a8"/>
        <w:rPr>
          <w:rFonts w:ascii="Times New Roman" w:hAnsi="Times New Roman" w:cs="Times New Roman"/>
          <w:color w:val="000000" w:themeColor="text1"/>
        </w:rPr>
      </w:pPr>
      <w:r>
        <w:rPr>
          <w:rStyle w:val="aa"/>
        </w:rPr>
        <w:footnoteRef/>
      </w:r>
      <w:r>
        <w:t xml:space="preserve"> </w:t>
      </w:r>
      <w:r w:rsidRPr="003B1182">
        <w:rPr>
          <w:rFonts w:ascii="Times New Roman" w:hAnsi="Times New Roman" w:cs="Times New Roman"/>
          <w:color w:val="000000" w:themeColor="text1"/>
        </w:rPr>
        <w:t>BIS (2016),</w:t>
      </w:r>
      <w:r w:rsidRPr="003B1182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B1182">
        <w:rPr>
          <w:rFonts w:ascii="Times New Roman" w:hAnsi="Times New Roman" w:cs="Times New Roman"/>
          <w:color w:val="000000" w:themeColor="text1"/>
        </w:rPr>
        <w:t>“</w:t>
      </w:r>
      <w:r w:rsidRPr="003B1182">
        <w:rPr>
          <w:rFonts w:ascii="Times New Roman" w:hAnsi="Times New Roman" w:cs="Times New Roman" w:hint="eastAsia"/>
          <w:color w:val="000000" w:themeColor="text1"/>
        </w:rPr>
        <w:t>Payment Aspects of Financial Inclusion,</w:t>
      </w:r>
      <w:r w:rsidRPr="003B1182">
        <w:rPr>
          <w:rFonts w:ascii="Times New Roman" w:hAnsi="Times New Roman" w:cs="Times New Roman"/>
          <w:color w:val="000000" w:themeColor="text1"/>
        </w:rPr>
        <w:t>”</w:t>
      </w:r>
      <w:r w:rsidRPr="003B1182">
        <w:rPr>
          <w:rFonts w:ascii="Times New Roman" w:hAnsi="Times New Roman" w:cs="Times New Roman" w:hint="eastAsia"/>
          <w:color w:val="000000" w:themeColor="text1"/>
        </w:rPr>
        <w:t xml:space="preserve"> April.</w:t>
      </w:r>
    </w:p>
  </w:footnote>
  <w:footnote w:id="2">
    <w:p w:rsidR="00806201" w:rsidRPr="00806201" w:rsidRDefault="00806201">
      <w:pPr>
        <w:pStyle w:val="a8"/>
      </w:pPr>
      <w:r>
        <w:rPr>
          <w:rStyle w:val="aa"/>
        </w:rPr>
        <w:footnoteRef/>
      </w:r>
      <w:r>
        <w:t xml:space="preserve"> </w:t>
      </w:r>
      <w:r w:rsidRPr="008A5BC8">
        <w:rPr>
          <w:rFonts w:ascii="Times New Roman" w:eastAsia="標楷體" w:hAnsi="Times New Roman" w:cs="Times New Roman"/>
        </w:rPr>
        <w:t>BIS</w:t>
      </w:r>
      <w:r w:rsidR="00B21863">
        <w:rPr>
          <w:rFonts w:ascii="Times New Roman" w:eastAsia="標楷體" w:hAnsi="Times New Roman" w:cs="Times New Roman" w:hint="eastAsia"/>
        </w:rPr>
        <w:t xml:space="preserve"> (2016)</w:t>
      </w:r>
      <w:r w:rsidRPr="008A5BC8">
        <w:rPr>
          <w:rFonts w:ascii="Times New Roman" w:eastAsia="標楷體" w:hAnsi="Times New Roman" w:cs="Times New Roman"/>
        </w:rPr>
        <w:t xml:space="preserve">, “Fast Payments-Enhancing the </w:t>
      </w:r>
      <w:r w:rsidR="000C1BF1">
        <w:rPr>
          <w:rFonts w:ascii="Times New Roman" w:eastAsia="標楷體" w:hAnsi="Times New Roman" w:cs="Times New Roman" w:hint="eastAsia"/>
        </w:rPr>
        <w:t>S</w:t>
      </w:r>
      <w:r w:rsidRPr="008A5BC8">
        <w:rPr>
          <w:rFonts w:ascii="Times New Roman" w:eastAsia="標楷體" w:hAnsi="Times New Roman" w:cs="Times New Roman"/>
        </w:rPr>
        <w:t xml:space="preserve">peed and </w:t>
      </w:r>
      <w:r w:rsidR="000C1BF1">
        <w:rPr>
          <w:rFonts w:ascii="Times New Roman" w:eastAsia="標楷體" w:hAnsi="Times New Roman" w:cs="Times New Roman" w:hint="eastAsia"/>
        </w:rPr>
        <w:t>A</w:t>
      </w:r>
      <w:r w:rsidRPr="008A5BC8">
        <w:rPr>
          <w:rFonts w:ascii="Times New Roman" w:eastAsia="標楷體" w:hAnsi="Times New Roman" w:cs="Times New Roman"/>
        </w:rPr>
        <w:t>vailab</w:t>
      </w:r>
      <w:r w:rsidR="00B21863">
        <w:rPr>
          <w:rFonts w:ascii="Times New Roman" w:eastAsia="標楷體" w:hAnsi="Times New Roman" w:cs="Times New Roman"/>
        </w:rPr>
        <w:t xml:space="preserve">ility of </w:t>
      </w:r>
      <w:r w:rsidR="000C1BF1">
        <w:rPr>
          <w:rFonts w:ascii="Times New Roman" w:eastAsia="標楷體" w:hAnsi="Times New Roman" w:cs="Times New Roman" w:hint="eastAsia"/>
        </w:rPr>
        <w:t>R</w:t>
      </w:r>
      <w:r w:rsidR="00B21863">
        <w:rPr>
          <w:rFonts w:ascii="Times New Roman" w:eastAsia="標楷體" w:hAnsi="Times New Roman" w:cs="Times New Roman"/>
        </w:rPr>
        <w:t xml:space="preserve">etail </w:t>
      </w:r>
      <w:r w:rsidR="000C1BF1">
        <w:rPr>
          <w:rFonts w:ascii="Times New Roman" w:eastAsia="標楷體" w:hAnsi="Times New Roman" w:cs="Times New Roman" w:hint="eastAsia"/>
        </w:rPr>
        <w:t>P</w:t>
      </w:r>
      <w:r w:rsidR="00B21863">
        <w:rPr>
          <w:rFonts w:ascii="Times New Roman" w:eastAsia="標楷體" w:hAnsi="Times New Roman" w:cs="Times New Roman"/>
        </w:rPr>
        <w:t>ayments</w:t>
      </w:r>
      <w:r w:rsidR="00B21863">
        <w:rPr>
          <w:rFonts w:ascii="Times New Roman" w:eastAsia="標楷體" w:hAnsi="Times New Roman" w:cs="Times New Roman" w:hint="eastAsia"/>
        </w:rPr>
        <w:t>,</w:t>
      </w:r>
      <w:r w:rsidR="00B21863">
        <w:rPr>
          <w:rFonts w:ascii="Times New Roman" w:eastAsia="標楷體" w:hAnsi="Times New Roman" w:cs="Times New Roman"/>
        </w:rPr>
        <w:t>” Nov.</w:t>
      </w:r>
    </w:p>
  </w:footnote>
  <w:footnote w:id="3">
    <w:p w:rsidR="0030233E" w:rsidRPr="003B1182" w:rsidRDefault="0030233E" w:rsidP="0030233E">
      <w:pPr>
        <w:pStyle w:val="a8"/>
        <w:ind w:left="168" w:hangingChars="84" w:hanging="168"/>
        <w:jc w:val="both"/>
        <w:rPr>
          <w:color w:val="000000" w:themeColor="text1"/>
        </w:rPr>
      </w:pPr>
      <w:r w:rsidRPr="00BA0082">
        <w:rPr>
          <w:rStyle w:val="aa"/>
          <w:color w:val="C00000"/>
        </w:rPr>
        <w:footnoteRef/>
      </w:r>
      <w:r w:rsidRPr="00BA0082">
        <w:rPr>
          <w:color w:val="C00000"/>
        </w:rPr>
        <w:t xml:space="preserve"> </w:t>
      </w:r>
      <w:r w:rsidRPr="003B1182">
        <w:rPr>
          <w:rFonts w:ascii="Times New Roman" w:hAnsi="Times New Roman" w:cs="Times New Roman"/>
          <w:color w:val="000000" w:themeColor="text1"/>
        </w:rPr>
        <w:t>Bech, M, Y Shimizu and P Wong (2017)</w:t>
      </w:r>
      <w:r w:rsidRPr="003B1182">
        <w:rPr>
          <w:rFonts w:ascii="Times New Roman" w:hAnsi="Times New Roman" w:cs="Times New Roman" w:hint="eastAsia"/>
          <w:color w:val="000000" w:themeColor="text1"/>
        </w:rPr>
        <w:t>,</w:t>
      </w:r>
      <w:r w:rsidRPr="003B1182">
        <w:rPr>
          <w:rFonts w:ascii="Times New Roman" w:hAnsi="Times New Roman" w:cs="Times New Roman"/>
          <w:color w:val="000000" w:themeColor="text1"/>
        </w:rPr>
        <w:t xml:space="preserve"> “The </w:t>
      </w:r>
      <w:r w:rsidRPr="003B1182">
        <w:rPr>
          <w:rFonts w:ascii="Times New Roman" w:hAnsi="Times New Roman" w:cs="Times New Roman" w:hint="eastAsia"/>
          <w:color w:val="000000" w:themeColor="text1"/>
        </w:rPr>
        <w:t>Q</w:t>
      </w:r>
      <w:r w:rsidRPr="003B1182">
        <w:rPr>
          <w:rFonts w:ascii="Times New Roman" w:hAnsi="Times New Roman" w:cs="Times New Roman"/>
          <w:color w:val="000000" w:themeColor="text1"/>
        </w:rPr>
        <w:t xml:space="preserve">uest for </w:t>
      </w:r>
      <w:r w:rsidRPr="003B1182">
        <w:rPr>
          <w:rFonts w:ascii="Times New Roman" w:hAnsi="Times New Roman" w:cs="Times New Roman" w:hint="eastAsia"/>
          <w:color w:val="000000" w:themeColor="text1"/>
        </w:rPr>
        <w:t>S</w:t>
      </w:r>
      <w:r w:rsidRPr="003B1182">
        <w:rPr>
          <w:rFonts w:ascii="Times New Roman" w:hAnsi="Times New Roman" w:cs="Times New Roman"/>
          <w:color w:val="000000" w:themeColor="text1"/>
        </w:rPr>
        <w:t xml:space="preserve">peed in </w:t>
      </w:r>
      <w:r w:rsidRPr="003B1182">
        <w:rPr>
          <w:rFonts w:ascii="Times New Roman" w:hAnsi="Times New Roman" w:cs="Times New Roman" w:hint="eastAsia"/>
          <w:color w:val="000000" w:themeColor="text1"/>
        </w:rPr>
        <w:t>P</w:t>
      </w:r>
      <w:r w:rsidRPr="003B1182">
        <w:rPr>
          <w:rFonts w:ascii="Times New Roman" w:hAnsi="Times New Roman" w:cs="Times New Roman"/>
          <w:color w:val="000000" w:themeColor="text1"/>
        </w:rPr>
        <w:t>ayments</w:t>
      </w:r>
      <w:r w:rsidRPr="003B1182">
        <w:rPr>
          <w:rFonts w:ascii="Times New Roman" w:hAnsi="Times New Roman" w:cs="Times New Roman" w:hint="eastAsia"/>
          <w:color w:val="000000" w:themeColor="text1"/>
        </w:rPr>
        <w:t>,</w:t>
      </w:r>
      <w:r w:rsidRPr="003B1182">
        <w:rPr>
          <w:rFonts w:ascii="Times New Roman" w:hAnsi="Times New Roman" w:cs="Times New Roman"/>
          <w:color w:val="000000" w:themeColor="text1"/>
        </w:rPr>
        <w:t xml:space="preserve">” </w:t>
      </w:r>
      <w:r w:rsidRPr="003B1182">
        <w:rPr>
          <w:rFonts w:ascii="Times New Roman" w:hAnsi="Times New Roman" w:cs="Times New Roman"/>
          <w:i/>
          <w:color w:val="000000" w:themeColor="text1"/>
        </w:rPr>
        <w:t>BIS Quarterly Review</w:t>
      </w:r>
      <w:r w:rsidRPr="003B1182">
        <w:rPr>
          <w:rFonts w:ascii="Times New Roman" w:hAnsi="Times New Roman" w:cs="Times New Roman"/>
          <w:color w:val="000000" w:themeColor="text1"/>
        </w:rPr>
        <w:t xml:space="preserve">, </w:t>
      </w:r>
      <w:r w:rsidRPr="003B1182">
        <w:rPr>
          <w:rFonts w:ascii="Times New Roman" w:hAnsi="Times New Roman" w:cs="Times New Roman" w:hint="eastAsia"/>
          <w:color w:val="000000" w:themeColor="text1"/>
        </w:rPr>
        <w:t>M</w:t>
      </w:r>
      <w:r w:rsidRPr="003B1182">
        <w:rPr>
          <w:rFonts w:ascii="Times New Roman" w:hAnsi="Times New Roman" w:cs="Times New Roman"/>
          <w:color w:val="000000" w:themeColor="text1"/>
        </w:rPr>
        <w:t>ar</w:t>
      </w:r>
      <w:r w:rsidRPr="003B1182">
        <w:rPr>
          <w:rFonts w:ascii="Times New Roman" w:hAnsi="Times New Roman" w:cs="Times New Roman" w:hint="eastAsia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6AE"/>
    <w:multiLevelType w:val="hybridMultilevel"/>
    <w:tmpl w:val="C2863636"/>
    <w:lvl w:ilvl="0" w:tplc="B16E54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396512F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75EB0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785B88"/>
    <w:multiLevelType w:val="hybridMultilevel"/>
    <w:tmpl w:val="D02CC026"/>
    <w:lvl w:ilvl="0" w:tplc="03D8D01E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eastAsia="標楷體" w:hAnsi="Times New Roman" w:cs="Times New Roman" w:hint="default"/>
        <w:b/>
        <w:sz w:val="28"/>
      </w:rPr>
    </w:lvl>
    <w:lvl w:ilvl="1" w:tplc="91EC72B0">
      <w:start w:val="1"/>
      <w:numFmt w:val="decimal"/>
      <w:lvlText w:val="%2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A841C30"/>
    <w:multiLevelType w:val="hybridMultilevel"/>
    <w:tmpl w:val="1B0CEF88"/>
    <w:lvl w:ilvl="0" w:tplc="A4421AF4">
      <w:start w:val="1"/>
      <w:numFmt w:val="bullet"/>
      <w:lvlText w:val="•"/>
      <w:lvlJc w:val="left"/>
      <w:pPr>
        <w:ind w:left="154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80"/>
      </w:pPr>
      <w:rPr>
        <w:rFonts w:ascii="Wingdings" w:hAnsi="Wingdings" w:hint="default"/>
      </w:rPr>
    </w:lvl>
    <w:lvl w:ilvl="2" w:tplc="A4421AF4">
      <w:start w:val="1"/>
      <w:numFmt w:val="bullet"/>
      <w:lvlText w:val="•"/>
      <w:lvlJc w:val="left"/>
      <w:pPr>
        <w:ind w:left="2504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29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4" w:hanging="480"/>
      </w:pPr>
      <w:rPr>
        <w:rFonts w:ascii="Wingdings" w:hAnsi="Wingdings" w:hint="default"/>
      </w:rPr>
    </w:lvl>
  </w:abstractNum>
  <w:abstractNum w:abstractNumId="5">
    <w:nsid w:val="0F630282"/>
    <w:multiLevelType w:val="hybridMultilevel"/>
    <w:tmpl w:val="C31A6EA6"/>
    <w:lvl w:ilvl="0" w:tplc="0C601A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4A60C5CE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color w:val="000000" w:themeColor="text1"/>
      </w:rPr>
    </w:lvl>
    <w:lvl w:ilvl="2" w:tplc="E79C0DB6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F30F77"/>
    <w:multiLevelType w:val="hybridMultilevel"/>
    <w:tmpl w:val="084A56CC"/>
    <w:lvl w:ilvl="0" w:tplc="B16E54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0B14C2D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DC7A39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39C0"/>
    <w:multiLevelType w:val="hybridMultilevel"/>
    <w:tmpl w:val="DCDC9ADC"/>
    <w:lvl w:ilvl="0" w:tplc="923CAE9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D41CB156">
      <w:start w:val="1"/>
      <w:numFmt w:val="decimal"/>
      <w:lvlText w:val="%2."/>
      <w:lvlJc w:val="left"/>
      <w:pPr>
        <w:ind w:left="1048" w:hanging="480"/>
      </w:pPr>
      <w:rPr>
        <w:rFonts w:ascii="Times New Roman" w:hAnsi="Times New Roman" w:cs="Times New Roman" w:hint="default"/>
        <w:sz w:val="28"/>
      </w:rPr>
    </w:lvl>
    <w:lvl w:ilvl="2" w:tplc="BCFA328C">
      <w:start w:val="1"/>
      <w:numFmt w:val="decimal"/>
      <w:lvlText w:val="%3、"/>
      <w:lvlJc w:val="left"/>
      <w:pPr>
        <w:ind w:left="1680" w:hanging="720"/>
      </w:pPr>
      <w:rPr>
        <w:rFonts w:ascii="標楷體" w:eastAsia="標楷體" w:hAnsi="標楷體" w:hint="default"/>
        <w:b w:val="0"/>
      </w:rPr>
    </w:lvl>
    <w:lvl w:ilvl="3" w:tplc="5EE84B54">
      <w:start w:val="1"/>
      <w:numFmt w:val="decimal"/>
      <w:lvlText w:val="(%4)"/>
      <w:lvlJc w:val="left"/>
      <w:pPr>
        <w:ind w:left="1872" w:hanging="432"/>
      </w:pPr>
      <w:rPr>
        <w:rFonts w:ascii="Times New Roman" w:eastAsia="標楷體" w:hAnsi="Times New Roman"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AD1300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AC2F53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1A1946"/>
    <w:multiLevelType w:val="multilevel"/>
    <w:tmpl w:val="8BD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35979"/>
    <w:multiLevelType w:val="hybridMultilevel"/>
    <w:tmpl w:val="A18E48D4"/>
    <w:lvl w:ilvl="0" w:tplc="796A58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437312"/>
    <w:multiLevelType w:val="hybridMultilevel"/>
    <w:tmpl w:val="A18E48D4"/>
    <w:lvl w:ilvl="0" w:tplc="796A58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2D3471"/>
    <w:multiLevelType w:val="hybridMultilevel"/>
    <w:tmpl w:val="474232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1821D8D"/>
    <w:multiLevelType w:val="hybridMultilevel"/>
    <w:tmpl w:val="5922CAE8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C248D3F2">
      <w:numFmt w:val="bullet"/>
      <w:lvlText w:val="•"/>
      <w:lvlJc w:val="left"/>
      <w:pPr>
        <w:ind w:left="1340" w:hanging="38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1D4222"/>
    <w:multiLevelType w:val="hybridMultilevel"/>
    <w:tmpl w:val="9B7099B2"/>
    <w:lvl w:ilvl="0" w:tplc="B1C8B826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effect w:val="none"/>
        <w:vertAlign w:val="baseline"/>
        <w:em w:val="none"/>
        <w:lang w:val="en-US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>
    <w:nsid w:val="58C83379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A2546E"/>
    <w:multiLevelType w:val="hybridMultilevel"/>
    <w:tmpl w:val="9314F8DA"/>
    <w:lvl w:ilvl="0" w:tplc="4B3471F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D005F2"/>
    <w:multiLevelType w:val="hybridMultilevel"/>
    <w:tmpl w:val="7B642712"/>
    <w:lvl w:ilvl="0" w:tplc="64023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2AC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76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AC2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90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734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E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BE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B5C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640B3985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F00B71"/>
    <w:multiLevelType w:val="hybridMultilevel"/>
    <w:tmpl w:val="022CAEF4"/>
    <w:lvl w:ilvl="0" w:tplc="4A60C5C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796A58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492DB4"/>
    <w:multiLevelType w:val="hybridMultilevel"/>
    <w:tmpl w:val="34BA2D32"/>
    <w:lvl w:ilvl="0" w:tplc="5EE84B54">
      <w:start w:val="1"/>
      <w:numFmt w:val="decimal"/>
      <w:lvlText w:val="(%1)"/>
      <w:lvlJc w:val="left"/>
      <w:pPr>
        <w:ind w:left="984" w:hanging="36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>
      <w:start w:val="1"/>
      <w:numFmt w:val="lowerRoman"/>
      <w:lvlText w:val="%3."/>
      <w:lvlJc w:val="right"/>
      <w:pPr>
        <w:ind w:left="2064" w:hanging="480"/>
      </w:pPr>
    </w:lvl>
    <w:lvl w:ilvl="3" w:tplc="0409000F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>
    <w:nsid w:val="723231F0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BF03F2"/>
    <w:multiLevelType w:val="hybridMultilevel"/>
    <w:tmpl w:val="4E4E7F16"/>
    <w:lvl w:ilvl="0" w:tplc="D7FA0B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4B3471F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EC7E85"/>
    <w:multiLevelType w:val="hybridMultilevel"/>
    <w:tmpl w:val="F208B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CC42F04"/>
    <w:multiLevelType w:val="hybridMultilevel"/>
    <w:tmpl w:val="95684192"/>
    <w:lvl w:ilvl="0" w:tplc="D4E4DE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16"/>
  </w:num>
  <w:num w:numId="4">
    <w:abstractNumId w:val="23"/>
  </w:num>
  <w:num w:numId="5">
    <w:abstractNumId w:val="7"/>
  </w:num>
  <w:num w:numId="6">
    <w:abstractNumId w:val="24"/>
  </w:num>
  <w:num w:numId="7">
    <w:abstractNumId w:val="20"/>
  </w:num>
  <w:num w:numId="8">
    <w:abstractNumId w:val="4"/>
  </w:num>
  <w:num w:numId="9">
    <w:abstractNumId w:val="21"/>
  </w:num>
  <w:num w:numId="10">
    <w:abstractNumId w:val="2"/>
  </w:num>
  <w:num w:numId="11">
    <w:abstractNumId w:val="25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2"/>
  </w:num>
  <w:num w:numId="17">
    <w:abstractNumId w:val="17"/>
  </w:num>
  <w:num w:numId="18">
    <w:abstractNumId w:val="22"/>
  </w:num>
  <w:num w:numId="19">
    <w:abstractNumId w:val="5"/>
  </w:num>
  <w:num w:numId="20">
    <w:abstractNumId w:val="10"/>
  </w:num>
  <w:num w:numId="21">
    <w:abstractNumId w:val="15"/>
  </w:num>
  <w:num w:numId="22">
    <w:abstractNumId w:val="13"/>
  </w:num>
  <w:num w:numId="23">
    <w:abstractNumId w:val="14"/>
  </w:num>
  <w:num w:numId="24">
    <w:abstractNumId w:val="18"/>
  </w:num>
  <w:num w:numId="25">
    <w:abstractNumId w:val="11"/>
  </w:num>
  <w:num w:numId="26">
    <w:abstractNumId w:val="8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A"/>
    <w:rsid w:val="00006025"/>
    <w:rsid w:val="00006C84"/>
    <w:rsid w:val="00024B6E"/>
    <w:rsid w:val="00026887"/>
    <w:rsid w:val="00032236"/>
    <w:rsid w:val="000370C1"/>
    <w:rsid w:val="00040EF8"/>
    <w:rsid w:val="00044A2C"/>
    <w:rsid w:val="00045CFB"/>
    <w:rsid w:val="00047222"/>
    <w:rsid w:val="000475D2"/>
    <w:rsid w:val="000531F8"/>
    <w:rsid w:val="000557C1"/>
    <w:rsid w:val="00063CE2"/>
    <w:rsid w:val="00072051"/>
    <w:rsid w:val="00086649"/>
    <w:rsid w:val="000933E5"/>
    <w:rsid w:val="000B213B"/>
    <w:rsid w:val="000C1BF1"/>
    <w:rsid w:val="000D1279"/>
    <w:rsid w:val="000D41CB"/>
    <w:rsid w:val="000D49B0"/>
    <w:rsid w:val="000E0FDD"/>
    <w:rsid w:val="000E4F09"/>
    <w:rsid w:val="000F5266"/>
    <w:rsid w:val="000F741B"/>
    <w:rsid w:val="00106CF2"/>
    <w:rsid w:val="00111A13"/>
    <w:rsid w:val="00122457"/>
    <w:rsid w:val="00124231"/>
    <w:rsid w:val="0012423D"/>
    <w:rsid w:val="00125CFC"/>
    <w:rsid w:val="001439C6"/>
    <w:rsid w:val="00145AF7"/>
    <w:rsid w:val="00146CCB"/>
    <w:rsid w:val="001579E4"/>
    <w:rsid w:val="00161CF6"/>
    <w:rsid w:val="00163CF7"/>
    <w:rsid w:val="00164DB5"/>
    <w:rsid w:val="00170420"/>
    <w:rsid w:val="00170F40"/>
    <w:rsid w:val="00176A0E"/>
    <w:rsid w:val="00190943"/>
    <w:rsid w:val="0019630B"/>
    <w:rsid w:val="00197B21"/>
    <w:rsid w:val="001A0645"/>
    <w:rsid w:val="001A65D7"/>
    <w:rsid w:val="001B0ADE"/>
    <w:rsid w:val="001B5611"/>
    <w:rsid w:val="001C0CF9"/>
    <w:rsid w:val="001C4D0A"/>
    <w:rsid w:val="001D1DCC"/>
    <w:rsid w:val="001D3473"/>
    <w:rsid w:val="001D5DE5"/>
    <w:rsid w:val="001D60A8"/>
    <w:rsid w:val="001E1ED0"/>
    <w:rsid w:val="001E7485"/>
    <w:rsid w:val="001F73BF"/>
    <w:rsid w:val="00201285"/>
    <w:rsid w:val="002053A2"/>
    <w:rsid w:val="002175E1"/>
    <w:rsid w:val="00226558"/>
    <w:rsid w:val="00230BBE"/>
    <w:rsid w:val="00234E2B"/>
    <w:rsid w:val="0026048F"/>
    <w:rsid w:val="00264303"/>
    <w:rsid w:val="00276C5B"/>
    <w:rsid w:val="00282690"/>
    <w:rsid w:val="0029368E"/>
    <w:rsid w:val="002968A8"/>
    <w:rsid w:val="002B0DC6"/>
    <w:rsid w:val="002B51A3"/>
    <w:rsid w:val="002B5530"/>
    <w:rsid w:val="002C1F3E"/>
    <w:rsid w:val="002C31A9"/>
    <w:rsid w:val="002C6193"/>
    <w:rsid w:val="002C6FE8"/>
    <w:rsid w:val="002D0BAD"/>
    <w:rsid w:val="002D1FCF"/>
    <w:rsid w:val="002D481F"/>
    <w:rsid w:val="002D50BB"/>
    <w:rsid w:val="0030233E"/>
    <w:rsid w:val="00310F13"/>
    <w:rsid w:val="00311590"/>
    <w:rsid w:val="00313E14"/>
    <w:rsid w:val="00316028"/>
    <w:rsid w:val="00320EDD"/>
    <w:rsid w:val="00322F9D"/>
    <w:rsid w:val="0032318B"/>
    <w:rsid w:val="00326247"/>
    <w:rsid w:val="0033403B"/>
    <w:rsid w:val="00340815"/>
    <w:rsid w:val="00345A30"/>
    <w:rsid w:val="00352231"/>
    <w:rsid w:val="00354551"/>
    <w:rsid w:val="00362DEE"/>
    <w:rsid w:val="00367B6E"/>
    <w:rsid w:val="003707CD"/>
    <w:rsid w:val="00385A1D"/>
    <w:rsid w:val="00394538"/>
    <w:rsid w:val="003A2418"/>
    <w:rsid w:val="003A4FCF"/>
    <w:rsid w:val="003B1182"/>
    <w:rsid w:val="003B3452"/>
    <w:rsid w:val="003B3C13"/>
    <w:rsid w:val="003B4846"/>
    <w:rsid w:val="003C1CB4"/>
    <w:rsid w:val="003C63FA"/>
    <w:rsid w:val="003D6F2F"/>
    <w:rsid w:val="003E2B83"/>
    <w:rsid w:val="003F0646"/>
    <w:rsid w:val="00401D10"/>
    <w:rsid w:val="00404F17"/>
    <w:rsid w:val="004138A6"/>
    <w:rsid w:val="00415585"/>
    <w:rsid w:val="00421F0E"/>
    <w:rsid w:val="00423FB7"/>
    <w:rsid w:val="004266D8"/>
    <w:rsid w:val="004377EE"/>
    <w:rsid w:val="00441A6E"/>
    <w:rsid w:val="00446BB8"/>
    <w:rsid w:val="00462EB2"/>
    <w:rsid w:val="004705F3"/>
    <w:rsid w:val="004726C1"/>
    <w:rsid w:val="0049357D"/>
    <w:rsid w:val="004A3AEC"/>
    <w:rsid w:val="004B24F3"/>
    <w:rsid w:val="004B599C"/>
    <w:rsid w:val="004B5CDA"/>
    <w:rsid w:val="004C22F4"/>
    <w:rsid w:val="004D05FA"/>
    <w:rsid w:val="004D12D1"/>
    <w:rsid w:val="004D4FE5"/>
    <w:rsid w:val="004D5E4D"/>
    <w:rsid w:val="004E7460"/>
    <w:rsid w:val="004F3DBE"/>
    <w:rsid w:val="004F7A01"/>
    <w:rsid w:val="00503BB8"/>
    <w:rsid w:val="00505FB2"/>
    <w:rsid w:val="0050660B"/>
    <w:rsid w:val="00513FFD"/>
    <w:rsid w:val="0052031F"/>
    <w:rsid w:val="005319E3"/>
    <w:rsid w:val="00533B47"/>
    <w:rsid w:val="00541F0F"/>
    <w:rsid w:val="005467EA"/>
    <w:rsid w:val="00547ED0"/>
    <w:rsid w:val="00553383"/>
    <w:rsid w:val="00563A8A"/>
    <w:rsid w:val="005677E9"/>
    <w:rsid w:val="0058087B"/>
    <w:rsid w:val="00583854"/>
    <w:rsid w:val="00584B8A"/>
    <w:rsid w:val="00595831"/>
    <w:rsid w:val="00597FD2"/>
    <w:rsid w:val="005A6E05"/>
    <w:rsid w:val="005C14F2"/>
    <w:rsid w:val="005C4FA1"/>
    <w:rsid w:val="005D490A"/>
    <w:rsid w:val="005D725C"/>
    <w:rsid w:val="005D727E"/>
    <w:rsid w:val="005E11FB"/>
    <w:rsid w:val="005E37EF"/>
    <w:rsid w:val="005E7D6F"/>
    <w:rsid w:val="005F29A0"/>
    <w:rsid w:val="005F2AB3"/>
    <w:rsid w:val="005F3DD9"/>
    <w:rsid w:val="005F791F"/>
    <w:rsid w:val="006004E4"/>
    <w:rsid w:val="00603197"/>
    <w:rsid w:val="00611CE1"/>
    <w:rsid w:val="00620A8A"/>
    <w:rsid w:val="006238F5"/>
    <w:rsid w:val="006278E9"/>
    <w:rsid w:val="00642215"/>
    <w:rsid w:val="00646331"/>
    <w:rsid w:val="00652D3A"/>
    <w:rsid w:val="00657AD5"/>
    <w:rsid w:val="00663B86"/>
    <w:rsid w:val="006654F5"/>
    <w:rsid w:val="006670E0"/>
    <w:rsid w:val="006738ED"/>
    <w:rsid w:val="00685FC1"/>
    <w:rsid w:val="00687602"/>
    <w:rsid w:val="00695207"/>
    <w:rsid w:val="006B1CA6"/>
    <w:rsid w:val="006B4CD5"/>
    <w:rsid w:val="006D1924"/>
    <w:rsid w:val="006D378B"/>
    <w:rsid w:val="006D57AF"/>
    <w:rsid w:val="006D5FFD"/>
    <w:rsid w:val="006D7048"/>
    <w:rsid w:val="006E1B52"/>
    <w:rsid w:val="006F4441"/>
    <w:rsid w:val="007000B6"/>
    <w:rsid w:val="007015E1"/>
    <w:rsid w:val="00707424"/>
    <w:rsid w:val="00714A49"/>
    <w:rsid w:val="007166FE"/>
    <w:rsid w:val="007250AE"/>
    <w:rsid w:val="00731AB5"/>
    <w:rsid w:val="00731DBB"/>
    <w:rsid w:val="007343F7"/>
    <w:rsid w:val="00746A1F"/>
    <w:rsid w:val="007545F8"/>
    <w:rsid w:val="0076189F"/>
    <w:rsid w:val="00763A54"/>
    <w:rsid w:val="00770F55"/>
    <w:rsid w:val="007732DD"/>
    <w:rsid w:val="00774866"/>
    <w:rsid w:val="0077520F"/>
    <w:rsid w:val="007771A4"/>
    <w:rsid w:val="00783D3D"/>
    <w:rsid w:val="007876B4"/>
    <w:rsid w:val="00790213"/>
    <w:rsid w:val="00794CAB"/>
    <w:rsid w:val="007A739E"/>
    <w:rsid w:val="007B4AF4"/>
    <w:rsid w:val="007D03BB"/>
    <w:rsid w:val="007D26E6"/>
    <w:rsid w:val="007D47A3"/>
    <w:rsid w:val="007D5FB4"/>
    <w:rsid w:val="007E4A17"/>
    <w:rsid w:val="007E4B79"/>
    <w:rsid w:val="007F1150"/>
    <w:rsid w:val="007F36E1"/>
    <w:rsid w:val="007F537D"/>
    <w:rsid w:val="007F7FA4"/>
    <w:rsid w:val="00805AB8"/>
    <w:rsid w:val="00806201"/>
    <w:rsid w:val="0080798B"/>
    <w:rsid w:val="00807BF8"/>
    <w:rsid w:val="00817CC5"/>
    <w:rsid w:val="00821870"/>
    <w:rsid w:val="008235E2"/>
    <w:rsid w:val="008316F0"/>
    <w:rsid w:val="00841854"/>
    <w:rsid w:val="00855284"/>
    <w:rsid w:val="008628BD"/>
    <w:rsid w:val="00871404"/>
    <w:rsid w:val="0087203B"/>
    <w:rsid w:val="008754F9"/>
    <w:rsid w:val="00880CAB"/>
    <w:rsid w:val="00881F29"/>
    <w:rsid w:val="0089146E"/>
    <w:rsid w:val="008917F4"/>
    <w:rsid w:val="00897169"/>
    <w:rsid w:val="00897ED2"/>
    <w:rsid w:val="008A4159"/>
    <w:rsid w:val="008B1FE9"/>
    <w:rsid w:val="008B6304"/>
    <w:rsid w:val="008C1344"/>
    <w:rsid w:val="008C42D2"/>
    <w:rsid w:val="008E0719"/>
    <w:rsid w:val="008E4B48"/>
    <w:rsid w:val="008F4D43"/>
    <w:rsid w:val="00904491"/>
    <w:rsid w:val="009069A5"/>
    <w:rsid w:val="00911C5E"/>
    <w:rsid w:val="00916017"/>
    <w:rsid w:val="00916720"/>
    <w:rsid w:val="00916AC4"/>
    <w:rsid w:val="00916B37"/>
    <w:rsid w:val="00917451"/>
    <w:rsid w:val="0092038E"/>
    <w:rsid w:val="009216D2"/>
    <w:rsid w:val="00932B31"/>
    <w:rsid w:val="00941D5D"/>
    <w:rsid w:val="00946833"/>
    <w:rsid w:val="00946C0D"/>
    <w:rsid w:val="0095227D"/>
    <w:rsid w:val="00952FC9"/>
    <w:rsid w:val="00961414"/>
    <w:rsid w:val="00964CFE"/>
    <w:rsid w:val="0096597F"/>
    <w:rsid w:val="00965CC0"/>
    <w:rsid w:val="00966970"/>
    <w:rsid w:val="009729DE"/>
    <w:rsid w:val="00976306"/>
    <w:rsid w:val="00977658"/>
    <w:rsid w:val="00977E61"/>
    <w:rsid w:val="009848EE"/>
    <w:rsid w:val="0098588B"/>
    <w:rsid w:val="00986E21"/>
    <w:rsid w:val="009A569C"/>
    <w:rsid w:val="009B47D8"/>
    <w:rsid w:val="009B6282"/>
    <w:rsid w:val="009C0FE0"/>
    <w:rsid w:val="009C2437"/>
    <w:rsid w:val="009C294D"/>
    <w:rsid w:val="009D2B91"/>
    <w:rsid w:val="009E007F"/>
    <w:rsid w:val="009F4929"/>
    <w:rsid w:val="00A00870"/>
    <w:rsid w:val="00A00DBB"/>
    <w:rsid w:val="00A01513"/>
    <w:rsid w:val="00A04F42"/>
    <w:rsid w:val="00A0542E"/>
    <w:rsid w:val="00A05697"/>
    <w:rsid w:val="00A06EB4"/>
    <w:rsid w:val="00A3623B"/>
    <w:rsid w:val="00A36ADB"/>
    <w:rsid w:val="00A37D5B"/>
    <w:rsid w:val="00A40A2F"/>
    <w:rsid w:val="00A40DC4"/>
    <w:rsid w:val="00A46015"/>
    <w:rsid w:val="00A51AE6"/>
    <w:rsid w:val="00A56267"/>
    <w:rsid w:val="00A56F81"/>
    <w:rsid w:val="00A579A5"/>
    <w:rsid w:val="00A72292"/>
    <w:rsid w:val="00A8141A"/>
    <w:rsid w:val="00A83501"/>
    <w:rsid w:val="00A841F3"/>
    <w:rsid w:val="00A90846"/>
    <w:rsid w:val="00A96315"/>
    <w:rsid w:val="00AA2856"/>
    <w:rsid w:val="00AB2ACB"/>
    <w:rsid w:val="00AB6296"/>
    <w:rsid w:val="00AC585C"/>
    <w:rsid w:val="00AC74FF"/>
    <w:rsid w:val="00AD3992"/>
    <w:rsid w:val="00AD3E94"/>
    <w:rsid w:val="00AE06D6"/>
    <w:rsid w:val="00AE2037"/>
    <w:rsid w:val="00AE5ECB"/>
    <w:rsid w:val="00AE6BFC"/>
    <w:rsid w:val="00AE7C9B"/>
    <w:rsid w:val="00B13810"/>
    <w:rsid w:val="00B21863"/>
    <w:rsid w:val="00B223D7"/>
    <w:rsid w:val="00B318D1"/>
    <w:rsid w:val="00B32FAB"/>
    <w:rsid w:val="00B33ECC"/>
    <w:rsid w:val="00B352E0"/>
    <w:rsid w:val="00B37109"/>
    <w:rsid w:val="00B428D1"/>
    <w:rsid w:val="00B44432"/>
    <w:rsid w:val="00B619F6"/>
    <w:rsid w:val="00B61BDC"/>
    <w:rsid w:val="00B63529"/>
    <w:rsid w:val="00B67E6F"/>
    <w:rsid w:val="00B72AA3"/>
    <w:rsid w:val="00B73318"/>
    <w:rsid w:val="00B77BED"/>
    <w:rsid w:val="00B86ED8"/>
    <w:rsid w:val="00B9418A"/>
    <w:rsid w:val="00B972DE"/>
    <w:rsid w:val="00BA0082"/>
    <w:rsid w:val="00BA2142"/>
    <w:rsid w:val="00BA2742"/>
    <w:rsid w:val="00BB0C40"/>
    <w:rsid w:val="00BB206E"/>
    <w:rsid w:val="00BB23F3"/>
    <w:rsid w:val="00BB2F4D"/>
    <w:rsid w:val="00BB5DC1"/>
    <w:rsid w:val="00BC54A4"/>
    <w:rsid w:val="00BC57A0"/>
    <w:rsid w:val="00BF3C8D"/>
    <w:rsid w:val="00BF494C"/>
    <w:rsid w:val="00BF556D"/>
    <w:rsid w:val="00C05591"/>
    <w:rsid w:val="00C06352"/>
    <w:rsid w:val="00C07A27"/>
    <w:rsid w:val="00C118BC"/>
    <w:rsid w:val="00C11B19"/>
    <w:rsid w:val="00C149F1"/>
    <w:rsid w:val="00C14C80"/>
    <w:rsid w:val="00C21679"/>
    <w:rsid w:val="00C217F3"/>
    <w:rsid w:val="00C27A3F"/>
    <w:rsid w:val="00C30B39"/>
    <w:rsid w:val="00C367E2"/>
    <w:rsid w:val="00C41714"/>
    <w:rsid w:val="00C507A9"/>
    <w:rsid w:val="00C54DEF"/>
    <w:rsid w:val="00C56A63"/>
    <w:rsid w:val="00C57109"/>
    <w:rsid w:val="00C57854"/>
    <w:rsid w:val="00C63508"/>
    <w:rsid w:val="00C64FE2"/>
    <w:rsid w:val="00C7223D"/>
    <w:rsid w:val="00C90A2E"/>
    <w:rsid w:val="00C937F2"/>
    <w:rsid w:val="00CA4E0F"/>
    <w:rsid w:val="00CA6364"/>
    <w:rsid w:val="00CB4517"/>
    <w:rsid w:val="00CD7AB9"/>
    <w:rsid w:val="00CE495C"/>
    <w:rsid w:val="00CF75AE"/>
    <w:rsid w:val="00D03B68"/>
    <w:rsid w:val="00D073A1"/>
    <w:rsid w:val="00D07709"/>
    <w:rsid w:val="00D10A85"/>
    <w:rsid w:val="00D33803"/>
    <w:rsid w:val="00D3735D"/>
    <w:rsid w:val="00D553A3"/>
    <w:rsid w:val="00D55AFF"/>
    <w:rsid w:val="00D55BF2"/>
    <w:rsid w:val="00D6126D"/>
    <w:rsid w:val="00D63CC4"/>
    <w:rsid w:val="00D646EF"/>
    <w:rsid w:val="00D65CD9"/>
    <w:rsid w:val="00D70E6B"/>
    <w:rsid w:val="00D75628"/>
    <w:rsid w:val="00D77A7F"/>
    <w:rsid w:val="00D82220"/>
    <w:rsid w:val="00D8483F"/>
    <w:rsid w:val="00DA5B51"/>
    <w:rsid w:val="00DA6B8C"/>
    <w:rsid w:val="00DB6749"/>
    <w:rsid w:val="00DC4994"/>
    <w:rsid w:val="00DC6783"/>
    <w:rsid w:val="00DC7C36"/>
    <w:rsid w:val="00DE5B07"/>
    <w:rsid w:val="00DF077D"/>
    <w:rsid w:val="00DF2233"/>
    <w:rsid w:val="00E002E2"/>
    <w:rsid w:val="00E00F41"/>
    <w:rsid w:val="00E039FD"/>
    <w:rsid w:val="00E05DD6"/>
    <w:rsid w:val="00E10E64"/>
    <w:rsid w:val="00E20A4B"/>
    <w:rsid w:val="00E23AC1"/>
    <w:rsid w:val="00E24A22"/>
    <w:rsid w:val="00E33ABB"/>
    <w:rsid w:val="00E37029"/>
    <w:rsid w:val="00E46C15"/>
    <w:rsid w:val="00E53C28"/>
    <w:rsid w:val="00E60855"/>
    <w:rsid w:val="00E63A4A"/>
    <w:rsid w:val="00E653B5"/>
    <w:rsid w:val="00E669B0"/>
    <w:rsid w:val="00E71DFC"/>
    <w:rsid w:val="00E730EB"/>
    <w:rsid w:val="00E74C98"/>
    <w:rsid w:val="00E74EAA"/>
    <w:rsid w:val="00E761C3"/>
    <w:rsid w:val="00E828FA"/>
    <w:rsid w:val="00E8571D"/>
    <w:rsid w:val="00E87BA9"/>
    <w:rsid w:val="00E97D9E"/>
    <w:rsid w:val="00EA0B3A"/>
    <w:rsid w:val="00EA177D"/>
    <w:rsid w:val="00EA79AD"/>
    <w:rsid w:val="00EC1733"/>
    <w:rsid w:val="00EC1E94"/>
    <w:rsid w:val="00EC4249"/>
    <w:rsid w:val="00EC63D7"/>
    <w:rsid w:val="00EC6C1A"/>
    <w:rsid w:val="00ED5E70"/>
    <w:rsid w:val="00ED6FA1"/>
    <w:rsid w:val="00EE3FBA"/>
    <w:rsid w:val="00EF0384"/>
    <w:rsid w:val="00EF59D7"/>
    <w:rsid w:val="00F01588"/>
    <w:rsid w:val="00F05007"/>
    <w:rsid w:val="00F06ACA"/>
    <w:rsid w:val="00F12684"/>
    <w:rsid w:val="00F1280C"/>
    <w:rsid w:val="00F32111"/>
    <w:rsid w:val="00F35DD3"/>
    <w:rsid w:val="00F373C0"/>
    <w:rsid w:val="00F40401"/>
    <w:rsid w:val="00F42341"/>
    <w:rsid w:val="00F4515B"/>
    <w:rsid w:val="00F4536C"/>
    <w:rsid w:val="00F52A37"/>
    <w:rsid w:val="00F53A6D"/>
    <w:rsid w:val="00F62B6D"/>
    <w:rsid w:val="00F62EA2"/>
    <w:rsid w:val="00F6320F"/>
    <w:rsid w:val="00F708C2"/>
    <w:rsid w:val="00F8747F"/>
    <w:rsid w:val="00F95CB8"/>
    <w:rsid w:val="00FB3BBE"/>
    <w:rsid w:val="00FB4263"/>
    <w:rsid w:val="00FB4655"/>
    <w:rsid w:val="00FB4BF4"/>
    <w:rsid w:val="00FB5639"/>
    <w:rsid w:val="00FE3216"/>
    <w:rsid w:val="00FE46FE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F17"/>
    <w:rPr>
      <w:sz w:val="20"/>
      <w:szCs w:val="20"/>
    </w:rPr>
  </w:style>
  <w:style w:type="paragraph" w:styleId="a8">
    <w:name w:val="footnote text"/>
    <w:aliases w:val="Report_note"/>
    <w:basedOn w:val="a"/>
    <w:link w:val="a9"/>
    <w:uiPriority w:val="99"/>
    <w:unhideWhenUsed/>
    <w:qFormat/>
    <w:rsid w:val="00EC1E94"/>
    <w:pPr>
      <w:snapToGrid w:val="0"/>
    </w:pPr>
    <w:rPr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uiPriority w:val="99"/>
    <w:qFormat/>
    <w:rsid w:val="00EC1E94"/>
    <w:rPr>
      <w:sz w:val="20"/>
      <w:szCs w:val="20"/>
    </w:rPr>
  </w:style>
  <w:style w:type="character" w:styleId="aa">
    <w:name w:val="footnote reference"/>
    <w:uiPriority w:val="99"/>
    <w:qFormat/>
    <w:rsid w:val="00EC1E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1704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F17"/>
    <w:rPr>
      <w:sz w:val="20"/>
      <w:szCs w:val="20"/>
    </w:rPr>
  </w:style>
  <w:style w:type="paragraph" w:styleId="a8">
    <w:name w:val="footnote text"/>
    <w:aliases w:val="Report_note"/>
    <w:basedOn w:val="a"/>
    <w:link w:val="a9"/>
    <w:uiPriority w:val="99"/>
    <w:unhideWhenUsed/>
    <w:qFormat/>
    <w:rsid w:val="00EC1E94"/>
    <w:pPr>
      <w:snapToGrid w:val="0"/>
    </w:pPr>
    <w:rPr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uiPriority w:val="99"/>
    <w:qFormat/>
    <w:rsid w:val="00EC1E94"/>
    <w:rPr>
      <w:sz w:val="20"/>
      <w:szCs w:val="20"/>
    </w:rPr>
  </w:style>
  <w:style w:type="character" w:styleId="aa">
    <w:name w:val="footnote reference"/>
    <w:uiPriority w:val="99"/>
    <w:qFormat/>
    <w:rsid w:val="00EC1E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1F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170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3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F53D-F12F-4DB9-B471-72FC43CE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564</Words>
  <Characters>3219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陳勝傑</cp:lastModifiedBy>
  <cp:revision>23</cp:revision>
  <cp:lastPrinted>2018-11-19T01:45:00Z</cp:lastPrinted>
  <dcterms:created xsi:type="dcterms:W3CDTF">2018-11-18T07:27:00Z</dcterms:created>
  <dcterms:modified xsi:type="dcterms:W3CDTF">2018-11-19T05:41:00Z</dcterms:modified>
</cp:coreProperties>
</file>