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tabs>
          <w:tab w:val="left" w:pos="8609"/>
        </w:tabs>
        <w:spacing w:before="100" w:line="640" w:lineRule="exact"/>
        <w:ind w:leftChars="21" w:left="42" w:rightChars="196" w:right="392"/>
        <w:jc w:val="both"/>
        <w:textDirection w:val="lrTbV"/>
        <w:rPr>
          <w:rFonts w:eastAsia="標楷體"/>
          <w:b/>
          <w:spacing w:val="-24"/>
          <w:sz w:val="34"/>
          <w:szCs w:val="34"/>
        </w:rPr>
      </w:pPr>
    </w:p>
    <w:p w:rsidR="00C82C46" w:rsidRDefault="00C82C46" w:rsidP="00D052FE">
      <w:pPr>
        <w:spacing w:before="100" w:line="640" w:lineRule="exact"/>
        <w:ind w:leftChars="252" w:left="504" w:rightChars="231" w:right="462"/>
        <w:jc w:val="both"/>
        <w:textDirection w:val="lrTbV"/>
        <w:rPr>
          <w:rFonts w:eastAsia="標楷體"/>
          <w:b/>
          <w:spacing w:val="-24"/>
          <w:sz w:val="34"/>
          <w:szCs w:val="34"/>
        </w:rPr>
      </w:pPr>
    </w:p>
    <w:p w:rsidR="00C82C46" w:rsidRDefault="00C82C46" w:rsidP="00D052FE">
      <w:pPr>
        <w:pBdr>
          <w:top w:val="single" w:sz="48" w:space="1" w:color="auto"/>
          <w:bottom w:val="single" w:sz="48" w:space="1" w:color="auto"/>
        </w:pBdr>
        <w:spacing w:before="100" w:line="200" w:lineRule="exact"/>
        <w:ind w:leftChars="252" w:left="504" w:rightChars="231" w:right="462"/>
        <w:jc w:val="both"/>
        <w:textDirection w:val="lrTbV"/>
        <w:rPr>
          <w:rFonts w:eastAsia="標楷體"/>
          <w:b/>
          <w:sz w:val="64"/>
          <w:szCs w:val="64"/>
        </w:rPr>
      </w:pPr>
    </w:p>
    <w:p w:rsidR="00181D76" w:rsidRPr="00543487" w:rsidRDefault="00181D76" w:rsidP="00181D76">
      <w:pPr>
        <w:pBdr>
          <w:top w:val="single" w:sz="48" w:space="1" w:color="auto"/>
          <w:bottom w:val="single" w:sz="48" w:space="1" w:color="auto"/>
        </w:pBdr>
        <w:spacing w:before="100" w:line="840" w:lineRule="exact"/>
        <w:ind w:leftChars="252" w:left="504" w:rightChars="231" w:right="462"/>
        <w:jc w:val="center"/>
        <w:textDirection w:val="lrTbV"/>
        <w:rPr>
          <w:rFonts w:eastAsia="標楷體"/>
          <w:b/>
          <w:sz w:val="52"/>
          <w:szCs w:val="64"/>
        </w:rPr>
      </w:pPr>
      <w:r w:rsidRPr="00543487">
        <w:rPr>
          <w:rFonts w:eastAsia="標楷體"/>
          <w:b/>
          <w:sz w:val="52"/>
          <w:szCs w:val="64"/>
        </w:rPr>
        <w:t xml:space="preserve">Minutes of the </w:t>
      </w:r>
      <w:r w:rsidRPr="00543487">
        <w:rPr>
          <w:rFonts w:eastAsia="標楷體" w:hint="eastAsia"/>
          <w:b/>
          <w:sz w:val="52"/>
          <w:szCs w:val="64"/>
        </w:rPr>
        <w:t xml:space="preserve">Monetary Policy </w:t>
      </w:r>
      <w:r w:rsidRPr="00543487">
        <w:rPr>
          <w:rFonts w:eastAsia="標楷體"/>
          <w:b/>
          <w:sz w:val="52"/>
          <w:szCs w:val="64"/>
        </w:rPr>
        <w:t>Meeting</w:t>
      </w:r>
    </w:p>
    <w:p w:rsidR="00181D76" w:rsidRPr="00543487" w:rsidRDefault="00181D76" w:rsidP="00181D76">
      <w:pPr>
        <w:pBdr>
          <w:top w:val="single" w:sz="48" w:space="1" w:color="auto"/>
          <w:bottom w:val="single" w:sz="48" w:space="1" w:color="auto"/>
        </w:pBdr>
        <w:spacing w:before="100" w:line="760" w:lineRule="exact"/>
        <w:ind w:leftChars="252" w:left="504" w:rightChars="231" w:right="462"/>
        <w:jc w:val="center"/>
        <w:textDirection w:val="lrTbV"/>
        <w:rPr>
          <w:rFonts w:eastAsia="標楷體"/>
          <w:b/>
          <w:sz w:val="52"/>
          <w:szCs w:val="64"/>
        </w:rPr>
      </w:pPr>
    </w:p>
    <w:p w:rsidR="00181D76" w:rsidRPr="00543487" w:rsidRDefault="001F7BDB" w:rsidP="00181D76">
      <w:pPr>
        <w:pBdr>
          <w:top w:val="single" w:sz="48" w:space="1" w:color="auto"/>
          <w:bottom w:val="single" w:sz="48" w:space="1" w:color="auto"/>
        </w:pBdr>
        <w:spacing w:before="240" w:line="640" w:lineRule="exact"/>
        <w:ind w:leftChars="252" w:left="504" w:rightChars="231" w:right="462"/>
        <w:jc w:val="center"/>
        <w:textDirection w:val="lrTbV"/>
        <w:rPr>
          <w:rFonts w:eastAsia="標楷體"/>
          <w:spacing w:val="-24"/>
          <w:sz w:val="40"/>
          <w:szCs w:val="48"/>
        </w:rPr>
      </w:pPr>
      <w:r>
        <w:rPr>
          <w:rFonts w:eastAsia="標楷體" w:hint="eastAsia"/>
          <w:spacing w:val="-24"/>
          <w:sz w:val="40"/>
          <w:szCs w:val="48"/>
        </w:rPr>
        <w:t>Dec</w:t>
      </w:r>
      <w:r w:rsidR="00181D76">
        <w:rPr>
          <w:rFonts w:eastAsia="標楷體"/>
          <w:spacing w:val="-24"/>
          <w:sz w:val="40"/>
          <w:szCs w:val="48"/>
        </w:rPr>
        <w:t>ember</w:t>
      </w:r>
      <w:r w:rsidR="00181D76" w:rsidRPr="00543487">
        <w:rPr>
          <w:rFonts w:eastAsia="標楷體" w:hint="eastAsia"/>
          <w:spacing w:val="-24"/>
          <w:sz w:val="40"/>
          <w:szCs w:val="48"/>
        </w:rPr>
        <w:t xml:space="preserve"> 2</w:t>
      </w:r>
      <w:r w:rsidR="00181D76">
        <w:rPr>
          <w:rFonts w:eastAsia="標楷體" w:hint="eastAsia"/>
          <w:spacing w:val="-24"/>
          <w:sz w:val="40"/>
          <w:szCs w:val="48"/>
        </w:rPr>
        <w:t>1</w:t>
      </w:r>
      <w:r w:rsidR="00181D76" w:rsidRPr="00543487">
        <w:rPr>
          <w:rFonts w:eastAsia="標楷體" w:hint="eastAsia"/>
          <w:spacing w:val="-24"/>
          <w:sz w:val="40"/>
          <w:szCs w:val="48"/>
        </w:rPr>
        <w:t>, 2017</w:t>
      </w:r>
    </w:p>
    <w:p w:rsidR="00C82C46" w:rsidRPr="00181D76" w:rsidRDefault="00C82C46" w:rsidP="00506CDC">
      <w:pPr>
        <w:pBdr>
          <w:top w:val="single" w:sz="48" w:space="1" w:color="auto"/>
          <w:bottom w:val="single" w:sz="48" w:space="1" w:color="auto"/>
        </w:pBdr>
        <w:spacing w:before="240" w:line="20" w:lineRule="exact"/>
        <w:ind w:leftChars="252" w:left="504" w:rightChars="231" w:right="462"/>
        <w:jc w:val="center"/>
        <w:textDirection w:val="lrTbV"/>
        <w:rPr>
          <w:rFonts w:eastAsia="標楷體"/>
          <w:sz w:val="48"/>
          <w:szCs w:val="48"/>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C82C46" w:rsidRPr="002F04F2" w:rsidRDefault="00C82C46" w:rsidP="00506CDC">
      <w:pPr>
        <w:spacing w:before="100" w:line="640" w:lineRule="exact"/>
        <w:ind w:leftChars="252" w:left="504" w:rightChars="231" w:right="462"/>
        <w:jc w:val="center"/>
        <w:textDirection w:val="lrTbV"/>
        <w:rPr>
          <w:rFonts w:eastAsia="標楷體"/>
          <w:b/>
          <w:spacing w:val="-24"/>
          <w:sz w:val="56"/>
          <w:szCs w:val="56"/>
        </w:rPr>
      </w:pPr>
    </w:p>
    <w:p w:rsidR="00181D76" w:rsidRPr="00543487" w:rsidRDefault="00181D76" w:rsidP="00181D76">
      <w:pPr>
        <w:spacing w:before="100" w:line="640" w:lineRule="exact"/>
        <w:ind w:leftChars="252" w:left="504" w:rightChars="231" w:right="462"/>
        <w:jc w:val="center"/>
        <w:textDirection w:val="lrTbV"/>
        <w:rPr>
          <w:rFonts w:eastAsia="標楷體"/>
          <w:b/>
          <w:spacing w:val="-24"/>
          <w:sz w:val="44"/>
          <w:szCs w:val="52"/>
        </w:rPr>
      </w:pPr>
      <w:r w:rsidRPr="00543487">
        <w:rPr>
          <w:rFonts w:eastAsia="標楷體" w:hint="eastAsia"/>
          <w:sz w:val="44"/>
          <w:szCs w:val="52"/>
        </w:rPr>
        <w:t>Central Bank of the R.O.C. (Taiwan)</w:t>
      </w:r>
    </w:p>
    <w:p w:rsidR="00C82C46" w:rsidRDefault="00C82C46" w:rsidP="00D052FE">
      <w:pPr>
        <w:spacing w:before="100" w:line="640" w:lineRule="exact"/>
        <w:ind w:leftChars="252" w:left="504" w:rightChars="231" w:right="462"/>
        <w:jc w:val="both"/>
        <w:textDirection w:val="lrTbV"/>
        <w:rPr>
          <w:rFonts w:eastAsia="標楷體"/>
          <w:sz w:val="52"/>
          <w:szCs w:val="52"/>
        </w:rPr>
        <w:sectPr w:rsidR="00C82C46" w:rsidSect="00F714F0">
          <w:headerReference w:type="default" r:id="rId9"/>
          <w:footerReference w:type="even" r:id="rId10"/>
          <w:footerReference w:type="first" r:id="rId11"/>
          <w:pgSz w:w="11907" w:h="16840" w:code="9"/>
          <w:pgMar w:top="1134" w:right="1418" w:bottom="851" w:left="1418" w:header="0" w:footer="510" w:gutter="0"/>
          <w:paperSrc w:first="15" w:other="15"/>
          <w:pgNumType w:start="0"/>
          <w:cols w:space="425"/>
          <w:titlePg/>
          <w:docGrid w:linePitch="272"/>
        </w:sectPr>
      </w:pPr>
      <w:r w:rsidRPr="00710DF2">
        <w:rPr>
          <w:rFonts w:eastAsia="標楷體"/>
          <w:spacing w:val="-24"/>
          <w:sz w:val="44"/>
          <w:szCs w:val="44"/>
        </w:rPr>
        <w:br w:type="page"/>
      </w:r>
    </w:p>
    <w:p w:rsidR="00363599" w:rsidRDefault="00363599" w:rsidP="00363599">
      <w:pPr>
        <w:spacing w:line="640" w:lineRule="exact"/>
        <w:jc w:val="center"/>
        <w:textDirection w:val="lrTbV"/>
        <w:rPr>
          <w:rFonts w:eastAsia="標楷體"/>
          <w:b/>
          <w:sz w:val="28"/>
          <w:szCs w:val="28"/>
        </w:rPr>
      </w:pPr>
      <w:r w:rsidRPr="00543487">
        <w:rPr>
          <w:rFonts w:eastAsia="標楷體"/>
          <w:b/>
          <w:sz w:val="28"/>
          <w:szCs w:val="28"/>
        </w:rPr>
        <w:lastRenderedPageBreak/>
        <w:t>Minutes</w:t>
      </w:r>
      <w:r w:rsidRPr="00543487">
        <w:rPr>
          <w:rStyle w:val="afd"/>
          <w:rFonts w:eastAsia="標楷體"/>
          <w:b/>
          <w:sz w:val="28"/>
          <w:szCs w:val="28"/>
        </w:rPr>
        <w:footnoteReference w:id="1"/>
      </w:r>
      <w:r w:rsidRPr="00543487">
        <w:rPr>
          <w:rFonts w:eastAsia="標楷體"/>
          <w:b/>
          <w:sz w:val="28"/>
          <w:szCs w:val="28"/>
        </w:rPr>
        <w:t xml:space="preserve"> of </w:t>
      </w:r>
      <w:r w:rsidRPr="0015302E">
        <w:rPr>
          <w:rFonts w:eastAsia="標楷體"/>
          <w:b/>
          <w:sz w:val="28"/>
          <w:szCs w:val="28"/>
        </w:rPr>
        <w:t xml:space="preserve">the Joint Meeting of the Board of Directors and </w:t>
      </w:r>
    </w:p>
    <w:p w:rsidR="00363599" w:rsidRPr="00543487" w:rsidRDefault="00363599" w:rsidP="00363599">
      <w:pPr>
        <w:spacing w:line="640" w:lineRule="exact"/>
        <w:jc w:val="center"/>
        <w:textDirection w:val="lrTbV"/>
        <w:rPr>
          <w:rFonts w:eastAsia="標楷體"/>
          <w:b/>
          <w:sz w:val="28"/>
          <w:szCs w:val="28"/>
        </w:rPr>
      </w:pPr>
      <w:proofErr w:type="gramStart"/>
      <w:r w:rsidRPr="0015302E">
        <w:rPr>
          <w:rFonts w:eastAsia="標楷體"/>
          <w:b/>
          <w:sz w:val="28"/>
          <w:szCs w:val="28"/>
        </w:rPr>
        <w:t>the</w:t>
      </w:r>
      <w:proofErr w:type="gramEnd"/>
      <w:r w:rsidRPr="0015302E">
        <w:rPr>
          <w:rFonts w:eastAsia="標楷體"/>
          <w:b/>
          <w:sz w:val="28"/>
          <w:szCs w:val="28"/>
        </w:rPr>
        <w:t xml:space="preserve"> Board of Supervisors on</w:t>
      </w:r>
      <w:r w:rsidR="00C41905">
        <w:rPr>
          <w:rFonts w:eastAsia="標楷體" w:hint="eastAsia"/>
          <w:b/>
          <w:sz w:val="28"/>
          <w:szCs w:val="28"/>
        </w:rPr>
        <w:t xml:space="preserve"> </w:t>
      </w:r>
      <w:proofErr w:type="spellStart"/>
      <w:r w:rsidR="001F7BDB">
        <w:rPr>
          <w:rFonts w:eastAsia="標楷體" w:hint="eastAsia"/>
          <w:b/>
          <w:sz w:val="28"/>
          <w:szCs w:val="28"/>
        </w:rPr>
        <w:t>Dec</w:t>
      </w:r>
      <w:r>
        <w:rPr>
          <w:rFonts w:eastAsia="標楷體"/>
          <w:b/>
          <w:sz w:val="28"/>
          <w:szCs w:val="28"/>
        </w:rPr>
        <w:t>mber</w:t>
      </w:r>
      <w:proofErr w:type="spellEnd"/>
      <w:r w:rsidRPr="0015302E">
        <w:rPr>
          <w:rFonts w:eastAsia="標楷體"/>
          <w:b/>
          <w:sz w:val="28"/>
          <w:szCs w:val="28"/>
        </w:rPr>
        <w:t xml:space="preserve"> 2</w:t>
      </w:r>
      <w:r>
        <w:rPr>
          <w:rFonts w:eastAsia="標楷體" w:hint="eastAsia"/>
          <w:b/>
          <w:sz w:val="28"/>
          <w:szCs w:val="28"/>
        </w:rPr>
        <w:t>1</w:t>
      </w:r>
      <w:r w:rsidRPr="0015302E">
        <w:rPr>
          <w:rFonts w:eastAsia="標楷體"/>
          <w:b/>
          <w:sz w:val="28"/>
          <w:szCs w:val="28"/>
        </w:rPr>
        <w:t>, 2017</w:t>
      </w:r>
    </w:p>
    <w:p w:rsidR="00363599" w:rsidRPr="00543487" w:rsidRDefault="00363599" w:rsidP="00363599">
      <w:pPr>
        <w:spacing w:before="100" w:line="560" w:lineRule="exact"/>
        <w:jc w:val="both"/>
        <w:textDirection w:val="lrTbV"/>
        <w:rPr>
          <w:rFonts w:eastAsia="標楷體"/>
          <w:sz w:val="28"/>
          <w:szCs w:val="28"/>
        </w:rPr>
      </w:pPr>
      <w:r w:rsidRPr="00543487">
        <w:rPr>
          <w:rFonts w:eastAsia="標楷體" w:hint="eastAsia"/>
          <w:b/>
          <w:sz w:val="28"/>
          <w:szCs w:val="28"/>
        </w:rPr>
        <w:t>Date</w:t>
      </w:r>
      <w:r>
        <w:rPr>
          <w:rFonts w:eastAsia="標楷體" w:hint="eastAsia"/>
          <w:b/>
          <w:sz w:val="28"/>
          <w:szCs w:val="28"/>
        </w:rPr>
        <w:t xml:space="preserve"> and Time</w:t>
      </w:r>
      <w:r w:rsidRPr="00543487">
        <w:rPr>
          <w:rFonts w:eastAsia="標楷體" w:hint="eastAsia"/>
          <w:sz w:val="28"/>
          <w:szCs w:val="28"/>
        </w:rPr>
        <w:t xml:space="preserve">: </w:t>
      </w:r>
      <w:r w:rsidR="001F7BDB">
        <w:rPr>
          <w:rFonts w:eastAsia="標楷體" w:hint="eastAsia"/>
          <w:sz w:val="28"/>
          <w:szCs w:val="28"/>
        </w:rPr>
        <w:t>Dec</w:t>
      </w:r>
      <w:r>
        <w:rPr>
          <w:rFonts w:eastAsia="標楷體"/>
          <w:sz w:val="28"/>
          <w:szCs w:val="28"/>
        </w:rPr>
        <w:t>ember</w:t>
      </w:r>
      <w:r w:rsidRPr="00543487">
        <w:rPr>
          <w:rFonts w:eastAsia="標楷體" w:hint="eastAsia"/>
          <w:sz w:val="28"/>
          <w:szCs w:val="28"/>
        </w:rPr>
        <w:t xml:space="preserve"> 2</w:t>
      </w:r>
      <w:r>
        <w:rPr>
          <w:rFonts w:eastAsia="標楷體" w:hint="eastAsia"/>
          <w:sz w:val="28"/>
          <w:szCs w:val="28"/>
        </w:rPr>
        <w:t>1</w:t>
      </w:r>
      <w:r w:rsidRPr="00543487">
        <w:rPr>
          <w:rFonts w:eastAsia="標楷體" w:hint="eastAsia"/>
          <w:sz w:val="28"/>
          <w:szCs w:val="28"/>
        </w:rPr>
        <w:t>, 2017</w:t>
      </w:r>
      <w:r>
        <w:rPr>
          <w:rFonts w:eastAsia="標楷體" w:hint="eastAsia"/>
          <w:sz w:val="28"/>
          <w:szCs w:val="28"/>
        </w:rPr>
        <w:t>, at 3</w:t>
      </w:r>
      <w:r w:rsidR="001F7BDB">
        <w:rPr>
          <w:rFonts w:eastAsia="標楷體" w:hint="eastAsia"/>
          <w:sz w:val="28"/>
          <w:szCs w:val="28"/>
        </w:rPr>
        <w:t>:30</w:t>
      </w:r>
      <w:r>
        <w:rPr>
          <w:rFonts w:eastAsia="標楷體" w:hint="eastAsia"/>
          <w:sz w:val="28"/>
          <w:szCs w:val="28"/>
        </w:rPr>
        <w:t xml:space="preserve"> p.m.</w:t>
      </w:r>
    </w:p>
    <w:p w:rsidR="00363599" w:rsidRPr="00543487" w:rsidRDefault="00363599" w:rsidP="00363599">
      <w:pPr>
        <w:spacing w:before="100" w:line="560" w:lineRule="exact"/>
        <w:ind w:left="869" w:hangingChars="310" w:hanging="869"/>
        <w:jc w:val="both"/>
        <w:textDirection w:val="lrTbV"/>
        <w:rPr>
          <w:rFonts w:eastAsia="標楷體"/>
          <w:sz w:val="28"/>
          <w:szCs w:val="28"/>
        </w:rPr>
      </w:pPr>
      <w:r w:rsidRPr="0015302E">
        <w:rPr>
          <w:rFonts w:eastAsia="標楷體" w:hint="eastAsia"/>
          <w:b/>
          <w:sz w:val="28"/>
          <w:szCs w:val="28"/>
        </w:rPr>
        <w:t>Location:</w:t>
      </w:r>
      <w:r w:rsidRPr="00543487">
        <w:rPr>
          <w:rFonts w:eastAsia="標楷體" w:hint="eastAsia"/>
          <w:sz w:val="28"/>
          <w:szCs w:val="28"/>
        </w:rPr>
        <w:t xml:space="preserve"> Room A606, Main Building, </w:t>
      </w:r>
      <w:r w:rsidRPr="00543487">
        <w:rPr>
          <w:rFonts w:eastAsia="標楷體"/>
          <w:sz w:val="28"/>
          <w:szCs w:val="28"/>
        </w:rPr>
        <w:t>Central Bank of the R.O.C. (Taiwan)</w:t>
      </w: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hint="eastAsia"/>
          <w:b/>
          <w:sz w:val="28"/>
          <w:szCs w:val="28"/>
        </w:rPr>
        <w:t>Members Present:</w:t>
      </w:r>
      <w:r w:rsidRPr="00543487">
        <w:rPr>
          <w:rFonts w:eastAsia="標楷體" w:hint="eastAsia"/>
          <w:sz w:val="28"/>
          <w:szCs w:val="28"/>
        </w:rPr>
        <w:t xml:space="preserve"> </w:t>
      </w:r>
    </w:p>
    <w:p w:rsidR="00363599" w:rsidRPr="00543487" w:rsidRDefault="00363599" w:rsidP="001F7BDB">
      <w:pPr>
        <w:pStyle w:val="31"/>
        <w:spacing w:before="100" w:line="540" w:lineRule="exact"/>
        <w:ind w:leftChars="200" w:left="400"/>
        <w:textDirection w:val="lrTbV"/>
        <w:rPr>
          <w:rFonts w:eastAsia="標楷體"/>
          <w:sz w:val="28"/>
          <w:szCs w:val="28"/>
        </w:rPr>
      </w:pPr>
      <w:r w:rsidRPr="00543487">
        <w:rPr>
          <w:rFonts w:eastAsia="標楷體" w:hint="eastAsia"/>
          <w:b/>
          <w:sz w:val="28"/>
          <w:szCs w:val="28"/>
        </w:rPr>
        <w:t>Chairman, Board of Directors</w:t>
      </w:r>
      <w:r w:rsidRPr="00543487">
        <w:rPr>
          <w:rFonts w:eastAsia="標楷體" w:hint="eastAsia"/>
          <w:sz w:val="28"/>
          <w:szCs w:val="28"/>
        </w:rPr>
        <w:t xml:space="preserve">: Fai-nan </w:t>
      </w:r>
      <w:proofErr w:type="spellStart"/>
      <w:r w:rsidRPr="00543487">
        <w:rPr>
          <w:rFonts w:eastAsia="標楷體" w:hint="eastAsia"/>
          <w:sz w:val="28"/>
          <w:szCs w:val="28"/>
        </w:rPr>
        <w:t>Perng</w:t>
      </w:r>
      <w:proofErr w:type="spellEnd"/>
    </w:p>
    <w:p w:rsidR="00363599" w:rsidRPr="00543487" w:rsidRDefault="00363599" w:rsidP="001F7BDB">
      <w:pPr>
        <w:pStyle w:val="31"/>
        <w:spacing w:before="100" w:line="540" w:lineRule="exact"/>
        <w:ind w:leftChars="200" w:left="400"/>
        <w:textDirection w:val="lrTbV"/>
        <w:rPr>
          <w:rFonts w:eastAsia="標楷體"/>
          <w:sz w:val="28"/>
          <w:szCs w:val="28"/>
        </w:rPr>
      </w:pPr>
      <w:r w:rsidRPr="00543487">
        <w:rPr>
          <w:rFonts w:eastAsia="標楷體" w:hint="eastAsia"/>
          <w:b/>
          <w:sz w:val="28"/>
          <w:szCs w:val="28"/>
        </w:rPr>
        <w:t>Executive Directors</w:t>
      </w:r>
      <w:r w:rsidRPr="00543487">
        <w:rPr>
          <w:rFonts w:eastAsia="標楷體" w:hint="eastAsia"/>
          <w:sz w:val="28"/>
          <w:szCs w:val="28"/>
        </w:rPr>
        <w:t xml:space="preserve">: </w:t>
      </w:r>
    </w:p>
    <w:p w:rsidR="00363599" w:rsidRPr="00543487" w:rsidRDefault="00363599" w:rsidP="001F7BDB">
      <w:pPr>
        <w:pStyle w:val="31"/>
        <w:spacing w:before="100" w:line="540" w:lineRule="exact"/>
        <w:ind w:leftChars="200" w:left="400"/>
        <w:textDirection w:val="lrTbV"/>
        <w:rPr>
          <w:rFonts w:eastAsia="標楷體"/>
          <w:sz w:val="28"/>
          <w:szCs w:val="28"/>
        </w:rPr>
      </w:pPr>
      <w:r w:rsidRPr="00543487">
        <w:rPr>
          <w:rFonts w:eastAsia="標楷體" w:hint="eastAsia"/>
          <w:sz w:val="28"/>
          <w:szCs w:val="28"/>
        </w:rPr>
        <w:t>Yu-</w:t>
      </w:r>
      <w:proofErr w:type="spellStart"/>
      <w:r w:rsidRPr="00543487">
        <w:rPr>
          <w:rFonts w:eastAsia="標楷體" w:hint="eastAsia"/>
          <w:sz w:val="28"/>
          <w:szCs w:val="28"/>
        </w:rPr>
        <w:t>jer</w:t>
      </w:r>
      <w:proofErr w:type="spellEnd"/>
      <w:r w:rsidRPr="00543487">
        <w:rPr>
          <w:rFonts w:eastAsia="標楷體" w:hint="eastAsia"/>
          <w:sz w:val="28"/>
          <w:szCs w:val="28"/>
        </w:rPr>
        <w:t xml:space="preserve"> </w:t>
      </w:r>
      <w:proofErr w:type="spellStart"/>
      <w:r w:rsidRPr="00543487">
        <w:rPr>
          <w:rFonts w:eastAsia="標楷體" w:hint="eastAsia"/>
          <w:sz w:val="28"/>
          <w:szCs w:val="28"/>
        </w:rPr>
        <w:t>Sheu</w:t>
      </w:r>
      <w:proofErr w:type="spellEnd"/>
      <w:r w:rsidRPr="00543487">
        <w:rPr>
          <w:rFonts w:eastAsia="標楷體" w:hint="eastAsia"/>
          <w:sz w:val="28"/>
          <w:szCs w:val="28"/>
        </w:rPr>
        <w:t xml:space="preserve">, </w:t>
      </w:r>
      <w:r w:rsidR="009B29AD" w:rsidRPr="009B29AD">
        <w:rPr>
          <w:rFonts w:eastAsia="標楷體"/>
          <w:sz w:val="28"/>
          <w:szCs w:val="28"/>
        </w:rPr>
        <w:t>Jong-Chin Shen</w:t>
      </w:r>
      <w:r w:rsidRPr="00543487">
        <w:rPr>
          <w:rFonts w:eastAsia="標楷體" w:hint="eastAsia"/>
          <w:sz w:val="28"/>
          <w:szCs w:val="28"/>
        </w:rPr>
        <w:t xml:space="preserve">, Chin-long Yang, </w:t>
      </w:r>
      <w:proofErr w:type="spellStart"/>
      <w:r w:rsidRPr="00543487">
        <w:rPr>
          <w:rFonts w:eastAsia="標楷體" w:hint="eastAsia"/>
          <w:sz w:val="28"/>
          <w:szCs w:val="28"/>
        </w:rPr>
        <w:t>Tzung</w:t>
      </w:r>
      <w:proofErr w:type="spellEnd"/>
      <w:r w:rsidRPr="00543487">
        <w:rPr>
          <w:rFonts w:eastAsia="標楷體" w:hint="eastAsia"/>
          <w:sz w:val="28"/>
          <w:szCs w:val="28"/>
        </w:rPr>
        <w:t>-ta Yen, Ming-</w:t>
      </w:r>
      <w:proofErr w:type="spellStart"/>
      <w:r w:rsidRPr="00543487">
        <w:rPr>
          <w:rFonts w:eastAsia="標楷體" w:hint="eastAsia"/>
          <w:sz w:val="28"/>
          <w:szCs w:val="28"/>
        </w:rPr>
        <w:t>yih</w:t>
      </w:r>
      <w:proofErr w:type="spellEnd"/>
      <w:r w:rsidRPr="00543487">
        <w:rPr>
          <w:rFonts w:eastAsia="標楷體" w:hint="eastAsia"/>
          <w:sz w:val="28"/>
          <w:szCs w:val="28"/>
        </w:rPr>
        <w:t xml:space="preserve"> Liang, Sheng-</w:t>
      </w:r>
      <w:proofErr w:type="spellStart"/>
      <w:r w:rsidRPr="00543487">
        <w:rPr>
          <w:rFonts w:eastAsia="標楷體" w:hint="eastAsia"/>
          <w:sz w:val="28"/>
          <w:szCs w:val="28"/>
        </w:rPr>
        <w:t>cheng</w:t>
      </w:r>
      <w:proofErr w:type="spellEnd"/>
      <w:r w:rsidRPr="00543487">
        <w:rPr>
          <w:rFonts w:eastAsia="標楷體" w:hint="eastAsia"/>
          <w:sz w:val="28"/>
          <w:szCs w:val="28"/>
        </w:rPr>
        <w:t xml:space="preserve"> Hu</w:t>
      </w:r>
    </w:p>
    <w:p w:rsidR="00363599" w:rsidRPr="00543487" w:rsidRDefault="00363599" w:rsidP="001F7BDB">
      <w:pPr>
        <w:spacing w:before="100" w:line="560" w:lineRule="exact"/>
        <w:ind w:leftChars="200" w:left="400" w:rightChars="5" w:right="10"/>
        <w:textDirection w:val="lrTbV"/>
        <w:rPr>
          <w:rFonts w:eastAsia="標楷體"/>
          <w:sz w:val="28"/>
          <w:szCs w:val="28"/>
        </w:rPr>
      </w:pPr>
      <w:r w:rsidRPr="00543487">
        <w:rPr>
          <w:rFonts w:eastAsia="標楷體" w:hint="eastAsia"/>
          <w:b/>
          <w:sz w:val="28"/>
          <w:szCs w:val="28"/>
        </w:rPr>
        <w:t>Directors</w:t>
      </w:r>
      <w:r w:rsidRPr="00543487">
        <w:rPr>
          <w:rFonts w:eastAsia="標楷體" w:hint="eastAsia"/>
          <w:sz w:val="28"/>
          <w:szCs w:val="28"/>
        </w:rPr>
        <w:t xml:space="preserve">: </w:t>
      </w:r>
    </w:p>
    <w:p w:rsidR="00363599" w:rsidRPr="00543487" w:rsidRDefault="00363599" w:rsidP="001F7BDB">
      <w:pPr>
        <w:spacing w:before="100" w:line="560" w:lineRule="exact"/>
        <w:ind w:leftChars="200" w:left="400" w:rightChars="5" w:right="10"/>
        <w:textDirection w:val="lrTbV"/>
        <w:rPr>
          <w:rFonts w:eastAsia="標楷體"/>
          <w:sz w:val="28"/>
          <w:szCs w:val="28"/>
        </w:rPr>
      </w:pPr>
      <w:proofErr w:type="spellStart"/>
      <w:r w:rsidRPr="00543487">
        <w:rPr>
          <w:rFonts w:eastAsia="標楷體" w:hint="eastAsia"/>
          <w:sz w:val="28"/>
          <w:szCs w:val="28"/>
        </w:rPr>
        <w:t>Tsung-hsien</w:t>
      </w:r>
      <w:proofErr w:type="spellEnd"/>
      <w:r w:rsidRPr="00543487">
        <w:rPr>
          <w:rFonts w:eastAsia="標楷體" w:hint="eastAsia"/>
          <w:sz w:val="28"/>
          <w:szCs w:val="28"/>
        </w:rPr>
        <w:t xml:space="preserve"> Lin, Chen-chia Lee, </w:t>
      </w:r>
      <w:r w:rsidR="006B2E6B" w:rsidRPr="006B2E6B">
        <w:rPr>
          <w:rFonts w:eastAsia="標楷體"/>
          <w:sz w:val="28"/>
          <w:szCs w:val="28"/>
        </w:rPr>
        <w:t>Chung-</w:t>
      </w:r>
      <w:proofErr w:type="spellStart"/>
      <w:r w:rsidR="005B6EB5">
        <w:rPr>
          <w:rFonts w:eastAsia="標楷體" w:hint="eastAsia"/>
          <w:sz w:val="28"/>
          <w:szCs w:val="28"/>
        </w:rPr>
        <w:t>d</w:t>
      </w:r>
      <w:r w:rsidR="006B2E6B" w:rsidRPr="006B2E6B">
        <w:rPr>
          <w:rFonts w:eastAsia="標楷體"/>
          <w:sz w:val="28"/>
          <w:szCs w:val="28"/>
        </w:rPr>
        <w:t>ar</w:t>
      </w:r>
      <w:proofErr w:type="spellEnd"/>
      <w:r w:rsidR="006B2E6B" w:rsidRPr="006B2E6B">
        <w:rPr>
          <w:rFonts w:eastAsia="標楷體"/>
          <w:sz w:val="28"/>
          <w:szCs w:val="28"/>
        </w:rPr>
        <w:t xml:space="preserve"> Lei</w:t>
      </w:r>
      <w:r w:rsidRPr="00543487">
        <w:rPr>
          <w:rFonts w:eastAsia="標楷體" w:hint="eastAsia"/>
          <w:sz w:val="28"/>
          <w:szCs w:val="28"/>
        </w:rPr>
        <w:t>, Chao-</w:t>
      </w:r>
      <w:proofErr w:type="spellStart"/>
      <w:r w:rsidRPr="00543487">
        <w:rPr>
          <w:rFonts w:eastAsia="標楷體" w:hint="eastAsia"/>
          <w:sz w:val="28"/>
          <w:szCs w:val="28"/>
        </w:rPr>
        <w:t>yih</w:t>
      </w:r>
      <w:proofErr w:type="spellEnd"/>
      <w:r w:rsidRPr="00543487">
        <w:rPr>
          <w:rFonts w:eastAsia="標楷體" w:hint="eastAsia"/>
          <w:sz w:val="28"/>
          <w:szCs w:val="28"/>
        </w:rPr>
        <w:t xml:space="preserve"> Chen, </w:t>
      </w:r>
      <w:proofErr w:type="spellStart"/>
      <w:r w:rsidR="006333E8" w:rsidRPr="00543487">
        <w:rPr>
          <w:rFonts w:eastAsia="標楷體" w:hint="eastAsia"/>
          <w:sz w:val="28"/>
          <w:szCs w:val="28"/>
        </w:rPr>
        <w:t>Jin</w:t>
      </w:r>
      <w:proofErr w:type="spellEnd"/>
      <w:r w:rsidR="006333E8" w:rsidRPr="00543487">
        <w:rPr>
          <w:rFonts w:eastAsia="標楷體" w:hint="eastAsia"/>
          <w:sz w:val="28"/>
          <w:szCs w:val="28"/>
        </w:rPr>
        <w:t>-lung Li</w:t>
      </w:r>
      <w:r w:rsidR="006333E8">
        <w:rPr>
          <w:rFonts w:eastAsia="標楷體" w:hint="eastAsia"/>
          <w:sz w:val="28"/>
          <w:szCs w:val="28"/>
        </w:rPr>
        <w:t xml:space="preserve">n, </w:t>
      </w:r>
      <w:r w:rsidRPr="00543487">
        <w:rPr>
          <w:rFonts w:eastAsia="標楷體" w:hint="eastAsia"/>
          <w:sz w:val="28"/>
          <w:szCs w:val="28"/>
        </w:rPr>
        <w:t>Mei-lie Chu, Chao-</w:t>
      </w:r>
      <w:proofErr w:type="spellStart"/>
      <w:r w:rsidRPr="00543487">
        <w:rPr>
          <w:rFonts w:eastAsia="標楷體" w:hint="eastAsia"/>
          <w:sz w:val="28"/>
          <w:szCs w:val="28"/>
        </w:rPr>
        <w:t>h</w:t>
      </w:r>
      <w:r w:rsidRPr="00543487">
        <w:rPr>
          <w:rFonts w:eastAsia="標楷體"/>
          <w:sz w:val="28"/>
          <w:szCs w:val="28"/>
        </w:rPr>
        <w:t>s</w:t>
      </w:r>
      <w:r w:rsidRPr="00543487">
        <w:rPr>
          <w:rFonts w:eastAsia="標楷體" w:hint="eastAsia"/>
          <w:sz w:val="28"/>
          <w:szCs w:val="28"/>
        </w:rPr>
        <w:t>i</w:t>
      </w:r>
      <w:proofErr w:type="spellEnd"/>
      <w:r w:rsidRPr="00543487">
        <w:rPr>
          <w:rFonts w:eastAsia="標楷體" w:hint="eastAsia"/>
          <w:sz w:val="28"/>
          <w:szCs w:val="28"/>
        </w:rPr>
        <w:t xml:space="preserve"> Huang, </w:t>
      </w:r>
      <w:proofErr w:type="spellStart"/>
      <w:r w:rsidRPr="00543487">
        <w:rPr>
          <w:rFonts w:eastAsia="標楷體" w:hint="eastAsia"/>
          <w:sz w:val="28"/>
          <w:szCs w:val="28"/>
        </w:rPr>
        <w:t>Bih</w:t>
      </w:r>
      <w:proofErr w:type="spellEnd"/>
      <w:r w:rsidRPr="00543487">
        <w:rPr>
          <w:rFonts w:eastAsia="標楷體" w:hint="eastAsia"/>
          <w:sz w:val="28"/>
          <w:szCs w:val="28"/>
        </w:rPr>
        <w:t>-jane Liu</w:t>
      </w:r>
    </w:p>
    <w:p w:rsidR="00363599" w:rsidRPr="00543487" w:rsidRDefault="00363599" w:rsidP="001F7BDB">
      <w:pPr>
        <w:spacing w:before="100" w:line="560" w:lineRule="exact"/>
        <w:ind w:leftChars="200" w:left="400" w:rightChars="5" w:right="10"/>
        <w:textDirection w:val="lrTbV"/>
        <w:rPr>
          <w:rFonts w:eastAsia="標楷體"/>
          <w:sz w:val="28"/>
          <w:szCs w:val="28"/>
        </w:rPr>
      </w:pPr>
      <w:r w:rsidRPr="00543487">
        <w:rPr>
          <w:rFonts w:eastAsia="標楷體" w:hint="eastAsia"/>
          <w:b/>
          <w:sz w:val="28"/>
          <w:szCs w:val="28"/>
        </w:rPr>
        <w:t>Chairman, Board of Supervisors</w:t>
      </w:r>
      <w:r w:rsidRPr="00543487">
        <w:rPr>
          <w:rFonts w:eastAsia="標楷體" w:hint="eastAsia"/>
          <w:sz w:val="28"/>
          <w:szCs w:val="28"/>
        </w:rPr>
        <w:t xml:space="preserve">: </w:t>
      </w:r>
      <w:proofErr w:type="spellStart"/>
      <w:r w:rsidRPr="00543487">
        <w:rPr>
          <w:rFonts w:eastAsia="標楷體" w:hint="eastAsia"/>
          <w:sz w:val="28"/>
          <w:szCs w:val="28"/>
        </w:rPr>
        <w:t>Tzer-ming</w:t>
      </w:r>
      <w:proofErr w:type="spellEnd"/>
      <w:r w:rsidRPr="00543487">
        <w:rPr>
          <w:rFonts w:eastAsia="標楷體" w:hint="eastAsia"/>
          <w:sz w:val="28"/>
          <w:szCs w:val="28"/>
        </w:rPr>
        <w:t xml:space="preserve"> Chu</w:t>
      </w:r>
    </w:p>
    <w:p w:rsidR="00363599" w:rsidRPr="00543487" w:rsidRDefault="00363599" w:rsidP="001F7BDB">
      <w:pPr>
        <w:spacing w:before="100" w:line="560" w:lineRule="exact"/>
        <w:ind w:leftChars="200" w:left="400" w:rightChars="5" w:right="10"/>
        <w:jc w:val="both"/>
        <w:textDirection w:val="lrTbV"/>
        <w:rPr>
          <w:rFonts w:eastAsia="標楷體"/>
          <w:sz w:val="28"/>
          <w:szCs w:val="28"/>
        </w:rPr>
      </w:pPr>
      <w:r w:rsidRPr="00543487">
        <w:rPr>
          <w:rFonts w:eastAsia="標楷體" w:hint="eastAsia"/>
          <w:b/>
          <w:sz w:val="28"/>
          <w:szCs w:val="28"/>
        </w:rPr>
        <w:t>Supervisors</w:t>
      </w:r>
      <w:r w:rsidRPr="00543487">
        <w:rPr>
          <w:rFonts w:eastAsia="標楷體" w:hint="eastAsia"/>
          <w:sz w:val="28"/>
          <w:szCs w:val="28"/>
        </w:rPr>
        <w:t xml:space="preserve">: </w:t>
      </w:r>
    </w:p>
    <w:p w:rsidR="00363599" w:rsidRPr="00543487" w:rsidRDefault="00363599" w:rsidP="001F7BDB">
      <w:pPr>
        <w:spacing w:before="100" w:line="560" w:lineRule="exact"/>
        <w:ind w:leftChars="200" w:left="400" w:rightChars="5" w:right="10"/>
        <w:jc w:val="both"/>
        <w:textDirection w:val="lrTbV"/>
        <w:rPr>
          <w:rFonts w:eastAsia="標楷體"/>
          <w:sz w:val="28"/>
          <w:szCs w:val="28"/>
        </w:rPr>
      </w:pPr>
      <w:r w:rsidRPr="00543487">
        <w:rPr>
          <w:rFonts w:eastAsia="標楷體" w:hint="eastAsia"/>
          <w:sz w:val="28"/>
          <w:szCs w:val="28"/>
        </w:rPr>
        <w:t xml:space="preserve">Chi-yuan Liang, </w:t>
      </w:r>
      <w:proofErr w:type="spellStart"/>
      <w:r w:rsidRPr="00543487">
        <w:rPr>
          <w:rFonts w:eastAsia="標楷體" w:hint="eastAsia"/>
          <w:sz w:val="28"/>
          <w:szCs w:val="28"/>
        </w:rPr>
        <w:t>Tsung-jung</w:t>
      </w:r>
      <w:proofErr w:type="spellEnd"/>
      <w:r w:rsidRPr="00543487">
        <w:rPr>
          <w:rFonts w:eastAsia="標楷體" w:hint="eastAsia"/>
          <w:sz w:val="28"/>
          <w:szCs w:val="28"/>
        </w:rPr>
        <w:t xml:space="preserve"> Liu, Ping-</w:t>
      </w:r>
      <w:proofErr w:type="spellStart"/>
      <w:r w:rsidRPr="00543487">
        <w:rPr>
          <w:rFonts w:eastAsia="標楷體" w:hint="eastAsia"/>
          <w:sz w:val="28"/>
          <w:szCs w:val="28"/>
        </w:rPr>
        <w:t>yung</w:t>
      </w:r>
      <w:proofErr w:type="spellEnd"/>
      <w:r w:rsidRPr="00543487">
        <w:rPr>
          <w:rFonts w:eastAsia="標楷體" w:hint="eastAsia"/>
          <w:sz w:val="28"/>
          <w:szCs w:val="28"/>
        </w:rPr>
        <w:t xml:space="preserve"> Chiu, Ching-fan Chung</w:t>
      </w:r>
    </w:p>
    <w:p w:rsidR="00363599" w:rsidRPr="00543487" w:rsidRDefault="00363599" w:rsidP="00363599">
      <w:pPr>
        <w:pStyle w:val="31"/>
        <w:spacing w:before="100" w:line="540" w:lineRule="exact"/>
        <w:textDirection w:val="lrTbV"/>
        <w:rPr>
          <w:rFonts w:eastAsia="標楷體"/>
          <w:b/>
          <w:sz w:val="28"/>
          <w:szCs w:val="28"/>
        </w:rPr>
      </w:pPr>
    </w:p>
    <w:p w:rsidR="00363599" w:rsidRPr="00543487" w:rsidRDefault="00363599" w:rsidP="00363599">
      <w:pPr>
        <w:pStyle w:val="31"/>
        <w:spacing w:before="100" w:line="540" w:lineRule="exact"/>
        <w:textDirection w:val="lrTbV"/>
        <w:rPr>
          <w:rFonts w:eastAsia="標楷體"/>
          <w:sz w:val="28"/>
          <w:szCs w:val="28"/>
        </w:rPr>
      </w:pPr>
      <w:r w:rsidRPr="00543487">
        <w:rPr>
          <w:rFonts w:eastAsia="標楷體" w:hint="eastAsia"/>
          <w:b/>
          <w:sz w:val="28"/>
          <w:szCs w:val="28"/>
        </w:rPr>
        <w:t xml:space="preserve">Staff Present: </w:t>
      </w:r>
    </w:p>
    <w:p w:rsidR="00363599" w:rsidRPr="00543487" w:rsidRDefault="00363599" w:rsidP="001F7BDB">
      <w:pPr>
        <w:pStyle w:val="31"/>
        <w:spacing w:before="100" w:line="540" w:lineRule="exact"/>
        <w:ind w:leftChars="200" w:left="400"/>
        <w:textDirection w:val="lrTbV"/>
        <w:rPr>
          <w:rFonts w:eastAsia="標楷體"/>
          <w:sz w:val="28"/>
          <w:szCs w:val="28"/>
        </w:rPr>
      </w:pPr>
      <w:r w:rsidRPr="00543487">
        <w:rPr>
          <w:rFonts w:eastAsia="標楷體"/>
          <w:sz w:val="28"/>
          <w:szCs w:val="28"/>
        </w:rPr>
        <w:t>E-</w:t>
      </w:r>
      <w:r w:rsidRPr="00543487">
        <w:rPr>
          <w:rFonts w:eastAsia="標楷體" w:hint="eastAsia"/>
          <w:sz w:val="28"/>
          <w:szCs w:val="28"/>
        </w:rPr>
        <w:t>d</w:t>
      </w:r>
      <w:r w:rsidRPr="00543487">
        <w:rPr>
          <w:rFonts w:eastAsia="標楷體"/>
          <w:sz w:val="28"/>
          <w:szCs w:val="28"/>
        </w:rPr>
        <w:t>awn Chen</w:t>
      </w:r>
      <w:r w:rsidRPr="00543487">
        <w:rPr>
          <w:rFonts w:eastAsia="標楷體" w:hint="eastAsia"/>
          <w:sz w:val="28"/>
          <w:szCs w:val="28"/>
        </w:rPr>
        <w:t>,</w:t>
      </w:r>
      <w:r w:rsidRPr="00543487">
        <w:rPr>
          <w:rFonts w:eastAsia="標楷體"/>
          <w:sz w:val="28"/>
          <w:szCs w:val="28"/>
        </w:rPr>
        <w:t xml:space="preserve"> Director General</w:t>
      </w:r>
      <w:r w:rsidRPr="00543487">
        <w:rPr>
          <w:rFonts w:eastAsia="標楷體" w:hint="eastAsia"/>
          <w:sz w:val="28"/>
          <w:szCs w:val="28"/>
        </w:rPr>
        <w:t>,</w:t>
      </w:r>
      <w:r w:rsidRPr="00543487">
        <w:rPr>
          <w:rFonts w:eastAsia="標楷體"/>
          <w:sz w:val="28"/>
          <w:szCs w:val="28"/>
        </w:rPr>
        <w:t xml:space="preserve"> Department of Banking</w:t>
      </w:r>
    </w:p>
    <w:p w:rsidR="00363599" w:rsidRPr="00543487" w:rsidRDefault="00363599" w:rsidP="001F7BDB">
      <w:pPr>
        <w:pStyle w:val="31"/>
        <w:spacing w:before="100" w:line="540" w:lineRule="exact"/>
        <w:ind w:leftChars="200" w:left="400"/>
        <w:textDirection w:val="lrTbV"/>
        <w:rPr>
          <w:rFonts w:eastAsia="標楷體"/>
          <w:sz w:val="28"/>
          <w:szCs w:val="28"/>
        </w:rPr>
      </w:pPr>
      <w:r w:rsidRPr="00543487">
        <w:rPr>
          <w:rFonts w:eastAsia="標楷體"/>
          <w:sz w:val="28"/>
          <w:szCs w:val="28"/>
        </w:rPr>
        <w:t>James T.H. Shih</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w:t>
      </w:r>
      <w:r w:rsidR="006F25E5">
        <w:rPr>
          <w:rFonts w:eastAsia="標楷體" w:hint="eastAsia"/>
          <w:sz w:val="28"/>
          <w:szCs w:val="28"/>
        </w:rPr>
        <w:t xml:space="preserve"> </w:t>
      </w:r>
      <w:r w:rsidRPr="00543487">
        <w:rPr>
          <w:rFonts w:eastAsia="標楷體"/>
          <w:sz w:val="28"/>
          <w:szCs w:val="28"/>
        </w:rPr>
        <w:t xml:space="preserve">Department of Issuing </w:t>
      </w:r>
    </w:p>
    <w:p w:rsidR="00363599" w:rsidRPr="00543487" w:rsidRDefault="00363599" w:rsidP="001F7BDB">
      <w:pPr>
        <w:pStyle w:val="31"/>
        <w:spacing w:before="100" w:line="540" w:lineRule="exact"/>
        <w:ind w:leftChars="200" w:left="400"/>
        <w:textDirection w:val="lrTbV"/>
        <w:rPr>
          <w:rFonts w:eastAsia="標楷體"/>
          <w:sz w:val="28"/>
          <w:szCs w:val="28"/>
        </w:rPr>
      </w:pPr>
      <w:r w:rsidRPr="00543487">
        <w:rPr>
          <w:rFonts w:eastAsia="標楷體"/>
          <w:sz w:val="28"/>
          <w:szCs w:val="28"/>
        </w:rPr>
        <w:t>Hui-</w:t>
      </w:r>
      <w:proofErr w:type="spellStart"/>
      <w:r w:rsidRPr="00543487">
        <w:rPr>
          <w:rFonts w:eastAsia="標楷體" w:hint="eastAsia"/>
          <w:sz w:val="28"/>
          <w:szCs w:val="28"/>
        </w:rPr>
        <w:t>h</w:t>
      </w:r>
      <w:r w:rsidRPr="00543487">
        <w:rPr>
          <w:rFonts w:eastAsia="標楷體"/>
          <w:sz w:val="28"/>
          <w:szCs w:val="28"/>
        </w:rPr>
        <w:t>uang</w:t>
      </w:r>
      <w:proofErr w:type="spellEnd"/>
      <w:r w:rsidRPr="00543487">
        <w:rPr>
          <w:rFonts w:eastAsia="標楷體"/>
          <w:sz w:val="28"/>
          <w:szCs w:val="28"/>
        </w:rPr>
        <w:t xml:space="preserve"> Yen</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w:t>
      </w:r>
      <w:r w:rsidRPr="00543487">
        <w:rPr>
          <w:rFonts w:eastAsia="標楷體"/>
          <w:sz w:val="28"/>
          <w:szCs w:val="28"/>
        </w:rPr>
        <w:t xml:space="preserve"> Department of Foreign</w:t>
      </w:r>
      <w:r w:rsidRPr="00543487">
        <w:rPr>
          <w:rFonts w:eastAsia="標楷體" w:hint="eastAsia"/>
          <w:sz w:val="28"/>
          <w:szCs w:val="28"/>
        </w:rPr>
        <w:t xml:space="preserve"> </w:t>
      </w:r>
      <w:r w:rsidRPr="00543487">
        <w:rPr>
          <w:rFonts w:eastAsia="標楷體"/>
          <w:sz w:val="28"/>
          <w:szCs w:val="28"/>
        </w:rPr>
        <w:t>Exchange</w:t>
      </w:r>
    </w:p>
    <w:p w:rsidR="00363599" w:rsidRPr="00543487" w:rsidRDefault="00363599" w:rsidP="001F7BDB">
      <w:pPr>
        <w:pStyle w:val="31"/>
        <w:spacing w:before="100" w:line="540" w:lineRule="exact"/>
        <w:ind w:leftChars="200" w:left="400"/>
        <w:textDirection w:val="lrTbV"/>
        <w:rPr>
          <w:rFonts w:eastAsia="標楷體"/>
          <w:sz w:val="28"/>
          <w:szCs w:val="28"/>
        </w:rPr>
      </w:pPr>
      <w:r w:rsidRPr="00543487">
        <w:rPr>
          <w:rFonts w:eastAsia="標楷體"/>
          <w:sz w:val="28"/>
          <w:szCs w:val="28"/>
        </w:rPr>
        <w:lastRenderedPageBreak/>
        <w:t>Yue-</w:t>
      </w:r>
      <w:r w:rsidRPr="00543487">
        <w:rPr>
          <w:rFonts w:eastAsia="標楷體" w:hint="eastAsia"/>
          <w:sz w:val="28"/>
          <w:szCs w:val="28"/>
        </w:rPr>
        <w:t>m</w:t>
      </w:r>
      <w:r w:rsidRPr="00543487">
        <w:rPr>
          <w:rFonts w:eastAsia="標楷體"/>
          <w:sz w:val="28"/>
          <w:szCs w:val="28"/>
        </w:rPr>
        <w:t>in Chen</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 xml:space="preserve">, </w:t>
      </w:r>
      <w:r w:rsidRPr="00543487">
        <w:rPr>
          <w:rFonts w:eastAsia="標楷體"/>
          <w:sz w:val="28"/>
          <w:szCs w:val="28"/>
        </w:rPr>
        <w:t>Department of the Treasury</w:t>
      </w:r>
    </w:p>
    <w:p w:rsidR="00363599" w:rsidRPr="00543487" w:rsidRDefault="00363599" w:rsidP="001F7BDB">
      <w:pPr>
        <w:pStyle w:val="31"/>
        <w:spacing w:before="100" w:line="540" w:lineRule="exact"/>
        <w:ind w:leftChars="200" w:left="400"/>
        <w:textDirection w:val="lrTbV"/>
        <w:rPr>
          <w:rFonts w:eastAsia="標楷體"/>
          <w:sz w:val="28"/>
          <w:szCs w:val="28"/>
        </w:rPr>
      </w:pPr>
      <w:proofErr w:type="spellStart"/>
      <w:r w:rsidRPr="00543487">
        <w:rPr>
          <w:rFonts w:eastAsia="標楷體"/>
          <w:sz w:val="28"/>
          <w:szCs w:val="28"/>
        </w:rPr>
        <w:t>Tsuey</w:t>
      </w:r>
      <w:proofErr w:type="spellEnd"/>
      <w:r w:rsidRPr="00543487">
        <w:rPr>
          <w:rFonts w:eastAsia="標楷體"/>
          <w:sz w:val="28"/>
          <w:szCs w:val="28"/>
        </w:rPr>
        <w:t>-</w:t>
      </w:r>
      <w:r w:rsidRPr="00543487">
        <w:rPr>
          <w:rFonts w:eastAsia="標楷體" w:hint="eastAsia"/>
          <w:sz w:val="28"/>
          <w:szCs w:val="28"/>
        </w:rPr>
        <w:t>l</w:t>
      </w:r>
      <w:r w:rsidRPr="00543487">
        <w:rPr>
          <w:rFonts w:eastAsia="標楷體"/>
          <w:sz w:val="28"/>
          <w:szCs w:val="28"/>
        </w:rPr>
        <w:t>ing Hsiao</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 D</w:t>
      </w:r>
      <w:r w:rsidRPr="00543487">
        <w:rPr>
          <w:rFonts w:eastAsia="標楷體"/>
          <w:sz w:val="28"/>
          <w:szCs w:val="28"/>
        </w:rPr>
        <w:t>epartment of Financial</w:t>
      </w:r>
      <w:r w:rsidRPr="00543487">
        <w:rPr>
          <w:rFonts w:eastAsia="標楷體" w:hint="eastAsia"/>
          <w:sz w:val="28"/>
          <w:szCs w:val="28"/>
        </w:rPr>
        <w:t xml:space="preserve"> </w:t>
      </w:r>
      <w:r w:rsidRPr="00543487">
        <w:rPr>
          <w:rFonts w:eastAsia="標楷體"/>
          <w:sz w:val="28"/>
          <w:szCs w:val="28"/>
        </w:rPr>
        <w:t>Inspection</w:t>
      </w:r>
      <w:r w:rsidRPr="00543487">
        <w:rPr>
          <w:rFonts w:eastAsia="標楷體" w:hint="eastAsia"/>
          <w:sz w:val="28"/>
          <w:szCs w:val="28"/>
        </w:rPr>
        <w:t xml:space="preserve"> </w:t>
      </w:r>
    </w:p>
    <w:p w:rsidR="00363599" w:rsidRPr="00543487" w:rsidRDefault="00363599" w:rsidP="001F7BDB">
      <w:pPr>
        <w:pStyle w:val="31"/>
        <w:spacing w:before="100" w:line="540" w:lineRule="exact"/>
        <w:ind w:leftChars="200" w:left="400"/>
        <w:textDirection w:val="lrTbV"/>
        <w:rPr>
          <w:rFonts w:eastAsia="標楷體"/>
          <w:sz w:val="28"/>
          <w:szCs w:val="28"/>
        </w:rPr>
      </w:pPr>
      <w:proofErr w:type="spellStart"/>
      <w:r w:rsidRPr="00543487">
        <w:rPr>
          <w:rFonts w:eastAsia="標楷體"/>
          <w:sz w:val="28"/>
          <w:szCs w:val="28"/>
        </w:rPr>
        <w:t>Tzong-</w:t>
      </w:r>
      <w:r w:rsidRPr="00543487">
        <w:rPr>
          <w:rFonts w:eastAsia="標楷體" w:hint="eastAsia"/>
          <w:sz w:val="28"/>
          <w:szCs w:val="28"/>
        </w:rPr>
        <w:t>y</w:t>
      </w:r>
      <w:r w:rsidRPr="00543487">
        <w:rPr>
          <w:rFonts w:eastAsia="標楷體"/>
          <w:sz w:val="28"/>
          <w:szCs w:val="28"/>
        </w:rPr>
        <w:t>au</w:t>
      </w:r>
      <w:proofErr w:type="spellEnd"/>
      <w:r w:rsidRPr="00543487">
        <w:rPr>
          <w:rFonts w:eastAsia="標楷體"/>
          <w:sz w:val="28"/>
          <w:szCs w:val="28"/>
        </w:rPr>
        <w:t xml:space="preserve"> Lin</w:t>
      </w:r>
      <w:r w:rsidRPr="00543487">
        <w:rPr>
          <w:rFonts w:eastAsia="標楷體" w:hint="eastAsia"/>
          <w:sz w:val="28"/>
          <w:szCs w:val="28"/>
        </w:rPr>
        <w:t>,</w:t>
      </w:r>
      <w:r w:rsidRPr="00543487">
        <w:rPr>
          <w:rFonts w:eastAsia="標楷體"/>
          <w:sz w:val="28"/>
          <w:szCs w:val="28"/>
        </w:rPr>
        <w:t xml:space="preserve"> Director General</w:t>
      </w:r>
      <w:r w:rsidRPr="00543487">
        <w:rPr>
          <w:rFonts w:eastAsia="標楷體" w:hint="eastAsia"/>
          <w:sz w:val="28"/>
          <w:szCs w:val="28"/>
        </w:rPr>
        <w:t xml:space="preserve">, </w:t>
      </w:r>
      <w:r w:rsidRPr="00543487">
        <w:rPr>
          <w:rFonts w:eastAsia="標楷體"/>
          <w:sz w:val="28"/>
          <w:szCs w:val="28"/>
        </w:rPr>
        <w:t>Department of Economic Research</w:t>
      </w:r>
      <w:r w:rsidRPr="00543487">
        <w:rPr>
          <w:rFonts w:eastAsia="標楷體" w:hint="eastAsia"/>
          <w:sz w:val="28"/>
          <w:szCs w:val="28"/>
        </w:rPr>
        <w:t xml:space="preserve"> </w:t>
      </w:r>
    </w:p>
    <w:p w:rsidR="00363599" w:rsidRPr="00543487" w:rsidRDefault="00363599" w:rsidP="001F7BDB">
      <w:pPr>
        <w:pStyle w:val="31"/>
        <w:spacing w:before="100" w:line="540" w:lineRule="exact"/>
        <w:ind w:leftChars="200" w:left="400"/>
        <w:textDirection w:val="lrTbV"/>
        <w:rPr>
          <w:rFonts w:eastAsia="標楷體"/>
          <w:sz w:val="28"/>
          <w:szCs w:val="28"/>
        </w:rPr>
      </w:pPr>
      <w:proofErr w:type="spellStart"/>
      <w:r w:rsidRPr="00543487">
        <w:rPr>
          <w:rFonts w:eastAsia="標楷體"/>
          <w:sz w:val="28"/>
          <w:szCs w:val="28"/>
        </w:rPr>
        <w:t>Chien-</w:t>
      </w:r>
      <w:r w:rsidRPr="00543487">
        <w:rPr>
          <w:rFonts w:eastAsia="標楷體" w:hint="eastAsia"/>
          <w:sz w:val="28"/>
          <w:szCs w:val="28"/>
        </w:rPr>
        <w:t>c</w:t>
      </w:r>
      <w:r w:rsidRPr="00543487">
        <w:rPr>
          <w:rFonts w:eastAsia="標楷體"/>
          <w:sz w:val="28"/>
          <w:szCs w:val="28"/>
        </w:rPr>
        <w:t>hing</w:t>
      </w:r>
      <w:proofErr w:type="spellEnd"/>
      <w:r w:rsidRPr="00543487">
        <w:rPr>
          <w:rFonts w:eastAsia="標楷體"/>
          <w:sz w:val="28"/>
          <w:szCs w:val="28"/>
        </w:rPr>
        <w:t xml:space="preserve"> Liang</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w:t>
      </w:r>
      <w:r w:rsidRPr="00543487">
        <w:rPr>
          <w:rFonts w:eastAsia="標楷體"/>
          <w:sz w:val="28"/>
          <w:szCs w:val="28"/>
        </w:rPr>
        <w:t xml:space="preserve"> Secretariat</w:t>
      </w:r>
    </w:p>
    <w:p w:rsidR="00363599" w:rsidRPr="00543487" w:rsidRDefault="00363599" w:rsidP="001F7BDB">
      <w:pPr>
        <w:pStyle w:val="31"/>
        <w:spacing w:before="100" w:line="540" w:lineRule="exact"/>
        <w:ind w:leftChars="200" w:left="400"/>
        <w:textDirection w:val="lrTbV"/>
        <w:rPr>
          <w:rFonts w:eastAsia="標楷體"/>
          <w:sz w:val="28"/>
          <w:szCs w:val="28"/>
        </w:rPr>
      </w:pPr>
      <w:proofErr w:type="spellStart"/>
      <w:r w:rsidRPr="00543487">
        <w:rPr>
          <w:rFonts w:eastAsia="標楷體"/>
          <w:sz w:val="28"/>
          <w:szCs w:val="28"/>
        </w:rPr>
        <w:t>Kuei-</w:t>
      </w:r>
      <w:r w:rsidRPr="00543487">
        <w:rPr>
          <w:rFonts w:eastAsia="標楷體" w:hint="eastAsia"/>
          <w:sz w:val="28"/>
          <w:szCs w:val="28"/>
        </w:rPr>
        <w:t>c</w:t>
      </w:r>
      <w:r w:rsidRPr="00543487">
        <w:rPr>
          <w:rFonts w:eastAsia="標楷體"/>
          <w:sz w:val="28"/>
          <w:szCs w:val="28"/>
        </w:rPr>
        <w:t>hou</w:t>
      </w:r>
      <w:proofErr w:type="spellEnd"/>
      <w:r w:rsidRPr="00543487">
        <w:rPr>
          <w:rFonts w:eastAsia="標楷體"/>
          <w:sz w:val="28"/>
          <w:szCs w:val="28"/>
        </w:rPr>
        <w:t xml:space="preserve"> Huang</w:t>
      </w:r>
      <w:r w:rsidRPr="00543487">
        <w:rPr>
          <w:rFonts w:eastAsia="標楷體" w:hint="eastAsia"/>
          <w:sz w:val="28"/>
          <w:szCs w:val="28"/>
        </w:rPr>
        <w:t xml:space="preserve">, </w:t>
      </w:r>
      <w:r w:rsidRPr="00543487">
        <w:rPr>
          <w:rFonts w:eastAsia="標楷體"/>
          <w:sz w:val="28"/>
          <w:szCs w:val="28"/>
        </w:rPr>
        <w:t>Director General</w:t>
      </w:r>
      <w:r w:rsidRPr="00543487">
        <w:rPr>
          <w:rFonts w:eastAsia="標楷體" w:hint="eastAsia"/>
          <w:sz w:val="28"/>
          <w:szCs w:val="28"/>
        </w:rPr>
        <w:t>,</w:t>
      </w:r>
      <w:r w:rsidRPr="00543487">
        <w:rPr>
          <w:rFonts w:eastAsia="標楷體"/>
          <w:sz w:val="28"/>
          <w:szCs w:val="28"/>
        </w:rPr>
        <w:t xml:space="preserve"> Department of Accounting</w:t>
      </w:r>
    </w:p>
    <w:p w:rsidR="00363599" w:rsidRPr="00543487" w:rsidRDefault="00363599" w:rsidP="001F7BDB">
      <w:pPr>
        <w:pStyle w:val="31"/>
        <w:spacing w:before="100" w:line="540" w:lineRule="exact"/>
        <w:ind w:leftChars="200" w:left="400"/>
        <w:textDirection w:val="lrTbV"/>
        <w:rPr>
          <w:rFonts w:eastAsia="標楷體"/>
          <w:sz w:val="28"/>
          <w:szCs w:val="28"/>
        </w:rPr>
      </w:pPr>
      <w:proofErr w:type="spellStart"/>
      <w:r w:rsidRPr="00543487">
        <w:rPr>
          <w:rFonts w:eastAsia="標楷體"/>
          <w:sz w:val="28"/>
          <w:szCs w:val="28"/>
        </w:rPr>
        <w:t>Jhih-</w:t>
      </w:r>
      <w:r w:rsidRPr="00543487">
        <w:rPr>
          <w:rFonts w:eastAsia="標楷體" w:hint="eastAsia"/>
          <w:sz w:val="28"/>
          <w:szCs w:val="28"/>
        </w:rPr>
        <w:t>c</w:t>
      </w:r>
      <w:r w:rsidRPr="00543487">
        <w:rPr>
          <w:rFonts w:eastAsia="標楷體"/>
          <w:sz w:val="28"/>
          <w:szCs w:val="28"/>
        </w:rPr>
        <w:t>heng</w:t>
      </w:r>
      <w:proofErr w:type="spellEnd"/>
      <w:r w:rsidRPr="00543487">
        <w:rPr>
          <w:rFonts w:eastAsia="標楷體"/>
          <w:sz w:val="28"/>
          <w:szCs w:val="28"/>
        </w:rPr>
        <w:t xml:space="preserve"> Hong</w:t>
      </w:r>
      <w:r w:rsidRPr="00543487">
        <w:rPr>
          <w:rFonts w:eastAsia="標楷體" w:hint="eastAsia"/>
          <w:sz w:val="28"/>
          <w:szCs w:val="28"/>
        </w:rPr>
        <w:t xml:space="preserve">, </w:t>
      </w:r>
      <w:r w:rsidRPr="00543487">
        <w:rPr>
          <w:rFonts w:eastAsia="標楷體"/>
          <w:sz w:val="28"/>
          <w:szCs w:val="28"/>
        </w:rPr>
        <w:t>Director</w:t>
      </w:r>
      <w:r w:rsidRPr="00543487">
        <w:rPr>
          <w:rFonts w:eastAsia="標楷體" w:hint="eastAsia"/>
          <w:sz w:val="28"/>
          <w:szCs w:val="28"/>
        </w:rPr>
        <w:t>,</w:t>
      </w:r>
      <w:r w:rsidRPr="00543487">
        <w:rPr>
          <w:rFonts w:eastAsia="標楷體"/>
          <w:sz w:val="28"/>
          <w:szCs w:val="28"/>
        </w:rPr>
        <w:t xml:space="preserve"> Personnel Office</w:t>
      </w:r>
    </w:p>
    <w:p w:rsidR="00363599" w:rsidRPr="00543487" w:rsidRDefault="00363599" w:rsidP="001F7BDB">
      <w:pPr>
        <w:pStyle w:val="31"/>
        <w:spacing w:before="100" w:line="540" w:lineRule="exact"/>
        <w:ind w:leftChars="200" w:left="400"/>
        <w:textDirection w:val="lrTbV"/>
        <w:rPr>
          <w:rFonts w:eastAsia="標楷體"/>
          <w:sz w:val="28"/>
          <w:szCs w:val="28"/>
        </w:rPr>
      </w:pPr>
      <w:r w:rsidRPr="00543487">
        <w:rPr>
          <w:rFonts w:eastAsia="標楷體"/>
          <w:sz w:val="28"/>
          <w:szCs w:val="28"/>
        </w:rPr>
        <w:t>Kun-</w:t>
      </w:r>
      <w:proofErr w:type="spellStart"/>
      <w:r w:rsidRPr="00543487">
        <w:rPr>
          <w:rFonts w:eastAsia="標楷體" w:hint="eastAsia"/>
          <w:sz w:val="28"/>
          <w:szCs w:val="28"/>
        </w:rPr>
        <w:t>s</w:t>
      </w:r>
      <w:r w:rsidRPr="00543487">
        <w:rPr>
          <w:rFonts w:eastAsia="標楷體"/>
          <w:sz w:val="28"/>
          <w:szCs w:val="28"/>
        </w:rPr>
        <w:t>han</w:t>
      </w:r>
      <w:proofErr w:type="spellEnd"/>
      <w:r w:rsidRPr="00543487">
        <w:rPr>
          <w:rFonts w:eastAsia="標楷體"/>
          <w:sz w:val="28"/>
          <w:szCs w:val="28"/>
        </w:rPr>
        <w:t xml:space="preserve"> Wu</w:t>
      </w:r>
      <w:r w:rsidRPr="00543487">
        <w:rPr>
          <w:rFonts w:eastAsia="標楷體" w:hint="eastAsia"/>
          <w:sz w:val="28"/>
          <w:szCs w:val="28"/>
        </w:rPr>
        <w:t>,</w:t>
      </w:r>
      <w:r w:rsidRPr="00543487">
        <w:rPr>
          <w:rFonts w:eastAsia="標楷體"/>
          <w:sz w:val="28"/>
          <w:szCs w:val="28"/>
        </w:rPr>
        <w:t xml:space="preserve"> Director</w:t>
      </w:r>
      <w:r w:rsidRPr="00543487">
        <w:rPr>
          <w:rFonts w:eastAsia="標楷體" w:hint="eastAsia"/>
          <w:sz w:val="28"/>
          <w:szCs w:val="28"/>
        </w:rPr>
        <w:t>,</w:t>
      </w:r>
      <w:r w:rsidRPr="00543487">
        <w:rPr>
          <w:rFonts w:eastAsia="標楷體"/>
          <w:sz w:val="28"/>
          <w:szCs w:val="28"/>
        </w:rPr>
        <w:t xml:space="preserve"> Legal Affairs Office </w:t>
      </w:r>
    </w:p>
    <w:p w:rsidR="00363599" w:rsidRPr="00543487" w:rsidRDefault="00363599" w:rsidP="001F7BDB">
      <w:pPr>
        <w:pStyle w:val="31"/>
        <w:spacing w:before="100" w:line="540" w:lineRule="exact"/>
        <w:ind w:leftChars="200" w:left="400"/>
        <w:textDirection w:val="lrTbV"/>
        <w:rPr>
          <w:rFonts w:eastAsia="標楷體"/>
          <w:sz w:val="28"/>
          <w:szCs w:val="28"/>
        </w:rPr>
      </w:pPr>
      <w:r w:rsidRPr="00543487">
        <w:rPr>
          <w:rFonts w:eastAsia="標楷體"/>
          <w:sz w:val="28"/>
          <w:szCs w:val="28"/>
        </w:rPr>
        <w:t>Lien-Hwa Hsiang</w:t>
      </w:r>
      <w:r w:rsidRPr="00543487">
        <w:rPr>
          <w:rFonts w:eastAsia="標楷體" w:hint="eastAsia"/>
          <w:sz w:val="28"/>
          <w:szCs w:val="28"/>
        </w:rPr>
        <w:t>, Secretary, Board of Supervisors</w:t>
      </w:r>
    </w:p>
    <w:p w:rsidR="00363599" w:rsidRPr="00543487" w:rsidRDefault="00363599" w:rsidP="001F7BDB">
      <w:pPr>
        <w:pStyle w:val="31"/>
        <w:spacing w:before="100" w:line="540" w:lineRule="exact"/>
        <w:ind w:leftChars="200" w:left="400"/>
        <w:textDirection w:val="lrTbV"/>
        <w:rPr>
          <w:rFonts w:eastAsia="標楷體"/>
          <w:sz w:val="28"/>
          <w:szCs w:val="28"/>
        </w:rPr>
      </w:pPr>
      <w:proofErr w:type="spellStart"/>
      <w:r w:rsidRPr="00543487">
        <w:rPr>
          <w:rFonts w:eastAsia="標楷體" w:hint="eastAsia"/>
          <w:sz w:val="28"/>
          <w:szCs w:val="28"/>
        </w:rPr>
        <w:t>Chih-cheng</w:t>
      </w:r>
      <w:proofErr w:type="spellEnd"/>
      <w:r w:rsidRPr="00543487">
        <w:rPr>
          <w:rFonts w:eastAsia="標楷體" w:hint="eastAsia"/>
          <w:sz w:val="28"/>
          <w:szCs w:val="28"/>
        </w:rPr>
        <w:t xml:space="preserve"> Hu, Secretary, Board of Directors</w:t>
      </w:r>
    </w:p>
    <w:p w:rsidR="00363599" w:rsidRPr="00543487" w:rsidRDefault="00363599" w:rsidP="00363599">
      <w:pPr>
        <w:spacing w:before="100" w:line="560" w:lineRule="exact"/>
        <w:ind w:right="11"/>
        <w:jc w:val="both"/>
        <w:textDirection w:val="lrTbV"/>
        <w:rPr>
          <w:rFonts w:eastAsia="標楷體"/>
          <w:b/>
          <w:sz w:val="28"/>
          <w:szCs w:val="28"/>
        </w:rPr>
      </w:pPr>
    </w:p>
    <w:p w:rsidR="00363599" w:rsidRDefault="00363599" w:rsidP="00363599">
      <w:pPr>
        <w:spacing w:before="100" w:line="640" w:lineRule="exact"/>
        <w:textDirection w:val="lrTbV"/>
        <w:rPr>
          <w:rFonts w:eastAsia="標楷體"/>
          <w:b/>
          <w:sz w:val="36"/>
          <w:szCs w:val="36"/>
        </w:rPr>
      </w:pPr>
      <w:r w:rsidRPr="00543487">
        <w:rPr>
          <w:rFonts w:eastAsia="標楷體" w:hint="eastAsia"/>
          <w:b/>
          <w:sz w:val="28"/>
          <w:szCs w:val="28"/>
        </w:rPr>
        <w:t>Presiding:</w:t>
      </w:r>
      <w:r w:rsidRPr="00543487">
        <w:rPr>
          <w:rFonts w:eastAsia="標楷體" w:hint="eastAsia"/>
          <w:sz w:val="28"/>
          <w:szCs w:val="28"/>
        </w:rPr>
        <w:t xml:space="preserve"> Fai-nan </w:t>
      </w:r>
      <w:proofErr w:type="spellStart"/>
      <w:r w:rsidRPr="00543487">
        <w:rPr>
          <w:rFonts w:eastAsia="標楷體" w:hint="eastAsia"/>
          <w:sz w:val="28"/>
          <w:szCs w:val="28"/>
        </w:rPr>
        <w:t>Perng</w:t>
      </w:r>
      <w:proofErr w:type="spellEnd"/>
      <w:r w:rsidRPr="00543487">
        <w:rPr>
          <w:rFonts w:eastAsia="標楷體" w:hint="eastAsia"/>
          <w:sz w:val="28"/>
          <w:szCs w:val="28"/>
        </w:rPr>
        <w:t xml:space="preserve">　　　　</w:t>
      </w: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363599" w:rsidRDefault="00363599" w:rsidP="008F598A">
      <w:pPr>
        <w:spacing w:before="100" w:line="640" w:lineRule="exact"/>
        <w:jc w:val="center"/>
        <w:textDirection w:val="lrTbV"/>
        <w:rPr>
          <w:rFonts w:eastAsia="標楷體"/>
          <w:b/>
          <w:sz w:val="36"/>
          <w:szCs w:val="36"/>
        </w:rPr>
      </w:pPr>
    </w:p>
    <w:p w:rsidR="005E27CD" w:rsidRDefault="005E27CD">
      <w:pPr>
        <w:widowControl/>
        <w:adjustRightInd/>
        <w:spacing w:line="240" w:lineRule="auto"/>
        <w:textAlignment w:val="auto"/>
        <w:rPr>
          <w:rFonts w:eastAsia="標楷體"/>
          <w:sz w:val="32"/>
          <w:szCs w:val="32"/>
        </w:rPr>
      </w:pPr>
      <w:r>
        <w:rPr>
          <w:rFonts w:eastAsia="標楷體"/>
          <w:sz w:val="32"/>
          <w:szCs w:val="32"/>
        </w:rPr>
        <w:br w:type="page"/>
      </w:r>
    </w:p>
    <w:p w:rsidR="005E27CD" w:rsidRDefault="005E27CD" w:rsidP="005E27CD">
      <w:pPr>
        <w:adjustRightInd/>
        <w:snapToGrid w:val="0"/>
        <w:spacing w:before="240" w:line="520" w:lineRule="exact"/>
        <w:jc w:val="both"/>
        <w:textDirection w:val="lrTbV"/>
        <w:rPr>
          <w:rFonts w:eastAsia="標楷體"/>
          <w:b/>
          <w:sz w:val="28"/>
          <w:szCs w:val="28"/>
        </w:rPr>
      </w:pPr>
      <w:r>
        <w:rPr>
          <w:rFonts w:eastAsia="標楷體" w:hint="eastAsia"/>
          <w:b/>
          <w:sz w:val="28"/>
          <w:szCs w:val="28"/>
        </w:rPr>
        <w:lastRenderedPageBreak/>
        <w:t>Agenda Item 1</w:t>
      </w:r>
      <w:r w:rsidRPr="00EB1763">
        <w:rPr>
          <w:rFonts w:eastAsia="標楷體" w:hint="eastAsia"/>
          <w:b/>
          <w:sz w:val="28"/>
          <w:szCs w:val="28"/>
        </w:rPr>
        <w:t xml:space="preserve">: </w:t>
      </w:r>
      <w:r>
        <w:rPr>
          <w:rFonts w:eastAsia="標楷體" w:hint="eastAsia"/>
          <w:b/>
          <w:sz w:val="28"/>
          <w:szCs w:val="28"/>
        </w:rPr>
        <w:t xml:space="preserve">Setting M2 </w:t>
      </w:r>
      <w:r w:rsidR="006B2E6B">
        <w:rPr>
          <w:rFonts w:eastAsia="標楷體" w:hint="eastAsia"/>
          <w:b/>
          <w:sz w:val="28"/>
          <w:szCs w:val="28"/>
        </w:rPr>
        <w:t>t</w:t>
      </w:r>
      <w:r>
        <w:rPr>
          <w:rFonts w:eastAsia="標楷體" w:hint="eastAsia"/>
          <w:b/>
          <w:sz w:val="28"/>
          <w:szCs w:val="28"/>
        </w:rPr>
        <w:t xml:space="preserve">arget </w:t>
      </w:r>
      <w:r w:rsidR="006B2E6B">
        <w:rPr>
          <w:rFonts w:eastAsia="標楷體" w:hint="eastAsia"/>
          <w:b/>
          <w:sz w:val="28"/>
          <w:szCs w:val="28"/>
        </w:rPr>
        <w:t>r</w:t>
      </w:r>
      <w:r w:rsidR="0043506F">
        <w:rPr>
          <w:rFonts w:eastAsia="標楷體" w:hint="eastAsia"/>
          <w:b/>
          <w:sz w:val="28"/>
          <w:szCs w:val="28"/>
        </w:rPr>
        <w:t xml:space="preserve">ange </w:t>
      </w:r>
      <w:r>
        <w:rPr>
          <w:rFonts w:eastAsia="標楷體" w:hint="eastAsia"/>
          <w:b/>
          <w:sz w:val="28"/>
          <w:szCs w:val="28"/>
        </w:rPr>
        <w:t xml:space="preserve">at 2.5%-6.5% for </w:t>
      </w:r>
      <w:r w:rsidR="006B2E6B">
        <w:rPr>
          <w:rFonts w:eastAsia="標楷體" w:hint="eastAsia"/>
          <w:b/>
          <w:sz w:val="28"/>
          <w:szCs w:val="28"/>
        </w:rPr>
        <w:t>y</w:t>
      </w:r>
      <w:r>
        <w:rPr>
          <w:rFonts w:eastAsia="標楷體" w:hint="eastAsia"/>
          <w:b/>
          <w:sz w:val="28"/>
          <w:szCs w:val="28"/>
        </w:rPr>
        <w:t xml:space="preserve">ear 2018. </w:t>
      </w:r>
    </w:p>
    <w:p w:rsidR="005E27CD" w:rsidRDefault="0067400B" w:rsidP="005E27CD">
      <w:pPr>
        <w:adjustRightInd/>
        <w:snapToGrid w:val="0"/>
        <w:spacing w:before="240" w:line="520" w:lineRule="exact"/>
        <w:jc w:val="both"/>
        <w:textDirection w:val="lrTbV"/>
        <w:rPr>
          <w:rFonts w:eastAsia="標楷體"/>
          <w:b/>
          <w:sz w:val="28"/>
          <w:szCs w:val="28"/>
        </w:rPr>
      </w:pPr>
      <w:r>
        <w:rPr>
          <w:rFonts w:eastAsia="標楷體" w:hint="eastAsia"/>
          <w:b/>
          <w:sz w:val="28"/>
          <w:szCs w:val="28"/>
        </w:rPr>
        <w:t>I. Background I</w:t>
      </w:r>
      <w:r w:rsidR="0043506F">
        <w:rPr>
          <w:rFonts w:eastAsia="標楷體" w:hint="eastAsia"/>
          <w:b/>
          <w:sz w:val="28"/>
          <w:szCs w:val="28"/>
        </w:rPr>
        <w:t xml:space="preserve">nformation </w:t>
      </w:r>
    </w:p>
    <w:p w:rsidR="0043506F" w:rsidRPr="00EB1763" w:rsidRDefault="0043506F" w:rsidP="0043506F">
      <w:pPr>
        <w:adjustRightInd/>
        <w:snapToGrid w:val="0"/>
        <w:spacing w:before="240" w:line="520" w:lineRule="exact"/>
        <w:jc w:val="both"/>
        <w:textDirection w:val="lrTbV"/>
        <w:rPr>
          <w:rFonts w:eastAsia="標楷體"/>
          <w:sz w:val="28"/>
          <w:szCs w:val="28"/>
        </w:rPr>
      </w:pPr>
      <w:r>
        <w:rPr>
          <w:rFonts w:eastAsia="標楷體" w:hint="eastAsia"/>
          <w:sz w:val="28"/>
          <w:szCs w:val="28"/>
        </w:rPr>
        <w:t xml:space="preserve">The </w:t>
      </w:r>
      <w:r w:rsidRPr="00EB1763">
        <w:rPr>
          <w:rFonts w:eastAsia="標楷體" w:hint="eastAsia"/>
          <w:sz w:val="28"/>
          <w:szCs w:val="28"/>
        </w:rPr>
        <w:t xml:space="preserve">Department of Economic Research </w:t>
      </w:r>
      <w:r w:rsidR="00653A10">
        <w:rPr>
          <w:rFonts w:eastAsia="標楷體" w:hint="eastAsia"/>
          <w:sz w:val="28"/>
          <w:szCs w:val="28"/>
        </w:rPr>
        <w:t>provided</w:t>
      </w:r>
      <w:r>
        <w:rPr>
          <w:rFonts w:eastAsia="標楷體" w:hint="eastAsia"/>
          <w:sz w:val="28"/>
          <w:szCs w:val="28"/>
        </w:rPr>
        <w:t xml:space="preserve"> the following </w:t>
      </w:r>
      <w:r w:rsidR="00653A10">
        <w:rPr>
          <w:rFonts w:eastAsia="標楷體" w:hint="eastAsia"/>
          <w:sz w:val="28"/>
          <w:szCs w:val="28"/>
        </w:rPr>
        <w:t>information</w:t>
      </w:r>
      <w:r>
        <w:rPr>
          <w:rFonts w:eastAsia="標楷體" w:hint="eastAsia"/>
          <w:sz w:val="28"/>
          <w:szCs w:val="28"/>
        </w:rPr>
        <w:t xml:space="preserve">: </w:t>
      </w:r>
    </w:p>
    <w:p w:rsidR="0043506F" w:rsidRDefault="00653A10" w:rsidP="0043506F">
      <w:pPr>
        <w:numPr>
          <w:ilvl w:val="0"/>
          <w:numId w:val="4"/>
        </w:numPr>
        <w:overflowPunct w:val="0"/>
        <w:autoSpaceDE w:val="0"/>
        <w:autoSpaceDN w:val="0"/>
        <w:snapToGrid w:val="0"/>
        <w:spacing w:before="240" w:line="520" w:lineRule="exact"/>
        <w:ind w:left="426" w:hanging="284"/>
        <w:jc w:val="both"/>
        <w:rPr>
          <w:rFonts w:eastAsia="標楷體"/>
          <w:b/>
          <w:spacing w:val="-2"/>
          <w:sz w:val="28"/>
          <w:szCs w:val="28"/>
        </w:rPr>
      </w:pPr>
      <w:r>
        <w:rPr>
          <w:rFonts w:eastAsia="標楷體" w:hint="eastAsia"/>
          <w:b/>
          <w:spacing w:val="-2"/>
          <w:sz w:val="28"/>
          <w:szCs w:val="28"/>
        </w:rPr>
        <w:t xml:space="preserve">Considerations for M2 </w:t>
      </w:r>
      <w:r w:rsidR="006B2E6B">
        <w:rPr>
          <w:rFonts w:eastAsia="標楷體" w:hint="eastAsia"/>
          <w:b/>
          <w:spacing w:val="-2"/>
          <w:sz w:val="28"/>
          <w:szCs w:val="28"/>
        </w:rPr>
        <w:t>t</w:t>
      </w:r>
      <w:r>
        <w:rPr>
          <w:rFonts w:eastAsia="標楷體" w:hint="eastAsia"/>
          <w:b/>
          <w:spacing w:val="-2"/>
          <w:sz w:val="28"/>
          <w:szCs w:val="28"/>
        </w:rPr>
        <w:t xml:space="preserve">arget </w:t>
      </w:r>
      <w:r w:rsidR="006B2E6B">
        <w:rPr>
          <w:rFonts w:eastAsia="標楷體" w:hint="eastAsia"/>
          <w:b/>
          <w:spacing w:val="-2"/>
          <w:sz w:val="28"/>
          <w:szCs w:val="28"/>
        </w:rPr>
        <w:t>setting</w:t>
      </w:r>
    </w:p>
    <w:p w:rsidR="00653A10" w:rsidRDefault="00FE039E" w:rsidP="00653A10">
      <w:pPr>
        <w:pStyle w:val="6"/>
        <w:overflowPunct w:val="0"/>
        <w:snapToGrid w:val="0"/>
        <w:spacing w:before="240" w:after="0" w:line="520" w:lineRule="exact"/>
        <w:ind w:left="0" w:firstLineChars="200" w:firstLine="552"/>
        <w:rPr>
          <w:rFonts w:ascii="Times New Roman" w:eastAsia="標楷體"/>
          <w:spacing w:val="-2"/>
          <w:sz w:val="28"/>
          <w:szCs w:val="28"/>
        </w:rPr>
      </w:pPr>
      <w:r>
        <w:rPr>
          <w:rFonts w:ascii="Times New Roman" w:eastAsia="標楷體" w:hint="eastAsia"/>
          <w:spacing w:val="-2"/>
          <w:sz w:val="28"/>
          <w:szCs w:val="28"/>
        </w:rPr>
        <w:t xml:space="preserve">The annual target range of the monetary aggregate M2 is mainly determined by taking into consideration two factors: demand for money, and future </w:t>
      </w:r>
      <w:r>
        <w:rPr>
          <w:rFonts w:ascii="Times New Roman" w:eastAsia="標楷體"/>
          <w:spacing w:val="-2"/>
          <w:sz w:val="28"/>
          <w:szCs w:val="28"/>
        </w:rPr>
        <w:t>uncertainties</w:t>
      </w:r>
      <w:r>
        <w:rPr>
          <w:rFonts w:ascii="Times New Roman" w:eastAsia="標楷體" w:hint="eastAsia"/>
          <w:spacing w:val="-2"/>
          <w:sz w:val="28"/>
          <w:szCs w:val="28"/>
        </w:rPr>
        <w:t xml:space="preserve">. </w:t>
      </w:r>
    </w:p>
    <w:p w:rsidR="00653A10" w:rsidRPr="00EB1763" w:rsidRDefault="00B530AB" w:rsidP="0043506F">
      <w:pPr>
        <w:numPr>
          <w:ilvl w:val="0"/>
          <w:numId w:val="4"/>
        </w:numPr>
        <w:overflowPunct w:val="0"/>
        <w:autoSpaceDE w:val="0"/>
        <w:autoSpaceDN w:val="0"/>
        <w:snapToGrid w:val="0"/>
        <w:spacing w:before="240" w:line="520" w:lineRule="exact"/>
        <w:ind w:left="426" w:hanging="284"/>
        <w:jc w:val="both"/>
        <w:rPr>
          <w:rFonts w:eastAsia="標楷體"/>
          <w:b/>
          <w:spacing w:val="-2"/>
          <w:sz w:val="28"/>
          <w:szCs w:val="28"/>
        </w:rPr>
      </w:pPr>
      <w:r>
        <w:rPr>
          <w:rFonts w:eastAsia="標楷體" w:hint="eastAsia"/>
          <w:b/>
          <w:spacing w:val="-2"/>
          <w:sz w:val="28"/>
          <w:szCs w:val="28"/>
        </w:rPr>
        <w:t xml:space="preserve">Preliminary </w:t>
      </w:r>
      <w:r w:rsidR="006B2E6B">
        <w:rPr>
          <w:rFonts w:eastAsia="標楷體" w:hint="eastAsia"/>
          <w:b/>
          <w:spacing w:val="-2"/>
          <w:sz w:val="28"/>
          <w:szCs w:val="28"/>
        </w:rPr>
        <w:t>e</w:t>
      </w:r>
      <w:r>
        <w:rPr>
          <w:rFonts w:eastAsia="標楷體" w:hint="eastAsia"/>
          <w:b/>
          <w:spacing w:val="-2"/>
          <w:sz w:val="28"/>
          <w:szCs w:val="28"/>
        </w:rPr>
        <w:t xml:space="preserve">stimation </w:t>
      </w:r>
      <w:r w:rsidR="00F81243">
        <w:rPr>
          <w:rFonts w:eastAsia="標楷體" w:hint="eastAsia"/>
          <w:b/>
          <w:spacing w:val="-2"/>
          <w:sz w:val="28"/>
          <w:szCs w:val="28"/>
        </w:rPr>
        <w:t xml:space="preserve">of </w:t>
      </w:r>
      <w:r>
        <w:rPr>
          <w:rFonts w:eastAsia="標楷體" w:hint="eastAsia"/>
          <w:b/>
          <w:spacing w:val="-2"/>
          <w:sz w:val="28"/>
          <w:szCs w:val="28"/>
        </w:rPr>
        <w:t xml:space="preserve">demand for money </w:t>
      </w:r>
      <w:r w:rsidR="00F81243">
        <w:rPr>
          <w:rFonts w:eastAsia="標楷體" w:hint="eastAsia"/>
          <w:b/>
          <w:spacing w:val="-2"/>
          <w:sz w:val="28"/>
          <w:szCs w:val="28"/>
        </w:rPr>
        <w:t>for 2018</w:t>
      </w:r>
    </w:p>
    <w:p w:rsidR="00045E43" w:rsidRPr="008707D7" w:rsidRDefault="008707D7" w:rsidP="008707D7">
      <w:pPr>
        <w:pStyle w:val="6"/>
        <w:overflowPunct w:val="0"/>
        <w:snapToGrid w:val="0"/>
        <w:spacing w:before="240" w:after="0" w:line="520" w:lineRule="exact"/>
        <w:ind w:left="0" w:firstLineChars="200" w:firstLine="552"/>
        <w:rPr>
          <w:rFonts w:ascii="Times New Roman" w:eastAsia="標楷體"/>
          <w:spacing w:val="-2"/>
          <w:sz w:val="28"/>
          <w:szCs w:val="28"/>
        </w:rPr>
      </w:pPr>
      <w:r w:rsidRPr="008707D7">
        <w:rPr>
          <w:rFonts w:ascii="Times New Roman" w:eastAsia="標楷體" w:hint="eastAsia"/>
          <w:spacing w:val="-2"/>
          <w:sz w:val="28"/>
          <w:szCs w:val="28"/>
        </w:rPr>
        <w:t xml:space="preserve">Based on </w:t>
      </w:r>
      <w:r>
        <w:rPr>
          <w:rFonts w:ascii="Times New Roman" w:eastAsia="標楷體" w:hint="eastAsia"/>
          <w:spacing w:val="-2"/>
          <w:sz w:val="28"/>
          <w:szCs w:val="28"/>
        </w:rPr>
        <w:t>the coefficient estimate</w:t>
      </w:r>
      <w:r w:rsidR="00F81243">
        <w:rPr>
          <w:rFonts w:ascii="Times New Roman" w:eastAsia="標楷體" w:hint="eastAsia"/>
          <w:spacing w:val="-2"/>
          <w:sz w:val="28"/>
          <w:szCs w:val="28"/>
        </w:rPr>
        <w:t>s</w:t>
      </w:r>
      <w:r>
        <w:rPr>
          <w:rFonts w:ascii="Times New Roman" w:eastAsia="標楷體" w:hint="eastAsia"/>
          <w:spacing w:val="-2"/>
          <w:sz w:val="28"/>
          <w:szCs w:val="28"/>
        </w:rPr>
        <w:t xml:space="preserve"> of the money demand function</w:t>
      </w:r>
      <w:r w:rsidR="00B530AB">
        <w:rPr>
          <w:rFonts w:ascii="Times New Roman" w:eastAsia="標楷體" w:hint="eastAsia"/>
          <w:spacing w:val="-2"/>
          <w:sz w:val="28"/>
          <w:szCs w:val="28"/>
        </w:rPr>
        <w:t>, and the CBC</w:t>
      </w:r>
      <w:r w:rsidR="00B530AB">
        <w:rPr>
          <w:rFonts w:ascii="Times New Roman" w:eastAsia="標楷體"/>
          <w:spacing w:val="-2"/>
          <w:sz w:val="28"/>
          <w:szCs w:val="28"/>
        </w:rPr>
        <w:t>’</w:t>
      </w:r>
      <w:r w:rsidR="00B530AB">
        <w:rPr>
          <w:rFonts w:ascii="Times New Roman" w:eastAsia="標楷體" w:hint="eastAsia"/>
          <w:spacing w:val="-2"/>
          <w:sz w:val="28"/>
          <w:szCs w:val="28"/>
        </w:rPr>
        <w:t>s own forecasts for the 2018 GDP growth rate (2.35%) and CPI growth rate (1.12%), the preliminary result of the annual growth rate of demand for M2</w:t>
      </w:r>
      <w:r w:rsidR="006B2E6B">
        <w:rPr>
          <w:rFonts w:ascii="Times New Roman" w:eastAsia="標楷體" w:hint="eastAsia"/>
          <w:spacing w:val="-2"/>
          <w:sz w:val="28"/>
          <w:szCs w:val="28"/>
        </w:rPr>
        <w:t xml:space="preserve"> is around 3.11%.</w:t>
      </w:r>
    </w:p>
    <w:p w:rsidR="00AA6988" w:rsidRPr="001676FA" w:rsidRDefault="00AA6988" w:rsidP="00AA6988">
      <w:pPr>
        <w:numPr>
          <w:ilvl w:val="0"/>
          <w:numId w:val="4"/>
        </w:numPr>
        <w:overflowPunct w:val="0"/>
        <w:autoSpaceDE w:val="0"/>
        <w:autoSpaceDN w:val="0"/>
        <w:snapToGrid w:val="0"/>
        <w:spacing w:before="240" w:line="520" w:lineRule="exact"/>
        <w:ind w:left="426" w:hanging="284"/>
        <w:jc w:val="both"/>
        <w:rPr>
          <w:rFonts w:eastAsia="標楷體"/>
          <w:b/>
          <w:spacing w:val="-2"/>
          <w:sz w:val="24"/>
          <w:szCs w:val="28"/>
        </w:rPr>
      </w:pPr>
      <w:r w:rsidRPr="00AA6988">
        <w:rPr>
          <w:rFonts w:eastAsia="標楷體" w:hint="eastAsia"/>
          <w:b/>
          <w:spacing w:val="-2"/>
          <w:sz w:val="28"/>
          <w:szCs w:val="28"/>
        </w:rPr>
        <w:t>Proposition to set the 2018 M2 target at a range of 2.5% to 6.5%</w:t>
      </w:r>
      <w:r>
        <w:rPr>
          <w:rFonts w:eastAsia="標楷體" w:hint="eastAsia"/>
          <w:b/>
          <w:spacing w:val="-2"/>
          <w:sz w:val="28"/>
          <w:szCs w:val="28"/>
        </w:rPr>
        <w:t xml:space="preserve">      </w:t>
      </w:r>
    </w:p>
    <w:p w:rsidR="00AA6988" w:rsidRPr="008707D7" w:rsidRDefault="00AA6988" w:rsidP="000A5575">
      <w:pPr>
        <w:pStyle w:val="6"/>
        <w:overflowPunct w:val="0"/>
        <w:snapToGrid w:val="0"/>
        <w:spacing w:before="240" w:after="0" w:line="520" w:lineRule="exact"/>
        <w:ind w:left="0" w:firstLineChars="200" w:firstLine="552"/>
        <w:rPr>
          <w:rFonts w:ascii="Times New Roman" w:eastAsia="標楷體"/>
          <w:spacing w:val="-2"/>
          <w:sz w:val="28"/>
          <w:szCs w:val="28"/>
        </w:rPr>
      </w:pPr>
      <w:r w:rsidRPr="00AA6988">
        <w:rPr>
          <w:rFonts w:ascii="Times New Roman" w:eastAsia="標楷體" w:hint="eastAsia"/>
          <w:spacing w:val="-2"/>
          <w:sz w:val="28"/>
          <w:szCs w:val="28"/>
        </w:rPr>
        <w:t xml:space="preserve">The </w:t>
      </w:r>
      <w:r>
        <w:rPr>
          <w:rFonts w:ascii="Times New Roman" w:eastAsia="標楷體" w:hint="eastAsia"/>
          <w:spacing w:val="-2"/>
          <w:sz w:val="28"/>
          <w:szCs w:val="28"/>
        </w:rPr>
        <w:t>CBC</w:t>
      </w:r>
      <w:r>
        <w:rPr>
          <w:rFonts w:ascii="Times New Roman" w:eastAsia="標楷體"/>
          <w:spacing w:val="-2"/>
          <w:sz w:val="28"/>
          <w:szCs w:val="28"/>
        </w:rPr>
        <w:t>’</w:t>
      </w:r>
      <w:r>
        <w:rPr>
          <w:rFonts w:ascii="Times New Roman" w:eastAsia="標楷體" w:hint="eastAsia"/>
          <w:spacing w:val="-2"/>
          <w:sz w:val="28"/>
          <w:szCs w:val="28"/>
        </w:rPr>
        <w:t xml:space="preserve">s </w:t>
      </w:r>
      <w:r w:rsidRPr="00AA6988">
        <w:rPr>
          <w:rFonts w:ascii="Times New Roman" w:eastAsia="標楷體" w:hint="eastAsia"/>
          <w:spacing w:val="-2"/>
          <w:sz w:val="28"/>
          <w:szCs w:val="28"/>
        </w:rPr>
        <w:t>pre</w:t>
      </w:r>
      <w:r>
        <w:rPr>
          <w:rFonts w:ascii="Times New Roman" w:eastAsia="標楷體" w:hint="eastAsia"/>
          <w:spacing w:val="-2"/>
          <w:sz w:val="28"/>
          <w:szCs w:val="28"/>
        </w:rPr>
        <w:t>liminary result of the annual growth rate of demand for M2 is around 3.11%. Taking into account past model forecast</w:t>
      </w:r>
      <w:r w:rsidR="00A47B5E">
        <w:rPr>
          <w:rFonts w:ascii="Times New Roman" w:eastAsia="標楷體" w:hint="eastAsia"/>
          <w:spacing w:val="-2"/>
          <w:sz w:val="28"/>
          <w:szCs w:val="28"/>
        </w:rPr>
        <w:t>ing</w:t>
      </w:r>
      <w:r w:rsidR="00D81DC6">
        <w:rPr>
          <w:rFonts w:ascii="Times New Roman" w:eastAsia="標楷體" w:hint="eastAsia"/>
          <w:spacing w:val="-2"/>
          <w:sz w:val="28"/>
          <w:szCs w:val="28"/>
        </w:rPr>
        <w:t xml:space="preserve"> errors, it is estimated that annual M2 growth rate will be close to</w:t>
      </w:r>
      <w:r w:rsidR="00264990">
        <w:rPr>
          <w:rFonts w:ascii="Times New Roman" w:eastAsia="標楷體" w:hint="eastAsia"/>
          <w:spacing w:val="-2"/>
          <w:sz w:val="28"/>
          <w:szCs w:val="28"/>
        </w:rPr>
        <w:t xml:space="preserve"> </w:t>
      </w:r>
      <w:r w:rsidR="00D81DC6">
        <w:rPr>
          <w:rFonts w:ascii="Times New Roman" w:eastAsia="標楷體" w:hint="eastAsia"/>
          <w:spacing w:val="-2"/>
          <w:sz w:val="28"/>
          <w:szCs w:val="28"/>
        </w:rPr>
        <w:t>4.0% for 2018. There also exi</w:t>
      </w:r>
      <w:r w:rsidR="005E3BB5">
        <w:rPr>
          <w:rFonts w:ascii="Times New Roman" w:eastAsia="標楷體" w:hint="eastAsia"/>
          <w:spacing w:val="-2"/>
          <w:sz w:val="28"/>
          <w:szCs w:val="28"/>
        </w:rPr>
        <w:t>s</w:t>
      </w:r>
      <w:r w:rsidR="00D81DC6">
        <w:rPr>
          <w:rFonts w:ascii="Times New Roman" w:eastAsia="標楷體" w:hint="eastAsia"/>
          <w:spacing w:val="-2"/>
          <w:sz w:val="28"/>
          <w:szCs w:val="28"/>
        </w:rPr>
        <w:t xml:space="preserve">t other factors likely to affect M2 growth, including lingering uncertainties about international political, economic, and financial conditions. Moreover, </w:t>
      </w:r>
      <w:r w:rsidR="000A5575">
        <w:rPr>
          <w:rFonts w:ascii="Times New Roman" w:eastAsia="標楷體" w:hint="eastAsia"/>
          <w:spacing w:val="-2"/>
          <w:sz w:val="28"/>
          <w:szCs w:val="28"/>
        </w:rPr>
        <w:t xml:space="preserve">it is important for proactive measures, such as counter cyclical policy, to be employed should </w:t>
      </w:r>
      <w:r w:rsidR="00D81DC6">
        <w:rPr>
          <w:rFonts w:ascii="Times New Roman" w:eastAsia="標楷體" w:hint="eastAsia"/>
          <w:spacing w:val="-2"/>
          <w:sz w:val="28"/>
          <w:szCs w:val="28"/>
        </w:rPr>
        <w:t xml:space="preserve">external developments </w:t>
      </w:r>
      <w:r w:rsidR="000A5575">
        <w:rPr>
          <w:rFonts w:ascii="Times New Roman" w:eastAsia="標楷體" w:hint="eastAsia"/>
          <w:spacing w:val="-2"/>
          <w:sz w:val="28"/>
          <w:szCs w:val="28"/>
        </w:rPr>
        <w:t>dampen the momentum for Taiwan</w:t>
      </w:r>
      <w:r w:rsidR="000A5575">
        <w:rPr>
          <w:rFonts w:ascii="Times New Roman" w:eastAsia="標楷體"/>
          <w:spacing w:val="-2"/>
          <w:sz w:val="28"/>
          <w:szCs w:val="28"/>
        </w:rPr>
        <w:t>’</w:t>
      </w:r>
      <w:r w:rsidR="000A5575">
        <w:rPr>
          <w:rFonts w:ascii="Times New Roman" w:eastAsia="標楷體" w:hint="eastAsia"/>
          <w:spacing w:val="-2"/>
          <w:sz w:val="28"/>
          <w:szCs w:val="28"/>
        </w:rPr>
        <w:t xml:space="preserve">s economic recovery. Therefore, it is proposed that the 2018 M2 growth target range be set at 2.5%-6.5%, same as 2017.   </w:t>
      </w:r>
    </w:p>
    <w:p w:rsidR="00AA6988" w:rsidRDefault="001676FA" w:rsidP="001676FA">
      <w:pPr>
        <w:pStyle w:val="6"/>
        <w:overflowPunct w:val="0"/>
        <w:snapToGrid w:val="0"/>
        <w:spacing w:before="240" w:after="0" w:line="520" w:lineRule="exact"/>
        <w:ind w:left="0" w:firstLineChars="200" w:firstLine="552"/>
        <w:rPr>
          <w:rFonts w:ascii="Times New Roman" w:eastAsia="標楷體"/>
          <w:spacing w:val="-2"/>
          <w:sz w:val="28"/>
          <w:szCs w:val="28"/>
        </w:rPr>
      </w:pPr>
      <w:r>
        <w:rPr>
          <w:rFonts w:ascii="Times New Roman" w:eastAsia="標楷體" w:hint="eastAsia"/>
          <w:spacing w:val="-2"/>
          <w:sz w:val="28"/>
          <w:szCs w:val="28"/>
        </w:rPr>
        <w:lastRenderedPageBreak/>
        <w:t>Uncertainties with potential effects on next year</w:t>
      </w:r>
      <w:r>
        <w:rPr>
          <w:rFonts w:ascii="Times New Roman" w:eastAsia="標楷體"/>
          <w:spacing w:val="-2"/>
          <w:sz w:val="28"/>
          <w:szCs w:val="28"/>
        </w:rPr>
        <w:t>’</w:t>
      </w:r>
      <w:r>
        <w:rPr>
          <w:rFonts w:ascii="Times New Roman" w:eastAsia="標楷體" w:hint="eastAsia"/>
          <w:spacing w:val="-2"/>
          <w:sz w:val="28"/>
          <w:szCs w:val="28"/>
        </w:rPr>
        <w:t xml:space="preserve">s M2 growth and economic outlook include the following. </w:t>
      </w:r>
    </w:p>
    <w:p w:rsidR="001676FA" w:rsidRDefault="001676FA" w:rsidP="00AF5634">
      <w:pPr>
        <w:pStyle w:val="6"/>
        <w:numPr>
          <w:ilvl w:val="0"/>
          <w:numId w:val="33"/>
        </w:numPr>
        <w:overflowPunct w:val="0"/>
        <w:snapToGrid w:val="0"/>
        <w:spacing w:before="240" w:after="0" w:line="520" w:lineRule="exact"/>
        <w:ind w:left="567" w:hanging="567"/>
        <w:rPr>
          <w:rFonts w:ascii="Times New Roman" w:eastAsia="標楷體"/>
          <w:spacing w:val="-2"/>
          <w:sz w:val="28"/>
          <w:szCs w:val="28"/>
        </w:rPr>
      </w:pPr>
      <w:r>
        <w:rPr>
          <w:rFonts w:ascii="Times New Roman" w:eastAsia="標楷體" w:hint="eastAsia"/>
          <w:spacing w:val="-2"/>
          <w:sz w:val="28"/>
          <w:szCs w:val="28"/>
        </w:rPr>
        <w:t>High uncertainties as to the political, economic, and financial conditions around the world. For example, major economies</w:t>
      </w:r>
      <w:r>
        <w:rPr>
          <w:rFonts w:ascii="Times New Roman" w:eastAsia="標楷體"/>
          <w:spacing w:val="-2"/>
          <w:sz w:val="28"/>
          <w:szCs w:val="28"/>
        </w:rPr>
        <w:t>’</w:t>
      </w:r>
      <w:r>
        <w:rPr>
          <w:rFonts w:ascii="Times New Roman" w:eastAsia="標楷體" w:hint="eastAsia"/>
          <w:spacing w:val="-2"/>
          <w:sz w:val="28"/>
          <w:szCs w:val="28"/>
        </w:rPr>
        <w:t xml:space="preserve"> monetary policy decisions could spur greater capital flows, </w:t>
      </w:r>
      <w:r w:rsidR="00A47B5E">
        <w:rPr>
          <w:rFonts w:ascii="Times New Roman" w:eastAsia="標楷體" w:hint="eastAsia"/>
          <w:spacing w:val="-2"/>
          <w:sz w:val="28"/>
          <w:szCs w:val="28"/>
        </w:rPr>
        <w:t xml:space="preserve">inevitably </w:t>
      </w:r>
      <w:r w:rsidR="00A47B5E">
        <w:rPr>
          <w:rFonts w:ascii="Times New Roman" w:eastAsia="標楷體"/>
          <w:spacing w:val="-2"/>
          <w:sz w:val="28"/>
          <w:szCs w:val="28"/>
        </w:rPr>
        <w:t>having</w:t>
      </w:r>
      <w:r w:rsidR="00A47B5E">
        <w:rPr>
          <w:rFonts w:ascii="Times New Roman" w:eastAsia="標楷體" w:hint="eastAsia"/>
          <w:spacing w:val="-2"/>
          <w:sz w:val="28"/>
          <w:szCs w:val="28"/>
        </w:rPr>
        <w:t xml:space="preserve"> some</w:t>
      </w:r>
      <w:r w:rsidR="00ED4B07">
        <w:rPr>
          <w:rFonts w:ascii="Times New Roman" w:eastAsia="標楷體" w:hint="eastAsia"/>
          <w:spacing w:val="-2"/>
          <w:sz w:val="28"/>
          <w:szCs w:val="28"/>
        </w:rPr>
        <w:t xml:space="preserve"> effects on Taiwan</w:t>
      </w:r>
      <w:r w:rsidR="00ED4B07">
        <w:rPr>
          <w:rFonts w:ascii="Times New Roman" w:eastAsia="標楷體"/>
          <w:spacing w:val="-2"/>
          <w:sz w:val="28"/>
          <w:szCs w:val="28"/>
        </w:rPr>
        <w:t>’</w:t>
      </w:r>
      <w:r w:rsidR="00ED4B07">
        <w:rPr>
          <w:rFonts w:ascii="Times New Roman" w:eastAsia="標楷體" w:hint="eastAsia"/>
          <w:spacing w:val="-2"/>
          <w:sz w:val="28"/>
          <w:szCs w:val="28"/>
        </w:rPr>
        <w:t xml:space="preserve">s M2 growth. </w:t>
      </w:r>
    </w:p>
    <w:p w:rsidR="00C4760F" w:rsidRDefault="00ED4B07" w:rsidP="00AF5634">
      <w:pPr>
        <w:pStyle w:val="6"/>
        <w:numPr>
          <w:ilvl w:val="0"/>
          <w:numId w:val="33"/>
        </w:numPr>
        <w:overflowPunct w:val="0"/>
        <w:snapToGrid w:val="0"/>
        <w:spacing w:before="240" w:after="0" w:line="520" w:lineRule="exact"/>
        <w:ind w:left="567" w:hanging="567"/>
        <w:rPr>
          <w:rFonts w:ascii="Times New Roman" w:eastAsia="標楷體"/>
          <w:spacing w:val="-2"/>
          <w:sz w:val="28"/>
          <w:szCs w:val="28"/>
        </w:rPr>
      </w:pPr>
      <w:r>
        <w:rPr>
          <w:rFonts w:ascii="Times New Roman" w:eastAsia="標楷體" w:hint="eastAsia"/>
          <w:spacing w:val="-2"/>
          <w:sz w:val="28"/>
          <w:szCs w:val="28"/>
        </w:rPr>
        <w:t>Rising</w:t>
      </w:r>
      <w:r w:rsidRPr="00ED4B07">
        <w:rPr>
          <w:rFonts w:ascii="Times New Roman" w:eastAsia="標楷體"/>
          <w:spacing w:val="-2"/>
          <w:sz w:val="28"/>
          <w:szCs w:val="28"/>
        </w:rPr>
        <w:t xml:space="preserve"> international trade protectionism</w:t>
      </w:r>
      <w:r>
        <w:rPr>
          <w:rFonts w:ascii="Times New Roman" w:eastAsia="標楷體" w:hint="eastAsia"/>
          <w:spacing w:val="-2"/>
          <w:sz w:val="28"/>
          <w:szCs w:val="28"/>
        </w:rPr>
        <w:t xml:space="preserve"> could disrupt the world trade order, </w:t>
      </w:r>
      <w:r w:rsidR="00C4760F">
        <w:rPr>
          <w:rFonts w:ascii="Times New Roman" w:eastAsia="標楷體" w:hint="eastAsia"/>
          <w:spacing w:val="-2"/>
          <w:sz w:val="28"/>
          <w:szCs w:val="28"/>
        </w:rPr>
        <w:t>dampening Taiwan</w:t>
      </w:r>
      <w:r w:rsidR="00C4760F">
        <w:rPr>
          <w:rFonts w:ascii="Times New Roman" w:eastAsia="標楷體"/>
          <w:spacing w:val="-2"/>
          <w:sz w:val="28"/>
          <w:szCs w:val="28"/>
        </w:rPr>
        <w:t>’</w:t>
      </w:r>
      <w:r w:rsidR="00C4760F">
        <w:rPr>
          <w:rFonts w:ascii="Times New Roman" w:eastAsia="標楷體" w:hint="eastAsia"/>
          <w:spacing w:val="-2"/>
          <w:sz w:val="28"/>
          <w:szCs w:val="28"/>
        </w:rPr>
        <w:t xml:space="preserve">s exports. </w:t>
      </w:r>
    </w:p>
    <w:p w:rsidR="00ED4B07" w:rsidRDefault="00246C14" w:rsidP="00AF5634">
      <w:pPr>
        <w:pStyle w:val="6"/>
        <w:numPr>
          <w:ilvl w:val="0"/>
          <w:numId w:val="33"/>
        </w:numPr>
        <w:overflowPunct w:val="0"/>
        <w:snapToGrid w:val="0"/>
        <w:spacing w:before="240" w:after="0" w:line="520" w:lineRule="exact"/>
        <w:ind w:left="567" w:hanging="567"/>
        <w:rPr>
          <w:rFonts w:ascii="Times New Roman" w:eastAsia="標楷體"/>
          <w:spacing w:val="-2"/>
          <w:sz w:val="28"/>
          <w:szCs w:val="28"/>
        </w:rPr>
      </w:pPr>
      <w:r>
        <w:rPr>
          <w:rFonts w:ascii="Times New Roman" w:eastAsia="標楷體"/>
          <w:spacing w:val="-2"/>
          <w:sz w:val="28"/>
          <w:szCs w:val="28"/>
        </w:rPr>
        <w:t>T</w:t>
      </w:r>
      <w:r>
        <w:rPr>
          <w:rFonts w:ascii="Times New Roman" w:eastAsia="標楷體" w:hint="eastAsia"/>
          <w:spacing w:val="-2"/>
          <w:sz w:val="28"/>
          <w:szCs w:val="28"/>
        </w:rPr>
        <w:t xml:space="preserve">he impact of US tax reforms and expanded </w:t>
      </w:r>
      <w:r>
        <w:rPr>
          <w:rFonts w:ascii="Times New Roman" w:eastAsia="標楷體"/>
          <w:spacing w:val="-2"/>
          <w:sz w:val="28"/>
          <w:szCs w:val="28"/>
        </w:rPr>
        <w:t>infrastructure</w:t>
      </w:r>
      <w:r>
        <w:rPr>
          <w:rFonts w:ascii="Times New Roman" w:eastAsia="標楷體" w:hint="eastAsia"/>
          <w:spacing w:val="-2"/>
          <w:sz w:val="28"/>
          <w:szCs w:val="28"/>
        </w:rPr>
        <w:t xml:space="preserve"> spending and China</w:t>
      </w:r>
      <w:r>
        <w:rPr>
          <w:rFonts w:ascii="Times New Roman" w:eastAsia="標楷體"/>
          <w:spacing w:val="-2"/>
          <w:sz w:val="28"/>
          <w:szCs w:val="28"/>
        </w:rPr>
        <w:t>’</w:t>
      </w:r>
      <w:r>
        <w:rPr>
          <w:rFonts w:ascii="Times New Roman" w:eastAsia="標楷體" w:hint="eastAsia"/>
          <w:spacing w:val="-2"/>
          <w:sz w:val="28"/>
          <w:szCs w:val="28"/>
        </w:rPr>
        <w:t xml:space="preserve">s slower growth add to the uncertainties over the global economy, which could </w:t>
      </w:r>
      <w:r w:rsidR="00E5693D">
        <w:rPr>
          <w:rFonts w:ascii="Times New Roman" w:eastAsia="標楷體" w:hint="eastAsia"/>
          <w:spacing w:val="-2"/>
          <w:sz w:val="28"/>
          <w:szCs w:val="28"/>
        </w:rPr>
        <w:t>weaken</w:t>
      </w:r>
      <w:r>
        <w:rPr>
          <w:rFonts w:ascii="Times New Roman" w:eastAsia="標楷體" w:hint="eastAsia"/>
          <w:spacing w:val="-2"/>
          <w:sz w:val="28"/>
          <w:szCs w:val="28"/>
        </w:rPr>
        <w:t xml:space="preserve"> Taiwan</w:t>
      </w:r>
      <w:r>
        <w:rPr>
          <w:rFonts w:ascii="Times New Roman" w:eastAsia="標楷體"/>
          <w:spacing w:val="-2"/>
          <w:sz w:val="28"/>
          <w:szCs w:val="28"/>
        </w:rPr>
        <w:t>’</w:t>
      </w:r>
      <w:r>
        <w:rPr>
          <w:rFonts w:ascii="Times New Roman" w:eastAsia="標楷體" w:hint="eastAsia"/>
          <w:spacing w:val="-2"/>
          <w:sz w:val="28"/>
          <w:szCs w:val="28"/>
        </w:rPr>
        <w:t xml:space="preserve">s growth momentum. </w:t>
      </w:r>
    </w:p>
    <w:p w:rsidR="00F82120" w:rsidRPr="006979B6" w:rsidRDefault="009B2560" w:rsidP="00F82120">
      <w:pPr>
        <w:numPr>
          <w:ilvl w:val="0"/>
          <w:numId w:val="4"/>
        </w:numPr>
        <w:overflowPunct w:val="0"/>
        <w:autoSpaceDE w:val="0"/>
        <w:autoSpaceDN w:val="0"/>
        <w:snapToGrid w:val="0"/>
        <w:spacing w:before="240" w:line="520" w:lineRule="exact"/>
        <w:ind w:left="426" w:hanging="284"/>
        <w:jc w:val="both"/>
        <w:textDirection w:val="lrTbV"/>
        <w:rPr>
          <w:rFonts w:eastAsia="標楷體"/>
          <w:spacing w:val="-2"/>
          <w:sz w:val="28"/>
          <w:szCs w:val="28"/>
        </w:rPr>
      </w:pPr>
      <w:r w:rsidRPr="006979B6">
        <w:rPr>
          <w:rFonts w:eastAsia="標楷體" w:hint="eastAsia"/>
          <w:spacing w:val="-2"/>
          <w:sz w:val="28"/>
          <w:szCs w:val="28"/>
        </w:rPr>
        <w:t xml:space="preserve">In view of considerable uncertainties over the economic and financial conditions at home and abroad next year, the Bank will, as usual, </w:t>
      </w:r>
      <w:r w:rsidR="00F82120" w:rsidRPr="006979B6">
        <w:rPr>
          <w:rFonts w:eastAsia="標楷體"/>
          <w:spacing w:val="-2"/>
          <w:sz w:val="28"/>
          <w:szCs w:val="28"/>
        </w:rPr>
        <w:t>review and assess the M2 growth target</w:t>
      </w:r>
      <w:r w:rsidR="00F82120" w:rsidRPr="006979B6">
        <w:rPr>
          <w:rFonts w:eastAsia="標楷體" w:hint="eastAsia"/>
          <w:spacing w:val="-2"/>
          <w:sz w:val="28"/>
          <w:szCs w:val="28"/>
        </w:rPr>
        <w:t xml:space="preserve"> and the estimation model</w:t>
      </w:r>
      <w:r w:rsidR="00F82120" w:rsidRPr="006979B6">
        <w:rPr>
          <w:rFonts w:eastAsia="標楷體"/>
          <w:spacing w:val="-2"/>
          <w:sz w:val="28"/>
          <w:szCs w:val="28"/>
        </w:rPr>
        <w:t xml:space="preserve"> in mid-year. </w:t>
      </w:r>
    </w:p>
    <w:p w:rsidR="00AA6988" w:rsidRPr="00EB1763" w:rsidRDefault="00AA6988" w:rsidP="00AA6988">
      <w:pPr>
        <w:adjustRightInd/>
        <w:snapToGrid w:val="0"/>
        <w:spacing w:before="240" w:line="520" w:lineRule="exact"/>
        <w:jc w:val="both"/>
        <w:textDirection w:val="lrTbV"/>
        <w:rPr>
          <w:rFonts w:eastAsia="標楷體"/>
          <w:sz w:val="28"/>
          <w:szCs w:val="28"/>
        </w:rPr>
      </w:pPr>
      <w:bookmarkStart w:id="0" w:name="_Hlk503738431"/>
      <w:r>
        <w:rPr>
          <w:rFonts w:eastAsia="標楷體" w:hint="eastAsia"/>
          <w:b/>
          <w:sz w:val="28"/>
          <w:szCs w:val="28"/>
        </w:rPr>
        <w:t xml:space="preserve">II. </w:t>
      </w:r>
      <w:r w:rsidR="00F82120">
        <w:rPr>
          <w:rFonts w:eastAsia="標楷體" w:hint="eastAsia"/>
          <w:b/>
          <w:sz w:val="28"/>
          <w:szCs w:val="28"/>
        </w:rPr>
        <w:t>Di</w:t>
      </w:r>
      <w:r w:rsidR="0067400B">
        <w:rPr>
          <w:rFonts w:eastAsia="標楷體"/>
          <w:b/>
          <w:sz w:val="28"/>
          <w:szCs w:val="28"/>
        </w:rPr>
        <w:t xml:space="preserve">scussion </w:t>
      </w:r>
      <w:r w:rsidR="0067400B">
        <w:rPr>
          <w:rFonts w:eastAsia="標楷體" w:hint="eastAsia"/>
          <w:b/>
          <w:sz w:val="28"/>
          <w:szCs w:val="28"/>
        </w:rPr>
        <w:t>a</w:t>
      </w:r>
      <w:r w:rsidR="0067400B">
        <w:rPr>
          <w:rFonts w:eastAsia="標楷體"/>
          <w:b/>
          <w:sz w:val="28"/>
          <w:szCs w:val="28"/>
        </w:rPr>
        <w:t xml:space="preserve">nd Decision </w:t>
      </w:r>
      <w:r w:rsidR="0067400B">
        <w:rPr>
          <w:rFonts w:eastAsia="標楷體" w:hint="eastAsia"/>
          <w:b/>
          <w:sz w:val="28"/>
          <w:szCs w:val="28"/>
        </w:rPr>
        <w:t>o</w:t>
      </w:r>
      <w:r w:rsidR="0067400B">
        <w:rPr>
          <w:rFonts w:eastAsia="標楷體"/>
          <w:b/>
          <w:sz w:val="28"/>
          <w:szCs w:val="28"/>
        </w:rPr>
        <w:t xml:space="preserve">n </w:t>
      </w:r>
      <w:r w:rsidR="0067400B">
        <w:rPr>
          <w:rFonts w:eastAsia="標楷體" w:hint="eastAsia"/>
          <w:b/>
          <w:sz w:val="28"/>
          <w:szCs w:val="28"/>
        </w:rPr>
        <w:t>t</w:t>
      </w:r>
      <w:r w:rsidR="0067400B">
        <w:rPr>
          <w:rFonts w:eastAsia="標楷體"/>
          <w:b/>
          <w:sz w:val="28"/>
          <w:szCs w:val="28"/>
        </w:rPr>
        <w:t>he 2018 M2 Growth Target Range</w:t>
      </w:r>
    </w:p>
    <w:p w:rsidR="006979B6" w:rsidRPr="00D367E0" w:rsidRDefault="00F82120" w:rsidP="00B31BD5">
      <w:pPr>
        <w:numPr>
          <w:ilvl w:val="0"/>
          <w:numId w:val="35"/>
        </w:numPr>
        <w:overflowPunct w:val="0"/>
        <w:autoSpaceDE w:val="0"/>
        <w:autoSpaceDN w:val="0"/>
        <w:snapToGrid w:val="0"/>
        <w:spacing w:before="240" w:line="520" w:lineRule="exact"/>
        <w:ind w:left="426" w:hanging="426"/>
        <w:jc w:val="both"/>
        <w:textDirection w:val="lrTbV"/>
        <w:rPr>
          <w:rFonts w:eastAsia="標楷體"/>
          <w:spacing w:val="-2"/>
          <w:sz w:val="28"/>
          <w:szCs w:val="28"/>
        </w:rPr>
      </w:pPr>
      <w:r w:rsidRPr="00D367E0">
        <w:rPr>
          <w:rFonts w:eastAsia="標楷體" w:hint="eastAsia"/>
          <w:spacing w:val="-2"/>
          <w:sz w:val="28"/>
          <w:szCs w:val="28"/>
        </w:rPr>
        <w:t xml:space="preserve">All </w:t>
      </w:r>
      <w:r w:rsidR="00CC3F7D" w:rsidRPr="00D367E0">
        <w:rPr>
          <w:rFonts w:eastAsia="標楷體" w:hint="eastAsia"/>
          <w:spacing w:val="-2"/>
          <w:sz w:val="28"/>
          <w:szCs w:val="28"/>
        </w:rPr>
        <w:t>d</w:t>
      </w:r>
      <w:r w:rsidRPr="00D367E0">
        <w:rPr>
          <w:rFonts w:eastAsia="標楷體" w:hint="eastAsia"/>
          <w:spacing w:val="-2"/>
          <w:sz w:val="28"/>
          <w:szCs w:val="28"/>
        </w:rPr>
        <w:t xml:space="preserve">irectors were in favor of keeping the M2 growth target range unchanged. Their views are </w:t>
      </w:r>
      <w:r w:rsidRPr="00D367E0">
        <w:rPr>
          <w:rFonts w:eastAsia="標楷體"/>
          <w:spacing w:val="-2"/>
          <w:sz w:val="28"/>
          <w:szCs w:val="28"/>
        </w:rPr>
        <w:t>summarized</w:t>
      </w:r>
      <w:r w:rsidRPr="00D367E0">
        <w:rPr>
          <w:rFonts w:eastAsia="標楷體" w:hint="eastAsia"/>
          <w:spacing w:val="-2"/>
          <w:sz w:val="28"/>
          <w:szCs w:val="28"/>
        </w:rPr>
        <w:t xml:space="preserve"> as below. </w:t>
      </w:r>
      <w:bookmarkEnd w:id="0"/>
    </w:p>
    <w:p w:rsidR="00525D16" w:rsidRDefault="006979B6" w:rsidP="00AF5634">
      <w:pPr>
        <w:pStyle w:val="6"/>
        <w:overflowPunct w:val="0"/>
        <w:snapToGrid w:val="0"/>
        <w:spacing w:before="240" w:after="0" w:line="520" w:lineRule="exact"/>
        <w:ind w:left="0" w:firstLineChars="200" w:firstLine="552"/>
        <w:textDirection w:val="lrTbV"/>
        <w:rPr>
          <w:rFonts w:ascii="Times New Roman" w:eastAsia="標楷體"/>
          <w:spacing w:val="-2"/>
          <w:sz w:val="28"/>
          <w:szCs w:val="28"/>
        </w:rPr>
      </w:pPr>
      <w:r w:rsidRPr="00AF5634">
        <w:rPr>
          <w:rFonts w:ascii="Times New Roman" w:eastAsia="標楷體" w:hint="eastAsia"/>
          <w:spacing w:val="-2"/>
          <w:sz w:val="28"/>
          <w:szCs w:val="28"/>
        </w:rPr>
        <w:t xml:space="preserve">One </w:t>
      </w:r>
      <w:r w:rsidR="00CC3F7D" w:rsidRPr="00AF5634">
        <w:rPr>
          <w:rFonts w:ascii="Times New Roman" w:eastAsia="標楷體" w:hint="eastAsia"/>
          <w:spacing w:val="-2"/>
          <w:sz w:val="28"/>
          <w:szCs w:val="28"/>
        </w:rPr>
        <w:t>d</w:t>
      </w:r>
      <w:r w:rsidRPr="00AF5634">
        <w:rPr>
          <w:rFonts w:ascii="Times New Roman" w:eastAsia="標楷體" w:hint="eastAsia"/>
          <w:spacing w:val="-2"/>
          <w:sz w:val="28"/>
          <w:szCs w:val="28"/>
        </w:rPr>
        <w:t xml:space="preserve">irector </w:t>
      </w:r>
      <w:r w:rsidR="00CC3F7D" w:rsidRPr="00AF5634">
        <w:rPr>
          <w:rFonts w:ascii="Times New Roman" w:eastAsia="標楷體" w:hint="eastAsia"/>
          <w:spacing w:val="-2"/>
          <w:sz w:val="28"/>
          <w:szCs w:val="28"/>
        </w:rPr>
        <w:t>noted that a seminar participated by academics and experts</w:t>
      </w:r>
      <w:r w:rsidR="00CC3F7D" w:rsidRPr="00CC3F7D">
        <w:rPr>
          <w:rFonts w:ascii="Times New Roman" w:eastAsia="標楷體" w:hint="eastAsia"/>
          <w:spacing w:val="-2"/>
          <w:sz w:val="28"/>
          <w:szCs w:val="28"/>
        </w:rPr>
        <w:t xml:space="preserve"> was held </w:t>
      </w:r>
      <w:r w:rsidR="007E12A2">
        <w:rPr>
          <w:rFonts w:ascii="Times New Roman" w:eastAsia="標楷體" w:hint="eastAsia"/>
          <w:spacing w:val="-2"/>
          <w:sz w:val="28"/>
          <w:szCs w:val="28"/>
        </w:rPr>
        <w:t xml:space="preserve">in the Bank </w:t>
      </w:r>
      <w:r w:rsidR="00CC3F7D" w:rsidRPr="00CC3F7D">
        <w:rPr>
          <w:rFonts w:ascii="Times New Roman" w:eastAsia="標楷體" w:hint="eastAsia"/>
          <w:spacing w:val="-2"/>
          <w:sz w:val="28"/>
          <w:szCs w:val="28"/>
        </w:rPr>
        <w:t xml:space="preserve">in early December 2017 to give an extended discussion on the setting of the 2018 M2 growth target range. </w:t>
      </w:r>
      <w:r w:rsidR="00B70569">
        <w:rPr>
          <w:rFonts w:ascii="Times New Roman" w:eastAsia="標楷體" w:hint="eastAsia"/>
          <w:spacing w:val="-2"/>
          <w:sz w:val="28"/>
          <w:szCs w:val="28"/>
        </w:rPr>
        <w:t>The M2 growth simulation results for 2018 were broadly similar to those for 2017, supporting</w:t>
      </w:r>
      <w:r w:rsidR="00525D16">
        <w:rPr>
          <w:rFonts w:ascii="Times New Roman" w:eastAsia="標楷體" w:hint="eastAsia"/>
          <w:spacing w:val="-2"/>
          <w:sz w:val="28"/>
          <w:szCs w:val="28"/>
        </w:rPr>
        <w:t xml:space="preserve"> the view to maintain next year</w:t>
      </w:r>
      <w:r w:rsidR="00525D16">
        <w:rPr>
          <w:rFonts w:ascii="Times New Roman" w:eastAsia="標楷體"/>
          <w:spacing w:val="-2"/>
          <w:sz w:val="28"/>
          <w:szCs w:val="28"/>
        </w:rPr>
        <w:t>’</w:t>
      </w:r>
      <w:r w:rsidR="00525D16">
        <w:rPr>
          <w:rFonts w:ascii="Times New Roman" w:eastAsia="標楷體" w:hint="eastAsia"/>
          <w:spacing w:val="-2"/>
          <w:sz w:val="28"/>
          <w:szCs w:val="28"/>
        </w:rPr>
        <w:t>s M2 growth target range at 2.5%-6.5%</w:t>
      </w:r>
      <w:r w:rsidR="007E6F46">
        <w:rPr>
          <w:rFonts w:ascii="Times New Roman" w:eastAsia="標楷體" w:hint="eastAsia"/>
          <w:spacing w:val="-2"/>
          <w:sz w:val="28"/>
          <w:szCs w:val="28"/>
        </w:rPr>
        <w:t xml:space="preserve">, subject to a mid-year review if warranted by international </w:t>
      </w:r>
      <w:r w:rsidR="007E6F46">
        <w:rPr>
          <w:rFonts w:ascii="Times New Roman" w:eastAsia="標楷體"/>
          <w:spacing w:val="-2"/>
          <w:sz w:val="28"/>
          <w:szCs w:val="28"/>
        </w:rPr>
        <w:t>economic</w:t>
      </w:r>
      <w:r w:rsidR="007E6F46">
        <w:rPr>
          <w:rFonts w:ascii="Times New Roman" w:eastAsia="標楷體" w:hint="eastAsia"/>
          <w:spacing w:val="-2"/>
          <w:sz w:val="28"/>
          <w:szCs w:val="28"/>
        </w:rPr>
        <w:t xml:space="preserve"> and financial developments. </w:t>
      </w:r>
    </w:p>
    <w:p w:rsidR="0008211B" w:rsidRPr="00D367E0" w:rsidRDefault="00CC3F7D" w:rsidP="00AF5634">
      <w:pPr>
        <w:pStyle w:val="6"/>
        <w:overflowPunct w:val="0"/>
        <w:snapToGrid w:val="0"/>
        <w:spacing w:before="240" w:after="0" w:line="520" w:lineRule="exact"/>
        <w:ind w:left="0" w:firstLineChars="200" w:firstLine="552"/>
        <w:textDirection w:val="lrTbV"/>
        <w:rPr>
          <w:rFonts w:ascii="Times New Roman" w:eastAsia="標楷體"/>
          <w:spacing w:val="-2"/>
          <w:sz w:val="28"/>
          <w:szCs w:val="28"/>
        </w:rPr>
      </w:pPr>
      <w:r w:rsidRPr="00AF5634">
        <w:rPr>
          <w:rFonts w:ascii="Times New Roman" w:eastAsia="標楷體" w:hint="eastAsia"/>
          <w:spacing w:val="-2"/>
          <w:sz w:val="28"/>
          <w:szCs w:val="28"/>
        </w:rPr>
        <w:lastRenderedPageBreak/>
        <w:t>An</w:t>
      </w:r>
      <w:r w:rsidR="008F4924" w:rsidRPr="00AF5634">
        <w:rPr>
          <w:rFonts w:ascii="Times New Roman" w:eastAsia="標楷體" w:hint="eastAsia"/>
          <w:spacing w:val="-2"/>
          <w:sz w:val="28"/>
          <w:szCs w:val="28"/>
        </w:rPr>
        <w:t>other director pointed out that the 2.5%-6.5% M2 growth target range</w:t>
      </w:r>
      <w:r w:rsidR="008F4924">
        <w:rPr>
          <w:rFonts w:ascii="Times New Roman" w:eastAsia="標楷體" w:hint="eastAsia"/>
          <w:spacing w:val="-2"/>
          <w:sz w:val="28"/>
          <w:szCs w:val="28"/>
        </w:rPr>
        <w:t xml:space="preserve"> has </w:t>
      </w:r>
      <w:r w:rsidR="005E3BB5">
        <w:rPr>
          <w:rFonts w:ascii="Times New Roman" w:eastAsia="標楷體" w:hint="eastAsia"/>
          <w:spacing w:val="-2"/>
          <w:sz w:val="28"/>
          <w:szCs w:val="28"/>
        </w:rPr>
        <w:t xml:space="preserve">been in place for </w:t>
      </w:r>
      <w:r w:rsidR="008F4924">
        <w:rPr>
          <w:rFonts w:ascii="Times New Roman" w:eastAsia="標楷體" w:hint="eastAsia"/>
          <w:spacing w:val="-2"/>
          <w:sz w:val="28"/>
          <w:szCs w:val="28"/>
        </w:rPr>
        <w:t xml:space="preserve">nine years </w:t>
      </w:r>
      <w:r w:rsidR="005E3BB5">
        <w:rPr>
          <w:rFonts w:ascii="Times New Roman" w:eastAsia="標楷體" w:hint="eastAsia"/>
          <w:spacing w:val="-2"/>
          <w:sz w:val="28"/>
          <w:szCs w:val="28"/>
        </w:rPr>
        <w:t xml:space="preserve">from </w:t>
      </w:r>
      <w:r w:rsidR="008F4924">
        <w:rPr>
          <w:rFonts w:ascii="Times New Roman" w:eastAsia="標楷體" w:hint="eastAsia"/>
          <w:spacing w:val="-2"/>
          <w:sz w:val="28"/>
          <w:szCs w:val="28"/>
        </w:rPr>
        <w:t>200</w:t>
      </w:r>
      <w:r w:rsidR="005E3BB5">
        <w:rPr>
          <w:rFonts w:ascii="Times New Roman" w:eastAsia="標楷體" w:hint="eastAsia"/>
          <w:spacing w:val="-2"/>
          <w:sz w:val="28"/>
          <w:szCs w:val="28"/>
        </w:rPr>
        <w:t>9</w:t>
      </w:r>
      <w:r w:rsidR="008F4924">
        <w:rPr>
          <w:rFonts w:ascii="Times New Roman" w:eastAsia="標楷體" w:hint="eastAsia"/>
          <w:spacing w:val="-2"/>
          <w:sz w:val="28"/>
          <w:szCs w:val="28"/>
        </w:rPr>
        <w:t xml:space="preserve"> to 2017, during which the target was </w:t>
      </w:r>
      <w:r w:rsidR="0008211B">
        <w:rPr>
          <w:rFonts w:ascii="Times New Roman" w:eastAsia="標楷體" w:hint="eastAsia"/>
          <w:spacing w:val="-2"/>
          <w:sz w:val="28"/>
          <w:szCs w:val="28"/>
        </w:rPr>
        <w:t>achieved</w:t>
      </w:r>
      <w:r w:rsidR="008F4924">
        <w:rPr>
          <w:rFonts w:ascii="Times New Roman" w:eastAsia="標楷體" w:hint="eastAsia"/>
          <w:spacing w:val="-2"/>
          <w:sz w:val="28"/>
          <w:szCs w:val="28"/>
        </w:rPr>
        <w:t xml:space="preserve"> for all years but year 200</w:t>
      </w:r>
      <w:r w:rsidR="005E3BB5">
        <w:rPr>
          <w:rFonts w:ascii="Times New Roman" w:eastAsia="標楷體" w:hint="eastAsia"/>
          <w:spacing w:val="-2"/>
          <w:sz w:val="28"/>
          <w:szCs w:val="28"/>
        </w:rPr>
        <w:t xml:space="preserve">9 </w:t>
      </w:r>
      <w:r w:rsidR="008D550E">
        <w:rPr>
          <w:rFonts w:ascii="Times New Roman" w:eastAsia="標楷體" w:hint="eastAsia"/>
          <w:spacing w:val="-2"/>
          <w:sz w:val="28"/>
          <w:szCs w:val="28"/>
        </w:rPr>
        <w:t>by a small margin</w:t>
      </w:r>
      <w:r w:rsidR="008F4924">
        <w:rPr>
          <w:rFonts w:ascii="Times New Roman" w:eastAsia="標楷體" w:hint="eastAsia"/>
          <w:spacing w:val="-2"/>
          <w:sz w:val="28"/>
          <w:szCs w:val="28"/>
        </w:rPr>
        <w:t>.</w:t>
      </w:r>
      <w:r w:rsidR="0008211B">
        <w:rPr>
          <w:rFonts w:ascii="Times New Roman" w:eastAsia="標楷體" w:hint="eastAsia"/>
          <w:spacing w:val="-2"/>
          <w:sz w:val="28"/>
          <w:szCs w:val="28"/>
        </w:rPr>
        <w:t xml:space="preserve"> </w:t>
      </w:r>
      <w:r w:rsidR="001542A7">
        <w:rPr>
          <w:rFonts w:ascii="Times New Roman" w:eastAsia="標楷體" w:hint="eastAsia"/>
          <w:spacing w:val="-2"/>
          <w:sz w:val="28"/>
          <w:szCs w:val="28"/>
        </w:rPr>
        <w:t xml:space="preserve">In addition, the annual M2 growth rate averaged at a slightly lower level of 3.76% for the first eleven months of 2017. Nevertheless, since </w:t>
      </w:r>
      <w:r w:rsidR="00D367E0">
        <w:rPr>
          <w:rFonts w:ascii="Times New Roman" w:eastAsia="標楷體" w:hint="eastAsia"/>
          <w:spacing w:val="-2"/>
          <w:sz w:val="28"/>
          <w:szCs w:val="28"/>
        </w:rPr>
        <w:t xml:space="preserve">M2 growth </w:t>
      </w:r>
      <w:r w:rsidR="001542A7">
        <w:rPr>
          <w:rFonts w:ascii="Times New Roman" w:eastAsia="標楷體" w:hint="eastAsia"/>
          <w:spacing w:val="-2"/>
          <w:sz w:val="28"/>
          <w:szCs w:val="28"/>
        </w:rPr>
        <w:t xml:space="preserve">targets </w:t>
      </w:r>
      <w:r w:rsidR="00D367E0">
        <w:rPr>
          <w:rFonts w:ascii="Times New Roman" w:eastAsia="標楷體" w:hint="eastAsia"/>
          <w:spacing w:val="-2"/>
          <w:sz w:val="28"/>
          <w:szCs w:val="28"/>
        </w:rPr>
        <w:t xml:space="preserve">and </w:t>
      </w:r>
      <w:r w:rsidR="001542A7">
        <w:rPr>
          <w:rFonts w:ascii="Times New Roman" w:eastAsia="標楷體" w:hint="eastAsia"/>
          <w:spacing w:val="-2"/>
          <w:sz w:val="28"/>
          <w:szCs w:val="28"/>
        </w:rPr>
        <w:t xml:space="preserve">forecasts </w:t>
      </w:r>
      <w:r w:rsidR="00D367E0">
        <w:rPr>
          <w:rFonts w:ascii="Times New Roman" w:eastAsia="標楷體" w:hint="eastAsia"/>
          <w:spacing w:val="-2"/>
          <w:sz w:val="28"/>
          <w:szCs w:val="28"/>
        </w:rPr>
        <w:t>are two separate things and next year</w:t>
      </w:r>
      <w:r w:rsidR="00D367E0">
        <w:rPr>
          <w:rFonts w:ascii="Times New Roman" w:eastAsia="標楷體"/>
          <w:spacing w:val="-2"/>
          <w:sz w:val="28"/>
          <w:szCs w:val="28"/>
        </w:rPr>
        <w:t>’</w:t>
      </w:r>
      <w:r w:rsidR="00D367E0">
        <w:rPr>
          <w:rFonts w:ascii="Times New Roman" w:eastAsia="標楷體" w:hint="eastAsia"/>
          <w:spacing w:val="-2"/>
          <w:sz w:val="28"/>
          <w:szCs w:val="28"/>
        </w:rPr>
        <w:t xml:space="preserve">s target range can also be adjusted if warranted by international </w:t>
      </w:r>
      <w:r w:rsidR="00D367E0">
        <w:rPr>
          <w:rFonts w:ascii="Times New Roman" w:eastAsia="標楷體"/>
          <w:spacing w:val="-2"/>
          <w:sz w:val="28"/>
          <w:szCs w:val="28"/>
        </w:rPr>
        <w:t>economic</w:t>
      </w:r>
      <w:r w:rsidR="00D367E0">
        <w:rPr>
          <w:rFonts w:ascii="Times New Roman" w:eastAsia="標楷體" w:hint="eastAsia"/>
          <w:spacing w:val="-2"/>
          <w:sz w:val="28"/>
          <w:szCs w:val="28"/>
        </w:rPr>
        <w:t xml:space="preserve"> and financial developments, it seemed appropriate to keep the target range unchanged. </w:t>
      </w:r>
    </w:p>
    <w:p w:rsidR="00D367E0" w:rsidRDefault="006B62AE" w:rsidP="00B31BD5">
      <w:pPr>
        <w:numPr>
          <w:ilvl w:val="0"/>
          <w:numId w:val="35"/>
        </w:numPr>
        <w:overflowPunct w:val="0"/>
        <w:autoSpaceDE w:val="0"/>
        <w:autoSpaceDN w:val="0"/>
        <w:snapToGrid w:val="0"/>
        <w:spacing w:before="240" w:line="520" w:lineRule="exact"/>
        <w:ind w:left="426" w:hanging="426"/>
        <w:jc w:val="both"/>
        <w:textDirection w:val="lrTbV"/>
        <w:rPr>
          <w:rFonts w:eastAsia="標楷體"/>
          <w:b/>
          <w:spacing w:val="-2"/>
          <w:sz w:val="28"/>
          <w:szCs w:val="28"/>
        </w:rPr>
      </w:pPr>
      <w:r>
        <w:rPr>
          <w:rFonts w:eastAsia="標楷體" w:hint="eastAsia"/>
          <w:b/>
          <w:spacing w:val="-2"/>
          <w:sz w:val="28"/>
          <w:szCs w:val="28"/>
        </w:rPr>
        <w:t xml:space="preserve">Decision on the 2018 M2 growth target range </w:t>
      </w:r>
    </w:p>
    <w:p w:rsidR="006B62AE" w:rsidRDefault="006B62AE" w:rsidP="006B62AE">
      <w:pPr>
        <w:overflowPunct w:val="0"/>
        <w:autoSpaceDE w:val="0"/>
        <w:autoSpaceDN w:val="0"/>
        <w:snapToGrid w:val="0"/>
        <w:spacing w:before="240" w:line="520" w:lineRule="exact"/>
        <w:ind w:left="426"/>
        <w:jc w:val="both"/>
        <w:textDirection w:val="lrTbV"/>
        <w:rPr>
          <w:rFonts w:eastAsia="標楷體"/>
          <w:b/>
          <w:spacing w:val="-2"/>
          <w:sz w:val="28"/>
          <w:szCs w:val="28"/>
        </w:rPr>
      </w:pPr>
      <w:r>
        <w:rPr>
          <w:rFonts w:eastAsia="標楷體" w:hint="eastAsia"/>
          <w:b/>
          <w:spacing w:val="-2"/>
          <w:sz w:val="28"/>
          <w:szCs w:val="28"/>
        </w:rPr>
        <w:t xml:space="preserve">The directors reached a unanimous decision to set the 2018 M2 growth target range at 2.5% to 6.5%. </w:t>
      </w:r>
    </w:p>
    <w:p w:rsidR="00AA6988" w:rsidRPr="00543487" w:rsidRDefault="00AA6988" w:rsidP="00AA6988">
      <w:pPr>
        <w:snapToGrid w:val="0"/>
        <w:spacing w:before="240" w:line="540" w:lineRule="exact"/>
        <w:ind w:left="1121" w:hangingChars="400" w:hanging="1121"/>
        <w:jc w:val="both"/>
        <w:textDirection w:val="lrTbV"/>
        <w:rPr>
          <w:rFonts w:eastAsia="標楷體"/>
          <w:b/>
          <w:sz w:val="28"/>
          <w:szCs w:val="28"/>
        </w:rPr>
      </w:pPr>
      <w:r w:rsidRPr="00543487">
        <w:rPr>
          <w:rFonts w:eastAsia="標楷體" w:hint="eastAsia"/>
          <w:b/>
          <w:sz w:val="28"/>
          <w:szCs w:val="28"/>
        </w:rPr>
        <w:t xml:space="preserve">Voting for the proposition: </w:t>
      </w:r>
    </w:p>
    <w:p w:rsidR="00AA6988" w:rsidRPr="00543487" w:rsidRDefault="00AA6988" w:rsidP="00AA6988">
      <w:pPr>
        <w:adjustRightInd/>
        <w:snapToGrid w:val="0"/>
        <w:spacing w:before="120" w:afterLines="50" w:after="120" w:line="540" w:lineRule="exact"/>
        <w:jc w:val="both"/>
        <w:textDirection w:val="lrTbV"/>
        <w:rPr>
          <w:rFonts w:eastAsia="標楷體"/>
          <w:sz w:val="28"/>
          <w:szCs w:val="28"/>
        </w:rPr>
      </w:pPr>
      <w:r w:rsidRPr="00543487">
        <w:rPr>
          <w:rFonts w:eastAsia="標楷體" w:hint="eastAsia"/>
          <w:sz w:val="28"/>
          <w:szCs w:val="28"/>
        </w:rPr>
        <w:t xml:space="preserve">Fai-nan </w:t>
      </w:r>
      <w:proofErr w:type="spellStart"/>
      <w:r w:rsidRPr="00543487">
        <w:rPr>
          <w:rFonts w:eastAsia="標楷體" w:hint="eastAsia"/>
          <w:sz w:val="28"/>
          <w:szCs w:val="28"/>
        </w:rPr>
        <w:t>Perng</w:t>
      </w:r>
      <w:proofErr w:type="spellEnd"/>
      <w:r w:rsidRPr="00543487">
        <w:rPr>
          <w:rFonts w:eastAsia="標楷體" w:hint="eastAsia"/>
          <w:sz w:val="28"/>
          <w:szCs w:val="28"/>
        </w:rPr>
        <w:t>, Yu-</w:t>
      </w:r>
      <w:proofErr w:type="spellStart"/>
      <w:r w:rsidRPr="00543487">
        <w:rPr>
          <w:rFonts w:eastAsia="標楷體" w:hint="eastAsia"/>
          <w:sz w:val="28"/>
          <w:szCs w:val="28"/>
        </w:rPr>
        <w:t>jer</w:t>
      </w:r>
      <w:proofErr w:type="spellEnd"/>
      <w:r w:rsidRPr="00543487">
        <w:rPr>
          <w:rFonts w:eastAsia="標楷體" w:hint="eastAsia"/>
          <w:sz w:val="28"/>
          <w:szCs w:val="28"/>
        </w:rPr>
        <w:t xml:space="preserve"> </w:t>
      </w:r>
      <w:proofErr w:type="spellStart"/>
      <w:r w:rsidRPr="00543487">
        <w:rPr>
          <w:rFonts w:eastAsia="標楷體" w:hint="eastAsia"/>
          <w:sz w:val="28"/>
          <w:szCs w:val="28"/>
        </w:rPr>
        <w:t>Sheu</w:t>
      </w:r>
      <w:proofErr w:type="spellEnd"/>
      <w:r w:rsidRPr="00543487">
        <w:rPr>
          <w:rFonts w:eastAsia="標楷體" w:hint="eastAsia"/>
          <w:sz w:val="28"/>
          <w:szCs w:val="28"/>
        </w:rPr>
        <w:t xml:space="preserve">, </w:t>
      </w:r>
      <w:r w:rsidRPr="009B29AD">
        <w:rPr>
          <w:rFonts w:eastAsia="標楷體"/>
          <w:sz w:val="28"/>
          <w:szCs w:val="28"/>
        </w:rPr>
        <w:t>Jong-Chin Shen</w:t>
      </w:r>
      <w:r w:rsidRPr="00543487">
        <w:rPr>
          <w:rFonts w:eastAsia="標楷體" w:hint="eastAsia"/>
          <w:sz w:val="28"/>
          <w:szCs w:val="28"/>
        </w:rPr>
        <w:t xml:space="preserve">, Chin-long Yang, </w:t>
      </w:r>
      <w:proofErr w:type="spellStart"/>
      <w:r w:rsidRPr="00543487">
        <w:rPr>
          <w:rFonts w:eastAsia="標楷體" w:hint="eastAsia"/>
          <w:sz w:val="28"/>
          <w:szCs w:val="28"/>
        </w:rPr>
        <w:t>Tzung</w:t>
      </w:r>
      <w:proofErr w:type="spellEnd"/>
      <w:r w:rsidRPr="00543487">
        <w:rPr>
          <w:rFonts w:eastAsia="標楷體" w:hint="eastAsia"/>
          <w:sz w:val="28"/>
          <w:szCs w:val="28"/>
        </w:rPr>
        <w:t>-ta Yen, Ming-</w:t>
      </w:r>
      <w:proofErr w:type="spellStart"/>
      <w:r w:rsidRPr="00543487">
        <w:rPr>
          <w:rFonts w:eastAsia="標楷體" w:hint="eastAsia"/>
          <w:sz w:val="28"/>
          <w:szCs w:val="28"/>
        </w:rPr>
        <w:t>yih</w:t>
      </w:r>
      <w:proofErr w:type="spellEnd"/>
      <w:r w:rsidRPr="00543487">
        <w:rPr>
          <w:rFonts w:eastAsia="標楷體" w:hint="eastAsia"/>
          <w:sz w:val="28"/>
          <w:szCs w:val="28"/>
        </w:rPr>
        <w:t xml:space="preserve"> Liang, Sheng-</w:t>
      </w:r>
      <w:proofErr w:type="spellStart"/>
      <w:r w:rsidRPr="00543487">
        <w:rPr>
          <w:rFonts w:eastAsia="標楷體" w:hint="eastAsia"/>
          <w:sz w:val="28"/>
          <w:szCs w:val="28"/>
        </w:rPr>
        <w:t>cheng</w:t>
      </w:r>
      <w:proofErr w:type="spellEnd"/>
      <w:r w:rsidRPr="00543487">
        <w:rPr>
          <w:rFonts w:eastAsia="標楷體" w:hint="eastAsia"/>
          <w:sz w:val="28"/>
          <w:szCs w:val="28"/>
        </w:rPr>
        <w:t xml:space="preserve"> Hu, </w:t>
      </w:r>
      <w:proofErr w:type="spellStart"/>
      <w:r w:rsidRPr="00543487">
        <w:rPr>
          <w:rFonts w:eastAsia="標楷體" w:hint="eastAsia"/>
          <w:sz w:val="28"/>
          <w:szCs w:val="28"/>
        </w:rPr>
        <w:t>Tsung-hsien</w:t>
      </w:r>
      <w:proofErr w:type="spellEnd"/>
      <w:r w:rsidRPr="00543487">
        <w:rPr>
          <w:rFonts w:eastAsia="標楷體" w:hint="eastAsia"/>
          <w:sz w:val="28"/>
          <w:szCs w:val="28"/>
        </w:rPr>
        <w:t xml:space="preserve"> Lin, Chen-chia Lee, </w:t>
      </w:r>
      <w:r w:rsidRPr="00AA6988">
        <w:rPr>
          <w:rFonts w:eastAsia="標楷體"/>
          <w:sz w:val="28"/>
          <w:szCs w:val="28"/>
        </w:rPr>
        <w:t>Chung-</w:t>
      </w:r>
      <w:proofErr w:type="spellStart"/>
      <w:r w:rsidR="005B6EB5">
        <w:rPr>
          <w:rFonts w:eastAsia="標楷體" w:hint="eastAsia"/>
          <w:sz w:val="28"/>
          <w:szCs w:val="28"/>
        </w:rPr>
        <w:t>d</w:t>
      </w:r>
      <w:r w:rsidRPr="00AA6988">
        <w:rPr>
          <w:rFonts w:eastAsia="標楷體"/>
          <w:sz w:val="28"/>
          <w:szCs w:val="28"/>
        </w:rPr>
        <w:t>ar</w:t>
      </w:r>
      <w:proofErr w:type="spellEnd"/>
      <w:r w:rsidRPr="00AA6988">
        <w:rPr>
          <w:rFonts w:eastAsia="標楷體"/>
          <w:sz w:val="28"/>
          <w:szCs w:val="28"/>
        </w:rPr>
        <w:t xml:space="preserve"> Lei</w:t>
      </w:r>
      <w:r w:rsidRPr="00543487">
        <w:rPr>
          <w:rFonts w:eastAsia="標楷體" w:hint="eastAsia"/>
          <w:sz w:val="28"/>
          <w:szCs w:val="28"/>
        </w:rPr>
        <w:t>, Chao-</w:t>
      </w:r>
      <w:proofErr w:type="spellStart"/>
      <w:r w:rsidRPr="00543487">
        <w:rPr>
          <w:rFonts w:eastAsia="標楷體" w:hint="eastAsia"/>
          <w:sz w:val="28"/>
          <w:szCs w:val="28"/>
        </w:rPr>
        <w:t>yih</w:t>
      </w:r>
      <w:proofErr w:type="spellEnd"/>
      <w:r w:rsidRPr="00543487">
        <w:rPr>
          <w:rFonts w:eastAsia="標楷體" w:hint="eastAsia"/>
          <w:sz w:val="28"/>
          <w:szCs w:val="28"/>
        </w:rPr>
        <w:t xml:space="preserve"> Chen, </w:t>
      </w:r>
      <w:proofErr w:type="spellStart"/>
      <w:r w:rsidRPr="00543487">
        <w:rPr>
          <w:rFonts w:eastAsia="標楷體" w:hint="eastAsia"/>
          <w:sz w:val="28"/>
          <w:szCs w:val="28"/>
        </w:rPr>
        <w:t>Jin</w:t>
      </w:r>
      <w:proofErr w:type="spellEnd"/>
      <w:r w:rsidRPr="00543487">
        <w:rPr>
          <w:rFonts w:eastAsia="標楷體" w:hint="eastAsia"/>
          <w:sz w:val="28"/>
          <w:szCs w:val="28"/>
        </w:rPr>
        <w:t>-lung Lin</w:t>
      </w:r>
      <w:r>
        <w:rPr>
          <w:rFonts w:eastAsia="標楷體" w:hint="eastAsia"/>
          <w:sz w:val="28"/>
          <w:szCs w:val="28"/>
        </w:rPr>
        <w:t>,</w:t>
      </w:r>
      <w:r w:rsidRPr="00543487">
        <w:rPr>
          <w:rFonts w:eastAsia="標楷體" w:hint="eastAsia"/>
          <w:sz w:val="28"/>
          <w:szCs w:val="28"/>
        </w:rPr>
        <w:t xml:space="preserve"> Mei-lie Chu, Chao-</w:t>
      </w:r>
      <w:proofErr w:type="spellStart"/>
      <w:r w:rsidRPr="00543487">
        <w:rPr>
          <w:rFonts w:eastAsia="標楷體"/>
          <w:sz w:val="28"/>
          <w:szCs w:val="28"/>
        </w:rPr>
        <w:t>hs</w:t>
      </w:r>
      <w:r w:rsidRPr="00543487">
        <w:rPr>
          <w:rFonts w:eastAsia="標楷體" w:hint="eastAsia"/>
          <w:sz w:val="28"/>
          <w:szCs w:val="28"/>
        </w:rPr>
        <w:t>i</w:t>
      </w:r>
      <w:proofErr w:type="spellEnd"/>
      <w:r w:rsidRPr="00543487">
        <w:rPr>
          <w:rFonts w:eastAsia="標楷體" w:hint="eastAsia"/>
          <w:sz w:val="28"/>
          <w:szCs w:val="28"/>
        </w:rPr>
        <w:t xml:space="preserve"> Huang, </w:t>
      </w:r>
      <w:proofErr w:type="spellStart"/>
      <w:r w:rsidRPr="00543487">
        <w:rPr>
          <w:rFonts w:eastAsia="標楷體" w:hint="eastAsia"/>
          <w:sz w:val="28"/>
          <w:szCs w:val="28"/>
        </w:rPr>
        <w:t>Bih</w:t>
      </w:r>
      <w:proofErr w:type="spellEnd"/>
      <w:r w:rsidRPr="00543487">
        <w:rPr>
          <w:rFonts w:eastAsia="標楷體" w:hint="eastAsia"/>
          <w:sz w:val="28"/>
          <w:szCs w:val="28"/>
        </w:rPr>
        <w:t>-jane Liu</w:t>
      </w:r>
    </w:p>
    <w:p w:rsidR="00AA6988" w:rsidRPr="00543487" w:rsidRDefault="00AA6988" w:rsidP="00AA6988">
      <w:pPr>
        <w:snapToGrid w:val="0"/>
        <w:spacing w:before="240" w:line="540" w:lineRule="exact"/>
        <w:ind w:left="1149" w:hangingChars="410" w:hanging="1149"/>
        <w:textDirection w:val="lrTbV"/>
        <w:rPr>
          <w:rFonts w:eastAsia="標楷體"/>
          <w:sz w:val="28"/>
          <w:szCs w:val="28"/>
        </w:rPr>
      </w:pPr>
      <w:proofErr w:type="gramStart"/>
      <w:r w:rsidRPr="00543487">
        <w:rPr>
          <w:rFonts w:eastAsia="標楷體" w:hint="eastAsia"/>
          <w:b/>
          <w:sz w:val="28"/>
          <w:szCs w:val="28"/>
        </w:rPr>
        <w:t xml:space="preserve">Voting against the proposition: </w:t>
      </w:r>
      <w:r w:rsidRPr="00543487">
        <w:rPr>
          <w:rFonts w:eastAsia="標楷體" w:hint="eastAsia"/>
          <w:sz w:val="28"/>
          <w:szCs w:val="28"/>
        </w:rPr>
        <w:t>None.</w:t>
      </w:r>
      <w:proofErr w:type="gramEnd"/>
      <w:r w:rsidRPr="00543487">
        <w:rPr>
          <w:rFonts w:eastAsia="標楷體" w:hint="eastAsia"/>
          <w:sz w:val="28"/>
          <w:szCs w:val="28"/>
        </w:rPr>
        <w:t xml:space="preserve"> </w:t>
      </w:r>
    </w:p>
    <w:p w:rsidR="00AA6988" w:rsidRPr="00AA6988" w:rsidRDefault="00AA6988" w:rsidP="00AA6988">
      <w:pPr>
        <w:snapToGrid w:val="0"/>
        <w:spacing w:before="240" w:line="520" w:lineRule="exact"/>
        <w:ind w:left="1313" w:hangingChars="410" w:hanging="1313"/>
        <w:textDirection w:val="lrTbV"/>
        <w:rPr>
          <w:rFonts w:eastAsia="標楷體"/>
          <w:b/>
          <w:sz w:val="32"/>
          <w:szCs w:val="32"/>
        </w:rPr>
      </w:pPr>
    </w:p>
    <w:p w:rsidR="005E27CD" w:rsidRDefault="00AA6988" w:rsidP="00AF5634">
      <w:pPr>
        <w:adjustRightInd/>
        <w:snapToGrid w:val="0"/>
        <w:spacing w:before="240" w:line="520" w:lineRule="exact"/>
        <w:ind w:left="1302" w:hanging="1302"/>
        <w:jc w:val="both"/>
        <w:textDirection w:val="lrTbV"/>
        <w:rPr>
          <w:rFonts w:eastAsia="標楷體"/>
          <w:b/>
          <w:sz w:val="28"/>
          <w:szCs w:val="28"/>
        </w:rPr>
      </w:pPr>
      <w:r>
        <w:rPr>
          <w:rFonts w:eastAsia="標楷體"/>
          <w:b/>
          <w:sz w:val="32"/>
          <w:szCs w:val="32"/>
        </w:rPr>
        <w:br w:type="page"/>
      </w:r>
    </w:p>
    <w:p w:rsidR="002570BA" w:rsidRPr="00EB1763" w:rsidRDefault="005E27CD" w:rsidP="002570BA">
      <w:pPr>
        <w:adjustRightInd/>
        <w:snapToGrid w:val="0"/>
        <w:spacing w:before="240" w:line="520" w:lineRule="exact"/>
        <w:jc w:val="both"/>
        <w:textDirection w:val="lrTbV"/>
        <w:rPr>
          <w:rFonts w:eastAsia="標楷體"/>
          <w:sz w:val="28"/>
          <w:szCs w:val="28"/>
        </w:rPr>
      </w:pPr>
      <w:r>
        <w:rPr>
          <w:rFonts w:eastAsia="標楷體" w:hint="eastAsia"/>
          <w:b/>
          <w:sz w:val="28"/>
          <w:szCs w:val="28"/>
        </w:rPr>
        <w:lastRenderedPageBreak/>
        <w:t>Agenda Item</w:t>
      </w:r>
      <w:r w:rsidR="00CF1190">
        <w:rPr>
          <w:rFonts w:eastAsia="標楷體" w:hint="eastAsia"/>
          <w:b/>
          <w:sz w:val="28"/>
          <w:szCs w:val="28"/>
        </w:rPr>
        <w:t xml:space="preserve"> 2</w:t>
      </w:r>
      <w:r w:rsidR="00EB1763" w:rsidRPr="00EB1763">
        <w:rPr>
          <w:rFonts w:eastAsia="標楷體" w:hint="eastAsia"/>
          <w:b/>
          <w:sz w:val="28"/>
          <w:szCs w:val="28"/>
        </w:rPr>
        <w:t xml:space="preserve">: </w:t>
      </w:r>
      <w:r w:rsidR="002570BA" w:rsidRPr="00EB1763">
        <w:rPr>
          <w:rFonts w:eastAsia="標楷體"/>
          <w:b/>
          <w:sz w:val="28"/>
          <w:szCs w:val="28"/>
        </w:rPr>
        <w:t xml:space="preserve">Economic </w:t>
      </w:r>
      <w:r w:rsidR="002570BA" w:rsidRPr="00EB1763">
        <w:rPr>
          <w:rFonts w:eastAsia="標楷體" w:hint="eastAsia"/>
          <w:b/>
          <w:sz w:val="28"/>
          <w:szCs w:val="28"/>
        </w:rPr>
        <w:t>and Financial Conditions and Monetary Policy</w:t>
      </w:r>
      <w:r w:rsidR="00653A10">
        <w:rPr>
          <w:rFonts w:eastAsia="標楷體" w:hint="eastAsia"/>
          <w:b/>
          <w:sz w:val="28"/>
          <w:szCs w:val="28"/>
        </w:rPr>
        <w:t xml:space="preserve"> Decision</w:t>
      </w:r>
    </w:p>
    <w:p w:rsidR="002570BA" w:rsidRPr="00EB1763" w:rsidRDefault="00EB1763" w:rsidP="00EB1763">
      <w:pPr>
        <w:adjustRightInd/>
        <w:snapToGrid w:val="0"/>
        <w:spacing w:before="240" w:line="520" w:lineRule="exact"/>
        <w:jc w:val="both"/>
        <w:rPr>
          <w:rFonts w:eastAsia="標楷體"/>
          <w:b/>
          <w:sz w:val="28"/>
          <w:szCs w:val="28"/>
        </w:rPr>
      </w:pPr>
      <w:r w:rsidRPr="00EB1763">
        <w:rPr>
          <w:rFonts w:eastAsia="標楷體" w:hint="eastAsia"/>
          <w:b/>
          <w:sz w:val="28"/>
          <w:szCs w:val="28"/>
        </w:rPr>
        <w:t xml:space="preserve">I. </w:t>
      </w:r>
      <w:r w:rsidR="00653A10">
        <w:rPr>
          <w:rFonts w:eastAsia="標楷體" w:hint="eastAsia"/>
          <w:b/>
          <w:sz w:val="28"/>
          <w:szCs w:val="28"/>
        </w:rPr>
        <w:t xml:space="preserve">Review of </w:t>
      </w:r>
      <w:r w:rsidR="002570BA" w:rsidRPr="00EB1763">
        <w:rPr>
          <w:rFonts w:eastAsia="標楷體"/>
          <w:b/>
          <w:sz w:val="28"/>
          <w:szCs w:val="28"/>
        </w:rPr>
        <w:t xml:space="preserve">Economic </w:t>
      </w:r>
      <w:r w:rsidR="002570BA" w:rsidRPr="00EB1763">
        <w:rPr>
          <w:rFonts w:eastAsia="標楷體" w:hint="eastAsia"/>
          <w:b/>
          <w:sz w:val="28"/>
          <w:szCs w:val="28"/>
        </w:rPr>
        <w:t>a</w:t>
      </w:r>
      <w:r w:rsidR="002570BA" w:rsidRPr="00EB1763">
        <w:rPr>
          <w:rFonts w:eastAsia="標楷體"/>
          <w:b/>
          <w:sz w:val="28"/>
          <w:szCs w:val="28"/>
        </w:rPr>
        <w:t xml:space="preserve">nd Financial Conditions </w:t>
      </w:r>
    </w:p>
    <w:p w:rsidR="00EB1763" w:rsidRPr="00EB1763" w:rsidRDefault="0043506F" w:rsidP="00EB1763">
      <w:pPr>
        <w:adjustRightInd/>
        <w:snapToGrid w:val="0"/>
        <w:spacing w:before="240" w:line="520" w:lineRule="exact"/>
        <w:jc w:val="both"/>
        <w:textDirection w:val="lrTbV"/>
        <w:rPr>
          <w:rFonts w:eastAsia="標楷體"/>
          <w:sz w:val="28"/>
          <w:szCs w:val="28"/>
        </w:rPr>
      </w:pPr>
      <w:r>
        <w:rPr>
          <w:rFonts w:eastAsia="標楷體" w:hint="eastAsia"/>
          <w:sz w:val="28"/>
          <w:szCs w:val="28"/>
        </w:rPr>
        <w:t xml:space="preserve">The </w:t>
      </w:r>
      <w:r w:rsidR="00EB1763" w:rsidRPr="00EB1763">
        <w:rPr>
          <w:rFonts w:eastAsia="標楷體" w:hint="eastAsia"/>
          <w:sz w:val="28"/>
          <w:szCs w:val="28"/>
        </w:rPr>
        <w:t xml:space="preserve">Department of Economic Research </w:t>
      </w:r>
      <w:r w:rsidR="00653A10">
        <w:rPr>
          <w:rFonts w:eastAsia="標楷體" w:hint="eastAsia"/>
          <w:sz w:val="28"/>
          <w:szCs w:val="28"/>
        </w:rPr>
        <w:t xml:space="preserve">presented </w:t>
      </w:r>
      <w:r>
        <w:rPr>
          <w:rFonts w:eastAsia="標楷體" w:hint="eastAsia"/>
          <w:sz w:val="28"/>
          <w:szCs w:val="28"/>
        </w:rPr>
        <w:t>the following review</w:t>
      </w:r>
      <w:r w:rsidR="00653A10">
        <w:rPr>
          <w:rFonts w:eastAsia="標楷體" w:hint="eastAsia"/>
          <w:sz w:val="28"/>
          <w:szCs w:val="28"/>
        </w:rPr>
        <w:t>:</w:t>
      </w:r>
      <w:r>
        <w:rPr>
          <w:rFonts w:eastAsia="標楷體" w:hint="eastAsia"/>
          <w:sz w:val="28"/>
          <w:szCs w:val="28"/>
        </w:rPr>
        <w:t xml:space="preserve"> </w:t>
      </w:r>
    </w:p>
    <w:p w:rsidR="00EB1763" w:rsidRPr="00EB1763" w:rsidRDefault="00EB1763" w:rsidP="0043506F">
      <w:pPr>
        <w:numPr>
          <w:ilvl w:val="0"/>
          <w:numId w:val="30"/>
        </w:numPr>
        <w:overflowPunct w:val="0"/>
        <w:autoSpaceDE w:val="0"/>
        <w:autoSpaceDN w:val="0"/>
        <w:snapToGrid w:val="0"/>
        <w:spacing w:before="240" w:line="520" w:lineRule="exact"/>
        <w:ind w:left="426" w:hanging="426"/>
        <w:jc w:val="both"/>
        <w:rPr>
          <w:rFonts w:eastAsia="標楷體"/>
          <w:b/>
          <w:spacing w:val="-2"/>
          <w:sz w:val="28"/>
          <w:szCs w:val="28"/>
        </w:rPr>
      </w:pPr>
      <w:r w:rsidRPr="00EB1763">
        <w:rPr>
          <w:rFonts w:eastAsia="標楷體" w:hint="eastAsia"/>
          <w:b/>
          <w:spacing w:val="-2"/>
          <w:sz w:val="28"/>
          <w:szCs w:val="28"/>
        </w:rPr>
        <w:t xml:space="preserve">International </w:t>
      </w:r>
      <w:r w:rsidRPr="00EB1763">
        <w:rPr>
          <w:rFonts w:eastAsia="標楷體"/>
          <w:b/>
          <w:spacing w:val="-2"/>
          <w:sz w:val="28"/>
          <w:szCs w:val="28"/>
        </w:rPr>
        <w:t xml:space="preserve">Economic </w:t>
      </w:r>
      <w:r w:rsidRPr="00EB1763">
        <w:rPr>
          <w:rFonts w:eastAsia="標楷體" w:hint="eastAsia"/>
          <w:b/>
          <w:spacing w:val="-2"/>
          <w:sz w:val="28"/>
          <w:szCs w:val="28"/>
        </w:rPr>
        <w:t>a</w:t>
      </w:r>
      <w:r w:rsidRPr="00EB1763">
        <w:rPr>
          <w:rFonts w:eastAsia="標楷體"/>
          <w:b/>
          <w:spacing w:val="-2"/>
          <w:sz w:val="28"/>
          <w:szCs w:val="28"/>
        </w:rPr>
        <w:t>nd Financial Conditions</w:t>
      </w:r>
    </w:p>
    <w:p w:rsidR="00062DAF" w:rsidRPr="001F4AEA" w:rsidRDefault="00D9159B" w:rsidP="001F4AEA">
      <w:pPr>
        <w:pStyle w:val="6"/>
        <w:overflowPunct w:val="0"/>
        <w:snapToGrid w:val="0"/>
        <w:spacing w:before="240" w:after="0" w:line="520" w:lineRule="exact"/>
        <w:ind w:left="0" w:firstLineChars="200" w:firstLine="560"/>
        <w:rPr>
          <w:rFonts w:ascii="Times New Roman" w:eastAsia="標楷體"/>
          <w:spacing w:val="0"/>
          <w:sz w:val="28"/>
          <w:szCs w:val="24"/>
        </w:rPr>
      </w:pPr>
      <w:r w:rsidRPr="001F4AEA">
        <w:rPr>
          <w:rFonts w:ascii="Times New Roman" w:eastAsia="標楷體" w:hint="eastAsia"/>
          <w:spacing w:val="0"/>
          <w:sz w:val="28"/>
          <w:szCs w:val="24"/>
        </w:rPr>
        <w:t xml:space="preserve">Developments since the </w:t>
      </w:r>
      <w:r w:rsidR="00062DAF" w:rsidRPr="001F4AEA">
        <w:rPr>
          <w:rFonts w:ascii="Times New Roman" w:eastAsia="標楷體" w:hint="eastAsia"/>
          <w:spacing w:val="0"/>
          <w:sz w:val="28"/>
          <w:szCs w:val="24"/>
        </w:rPr>
        <w:t>September</w:t>
      </w:r>
      <w:r w:rsidRPr="001F4AEA">
        <w:rPr>
          <w:rFonts w:ascii="Times New Roman" w:eastAsia="標楷體" w:hint="eastAsia"/>
          <w:spacing w:val="0"/>
          <w:sz w:val="28"/>
          <w:szCs w:val="24"/>
        </w:rPr>
        <w:t xml:space="preserve"> </w:t>
      </w:r>
      <w:r w:rsidR="00062DAF" w:rsidRPr="001F4AEA">
        <w:rPr>
          <w:rFonts w:ascii="Times New Roman" w:eastAsia="標楷體" w:hint="eastAsia"/>
          <w:spacing w:val="0"/>
          <w:sz w:val="28"/>
          <w:szCs w:val="24"/>
        </w:rPr>
        <w:t>B</w:t>
      </w:r>
      <w:r w:rsidRPr="001F4AEA">
        <w:rPr>
          <w:rFonts w:ascii="Times New Roman" w:eastAsia="標楷體" w:hint="eastAsia"/>
          <w:spacing w:val="0"/>
          <w:sz w:val="28"/>
          <w:szCs w:val="24"/>
        </w:rPr>
        <w:t xml:space="preserve">oard </w:t>
      </w:r>
      <w:r w:rsidR="00062DAF" w:rsidRPr="001F4AEA">
        <w:rPr>
          <w:rFonts w:ascii="Times New Roman" w:eastAsia="標楷體" w:hint="eastAsia"/>
          <w:spacing w:val="0"/>
          <w:sz w:val="28"/>
          <w:szCs w:val="24"/>
        </w:rPr>
        <w:t>M</w:t>
      </w:r>
      <w:r w:rsidRPr="001F4AEA">
        <w:rPr>
          <w:rFonts w:ascii="Times New Roman" w:eastAsia="標楷體" w:hint="eastAsia"/>
          <w:spacing w:val="0"/>
          <w:sz w:val="28"/>
          <w:szCs w:val="24"/>
        </w:rPr>
        <w:t>eeting</w:t>
      </w:r>
      <w:r w:rsidR="00062DAF" w:rsidRPr="001F4AEA">
        <w:rPr>
          <w:rFonts w:ascii="Times New Roman" w:eastAsia="標楷體" w:hint="eastAsia"/>
          <w:spacing w:val="0"/>
          <w:sz w:val="28"/>
          <w:szCs w:val="24"/>
        </w:rPr>
        <w:t xml:space="preserve"> pointed to synchronized global growth with moderate expansion in advanced economies and sustained recovery in emerging market economies. The global </w:t>
      </w:r>
      <w:r w:rsidR="00062DAF" w:rsidRPr="001F4AEA">
        <w:rPr>
          <w:rFonts w:ascii="Times New Roman" w:eastAsia="標楷體"/>
          <w:spacing w:val="0"/>
          <w:sz w:val="28"/>
          <w:szCs w:val="24"/>
        </w:rPr>
        <w:t>economy</w:t>
      </w:r>
      <w:r w:rsidR="00062DAF" w:rsidRPr="001F4AEA">
        <w:rPr>
          <w:rFonts w:ascii="Times New Roman" w:eastAsia="標楷體" w:hint="eastAsia"/>
          <w:spacing w:val="0"/>
          <w:sz w:val="28"/>
          <w:szCs w:val="24"/>
        </w:rPr>
        <w:t xml:space="preserve"> is expected to pick up steadily next year, but world trade growth</w:t>
      </w:r>
      <w:r w:rsidR="00D915BA" w:rsidRPr="001F4AEA">
        <w:rPr>
          <w:rFonts w:ascii="Times New Roman" w:eastAsia="標楷體" w:hint="eastAsia"/>
          <w:spacing w:val="0"/>
          <w:sz w:val="28"/>
          <w:szCs w:val="24"/>
        </w:rPr>
        <w:t xml:space="preserve"> might be dragged down </w:t>
      </w:r>
      <w:r w:rsidR="001F4AEA">
        <w:rPr>
          <w:rFonts w:ascii="Times New Roman" w:eastAsia="標楷體" w:hint="eastAsia"/>
          <w:spacing w:val="0"/>
          <w:sz w:val="28"/>
          <w:szCs w:val="24"/>
        </w:rPr>
        <w:t xml:space="preserve">slightly </w:t>
      </w:r>
      <w:r w:rsidR="00D915BA" w:rsidRPr="001F4AEA">
        <w:rPr>
          <w:rFonts w:ascii="Times New Roman" w:eastAsia="標楷體" w:hint="eastAsia"/>
          <w:spacing w:val="0"/>
          <w:sz w:val="28"/>
          <w:szCs w:val="24"/>
        </w:rPr>
        <w:t xml:space="preserve">by the gradual monetary policy normalization in advanced economies, softer demand from China, and a higher base of the previous year. </w:t>
      </w:r>
    </w:p>
    <w:p w:rsidR="001F4AEA" w:rsidRPr="001F4AEA" w:rsidRDefault="00B31BD5" w:rsidP="001F4AEA">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t>For the year of 2018, w</w:t>
      </w:r>
      <w:r w:rsidR="001F4AEA">
        <w:rPr>
          <w:rFonts w:ascii="Times New Roman" w:eastAsia="標楷體" w:hint="eastAsia"/>
          <w:spacing w:val="0"/>
          <w:sz w:val="28"/>
          <w:szCs w:val="24"/>
        </w:rPr>
        <w:t>ith the exception of the US economy continuing to strengthen, most m</w:t>
      </w:r>
      <w:r w:rsidR="001F4AEA" w:rsidRPr="001F4AEA">
        <w:rPr>
          <w:rFonts w:ascii="Times New Roman" w:eastAsia="標楷體" w:hint="eastAsia"/>
          <w:spacing w:val="0"/>
          <w:sz w:val="28"/>
          <w:szCs w:val="24"/>
        </w:rPr>
        <w:t xml:space="preserve">ajor economies </w:t>
      </w:r>
      <w:r w:rsidR="001F4AEA">
        <w:rPr>
          <w:rFonts w:ascii="Times New Roman" w:eastAsia="標楷體" w:hint="eastAsia"/>
          <w:spacing w:val="0"/>
          <w:sz w:val="28"/>
          <w:szCs w:val="24"/>
        </w:rPr>
        <w:t xml:space="preserve">are projected to experience slightly slower growth. </w:t>
      </w:r>
      <w:r w:rsidR="00DB13E9">
        <w:rPr>
          <w:rFonts w:ascii="Times New Roman" w:eastAsia="標楷體"/>
          <w:spacing w:val="0"/>
          <w:sz w:val="28"/>
          <w:szCs w:val="24"/>
        </w:rPr>
        <w:t>A</w:t>
      </w:r>
      <w:r w:rsidR="00DB13E9">
        <w:rPr>
          <w:rFonts w:ascii="Times New Roman" w:eastAsia="標楷體" w:hint="eastAsia"/>
          <w:spacing w:val="0"/>
          <w:sz w:val="28"/>
          <w:szCs w:val="24"/>
        </w:rPr>
        <w:t>s a</w:t>
      </w:r>
      <w:r w:rsidR="002F3263">
        <w:rPr>
          <w:rFonts w:ascii="Times New Roman" w:eastAsia="標楷體" w:hint="eastAsia"/>
          <w:spacing w:val="0"/>
          <w:sz w:val="28"/>
          <w:szCs w:val="24"/>
        </w:rPr>
        <w:t xml:space="preserve"> stronger euro </w:t>
      </w:r>
      <w:r w:rsidR="00DB13E9">
        <w:rPr>
          <w:rFonts w:ascii="Times New Roman" w:eastAsia="標楷體" w:hint="eastAsia"/>
          <w:spacing w:val="0"/>
          <w:sz w:val="28"/>
          <w:szCs w:val="24"/>
        </w:rPr>
        <w:t xml:space="preserve">could </w:t>
      </w:r>
      <w:r w:rsidR="002F3263">
        <w:rPr>
          <w:rFonts w:ascii="Times New Roman" w:eastAsia="標楷體" w:hint="eastAsia"/>
          <w:spacing w:val="0"/>
          <w:sz w:val="28"/>
          <w:szCs w:val="24"/>
        </w:rPr>
        <w:t xml:space="preserve">dampen exports and </w:t>
      </w:r>
      <w:r w:rsidR="000D7025">
        <w:rPr>
          <w:rFonts w:ascii="Times New Roman" w:eastAsia="標楷體" w:hint="eastAsia"/>
          <w:spacing w:val="0"/>
          <w:sz w:val="28"/>
          <w:szCs w:val="24"/>
        </w:rPr>
        <w:t>Japan might feel the strains from China</w:t>
      </w:r>
      <w:r w:rsidR="000D7025">
        <w:rPr>
          <w:rFonts w:ascii="Times New Roman" w:eastAsia="標楷體"/>
          <w:spacing w:val="0"/>
          <w:sz w:val="28"/>
          <w:szCs w:val="24"/>
        </w:rPr>
        <w:t>’</w:t>
      </w:r>
      <w:r w:rsidR="000D7025">
        <w:rPr>
          <w:rFonts w:ascii="Times New Roman" w:eastAsia="標楷體" w:hint="eastAsia"/>
          <w:spacing w:val="0"/>
          <w:sz w:val="28"/>
          <w:szCs w:val="24"/>
        </w:rPr>
        <w:t>s economic slowdown</w:t>
      </w:r>
      <w:r w:rsidR="00DB13E9">
        <w:rPr>
          <w:rFonts w:ascii="Times New Roman" w:eastAsia="標楷體" w:hint="eastAsia"/>
          <w:spacing w:val="0"/>
          <w:sz w:val="28"/>
          <w:szCs w:val="24"/>
        </w:rPr>
        <w:t xml:space="preserve">, both the euro area and Japan will grow slower than this year. For other Asian economies, most of them will not expand as fast as this year owing to a higher base effect. In addition, international forecasting institutions projected </w:t>
      </w:r>
      <w:r w:rsidR="00DB13E9">
        <w:rPr>
          <w:rFonts w:ascii="Times New Roman" w:eastAsia="標楷體"/>
          <w:spacing w:val="0"/>
          <w:sz w:val="28"/>
          <w:szCs w:val="24"/>
        </w:rPr>
        <w:t xml:space="preserve">inflation to be below 2% for the US, the euro area, and Japan, indicating </w:t>
      </w:r>
      <w:r w:rsidR="00DB13E9">
        <w:rPr>
          <w:rFonts w:ascii="Times New Roman" w:eastAsia="標楷體" w:hint="eastAsia"/>
          <w:spacing w:val="0"/>
          <w:sz w:val="28"/>
          <w:szCs w:val="24"/>
        </w:rPr>
        <w:t xml:space="preserve">a mild inflation outlook. </w:t>
      </w:r>
    </w:p>
    <w:p w:rsidR="00E571DC" w:rsidRDefault="006C483B" w:rsidP="002C0DF3">
      <w:pPr>
        <w:pStyle w:val="6"/>
        <w:overflowPunct w:val="0"/>
        <w:snapToGrid w:val="0"/>
        <w:spacing w:before="240" w:after="0" w:line="520" w:lineRule="exact"/>
        <w:ind w:left="0" w:firstLineChars="200" w:firstLine="560"/>
        <w:rPr>
          <w:rFonts w:ascii="Times New Roman" w:eastAsia="標楷體"/>
          <w:spacing w:val="0"/>
          <w:sz w:val="28"/>
          <w:szCs w:val="24"/>
        </w:rPr>
      </w:pPr>
      <w:r w:rsidRPr="002C0DF3">
        <w:rPr>
          <w:rFonts w:ascii="Times New Roman" w:eastAsia="標楷體" w:hint="eastAsia"/>
          <w:spacing w:val="0"/>
          <w:sz w:val="28"/>
          <w:szCs w:val="24"/>
        </w:rPr>
        <w:t xml:space="preserve">In the </w:t>
      </w:r>
      <w:r w:rsidRPr="002C0DF3">
        <w:rPr>
          <w:rFonts w:ascii="Times New Roman" w:eastAsia="標楷體"/>
          <w:spacing w:val="0"/>
          <w:sz w:val="28"/>
          <w:szCs w:val="24"/>
        </w:rPr>
        <w:t>international</w:t>
      </w:r>
      <w:r w:rsidRPr="002C0DF3">
        <w:rPr>
          <w:rFonts w:ascii="Times New Roman" w:eastAsia="標楷體" w:hint="eastAsia"/>
          <w:spacing w:val="0"/>
          <w:sz w:val="28"/>
          <w:szCs w:val="24"/>
        </w:rPr>
        <w:t xml:space="preserve"> </w:t>
      </w:r>
      <w:r w:rsidRPr="002C0DF3">
        <w:rPr>
          <w:rFonts w:ascii="Times New Roman" w:eastAsia="標楷體"/>
          <w:spacing w:val="0"/>
          <w:sz w:val="28"/>
          <w:szCs w:val="24"/>
        </w:rPr>
        <w:t>financial</w:t>
      </w:r>
      <w:r w:rsidRPr="002C0DF3">
        <w:rPr>
          <w:rFonts w:ascii="Times New Roman" w:eastAsia="標楷體" w:hint="eastAsia"/>
          <w:spacing w:val="0"/>
          <w:sz w:val="28"/>
          <w:szCs w:val="24"/>
        </w:rPr>
        <w:t xml:space="preserve"> market</w:t>
      </w:r>
      <w:r w:rsidR="007118B8">
        <w:rPr>
          <w:rFonts w:ascii="Times New Roman" w:eastAsia="標楷體" w:hint="eastAsia"/>
          <w:spacing w:val="0"/>
          <w:sz w:val="28"/>
          <w:szCs w:val="24"/>
        </w:rPr>
        <w:t>s</w:t>
      </w:r>
      <w:r w:rsidRPr="002C0DF3">
        <w:rPr>
          <w:rFonts w:ascii="Times New Roman" w:eastAsia="標楷體" w:hint="eastAsia"/>
          <w:spacing w:val="0"/>
          <w:sz w:val="28"/>
          <w:szCs w:val="24"/>
        </w:rPr>
        <w:t xml:space="preserve">, major </w:t>
      </w:r>
      <w:r w:rsidR="00D9159B">
        <w:rPr>
          <w:rFonts w:ascii="Times New Roman" w:eastAsia="標楷體" w:hint="eastAsia"/>
          <w:spacing w:val="0"/>
          <w:sz w:val="28"/>
          <w:szCs w:val="24"/>
        </w:rPr>
        <w:t xml:space="preserve">Asian </w:t>
      </w:r>
      <w:r w:rsidRPr="002C0DF3">
        <w:rPr>
          <w:rFonts w:ascii="Times New Roman" w:eastAsia="標楷體" w:hint="eastAsia"/>
          <w:spacing w:val="0"/>
          <w:sz w:val="28"/>
          <w:szCs w:val="24"/>
        </w:rPr>
        <w:t>currencies</w:t>
      </w:r>
      <w:r w:rsidR="00D9159B">
        <w:rPr>
          <w:rFonts w:ascii="Times New Roman" w:eastAsia="標楷體" w:hint="eastAsia"/>
          <w:spacing w:val="0"/>
          <w:sz w:val="28"/>
          <w:szCs w:val="24"/>
        </w:rPr>
        <w:t xml:space="preserve"> except the Japanese yen</w:t>
      </w:r>
      <w:r w:rsidRPr="002C0DF3">
        <w:rPr>
          <w:rFonts w:ascii="Times New Roman" w:eastAsia="標楷體" w:hint="eastAsia"/>
          <w:spacing w:val="0"/>
          <w:sz w:val="28"/>
          <w:szCs w:val="24"/>
        </w:rPr>
        <w:t xml:space="preserve"> </w:t>
      </w:r>
      <w:r w:rsidR="00AA760A" w:rsidRPr="002C0DF3">
        <w:rPr>
          <w:rFonts w:ascii="Times New Roman" w:eastAsia="標楷體" w:hint="eastAsia"/>
          <w:spacing w:val="0"/>
          <w:sz w:val="28"/>
          <w:szCs w:val="24"/>
        </w:rPr>
        <w:t xml:space="preserve">broadly appreciated against the US dollar </w:t>
      </w:r>
      <w:r w:rsidR="00D9159B">
        <w:rPr>
          <w:rFonts w:ascii="Times New Roman" w:eastAsia="標楷體" w:hint="eastAsia"/>
          <w:spacing w:val="0"/>
          <w:sz w:val="28"/>
          <w:szCs w:val="24"/>
        </w:rPr>
        <w:t xml:space="preserve">owing to capital inflows into this region. </w:t>
      </w:r>
      <w:r w:rsidR="007118B8">
        <w:rPr>
          <w:rFonts w:ascii="Times New Roman" w:eastAsia="標楷體" w:hint="eastAsia"/>
          <w:spacing w:val="0"/>
          <w:sz w:val="28"/>
          <w:szCs w:val="24"/>
        </w:rPr>
        <w:t>Meanwhile, t</w:t>
      </w:r>
      <w:r w:rsidR="00F8541C">
        <w:rPr>
          <w:rFonts w:ascii="Times New Roman" w:eastAsia="標楷體" w:hint="eastAsia"/>
          <w:spacing w:val="0"/>
          <w:sz w:val="28"/>
          <w:szCs w:val="24"/>
        </w:rPr>
        <w:t>he</w:t>
      </w:r>
      <w:r w:rsidR="00C0620C" w:rsidRPr="002C0DF3">
        <w:rPr>
          <w:rFonts w:ascii="Times New Roman" w:eastAsia="標楷體" w:hint="eastAsia"/>
          <w:spacing w:val="0"/>
          <w:sz w:val="28"/>
          <w:szCs w:val="24"/>
        </w:rPr>
        <w:t xml:space="preserve"> global stock markets</w:t>
      </w:r>
      <w:r w:rsidR="00495A1E" w:rsidRPr="002C0DF3">
        <w:rPr>
          <w:rFonts w:ascii="Times New Roman" w:eastAsia="標楷體"/>
          <w:spacing w:val="0"/>
          <w:sz w:val="28"/>
          <w:szCs w:val="24"/>
        </w:rPr>
        <w:t xml:space="preserve"> </w:t>
      </w:r>
      <w:r w:rsidR="00F56E65" w:rsidRPr="002C0DF3">
        <w:rPr>
          <w:rFonts w:ascii="Times New Roman" w:eastAsia="標楷體" w:hint="eastAsia"/>
          <w:spacing w:val="0"/>
          <w:sz w:val="28"/>
          <w:szCs w:val="24"/>
        </w:rPr>
        <w:t xml:space="preserve">recorded an extended rally on the back of </w:t>
      </w:r>
      <w:r w:rsidR="00D9159B">
        <w:rPr>
          <w:rFonts w:ascii="Times New Roman" w:eastAsia="標楷體" w:hint="eastAsia"/>
          <w:spacing w:val="0"/>
          <w:sz w:val="28"/>
          <w:szCs w:val="24"/>
        </w:rPr>
        <w:t xml:space="preserve">a mild expansion in </w:t>
      </w:r>
      <w:r w:rsidR="00F56E65" w:rsidRPr="002C0DF3">
        <w:rPr>
          <w:rFonts w:ascii="Times New Roman" w:eastAsia="標楷體" w:hint="eastAsia"/>
          <w:spacing w:val="0"/>
          <w:sz w:val="28"/>
          <w:szCs w:val="24"/>
        </w:rPr>
        <w:t xml:space="preserve">the global </w:t>
      </w:r>
      <w:r w:rsidR="00F56E65" w:rsidRPr="002C0DF3">
        <w:rPr>
          <w:rFonts w:ascii="Times New Roman" w:eastAsia="標楷體"/>
          <w:spacing w:val="0"/>
          <w:sz w:val="28"/>
          <w:szCs w:val="24"/>
        </w:rPr>
        <w:t>econom</w:t>
      </w:r>
      <w:r w:rsidR="00D9159B">
        <w:rPr>
          <w:rFonts w:ascii="Times New Roman" w:eastAsia="標楷體" w:hint="eastAsia"/>
          <w:spacing w:val="0"/>
          <w:sz w:val="28"/>
          <w:szCs w:val="24"/>
        </w:rPr>
        <w:t>y</w:t>
      </w:r>
      <w:r w:rsidR="00F56E65" w:rsidRPr="002C0DF3">
        <w:rPr>
          <w:rFonts w:ascii="Times New Roman" w:eastAsia="標楷體" w:hint="eastAsia"/>
          <w:spacing w:val="0"/>
          <w:sz w:val="28"/>
          <w:szCs w:val="24"/>
        </w:rPr>
        <w:t xml:space="preserve">. </w:t>
      </w:r>
    </w:p>
    <w:p w:rsidR="00585BCD" w:rsidRDefault="006D6E3F" w:rsidP="002C0DF3">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lastRenderedPageBreak/>
        <w:t>Key</w:t>
      </w:r>
      <w:r w:rsidR="000015F2" w:rsidRPr="002C0DF3">
        <w:rPr>
          <w:rFonts w:ascii="Times New Roman" w:eastAsia="標楷體" w:hint="eastAsia"/>
          <w:spacing w:val="0"/>
          <w:sz w:val="28"/>
          <w:szCs w:val="24"/>
        </w:rPr>
        <w:t xml:space="preserve"> risks facing the global </w:t>
      </w:r>
      <w:r w:rsidR="000015F2" w:rsidRPr="002C0DF3">
        <w:rPr>
          <w:rFonts w:ascii="Times New Roman" w:eastAsia="標楷體"/>
          <w:spacing w:val="0"/>
          <w:sz w:val="28"/>
          <w:szCs w:val="24"/>
        </w:rPr>
        <w:t>economy</w:t>
      </w:r>
      <w:r w:rsidR="00D9159B">
        <w:rPr>
          <w:rFonts w:ascii="Times New Roman" w:eastAsia="標楷體" w:hint="eastAsia"/>
          <w:spacing w:val="0"/>
          <w:sz w:val="28"/>
          <w:szCs w:val="24"/>
        </w:rPr>
        <w:t xml:space="preserve"> stem from four </w:t>
      </w:r>
      <w:r w:rsidR="00380046">
        <w:rPr>
          <w:rFonts w:ascii="Times New Roman" w:eastAsia="標楷體" w:hint="eastAsia"/>
          <w:spacing w:val="0"/>
          <w:sz w:val="28"/>
          <w:szCs w:val="24"/>
        </w:rPr>
        <w:t>area</w:t>
      </w:r>
      <w:r w:rsidR="00D9159B">
        <w:rPr>
          <w:rFonts w:ascii="Times New Roman" w:eastAsia="標楷體" w:hint="eastAsia"/>
          <w:spacing w:val="0"/>
          <w:sz w:val="28"/>
          <w:szCs w:val="24"/>
        </w:rPr>
        <w:t>s</w:t>
      </w:r>
      <w:r w:rsidR="004435A0" w:rsidRPr="002C0DF3">
        <w:rPr>
          <w:rFonts w:ascii="Times New Roman" w:eastAsia="標楷體" w:hint="eastAsia"/>
          <w:spacing w:val="0"/>
          <w:sz w:val="28"/>
          <w:szCs w:val="24"/>
        </w:rPr>
        <w:t>:</w:t>
      </w:r>
      <w:r w:rsidR="000015F2" w:rsidRPr="006703CA">
        <w:rPr>
          <w:rFonts w:ascii="Times New Roman" w:eastAsia="標楷體" w:hint="eastAsia"/>
          <w:spacing w:val="0"/>
          <w:sz w:val="28"/>
          <w:szCs w:val="24"/>
        </w:rPr>
        <w:t xml:space="preserve"> (1) </w:t>
      </w:r>
      <w:r w:rsidR="006703CA">
        <w:rPr>
          <w:rFonts w:ascii="Times New Roman" w:eastAsia="標楷體" w:hint="eastAsia"/>
          <w:spacing w:val="0"/>
          <w:sz w:val="28"/>
          <w:szCs w:val="24"/>
        </w:rPr>
        <w:t>gradual normalization of monetary policy by major economies, which could induce capital outflows from other economies and cause currency devaluation</w:t>
      </w:r>
      <w:r w:rsidR="00A74457" w:rsidRPr="006703CA">
        <w:rPr>
          <w:rFonts w:ascii="Times New Roman" w:eastAsia="標楷體" w:hint="eastAsia"/>
          <w:spacing w:val="0"/>
          <w:sz w:val="28"/>
          <w:szCs w:val="24"/>
        </w:rPr>
        <w:t xml:space="preserve">; </w:t>
      </w:r>
      <w:r w:rsidR="00585BCD" w:rsidRPr="006703CA">
        <w:rPr>
          <w:rFonts w:ascii="Times New Roman" w:eastAsia="標楷體" w:hint="eastAsia"/>
          <w:spacing w:val="0"/>
          <w:sz w:val="28"/>
          <w:szCs w:val="24"/>
        </w:rPr>
        <w:t xml:space="preserve">(2) </w:t>
      </w:r>
      <w:r w:rsidR="006703CA">
        <w:rPr>
          <w:rFonts w:ascii="Times New Roman" w:eastAsia="標楷體" w:hint="eastAsia"/>
          <w:spacing w:val="0"/>
          <w:sz w:val="28"/>
          <w:szCs w:val="24"/>
        </w:rPr>
        <w:t xml:space="preserve">impacts stemming from the US </w:t>
      </w:r>
      <w:r w:rsidR="006703CA">
        <w:rPr>
          <w:rFonts w:ascii="Times New Roman" w:eastAsia="標楷體"/>
          <w:spacing w:val="0"/>
          <w:sz w:val="28"/>
          <w:szCs w:val="24"/>
        </w:rPr>
        <w:t>economic</w:t>
      </w:r>
      <w:r w:rsidR="006703CA">
        <w:rPr>
          <w:rFonts w:ascii="Times New Roman" w:eastAsia="標楷體" w:hint="eastAsia"/>
          <w:spacing w:val="0"/>
          <w:sz w:val="28"/>
          <w:szCs w:val="24"/>
        </w:rPr>
        <w:t xml:space="preserve"> and trade policies, such as the US tax reform and its influence on cross-border capital flows; (3) rising </w:t>
      </w:r>
      <w:r w:rsidR="00243BAF" w:rsidRPr="006703CA">
        <w:rPr>
          <w:rFonts w:ascii="Times New Roman" w:eastAsia="標楷體" w:hint="eastAsia"/>
          <w:spacing w:val="0"/>
          <w:sz w:val="28"/>
          <w:szCs w:val="24"/>
        </w:rPr>
        <w:t>trade protectionism</w:t>
      </w:r>
      <w:r w:rsidR="006703CA">
        <w:rPr>
          <w:rFonts w:ascii="Times New Roman" w:eastAsia="標楷體" w:hint="eastAsia"/>
          <w:spacing w:val="0"/>
          <w:sz w:val="28"/>
          <w:szCs w:val="24"/>
        </w:rPr>
        <w:t xml:space="preserve"> and its repercussions on global trade activity</w:t>
      </w:r>
      <w:r w:rsidR="00243BAF" w:rsidRPr="006703CA">
        <w:rPr>
          <w:rFonts w:ascii="Times New Roman" w:eastAsia="標楷體" w:hint="eastAsia"/>
          <w:spacing w:val="0"/>
          <w:sz w:val="28"/>
          <w:szCs w:val="24"/>
        </w:rPr>
        <w:t xml:space="preserve">; </w:t>
      </w:r>
      <w:r w:rsidR="00585BCD" w:rsidRPr="006703CA">
        <w:rPr>
          <w:rFonts w:ascii="Times New Roman" w:eastAsia="標楷體" w:hint="eastAsia"/>
          <w:spacing w:val="0"/>
          <w:sz w:val="28"/>
          <w:szCs w:val="24"/>
        </w:rPr>
        <w:t>(</w:t>
      </w:r>
      <w:r w:rsidR="006703CA">
        <w:rPr>
          <w:rFonts w:ascii="Times New Roman" w:eastAsia="標楷體" w:hint="eastAsia"/>
          <w:spacing w:val="0"/>
          <w:sz w:val="28"/>
          <w:szCs w:val="24"/>
        </w:rPr>
        <w:t>4</w:t>
      </w:r>
      <w:r w:rsidR="00585BCD" w:rsidRPr="006703CA">
        <w:rPr>
          <w:rFonts w:ascii="Times New Roman" w:eastAsia="標楷體" w:hint="eastAsia"/>
          <w:spacing w:val="0"/>
          <w:sz w:val="28"/>
          <w:szCs w:val="24"/>
        </w:rPr>
        <w:t xml:space="preserve">) </w:t>
      </w:r>
      <w:r w:rsidR="00443999" w:rsidRPr="006703CA">
        <w:rPr>
          <w:rFonts w:ascii="Times New Roman" w:eastAsia="標楷體" w:hint="eastAsia"/>
          <w:spacing w:val="0"/>
          <w:sz w:val="28"/>
          <w:szCs w:val="24"/>
        </w:rPr>
        <w:t xml:space="preserve">geopolitical </w:t>
      </w:r>
      <w:r w:rsidR="006703CA">
        <w:rPr>
          <w:rFonts w:ascii="Times New Roman" w:eastAsia="標楷體" w:hint="eastAsia"/>
          <w:spacing w:val="0"/>
          <w:sz w:val="28"/>
          <w:szCs w:val="24"/>
        </w:rPr>
        <w:t>risks</w:t>
      </w:r>
      <w:r w:rsidR="004435A0" w:rsidRPr="006703CA">
        <w:rPr>
          <w:rFonts w:ascii="Times New Roman" w:eastAsia="標楷體" w:hint="eastAsia"/>
          <w:spacing w:val="0"/>
          <w:sz w:val="28"/>
          <w:szCs w:val="24"/>
        </w:rPr>
        <w:t xml:space="preserve">, </w:t>
      </w:r>
      <w:r w:rsidR="00E51F72" w:rsidRPr="006703CA">
        <w:rPr>
          <w:rFonts w:ascii="Times New Roman" w:eastAsia="標楷體" w:hint="eastAsia"/>
          <w:spacing w:val="0"/>
          <w:sz w:val="28"/>
          <w:szCs w:val="24"/>
        </w:rPr>
        <w:t>including tensions on the Korean Peninsula</w:t>
      </w:r>
      <w:r w:rsidR="00FC3E64">
        <w:rPr>
          <w:rFonts w:ascii="Times New Roman" w:eastAsia="標楷體" w:hint="eastAsia"/>
          <w:spacing w:val="0"/>
          <w:sz w:val="28"/>
          <w:szCs w:val="24"/>
        </w:rPr>
        <w:t xml:space="preserve"> and the Middle East, </w:t>
      </w:r>
      <w:r w:rsidR="006703CA">
        <w:rPr>
          <w:rFonts w:ascii="Times New Roman" w:eastAsia="標楷體" w:hint="eastAsia"/>
          <w:spacing w:val="0"/>
          <w:sz w:val="28"/>
          <w:szCs w:val="24"/>
        </w:rPr>
        <w:t xml:space="preserve">and </w:t>
      </w:r>
      <w:r w:rsidR="000E2D42">
        <w:rPr>
          <w:rFonts w:ascii="Times New Roman" w:eastAsia="標楷體" w:hint="eastAsia"/>
          <w:spacing w:val="0"/>
          <w:sz w:val="28"/>
          <w:szCs w:val="24"/>
        </w:rPr>
        <w:t xml:space="preserve">possibly louder cries for </w:t>
      </w:r>
      <w:r w:rsidR="00FC3E64">
        <w:rPr>
          <w:rFonts w:ascii="Times New Roman" w:eastAsia="標楷體" w:hint="eastAsia"/>
          <w:spacing w:val="0"/>
          <w:sz w:val="28"/>
          <w:szCs w:val="24"/>
        </w:rPr>
        <w:t>autonomy/</w:t>
      </w:r>
      <w:r w:rsidR="00FC3E64">
        <w:rPr>
          <w:rFonts w:ascii="Times New Roman" w:eastAsia="標楷體"/>
          <w:spacing w:val="0"/>
          <w:sz w:val="28"/>
          <w:szCs w:val="24"/>
        </w:rPr>
        <w:t>independence</w:t>
      </w:r>
      <w:r w:rsidR="00FC3E64">
        <w:rPr>
          <w:rFonts w:ascii="Times New Roman" w:eastAsia="標楷體" w:hint="eastAsia"/>
          <w:spacing w:val="0"/>
          <w:sz w:val="28"/>
          <w:szCs w:val="24"/>
        </w:rPr>
        <w:t xml:space="preserve"> </w:t>
      </w:r>
      <w:r w:rsidR="00E51F72" w:rsidRPr="006703CA">
        <w:rPr>
          <w:rFonts w:ascii="Times New Roman" w:eastAsia="標楷體" w:hint="eastAsia"/>
          <w:spacing w:val="0"/>
          <w:sz w:val="28"/>
          <w:szCs w:val="24"/>
        </w:rPr>
        <w:t xml:space="preserve">in </w:t>
      </w:r>
      <w:r w:rsidR="00FC3E64">
        <w:rPr>
          <w:rFonts w:ascii="Times New Roman" w:eastAsia="標楷體" w:hint="eastAsia"/>
          <w:spacing w:val="0"/>
          <w:sz w:val="28"/>
          <w:szCs w:val="24"/>
        </w:rPr>
        <w:t xml:space="preserve">some </w:t>
      </w:r>
      <w:r w:rsidR="00E51F72" w:rsidRPr="006703CA">
        <w:rPr>
          <w:rFonts w:ascii="Times New Roman" w:eastAsia="標楷體" w:hint="eastAsia"/>
          <w:spacing w:val="0"/>
          <w:sz w:val="28"/>
          <w:szCs w:val="24"/>
        </w:rPr>
        <w:t>Europe</w:t>
      </w:r>
      <w:r w:rsidR="00FC3E64">
        <w:rPr>
          <w:rFonts w:ascii="Times New Roman" w:eastAsia="標楷體" w:hint="eastAsia"/>
          <w:spacing w:val="0"/>
          <w:sz w:val="28"/>
          <w:szCs w:val="24"/>
        </w:rPr>
        <w:t>an countries</w:t>
      </w:r>
      <w:r w:rsidR="00264990">
        <w:rPr>
          <w:rFonts w:ascii="Times New Roman" w:eastAsia="標楷體" w:hint="eastAsia"/>
          <w:spacing w:val="0"/>
          <w:sz w:val="28"/>
          <w:szCs w:val="24"/>
        </w:rPr>
        <w:t xml:space="preserve">, which could roil the commodity and financial markets, </w:t>
      </w:r>
      <w:r w:rsidR="00705A48">
        <w:rPr>
          <w:rFonts w:ascii="Times New Roman" w:eastAsia="標楷體" w:hint="eastAsia"/>
          <w:spacing w:val="0"/>
          <w:sz w:val="28"/>
          <w:szCs w:val="24"/>
        </w:rPr>
        <w:t xml:space="preserve">compounding the uncertainties over the global </w:t>
      </w:r>
      <w:r w:rsidR="00705A48">
        <w:rPr>
          <w:rFonts w:ascii="Times New Roman" w:eastAsia="標楷體"/>
          <w:spacing w:val="0"/>
          <w:sz w:val="28"/>
          <w:szCs w:val="24"/>
        </w:rPr>
        <w:t>economic</w:t>
      </w:r>
      <w:r w:rsidR="00705A48">
        <w:rPr>
          <w:rFonts w:ascii="Times New Roman" w:eastAsia="標楷體" w:hint="eastAsia"/>
          <w:spacing w:val="0"/>
          <w:sz w:val="28"/>
          <w:szCs w:val="24"/>
        </w:rPr>
        <w:t xml:space="preserve"> recovery</w:t>
      </w:r>
      <w:r w:rsidR="00BB5F5D" w:rsidRPr="006703CA">
        <w:rPr>
          <w:rFonts w:ascii="Times New Roman" w:eastAsia="標楷體" w:hint="eastAsia"/>
          <w:spacing w:val="0"/>
          <w:sz w:val="28"/>
          <w:szCs w:val="24"/>
        </w:rPr>
        <w:t xml:space="preserve">. </w:t>
      </w:r>
    </w:p>
    <w:p w:rsidR="00D46F1E" w:rsidRPr="00543487" w:rsidRDefault="00D46F1E" w:rsidP="0043506F">
      <w:pPr>
        <w:numPr>
          <w:ilvl w:val="0"/>
          <w:numId w:val="30"/>
        </w:numPr>
        <w:overflowPunct w:val="0"/>
        <w:autoSpaceDE w:val="0"/>
        <w:autoSpaceDN w:val="0"/>
        <w:snapToGrid w:val="0"/>
        <w:spacing w:before="240" w:line="520" w:lineRule="exact"/>
        <w:ind w:left="426" w:hanging="426"/>
        <w:rPr>
          <w:rFonts w:eastAsia="標楷體"/>
          <w:b/>
          <w:spacing w:val="-2"/>
          <w:sz w:val="28"/>
          <w:szCs w:val="28"/>
        </w:rPr>
      </w:pPr>
      <w:r w:rsidRPr="00543487">
        <w:rPr>
          <w:rFonts w:eastAsia="標楷體" w:hint="eastAsia"/>
          <w:b/>
          <w:spacing w:val="-2"/>
          <w:sz w:val="28"/>
          <w:szCs w:val="28"/>
        </w:rPr>
        <w:t>Domestic</w:t>
      </w:r>
      <w:r w:rsidRPr="00543487">
        <w:rPr>
          <w:rFonts w:eastAsia="標楷體"/>
          <w:b/>
          <w:spacing w:val="-2"/>
          <w:sz w:val="28"/>
          <w:szCs w:val="28"/>
        </w:rPr>
        <w:t xml:space="preserve"> Economic </w:t>
      </w:r>
      <w:r w:rsidRPr="00543487">
        <w:rPr>
          <w:rFonts w:eastAsia="標楷體" w:hint="eastAsia"/>
          <w:b/>
          <w:spacing w:val="-2"/>
          <w:sz w:val="28"/>
          <w:szCs w:val="28"/>
        </w:rPr>
        <w:t>a</w:t>
      </w:r>
      <w:r w:rsidRPr="00543487">
        <w:rPr>
          <w:rFonts w:eastAsia="標楷體"/>
          <w:b/>
          <w:spacing w:val="-2"/>
          <w:sz w:val="28"/>
          <w:szCs w:val="28"/>
        </w:rPr>
        <w:t>nd Financial Conditions</w:t>
      </w:r>
    </w:p>
    <w:p w:rsidR="00D46F1E" w:rsidRPr="00543487" w:rsidRDefault="00D46F1E" w:rsidP="00D46F1E">
      <w:pPr>
        <w:adjustRightInd/>
        <w:spacing w:before="240" w:line="520" w:lineRule="exact"/>
        <w:textAlignment w:val="auto"/>
        <w:rPr>
          <w:rFonts w:eastAsia="標楷體"/>
          <w:spacing w:val="-2"/>
          <w:kern w:val="2"/>
          <w:sz w:val="28"/>
          <w:szCs w:val="28"/>
        </w:rPr>
      </w:pPr>
      <w:r w:rsidRPr="00543487">
        <w:rPr>
          <w:rFonts w:eastAsia="標楷體"/>
          <w:spacing w:val="-2"/>
          <w:kern w:val="2"/>
          <w:sz w:val="28"/>
          <w:szCs w:val="28"/>
        </w:rPr>
        <w:t>(</w:t>
      </w:r>
      <w:r w:rsidRPr="00543487">
        <w:rPr>
          <w:rFonts w:eastAsia="標楷體" w:hint="eastAsia"/>
          <w:spacing w:val="-2"/>
          <w:kern w:val="2"/>
          <w:sz w:val="28"/>
          <w:szCs w:val="28"/>
        </w:rPr>
        <w:t>1</w:t>
      </w:r>
      <w:r w:rsidRPr="00543487">
        <w:rPr>
          <w:rFonts w:eastAsia="標楷體"/>
          <w:spacing w:val="-2"/>
          <w:kern w:val="2"/>
          <w:sz w:val="28"/>
          <w:szCs w:val="28"/>
        </w:rPr>
        <w:t>)</w:t>
      </w:r>
      <w:r w:rsidRPr="00543487">
        <w:rPr>
          <w:rFonts w:eastAsia="標楷體" w:hint="eastAsia"/>
          <w:spacing w:val="-2"/>
          <w:kern w:val="2"/>
          <w:sz w:val="28"/>
          <w:szCs w:val="28"/>
        </w:rPr>
        <w:t xml:space="preserve"> Economic situation </w:t>
      </w:r>
    </w:p>
    <w:p w:rsidR="00706850" w:rsidRPr="00C41905" w:rsidRDefault="00706850" w:rsidP="00706850">
      <w:pPr>
        <w:pStyle w:val="6"/>
        <w:overflowPunct w:val="0"/>
        <w:snapToGrid w:val="0"/>
        <w:spacing w:before="240" w:after="0" w:line="520" w:lineRule="exact"/>
        <w:ind w:left="0" w:firstLineChars="200" w:firstLine="560"/>
        <w:rPr>
          <w:rFonts w:ascii="Times New Roman" w:eastAsia="標楷體"/>
          <w:b/>
          <w:spacing w:val="0"/>
          <w:sz w:val="28"/>
          <w:szCs w:val="24"/>
        </w:rPr>
      </w:pPr>
      <w:r w:rsidRPr="002C0DF3">
        <w:rPr>
          <w:rFonts w:ascii="Times New Roman" w:eastAsia="標楷體" w:hint="eastAsia"/>
          <w:spacing w:val="0"/>
          <w:sz w:val="28"/>
          <w:szCs w:val="24"/>
        </w:rPr>
        <w:t>During the period since the Board last convened,</w:t>
      </w:r>
      <w:r w:rsidRPr="00706850">
        <w:rPr>
          <w:rFonts w:ascii="Times New Roman" w:eastAsia="標楷體" w:hint="eastAsia"/>
          <w:spacing w:val="0"/>
          <w:sz w:val="28"/>
          <w:szCs w:val="24"/>
        </w:rPr>
        <w:t xml:space="preserve"> </w:t>
      </w:r>
      <w:r w:rsidRPr="00951836">
        <w:rPr>
          <w:rFonts w:ascii="Times New Roman" w:eastAsia="標楷體" w:hint="eastAsia"/>
          <w:spacing w:val="0"/>
          <w:sz w:val="28"/>
          <w:szCs w:val="24"/>
        </w:rPr>
        <w:t xml:space="preserve">Taiwan enjoyed robust export growth. The Manufacturing </w:t>
      </w:r>
      <w:r w:rsidRPr="00951836">
        <w:rPr>
          <w:rFonts w:ascii="Times New Roman" w:eastAsia="標楷體"/>
          <w:spacing w:val="0"/>
          <w:sz w:val="28"/>
          <w:szCs w:val="24"/>
        </w:rPr>
        <w:t>Purchasing Managers’ Index</w:t>
      </w:r>
      <w:r w:rsidRPr="00951836">
        <w:rPr>
          <w:rFonts w:ascii="Times New Roman" w:eastAsia="標楷體" w:hint="eastAsia"/>
          <w:spacing w:val="0"/>
          <w:sz w:val="28"/>
          <w:szCs w:val="24"/>
        </w:rPr>
        <w:t xml:space="preserve"> (PMI) and the Non-Manufacturing Index (NMI) both showed expansion.</w:t>
      </w:r>
      <w:r w:rsidR="00951836">
        <w:rPr>
          <w:rFonts w:ascii="Times New Roman" w:eastAsia="標楷體" w:hint="eastAsia"/>
          <w:spacing w:val="0"/>
          <w:sz w:val="28"/>
          <w:szCs w:val="24"/>
        </w:rPr>
        <w:t xml:space="preserve"> As employment improved further, consumer confidence rebounded and private consumption increased steadily. </w:t>
      </w:r>
      <w:r w:rsidR="00AC5992">
        <w:rPr>
          <w:rFonts w:ascii="Times New Roman" w:eastAsia="標楷體" w:hint="eastAsia"/>
          <w:spacing w:val="0"/>
          <w:sz w:val="28"/>
          <w:szCs w:val="24"/>
        </w:rPr>
        <w:t>T</w:t>
      </w:r>
      <w:r w:rsidR="00AF547D" w:rsidRPr="00AF547D">
        <w:rPr>
          <w:rFonts w:ascii="Times New Roman" w:eastAsia="標楷體"/>
          <w:spacing w:val="0"/>
          <w:sz w:val="28"/>
          <w:szCs w:val="24"/>
        </w:rPr>
        <w:t>he economic recovery continued</w:t>
      </w:r>
      <w:r w:rsidR="00AC5992">
        <w:rPr>
          <w:rFonts w:ascii="Times New Roman" w:eastAsia="標楷體" w:hint="eastAsia"/>
          <w:spacing w:val="0"/>
          <w:sz w:val="28"/>
          <w:szCs w:val="24"/>
        </w:rPr>
        <w:t>,</w:t>
      </w:r>
      <w:r w:rsidR="00AF547D" w:rsidRPr="00AF547D">
        <w:rPr>
          <w:rFonts w:ascii="Times New Roman" w:eastAsia="標楷體"/>
          <w:spacing w:val="0"/>
          <w:sz w:val="28"/>
          <w:szCs w:val="24"/>
        </w:rPr>
        <w:t xml:space="preserve"> </w:t>
      </w:r>
      <w:r w:rsidR="00AF547D">
        <w:rPr>
          <w:rFonts w:ascii="Times New Roman" w:eastAsia="標楷體" w:hint="eastAsia"/>
          <w:spacing w:val="0"/>
          <w:sz w:val="28"/>
          <w:szCs w:val="24"/>
        </w:rPr>
        <w:t>albeit</w:t>
      </w:r>
      <w:r w:rsidR="00AF547D" w:rsidRPr="00AF547D">
        <w:rPr>
          <w:rFonts w:ascii="Times New Roman" w:eastAsia="標楷體"/>
          <w:spacing w:val="0"/>
          <w:sz w:val="28"/>
          <w:szCs w:val="24"/>
        </w:rPr>
        <w:t xml:space="preserve"> with moderate </w:t>
      </w:r>
      <w:r w:rsidR="00AF547D">
        <w:rPr>
          <w:rFonts w:ascii="Times New Roman" w:eastAsia="標楷體"/>
          <w:spacing w:val="0"/>
          <w:sz w:val="28"/>
          <w:szCs w:val="24"/>
        </w:rPr>
        <w:t>strength</w:t>
      </w:r>
      <w:r w:rsidR="00AF547D">
        <w:rPr>
          <w:rFonts w:ascii="Times New Roman" w:eastAsia="標楷體" w:hint="eastAsia"/>
          <w:spacing w:val="0"/>
          <w:sz w:val="28"/>
          <w:szCs w:val="24"/>
        </w:rPr>
        <w:t xml:space="preserve">, as suggested by </w:t>
      </w:r>
      <w:r w:rsidR="00B3062F">
        <w:rPr>
          <w:rFonts w:ascii="Times New Roman" w:eastAsia="標楷體" w:hint="eastAsia"/>
          <w:spacing w:val="0"/>
          <w:sz w:val="28"/>
          <w:szCs w:val="24"/>
        </w:rPr>
        <w:t>the government</w:t>
      </w:r>
      <w:r w:rsidR="00B3062F">
        <w:rPr>
          <w:rFonts w:ascii="Times New Roman" w:eastAsia="標楷體"/>
          <w:spacing w:val="0"/>
          <w:sz w:val="28"/>
          <w:szCs w:val="24"/>
        </w:rPr>
        <w:t>’</w:t>
      </w:r>
      <w:r w:rsidR="00B3062F">
        <w:rPr>
          <w:rFonts w:ascii="Times New Roman" w:eastAsia="標楷體" w:hint="eastAsia"/>
          <w:spacing w:val="0"/>
          <w:sz w:val="28"/>
          <w:szCs w:val="24"/>
        </w:rPr>
        <w:t>s business climate monitor</w:t>
      </w:r>
      <w:r w:rsidR="00AF547D">
        <w:rPr>
          <w:rFonts w:ascii="Times New Roman" w:eastAsia="標楷體" w:hint="eastAsia"/>
          <w:spacing w:val="0"/>
          <w:sz w:val="28"/>
          <w:szCs w:val="24"/>
        </w:rPr>
        <w:t xml:space="preserve"> </w:t>
      </w:r>
      <w:r w:rsidR="00B3062F">
        <w:rPr>
          <w:rFonts w:ascii="Times New Roman" w:eastAsia="標楷體" w:hint="eastAsia"/>
          <w:spacing w:val="0"/>
          <w:sz w:val="28"/>
          <w:szCs w:val="24"/>
        </w:rPr>
        <w:t>barely flash</w:t>
      </w:r>
      <w:r w:rsidR="00AC5992">
        <w:rPr>
          <w:rFonts w:ascii="Times New Roman" w:eastAsia="標楷體" w:hint="eastAsia"/>
          <w:spacing w:val="0"/>
          <w:sz w:val="28"/>
          <w:szCs w:val="24"/>
        </w:rPr>
        <w:t>ing</w:t>
      </w:r>
      <w:r w:rsidR="00B3062F">
        <w:rPr>
          <w:rFonts w:ascii="Times New Roman" w:eastAsia="標楷體" w:hint="eastAsia"/>
          <w:spacing w:val="0"/>
          <w:sz w:val="28"/>
          <w:szCs w:val="24"/>
        </w:rPr>
        <w:t xml:space="preserve"> </w:t>
      </w:r>
      <w:r w:rsidR="00B3062F">
        <w:rPr>
          <w:rFonts w:ascii="Times New Roman" w:eastAsia="標楷體"/>
          <w:spacing w:val="0"/>
          <w:sz w:val="28"/>
          <w:szCs w:val="24"/>
        </w:rPr>
        <w:t>“</w:t>
      </w:r>
      <w:r w:rsidR="00B3062F">
        <w:rPr>
          <w:rFonts w:ascii="Times New Roman" w:eastAsia="標楷體" w:hint="eastAsia"/>
          <w:spacing w:val="0"/>
          <w:sz w:val="28"/>
          <w:szCs w:val="24"/>
        </w:rPr>
        <w:t>green</w:t>
      </w:r>
      <w:r w:rsidR="00B3062F">
        <w:rPr>
          <w:rFonts w:ascii="Times New Roman" w:eastAsia="標楷體"/>
          <w:spacing w:val="0"/>
          <w:sz w:val="28"/>
          <w:szCs w:val="24"/>
        </w:rPr>
        <w:t>”</w:t>
      </w:r>
      <w:r w:rsidR="00B3062F">
        <w:rPr>
          <w:rFonts w:ascii="Times New Roman" w:eastAsia="標楷體" w:hint="eastAsia"/>
          <w:spacing w:val="0"/>
          <w:sz w:val="28"/>
          <w:szCs w:val="24"/>
        </w:rPr>
        <w:t xml:space="preserve"> (representing stable growth) in October and </w:t>
      </w:r>
      <w:r w:rsidR="00AC5992">
        <w:rPr>
          <w:rFonts w:ascii="Times New Roman" w:eastAsia="標楷體" w:hint="eastAsia"/>
          <w:spacing w:val="0"/>
          <w:sz w:val="28"/>
          <w:szCs w:val="24"/>
        </w:rPr>
        <w:t xml:space="preserve">moderate growth in </w:t>
      </w:r>
      <w:r w:rsidR="00AF547D">
        <w:rPr>
          <w:rFonts w:ascii="Times New Roman" w:eastAsia="標楷體" w:hint="eastAsia"/>
          <w:spacing w:val="0"/>
          <w:sz w:val="28"/>
          <w:szCs w:val="24"/>
        </w:rPr>
        <w:t xml:space="preserve">private investment mainly owing to slower capital equipment </w:t>
      </w:r>
      <w:r w:rsidR="00E316F1">
        <w:rPr>
          <w:rFonts w:ascii="Times New Roman" w:eastAsia="標楷體" w:hint="eastAsia"/>
          <w:spacing w:val="0"/>
          <w:sz w:val="28"/>
          <w:szCs w:val="24"/>
        </w:rPr>
        <w:t>outlay</w:t>
      </w:r>
      <w:r w:rsidR="00AC5992">
        <w:rPr>
          <w:rFonts w:ascii="Times New Roman" w:eastAsia="標楷體" w:hint="eastAsia"/>
          <w:spacing w:val="0"/>
          <w:sz w:val="28"/>
          <w:szCs w:val="24"/>
        </w:rPr>
        <w:t xml:space="preserve"> </w:t>
      </w:r>
      <w:r w:rsidR="00E316F1">
        <w:rPr>
          <w:rFonts w:ascii="Times New Roman" w:eastAsia="標楷體" w:hint="eastAsia"/>
          <w:spacing w:val="0"/>
          <w:sz w:val="28"/>
          <w:szCs w:val="24"/>
        </w:rPr>
        <w:t>of</w:t>
      </w:r>
      <w:r w:rsidR="00AF547D">
        <w:rPr>
          <w:rFonts w:ascii="Times New Roman" w:eastAsia="標楷體" w:hint="eastAsia"/>
          <w:spacing w:val="0"/>
          <w:sz w:val="28"/>
          <w:szCs w:val="24"/>
        </w:rPr>
        <w:t xml:space="preserve"> </w:t>
      </w:r>
      <w:r w:rsidR="00B3062F">
        <w:rPr>
          <w:rFonts w:ascii="Times New Roman" w:eastAsia="標楷體" w:hint="eastAsia"/>
          <w:spacing w:val="0"/>
          <w:sz w:val="28"/>
          <w:szCs w:val="24"/>
        </w:rPr>
        <w:t>the semiconductors industry</w:t>
      </w:r>
      <w:r w:rsidR="00AC5992">
        <w:rPr>
          <w:rFonts w:ascii="Times New Roman" w:eastAsia="標楷體" w:hint="eastAsia"/>
          <w:spacing w:val="0"/>
          <w:sz w:val="28"/>
          <w:szCs w:val="24"/>
        </w:rPr>
        <w:t xml:space="preserve">. </w:t>
      </w:r>
      <w:r w:rsidR="00AC5992" w:rsidRPr="00AC5992">
        <w:rPr>
          <w:rFonts w:ascii="Times New Roman" w:eastAsia="標楷體"/>
          <w:spacing w:val="0"/>
          <w:sz w:val="28"/>
          <w:szCs w:val="24"/>
        </w:rPr>
        <w:t xml:space="preserve">Projections by major forecasting institutions at home and abroad </w:t>
      </w:r>
      <w:r w:rsidR="00AC5992">
        <w:rPr>
          <w:rFonts w:ascii="Times New Roman" w:eastAsia="標楷體" w:hint="eastAsia"/>
          <w:spacing w:val="0"/>
          <w:sz w:val="28"/>
          <w:szCs w:val="24"/>
        </w:rPr>
        <w:t>saw</w:t>
      </w:r>
      <w:r w:rsidR="00AC5992" w:rsidRPr="00AC5992">
        <w:rPr>
          <w:rFonts w:ascii="Times New Roman" w:eastAsia="標楷體"/>
          <w:spacing w:val="0"/>
          <w:sz w:val="28"/>
          <w:szCs w:val="24"/>
        </w:rPr>
        <w:t xml:space="preserve"> Taiwan’s </w:t>
      </w:r>
      <w:r w:rsidR="00AC5992">
        <w:rPr>
          <w:rFonts w:ascii="Times New Roman" w:eastAsia="標楷體" w:hint="eastAsia"/>
          <w:spacing w:val="0"/>
          <w:sz w:val="28"/>
          <w:szCs w:val="24"/>
        </w:rPr>
        <w:t>economy to expand by</w:t>
      </w:r>
      <w:r w:rsidR="00AC5992" w:rsidRPr="00AC5992">
        <w:rPr>
          <w:rFonts w:ascii="Times New Roman" w:eastAsia="標楷體"/>
          <w:spacing w:val="0"/>
          <w:sz w:val="28"/>
          <w:szCs w:val="24"/>
        </w:rPr>
        <w:t xml:space="preserve"> 2.</w:t>
      </w:r>
      <w:r w:rsidR="00AC5992">
        <w:rPr>
          <w:rFonts w:ascii="Times New Roman" w:eastAsia="標楷體" w:hint="eastAsia"/>
          <w:spacing w:val="0"/>
          <w:sz w:val="28"/>
          <w:szCs w:val="24"/>
        </w:rPr>
        <w:t>50</w:t>
      </w:r>
      <w:r w:rsidR="00AC5992" w:rsidRPr="00AC5992">
        <w:rPr>
          <w:rFonts w:ascii="Times New Roman" w:eastAsia="標楷體"/>
          <w:spacing w:val="0"/>
          <w:sz w:val="28"/>
          <w:szCs w:val="24"/>
        </w:rPr>
        <w:t>%-2.</w:t>
      </w:r>
      <w:r w:rsidR="00AC5992">
        <w:rPr>
          <w:rFonts w:ascii="Times New Roman" w:eastAsia="標楷體" w:hint="eastAsia"/>
          <w:spacing w:val="0"/>
          <w:sz w:val="28"/>
          <w:szCs w:val="24"/>
        </w:rPr>
        <w:t>61</w:t>
      </w:r>
      <w:r w:rsidR="00AC5992" w:rsidRPr="00AC5992">
        <w:rPr>
          <w:rFonts w:ascii="Times New Roman" w:eastAsia="標楷體"/>
          <w:spacing w:val="0"/>
          <w:sz w:val="28"/>
          <w:szCs w:val="24"/>
        </w:rPr>
        <w:t>% this year and 2.</w:t>
      </w:r>
      <w:r w:rsidR="00AC5992">
        <w:rPr>
          <w:rFonts w:ascii="Times New Roman" w:eastAsia="標楷體" w:hint="eastAsia"/>
          <w:spacing w:val="0"/>
          <w:sz w:val="28"/>
          <w:szCs w:val="24"/>
        </w:rPr>
        <w:t>27</w:t>
      </w:r>
      <w:r w:rsidR="00AC5992" w:rsidRPr="00AC5992">
        <w:rPr>
          <w:rFonts w:ascii="Times New Roman" w:eastAsia="標楷體"/>
          <w:spacing w:val="0"/>
          <w:sz w:val="28"/>
          <w:szCs w:val="24"/>
        </w:rPr>
        <w:t>%-2.</w:t>
      </w:r>
      <w:r w:rsidR="00AC5992">
        <w:rPr>
          <w:rFonts w:ascii="Times New Roman" w:eastAsia="標楷體" w:hint="eastAsia"/>
          <w:spacing w:val="0"/>
          <w:sz w:val="28"/>
          <w:szCs w:val="24"/>
        </w:rPr>
        <w:t>41</w:t>
      </w:r>
      <w:r w:rsidR="00AC5992" w:rsidRPr="00AC5992">
        <w:rPr>
          <w:rFonts w:ascii="Times New Roman" w:eastAsia="標楷體"/>
          <w:spacing w:val="0"/>
          <w:sz w:val="28"/>
          <w:szCs w:val="24"/>
        </w:rPr>
        <w:t xml:space="preserve">% next year, while </w:t>
      </w:r>
      <w:r w:rsidR="00AC5992" w:rsidRPr="00C41905">
        <w:rPr>
          <w:rFonts w:ascii="Times New Roman" w:eastAsia="標楷體"/>
          <w:b/>
          <w:spacing w:val="0"/>
          <w:sz w:val="28"/>
          <w:szCs w:val="24"/>
        </w:rPr>
        <w:t>the Bank’s own forecast is 2.</w:t>
      </w:r>
      <w:r w:rsidR="00AC5992" w:rsidRPr="00C41905">
        <w:rPr>
          <w:rFonts w:ascii="Times New Roman" w:eastAsia="標楷體" w:hint="eastAsia"/>
          <w:b/>
          <w:spacing w:val="0"/>
          <w:sz w:val="28"/>
          <w:szCs w:val="24"/>
        </w:rPr>
        <w:t>61</w:t>
      </w:r>
      <w:r w:rsidR="00AC5992" w:rsidRPr="00C41905">
        <w:rPr>
          <w:rFonts w:ascii="Times New Roman" w:eastAsia="標楷體"/>
          <w:b/>
          <w:spacing w:val="0"/>
          <w:sz w:val="28"/>
          <w:szCs w:val="24"/>
        </w:rPr>
        <w:t>% this year and 2.</w:t>
      </w:r>
      <w:r w:rsidR="00AC5992" w:rsidRPr="00C41905">
        <w:rPr>
          <w:rFonts w:ascii="Times New Roman" w:eastAsia="標楷體" w:hint="eastAsia"/>
          <w:b/>
          <w:spacing w:val="0"/>
          <w:sz w:val="28"/>
          <w:szCs w:val="24"/>
        </w:rPr>
        <w:t>35</w:t>
      </w:r>
      <w:r w:rsidR="00AC5992" w:rsidRPr="00C41905">
        <w:rPr>
          <w:rFonts w:ascii="Times New Roman" w:eastAsia="標楷體"/>
          <w:b/>
          <w:spacing w:val="0"/>
          <w:sz w:val="28"/>
          <w:szCs w:val="24"/>
        </w:rPr>
        <w:t>% next year.</w:t>
      </w:r>
    </w:p>
    <w:p w:rsidR="004E7FB6" w:rsidRPr="00A779DC" w:rsidRDefault="00C331A4" w:rsidP="004E7FB6">
      <w:pPr>
        <w:pStyle w:val="6"/>
        <w:overflowPunct w:val="0"/>
        <w:snapToGrid w:val="0"/>
        <w:spacing w:before="240" w:after="0" w:line="520" w:lineRule="exact"/>
        <w:ind w:left="0" w:firstLineChars="200" w:firstLine="560"/>
        <w:rPr>
          <w:rFonts w:ascii="Times New Roman" w:eastAsia="標楷體"/>
          <w:spacing w:val="0"/>
          <w:sz w:val="32"/>
          <w:szCs w:val="24"/>
        </w:rPr>
      </w:pPr>
      <w:r w:rsidRPr="002C0DF3">
        <w:rPr>
          <w:rFonts w:ascii="Times New Roman" w:eastAsia="標楷體" w:hint="eastAsia"/>
          <w:spacing w:val="0"/>
          <w:sz w:val="28"/>
          <w:szCs w:val="24"/>
        </w:rPr>
        <w:t>In terms of external demand,</w:t>
      </w:r>
      <w:r w:rsidR="00A25C8C">
        <w:rPr>
          <w:rFonts w:ascii="Times New Roman" w:eastAsia="標楷體" w:hint="eastAsia"/>
          <w:spacing w:val="0"/>
          <w:sz w:val="28"/>
          <w:szCs w:val="24"/>
        </w:rPr>
        <w:t xml:space="preserve"> </w:t>
      </w:r>
      <w:r w:rsidR="00617D9F" w:rsidRPr="00617D9F">
        <w:rPr>
          <w:rFonts w:ascii="Times New Roman" w:eastAsia="標楷體"/>
          <w:spacing w:val="0"/>
          <w:sz w:val="28"/>
          <w:szCs w:val="24"/>
        </w:rPr>
        <w:t xml:space="preserve">bolstered by the steady expansion in the </w:t>
      </w:r>
      <w:r w:rsidR="00617D9F" w:rsidRPr="00617D9F">
        <w:rPr>
          <w:rFonts w:ascii="Times New Roman" w:eastAsia="標楷體"/>
          <w:spacing w:val="0"/>
          <w:sz w:val="28"/>
          <w:szCs w:val="24"/>
        </w:rPr>
        <w:lastRenderedPageBreak/>
        <w:t>global economy and a lower base effect, Taiwan’s exports rose by 13.1% during the January-November period this year</w:t>
      </w:r>
      <w:r w:rsidR="00617D9F">
        <w:rPr>
          <w:rFonts w:ascii="Times New Roman" w:eastAsia="標楷體" w:hint="eastAsia"/>
          <w:spacing w:val="0"/>
          <w:sz w:val="28"/>
          <w:szCs w:val="24"/>
        </w:rPr>
        <w:t xml:space="preserve">; exports in NT dollar terms grew at a slower pace of 6.9%, reflecting NT dollar appreciation. By product, </w:t>
      </w:r>
      <w:r w:rsidR="00617D9F" w:rsidRPr="00617D9F">
        <w:rPr>
          <w:rFonts w:ascii="Times New Roman" w:eastAsia="標楷體"/>
          <w:spacing w:val="0"/>
          <w:sz w:val="28"/>
          <w:szCs w:val="24"/>
        </w:rPr>
        <w:t xml:space="preserve">electronic parts and components </w:t>
      </w:r>
      <w:r w:rsidR="00617D9F">
        <w:rPr>
          <w:rFonts w:ascii="Times New Roman" w:eastAsia="標楷體" w:hint="eastAsia"/>
          <w:spacing w:val="0"/>
          <w:sz w:val="28"/>
          <w:szCs w:val="24"/>
        </w:rPr>
        <w:t xml:space="preserve">made up the most contribution to export growth, </w:t>
      </w:r>
      <w:r w:rsidR="00617D9F" w:rsidRPr="00617D9F">
        <w:rPr>
          <w:rFonts w:ascii="Times New Roman" w:eastAsia="標楷體"/>
          <w:spacing w:val="0"/>
          <w:sz w:val="28"/>
          <w:szCs w:val="24"/>
        </w:rPr>
        <w:t xml:space="preserve">thanks to </w:t>
      </w:r>
      <w:r w:rsidR="00617D9F">
        <w:rPr>
          <w:rFonts w:ascii="Times New Roman" w:eastAsia="標楷體" w:hint="eastAsia"/>
          <w:spacing w:val="0"/>
          <w:sz w:val="28"/>
          <w:szCs w:val="24"/>
        </w:rPr>
        <w:t>robust</w:t>
      </w:r>
      <w:r w:rsidR="00617D9F" w:rsidRPr="00617D9F">
        <w:rPr>
          <w:rFonts w:ascii="Times New Roman" w:eastAsia="標楷體"/>
          <w:spacing w:val="0"/>
          <w:sz w:val="28"/>
          <w:szCs w:val="24"/>
        </w:rPr>
        <w:t xml:space="preserve"> global demand for semiconductors.</w:t>
      </w:r>
      <w:r w:rsidR="00617D9F">
        <w:rPr>
          <w:rFonts w:ascii="Times New Roman" w:eastAsia="標楷體" w:hint="eastAsia"/>
          <w:spacing w:val="0"/>
          <w:sz w:val="28"/>
          <w:szCs w:val="24"/>
        </w:rPr>
        <w:t xml:space="preserve"> By market, exports to all major destination economies registered positive growth, with those to China showing the largest increase.</w:t>
      </w:r>
      <w:r w:rsidR="004033AF">
        <w:rPr>
          <w:rFonts w:ascii="Times New Roman" w:eastAsia="標楷體" w:hint="eastAsia"/>
          <w:spacing w:val="0"/>
          <w:sz w:val="28"/>
          <w:szCs w:val="24"/>
        </w:rPr>
        <w:t xml:space="preserve"> In assessing the outlook, a stable global </w:t>
      </w:r>
      <w:r w:rsidR="004033AF">
        <w:rPr>
          <w:rFonts w:ascii="Times New Roman" w:eastAsia="標楷體"/>
          <w:spacing w:val="0"/>
          <w:sz w:val="28"/>
          <w:szCs w:val="24"/>
        </w:rPr>
        <w:t>economic</w:t>
      </w:r>
      <w:r w:rsidR="004033AF">
        <w:rPr>
          <w:rFonts w:ascii="Times New Roman" w:eastAsia="標楷體" w:hint="eastAsia"/>
          <w:spacing w:val="0"/>
          <w:sz w:val="28"/>
          <w:szCs w:val="24"/>
        </w:rPr>
        <w:t xml:space="preserve"> recovery and sustained strength in electronics will </w:t>
      </w:r>
      <w:r w:rsidR="00091D81">
        <w:rPr>
          <w:rFonts w:ascii="Times New Roman" w:eastAsia="標楷體" w:hint="eastAsia"/>
          <w:spacing w:val="0"/>
          <w:sz w:val="28"/>
          <w:szCs w:val="24"/>
        </w:rPr>
        <w:t>shore up Taiwan</w:t>
      </w:r>
      <w:r w:rsidR="00091D81">
        <w:rPr>
          <w:rFonts w:ascii="Times New Roman" w:eastAsia="標楷體"/>
          <w:spacing w:val="0"/>
          <w:sz w:val="28"/>
          <w:szCs w:val="24"/>
        </w:rPr>
        <w:t>’</w:t>
      </w:r>
      <w:r w:rsidR="00091D81">
        <w:rPr>
          <w:rFonts w:ascii="Times New Roman" w:eastAsia="標楷體" w:hint="eastAsia"/>
          <w:spacing w:val="0"/>
          <w:sz w:val="28"/>
          <w:szCs w:val="24"/>
        </w:rPr>
        <w:t xml:space="preserve">s exports but the momentum could be dampened by </w:t>
      </w:r>
      <w:r w:rsidR="004275D1">
        <w:rPr>
          <w:rFonts w:ascii="Times New Roman" w:eastAsia="標楷體" w:hint="eastAsia"/>
          <w:spacing w:val="0"/>
          <w:sz w:val="28"/>
          <w:szCs w:val="24"/>
        </w:rPr>
        <w:t>unabat</w:t>
      </w:r>
      <w:r w:rsidR="00AF5634">
        <w:rPr>
          <w:rFonts w:ascii="Times New Roman" w:eastAsia="標楷體" w:hint="eastAsia"/>
          <w:spacing w:val="0"/>
          <w:sz w:val="28"/>
          <w:szCs w:val="24"/>
        </w:rPr>
        <w:t>ed</w:t>
      </w:r>
      <w:r w:rsidR="00091D81">
        <w:rPr>
          <w:rFonts w:ascii="Times New Roman" w:eastAsia="標楷體" w:hint="eastAsia"/>
          <w:spacing w:val="0"/>
          <w:sz w:val="28"/>
          <w:szCs w:val="24"/>
        </w:rPr>
        <w:t xml:space="preserve"> global </w:t>
      </w:r>
      <w:r w:rsidR="00091D81">
        <w:rPr>
          <w:rFonts w:ascii="Times New Roman" w:eastAsia="標楷體"/>
          <w:spacing w:val="0"/>
          <w:sz w:val="28"/>
          <w:szCs w:val="24"/>
        </w:rPr>
        <w:t>economic</w:t>
      </w:r>
      <w:r w:rsidR="00091D81">
        <w:rPr>
          <w:rFonts w:ascii="Times New Roman" w:eastAsia="標楷體" w:hint="eastAsia"/>
          <w:spacing w:val="0"/>
          <w:sz w:val="28"/>
          <w:szCs w:val="24"/>
        </w:rPr>
        <w:t xml:space="preserve"> uncertainties and a higher base </w:t>
      </w:r>
      <w:r w:rsidR="004E7FB6">
        <w:rPr>
          <w:rFonts w:ascii="Times New Roman" w:eastAsia="標楷體" w:hint="eastAsia"/>
          <w:spacing w:val="0"/>
          <w:sz w:val="28"/>
          <w:szCs w:val="24"/>
        </w:rPr>
        <w:t xml:space="preserve">year of 2017. </w:t>
      </w:r>
      <w:r w:rsidR="004E7FB6" w:rsidRPr="00A779DC">
        <w:rPr>
          <w:rFonts w:ascii="Times New Roman" w:eastAsia="標楷體" w:hint="eastAsia"/>
          <w:spacing w:val="0"/>
          <w:sz w:val="28"/>
          <w:szCs w:val="24"/>
        </w:rPr>
        <w:t>Taiwan</w:t>
      </w:r>
      <w:r w:rsidR="004E7FB6" w:rsidRPr="00A779DC">
        <w:rPr>
          <w:rFonts w:ascii="Times New Roman" w:eastAsia="標楷體"/>
          <w:spacing w:val="0"/>
          <w:sz w:val="28"/>
          <w:szCs w:val="24"/>
        </w:rPr>
        <w:t>’</w:t>
      </w:r>
      <w:r w:rsidR="004E7FB6" w:rsidRPr="00A779DC">
        <w:rPr>
          <w:rFonts w:ascii="Times New Roman" w:eastAsia="標楷體" w:hint="eastAsia"/>
          <w:spacing w:val="0"/>
          <w:sz w:val="28"/>
          <w:szCs w:val="24"/>
        </w:rPr>
        <w:t>s exports are expected to post moderate growth</w:t>
      </w:r>
      <w:r w:rsidR="00A779DC" w:rsidRPr="00A779DC">
        <w:rPr>
          <w:rFonts w:ascii="Times New Roman" w:eastAsia="標楷體" w:hint="eastAsia"/>
          <w:spacing w:val="0"/>
          <w:sz w:val="28"/>
          <w:szCs w:val="24"/>
        </w:rPr>
        <w:t xml:space="preserve"> in 2018</w:t>
      </w:r>
      <w:r w:rsidR="004E7FB6" w:rsidRPr="00A779DC">
        <w:rPr>
          <w:rFonts w:ascii="Times New Roman" w:eastAsia="標楷體" w:hint="eastAsia"/>
          <w:spacing w:val="0"/>
          <w:sz w:val="28"/>
          <w:szCs w:val="24"/>
        </w:rPr>
        <w:t xml:space="preserve">. </w:t>
      </w:r>
    </w:p>
    <w:p w:rsidR="00C331A4" w:rsidRDefault="00091D81" w:rsidP="00C331A4">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t xml:space="preserve"> </w:t>
      </w:r>
      <w:r w:rsidR="00C331A4">
        <w:rPr>
          <w:rFonts w:ascii="Times New Roman" w:eastAsia="標楷體" w:hint="eastAsia"/>
          <w:spacing w:val="0"/>
          <w:sz w:val="28"/>
          <w:szCs w:val="24"/>
        </w:rPr>
        <w:t>With respect</w:t>
      </w:r>
      <w:r w:rsidR="00C331A4" w:rsidRPr="002C0DF3">
        <w:rPr>
          <w:rFonts w:ascii="Times New Roman" w:eastAsia="標楷體" w:hint="eastAsia"/>
          <w:spacing w:val="0"/>
          <w:sz w:val="28"/>
          <w:szCs w:val="24"/>
        </w:rPr>
        <w:t xml:space="preserve"> to domestic demand, </w:t>
      </w:r>
      <w:r w:rsidR="00131D75">
        <w:rPr>
          <w:rFonts w:ascii="Times New Roman" w:eastAsia="標楷體" w:hint="eastAsia"/>
          <w:spacing w:val="0"/>
          <w:sz w:val="28"/>
          <w:szCs w:val="24"/>
        </w:rPr>
        <w:t xml:space="preserve">with corporate profit gains likely to bolster business hiring and bonus sharing, as well as the announced plan to increase minimum wage and public sector pay, private consumption is expected to continue growing next year at a pace similar to this year. </w:t>
      </w:r>
    </w:p>
    <w:p w:rsidR="00C331A4" w:rsidRDefault="00C331A4" w:rsidP="00B73B57">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t>As for p</w:t>
      </w:r>
      <w:r w:rsidRPr="002C0DF3">
        <w:rPr>
          <w:rFonts w:ascii="Times New Roman" w:eastAsia="標楷體" w:hint="eastAsia"/>
          <w:spacing w:val="0"/>
          <w:sz w:val="28"/>
          <w:szCs w:val="24"/>
        </w:rPr>
        <w:t>rivate investment</w:t>
      </w:r>
      <w:r>
        <w:rPr>
          <w:rFonts w:ascii="Times New Roman" w:eastAsia="標楷體" w:hint="eastAsia"/>
          <w:spacing w:val="0"/>
          <w:sz w:val="28"/>
          <w:szCs w:val="24"/>
        </w:rPr>
        <w:t>,</w:t>
      </w:r>
      <w:r w:rsidR="00B73B57">
        <w:rPr>
          <w:rFonts w:ascii="Times New Roman" w:eastAsia="標楷體" w:hint="eastAsia"/>
          <w:spacing w:val="0"/>
          <w:sz w:val="28"/>
          <w:szCs w:val="24"/>
        </w:rPr>
        <w:t xml:space="preserve"> the </w:t>
      </w:r>
      <w:r w:rsidR="00B73B57">
        <w:rPr>
          <w:rFonts w:ascii="Times New Roman" w:eastAsia="標楷體"/>
          <w:spacing w:val="0"/>
          <w:sz w:val="28"/>
          <w:szCs w:val="24"/>
        </w:rPr>
        <w:t>semiconductor</w:t>
      </w:r>
      <w:r w:rsidR="00B73B57">
        <w:rPr>
          <w:rFonts w:ascii="Times New Roman" w:eastAsia="標楷體" w:hint="eastAsia"/>
          <w:spacing w:val="0"/>
          <w:sz w:val="28"/>
          <w:szCs w:val="24"/>
        </w:rPr>
        <w:t xml:space="preserve"> and panel industries are expected to continue investing in machinery and equipment, </w:t>
      </w:r>
      <w:r w:rsidR="007E2155">
        <w:rPr>
          <w:rFonts w:ascii="Times New Roman" w:eastAsia="標楷體" w:hint="eastAsia"/>
          <w:spacing w:val="0"/>
          <w:sz w:val="28"/>
          <w:szCs w:val="24"/>
        </w:rPr>
        <w:t xml:space="preserve">and </w:t>
      </w:r>
      <w:r w:rsidR="00B73B57">
        <w:rPr>
          <w:rFonts w:ascii="Times New Roman" w:eastAsia="標楷體" w:hint="eastAsia"/>
          <w:spacing w:val="0"/>
          <w:sz w:val="28"/>
          <w:szCs w:val="24"/>
        </w:rPr>
        <w:t xml:space="preserve">the </w:t>
      </w:r>
      <w:r w:rsidR="00B73B57">
        <w:rPr>
          <w:rFonts w:ascii="Times New Roman" w:eastAsia="標楷體"/>
          <w:spacing w:val="0"/>
          <w:sz w:val="28"/>
          <w:szCs w:val="24"/>
        </w:rPr>
        <w:t>government</w:t>
      </w:r>
      <w:r w:rsidR="00B73B57">
        <w:rPr>
          <w:rFonts w:ascii="Times New Roman" w:eastAsia="標楷體" w:hint="eastAsia"/>
          <w:spacing w:val="0"/>
          <w:sz w:val="28"/>
          <w:szCs w:val="24"/>
        </w:rPr>
        <w:t xml:space="preserve"> has </w:t>
      </w:r>
      <w:r w:rsidR="007E2155">
        <w:rPr>
          <w:rFonts w:ascii="Times New Roman" w:eastAsia="標楷體" w:hint="eastAsia"/>
          <w:spacing w:val="0"/>
          <w:sz w:val="28"/>
          <w:szCs w:val="24"/>
        </w:rPr>
        <w:t>allocated more</w:t>
      </w:r>
      <w:r w:rsidR="00B73B57">
        <w:rPr>
          <w:rFonts w:ascii="Times New Roman" w:eastAsia="標楷體" w:hint="eastAsia"/>
          <w:spacing w:val="0"/>
          <w:sz w:val="28"/>
          <w:szCs w:val="24"/>
        </w:rPr>
        <w:t xml:space="preserve"> </w:t>
      </w:r>
      <w:proofErr w:type="gramStart"/>
      <w:r w:rsidR="0001263F">
        <w:rPr>
          <w:rFonts w:ascii="Times New Roman" w:eastAsia="標楷體" w:hint="eastAsia"/>
          <w:spacing w:val="0"/>
          <w:sz w:val="28"/>
          <w:szCs w:val="24"/>
        </w:rPr>
        <w:t>budget</w:t>
      </w:r>
      <w:proofErr w:type="gramEnd"/>
      <w:r w:rsidR="0001263F">
        <w:rPr>
          <w:rFonts w:ascii="Times New Roman" w:eastAsia="標楷體" w:hint="eastAsia"/>
          <w:spacing w:val="0"/>
          <w:sz w:val="28"/>
          <w:szCs w:val="24"/>
        </w:rPr>
        <w:t xml:space="preserve"> </w:t>
      </w:r>
      <w:r w:rsidR="00B73B57">
        <w:rPr>
          <w:rFonts w:ascii="Times New Roman" w:eastAsia="標楷體" w:hint="eastAsia"/>
          <w:spacing w:val="0"/>
          <w:sz w:val="28"/>
          <w:szCs w:val="24"/>
        </w:rPr>
        <w:t>for</w:t>
      </w:r>
      <w:r w:rsidR="0001263F">
        <w:rPr>
          <w:rFonts w:ascii="Times New Roman" w:eastAsia="標楷體" w:hint="eastAsia"/>
          <w:spacing w:val="0"/>
          <w:sz w:val="28"/>
          <w:szCs w:val="24"/>
        </w:rPr>
        <w:t xml:space="preserve"> technology development </w:t>
      </w:r>
      <w:r w:rsidR="00B73B57">
        <w:rPr>
          <w:rFonts w:ascii="Times New Roman" w:eastAsia="標楷體" w:hint="eastAsia"/>
          <w:spacing w:val="0"/>
          <w:sz w:val="28"/>
          <w:szCs w:val="24"/>
        </w:rPr>
        <w:t xml:space="preserve">to facilitate </w:t>
      </w:r>
      <w:r w:rsidR="0001263F">
        <w:rPr>
          <w:rFonts w:ascii="Times New Roman" w:eastAsia="標楷體" w:hint="eastAsia"/>
          <w:spacing w:val="0"/>
          <w:sz w:val="28"/>
          <w:szCs w:val="24"/>
        </w:rPr>
        <w:t xml:space="preserve">projects on industry innovation </w:t>
      </w:r>
      <w:r w:rsidR="00B73B57">
        <w:rPr>
          <w:rFonts w:ascii="Times New Roman" w:eastAsia="標楷體" w:hint="eastAsia"/>
          <w:spacing w:val="0"/>
          <w:sz w:val="28"/>
          <w:szCs w:val="24"/>
        </w:rPr>
        <w:t>as well as</w:t>
      </w:r>
      <w:r w:rsidR="0001263F">
        <w:rPr>
          <w:rFonts w:ascii="Times New Roman" w:eastAsia="標楷體" w:hint="eastAsia"/>
          <w:spacing w:val="0"/>
          <w:sz w:val="28"/>
          <w:szCs w:val="24"/>
        </w:rPr>
        <w:t xml:space="preserve"> </w:t>
      </w:r>
      <w:r w:rsidR="0001263F">
        <w:rPr>
          <w:rFonts w:ascii="Times New Roman" w:eastAsia="標楷體"/>
          <w:spacing w:val="0"/>
          <w:sz w:val="28"/>
          <w:szCs w:val="24"/>
        </w:rPr>
        <w:t>“</w:t>
      </w:r>
      <w:r w:rsidR="0001263F">
        <w:rPr>
          <w:rFonts w:ascii="Times New Roman" w:eastAsia="標楷體" w:hint="eastAsia"/>
          <w:spacing w:val="0"/>
          <w:sz w:val="28"/>
          <w:szCs w:val="24"/>
        </w:rPr>
        <w:t>forward looking</w:t>
      </w:r>
      <w:r w:rsidR="0001263F">
        <w:rPr>
          <w:rFonts w:ascii="Times New Roman" w:eastAsia="標楷體"/>
          <w:spacing w:val="0"/>
          <w:sz w:val="28"/>
          <w:szCs w:val="24"/>
        </w:rPr>
        <w:t>”</w:t>
      </w:r>
      <w:r w:rsidR="0001263F">
        <w:rPr>
          <w:rFonts w:ascii="Times New Roman" w:eastAsia="標楷體" w:hint="eastAsia"/>
          <w:spacing w:val="0"/>
          <w:sz w:val="28"/>
          <w:szCs w:val="24"/>
        </w:rPr>
        <w:t xml:space="preserve"> </w:t>
      </w:r>
      <w:r w:rsidR="0001263F">
        <w:rPr>
          <w:rFonts w:ascii="Times New Roman" w:eastAsia="標楷體"/>
          <w:spacing w:val="0"/>
          <w:sz w:val="28"/>
          <w:szCs w:val="24"/>
        </w:rPr>
        <w:t>infrastructure</w:t>
      </w:r>
      <w:r w:rsidR="0001263F">
        <w:rPr>
          <w:rFonts w:ascii="Times New Roman" w:eastAsia="標楷體" w:hint="eastAsia"/>
          <w:spacing w:val="0"/>
          <w:sz w:val="28"/>
          <w:szCs w:val="24"/>
        </w:rPr>
        <w:t xml:space="preserve"> development</w:t>
      </w:r>
      <w:r w:rsidR="007E2155">
        <w:rPr>
          <w:rFonts w:ascii="Times New Roman" w:eastAsia="標楷體" w:hint="eastAsia"/>
          <w:spacing w:val="0"/>
          <w:sz w:val="28"/>
          <w:szCs w:val="24"/>
        </w:rPr>
        <w:t xml:space="preserve">. Combined with the effect of a </w:t>
      </w:r>
      <w:r w:rsidR="00180541">
        <w:rPr>
          <w:rFonts w:ascii="Times New Roman" w:eastAsia="標楷體" w:hint="eastAsia"/>
          <w:spacing w:val="0"/>
          <w:sz w:val="28"/>
          <w:szCs w:val="24"/>
        </w:rPr>
        <w:t>low</w:t>
      </w:r>
      <w:r w:rsidR="007E2155">
        <w:rPr>
          <w:rFonts w:ascii="Times New Roman" w:eastAsia="標楷體" w:hint="eastAsia"/>
          <w:spacing w:val="0"/>
          <w:sz w:val="28"/>
          <w:szCs w:val="24"/>
        </w:rPr>
        <w:t xml:space="preserve">er base for comparison this year, private investment is projected to record </w:t>
      </w:r>
      <w:r w:rsidR="00B73B57">
        <w:rPr>
          <w:rFonts w:ascii="Times New Roman" w:eastAsia="標楷體" w:hint="eastAsia"/>
          <w:spacing w:val="0"/>
          <w:sz w:val="28"/>
          <w:szCs w:val="24"/>
        </w:rPr>
        <w:t>higher</w:t>
      </w:r>
      <w:r w:rsidR="007E2155">
        <w:rPr>
          <w:rFonts w:ascii="Times New Roman" w:eastAsia="標楷體" w:hint="eastAsia"/>
          <w:spacing w:val="0"/>
          <w:sz w:val="28"/>
          <w:szCs w:val="24"/>
        </w:rPr>
        <w:t>, albeit moderate,</w:t>
      </w:r>
      <w:r w:rsidR="00B73B57">
        <w:rPr>
          <w:rFonts w:ascii="Times New Roman" w:eastAsia="標楷體" w:hint="eastAsia"/>
          <w:spacing w:val="0"/>
          <w:sz w:val="28"/>
          <w:szCs w:val="24"/>
        </w:rPr>
        <w:t xml:space="preserve"> growth next year</w:t>
      </w:r>
      <w:r w:rsidR="007E2155">
        <w:rPr>
          <w:rFonts w:ascii="Times New Roman" w:eastAsia="標楷體" w:hint="eastAsia"/>
          <w:spacing w:val="0"/>
          <w:sz w:val="28"/>
          <w:szCs w:val="24"/>
        </w:rPr>
        <w:t xml:space="preserve">. </w:t>
      </w:r>
    </w:p>
    <w:p w:rsidR="007E2155" w:rsidRDefault="00C331A4" w:rsidP="00C331A4">
      <w:pPr>
        <w:pStyle w:val="6"/>
        <w:overflowPunct w:val="0"/>
        <w:snapToGrid w:val="0"/>
        <w:spacing w:before="240" w:after="0" w:line="520" w:lineRule="exact"/>
        <w:ind w:left="0" w:firstLineChars="200" w:firstLine="560"/>
        <w:rPr>
          <w:rFonts w:ascii="Times New Roman" w:eastAsia="標楷體"/>
          <w:spacing w:val="0"/>
          <w:sz w:val="28"/>
          <w:szCs w:val="24"/>
        </w:rPr>
      </w:pPr>
      <w:r w:rsidRPr="002C0DF3">
        <w:rPr>
          <w:rFonts w:ascii="Times New Roman" w:eastAsia="標楷體" w:hint="eastAsia"/>
          <w:spacing w:val="0"/>
          <w:sz w:val="28"/>
          <w:szCs w:val="24"/>
        </w:rPr>
        <w:t>Labor market conditions continued to improve</w:t>
      </w:r>
      <w:r w:rsidR="007E2155">
        <w:rPr>
          <w:rFonts w:ascii="Times New Roman" w:eastAsia="標楷體" w:hint="eastAsia"/>
          <w:spacing w:val="0"/>
          <w:sz w:val="28"/>
          <w:szCs w:val="24"/>
        </w:rPr>
        <w:t>. In the months since January, t</w:t>
      </w:r>
      <w:r w:rsidR="007E2155" w:rsidRPr="007E2155">
        <w:rPr>
          <w:rFonts w:ascii="Times New Roman" w:eastAsia="標楷體"/>
          <w:spacing w:val="0"/>
          <w:sz w:val="28"/>
          <w:szCs w:val="24"/>
        </w:rPr>
        <w:t xml:space="preserve">he </w:t>
      </w:r>
      <w:r w:rsidR="00E34DAC">
        <w:rPr>
          <w:rFonts w:ascii="Times New Roman" w:eastAsia="標楷體" w:hint="eastAsia"/>
          <w:spacing w:val="0"/>
          <w:sz w:val="28"/>
          <w:szCs w:val="24"/>
        </w:rPr>
        <w:t xml:space="preserve">average </w:t>
      </w:r>
      <w:r w:rsidR="007E2155" w:rsidRPr="007E2155">
        <w:rPr>
          <w:rFonts w:ascii="Times New Roman" w:eastAsia="標楷體"/>
          <w:spacing w:val="0"/>
          <w:sz w:val="28"/>
          <w:szCs w:val="24"/>
        </w:rPr>
        <w:t xml:space="preserve">unemployment rate </w:t>
      </w:r>
      <w:r w:rsidR="007E2155">
        <w:rPr>
          <w:rFonts w:ascii="Times New Roman" w:eastAsia="標楷體" w:hint="eastAsia"/>
          <w:spacing w:val="0"/>
          <w:sz w:val="28"/>
          <w:szCs w:val="24"/>
        </w:rPr>
        <w:t>dropped</w:t>
      </w:r>
      <w:r w:rsidR="007E2155" w:rsidRPr="007E2155">
        <w:rPr>
          <w:rFonts w:ascii="Times New Roman" w:eastAsia="標楷體"/>
          <w:spacing w:val="0"/>
          <w:sz w:val="28"/>
          <w:szCs w:val="24"/>
        </w:rPr>
        <w:t xml:space="preserve"> year on year, and the average wage posted a mild increase.</w:t>
      </w:r>
    </w:p>
    <w:p w:rsidR="00750B45" w:rsidRPr="00F45B47" w:rsidRDefault="00590406" w:rsidP="00D46F1E">
      <w:pPr>
        <w:adjustRightInd/>
        <w:spacing w:before="240" w:line="520" w:lineRule="exact"/>
        <w:textAlignment w:val="auto"/>
        <w:rPr>
          <w:rFonts w:eastAsia="標楷體"/>
          <w:spacing w:val="-2"/>
          <w:sz w:val="32"/>
          <w:szCs w:val="24"/>
        </w:rPr>
      </w:pPr>
      <w:r w:rsidRPr="00543487">
        <w:rPr>
          <w:rFonts w:eastAsia="標楷體" w:hint="eastAsia"/>
          <w:spacing w:val="-2"/>
          <w:sz w:val="28"/>
          <w:szCs w:val="28"/>
        </w:rPr>
        <w:t xml:space="preserve"> </w:t>
      </w:r>
      <w:r w:rsidR="00D46F1E" w:rsidRPr="00543487">
        <w:rPr>
          <w:rFonts w:eastAsia="標楷體" w:hint="eastAsia"/>
          <w:spacing w:val="-2"/>
          <w:sz w:val="28"/>
          <w:szCs w:val="28"/>
        </w:rPr>
        <w:t>(2) Financial conditions</w:t>
      </w:r>
      <w:r w:rsidRPr="00F45B47">
        <w:rPr>
          <w:rFonts w:eastAsia="標楷體"/>
          <w:spacing w:val="-2"/>
          <w:sz w:val="32"/>
          <w:szCs w:val="24"/>
        </w:rPr>
        <w:t xml:space="preserve"> </w:t>
      </w:r>
    </w:p>
    <w:p w:rsidR="00C331A4" w:rsidRDefault="00DF097B" w:rsidP="00DF097B">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lastRenderedPageBreak/>
        <w:t>T</w:t>
      </w:r>
      <w:r w:rsidRPr="00DF097B">
        <w:rPr>
          <w:rFonts w:ascii="Times New Roman" w:eastAsia="標楷體"/>
          <w:spacing w:val="0"/>
          <w:sz w:val="28"/>
          <w:szCs w:val="24"/>
        </w:rPr>
        <w:t>he domestic market</w:t>
      </w:r>
      <w:r>
        <w:rPr>
          <w:rFonts w:ascii="Times New Roman" w:eastAsia="標楷體" w:hint="eastAsia"/>
          <w:spacing w:val="0"/>
          <w:sz w:val="28"/>
          <w:szCs w:val="24"/>
        </w:rPr>
        <w:t xml:space="preserve"> (nominal)</w:t>
      </w:r>
      <w:r w:rsidRPr="00DF097B">
        <w:rPr>
          <w:rFonts w:ascii="Times New Roman" w:eastAsia="標楷體"/>
          <w:spacing w:val="0"/>
          <w:sz w:val="28"/>
          <w:szCs w:val="24"/>
        </w:rPr>
        <w:t xml:space="preserve"> interest rates have remained steady.</w:t>
      </w:r>
      <w:r>
        <w:rPr>
          <w:rFonts w:ascii="Times New Roman" w:eastAsia="標楷體" w:hint="eastAsia"/>
          <w:spacing w:val="0"/>
          <w:sz w:val="28"/>
          <w:szCs w:val="24"/>
        </w:rPr>
        <w:t xml:space="preserve"> </w:t>
      </w:r>
      <w:r w:rsidRPr="00DF097B">
        <w:rPr>
          <w:rFonts w:ascii="Times New Roman" w:eastAsia="標楷體"/>
          <w:spacing w:val="0"/>
          <w:sz w:val="28"/>
          <w:szCs w:val="24"/>
        </w:rPr>
        <w:t>The Bank has managed market liquidity through open market operations and kept banks’ excess reserves at an adequately accommodative level. The overnight call loan rate has also been steady.</w:t>
      </w:r>
      <w:r w:rsidR="00BD739F">
        <w:rPr>
          <w:rFonts w:ascii="Times New Roman" w:eastAsia="標楷體" w:hint="eastAsia"/>
          <w:spacing w:val="0"/>
          <w:sz w:val="28"/>
          <w:szCs w:val="24"/>
        </w:rPr>
        <w:t xml:space="preserve"> Taiwan</w:t>
      </w:r>
      <w:r w:rsidR="00BD739F">
        <w:rPr>
          <w:rFonts w:ascii="Times New Roman" w:eastAsia="標楷體"/>
          <w:spacing w:val="0"/>
          <w:sz w:val="28"/>
          <w:szCs w:val="24"/>
        </w:rPr>
        <w:t>’</w:t>
      </w:r>
      <w:r w:rsidR="00BD739F">
        <w:rPr>
          <w:rFonts w:ascii="Times New Roman" w:eastAsia="標楷體" w:hint="eastAsia"/>
          <w:spacing w:val="0"/>
          <w:sz w:val="28"/>
          <w:szCs w:val="24"/>
        </w:rPr>
        <w:t xml:space="preserve">s real interest rate remained in positive territory and relatively higher than many major economies. </w:t>
      </w:r>
      <w:r w:rsidR="00BD739F" w:rsidRPr="00BD739F">
        <w:rPr>
          <w:rFonts w:ascii="Times New Roman" w:eastAsia="標楷體"/>
          <w:spacing w:val="0"/>
          <w:sz w:val="28"/>
          <w:szCs w:val="24"/>
        </w:rPr>
        <w:t>Assessed against economic conditions, some of those economies enjoy higher GDP growth than Taiwan while recording relatively lower</w:t>
      </w:r>
      <w:r w:rsidR="00BD739F">
        <w:rPr>
          <w:rFonts w:ascii="Times New Roman" w:eastAsia="標楷體" w:hint="eastAsia"/>
          <w:spacing w:val="0"/>
          <w:sz w:val="28"/>
          <w:szCs w:val="24"/>
        </w:rPr>
        <w:t>, and</w:t>
      </w:r>
      <w:r w:rsidR="00BD739F" w:rsidRPr="00BD739F">
        <w:rPr>
          <w:rFonts w:ascii="Times New Roman" w:eastAsia="標楷體"/>
          <w:spacing w:val="0"/>
          <w:sz w:val="28"/>
          <w:szCs w:val="24"/>
        </w:rPr>
        <w:t xml:space="preserve"> negative</w:t>
      </w:r>
      <w:r w:rsidR="00BD739F">
        <w:rPr>
          <w:rFonts w:ascii="Times New Roman" w:eastAsia="標楷體" w:hint="eastAsia"/>
          <w:spacing w:val="0"/>
          <w:sz w:val="28"/>
          <w:szCs w:val="24"/>
        </w:rPr>
        <w:t>,</w:t>
      </w:r>
      <w:r w:rsidR="00BD739F" w:rsidRPr="00BD739F">
        <w:rPr>
          <w:rFonts w:ascii="Times New Roman" w:eastAsia="標楷體"/>
          <w:spacing w:val="0"/>
          <w:sz w:val="28"/>
          <w:szCs w:val="24"/>
        </w:rPr>
        <w:t xml:space="preserve"> real interest rate</w:t>
      </w:r>
      <w:r w:rsidR="00F934A0">
        <w:rPr>
          <w:rFonts w:ascii="Times New Roman" w:eastAsia="標楷體" w:hint="eastAsia"/>
          <w:spacing w:val="0"/>
          <w:sz w:val="28"/>
          <w:szCs w:val="24"/>
        </w:rPr>
        <w:t>s</w:t>
      </w:r>
      <w:r w:rsidR="00BD739F" w:rsidRPr="00BD739F">
        <w:rPr>
          <w:rFonts w:ascii="Times New Roman" w:eastAsia="標楷體"/>
          <w:spacing w:val="0"/>
          <w:sz w:val="28"/>
          <w:szCs w:val="24"/>
        </w:rPr>
        <w:t xml:space="preserve"> when compared with Taiwan.</w:t>
      </w:r>
    </w:p>
    <w:p w:rsidR="00BD739F" w:rsidRDefault="001022EF" w:rsidP="00DF097B">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t xml:space="preserve">In regard to monetary growth, </w:t>
      </w:r>
      <w:r w:rsidR="008B4D3C">
        <w:rPr>
          <w:rFonts w:ascii="Times New Roman" w:eastAsia="標楷體" w:hint="eastAsia"/>
          <w:spacing w:val="0"/>
          <w:sz w:val="28"/>
          <w:szCs w:val="24"/>
        </w:rPr>
        <w:t>t</w:t>
      </w:r>
      <w:r w:rsidR="008B4D3C" w:rsidRPr="008B4D3C">
        <w:rPr>
          <w:rFonts w:ascii="Times New Roman" w:eastAsia="標楷體"/>
          <w:spacing w:val="0"/>
          <w:sz w:val="28"/>
          <w:szCs w:val="24"/>
        </w:rPr>
        <w:t xml:space="preserve">he M2 annual growth rate climbed to </w:t>
      </w:r>
      <w:r w:rsidR="008B4D3C">
        <w:rPr>
          <w:rFonts w:ascii="Times New Roman" w:eastAsia="標楷體" w:hint="eastAsia"/>
          <w:spacing w:val="0"/>
          <w:sz w:val="28"/>
          <w:szCs w:val="24"/>
        </w:rPr>
        <w:t>4</w:t>
      </w:r>
      <w:r w:rsidR="008B4D3C" w:rsidRPr="008B4D3C">
        <w:rPr>
          <w:rFonts w:ascii="Times New Roman" w:eastAsia="標楷體"/>
          <w:spacing w:val="0"/>
          <w:sz w:val="28"/>
          <w:szCs w:val="24"/>
        </w:rPr>
        <w:t>.</w:t>
      </w:r>
      <w:r w:rsidR="008B4D3C">
        <w:rPr>
          <w:rFonts w:ascii="Times New Roman" w:eastAsia="標楷體" w:hint="eastAsia"/>
          <w:spacing w:val="0"/>
          <w:sz w:val="28"/>
          <w:szCs w:val="24"/>
        </w:rPr>
        <w:t>07</w:t>
      </w:r>
      <w:r w:rsidR="008B4D3C" w:rsidRPr="008B4D3C">
        <w:rPr>
          <w:rFonts w:ascii="Times New Roman" w:eastAsia="標楷體"/>
          <w:spacing w:val="0"/>
          <w:sz w:val="28"/>
          <w:szCs w:val="24"/>
        </w:rPr>
        <w:t xml:space="preserve">% in </w:t>
      </w:r>
      <w:r w:rsidR="008B4D3C">
        <w:rPr>
          <w:rFonts w:ascii="Times New Roman" w:eastAsia="標楷體" w:hint="eastAsia"/>
          <w:spacing w:val="0"/>
          <w:sz w:val="28"/>
          <w:szCs w:val="24"/>
        </w:rPr>
        <w:t>November</w:t>
      </w:r>
      <w:r w:rsidR="008B4D3C" w:rsidRPr="008B4D3C">
        <w:rPr>
          <w:rFonts w:ascii="Times New Roman" w:eastAsia="標楷體"/>
          <w:spacing w:val="0"/>
          <w:sz w:val="28"/>
          <w:szCs w:val="24"/>
        </w:rPr>
        <w:t>, mainly because of faster growth in bank loans and investments and continued net foreign capital inflows</w:t>
      </w:r>
      <w:r w:rsidR="008B4D3C">
        <w:rPr>
          <w:rFonts w:ascii="Times New Roman" w:eastAsia="標楷體" w:hint="eastAsia"/>
          <w:spacing w:val="0"/>
          <w:sz w:val="28"/>
          <w:szCs w:val="24"/>
        </w:rPr>
        <w:t xml:space="preserve">. </w:t>
      </w:r>
      <w:r w:rsidR="008B4D3C" w:rsidRPr="008B4D3C">
        <w:rPr>
          <w:rFonts w:ascii="Times New Roman" w:eastAsia="標楷體"/>
          <w:spacing w:val="0"/>
          <w:sz w:val="28"/>
          <w:szCs w:val="24"/>
        </w:rPr>
        <w:t xml:space="preserve">For the first eleven months of this year, the average annual </w:t>
      </w:r>
      <w:r w:rsidR="008B4D3C">
        <w:rPr>
          <w:rFonts w:ascii="Times New Roman" w:eastAsia="標楷體" w:hint="eastAsia"/>
          <w:spacing w:val="0"/>
          <w:sz w:val="28"/>
          <w:szCs w:val="24"/>
        </w:rPr>
        <w:t xml:space="preserve">M2 </w:t>
      </w:r>
      <w:r w:rsidR="008B4D3C" w:rsidRPr="008B4D3C">
        <w:rPr>
          <w:rFonts w:ascii="Times New Roman" w:eastAsia="標楷體"/>
          <w:spacing w:val="0"/>
          <w:sz w:val="28"/>
          <w:szCs w:val="24"/>
        </w:rPr>
        <w:t xml:space="preserve">growth rate </w:t>
      </w:r>
      <w:r w:rsidR="008B4D3C">
        <w:rPr>
          <w:rFonts w:ascii="Times New Roman" w:eastAsia="標楷體" w:hint="eastAsia"/>
          <w:spacing w:val="0"/>
          <w:sz w:val="28"/>
          <w:szCs w:val="24"/>
        </w:rPr>
        <w:t xml:space="preserve">was </w:t>
      </w:r>
      <w:r w:rsidR="008B4D3C" w:rsidRPr="008B4D3C">
        <w:rPr>
          <w:rFonts w:ascii="Times New Roman" w:eastAsia="標楷體"/>
          <w:spacing w:val="0"/>
          <w:sz w:val="28"/>
          <w:szCs w:val="24"/>
        </w:rPr>
        <w:t xml:space="preserve">3.76%, </w:t>
      </w:r>
      <w:r w:rsidR="008B4D3C">
        <w:rPr>
          <w:rFonts w:ascii="Times New Roman" w:eastAsia="標楷體" w:hint="eastAsia"/>
          <w:spacing w:val="0"/>
          <w:sz w:val="28"/>
          <w:szCs w:val="24"/>
        </w:rPr>
        <w:t>within the Bank</w:t>
      </w:r>
      <w:r w:rsidR="008B4D3C">
        <w:rPr>
          <w:rFonts w:ascii="Times New Roman" w:eastAsia="標楷體"/>
          <w:spacing w:val="0"/>
          <w:sz w:val="28"/>
          <w:szCs w:val="24"/>
        </w:rPr>
        <w:t>’</w:t>
      </w:r>
      <w:r w:rsidR="008B4D3C">
        <w:rPr>
          <w:rFonts w:ascii="Times New Roman" w:eastAsia="標楷體" w:hint="eastAsia"/>
          <w:spacing w:val="0"/>
          <w:sz w:val="28"/>
          <w:szCs w:val="24"/>
        </w:rPr>
        <w:t xml:space="preserve">s target range. </w:t>
      </w:r>
      <w:r w:rsidR="008B4D3C" w:rsidRPr="008B4D3C">
        <w:rPr>
          <w:rFonts w:ascii="Times New Roman" w:eastAsia="標楷體"/>
          <w:spacing w:val="0"/>
          <w:sz w:val="28"/>
          <w:szCs w:val="24"/>
        </w:rPr>
        <w:t xml:space="preserve">In terms of bank credit, the annual growth rate of bank loans and investments </w:t>
      </w:r>
      <w:r w:rsidR="008B4D3C">
        <w:rPr>
          <w:rFonts w:ascii="Times New Roman" w:eastAsia="標楷體" w:hint="eastAsia"/>
          <w:spacing w:val="0"/>
          <w:sz w:val="28"/>
          <w:szCs w:val="24"/>
        </w:rPr>
        <w:t>rose from 4.15%</w:t>
      </w:r>
      <w:r w:rsidR="008B4D3C" w:rsidRPr="008B4D3C">
        <w:rPr>
          <w:rFonts w:ascii="Times New Roman" w:eastAsia="標楷體"/>
          <w:spacing w:val="0"/>
          <w:sz w:val="28"/>
          <w:szCs w:val="24"/>
        </w:rPr>
        <w:t xml:space="preserve"> to 4.7</w:t>
      </w:r>
      <w:r w:rsidR="008B4D3C">
        <w:rPr>
          <w:rFonts w:ascii="Times New Roman" w:eastAsia="標楷體" w:hint="eastAsia"/>
          <w:spacing w:val="0"/>
          <w:sz w:val="28"/>
          <w:szCs w:val="24"/>
        </w:rPr>
        <w:t>9</w:t>
      </w:r>
      <w:r w:rsidR="008B4D3C" w:rsidRPr="008B4D3C">
        <w:rPr>
          <w:rFonts w:ascii="Times New Roman" w:eastAsia="標楷體"/>
          <w:spacing w:val="0"/>
          <w:sz w:val="28"/>
          <w:szCs w:val="24"/>
        </w:rPr>
        <w:t>%</w:t>
      </w:r>
      <w:r w:rsidR="008B4D3C">
        <w:rPr>
          <w:rFonts w:ascii="Times New Roman" w:eastAsia="標楷體" w:hint="eastAsia"/>
          <w:spacing w:val="0"/>
          <w:sz w:val="28"/>
          <w:szCs w:val="24"/>
        </w:rPr>
        <w:t xml:space="preserve"> year on year for the January-November period</w:t>
      </w:r>
      <w:r w:rsidR="008B4D3C" w:rsidRPr="008B4D3C">
        <w:rPr>
          <w:rFonts w:ascii="Times New Roman" w:eastAsia="標楷體"/>
          <w:spacing w:val="0"/>
          <w:sz w:val="28"/>
          <w:szCs w:val="24"/>
        </w:rPr>
        <w:t>, mainly attributable to</w:t>
      </w:r>
      <w:r w:rsidR="008B4D3C">
        <w:rPr>
          <w:rFonts w:ascii="Times New Roman" w:eastAsia="標楷體" w:hint="eastAsia"/>
          <w:spacing w:val="0"/>
          <w:sz w:val="28"/>
          <w:szCs w:val="24"/>
        </w:rPr>
        <w:t xml:space="preserve"> a steady economic recovery and greater demand for fund</w:t>
      </w:r>
      <w:r w:rsidR="004275D1">
        <w:rPr>
          <w:rFonts w:ascii="Times New Roman" w:eastAsia="標楷體" w:hint="eastAsia"/>
          <w:spacing w:val="0"/>
          <w:sz w:val="28"/>
          <w:szCs w:val="24"/>
        </w:rPr>
        <w:t>s</w:t>
      </w:r>
      <w:r w:rsidR="008B4D3C" w:rsidRPr="008B4D3C">
        <w:rPr>
          <w:rFonts w:ascii="Times New Roman" w:eastAsia="標楷體"/>
          <w:spacing w:val="0"/>
          <w:sz w:val="28"/>
          <w:szCs w:val="24"/>
        </w:rPr>
        <w:t>.</w:t>
      </w:r>
      <w:r w:rsidR="0083382A">
        <w:rPr>
          <w:rFonts w:ascii="Times New Roman" w:eastAsia="標楷體" w:hint="eastAsia"/>
          <w:spacing w:val="0"/>
          <w:sz w:val="28"/>
          <w:szCs w:val="24"/>
        </w:rPr>
        <w:t xml:space="preserve"> </w:t>
      </w:r>
      <w:r w:rsidR="00FA5CE3">
        <w:rPr>
          <w:rFonts w:ascii="Times New Roman" w:eastAsia="標楷體" w:hint="eastAsia"/>
          <w:spacing w:val="0"/>
          <w:sz w:val="28"/>
          <w:szCs w:val="24"/>
        </w:rPr>
        <w:t>T</w:t>
      </w:r>
      <w:r w:rsidR="0083382A" w:rsidRPr="0083382A">
        <w:rPr>
          <w:rFonts w:ascii="Times New Roman" w:eastAsia="標楷體"/>
          <w:spacing w:val="0"/>
          <w:sz w:val="28"/>
          <w:szCs w:val="24"/>
        </w:rPr>
        <w:t xml:space="preserve">he average annual growth rate of M2 and that of bank loans and investments were </w:t>
      </w:r>
      <w:r w:rsidR="00FA5CE3">
        <w:rPr>
          <w:rFonts w:ascii="Times New Roman" w:eastAsia="標楷體" w:hint="eastAsia"/>
          <w:spacing w:val="0"/>
          <w:sz w:val="28"/>
          <w:szCs w:val="24"/>
        </w:rPr>
        <w:t xml:space="preserve">both </w:t>
      </w:r>
      <w:r w:rsidR="0083382A" w:rsidRPr="0083382A">
        <w:rPr>
          <w:rFonts w:ascii="Times New Roman" w:eastAsia="標楷體"/>
          <w:spacing w:val="0"/>
          <w:sz w:val="28"/>
          <w:szCs w:val="24"/>
        </w:rPr>
        <w:t>higher than the sum of the 2017 projected GDP and CPI annual growth rates (</w:t>
      </w:r>
      <w:r w:rsidR="00FA5CE3">
        <w:rPr>
          <w:rFonts w:ascii="Times New Roman" w:eastAsia="標楷體" w:hint="eastAsia"/>
          <w:spacing w:val="0"/>
          <w:sz w:val="28"/>
          <w:szCs w:val="24"/>
        </w:rPr>
        <w:t>3</w:t>
      </w:r>
      <w:r w:rsidR="0083382A" w:rsidRPr="0083382A">
        <w:rPr>
          <w:rFonts w:ascii="Times New Roman" w:eastAsia="標楷體"/>
          <w:spacing w:val="0"/>
          <w:sz w:val="28"/>
          <w:szCs w:val="24"/>
        </w:rPr>
        <w:t>.</w:t>
      </w:r>
      <w:r w:rsidR="00FA5CE3">
        <w:rPr>
          <w:rFonts w:ascii="Times New Roman" w:eastAsia="標楷體" w:hint="eastAsia"/>
          <w:spacing w:val="0"/>
          <w:sz w:val="28"/>
          <w:szCs w:val="24"/>
        </w:rPr>
        <w:t>22</w:t>
      </w:r>
      <w:r w:rsidR="0083382A" w:rsidRPr="0083382A">
        <w:rPr>
          <w:rFonts w:ascii="Times New Roman" w:eastAsia="標楷體"/>
          <w:spacing w:val="0"/>
          <w:sz w:val="28"/>
          <w:szCs w:val="24"/>
        </w:rPr>
        <w:t>%)</w:t>
      </w:r>
      <w:r w:rsidR="00FA5CE3">
        <w:rPr>
          <w:rFonts w:ascii="Times New Roman" w:eastAsia="標楷體" w:hint="eastAsia"/>
          <w:spacing w:val="0"/>
          <w:sz w:val="28"/>
          <w:szCs w:val="24"/>
        </w:rPr>
        <w:t xml:space="preserve">, </w:t>
      </w:r>
      <w:r w:rsidR="0083382A" w:rsidRPr="0083382A">
        <w:rPr>
          <w:rFonts w:ascii="Times New Roman" w:eastAsia="標楷體"/>
          <w:spacing w:val="0"/>
          <w:sz w:val="28"/>
          <w:szCs w:val="24"/>
        </w:rPr>
        <w:t>indicat</w:t>
      </w:r>
      <w:r w:rsidR="00FA5CE3">
        <w:rPr>
          <w:rFonts w:ascii="Times New Roman" w:eastAsia="標楷體" w:hint="eastAsia"/>
          <w:spacing w:val="0"/>
          <w:sz w:val="28"/>
          <w:szCs w:val="24"/>
        </w:rPr>
        <w:t>ing</w:t>
      </w:r>
      <w:r w:rsidR="0083382A" w:rsidRPr="0083382A">
        <w:rPr>
          <w:rFonts w:ascii="Times New Roman" w:eastAsia="標楷體"/>
          <w:spacing w:val="0"/>
          <w:sz w:val="28"/>
          <w:szCs w:val="24"/>
        </w:rPr>
        <w:t xml:space="preserve"> </w:t>
      </w:r>
      <w:r w:rsidR="00FA5CE3">
        <w:rPr>
          <w:rFonts w:ascii="Times New Roman" w:eastAsia="標楷體" w:hint="eastAsia"/>
          <w:spacing w:val="0"/>
          <w:sz w:val="28"/>
          <w:szCs w:val="24"/>
        </w:rPr>
        <w:t xml:space="preserve">that </w:t>
      </w:r>
      <w:r w:rsidR="0083382A" w:rsidRPr="0083382A">
        <w:rPr>
          <w:rFonts w:ascii="Times New Roman" w:eastAsia="標楷體"/>
          <w:spacing w:val="0"/>
          <w:sz w:val="28"/>
          <w:szCs w:val="24"/>
        </w:rPr>
        <w:t xml:space="preserve">market liquidity conditions </w:t>
      </w:r>
      <w:r w:rsidR="00FA5CE3">
        <w:rPr>
          <w:rFonts w:ascii="Times New Roman" w:eastAsia="標楷體" w:hint="eastAsia"/>
          <w:spacing w:val="0"/>
          <w:sz w:val="28"/>
          <w:szCs w:val="24"/>
        </w:rPr>
        <w:t>have been</w:t>
      </w:r>
      <w:r w:rsidR="0083382A" w:rsidRPr="0083382A">
        <w:rPr>
          <w:rFonts w:ascii="Times New Roman" w:eastAsia="標楷體"/>
          <w:spacing w:val="0"/>
          <w:sz w:val="28"/>
          <w:szCs w:val="24"/>
        </w:rPr>
        <w:t xml:space="preserve"> sufficient in meeting the need of economic activity.</w:t>
      </w:r>
    </w:p>
    <w:p w:rsidR="005F7D93" w:rsidRDefault="004275D1" w:rsidP="004275D1">
      <w:pPr>
        <w:pStyle w:val="6"/>
        <w:overflowPunct w:val="0"/>
        <w:snapToGrid w:val="0"/>
        <w:spacing w:before="240" w:after="0" w:line="520" w:lineRule="exact"/>
        <w:ind w:left="0" w:firstLineChars="200" w:firstLine="560"/>
        <w:rPr>
          <w:rFonts w:ascii="Times New Roman" w:eastAsia="標楷體"/>
          <w:spacing w:val="0"/>
          <w:sz w:val="28"/>
          <w:szCs w:val="24"/>
        </w:rPr>
      </w:pPr>
      <w:r w:rsidRPr="004275D1">
        <w:rPr>
          <w:rFonts w:ascii="Times New Roman" w:eastAsia="標楷體"/>
          <w:spacing w:val="0"/>
          <w:sz w:val="28"/>
          <w:szCs w:val="24"/>
        </w:rPr>
        <w:t xml:space="preserve">In recent months, both short- and long-term market interest rates have held steady, and the domestic stock prices have stayed elevated, whereas the NT dollar has strengthened against the US dollar. Overall, the financial condition index has pointed to slightly tighter financial conditions.  </w:t>
      </w:r>
    </w:p>
    <w:p w:rsidR="005F7D93" w:rsidRDefault="005F7D93" w:rsidP="005F7D93">
      <w:pPr>
        <w:pStyle w:val="6"/>
        <w:overflowPunct w:val="0"/>
        <w:snapToGrid w:val="0"/>
        <w:spacing w:before="240" w:after="0" w:line="520" w:lineRule="exact"/>
        <w:ind w:left="0" w:firstLineChars="200" w:firstLine="560"/>
        <w:rPr>
          <w:rFonts w:ascii="Times New Roman" w:eastAsia="標楷體"/>
          <w:spacing w:val="0"/>
          <w:sz w:val="28"/>
          <w:szCs w:val="24"/>
        </w:rPr>
      </w:pPr>
      <w:r w:rsidRPr="00E42431">
        <w:rPr>
          <w:rFonts w:ascii="Times New Roman" w:eastAsia="標楷體" w:hint="eastAsia"/>
          <w:spacing w:val="0"/>
          <w:sz w:val="28"/>
          <w:szCs w:val="24"/>
        </w:rPr>
        <w:t>Looking ahead,</w:t>
      </w:r>
      <w:r w:rsidR="004275D1">
        <w:rPr>
          <w:rFonts w:ascii="Times New Roman" w:eastAsia="標楷體" w:hint="eastAsia"/>
          <w:spacing w:val="0"/>
          <w:sz w:val="28"/>
          <w:szCs w:val="24"/>
        </w:rPr>
        <w:t xml:space="preserve"> as a result of lingering global </w:t>
      </w:r>
      <w:r w:rsidR="004275D1">
        <w:rPr>
          <w:rFonts w:ascii="Times New Roman" w:eastAsia="標楷體"/>
          <w:spacing w:val="0"/>
          <w:sz w:val="28"/>
          <w:szCs w:val="24"/>
        </w:rPr>
        <w:t>economic</w:t>
      </w:r>
      <w:r w:rsidR="004275D1">
        <w:rPr>
          <w:rFonts w:ascii="Times New Roman" w:eastAsia="標楷體" w:hint="eastAsia"/>
          <w:spacing w:val="0"/>
          <w:sz w:val="28"/>
          <w:szCs w:val="24"/>
        </w:rPr>
        <w:t xml:space="preserve"> uncertainties and monetary policy divergence among major economies, cross-border capital </w:t>
      </w:r>
      <w:r w:rsidR="004275D1">
        <w:rPr>
          <w:rFonts w:ascii="Times New Roman" w:eastAsia="標楷體" w:hint="eastAsia"/>
          <w:spacing w:val="0"/>
          <w:sz w:val="28"/>
          <w:szCs w:val="24"/>
        </w:rPr>
        <w:lastRenderedPageBreak/>
        <w:t xml:space="preserve">movements will play a major part in M2 growth changes. Meanwhile, demand for funds buttressed by the mild economic recovery is expected to </w:t>
      </w:r>
      <w:r w:rsidR="004275D1" w:rsidRPr="004275D1">
        <w:rPr>
          <w:rFonts w:ascii="Times New Roman" w:eastAsia="標楷體"/>
          <w:spacing w:val="0"/>
          <w:sz w:val="28"/>
          <w:szCs w:val="24"/>
        </w:rPr>
        <w:t>support continued growth in bank loans and investments.</w:t>
      </w:r>
    </w:p>
    <w:p w:rsidR="00750B45" w:rsidRPr="00D46F1E" w:rsidRDefault="001320BE" w:rsidP="00D46F1E">
      <w:pPr>
        <w:adjustRightInd/>
        <w:spacing w:before="240" w:line="520" w:lineRule="exact"/>
        <w:textAlignment w:val="auto"/>
        <w:rPr>
          <w:rFonts w:eastAsia="標楷體"/>
          <w:spacing w:val="-2"/>
          <w:sz w:val="28"/>
          <w:szCs w:val="28"/>
        </w:rPr>
      </w:pPr>
      <w:r>
        <w:rPr>
          <w:rFonts w:eastAsia="標楷體" w:hint="eastAsia"/>
          <w:spacing w:val="-2"/>
          <w:sz w:val="28"/>
          <w:szCs w:val="28"/>
        </w:rPr>
        <w:t>(3) Price t</w:t>
      </w:r>
      <w:bookmarkStart w:id="1" w:name="_GoBack"/>
      <w:bookmarkEnd w:id="1"/>
      <w:r w:rsidR="00D46F1E" w:rsidRPr="00543487">
        <w:rPr>
          <w:rFonts w:eastAsia="標楷體" w:hint="eastAsia"/>
          <w:spacing w:val="-2"/>
          <w:sz w:val="28"/>
          <w:szCs w:val="28"/>
        </w:rPr>
        <w:t>rends</w:t>
      </w:r>
      <w:r w:rsidR="00D46F1E">
        <w:rPr>
          <w:rFonts w:eastAsia="標楷體" w:hint="eastAsia"/>
          <w:spacing w:val="-2"/>
          <w:sz w:val="28"/>
          <w:szCs w:val="28"/>
        </w:rPr>
        <w:t xml:space="preserve"> </w:t>
      </w:r>
    </w:p>
    <w:p w:rsidR="00F50D73" w:rsidRDefault="00F50D73" w:rsidP="00771CD0">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t xml:space="preserve">Geopolitical risks in the Middle East and the extended </w:t>
      </w:r>
      <w:r w:rsidR="00771CD0">
        <w:rPr>
          <w:rFonts w:ascii="Times New Roman" w:eastAsia="標楷體" w:hint="eastAsia"/>
          <w:spacing w:val="0"/>
          <w:sz w:val="28"/>
          <w:szCs w:val="24"/>
        </w:rPr>
        <w:t>oil output-</w:t>
      </w:r>
      <w:r w:rsidRPr="00F50D73">
        <w:rPr>
          <w:rFonts w:ascii="Times New Roman" w:eastAsia="標楷體"/>
          <w:spacing w:val="0"/>
          <w:sz w:val="28"/>
          <w:szCs w:val="24"/>
        </w:rPr>
        <w:t xml:space="preserve">cut </w:t>
      </w:r>
      <w:r>
        <w:rPr>
          <w:rFonts w:ascii="Times New Roman" w:eastAsia="標楷體" w:hint="eastAsia"/>
          <w:spacing w:val="0"/>
          <w:sz w:val="28"/>
          <w:szCs w:val="24"/>
        </w:rPr>
        <w:t xml:space="preserve">agreement among </w:t>
      </w:r>
      <w:r w:rsidRPr="00F50D73">
        <w:rPr>
          <w:rFonts w:ascii="Times New Roman" w:eastAsia="標楷體"/>
          <w:spacing w:val="0"/>
          <w:sz w:val="28"/>
          <w:szCs w:val="24"/>
        </w:rPr>
        <w:t xml:space="preserve">OPEC </w:t>
      </w:r>
      <w:r>
        <w:rPr>
          <w:rFonts w:ascii="Times New Roman" w:eastAsia="標楷體" w:hint="eastAsia"/>
          <w:spacing w:val="0"/>
          <w:sz w:val="28"/>
          <w:szCs w:val="24"/>
        </w:rPr>
        <w:t xml:space="preserve">members </w:t>
      </w:r>
      <w:r w:rsidRPr="00F50D73">
        <w:rPr>
          <w:rFonts w:ascii="Times New Roman" w:eastAsia="標楷體"/>
          <w:spacing w:val="0"/>
          <w:sz w:val="28"/>
          <w:szCs w:val="24"/>
        </w:rPr>
        <w:t xml:space="preserve">and </w:t>
      </w:r>
      <w:r>
        <w:rPr>
          <w:rFonts w:ascii="Times New Roman" w:eastAsia="標楷體" w:hint="eastAsia"/>
          <w:spacing w:val="0"/>
          <w:sz w:val="28"/>
          <w:szCs w:val="24"/>
        </w:rPr>
        <w:t>non-OPEC</w:t>
      </w:r>
      <w:r w:rsidRPr="00F50D73">
        <w:rPr>
          <w:rFonts w:ascii="Times New Roman" w:eastAsia="標楷體"/>
          <w:spacing w:val="0"/>
          <w:sz w:val="28"/>
          <w:szCs w:val="24"/>
        </w:rPr>
        <w:t xml:space="preserve"> </w:t>
      </w:r>
      <w:r w:rsidR="00771CD0">
        <w:rPr>
          <w:rFonts w:ascii="Times New Roman" w:eastAsia="標楷體" w:hint="eastAsia"/>
          <w:spacing w:val="0"/>
          <w:sz w:val="28"/>
          <w:szCs w:val="24"/>
        </w:rPr>
        <w:t xml:space="preserve">oil producers have combined to push up </w:t>
      </w:r>
      <w:r w:rsidR="00771CD0">
        <w:rPr>
          <w:rFonts w:ascii="Times New Roman" w:eastAsia="標楷體"/>
          <w:spacing w:val="0"/>
          <w:sz w:val="28"/>
          <w:szCs w:val="24"/>
        </w:rPr>
        <w:t>international</w:t>
      </w:r>
      <w:r w:rsidR="00771CD0">
        <w:rPr>
          <w:rFonts w:ascii="Times New Roman" w:eastAsia="標楷體" w:hint="eastAsia"/>
          <w:spacing w:val="0"/>
          <w:sz w:val="28"/>
          <w:szCs w:val="24"/>
        </w:rPr>
        <w:t xml:space="preserve"> oil prices since September. In mid-December, </w:t>
      </w:r>
      <w:r w:rsidR="00771CD0" w:rsidRPr="00771CD0">
        <w:rPr>
          <w:rFonts w:ascii="Times New Roman" w:eastAsia="標楷體"/>
          <w:spacing w:val="0"/>
          <w:sz w:val="28"/>
          <w:szCs w:val="24"/>
        </w:rPr>
        <w:t>Brent crude oil price hit</w:t>
      </w:r>
      <w:r w:rsidR="00771CD0">
        <w:rPr>
          <w:rFonts w:ascii="Times New Roman" w:eastAsia="標楷體" w:hint="eastAsia"/>
          <w:spacing w:val="0"/>
          <w:sz w:val="28"/>
          <w:szCs w:val="24"/>
        </w:rPr>
        <w:t xml:space="preserve"> a</w:t>
      </w:r>
      <w:r w:rsidR="00771CD0" w:rsidRPr="00771CD0">
        <w:rPr>
          <w:rFonts w:ascii="Times New Roman" w:eastAsia="標楷體"/>
          <w:spacing w:val="0"/>
          <w:sz w:val="28"/>
          <w:szCs w:val="24"/>
        </w:rPr>
        <w:t xml:space="preserve"> </w:t>
      </w:r>
      <w:r w:rsidR="00771CD0">
        <w:rPr>
          <w:rFonts w:ascii="Times New Roman" w:eastAsia="標楷體" w:hint="eastAsia"/>
          <w:spacing w:val="0"/>
          <w:sz w:val="28"/>
          <w:szCs w:val="24"/>
        </w:rPr>
        <w:t xml:space="preserve">new </w:t>
      </w:r>
      <w:r w:rsidR="00771CD0" w:rsidRPr="00771CD0">
        <w:rPr>
          <w:rFonts w:ascii="Times New Roman" w:eastAsia="標楷體"/>
          <w:spacing w:val="0"/>
          <w:sz w:val="28"/>
          <w:szCs w:val="24"/>
        </w:rPr>
        <w:t>high</w:t>
      </w:r>
      <w:r w:rsidR="00771CD0">
        <w:rPr>
          <w:rFonts w:ascii="Times New Roman" w:eastAsia="標楷體" w:hint="eastAsia"/>
          <w:spacing w:val="0"/>
          <w:sz w:val="28"/>
          <w:szCs w:val="24"/>
        </w:rPr>
        <w:t xml:space="preserve"> in two and a half years</w:t>
      </w:r>
      <w:r w:rsidR="00771CD0" w:rsidRPr="00771CD0">
        <w:rPr>
          <w:rFonts w:ascii="Times New Roman" w:eastAsia="標楷體"/>
          <w:spacing w:val="0"/>
          <w:sz w:val="28"/>
          <w:szCs w:val="24"/>
        </w:rPr>
        <w:t>.</w:t>
      </w:r>
      <w:r w:rsidR="00771CD0">
        <w:rPr>
          <w:rFonts w:ascii="Times New Roman" w:eastAsia="標楷體" w:hint="eastAsia"/>
          <w:spacing w:val="0"/>
          <w:sz w:val="28"/>
          <w:szCs w:val="24"/>
        </w:rPr>
        <w:t xml:space="preserve"> However, international forecasts pointed to a mild increase in oil prices next year. </w:t>
      </w:r>
      <w:r w:rsidR="00771CD0" w:rsidRPr="00771CD0">
        <w:rPr>
          <w:rFonts w:ascii="Times New Roman" w:eastAsia="標楷體"/>
          <w:spacing w:val="0"/>
          <w:sz w:val="28"/>
          <w:szCs w:val="24"/>
        </w:rPr>
        <w:t xml:space="preserve">Global grain prices </w:t>
      </w:r>
      <w:r w:rsidR="003B7A73">
        <w:rPr>
          <w:rFonts w:ascii="Times New Roman" w:eastAsia="標楷體" w:hint="eastAsia"/>
          <w:spacing w:val="0"/>
          <w:sz w:val="28"/>
          <w:szCs w:val="24"/>
        </w:rPr>
        <w:t xml:space="preserve">swung lower on positive supply factors thanks to </w:t>
      </w:r>
      <w:r w:rsidR="00771CD0" w:rsidRPr="00771CD0">
        <w:rPr>
          <w:rFonts w:ascii="Times New Roman" w:eastAsia="標楷體"/>
          <w:spacing w:val="0"/>
          <w:sz w:val="28"/>
          <w:szCs w:val="24"/>
        </w:rPr>
        <w:t>favorable weather conditions.</w:t>
      </w:r>
    </w:p>
    <w:p w:rsidR="008F6E59" w:rsidRDefault="00180541" w:rsidP="00180541">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t>Within the year, despite</w:t>
      </w:r>
      <w:r w:rsidR="008F6E59">
        <w:rPr>
          <w:rFonts w:ascii="Times New Roman" w:eastAsia="標楷體" w:hint="eastAsia"/>
          <w:spacing w:val="0"/>
          <w:sz w:val="28"/>
          <w:szCs w:val="24"/>
        </w:rPr>
        <w:t xml:space="preserve"> </w:t>
      </w:r>
      <w:r w:rsidR="00092EE8" w:rsidRPr="00092EE8">
        <w:rPr>
          <w:rFonts w:ascii="Times New Roman" w:eastAsia="標楷體"/>
          <w:spacing w:val="0"/>
          <w:sz w:val="28"/>
          <w:szCs w:val="24"/>
        </w:rPr>
        <w:t>a</w:t>
      </w:r>
      <w:r w:rsidR="008F6E59">
        <w:rPr>
          <w:rFonts w:ascii="Times New Roman" w:eastAsia="標楷體" w:hint="eastAsia"/>
          <w:spacing w:val="0"/>
          <w:sz w:val="28"/>
          <w:szCs w:val="24"/>
        </w:rPr>
        <w:t xml:space="preserve">n </w:t>
      </w:r>
      <w:r w:rsidR="00092EE8" w:rsidRPr="00092EE8">
        <w:rPr>
          <w:rFonts w:ascii="Times New Roman" w:eastAsia="標楷體"/>
          <w:spacing w:val="0"/>
          <w:sz w:val="28"/>
          <w:szCs w:val="24"/>
        </w:rPr>
        <w:t>upturn in international oil prices</w:t>
      </w:r>
      <w:r w:rsidR="008F6E59">
        <w:rPr>
          <w:rFonts w:ascii="Times New Roman" w:eastAsia="標楷體" w:hint="eastAsia"/>
          <w:spacing w:val="0"/>
          <w:sz w:val="28"/>
          <w:szCs w:val="24"/>
        </w:rPr>
        <w:t xml:space="preserve">, </w:t>
      </w:r>
      <w:r>
        <w:rPr>
          <w:rFonts w:ascii="Times New Roman" w:eastAsia="標楷體" w:hint="eastAsia"/>
          <w:spacing w:val="0"/>
          <w:sz w:val="28"/>
          <w:szCs w:val="24"/>
        </w:rPr>
        <w:t>imported inflationary pressures were mitigated by a stronger NT dollar</w:t>
      </w:r>
      <w:r w:rsidR="007E12A2">
        <w:rPr>
          <w:rFonts w:ascii="Times New Roman" w:eastAsia="標楷體" w:hint="eastAsia"/>
          <w:spacing w:val="0"/>
          <w:sz w:val="28"/>
          <w:szCs w:val="24"/>
        </w:rPr>
        <w:t>. As a result, combined</w:t>
      </w:r>
      <w:r>
        <w:rPr>
          <w:rFonts w:ascii="Times New Roman" w:eastAsia="標楷體" w:hint="eastAsia"/>
          <w:spacing w:val="0"/>
          <w:sz w:val="28"/>
          <w:szCs w:val="24"/>
        </w:rPr>
        <w:t xml:space="preserve"> with stable basic cost of living and </w:t>
      </w:r>
      <w:r w:rsidR="00092EE8" w:rsidRPr="00092EE8">
        <w:rPr>
          <w:rFonts w:ascii="Times New Roman" w:eastAsia="標楷體"/>
          <w:spacing w:val="0"/>
          <w:sz w:val="28"/>
          <w:szCs w:val="24"/>
        </w:rPr>
        <w:t>a higher comparison base of vegetables and fruit prices</w:t>
      </w:r>
      <w:r w:rsidR="008F6E59">
        <w:rPr>
          <w:rFonts w:ascii="Times New Roman" w:eastAsia="標楷體" w:hint="eastAsia"/>
          <w:spacing w:val="0"/>
          <w:sz w:val="28"/>
          <w:szCs w:val="24"/>
        </w:rPr>
        <w:t xml:space="preserve">, </w:t>
      </w:r>
      <w:r>
        <w:rPr>
          <w:rFonts w:ascii="Times New Roman" w:eastAsia="標楷體" w:hint="eastAsia"/>
          <w:spacing w:val="0"/>
          <w:sz w:val="28"/>
          <w:szCs w:val="24"/>
        </w:rPr>
        <w:t>consumer prices saw a smaller increase</w:t>
      </w:r>
      <w:r w:rsidR="00092EE8" w:rsidRPr="00092EE8">
        <w:rPr>
          <w:rFonts w:ascii="Times New Roman" w:eastAsia="標楷體"/>
          <w:spacing w:val="0"/>
          <w:sz w:val="28"/>
          <w:szCs w:val="24"/>
        </w:rPr>
        <w:t xml:space="preserve">. </w:t>
      </w:r>
      <w:r w:rsidR="008F6E59" w:rsidRPr="008F6E59">
        <w:rPr>
          <w:rFonts w:ascii="Times New Roman" w:eastAsia="標楷體"/>
          <w:spacing w:val="0"/>
          <w:sz w:val="28"/>
          <w:szCs w:val="24"/>
        </w:rPr>
        <w:t>The annual CPI growth rates averaged 0.</w:t>
      </w:r>
      <w:r w:rsidR="008F6E59">
        <w:rPr>
          <w:rFonts w:ascii="Times New Roman" w:eastAsia="標楷體" w:hint="eastAsia"/>
          <w:spacing w:val="0"/>
          <w:sz w:val="28"/>
          <w:szCs w:val="24"/>
        </w:rPr>
        <w:t>57</w:t>
      </w:r>
      <w:r w:rsidR="008F6E59" w:rsidRPr="008F6E59">
        <w:rPr>
          <w:rFonts w:ascii="Times New Roman" w:eastAsia="標楷體"/>
          <w:spacing w:val="0"/>
          <w:sz w:val="28"/>
          <w:szCs w:val="24"/>
        </w:rPr>
        <w:t xml:space="preserve">% </w:t>
      </w:r>
      <w:r w:rsidR="008F6E59">
        <w:rPr>
          <w:rFonts w:ascii="Times New Roman" w:eastAsia="標楷體" w:hint="eastAsia"/>
          <w:spacing w:val="0"/>
          <w:sz w:val="28"/>
          <w:szCs w:val="24"/>
        </w:rPr>
        <w:t>for the first eleven months of the year, and t</w:t>
      </w:r>
      <w:r w:rsidR="008F6E59" w:rsidRPr="008F6E59">
        <w:rPr>
          <w:rFonts w:ascii="Times New Roman" w:eastAsia="標楷體"/>
          <w:spacing w:val="0"/>
          <w:sz w:val="28"/>
          <w:szCs w:val="24"/>
        </w:rPr>
        <w:t xml:space="preserve">he </w:t>
      </w:r>
      <w:r w:rsidR="008F6E59">
        <w:rPr>
          <w:rFonts w:ascii="Times New Roman" w:eastAsia="標楷體" w:hint="eastAsia"/>
          <w:spacing w:val="0"/>
          <w:sz w:val="28"/>
          <w:szCs w:val="24"/>
        </w:rPr>
        <w:t xml:space="preserve">annual </w:t>
      </w:r>
      <w:r w:rsidR="008F6E59" w:rsidRPr="008F6E59">
        <w:rPr>
          <w:rFonts w:ascii="Times New Roman" w:eastAsia="標楷體"/>
          <w:spacing w:val="0"/>
          <w:sz w:val="28"/>
          <w:szCs w:val="24"/>
        </w:rPr>
        <w:t xml:space="preserve">core CPI growth rate (excluding fruit, vegetables, and energy prices) </w:t>
      </w:r>
      <w:r w:rsidR="008F6E59">
        <w:rPr>
          <w:rFonts w:ascii="Times New Roman" w:eastAsia="標楷體" w:hint="eastAsia"/>
          <w:spacing w:val="0"/>
          <w:sz w:val="28"/>
          <w:szCs w:val="24"/>
        </w:rPr>
        <w:t xml:space="preserve">averaged 0.99% </w:t>
      </w:r>
      <w:r w:rsidR="008F6E59" w:rsidRPr="008F6E59">
        <w:rPr>
          <w:rFonts w:ascii="Times New Roman" w:eastAsia="標楷體"/>
          <w:spacing w:val="0"/>
          <w:sz w:val="28"/>
          <w:szCs w:val="24"/>
        </w:rPr>
        <w:t xml:space="preserve">for the same period. In sum, current inflation remains </w:t>
      </w:r>
      <w:r w:rsidR="008F6E59">
        <w:rPr>
          <w:rFonts w:ascii="Times New Roman" w:eastAsia="標楷體" w:hint="eastAsia"/>
          <w:spacing w:val="0"/>
          <w:sz w:val="28"/>
          <w:szCs w:val="24"/>
        </w:rPr>
        <w:t>stable</w:t>
      </w:r>
      <w:r w:rsidR="008F6E59" w:rsidRPr="008F6E59">
        <w:rPr>
          <w:rFonts w:ascii="Times New Roman" w:eastAsia="標楷體"/>
          <w:spacing w:val="0"/>
          <w:sz w:val="28"/>
          <w:szCs w:val="24"/>
        </w:rPr>
        <w:t>.</w:t>
      </w:r>
    </w:p>
    <w:p w:rsidR="004B0C53" w:rsidRPr="00DE6A4B" w:rsidRDefault="004B0C53" w:rsidP="004B0C53">
      <w:pPr>
        <w:pStyle w:val="6"/>
        <w:overflowPunct w:val="0"/>
        <w:snapToGrid w:val="0"/>
        <w:spacing w:before="240" w:after="0" w:line="520" w:lineRule="exact"/>
        <w:ind w:left="0" w:firstLineChars="200" w:firstLine="560"/>
        <w:rPr>
          <w:rFonts w:ascii="Times New Roman" w:eastAsia="標楷體"/>
          <w:spacing w:val="-2"/>
          <w:sz w:val="28"/>
          <w:szCs w:val="28"/>
        </w:rPr>
      </w:pPr>
      <w:r w:rsidRPr="00DE6A4B">
        <w:rPr>
          <w:rFonts w:ascii="Times New Roman" w:eastAsia="標楷體" w:hint="eastAsia"/>
          <w:spacing w:val="0"/>
          <w:sz w:val="28"/>
          <w:szCs w:val="24"/>
        </w:rPr>
        <w:t>Soft domestic demand has led the output gap, a key factor of inflationary pressures, to be negative</w:t>
      </w:r>
      <w:r>
        <w:rPr>
          <w:rFonts w:ascii="Times New Roman" w:eastAsia="標楷體" w:hint="eastAsia"/>
          <w:spacing w:val="0"/>
          <w:sz w:val="28"/>
          <w:szCs w:val="24"/>
        </w:rPr>
        <w:t>, indicating muted</w:t>
      </w:r>
      <w:r w:rsidRPr="00DE6A4B">
        <w:rPr>
          <w:rFonts w:ascii="Times New Roman" w:eastAsia="標楷體" w:hint="eastAsia"/>
          <w:spacing w:val="0"/>
          <w:sz w:val="28"/>
          <w:szCs w:val="24"/>
        </w:rPr>
        <w:t xml:space="preserve"> inflationary pressures. </w:t>
      </w:r>
      <w:r>
        <w:rPr>
          <w:rFonts w:ascii="Times New Roman" w:eastAsia="標楷體" w:hint="eastAsia"/>
          <w:spacing w:val="0"/>
          <w:sz w:val="28"/>
          <w:szCs w:val="24"/>
        </w:rPr>
        <w:t>Reflecting this observation</w:t>
      </w:r>
      <w:r w:rsidRPr="00DE6A4B">
        <w:rPr>
          <w:rFonts w:ascii="Times New Roman" w:eastAsia="標楷體" w:hint="eastAsia"/>
          <w:spacing w:val="0"/>
          <w:sz w:val="28"/>
          <w:szCs w:val="24"/>
        </w:rPr>
        <w:t>, t</w:t>
      </w:r>
      <w:r w:rsidRPr="00DE6A4B">
        <w:rPr>
          <w:rFonts w:ascii="Times New Roman" w:eastAsia="標楷體" w:hint="eastAsia"/>
          <w:spacing w:val="-2"/>
          <w:sz w:val="28"/>
          <w:szCs w:val="28"/>
        </w:rPr>
        <w:t>he forecasts made by major institutions at home and abroad suggest a mild inflation outlook for Taiwan</w:t>
      </w:r>
      <w:r>
        <w:rPr>
          <w:rFonts w:ascii="Times New Roman" w:eastAsia="標楷體" w:hint="eastAsia"/>
          <w:spacing w:val="-2"/>
          <w:sz w:val="28"/>
          <w:szCs w:val="28"/>
        </w:rPr>
        <w:t xml:space="preserve"> for this year and the next</w:t>
      </w:r>
      <w:r w:rsidRPr="00DE6A4B">
        <w:rPr>
          <w:rFonts w:ascii="Times New Roman" w:eastAsia="標楷體" w:hint="eastAsia"/>
          <w:spacing w:val="-2"/>
          <w:sz w:val="28"/>
          <w:szCs w:val="28"/>
        </w:rPr>
        <w:t>. The medians of domestic institutions</w:t>
      </w:r>
      <w:r w:rsidRPr="00DE6A4B">
        <w:rPr>
          <w:rFonts w:ascii="Times New Roman" w:eastAsia="標楷體"/>
          <w:spacing w:val="-2"/>
          <w:sz w:val="28"/>
          <w:szCs w:val="28"/>
        </w:rPr>
        <w:t>’</w:t>
      </w:r>
      <w:r w:rsidRPr="00DE6A4B">
        <w:rPr>
          <w:rFonts w:ascii="Times New Roman" w:eastAsia="標楷體" w:hint="eastAsia"/>
          <w:spacing w:val="-2"/>
          <w:sz w:val="28"/>
          <w:szCs w:val="28"/>
        </w:rPr>
        <w:t xml:space="preserve"> forecasts for 2017 and 2018 are </w:t>
      </w:r>
      <w:r>
        <w:rPr>
          <w:rFonts w:ascii="Times New Roman" w:eastAsia="標楷體" w:hint="eastAsia"/>
          <w:spacing w:val="-2"/>
          <w:sz w:val="28"/>
          <w:szCs w:val="28"/>
        </w:rPr>
        <w:t>0.62</w:t>
      </w:r>
      <w:r w:rsidRPr="00DE6A4B">
        <w:rPr>
          <w:rFonts w:ascii="Times New Roman" w:eastAsia="標楷體" w:hint="eastAsia"/>
          <w:spacing w:val="-2"/>
          <w:sz w:val="28"/>
          <w:szCs w:val="28"/>
        </w:rPr>
        <w:t xml:space="preserve">% and </w:t>
      </w:r>
      <w:r>
        <w:rPr>
          <w:rFonts w:ascii="Times New Roman" w:eastAsia="標楷體" w:hint="eastAsia"/>
          <w:spacing w:val="-2"/>
          <w:sz w:val="28"/>
          <w:szCs w:val="28"/>
        </w:rPr>
        <w:t>0</w:t>
      </w:r>
      <w:r w:rsidRPr="00DE6A4B">
        <w:rPr>
          <w:rFonts w:ascii="Times New Roman" w:eastAsia="標楷體" w:hint="eastAsia"/>
          <w:spacing w:val="-2"/>
          <w:sz w:val="28"/>
          <w:szCs w:val="28"/>
        </w:rPr>
        <w:t>.</w:t>
      </w:r>
      <w:r>
        <w:rPr>
          <w:rFonts w:ascii="Times New Roman" w:eastAsia="標楷體" w:hint="eastAsia"/>
          <w:spacing w:val="-2"/>
          <w:sz w:val="28"/>
          <w:szCs w:val="28"/>
        </w:rPr>
        <w:t>96</w:t>
      </w:r>
      <w:r w:rsidRPr="00DE6A4B">
        <w:rPr>
          <w:rFonts w:ascii="Times New Roman" w:eastAsia="標楷體" w:hint="eastAsia"/>
          <w:spacing w:val="-2"/>
          <w:sz w:val="28"/>
          <w:szCs w:val="28"/>
        </w:rPr>
        <w:t>%, respectively, while those of international institutions</w:t>
      </w:r>
      <w:r w:rsidRPr="00DE6A4B">
        <w:rPr>
          <w:rFonts w:ascii="Times New Roman" w:eastAsia="標楷體"/>
          <w:spacing w:val="-2"/>
          <w:sz w:val="28"/>
          <w:szCs w:val="28"/>
        </w:rPr>
        <w:t>’</w:t>
      </w:r>
      <w:r w:rsidRPr="00DE6A4B">
        <w:rPr>
          <w:rFonts w:ascii="Times New Roman" w:eastAsia="標楷體" w:hint="eastAsia"/>
          <w:spacing w:val="-2"/>
          <w:sz w:val="28"/>
          <w:szCs w:val="28"/>
        </w:rPr>
        <w:t xml:space="preserve"> forecasts are 0.</w:t>
      </w:r>
      <w:r>
        <w:rPr>
          <w:rFonts w:ascii="Times New Roman" w:eastAsia="標楷體" w:hint="eastAsia"/>
          <w:spacing w:val="-2"/>
          <w:sz w:val="28"/>
          <w:szCs w:val="28"/>
        </w:rPr>
        <w:t>6</w:t>
      </w:r>
      <w:r w:rsidRPr="00DE6A4B">
        <w:rPr>
          <w:rFonts w:ascii="Times New Roman" w:eastAsia="標楷體" w:hint="eastAsia"/>
          <w:spacing w:val="-2"/>
          <w:sz w:val="28"/>
          <w:szCs w:val="28"/>
        </w:rPr>
        <w:t>0% for 2017 and 1.30% for 2018.</w:t>
      </w:r>
      <w:r w:rsidRPr="00C41905">
        <w:rPr>
          <w:rFonts w:ascii="Times New Roman" w:eastAsia="標楷體" w:hint="eastAsia"/>
          <w:b/>
          <w:spacing w:val="-2"/>
          <w:sz w:val="28"/>
          <w:szCs w:val="28"/>
        </w:rPr>
        <w:t xml:space="preserve"> According to the Bank</w:t>
      </w:r>
      <w:r w:rsidRPr="00C41905">
        <w:rPr>
          <w:rFonts w:ascii="Times New Roman" w:eastAsia="標楷體"/>
          <w:b/>
          <w:spacing w:val="-2"/>
          <w:sz w:val="28"/>
          <w:szCs w:val="28"/>
        </w:rPr>
        <w:t>’</w:t>
      </w:r>
      <w:r w:rsidRPr="00C41905">
        <w:rPr>
          <w:rFonts w:ascii="Times New Roman" w:eastAsia="標楷體" w:hint="eastAsia"/>
          <w:b/>
          <w:spacing w:val="-2"/>
          <w:sz w:val="28"/>
          <w:szCs w:val="28"/>
        </w:rPr>
        <w:t xml:space="preserve">s own forecasts, the CPI annual growth rate is projected to be 0.61% this year and 1.12% next year, </w:t>
      </w:r>
      <w:r w:rsidRPr="00C41905">
        <w:rPr>
          <w:rFonts w:ascii="Times New Roman" w:eastAsia="標楷體" w:hint="eastAsia"/>
          <w:b/>
          <w:spacing w:val="-2"/>
          <w:sz w:val="28"/>
          <w:szCs w:val="28"/>
        </w:rPr>
        <w:lastRenderedPageBreak/>
        <w:t xml:space="preserve">and core CPI is expected to rise 1.02% this year and 1.12% next year. </w:t>
      </w:r>
      <w:r>
        <w:rPr>
          <w:rFonts w:ascii="Times New Roman" w:eastAsia="標楷體" w:hint="eastAsia"/>
          <w:spacing w:val="-2"/>
          <w:sz w:val="28"/>
          <w:szCs w:val="28"/>
        </w:rPr>
        <w:t xml:space="preserve">The inflation outlook remains stable. </w:t>
      </w:r>
    </w:p>
    <w:p w:rsidR="00471F4F" w:rsidRDefault="004D09F6" w:rsidP="00471F4F">
      <w:pPr>
        <w:pStyle w:val="6"/>
        <w:overflowPunct w:val="0"/>
        <w:snapToGrid w:val="0"/>
        <w:spacing w:before="240" w:after="0" w:line="520" w:lineRule="exact"/>
        <w:ind w:left="0" w:firstLineChars="200" w:firstLine="560"/>
        <w:rPr>
          <w:rFonts w:ascii="Times New Roman" w:eastAsia="標楷體"/>
          <w:spacing w:val="0"/>
          <w:sz w:val="28"/>
          <w:szCs w:val="24"/>
        </w:rPr>
      </w:pPr>
      <w:r w:rsidRPr="00487C00">
        <w:rPr>
          <w:rFonts w:ascii="Times New Roman" w:eastAsia="標楷體" w:hint="eastAsia"/>
          <w:spacing w:val="0"/>
          <w:sz w:val="28"/>
          <w:szCs w:val="24"/>
        </w:rPr>
        <w:t xml:space="preserve">As for </w:t>
      </w:r>
      <w:r w:rsidR="00A746B2">
        <w:rPr>
          <w:rFonts w:ascii="Times New Roman" w:eastAsia="標楷體" w:hint="eastAsia"/>
          <w:spacing w:val="0"/>
          <w:sz w:val="28"/>
          <w:szCs w:val="24"/>
        </w:rPr>
        <w:t>key</w:t>
      </w:r>
      <w:r w:rsidRPr="00487C00">
        <w:rPr>
          <w:rFonts w:ascii="Times New Roman" w:eastAsia="標楷體" w:hint="eastAsia"/>
          <w:spacing w:val="0"/>
          <w:sz w:val="28"/>
          <w:szCs w:val="24"/>
        </w:rPr>
        <w:t xml:space="preserve"> determinants of price trends</w:t>
      </w:r>
      <w:r w:rsidR="00A746B2">
        <w:rPr>
          <w:rFonts w:ascii="Times New Roman" w:eastAsia="標楷體" w:hint="eastAsia"/>
          <w:spacing w:val="0"/>
          <w:sz w:val="28"/>
          <w:szCs w:val="24"/>
        </w:rPr>
        <w:t xml:space="preserve"> next year</w:t>
      </w:r>
      <w:r w:rsidRPr="00487C00">
        <w:rPr>
          <w:rFonts w:ascii="Times New Roman" w:eastAsia="標楷體" w:hint="eastAsia"/>
          <w:spacing w:val="0"/>
          <w:sz w:val="28"/>
          <w:szCs w:val="24"/>
        </w:rPr>
        <w:t>, sources of upside pressures include</w:t>
      </w:r>
      <w:r w:rsidR="00A746B2">
        <w:rPr>
          <w:rFonts w:ascii="Times New Roman" w:eastAsia="標楷體" w:hint="eastAsia"/>
          <w:spacing w:val="0"/>
          <w:sz w:val="28"/>
          <w:szCs w:val="24"/>
        </w:rPr>
        <w:t>: the absence of major crop damage amid relatively stable weather conditions this year</w:t>
      </w:r>
      <w:r w:rsidR="00471F4F">
        <w:rPr>
          <w:rFonts w:ascii="Times New Roman" w:eastAsia="標楷體" w:hint="eastAsia"/>
          <w:spacing w:val="0"/>
          <w:sz w:val="28"/>
          <w:szCs w:val="24"/>
        </w:rPr>
        <w:t xml:space="preserve"> could result in more marked rises in </w:t>
      </w:r>
      <w:r w:rsidR="00A746B2" w:rsidRPr="00A746B2">
        <w:rPr>
          <w:rFonts w:ascii="Times New Roman" w:eastAsia="標楷體"/>
          <w:spacing w:val="0"/>
          <w:sz w:val="28"/>
          <w:szCs w:val="24"/>
        </w:rPr>
        <w:t>vegetables and fruit prices</w:t>
      </w:r>
      <w:r w:rsidR="00A746B2">
        <w:rPr>
          <w:rFonts w:ascii="Times New Roman" w:eastAsia="標楷體" w:hint="eastAsia"/>
          <w:spacing w:val="0"/>
          <w:sz w:val="28"/>
          <w:szCs w:val="24"/>
        </w:rPr>
        <w:t xml:space="preserve"> </w:t>
      </w:r>
      <w:r w:rsidR="00471F4F">
        <w:rPr>
          <w:rFonts w:ascii="Times New Roman" w:eastAsia="標楷體" w:hint="eastAsia"/>
          <w:spacing w:val="0"/>
          <w:sz w:val="28"/>
          <w:szCs w:val="24"/>
        </w:rPr>
        <w:t xml:space="preserve">next year; the cascading effect of the </w:t>
      </w:r>
      <w:r w:rsidR="00471F4F">
        <w:rPr>
          <w:rFonts w:ascii="Times New Roman" w:eastAsia="標楷體"/>
          <w:spacing w:val="0"/>
          <w:sz w:val="28"/>
          <w:szCs w:val="24"/>
        </w:rPr>
        <w:t>cigarette</w:t>
      </w:r>
      <w:r w:rsidR="00471F4F">
        <w:rPr>
          <w:rFonts w:ascii="Times New Roman" w:eastAsia="標楷體" w:hint="eastAsia"/>
          <w:spacing w:val="0"/>
          <w:sz w:val="28"/>
          <w:szCs w:val="24"/>
        </w:rPr>
        <w:t xml:space="preserve"> tax hike could continue into October 2018; </w:t>
      </w:r>
      <w:r w:rsidR="00471F4F" w:rsidRPr="00471F4F">
        <w:rPr>
          <w:rFonts w:ascii="Times New Roman" w:eastAsia="標楷體"/>
          <w:spacing w:val="0"/>
          <w:sz w:val="28"/>
          <w:szCs w:val="24"/>
        </w:rPr>
        <w:t>the hikes in minimum wage and public sector employee pay</w:t>
      </w:r>
      <w:r w:rsidR="00471F4F">
        <w:rPr>
          <w:rFonts w:ascii="Times New Roman" w:eastAsia="標楷體" w:hint="eastAsia"/>
          <w:spacing w:val="0"/>
          <w:sz w:val="28"/>
          <w:szCs w:val="24"/>
        </w:rPr>
        <w:t xml:space="preserve"> next year may herald a </w:t>
      </w:r>
      <w:r w:rsidR="00471F4F" w:rsidRPr="00471F4F">
        <w:rPr>
          <w:rFonts w:ascii="Times New Roman" w:eastAsia="標楷體"/>
          <w:spacing w:val="0"/>
          <w:sz w:val="28"/>
          <w:szCs w:val="24"/>
        </w:rPr>
        <w:t xml:space="preserve">private sector </w:t>
      </w:r>
      <w:r w:rsidR="00471F4F">
        <w:rPr>
          <w:rFonts w:ascii="Times New Roman" w:eastAsia="標楷體" w:hint="eastAsia"/>
          <w:spacing w:val="0"/>
          <w:sz w:val="28"/>
          <w:szCs w:val="24"/>
        </w:rPr>
        <w:t>wage increase</w:t>
      </w:r>
      <w:r w:rsidR="00733D53">
        <w:rPr>
          <w:rFonts w:ascii="Times New Roman" w:eastAsia="標楷體" w:hint="eastAsia"/>
          <w:spacing w:val="0"/>
          <w:sz w:val="28"/>
          <w:szCs w:val="24"/>
        </w:rPr>
        <w:t xml:space="preserve">; international oil prices are expected to rise moderately. </w:t>
      </w:r>
      <w:r w:rsidR="00733D53" w:rsidRPr="00733D53">
        <w:rPr>
          <w:rFonts w:ascii="Times New Roman" w:eastAsia="標楷體"/>
          <w:spacing w:val="0"/>
          <w:sz w:val="28"/>
          <w:szCs w:val="24"/>
        </w:rPr>
        <w:t xml:space="preserve">Downside pressures might </w:t>
      </w:r>
      <w:r w:rsidR="00C7489D">
        <w:rPr>
          <w:rFonts w:ascii="Times New Roman" w:eastAsia="標楷體" w:hint="eastAsia"/>
          <w:spacing w:val="0"/>
          <w:sz w:val="28"/>
          <w:szCs w:val="24"/>
        </w:rPr>
        <w:t xml:space="preserve">arise from </w:t>
      </w:r>
      <w:r w:rsidR="00733D53" w:rsidRPr="00733D53">
        <w:rPr>
          <w:rFonts w:ascii="Times New Roman" w:eastAsia="標楷體"/>
          <w:spacing w:val="0"/>
          <w:sz w:val="28"/>
          <w:szCs w:val="24"/>
        </w:rPr>
        <w:t xml:space="preserve">a still negative output gap and further reductions in telecommunication rates.  </w:t>
      </w:r>
      <w:r w:rsidR="00471F4F">
        <w:rPr>
          <w:rFonts w:ascii="Times New Roman" w:eastAsia="標楷體" w:hint="eastAsia"/>
          <w:spacing w:val="0"/>
          <w:sz w:val="28"/>
          <w:szCs w:val="24"/>
        </w:rPr>
        <w:t xml:space="preserve"> </w:t>
      </w:r>
    </w:p>
    <w:p w:rsidR="00D46F1E" w:rsidRPr="00543487" w:rsidRDefault="00D46F1E" w:rsidP="0043506F">
      <w:pPr>
        <w:numPr>
          <w:ilvl w:val="0"/>
          <w:numId w:val="30"/>
        </w:numPr>
        <w:overflowPunct w:val="0"/>
        <w:autoSpaceDE w:val="0"/>
        <w:autoSpaceDN w:val="0"/>
        <w:snapToGrid w:val="0"/>
        <w:spacing w:before="240" w:line="520" w:lineRule="exact"/>
        <w:ind w:left="426" w:hanging="426"/>
        <w:rPr>
          <w:rFonts w:eastAsia="標楷體"/>
          <w:b/>
          <w:spacing w:val="-2"/>
          <w:sz w:val="28"/>
          <w:szCs w:val="28"/>
        </w:rPr>
      </w:pPr>
      <w:r w:rsidRPr="00543487">
        <w:rPr>
          <w:rFonts w:eastAsia="標楷體" w:hint="eastAsia"/>
          <w:b/>
          <w:spacing w:val="-2"/>
          <w:sz w:val="28"/>
          <w:szCs w:val="28"/>
        </w:rPr>
        <w:t>Considerations for Monetary Policy</w:t>
      </w:r>
    </w:p>
    <w:p w:rsidR="000E700C" w:rsidRDefault="00D46F1E" w:rsidP="00AF5634">
      <w:pPr>
        <w:adjustRightInd/>
        <w:spacing w:before="240" w:line="520" w:lineRule="exact"/>
        <w:ind w:left="425" w:hangingChars="154" w:hanging="425"/>
        <w:textAlignment w:val="auto"/>
        <w:rPr>
          <w:rFonts w:eastAsia="標楷體"/>
          <w:sz w:val="28"/>
          <w:szCs w:val="24"/>
        </w:rPr>
      </w:pPr>
      <w:r w:rsidRPr="00543487">
        <w:rPr>
          <w:rFonts w:eastAsia="標楷體" w:hint="eastAsia"/>
          <w:spacing w:val="-2"/>
          <w:kern w:val="2"/>
          <w:sz w:val="28"/>
          <w:szCs w:val="28"/>
        </w:rPr>
        <w:t>(1)</w:t>
      </w:r>
      <w:r w:rsidRPr="003010FC">
        <w:rPr>
          <w:rFonts w:eastAsia="標楷體" w:hint="eastAsia"/>
          <w:spacing w:val="-2"/>
          <w:kern w:val="2"/>
          <w:sz w:val="28"/>
          <w:szCs w:val="28"/>
        </w:rPr>
        <w:t xml:space="preserve"> Global </w:t>
      </w:r>
      <w:r w:rsidR="003010FC">
        <w:rPr>
          <w:rFonts w:eastAsia="標楷體"/>
          <w:spacing w:val="-2"/>
          <w:kern w:val="2"/>
          <w:sz w:val="28"/>
          <w:szCs w:val="28"/>
        </w:rPr>
        <w:t>economic</w:t>
      </w:r>
      <w:r w:rsidR="003010FC">
        <w:rPr>
          <w:rFonts w:eastAsia="標楷體" w:hint="eastAsia"/>
          <w:spacing w:val="-2"/>
          <w:kern w:val="2"/>
          <w:sz w:val="28"/>
          <w:szCs w:val="28"/>
        </w:rPr>
        <w:t xml:space="preserve"> uncertainties still lie ahead, while the </w:t>
      </w:r>
      <w:r w:rsidR="003010FC">
        <w:rPr>
          <w:rFonts w:eastAsia="標楷體"/>
          <w:spacing w:val="-2"/>
          <w:kern w:val="2"/>
          <w:sz w:val="28"/>
          <w:szCs w:val="28"/>
        </w:rPr>
        <w:t>domestic</w:t>
      </w:r>
      <w:r w:rsidR="003010FC">
        <w:rPr>
          <w:rFonts w:eastAsia="標楷體" w:hint="eastAsia"/>
          <w:spacing w:val="-2"/>
          <w:kern w:val="2"/>
          <w:sz w:val="28"/>
          <w:szCs w:val="28"/>
        </w:rPr>
        <w:t xml:space="preserve"> recovery is on track but the output gap remains negative</w:t>
      </w:r>
      <w:r w:rsidRPr="003010FC">
        <w:rPr>
          <w:rFonts w:eastAsia="標楷體" w:hint="eastAsia"/>
          <w:spacing w:val="-2"/>
          <w:kern w:val="2"/>
          <w:sz w:val="28"/>
          <w:szCs w:val="28"/>
        </w:rPr>
        <w:t xml:space="preserve"> </w:t>
      </w:r>
    </w:p>
    <w:p w:rsidR="00C73F2D" w:rsidRDefault="003010FC" w:rsidP="00743F7B">
      <w:pPr>
        <w:pStyle w:val="6"/>
        <w:overflowPunct w:val="0"/>
        <w:snapToGrid w:val="0"/>
        <w:spacing w:before="240" w:after="0" w:line="520" w:lineRule="exact"/>
        <w:ind w:left="0" w:firstLineChars="200" w:firstLine="560"/>
        <w:rPr>
          <w:rFonts w:ascii="Times New Roman" w:eastAsia="標楷體"/>
          <w:spacing w:val="0"/>
          <w:sz w:val="28"/>
          <w:szCs w:val="24"/>
        </w:rPr>
      </w:pPr>
      <w:r>
        <w:rPr>
          <w:rFonts w:ascii="Times New Roman" w:eastAsia="標楷體" w:hint="eastAsia"/>
          <w:spacing w:val="0"/>
          <w:sz w:val="28"/>
          <w:szCs w:val="24"/>
        </w:rPr>
        <w:t xml:space="preserve">Since the Board last convened in September, the global </w:t>
      </w:r>
      <w:r>
        <w:rPr>
          <w:rFonts w:ascii="Times New Roman" w:eastAsia="標楷體"/>
          <w:spacing w:val="0"/>
          <w:sz w:val="28"/>
          <w:szCs w:val="24"/>
        </w:rPr>
        <w:t>economy</w:t>
      </w:r>
      <w:r>
        <w:rPr>
          <w:rFonts w:ascii="Times New Roman" w:eastAsia="標楷體" w:hint="eastAsia"/>
          <w:spacing w:val="0"/>
          <w:sz w:val="28"/>
          <w:szCs w:val="24"/>
        </w:rPr>
        <w:t xml:space="preserve"> continued with steady growth, with a stable outlook for 2018. However, monetary policy divergence among major central banks, the effects of the US </w:t>
      </w:r>
      <w:r>
        <w:rPr>
          <w:rFonts w:ascii="Times New Roman" w:eastAsia="標楷體"/>
          <w:spacing w:val="0"/>
          <w:sz w:val="28"/>
          <w:szCs w:val="24"/>
        </w:rPr>
        <w:t>economic</w:t>
      </w:r>
      <w:r>
        <w:rPr>
          <w:rFonts w:ascii="Times New Roman" w:eastAsia="標楷體" w:hint="eastAsia"/>
          <w:spacing w:val="0"/>
          <w:sz w:val="28"/>
          <w:szCs w:val="24"/>
        </w:rPr>
        <w:t xml:space="preserve"> and trade policies, mounting trade protectionism, and geopolitical risks might cast a longer shadow on the world</w:t>
      </w:r>
      <w:r>
        <w:rPr>
          <w:rFonts w:ascii="Times New Roman" w:eastAsia="標楷體"/>
          <w:spacing w:val="0"/>
          <w:sz w:val="28"/>
          <w:szCs w:val="24"/>
        </w:rPr>
        <w:t>’</w:t>
      </w:r>
      <w:r>
        <w:rPr>
          <w:rFonts w:ascii="Times New Roman" w:eastAsia="標楷體" w:hint="eastAsia"/>
          <w:spacing w:val="0"/>
          <w:sz w:val="28"/>
          <w:szCs w:val="24"/>
        </w:rPr>
        <w:t xml:space="preserve">s international and financial prospects. </w:t>
      </w:r>
      <w:r w:rsidR="00C73F2D">
        <w:rPr>
          <w:rFonts w:ascii="Times New Roman" w:eastAsia="標楷體" w:hint="eastAsia"/>
          <w:spacing w:val="0"/>
          <w:sz w:val="28"/>
          <w:szCs w:val="24"/>
        </w:rPr>
        <w:t xml:space="preserve">In addition to persistent uncertainties, a higher base effect of exports could also inhibit external demand growth, while private investment is expected to increase mildly. In sum, the domestic economy is projected to recover at a moderate pace next year. </w:t>
      </w:r>
    </w:p>
    <w:p w:rsidR="00863D5F" w:rsidRDefault="00863D5F" w:rsidP="00863D5F">
      <w:pPr>
        <w:adjustRightInd/>
        <w:spacing w:before="240" w:line="520" w:lineRule="exact"/>
        <w:ind w:left="469" w:hangingChars="170" w:hanging="469"/>
        <w:textAlignment w:val="auto"/>
        <w:rPr>
          <w:rFonts w:eastAsia="標楷體"/>
          <w:spacing w:val="-2"/>
          <w:kern w:val="2"/>
          <w:sz w:val="28"/>
          <w:szCs w:val="28"/>
        </w:rPr>
      </w:pPr>
      <w:r w:rsidRPr="00543487">
        <w:rPr>
          <w:rFonts w:eastAsia="標楷體" w:hint="eastAsia"/>
          <w:spacing w:val="-2"/>
          <w:kern w:val="2"/>
          <w:sz w:val="28"/>
          <w:szCs w:val="28"/>
        </w:rPr>
        <w:t>(</w:t>
      </w:r>
      <w:r>
        <w:rPr>
          <w:rFonts w:eastAsia="標楷體" w:hint="eastAsia"/>
          <w:spacing w:val="-2"/>
          <w:kern w:val="2"/>
          <w:sz w:val="28"/>
          <w:szCs w:val="28"/>
        </w:rPr>
        <w:t>2</w:t>
      </w:r>
      <w:r w:rsidRPr="00543487">
        <w:rPr>
          <w:rFonts w:eastAsia="標楷體" w:hint="eastAsia"/>
          <w:spacing w:val="-2"/>
          <w:kern w:val="2"/>
          <w:sz w:val="28"/>
          <w:szCs w:val="28"/>
        </w:rPr>
        <w:t>)</w:t>
      </w:r>
      <w:r>
        <w:rPr>
          <w:rFonts w:eastAsia="標楷體" w:hint="eastAsia"/>
          <w:spacing w:val="-2"/>
          <w:kern w:val="2"/>
          <w:sz w:val="28"/>
          <w:szCs w:val="28"/>
        </w:rPr>
        <w:t xml:space="preserve"> </w:t>
      </w:r>
      <w:r w:rsidR="000E700C">
        <w:rPr>
          <w:rFonts w:eastAsia="標楷體" w:hint="eastAsia"/>
          <w:spacing w:val="-2"/>
          <w:kern w:val="2"/>
          <w:sz w:val="28"/>
          <w:szCs w:val="28"/>
        </w:rPr>
        <w:t>C</w:t>
      </w:r>
      <w:r w:rsidR="000E700C" w:rsidRPr="00543487">
        <w:rPr>
          <w:rFonts w:eastAsia="標楷體" w:hint="eastAsia"/>
          <w:spacing w:val="-2"/>
          <w:kern w:val="2"/>
          <w:sz w:val="28"/>
          <w:szCs w:val="28"/>
        </w:rPr>
        <w:t>urrent inflationary pressures and expected inflation are both mild</w:t>
      </w:r>
    </w:p>
    <w:p w:rsidR="000E700C" w:rsidRDefault="00C73F2D" w:rsidP="00C73F2D">
      <w:pPr>
        <w:pStyle w:val="6"/>
        <w:overflowPunct w:val="0"/>
        <w:snapToGrid w:val="0"/>
        <w:spacing w:before="240" w:after="0" w:line="520" w:lineRule="exact"/>
        <w:ind w:left="0" w:firstLineChars="200" w:firstLine="560"/>
        <w:rPr>
          <w:rFonts w:ascii="Times New Roman" w:eastAsia="標楷體"/>
          <w:spacing w:val="0"/>
          <w:sz w:val="28"/>
          <w:szCs w:val="24"/>
        </w:rPr>
      </w:pPr>
      <w:r w:rsidRPr="00C73F2D">
        <w:rPr>
          <w:rFonts w:ascii="Times New Roman" w:eastAsia="標楷體"/>
          <w:spacing w:val="0"/>
          <w:sz w:val="28"/>
          <w:szCs w:val="24"/>
        </w:rPr>
        <w:t xml:space="preserve">During the period of January to </w:t>
      </w:r>
      <w:r>
        <w:rPr>
          <w:rFonts w:ascii="Times New Roman" w:eastAsia="標楷體" w:hint="eastAsia"/>
          <w:spacing w:val="0"/>
          <w:sz w:val="28"/>
          <w:szCs w:val="24"/>
        </w:rPr>
        <w:t>November</w:t>
      </w:r>
      <w:r w:rsidRPr="00C73F2D">
        <w:rPr>
          <w:rFonts w:ascii="Times New Roman" w:eastAsia="標楷體"/>
          <w:spacing w:val="0"/>
          <w:sz w:val="28"/>
          <w:szCs w:val="24"/>
        </w:rPr>
        <w:t xml:space="preserve">, domestic inflation has been </w:t>
      </w:r>
      <w:r>
        <w:rPr>
          <w:rFonts w:ascii="Times New Roman" w:eastAsia="標楷體" w:hint="eastAsia"/>
          <w:spacing w:val="0"/>
          <w:sz w:val="28"/>
          <w:szCs w:val="24"/>
        </w:rPr>
        <w:lastRenderedPageBreak/>
        <w:t>stable</w:t>
      </w:r>
      <w:r w:rsidRPr="00C73F2D">
        <w:rPr>
          <w:rFonts w:ascii="Times New Roman" w:eastAsia="標楷體"/>
          <w:spacing w:val="0"/>
          <w:sz w:val="28"/>
          <w:szCs w:val="24"/>
        </w:rPr>
        <w:t xml:space="preserve">. </w:t>
      </w:r>
      <w:r>
        <w:rPr>
          <w:rFonts w:ascii="Times New Roman" w:eastAsia="標楷體" w:hint="eastAsia"/>
          <w:spacing w:val="0"/>
          <w:sz w:val="28"/>
          <w:szCs w:val="24"/>
        </w:rPr>
        <w:t>In view of</w:t>
      </w:r>
      <w:r w:rsidRPr="00C73F2D">
        <w:rPr>
          <w:rFonts w:ascii="Times New Roman" w:eastAsia="標楷體"/>
          <w:spacing w:val="0"/>
          <w:sz w:val="28"/>
          <w:szCs w:val="24"/>
        </w:rPr>
        <w:t xml:space="preserve"> moderate oil price rises </w:t>
      </w:r>
      <w:r>
        <w:rPr>
          <w:rFonts w:ascii="Times New Roman" w:eastAsia="標楷體" w:hint="eastAsia"/>
          <w:spacing w:val="0"/>
          <w:sz w:val="28"/>
          <w:szCs w:val="24"/>
        </w:rPr>
        <w:t>expected</w:t>
      </w:r>
      <w:r w:rsidR="00464943">
        <w:rPr>
          <w:rFonts w:ascii="Times New Roman" w:eastAsia="標楷體" w:hint="eastAsia"/>
          <w:spacing w:val="0"/>
          <w:sz w:val="28"/>
          <w:szCs w:val="24"/>
        </w:rPr>
        <w:t xml:space="preserve"> for</w:t>
      </w:r>
      <w:r>
        <w:rPr>
          <w:rFonts w:ascii="Times New Roman" w:eastAsia="標楷體" w:hint="eastAsia"/>
          <w:spacing w:val="0"/>
          <w:sz w:val="28"/>
          <w:szCs w:val="24"/>
        </w:rPr>
        <w:t xml:space="preserve"> </w:t>
      </w:r>
      <w:r w:rsidRPr="00C73F2D">
        <w:rPr>
          <w:rFonts w:ascii="Times New Roman" w:eastAsia="標楷體"/>
          <w:spacing w:val="0"/>
          <w:sz w:val="28"/>
          <w:szCs w:val="24"/>
        </w:rPr>
        <w:t>next year</w:t>
      </w:r>
      <w:r>
        <w:rPr>
          <w:rFonts w:ascii="Times New Roman" w:eastAsia="標楷體" w:hint="eastAsia"/>
          <w:spacing w:val="0"/>
          <w:sz w:val="28"/>
          <w:szCs w:val="24"/>
        </w:rPr>
        <w:t>,</w:t>
      </w:r>
      <w:r w:rsidRPr="00C73F2D">
        <w:rPr>
          <w:rFonts w:ascii="Times New Roman" w:eastAsia="標楷體"/>
          <w:spacing w:val="0"/>
          <w:sz w:val="28"/>
          <w:szCs w:val="24"/>
        </w:rPr>
        <w:t xml:space="preserve"> soft domestic demand</w:t>
      </w:r>
      <w:r>
        <w:rPr>
          <w:rFonts w:ascii="Times New Roman" w:eastAsia="標楷體" w:hint="eastAsia"/>
          <w:spacing w:val="0"/>
          <w:sz w:val="28"/>
          <w:szCs w:val="24"/>
        </w:rPr>
        <w:t xml:space="preserve">, and a still negative </w:t>
      </w:r>
      <w:r w:rsidRPr="00C73F2D">
        <w:rPr>
          <w:rFonts w:ascii="Times New Roman" w:eastAsia="標楷體"/>
          <w:spacing w:val="0"/>
          <w:sz w:val="28"/>
          <w:szCs w:val="24"/>
        </w:rPr>
        <w:t xml:space="preserve">output gap, the inflation outlook is </w:t>
      </w:r>
      <w:r>
        <w:rPr>
          <w:rFonts w:ascii="Times New Roman" w:eastAsia="標楷體" w:hint="eastAsia"/>
          <w:spacing w:val="0"/>
          <w:sz w:val="28"/>
          <w:szCs w:val="24"/>
        </w:rPr>
        <w:t>mild</w:t>
      </w:r>
      <w:r w:rsidRPr="00C73F2D">
        <w:rPr>
          <w:rFonts w:ascii="Times New Roman" w:eastAsia="標楷體"/>
          <w:spacing w:val="0"/>
          <w:sz w:val="28"/>
          <w:szCs w:val="24"/>
        </w:rPr>
        <w:t>.</w:t>
      </w:r>
    </w:p>
    <w:p w:rsidR="008E1411" w:rsidRPr="00AF5634" w:rsidRDefault="008E1411" w:rsidP="00AF5634">
      <w:pPr>
        <w:adjustRightInd/>
        <w:spacing w:before="240" w:line="520" w:lineRule="exact"/>
        <w:ind w:left="469" w:hangingChars="170" w:hanging="469"/>
        <w:textAlignment w:val="auto"/>
        <w:rPr>
          <w:rFonts w:eastAsia="標楷體"/>
          <w:spacing w:val="-2"/>
          <w:kern w:val="2"/>
          <w:sz w:val="28"/>
          <w:szCs w:val="28"/>
        </w:rPr>
      </w:pPr>
      <w:r>
        <w:rPr>
          <w:rFonts w:eastAsia="標楷體" w:hint="eastAsia"/>
          <w:spacing w:val="-2"/>
          <w:kern w:val="2"/>
          <w:sz w:val="28"/>
          <w:szCs w:val="28"/>
        </w:rPr>
        <w:t>(3)</w:t>
      </w:r>
      <w:r w:rsidRPr="00543487">
        <w:rPr>
          <w:rFonts w:eastAsia="標楷體" w:hint="eastAsia"/>
          <w:spacing w:val="-2"/>
          <w:kern w:val="2"/>
          <w:sz w:val="28"/>
          <w:szCs w:val="28"/>
        </w:rPr>
        <w:t xml:space="preserve"> </w:t>
      </w:r>
      <w:r w:rsidR="00180541">
        <w:rPr>
          <w:rFonts w:eastAsia="標楷體" w:hint="eastAsia"/>
          <w:spacing w:val="-2"/>
          <w:kern w:val="2"/>
          <w:sz w:val="28"/>
          <w:szCs w:val="28"/>
        </w:rPr>
        <w:t>F</w:t>
      </w:r>
      <w:r w:rsidR="00C73F2D">
        <w:rPr>
          <w:rFonts w:eastAsia="標楷體" w:hint="eastAsia"/>
          <w:spacing w:val="-2"/>
          <w:kern w:val="2"/>
          <w:sz w:val="28"/>
          <w:szCs w:val="28"/>
        </w:rPr>
        <w:t xml:space="preserve">inancial conditions </w:t>
      </w:r>
      <w:r w:rsidR="00180541">
        <w:rPr>
          <w:rFonts w:eastAsia="標楷體" w:hint="eastAsia"/>
          <w:spacing w:val="-2"/>
          <w:kern w:val="2"/>
          <w:sz w:val="28"/>
          <w:szCs w:val="28"/>
        </w:rPr>
        <w:t>were slighter tighter</w:t>
      </w:r>
    </w:p>
    <w:p w:rsidR="00C73F2D" w:rsidRDefault="00C73F2D" w:rsidP="00412F16">
      <w:pPr>
        <w:overflowPunct w:val="0"/>
        <w:autoSpaceDE w:val="0"/>
        <w:autoSpaceDN w:val="0"/>
        <w:snapToGrid w:val="0"/>
        <w:spacing w:before="240" w:line="520" w:lineRule="exact"/>
        <w:ind w:firstLineChars="200" w:firstLine="560"/>
        <w:jc w:val="both"/>
        <w:rPr>
          <w:rFonts w:eastAsia="標楷體"/>
          <w:sz w:val="28"/>
          <w:szCs w:val="24"/>
        </w:rPr>
      </w:pPr>
      <w:r w:rsidRPr="00C73F2D">
        <w:rPr>
          <w:rFonts w:eastAsia="標楷體"/>
          <w:sz w:val="28"/>
          <w:szCs w:val="24"/>
        </w:rPr>
        <w:t xml:space="preserve">In recent months, </w:t>
      </w:r>
      <w:r>
        <w:rPr>
          <w:rFonts w:eastAsia="標楷體" w:hint="eastAsia"/>
          <w:sz w:val="28"/>
          <w:szCs w:val="24"/>
        </w:rPr>
        <w:t>steady interest rates and domes</w:t>
      </w:r>
      <w:r w:rsidR="00412F16">
        <w:rPr>
          <w:rFonts w:eastAsia="標楷體" w:hint="eastAsia"/>
          <w:sz w:val="28"/>
          <w:szCs w:val="24"/>
        </w:rPr>
        <w:t>tic stock rally were accompanie</w:t>
      </w:r>
      <w:r w:rsidR="00907D56">
        <w:rPr>
          <w:rFonts w:eastAsia="標楷體" w:hint="eastAsia"/>
          <w:sz w:val="28"/>
          <w:szCs w:val="24"/>
        </w:rPr>
        <w:t>d</w:t>
      </w:r>
      <w:r w:rsidR="00412F16">
        <w:rPr>
          <w:rFonts w:eastAsia="標楷體" w:hint="eastAsia"/>
          <w:sz w:val="28"/>
          <w:szCs w:val="24"/>
        </w:rPr>
        <w:t xml:space="preserve"> by the NT dollar appreciation. Consequently</w:t>
      </w:r>
      <w:r w:rsidRPr="00C73F2D">
        <w:rPr>
          <w:rFonts w:eastAsia="標楷體"/>
          <w:sz w:val="28"/>
          <w:szCs w:val="24"/>
        </w:rPr>
        <w:t xml:space="preserve">, the financial condition index has pointed to slightly tighter financial conditions.  </w:t>
      </w:r>
    </w:p>
    <w:p w:rsidR="001C5A3A" w:rsidRDefault="001C5A3A" w:rsidP="00AF5634">
      <w:pPr>
        <w:adjustRightInd/>
        <w:spacing w:before="240" w:line="520" w:lineRule="exact"/>
        <w:ind w:left="425" w:hangingChars="154" w:hanging="425"/>
        <w:textAlignment w:val="auto"/>
        <w:rPr>
          <w:rFonts w:eastAsia="標楷體"/>
          <w:spacing w:val="-2"/>
          <w:kern w:val="2"/>
          <w:sz w:val="28"/>
          <w:szCs w:val="28"/>
        </w:rPr>
      </w:pPr>
      <w:r w:rsidRPr="00543487">
        <w:rPr>
          <w:rFonts w:eastAsia="標楷體" w:hint="eastAsia"/>
          <w:spacing w:val="-2"/>
          <w:kern w:val="2"/>
          <w:sz w:val="28"/>
          <w:szCs w:val="28"/>
        </w:rPr>
        <w:t>(</w:t>
      </w:r>
      <w:r>
        <w:rPr>
          <w:rFonts w:eastAsia="標楷體" w:hint="eastAsia"/>
          <w:spacing w:val="-2"/>
          <w:kern w:val="2"/>
          <w:sz w:val="28"/>
          <w:szCs w:val="28"/>
        </w:rPr>
        <w:t>4</w:t>
      </w:r>
      <w:r w:rsidRPr="00543487">
        <w:rPr>
          <w:rFonts w:eastAsia="標楷體" w:hint="eastAsia"/>
          <w:spacing w:val="-2"/>
          <w:kern w:val="2"/>
          <w:sz w:val="28"/>
          <w:szCs w:val="28"/>
        </w:rPr>
        <w:t>) Taiwan</w:t>
      </w:r>
      <w:r w:rsidRPr="00543487">
        <w:rPr>
          <w:rFonts w:eastAsia="標楷體"/>
          <w:spacing w:val="-2"/>
          <w:kern w:val="2"/>
          <w:sz w:val="28"/>
          <w:szCs w:val="28"/>
        </w:rPr>
        <w:t>’</w:t>
      </w:r>
      <w:r w:rsidRPr="00543487">
        <w:rPr>
          <w:rFonts w:eastAsia="標楷體" w:hint="eastAsia"/>
          <w:spacing w:val="-2"/>
          <w:kern w:val="2"/>
          <w:sz w:val="28"/>
          <w:szCs w:val="28"/>
        </w:rPr>
        <w:t xml:space="preserve">s real interest rate </w:t>
      </w:r>
      <w:r w:rsidR="000E700C">
        <w:rPr>
          <w:rFonts w:eastAsia="標楷體" w:hint="eastAsia"/>
          <w:spacing w:val="-2"/>
          <w:kern w:val="2"/>
          <w:sz w:val="28"/>
          <w:szCs w:val="28"/>
        </w:rPr>
        <w:t>stand</w:t>
      </w:r>
      <w:r w:rsidR="00464943">
        <w:rPr>
          <w:rFonts w:eastAsia="標楷體" w:hint="eastAsia"/>
          <w:spacing w:val="-2"/>
          <w:kern w:val="2"/>
          <w:sz w:val="28"/>
          <w:szCs w:val="28"/>
        </w:rPr>
        <w:t>s</w:t>
      </w:r>
      <w:r w:rsidR="000E700C">
        <w:rPr>
          <w:rFonts w:eastAsia="標楷體" w:hint="eastAsia"/>
          <w:spacing w:val="-2"/>
          <w:kern w:val="2"/>
          <w:sz w:val="28"/>
          <w:szCs w:val="28"/>
        </w:rPr>
        <w:t xml:space="preserve"> at an </w:t>
      </w:r>
      <w:r w:rsidR="000E700C">
        <w:rPr>
          <w:rFonts w:eastAsia="標楷體"/>
          <w:spacing w:val="-2"/>
          <w:kern w:val="2"/>
          <w:sz w:val="28"/>
          <w:szCs w:val="28"/>
        </w:rPr>
        <w:t>appropriate</w:t>
      </w:r>
      <w:r w:rsidR="000E700C">
        <w:rPr>
          <w:rFonts w:eastAsia="標楷體" w:hint="eastAsia"/>
          <w:spacing w:val="-2"/>
          <w:kern w:val="2"/>
          <w:sz w:val="28"/>
          <w:szCs w:val="28"/>
        </w:rPr>
        <w:t xml:space="preserve"> level compared to those of</w:t>
      </w:r>
      <w:r>
        <w:rPr>
          <w:rFonts w:eastAsia="標楷體" w:hint="eastAsia"/>
          <w:spacing w:val="-2"/>
          <w:kern w:val="2"/>
          <w:sz w:val="28"/>
          <w:szCs w:val="28"/>
        </w:rPr>
        <w:t xml:space="preserve"> major economies </w:t>
      </w:r>
    </w:p>
    <w:p w:rsidR="00412F16" w:rsidRDefault="00412F16" w:rsidP="000E700C">
      <w:pPr>
        <w:overflowPunct w:val="0"/>
        <w:autoSpaceDE w:val="0"/>
        <w:autoSpaceDN w:val="0"/>
        <w:snapToGrid w:val="0"/>
        <w:spacing w:before="240" w:line="520" w:lineRule="exact"/>
        <w:ind w:firstLineChars="200" w:firstLine="560"/>
        <w:jc w:val="both"/>
        <w:rPr>
          <w:rFonts w:eastAsia="標楷體"/>
          <w:sz w:val="28"/>
          <w:szCs w:val="24"/>
        </w:rPr>
      </w:pPr>
      <w:r>
        <w:rPr>
          <w:rFonts w:eastAsia="標楷體" w:hint="eastAsia"/>
          <w:sz w:val="28"/>
          <w:szCs w:val="24"/>
        </w:rPr>
        <w:t>Taiwan continued to exhibit positive real interest rate</w:t>
      </w:r>
      <w:r w:rsidR="00F934A0">
        <w:rPr>
          <w:rFonts w:eastAsia="標楷體" w:hint="eastAsia"/>
          <w:sz w:val="28"/>
          <w:szCs w:val="24"/>
        </w:rPr>
        <w:t>s</w:t>
      </w:r>
      <w:r>
        <w:rPr>
          <w:rFonts w:eastAsia="標楷體" w:hint="eastAsia"/>
          <w:sz w:val="28"/>
          <w:szCs w:val="24"/>
        </w:rPr>
        <w:t>.</w:t>
      </w:r>
      <w:r w:rsidRPr="00412F16">
        <w:t xml:space="preserve"> </w:t>
      </w:r>
      <w:r w:rsidRPr="00412F16">
        <w:rPr>
          <w:rFonts w:eastAsia="標楷體"/>
          <w:sz w:val="28"/>
          <w:szCs w:val="24"/>
        </w:rPr>
        <w:t xml:space="preserve">Assessed against economic </w:t>
      </w:r>
      <w:r>
        <w:rPr>
          <w:rFonts w:eastAsia="標楷體" w:hint="eastAsia"/>
          <w:sz w:val="28"/>
          <w:szCs w:val="24"/>
        </w:rPr>
        <w:t>growth</w:t>
      </w:r>
      <w:r w:rsidRPr="00412F16">
        <w:rPr>
          <w:rFonts w:eastAsia="標楷體"/>
          <w:sz w:val="28"/>
          <w:szCs w:val="24"/>
        </w:rPr>
        <w:t xml:space="preserve">, </w:t>
      </w:r>
      <w:r>
        <w:rPr>
          <w:rFonts w:eastAsia="標楷體" w:hint="eastAsia"/>
          <w:sz w:val="28"/>
          <w:szCs w:val="24"/>
        </w:rPr>
        <w:t>many</w:t>
      </w:r>
      <w:r w:rsidRPr="00412F16">
        <w:rPr>
          <w:rFonts w:eastAsia="標楷體"/>
          <w:sz w:val="28"/>
          <w:szCs w:val="24"/>
        </w:rPr>
        <w:t xml:space="preserve"> economies enjoy</w:t>
      </w:r>
      <w:r>
        <w:rPr>
          <w:rFonts w:eastAsia="標楷體" w:hint="eastAsia"/>
          <w:sz w:val="28"/>
          <w:szCs w:val="24"/>
        </w:rPr>
        <w:t>ing</w:t>
      </w:r>
      <w:r w:rsidRPr="00412F16">
        <w:rPr>
          <w:rFonts w:eastAsia="標楷體"/>
          <w:sz w:val="28"/>
          <w:szCs w:val="24"/>
        </w:rPr>
        <w:t xml:space="preserve"> higher GDP growth than Taiwan </w:t>
      </w:r>
      <w:r>
        <w:rPr>
          <w:rFonts w:eastAsia="標楷體" w:hint="eastAsia"/>
          <w:sz w:val="28"/>
          <w:szCs w:val="24"/>
        </w:rPr>
        <w:t xml:space="preserve">recorded </w:t>
      </w:r>
      <w:r w:rsidRPr="00412F16">
        <w:rPr>
          <w:rFonts w:eastAsia="標楷體"/>
          <w:sz w:val="28"/>
          <w:szCs w:val="24"/>
        </w:rPr>
        <w:t>relatively lower, and negative, real interest rate</w:t>
      </w:r>
      <w:r>
        <w:rPr>
          <w:rFonts w:eastAsia="標楷體" w:hint="eastAsia"/>
          <w:sz w:val="28"/>
          <w:szCs w:val="24"/>
        </w:rPr>
        <w:t>s, a reflection of a more loose monetary policy stance compared to Taiwan.</w:t>
      </w:r>
    </w:p>
    <w:p w:rsidR="000E700C" w:rsidRDefault="000E700C" w:rsidP="00D46F1E">
      <w:pPr>
        <w:adjustRightInd/>
        <w:snapToGrid w:val="0"/>
        <w:spacing w:before="240" w:line="520" w:lineRule="exact"/>
        <w:jc w:val="both"/>
        <w:textDirection w:val="lrTbV"/>
        <w:rPr>
          <w:rFonts w:eastAsia="標楷體"/>
          <w:b/>
          <w:sz w:val="28"/>
          <w:szCs w:val="28"/>
          <w:highlight w:val="yellow"/>
        </w:rPr>
      </w:pPr>
    </w:p>
    <w:p w:rsidR="00D46F1E" w:rsidRPr="00543487" w:rsidRDefault="00D46F1E" w:rsidP="00D46F1E">
      <w:pPr>
        <w:adjustRightInd/>
        <w:snapToGrid w:val="0"/>
        <w:spacing w:before="240" w:line="520" w:lineRule="exact"/>
        <w:jc w:val="both"/>
        <w:textDirection w:val="lrTbV"/>
        <w:rPr>
          <w:rFonts w:eastAsia="標楷體"/>
          <w:b/>
          <w:sz w:val="28"/>
          <w:szCs w:val="28"/>
        </w:rPr>
      </w:pPr>
      <w:r w:rsidRPr="00AF5634">
        <w:rPr>
          <w:rFonts w:eastAsia="標楷體" w:hint="eastAsia"/>
          <w:b/>
          <w:sz w:val="28"/>
          <w:szCs w:val="28"/>
        </w:rPr>
        <w:t>II. Proposition and Decision about Monetary Policy</w:t>
      </w:r>
      <w:r w:rsidRPr="00543487">
        <w:rPr>
          <w:rFonts w:eastAsia="標楷體" w:hint="eastAsia"/>
          <w:b/>
          <w:sz w:val="28"/>
          <w:szCs w:val="28"/>
        </w:rPr>
        <w:t xml:space="preserve"> </w:t>
      </w:r>
    </w:p>
    <w:p w:rsidR="00D46F1E" w:rsidRPr="00AC5849" w:rsidRDefault="00D46F1E" w:rsidP="00AC5849">
      <w:pPr>
        <w:numPr>
          <w:ilvl w:val="0"/>
          <w:numId w:val="37"/>
        </w:numPr>
        <w:overflowPunct w:val="0"/>
        <w:autoSpaceDE w:val="0"/>
        <w:autoSpaceDN w:val="0"/>
        <w:snapToGrid w:val="0"/>
        <w:spacing w:before="240" w:line="520" w:lineRule="exact"/>
        <w:ind w:left="426" w:hanging="426"/>
        <w:textDirection w:val="lrTbV"/>
        <w:rPr>
          <w:rFonts w:eastAsia="標楷體"/>
          <w:b/>
          <w:spacing w:val="-2"/>
          <w:sz w:val="28"/>
          <w:szCs w:val="28"/>
        </w:rPr>
      </w:pPr>
      <w:r w:rsidRPr="00AC5849">
        <w:rPr>
          <w:rFonts w:eastAsia="標楷體" w:hint="eastAsia"/>
          <w:b/>
          <w:spacing w:val="-2"/>
          <w:sz w:val="28"/>
          <w:szCs w:val="28"/>
        </w:rPr>
        <w:t>Policy Proposition: To keep t</w:t>
      </w:r>
      <w:r w:rsidRPr="00AC5849">
        <w:rPr>
          <w:rFonts w:eastAsia="標楷體"/>
          <w:b/>
          <w:spacing w:val="-2"/>
          <w:sz w:val="28"/>
          <w:szCs w:val="28"/>
        </w:rPr>
        <w:t>he discount rate, the rate on accommodations with collateral, and the rate on accommodations without collateral unchanged at 1.375%, 1.75%, and 3.625%, respectively.</w:t>
      </w:r>
    </w:p>
    <w:p w:rsidR="00D46F1E" w:rsidRPr="00AC5849" w:rsidRDefault="00D46F1E" w:rsidP="00AC5849">
      <w:pPr>
        <w:numPr>
          <w:ilvl w:val="0"/>
          <w:numId w:val="37"/>
        </w:numPr>
        <w:overflowPunct w:val="0"/>
        <w:autoSpaceDE w:val="0"/>
        <w:autoSpaceDN w:val="0"/>
        <w:snapToGrid w:val="0"/>
        <w:spacing w:before="240" w:line="520" w:lineRule="exact"/>
        <w:ind w:left="426" w:hanging="426"/>
        <w:textDirection w:val="lrTbV"/>
        <w:rPr>
          <w:rFonts w:eastAsia="標楷體"/>
          <w:spacing w:val="-2"/>
          <w:sz w:val="28"/>
          <w:szCs w:val="28"/>
        </w:rPr>
      </w:pPr>
      <w:r w:rsidRPr="00AC5849">
        <w:rPr>
          <w:rFonts w:eastAsia="標楷體" w:hint="eastAsia"/>
          <w:spacing w:val="-2"/>
          <w:sz w:val="28"/>
          <w:szCs w:val="28"/>
        </w:rPr>
        <w:t xml:space="preserve">All </w:t>
      </w:r>
      <w:r w:rsidR="00AA5E71" w:rsidRPr="00AC5849">
        <w:rPr>
          <w:rFonts w:eastAsia="標楷體" w:hint="eastAsia"/>
          <w:spacing w:val="-2"/>
          <w:sz w:val="28"/>
          <w:szCs w:val="28"/>
        </w:rPr>
        <w:t>b</w:t>
      </w:r>
      <w:r w:rsidRPr="00AC5849">
        <w:rPr>
          <w:rFonts w:eastAsia="標楷體" w:hint="eastAsia"/>
          <w:spacing w:val="-2"/>
          <w:sz w:val="28"/>
          <w:szCs w:val="28"/>
        </w:rPr>
        <w:t>oard members approved of keeping policy rates unchanged.</w:t>
      </w:r>
      <w:r w:rsidR="00AC5849" w:rsidRPr="00AC5849">
        <w:rPr>
          <w:rFonts w:eastAsia="標楷體" w:hint="eastAsia"/>
          <w:spacing w:val="-2"/>
          <w:sz w:val="28"/>
          <w:szCs w:val="28"/>
        </w:rPr>
        <w:t xml:space="preserve"> </w:t>
      </w:r>
      <w:r w:rsidRPr="00AC5849">
        <w:rPr>
          <w:rFonts w:eastAsia="標楷體" w:hint="eastAsia"/>
          <w:spacing w:val="-2"/>
          <w:sz w:val="28"/>
          <w:szCs w:val="28"/>
        </w:rPr>
        <w:t>The discussions are summarized as follows.</w:t>
      </w:r>
    </w:p>
    <w:p w:rsidR="006D0D74" w:rsidRDefault="006D0D74" w:rsidP="0015353E">
      <w:pPr>
        <w:pStyle w:val="6"/>
        <w:overflowPunct w:val="0"/>
        <w:snapToGrid w:val="0"/>
        <w:spacing w:before="240" w:after="0" w:line="520" w:lineRule="exact"/>
        <w:ind w:left="0" w:firstLineChars="200" w:firstLine="552"/>
        <w:textDirection w:val="lrTbV"/>
        <w:rPr>
          <w:rFonts w:ascii="Times New Roman" w:eastAsia="標楷體"/>
          <w:spacing w:val="-2"/>
          <w:sz w:val="28"/>
          <w:szCs w:val="28"/>
        </w:rPr>
      </w:pPr>
      <w:r>
        <w:rPr>
          <w:rFonts w:ascii="Times New Roman" w:eastAsia="標楷體" w:hint="eastAsia"/>
          <w:spacing w:val="-2"/>
          <w:sz w:val="28"/>
          <w:szCs w:val="28"/>
        </w:rPr>
        <w:t>In respect of</w:t>
      </w:r>
      <w:r w:rsidRPr="00543487">
        <w:rPr>
          <w:rFonts w:ascii="Times New Roman" w:eastAsia="標楷體" w:hint="eastAsia"/>
          <w:spacing w:val="-2"/>
          <w:sz w:val="28"/>
          <w:szCs w:val="28"/>
        </w:rPr>
        <w:t xml:space="preserve"> the </w:t>
      </w:r>
      <w:r w:rsidRPr="00543487">
        <w:rPr>
          <w:rFonts w:ascii="Times New Roman" w:eastAsia="標楷體"/>
          <w:spacing w:val="-2"/>
          <w:sz w:val="28"/>
          <w:szCs w:val="28"/>
        </w:rPr>
        <w:t>international</w:t>
      </w:r>
      <w:r w:rsidRPr="00543487">
        <w:rPr>
          <w:rFonts w:ascii="Times New Roman" w:eastAsia="標楷體" w:hint="eastAsia"/>
          <w:spacing w:val="-2"/>
          <w:sz w:val="28"/>
          <w:szCs w:val="28"/>
        </w:rPr>
        <w:t xml:space="preserve"> </w:t>
      </w:r>
      <w:r w:rsidRPr="00543487">
        <w:rPr>
          <w:rFonts w:ascii="Times New Roman" w:eastAsia="標楷體"/>
          <w:spacing w:val="-2"/>
          <w:sz w:val="28"/>
          <w:szCs w:val="28"/>
        </w:rPr>
        <w:t>economic situation,</w:t>
      </w:r>
      <w:r w:rsidR="00AA5E71">
        <w:rPr>
          <w:rFonts w:ascii="Times New Roman" w:eastAsia="標楷體" w:hint="eastAsia"/>
          <w:spacing w:val="-2"/>
          <w:sz w:val="28"/>
          <w:szCs w:val="28"/>
        </w:rPr>
        <w:t xml:space="preserve"> </w:t>
      </w:r>
      <w:r w:rsidR="00AA5E71" w:rsidRPr="00C41905">
        <w:rPr>
          <w:rFonts w:ascii="Times New Roman" w:eastAsia="標楷體" w:hint="eastAsia"/>
          <w:b/>
          <w:spacing w:val="-2"/>
          <w:sz w:val="28"/>
          <w:szCs w:val="28"/>
        </w:rPr>
        <w:t xml:space="preserve">one </w:t>
      </w:r>
      <w:r w:rsidR="00C41905" w:rsidRPr="00C41905">
        <w:rPr>
          <w:rFonts w:ascii="Times New Roman" w:eastAsia="標楷體" w:hint="eastAsia"/>
          <w:b/>
          <w:spacing w:val="-2"/>
          <w:sz w:val="28"/>
          <w:szCs w:val="28"/>
        </w:rPr>
        <w:t xml:space="preserve">board </w:t>
      </w:r>
      <w:r w:rsidR="00C300E0" w:rsidRPr="00C41905">
        <w:rPr>
          <w:rFonts w:ascii="Times New Roman" w:eastAsia="標楷體" w:hint="eastAsia"/>
          <w:b/>
          <w:spacing w:val="-2"/>
          <w:sz w:val="28"/>
          <w:szCs w:val="28"/>
        </w:rPr>
        <w:t>director expressed</w:t>
      </w:r>
      <w:r w:rsidR="00C300E0">
        <w:rPr>
          <w:rFonts w:ascii="Times New Roman" w:eastAsia="標楷體" w:hint="eastAsia"/>
          <w:spacing w:val="-2"/>
          <w:sz w:val="28"/>
          <w:szCs w:val="28"/>
        </w:rPr>
        <w:t xml:space="preserve"> concerns about how risks to the global economic and trade outlook </w:t>
      </w:r>
      <w:r w:rsidR="00C300E0">
        <w:rPr>
          <w:rFonts w:ascii="Times New Roman" w:eastAsia="標楷體" w:hint="eastAsia"/>
          <w:spacing w:val="-2"/>
          <w:sz w:val="28"/>
          <w:szCs w:val="28"/>
        </w:rPr>
        <w:lastRenderedPageBreak/>
        <w:t>could affect Taiwan</w:t>
      </w:r>
      <w:r w:rsidR="00C300E0">
        <w:rPr>
          <w:rFonts w:ascii="Times New Roman" w:eastAsia="標楷體"/>
          <w:spacing w:val="-2"/>
          <w:sz w:val="28"/>
          <w:szCs w:val="28"/>
        </w:rPr>
        <w:t>’</w:t>
      </w:r>
      <w:r w:rsidR="00C300E0">
        <w:rPr>
          <w:rFonts w:ascii="Times New Roman" w:eastAsia="標楷體" w:hint="eastAsia"/>
          <w:spacing w:val="-2"/>
          <w:sz w:val="28"/>
          <w:szCs w:val="28"/>
        </w:rPr>
        <w:t xml:space="preserve">s economic growth. There remain </w:t>
      </w:r>
      <w:r w:rsidR="0015353E">
        <w:rPr>
          <w:rFonts w:ascii="Times New Roman" w:eastAsia="標楷體" w:hint="eastAsia"/>
          <w:spacing w:val="-2"/>
          <w:sz w:val="28"/>
          <w:szCs w:val="28"/>
        </w:rPr>
        <w:t>many international uncertainties next year, particularly lower world trade</w:t>
      </w:r>
      <w:r w:rsidR="00753736">
        <w:rPr>
          <w:rFonts w:ascii="Times New Roman" w:eastAsia="標楷體" w:hint="eastAsia"/>
          <w:spacing w:val="-2"/>
          <w:sz w:val="28"/>
          <w:szCs w:val="28"/>
        </w:rPr>
        <w:t xml:space="preserve"> volume</w:t>
      </w:r>
      <w:r w:rsidR="0015353E">
        <w:rPr>
          <w:rFonts w:ascii="Times New Roman" w:eastAsia="標楷體" w:hint="eastAsia"/>
          <w:spacing w:val="-2"/>
          <w:sz w:val="28"/>
          <w:szCs w:val="28"/>
        </w:rPr>
        <w:t xml:space="preserve"> than this year, which could dampen domestic </w:t>
      </w:r>
      <w:r w:rsidR="0015353E">
        <w:rPr>
          <w:rFonts w:ascii="Times New Roman" w:eastAsia="標楷體"/>
          <w:spacing w:val="-2"/>
          <w:sz w:val="28"/>
          <w:szCs w:val="28"/>
        </w:rPr>
        <w:t>economic</w:t>
      </w:r>
      <w:r w:rsidR="0015353E">
        <w:rPr>
          <w:rFonts w:ascii="Times New Roman" w:eastAsia="標楷體" w:hint="eastAsia"/>
          <w:spacing w:val="-2"/>
          <w:sz w:val="28"/>
          <w:szCs w:val="28"/>
        </w:rPr>
        <w:t xml:space="preserve"> activity. </w:t>
      </w:r>
      <w:r w:rsidR="0015353E" w:rsidRPr="00C41905">
        <w:rPr>
          <w:rFonts w:ascii="Times New Roman" w:eastAsia="標楷體" w:hint="eastAsia"/>
          <w:b/>
          <w:spacing w:val="-2"/>
          <w:sz w:val="28"/>
          <w:szCs w:val="28"/>
        </w:rPr>
        <w:t xml:space="preserve">Another </w:t>
      </w:r>
      <w:r w:rsidR="00C41905" w:rsidRPr="00C41905">
        <w:rPr>
          <w:rFonts w:ascii="Times New Roman" w:eastAsia="標楷體" w:hint="eastAsia"/>
          <w:b/>
          <w:spacing w:val="-2"/>
          <w:sz w:val="28"/>
          <w:szCs w:val="28"/>
        </w:rPr>
        <w:t xml:space="preserve">board </w:t>
      </w:r>
      <w:r w:rsidR="0015353E" w:rsidRPr="00C41905">
        <w:rPr>
          <w:rFonts w:ascii="Times New Roman" w:eastAsia="標楷體" w:hint="eastAsia"/>
          <w:b/>
          <w:spacing w:val="-2"/>
          <w:sz w:val="28"/>
          <w:szCs w:val="28"/>
        </w:rPr>
        <w:t xml:space="preserve">director </w:t>
      </w:r>
      <w:r w:rsidR="001A6889" w:rsidRPr="00C41905">
        <w:rPr>
          <w:rFonts w:ascii="Times New Roman" w:eastAsia="標楷體" w:hint="eastAsia"/>
          <w:b/>
          <w:spacing w:val="-2"/>
          <w:sz w:val="28"/>
          <w:szCs w:val="28"/>
        </w:rPr>
        <w:t>suggested</w:t>
      </w:r>
      <w:r w:rsidR="001A6889">
        <w:rPr>
          <w:rFonts w:ascii="Times New Roman" w:eastAsia="標楷體" w:hint="eastAsia"/>
          <w:spacing w:val="-2"/>
          <w:sz w:val="28"/>
          <w:szCs w:val="28"/>
        </w:rPr>
        <w:t xml:space="preserve"> close attention be paid to changes in </w:t>
      </w:r>
      <w:r w:rsidR="00034A01">
        <w:rPr>
          <w:rFonts w:ascii="Times New Roman" w:eastAsia="標楷體" w:hint="eastAsia"/>
          <w:spacing w:val="-2"/>
          <w:sz w:val="28"/>
          <w:szCs w:val="28"/>
        </w:rPr>
        <w:t xml:space="preserve">the interest rate gap between Taiwan and the US since </w:t>
      </w:r>
      <w:r w:rsidR="006F0CDB">
        <w:rPr>
          <w:rFonts w:ascii="Times New Roman" w:eastAsia="標楷體" w:hint="eastAsia"/>
          <w:spacing w:val="-2"/>
          <w:sz w:val="28"/>
          <w:szCs w:val="28"/>
        </w:rPr>
        <w:t xml:space="preserve">the Federal Reserve </w:t>
      </w:r>
      <w:r w:rsidR="001A6889">
        <w:rPr>
          <w:rFonts w:ascii="Times New Roman" w:eastAsia="標楷體" w:hint="eastAsia"/>
          <w:spacing w:val="-2"/>
          <w:sz w:val="28"/>
          <w:szCs w:val="28"/>
        </w:rPr>
        <w:t xml:space="preserve">already initiated the </w:t>
      </w:r>
      <w:r w:rsidR="001A6889">
        <w:rPr>
          <w:rFonts w:ascii="Times New Roman" w:eastAsia="標楷體"/>
          <w:spacing w:val="-2"/>
          <w:sz w:val="28"/>
          <w:szCs w:val="28"/>
        </w:rPr>
        <w:t>balance</w:t>
      </w:r>
      <w:r w:rsidR="001A6889">
        <w:rPr>
          <w:rFonts w:ascii="Times New Roman" w:eastAsia="標楷體" w:hint="eastAsia"/>
          <w:spacing w:val="-2"/>
          <w:sz w:val="28"/>
          <w:szCs w:val="28"/>
        </w:rPr>
        <w:t xml:space="preserve"> sheet normalization program and </w:t>
      </w:r>
      <w:r w:rsidR="00034A01">
        <w:rPr>
          <w:rFonts w:ascii="Times New Roman" w:eastAsia="標楷體" w:hint="eastAsia"/>
          <w:spacing w:val="-2"/>
          <w:sz w:val="28"/>
          <w:szCs w:val="28"/>
        </w:rPr>
        <w:t xml:space="preserve">is expected to hike its policy rate further </w:t>
      </w:r>
      <w:r w:rsidR="001A6889">
        <w:rPr>
          <w:rFonts w:ascii="Times New Roman" w:eastAsia="標楷體" w:hint="eastAsia"/>
          <w:spacing w:val="-2"/>
          <w:sz w:val="28"/>
          <w:szCs w:val="28"/>
        </w:rPr>
        <w:t>in 2018</w:t>
      </w:r>
      <w:r w:rsidR="00034A01">
        <w:rPr>
          <w:rFonts w:ascii="Times New Roman" w:eastAsia="標楷體" w:hint="eastAsia"/>
          <w:spacing w:val="-2"/>
          <w:sz w:val="28"/>
          <w:szCs w:val="28"/>
        </w:rPr>
        <w:t xml:space="preserve">. </w:t>
      </w:r>
    </w:p>
    <w:p w:rsidR="00F74133" w:rsidRDefault="006D0D74" w:rsidP="00820D3A">
      <w:pPr>
        <w:adjustRightInd/>
        <w:snapToGrid w:val="0"/>
        <w:spacing w:before="240" w:line="520" w:lineRule="exact"/>
        <w:ind w:firstLineChars="200" w:firstLine="560"/>
        <w:jc w:val="both"/>
        <w:textDirection w:val="lrTbV"/>
        <w:rPr>
          <w:rFonts w:eastAsia="標楷體"/>
          <w:sz w:val="28"/>
          <w:szCs w:val="28"/>
        </w:rPr>
      </w:pPr>
      <w:r w:rsidRPr="00543487">
        <w:rPr>
          <w:rFonts w:eastAsia="標楷體" w:hint="eastAsia"/>
          <w:sz w:val="28"/>
          <w:szCs w:val="28"/>
        </w:rPr>
        <w:t>With regard to domestic economic conditions,</w:t>
      </w:r>
      <w:r>
        <w:rPr>
          <w:rFonts w:eastAsia="標楷體" w:hint="eastAsia"/>
          <w:sz w:val="28"/>
          <w:szCs w:val="28"/>
        </w:rPr>
        <w:t xml:space="preserve"> several</w:t>
      </w:r>
      <w:r w:rsidR="00034A01">
        <w:rPr>
          <w:rFonts w:eastAsia="標楷體" w:hint="eastAsia"/>
          <w:sz w:val="28"/>
          <w:szCs w:val="28"/>
        </w:rPr>
        <w:t xml:space="preserve"> bo</w:t>
      </w:r>
      <w:r>
        <w:rPr>
          <w:rFonts w:eastAsia="標楷體" w:hint="eastAsia"/>
          <w:sz w:val="28"/>
          <w:szCs w:val="28"/>
        </w:rPr>
        <w:t>ard</w:t>
      </w:r>
      <w:r w:rsidR="00034A01">
        <w:rPr>
          <w:rFonts w:eastAsia="標楷體" w:hint="eastAsia"/>
          <w:sz w:val="28"/>
          <w:szCs w:val="28"/>
        </w:rPr>
        <w:t xml:space="preserve"> d</w:t>
      </w:r>
      <w:r>
        <w:rPr>
          <w:rFonts w:eastAsia="標楷體" w:hint="eastAsia"/>
          <w:sz w:val="28"/>
          <w:szCs w:val="28"/>
        </w:rPr>
        <w:t xml:space="preserve">irectors </w:t>
      </w:r>
      <w:r w:rsidR="00787C48">
        <w:rPr>
          <w:rFonts w:eastAsia="標楷體" w:hint="eastAsia"/>
          <w:sz w:val="28"/>
          <w:szCs w:val="28"/>
        </w:rPr>
        <w:t>saw Taiwan</w:t>
      </w:r>
      <w:r w:rsidR="00787C48">
        <w:rPr>
          <w:rFonts w:eastAsia="標楷體"/>
          <w:sz w:val="28"/>
          <w:szCs w:val="28"/>
        </w:rPr>
        <w:t>’</w:t>
      </w:r>
      <w:r w:rsidR="00787C48">
        <w:rPr>
          <w:rFonts w:eastAsia="標楷體" w:hint="eastAsia"/>
          <w:sz w:val="28"/>
          <w:szCs w:val="28"/>
        </w:rPr>
        <w:t xml:space="preserve">s </w:t>
      </w:r>
      <w:r w:rsidR="00787C48">
        <w:rPr>
          <w:rFonts w:eastAsia="標楷體"/>
          <w:sz w:val="28"/>
          <w:szCs w:val="28"/>
        </w:rPr>
        <w:t>economy</w:t>
      </w:r>
      <w:r w:rsidR="00464943">
        <w:rPr>
          <w:rFonts w:eastAsia="標楷體" w:hint="eastAsia"/>
          <w:sz w:val="28"/>
          <w:szCs w:val="28"/>
        </w:rPr>
        <w:t xml:space="preserve"> as growing steadily</w:t>
      </w:r>
      <w:r w:rsidR="00787C48">
        <w:rPr>
          <w:rFonts w:eastAsia="標楷體" w:hint="eastAsia"/>
          <w:sz w:val="28"/>
          <w:szCs w:val="28"/>
        </w:rPr>
        <w:t xml:space="preserve"> but noted the recovery momentum was just moderate. </w:t>
      </w:r>
      <w:r w:rsidR="00787C48" w:rsidRPr="00C41905">
        <w:rPr>
          <w:rFonts w:eastAsia="標楷體" w:hint="eastAsia"/>
          <w:b/>
          <w:sz w:val="28"/>
          <w:szCs w:val="28"/>
        </w:rPr>
        <w:t xml:space="preserve">One board director pointed out </w:t>
      </w:r>
      <w:r w:rsidR="00787C48">
        <w:rPr>
          <w:rFonts w:eastAsia="標楷體" w:hint="eastAsia"/>
          <w:sz w:val="28"/>
          <w:szCs w:val="28"/>
        </w:rPr>
        <w:t xml:space="preserve">that </w:t>
      </w:r>
      <w:r w:rsidR="00AF3B6C">
        <w:rPr>
          <w:rFonts w:eastAsia="標楷體" w:hint="eastAsia"/>
          <w:sz w:val="28"/>
          <w:szCs w:val="28"/>
        </w:rPr>
        <w:t>private consumption recorded stable growth in the past few quarters and private investment is expected to grow faster next year, bu</w:t>
      </w:r>
      <w:r w:rsidR="00AE7278">
        <w:rPr>
          <w:rFonts w:eastAsia="標楷體" w:hint="eastAsia"/>
          <w:sz w:val="28"/>
          <w:szCs w:val="28"/>
        </w:rPr>
        <w:t>t</w:t>
      </w:r>
      <w:r w:rsidR="00C35991">
        <w:rPr>
          <w:rFonts w:eastAsia="標楷體" w:hint="eastAsia"/>
          <w:sz w:val="28"/>
          <w:szCs w:val="28"/>
        </w:rPr>
        <w:t xml:space="preserve"> their shares of GDP were both at their lows in recent years. </w:t>
      </w:r>
      <w:r w:rsidR="00787C48">
        <w:rPr>
          <w:rFonts w:eastAsia="標楷體" w:hint="eastAsia"/>
          <w:sz w:val="28"/>
          <w:szCs w:val="28"/>
        </w:rPr>
        <w:t xml:space="preserve">These indicated that there is </w:t>
      </w:r>
      <w:r w:rsidR="00AF3B6C">
        <w:rPr>
          <w:rFonts w:eastAsia="標楷體" w:hint="eastAsia"/>
          <w:sz w:val="28"/>
          <w:szCs w:val="28"/>
        </w:rPr>
        <w:t>much</w:t>
      </w:r>
      <w:r w:rsidR="00787C48">
        <w:rPr>
          <w:rFonts w:eastAsia="標楷體" w:hint="eastAsia"/>
          <w:sz w:val="28"/>
          <w:szCs w:val="28"/>
        </w:rPr>
        <w:t xml:space="preserve"> room for b</w:t>
      </w:r>
      <w:r w:rsidR="002E23C8">
        <w:rPr>
          <w:rFonts w:eastAsia="標楷體" w:hint="eastAsia"/>
          <w:sz w:val="28"/>
          <w:szCs w:val="28"/>
        </w:rPr>
        <w:t>oth consumption and investment to increase</w:t>
      </w:r>
      <w:r w:rsidR="00AF3B6C">
        <w:rPr>
          <w:rFonts w:eastAsia="標楷體" w:hint="eastAsia"/>
          <w:sz w:val="28"/>
          <w:szCs w:val="28"/>
        </w:rPr>
        <w:t xml:space="preserve"> further</w:t>
      </w:r>
      <w:r w:rsidR="002E23C8">
        <w:rPr>
          <w:rFonts w:eastAsia="標楷體" w:hint="eastAsia"/>
          <w:sz w:val="28"/>
          <w:szCs w:val="28"/>
        </w:rPr>
        <w:t xml:space="preserve">. </w:t>
      </w:r>
      <w:r w:rsidR="008D1912" w:rsidRPr="00C41905">
        <w:rPr>
          <w:rFonts w:eastAsia="標楷體" w:hint="eastAsia"/>
          <w:b/>
          <w:sz w:val="28"/>
          <w:szCs w:val="28"/>
        </w:rPr>
        <w:t xml:space="preserve">Another </w:t>
      </w:r>
      <w:r w:rsidR="00DC3771" w:rsidRPr="00C41905">
        <w:rPr>
          <w:rFonts w:eastAsia="標楷體" w:hint="eastAsia"/>
          <w:b/>
          <w:sz w:val="28"/>
          <w:szCs w:val="28"/>
        </w:rPr>
        <w:t xml:space="preserve">board </w:t>
      </w:r>
      <w:r w:rsidR="008D1912" w:rsidRPr="00C41905">
        <w:rPr>
          <w:rFonts w:eastAsia="標楷體" w:hint="eastAsia"/>
          <w:b/>
          <w:sz w:val="28"/>
          <w:szCs w:val="28"/>
        </w:rPr>
        <w:t xml:space="preserve">director </w:t>
      </w:r>
      <w:r w:rsidR="00D2688D" w:rsidRPr="00C41905">
        <w:rPr>
          <w:rFonts w:eastAsia="標楷體" w:hint="eastAsia"/>
          <w:b/>
          <w:sz w:val="28"/>
          <w:szCs w:val="28"/>
        </w:rPr>
        <w:t xml:space="preserve">noted </w:t>
      </w:r>
      <w:r w:rsidR="00D2688D">
        <w:rPr>
          <w:rFonts w:eastAsia="標楷體" w:hint="eastAsia"/>
          <w:sz w:val="28"/>
          <w:szCs w:val="28"/>
        </w:rPr>
        <w:t xml:space="preserve">that </w:t>
      </w:r>
      <w:r w:rsidR="00D2688D">
        <w:rPr>
          <w:rFonts w:eastAsia="標楷體"/>
          <w:sz w:val="28"/>
          <w:szCs w:val="28"/>
        </w:rPr>
        <w:t>government</w:t>
      </w:r>
      <w:r w:rsidR="00D2688D">
        <w:rPr>
          <w:rFonts w:eastAsia="標楷體" w:hint="eastAsia"/>
          <w:sz w:val="28"/>
          <w:szCs w:val="28"/>
        </w:rPr>
        <w:t xml:space="preserve"> efforts in boosting investment</w:t>
      </w:r>
      <w:r w:rsidR="006659BF">
        <w:rPr>
          <w:rFonts w:eastAsia="標楷體" w:hint="eastAsia"/>
          <w:sz w:val="28"/>
          <w:szCs w:val="28"/>
        </w:rPr>
        <w:t xml:space="preserve"> and</w:t>
      </w:r>
      <w:r w:rsidR="00D2688D">
        <w:rPr>
          <w:rFonts w:eastAsia="標楷體" w:hint="eastAsia"/>
          <w:sz w:val="28"/>
          <w:szCs w:val="28"/>
        </w:rPr>
        <w:t xml:space="preserve"> the announced public sector wage increase</w:t>
      </w:r>
      <w:r w:rsidR="006659BF">
        <w:rPr>
          <w:rFonts w:eastAsia="標楷體" w:hint="eastAsia"/>
          <w:sz w:val="28"/>
          <w:szCs w:val="28"/>
        </w:rPr>
        <w:t xml:space="preserve"> would only generate some growth momentum</w:t>
      </w:r>
      <w:r w:rsidR="003F378E">
        <w:rPr>
          <w:rFonts w:eastAsia="標楷體" w:hint="eastAsia"/>
          <w:sz w:val="28"/>
          <w:szCs w:val="28"/>
        </w:rPr>
        <w:t xml:space="preserve"> for Taiwan</w:t>
      </w:r>
      <w:r w:rsidR="003F378E">
        <w:rPr>
          <w:rFonts w:eastAsia="標楷體"/>
          <w:sz w:val="28"/>
          <w:szCs w:val="28"/>
        </w:rPr>
        <w:t>’</w:t>
      </w:r>
      <w:r w:rsidR="003F378E">
        <w:rPr>
          <w:rFonts w:eastAsia="標楷體" w:hint="eastAsia"/>
          <w:sz w:val="28"/>
          <w:szCs w:val="28"/>
        </w:rPr>
        <w:t>s small economy</w:t>
      </w:r>
      <w:r w:rsidR="006659BF">
        <w:rPr>
          <w:rFonts w:eastAsia="標楷體" w:hint="eastAsia"/>
          <w:sz w:val="28"/>
          <w:szCs w:val="28"/>
        </w:rPr>
        <w:t xml:space="preserve">. </w:t>
      </w:r>
      <w:r w:rsidR="00DC3771" w:rsidRPr="00C41905">
        <w:rPr>
          <w:rFonts w:eastAsia="標楷體" w:hint="eastAsia"/>
          <w:b/>
          <w:sz w:val="28"/>
          <w:szCs w:val="28"/>
        </w:rPr>
        <w:t>One other board director added</w:t>
      </w:r>
      <w:r w:rsidR="00DC3771">
        <w:rPr>
          <w:rFonts w:eastAsia="標楷體" w:hint="eastAsia"/>
          <w:sz w:val="28"/>
          <w:szCs w:val="28"/>
        </w:rPr>
        <w:t xml:space="preserve"> that </w:t>
      </w:r>
      <w:r w:rsidR="00F74133">
        <w:rPr>
          <w:rFonts w:eastAsia="標楷體" w:hint="eastAsia"/>
          <w:sz w:val="28"/>
          <w:szCs w:val="28"/>
        </w:rPr>
        <w:t xml:space="preserve">Taiwan and the global economy will likely grow at a still moderate pace in the next three years, according to international forecasting institutions. </w:t>
      </w:r>
    </w:p>
    <w:p w:rsidR="00C706E5" w:rsidRDefault="00CA50A8" w:rsidP="0008017B">
      <w:pPr>
        <w:adjustRightInd/>
        <w:snapToGrid w:val="0"/>
        <w:spacing w:before="240" w:line="520" w:lineRule="exact"/>
        <w:ind w:firstLineChars="200" w:firstLine="560"/>
        <w:jc w:val="both"/>
        <w:textDirection w:val="lrTbV"/>
        <w:rPr>
          <w:rFonts w:eastAsia="標楷體"/>
          <w:sz w:val="28"/>
          <w:szCs w:val="28"/>
        </w:rPr>
      </w:pPr>
      <w:r>
        <w:rPr>
          <w:rFonts w:eastAsia="標楷體" w:hint="eastAsia"/>
          <w:sz w:val="28"/>
          <w:szCs w:val="28"/>
        </w:rPr>
        <w:t xml:space="preserve">During the discussion of domestic price trends, </w:t>
      </w:r>
      <w:r w:rsidRPr="00C41905">
        <w:rPr>
          <w:rFonts w:eastAsia="標楷體" w:hint="eastAsia"/>
          <w:b/>
          <w:sz w:val="28"/>
          <w:szCs w:val="28"/>
        </w:rPr>
        <w:t>one board director stated</w:t>
      </w:r>
      <w:r>
        <w:rPr>
          <w:rFonts w:eastAsia="標楷體" w:hint="eastAsia"/>
          <w:sz w:val="28"/>
          <w:szCs w:val="28"/>
        </w:rPr>
        <w:t xml:space="preserve"> that Taiwan</w:t>
      </w:r>
      <w:r>
        <w:rPr>
          <w:rFonts w:eastAsia="標楷體"/>
          <w:sz w:val="28"/>
          <w:szCs w:val="28"/>
        </w:rPr>
        <w:t>’</w:t>
      </w:r>
      <w:r>
        <w:rPr>
          <w:rFonts w:eastAsia="標楷體" w:hint="eastAsia"/>
          <w:sz w:val="28"/>
          <w:szCs w:val="28"/>
        </w:rPr>
        <w:t xml:space="preserve">s basic cost of living, which includes </w:t>
      </w:r>
      <w:r w:rsidRPr="00AA5E71">
        <w:rPr>
          <w:rFonts w:eastAsia="標楷體"/>
          <w:sz w:val="28"/>
          <w:szCs w:val="28"/>
        </w:rPr>
        <w:t>water, electricity, health, communication, transportation, and education</w:t>
      </w:r>
      <w:r w:rsidR="00464943">
        <w:rPr>
          <w:rFonts w:eastAsia="標楷體" w:hint="eastAsia"/>
          <w:sz w:val="28"/>
          <w:szCs w:val="28"/>
        </w:rPr>
        <w:t xml:space="preserve"> expenses and </w:t>
      </w:r>
      <w:r w:rsidR="00C706E5">
        <w:rPr>
          <w:rFonts w:eastAsia="標楷體" w:hint="eastAsia"/>
          <w:sz w:val="28"/>
          <w:szCs w:val="28"/>
        </w:rPr>
        <w:t xml:space="preserve">accounts for </w:t>
      </w:r>
      <w:r w:rsidR="00356626" w:rsidRPr="00356626">
        <w:rPr>
          <w:rFonts w:eastAsia="標楷體"/>
          <w:sz w:val="28"/>
          <w:szCs w:val="28"/>
        </w:rPr>
        <w:t xml:space="preserve">a weight of </w:t>
      </w:r>
      <w:r w:rsidR="00356626">
        <w:rPr>
          <w:rFonts w:eastAsia="標楷體" w:hint="eastAsia"/>
          <w:sz w:val="28"/>
          <w:szCs w:val="28"/>
        </w:rPr>
        <w:t>16.62%</w:t>
      </w:r>
      <w:r w:rsidR="00356626" w:rsidRPr="00356626">
        <w:rPr>
          <w:rFonts w:eastAsia="標楷體"/>
          <w:sz w:val="28"/>
          <w:szCs w:val="28"/>
        </w:rPr>
        <w:t xml:space="preserve"> </w:t>
      </w:r>
      <w:r w:rsidR="009A25D6">
        <w:rPr>
          <w:rFonts w:eastAsia="標楷體" w:hint="eastAsia"/>
          <w:sz w:val="28"/>
          <w:szCs w:val="28"/>
        </w:rPr>
        <w:t>in</w:t>
      </w:r>
      <w:r w:rsidR="00356626" w:rsidRPr="00356626">
        <w:rPr>
          <w:rFonts w:eastAsia="標楷體"/>
          <w:sz w:val="28"/>
          <w:szCs w:val="28"/>
        </w:rPr>
        <w:t xml:space="preserve"> the </w:t>
      </w:r>
      <w:r w:rsidR="00356626">
        <w:rPr>
          <w:rFonts w:eastAsia="標楷體" w:hint="eastAsia"/>
          <w:sz w:val="28"/>
          <w:szCs w:val="28"/>
        </w:rPr>
        <w:t>consumer</w:t>
      </w:r>
      <w:r w:rsidR="00356626" w:rsidRPr="00356626">
        <w:rPr>
          <w:rFonts w:eastAsia="標楷體"/>
          <w:sz w:val="28"/>
          <w:szCs w:val="28"/>
        </w:rPr>
        <w:t xml:space="preserve"> price index</w:t>
      </w:r>
      <w:r w:rsidR="00356626">
        <w:rPr>
          <w:rFonts w:eastAsia="標楷體" w:hint="eastAsia"/>
          <w:sz w:val="28"/>
          <w:szCs w:val="28"/>
        </w:rPr>
        <w:t>, has been steady this year with</w:t>
      </w:r>
      <w:r w:rsidR="00464943">
        <w:rPr>
          <w:rFonts w:eastAsia="標楷體" w:hint="eastAsia"/>
          <w:sz w:val="28"/>
          <w:szCs w:val="28"/>
        </w:rPr>
        <w:t xml:space="preserve"> zero percentage point </w:t>
      </w:r>
      <w:r w:rsidR="00356626">
        <w:rPr>
          <w:rFonts w:eastAsia="標楷體" w:hint="eastAsia"/>
          <w:sz w:val="28"/>
          <w:szCs w:val="28"/>
        </w:rPr>
        <w:t>contributi</w:t>
      </w:r>
      <w:r w:rsidR="00C706E5">
        <w:rPr>
          <w:rFonts w:eastAsia="標楷體" w:hint="eastAsia"/>
          <w:sz w:val="28"/>
          <w:szCs w:val="28"/>
        </w:rPr>
        <w:t>on</w:t>
      </w:r>
      <w:r w:rsidR="00356626">
        <w:rPr>
          <w:rFonts w:eastAsia="標楷體" w:hint="eastAsia"/>
          <w:sz w:val="28"/>
          <w:szCs w:val="28"/>
        </w:rPr>
        <w:t xml:space="preserve"> to </w:t>
      </w:r>
      <w:r w:rsidR="00464943">
        <w:rPr>
          <w:rFonts w:eastAsia="標楷體" w:hint="eastAsia"/>
          <w:sz w:val="28"/>
          <w:szCs w:val="28"/>
        </w:rPr>
        <w:t xml:space="preserve">the annual </w:t>
      </w:r>
      <w:r w:rsidR="00356626">
        <w:rPr>
          <w:rFonts w:eastAsia="標楷體" w:hint="eastAsia"/>
          <w:sz w:val="28"/>
          <w:szCs w:val="28"/>
        </w:rPr>
        <w:t>CPI growth</w:t>
      </w:r>
      <w:r w:rsidR="00464943">
        <w:rPr>
          <w:rFonts w:eastAsia="標楷體" w:hint="eastAsia"/>
          <w:sz w:val="28"/>
          <w:szCs w:val="28"/>
        </w:rPr>
        <w:t xml:space="preserve"> rate</w:t>
      </w:r>
      <w:r w:rsidR="00C706E5">
        <w:rPr>
          <w:rFonts w:eastAsia="標楷體" w:hint="eastAsia"/>
          <w:sz w:val="28"/>
          <w:szCs w:val="28"/>
        </w:rPr>
        <w:t xml:space="preserve">. This was conducive to stable inflation and has helped Taiwan sustain higher per capita GDP at purchasing power parity (PPP). </w:t>
      </w:r>
      <w:r w:rsidR="009A25D6" w:rsidRPr="00C41905">
        <w:rPr>
          <w:rFonts w:eastAsia="標楷體" w:hint="eastAsia"/>
          <w:b/>
          <w:sz w:val="28"/>
          <w:szCs w:val="28"/>
        </w:rPr>
        <w:t xml:space="preserve">Another board director </w:t>
      </w:r>
      <w:r w:rsidR="00B111FC" w:rsidRPr="00C41905">
        <w:rPr>
          <w:rFonts w:eastAsia="標楷體" w:hint="eastAsia"/>
          <w:b/>
          <w:sz w:val="28"/>
          <w:szCs w:val="28"/>
        </w:rPr>
        <w:t>observed</w:t>
      </w:r>
      <w:r w:rsidR="009A25D6">
        <w:rPr>
          <w:rFonts w:eastAsia="標楷體" w:hint="eastAsia"/>
          <w:sz w:val="28"/>
          <w:szCs w:val="28"/>
        </w:rPr>
        <w:t xml:space="preserve"> that while previous hikes in electricity rates had pushed up prices, decreases in </w:t>
      </w:r>
      <w:r w:rsidR="009A25D6">
        <w:rPr>
          <w:rFonts w:eastAsia="標楷體"/>
          <w:sz w:val="28"/>
          <w:szCs w:val="28"/>
        </w:rPr>
        <w:lastRenderedPageBreak/>
        <w:t>electricity</w:t>
      </w:r>
      <w:r w:rsidR="009A25D6">
        <w:rPr>
          <w:rFonts w:eastAsia="標楷體" w:hint="eastAsia"/>
          <w:sz w:val="28"/>
          <w:szCs w:val="28"/>
        </w:rPr>
        <w:t xml:space="preserve"> rates have not br</w:t>
      </w:r>
      <w:r w:rsidR="008F1775">
        <w:rPr>
          <w:rFonts w:eastAsia="標楷體" w:hint="eastAsia"/>
          <w:sz w:val="28"/>
          <w:szCs w:val="28"/>
        </w:rPr>
        <w:t>ought</w:t>
      </w:r>
      <w:r w:rsidR="009A25D6">
        <w:rPr>
          <w:rFonts w:eastAsia="標楷體" w:hint="eastAsia"/>
          <w:sz w:val="28"/>
          <w:szCs w:val="28"/>
        </w:rPr>
        <w:t xml:space="preserve"> about price declines. </w:t>
      </w:r>
    </w:p>
    <w:p w:rsidR="00BA086C" w:rsidRDefault="00400355" w:rsidP="00C41905">
      <w:pPr>
        <w:adjustRightInd/>
        <w:snapToGrid w:val="0"/>
        <w:spacing w:before="240" w:line="520" w:lineRule="exact"/>
        <w:ind w:firstLineChars="200" w:firstLine="561"/>
        <w:jc w:val="both"/>
        <w:textDirection w:val="lrTbV"/>
        <w:rPr>
          <w:rFonts w:eastAsia="標楷體"/>
          <w:sz w:val="28"/>
          <w:szCs w:val="28"/>
        </w:rPr>
      </w:pPr>
      <w:r w:rsidRPr="00C41905">
        <w:rPr>
          <w:rFonts w:eastAsia="標楷體"/>
          <w:b/>
          <w:sz w:val="28"/>
          <w:szCs w:val="28"/>
        </w:rPr>
        <w:t>S</w:t>
      </w:r>
      <w:r w:rsidRPr="00C41905">
        <w:rPr>
          <w:rFonts w:eastAsia="標楷體" w:hint="eastAsia"/>
          <w:b/>
          <w:sz w:val="28"/>
          <w:szCs w:val="28"/>
        </w:rPr>
        <w:t xml:space="preserve">everal board directors and supervisors </w:t>
      </w:r>
      <w:r w:rsidR="00153B79" w:rsidRPr="00C41905">
        <w:rPr>
          <w:rFonts w:eastAsia="標楷體" w:hint="eastAsia"/>
          <w:b/>
          <w:sz w:val="28"/>
          <w:szCs w:val="28"/>
        </w:rPr>
        <w:t>gave opinion</w:t>
      </w:r>
      <w:r>
        <w:rPr>
          <w:rFonts w:eastAsia="標楷體" w:hint="eastAsia"/>
          <w:sz w:val="28"/>
          <w:szCs w:val="28"/>
        </w:rPr>
        <w:t xml:space="preserve"> on international </w:t>
      </w:r>
      <w:r w:rsidR="00C95507">
        <w:rPr>
          <w:rFonts w:eastAsia="標楷體" w:hint="eastAsia"/>
          <w:sz w:val="28"/>
          <w:szCs w:val="28"/>
        </w:rPr>
        <w:t>raw material</w:t>
      </w:r>
      <w:r>
        <w:rPr>
          <w:rFonts w:eastAsia="標楷體" w:hint="eastAsia"/>
          <w:sz w:val="28"/>
          <w:szCs w:val="28"/>
        </w:rPr>
        <w:t xml:space="preserve"> price</w:t>
      </w:r>
      <w:r w:rsidR="00153B79">
        <w:rPr>
          <w:rFonts w:eastAsia="標楷體" w:hint="eastAsia"/>
          <w:sz w:val="28"/>
          <w:szCs w:val="28"/>
        </w:rPr>
        <w:t xml:space="preserve"> trend</w:t>
      </w:r>
      <w:r>
        <w:rPr>
          <w:rFonts w:eastAsia="標楷體" w:hint="eastAsia"/>
          <w:sz w:val="28"/>
          <w:szCs w:val="28"/>
        </w:rPr>
        <w:t>s and the</w:t>
      </w:r>
      <w:r w:rsidR="00153B79">
        <w:rPr>
          <w:rFonts w:eastAsia="標楷體" w:hint="eastAsia"/>
          <w:sz w:val="28"/>
          <w:szCs w:val="28"/>
        </w:rPr>
        <w:t>ir</w:t>
      </w:r>
      <w:r>
        <w:rPr>
          <w:rFonts w:eastAsia="標楷體" w:hint="eastAsia"/>
          <w:sz w:val="28"/>
          <w:szCs w:val="28"/>
        </w:rPr>
        <w:t xml:space="preserve"> possible effects on domestic inflation</w:t>
      </w:r>
      <w:r w:rsidR="00C95507">
        <w:rPr>
          <w:rFonts w:eastAsia="標楷體" w:hint="eastAsia"/>
          <w:sz w:val="28"/>
          <w:szCs w:val="28"/>
        </w:rPr>
        <w:t xml:space="preserve"> prospects</w:t>
      </w:r>
      <w:r>
        <w:rPr>
          <w:rFonts w:eastAsia="標楷體" w:hint="eastAsia"/>
          <w:sz w:val="28"/>
          <w:szCs w:val="28"/>
        </w:rPr>
        <w:t xml:space="preserve">. </w:t>
      </w:r>
      <w:r w:rsidR="00C95507" w:rsidRPr="00C41905">
        <w:rPr>
          <w:rFonts w:eastAsia="標楷體" w:hint="eastAsia"/>
          <w:b/>
          <w:sz w:val="28"/>
          <w:szCs w:val="28"/>
        </w:rPr>
        <w:t>One board supervisor noted</w:t>
      </w:r>
      <w:r w:rsidR="00C95507">
        <w:rPr>
          <w:rFonts w:eastAsia="標楷體" w:hint="eastAsia"/>
          <w:sz w:val="28"/>
          <w:szCs w:val="28"/>
        </w:rPr>
        <w:t xml:space="preserve"> that </w:t>
      </w:r>
      <w:r w:rsidR="00153B79">
        <w:rPr>
          <w:rFonts w:eastAsia="標楷體" w:hint="eastAsia"/>
          <w:sz w:val="28"/>
          <w:szCs w:val="28"/>
        </w:rPr>
        <w:t>as crude oil (including shale oil) inventory swung lower recently,</w:t>
      </w:r>
      <w:r w:rsidR="00FF4099">
        <w:rPr>
          <w:rFonts w:eastAsia="標楷體" w:hint="eastAsia"/>
          <w:sz w:val="28"/>
          <w:szCs w:val="28"/>
        </w:rPr>
        <w:t xml:space="preserve"> futures investors largely </w:t>
      </w:r>
      <w:r w:rsidR="00153B79" w:rsidRPr="00153B79">
        <w:rPr>
          <w:rFonts w:eastAsia="標楷體"/>
          <w:sz w:val="28"/>
          <w:szCs w:val="28"/>
        </w:rPr>
        <w:t>trim</w:t>
      </w:r>
      <w:r w:rsidR="00FF4099">
        <w:rPr>
          <w:rFonts w:eastAsia="標楷體" w:hint="eastAsia"/>
          <w:sz w:val="28"/>
          <w:szCs w:val="28"/>
        </w:rPr>
        <w:t>med</w:t>
      </w:r>
      <w:r w:rsidR="00153B79" w:rsidRPr="00153B79">
        <w:rPr>
          <w:rFonts w:eastAsia="標楷體"/>
          <w:sz w:val="28"/>
          <w:szCs w:val="28"/>
        </w:rPr>
        <w:t xml:space="preserve"> their bets on a further </w:t>
      </w:r>
      <w:r w:rsidR="00FF4099">
        <w:rPr>
          <w:rFonts w:eastAsia="標楷體" w:hint="eastAsia"/>
          <w:sz w:val="28"/>
          <w:szCs w:val="28"/>
        </w:rPr>
        <w:t>decline</w:t>
      </w:r>
      <w:r w:rsidR="00153B79" w:rsidRPr="00153B79">
        <w:rPr>
          <w:rFonts w:eastAsia="標楷體"/>
          <w:sz w:val="28"/>
          <w:szCs w:val="28"/>
        </w:rPr>
        <w:t xml:space="preserve"> in oil prices</w:t>
      </w:r>
      <w:r w:rsidR="00FF4099">
        <w:rPr>
          <w:rFonts w:eastAsia="標楷體" w:hint="eastAsia"/>
          <w:sz w:val="28"/>
          <w:szCs w:val="28"/>
        </w:rPr>
        <w:t xml:space="preserve">. </w:t>
      </w:r>
      <w:r w:rsidR="001525CE">
        <w:rPr>
          <w:rFonts w:eastAsia="標楷體" w:hint="eastAsia"/>
          <w:sz w:val="28"/>
          <w:szCs w:val="28"/>
        </w:rPr>
        <w:t>Given</w:t>
      </w:r>
      <w:r w:rsidR="00FF4099">
        <w:rPr>
          <w:rFonts w:eastAsia="標楷體" w:hint="eastAsia"/>
          <w:sz w:val="28"/>
          <w:szCs w:val="28"/>
        </w:rPr>
        <w:t xml:space="preserve"> </w:t>
      </w:r>
      <w:r w:rsidR="008F1775" w:rsidRPr="003C4AE7">
        <w:rPr>
          <w:rFonts w:eastAsia="標楷體" w:hint="eastAsia"/>
          <w:sz w:val="28"/>
          <w:szCs w:val="28"/>
        </w:rPr>
        <w:t>large</w:t>
      </w:r>
      <w:r w:rsidR="00FF4099">
        <w:rPr>
          <w:rFonts w:eastAsia="標楷體" w:hint="eastAsia"/>
          <w:sz w:val="28"/>
          <w:szCs w:val="28"/>
        </w:rPr>
        <w:t xml:space="preserve"> speculative positions in oil futures, </w:t>
      </w:r>
      <w:r w:rsidR="00092E6C">
        <w:rPr>
          <w:rFonts w:eastAsia="標楷體" w:hint="eastAsia"/>
          <w:sz w:val="28"/>
          <w:szCs w:val="28"/>
        </w:rPr>
        <w:t xml:space="preserve">improving global economic fundamentals, and heightened geopolitical risks in the Middle East, </w:t>
      </w:r>
      <w:r w:rsidR="008F1775">
        <w:rPr>
          <w:rFonts w:eastAsia="標楷體" w:hint="eastAsia"/>
          <w:sz w:val="28"/>
          <w:szCs w:val="28"/>
        </w:rPr>
        <w:t>the current forecast based on international institutions</w:t>
      </w:r>
      <w:r w:rsidR="008F1775">
        <w:rPr>
          <w:rFonts w:eastAsia="標楷體"/>
          <w:sz w:val="28"/>
          <w:szCs w:val="28"/>
        </w:rPr>
        <w:t>’</w:t>
      </w:r>
      <w:r w:rsidR="008F1775">
        <w:rPr>
          <w:rFonts w:eastAsia="標楷體" w:hint="eastAsia"/>
          <w:sz w:val="28"/>
          <w:szCs w:val="28"/>
        </w:rPr>
        <w:t xml:space="preserve"> projections of next year</w:t>
      </w:r>
      <w:r w:rsidR="008F1775">
        <w:rPr>
          <w:rFonts w:eastAsia="標楷體"/>
          <w:sz w:val="28"/>
          <w:szCs w:val="28"/>
        </w:rPr>
        <w:t>’</w:t>
      </w:r>
      <w:r w:rsidR="008F1775">
        <w:rPr>
          <w:rFonts w:eastAsia="標楷體" w:hint="eastAsia"/>
          <w:sz w:val="28"/>
          <w:szCs w:val="28"/>
        </w:rPr>
        <w:t>s oil prices seem</w:t>
      </w:r>
      <w:r w:rsidR="00B70804">
        <w:rPr>
          <w:rFonts w:eastAsia="標楷體" w:hint="eastAsia"/>
          <w:sz w:val="28"/>
          <w:szCs w:val="28"/>
        </w:rPr>
        <w:t>ed</w:t>
      </w:r>
      <w:r w:rsidR="008F1775">
        <w:rPr>
          <w:rFonts w:eastAsia="標楷體" w:hint="eastAsia"/>
          <w:sz w:val="28"/>
          <w:szCs w:val="28"/>
        </w:rPr>
        <w:t xml:space="preserve"> </w:t>
      </w:r>
      <w:r w:rsidR="00B70804">
        <w:rPr>
          <w:rFonts w:eastAsia="標楷體" w:hint="eastAsia"/>
          <w:sz w:val="28"/>
          <w:szCs w:val="28"/>
        </w:rPr>
        <w:t>rather</w:t>
      </w:r>
      <w:r w:rsidR="008F1775">
        <w:rPr>
          <w:rFonts w:eastAsia="標楷體" w:hint="eastAsia"/>
          <w:sz w:val="28"/>
          <w:szCs w:val="28"/>
        </w:rPr>
        <w:t xml:space="preserve"> conservative. </w:t>
      </w:r>
      <w:r w:rsidR="00B70804">
        <w:rPr>
          <w:rFonts w:eastAsia="標楷體" w:hint="eastAsia"/>
          <w:sz w:val="28"/>
          <w:szCs w:val="28"/>
        </w:rPr>
        <w:t>In addition</w:t>
      </w:r>
      <w:r w:rsidR="0031344A">
        <w:rPr>
          <w:rFonts w:eastAsia="標楷體" w:hint="eastAsia"/>
          <w:sz w:val="28"/>
          <w:szCs w:val="28"/>
        </w:rPr>
        <w:t>, base metal prices and prices of other energy commodities such as coal and</w:t>
      </w:r>
      <w:r w:rsidR="00BC1219" w:rsidRPr="00BC1219">
        <w:rPr>
          <w:rFonts w:eastAsia="標楷體"/>
          <w:sz w:val="28"/>
          <w:szCs w:val="28"/>
        </w:rPr>
        <w:t xml:space="preserve"> liquefied</w:t>
      </w:r>
      <w:r w:rsidR="0031344A">
        <w:rPr>
          <w:rFonts w:eastAsia="標楷體" w:hint="eastAsia"/>
          <w:sz w:val="28"/>
          <w:szCs w:val="28"/>
        </w:rPr>
        <w:t xml:space="preserve"> natural gas </w:t>
      </w:r>
      <w:r w:rsidR="00350D44">
        <w:rPr>
          <w:rFonts w:eastAsia="標楷體" w:hint="eastAsia"/>
          <w:sz w:val="28"/>
          <w:szCs w:val="28"/>
        </w:rPr>
        <w:t>all climbed significantly, which could drive up domestic prices.</w:t>
      </w:r>
      <w:r w:rsidR="00074362">
        <w:rPr>
          <w:rFonts w:eastAsia="標楷體" w:hint="eastAsia"/>
          <w:sz w:val="28"/>
          <w:szCs w:val="28"/>
        </w:rPr>
        <w:t xml:space="preserve"> Nevertheless, </w:t>
      </w:r>
      <w:r w:rsidR="004619F4">
        <w:rPr>
          <w:rFonts w:eastAsia="標楷體" w:hint="eastAsia"/>
          <w:sz w:val="28"/>
          <w:szCs w:val="28"/>
        </w:rPr>
        <w:t xml:space="preserve">there are other factors at play when it comes to domestic price movements; for instance, </w:t>
      </w:r>
      <w:r w:rsidR="00B70804">
        <w:rPr>
          <w:rFonts w:eastAsia="標楷體" w:hint="eastAsia"/>
          <w:sz w:val="28"/>
          <w:szCs w:val="28"/>
        </w:rPr>
        <w:t xml:space="preserve">recent </w:t>
      </w:r>
      <w:r w:rsidR="00630732">
        <w:rPr>
          <w:rFonts w:eastAsia="標楷體" w:hint="eastAsia"/>
          <w:sz w:val="28"/>
          <w:szCs w:val="28"/>
        </w:rPr>
        <w:t xml:space="preserve">grain price falls </w:t>
      </w:r>
      <w:r w:rsidR="00BA086C">
        <w:rPr>
          <w:rFonts w:eastAsia="標楷體" w:hint="eastAsia"/>
          <w:sz w:val="28"/>
          <w:szCs w:val="28"/>
        </w:rPr>
        <w:t>exerted a price-stabilizing effect.</w:t>
      </w:r>
      <w:r w:rsidR="00BA086C" w:rsidRPr="00BA086C">
        <w:rPr>
          <w:rFonts w:eastAsia="標楷體" w:hint="eastAsia"/>
          <w:sz w:val="28"/>
          <w:szCs w:val="28"/>
        </w:rPr>
        <w:t xml:space="preserve"> </w:t>
      </w:r>
      <w:r w:rsidR="00BA086C">
        <w:rPr>
          <w:rFonts w:eastAsia="標楷體" w:hint="eastAsia"/>
          <w:sz w:val="28"/>
          <w:szCs w:val="28"/>
        </w:rPr>
        <w:t xml:space="preserve">Overall, the annual CPI growth rate will still face upside pressures from import price </w:t>
      </w:r>
      <w:r w:rsidR="0058244F">
        <w:rPr>
          <w:rFonts w:eastAsia="標楷體" w:hint="eastAsia"/>
          <w:sz w:val="28"/>
          <w:szCs w:val="28"/>
        </w:rPr>
        <w:t>uptrend</w:t>
      </w:r>
      <w:r w:rsidR="00BA086C">
        <w:rPr>
          <w:rFonts w:eastAsia="標楷體" w:hint="eastAsia"/>
          <w:sz w:val="28"/>
          <w:szCs w:val="28"/>
        </w:rPr>
        <w:t xml:space="preserve">s. </w:t>
      </w:r>
      <w:r w:rsidR="00BA086C" w:rsidRPr="00C41905">
        <w:rPr>
          <w:rFonts w:eastAsia="標楷體" w:hint="eastAsia"/>
          <w:b/>
          <w:sz w:val="28"/>
          <w:szCs w:val="28"/>
        </w:rPr>
        <w:t>One board director also pointed out</w:t>
      </w:r>
      <w:r w:rsidR="00BA086C">
        <w:rPr>
          <w:rFonts w:eastAsia="標楷體" w:hint="eastAsia"/>
          <w:sz w:val="28"/>
          <w:szCs w:val="28"/>
        </w:rPr>
        <w:t xml:space="preserve"> </w:t>
      </w:r>
      <w:r w:rsidR="00BC1219">
        <w:rPr>
          <w:rFonts w:eastAsia="標楷體" w:hint="eastAsia"/>
          <w:sz w:val="28"/>
          <w:szCs w:val="28"/>
        </w:rPr>
        <w:t>that</w:t>
      </w:r>
      <w:r w:rsidR="00BA086C">
        <w:rPr>
          <w:rFonts w:eastAsia="標楷體" w:hint="eastAsia"/>
          <w:sz w:val="28"/>
          <w:szCs w:val="28"/>
        </w:rPr>
        <w:t xml:space="preserve"> crude oil futures prices could affect spot oil prices.</w:t>
      </w:r>
    </w:p>
    <w:p w:rsidR="00E26653" w:rsidRDefault="00CD5D56" w:rsidP="00C41905">
      <w:pPr>
        <w:adjustRightInd/>
        <w:snapToGrid w:val="0"/>
        <w:spacing w:before="240" w:line="520" w:lineRule="exact"/>
        <w:ind w:firstLineChars="200" w:firstLine="561"/>
        <w:jc w:val="both"/>
        <w:textDirection w:val="lrTbV"/>
        <w:rPr>
          <w:rFonts w:eastAsia="標楷體"/>
          <w:sz w:val="28"/>
          <w:szCs w:val="28"/>
        </w:rPr>
      </w:pPr>
      <w:r w:rsidRPr="00C41905">
        <w:rPr>
          <w:rFonts w:eastAsia="標楷體" w:hint="eastAsia"/>
          <w:b/>
          <w:sz w:val="28"/>
          <w:szCs w:val="28"/>
        </w:rPr>
        <w:t xml:space="preserve">Another board director </w:t>
      </w:r>
      <w:r w:rsidR="00DD5260" w:rsidRPr="00C41905">
        <w:rPr>
          <w:rFonts w:eastAsia="標楷體" w:hint="eastAsia"/>
          <w:b/>
          <w:sz w:val="28"/>
          <w:szCs w:val="28"/>
        </w:rPr>
        <w:t>noted</w:t>
      </w:r>
      <w:r>
        <w:rPr>
          <w:rFonts w:eastAsia="標楷體" w:hint="eastAsia"/>
          <w:sz w:val="28"/>
          <w:szCs w:val="28"/>
        </w:rPr>
        <w:t xml:space="preserve"> </w:t>
      </w:r>
      <w:r w:rsidR="00DD5260">
        <w:rPr>
          <w:rFonts w:eastAsia="標楷體" w:hint="eastAsia"/>
          <w:sz w:val="28"/>
          <w:szCs w:val="28"/>
        </w:rPr>
        <w:t xml:space="preserve">the </w:t>
      </w:r>
      <w:r>
        <w:rPr>
          <w:rFonts w:eastAsia="標楷體" w:hint="eastAsia"/>
          <w:sz w:val="28"/>
          <w:szCs w:val="28"/>
        </w:rPr>
        <w:t>importan</w:t>
      </w:r>
      <w:r w:rsidR="00DD5260">
        <w:rPr>
          <w:rFonts w:eastAsia="標楷體" w:hint="eastAsia"/>
          <w:sz w:val="28"/>
          <w:szCs w:val="28"/>
        </w:rPr>
        <w:t xml:space="preserve">ce of </w:t>
      </w:r>
      <w:r>
        <w:rPr>
          <w:rFonts w:eastAsia="標楷體" w:hint="eastAsia"/>
          <w:sz w:val="28"/>
          <w:szCs w:val="28"/>
        </w:rPr>
        <w:t>monitor</w:t>
      </w:r>
      <w:r w:rsidR="00DD5260">
        <w:rPr>
          <w:rFonts w:eastAsia="標楷體" w:hint="eastAsia"/>
          <w:sz w:val="28"/>
          <w:szCs w:val="28"/>
        </w:rPr>
        <w:t>ing</w:t>
      </w:r>
      <w:r>
        <w:rPr>
          <w:rFonts w:eastAsia="標楷體" w:hint="eastAsia"/>
          <w:sz w:val="28"/>
          <w:szCs w:val="28"/>
        </w:rPr>
        <w:t xml:space="preserve"> the </w:t>
      </w:r>
      <w:r w:rsidR="00DC1679">
        <w:rPr>
          <w:rFonts w:eastAsia="標楷體" w:hint="eastAsia"/>
          <w:sz w:val="28"/>
          <w:szCs w:val="28"/>
        </w:rPr>
        <w:t>development</w:t>
      </w:r>
      <w:r>
        <w:rPr>
          <w:rFonts w:eastAsia="標楷體" w:hint="eastAsia"/>
          <w:sz w:val="28"/>
          <w:szCs w:val="28"/>
        </w:rPr>
        <w:t xml:space="preserve"> of </w:t>
      </w:r>
      <w:r>
        <w:rPr>
          <w:rFonts w:eastAsia="標楷體"/>
          <w:sz w:val="28"/>
          <w:szCs w:val="28"/>
        </w:rPr>
        <w:t>shale oil</w:t>
      </w:r>
      <w:r>
        <w:rPr>
          <w:rFonts w:eastAsia="標楷體" w:hint="eastAsia"/>
          <w:sz w:val="28"/>
          <w:szCs w:val="28"/>
        </w:rPr>
        <w:t xml:space="preserve"> </w:t>
      </w:r>
      <w:r w:rsidR="00DC1679">
        <w:rPr>
          <w:rFonts w:eastAsia="標楷體" w:hint="eastAsia"/>
          <w:sz w:val="28"/>
          <w:szCs w:val="28"/>
        </w:rPr>
        <w:t xml:space="preserve">and the effect </w:t>
      </w:r>
      <w:r w:rsidR="00DD5260">
        <w:rPr>
          <w:rFonts w:eastAsia="標楷體" w:hint="eastAsia"/>
          <w:sz w:val="28"/>
          <w:szCs w:val="28"/>
        </w:rPr>
        <w:t>on oil prices</w:t>
      </w:r>
      <w:r w:rsidR="00DC1679">
        <w:rPr>
          <w:rFonts w:eastAsia="標楷體" w:hint="eastAsia"/>
          <w:sz w:val="28"/>
          <w:szCs w:val="28"/>
        </w:rPr>
        <w:t>; if</w:t>
      </w:r>
      <w:r w:rsidR="00DD5260">
        <w:rPr>
          <w:rFonts w:eastAsia="標楷體" w:hint="eastAsia"/>
          <w:sz w:val="28"/>
          <w:szCs w:val="28"/>
        </w:rPr>
        <w:t xml:space="preserve"> </w:t>
      </w:r>
      <w:r w:rsidR="00DC1679">
        <w:rPr>
          <w:rFonts w:eastAsia="標楷體" w:hint="eastAsia"/>
          <w:sz w:val="28"/>
          <w:szCs w:val="28"/>
        </w:rPr>
        <w:t>the prospects of shale oil remain bright,</w:t>
      </w:r>
      <w:r w:rsidR="00DD5260">
        <w:rPr>
          <w:rFonts w:eastAsia="標楷體" w:hint="eastAsia"/>
          <w:sz w:val="28"/>
          <w:szCs w:val="28"/>
        </w:rPr>
        <w:t xml:space="preserve"> </w:t>
      </w:r>
      <w:r w:rsidR="005B41E7">
        <w:rPr>
          <w:rFonts w:eastAsia="標楷體" w:hint="eastAsia"/>
          <w:sz w:val="28"/>
          <w:szCs w:val="28"/>
        </w:rPr>
        <w:t>increased shale output will likely</w:t>
      </w:r>
      <w:r w:rsidR="00DC1679">
        <w:rPr>
          <w:rFonts w:eastAsia="標楷體" w:hint="eastAsia"/>
          <w:sz w:val="28"/>
          <w:szCs w:val="28"/>
        </w:rPr>
        <w:t xml:space="preserve"> contain sharp crude prices rises. </w:t>
      </w:r>
      <w:r w:rsidR="00DC1679" w:rsidRPr="00C41905">
        <w:rPr>
          <w:rFonts w:eastAsia="標楷體" w:hint="eastAsia"/>
          <w:b/>
          <w:sz w:val="28"/>
          <w:szCs w:val="28"/>
        </w:rPr>
        <w:t xml:space="preserve">One </w:t>
      </w:r>
      <w:r w:rsidR="008C5163" w:rsidRPr="00C41905">
        <w:rPr>
          <w:rFonts w:eastAsia="標楷體" w:hint="eastAsia"/>
          <w:b/>
          <w:sz w:val="28"/>
          <w:szCs w:val="28"/>
        </w:rPr>
        <w:t xml:space="preserve">board supervisor </w:t>
      </w:r>
      <w:r w:rsidR="00295D7F" w:rsidRPr="00C41905">
        <w:rPr>
          <w:rFonts w:eastAsia="標楷體" w:hint="eastAsia"/>
          <w:b/>
          <w:sz w:val="28"/>
          <w:szCs w:val="28"/>
        </w:rPr>
        <w:t>saw</w:t>
      </w:r>
      <w:r w:rsidR="00295D7F" w:rsidRPr="00295D7F">
        <w:rPr>
          <w:rFonts w:eastAsia="標楷體" w:hint="eastAsia"/>
          <w:sz w:val="28"/>
          <w:szCs w:val="28"/>
        </w:rPr>
        <w:t xml:space="preserve"> future raw material price gains as having a lag effec</w:t>
      </w:r>
      <w:r w:rsidR="00BA086C">
        <w:rPr>
          <w:rFonts w:eastAsia="標楷體" w:hint="eastAsia"/>
          <w:sz w:val="28"/>
          <w:szCs w:val="28"/>
        </w:rPr>
        <w:t xml:space="preserve">t on domestic prices, which are expected to increase in the second half of next year, </w:t>
      </w:r>
      <w:r w:rsidR="00A83C57">
        <w:rPr>
          <w:rFonts w:eastAsia="標楷體" w:hint="eastAsia"/>
          <w:sz w:val="28"/>
          <w:szCs w:val="28"/>
        </w:rPr>
        <w:t>while</w:t>
      </w:r>
      <w:r w:rsidR="00295D7F" w:rsidRPr="00295D7F">
        <w:rPr>
          <w:rFonts w:eastAsia="標楷體" w:hint="eastAsia"/>
          <w:sz w:val="28"/>
          <w:szCs w:val="28"/>
        </w:rPr>
        <w:t xml:space="preserve"> </w:t>
      </w:r>
      <w:r w:rsidR="00A83C57">
        <w:rPr>
          <w:rFonts w:eastAsia="標楷體" w:hint="eastAsia"/>
          <w:sz w:val="28"/>
          <w:szCs w:val="28"/>
        </w:rPr>
        <w:t xml:space="preserve">the effect will likely be felt by </w:t>
      </w:r>
      <w:r w:rsidR="00295D7F" w:rsidRPr="00295D7F">
        <w:rPr>
          <w:rFonts w:eastAsia="標楷體" w:hint="eastAsia"/>
          <w:sz w:val="28"/>
          <w:szCs w:val="28"/>
        </w:rPr>
        <w:t xml:space="preserve">the advanced economies first. </w:t>
      </w:r>
      <w:r w:rsidR="00E26653" w:rsidRPr="00C41905">
        <w:rPr>
          <w:rFonts w:eastAsia="標楷體" w:hint="eastAsia"/>
          <w:b/>
          <w:sz w:val="28"/>
          <w:szCs w:val="28"/>
        </w:rPr>
        <w:t>One board director pointed out</w:t>
      </w:r>
      <w:r w:rsidR="00E26653">
        <w:rPr>
          <w:rFonts w:eastAsia="標楷體" w:hint="eastAsia"/>
          <w:sz w:val="28"/>
          <w:szCs w:val="28"/>
        </w:rPr>
        <w:t xml:space="preserve"> that while weather-induced disruptions to domestic CPI were largely absent this year, </w:t>
      </w:r>
      <w:r w:rsidR="00A9390B">
        <w:rPr>
          <w:rFonts w:eastAsia="標楷體" w:hint="eastAsia"/>
          <w:sz w:val="28"/>
          <w:szCs w:val="28"/>
        </w:rPr>
        <w:t xml:space="preserve">future price </w:t>
      </w:r>
      <w:r w:rsidR="0058244F">
        <w:rPr>
          <w:rFonts w:eastAsia="標楷體" w:hint="eastAsia"/>
          <w:sz w:val="28"/>
          <w:szCs w:val="28"/>
        </w:rPr>
        <w:t>movements</w:t>
      </w:r>
      <w:r w:rsidR="00A9390B">
        <w:rPr>
          <w:rFonts w:eastAsia="標楷體" w:hint="eastAsia"/>
          <w:sz w:val="28"/>
          <w:szCs w:val="28"/>
        </w:rPr>
        <w:t xml:space="preserve"> will still face uncertainties associated with weather conditi</w:t>
      </w:r>
      <w:r w:rsidR="00B765B7">
        <w:rPr>
          <w:rFonts w:eastAsia="標楷體" w:hint="eastAsia"/>
          <w:sz w:val="28"/>
          <w:szCs w:val="28"/>
        </w:rPr>
        <w:t>ons</w:t>
      </w:r>
      <w:r w:rsidR="00A9390B">
        <w:rPr>
          <w:rFonts w:eastAsia="標楷體" w:hint="eastAsia"/>
          <w:sz w:val="28"/>
          <w:szCs w:val="28"/>
        </w:rPr>
        <w:t>.</w:t>
      </w:r>
    </w:p>
    <w:p w:rsidR="005F60A7" w:rsidRDefault="00A6032A" w:rsidP="0058244F">
      <w:pPr>
        <w:adjustRightInd/>
        <w:snapToGrid w:val="0"/>
        <w:spacing w:before="240" w:line="520" w:lineRule="exact"/>
        <w:ind w:firstLineChars="200" w:firstLine="560"/>
        <w:jc w:val="both"/>
        <w:textDirection w:val="lrTbV"/>
        <w:rPr>
          <w:rFonts w:eastAsia="標楷體"/>
          <w:sz w:val="28"/>
          <w:szCs w:val="32"/>
        </w:rPr>
      </w:pPr>
      <w:r>
        <w:rPr>
          <w:rFonts w:eastAsia="標楷體" w:hint="eastAsia"/>
          <w:sz w:val="28"/>
          <w:szCs w:val="32"/>
        </w:rPr>
        <w:lastRenderedPageBreak/>
        <w:t xml:space="preserve">In their </w:t>
      </w:r>
      <w:r w:rsidR="00B111FC">
        <w:rPr>
          <w:rFonts w:eastAsia="標楷體" w:hint="eastAsia"/>
          <w:sz w:val="28"/>
          <w:szCs w:val="32"/>
        </w:rPr>
        <w:t>discussions</w:t>
      </w:r>
      <w:r>
        <w:rPr>
          <w:rFonts w:eastAsia="標楷體" w:hint="eastAsia"/>
          <w:sz w:val="28"/>
          <w:szCs w:val="32"/>
        </w:rPr>
        <w:t xml:space="preserve"> </w:t>
      </w:r>
      <w:r w:rsidR="00B111FC">
        <w:rPr>
          <w:rFonts w:eastAsia="標楷體" w:hint="eastAsia"/>
          <w:sz w:val="28"/>
          <w:szCs w:val="32"/>
        </w:rPr>
        <w:t>regarding</w:t>
      </w:r>
      <w:r>
        <w:rPr>
          <w:rFonts w:eastAsia="標楷體" w:hint="eastAsia"/>
          <w:sz w:val="28"/>
          <w:szCs w:val="32"/>
        </w:rPr>
        <w:t xml:space="preserve"> interest rate decision</w:t>
      </w:r>
      <w:r w:rsidRPr="00C41905">
        <w:rPr>
          <w:rFonts w:eastAsia="標楷體" w:hint="eastAsia"/>
          <w:sz w:val="28"/>
          <w:szCs w:val="32"/>
        </w:rPr>
        <w:t>,</w:t>
      </w:r>
      <w:r w:rsidRPr="00C41905">
        <w:rPr>
          <w:rFonts w:eastAsia="標楷體" w:hint="eastAsia"/>
          <w:b/>
          <w:sz w:val="28"/>
          <w:szCs w:val="32"/>
        </w:rPr>
        <w:t xml:space="preserve"> </w:t>
      </w:r>
      <w:r w:rsidR="00C41905" w:rsidRPr="00C41905">
        <w:rPr>
          <w:rFonts w:eastAsia="標楷體" w:hint="eastAsia"/>
          <w:b/>
          <w:sz w:val="28"/>
          <w:szCs w:val="32"/>
        </w:rPr>
        <w:t xml:space="preserve">many </w:t>
      </w:r>
      <w:r w:rsidRPr="00C41905">
        <w:rPr>
          <w:rFonts w:eastAsia="標楷體" w:hint="eastAsia"/>
          <w:b/>
          <w:sz w:val="28"/>
          <w:szCs w:val="32"/>
        </w:rPr>
        <w:t xml:space="preserve">board directors </w:t>
      </w:r>
      <w:r w:rsidR="00B111FC">
        <w:rPr>
          <w:rFonts w:eastAsia="標楷體" w:hint="eastAsia"/>
          <w:sz w:val="28"/>
          <w:szCs w:val="32"/>
        </w:rPr>
        <w:t xml:space="preserve">expressed the view that monetary policy deliberation shall incorporate </w:t>
      </w:r>
      <w:r w:rsidR="006617B7">
        <w:rPr>
          <w:rFonts w:eastAsia="標楷體" w:hint="eastAsia"/>
          <w:sz w:val="28"/>
          <w:szCs w:val="32"/>
        </w:rPr>
        <w:t>key factors such as domestic inflationary pressures, economic growth, and real interest rates. A</w:t>
      </w:r>
      <w:r w:rsidR="006617B7" w:rsidRPr="006617B7">
        <w:rPr>
          <w:rFonts w:eastAsia="標楷體"/>
          <w:sz w:val="28"/>
          <w:szCs w:val="32"/>
        </w:rPr>
        <w:t xml:space="preserve">gainst a backdrop of </w:t>
      </w:r>
      <w:r w:rsidR="006617B7">
        <w:rPr>
          <w:rFonts w:eastAsia="標楷體" w:hint="eastAsia"/>
          <w:sz w:val="28"/>
          <w:szCs w:val="32"/>
        </w:rPr>
        <w:t xml:space="preserve">multiple uncertainties over the international economy, moderate growth momentum for the domestic </w:t>
      </w:r>
      <w:r w:rsidR="006617B7">
        <w:rPr>
          <w:rFonts w:eastAsia="標楷體"/>
          <w:sz w:val="28"/>
          <w:szCs w:val="32"/>
        </w:rPr>
        <w:t>economy</w:t>
      </w:r>
      <w:r w:rsidR="006617B7">
        <w:rPr>
          <w:rFonts w:eastAsia="標楷體" w:hint="eastAsia"/>
          <w:sz w:val="28"/>
          <w:szCs w:val="32"/>
        </w:rPr>
        <w:t xml:space="preserve">, </w:t>
      </w:r>
      <w:r w:rsidR="006617B7" w:rsidRPr="006617B7">
        <w:rPr>
          <w:rFonts w:eastAsia="標楷體"/>
          <w:sz w:val="28"/>
          <w:szCs w:val="32"/>
        </w:rPr>
        <w:t xml:space="preserve">a </w:t>
      </w:r>
      <w:r w:rsidR="006617B7">
        <w:rPr>
          <w:rFonts w:eastAsia="標楷體" w:hint="eastAsia"/>
          <w:sz w:val="28"/>
          <w:szCs w:val="32"/>
        </w:rPr>
        <w:t xml:space="preserve">still </w:t>
      </w:r>
      <w:r w:rsidR="006617B7" w:rsidRPr="006617B7">
        <w:rPr>
          <w:rFonts w:eastAsia="標楷體"/>
          <w:sz w:val="28"/>
          <w:szCs w:val="32"/>
        </w:rPr>
        <w:t xml:space="preserve">negative output gap, and a higher real interest rate compared to many major economies, </w:t>
      </w:r>
      <w:r w:rsidR="006617B7">
        <w:rPr>
          <w:rFonts w:eastAsia="標楷體" w:hint="eastAsia"/>
          <w:sz w:val="28"/>
          <w:szCs w:val="32"/>
        </w:rPr>
        <w:t xml:space="preserve">it would be the appropriate decision to </w:t>
      </w:r>
      <w:r w:rsidR="006617B7" w:rsidRPr="006617B7">
        <w:rPr>
          <w:rFonts w:eastAsia="標楷體"/>
          <w:sz w:val="28"/>
          <w:szCs w:val="32"/>
        </w:rPr>
        <w:t>keep the policy rates unchanged.</w:t>
      </w:r>
      <w:r w:rsidR="006617B7">
        <w:rPr>
          <w:rFonts w:eastAsia="標楷體" w:hint="eastAsia"/>
          <w:sz w:val="28"/>
          <w:szCs w:val="32"/>
        </w:rPr>
        <w:t xml:space="preserve"> In particular, </w:t>
      </w:r>
      <w:r w:rsidR="006617B7" w:rsidRPr="00C41905">
        <w:rPr>
          <w:rFonts w:eastAsia="標楷體" w:hint="eastAsia"/>
          <w:b/>
          <w:sz w:val="28"/>
          <w:szCs w:val="32"/>
        </w:rPr>
        <w:t xml:space="preserve">one </w:t>
      </w:r>
      <w:r w:rsidR="005F60A7" w:rsidRPr="00C41905">
        <w:rPr>
          <w:rFonts w:eastAsia="標楷體" w:hint="eastAsia"/>
          <w:b/>
          <w:sz w:val="28"/>
          <w:szCs w:val="32"/>
        </w:rPr>
        <w:t>board director</w:t>
      </w:r>
      <w:r w:rsidR="005F60A7">
        <w:rPr>
          <w:rFonts w:eastAsia="標楷體" w:hint="eastAsia"/>
          <w:sz w:val="28"/>
          <w:szCs w:val="32"/>
        </w:rPr>
        <w:t xml:space="preserve"> </w:t>
      </w:r>
      <w:r w:rsidR="00397E84">
        <w:rPr>
          <w:rFonts w:eastAsia="標楷體" w:hint="eastAsia"/>
          <w:sz w:val="28"/>
          <w:szCs w:val="32"/>
        </w:rPr>
        <w:t>judged</w:t>
      </w:r>
      <w:r w:rsidR="005F60A7">
        <w:rPr>
          <w:rFonts w:eastAsia="標楷體" w:hint="eastAsia"/>
          <w:sz w:val="28"/>
          <w:szCs w:val="32"/>
        </w:rPr>
        <w:t xml:space="preserve"> that T</w:t>
      </w:r>
      <w:r w:rsidR="005F60A7">
        <w:rPr>
          <w:rFonts w:eastAsia="標楷體"/>
          <w:sz w:val="28"/>
          <w:szCs w:val="32"/>
        </w:rPr>
        <w:t>a</w:t>
      </w:r>
      <w:r w:rsidR="005F60A7">
        <w:rPr>
          <w:rFonts w:eastAsia="標楷體" w:hint="eastAsia"/>
          <w:sz w:val="28"/>
          <w:szCs w:val="32"/>
        </w:rPr>
        <w:t>iwan</w:t>
      </w:r>
      <w:r w:rsidR="005F60A7">
        <w:rPr>
          <w:rFonts w:eastAsia="標楷體"/>
          <w:sz w:val="28"/>
          <w:szCs w:val="32"/>
        </w:rPr>
        <w:t>’</w:t>
      </w:r>
      <w:r w:rsidR="005F60A7">
        <w:rPr>
          <w:rFonts w:eastAsia="標楷體" w:hint="eastAsia"/>
          <w:sz w:val="28"/>
          <w:szCs w:val="32"/>
        </w:rPr>
        <w:t>s output gap remain</w:t>
      </w:r>
      <w:r w:rsidR="00397E84">
        <w:rPr>
          <w:rFonts w:eastAsia="標楷體" w:hint="eastAsia"/>
          <w:sz w:val="28"/>
          <w:szCs w:val="32"/>
        </w:rPr>
        <w:t>s</w:t>
      </w:r>
      <w:r w:rsidR="005F60A7">
        <w:rPr>
          <w:rFonts w:eastAsia="標楷體" w:hint="eastAsia"/>
          <w:sz w:val="28"/>
          <w:szCs w:val="32"/>
        </w:rPr>
        <w:t xml:space="preserve"> to be addressed, </w:t>
      </w:r>
      <w:r w:rsidR="00916AE8">
        <w:rPr>
          <w:rFonts w:eastAsia="標楷體" w:hint="eastAsia"/>
          <w:sz w:val="28"/>
          <w:szCs w:val="32"/>
        </w:rPr>
        <w:t xml:space="preserve">current </w:t>
      </w:r>
      <w:r w:rsidR="00397E84">
        <w:rPr>
          <w:rFonts w:eastAsia="標楷體" w:hint="eastAsia"/>
          <w:sz w:val="28"/>
          <w:szCs w:val="32"/>
        </w:rPr>
        <w:t xml:space="preserve">inflation is mild with the inflation rate below 2%, and the </w:t>
      </w:r>
      <w:r w:rsidR="00397E84">
        <w:rPr>
          <w:rFonts w:eastAsia="標楷體"/>
          <w:sz w:val="28"/>
          <w:szCs w:val="32"/>
        </w:rPr>
        <w:t>unemployment</w:t>
      </w:r>
      <w:r w:rsidR="00916AE8">
        <w:rPr>
          <w:rFonts w:eastAsia="標楷體" w:hint="eastAsia"/>
          <w:sz w:val="28"/>
          <w:szCs w:val="32"/>
        </w:rPr>
        <w:t xml:space="preserve"> rate </w:t>
      </w:r>
      <w:r w:rsidR="00397E84">
        <w:rPr>
          <w:rFonts w:eastAsia="標楷體" w:hint="eastAsia"/>
          <w:sz w:val="28"/>
          <w:szCs w:val="32"/>
        </w:rPr>
        <w:t xml:space="preserve">is likely to decrease further; </w:t>
      </w:r>
      <w:r w:rsidR="005F60A7">
        <w:rPr>
          <w:rFonts w:eastAsia="標楷體" w:hint="eastAsia"/>
          <w:sz w:val="28"/>
          <w:szCs w:val="32"/>
        </w:rPr>
        <w:t xml:space="preserve">this assessment underpinned the view that a rate hike would be premature. </w:t>
      </w:r>
      <w:r w:rsidR="00FE7E7E">
        <w:rPr>
          <w:rFonts w:eastAsia="標楷體" w:hint="eastAsia"/>
          <w:sz w:val="28"/>
          <w:szCs w:val="32"/>
        </w:rPr>
        <w:t>Moreover, a rate hold is also warranted by the concern that increasing the policy rate would add to mortgage burden on homeowners</w:t>
      </w:r>
      <w:r w:rsidR="00504177">
        <w:rPr>
          <w:rFonts w:eastAsia="標楷體" w:hint="eastAsia"/>
          <w:sz w:val="28"/>
          <w:szCs w:val="32"/>
        </w:rPr>
        <w:t xml:space="preserve"> </w:t>
      </w:r>
      <w:r w:rsidR="00FE7E7E">
        <w:rPr>
          <w:rFonts w:eastAsia="標楷體" w:hint="eastAsia"/>
          <w:sz w:val="28"/>
          <w:szCs w:val="32"/>
        </w:rPr>
        <w:t>with a negative impact on consumer spending</w:t>
      </w:r>
      <w:r w:rsidR="00504177">
        <w:rPr>
          <w:rFonts w:eastAsia="標楷體" w:hint="eastAsia"/>
          <w:sz w:val="28"/>
          <w:szCs w:val="32"/>
        </w:rPr>
        <w:t xml:space="preserve"> and, in turn, </w:t>
      </w:r>
      <w:r w:rsidR="00FE7E7E">
        <w:rPr>
          <w:rFonts w:eastAsia="標楷體" w:hint="eastAsia"/>
          <w:sz w:val="28"/>
          <w:szCs w:val="32"/>
        </w:rPr>
        <w:t xml:space="preserve">weigh on </w:t>
      </w:r>
      <w:r w:rsidR="001D6167">
        <w:rPr>
          <w:rFonts w:eastAsia="標楷體" w:hint="eastAsia"/>
          <w:sz w:val="28"/>
          <w:szCs w:val="32"/>
        </w:rPr>
        <w:t xml:space="preserve">the </w:t>
      </w:r>
      <w:r w:rsidR="0058244F">
        <w:rPr>
          <w:rFonts w:eastAsia="標楷體" w:hint="eastAsia"/>
          <w:sz w:val="28"/>
          <w:szCs w:val="32"/>
        </w:rPr>
        <w:t xml:space="preserve">gradual </w:t>
      </w:r>
      <w:r w:rsidR="0058244F">
        <w:rPr>
          <w:rFonts w:eastAsia="標楷體"/>
          <w:sz w:val="28"/>
          <w:szCs w:val="32"/>
        </w:rPr>
        <w:t>recovery</w:t>
      </w:r>
      <w:r w:rsidR="0058244F">
        <w:rPr>
          <w:rFonts w:eastAsia="標楷體" w:hint="eastAsia"/>
          <w:sz w:val="28"/>
          <w:szCs w:val="32"/>
        </w:rPr>
        <w:t xml:space="preserve"> of the domestic </w:t>
      </w:r>
      <w:r w:rsidR="0058244F">
        <w:rPr>
          <w:rFonts w:eastAsia="標楷體"/>
          <w:sz w:val="28"/>
          <w:szCs w:val="32"/>
        </w:rPr>
        <w:t>economy</w:t>
      </w:r>
      <w:r w:rsidR="0058244F">
        <w:rPr>
          <w:rFonts w:eastAsia="標楷體" w:hint="eastAsia"/>
          <w:sz w:val="28"/>
          <w:szCs w:val="32"/>
        </w:rPr>
        <w:t xml:space="preserve">. </w:t>
      </w:r>
    </w:p>
    <w:p w:rsidR="009E5AC4" w:rsidRDefault="00D45292" w:rsidP="001D6167">
      <w:pPr>
        <w:adjustRightInd/>
        <w:snapToGrid w:val="0"/>
        <w:spacing w:before="240" w:line="520" w:lineRule="exact"/>
        <w:ind w:firstLineChars="200" w:firstLine="560"/>
        <w:jc w:val="both"/>
        <w:textDirection w:val="lrTbV"/>
        <w:rPr>
          <w:rFonts w:eastAsia="標楷體"/>
          <w:sz w:val="28"/>
          <w:szCs w:val="32"/>
        </w:rPr>
      </w:pPr>
      <w:r>
        <w:rPr>
          <w:rFonts w:eastAsia="標楷體" w:hint="eastAsia"/>
          <w:sz w:val="28"/>
          <w:szCs w:val="32"/>
        </w:rPr>
        <w:t xml:space="preserve">Citing high correlation between interest rate policy implementation and M2 growth target achievement, </w:t>
      </w:r>
      <w:r w:rsidRPr="00C41905">
        <w:rPr>
          <w:rFonts w:eastAsia="標楷體" w:hint="eastAsia"/>
          <w:b/>
          <w:sz w:val="28"/>
          <w:szCs w:val="32"/>
        </w:rPr>
        <w:t>one</w:t>
      </w:r>
      <w:r w:rsidR="00693662" w:rsidRPr="00C41905">
        <w:rPr>
          <w:rFonts w:eastAsia="標楷體" w:hint="eastAsia"/>
          <w:b/>
          <w:sz w:val="28"/>
          <w:szCs w:val="32"/>
        </w:rPr>
        <w:t xml:space="preserve"> board director</w:t>
      </w:r>
      <w:r w:rsidR="009E5AC4" w:rsidRPr="00C41905">
        <w:rPr>
          <w:rFonts w:eastAsia="標楷體" w:hint="eastAsia"/>
          <w:b/>
          <w:sz w:val="28"/>
          <w:szCs w:val="32"/>
        </w:rPr>
        <w:t xml:space="preserve"> </w:t>
      </w:r>
      <w:r w:rsidRPr="00C41905">
        <w:rPr>
          <w:rFonts w:eastAsia="標楷體" w:hint="eastAsia"/>
          <w:b/>
          <w:sz w:val="28"/>
          <w:szCs w:val="32"/>
        </w:rPr>
        <w:t xml:space="preserve">expressed </w:t>
      </w:r>
      <w:r w:rsidR="009E5AC4" w:rsidRPr="00C41905">
        <w:rPr>
          <w:rFonts w:eastAsia="標楷體" w:hint="eastAsia"/>
          <w:b/>
          <w:sz w:val="28"/>
          <w:szCs w:val="32"/>
        </w:rPr>
        <w:t>approv</w:t>
      </w:r>
      <w:r w:rsidRPr="00C41905">
        <w:rPr>
          <w:rFonts w:eastAsia="標楷體" w:hint="eastAsia"/>
          <w:b/>
          <w:sz w:val="28"/>
          <w:szCs w:val="32"/>
        </w:rPr>
        <w:t>al</w:t>
      </w:r>
      <w:r w:rsidR="009E5AC4">
        <w:rPr>
          <w:rFonts w:eastAsia="標楷體" w:hint="eastAsia"/>
          <w:sz w:val="28"/>
          <w:szCs w:val="32"/>
        </w:rPr>
        <w:t xml:space="preserve"> of the proposition</w:t>
      </w:r>
      <w:r w:rsidR="00693662">
        <w:rPr>
          <w:rFonts w:eastAsia="標楷體" w:hint="eastAsia"/>
          <w:sz w:val="28"/>
          <w:szCs w:val="32"/>
        </w:rPr>
        <w:t xml:space="preserve">, </w:t>
      </w:r>
      <w:r w:rsidR="009E5AC4">
        <w:rPr>
          <w:rFonts w:eastAsia="標楷體" w:hint="eastAsia"/>
          <w:sz w:val="28"/>
          <w:szCs w:val="32"/>
        </w:rPr>
        <w:t>seeing a rate hold as conducive to attaining next year</w:t>
      </w:r>
      <w:r w:rsidR="009E5AC4">
        <w:rPr>
          <w:rFonts w:eastAsia="標楷體"/>
          <w:sz w:val="28"/>
          <w:szCs w:val="32"/>
        </w:rPr>
        <w:t>’</w:t>
      </w:r>
      <w:r w:rsidR="009E5AC4">
        <w:rPr>
          <w:rFonts w:eastAsia="標楷體" w:hint="eastAsia"/>
          <w:sz w:val="28"/>
          <w:szCs w:val="32"/>
        </w:rPr>
        <w:t xml:space="preserve">s </w:t>
      </w:r>
      <w:r>
        <w:rPr>
          <w:rFonts w:eastAsia="標楷體" w:hint="eastAsia"/>
          <w:sz w:val="28"/>
          <w:szCs w:val="32"/>
        </w:rPr>
        <w:t xml:space="preserve">2.5%-6.5% </w:t>
      </w:r>
      <w:r w:rsidR="009E5AC4">
        <w:rPr>
          <w:rFonts w:eastAsia="標楷體" w:hint="eastAsia"/>
          <w:sz w:val="28"/>
          <w:szCs w:val="32"/>
        </w:rPr>
        <w:t>M2 growth target range, already agreed upon unanimously in this meeting</w:t>
      </w:r>
      <w:r>
        <w:rPr>
          <w:rFonts w:eastAsia="標楷體" w:hint="eastAsia"/>
          <w:sz w:val="28"/>
          <w:szCs w:val="32"/>
        </w:rPr>
        <w:t xml:space="preserve">. </w:t>
      </w:r>
    </w:p>
    <w:p w:rsidR="00022D53" w:rsidRDefault="00022D53" w:rsidP="00C41905">
      <w:pPr>
        <w:adjustRightInd/>
        <w:snapToGrid w:val="0"/>
        <w:spacing w:before="240" w:line="520" w:lineRule="exact"/>
        <w:ind w:firstLineChars="200" w:firstLine="561"/>
        <w:jc w:val="both"/>
        <w:textDirection w:val="lrTbV"/>
        <w:rPr>
          <w:rFonts w:eastAsia="標楷體"/>
          <w:sz w:val="28"/>
          <w:szCs w:val="32"/>
        </w:rPr>
      </w:pPr>
      <w:r w:rsidRPr="00C41905">
        <w:rPr>
          <w:rFonts w:eastAsia="標楷體" w:hint="eastAsia"/>
          <w:b/>
          <w:sz w:val="28"/>
          <w:szCs w:val="32"/>
        </w:rPr>
        <w:t>Another board director</w:t>
      </w:r>
      <w:r>
        <w:rPr>
          <w:rFonts w:eastAsia="標楷體" w:hint="eastAsia"/>
          <w:sz w:val="28"/>
          <w:szCs w:val="32"/>
        </w:rPr>
        <w:t xml:space="preserve"> also favored the rate hold proposition, adding that </w:t>
      </w:r>
      <w:r w:rsidR="007B7E9F">
        <w:rPr>
          <w:rFonts w:eastAsia="標楷體" w:hint="eastAsia"/>
          <w:sz w:val="28"/>
          <w:szCs w:val="32"/>
        </w:rPr>
        <w:t xml:space="preserve">effective monetary policy hinges on sending a clear signal to the market about </w:t>
      </w:r>
      <w:r w:rsidR="005863F5">
        <w:rPr>
          <w:rFonts w:eastAsia="標楷體" w:hint="eastAsia"/>
          <w:sz w:val="28"/>
          <w:szCs w:val="32"/>
        </w:rPr>
        <w:t>the</w:t>
      </w:r>
      <w:r w:rsidR="007B7E9F">
        <w:rPr>
          <w:rFonts w:eastAsia="標楷體" w:hint="eastAsia"/>
          <w:sz w:val="28"/>
          <w:szCs w:val="32"/>
        </w:rPr>
        <w:t xml:space="preserve"> direction</w:t>
      </w:r>
      <w:r w:rsidR="005863F5">
        <w:rPr>
          <w:rFonts w:eastAsia="標楷體" w:hint="eastAsia"/>
          <w:sz w:val="28"/>
          <w:szCs w:val="32"/>
        </w:rPr>
        <w:t xml:space="preserve"> of policy</w:t>
      </w:r>
      <w:r w:rsidR="007B7E9F">
        <w:rPr>
          <w:rFonts w:eastAsia="標楷體" w:hint="eastAsia"/>
          <w:sz w:val="28"/>
          <w:szCs w:val="32"/>
        </w:rPr>
        <w:t xml:space="preserve">, </w:t>
      </w:r>
      <w:r w:rsidR="005863F5">
        <w:rPr>
          <w:rFonts w:eastAsia="標楷體" w:hint="eastAsia"/>
          <w:sz w:val="28"/>
          <w:szCs w:val="32"/>
        </w:rPr>
        <w:t xml:space="preserve">i.e., </w:t>
      </w:r>
      <w:r w:rsidR="00655AE7">
        <w:rPr>
          <w:rFonts w:eastAsia="標楷體" w:hint="eastAsia"/>
          <w:sz w:val="28"/>
          <w:szCs w:val="32"/>
        </w:rPr>
        <w:t xml:space="preserve">a rate increase/decrease indicates more rate increases/decreases in the coming quarters </w:t>
      </w:r>
      <w:r w:rsidR="00655AE7" w:rsidRPr="003C4AE7">
        <w:rPr>
          <w:rFonts w:eastAsia="標楷體" w:hint="eastAsia"/>
          <w:sz w:val="28"/>
          <w:szCs w:val="32"/>
        </w:rPr>
        <w:t>unless otherwise warranted</w:t>
      </w:r>
      <w:r w:rsidR="00655AE7">
        <w:rPr>
          <w:rFonts w:eastAsia="標楷體" w:hint="eastAsia"/>
          <w:sz w:val="28"/>
          <w:szCs w:val="32"/>
        </w:rPr>
        <w:t xml:space="preserve">. </w:t>
      </w:r>
      <w:r w:rsidR="00FE63FA">
        <w:rPr>
          <w:rFonts w:eastAsia="標楷體" w:hint="eastAsia"/>
          <w:sz w:val="28"/>
          <w:szCs w:val="32"/>
        </w:rPr>
        <w:t xml:space="preserve">However, the overall domestic </w:t>
      </w:r>
      <w:r w:rsidR="00FE63FA">
        <w:rPr>
          <w:rFonts w:eastAsia="標楷體"/>
          <w:sz w:val="28"/>
          <w:szCs w:val="32"/>
        </w:rPr>
        <w:t>economic</w:t>
      </w:r>
      <w:r w:rsidR="00FE63FA">
        <w:rPr>
          <w:rFonts w:eastAsia="標楷體" w:hint="eastAsia"/>
          <w:sz w:val="28"/>
          <w:szCs w:val="32"/>
        </w:rPr>
        <w:t xml:space="preserve"> and price situations at present do not suffice for this approach; </w:t>
      </w:r>
      <w:r w:rsidR="00B52F90">
        <w:rPr>
          <w:rFonts w:eastAsia="標楷體" w:hint="eastAsia"/>
          <w:sz w:val="28"/>
          <w:szCs w:val="32"/>
        </w:rPr>
        <w:t xml:space="preserve">it is thus more </w:t>
      </w:r>
      <w:r w:rsidR="00B52F90">
        <w:rPr>
          <w:rFonts w:eastAsia="標楷體"/>
          <w:sz w:val="28"/>
          <w:szCs w:val="32"/>
        </w:rPr>
        <w:t>appropriate</w:t>
      </w:r>
      <w:r w:rsidR="00B52F90">
        <w:rPr>
          <w:rFonts w:eastAsia="標楷體" w:hint="eastAsia"/>
          <w:sz w:val="28"/>
          <w:szCs w:val="32"/>
        </w:rPr>
        <w:t xml:space="preserve"> to </w:t>
      </w:r>
      <w:r w:rsidR="00FE63FA">
        <w:rPr>
          <w:rFonts w:eastAsia="標楷體"/>
          <w:sz w:val="28"/>
          <w:szCs w:val="32"/>
        </w:rPr>
        <w:t>maintain</w:t>
      </w:r>
      <w:r w:rsidR="00FE63FA">
        <w:rPr>
          <w:rFonts w:eastAsia="標楷體" w:hint="eastAsia"/>
          <w:sz w:val="28"/>
          <w:szCs w:val="32"/>
        </w:rPr>
        <w:t xml:space="preserve"> the </w:t>
      </w:r>
      <w:r w:rsidR="00B52F90">
        <w:rPr>
          <w:rFonts w:eastAsia="標楷體" w:hint="eastAsia"/>
          <w:sz w:val="28"/>
          <w:szCs w:val="32"/>
        </w:rPr>
        <w:t xml:space="preserve">interest </w:t>
      </w:r>
      <w:r w:rsidR="00FE63FA">
        <w:rPr>
          <w:rFonts w:eastAsia="標楷體" w:hint="eastAsia"/>
          <w:sz w:val="28"/>
          <w:szCs w:val="32"/>
        </w:rPr>
        <w:t>rate</w:t>
      </w:r>
      <w:r w:rsidR="00B52F90">
        <w:rPr>
          <w:rFonts w:eastAsia="標楷體" w:hint="eastAsia"/>
          <w:sz w:val="28"/>
          <w:szCs w:val="32"/>
        </w:rPr>
        <w:t>s at their current</w:t>
      </w:r>
      <w:r w:rsidR="00FE63FA">
        <w:rPr>
          <w:rFonts w:eastAsia="標楷體" w:hint="eastAsia"/>
          <w:sz w:val="28"/>
          <w:szCs w:val="32"/>
        </w:rPr>
        <w:t xml:space="preserve"> level</w:t>
      </w:r>
      <w:r w:rsidR="00B52F90">
        <w:rPr>
          <w:rFonts w:eastAsia="標楷體" w:hint="eastAsia"/>
          <w:sz w:val="28"/>
          <w:szCs w:val="32"/>
        </w:rPr>
        <w:t>s</w:t>
      </w:r>
      <w:r w:rsidR="00FE63FA">
        <w:rPr>
          <w:rFonts w:eastAsia="標楷體" w:hint="eastAsia"/>
          <w:sz w:val="28"/>
          <w:szCs w:val="32"/>
        </w:rPr>
        <w:t xml:space="preserve">. </w:t>
      </w:r>
    </w:p>
    <w:p w:rsidR="008F3021" w:rsidRDefault="006613A5" w:rsidP="00C41905">
      <w:pPr>
        <w:adjustRightInd/>
        <w:snapToGrid w:val="0"/>
        <w:spacing w:before="240" w:line="520" w:lineRule="exact"/>
        <w:ind w:firstLineChars="200" w:firstLine="561"/>
        <w:jc w:val="both"/>
        <w:textDirection w:val="lrTbV"/>
        <w:rPr>
          <w:rFonts w:eastAsia="標楷體"/>
          <w:sz w:val="28"/>
          <w:szCs w:val="32"/>
        </w:rPr>
      </w:pPr>
      <w:r w:rsidRPr="00C41905">
        <w:rPr>
          <w:rFonts w:eastAsia="標楷體" w:hint="eastAsia"/>
          <w:b/>
          <w:sz w:val="28"/>
          <w:szCs w:val="32"/>
        </w:rPr>
        <w:lastRenderedPageBreak/>
        <w:t>Several board directors and supervisors</w:t>
      </w:r>
      <w:r>
        <w:rPr>
          <w:rFonts w:eastAsia="標楷體" w:hint="eastAsia"/>
          <w:sz w:val="28"/>
          <w:szCs w:val="32"/>
        </w:rPr>
        <w:t xml:space="preserve"> expressed their </w:t>
      </w:r>
      <w:r w:rsidR="00345E91">
        <w:rPr>
          <w:rFonts w:eastAsia="標楷體" w:hint="eastAsia"/>
          <w:sz w:val="28"/>
          <w:szCs w:val="32"/>
        </w:rPr>
        <w:t>opinion</w:t>
      </w:r>
      <w:r>
        <w:rPr>
          <w:rFonts w:eastAsia="標楷體" w:hint="eastAsia"/>
          <w:sz w:val="28"/>
          <w:szCs w:val="32"/>
        </w:rPr>
        <w:t xml:space="preserve">s </w:t>
      </w:r>
      <w:r w:rsidR="00345E91">
        <w:rPr>
          <w:rFonts w:eastAsia="標楷體" w:hint="eastAsia"/>
          <w:sz w:val="28"/>
          <w:szCs w:val="32"/>
        </w:rPr>
        <w:t>about</w:t>
      </w:r>
      <w:r>
        <w:rPr>
          <w:rFonts w:eastAsia="標楷體" w:hint="eastAsia"/>
          <w:sz w:val="28"/>
          <w:szCs w:val="32"/>
        </w:rPr>
        <w:t xml:space="preserve"> </w:t>
      </w:r>
      <w:r w:rsidR="00345E91">
        <w:rPr>
          <w:rFonts w:eastAsia="標楷體" w:hint="eastAsia"/>
          <w:sz w:val="28"/>
          <w:szCs w:val="32"/>
        </w:rPr>
        <w:t xml:space="preserve">a </w:t>
      </w:r>
      <w:r>
        <w:rPr>
          <w:rFonts w:eastAsia="標楷體" w:hint="eastAsia"/>
          <w:sz w:val="28"/>
          <w:szCs w:val="32"/>
        </w:rPr>
        <w:t>rate cut.</w:t>
      </w:r>
      <w:r w:rsidRPr="00C41905">
        <w:rPr>
          <w:rFonts w:eastAsia="標楷體" w:hint="eastAsia"/>
          <w:b/>
          <w:sz w:val="28"/>
          <w:szCs w:val="32"/>
        </w:rPr>
        <w:t xml:space="preserve"> One board director </w:t>
      </w:r>
      <w:r>
        <w:rPr>
          <w:rFonts w:eastAsia="標楷體" w:hint="eastAsia"/>
          <w:sz w:val="28"/>
          <w:szCs w:val="32"/>
        </w:rPr>
        <w:t xml:space="preserve">agreed that </w:t>
      </w:r>
      <w:r w:rsidR="00345E91">
        <w:rPr>
          <w:rFonts w:eastAsia="標楷體" w:hint="eastAsia"/>
          <w:sz w:val="28"/>
          <w:szCs w:val="32"/>
        </w:rPr>
        <w:t xml:space="preserve">maintaining current rates </w:t>
      </w:r>
      <w:r>
        <w:rPr>
          <w:rFonts w:eastAsia="標楷體" w:hint="eastAsia"/>
          <w:sz w:val="28"/>
          <w:szCs w:val="32"/>
        </w:rPr>
        <w:t xml:space="preserve">is the sensible path </w:t>
      </w:r>
      <w:r w:rsidR="00345E91">
        <w:rPr>
          <w:rFonts w:eastAsia="標楷體" w:hint="eastAsia"/>
          <w:sz w:val="28"/>
          <w:szCs w:val="32"/>
        </w:rPr>
        <w:t xml:space="preserve">given that domestic economic and price trends remained largely unchanged; however, </w:t>
      </w:r>
      <w:r w:rsidR="000F5C7A">
        <w:rPr>
          <w:rFonts w:eastAsia="標楷體" w:hint="eastAsia"/>
          <w:sz w:val="28"/>
          <w:szCs w:val="32"/>
        </w:rPr>
        <w:t>since Taiwan</w:t>
      </w:r>
      <w:r w:rsidR="000F5C7A">
        <w:rPr>
          <w:rFonts w:eastAsia="標楷體"/>
          <w:sz w:val="28"/>
          <w:szCs w:val="32"/>
        </w:rPr>
        <w:t>’</w:t>
      </w:r>
      <w:r w:rsidR="000F5C7A">
        <w:rPr>
          <w:rFonts w:eastAsia="標楷體" w:hint="eastAsia"/>
          <w:sz w:val="28"/>
          <w:szCs w:val="32"/>
        </w:rPr>
        <w:t>s real interest rate was higher than those of most major economies, there seemed to be room for a rate cut.</w:t>
      </w:r>
      <w:r w:rsidR="000F5C7A" w:rsidRPr="00504177">
        <w:rPr>
          <w:rFonts w:eastAsia="標楷體" w:hint="eastAsia"/>
          <w:b/>
          <w:sz w:val="28"/>
          <w:szCs w:val="32"/>
        </w:rPr>
        <w:t xml:space="preserve"> Another board director </w:t>
      </w:r>
      <w:r w:rsidR="000F5C7A" w:rsidRPr="00504177">
        <w:rPr>
          <w:rFonts w:eastAsia="標楷體" w:hint="eastAsia"/>
          <w:sz w:val="28"/>
          <w:szCs w:val="32"/>
        </w:rPr>
        <w:t>also noted</w:t>
      </w:r>
      <w:r w:rsidR="000F5C7A">
        <w:rPr>
          <w:rFonts w:eastAsia="標楷體" w:hint="eastAsia"/>
          <w:sz w:val="28"/>
          <w:szCs w:val="32"/>
        </w:rPr>
        <w:t xml:space="preserve"> that, while </w:t>
      </w:r>
      <w:r w:rsidR="005F502D">
        <w:rPr>
          <w:rFonts w:eastAsia="標楷體" w:hint="eastAsia"/>
          <w:sz w:val="28"/>
          <w:szCs w:val="32"/>
        </w:rPr>
        <w:t>current situations validate</w:t>
      </w:r>
      <w:r w:rsidR="00E26016">
        <w:rPr>
          <w:rFonts w:eastAsia="標楷體" w:hint="eastAsia"/>
          <w:sz w:val="28"/>
          <w:szCs w:val="32"/>
        </w:rPr>
        <w:t>d</w:t>
      </w:r>
      <w:r w:rsidR="005F502D">
        <w:rPr>
          <w:rFonts w:eastAsia="標楷體" w:hint="eastAsia"/>
          <w:sz w:val="28"/>
          <w:szCs w:val="32"/>
        </w:rPr>
        <w:t xml:space="preserve"> the decision to keep the policy rate steady, </w:t>
      </w:r>
      <w:r w:rsidR="004170D1">
        <w:rPr>
          <w:rFonts w:eastAsia="標楷體" w:hint="eastAsia"/>
          <w:sz w:val="28"/>
          <w:szCs w:val="32"/>
        </w:rPr>
        <w:t xml:space="preserve">in the future, a rate cut warranted by </w:t>
      </w:r>
      <w:r w:rsidR="004170D1">
        <w:rPr>
          <w:rFonts w:eastAsia="標楷體"/>
          <w:sz w:val="28"/>
          <w:szCs w:val="32"/>
        </w:rPr>
        <w:t>economic</w:t>
      </w:r>
      <w:r w:rsidR="004170D1">
        <w:rPr>
          <w:rFonts w:eastAsia="標楷體" w:hint="eastAsia"/>
          <w:sz w:val="28"/>
          <w:szCs w:val="32"/>
        </w:rPr>
        <w:t xml:space="preserve"> and financial conditions at home and abroad </w:t>
      </w:r>
      <w:r w:rsidR="00B07B66">
        <w:rPr>
          <w:rFonts w:eastAsia="標楷體" w:hint="eastAsia"/>
          <w:sz w:val="28"/>
          <w:szCs w:val="32"/>
        </w:rPr>
        <w:t xml:space="preserve">can </w:t>
      </w:r>
      <w:r w:rsidR="00383C17">
        <w:rPr>
          <w:rFonts w:eastAsia="標楷體" w:hint="eastAsia"/>
          <w:sz w:val="28"/>
          <w:szCs w:val="32"/>
        </w:rPr>
        <w:t xml:space="preserve">provide an economic boost. </w:t>
      </w:r>
      <w:r w:rsidR="00383C17" w:rsidRPr="00C41905">
        <w:rPr>
          <w:rFonts w:eastAsia="標楷體" w:hint="eastAsia"/>
          <w:b/>
          <w:sz w:val="28"/>
          <w:szCs w:val="32"/>
        </w:rPr>
        <w:t xml:space="preserve">One board supervisor </w:t>
      </w:r>
      <w:r w:rsidR="00CD1431" w:rsidRPr="00C41905">
        <w:rPr>
          <w:rFonts w:eastAsia="標楷體" w:hint="eastAsia"/>
          <w:b/>
          <w:sz w:val="28"/>
          <w:szCs w:val="32"/>
        </w:rPr>
        <w:t>suggested</w:t>
      </w:r>
      <w:r w:rsidR="00CD1431">
        <w:rPr>
          <w:rFonts w:eastAsia="標楷體" w:hint="eastAsia"/>
          <w:sz w:val="28"/>
          <w:szCs w:val="32"/>
        </w:rPr>
        <w:t xml:space="preserve"> </w:t>
      </w:r>
      <w:r w:rsidR="007F1DAE">
        <w:rPr>
          <w:rFonts w:eastAsia="標楷體" w:hint="eastAsia"/>
          <w:sz w:val="28"/>
          <w:szCs w:val="32"/>
        </w:rPr>
        <w:t xml:space="preserve">that </w:t>
      </w:r>
      <w:r w:rsidR="00CD1431">
        <w:rPr>
          <w:rFonts w:eastAsia="標楷體" w:hint="eastAsia"/>
          <w:sz w:val="28"/>
          <w:szCs w:val="32"/>
        </w:rPr>
        <w:t>in the context of continuously higher real interest rates in T</w:t>
      </w:r>
      <w:r w:rsidR="00CD1431">
        <w:rPr>
          <w:rFonts w:eastAsia="標楷體"/>
          <w:sz w:val="28"/>
          <w:szCs w:val="32"/>
        </w:rPr>
        <w:t>a</w:t>
      </w:r>
      <w:r w:rsidR="00CD1431">
        <w:rPr>
          <w:rFonts w:eastAsia="標楷體" w:hint="eastAsia"/>
          <w:sz w:val="28"/>
          <w:szCs w:val="32"/>
        </w:rPr>
        <w:t xml:space="preserve">iwan than in other major economies, some of which had announced rate cuts, </w:t>
      </w:r>
      <w:r w:rsidR="008F3021">
        <w:rPr>
          <w:rFonts w:eastAsia="標楷體" w:hint="eastAsia"/>
          <w:sz w:val="28"/>
          <w:szCs w:val="32"/>
        </w:rPr>
        <w:t xml:space="preserve">as well as subdued momentum for domestic growth, </w:t>
      </w:r>
      <w:r w:rsidR="007F1DAE">
        <w:rPr>
          <w:rFonts w:eastAsia="標楷體" w:hint="eastAsia"/>
          <w:sz w:val="28"/>
          <w:szCs w:val="32"/>
        </w:rPr>
        <w:t xml:space="preserve">it might be </w:t>
      </w:r>
      <w:r w:rsidR="008F3021">
        <w:rPr>
          <w:rFonts w:eastAsia="標楷體" w:hint="eastAsia"/>
          <w:sz w:val="28"/>
          <w:szCs w:val="32"/>
        </w:rPr>
        <w:t xml:space="preserve">possible to explore the option of </w:t>
      </w:r>
      <w:r w:rsidR="0008147C">
        <w:rPr>
          <w:rFonts w:eastAsia="標楷體" w:hint="eastAsia"/>
          <w:sz w:val="28"/>
          <w:szCs w:val="32"/>
        </w:rPr>
        <w:t>a rate cut.</w:t>
      </w:r>
      <w:r w:rsidR="008F3021">
        <w:rPr>
          <w:rFonts w:eastAsia="標楷體" w:hint="eastAsia"/>
          <w:sz w:val="28"/>
          <w:szCs w:val="32"/>
        </w:rPr>
        <w:t xml:space="preserve"> </w:t>
      </w:r>
      <w:r w:rsidR="00F07E0D" w:rsidRPr="00C41905">
        <w:rPr>
          <w:rFonts w:eastAsia="標楷體" w:hint="eastAsia"/>
          <w:b/>
          <w:sz w:val="28"/>
          <w:szCs w:val="32"/>
        </w:rPr>
        <w:t>Another board supervisor stated</w:t>
      </w:r>
      <w:r w:rsidR="00F07E0D">
        <w:rPr>
          <w:rFonts w:eastAsia="標楷體" w:hint="eastAsia"/>
          <w:sz w:val="28"/>
          <w:szCs w:val="32"/>
        </w:rPr>
        <w:t xml:space="preserve"> that </w:t>
      </w:r>
      <w:r w:rsidR="00F83DC5">
        <w:rPr>
          <w:rFonts w:eastAsia="標楷體" w:hint="eastAsia"/>
          <w:sz w:val="28"/>
          <w:szCs w:val="32"/>
        </w:rPr>
        <w:t xml:space="preserve">considering </w:t>
      </w:r>
      <w:r w:rsidR="00F07E0D">
        <w:rPr>
          <w:rFonts w:eastAsia="標楷體" w:hint="eastAsia"/>
          <w:sz w:val="28"/>
          <w:szCs w:val="32"/>
        </w:rPr>
        <w:t xml:space="preserve">future inflationary pressures </w:t>
      </w:r>
      <w:r w:rsidR="00F83DC5">
        <w:rPr>
          <w:rFonts w:eastAsia="標楷體" w:hint="eastAsia"/>
          <w:sz w:val="28"/>
          <w:szCs w:val="32"/>
        </w:rPr>
        <w:t xml:space="preserve">stemming </w:t>
      </w:r>
      <w:r w:rsidR="00F07E0D">
        <w:rPr>
          <w:rFonts w:eastAsia="標楷體" w:hint="eastAsia"/>
          <w:sz w:val="28"/>
          <w:szCs w:val="32"/>
        </w:rPr>
        <w:t xml:space="preserve">from recent </w:t>
      </w:r>
      <w:r w:rsidR="00F83DC5">
        <w:rPr>
          <w:rFonts w:eastAsia="標楷體" w:hint="eastAsia"/>
          <w:sz w:val="28"/>
          <w:szCs w:val="32"/>
        </w:rPr>
        <w:t xml:space="preserve">raw material price rises, the timing was not ripe for a rate cut and it would be more </w:t>
      </w:r>
      <w:r w:rsidR="00F83DC5">
        <w:rPr>
          <w:rFonts w:eastAsia="標楷體"/>
          <w:sz w:val="28"/>
          <w:szCs w:val="32"/>
        </w:rPr>
        <w:t>appropriate</w:t>
      </w:r>
      <w:r w:rsidR="00F83DC5">
        <w:rPr>
          <w:rFonts w:eastAsia="標楷體" w:hint="eastAsia"/>
          <w:sz w:val="28"/>
          <w:szCs w:val="32"/>
        </w:rPr>
        <w:t xml:space="preserve"> to keep rates unchanged for now. </w:t>
      </w:r>
    </w:p>
    <w:p w:rsidR="00C14EE5" w:rsidRDefault="00F83DC5" w:rsidP="00C14EE5">
      <w:pPr>
        <w:adjustRightInd/>
        <w:snapToGrid w:val="0"/>
        <w:spacing w:before="240" w:line="520" w:lineRule="exact"/>
        <w:ind w:firstLineChars="200" w:firstLine="560"/>
        <w:jc w:val="both"/>
        <w:textDirection w:val="lrTbV"/>
        <w:rPr>
          <w:rFonts w:eastAsia="標楷體"/>
          <w:sz w:val="28"/>
          <w:szCs w:val="32"/>
        </w:rPr>
      </w:pPr>
      <w:r>
        <w:rPr>
          <w:rFonts w:eastAsia="標楷體" w:hint="eastAsia"/>
          <w:sz w:val="28"/>
          <w:szCs w:val="32"/>
        </w:rPr>
        <w:t xml:space="preserve">With regard to the </w:t>
      </w:r>
      <w:r w:rsidR="000000CD">
        <w:rPr>
          <w:rFonts w:eastAsia="標楷體" w:hint="eastAsia"/>
          <w:sz w:val="28"/>
          <w:szCs w:val="32"/>
        </w:rPr>
        <w:t>developments</w:t>
      </w:r>
      <w:r>
        <w:rPr>
          <w:rFonts w:eastAsia="標楷體" w:hint="eastAsia"/>
          <w:sz w:val="28"/>
          <w:szCs w:val="32"/>
        </w:rPr>
        <w:t xml:space="preserve"> that the US, the UK, and South Korea all hiked their policy rates in the recent month, </w:t>
      </w:r>
      <w:r w:rsidRPr="00C41905">
        <w:rPr>
          <w:rFonts w:eastAsia="標楷體" w:hint="eastAsia"/>
          <w:b/>
          <w:sz w:val="28"/>
          <w:szCs w:val="32"/>
        </w:rPr>
        <w:t xml:space="preserve">several board directors and supervisors </w:t>
      </w:r>
      <w:r w:rsidR="000000CD">
        <w:rPr>
          <w:rFonts w:eastAsia="標楷體" w:hint="eastAsia"/>
          <w:sz w:val="28"/>
          <w:szCs w:val="32"/>
        </w:rPr>
        <w:t>expressed their view that Taiwan needed not follow suit as our</w:t>
      </w:r>
      <w:r>
        <w:rPr>
          <w:rFonts w:eastAsia="標楷體" w:hint="eastAsia"/>
          <w:sz w:val="28"/>
          <w:szCs w:val="32"/>
        </w:rPr>
        <w:t xml:space="preserve"> economic, financial, and price conditions were not </w:t>
      </w:r>
      <w:r w:rsidR="000000CD">
        <w:rPr>
          <w:rFonts w:eastAsia="標楷體" w:hint="eastAsia"/>
          <w:sz w:val="28"/>
          <w:szCs w:val="32"/>
        </w:rPr>
        <w:t xml:space="preserve">exactly the same as these countries. </w:t>
      </w:r>
      <w:r w:rsidR="000000CD" w:rsidRPr="00C41905">
        <w:rPr>
          <w:rFonts w:eastAsia="標楷體" w:hint="eastAsia"/>
          <w:b/>
          <w:sz w:val="28"/>
          <w:szCs w:val="32"/>
        </w:rPr>
        <w:t>One board director pointed out</w:t>
      </w:r>
      <w:r w:rsidR="000000CD">
        <w:rPr>
          <w:rFonts w:eastAsia="標楷體" w:hint="eastAsia"/>
          <w:sz w:val="28"/>
          <w:szCs w:val="32"/>
        </w:rPr>
        <w:t xml:space="preserve"> that the US </w:t>
      </w:r>
      <w:r w:rsidR="00F7343C">
        <w:rPr>
          <w:rFonts w:eastAsia="標楷體" w:hint="eastAsia"/>
          <w:sz w:val="28"/>
          <w:szCs w:val="32"/>
        </w:rPr>
        <w:t>was already</w:t>
      </w:r>
      <w:r w:rsidR="000000CD">
        <w:rPr>
          <w:rFonts w:eastAsia="標楷體" w:hint="eastAsia"/>
          <w:sz w:val="28"/>
          <w:szCs w:val="32"/>
        </w:rPr>
        <w:t xml:space="preserve"> close to full employment, </w:t>
      </w:r>
      <w:r w:rsidR="00B73B39">
        <w:rPr>
          <w:rFonts w:eastAsia="標楷體" w:hint="eastAsia"/>
          <w:sz w:val="28"/>
          <w:szCs w:val="32"/>
        </w:rPr>
        <w:t xml:space="preserve">whereas </w:t>
      </w:r>
      <w:r w:rsidR="000000CD">
        <w:rPr>
          <w:rFonts w:eastAsia="標楷體" w:hint="eastAsia"/>
          <w:sz w:val="28"/>
          <w:szCs w:val="32"/>
        </w:rPr>
        <w:t>Taiwan</w:t>
      </w:r>
      <w:r w:rsidR="000000CD">
        <w:rPr>
          <w:rFonts w:eastAsia="標楷體"/>
          <w:sz w:val="28"/>
          <w:szCs w:val="32"/>
        </w:rPr>
        <w:t>’</w:t>
      </w:r>
      <w:r w:rsidR="000000CD">
        <w:rPr>
          <w:rFonts w:eastAsia="標楷體" w:hint="eastAsia"/>
          <w:sz w:val="28"/>
          <w:szCs w:val="32"/>
        </w:rPr>
        <w:t>s output gap remained negative</w:t>
      </w:r>
      <w:r w:rsidR="00F7343C">
        <w:rPr>
          <w:rFonts w:eastAsia="標楷體" w:hint="eastAsia"/>
          <w:sz w:val="28"/>
          <w:szCs w:val="32"/>
        </w:rPr>
        <w:t xml:space="preserve">. </w:t>
      </w:r>
      <w:r w:rsidR="00B73B39">
        <w:rPr>
          <w:rFonts w:eastAsia="標楷體" w:hint="eastAsia"/>
          <w:sz w:val="28"/>
          <w:szCs w:val="32"/>
        </w:rPr>
        <w:t>Taiwan also experienced muted inflationary pressures and a mild inflation outlook and witnessed NT dollar appreciation</w:t>
      </w:r>
      <w:r w:rsidR="003B3640">
        <w:rPr>
          <w:rFonts w:eastAsia="標楷體" w:hint="eastAsia"/>
          <w:sz w:val="28"/>
          <w:szCs w:val="32"/>
        </w:rPr>
        <w:t xml:space="preserve"> and the ensuing tightening of financial conditions</w:t>
      </w:r>
      <w:r w:rsidR="00B73B39">
        <w:rPr>
          <w:rFonts w:eastAsia="標楷體" w:hint="eastAsia"/>
          <w:sz w:val="28"/>
          <w:szCs w:val="32"/>
        </w:rPr>
        <w:t xml:space="preserve">. </w:t>
      </w:r>
      <w:r w:rsidR="0000408E">
        <w:rPr>
          <w:rFonts w:eastAsia="標楷體" w:hint="eastAsia"/>
          <w:sz w:val="28"/>
          <w:szCs w:val="32"/>
        </w:rPr>
        <w:t>This board director cautioned that a policy rate hike could result in further currency appreciation, and exchange rate movements tend to have important effects on Taiwan</w:t>
      </w:r>
      <w:r w:rsidR="0000408E">
        <w:rPr>
          <w:rFonts w:eastAsia="標楷體"/>
          <w:sz w:val="28"/>
          <w:szCs w:val="32"/>
        </w:rPr>
        <w:t>’</w:t>
      </w:r>
      <w:r w:rsidR="0000408E">
        <w:rPr>
          <w:rFonts w:eastAsia="標楷體" w:hint="eastAsia"/>
          <w:sz w:val="28"/>
          <w:szCs w:val="32"/>
        </w:rPr>
        <w:t xml:space="preserve">s economy. </w:t>
      </w:r>
      <w:r w:rsidR="00FD3E41">
        <w:rPr>
          <w:rFonts w:eastAsia="標楷體" w:hint="eastAsia"/>
          <w:sz w:val="28"/>
          <w:szCs w:val="32"/>
        </w:rPr>
        <w:t>Furthermore, some</w:t>
      </w:r>
      <w:r w:rsidR="00FD3E41" w:rsidRPr="00FD3E41">
        <w:rPr>
          <w:rFonts w:eastAsia="標楷體"/>
          <w:sz w:val="28"/>
          <w:szCs w:val="32"/>
        </w:rPr>
        <w:t xml:space="preserve"> countries</w:t>
      </w:r>
      <w:r w:rsidR="00FD3E41">
        <w:rPr>
          <w:rFonts w:eastAsia="標楷體" w:hint="eastAsia"/>
          <w:sz w:val="28"/>
          <w:szCs w:val="32"/>
        </w:rPr>
        <w:t xml:space="preserve"> enjoyed </w:t>
      </w:r>
      <w:r w:rsidR="00FD3E41">
        <w:rPr>
          <w:rFonts w:eastAsia="標楷體" w:hint="eastAsia"/>
          <w:sz w:val="28"/>
          <w:szCs w:val="32"/>
        </w:rPr>
        <w:lastRenderedPageBreak/>
        <w:t xml:space="preserve">faster </w:t>
      </w:r>
      <w:r w:rsidR="00FD3E41">
        <w:rPr>
          <w:rFonts w:eastAsia="標楷體"/>
          <w:sz w:val="28"/>
          <w:szCs w:val="32"/>
        </w:rPr>
        <w:t>economic</w:t>
      </w:r>
      <w:r w:rsidR="00FD3E41">
        <w:rPr>
          <w:rFonts w:eastAsia="標楷體" w:hint="eastAsia"/>
          <w:sz w:val="28"/>
          <w:szCs w:val="32"/>
        </w:rPr>
        <w:t xml:space="preserve"> growth but registered lower, even negative, real interest rates, whereas Taiwan</w:t>
      </w:r>
      <w:r w:rsidR="00FD3E41">
        <w:rPr>
          <w:rFonts w:eastAsia="標楷體"/>
          <w:sz w:val="28"/>
          <w:szCs w:val="32"/>
        </w:rPr>
        <w:t xml:space="preserve">’s real interest rate was </w:t>
      </w:r>
      <w:r w:rsidR="00FD3E41">
        <w:rPr>
          <w:rFonts w:eastAsia="標楷體" w:hint="eastAsia"/>
          <w:sz w:val="28"/>
          <w:szCs w:val="32"/>
        </w:rPr>
        <w:t xml:space="preserve">relatively higher and in the positive territory. </w:t>
      </w:r>
      <w:r w:rsidR="00173B4A">
        <w:rPr>
          <w:rFonts w:eastAsia="標楷體" w:hint="eastAsia"/>
          <w:sz w:val="28"/>
          <w:szCs w:val="32"/>
        </w:rPr>
        <w:t xml:space="preserve">On balance, it would be appropriate to keep the policy rates unchanged. </w:t>
      </w:r>
      <w:r w:rsidR="00C14EE5" w:rsidRPr="00C41905">
        <w:rPr>
          <w:rFonts w:eastAsia="標楷體" w:hint="eastAsia"/>
          <w:b/>
          <w:sz w:val="28"/>
          <w:szCs w:val="32"/>
        </w:rPr>
        <w:t>Another board director shared a similar view</w:t>
      </w:r>
      <w:r w:rsidR="00C14EE5">
        <w:rPr>
          <w:rFonts w:eastAsia="標楷體" w:hint="eastAsia"/>
          <w:sz w:val="28"/>
          <w:szCs w:val="32"/>
        </w:rPr>
        <w:t xml:space="preserve"> in favor of a rate hold, stating that a negative output gap, mild inflation, and higher real interest rates than</w:t>
      </w:r>
      <w:r w:rsidR="00C14EE5" w:rsidRPr="003C4AE7">
        <w:rPr>
          <w:rFonts w:eastAsia="標楷體" w:hint="eastAsia"/>
          <w:sz w:val="28"/>
          <w:szCs w:val="32"/>
        </w:rPr>
        <w:t xml:space="preserve"> </w:t>
      </w:r>
      <w:r w:rsidR="003C4AE7" w:rsidRPr="003C4AE7">
        <w:rPr>
          <w:rFonts w:eastAsia="標楷體" w:hint="eastAsia"/>
          <w:sz w:val="28"/>
          <w:szCs w:val="32"/>
        </w:rPr>
        <w:t xml:space="preserve">many neighboring countries </w:t>
      </w:r>
      <w:r w:rsidR="00C14EE5">
        <w:rPr>
          <w:rFonts w:eastAsia="標楷體" w:hint="eastAsia"/>
          <w:sz w:val="28"/>
          <w:szCs w:val="32"/>
        </w:rPr>
        <w:t>warrant no change</w:t>
      </w:r>
      <w:r w:rsidR="00DB6755">
        <w:rPr>
          <w:rFonts w:eastAsia="標楷體" w:hint="eastAsia"/>
          <w:sz w:val="28"/>
          <w:szCs w:val="32"/>
        </w:rPr>
        <w:t xml:space="preserve"> instead of </w:t>
      </w:r>
      <w:r w:rsidR="00C14EE5">
        <w:rPr>
          <w:rFonts w:eastAsia="標楷體" w:hint="eastAsia"/>
          <w:sz w:val="28"/>
          <w:szCs w:val="32"/>
        </w:rPr>
        <w:t>acting prematurely by raising rates on the heels of the Fed</w:t>
      </w:r>
      <w:r w:rsidR="00C14EE5">
        <w:rPr>
          <w:rFonts w:eastAsia="標楷體"/>
          <w:sz w:val="28"/>
          <w:szCs w:val="32"/>
        </w:rPr>
        <w:t>’</w:t>
      </w:r>
      <w:r w:rsidR="00C14EE5">
        <w:rPr>
          <w:rFonts w:eastAsia="標楷體" w:hint="eastAsia"/>
          <w:sz w:val="28"/>
          <w:szCs w:val="32"/>
        </w:rPr>
        <w:t xml:space="preserve">s hike. </w:t>
      </w:r>
    </w:p>
    <w:p w:rsidR="00BD629E" w:rsidRDefault="001962A4" w:rsidP="00CE3BC5">
      <w:pPr>
        <w:adjustRightInd/>
        <w:snapToGrid w:val="0"/>
        <w:spacing w:before="240" w:line="520" w:lineRule="exact"/>
        <w:ind w:firstLineChars="200" w:firstLine="561"/>
        <w:jc w:val="both"/>
        <w:textDirection w:val="lrTbV"/>
        <w:rPr>
          <w:rFonts w:eastAsia="標楷體"/>
          <w:sz w:val="28"/>
          <w:szCs w:val="32"/>
        </w:rPr>
      </w:pPr>
      <w:r w:rsidRPr="00C41905">
        <w:rPr>
          <w:rFonts w:eastAsia="標楷體" w:hint="eastAsia"/>
          <w:b/>
          <w:sz w:val="28"/>
          <w:szCs w:val="32"/>
        </w:rPr>
        <w:t>One board supervisor also pointed out</w:t>
      </w:r>
      <w:r>
        <w:rPr>
          <w:rFonts w:eastAsia="標楷體" w:hint="eastAsia"/>
          <w:sz w:val="28"/>
          <w:szCs w:val="32"/>
        </w:rPr>
        <w:t xml:space="preserve"> that, comparing to South Korea, Taiwan exhibited </w:t>
      </w:r>
      <w:r w:rsidR="00DB6755">
        <w:rPr>
          <w:rFonts w:eastAsia="標楷體" w:hint="eastAsia"/>
          <w:sz w:val="28"/>
          <w:szCs w:val="32"/>
        </w:rPr>
        <w:t xml:space="preserve">less rapid </w:t>
      </w:r>
      <w:r>
        <w:rPr>
          <w:rFonts w:eastAsia="標楷體" w:hint="eastAsia"/>
          <w:sz w:val="28"/>
          <w:szCs w:val="32"/>
        </w:rPr>
        <w:t>growth, lower inflationary pressures, and a higher real interest rate</w:t>
      </w:r>
      <w:r w:rsidR="00837874">
        <w:rPr>
          <w:rFonts w:eastAsia="標楷體" w:hint="eastAsia"/>
          <w:sz w:val="28"/>
          <w:szCs w:val="32"/>
        </w:rPr>
        <w:t xml:space="preserve">, weakening the rationale for a rate hike. </w:t>
      </w:r>
      <w:r w:rsidR="00BD629E" w:rsidRPr="00C41905">
        <w:rPr>
          <w:rFonts w:eastAsia="標楷體" w:hint="eastAsia"/>
          <w:b/>
          <w:sz w:val="28"/>
          <w:szCs w:val="32"/>
        </w:rPr>
        <w:t>Another board director</w:t>
      </w:r>
      <w:r w:rsidR="00BD629E">
        <w:rPr>
          <w:rFonts w:eastAsia="標楷體" w:hint="eastAsia"/>
          <w:sz w:val="28"/>
          <w:szCs w:val="32"/>
        </w:rPr>
        <w:t>, also in suppor</w:t>
      </w:r>
      <w:r w:rsidR="00CE3BC5">
        <w:rPr>
          <w:rFonts w:eastAsia="標楷體" w:hint="eastAsia"/>
          <w:sz w:val="28"/>
          <w:szCs w:val="32"/>
        </w:rPr>
        <w:t xml:space="preserve">t of a rate hold, observed that </w:t>
      </w:r>
      <w:r w:rsidR="00504177">
        <w:rPr>
          <w:rFonts w:eastAsia="標楷體" w:hint="eastAsia"/>
          <w:sz w:val="28"/>
          <w:szCs w:val="32"/>
        </w:rPr>
        <w:t xml:space="preserve">as Taiwan is likely to move ahead in next few years with moderate growth momentum and steady price trends, </w:t>
      </w:r>
      <w:r w:rsidR="0092242C">
        <w:rPr>
          <w:rFonts w:eastAsia="標楷體" w:hint="eastAsia"/>
          <w:sz w:val="28"/>
          <w:szCs w:val="32"/>
        </w:rPr>
        <w:t xml:space="preserve">near-term </w:t>
      </w:r>
      <w:r w:rsidR="00BD629E">
        <w:rPr>
          <w:rFonts w:eastAsia="標楷體" w:hint="eastAsia"/>
          <w:sz w:val="28"/>
          <w:szCs w:val="32"/>
        </w:rPr>
        <w:t xml:space="preserve">market attempts to speculate </w:t>
      </w:r>
      <w:r w:rsidR="0092242C">
        <w:rPr>
          <w:rFonts w:eastAsia="標楷體" w:hint="eastAsia"/>
          <w:sz w:val="28"/>
          <w:szCs w:val="32"/>
        </w:rPr>
        <w:t xml:space="preserve">the possibility of </w:t>
      </w:r>
      <w:r w:rsidR="00BD629E">
        <w:rPr>
          <w:rFonts w:eastAsia="標楷體" w:hint="eastAsia"/>
          <w:sz w:val="28"/>
          <w:szCs w:val="32"/>
        </w:rPr>
        <w:t xml:space="preserve">a rate hike simply based on the interest rate decisions of other central banks (such as rate hikes by the US Fed and the Bank of Korea) would be </w:t>
      </w:r>
      <w:r w:rsidR="008F24C6">
        <w:rPr>
          <w:rFonts w:eastAsia="標楷體" w:hint="eastAsia"/>
          <w:sz w:val="28"/>
          <w:szCs w:val="32"/>
        </w:rPr>
        <w:t xml:space="preserve">rather </w:t>
      </w:r>
      <w:r w:rsidR="00BD629E">
        <w:rPr>
          <w:rFonts w:eastAsia="標楷體"/>
          <w:sz w:val="28"/>
          <w:szCs w:val="32"/>
        </w:rPr>
        <w:t>conjectural</w:t>
      </w:r>
      <w:r w:rsidR="00BD629E">
        <w:rPr>
          <w:rFonts w:eastAsia="標楷體" w:hint="eastAsia"/>
          <w:sz w:val="28"/>
          <w:szCs w:val="32"/>
        </w:rPr>
        <w:t xml:space="preserve">.  </w:t>
      </w:r>
    </w:p>
    <w:p w:rsidR="00741587" w:rsidRDefault="00837874" w:rsidP="000740C9">
      <w:pPr>
        <w:adjustRightInd/>
        <w:snapToGrid w:val="0"/>
        <w:spacing w:before="240" w:line="520" w:lineRule="exact"/>
        <w:ind w:firstLineChars="200" w:firstLine="560"/>
        <w:jc w:val="both"/>
        <w:textDirection w:val="lrTbV"/>
        <w:rPr>
          <w:rFonts w:eastAsia="標楷體"/>
          <w:sz w:val="28"/>
          <w:szCs w:val="32"/>
        </w:rPr>
      </w:pPr>
      <w:r>
        <w:rPr>
          <w:rFonts w:eastAsia="標楷體" w:hint="eastAsia"/>
          <w:sz w:val="28"/>
          <w:szCs w:val="32"/>
        </w:rPr>
        <w:t xml:space="preserve"> </w:t>
      </w:r>
      <w:r w:rsidR="0092242C" w:rsidRPr="00C41905">
        <w:rPr>
          <w:rFonts w:eastAsia="標楷體" w:hint="eastAsia"/>
          <w:b/>
          <w:sz w:val="28"/>
          <w:szCs w:val="32"/>
        </w:rPr>
        <w:t xml:space="preserve">One board director also </w:t>
      </w:r>
      <w:r w:rsidR="00C41905" w:rsidRPr="00C41905">
        <w:rPr>
          <w:rFonts w:eastAsia="標楷體" w:hint="eastAsia"/>
          <w:b/>
          <w:sz w:val="28"/>
          <w:szCs w:val="32"/>
        </w:rPr>
        <w:t xml:space="preserve">noted </w:t>
      </w:r>
      <w:r w:rsidR="00741587">
        <w:rPr>
          <w:rFonts w:eastAsia="標楷體"/>
          <w:sz w:val="28"/>
          <w:szCs w:val="32"/>
        </w:rPr>
        <w:t>that the</w:t>
      </w:r>
      <w:r w:rsidR="00741587">
        <w:rPr>
          <w:rFonts w:eastAsia="標楷體" w:hint="eastAsia"/>
          <w:sz w:val="28"/>
          <w:szCs w:val="32"/>
        </w:rPr>
        <w:t xml:space="preserve"> European Central Bank and the Bank of Japan were in a </w:t>
      </w:r>
      <w:r w:rsidR="00741587">
        <w:rPr>
          <w:rFonts w:eastAsia="標楷體"/>
          <w:sz w:val="28"/>
          <w:szCs w:val="32"/>
        </w:rPr>
        <w:t>“</w:t>
      </w:r>
      <w:r w:rsidR="00741587">
        <w:rPr>
          <w:rFonts w:eastAsia="標楷體" w:hint="eastAsia"/>
          <w:sz w:val="28"/>
          <w:szCs w:val="32"/>
        </w:rPr>
        <w:t>wait-and-see</w:t>
      </w:r>
      <w:r w:rsidR="00741587">
        <w:rPr>
          <w:rFonts w:eastAsia="標楷體"/>
          <w:sz w:val="28"/>
          <w:szCs w:val="32"/>
        </w:rPr>
        <w:t>”</w:t>
      </w:r>
      <w:r w:rsidR="00741587">
        <w:rPr>
          <w:rFonts w:eastAsia="標楷體" w:hint="eastAsia"/>
          <w:sz w:val="28"/>
          <w:szCs w:val="32"/>
        </w:rPr>
        <w:t xml:space="preserve"> mode instead of following the footsteps of the Fed to raise rates. Meanwhile, a </w:t>
      </w:r>
      <w:r w:rsidR="00CE3BC5">
        <w:rPr>
          <w:rFonts w:eastAsia="標楷體" w:hint="eastAsia"/>
          <w:sz w:val="28"/>
          <w:szCs w:val="32"/>
        </w:rPr>
        <w:t xml:space="preserve">domestic </w:t>
      </w:r>
      <w:r w:rsidR="00741587">
        <w:rPr>
          <w:rFonts w:eastAsia="標楷體" w:hint="eastAsia"/>
          <w:sz w:val="28"/>
          <w:szCs w:val="32"/>
        </w:rPr>
        <w:t xml:space="preserve">wage increase slated for next year and </w:t>
      </w:r>
      <w:r w:rsidR="000740C9">
        <w:rPr>
          <w:rFonts w:eastAsia="標楷體" w:hint="eastAsia"/>
          <w:sz w:val="28"/>
          <w:szCs w:val="32"/>
        </w:rPr>
        <w:t>potential</w:t>
      </w:r>
      <w:r w:rsidR="00741587">
        <w:rPr>
          <w:rFonts w:eastAsia="標楷體" w:hint="eastAsia"/>
          <w:sz w:val="28"/>
          <w:szCs w:val="32"/>
        </w:rPr>
        <w:t xml:space="preserve"> rises in international oil prices would </w:t>
      </w:r>
      <w:r w:rsidR="00845105">
        <w:rPr>
          <w:rFonts w:eastAsia="標楷體" w:hint="eastAsia"/>
          <w:sz w:val="28"/>
          <w:szCs w:val="32"/>
        </w:rPr>
        <w:t xml:space="preserve">affect future inflation and consequently the real interest rate. Given the highly uncertain </w:t>
      </w:r>
      <w:r w:rsidR="000740C9">
        <w:rPr>
          <w:rFonts w:eastAsia="標楷體" w:hint="eastAsia"/>
          <w:sz w:val="28"/>
          <w:szCs w:val="32"/>
        </w:rPr>
        <w:t xml:space="preserve">prospects, it would be a well-advised decision to hold steady on policy rates; interest rate adjustments in line with international trends may be put on the table next year, depending on the economic and financial developments at home and abroad. </w:t>
      </w:r>
    </w:p>
    <w:p w:rsidR="00A86EA4" w:rsidRDefault="00A86EA4" w:rsidP="00A86EA4">
      <w:pPr>
        <w:adjustRightInd/>
        <w:snapToGrid w:val="0"/>
        <w:spacing w:before="240" w:line="540" w:lineRule="exact"/>
        <w:ind w:firstLineChars="200" w:firstLine="560"/>
        <w:jc w:val="both"/>
        <w:textDirection w:val="lrTbV"/>
        <w:rPr>
          <w:rFonts w:eastAsia="標楷體"/>
          <w:sz w:val="28"/>
          <w:szCs w:val="28"/>
        </w:rPr>
      </w:pPr>
      <w:r w:rsidRPr="00543487">
        <w:rPr>
          <w:rFonts w:eastAsia="標楷體" w:hint="eastAsia"/>
          <w:sz w:val="28"/>
          <w:szCs w:val="28"/>
        </w:rPr>
        <w:t xml:space="preserve">Based on the assessment of domestic and international </w:t>
      </w:r>
      <w:r w:rsidRPr="00543487">
        <w:rPr>
          <w:rFonts w:eastAsia="標楷體"/>
          <w:sz w:val="28"/>
          <w:szCs w:val="28"/>
        </w:rPr>
        <w:t>economic</w:t>
      </w:r>
      <w:r w:rsidRPr="00543487">
        <w:rPr>
          <w:rFonts w:eastAsia="標楷體" w:hint="eastAsia"/>
          <w:sz w:val="28"/>
          <w:szCs w:val="28"/>
        </w:rPr>
        <w:t xml:space="preserve"> and financial conditions and prospects, the </w:t>
      </w:r>
      <w:r w:rsidR="00CE3BC5">
        <w:rPr>
          <w:rFonts w:eastAsia="標楷體" w:hint="eastAsia"/>
          <w:sz w:val="28"/>
          <w:szCs w:val="28"/>
        </w:rPr>
        <w:t>b</w:t>
      </w:r>
      <w:r w:rsidRPr="00543487">
        <w:rPr>
          <w:rFonts w:eastAsia="標楷體" w:hint="eastAsia"/>
          <w:sz w:val="28"/>
          <w:szCs w:val="28"/>
        </w:rPr>
        <w:t xml:space="preserve">oard </w:t>
      </w:r>
      <w:r w:rsidR="00CE3BC5">
        <w:rPr>
          <w:rFonts w:eastAsia="標楷體" w:hint="eastAsia"/>
          <w:sz w:val="28"/>
          <w:szCs w:val="28"/>
        </w:rPr>
        <w:t>d</w:t>
      </w:r>
      <w:r w:rsidRPr="00543487">
        <w:rPr>
          <w:rFonts w:eastAsia="標楷體" w:hint="eastAsia"/>
          <w:sz w:val="28"/>
          <w:szCs w:val="28"/>
        </w:rPr>
        <w:t xml:space="preserve">irectors </w:t>
      </w:r>
      <w:r w:rsidR="00B90D93">
        <w:rPr>
          <w:rFonts w:eastAsia="標楷體" w:hint="eastAsia"/>
          <w:sz w:val="28"/>
          <w:szCs w:val="28"/>
        </w:rPr>
        <w:t xml:space="preserve">all </w:t>
      </w:r>
      <w:r w:rsidRPr="00543487">
        <w:rPr>
          <w:rFonts w:eastAsia="標楷體" w:hint="eastAsia"/>
          <w:sz w:val="28"/>
          <w:szCs w:val="28"/>
        </w:rPr>
        <w:t xml:space="preserve">expressed approval of </w:t>
      </w:r>
      <w:r w:rsidRPr="00543487">
        <w:rPr>
          <w:rFonts w:eastAsia="標楷體" w:hint="eastAsia"/>
          <w:sz w:val="28"/>
          <w:szCs w:val="28"/>
        </w:rPr>
        <w:lastRenderedPageBreak/>
        <w:t xml:space="preserve">keeping policy rates unchanged. </w:t>
      </w:r>
    </w:p>
    <w:p w:rsidR="006A083A" w:rsidRPr="00543487" w:rsidRDefault="006A083A" w:rsidP="006A083A">
      <w:pPr>
        <w:adjustRightInd/>
        <w:snapToGrid w:val="0"/>
        <w:spacing w:before="240" w:line="540" w:lineRule="exact"/>
        <w:ind w:left="373" w:hangingChars="133" w:hanging="373"/>
        <w:jc w:val="both"/>
        <w:textDirection w:val="lrTbV"/>
        <w:rPr>
          <w:rFonts w:eastAsia="標楷體"/>
          <w:sz w:val="28"/>
          <w:szCs w:val="28"/>
        </w:rPr>
      </w:pPr>
      <w:r w:rsidRPr="00543487">
        <w:rPr>
          <w:rFonts w:eastAsia="標楷體" w:hint="eastAsia"/>
          <w:b/>
          <w:sz w:val="28"/>
          <w:szCs w:val="28"/>
        </w:rPr>
        <w:t xml:space="preserve">3. Monetary Policy Decision: </w:t>
      </w:r>
      <w:r w:rsidR="00CE3BC5">
        <w:rPr>
          <w:rFonts w:eastAsia="標楷體" w:hint="eastAsia"/>
          <w:sz w:val="28"/>
          <w:szCs w:val="28"/>
        </w:rPr>
        <w:t xml:space="preserve">The board directors </w:t>
      </w:r>
      <w:r w:rsidRPr="00543487">
        <w:rPr>
          <w:rFonts w:eastAsia="標楷體" w:hint="eastAsia"/>
          <w:sz w:val="28"/>
          <w:szCs w:val="28"/>
        </w:rPr>
        <w:t>reached a unanimous vote t</w:t>
      </w:r>
      <w:r w:rsidRPr="00543487">
        <w:rPr>
          <w:rFonts w:eastAsia="標楷體"/>
          <w:sz w:val="28"/>
          <w:szCs w:val="28"/>
        </w:rPr>
        <w:t>o keep the discount rate, the rate on accommodations with collateral, and the rate on accommodations without collateral unchanged at 1.375%, 1.75%, and 3.625%, respectively.</w:t>
      </w:r>
    </w:p>
    <w:p w:rsidR="006A083A" w:rsidRPr="00543487" w:rsidRDefault="006A083A" w:rsidP="006A083A">
      <w:pPr>
        <w:snapToGrid w:val="0"/>
        <w:spacing w:before="240" w:line="540" w:lineRule="exact"/>
        <w:ind w:left="1121" w:hangingChars="400" w:hanging="1121"/>
        <w:jc w:val="both"/>
        <w:textDirection w:val="lrTbV"/>
        <w:rPr>
          <w:rFonts w:eastAsia="標楷體"/>
          <w:b/>
          <w:sz w:val="28"/>
          <w:szCs w:val="28"/>
        </w:rPr>
      </w:pPr>
      <w:r w:rsidRPr="00543487">
        <w:rPr>
          <w:rFonts w:eastAsia="標楷體" w:hint="eastAsia"/>
          <w:b/>
          <w:sz w:val="28"/>
          <w:szCs w:val="28"/>
        </w:rPr>
        <w:t xml:space="preserve">Voting for the proposition: </w:t>
      </w:r>
    </w:p>
    <w:p w:rsidR="006A083A" w:rsidRPr="00543487" w:rsidRDefault="006A083A" w:rsidP="006A083A">
      <w:pPr>
        <w:adjustRightInd/>
        <w:snapToGrid w:val="0"/>
        <w:spacing w:before="120" w:afterLines="50" w:after="120" w:line="540" w:lineRule="exact"/>
        <w:jc w:val="both"/>
        <w:textDirection w:val="lrTbV"/>
        <w:rPr>
          <w:rFonts w:eastAsia="標楷體"/>
          <w:sz w:val="28"/>
          <w:szCs w:val="28"/>
        </w:rPr>
      </w:pPr>
      <w:r w:rsidRPr="00543487">
        <w:rPr>
          <w:rFonts w:eastAsia="標楷體" w:hint="eastAsia"/>
          <w:sz w:val="28"/>
          <w:szCs w:val="28"/>
        </w:rPr>
        <w:t xml:space="preserve">Fai-nan </w:t>
      </w:r>
      <w:proofErr w:type="spellStart"/>
      <w:r w:rsidRPr="00543487">
        <w:rPr>
          <w:rFonts w:eastAsia="標楷體" w:hint="eastAsia"/>
          <w:sz w:val="28"/>
          <w:szCs w:val="28"/>
        </w:rPr>
        <w:t>Perng</w:t>
      </w:r>
      <w:proofErr w:type="spellEnd"/>
      <w:r w:rsidRPr="00543487">
        <w:rPr>
          <w:rFonts w:eastAsia="標楷體" w:hint="eastAsia"/>
          <w:sz w:val="28"/>
          <w:szCs w:val="28"/>
        </w:rPr>
        <w:t>, Yu-</w:t>
      </w:r>
      <w:proofErr w:type="spellStart"/>
      <w:r w:rsidRPr="00543487">
        <w:rPr>
          <w:rFonts w:eastAsia="標楷體" w:hint="eastAsia"/>
          <w:sz w:val="28"/>
          <w:szCs w:val="28"/>
        </w:rPr>
        <w:t>jer</w:t>
      </w:r>
      <w:proofErr w:type="spellEnd"/>
      <w:r w:rsidRPr="00543487">
        <w:rPr>
          <w:rFonts w:eastAsia="標楷體" w:hint="eastAsia"/>
          <w:sz w:val="28"/>
          <w:szCs w:val="28"/>
        </w:rPr>
        <w:t xml:space="preserve"> </w:t>
      </w:r>
      <w:proofErr w:type="spellStart"/>
      <w:r w:rsidRPr="00543487">
        <w:rPr>
          <w:rFonts w:eastAsia="標楷體" w:hint="eastAsia"/>
          <w:sz w:val="28"/>
          <w:szCs w:val="28"/>
        </w:rPr>
        <w:t>Sheu</w:t>
      </w:r>
      <w:proofErr w:type="spellEnd"/>
      <w:r w:rsidRPr="00543487">
        <w:rPr>
          <w:rFonts w:eastAsia="標楷體" w:hint="eastAsia"/>
          <w:sz w:val="28"/>
          <w:szCs w:val="28"/>
        </w:rPr>
        <w:t xml:space="preserve">, </w:t>
      </w:r>
      <w:r w:rsidRPr="009B29AD">
        <w:rPr>
          <w:rFonts w:eastAsia="標楷體"/>
          <w:sz w:val="28"/>
          <w:szCs w:val="28"/>
        </w:rPr>
        <w:t>Jong-Chin Shen</w:t>
      </w:r>
      <w:r w:rsidRPr="00543487">
        <w:rPr>
          <w:rFonts w:eastAsia="標楷體" w:hint="eastAsia"/>
          <w:sz w:val="28"/>
          <w:szCs w:val="28"/>
        </w:rPr>
        <w:t xml:space="preserve">, Chin-long Yang, </w:t>
      </w:r>
      <w:proofErr w:type="spellStart"/>
      <w:r w:rsidRPr="00543487">
        <w:rPr>
          <w:rFonts w:eastAsia="標楷體" w:hint="eastAsia"/>
          <w:sz w:val="28"/>
          <w:szCs w:val="28"/>
        </w:rPr>
        <w:t>Tzung</w:t>
      </w:r>
      <w:proofErr w:type="spellEnd"/>
      <w:r w:rsidRPr="00543487">
        <w:rPr>
          <w:rFonts w:eastAsia="標楷體" w:hint="eastAsia"/>
          <w:sz w:val="28"/>
          <w:szCs w:val="28"/>
        </w:rPr>
        <w:t>-ta Yen, Ming-</w:t>
      </w:r>
      <w:proofErr w:type="spellStart"/>
      <w:r w:rsidRPr="00543487">
        <w:rPr>
          <w:rFonts w:eastAsia="標楷體" w:hint="eastAsia"/>
          <w:sz w:val="28"/>
          <w:szCs w:val="28"/>
        </w:rPr>
        <w:t>yih</w:t>
      </w:r>
      <w:proofErr w:type="spellEnd"/>
      <w:r w:rsidRPr="00543487">
        <w:rPr>
          <w:rFonts w:eastAsia="標楷體" w:hint="eastAsia"/>
          <w:sz w:val="28"/>
          <w:szCs w:val="28"/>
        </w:rPr>
        <w:t xml:space="preserve"> Liang, Sheng-</w:t>
      </w:r>
      <w:proofErr w:type="spellStart"/>
      <w:r w:rsidRPr="00543487">
        <w:rPr>
          <w:rFonts w:eastAsia="標楷體" w:hint="eastAsia"/>
          <w:sz w:val="28"/>
          <w:szCs w:val="28"/>
        </w:rPr>
        <w:t>cheng</w:t>
      </w:r>
      <w:proofErr w:type="spellEnd"/>
      <w:r w:rsidRPr="00543487">
        <w:rPr>
          <w:rFonts w:eastAsia="標楷體" w:hint="eastAsia"/>
          <w:sz w:val="28"/>
          <w:szCs w:val="28"/>
        </w:rPr>
        <w:t xml:space="preserve"> Hu, </w:t>
      </w:r>
      <w:proofErr w:type="spellStart"/>
      <w:r w:rsidRPr="00543487">
        <w:rPr>
          <w:rFonts w:eastAsia="標楷體" w:hint="eastAsia"/>
          <w:sz w:val="28"/>
          <w:szCs w:val="28"/>
        </w:rPr>
        <w:t>Tsung-hsien</w:t>
      </w:r>
      <w:proofErr w:type="spellEnd"/>
      <w:r w:rsidRPr="00543487">
        <w:rPr>
          <w:rFonts w:eastAsia="標楷體" w:hint="eastAsia"/>
          <w:sz w:val="28"/>
          <w:szCs w:val="28"/>
        </w:rPr>
        <w:t xml:space="preserve"> Lin, Chen-chia Lee, </w:t>
      </w:r>
      <w:r w:rsidR="005B6EB5">
        <w:rPr>
          <w:rFonts w:eastAsia="標楷體"/>
          <w:sz w:val="28"/>
          <w:szCs w:val="28"/>
        </w:rPr>
        <w:t>Chung-</w:t>
      </w:r>
      <w:proofErr w:type="spellStart"/>
      <w:r w:rsidR="005B6EB5">
        <w:rPr>
          <w:rFonts w:eastAsia="標楷體" w:hint="eastAsia"/>
          <w:sz w:val="28"/>
          <w:szCs w:val="28"/>
        </w:rPr>
        <w:t>d</w:t>
      </w:r>
      <w:r w:rsidR="0008017B" w:rsidRPr="0008017B">
        <w:rPr>
          <w:rFonts w:eastAsia="標楷體"/>
          <w:sz w:val="28"/>
          <w:szCs w:val="28"/>
        </w:rPr>
        <w:t>ar</w:t>
      </w:r>
      <w:proofErr w:type="spellEnd"/>
      <w:r w:rsidR="0008017B" w:rsidRPr="0008017B">
        <w:rPr>
          <w:rFonts w:eastAsia="標楷體"/>
          <w:sz w:val="28"/>
          <w:szCs w:val="28"/>
        </w:rPr>
        <w:t xml:space="preserve"> Lei</w:t>
      </w:r>
      <w:r w:rsidRPr="00543487">
        <w:rPr>
          <w:rFonts w:eastAsia="標楷體" w:hint="eastAsia"/>
          <w:sz w:val="28"/>
          <w:szCs w:val="28"/>
        </w:rPr>
        <w:t>, Chao-</w:t>
      </w:r>
      <w:proofErr w:type="spellStart"/>
      <w:r w:rsidRPr="00543487">
        <w:rPr>
          <w:rFonts w:eastAsia="標楷體" w:hint="eastAsia"/>
          <w:sz w:val="28"/>
          <w:szCs w:val="28"/>
        </w:rPr>
        <w:t>yih</w:t>
      </w:r>
      <w:proofErr w:type="spellEnd"/>
      <w:r w:rsidRPr="00543487">
        <w:rPr>
          <w:rFonts w:eastAsia="標楷體" w:hint="eastAsia"/>
          <w:sz w:val="28"/>
          <w:szCs w:val="28"/>
        </w:rPr>
        <w:t xml:space="preserve"> Chen, </w:t>
      </w:r>
      <w:proofErr w:type="spellStart"/>
      <w:r w:rsidRPr="00543487">
        <w:rPr>
          <w:rFonts w:eastAsia="標楷體" w:hint="eastAsia"/>
          <w:sz w:val="28"/>
          <w:szCs w:val="28"/>
        </w:rPr>
        <w:t>Jin</w:t>
      </w:r>
      <w:proofErr w:type="spellEnd"/>
      <w:r w:rsidRPr="00543487">
        <w:rPr>
          <w:rFonts w:eastAsia="標楷體" w:hint="eastAsia"/>
          <w:sz w:val="28"/>
          <w:szCs w:val="28"/>
        </w:rPr>
        <w:t>-lung Lin</w:t>
      </w:r>
      <w:r>
        <w:rPr>
          <w:rFonts w:eastAsia="標楷體" w:hint="eastAsia"/>
          <w:sz w:val="28"/>
          <w:szCs w:val="28"/>
        </w:rPr>
        <w:t>,</w:t>
      </w:r>
      <w:r w:rsidRPr="00543487">
        <w:rPr>
          <w:rFonts w:eastAsia="標楷體" w:hint="eastAsia"/>
          <w:sz w:val="28"/>
          <w:szCs w:val="28"/>
        </w:rPr>
        <w:t xml:space="preserve"> Mei-lie Chu, Chao-</w:t>
      </w:r>
      <w:proofErr w:type="spellStart"/>
      <w:r w:rsidRPr="00543487">
        <w:rPr>
          <w:rFonts w:eastAsia="標楷體"/>
          <w:sz w:val="28"/>
          <w:szCs w:val="28"/>
        </w:rPr>
        <w:t>hs</w:t>
      </w:r>
      <w:r w:rsidRPr="00543487">
        <w:rPr>
          <w:rFonts w:eastAsia="標楷體" w:hint="eastAsia"/>
          <w:sz w:val="28"/>
          <w:szCs w:val="28"/>
        </w:rPr>
        <w:t>i</w:t>
      </w:r>
      <w:proofErr w:type="spellEnd"/>
      <w:r w:rsidRPr="00543487">
        <w:rPr>
          <w:rFonts w:eastAsia="標楷體" w:hint="eastAsia"/>
          <w:sz w:val="28"/>
          <w:szCs w:val="28"/>
        </w:rPr>
        <w:t xml:space="preserve"> Huang, </w:t>
      </w:r>
      <w:proofErr w:type="spellStart"/>
      <w:r w:rsidRPr="00543487">
        <w:rPr>
          <w:rFonts w:eastAsia="標楷體" w:hint="eastAsia"/>
          <w:sz w:val="28"/>
          <w:szCs w:val="28"/>
        </w:rPr>
        <w:t>Bih</w:t>
      </w:r>
      <w:proofErr w:type="spellEnd"/>
      <w:r w:rsidRPr="00543487">
        <w:rPr>
          <w:rFonts w:eastAsia="標楷體" w:hint="eastAsia"/>
          <w:sz w:val="28"/>
          <w:szCs w:val="28"/>
        </w:rPr>
        <w:t>-jane Liu</w:t>
      </w:r>
    </w:p>
    <w:p w:rsidR="006A083A" w:rsidRDefault="006A083A" w:rsidP="006A083A">
      <w:pPr>
        <w:snapToGrid w:val="0"/>
        <w:spacing w:before="240" w:line="540" w:lineRule="exact"/>
        <w:ind w:left="1149" w:hangingChars="410" w:hanging="1149"/>
        <w:textDirection w:val="lrTbV"/>
        <w:rPr>
          <w:rFonts w:eastAsia="標楷體"/>
          <w:sz w:val="28"/>
          <w:szCs w:val="28"/>
        </w:rPr>
      </w:pPr>
      <w:proofErr w:type="gramStart"/>
      <w:r w:rsidRPr="00543487">
        <w:rPr>
          <w:rFonts w:eastAsia="標楷體" w:hint="eastAsia"/>
          <w:b/>
          <w:sz w:val="28"/>
          <w:szCs w:val="28"/>
        </w:rPr>
        <w:t xml:space="preserve">Voting against the proposition: </w:t>
      </w:r>
      <w:r w:rsidRPr="00543487">
        <w:rPr>
          <w:rFonts w:eastAsia="標楷體" w:hint="eastAsia"/>
          <w:sz w:val="28"/>
          <w:szCs w:val="28"/>
        </w:rPr>
        <w:t>None.</w:t>
      </w:r>
      <w:proofErr w:type="gramEnd"/>
      <w:r w:rsidRPr="00543487">
        <w:rPr>
          <w:rFonts w:eastAsia="標楷體" w:hint="eastAsia"/>
          <w:sz w:val="28"/>
          <w:szCs w:val="28"/>
        </w:rPr>
        <w:t xml:space="preserve"> </w:t>
      </w:r>
    </w:p>
    <w:p w:rsidR="0008017B" w:rsidRPr="00543487" w:rsidRDefault="0008017B" w:rsidP="0008017B">
      <w:pPr>
        <w:snapToGrid w:val="0"/>
        <w:spacing w:before="240" w:line="540" w:lineRule="exact"/>
        <w:ind w:left="1148" w:hangingChars="410" w:hanging="1148"/>
        <w:textDirection w:val="lrTbV"/>
        <w:rPr>
          <w:rFonts w:eastAsia="標楷體"/>
          <w:sz w:val="28"/>
          <w:szCs w:val="28"/>
        </w:rPr>
      </w:pPr>
    </w:p>
    <w:p w:rsidR="006A083A" w:rsidRDefault="006A083A" w:rsidP="006A083A">
      <w:pPr>
        <w:widowControl/>
        <w:adjustRightInd/>
        <w:spacing w:line="240" w:lineRule="auto"/>
        <w:textAlignment w:val="auto"/>
        <w:rPr>
          <w:rFonts w:eastAsia="標楷體"/>
          <w:b/>
          <w:snapToGrid w:val="0"/>
          <w:sz w:val="28"/>
          <w:szCs w:val="28"/>
        </w:rPr>
      </w:pPr>
    </w:p>
    <w:p w:rsidR="006A083A" w:rsidRPr="00543487" w:rsidRDefault="006A083A" w:rsidP="006A083A">
      <w:pPr>
        <w:widowControl/>
        <w:adjustRightInd/>
        <w:spacing w:line="240" w:lineRule="auto"/>
        <w:textAlignment w:val="auto"/>
        <w:rPr>
          <w:rFonts w:eastAsia="標楷體"/>
          <w:b/>
          <w:sz w:val="28"/>
          <w:szCs w:val="28"/>
        </w:rPr>
      </w:pPr>
      <w:r w:rsidRPr="00543487">
        <w:rPr>
          <w:rFonts w:eastAsia="標楷體" w:hint="eastAsia"/>
          <w:b/>
          <w:snapToGrid w:val="0"/>
          <w:sz w:val="28"/>
          <w:szCs w:val="28"/>
        </w:rPr>
        <w:t xml:space="preserve">III. The Press Release </w:t>
      </w:r>
    </w:p>
    <w:p w:rsidR="006A083A" w:rsidRPr="00B60370" w:rsidRDefault="006A083A" w:rsidP="006A083A">
      <w:pPr>
        <w:spacing w:before="240" w:line="520" w:lineRule="exact"/>
        <w:ind w:firstLineChars="200" w:firstLine="560"/>
        <w:jc w:val="both"/>
        <w:rPr>
          <w:rFonts w:eastAsia="標楷體"/>
          <w:sz w:val="28"/>
          <w:szCs w:val="28"/>
        </w:rPr>
      </w:pPr>
      <w:r w:rsidRPr="00B60370">
        <w:rPr>
          <w:rFonts w:eastAsia="標楷體" w:hint="eastAsia"/>
          <w:sz w:val="28"/>
          <w:szCs w:val="28"/>
        </w:rPr>
        <w:t xml:space="preserve">The </w:t>
      </w:r>
      <w:r w:rsidR="00CE3BC5">
        <w:rPr>
          <w:rFonts w:eastAsia="標楷體" w:hint="eastAsia"/>
          <w:sz w:val="28"/>
          <w:szCs w:val="28"/>
        </w:rPr>
        <w:t>b</w:t>
      </w:r>
      <w:r w:rsidRPr="00B60370">
        <w:rPr>
          <w:rFonts w:eastAsia="標楷體" w:hint="eastAsia"/>
          <w:sz w:val="28"/>
          <w:szCs w:val="28"/>
        </w:rPr>
        <w:t xml:space="preserve">oard </w:t>
      </w:r>
      <w:r w:rsidR="00CE3BC5">
        <w:rPr>
          <w:rFonts w:eastAsia="標楷體" w:hint="eastAsia"/>
          <w:sz w:val="28"/>
          <w:szCs w:val="28"/>
        </w:rPr>
        <w:t>d</w:t>
      </w:r>
      <w:r w:rsidRPr="00B60370">
        <w:rPr>
          <w:rFonts w:eastAsia="標楷體" w:hint="eastAsia"/>
          <w:sz w:val="28"/>
          <w:szCs w:val="28"/>
        </w:rPr>
        <w:t xml:space="preserve">irectors and </w:t>
      </w:r>
      <w:r w:rsidR="00CE3BC5">
        <w:rPr>
          <w:rFonts w:eastAsia="標楷體" w:hint="eastAsia"/>
          <w:sz w:val="28"/>
          <w:szCs w:val="28"/>
        </w:rPr>
        <w:t>s</w:t>
      </w:r>
      <w:r w:rsidRPr="00B60370">
        <w:rPr>
          <w:rFonts w:eastAsia="標楷體" w:hint="eastAsia"/>
          <w:sz w:val="28"/>
          <w:szCs w:val="28"/>
        </w:rPr>
        <w:t xml:space="preserve">upervisors approved unanimously to issue the following press release in the post-meeting press conference, together with the </w:t>
      </w:r>
      <w:r w:rsidRPr="00B60370">
        <w:rPr>
          <w:rFonts w:eastAsia="標楷體"/>
          <w:sz w:val="28"/>
          <w:szCs w:val="28"/>
        </w:rPr>
        <w:t xml:space="preserve">Supplementary Materials for the </w:t>
      </w:r>
      <w:r w:rsidRPr="00B60370">
        <w:rPr>
          <w:rFonts w:eastAsia="標楷體" w:hint="eastAsia"/>
          <w:sz w:val="28"/>
          <w:szCs w:val="28"/>
        </w:rPr>
        <w:t>Post-Monetary Policy M</w:t>
      </w:r>
      <w:r w:rsidRPr="00B60370">
        <w:rPr>
          <w:rFonts w:eastAsia="標楷體"/>
          <w:sz w:val="28"/>
          <w:szCs w:val="28"/>
        </w:rPr>
        <w:t>e</w:t>
      </w:r>
      <w:r w:rsidRPr="00B60370">
        <w:rPr>
          <w:rFonts w:eastAsia="標楷體" w:hint="eastAsia"/>
          <w:sz w:val="28"/>
          <w:szCs w:val="28"/>
        </w:rPr>
        <w:t xml:space="preserve">eting Press Conference prepared by the Bank. </w:t>
      </w:r>
    </w:p>
    <w:p w:rsidR="00484509" w:rsidRPr="0002361C" w:rsidRDefault="0082315F" w:rsidP="003C4AE7">
      <w:pPr>
        <w:spacing w:before="240" w:line="520" w:lineRule="exact"/>
        <w:ind w:firstLineChars="200" w:firstLine="560"/>
        <w:jc w:val="both"/>
        <w:rPr>
          <w:rFonts w:eastAsia="標楷體"/>
          <w:sz w:val="32"/>
        </w:rPr>
      </w:pPr>
      <w:r w:rsidRPr="0082315F">
        <w:rPr>
          <w:rFonts w:eastAsia="標楷體"/>
          <w:sz w:val="28"/>
          <w:szCs w:val="28"/>
        </w:rPr>
        <w:t xml:space="preserve">The </w:t>
      </w:r>
      <w:r>
        <w:rPr>
          <w:rFonts w:eastAsia="標楷體" w:hint="eastAsia"/>
          <w:sz w:val="28"/>
          <w:szCs w:val="28"/>
        </w:rPr>
        <w:t>B</w:t>
      </w:r>
      <w:r w:rsidRPr="0082315F">
        <w:rPr>
          <w:rFonts w:eastAsia="標楷體"/>
          <w:sz w:val="28"/>
          <w:szCs w:val="28"/>
        </w:rPr>
        <w:t xml:space="preserve">ank </w:t>
      </w:r>
      <w:r>
        <w:rPr>
          <w:rFonts w:eastAsia="標楷體" w:hint="eastAsia"/>
          <w:sz w:val="28"/>
          <w:szCs w:val="28"/>
        </w:rPr>
        <w:t xml:space="preserve">will also </w:t>
      </w:r>
      <w:r w:rsidRPr="0082315F">
        <w:rPr>
          <w:rFonts w:eastAsia="標楷體"/>
          <w:sz w:val="28"/>
          <w:szCs w:val="28"/>
        </w:rPr>
        <w:t xml:space="preserve">announce the tentative </w:t>
      </w:r>
      <w:r>
        <w:rPr>
          <w:rFonts w:eastAsia="標楷體" w:hint="eastAsia"/>
          <w:sz w:val="28"/>
          <w:szCs w:val="28"/>
        </w:rPr>
        <w:t>schedule</w:t>
      </w:r>
      <w:r w:rsidRPr="0082315F">
        <w:rPr>
          <w:rFonts w:eastAsia="標楷體"/>
          <w:sz w:val="28"/>
          <w:szCs w:val="28"/>
        </w:rPr>
        <w:t xml:space="preserve"> </w:t>
      </w:r>
      <w:r>
        <w:rPr>
          <w:rFonts w:eastAsia="標楷體" w:hint="eastAsia"/>
          <w:sz w:val="28"/>
          <w:szCs w:val="28"/>
        </w:rPr>
        <w:t>of</w:t>
      </w:r>
      <w:r w:rsidRPr="0082315F">
        <w:rPr>
          <w:rFonts w:eastAsia="標楷體"/>
          <w:sz w:val="28"/>
          <w:szCs w:val="28"/>
        </w:rPr>
        <w:t xml:space="preserve"> Monetary Policy Meetings </w:t>
      </w:r>
      <w:r>
        <w:rPr>
          <w:rFonts w:eastAsia="標楷體" w:hint="eastAsia"/>
          <w:sz w:val="28"/>
          <w:szCs w:val="28"/>
        </w:rPr>
        <w:t>next year</w:t>
      </w:r>
      <w:r w:rsidR="00EC0DD0">
        <w:rPr>
          <w:rFonts w:eastAsia="標楷體" w:hint="eastAsia"/>
          <w:sz w:val="28"/>
          <w:szCs w:val="28"/>
        </w:rPr>
        <w:t xml:space="preserve">. The Meetings will take place on </w:t>
      </w:r>
      <w:r w:rsidRPr="0082315F">
        <w:rPr>
          <w:rFonts w:eastAsia="標楷體"/>
          <w:sz w:val="28"/>
          <w:szCs w:val="28"/>
        </w:rPr>
        <w:t>March 22</w:t>
      </w:r>
      <w:r>
        <w:rPr>
          <w:rFonts w:eastAsia="標楷體" w:hint="eastAsia"/>
          <w:sz w:val="28"/>
          <w:szCs w:val="28"/>
        </w:rPr>
        <w:t xml:space="preserve">, </w:t>
      </w:r>
      <w:r w:rsidRPr="0082315F">
        <w:rPr>
          <w:rFonts w:eastAsia="標楷體"/>
          <w:sz w:val="28"/>
          <w:szCs w:val="28"/>
        </w:rPr>
        <w:t>June 21</w:t>
      </w:r>
      <w:r w:rsidR="00EC0DD0">
        <w:rPr>
          <w:rFonts w:eastAsia="標楷體" w:hint="eastAsia"/>
          <w:sz w:val="28"/>
          <w:szCs w:val="28"/>
        </w:rPr>
        <w:t xml:space="preserve">, </w:t>
      </w:r>
      <w:r w:rsidRPr="0082315F">
        <w:rPr>
          <w:rFonts w:eastAsia="標楷體"/>
          <w:sz w:val="28"/>
          <w:szCs w:val="28"/>
        </w:rPr>
        <w:t>September 27</w:t>
      </w:r>
      <w:r w:rsidR="00EC0DD0">
        <w:rPr>
          <w:rFonts w:eastAsia="標楷體" w:hint="eastAsia"/>
          <w:sz w:val="28"/>
          <w:szCs w:val="28"/>
        </w:rPr>
        <w:t xml:space="preserve">, and </w:t>
      </w:r>
      <w:r w:rsidRPr="0082315F">
        <w:rPr>
          <w:rFonts w:eastAsia="標楷體"/>
          <w:sz w:val="28"/>
          <w:szCs w:val="28"/>
        </w:rPr>
        <w:t>December 20</w:t>
      </w:r>
      <w:r w:rsidR="00EC0DD0">
        <w:rPr>
          <w:rFonts w:eastAsia="標楷體" w:hint="eastAsia"/>
          <w:sz w:val="28"/>
          <w:szCs w:val="28"/>
        </w:rPr>
        <w:t xml:space="preserve"> in 2018, followed by a</w:t>
      </w:r>
      <w:r w:rsidRPr="0082315F">
        <w:rPr>
          <w:rFonts w:eastAsia="標楷體"/>
          <w:sz w:val="28"/>
          <w:szCs w:val="28"/>
        </w:rPr>
        <w:t xml:space="preserve"> news conference.</w:t>
      </w:r>
    </w:p>
    <w:p w:rsidR="006A083A" w:rsidRDefault="006A083A">
      <w:pPr>
        <w:widowControl/>
        <w:adjustRightInd/>
        <w:spacing w:line="240" w:lineRule="auto"/>
        <w:textAlignment w:val="auto"/>
        <w:rPr>
          <w:rFonts w:eastAsia="標楷體"/>
          <w:b/>
          <w:sz w:val="32"/>
        </w:rPr>
      </w:pPr>
      <w:r>
        <w:rPr>
          <w:rFonts w:eastAsia="標楷體"/>
          <w:b/>
          <w:sz w:val="32"/>
        </w:rPr>
        <w:br w:type="page"/>
      </w:r>
    </w:p>
    <w:p w:rsidR="006A083A" w:rsidRPr="00543487" w:rsidRDefault="006A083A" w:rsidP="006A083A">
      <w:pPr>
        <w:spacing w:afterLines="100" w:after="240" w:line="520" w:lineRule="exact"/>
        <w:ind w:leftChars="330" w:left="660"/>
        <w:jc w:val="right"/>
        <w:rPr>
          <w:rFonts w:eastAsia="標楷體"/>
          <w:sz w:val="28"/>
          <w:szCs w:val="28"/>
        </w:rPr>
      </w:pPr>
      <w:r w:rsidRPr="00543487">
        <w:rPr>
          <w:rFonts w:eastAsia="標楷體" w:hint="eastAsia"/>
          <w:sz w:val="28"/>
          <w:szCs w:val="28"/>
        </w:rPr>
        <w:lastRenderedPageBreak/>
        <w:t xml:space="preserve">Date: </w:t>
      </w:r>
      <w:r w:rsidR="00B345A5">
        <w:rPr>
          <w:rFonts w:eastAsia="標楷體" w:hint="eastAsia"/>
          <w:sz w:val="28"/>
          <w:szCs w:val="28"/>
        </w:rPr>
        <w:t>Dec</w:t>
      </w:r>
      <w:r>
        <w:rPr>
          <w:rFonts w:eastAsia="標楷體"/>
          <w:sz w:val="28"/>
          <w:szCs w:val="28"/>
        </w:rPr>
        <w:t>ember</w:t>
      </w:r>
      <w:r w:rsidRPr="00543487">
        <w:rPr>
          <w:rFonts w:eastAsia="標楷體" w:hint="eastAsia"/>
          <w:sz w:val="28"/>
          <w:szCs w:val="28"/>
        </w:rPr>
        <w:t xml:space="preserve"> 2</w:t>
      </w:r>
      <w:r>
        <w:rPr>
          <w:rFonts w:eastAsia="標楷體" w:hint="eastAsia"/>
          <w:sz w:val="28"/>
          <w:szCs w:val="28"/>
        </w:rPr>
        <w:t>1</w:t>
      </w:r>
      <w:r w:rsidRPr="00543487">
        <w:rPr>
          <w:rFonts w:eastAsia="標楷體" w:hint="eastAsia"/>
          <w:sz w:val="28"/>
          <w:szCs w:val="28"/>
        </w:rPr>
        <w:t>, 2017</w:t>
      </w:r>
    </w:p>
    <w:p w:rsidR="006A083A" w:rsidRPr="00543487" w:rsidRDefault="006A083A" w:rsidP="006A083A">
      <w:pPr>
        <w:spacing w:afterLines="100" w:after="240" w:line="520" w:lineRule="exact"/>
        <w:ind w:leftChars="330" w:left="660"/>
        <w:jc w:val="center"/>
        <w:rPr>
          <w:rFonts w:eastAsia="標楷體"/>
          <w:b/>
          <w:sz w:val="28"/>
          <w:szCs w:val="28"/>
        </w:rPr>
      </w:pPr>
      <w:r w:rsidRPr="00543487">
        <w:rPr>
          <w:rFonts w:eastAsia="標楷體"/>
          <w:b/>
          <w:sz w:val="28"/>
          <w:szCs w:val="28"/>
        </w:rPr>
        <w:t>Central Bank of the Republic of China (Taiwan)</w:t>
      </w:r>
    </w:p>
    <w:p w:rsidR="006A083A" w:rsidRPr="00543487" w:rsidRDefault="006A083A" w:rsidP="006A083A">
      <w:pPr>
        <w:spacing w:afterLines="100" w:after="240" w:line="520" w:lineRule="exact"/>
        <w:ind w:leftChars="330" w:left="660"/>
        <w:jc w:val="center"/>
        <w:rPr>
          <w:rFonts w:eastAsia="標楷體"/>
          <w:b/>
          <w:sz w:val="28"/>
          <w:szCs w:val="28"/>
        </w:rPr>
      </w:pPr>
      <w:r w:rsidRPr="00543487">
        <w:rPr>
          <w:rFonts w:eastAsia="標楷體"/>
          <w:b/>
          <w:sz w:val="28"/>
          <w:szCs w:val="28"/>
        </w:rPr>
        <w:t xml:space="preserve">PRESS RELEASE </w:t>
      </w:r>
    </w:p>
    <w:p w:rsidR="00BD32CA" w:rsidRDefault="006A083A" w:rsidP="00BD32CA">
      <w:pPr>
        <w:spacing w:afterLines="150" w:after="360" w:line="520" w:lineRule="exact"/>
        <w:ind w:leftChars="330" w:left="660"/>
        <w:jc w:val="center"/>
        <w:rPr>
          <w:rFonts w:eastAsia="標楷體"/>
          <w:b/>
          <w:sz w:val="28"/>
          <w:szCs w:val="28"/>
        </w:rPr>
      </w:pPr>
      <w:r w:rsidRPr="00543487">
        <w:rPr>
          <w:rFonts w:eastAsia="標楷體"/>
          <w:b/>
          <w:sz w:val="28"/>
          <w:szCs w:val="28"/>
        </w:rPr>
        <w:t>Monetary Policy Decision of the Board Meeting</w:t>
      </w:r>
    </w:p>
    <w:p w:rsidR="00BD32CA" w:rsidRPr="00DF3E92" w:rsidRDefault="00055735" w:rsidP="00055735">
      <w:pPr>
        <w:spacing w:before="240" w:line="520" w:lineRule="exact"/>
        <w:jc w:val="both"/>
        <w:rPr>
          <w:rFonts w:eastAsia="標楷體"/>
          <w:sz w:val="28"/>
          <w:szCs w:val="28"/>
        </w:rPr>
      </w:pPr>
      <w:r w:rsidRPr="00DF3E92">
        <w:rPr>
          <w:rFonts w:eastAsia="標楷體" w:hint="eastAsia"/>
          <w:sz w:val="28"/>
          <w:szCs w:val="28"/>
        </w:rPr>
        <w:t xml:space="preserve">I. </w:t>
      </w:r>
      <w:r w:rsidR="00BD32CA" w:rsidRPr="00DF3E92">
        <w:rPr>
          <w:rFonts w:eastAsia="標楷體"/>
          <w:sz w:val="28"/>
          <w:szCs w:val="28"/>
        </w:rPr>
        <w:t>Global economic and financial conditions</w:t>
      </w:r>
    </w:p>
    <w:p w:rsidR="00EA1B36" w:rsidRPr="00DF3E92" w:rsidRDefault="00EA1B36" w:rsidP="00EA1B36">
      <w:pPr>
        <w:spacing w:before="240" w:line="520" w:lineRule="exact"/>
        <w:ind w:leftChars="142" w:left="284"/>
        <w:jc w:val="both"/>
        <w:rPr>
          <w:rFonts w:eastAsia="標楷體"/>
          <w:sz w:val="28"/>
          <w:szCs w:val="28"/>
        </w:rPr>
      </w:pPr>
      <w:r w:rsidRPr="00DF3E92">
        <w:rPr>
          <w:rFonts w:eastAsia="標楷體"/>
          <w:sz w:val="28"/>
          <w:szCs w:val="28"/>
        </w:rPr>
        <w:t>Since the Board met in late September this year, the global economy has experienced synchronized growth and will move into next year with a similar outlook. Among major economies, the US economy is expected to post mild expansion, while the euro area and Japan might show some signs of moderation. Growth in China and the ASEAN economies could grow at a slightly slower pace.</w:t>
      </w:r>
    </w:p>
    <w:p w:rsidR="00EA1B36" w:rsidRPr="00DF3E92" w:rsidRDefault="00EA1B36" w:rsidP="00EA1B36">
      <w:pPr>
        <w:spacing w:before="240" w:line="520" w:lineRule="exact"/>
        <w:ind w:leftChars="142" w:left="284"/>
        <w:jc w:val="both"/>
        <w:rPr>
          <w:rFonts w:eastAsia="標楷體"/>
          <w:sz w:val="28"/>
          <w:szCs w:val="28"/>
        </w:rPr>
      </w:pPr>
      <w:r w:rsidRPr="00DF3E92">
        <w:rPr>
          <w:rFonts w:eastAsia="標楷體"/>
          <w:sz w:val="28"/>
          <w:szCs w:val="28"/>
        </w:rPr>
        <w:t>Recently, central banks in advanced economies such as the US and the UK have been on the path toward gradual normalization of monetary policy, whereas Japan and most emerging market economies have continued with an accommodative monetary policy stance. The divergent path of monetary policy in major economies, the developments and impact of the US economic and trade policies, rising trade protectionism, and geopolitical risks will all add to the uncertainties surrounding the global economic and financial outlook.</w:t>
      </w:r>
    </w:p>
    <w:p w:rsidR="00BD32CA" w:rsidRPr="00EA1B36" w:rsidRDefault="00055735" w:rsidP="00055735">
      <w:pPr>
        <w:spacing w:before="240" w:line="520" w:lineRule="exact"/>
        <w:jc w:val="both"/>
        <w:rPr>
          <w:rFonts w:eastAsia="標楷體"/>
          <w:sz w:val="28"/>
          <w:szCs w:val="28"/>
        </w:rPr>
      </w:pPr>
      <w:r w:rsidRPr="00EA1B36">
        <w:rPr>
          <w:rFonts w:eastAsia="標楷體" w:hint="eastAsia"/>
          <w:sz w:val="28"/>
          <w:szCs w:val="28"/>
        </w:rPr>
        <w:t xml:space="preserve">II. </w:t>
      </w:r>
      <w:r w:rsidR="00BD32CA" w:rsidRPr="00EA1B36">
        <w:rPr>
          <w:rFonts w:eastAsia="標楷體"/>
          <w:sz w:val="28"/>
          <w:szCs w:val="28"/>
        </w:rPr>
        <w:t>Domestic economic and financial conditions</w:t>
      </w:r>
    </w:p>
    <w:p w:rsidR="00BD32CA" w:rsidRPr="00EA1B36" w:rsidRDefault="00EA1B36" w:rsidP="00055735">
      <w:pPr>
        <w:spacing w:before="240" w:line="520" w:lineRule="exact"/>
        <w:ind w:left="285" w:hanging="285"/>
        <w:jc w:val="both"/>
        <w:rPr>
          <w:rFonts w:eastAsia="標楷體"/>
          <w:sz w:val="28"/>
          <w:szCs w:val="28"/>
        </w:rPr>
      </w:pPr>
      <w:r w:rsidRPr="00EA1B36">
        <w:rPr>
          <w:rFonts w:eastAsia="標楷體" w:hint="eastAsia"/>
          <w:sz w:val="28"/>
          <w:szCs w:val="28"/>
        </w:rPr>
        <w:t>1.</w:t>
      </w:r>
      <w:r w:rsidR="00B31BD5">
        <w:rPr>
          <w:rFonts w:eastAsia="標楷體" w:hint="eastAsia"/>
          <w:sz w:val="28"/>
          <w:szCs w:val="28"/>
        </w:rPr>
        <w:t xml:space="preserve"> </w:t>
      </w:r>
      <w:r w:rsidRPr="00EA1B36">
        <w:rPr>
          <w:rFonts w:eastAsia="標楷體"/>
          <w:sz w:val="28"/>
          <w:szCs w:val="28"/>
        </w:rPr>
        <w:t xml:space="preserve">Exports and industrial production both recently recorded continuous expansion, while private consumption rose mildly. Nevertheless, growth momentum for private investment remained subdued. The CBC forecasts the </w:t>
      </w:r>
      <w:r w:rsidRPr="00EA1B36">
        <w:rPr>
          <w:rFonts w:eastAsia="標楷體"/>
          <w:sz w:val="28"/>
          <w:szCs w:val="28"/>
        </w:rPr>
        <w:lastRenderedPageBreak/>
        <w:t>domestic economy to advance by 2.41% in the fourth quarter 2017 and 2.61% for the entire year. Labor market conditions were stable with employment continuing to increase and the unemployment rate declining further.</w:t>
      </w:r>
    </w:p>
    <w:p w:rsidR="00BD32CA" w:rsidRPr="00EA1B36" w:rsidRDefault="00EA1B36" w:rsidP="00055735">
      <w:pPr>
        <w:spacing w:before="240" w:line="520" w:lineRule="exact"/>
        <w:ind w:leftChars="142" w:left="284"/>
        <w:jc w:val="both"/>
        <w:rPr>
          <w:rFonts w:eastAsia="標楷體"/>
          <w:sz w:val="28"/>
          <w:szCs w:val="28"/>
        </w:rPr>
      </w:pPr>
      <w:r w:rsidRPr="00EA1B36">
        <w:rPr>
          <w:rFonts w:eastAsia="標楷體"/>
          <w:sz w:val="28"/>
          <w:szCs w:val="28"/>
        </w:rPr>
        <w:t>For the year of 2018, on the back of an anticipated steady recovery in the world economy, momentum for exports and private investment is likely to sustain. In addition, private consumption is expected to remain stable, and government spending may register continued growth. As a result, the CBC projects Taiwan's economy to advance 2.35% for 2018.</w:t>
      </w:r>
    </w:p>
    <w:p w:rsidR="00EA1B36" w:rsidRDefault="00055735" w:rsidP="00EA1B36">
      <w:pPr>
        <w:spacing w:before="240" w:line="520" w:lineRule="exact"/>
        <w:ind w:left="285" w:hanging="285"/>
        <w:jc w:val="both"/>
        <w:rPr>
          <w:rFonts w:eastAsia="標楷體"/>
          <w:sz w:val="28"/>
          <w:szCs w:val="28"/>
        </w:rPr>
      </w:pPr>
      <w:r w:rsidRPr="00EA1B36">
        <w:rPr>
          <w:rFonts w:eastAsia="標楷體" w:hint="eastAsia"/>
          <w:sz w:val="28"/>
          <w:szCs w:val="28"/>
        </w:rPr>
        <w:t xml:space="preserve">2. </w:t>
      </w:r>
      <w:r w:rsidR="00EA1B36" w:rsidRPr="00EA1B36">
        <w:rPr>
          <w:rFonts w:eastAsia="標楷體"/>
          <w:sz w:val="28"/>
          <w:szCs w:val="28"/>
        </w:rPr>
        <w:t xml:space="preserve">In recent months, a continued upturn in international oil prices has pushed up domestic import prices. However, NT dollar appreciation has helped ease the pressure on imported inflation. Meanwhile, the stable rates on basic cost of living as well as a higher comparison base of vegetables and fruit </w:t>
      </w:r>
      <w:proofErr w:type="spellStart"/>
      <w:r w:rsidR="00EA1B36" w:rsidRPr="00EA1B36">
        <w:rPr>
          <w:rFonts w:eastAsia="標楷體"/>
          <w:sz w:val="28"/>
          <w:szCs w:val="28"/>
        </w:rPr>
        <w:t>priceswageThe</w:t>
      </w:r>
      <w:proofErr w:type="spellEnd"/>
      <w:r w:rsidR="00EA1B36" w:rsidRPr="00EA1B36">
        <w:rPr>
          <w:rFonts w:eastAsia="標楷體"/>
          <w:sz w:val="28"/>
          <w:szCs w:val="28"/>
        </w:rPr>
        <w:t xml:space="preserve"> CBC forecasts CPI and core inflation (excluding vegetables, fruit, and energy items) for 2017 to average 0.61% and 1.02% year on year, respectively, suggesting that current inflation is rather stable.</w:t>
      </w:r>
    </w:p>
    <w:p w:rsidR="00EA1B36" w:rsidRDefault="00EA1B36" w:rsidP="00EA1B36">
      <w:pPr>
        <w:spacing w:before="240" w:line="520" w:lineRule="exact"/>
        <w:ind w:leftChars="142" w:left="284"/>
        <w:jc w:val="both"/>
        <w:rPr>
          <w:rFonts w:eastAsia="標楷體"/>
          <w:sz w:val="28"/>
          <w:szCs w:val="28"/>
        </w:rPr>
      </w:pPr>
      <w:r w:rsidRPr="00EA1B36">
        <w:rPr>
          <w:rFonts w:eastAsia="標楷體"/>
          <w:sz w:val="28"/>
          <w:szCs w:val="28"/>
        </w:rPr>
        <w:t>Looking ahead to 2018, private sector might raise wages in step with the hikes in minimum wage and public sector employee pay, which could provide a thrust to prices. However, in the context of mild increases in international oil prices, moderate domestic demand, and the output gap remaining negative, the CBC projects CPI and core CPI to both rise at a pace of 1.12% year on year in 2018, reflecting a mild inflation outlook (see Table 1 in Appendix 1).</w:t>
      </w:r>
    </w:p>
    <w:p w:rsidR="00EA1B36" w:rsidRPr="00EA1B36" w:rsidRDefault="00EA1B36" w:rsidP="00EA1B36">
      <w:pPr>
        <w:spacing w:before="240" w:line="520" w:lineRule="exact"/>
        <w:ind w:left="285" w:hanging="285"/>
        <w:jc w:val="both"/>
        <w:rPr>
          <w:rFonts w:eastAsia="標楷體"/>
          <w:sz w:val="28"/>
          <w:szCs w:val="28"/>
        </w:rPr>
      </w:pPr>
      <w:r w:rsidRPr="00EA1B36">
        <w:rPr>
          <w:rFonts w:eastAsia="標楷體"/>
          <w:sz w:val="28"/>
          <w:szCs w:val="28"/>
        </w:rPr>
        <w:t>3.</w:t>
      </w:r>
      <w:r w:rsidRPr="00EA1B36">
        <w:rPr>
          <w:rFonts w:eastAsia="標楷體"/>
          <w:sz w:val="28"/>
          <w:szCs w:val="28"/>
        </w:rPr>
        <w:tab/>
        <w:t xml:space="preserve">Against a backdrop of stable inflation and economic recovery, the CBC has continued to manage market liquidity and help maintain banks' excess reserves at an appropriate level. For the first eleven months of the year, bank credit registered steady growth with bank loans and investments expanding by </w:t>
      </w:r>
      <w:r w:rsidRPr="00EA1B36">
        <w:rPr>
          <w:rFonts w:eastAsia="標楷體"/>
          <w:sz w:val="28"/>
          <w:szCs w:val="28"/>
        </w:rPr>
        <w:lastRenderedPageBreak/>
        <w:t xml:space="preserve">4.79% year on year, while the monetary aggregate M2 posted an average annual growth rate of 3.76%. This suggests there is ample market liquidity to support economic activity.     </w:t>
      </w:r>
    </w:p>
    <w:p w:rsidR="00EA1B36" w:rsidRPr="00EA1B36" w:rsidRDefault="00EA1B36" w:rsidP="00EA1B36">
      <w:pPr>
        <w:spacing w:before="240" w:line="520" w:lineRule="exact"/>
        <w:ind w:leftChars="142" w:left="284"/>
        <w:jc w:val="both"/>
        <w:rPr>
          <w:rFonts w:eastAsia="標楷體"/>
          <w:sz w:val="28"/>
          <w:szCs w:val="28"/>
        </w:rPr>
      </w:pPr>
      <w:r w:rsidRPr="00EA1B36">
        <w:rPr>
          <w:rFonts w:eastAsia="標楷體"/>
          <w:sz w:val="28"/>
          <w:szCs w:val="28"/>
        </w:rPr>
        <w:t xml:space="preserve">In recent months, both short- and long-term market interest rates have held steady, and the domestic stock prices have stayed elevated, whereas the NT dollar has strengthened against the US dollar. Overall, the financial condition index has pointed to slightly tighter financial conditions.  </w:t>
      </w:r>
    </w:p>
    <w:p w:rsidR="00EA1B36" w:rsidRPr="00EA1B36" w:rsidRDefault="00EA1B36" w:rsidP="00EA1B36">
      <w:pPr>
        <w:spacing w:before="240" w:line="520" w:lineRule="exact"/>
        <w:jc w:val="both"/>
        <w:rPr>
          <w:rFonts w:eastAsia="標楷體"/>
          <w:sz w:val="28"/>
          <w:szCs w:val="28"/>
        </w:rPr>
      </w:pPr>
      <w:r w:rsidRPr="00EA1B36">
        <w:rPr>
          <w:rFonts w:eastAsia="標楷體"/>
          <w:sz w:val="28"/>
          <w:szCs w:val="28"/>
        </w:rPr>
        <w:t>III.</w:t>
      </w:r>
      <w:r w:rsidRPr="00EA1B36">
        <w:rPr>
          <w:rFonts w:eastAsia="標楷體"/>
          <w:sz w:val="28"/>
          <w:szCs w:val="28"/>
        </w:rPr>
        <w:tab/>
        <w:t xml:space="preserve">Monetary policy decisions </w:t>
      </w:r>
    </w:p>
    <w:p w:rsidR="00EA1B36" w:rsidRPr="00EA1B36" w:rsidRDefault="00EA1B36" w:rsidP="00EA1B36">
      <w:pPr>
        <w:spacing w:before="240" w:line="520" w:lineRule="exact"/>
        <w:ind w:leftChars="142" w:left="284"/>
        <w:jc w:val="both"/>
        <w:rPr>
          <w:rFonts w:eastAsia="標楷體"/>
          <w:sz w:val="28"/>
          <w:szCs w:val="28"/>
        </w:rPr>
      </w:pPr>
      <w:r w:rsidRPr="00EA1B36">
        <w:rPr>
          <w:rFonts w:eastAsia="標楷體"/>
          <w:sz w:val="28"/>
          <w:szCs w:val="28"/>
        </w:rPr>
        <w:t>In sum, uncertainties still cast a shadow over next year's global economic outlook. The domestic economic growth is likely to pick up moderately, while the output gap remains negative. Both current inflationary pressures and future inflation expectations are anchored. The financial conditions have experienced some strains, while Taiwan's real interest rate stands at an appropriate level among major economies (see Table 2 and Figure 1 in Appendix 1). In light of the above developments, the Board judged that maintaining the policy rates and the M2 target range unchanged will help to foster a stable financial environment and achieve sustained economic growth.</w:t>
      </w:r>
    </w:p>
    <w:p w:rsidR="00EA1B36" w:rsidRPr="00EA1B36" w:rsidRDefault="00EA1B36" w:rsidP="00EA1B36">
      <w:pPr>
        <w:spacing w:before="240" w:line="520" w:lineRule="exact"/>
        <w:ind w:leftChars="142" w:left="284"/>
        <w:jc w:val="both"/>
        <w:rPr>
          <w:rFonts w:eastAsia="標楷體"/>
          <w:sz w:val="28"/>
          <w:szCs w:val="28"/>
        </w:rPr>
      </w:pPr>
      <w:r w:rsidRPr="00EA1B36">
        <w:rPr>
          <w:rFonts w:eastAsia="標楷體"/>
          <w:sz w:val="28"/>
          <w:szCs w:val="28"/>
        </w:rPr>
        <w:t>The Board reached the following decisions unanimously at the Meeting today:</w:t>
      </w:r>
    </w:p>
    <w:p w:rsidR="00EA1B36" w:rsidRPr="00EA1B36" w:rsidRDefault="00EA1B36" w:rsidP="00EA1B36">
      <w:pPr>
        <w:spacing w:before="240" w:line="520" w:lineRule="exact"/>
        <w:ind w:left="285" w:hanging="285"/>
        <w:jc w:val="both"/>
        <w:rPr>
          <w:rFonts w:eastAsia="標楷體"/>
          <w:sz w:val="28"/>
          <w:szCs w:val="28"/>
        </w:rPr>
      </w:pPr>
      <w:r w:rsidRPr="00EA1B36">
        <w:rPr>
          <w:rFonts w:eastAsia="標楷體"/>
          <w:sz w:val="28"/>
          <w:szCs w:val="28"/>
        </w:rPr>
        <w:t>1.</w:t>
      </w:r>
      <w:r w:rsidRPr="00EA1B36">
        <w:rPr>
          <w:rFonts w:eastAsia="標楷體"/>
          <w:sz w:val="28"/>
          <w:szCs w:val="28"/>
        </w:rPr>
        <w:tab/>
        <w:t>The discount rate, the rate on accommodations with collateral, and the rate on accommodations without collateral are kept unchanged at 1.375%, 1.75%, and 3.625%, respectively.</w:t>
      </w:r>
    </w:p>
    <w:p w:rsidR="00EA1B36" w:rsidRPr="00EA1B36" w:rsidRDefault="00EA1B36" w:rsidP="00EA1B36">
      <w:pPr>
        <w:spacing w:before="240" w:line="520" w:lineRule="exact"/>
        <w:ind w:left="285" w:hanging="285"/>
        <w:jc w:val="both"/>
        <w:rPr>
          <w:rFonts w:eastAsia="標楷體"/>
          <w:sz w:val="28"/>
          <w:szCs w:val="28"/>
        </w:rPr>
      </w:pPr>
      <w:r w:rsidRPr="00EA1B36">
        <w:rPr>
          <w:rFonts w:eastAsia="標楷體"/>
          <w:sz w:val="28"/>
          <w:szCs w:val="28"/>
        </w:rPr>
        <w:t>2.</w:t>
      </w:r>
      <w:r w:rsidRPr="00EA1B36">
        <w:rPr>
          <w:rFonts w:eastAsia="標楷體"/>
          <w:sz w:val="28"/>
          <w:szCs w:val="28"/>
        </w:rPr>
        <w:tab/>
        <w:t>Taking into account the economic growth and price trends, the Board decided to set the 2018 M2 growth target range at 2.5% to 6.5% (see Appendix 2), the same as this year.</w:t>
      </w:r>
    </w:p>
    <w:p w:rsidR="00EA1B36" w:rsidRPr="00EA1B36" w:rsidRDefault="00EA1B36" w:rsidP="00EA1B36">
      <w:pPr>
        <w:spacing w:before="240" w:line="520" w:lineRule="exact"/>
        <w:ind w:leftChars="142" w:left="284"/>
        <w:jc w:val="both"/>
        <w:rPr>
          <w:rFonts w:eastAsia="標楷體"/>
          <w:sz w:val="28"/>
          <w:szCs w:val="28"/>
        </w:rPr>
      </w:pPr>
      <w:r w:rsidRPr="00EA1B36">
        <w:rPr>
          <w:rFonts w:eastAsia="標楷體"/>
          <w:sz w:val="28"/>
          <w:szCs w:val="28"/>
        </w:rPr>
        <w:lastRenderedPageBreak/>
        <w:t>The CBC will continue to closely monitor the latest developments in both actual and expected inflation, output gap, and other international and domestic economic and financial conditions. We will undertake appropriate monetary policy actions accordingly in an attempt to fulfill the central bank's statutory mandate.</w:t>
      </w:r>
    </w:p>
    <w:p w:rsidR="00EA1B36" w:rsidRPr="00EA1B36" w:rsidRDefault="00EA1B36" w:rsidP="00EA1B36">
      <w:pPr>
        <w:spacing w:before="240" w:line="520" w:lineRule="exact"/>
        <w:ind w:left="283" w:hangingChars="101" w:hanging="283"/>
        <w:jc w:val="both"/>
        <w:rPr>
          <w:rFonts w:eastAsia="標楷體"/>
          <w:sz w:val="28"/>
          <w:szCs w:val="28"/>
        </w:rPr>
      </w:pPr>
      <w:r w:rsidRPr="00EA1B36">
        <w:rPr>
          <w:rFonts w:eastAsia="標楷體"/>
          <w:sz w:val="28"/>
          <w:szCs w:val="28"/>
        </w:rPr>
        <w:t>IV.</w:t>
      </w:r>
      <w:r>
        <w:rPr>
          <w:rFonts w:eastAsia="標楷體" w:hint="eastAsia"/>
          <w:sz w:val="28"/>
          <w:szCs w:val="28"/>
        </w:rPr>
        <w:t xml:space="preserve"> </w:t>
      </w:r>
      <w:r w:rsidRPr="00EA1B36">
        <w:rPr>
          <w:rFonts w:eastAsia="標楷體"/>
          <w:sz w:val="28"/>
          <w:szCs w:val="28"/>
        </w:rPr>
        <w:t>In principle, the NT dollar exchange rate is determined by market forces. If irregular factors (such as massive inflows or outflows of short-term capital) lead to excess volatility and disorderly movements in the NT dollar exchange rate with adverse implications for economic and financial stability, the CBC will, in line with its mandate, step in to maintain an orderly market so as to ensure economic and financial stability.</w:t>
      </w:r>
    </w:p>
    <w:p w:rsidR="007247A6" w:rsidRDefault="007247A6" w:rsidP="007247A6">
      <w:pPr>
        <w:spacing w:line="480" w:lineRule="exact"/>
        <w:jc w:val="center"/>
        <w:rPr>
          <w:rFonts w:eastAsia="標楷體"/>
          <w:b/>
          <w:sz w:val="28"/>
          <w:szCs w:val="28"/>
        </w:rPr>
      </w:pPr>
      <w:r>
        <w:rPr>
          <w:rFonts w:eastAsia="標楷體"/>
          <w:b/>
          <w:sz w:val="32"/>
        </w:rPr>
        <w:br w:type="page"/>
      </w:r>
      <w:r>
        <w:rPr>
          <w:rFonts w:eastAsia="標楷體" w:hint="eastAsia"/>
          <w:b/>
          <w:sz w:val="28"/>
          <w:szCs w:val="28"/>
        </w:rPr>
        <w:lastRenderedPageBreak/>
        <w:t xml:space="preserve">Appendix 1 </w:t>
      </w:r>
    </w:p>
    <w:p w:rsidR="007247A6" w:rsidRPr="009032EE" w:rsidRDefault="007247A6" w:rsidP="007247A6">
      <w:pPr>
        <w:spacing w:line="480" w:lineRule="exact"/>
        <w:jc w:val="center"/>
        <w:rPr>
          <w:rFonts w:eastAsia="標楷體"/>
          <w:b/>
          <w:sz w:val="28"/>
          <w:szCs w:val="28"/>
        </w:rPr>
      </w:pPr>
      <w:r>
        <w:rPr>
          <w:rFonts w:eastAsia="標楷體" w:hint="eastAsia"/>
          <w:b/>
          <w:sz w:val="28"/>
          <w:szCs w:val="28"/>
        </w:rPr>
        <w:t xml:space="preserve">Table </w:t>
      </w:r>
      <w:proofErr w:type="gramStart"/>
      <w:r>
        <w:rPr>
          <w:rFonts w:eastAsia="標楷體" w:hint="eastAsia"/>
          <w:b/>
          <w:sz w:val="28"/>
          <w:szCs w:val="28"/>
        </w:rPr>
        <w:t xml:space="preserve">1  </w:t>
      </w:r>
      <w:r>
        <w:rPr>
          <w:rFonts w:eastAsia="標楷體"/>
          <w:b/>
          <w:sz w:val="28"/>
          <w:szCs w:val="28"/>
        </w:rPr>
        <w:t>Taiwan</w:t>
      </w:r>
      <w:r w:rsidRPr="00C37050">
        <w:rPr>
          <w:rFonts w:eastAsia="標楷體" w:hint="eastAsia"/>
          <w:b/>
          <w:sz w:val="28"/>
          <w:szCs w:val="28"/>
        </w:rPr>
        <w:t>'</w:t>
      </w:r>
      <w:r w:rsidRPr="009032EE">
        <w:rPr>
          <w:rFonts w:eastAsia="標楷體"/>
          <w:b/>
          <w:sz w:val="28"/>
          <w:szCs w:val="28"/>
        </w:rPr>
        <w:t>s</w:t>
      </w:r>
      <w:proofErr w:type="gramEnd"/>
      <w:r w:rsidRPr="009032EE">
        <w:rPr>
          <w:rFonts w:eastAsia="標楷體"/>
          <w:b/>
          <w:sz w:val="28"/>
          <w:szCs w:val="28"/>
        </w:rPr>
        <w:t xml:space="preserve"> Inflationary Pressures and Inflation Outlook</w:t>
      </w:r>
    </w:p>
    <w:tbl>
      <w:tblPr>
        <w:tblpPr w:leftFromText="180" w:rightFromText="180" w:vertAnchor="text" w:horzAnchor="margin" w:tblpY="453"/>
        <w:tblW w:w="8053" w:type="dxa"/>
        <w:tblLayout w:type="fixed"/>
        <w:tblCellMar>
          <w:left w:w="28" w:type="dxa"/>
          <w:right w:w="28" w:type="dxa"/>
        </w:tblCellMar>
        <w:tblLook w:val="04A0" w:firstRow="1" w:lastRow="0" w:firstColumn="1" w:lastColumn="0" w:noHBand="0" w:noVBand="1"/>
      </w:tblPr>
      <w:tblGrid>
        <w:gridCol w:w="1249"/>
        <w:gridCol w:w="2976"/>
        <w:gridCol w:w="1276"/>
        <w:gridCol w:w="1276"/>
        <w:gridCol w:w="1276"/>
      </w:tblGrid>
      <w:tr w:rsidR="007247A6" w:rsidRPr="00F356BE" w:rsidTr="007247A6">
        <w:trPr>
          <w:trHeight w:val="516"/>
        </w:trPr>
        <w:tc>
          <w:tcPr>
            <w:tcW w:w="8053" w:type="dxa"/>
            <w:gridSpan w:val="5"/>
            <w:tcBorders>
              <w:top w:val="nil"/>
              <w:left w:val="nil"/>
              <w:bottom w:val="single" w:sz="8" w:space="0" w:color="auto"/>
              <w:right w:val="nil"/>
            </w:tcBorders>
            <w:shd w:val="clear" w:color="000000" w:fill="FFFFFF"/>
            <w:noWrap/>
            <w:vAlign w:val="bottom"/>
            <w:hideMark/>
          </w:tcPr>
          <w:p w:rsidR="007247A6" w:rsidRPr="00F356BE" w:rsidRDefault="007247A6" w:rsidP="007247A6">
            <w:pPr>
              <w:widowControl/>
              <w:wordWrap w:val="0"/>
              <w:jc w:val="right"/>
              <w:rPr>
                <w:rFonts w:eastAsia="標楷體"/>
              </w:rPr>
            </w:pPr>
            <w:r w:rsidRPr="00F356BE">
              <w:rPr>
                <w:sz w:val="22"/>
                <w:szCs w:val="22"/>
              </w:rPr>
              <w:t xml:space="preserve">　</w:t>
            </w:r>
            <w:r w:rsidRPr="00F356BE">
              <w:rPr>
                <w:rFonts w:eastAsia="標楷體"/>
              </w:rPr>
              <w:t>Unit: %</w:t>
            </w:r>
          </w:p>
        </w:tc>
      </w:tr>
      <w:tr w:rsidR="007247A6" w:rsidRPr="00F356BE" w:rsidTr="007247A6">
        <w:trPr>
          <w:trHeight w:val="444"/>
        </w:trPr>
        <w:tc>
          <w:tcPr>
            <w:tcW w:w="1249" w:type="dxa"/>
            <w:vMerge w:val="restart"/>
            <w:tcBorders>
              <w:top w:val="single" w:sz="8" w:space="0" w:color="auto"/>
              <w:left w:val="single" w:sz="6" w:space="0" w:color="auto"/>
              <w:right w:val="single" w:sz="6" w:space="0" w:color="auto"/>
            </w:tcBorders>
            <w:shd w:val="clear" w:color="000000" w:fill="FFFFFF"/>
            <w:noWrap/>
            <w:vAlign w:val="bottom"/>
            <w:hideMark/>
          </w:tcPr>
          <w:p w:rsidR="007247A6" w:rsidRPr="00F356BE" w:rsidRDefault="007247A6" w:rsidP="007247A6">
            <w:pPr>
              <w:widowControl/>
              <w:snapToGrid w:val="0"/>
              <w:rPr>
                <w:sz w:val="22"/>
                <w:szCs w:val="22"/>
              </w:rPr>
            </w:pPr>
            <w:r w:rsidRPr="00F356BE">
              <w:rPr>
                <w:sz w:val="22"/>
                <w:szCs w:val="22"/>
              </w:rPr>
              <w:t xml:space="preserve">　</w:t>
            </w:r>
          </w:p>
          <w:p w:rsidR="007247A6" w:rsidRPr="00F356BE" w:rsidRDefault="007247A6" w:rsidP="007247A6">
            <w:pPr>
              <w:snapToGrid w:val="0"/>
              <w:rPr>
                <w:sz w:val="22"/>
                <w:szCs w:val="22"/>
              </w:rPr>
            </w:pPr>
            <w:r w:rsidRPr="00F356BE">
              <w:rPr>
                <w:sz w:val="22"/>
                <w:szCs w:val="22"/>
              </w:rPr>
              <w:t xml:space="preserve">　</w:t>
            </w:r>
          </w:p>
        </w:tc>
        <w:tc>
          <w:tcPr>
            <w:tcW w:w="2976" w:type="dxa"/>
            <w:vMerge w:val="restart"/>
            <w:tcBorders>
              <w:top w:val="single" w:sz="8"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widowControl/>
              <w:snapToGrid w:val="0"/>
              <w:jc w:val="center"/>
              <w:rPr>
                <w:rFonts w:eastAsia="標楷體"/>
                <w:bCs/>
                <w:sz w:val="22"/>
                <w:szCs w:val="22"/>
              </w:rPr>
            </w:pPr>
            <w:r w:rsidRPr="00F356BE">
              <w:rPr>
                <w:rFonts w:eastAsia="標楷體"/>
                <w:bCs/>
                <w:sz w:val="22"/>
                <w:szCs w:val="22"/>
              </w:rPr>
              <w:t xml:space="preserve">                                                                                                                                                                                                                                                                                                                                                                                                                                                                                                                                                                                                                                                                                                                                                                                                                                                                                                                                                                                                                                                                                                                                                                                                                                                                                                                                                                               </w:t>
            </w:r>
          </w:p>
        </w:tc>
        <w:tc>
          <w:tcPr>
            <w:tcW w:w="1276" w:type="dxa"/>
            <w:tcBorders>
              <w:top w:val="single" w:sz="8"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widowControl/>
              <w:snapToGrid w:val="0"/>
              <w:jc w:val="center"/>
              <w:rPr>
                <w:rFonts w:eastAsia="標楷體"/>
                <w:b/>
                <w:bCs/>
                <w:sz w:val="22"/>
                <w:szCs w:val="22"/>
              </w:rPr>
            </w:pPr>
            <w:r w:rsidRPr="00F356BE">
              <w:rPr>
                <w:rFonts w:eastAsia="標楷體"/>
                <w:b/>
                <w:bCs/>
                <w:sz w:val="22"/>
                <w:szCs w:val="22"/>
              </w:rPr>
              <w:t>Inflationary pressures</w:t>
            </w:r>
          </w:p>
        </w:tc>
        <w:tc>
          <w:tcPr>
            <w:tcW w:w="2552" w:type="dxa"/>
            <w:gridSpan w:val="2"/>
            <w:tcBorders>
              <w:top w:val="single" w:sz="8" w:space="0" w:color="auto"/>
              <w:left w:val="single" w:sz="6" w:space="0" w:color="auto"/>
              <w:bottom w:val="single" w:sz="6" w:space="0" w:color="auto"/>
              <w:right w:val="single" w:sz="6" w:space="0" w:color="auto"/>
            </w:tcBorders>
            <w:shd w:val="clear" w:color="000000" w:fill="FFFFFF"/>
            <w:vAlign w:val="center"/>
            <w:hideMark/>
          </w:tcPr>
          <w:p w:rsidR="007247A6" w:rsidRPr="00F356BE" w:rsidRDefault="007247A6" w:rsidP="007247A6">
            <w:pPr>
              <w:widowControl/>
              <w:snapToGrid w:val="0"/>
              <w:jc w:val="center"/>
              <w:rPr>
                <w:rFonts w:eastAsia="標楷體"/>
                <w:b/>
                <w:bCs/>
                <w:sz w:val="22"/>
                <w:szCs w:val="22"/>
              </w:rPr>
            </w:pPr>
            <w:r w:rsidRPr="00F356BE">
              <w:rPr>
                <w:rFonts w:eastAsia="標楷體"/>
                <w:b/>
                <w:bCs/>
                <w:sz w:val="22"/>
                <w:szCs w:val="22"/>
              </w:rPr>
              <w:t xml:space="preserve">Inflation </w:t>
            </w:r>
          </w:p>
          <w:p w:rsidR="007247A6" w:rsidRPr="00F356BE" w:rsidRDefault="007247A6" w:rsidP="007247A6">
            <w:pPr>
              <w:widowControl/>
              <w:snapToGrid w:val="0"/>
              <w:jc w:val="center"/>
              <w:rPr>
                <w:rFonts w:eastAsia="標楷體"/>
                <w:b/>
                <w:bCs/>
                <w:sz w:val="22"/>
                <w:szCs w:val="22"/>
              </w:rPr>
            </w:pPr>
            <w:r w:rsidRPr="00F356BE">
              <w:rPr>
                <w:rFonts w:eastAsia="標楷體"/>
                <w:b/>
                <w:bCs/>
                <w:sz w:val="22"/>
                <w:szCs w:val="22"/>
              </w:rPr>
              <w:t>outlook</w:t>
            </w:r>
          </w:p>
        </w:tc>
      </w:tr>
      <w:tr w:rsidR="007247A6" w:rsidRPr="00F356BE" w:rsidTr="007247A6">
        <w:trPr>
          <w:trHeight w:val="420"/>
        </w:trPr>
        <w:tc>
          <w:tcPr>
            <w:tcW w:w="1249" w:type="dxa"/>
            <w:vMerge/>
            <w:tcBorders>
              <w:left w:val="single" w:sz="6" w:space="0" w:color="auto"/>
              <w:bottom w:val="single" w:sz="6" w:space="0" w:color="auto"/>
              <w:right w:val="single" w:sz="6" w:space="0" w:color="auto"/>
            </w:tcBorders>
            <w:shd w:val="clear" w:color="000000" w:fill="FFFFFF"/>
            <w:noWrap/>
            <w:vAlign w:val="bottom"/>
            <w:hideMark/>
          </w:tcPr>
          <w:p w:rsidR="007247A6" w:rsidRPr="00F356BE" w:rsidRDefault="007247A6" w:rsidP="007247A6">
            <w:pPr>
              <w:widowControl/>
              <w:snapToGrid w:val="0"/>
              <w:rPr>
                <w:sz w:val="22"/>
                <w:szCs w:val="22"/>
              </w:rPr>
            </w:pPr>
          </w:p>
        </w:tc>
        <w:tc>
          <w:tcPr>
            <w:tcW w:w="29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widowControl/>
              <w:snapToGrid w:val="0"/>
              <w:jc w:val="center"/>
              <w:rPr>
                <w:bCs/>
                <w:sz w:val="22"/>
                <w:szCs w:val="22"/>
              </w:rPr>
            </w:pPr>
            <w:r w:rsidRPr="00F356BE">
              <w:rPr>
                <w:bCs/>
                <w:sz w:val="22"/>
                <w:szCs w:val="22"/>
              </w:rPr>
              <w:t>Jan.-Nov. 2017</w:t>
            </w:r>
          </w:p>
        </w:tc>
        <w:tc>
          <w:tcPr>
            <w:tcW w:w="1276"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7247A6" w:rsidRPr="00F356BE" w:rsidRDefault="007247A6" w:rsidP="007247A6">
            <w:pPr>
              <w:widowControl/>
              <w:snapToGrid w:val="0"/>
              <w:jc w:val="center"/>
              <w:rPr>
                <w:rFonts w:eastAsia="標楷體"/>
                <w:bCs/>
                <w:sz w:val="22"/>
                <w:szCs w:val="22"/>
              </w:rPr>
            </w:pPr>
            <w:r w:rsidRPr="00F356BE">
              <w:rPr>
                <w:rFonts w:eastAsia="標楷體"/>
                <w:bCs/>
                <w:sz w:val="22"/>
                <w:szCs w:val="22"/>
              </w:rPr>
              <w:t>2017 (f)</w:t>
            </w:r>
          </w:p>
        </w:tc>
        <w:tc>
          <w:tcPr>
            <w:tcW w:w="1276"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7247A6" w:rsidRPr="00F356BE" w:rsidRDefault="007247A6" w:rsidP="007247A6">
            <w:pPr>
              <w:widowControl/>
              <w:snapToGrid w:val="0"/>
              <w:jc w:val="center"/>
              <w:rPr>
                <w:rFonts w:eastAsia="標楷體"/>
                <w:bCs/>
                <w:sz w:val="22"/>
                <w:szCs w:val="22"/>
              </w:rPr>
            </w:pPr>
            <w:r w:rsidRPr="00F356BE">
              <w:rPr>
                <w:rFonts w:eastAsia="標楷體"/>
                <w:bCs/>
                <w:sz w:val="22"/>
                <w:szCs w:val="22"/>
              </w:rPr>
              <w:t>2018 (f)</w:t>
            </w:r>
          </w:p>
        </w:tc>
      </w:tr>
      <w:tr w:rsidR="007247A6" w:rsidRPr="00F356BE" w:rsidTr="007247A6">
        <w:trPr>
          <w:trHeight w:val="456"/>
        </w:trPr>
        <w:tc>
          <w:tcPr>
            <w:tcW w:w="1249" w:type="dxa"/>
            <w:vMerge w:val="restar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widowControl/>
              <w:snapToGrid w:val="0"/>
              <w:jc w:val="center"/>
              <w:rPr>
                <w:rFonts w:eastAsia="標楷體"/>
                <w:bCs/>
                <w:sz w:val="22"/>
                <w:szCs w:val="22"/>
              </w:rPr>
            </w:pPr>
            <w:r w:rsidRPr="00F356BE">
              <w:rPr>
                <w:rFonts w:eastAsia="標楷體"/>
                <w:b/>
                <w:bCs/>
                <w:sz w:val="22"/>
                <w:szCs w:val="22"/>
              </w:rPr>
              <w:t>Domestic institutions</w:t>
            </w: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widowControl/>
              <w:snapToGrid w:val="0"/>
              <w:rPr>
                <w:bCs/>
                <w:sz w:val="22"/>
                <w:szCs w:val="22"/>
              </w:rPr>
            </w:pPr>
            <w:r w:rsidRPr="00F356BE">
              <w:rPr>
                <w:rFonts w:eastAsia="標楷體"/>
                <w:bCs/>
                <w:sz w:val="22"/>
                <w:szCs w:val="22"/>
              </w:rPr>
              <w:t>TIER (</w:t>
            </w:r>
            <w:r w:rsidRPr="00F356BE">
              <w:rPr>
                <w:bCs/>
                <w:sz w:val="22"/>
                <w:szCs w:val="22"/>
              </w:rPr>
              <w:t>2017/11/15</w:t>
            </w:r>
            <w:r w:rsidRPr="00F356BE">
              <w:rPr>
                <w:rFonts w:eastAsia="標楷體"/>
                <w:bCs/>
                <w:sz w:val="22"/>
                <w:szCs w:val="22"/>
              </w:rPr>
              <w:t>)</w:t>
            </w:r>
          </w:p>
        </w:tc>
        <w:tc>
          <w:tcPr>
            <w:tcW w:w="1276" w:type="dxa"/>
            <w:vMerge w:val="restart"/>
            <w:tcBorders>
              <w:top w:val="single" w:sz="6" w:space="0" w:color="auto"/>
              <w:left w:val="single" w:sz="6" w:space="0" w:color="auto"/>
              <w:bottom w:val="single" w:sz="6" w:space="0" w:color="auto"/>
              <w:right w:val="single" w:sz="6" w:space="0" w:color="auto"/>
            </w:tcBorders>
            <w:shd w:val="clear" w:color="000000" w:fill="FFFFFF"/>
            <w:hideMark/>
          </w:tcPr>
          <w:p w:rsidR="007247A6" w:rsidRPr="00F356BE" w:rsidRDefault="007247A6" w:rsidP="007247A6">
            <w:pPr>
              <w:widowControl/>
              <w:snapToGrid w:val="0"/>
              <w:spacing w:beforeLines="50" w:before="120"/>
              <w:jc w:val="center"/>
              <w:rPr>
                <w:b/>
                <w:bCs/>
                <w:sz w:val="22"/>
                <w:szCs w:val="22"/>
              </w:rPr>
            </w:pPr>
          </w:p>
          <w:p w:rsidR="007247A6" w:rsidRPr="00F356BE" w:rsidRDefault="007247A6" w:rsidP="007247A6">
            <w:pPr>
              <w:widowControl/>
              <w:snapToGrid w:val="0"/>
              <w:spacing w:beforeLines="50" w:before="120"/>
              <w:jc w:val="center"/>
              <w:rPr>
                <w:b/>
                <w:bCs/>
                <w:sz w:val="22"/>
                <w:szCs w:val="22"/>
              </w:rPr>
            </w:pPr>
          </w:p>
          <w:p w:rsidR="007247A6" w:rsidRPr="00F356BE" w:rsidRDefault="007247A6" w:rsidP="007247A6">
            <w:pPr>
              <w:widowControl/>
              <w:snapToGrid w:val="0"/>
              <w:spacing w:beforeLines="70" w:before="168"/>
              <w:jc w:val="center"/>
              <w:rPr>
                <w:b/>
                <w:bCs/>
                <w:sz w:val="22"/>
                <w:szCs w:val="22"/>
              </w:rPr>
            </w:pPr>
            <w:r w:rsidRPr="00F356BE">
              <w:rPr>
                <w:b/>
                <w:bCs/>
                <w:sz w:val="22"/>
                <w:szCs w:val="22"/>
              </w:rPr>
              <w:t>0.57</w:t>
            </w:r>
            <w:r w:rsidRPr="00F356BE">
              <w:rPr>
                <w:b/>
                <w:bCs/>
                <w:sz w:val="22"/>
                <w:szCs w:val="22"/>
              </w:rPr>
              <w:br/>
              <w:t>(CPI)</w:t>
            </w:r>
          </w:p>
          <w:p w:rsidR="007247A6" w:rsidRPr="00F356BE" w:rsidRDefault="007247A6" w:rsidP="007247A6">
            <w:pPr>
              <w:widowControl/>
              <w:snapToGrid w:val="0"/>
              <w:spacing w:beforeLines="20" w:before="48"/>
              <w:jc w:val="center"/>
              <w:rPr>
                <w:bCs/>
                <w:sz w:val="22"/>
                <w:szCs w:val="22"/>
              </w:rPr>
            </w:pPr>
            <w:r w:rsidRPr="00F356BE">
              <w:rPr>
                <w:b/>
                <w:bCs/>
                <w:sz w:val="22"/>
                <w:szCs w:val="22"/>
              </w:rPr>
              <w:t>0.99</w:t>
            </w:r>
            <w:r w:rsidRPr="00F356BE">
              <w:rPr>
                <w:b/>
                <w:bCs/>
                <w:sz w:val="22"/>
                <w:szCs w:val="22"/>
              </w:rPr>
              <w:br/>
              <w:t>(</w:t>
            </w:r>
            <w:r w:rsidRPr="00F356BE">
              <w:rPr>
                <w:rFonts w:eastAsia="標楷體"/>
                <w:b/>
                <w:bCs/>
                <w:sz w:val="22"/>
                <w:szCs w:val="22"/>
              </w:rPr>
              <w:t xml:space="preserve">Core </w:t>
            </w:r>
            <w:r w:rsidRPr="00F356BE">
              <w:rPr>
                <w:b/>
                <w:bCs/>
                <w:sz w:val="22"/>
                <w:szCs w:val="22"/>
              </w:rPr>
              <w:t>CPI*)</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widowControl/>
              <w:snapToGrid w:val="0"/>
              <w:jc w:val="center"/>
              <w:rPr>
                <w:bCs/>
                <w:sz w:val="22"/>
                <w:szCs w:val="22"/>
              </w:rPr>
            </w:pPr>
            <w:r w:rsidRPr="00F356BE">
              <w:rPr>
                <w:bCs/>
                <w:sz w:val="22"/>
                <w:szCs w:val="22"/>
              </w:rPr>
              <w:t>0.75</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widowControl/>
              <w:snapToGrid w:val="0"/>
              <w:jc w:val="center"/>
              <w:rPr>
                <w:bCs/>
                <w:sz w:val="22"/>
                <w:szCs w:val="22"/>
              </w:rPr>
            </w:pPr>
            <w:r w:rsidRPr="00F356BE">
              <w:rPr>
                <w:bCs/>
                <w:sz w:val="22"/>
                <w:szCs w:val="22"/>
              </w:rPr>
              <w:t>0.80</w:t>
            </w:r>
          </w:p>
        </w:tc>
      </w:tr>
      <w:tr w:rsidR="007247A6" w:rsidRPr="00F356BE" w:rsidTr="007247A6">
        <w:trPr>
          <w:trHeight w:val="456"/>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widowControl/>
              <w:snapToGrid w:val="0"/>
              <w:rPr>
                <w:bCs/>
                <w:sz w:val="22"/>
                <w:szCs w:val="22"/>
              </w:rPr>
            </w:pPr>
            <w:r w:rsidRPr="00F356BE">
              <w:rPr>
                <w:rFonts w:eastAsia="標楷體"/>
                <w:bCs/>
                <w:sz w:val="22"/>
                <w:szCs w:val="22"/>
              </w:rPr>
              <w:t>TRI (</w:t>
            </w:r>
            <w:r w:rsidRPr="00F356BE">
              <w:rPr>
                <w:bCs/>
                <w:sz w:val="22"/>
                <w:szCs w:val="22"/>
              </w:rPr>
              <w:t>2017/12/14</w:t>
            </w:r>
            <w:r w:rsidRPr="00F356BE">
              <w:rPr>
                <w:rFonts w:eastAsia="標楷體"/>
                <w:bCs/>
                <w:sz w:val="22"/>
                <w:szCs w:val="22"/>
              </w:rPr>
              <w:t>)</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widowControl/>
              <w:snapToGrid w:val="0"/>
              <w:jc w:val="center"/>
              <w:rPr>
                <w:bCs/>
                <w:sz w:val="22"/>
                <w:szCs w:val="22"/>
              </w:rPr>
            </w:pPr>
            <w:r w:rsidRPr="00F356BE">
              <w:rPr>
                <w:bCs/>
                <w:sz w:val="22"/>
                <w:szCs w:val="22"/>
              </w:rPr>
              <w:t>0.64</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widowControl/>
              <w:snapToGrid w:val="0"/>
              <w:jc w:val="center"/>
              <w:rPr>
                <w:bCs/>
                <w:sz w:val="22"/>
                <w:szCs w:val="22"/>
              </w:rPr>
            </w:pPr>
            <w:r w:rsidRPr="00F356BE">
              <w:rPr>
                <w:bCs/>
                <w:sz w:val="22"/>
                <w:szCs w:val="22"/>
              </w:rPr>
              <w:t>0.88</w:t>
            </w:r>
          </w:p>
        </w:tc>
      </w:tr>
      <w:tr w:rsidR="007247A6" w:rsidRPr="00F356BE" w:rsidTr="007247A6">
        <w:trPr>
          <w:trHeight w:val="458"/>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widowControl/>
              <w:snapToGrid w:val="0"/>
              <w:rPr>
                <w:bCs/>
                <w:sz w:val="22"/>
                <w:szCs w:val="22"/>
              </w:rPr>
            </w:pPr>
            <w:r w:rsidRPr="00F356BE">
              <w:rPr>
                <w:rFonts w:eastAsia="標楷體"/>
                <w:bCs/>
                <w:sz w:val="22"/>
                <w:szCs w:val="22"/>
              </w:rPr>
              <w:t>DGBAS (</w:t>
            </w:r>
            <w:r w:rsidRPr="00F356BE">
              <w:rPr>
                <w:bCs/>
                <w:sz w:val="22"/>
                <w:szCs w:val="22"/>
              </w:rPr>
              <w:t>2017/11/24</w:t>
            </w:r>
            <w:r w:rsidRPr="00F356BE">
              <w:rPr>
                <w:rFonts w:eastAsia="標楷體"/>
                <w:bCs/>
                <w:sz w:val="22"/>
                <w:szCs w:val="22"/>
              </w:rPr>
              <w:t>)</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7247A6" w:rsidRPr="00F356BE" w:rsidRDefault="007247A6" w:rsidP="007247A6">
            <w:pPr>
              <w:widowControl/>
              <w:snapToGrid w:val="0"/>
              <w:spacing w:beforeLines="20" w:before="48"/>
              <w:jc w:val="center"/>
              <w:rPr>
                <w:bCs/>
                <w:sz w:val="22"/>
                <w:szCs w:val="22"/>
              </w:rPr>
            </w:pPr>
            <w:r w:rsidRPr="00F356BE">
              <w:rPr>
                <w:bCs/>
                <w:sz w:val="22"/>
                <w:szCs w:val="22"/>
              </w:rPr>
              <w:t>0.62</w:t>
            </w:r>
          </w:p>
        </w:tc>
        <w:tc>
          <w:tcPr>
            <w:tcW w:w="1276"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7247A6" w:rsidRPr="00F356BE" w:rsidRDefault="007247A6" w:rsidP="007247A6">
            <w:pPr>
              <w:widowControl/>
              <w:snapToGrid w:val="0"/>
              <w:spacing w:beforeLines="20" w:before="48"/>
              <w:jc w:val="center"/>
              <w:rPr>
                <w:bCs/>
                <w:sz w:val="22"/>
                <w:szCs w:val="22"/>
              </w:rPr>
            </w:pPr>
            <w:r w:rsidRPr="00F356BE">
              <w:rPr>
                <w:bCs/>
                <w:sz w:val="22"/>
                <w:szCs w:val="22"/>
              </w:rPr>
              <w:t>0.96</w:t>
            </w:r>
          </w:p>
        </w:tc>
      </w:tr>
      <w:tr w:rsidR="007247A6" w:rsidRPr="00F356BE" w:rsidTr="007247A6">
        <w:trPr>
          <w:trHeight w:val="458"/>
        </w:trPr>
        <w:tc>
          <w:tcPr>
            <w:tcW w:w="1249" w:type="dxa"/>
            <w:vMerge/>
            <w:tcBorders>
              <w:top w:val="single" w:sz="6" w:space="0" w:color="auto"/>
              <w:left w:val="single" w:sz="6" w:space="0" w:color="auto"/>
              <w:bottom w:val="single" w:sz="6" w:space="0" w:color="auto"/>
              <w:right w:val="single" w:sz="6" w:space="0" w:color="auto"/>
            </w:tcBorders>
            <w:vAlign w:val="center"/>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7247A6" w:rsidRPr="00F356BE" w:rsidRDefault="007247A6" w:rsidP="007247A6">
            <w:pPr>
              <w:widowControl/>
              <w:snapToGrid w:val="0"/>
              <w:rPr>
                <w:rFonts w:eastAsia="標楷體"/>
                <w:bCs/>
                <w:sz w:val="22"/>
                <w:szCs w:val="22"/>
              </w:rPr>
            </w:pPr>
            <w:r w:rsidRPr="00F356BE">
              <w:rPr>
                <w:rFonts w:eastAsia="標楷體"/>
                <w:bCs/>
                <w:sz w:val="22"/>
                <w:szCs w:val="22"/>
              </w:rPr>
              <w:t>CIER (2017/12/19)</w:t>
            </w:r>
          </w:p>
        </w:tc>
        <w:tc>
          <w:tcPr>
            <w:tcW w:w="1276" w:type="dxa"/>
            <w:vMerge/>
            <w:tcBorders>
              <w:top w:val="single" w:sz="6" w:space="0" w:color="auto"/>
              <w:left w:val="single" w:sz="6" w:space="0" w:color="auto"/>
              <w:bottom w:val="single" w:sz="6" w:space="0" w:color="auto"/>
              <w:right w:val="single" w:sz="6" w:space="0" w:color="auto"/>
            </w:tcBorders>
            <w:vAlign w:val="center"/>
          </w:tcPr>
          <w:p w:rsidR="007247A6" w:rsidRPr="00F356BE" w:rsidRDefault="007247A6" w:rsidP="007247A6">
            <w:pPr>
              <w:widowControl/>
              <w:snapToGrid w:val="0"/>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vAlign w:val="center"/>
          </w:tcPr>
          <w:p w:rsidR="007247A6" w:rsidRPr="00F356BE" w:rsidRDefault="007247A6" w:rsidP="007247A6">
            <w:pPr>
              <w:widowControl/>
              <w:snapToGrid w:val="0"/>
              <w:spacing w:beforeLines="20" w:before="48"/>
              <w:jc w:val="center"/>
              <w:rPr>
                <w:bCs/>
                <w:sz w:val="22"/>
                <w:szCs w:val="22"/>
              </w:rPr>
            </w:pPr>
            <w:r w:rsidRPr="00F356BE">
              <w:rPr>
                <w:bCs/>
                <w:sz w:val="22"/>
                <w:szCs w:val="22"/>
              </w:rPr>
              <w:t>0.56</w:t>
            </w:r>
          </w:p>
        </w:tc>
        <w:tc>
          <w:tcPr>
            <w:tcW w:w="1276" w:type="dxa"/>
            <w:tcBorders>
              <w:top w:val="single" w:sz="6" w:space="0" w:color="auto"/>
              <w:left w:val="single" w:sz="6" w:space="0" w:color="auto"/>
              <w:bottom w:val="single" w:sz="6" w:space="0" w:color="auto"/>
              <w:right w:val="single" w:sz="6" w:space="0" w:color="auto"/>
            </w:tcBorders>
            <w:shd w:val="clear" w:color="000000" w:fill="FFFFFF"/>
            <w:vAlign w:val="center"/>
          </w:tcPr>
          <w:p w:rsidR="007247A6" w:rsidRPr="00F356BE" w:rsidRDefault="007247A6" w:rsidP="007247A6">
            <w:pPr>
              <w:widowControl/>
              <w:snapToGrid w:val="0"/>
              <w:spacing w:beforeLines="20" w:before="48"/>
              <w:jc w:val="center"/>
              <w:rPr>
                <w:bCs/>
                <w:sz w:val="22"/>
                <w:szCs w:val="22"/>
              </w:rPr>
            </w:pPr>
            <w:r w:rsidRPr="00F356BE">
              <w:rPr>
                <w:bCs/>
                <w:sz w:val="22"/>
                <w:szCs w:val="22"/>
              </w:rPr>
              <w:t>0.99</w:t>
            </w:r>
          </w:p>
        </w:tc>
      </w:tr>
      <w:tr w:rsidR="007247A6" w:rsidRPr="00F356BE" w:rsidTr="007247A6">
        <w:trPr>
          <w:trHeight w:val="456"/>
        </w:trPr>
        <w:tc>
          <w:tcPr>
            <w:tcW w:w="1249" w:type="dxa"/>
            <w:vMerge/>
            <w:tcBorders>
              <w:top w:val="single" w:sz="6" w:space="0" w:color="auto"/>
              <w:left w:val="single" w:sz="6" w:space="0" w:color="auto"/>
              <w:bottom w:val="double" w:sz="4"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double" w:sz="4" w:space="0" w:color="auto"/>
              <w:right w:val="single" w:sz="6" w:space="0" w:color="auto"/>
            </w:tcBorders>
            <w:shd w:val="clear" w:color="000000" w:fill="FFFFFF"/>
            <w:noWrap/>
            <w:vAlign w:val="center"/>
            <w:hideMark/>
          </w:tcPr>
          <w:p w:rsidR="007247A6" w:rsidRPr="00F356BE" w:rsidRDefault="007247A6" w:rsidP="007247A6">
            <w:pPr>
              <w:widowControl/>
              <w:snapToGrid w:val="0"/>
              <w:rPr>
                <w:bCs/>
                <w:sz w:val="22"/>
                <w:szCs w:val="22"/>
              </w:rPr>
            </w:pPr>
            <w:r w:rsidRPr="00F356BE">
              <w:rPr>
                <w:rFonts w:eastAsia="標楷體"/>
                <w:bCs/>
                <w:sz w:val="22"/>
                <w:szCs w:val="22"/>
              </w:rPr>
              <w:t>CBC (</w:t>
            </w:r>
            <w:r w:rsidRPr="00F356BE">
              <w:rPr>
                <w:bCs/>
                <w:sz w:val="22"/>
                <w:szCs w:val="22"/>
              </w:rPr>
              <w:t>2017/12/5</w:t>
            </w:r>
            <w:r w:rsidRPr="00F356BE">
              <w:rPr>
                <w:rFonts w:eastAsia="標楷體"/>
                <w:bCs/>
                <w:sz w:val="22"/>
                <w:szCs w:val="22"/>
              </w:rPr>
              <w:t>)</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bCs/>
                <w:sz w:val="22"/>
                <w:szCs w:val="22"/>
              </w:rPr>
            </w:pPr>
          </w:p>
        </w:tc>
        <w:tc>
          <w:tcPr>
            <w:tcW w:w="1276" w:type="dxa"/>
            <w:tcBorders>
              <w:top w:val="single" w:sz="6" w:space="0" w:color="auto"/>
              <w:left w:val="single" w:sz="6" w:space="0" w:color="auto"/>
              <w:bottom w:val="double" w:sz="4" w:space="0" w:color="auto"/>
              <w:right w:val="single" w:sz="6" w:space="0" w:color="auto"/>
            </w:tcBorders>
            <w:shd w:val="clear" w:color="000000" w:fill="FFFFFF"/>
            <w:noWrap/>
            <w:vAlign w:val="center"/>
            <w:hideMark/>
          </w:tcPr>
          <w:p w:rsidR="007247A6" w:rsidRPr="00F356BE" w:rsidRDefault="007247A6" w:rsidP="007247A6">
            <w:pPr>
              <w:widowControl/>
              <w:snapToGrid w:val="0"/>
              <w:jc w:val="center"/>
              <w:rPr>
                <w:bCs/>
                <w:sz w:val="22"/>
                <w:szCs w:val="22"/>
              </w:rPr>
            </w:pPr>
            <w:r w:rsidRPr="00F356BE">
              <w:rPr>
                <w:bCs/>
                <w:sz w:val="22"/>
                <w:szCs w:val="22"/>
              </w:rPr>
              <w:t>0.61</w:t>
            </w:r>
            <w:r w:rsidRPr="00F356BE">
              <w:rPr>
                <w:bCs/>
                <w:sz w:val="22"/>
                <w:szCs w:val="22"/>
              </w:rPr>
              <w:br/>
              <w:t>(CPI)</w:t>
            </w:r>
          </w:p>
          <w:p w:rsidR="007247A6" w:rsidRPr="00F356BE" w:rsidRDefault="007247A6" w:rsidP="007247A6">
            <w:pPr>
              <w:widowControl/>
              <w:snapToGrid w:val="0"/>
              <w:jc w:val="center"/>
              <w:rPr>
                <w:bCs/>
                <w:sz w:val="22"/>
                <w:szCs w:val="22"/>
              </w:rPr>
            </w:pPr>
            <w:r w:rsidRPr="00F356BE">
              <w:rPr>
                <w:bCs/>
                <w:sz w:val="22"/>
                <w:szCs w:val="22"/>
              </w:rPr>
              <w:t>1.02</w:t>
            </w:r>
            <w:r w:rsidRPr="00F356BE">
              <w:rPr>
                <w:bCs/>
                <w:sz w:val="22"/>
                <w:szCs w:val="22"/>
              </w:rPr>
              <w:br/>
              <w:t>(</w:t>
            </w:r>
            <w:r w:rsidRPr="00F356BE">
              <w:rPr>
                <w:rFonts w:eastAsia="標楷體"/>
                <w:bCs/>
                <w:sz w:val="22"/>
                <w:szCs w:val="22"/>
              </w:rPr>
              <w:t xml:space="preserve">Core </w:t>
            </w:r>
            <w:r w:rsidRPr="00F356BE">
              <w:rPr>
                <w:bCs/>
                <w:sz w:val="22"/>
                <w:szCs w:val="22"/>
              </w:rPr>
              <w:t>CPI*)</w:t>
            </w:r>
            <w:r w:rsidRPr="00F356BE">
              <w:rPr>
                <w:bCs/>
                <w:sz w:val="22"/>
                <w:szCs w:val="22"/>
              </w:rPr>
              <w:t xml:space="preserve">　</w:t>
            </w:r>
          </w:p>
        </w:tc>
        <w:tc>
          <w:tcPr>
            <w:tcW w:w="1276" w:type="dxa"/>
            <w:tcBorders>
              <w:top w:val="single" w:sz="6" w:space="0" w:color="auto"/>
              <w:left w:val="single" w:sz="6" w:space="0" w:color="auto"/>
              <w:bottom w:val="double" w:sz="4" w:space="0" w:color="auto"/>
              <w:right w:val="single" w:sz="6" w:space="0" w:color="auto"/>
            </w:tcBorders>
            <w:shd w:val="clear" w:color="000000" w:fill="FFFFFF"/>
            <w:noWrap/>
            <w:vAlign w:val="center"/>
            <w:hideMark/>
          </w:tcPr>
          <w:p w:rsidR="007247A6" w:rsidRPr="00F356BE" w:rsidRDefault="007247A6" w:rsidP="007247A6">
            <w:pPr>
              <w:widowControl/>
              <w:snapToGrid w:val="0"/>
              <w:jc w:val="center"/>
              <w:rPr>
                <w:bCs/>
                <w:sz w:val="22"/>
                <w:szCs w:val="22"/>
              </w:rPr>
            </w:pPr>
            <w:r w:rsidRPr="00F356BE">
              <w:rPr>
                <w:bCs/>
                <w:sz w:val="22"/>
                <w:szCs w:val="22"/>
              </w:rPr>
              <w:t>1.12</w:t>
            </w:r>
            <w:r w:rsidRPr="00F356BE">
              <w:rPr>
                <w:bCs/>
                <w:sz w:val="22"/>
                <w:szCs w:val="22"/>
              </w:rPr>
              <w:br/>
              <w:t>(CPI)</w:t>
            </w:r>
          </w:p>
          <w:p w:rsidR="007247A6" w:rsidRPr="00F356BE" w:rsidRDefault="007247A6" w:rsidP="007247A6">
            <w:pPr>
              <w:widowControl/>
              <w:snapToGrid w:val="0"/>
              <w:jc w:val="center"/>
              <w:rPr>
                <w:bCs/>
                <w:sz w:val="22"/>
                <w:szCs w:val="22"/>
              </w:rPr>
            </w:pPr>
            <w:r w:rsidRPr="00F356BE">
              <w:rPr>
                <w:bCs/>
                <w:sz w:val="22"/>
                <w:szCs w:val="22"/>
              </w:rPr>
              <w:t>1.12</w:t>
            </w:r>
            <w:r w:rsidRPr="00F356BE">
              <w:rPr>
                <w:bCs/>
                <w:sz w:val="22"/>
                <w:szCs w:val="22"/>
              </w:rPr>
              <w:br/>
              <w:t>(</w:t>
            </w:r>
            <w:r w:rsidRPr="00F356BE">
              <w:rPr>
                <w:rFonts w:eastAsia="標楷體"/>
                <w:bCs/>
                <w:sz w:val="22"/>
                <w:szCs w:val="22"/>
              </w:rPr>
              <w:t xml:space="preserve">Core </w:t>
            </w:r>
            <w:r w:rsidRPr="00F356BE">
              <w:rPr>
                <w:bCs/>
                <w:sz w:val="22"/>
                <w:szCs w:val="22"/>
              </w:rPr>
              <w:t>CPI*)</w:t>
            </w:r>
            <w:r w:rsidRPr="00F356BE">
              <w:rPr>
                <w:bCs/>
                <w:sz w:val="22"/>
                <w:szCs w:val="22"/>
              </w:rPr>
              <w:t xml:space="preserve">　</w:t>
            </w:r>
          </w:p>
        </w:tc>
      </w:tr>
      <w:tr w:rsidR="007247A6" w:rsidRPr="00F356BE" w:rsidTr="007247A6">
        <w:trPr>
          <w:trHeight w:val="456"/>
        </w:trPr>
        <w:tc>
          <w:tcPr>
            <w:tcW w:w="1249" w:type="dxa"/>
            <w:vMerge w:val="restart"/>
            <w:tcBorders>
              <w:top w:val="double" w:sz="4" w:space="0" w:color="auto"/>
              <w:left w:val="single" w:sz="6" w:space="0" w:color="auto"/>
              <w:bottom w:val="single" w:sz="6" w:space="0" w:color="auto"/>
              <w:right w:val="single" w:sz="6" w:space="0" w:color="auto"/>
            </w:tcBorders>
            <w:shd w:val="clear" w:color="000000" w:fill="FFFFFF"/>
            <w:vAlign w:val="center"/>
            <w:hideMark/>
          </w:tcPr>
          <w:p w:rsidR="007247A6" w:rsidRPr="00F356BE" w:rsidRDefault="007247A6" w:rsidP="007247A6">
            <w:pPr>
              <w:widowControl/>
              <w:snapToGrid w:val="0"/>
              <w:jc w:val="center"/>
              <w:rPr>
                <w:rFonts w:eastAsia="標楷體"/>
                <w:bCs/>
                <w:sz w:val="22"/>
                <w:szCs w:val="22"/>
              </w:rPr>
            </w:pPr>
            <w:r w:rsidRPr="00F356BE">
              <w:rPr>
                <w:rFonts w:eastAsia="標楷體"/>
                <w:b/>
                <w:bCs/>
                <w:sz w:val="22"/>
                <w:szCs w:val="22"/>
              </w:rPr>
              <w:t>Foreign institutions</w:t>
            </w:r>
          </w:p>
        </w:tc>
        <w:tc>
          <w:tcPr>
            <w:tcW w:w="2976" w:type="dxa"/>
            <w:tcBorders>
              <w:top w:val="double" w:sz="4"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both"/>
              <w:rPr>
                <w:sz w:val="22"/>
                <w:szCs w:val="22"/>
              </w:rPr>
            </w:pPr>
            <w:r w:rsidRPr="00F356BE">
              <w:rPr>
                <w:sz w:val="22"/>
                <w:szCs w:val="22"/>
              </w:rPr>
              <w:t>UBS (2017/12/15)</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jc w:val="center"/>
              <w:rPr>
                <w:bCs/>
                <w:sz w:val="22"/>
                <w:szCs w:val="22"/>
              </w:rPr>
            </w:pPr>
          </w:p>
        </w:tc>
        <w:tc>
          <w:tcPr>
            <w:tcW w:w="1276" w:type="dxa"/>
            <w:tcBorders>
              <w:top w:val="double" w:sz="4"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0.64</w:t>
            </w:r>
          </w:p>
        </w:tc>
        <w:tc>
          <w:tcPr>
            <w:tcW w:w="1276" w:type="dxa"/>
            <w:tcBorders>
              <w:top w:val="double" w:sz="4"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0.96</w:t>
            </w:r>
          </w:p>
        </w:tc>
      </w:tr>
      <w:tr w:rsidR="007247A6" w:rsidRPr="00F356BE" w:rsidTr="007247A6">
        <w:trPr>
          <w:trHeight w:val="456"/>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both"/>
              <w:rPr>
                <w:sz w:val="22"/>
                <w:szCs w:val="22"/>
              </w:rPr>
            </w:pPr>
            <w:r w:rsidRPr="00F356BE">
              <w:rPr>
                <w:sz w:val="22"/>
                <w:szCs w:val="22"/>
              </w:rPr>
              <w:t>EIU (2017/12/16)</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jc w:val="center"/>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0.60</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1.20</w:t>
            </w:r>
          </w:p>
        </w:tc>
      </w:tr>
      <w:tr w:rsidR="007247A6" w:rsidRPr="00F356BE" w:rsidTr="007247A6">
        <w:trPr>
          <w:trHeight w:val="456"/>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both"/>
              <w:rPr>
                <w:sz w:val="22"/>
                <w:szCs w:val="22"/>
              </w:rPr>
            </w:pPr>
            <w:r w:rsidRPr="00F356BE">
              <w:rPr>
                <w:sz w:val="22"/>
                <w:szCs w:val="22"/>
              </w:rPr>
              <w:t>Credit Suisse (2017/12/15)</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jc w:val="center"/>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0.60</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1.20</w:t>
            </w:r>
          </w:p>
        </w:tc>
      </w:tr>
      <w:tr w:rsidR="007247A6" w:rsidRPr="00F356BE" w:rsidTr="007247A6">
        <w:trPr>
          <w:trHeight w:val="456"/>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both"/>
              <w:rPr>
                <w:sz w:val="22"/>
                <w:szCs w:val="22"/>
              </w:rPr>
            </w:pPr>
            <w:r w:rsidRPr="00F356BE">
              <w:rPr>
                <w:sz w:val="22"/>
                <w:szCs w:val="22"/>
              </w:rPr>
              <w:t>HSBC (2017/12/15)</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jc w:val="center"/>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0.70</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1.20</w:t>
            </w:r>
          </w:p>
        </w:tc>
      </w:tr>
      <w:tr w:rsidR="007247A6" w:rsidRPr="00F356BE" w:rsidTr="007247A6">
        <w:trPr>
          <w:trHeight w:val="436"/>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both"/>
              <w:rPr>
                <w:sz w:val="22"/>
                <w:szCs w:val="22"/>
              </w:rPr>
            </w:pPr>
            <w:r w:rsidRPr="00F356BE">
              <w:rPr>
                <w:sz w:val="22"/>
                <w:szCs w:val="22"/>
              </w:rPr>
              <w:t xml:space="preserve">IHS </w:t>
            </w:r>
            <w:proofErr w:type="spellStart"/>
            <w:r w:rsidRPr="00F356BE">
              <w:rPr>
                <w:sz w:val="22"/>
                <w:szCs w:val="22"/>
              </w:rPr>
              <w:t>Markit</w:t>
            </w:r>
            <w:proofErr w:type="spellEnd"/>
            <w:r w:rsidRPr="00F356BE">
              <w:rPr>
                <w:sz w:val="22"/>
                <w:szCs w:val="22"/>
              </w:rPr>
              <w:t xml:space="preserve"> (2017/12/15)</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jc w:val="center"/>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0.56</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1.22</w:t>
            </w:r>
          </w:p>
        </w:tc>
      </w:tr>
      <w:tr w:rsidR="007247A6" w:rsidRPr="00F356BE" w:rsidTr="007247A6">
        <w:trPr>
          <w:trHeight w:val="468"/>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both"/>
              <w:rPr>
                <w:sz w:val="22"/>
                <w:szCs w:val="22"/>
              </w:rPr>
            </w:pPr>
            <w:r w:rsidRPr="00F356BE">
              <w:rPr>
                <w:sz w:val="22"/>
                <w:szCs w:val="22"/>
              </w:rPr>
              <w:t>Deutsche Bank (2017/12/8)</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jc w:val="center"/>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0.60</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1.30</w:t>
            </w:r>
          </w:p>
        </w:tc>
      </w:tr>
      <w:tr w:rsidR="007247A6" w:rsidRPr="00F356BE" w:rsidTr="007247A6">
        <w:trPr>
          <w:trHeight w:val="456"/>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both"/>
              <w:rPr>
                <w:sz w:val="22"/>
                <w:szCs w:val="22"/>
              </w:rPr>
            </w:pPr>
            <w:proofErr w:type="spellStart"/>
            <w:r w:rsidRPr="00F356BE">
              <w:rPr>
                <w:sz w:val="22"/>
                <w:szCs w:val="22"/>
              </w:rPr>
              <w:t>BoA</w:t>
            </w:r>
            <w:proofErr w:type="spellEnd"/>
            <w:r w:rsidRPr="00F356BE">
              <w:rPr>
                <w:sz w:val="22"/>
                <w:szCs w:val="22"/>
              </w:rPr>
              <w:t xml:space="preserve"> Merrill Lynch (2017/12/18)</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jc w:val="center"/>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0.50</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1.30</w:t>
            </w:r>
          </w:p>
        </w:tc>
      </w:tr>
      <w:tr w:rsidR="007247A6" w:rsidRPr="00F356BE" w:rsidTr="007247A6">
        <w:trPr>
          <w:trHeight w:val="456"/>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both"/>
              <w:rPr>
                <w:sz w:val="22"/>
                <w:szCs w:val="22"/>
              </w:rPr>
            </w:pPr>
            <w:r w:rsidRPr="00F356BE">
              <w:rPr>
                <w:sz w:val="22"/>
                <w:szCs w:val="22"/>
              </w:rPr>
              <w:t>Goldman Sachs (2017/12/18)</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jc w:val="center"/>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0.80</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1.30</w:t>
            </w:r>
          </w:p>
        </w:tc>
      </w:tr>
      <w:tr w:rsidR="007247A6" w:rsidRPr="00F356BE" w:rsidTr="007247A6">
        <w:trPr>
          <w:trHeight w:val="456"/>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both"/>
              <w:rPr>
                <w:sz w:val="22"/>
                <w:szCs w:val="22"/>
              </w:rPr>
            </w:pPr>
            <w:r w:rsidRPr="00F356BE">
              <w:rPr>
                <w:sz w:val="22"/>
                <w:szCs w:val="22"/>
              </w:rPr>
              <w:t>Barclays Capital (2017/12/15)</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jc w:val="center"/>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0.60</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1.30</w:t>
            </w:r>
          </w:p>
        </w:tc>
      </w:tr>
      <w:tr w:rsidR="007247A6" w:rsidRPr="00F356BE" w:rsidTr="007247A6">
        <w:trPr>
          <w:trHeight w:val="456"/>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both"/>
              <w:rPr>
                <w:sz w:val="22"/>
                <w:szCs w:val="22"/>
              </w:rPr>
            </w:pPr>
            <w:r w:rsidRPr="00F356BE">
              <w:rPr>
                <w:sz w:val="22"/>
                <w:szCs w:val="22"/>
              </w:rPr>
              <w:t>Citi (2017/11/16)</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jc w:val="center"/>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0.60</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1.30</w:t>
            </w:r>
          </w:p>
        </w:tc>
      </w:tr>
      <w:tr w:rsidR="007247A6" w:rsidRPr="00F356BE" w:rsidTr="007247A6">
        <w:trPr>
          <w:trHeight w:val="456"/>
        </w:trPr>
        <w:tc>
          <w:tcPr>
            <w:tcW w:w="1249"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rPr>
                <w:rFonts w:eastAsia="標楷體"/>
                <w:bCs/>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both"/>
              <w:rPr>
                <w:sz w:val="22"/>
                <w:szCs w:val="22"/>
              </w:rPr>
            </w:pPr>
            <w:r w:rsidRPr="00F356BE">
              <w:rPr>
                <w:sz w:val="22"/>
                <w:szCs w:val="22"/>
              </w:rPr>
              <w:t>Nomura (2017/12/15)</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7247A6" w:rsidRPr="00F356BE" w:rsidRDefault="007247A6" w:rsidP="007247A6">
            <w:pPr>
              <w:widowControl/>
              <w:snapToGrid w:val="0"/>
              <w:jc w:val="center"/>
              <w:rPr>
                <w:bCs/>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0.60</w:t>
            </w:r>
          </w:p>
        </w:tc>
        <w:tc>
          <w:tcPr>
            <w:tcW w:w="127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7247A6" w:rsidRPr="00F356BE" w:rsidRDefault="007247A6" w:rsidP="007247A6">
            <w:pPr>
              <w:jc w:val="center"/>
              <w:rPr>
                <w:sz w:val="22"/>
                <w:szCs w:val="22"/>
              </w:rPr>
            </w:pPr>
            <w:r w:rsidRPr="00F356BE">
              <w:rPr>
                <w:sz w:val="22"/>
                <w:szCs w:val="22"/>
              </w:rPr>
              <w:t>1.50</w:t>
            </w:r>
          </w:p>
        </w:tc>
      </w:tr>
    </w:tbl>
    <w:p w:rsidR="007247A6" w:rsidRPr="004F16D5" w:rsidRDefault="007247A6" w:rsidP="007247A6">
      <w:pPr>
        <w:widowControl/>
        <w:snapToGrid w:val="0"/>
        <w:spacing w:beforeLines="50" w:before="120"/>
        <w:rPr>
          <w:rFonts w:eastAsia="標楷體"/>
          <w:szCs w:val="28"/>
        </w:rPr>
      </w:pPr>
    </w:p>
    <w:p w:rsidR="007247A6" w:rsidRPr="004F16D5" w:rsidRDefault="007247A6" w:rsidP="007247A6">
      <w:pPr>
        <w:widowControl/>
        <w:snapToGrid w:val="0"/>
        <w:spacing w:beforeLines="20" w:before="48"/>
        <w:rPr>
          <w:rFonts w:eastAsia="標楷體"/>
          <w:szCs w:val="28"/>
        </w:rPr>
      </w:pPr>
    </w:p>
    <w:p w:rsidR="007247A6" w:rsidRPr="004F16D5"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p>
    <w:p w:rsidR="007247A6" w:rsidRPr="00176384" w:rsidRDefault="007247A6" w:rsidP="007247A6">
      <w:pPr>
        <w:spacing w:line="400" w:lineRule="exact"/>
        <w:jc w:val="center"/>
        <w:rPr>
          <w:rFonts w:eastAsia="標楷體"/>
        </w:rPr>
      </w:pPr>
    </w:p>
    <w:p w:rsidR="007247A6" w:rsidRPr="004F16D5" w:rsidRDefault="007247A6" w:rsidP="007247A6">
      <w:pPr>
        <w:spacing w:line="400" w:lineRule="exact"/>
        <w:rPr>
          <w:rFonts w:eastAsia="標楷體"/>
          <w:szCs w:val="28"/>
        </w:rPr>
      </w:pPr>
      <w:r w:rsidRPr="004F16D5">
        <w:rPr>
          <w:rFonts w:eastAsia="標楷體" w:hint="eastAsia"/>
          <w:noProof/>
          <w:szCs w:val="28"/>
        </w:rPr>
        <mc:AlternateContent>
          <mc:Choice Requires="wps">
            <w:drawing>
              <wp:anchor distT="0" distB="0" distL="114300" distR="114300" simplePos="0" relativeHeight="251661312" behindDoc="1" locked="0" layoutInCell="1" allowOverlap="1" wp14:anchorId="10D712F2" wp14:editId="25FE769A">
                <wp:simplePos x="0" y="0"/>
                <wp:positionH relativeFrom="column">
                  <wp:posOffset>-8255</wp:posOffset>
                </wp:positionH>
                <wp:positionV relativeFrom="paragraph">
                  <wp:posOffset>40640</wp:posOffset>
                </wp:positionV>
                <wp:extent cx="1216660" cy="1365250"/>
                <wp:effectExtent l="0" t="0" r="0" b="6350"/>
                <wp:wrapTight wrapText="bothSides">
                  <wp:wrapPolygon edited="0">
                    <wp:start x="1015" y="0"/>
                    <wp:lineTo x="1015" y="21399"/>
                    <wp:lineTo x="20292" y="21399"/>
                    <wp:lineTo x="20292" y="0"/>
                    <wp:lineTo x="1015" y="0"/>
                  </wp:wrapPolygon>
                </wp:wrapTight>
                <wp:docPr id="2" name="文字方塊 2"/>
                <wp:cNvGraphicFramePr/>
                <a:graphic xmlns:a="http://schemas.openxmlformats.org/drawingml/2006/main">
                  <a:graphicData uri="http://schemas.microsoft.com/office/word/2010/wordprocessingShape">
                    <wps:wsp>
                      <wps:cNvSpPr txBox="1"/>
                      <wps:spPr>
                        <a:xfrm>
                          <a:off x="0" y="0"/>
                          <a:ext cx="121666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1BD5" w:rsidRPr="00176384" w:rsidRDefault="00B31BD5" w:rsidP="007247A6">
                            <w:pPr>
                              <w:widowControl/>
                              <w:snapToGrid w:val="0"/>
                              <w:spacing w:line="440" w:lineRule="exact"/>
                              <w:jc w:val="center"/>
                              <w:rPr>
                                <w:rFonts w:eastAsia="標楷體"/>
                                <w:b/>
                                <w:bCs/>
                              </w:rPr>
                            </w:pPr>
                            <w:r w:rsidRPr="00176384">
                              <w:rPr>
                                <w:rFonts w:eastAsia="標楷體"/>
                                <w:b/>
                                <w:bCs/>
                              </w:rPr>
                              <w:t xml:space="preserve">Median: </w:t>
                            </w:r>
                          </w:p>
                          <w:p w:rsidR="00B31BD5" w:rsidRDefault="00B31BD5" w:rsidP="007247A6">
                            <w:pPr>
                              <w:widowControl/>
                              <w:snapToGrid w:val="0"/>
                              <w:spacing w:line="440" w:lineRule="exact"/>
                              <w:jc w:val="center"/>
                              <w:rPr>
                                <w:b/>
                                <w:bCs/>
                              </w:rPr>
                            </w:pPr>
                            <w:r w:rsidRPr="00176384">
                              <w:rPr>
                                <w:rFonts w:hint="eastAsia"/>
                                <w:b/>
                                <w:bCs/>
                              </w:rPr>
                              <w:t>0.62%</w:t>
                            </w:r>
                            <w:r>
                              <w:rPr>
                                <w:rFonts w:hint="eastAsia"/>
                                <w:b/>
                                <w:bCs/>
                              </w:rPr>
                              <w:t xml:space="preserve"> (2017)</w:t>
                            </w:r>
                          </w:p>
                          <w:p w:rsidR="00B31BD5" w:rsidRPr="00176384" w:rsidRDefault="00B31BD5" w:rsidP="007247A6">
                            <w:pPr>
                              <w:widowControl/>
                              <w:snapToGrid w:val="0"/>
                              <w:spacing w:line="440" w:lineRule="exact"/>
                              <w:jc w:val="center"/>
                              <w:rPr>
                                <w:b/>
                                <w:bCs/>
                              </w:rPr>
                            </w:pPr>
                            <w:r>
                              <w:rPr>
                                <w:rFonts w:hint="eastAsia"/>
                                <w:b/>
                                <w:bCs/>
                              </w:rPr>
                              <w:t>0.96% (2018)</w:t>
                            </w:r>
                          </w:p>
                          <w:p w:rsidR="00B31BD5" w:rsidRPr="00054C51" w:rsidRDefault="00B31BD5" w:rsidP="007247A6">
                            <w:pPr>
                              <w:jc w:val="center"/>
                              <w:rPr>
                                <w:rFonts w:eastAsia="標楷體"/>
                                <w:b/>
                              </w:rPr>
                            </w:pPr>
                            <w:r w:rsidRPr="00176384">
                              <w:t>(</w:t>
                            </w:r>
                            <w:proofErr w:type="gramStart"/>
                            <w:r w:rsidRPr="00176384">
                              <w:t>domestic</w:t>
                            </w:r>
                            <w:proofErr w:type="gramEnd"/>
                            <w:r w:rsidRPr="00176384">
                              <w:t xml:space="preserve"> institutions)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65pt;margin-top:3.2pt;width:95.8pt;height: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" filled="f" stroked="f" strokeweight=".5pt">
                <v:textbox>
                  <w:txbxContent>
                    <w:p w:rsidR="00B31BD5" w:rsidRPr="00176384" w:rsidRDefault="00B31BD5" w:rsidP="007247A6">
                      <w:pPr>
                        <w:widowControl/>
                        <w:snapToGrid w:val="0"/>
                        <w:spacing w:line="440" w:lineRule="exact"/>
                        <w:jc w:val="center"/>
                        <w:rPr>
                          <w:rFonts w:eastAsia="標楷體"/>
                          <w:b/>
                          <w:bCs/>
                        </w:rPr>
                      </w:pPr>
                      <w:r w:rsidRPr="00176384">
                        <w:rPr>
                          <w:rFonts w:eastAsia="標楷體"/>
                          <w:b/>
                          <w:bCs/>
                        </w:rPr>
                        <w:t xml:space="preserve">Median: </w:t>
                      </w:r>
                    </w:p>
                    <w:p w:rsidR="00B31BD5" w:rsidRDefault="00B31BD5" w:rsidP="007247A6">
                      <w:pPr>
                        <w:widowControl/>
                        <w:snapToGrid w:val="0"/>
                        <w:spacing w:line="440" w:lineRule="exact"/>
                        <w:jc w:val="center"/>
                        <w:rPr>
                          <w:b/>
                          <w:bCs/>
                        </w:rPr>
                      </w:pPr>
                      <w:r w:rsidRPr="00176384">
                        <w:rPr>
                          <w:rFonts w:hint="eastAsia"/>
                          <w:b/>
                          <w:bCs/>
                        </w:rPr>
                        <w:t>0.62%</w:t>
                      </w:r>
                      <w:r>
                        <w:rPr>
                          <w:rFonts w:hint="eastAsia"/>
                          <w:b/>
                          <w:bCs/>
                        </w:rPr>
                        <w:t xml:space="preserve"> (2017)</w:t>
                      </w:r>
                    </w:p>
                    <w:p w:rsidR="00B31BD5" w:rsidRPr="00176384" w:rsidRDefault="00B31BD5" w:rsidP="007247A6">
                      <w:pPr>
                        <w:widowControl/>
                        <w:snapToGrid w:val="0"/>
                        <w:spacing w:line="440" w:lineRule="exact"/>
                        <w:jc w:val="center"/>
                        <w:rPr>
                          <w:b/>
                          <w:bCs/>
                        </w:rPr>
                      </w:pPr>
                      <w:r>
                        <w:rPr>
                          <w:rFonts w:hint="eastAsia"/>
                          <w:b/>
                          <w:bCs/>
                        </w:rPr>
                        <w:t>0.96% (2018)</w:t>
                      </w:r>
                    </w:p>
                    <w:p w:rsidR="00B31BD5" w:rsidRPr="00054C51" w:rsidRDefault="00B31BD5" w:rsidP="007247A6">
                      <w:pPr>
                        <w:jc w:val="center"/>
                        <w:rPr>
                          <w:rFonts w:eastAsia="標楷體"/>
                          <w:b/>
                        </w:rPr>
                      </w:pPr>
                      <w:r w:rsidRPr="00176384">
                        <w:t>(</w:t>
                      </w:r>
                      <w:proofErr w:type="gramStart"/>
                      <w:r w:rsidRPr="00176384">
                        <w:t>domestic</w:t>
                      </w:r>
                      <w:proofErr w:type="gramEnd"/>
                      <w:r w:rsidRPr="00176384">
                        <w:t xml:space="preserve"> institutions)</w:t>
                      </w:r>
                    </w:p>
                  </w:txbxContent>
                </v:textbox>
                <w10:wrap type="tight"/>
              </v:shape>
            </w:pict>
          </mc:Fallback>
        </mc:AlternateContent>
      </w:r>
    </w:p>
    <w:p w:rsidR="007247A6" w:rsidRPr="004F16D5"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r w:rsidRPr="004F16D5">
        <w:rPr>
          <w:rFonts w:eastAsia="標楷體" w:hint="eastAsia"/>
          <w:noProof/>
          <w:szCs w:val="28"/>
        </w:rPr>
        <mc:AlternateContent>
          <mc:Choice Requires="wps">
            <w:drawing>
              <wp:anchor distT="0" distB="0" distL="114300" distR="114300" simplePos="0" relativeHeight="251662336" behindDoc="0" locked="0" layoutInCell="1" allowOverlap="1" wp14:anchorId="6B77C58D" wp14:editId="6CE2A0E4">
                <wp:simplePos x="0" y="0"/>
                <wp:positionH relativeFrom="column">
                  <wp:posOffset>40005</wp:posOffset>
                </wp:positionH>
                <wp:positionV relativeFrom="paragraph">
                  <wp:posOffset>202565</wp:posOffset>
                </wp:positionV>
                <wp:extent cx="1329055" cy="143637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329055" cy="1436370"/>
                        </a:xfrm>
                        <a:prstGeom prst="rect">
                          <a:avLst/>
                        </a:prstGeom>
                        <a:noFill/>
                        <a:ln w="6350">
                          <a:noFill/>
                        </a:ln>
                        <a:effectLst/>
                      </wps:spPr>
                      <wps:txbx>
                        <w:txbxContent>
                          <w:p w:rsidR="00B31BD5" w:rsidRPr="00176384" w:rsidRDefault="00B31BD5" w:rsidP="007247A6">
                            <w:pPr>
                              <w:widowControl/>
                              <w:snapToGrid w:val="0"/>
                              <w:spacing w:line="440" w:lineRule="exact"/>
                              <w:jc w:val="center"/>
                              <w:rPr>
                                <w:rFonts w:eastAsia="標楷體"/>
                                <w:b/>
                                <w:bCs/>
                              </w:rPr>
                            </w:pPr>
                            <w:r w:rsidRPr="00176384">
                              <w:rPr>
                                <w:rFonts w:eastAsia="標楷體"/>
                                <w:b/>
                                <w:bCs/>
                              </w:rPr>
                              <w:t xml:space="preserve">Median: </w:t>
                            </w:r>
                          </w:p>
                          <w:p w:rsidR="00B31BD5" w:rsidRDefault="00B31BD5" w:rsidP="007247A6">
                            <w:pPr>
                              <w:widowControl/>
                              <w:snapToGrid w:val="0"/>
                              <w:spacing w:line="440" w:lineRule="exact"/>
                              <w:jc w:val="center"/>
                              <w:rPr>
                                <w:b/>
                                <w:bCs/>
                              </w:rPr>
                            </w:pPr>
                            <w:r>
                              <w:rPr>
                                <w:rFonts w:hint="eastAsia"/>
                                <w:b/>
                                <w:bCs/>
                              </w:rPr>
                              <w:t>0.60</w:t>
                            </w:r>
                            <w:r w:rsidRPr="00176384">
                              <w:rPr>
                                <w:rFonts w:hint="eastAsia"/>
                                <w:b/>
                                <w:bCs/>
                              </w:rPr>
                              <w:t>%</w:t>
                            </w:r>
                            <w:r>
                              <w:rPr>
                                <w:rFonts w:hint="eastAsia"/>
                                <w:b/>
                                <w:bCs/>
                              </w:rPr>
                              <w:t xml:space="preserve"> (2017)</w:t>
                            </w:r>
                          </w:p>
                          <w:p w:rsidR="00B31BD5" w:rsidRPr="00176384" w:rsidRDefault="00B31BD5" w:rsidP="007247A6">
                            <w:pPr>
                              <w:widowControl/>
                              <w:snapToGrid w:val="0"/>
                              <w:spacing w:line="440" w:lineRule="exact"/>
                              <w:jc w:val="center"/>
                              <w:rPr>
                                <w:b/>
                                <w:bCs/>
                              </w:rPr>
                            </w:pPr>
                            <w:r>
                              <w:rPr>
                                <w:rFonts w:hint="eastAsia"/>
                                <w:b/>
                                <w:bCs/>
                              </w:rPr>
                              <w:t>1.30% (2018)</w:t>
                            </w:r>
                          </w:p>
                          <w:p w:rsidR="00B31BD5" w:rsidRPr="00054C51" w:rsidRDefault="00B31BD5" w:rsidP="007247A6">
                            <w:pPr>
                              <w:jc w:val="center"/>
                              <w:rPr>
                                <w:rFonts w:eastAsia="標楷體"/>
                                <w:b/>
                              </w:rPr>
                            </w:pPr>
                            <w:r>
                              <w:t>(</w:t>
                            </w:r>
                            <w:proofErr w:type="gramStart"/>
                            <w:r>
                              <w:rPr>
                                <w:rFonts w:hint="eastAsia"/>
                              </w:rPr>
                              <w:t>foreign</w:t>
                            </w:r>
                            <w:proofErr w:type="gramEnd"/>
                            <w:r w:rsidRPr="00176384">
                              <w:t xml:space="preserve"> institutions)</w:t>
                            </w:r>
                          </w:p>
                          <w:p w:rsidR="00B31BD5" w:rsidRPr="00054C51" w:rsidRDefault="00B31BD5" w:rsidP="007247A6">
                            <w:pPr>
                              <w:jc w:val="center"/>
                              <w:rPr>
                                <w:rFonts w:eastAsia="標楷體"/>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margin-left:3.15pt;margin-top:15.95pt;width:104.65pt;height:1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" filled="f" stroked="f" strokeweight=".5pt">
                <v:textbox>
                  <w:txbxContent>
                    <w:p w:rsidR="00B31BD5" w:rsidRPr="00176384" w:rsidRDefault="00B31BD5" w:rsidP="007247A6">
                      <w:pPr>
                        <w:widowControl/>
                        <w:snapToGrid w:val="0"/>
                        <w:spacing w:line="440" w:lineRule="exact"/>
                        <w:jc w:val="center"/>
                        <w:rPr>
                          <w:rFonts w:eastAsia="標楷體"/>
                          <w:b/>
                          <w:bCs/>
                        </w:rPr>
                      </w:pPr>
                      <w:r w:rsidRPr="00176384">
                        <w:rPr>
                          <w:rFonts w:eastAsia="標楷體"/>
                          <w:b/>
                          <w:bCs/>
                        </w:rPr>
                        <w:t xml:space="preserve">Median: </w:t>
                      </w:r>
                    </w:p>
                    <w:p w:rsidR="00B31BD5" w:rsidRDefault="00B31BD5" w:rsidP="007247A6">
                      <w:pPr>
                        <w:widowControl/>
                        <w:snapToGrid w:val="0"/>
                        <w:spacing w:line="440" w:lineRule="exact"/>
                        <w:jc w:val="center"/>
                        <w:rPr>
                          <w:b/>
                          <w:bCs/>
                        </w:rPr>
                      </w:pPr>
                      <w:r>
                        <w:rPr>
                          <w:rFonts w:hint="eastAsia"/>
                          <w:b/>
                          <w:bCs/>
                        </w:rPr>
                        <w:t>0.60</w:t>
                      </w:r>
                      <w:r w:rsidRPr="00176384">
                        <w:rPr>
                          <w:rFonts w:hint="eastAsia"/>
                          <w:b/>
                          <w:bCs/>
                        </w:rPr>
                        <w:t>%</w:t>
                      </w:r>
                      <w:r>
                        <w:rPr>
                          <w:rFonts w:hint="eastAsia"/>
                          <w:b/>
                          <w:bCs/>
                        </w:rPr>
                        <w:t xml:space="preserve"> (2017)</w:t>
                      </w:r>
                    </w:p>
                    <w:p w:rsidR="00B31BD5" w:rsidRPr="00176384" w:rsidRDefault="00B31BD5" w:rsidP="007247A6">
                      <w:pPr>
                        <w:widowControl/>
                        <w:snapToGrid w:val="0"/>
                        <w:spacing w:line="440" w:lineRule="exact"/>
                        <w:jc w:val="center"/>
                        <w:rPr>
                          <w:b/>
                          <w:bCs/>
                        </w:rPr>
                      </w:pPr>
                      <w:r>
                        <w:rPr>
                          <w:rFonts w:hint="eastAsia"/>
                          <w:b/>
                          <w:bCs/>
                        </w:rPr>
                        <w:t>1.30% (2018)</w:t>
                      </w:r>
                    </w:p>
                    <w:p w:rsidR="00B31BD5" w:rsidRPr="00054C51" w:rsidRDefault="00B31BD5" w:rsidP="007247A6">
                      <w:pPr>
                        <w:jc w:val="center"/>
                        <w:rPr>
                          <w:rFonts w:eastAsia="標楷體"/>
                          <w:b/>
                        </w:rPr>
                      </w:pPr>
                      <w:r>
                        <w:t>(</w:t>
                      </w:r>
                      <w:proofErr w:type="gramStart"/>
                      <w:r>
                        <w:rPr>
                          <w:rFonts w:hint="eastAsia"/>
                        </w:rPr>
                        <w:t>foreign</w:t>
                      </w:r>
                      <w:proofErr w:type="gramEnd"/>
                      <w:r w:rsidRPr="00176384">
                        <w:t xml:space="preserve"> institutions)</w:t>
                      </w:r>
                    </w:p>
                    <w:p w:rsidR="00B31BD5" w:rsidRPr="00054C51" w:rsidRDefault="00B31BD5" w:rsidP="007247A6">
                      <w:pPr>
                        <w:jc w:val="center"/>
                        <w:rPr>
                          <w:rFonts w:eastAsia="標楷體"/>
                          <w:b/>
                        </w:rPr>
                      </w:pPr>
                    </w:p>
                  </w:txbxContent>
                </v:textbox>
              </v:shape>
            </w:pict>
          </mc:Fallback>
        </mc:AlternateContent>
      </w:r>
    </w:p>
    <w:p w:rsidR="007247A6" w:rsidRPr="004F16D5"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p>
    <w:p w:rsidR="007247A6" w:rsidRDefault="007247A6" w:rsidP="007247A6">
      <w:pPr>
        <w:spacing w:line="400" w:lineRule="exact"/>
        <w:rPr>
          <w:rFonts w:eastAsia="標楷體"/>
          <w:szCs w:val="28"/>
        </w:rPr>
      </w:pPr>
    </w:p>
    <w:p w:rsidR="007247A6" w:rsidRPr="004F16D5" w:rsidRDefault="007247A6" w:rsidP="007247A6">
      <w:pPr>
        <w:spacing w:line="400" w:lineRule="exact"/>
        <w:rPr>
          <w:rFonts w:eastAsia="標楷體"/>
          <w:szCs w:val="28"/>
        </w:rPr>
      </w:pPr>
    </w:p>
    <w:p w:rsidR="00DF3E92" w:rsidRDefault="00DF3E92" w:rsidP="007247A6">
      <w:pPr>
        <w:widowControl/>
        <w:snapToGrid w:val="0"/>
        <w:spacing w:beforeLines="50" w:before="120"/>
        <w:ind w:leftChars="-295" w:left="-590" w:firstLineChars="354" w:firstLine="708"/>
        <w:rPr>
          <w:rFonts w:eastAsia="標楷體"/>
        </w:rPr>
      </w:pPr>
    </w:p>
    <w:p w:rsidR="00DF3E92" w:rsidRDefault="00DF3E92" w:rsidP="007247A6">
      <w:pPr>
        <w:widowControl/>
        <w:snapToGrid w:val="0"/>
        <w:spacing w:beforeLines="50" w:before="120"/>
        <w:ind w:leftChars="-295" w:left="-590" w:firstLineChars="354" w:firstLine="708"/>
        <w:rPr>
          <w:rFonts w:eastAsia="標楷體"/>
        </w:rPr>
      </w:pPr>
    </w:p>
    <w:p w:rsidR="007247A6" w:rsidRPr="00F356BE" w:rsidRDefault="007247A6" w:rsidP="007247A6">
      <w:pPr>
        <w:widowControl/>
        <w:snapToGrid w:val="0"/>
        <w:spacing w:beforeLines="50" w:before="120"/>
        <w:ind w:leftChars="-295" w:left="-590" w:firstLineChars="354" w:firstLine="708"/>
        <w:rPr>
          <w:rFonts w:eastAsia="標楷體"/>
        </w:rPr>
      </w:pPr>
      <w:r w:rsidRPr="00F356BE">
        <w:rPr>
          <w:rFonts w:eastAsia="標楷體" w:hint="eastAsia"/>
        </w:rPr>
        <w:t xml:space="preserve">*Excluding vegetables, fruit, and energy. </w:t>
      </w:r>
    </w:p>
    <w:p w:rsidR="007247A6" w:rsidRPr="00F356BE" w:rsidRDefault="007247A6" w:rsidP="007247A6">
      <w:pPr>
        <w:spacing w:line="400" w:lineRule="exact"/>
        <w:ind w:leftChars="-295" w:left="-590" w:firstLineChars="354" w:firstLine="708"/>
        <w:rPr>
          <w:rFonts w:eastAsia="標楷體"/>
        </w:rPr>
      </w:pPr>
      <w:r w:rsidRPr="00F356BE">
        <w:rPr>
          <w:rFonts w:eastAsia="標楷體" w:hint="eastAsia"/>
        </w:rPr>
        <w:t>Sources: DGBAS, Executive Yuan; forecasts by respective institutions.</w:t>
      </w:r>
    </w:p>
    <w:p w:rsidR="007247A6" w:rsidRPr="004F16D5" w:rsidRDefault="007247A6" w:rsidP="007247A6">
      <w:pPr>
        <w:spacing w:line="400" w:lineRule="exact"/>
        <w:rPr>
          <w:rFonts w:eastAsia="標楷體"/>
          <w:szCs w:val="28"/>
        </w:rPr>
      </w:pPr>
      <w:r w:rsidRPr="004F16D5">
        <w:rPr>
          <w:rFonts w:eastAsia="標楷體"/>
          <w:szCs w:val="28"/>
        </w:rPr>
        <w:br w:type="page"/>
      </w:r>
    </w:p>
    <w:p w:rsidR="007247A6" w:rsidRDefault="007247A6" w:rsidP="007247A6">
      <w:pPr>
        <w:spacing w:line="480" w:lineRule="exact"/>
        <w:jc w:val="center"/>
        <w:rPr>
          <w:rFonts w:eastAsia="標楷體"/>
          <w:b/>
          <w:sz w:val="28"/>
          <w:szCs w:val="28"/>
        </w:rPr>
      </w:pPr>
      <w:r>
        <w:rPr>
          <w:rFonts w:eastAsia="標楷體" w:hint="eastAsia"/>
          <w:b/>
          <w:noProof/>
          <w:sz w:val="32"/>
          <w:szCs w:val="28"/>
        </w:rPr>
        <w:lastRenderedPageBreak/>
        <mc:AlternateContent>
          <mc:Choice Requires="wps">
            <w:drawing>
              <wp:anchor distT="0" distB="0" distL="114300" distR="114300" simplePos="0" relativeHeight="251660288" behindDoc="0" locked="0" layoutInCell="1" allowOverlap="1" wp14:anchorId="62B40B51" wp14:editId="3022FAB1">
                <wp:simplePos x="0" y="0"/>
                <wp:positionH relativeFrom="column">
                  <wp:posOffset>616643</wp:posOffset>
                </wp:positionH>
                <wp:positionV relativeFrom="paragraph">
                  <wp:posOffset>-183804</wp:posOffset>
                </wp:positionV>
                <wp:extent cx="4612194" cy="692728"/>
                <wp:effectExtent l="0" t="0" r="17145" b="12700"/>
                <wp:wrapNone/>
                <wp:docPr id="4" name="文字方塊 4"/>
                <wp:cNvGraphicFramePr/>
                <a:graphic xmlns:a="http://schemas.openxmlformats.org/drawingml/2006/main">
                  <a:graphicData uri="http://schemas.microsoft.com/office/word/2010/wordprocessingShape">
                    <wps:wsp>
                      <wps:cNvSpPr txBox="1"/>
                      <wps:spPr>
                        <a:xfrm>
                          <a:off x="0" y="0"/>
                          <a:ext cx="4612194" cy="692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BD5" w:rsidRPr="00DF3E92" w:rsidRDefault="00B31BD5" w:rsidP="007247A6">
                            <w:pPr>
                              <w:snapToGrid w:val="0"/>
                              <w:spacing w:line="480" w:lineRule="exact"/>
                              <w:ind w:left="2"/>
                              <w:rPr>
                                <w:rFonts w:eastAsia="標楷體"/>
                                <w:sz w:val="26"/>
                                <w:szCs w:val="26"/>
                              </w:rPr>
                            </w:pPr>
                            <w:r w:rsidRPr="00DF3E92">
                              <w:rPr>
                                <w:rFonts w:eastAsia="標楷體"/>
                                <w:sz w:val="26"/>
                                <w:szCs w:val="26"/>
                              </w:rPr>
                              <w:t>Compared with other economies, Taiwan’s nominal interest rate</w:t>
                            </w:r>
                            <w:r w:rsidRPr="00DF3E92">
                              <w:rPr>
                                <w:rFonts w:eastAsia="標楷體" w:hint="eastAsia"/>
                                <w:sz w:val="26"/>
                                <w:szCs w:val="26"/>
                              </w:rPr>
                              <w:t xml:space="preserve"> is not low </w:t>
                            </w:r>
                            <w:r w:rsidRPr="00DF3E92">
                              <w:rPr>
                                <w:rFonts w:eastAsia="標楷體"/>
                                <w:sz w:val="26"/>
                                <w:szCs w:val="26"/>
                              </w:rPr>
                              <w:t>and the</w:t>
                            </w:r>
                            <w:r w:rsidRPr="00DF3E92">
                              <w:rPr>
                                <w:rFonts w:eastAsia="標楷體" w:hint="eastAsia"/>
                                <w:sz w:val="26"/>
                                <w:szCs w:val="26"/>
                              </w:rPr>
                              <w:t xml:space="preserve"> real interest rate </w:t>
                            </w:r>
                            <w:r w:rsidRPr="00DF3E92">
                              <w:rPr>
                                <w:rFonts w:eastAsia="標楷體"/>
                                <w:sz w:val="26"/>
                                <w:szCs w:val="26"/>
                              </w:rPr>
                              <w:t>is</w:t>
                            </w:r>
                            <w:r w:rsidRPr="00DF3E92">
                              <w:rPr>
                                <w:rFonts w:eastAsia="標楷體" w:hint="eastAsia"/>
                                <w:sz w:val="26"/>
                                <w:szCs w:val="26"/>
                              </w:rPr>
                              <w:t xml:space="preserve"> relatively</w:t>
                            </w:r>
                            <w:r w:rsidRPr="00DF3E92">
                              <w:rPr>
                                <w:rFonts w:eastAsia="標楷體"/>
                                <w:sz w:val="26"/>
                                <w:szCs w:val="26"/>
                              </w:rPr>
                              <w:t xml:space="preserve"> higher.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8" type="#_x0000_t202" style="position:absolute;left:0;text-align:left;margin-left:48.55pt;margin-top:-14.45pt;width:363.15pt;height:5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" fillcolor="white [3201]" strokeweight=".5pt">
                <v:textbox>
                  <w:txbxContent>
                    <w:p w:rsidR="00B31BD5" w:rsidRPr="00DF3E92" w:rsidRDefault="00B31BD5" w:rsidP="007247A6">
                      <w:pPr>
                        <w:snapToGrid w:val="0"/>
                        <w:spacing w:line="480" w:lineRule="exact"/>
                        <w:ind w:left="2"/>
                        <w:rPr>
                          <w:rFonts w:eastAsia="標楷體"/>
                          <w:sz w:val="26"/>
                          <w:szCs w:val="26"/>
                        </w:rPr>
                      </w:pPr>
                      <w:r w:rsidRPr="00DF3E92">
                        <w:rPr>
                          <w:rFonts w:eastAsia="標楷體"/>
                          <w:sz w:val="26"/>
                          <w:szCs w:val="26"/>
                        </w:rPr>
                        <w:t>Compared with other economies, Taiwan’s nominal interest rate</w:t>
                      </w:r>
                      <w:r w:rsidRPr="00DF3E92">
                        <w:rPr>
                          <w:rFonts w:eastAsia="標楷體" w:hint="eastAsia"/>
                          <w:sz w:val="26"/>
                          <w:szCs w:val="26"/>
                        </w:rPr>
                        <w:t xml:space="preserve"> is not low </w:t>
                      </w:r>
                      <w:r w:rsidRPr="00DF3E92">
                        <w:rPr>
                          <w:rFonts w:eastAsia="標楷體"/>
                          <w:sz w:val="26"/>
                          <w:szCs w:val="26"/>
                        </w:rPr>
                        <w:t>and the</w:t>
                      </w:r>
                      <w:r w:rsidRPr="00DF3E92">
                        <w:rPr>
                          <w:rFonts w:eastAsia="標楷體" w:hint="eastAsia"/>
                          <w:sz w:val="26"/>
                          <w:szCs w:val="26"/>
                        </w:rPr>
                        <w:t xml:space="preserve"> real interest rate </w:t>
                      </w:r>
                      <w:r w:rsidRPr="00DF3E92">
                        <w:rPr>
                          <w:rFonts w:eastAsia="標楷體"/>
                          <w:sz w:val="26"/>
                          <w:szCs w:val="26"/>
                        </w:rPr>
                        <w:t>is</w:t>
                      </w:r>
                      <w:r w:rsidRPr="00DF3E92">
                        <w:rPr>
                          <w:rFonts w:eastAsia="標楷體" w:hint="eastAsia"/>
                          <w:sz w:val="26"/>
                          <w:szCs w:val="26"/>
                        </w:rPr>
                        <w:t xml:space="preserve"> relatively</w:t>
                      </w:r>
                      <w:r w:rsidRPr="00DF3E92">
                        <w:rPr>
                          <w:rFonts w:eastAsia="標楷體"/>
                          <w:sz w:val="26"/>
                          <w:szCs w:val="26"/>
                        </w:rPr>
                        <w:t xml:space="preserve"> higher. </w:t>
                      </w:r>
                    </w:p>
                  </w:txbxContent>
                </v:textbox>
              </v:shape>
            </w:pict>
          </mc:Fallback>
        </mc:AlternateContent>
      </w:r>
    </w:p>
    <w:p w:rsidR="007247A6" w:rsidRDefault="007247A6" w:rsidP="007247A6">
      <w:pPr>
        <w:spacing w:line="480" w:lineRule="exact"/>
        <w:jc w:val="center"/>
        <w:rPr>
          <w:rFonts w:eastAsia="標楷體"/>
          <w:b/>
          <w:sz w:val="28"/>
          <w:szCs w:val="28"/>
        </w:rPr>
      </w:pPr>
    </w:p>
    <w:p w:rsidR="007247A6" w:rsidRDefault="007247A6" w:rsidP="007247A6">
      <w:pPr>
        <w:spacing w:line="480" w:lineRule="exact"/>
        <w:jc w:val="center"/>
        <w:rPr>
          <w:rFonts w:eastAsia="標楷體"/>
          <w:b/>
          <w:sz w:val="28"/>
          <w:szCs w:val="28"/>
        </w:rPr>
      </w:pPr>
      <w:r>
        <w:rPr>
          <w:rFonts w:eastAsia="標楷體" w:hint="eastAsia"/>
          <w:b/>
          <w:sz w:val="28"/>
          <w:szCs w:val="28"/>
        </w:rPr>
        <w:t xml:space="preserve">Table </w:t>
      </w:r>
      <w:proofErr w:type="gramStart"/>
      <w:r>
        <w:rPr>
          <w:rFonts w:eastAsia="標楷體" w:hint="eastAsia"/>
          <w:b/>
          <w:sz w:val="28"/>
          <w:szCs w:val="28"/>
        </w:rPr>
        <w:t>2  Real</w:t>
      </w:r>
      <w:proofErr w:type="gramEnd"/>
      <w:r>
        <w:rPr>
          <w:rFonts w:eastAsia="標楷體" w:hint="eastAsia"/>
          <w:b/>
          <w:sz w:val="28"/>
          <w:szCs w:val="28"/>
        </w:rPr>
        <w:t xml:space="preserve"> Interest Rates and Economic Growth of Selected Economies</w:t>
      </w:r>
      <w:r>
        <w:rPr>
          <w:rFonts w:eastAsia="標楷體"/>
          <w:b/>
          <w:sz w:val="28"/>
          <w:szCs w:val="28"/>
        </w:rPr>
        <w:t xml:space="preserve"> </w:t>
      </w:r>
    </w:p>
    <w:tbl>
      <w:tblPr>
        <w:tblW w:w="9229" w:type="dxa"/>
        <w:tblInd w:w="13" w:type="dxa"/>
        <w:tblLayout w:type="fixed"/>
        <w:tblCellMar>
          <w:left w:w="28" w:type="dxa"/>
          <w:right w:w="28" w:type="dxa"/>
        </w:tblCellMar>
        <w:tblLook w:val="04A0" w:firstRow="1" w:lastRow="0" w:firstColumn="1" w:lastColumn="0" w:noHBand="0" w:noVBand="1"/>
      </w:tblPr>
      <w:tblGrid>
        <w:gridCol w:w="1360"/>
        <w:gridCol w:w="1967"/>
        <w:gridCol w:w="420"/>
        <w:gridCol w:w="1547"/>
        <w:gridCol w:w="573"/>
        <w:gridCol w:w="1394"/>
        <w:gridCol w:w="726"/>
        <w:gridCol w:w="1242"/>
      </w:tblGrid>
      <w:tr w:rsidR="007247A6" w:rsidRPr="00042DED" w:rsidTr="007247A6">
        <w:trPr>
          <w:trHeight w:val="432"/>
        </w:trPr>
        <w:tc>
          <w:tcPr>
            <w:tcW w:w="1360" w:type="dxa"/>
            <w:tcBorders>
              <w:top w:val="nil"/>
              <w:left w:val="nil"/>
              <w:bottom w:val="nil"/>
              <w:right w:val="nil"/>
            </w:tcBorders>
            <w:shd w:val="clear" w:color="auto" w:fill="auto"/>
            <w:noWrap/>
            <w:vAlign w:val="bottom"/>
            <w:hideMark/>
          </w:tcPr>
          <w:p w:rsidR="007247A6" w:rsidRPr="00042DED" w:rsidRDefault="007247A6" w:rsidP="007247A6">
            <w:pPr>
              <w:widowControl/>
              <w:jc w:val="center"/>
              <w:rPr>
                <w:b/>
                <w:bCs/>
                <w:sz w:val="32"/>
                <w:szCs w:val="32"/>
              </w:rPr>
            </w:pPr>
          </w:p>
        </w:tc>
        <w:tc>
          <w:tcPr>
            <w:tcW w:w="2387" w:type="dxa"/>
            <w:gridSpan w:val="2"/>
            <w:tcBorders>
              <w:top w:val="nil"/>
              <w:left w:val="nil"/>
              <w:bottom w:val="nil"/>
              <w:right w:val="nil"/>
            </w:tcBorders>
            <w:shd w:val="clear" w:color="auto" w:fill="auto"/>
            <w:noWrap/>
            <w:vAlign w:val="bottom"/>
            <w:hideMark/>
          </w:tcPr>
          <w:p w:rsidR="007247A6" w:rsidRPr="00042DED" w:rsidRDefault="007247A6" w:rsidP="007247A6">
            <w:pPr>
              <w:widowControl/>
              <w:jc w:val="center"/>
            </w:pPr>
          </w:p>
        </w:tc>
        <w:tc>
          <w:tcPr>
            <w:tcW w:w="2120" w:type="dxa"/>
            <w:gridSpan w:val="2"/>
            <w:tcBorders>
              <w:top w:val="nil"/>
              <w:left w:val="nil"/>
              <w:bottom w:val="nil"/>
              <w:right w:val="nil"/>
            </w:tcBorders>
            <w:shd w:val="clear" w:color="auto" w:fill="auto"/>
            <w:noWrap/>
            <w:vAlign w:val="bottom"/>
            <w:hideMark/>
          </w:tcPr>
          <w:p w:rsidR="007247A6" w:rsidRPr="00042DED" w:rsidRDefault="007247A6" w:rsidP="007247A6">
            <w:pPr>
              <w:widowControl/>
              <w:jc w:val="center"/>
            </w:pPr>
          </w:p>
        </w:tc>
        <w:tc>
          <w:tcPr>
            <w:tcW w:w="2120" w:type="dxa"/>
            <w:gridSpan w:val="2"/>
            <w:tcBorders>
              <w:top w:val="nil"/>
              <w:left w:val="nil"/>
              <w:bottom w:val="nil"/>
              <w:right w:val="nil"/>
            </w:tcBorders>
            <w:shd w:val="clear" w:color="auto" w:fill="auto"/>
            <w:noWrap/>
            <w:vAlign w:val="bottom"/>
            <w:hideMark/>
          </w:tcPr>
          <w:p w:rsidR="007247A6" w:rsidRPr="00042DED" w:rsidRDefault="007247A6" w:rsidP="007247A6">
            <w:pPr>
              <w:widowControl/>
              <w:snapToGrid w:val="0"/>
              <w:jc w:val="center"/>
              <w:rPr>
                <w:sz w:val="22"/>
              </w:rPr>
            </w:pPr>
          </w:p>
        </w:tc>
        <w:tc>
          <w:tcPr>
            <w:tcW w:w="1242" w:type="dxa"/>
            <w:tcBorders>
              <w:top w:val="nil"/>
              <w:left w:val="nil"/>
              <w:bottom w:val="nil"/>
              <w:right w:val="nil"/>
            </w:tcBorders>
            <w:shd w:val="clear" w:color="auto" w:fill="auto"/>
            <w:noWrap/>
            <w:vAlign w:val="bottom"/>
            <w:hideMark/>
          </w:tcPr>
          <w:p w:rsidR="007247A6" w:rsidRPr="00667364" w:rsidRDefault="007247A6" w:rsidP="007247A6">
            <w:pPr>
              <w:widowControl/>
              <w:snapToGrid w:val="0"/>
              <w:jc w:val="right"/>
              <w:rPr>
                <w:rFonts w:eastAsia="標楷體"/>
                <w:sz w:val="22"/>
                <w:szCs w:val="28"/>
              </w:rPr>
            </w:pPr>
            <w:r w:rsidRPr="00667364">
              <w:rPr>
                <w:rFonts w:eastAsia="標楷體"/>
                <w:sz w:val="22"/>
                <w:szCs w:val="28"/>
              </w:rPr>
              <w:t>Unit: %</w:t>
            </w:r>
          </w:p>
        </w:tc>
      </w:tr>
      <w:tr w:rsidR="007247A6" w:rsidRPr="00042DED" w:rsidTr="007247A6">
        <w:trPr>
          <w:trHeight w:val="342"/>
        </w:trPr>
        <w:tc>
          <w:tcPr>
            <w:tcW w:w="136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7247A6" w:rsidRPr="00E20FEE" w:rsidRDefault="007247A6" w:rsidP="007247A6">
            <w:pPr>
              <w:widowControl/>
              <w:snapToGrid w:val="0"/>
              <w:jc w:val="center"/>
              <w:rPr>
                <w:rFonts w:eastAsia="標楷體"/>
              </w:rPr>
            </w:pPr>
            <w:r w:rsidRPr="00E20FEE">
              <w:rPr>
                <w:rFonts w:eastAsia="標楷體"/>
              </w:rPr>
              <w:t>Economies</w:t>
            </w:r>
          </w:p>
        </w:tc>
        <w:tc>
          <w:tcPr>
            <w:tcW w:w="1967" w:type="dxa"/>
            <w:tcBorders>
              <w:top w:val="single" w:sz="8" w:space="0" w:color="auto"/>
              <w:left w:val="nil"/>
              <w:bottom w:val="nil"/>
              <w:right w:val="single" w:sz="4" w:space="0" w:color="auto"/>
            </w:tcBorders>
            <w:shd w:val="clear" w:color="auto" w:fill="auto"/>
            <w:noWrap/>
            <w:vAlign w:val="center"/>
            <w:hideMark/>
          </w:tcPr>
          <w:p w:rsidR="007247A6" w:rsidRPr="00E20FEE" w:rsidRDefault="007247A6" w:rsidP="007247A6">
            <w:pPr>
              <w:widowControl/>
              <w:snapToGrid w:val="0"/>
              <w:jc w:val="center"/>
            </w:pPr>
            <w:r w:rsidRPr="00E20FEE">
              <w:t>(1)</w:t>
            </w:r>
          </w:p>
        </w:tc>
        <w:tc>
          <w:tcPr>
            <w:tcW w:w="1967" w:type="dxa"/>
            <w:gridSpan w:val="2"/>
            <w:tcBorders>
              <w:top w:val="single" w:sz="8" w:space="0" w:color="auto"/>
              <w:left w:val="nil"/>
              <w:bottom w:val="nil"/>
              <w:right w:val="single" w:sz="4" w:space="0" w:color="auto"/>
            </w:tcBorders>
            <w:shd w:val="clear" w:color="auto" w:fill="auto"/>
            <w:noWrap/>
            <w:vAlign w:val="center"/>
            <w:hideMark/>
          </w:tcPr>
          <w:p w:rsidR="007247A6" w:rsidRPr="00E20FEE" w:rsidRDefault="007247A6" w:rsidP="007247A6">
            <w:pPr>
              <w:widowControl/>
              <w:snapToGrid w:val="0"/>
              <w:jc w:val="center"/>
            </w:pPr>
            <w:r w:rsidRPr="00E20FEE">
              <w:t>(2)</w:t>
            </w:r>
          </w:p>
        </w:tc>
        <w:tc>
          <w:tcPr>
            <w:tcW w:w="1967" w:type="dxa"/>
            <w:gridSpan w:val="2"/>
            <w:tcBorders>
              <w:top w:val="single" w:sz="8" w:space="0" w:color="auto"/>
              <w:left w:val="nil"/>
              <w:bottom w:val="nil"/>
              <w:right w:val="nil"/>
            </w:tcBorders>
            <w:shd w:val="clear" w:color="auto" w:fill="auto"/>
            <w:noWrap/>
            <w:vAlign w:val="center"/>
            <w:hideMark/>
          </w:tcPr>
          <w:p w:rsidR="007247A6" w:rsidRPr="00E20FEE" w:rsidRDefault="007247A6" w:rsidP="007247A6">
            <w:pPr>
              <w:widowControl/>
              <w:snapToGrid w:val="0"/>
              <w:jc w:val="center"/>
            </w:pPr>
            <w:r w:rsidRPr="00E20FEE">
              <w:t>(3)=(1)-(2)</w:t>
            </w:r>
          </w:p>
        </w:tc>
        <w:tc>
          <w:tcPr>
            <w:tcW w:w="1968"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247A6" w:rsidRDefault="007247A6" w:rsidP="007247A6">
            <w:pPr>
              <w:widowControl/>
              <w:snapToGrid w:val="0"/>
              <w:jc w:val="center"/>
              <w:rPr>
                <w:b/>
              </w:rPr>
            </w:pPr>
            <w:r>
              <w:rPr>
                <w:rFonts w:hint="eastAsia"/>
                <w:b/>
              </w:rPr>
              <w:t xml:space="preserve">Real GDP </w:t>
            </w:r>
          </w:p>
          <w:p w:rsidR="007247A6" w:rsidRDefault="007247A6" w:rsidP="007247A6">
            <w:pPr>
              <w:widowControl/>
              <w:snapToGrid w:val="0"/>
              <w:jc w:val="center"/>
              <w:rPr>
                <w:b/>
              </w:rPr>
            </w:pPr>
            <w:r>
              <w:rPr>
                <w:rFonts w:hint="eastAsia"/>
                <w:b/>
              </w:rPr>
              <w:t xml:space="preserve">growth rate </w:t>
            </w:r>
          </w:p>
          <w:p w:rsidR="007247A6" w:rsidRPr="00E20FEE" w:rsidRDefault="007247A6" w:rsidP="007247A6">
            <w:pPr>
              <w:widowControl/>
              <w:snapToGrid w:val="0"/>
              <w:jc w:val="center"/>
            </w:pPr>
            <w:r>
              <w:rPr>
                <w:rFonts w:hint="eastAsia"/>
                <w:b/>
              </w:rPr>
              <w:t>(2017 forecast)</w:t>
            </w:r>
            <w:r w:rsidRPr="00E20FEE">
              <w:rPr>
                <w:rFonts w:eastAsia="標楷體"/>
                <w:b/>
              </w:rPr>
              <w:t xml:space="preserve"> </w:t>
            </w:r>
            <w:r w:rsidRPr="00E20FEE">
              <w:t>**</w:t>
            </w:r>
          </w:p>
        </w:tc>
      </w:tr>
      <w:tr w:rsidR="007247A6" w:rsidRPr="00042DED" w:rsidTr="007247A6">
        <w:trPr>
          <w:trHeight w:val="276"/>
        </w:trPr>
        <w:tc>
          <w:tcPr>
            <w:tcW w:w="1360" w:type="dxa"/>
            <w:vMerge/>
            <w:tcBorders>
              <w:top w:val="single" w:sz="8" w:space="0" w:color="auto"/>
              <w:left w:val="single" w:sz="8" w:space="0" w:color="auto"/>
              <w:bottom w:val="single" w:sz="4" w:space="0" w:color="000000"/>
              <w:right w:val="single" w:sz="4" w:space="0" w:color="auto"/>
            </w:tcBorders>
            <w:vAlign w:val="center"/>
            <w:hideMark/>
          </w:tcPr>
          <w:p w:rsidR="007247A6" w:rsidRPr="00E20FEE" w:rsidRDefault="007247A6" w:rsidP="007247A6">
            <w:pPr>
              <w:widowControl/>
              <w:snapToGrid w:val="0"/>
              <w:rPr>
                <w:rFonts w:eastAsia="標楷體"/>
              </w:rPr>
            </w:pPr>
          </w:p>
        </w:tc>
        <w:tc>
          <w:tcPr>
            <w:tcW w:w="1967" w:type="dxa"/>
            <w:tcBorders>
              <w:top w:val="nil"/>
              <w:left w:val="nil"/>
              <w:bottom w:val="nil"/>
              <w:right w:val="single" w:sz="4" w:space="0" w:color="auto"/>
            </w:tcBorders>
            <w:shd w:val="clear" w:color="auto" w:fill="auto"/>
            <w:noWrap/>
            <w:vAlign w:val="center"/>
            <w:hideMark/>
          </w:tcPr>
          <w:p w:rsidR="007247A6" w:rsidRPr="00E20FEE" w:rsidRDefault="007247A6" w:rsidP="007247A6">
            <w:pPr>
              <w:widowControl/>
              <w:snapToGrid w:val="0"/>
              <w:jc w:val="center"/>
            </w:pPr>
            <w:r w:rsidRPr="00E20FEE">
              <w:t xml:space="preserve">1-year time deposit rate </w:t>
            </w:r>
          </w:p>
        </w:tc>
        <w:tc>
          <w:tcPr>
            <w:tcW w:w="1967" w:type="dxa"/>
            <w:gridSpan w:val="2"/>
            <w:tcBorders>
              <w:top w:val="nil"/>
              <w:left w:val="nil"/>
              <w:bottom w:val="nil"/>
              <w:right w:val="single" w:sz="4" w:space="0" w:color="auto"/>
            </w:tcBorders>
            <w:shd w:val="clear" w:color="auto" w:fill="auto"/>
            <w:noWrap/>
            <w:vAlign w:val="center"/>
            <w:hideMark/>
          </w:tcPr>
          <w:p w:rsidR="007247A6" w:rsidRPr="00E20FEE" w:rsidRDefault="007247A6" w:rsidP="007247A6">
            <w:pPr>
              <w:widowControl/>
              <w:snapToGrid w:val="0"/>
              <w:jc w:val="center"/>
            </w:pPr>
            <w:r w:rsidRPr="00E20FEE">
              <w:t xml:space="preserve">CPI annual growth rate </w:t>
            </w:r>
            <w:r w:rsidRPr="00E20FEE">
              <w:rPr>
                <w:rFonts w:eastAsia="標楷體"/>
              </w:rPr>
              <w:t>*</w:t>
            </w:r>
            <w:r w:rsidRPr="00E20FEE">
              <w:t>*</w:t>
            </w:r>
          </w:p>
        </w:tc>
        <w:tc>
          <w:tcPr>
            <w:tcW w:w="1967" w:type="dxa"/>
            <w:gridSpan w:val="2"/>
            <w:vMerge w:val="restart"/>
            <w:tcBorders>
              <w:top w:val="nil"/>
              <w:left w:val="single" w:sz="4" w:space="0" w:color="auto"/>
              <w:bottom w:val="single" w:sz="4" w:space="0" w:color="000000"/>
              <w:right w:val="single" w:sz="8" w:space="0" w:color="auto"/>
            </w:tcBorders>
            <w:shd w:val="clear" w:color="auto" w:fill="auto"/>
            <w:noWrap/>
            <w:vAlign w:val="center"/>
            <w:hideMark/>
          </w:tcPr>
          <w:p w:rsidR="007247A6" w:rsidRPr="00E20FEE" w:rsidRDefault="007247A6" w:rsidP="007247A6">
            <w:pPr>
              <w:widowControl/>
              <w:snapToGrid w:val="0"/>
              <w:jc w:val="center"/>
              <w:rPr>
                <w:rFonts w:eastAsia="標楷體"/>
                <w:b/>
              </w:rPr>
            </w:pPr>
            <w:r w:rsidRPr="00667364">
              <w:rPr>
                <w:rFonts w:eastAsia="標楷體"/>
                <w:b/>
              </w:rPr>
              <w:t>Real interest rate</w:t>
            </w:r>
          </w:p>
        </w:tc>
        <w:tc>
          <w:tcPr>
            <w:tcW w:w="1968" w:type="dxa"/>
            <w:gridSpan w:val="2"/>
            <w:vMerge/>
            <w:tcBorders>
              <w:top w:val="single" w:sz="8" w:space="0" w:color="auto"/>
              <w:left w:val="single" w:sz="8" w:space="0" w:color="auto"/>
              <w:bottom w:val="single" w:sz="4" w:space="0" w:color="000000"/>
              <w:right w:val="single" w:sz="8" w:space="0" w:color="auto"/>
            </w:tcBorders>
            <w:vAlign w:val="center"/>
            <w:hideMark/>
          </w:tcPr>
          <w:p w:rsidR="007247A6" w:rsidRPr="00E20FEE" w:rsidRDefault="007247A6" w:rsidP="007247A6">
            <w:pPr>
              <w:widowControl/>
              <w:snapToGrid w:val="0"/>
            </w:pPr>
          </w:p>
        </w:tc>
      </w:tr>
      <w:tr w:rsidR="007247A6" w:rsidRPr="00042DED" w:rsidTr="007247A6">
        <w:trPr>
          <w:trHeight w:val="405"/>
        </w:trPr>
        <w:tc>
          <w:tcPr>
            <w:tcW w:w="1360" w:type="dxa"/>
            <w:vMerge/>
            <w:tcBorders>
              <w:top w:val="single" w:sz="8" w:space="0" w:color="auto"/>
              <w:left w:val="single" w:sz="8" w:space="0" w:color="auto"/>
              <w:bottom w:val="single" w:sz="4" w:space="0" w:color="000000"/>
              <w:right w:val="single" w:sz="4" w:space="0" w:color="auto"/>
            </w:tcBorders>
            <w:vAlign w:val="center"/>
            <w:hideMark/>
          </w:tcPr>
          <w:p w:rsidR="007247A6" w:rsidRPr="00E20FEE" w:rsidRDefault="007247A6" w:rsidP="007247A6">
            <w:pPr>
              <w:widowControl/>
              <w:snapToGrid w:val="0"/>
              <w:rPr>
                <w:rFonts w:eastAsia="標楷體"/>
              </w:rPr>
            </w:pPr>
          </w:p>
        </w:tc>
        <w:tc>
          <w:tcPr>
            <w:tcW w:w="1967" w:type="dxa"/>
            <w:tcBorders>
              <w:top w:val="nil"/>
              <w:left w:val="nil"/>
              <w:bottom w:val="nil"/>
              <w:right w:val="single" w:sz="4" w:space="0" w:color="auto"/>
            </w:tcBorders>
            <w:shd w:val="clear" w:color="auto" w:fill="auto"/>
            <w:noWrap/>
            <w:vAlign w:val="center"/>
            <w:hideMark/>
          </w:tcPr>
          <w:p w:rsidR="007247A6" w:rsidRPr="00E20FEE" w:rsidRDefault="007247A6" w:rsidP="007247A6">
            <w:pPr>
              <w:widowControl/>
              <w:snapToGrid w:val="0"/>
              <w:jc w:val="center"/>
            </w:pPr>
            <w:r w:rsidRPr="00E20FEE">
              <w:t>(</w:t>
            </w:r>
            <w:r>
              <w:rPr>
                <w:rFonts w:hint="eastAsia"/>
              </w:rPr>
              <w:t xml:space="preserve">As of </w:t>
            </w:r>
            <w:r w:rsidRPr="00E20FEE">
              <w:t>2017</w:t>
            </w:r>
            <w:r>
              <w:rPr>
                <w:rFonts w:eastAsia="標楷體" w:hint="eastAsia"/>
              </w:rPr>
              <w:t>/</w:t>
            </w:r>
            <w:r>
              <w:rPr>
                <w:rFonts w:hint="eastAsia"/>
              </w:rPr>
              <w:t>12</w:t>
            </w:r>
            <w:r>
              <w:rPr>
                <w:rFonts w:eastAsia="標楷體" w:hint="eastAsia"/>
              </w:rPr>
              <w:t>/</w:t>
            </w:r>
            <w:r>
              <w:t>2</w:t>
            </w:r>
            <w:r>
              <w:rPr>
                <w:rFonts w:hint="eastAsia"/>
              </w:rPr>
              <w:t>1</w:t>
            </w:r>
            <w:r w:rsidRPr="00E20FEE">
              <w:t>)</w:t>
            </w:r>
          </w:p>
        </w:tc>
        <w:tc>
          <w:tcPr>
            <w:tcW w:w="1967" w:type="dxa"/>
            <w:gridSpan w:val="2"/>
            <w:tcBorders>
              <w:top w:val="nil"/>
              <w:left w:val="nil"/>
              <w:bottom w:val="nil"/>
              <w:right w:val="single" w:sz="4" w:space="0" w:color="auto"/>
            </w:tcBorders>
            <w:shd w:val="clear" w:color="auto" w:fill="auto"/>
            <w:noWrap/>
            <w:vAlign w:val="center"/>
            <w:hideMark/>
          </w:tcPr>
          <w:p w:rsidR="007247A6" w:rsidRPr="00E20FEE" w:rsidRDefault="007247A6" w:rsidP="007247A6">
            <w:pPr>
              <w:widowControl/>
              <w:snapToGrid w:val="0"/>
              <w:jc w:val="center"/>
            </w:pPr>
            <w:r w:rsidRPr="00E20FEE">
              <w:t>(2017</w:t>
            </w:r>
            <w:r>
              <w:rPr>
                <w:rFonts w:eastAsia="標楷體" w:hint="eastAsia"/>
              </w:rPr>
              <w:t xml:space="preserve"> forecast</w:t>
            </w:r>
            <w:r w:rsidRPr="00E20FEE">
              <w:t>)</w:t>
            </w:r>
          </w:p>
        </w:tc>
        <w:tc>
          <w:tcPr>
            <w:tcW w:w="1967" w:type="dxa"/>
            <w:gridSpan w:val="2"/>
            <w:vMerge/>
            <w:tcBorders>
              <w:top w:val="nil"/>
              <w:left w:val="single" w:sz="4" w:space="0" w:color="auto"/>
              <w:bottom w:val="single" w:sz="4" w:space="0" w:color="000000"/>
              <w:right w:val="single" w:sz="8" w:space="0" w:color="auto"/>
            </w:tcBorders>
            <w:vAlign w:val="center"/>
            <w:hideMark/>
          </w:tcPr>
          <w:p w:rsidR="007247A6" w:rsidRPr="00E20FEE" w:rsidRDefault="007247A6" w:rsidP="007247A6">
            <w:pPr>
              <w:widowControl/>
              <w:snapToGrid w:val="0"/>
              <w:rPr>
                <w:rFonts w:eastAsia="標楷體"/>
              </w:rPr>
            </w:pPr>
          </w:p>
        </w:tc>
        <w:tc>
          <w:tcPr>
            <w:tcW w:w="1968" w:type="dxa"/>
            <w:gridSpan w:val="2"/>
            <w:vMerge/>
            <w:tcBorders>
              <w:top w:val="single" w:sz="8" w:space="0" w:color="auto"/>
              <w:left w:val="single" w:sz="8" w:space="0" w:color="auto"/>
              <w:bottom w:val="single" w:sz="4" w:space="0" w:color="000000"/>
              <w:right w:val="single" w:sz="8" w:space="0" w:color="auto"/>
            </w:tcBorders>
            <w:vAlign w:val="center"/>
            <w:hideMark/>
          </w:tcPr>
          <w:p w:rsidR="007247A6" w:rsidRPr="00E20FEE" w:rsidRDefault="007247A6" w:rsidP="007247A6">
            <w:pPr>
              <w:widowControl/>
              <w:snapToGrid w:val="0"/>
            </w:pPr>
          </w:p>
        </w:tc>
      </w:tr>
      <w:tr w:rsidR="007247A6" w:rsidRPr="00042DED" w:rsidTr="007247A6">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Indonesia</w:t>
            </w:r>
          </w:p>
        </w:tc>
        <w:tc>
          <w:tcPr>
            <w:tcW w:w="1967" w:type="dxa"/>
            <w:tcBorders>
              <w:top w:val="single" w:sz="4" w:space="0" w:color="auto"/>
              <w:left w:val="nil"/>
              <w:bottom w:val="single" w:sz="4" w:space="0" w:color="auto"/>
              <w:right w:val="nil"/>
            </w:tcBorders>
            <w:shd w:val="clear" w:color="auto" w:fill="auto"/>
            <w:noWrap/>
            <w:vAlign w:val="center"/>
          </w:tcPr>
          <w:p w:rsidR="007247A6" w:rsidRPr="00DF3E92" w:rsidRDefault="007247A6" w:rsidP="007247A6">
            <w:pPr>
              <w:spacing w:line="280" w:lineRule="exact"/>
              <w:jc w:val="center"/>
              <w:rPr>
                <w:sz w:val="24"/>
                <w:szCs w:val="24"/>
              </w:rPr>
            </w:pPr>
            <w:r w:rsidRPr="00DF3E92">
              <w:rPr>
                <w:sz w:val="24"/>
                <w:szCs w:val="24"/>
              </w:rPr>
              <w:t>4.750</w:t>
            </w:r>
          </w:p>
        </w:tc>
        <w:tc>
          <w:tcPr>
            <w:tcW w:w="1967" w:type="dxa"/>
            <w:gridSpan w:val="2"/>
            <w:tcBorders>
              <w:top w:val="single" w:sz="4" w:space="0" w:color="auto"/>
              <w:left w:val="single" w:sz="4" w:space="0" w:color="auto"/>
              <w:bottom w:val="single" w:sz="4" w:space="0" w:color="auto"/>
              <w:right w:val="nil"/>
            </w:tcBorders>
            <w:shd w:val="clear" w:color="auto" w:fill="auto"/>
            <w:noWrap/>
            <w:vAlign w:val="center"/>
          </w:tcPr>
          <w:p w:rsidR="007247A6" w:rsidRPr="00DF3E92" w:rsidRDefault="007247A6" w:rsidP="007247A6">
            <w:pPr>
              <w:spacing w:line="280" w:lineRule="exact"/>
              <w:jc w:val="center"/>
              <w:rPr>
                <w:sz w:val="24"/>
                <w:szCs w:val="24"/>
              </w:rPr>
            </w:pPr>
            <w:r w:rsidRPr="00DF3E92">
              <w:rPr>
                <w:rFonts w:hint="eastAsia"/>
                <w:sz w:val="24"/>
                <w:szCs w:val="24"/>
              </w:rPr>
              <w:t>3.84</w:t>
            </w:r>
          </w:p>
        </w:tc>
        <w:tc>
          <w:tcPr>
            <w:tcW w:w="1967" w:type="dxa"/>
            <w:gridSpan w:val="2"/>
            <w:tcBorders>
              <w:top w:val="nil"/>
              <w:left w:val="single" w:sz="4" w:space="0" w:color="auto"/>
              <w:bottom w:val="single" w:sz="4" w:space="0" w:color="auto"/>
              <w:right w:val="nil"/>
            </w:tcBorders>
            <w:shd w:val="clear" w:color="auto" w:fill="auto"/>
            <w:noWrap/>
            <w:vAlign w:val="center"/>
          </w:tcPr>
          <w:p w:rsidR="007247A6" w:rsidRPr="00DF3E92" w:rsidRDefault="007247A6" w:rsidP="007247A6">
            <w:pPr>
              <w:spacing w:line="280" w:lineRule="exact"/>
              <w:jc w:val="center"/>
              <w:rPr>
                <w:sz w:val="24"/>
                <w:szCs w:val="24"/>
              </w:rPr>
            </w:pPr>
            <w:r w:rsidRPr="00DF3E92">
              <w:rPr>
                <w:sz w:val="24"/>
                <w:szCs w:val="24"/>
              </w:rPr>
              <w:t>0.</w:t>
            </w:r>
            <w:r w:rsidRPr="00DF3E92">
              <w:rPr>
                <w:rFonts w:hint="eastAsia"/>
                <w:sz w:val="24"/>
                <w:szCs w:val="24"/>
              </w:rPr>
              <w:t>910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tcPr>
          <w:p w:rsidR="007247A6" w:rsidRPr="00DF3E92" w:rsidRDefault="007247A6" w:rsidP="007247A6">
            <w:pPr>
              <w:spacing w:line="280" w:lineRule="exact"/>
              <w:jc w:val="center"/>
              <w:rPr>
                <w:sz w:val="24"/>
                <w:szCs w:val="24"/>
              </w:rPr>
            </w:pPr>
            <w:r w:rsidRPr="00DF3E92">
              <w:rPr>
                <w:sz w:val="24"/>
                <w:szCs w:val="24"/>
              </w:rPr>
              <w:t>5.0</w:t>
            </w:r>
          </w:p>
        </w:tc>
      </w:tr>
      <w:tr w:rsidR="007247A6" w:rsidRPr="00042DED" w:rsidTr="007247A6">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sz w:val="24"/>
                <w:szCs w:val="24"/>
              </w:rPr>
              <w:t>Thailand</w:t>
            </w:r>
          </w:p>
        </w:tc>
        <w:tc>
          <w:tcPr>
            <w:tcW w:w="1967" w:type="dxa"/>
            <w:tcBorders>
              <w:top w:val="nil"/>
              <w:left w:val="nil"/>
              <w:bottom w:val="single" w:sz="4" w:space="0" w:color="auto"/>
              <w:right w:val="nil"/>
            </w:tcBorders>
            <w:shd w:val="clear" w:color="auto" w:fill="auto"/>
            <w:noWrap/>
            <w:vAlign w:val="center"/>
          </w:tcPr>
          <w:p w:rsidR="007247A6" w:rsidRPr="00DF3E92" w:rsidRDefault="007247A6" w:rsidP="007247A6">
            <w:pPr>
              <w:spacing w:line="280" w:lineRule="exact"/>
              <w:jc w:val="center"/>
              <w:rPr>
                <w:sz w:val="24"/>
                <w:szCs w:val="24"/>
              </w:rPr>
            </w:pPr>
            <w:r w:rsidRPr="00DF3E92">
              <w:rPr>
                <w:sz w:val="24"/>
                <w:szCs w:val="24"/>
              </w:rPr>
              <w:t>1.500</w:t>
            </w:r>
          </w:p>
        </w:tc>
        <w:tc>
          <w:tcPr>
            <w:tcW w:w="1967" w:type="dxa"/>
            <w:gridSpan w:val="2"/>
            <w:tcBorders>
              <w:top w:val="nil"/>
              <w:left w:val="single" w:sz="4" w:space="0" w:color="auto"/>
              <w:bottom w:val="single" w:sz="4" w:space="0" w:color="auto"/>
              <w:right w:val="nil"/>
            </w:tcBorders>
            <w:shd w:val="clear" w:color="auto" w:fill="auto"/>
            <w:noWrap/>
            <w:vAlign w:val="center"/>
          </w:tcPr>
          <w:p w:rsidR="007247A6" w:rsidRPr="00DF3E92" w:rsidRDefault="007247A6" w:rsidP="007247A6">
            <w:pPr>
              <w:spacing w:line="280" w:lineRule="exact"/>
              <w:jc w:val="center"/>
              <w:rPr>
                <w:sz w:val="24"/>
                <w:szCs w:val="24"/>
              </w:rPr>
            </w:pPr>
            <w:r w:rsidRPr="00DF3E92">
              <w:rPr>
                <w:rFonts w:hint="eastAsia"/>
                <w:sz w:val="24"/>
                <w:szCs w:val="24"/>
              </w:rPr>
              <w:t>0.70</w:t>
            </w:r>
          </w:p>
        </w:tc>
        <w:tc>
          <w:tcPr>
            <w:tcW w:w="1967" w:type="dxa"/>
            <w:gridSpan w:val="2"/>
            <w:tcBorders>
              <w:top w:val="nil"/>
              <w:left w:val="single" w:sz="4" w:space="0" w:color="auto"/>
              <w:bottom w:val="single" w:sz="4" w:space="0" w:color="auto"/>
              <w:right w:val="nil"/>
            </w:tcBorders>
            <w:shd w:val="clear" w:color="auto" w:fill="auto"/>
            <w:noWrap/>
            <w:vAlign w:val="center"/>
          </w:tcPr>
          <w:p w:rsidR="007247A6" w:rsidRPr="00DF3E92" w:rsidRDefault="007247A6" w:rsidP="007247A6">
            <w:pPr>
              <w:spacing w:line="280" w:lineRule="exact"/>
              <w:jc w:val="center"/>
              <w:rPr>
                <w:sz w:val="24"/>
                <w:szCs w:val="24"/>
              </w:rPr>
            </w:pPr>
            <w:r w:rsidRPr="00DF3E92">
              <w:rPr>
                <w:sz w:val="24"/>
                <w:szCs w:val="24"/>
              </w:rPr>
              <w:t>0.</w:t>
            </w:r>
            <w:r w:rsidRPr="00DF3E92">
              <w:rPr>
                <w:rFonts w:hint="eastAsia"/>
                <w:sz w:val="24"/>
                <w:szCs w:val="24"/>
              </w:rPr>
              <w:t>800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tcPr>
          <w:p w:rsidR="007247A6" w:rsidRPr="00DF3E92" w:rsidRDefault="007247A6" w:rsidP="007247A6">
            <w:pPr>
              <w:spacing w:line="280" w:lineRule="exact"/>
              <w:jc w:val="center"/>
              <w:rPr>
                <w:sz w:val="24"/>
                <w:szCs w:val="24"/>
              </w:rPr>
            </w:pPr>
            <w:r w:rsidRPr="00DF3E92">
              <w:rPr>
                <w:sz w:val="24"/>
                <w:szCs w:val="24"/>
              </w:rPr>
              <w:t>3.</w:t>
            </w:r>
            <w:r w:rsidRPr="00DF3E92">
              <w:rPr>
                <w:rFonts w:hint="eastAsia"/>
                <w:sz w:val="24"/>
                <w:szCs w:val="24"/>
              </w:rPr>
              <w:t>8</w:t>
            </w:r>
          </w:p>
        </w:tc>
      </w:tr>
      <w:tr w:rsidR="007247A6" w:rsidRPr="00042DED" w:rsidTr="007247A6">
        <w:trPr>
          <w:trHeight w:val="680"/>
        </w:trPr>
        <w:tc>
          <w:tcPr>
            <w:tcW w:w="1360" w:type="dxa"/>
            <w:tcBorders>
              <w:top w:val="nil"/>
              <w:left w:val="single" w:sz="8" w:space="0" w:color="auto"/>
              <w:bottom w:val="single" w:sz="4" w:space="0" w:color="auto"/>
              <w:right w:val="single" w:sz="4" w:space="0" w:color="auto"/>
            </w:tcBorders>
            <w:shd w:val="clear" w:color="auto" w:fill="FFFFCC"/>
            <w:noWrap/>
            <w:vAlign w:val="center"/>
            <w:hideMark/>
          </w:tcPr>
          <w:p w:rsidR="007247A6" w:rsidRPr="00DF3E92" w:rsidRDefault="007247A6" w:rsidP="007247A6">
            <w:pPr>
              <w:widowControl/>
              <w:snapToGrid w:val="0"/>
              <w:spacing w:line="280" w:lineRule="exact"/>
              <w:jc w:val="center"/>
              <w:rPr>
                <w:rFonts w:eastAsia="標楷體"/>
                <w:b/>
                <w:bCs/>
                <w:sz w:val="24"/>
                <w:szCs w:val="24"/>
              </w:rPr>
            </w:pPr>
            <w:r w:rsidRPr="00DF3E92">
              <w:rPr>
                <w:rFonts w:eastAsia="標楷體" w:hint="eastAsia"/>
                <w:b/>
                <w:bCs/>
                <w:sz w:val="24"/>
                <w:szCs w:val="24"/>
              </w:rPr>
              <w:t>T</w:t>
            </w:r>
            <w:r w:rsidRPr="00DF3E92">
              <w:rPr>
                <w:rFonts w:eastAsia="標楷體"/>
                <w:b/>
                <w:bCs/>
                <w:sz w:val="24"/>
                <w:szCs w:val="24"/>
              </w:rPr>
              <w:t>a</w:t>
            </w:r>
            <w:r w:rsidRPr="00DF3E92">
              <w:rPr>
                <w:rFonts w:eastAsia="標楷體" w:hint="eastAsia"/>
                <w:b/>
                <w:bCs/>
                <w:sz w:val="24"/>
                <w:szCs w:val="24"/>
              </w:rPr>
              <w:t xml:space="preserve">iwan </w:t>
            </w:r>
          </w:p>
        </w:tc>
        <w:tc>
          <w:tcPr>
            <w:tcW w:w="1967" w:type="dxa"/>
            <w:tcBorders>
              <w:top w:val="nil"/>
              <w:left w:val="nil"/>
              <w:bottom w:val="single" w:sz="4" w:space="0" w:color="auto"/>
              <w:right w:val="single" w:sz="4" w:space="0" w:color="auto"/>
            </w:tcBorders>
            <w:shd w:val="clear" w:color="auto" w:fill="FFFFCC"/>
            <w:vAlign w:val="center"/>
            <w:hideMark/>
          </w:tcPr>
          <w:p w:rsidR="007247A6" w:rsidRPr="00DF3E92" w:rsidRDefault="007247A6" w:rsidP="00DF3E92">
            <w:pPr>
              <w:spacing w:line="280" w:lineRule="exact"/>
              <w:ind w:firstLineChars="18" w:firstLine="43"/>
              <w:jc w:val="center"/>
              <w:rPr>
                <w:b/>
                <w:sz w:val="24"/>
                <w:szCs w:val="24"/>
              </w:rPr>
            </w:pPr>
            <w:r w:rsidRPr="00DF3E92">
              <w:rPr>
                <w:b/>
                <w:sz w:val="24"/>
                <w:szCs w:val="24"/>
              </w:rPr>
              <w:t>1.065</w:t>
            </w:r>
            <w:r w:rsidRPr="00DF3E92">
              <w:rPr>
                <w:rFonts w:eastAsia="標楷體"/>
                <w:sz w:val="24"/>
                <w:szCs w:val="24"/>
              </w:rPr>
              <w:t>*</w:t>
            </w:r>
          </w:p>
        </w:tc>
        <w:tc>
          <w:tcPr>
            <w:tcW w:w="1967" w:type="dxa"/>
            <w:gridSpan w:val="2"/>
            <w:tcBorders>
              <w:top w:val="nil"/>
              <w:left w:val="nil"/>
              <w:bottom w:val="single" w:sz="4" w:space="0" w:color="auto"/>
              <w:right w:val="single" w:sz="4" w:space="0" w:color="auto"/>
            </w:tcBorders>
            <w:shd w:val="clear" w:color="auto" w:fill="FFFFCC"/>
            <w:vAlign w:val="center"/>
            <w:hideMark/>
          </w:tcPr>
          <w:p w:rsidR="007247A6" w:rsidRPr="00DF3E92" w:rsidRDefault="007247A6" w:rsidP="007247A6">
            <w:pPr>
              <w:spacing w:line="280" w:lineRule="exact"/>
              <w:jc w:val="center"/>
              <w:rPr>
                <w:b/>
                <w:sz w:val="24"/>
                <w:szCs w:val="24"/>
              </w:rPr>
            </w:pPr>
            <w:r w:rsidRPr="00DF3E92">
              <w:rPr>
                <w:rFonts w:hint="eastAsia"/>
                <w:b/>
                <w:sz w:val="24"/>
                <w:szCs w:val="24"/>
              </w:rPr>
              <w:t>0.61</w:t>
            </w:r>
          </w:p>
        </w:tc>
        <w:tc>
          <w:tcPr>
            <w:tcW w:w="1967" w:type="dxa"/>
            <w:gridSpan w:val="2"/>
            <w:tcBorders>
              <w:top w:val="nil"/>
              <w:left w:val="nil"/>
              <w:bottom w:val="single" w:sz="4" w:space="0" w:color="auto"/>
              <w:right w:val="single" w:sz="8" w:space="0" w:color="auto"/>
            </w:tcBorders>
            <w:shd w:val="clear" w:color="auto" w:fill="FFFFCC"/>
            <w:vAlign w:val="center"/>
            <w:hideMark/>
          </w:tcPr>
          <w:p w:rsidR="007247A6" w:rsidRPr="00DF3E92" w:rsidRDefault="007247A6" w:rsidP="007247A6">
            <w:pPr>
              <w:spacing w:line="280" w:lineRule="exact"/>
              <w:jc w:val="center"/>
              <w:rPr>
                <w:b/>
                <w:sz w:val="24"/>
                <w:szCs w:val="24"/>
              </w:rPr>
            </w:pPr>
            <w:r w:rsidRPr="00DF3E92">
              <w:rPr>
                <w:rFonts w:hint="eastAsia"/>
                <w:b/>
                <w:sz w:val="24"/>
                <w:szCs w:val="24"/>
              </w:rPr>
              <w:t>0.455</w:t>
            </w:r>
          </w:p>
        </w:tc>
        <w:tc>
          <w:tcPr>
            <w:tcW w:w="1968" w:type="dxa"/>
            <w:gridSpan w:val="2"/>
            <w:tcBorders>
              <w:top w:val="nil"/>
              <w:left w:val="single" w:sz="4" w:space="0" w:color="auto"/>
              <w:bottom w:val="single" w:sz="4" w:space="0" w:color="auto"/>
              <w:right w:val="single" w:sz="8" w:space="0" w:color="auto"/>
            </w:tcBorders>
            <w:shd w:val="clear" w:color="auto" w:fill="FFFFCC"/>
            <w:vAlign w:val="center"/>
            <w:hideMark/>
          </w:tcPr>
          <w:p w:rsidR="007247A6" w:rsidRPr="00DF3E92" w:rsidRDefault="007247A6" w:rsidP="007247A6">
            <w:pPr>
              <w:spacing w:line="280" w:lineRule="exact"/>
              <w:jc w:val="center"/>
              <w:rPr>
                <w:b/>
                <w:sz w:val="24"/>
                <w:szCs w:val="24"/>
              </w:rPr>
            </w:pPr>
            <w:r w:rsidRPr="00DF3E92">
              <w:rPr>
                <w:rFonts w:hint="eastAsia"/>
                <w:b/>
                <w:sz w:val="24"/>
                <w:szCs w:val="24"/>
              </w:rPr>
              <w:t>2.61</w:t>
            </w:r>
          </w:p>
        </w:tc>
      </w:tr>
      <w:tr w:rsidR="007247A6" w:rsidRPr="00042DED" w:rsidTr="007247A6">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US</w:t>
            </w:r>
          </w:p>
        </w:tc>
        <w:tc>
          <w:tcPr>
            <w:tcW w:w="1967" w:type="dxa"/>
            <w:tcBorders>
              <w:top w:val="nil"/>
              <w:left w:val="nil"/>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2.1</w:t>
            </w:r>
            <w:r w:rsidRPr="00DF3E92">
              <w:rPr>
                <w:rFonts w:hint="eastAsia"/>
                <w:sz w:val="24"/>
                <w:szCs w:val="24"/>
              </w:rPr>
              <w:t>40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2.14</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0.0</w:t>
            </w:r>
            <w:r w:rsidRPr="00DF3E92">
              <w:rPr>
                <w:rFonts w:hint="eastAsia"/>
                <w:sz w:val="24"/>
                <w:szCs w:val="24"/>
              </w:rPr>
              <w:t>00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2.3</w:t>
            </w:r>
          </w:p>
        </w:tc>
      </w:tr>
      <w:tr w:rsidR="007247A6" w:rsidRPr="00042DED" w:rsidTr="007247A6">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China</w:t>
            </w:r>
          </w:p>
        </w:tc>
        <w:tc>
          <w:tcPr>
            <w:tcW w:w="1967" w:type="dxa"/>
            <w:tcBorders>
              <w:top w:val="nil"/>
              <w:left w:val="nil"/>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1.500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1.73</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-0.230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6.8</w:t>
            </w:r>
          </w:p>
        </w:tc>
      </w:tr>
      <w:tr w:rsidR="007247A6" w:rsidRPr="00042DED" w:rsidTr="007247A6">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Singapore</w:t>
            </w:r>
          </w:p>
        </w:tc>
        <w:tc>
          <w:tcPr>
            <w:tcW w:w="1967" w:type="dxa"/>
            <w:tcBorders>
              <w:top w:val="nil"/>
              <w:left w:val="nil"/>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0.250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0.49</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-0.240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3.6</w:t>
            </w:r>
          </w:p>
        </w:tc>
      </w:tr>
      <w:tr w:rsidR="007247A6" w:rsidRPr="00042DED" w:rsidTr="007247A6">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Switzerland</w:t>
            </w:r>
          </w:p>
        </w:tc>
        <w:tc>
          <w:tcPr>
            <w:tcW w:w="1967" w:type="dxa"/>
            <w:tcBorders>
              <w:top w:val="nil"/>
              <w:left w:val="nil"/>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0.160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0.52</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-0.360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1.1</w:t>
            </w:r>
          </w:p>
        </w:tc>
      </w:tr>
      <w:tr w:rsidR="007247A6" w:rsidRPr="00042DED" w:rsidTr="007247A6">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J</w:t>
            </w:r>
            <w:r w:rsidRPr="00DF3E92">
              <w:rPr>
                <w:rFonts w:eastAsia="標楷體"/>
                <w:sz w:val="24"/>
                <w:szCs w:val="24"/>
              </w:rPr>
              <w:t>a</w:t>
            </w:r>
            <w:r w:rsidRPr="00DF3E92">
              <w:rPr>
                <w:rFonts w:eastAsia="標楷體" w:hint="eastAsia"/>
                <w:sz w:val="24"/>
                <w:szCs w:val="24"/>
              </w:rPr>
              <w:t xml:space="preserve">pan </w:t>
            </w:r>
          </w:p>
        </w:tc>
        <w:tc>
          <w:tcPr>
            <w:tcW w:w="1967" w:type="dxa"/>
            <w:tcBorders>
              <w:top w:val="nil"/>
              <w:left w:val="nil"/>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0.011</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0.44</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-0.429</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1.8</w:t>
            </w:r>
          </w:p>
        </w:tc>
      </w:tr>
      <w:tr w:rsidR="007247A6" w:rsidRPr="00042DED" w:rsidTr="007247A6">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South Korea</w:t>
            </w:r>
          </w:p>
        </w:tc>
        <w:tc>
          <w:tcPr>
            <w:tcW w:w="1967" w:type="dxa"/>
            <w:tcBorders>
              <w:top w:val="nil"/>
              <w:left w:val="nil"/>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1.300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2.04</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-0.740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3.2</w:t>
            </w:r>
          </w:p>
        </w:tc>
      </w:tr>
      <w:tr w:rsidR="007247A6" w:rsidRPr="00042DED" w:rsidTr="007247A6">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M</w:t>
            </w:r>
            <w:r w:rsidRPr="00DF3E92">
              <w:rPr>
                <w:rFonts w:eastAsia="標楷體"/>
                <w:sz w:val="24"/>
                <w:szCs w:val="24"/>
              </w:rPr>
              <w:t>a</w:t>
            </w:r>
            <w:r w:rsidRPr="00DF3E92">
              <w:rPr>
                <w:rFonts w:eastAsia="標楷體" w:hint="eastAsia"/>
                <w:sz w:val="24"/>
                <w:szCs w:val="24"/>
              </w:rPr>
              <w:t xml:space="preserve">laysia </w:t>
            </w:r>
          </w:p>
        </w:tc>
        <w:tc>
          <w:tcPr>
            <w:tcW w:w="1967" w:type="dxa"/>
            <w:tcBorders>
              <w:top w:val="nil"/>
              <w:left w:val="nil"/>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2.850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3.79</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-0.940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5.9</w:t>
            </w:r>
          </w:p>
        </w:tc>
      </w:tr>
      <w:tr w:rsidR="007247A6" w:rsidRPr="00042DED" w:rsidTr="007247A6">
        <w:trPr>
          <w:trHeight w:val="680"/>
        </w:trPr>
        <w:tc>
          <w:tcPr>
            <w:tcW w:w="1360" w:type="dxa"/>
            <w:tcBorders>
              <w:top w:val="nil"/>
              <w:left w:val="single" w:sz="8" w:space="0" w:color="auto"/>
              <w:bottom w:val="nil"/>
              <w:right w:val="single" w:sz="4" w:space="0" w:color="auto"/>
            </w:tcBorders>
            <w:shd w:val="clear" w:color="auto" w:fill="auto"/>
            <w:noWrap/>
            <w:vAlign w:val="center"/>
            <w:hideMark/>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Hong Kong</w:t>
            </w:r>
          </w:p>
        </w:tc>
        <w:tc>
          <w:tcPr>
            <w:tcW w:w="1967" w:type="dxa"/>
            <w:tcBorders>
              <w:top w:val="nil"/>
              <w:left w:val="nil"/>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0.050</w:t>
            </w:r>
            <w:r w:rsidRPr="00DF3E92">
              <w:rPr>
                <w:noProof/>
                <w:sz w:val="24"/>
                <w:szCs w:val="24"/>
              </w:rPr>
              <w:t xml:space="preserve"> </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1.50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-1.450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3.6</w:t>
            </w:r>
          </w:p>
        </w:tc>
      </w:tr>
      <w:tr w:rsidR="007247A6" w:rsidRPr="00042DED" w:rsidTr="007247A6">
        <w:trPr>
          <w:trHeight w:val="680"/>
        </w:trPr>
        <w:tc>
          <w:tcPr>
            <w:tcW w:w="1360" w:type="dxa"/>
            <w:tcBorders>
              <w:top w:val="single" w:sz="4" w:space="0" w:color="auto"/>
              <w:left w:val="single" w:sz="8" w:space="0" w:color="auto"/>
              <w:bottom w:val="single" w:sz="4" w:space="0" w:color="auto"/>
              <w:right w:val="single" w:sz="4" w:space="0" w:color="auto"/>
            </w:tcBorders>
            <w:shd w:val="clear" w:color="FFFFFF" w:fill="FFFFFF"/>
            <w:noWrap/>
            <w:vAlign w:val="center"/>
            <w:hideMark/>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Euro A</w:t>
            </w:r>
            <w:r w:rsidRPr="00DF3E92">
              <w:rPr>
                <w:rFonts w:eastAsia="標楷體"/>
                <w:sz w:val="24"/>
                <w:szCs w:val="24"/>
              </w:rPr>
              <w:t>r</w:t>
            </w:r>
            <w:r w:rsidRPr="00DF3E92">
              <w:rPr>
                <w:rFonts w:eastAsia="標楷體" w:hint="eastAsia"/>
                <w:sz w:val="24"/>
                <w:szCs w:val="24"/>
              </w:rPr>
              <w:t xml:space="preserve">ea </w:t>
            </w:r>
          </w:p>
        </w:tc>
        <w:tc>
          <w:tcPr>
            <w:tcW w:w="1967" w:type="dxa"/>
            <w:tcBorders>
              <w:top w:val="nil"/>
              <w:left w:val="nil"/>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-0.270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1.47</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-1.740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2.4</w:t>
            </w:r>
          </w:p>
        </w:tc>
      </w:tr>
      <w:tr w:rsidR="007247A6" w:rsidRPr="00042DED" w:rsidTr="007247A6">
        <w:trPr>
          <w:trHeight w:val="680"/>
        </w:trPr>
        <w:tc>
          <w:tcPr>
            <w:tcW w:w="1360" w:type="dxa"/>
            <w:tcBorders>
              <w:top w:val="nil"/>
              <w:left w:val="single" w:sz="8" w:space="0" w:color="auto"/>
              <w:bottom w:val="single" w:sz="4" w:space="0" w:color="auto"/>
              <w:right w:val="single" w:sz="4" w:space="0" w:color="auto"/>
            </w:tcBorders>
            <w:shd w:val="clear" w:color="FFFFFF" w:fill="FFFFFF"/>
            <w:noWrap/>
            <w:vAlign w:val="center"/>
            <w:hideMark/>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UK</w:t>
            </w:r>
          </w:p>
        </w:tc>
        <w:tc>
          <w:tcPr>
            <w:tcW w:w="1967" w:type="dxa"/>
            <w:tcBorders>
              <w:top w:val="nil"/>
              <w:left w:val="nil"/>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0.860</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2.69</w:t>
            </w:r>
          </w:p>
        </w:tc>
        <w:tc>
          <w:tcPr>
            <w:tcW w:w="1967" w:type="dxa"/>
            <w:gridSpan w:val="2"/>
            <w:tcBorders>
              <w:top w:val="nil"/>
              <w:left w:val="single" w:sz="4" w:space="0" w:color="auto"/>
              <w:bottom w:val="single" w:sz="4"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-1.830</w:t>
            </w:r>
          </w:p>
        </w:tc>
        <w:tc>
          <w:tcPr>
            <w:tcW w:w="1968" w:type="dxa"/>
            <w:gridSpan w:val="2"/>
            <w:tcBorders>
              <w:top w:val="nil"/>
              <w:left w:val="single" w:sz="8" w:space="0" w:color="auto"/>
              <w:bottom w:val="single" w:sz="4" w:space="0" w:color="auto"/>
              <w:right w:val="single" w:sz="8"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1.5</w:t>
            </w:r>
          </w:p>
        </w:tc>
      </w:tr>
      <w:tr w:rsidR="007247A6" w:rsidRPr="00042DED" w:rsidTr="007247A6">
        <w:trPr>
          <w:trHeight w:val="680"/>
        </w:trPr>
        <w:tc>
          <w:tcPr>
            <w:tcW w:w="1360" w:type="dxa"/>
            <w:tcBorders>
              <w:top w:val="nil"/>
              <w:left w:val="single" w:sz="8" w:space="0" w:color="auto"/>
              <w:bottom w:val="single" w:sz="8" w:space="0" w:color="auto"/>
              <w:right w:val="single" w:sz="4" w:space="0" w:color="auto"/>
            </w:tcBorders>
            <w:shd w:val="clear" w:color="FFFFFF" w:fill="FFFFFF"/>
            <w:noWrap/>
            <w:vAlign w:val="center"/>
            <w:hideMark/>
          </w:tcPr>
          <w:p w:rsidR="007247A6" w:rsidRPr="00DF3E92" w:rsidRDefault="007247A6" w:rsidP="007247A6">
            <w:pPr>
              <w:widowControl/>
              <w:snapToGrid w:val="0"/>
              <w:spacing w:line="280" w:lineRule="exact"/>
              <w:jc w:val="center"/>
              <w:rPr>
                <w:rFonts w:eastAsia="標楷體"/>
                <w:sz w:val="24"/>
                <w:szCs w:val="24"/>
              </w:rPr>
            </w:pPr>
            <w:r w:rsidRPr="00DF3E92">
              <w:rPr>
                <w:rFonts w:eastAsia="標楷體" w:hint="eastAsia"/>
                <w:sz w:val="24"/>
                <w:szCs w:val="24"/>
              </w:rPr>
              <w:t>The Philippines</w:t>
            </w:r>
          </w:p>
        </w:tc>
        <w:tc>
          <w:tcPr>
            <w:tcW w:w="1967" w:type="dxa"/>
            <w:tcBorders>
              <w:top w:val="nil"/>
              <w:left w:val="nil"/>
              <w:bottom w:val="single" w:sz="8" w:space="0" w:color="auto"/>
              <w:right w:val="single" w:sz="4"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0.500</w:t>
            </w:r>
          </w:p>
        </w:tc>
        <w:tc>
          <w:tcPr>
            <w:tcW w:w="1967" w:type="dxa"/>
            <w:gridSpan w:val="2"/>
            <w:tcBorders>
              <w:top w:val="nil"/>
              <w:left w:val="nil"/>
              <w:bottom w:val="single" w:sz="8" w:space="0" w:color="auto"/>
              <w:right w:val="single" w:sz="4"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3.17</w:t>
            </w:r>
          </w:p>
        </w:tc>
        <w:tc>
          <w:tcPr>
            <w:tcW w:w="1967" w:type="dxa"/>
            <w:gridSpan w:val="2"/>
            <w:tcBorders>
              <w:top w:val="nil"/>
              <w:left w:val="nil"/>
              <w:bottom w:val="single" w:sz="8" w:space="0" w:color="auto"/>
              <w:right w:val="nil"/>
            </w:tcBorders>
            <w:shd w:val="clear" w:color="auto" w:fill="auto"/>
            <w:noWrap/>
            <w:vAlign w:val="center"/>
            <w:hideMark/>
          </w:tcPr>
          <w:p w:rsidR="007247A6" w:rsidRPr="00DF3E92" w:rsidRDefault="007247A6" w:rsidP="007247A6">
            <w:pPr>
              <w:jc w:val="center"/>
              <w:rPr>
                <w:sz w:val="24"/>
                <w:szCs w:val="24"/>
              </w:rPr>
            </w:pPr>
            <w:r w:rsidRPr="00DF3E92">
              <w:rPr>
                <w:sz w:val="24"/>
                <w:szCs w:val="24"/>
              </w:rPr>
              <w:t>-2.670</w:t>
            </w:r>
          </w:p>
        </w:tc>
        <w:tc>
          <w:tcPr>
            <w:tcW w:w="1968" w:type="dxa"/>
            <w:gridSpan w:val="2"/>
            <w:tcBorders>
              <w:top w:val="nil"/>
              <w:left w:val="single" w:sz="8" w:space="0" w:color="auto"/>
              <w:bottom w:val="single" w:sz="8" w:space="0" w:color="auto"/>
              <w:right w:val="single" w:sz="8" w:space="0" w:color="auto"/>
            </w:tcBorders>
            <w:shd w:val="clear" w:color="auto" w:fill="auto"/>
            <w:noWrap/>
            <w:vAlign w:val="center"/>
            <w:hideMark/>
          </w:tcPr>
          <w:p w:rsidR="007247A6" w:rsidRPr="00DF3E92" w:rsidRDefault="007247A6" w:rsidP="007247A6">
            <w:pPr>
              <w:jc w:val="center"/>
              <w:rPr>
                <w:sz w:val="24"/>
                <w:szCs w:val="24"/>
              </w:rPr>
            </w:pPr>
            <w:r w:rsidRPr="00DF3E92">
              <w:rPr>
                <w:sz w:val="24"/>
                <w:szCs w:val="24"/>
              </w:rPr>
              <w:t>6.6</w:t>
            </w:r>
          </w:p>
        </w:tc>
      </w:tr>
      <w:tr w:rsidR="007247A6" w:rsidRPr="001661B9" w:rsidTr="007247A6">
        <w:trPr>
          <w:trHeight w:val="792"/>
        </w:trPr>
        <w:tc>
          <w:tcPr>
            <w:tcW w:w="9229" w:type="dxa"/>
            <w:gridSpan w:val="8"/>
            <w:tcBorders>
              <w:top w:val="single" w:sz="8" w:space="0" w:color="auto"/>
              <w:left w:val="nil"/>
              <w:bottom w:val="nil"/>
              <w:right w:val="nil"/>
            </w:tcBorders>
            <w:shd w:val="clear" w:color="auto" w:fill="auto"/>
            <w:vAlign w:val="center"/>
            <w:hideMark/>
          </w:tcPr>
          <w:p w:rsidR="007247A6" w:rsidRPr="001661B9" w:rsidRDefault="007247A6" w:rsidP="00DF3E92">
            <w:pPr>
              <w:widowControl/>
              <w:spacing w:line="280" w:lineRule="exact"/>
              <w:rPr>
                <w:rFonts w:eastAsia="標楷體"/>
                <w:sz w:val="22"/>
              </w:rPr>
            </w:pPr>
            <w:r>
              <w:rPr>
                <w:rFonts w:eastAsia="標楷體" w:hint="eastAsia"/>
                <w:sz w:val="22"/>
              </w:rPr>
              <w:t xml:space="preserve">* </w:t>
            </w:r>
            <w:r w:rsidRPr="00E20FEE">
              <w:rPr>
                <w:rFonts w:eastAsia="標楷體"/>
                <w:sz w:val="22"/>
              </w:rPr>
              <w:t>1</w:t>
            </w:r>
            <w:r>
              <w:rPr>
                <w:rFonts w:eastAsia="標楷體" w:hint="eastAsia"/>
                <w:sz w:val="22"/>
              </w:rPr>
              <w:t>-</w:t>
            </w:r>
            <w:r w:rsidRPr="00E20FEE">
              <w:rPr>
                <w:rFonts w:eastAsia="標楷體"/>
                <w:sz w:val="22"/>
              </w:rPr>
              <w:t>y</w:t>
            </w:r>
            <w:r>
              <w:rPr>
                <w:rFonts w:eastAsia="標楷體" w:hint="eastAsia"/>
                <w:sz w:val="22"/>
              </w:rPr>
              <w:t>ear</w:t>
            </w:r>
            <w:r w:rsidRPr="00E20FEE">
              <w:rPr>
                <w:rFonts w:eastAsia="標楷體"/>
                <w:sz w:val="22"/>
              </w:rPr>
              <w:t xml:space="preserve"> time-deposit</w:t>
            </w:r>
            <w:r>
              <w:rPr>
                <w:rFonts w:eastAsia="標楷體" w:hint="eastAsia"/>
                <w:sz w:val="22"/>
              </w:rPr>
              <w:t xml:space="preserve"> floating</w:t>
            </w:r>
            <w:r w:rsidRPr="00E20FEE">
              <w:rPr>
                <w:rFonts w:eastAsia="標楷體"/>
                <w:sz w:val="22"/>
              </w:rPr>
              <w:t xml:space="preserve"> rate of the five major domestic banks</w:t>
            </w:r>
            <w:r>
              <w:rPr>
                <w:rFonts w:eastAsia="標楷體" w:hint="eastAsia"/>
                <w:sz w:val="22"/>
              </w:rPr>
              <w:t xml:space="preserve">. </w:t>
            </w:r>
          </w:p>
          <w:p w:rsidR="007247A6" w:rsidRPr="001661B9" w:rsidRDefault="007247A6" w:rsidP="00DF3E92">
            <w:pPr>
              <w:widowControl/>
              <w:spacing w:line="280" w:lineRule="exact"/>
              <w:ind w:leftChars="-5" w:left="274" w:hangingChars="129" w:hanging="284"/>
              <w:rPr>
                <w:sz w:val="22"/>
              </w:rPr>
            </w:pPr>
            <w:r>
              <w:rPr>
                <w:rFonts w:eastAsia="標楷體" w:hint="eastAsia"/>
                <w:sz w:val="22"/>
              </w:rPr>
              <w:t xml:space="preserve">** </w:t>
            </w:r>
            <w:r>
              <w:rPr>
                <w:rFonts w:eastAsia="標楷體"/>
                <w:sz w:val="22"/>
              </w:rPr>
              <w:t>I</w:t>
            </w:r>
            <w:r>
              <w:rPr>
                <w:rFonts w:eastAsia="標楷體" w:hint="eastAsia"/>
                <w:sz w:val="22"/>
              </w:rPr>
              <w:t>H</w:t>
            </w:r>
            <w:r>
              <w:rPr>
                <w:rFonts w:eastAsia="標楷體"/>
                <w:sz w:val="22"/>
              </w:rPr>
              <w:t>S</w:t>
            </w:r>
            <w:r>
              <w:rPr>
                <w:rFonts w:eastAsia="標楷體" w:hint="eastAsia"/>
                <w:sz w:val="22"/>
              </w:rPr>
              <w:t xml:space="preserve"> </w:t>
            </w:r>
            <w:proofErr w:type="spellStart"/>
            <w:r>
              <w:rPr>
                <w:rFonts w:eastAsia="標楷體" w:hint="eastAsia"/>
                <w:sz w:val="22"/>
              </w:rPr>
              <w:t>Markit</w:t>
            </w:r>
            <w:proofErr w:type="spellEnd"/>
            <w:r w:rsidRPr="005F718A">
              <w:rPr>
                <w:rFonts w:eastAsia="標楷體"/>
                <w:sz w:val="22"/>
              </w:rPr>
              <w:t xml:space="preserve"> projections, as of </w:t>
            </w:r>
            <w:r>
              <w:rPr>
                <w:rFonts w:eastAsia="標楷體" w:hint="eastAsia"/>
                <w:sz w:val="22"/>
              </w:rPr>
              <w:t>Dec.</w:t>
            </w:r>
            <w:r>
              <w:rPr>
                <w:rFonts w:eastAsia="標楷體"/>
                <w:sz w:val="22"/>
              </w:rPr>
              <w:t xml:space="preserve"> 15, 201</w:t>
            </w:r>
            <w:r>
              <w:rPr>
                <w:rFonts w:eastAsia="標楷體" w:hint="eastAsia"/>
                <w:sz w:val="22"/>
              </w:rPr>
              <w:t>7</w:t>
            </w:r>
            <w:r w:rsidRPr="005F718A">
              <w:rPr>
                <w:rFonts w:eastAsia="標楷體"/>
                <w:sz w:val="22"/>
              </w:rPr>
              <w:t>. Forecast</w:t>
            </w:r>
            <w:r>
              <w:rPr>
                <w:rFonts w:eastAsia="標楷體" w:hint="eastAsia"/>
                <w:sz w:val="22"/>
              </w:rPr>
              <w:t>s</w:t>
            </w:r>
            <w:r w:rsidRPr="005F718A">
              <w:rPr>
                <w:rFonts w:eastAsia="標楷體"/>
                <w:sz w:val="22"/>
              </w:rPr>
              <w:t xml:space="preserve"> for Taiwan</w:t>
            </w:r>
            <w:r>
              <w:rPr>
                <w:rFonts w:eastAsia="標楷體"/>
                <w:sz w:val="27"/>
                <w:szCs w:val="27"/>
              </w:rPr>
              <w:t>'</w:t>
            </w:r>
            <w:r>
              <w:rPr>
                <w:rFonts w:eastAsia="標楷體" w:hint="eastAsia"/>
                <w:sz w:val="22"/>
              </w:rPr>
              <w:t>s CPI annual growth rate and the real GDP growth rate are CBC</w:t>
            </w:r>
            <w:r w:rsidRPr="00EA2F01">
              <w:rPr>
                <w:rFonts w:eastAsia="標楷體"/>
                <w:sz w:val="22"/>
              </w:rPr>
              <w:t>'</w:t>
            </w:r>
            <w:r>
              <w:rPr>
                <w:rFonts w:eastAsia="標楷體" w:hint="eastAsia"/>
                <w:sz w:val="22"/>
              </w:rPr>
              <w:t xml:space="preserve">s projections. </w:t>
            </w:r>
          </w:p>
        </w:tc>
      </w:tr>
    </w:tbl>
    <w:p w:rsidR="00DF3E92" w:rsidRDefault="00DF3E92" w:rsidP="007247A6">
      <w:pPr>
        <w:spacing w:afterLines="50" w:after="120" w:line="480" w:lineRule="exact"/>
        <w:jc w:val="center"/>
        <w:rPr>
          <w:rFonts w:eastAsia="標楷體"/>
          <w:b/>
          <w:sz w:val="28"/>
          <w:szCs w:val="28"/>
        </w:rPr>
        <w:sectPr w:rsidR="00DF3E92" w:rsidSect="00D9636D">
          <w:footerReference w:type="default" r:id="rId12"/>
          <w:pgSz w:w="11907" w:h="16840" w:code="9"/>
          <w:pgMar w:top="1304" w:right="1418" w:bottom="1418" w:left="1418" w:header="0" w:footer="454" w:gutter="0"/>
          <w:paperSrc w:first="15" w:other="15"/>
          <w:pgNumType w:start="1"/>
          <w:cols w:space="425"/>
          <w:docGrid w:linePitch="272"/>
        </w:sectPr>
      </w:pPr>
    </w:p>
    <w:p w:rsidR="007247A6" w:rsidRDefault="007247A6" w:rsidP="007247A6">
      <w:pPr>
        <w:spacing w:afterLines="50" w:after="120" w:line="480" w:lineRule="exact"/>
        <w:jc w:val="center"/>
        <w:rPr>
          <w:rFonts w:eastAsia="標楷體"/>
          <w:b/>
          <w:sz w:val="28"/>
          <w:szCs w:val="28"/>
        </w:rPr>
      </w:pPr>
      <w:r>
        <w:rPr>
          <w:rFonts w:eastAsia="標楷體" w:hint="eastAsia"/>
          <w:b/>
          <w:sz w:val="28"/>
          <w:szCs w:val="28"/>
        </w:rPr>
        <w:lastRenderedPageBreak/>
        <w:t xml:space="preserve">Figure </w:t>
      </w:r>
      <w:proofErr w:type="gramStart"/>
      <w:r>
        <w:rPr>
          <w:rFonts w:eastAsia="標楷體" w:hint="eastAsia"/>
          <w:b/>
          <w:sz w:val="28"/>
          <w:szCs w:val="28"/>
        </w:rPr>
        <w:t>1  Real</w:t>
      </w:r>
      <w:proofErr w:type="gramEnd"/>
      <w:r>
        <w:rPr>
          <w:rFonts w:eastAsia="標楷體" w:hint="eastAsia"/>
          <w:b/>
          <w:sz w:val="28"/>
          <w:szCs w:val="28"/>
        </w:rPr>
        <w:t xml:space="preserve"> Interest Rates and Economic Growth of Selected Economies </w:t>
      </w:r>
    </w:p>
    <w:p w:rsidR="007247A6" w:rsidRDefault="007247A6" w:rsidP="007247A6">
      <w:pPr>
        <w:jc w:val="center"/>
        <w:rPr>
          <w:rFonts w:eastAsia="標楷體"/>
          <w:b/>
          <w:sz w:val="28"/>
          <w:szCs w:val="28"/>
        </w:rPr>
      </w:pPr>
      <w:r>
        <w:rPr>
          <w:noProof/>
        </w:rPr>
        <w:drawing>
          <wp:anchor distT="0" distB="0" distL="114300" distR="114300" simplePos="0" relativeHeight="251663360" behindDoc="0" locked="0" layoutInCell="1" allowOverlap="1" wp14:anchorId="7CA7C024" wp14:editId="4A8313BF">
            <wp:simplePos x="0" y="0"/>
            <wp:positionH relativeFrom="column">
              <wp:posOffset>213995</wp:posOffset>
            </wp:positionH>
            <wp:positionV relativeFrom="paragraph">
              <wp:posOffset>607060</wp:posOffset>
            </wp:positionV>
            <wp:extent cx="8001000" cy="4160520"/>
            <wp:effectExtent l="0" t="0" r="0" b="11430"/>
            <wp:wrapSquare wrapText="bothSides"/>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7247A6" w:rsidRDefault="00DF3E92">
      <w:pPr>
        <w:widowControl/>
        <w:rPr>
          <w:rFonts w:eastAsia="標楷體"/>
          <w:b/>
          <w:sz w:val="28"/>
          <w:szCs w:val="28"/>
        </w:rPr>
      </w:pPr>
      <w:r w:rsidRPr="003703D8">
        <w:rPr>
          <w:noProof/>
        </w:rPr>
        <mc:AlternateContent>
          <mc:Choice Requires="wps">
            <w:drawing>
              <wp:anchor distT="0" distB="0" distL="114300" distR="114300" simplePos="0" relativeHeight="251664384" behindDoc="0" locked="0" layoutInCell="1" allowOverlap="1" wp14:anchorId="74EDB5B1" wp14:editId="5E603020">
                <wp:simplePos x="0" y="0"/>
                <wp:positionH relativeFrom="column">
                  <wp:posOffset>2063750</wp:posOffset>
                </wp:positionH>
                <wp:positionV relativeFrom="paragraph">
                  <wp:posOffset>71120</wp:posOffset>
                </wp:positionV>
                <wp:extent cx="5405755" cy="69596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5405755" cy="695960"/>
                        </a:xfrm>
                        <a:prstGeom prst="rect">
                          <a:avLst/>
                        </a:prstGeom>
                      </wps:spPr>
                      <wps:txbx>
                        <w:txbxContent>
                          <w:p w:rsidR="00B31BD5" w:rsidRPr="00DF3E92" w:rsidRDefault="00B31BD5" w:rsidP="007247A6">
                            <w:pPr>
                              <w:pStyle w:val="Web"/>
                              <w:spacing w:before="0" w:beforeAutospacing="0" w:after="0" w:afterAutospacing="0"/>
                              <w:jc w:val="both"/>
                              <w:rPr>
                                <w:sz w:val="26"/>
                                <w:szCs w:val="26"/>
                              </w:rPr>
                            </w:pPr>
                            <w:r w:rsidRPr="00DF3E92">
                              <w:rPr>
                                <w:rFonts w:ascii="Times New Roman" w:eastAsia="標楷體" w:hAnsi="Times New Roman"/>
                                <w:sz w:val="26"/>
                                <w:szCs w:val="26"/>
                              </w:rPr>
                              <w:t xml:space="preserve">Taiwan's real interest rate relative to economic growth stands at an appropriate level compared to many economies: some economies have higher economic growth rates but lower, negative real interest rates. </w:t>
                            </w:r>
                            <w:r w:rsidRPr="00DF3E92">
                              <w:rPr>
                                <w:rFonts w:ascii="Times New Roman" w:eastAsia="標楷體" w:hAnsi="Times New Roman"/>
                                <w:b/>
                                <w:bCs/>
                                <w:sz w:val="26"/>
                                <w:szCs w:val="26"/>
                              </w:rPr>
                              <w:t xml:space="preserve">  </w:t>
                            </w:r>
                          </w:p>
                        </w:txbxContent>
                      </wps:txbx>
                      <wps:bodyPr vertOverflow="clip" wrap="square" lIns="36000" tIns="0" rIns="36000" bIns="0" rtlCol="0">
                        <a:noAutofit/>
                      </wps:bodyPr>
                    </wps:wsp>
                  </a:graphicData>
                </a:graphic>
                <wp14:sizeRelH relativeFrom="margin">
                  <wp14:pctWidth>0</wp14:pctWidth>
                </wp14:sizeRelH>
                <wp14:sizeRelV relativeFrom="margin">
                  <wp14:pctHeight>0</wp14:pctHeight>
                </wp14:sizeRelV>
              </wp:anchor>
            </w:drawing>
          </mc:Choice>
          <mc:Fallback>
            <w:pict>
              <v:shape id="文字方塊 5" o:spid="_x0000_s1029" type="#_x0000_t202" style="position:absolute;margin-left:162.5pt;margin-top:5.6pt;width:425.65pt;height:5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" filled="f" stroked="f">
                <v:textbox inset="1mm,0,1mm,0">
                  <w:txbxContent>
                    <w:p w:rsidR="00B31BD5" w:rsidRPr="00DF3E92" w:rsidRDefault="00B31BD5" w:rsidP="007247A6">
                      <w:pPr>
                        <w:pStyle w:val="Web"/>
                        <w:spacing w:before="0" w:beforeAutospacing="0" w:after="0" w:afterAutospacing="0"/>
                        <w:jc w:val="both"/>
                        <w:rPr>
                          <w:sz w:val="26"/>
                          <w:szCs w:val="26"/>
                        </w:rPr>
                      </w:pPr>
                      <w:r w:rsidRPr="00DF3E92">
                        <w:rPr>
                          <w:rFonts w:ascii="Times New Roman" w:eastAsia="標楷體" w:hAnsi="Times New Roman"/>
                          <w:sz w:val="26"/>
                          <w:szCs w:val="26"/>
                        </w:rPr>
                        <w:t xml:space="preserve">Taiwan's real interest rate relative to economic growth stands at an appropriate level compared to many economies: some economies have higher economic growth rates but lower, negative real interest rates. </w:t>
                      </w:r>
                      <w:r w:rsidRPr="00DF3E92">
                        <w:rPr>
                          <w:rFonts w:ascii="Times New Roman" w:eastAsia="標楷體" w:hAnsi="Times New Roman"/>
                          <w:b/>
                          <w:bCs/>
                          <w:sz w:val="26"/>
                          <w:szCs w:val="26"/>
                        </w:rPr>
                        <w:t xml:space="preserve">  </w:t>
                      </w:r>
                    </w:p>
                  </w:txbxContent>
                </v:textbox>
              </v:shape>
            </w:pict>
          </mc:Fallback>
        </mc:AlternateContent>
      </w:r>
      <w:r w:rsidR="007247A6" w:rsidRPr="009942B5">
        <w:rPr>
          <w:noProof/>
        </w:rPr>
        <mc:AlternateContent>
          <mc:Choice Requires="wps">
            <w:drawing>
              <wp:anchor distT="0" distB="0" distL="114300" distR="114300" simplePos="0" relativeHeight="251665408" behindDoc="0" locked="0" layoutInCell="1" allowOverlap="1" wp14:anchorId="16D84E24" wp14:editId="033A8928">
                <wp:simplePos x="0" y="0"/>
                <wp:positionH relativeFrom="column">
                  <wp:posOffset>7761612</wp:posOffset>
                </wp:positionH>
                <wp:positionV relativeFrom="paragraph">
                  <wp:posOffset>2209542</wp:posOffset>
                </wp:positionV>
                <wp:extent cx="994417" cy="1104746"/>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94417" cy="1104746"/>
                        </a:xfrm>
                        <a:prstGeom prst="rect">
                          <a:avLst/>
                        </a:prstGeom>
                      </wps:spPr>
                      <wps:txbx>
                        <w:txbxContent>
                          <w:p w:rsidR="00B31BD5" w:rsidRPr="00B8094D" w:rsidRDefault="00B31BD5" w:rsidP="007247A6">
                            <w:pPr>
                              <w:pStyle w:val="Web"/>
                              <w:spacing w:before="0" w:beforeAutospacing="0" w:after="0" w:afterAutospacing="0" w:line="280" w:lineRule="exact"/>
                              <w:rPr>
                                <w:sz w:val="28"/>
                              </w:rPr>
                            </w:pPr>
                            <w:r w:rsidRPr="00B8094D">
                              <w:rPr>
                                <w:rFonts w:ascii="Times New Roman" w:eastAsia="標楷體" w:hAnsi="標楷體"/>
                                <w:sz w:val="22"/>
                                <w:szCs w:val="21"/>
                              </w:rPr>
                              <w:t>Economies with a looser monetary policy stance than Taiwan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文字方塊 7" o:spid="_x0000_s1030" type="#_x0000_t202" style="position:absolute;margin-left:611.15pt;margin-top:174pt;width:78.3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" filled="f" stroked="f">
                <v:textbox>
                  <w:txbxContent>
                    <w:p w:rsidR="00B31BD5" w:rsidRPr="00B8094D" w:rsidRDefault="00B31BD5" w:rsidP="007247A6">
                      <w:pPr>
                        <w:pStyle w:val="Web"/>
                        <w:spacing w:before="0" w:beforeAutospacing="0" w:after="0" w:afterAutospacing="0" w:line="280" w:lineRule="exact"/>
                        <w:rPr>
                          <w:sz w:val="28"/>
                        </w:rPr>
                      </w:pPr>
                      <w:r w:rsidRPr="00B8094D">
                        <w:rPr>
                          <w:rFonts w:ascii="Times New Roman" w:eastAsia="標楷體" w:hAnsi="標楷體"/>
                          <w:sz w:val="22"/>
                          <w:szCs w:val="21"/>
                        </w:rPr>
                        <w:t>Economies with a looser monetary policy stance than Taiwan</w:t>
                      </w:r>
                    </w:p>
                  </w:txbxContent>
                </v:textbox>
              </v:shape>
            </w:pict>
          </mc:Fallback>
        </mc:AlternateContent>
      </w:r>
    </w:p>
    <w:p w:rsidR="007247A6" w:rsidRDefault="007247A6">
      <w:pPr>
        <w:widowControl/>
        <w:adjustRightInd/>
        <w:spacing w:line="240" w:lineRule="auto"/>
        <w:textAlignment w:val="auto"/>
        <w:rPr>
          <w:rFonts w:eastAsia="標楷體"/>
          <w:b/>
          <w:sz w:val="32"/>
        </w:rPr>
      </w:pPr>
    </w:p>
    <w:p w:rsidR="007247A6" w:rsidRDefault="007247A6">
      <w:pPr>
        <w:widowControl/>
        <w:adjustRightInd/>
        <w:spacing w:line="240" w:lineRule="auto"/>
        <w:textAlignment w:val="auto"/>
        <w:rPr>
          <w:rFonts w:eastAsia="標楷體"/>
          <w:b/>
          <w:sz w:val="32"/>
        </w:rPr>
      </w:pPr>
    </w:p>
    <w:p w:rsidR="007247A6" w:rsidRDefault="007247A6">
      <w:pPr>
        <w:widowControl/>
        <w:adjustRightInd/>
        <w:spacing w:line="240" w:lineRule="auto"/>
        <w:textAlignment w:val="auto"/>
        <w:rPr>
          <w:rFonts w:eastAsia="標楷體"/>
          <w:b/>
          <w:sz w:val="32"/>
        </w:rPr>
      </w:pPr>
    </w:p>
    <w:p w:rsidR="007247A6" w:rsidRDefault="007247A6">
      <w:pPr>
        <w:widowControl/>
        <w:adjustRightInd/>
        <w:spacing w:line="240" w:lineRule="auto"/>
        <w:textAlignment w:val="auto"/>
        <w:rPr>
          <w:rFonts w:eastAsia="標楷體"/>
          <w:b/>
          <w:sz w:val="32"/>
        </w:rPr>
      </w:pPr>
    </w:p>
    <w:p w:rsidR="00DF3E92" w:rsidRDefault="00DF3E92">
      <w:pPr>
        <w:widowControl/>
        <w:adjustRightInd/>
        <w:spacing w:line="240" w:lineRule="auto"/>
        <w:textAlignment w:val="auto"/>
        <w:rPr>
          <w:rFonts w:eastAsia="標楷體"/>
          <w:b/>
          <w:sz w:val="32"/>
        </w:rPr>
        <w:sectPr w:rsidR="00DF3E92" w:rsidSect="003C4AE7">
          <w:pgSz w:w="16840" w:h="11907" w:orient="landscape" w:code="9"/>
          <w:pgMar w:top="1418" w:right="1304" w:bottom="1418" w:left="1418" w:header="0" w:footer="454" w:gutter="0"/>
          <w:paperSrc w:first="15" w:other="15"/>
          <w:cols w:space="425"/>
          <w:docGrid w:linePitch="272"/>
        </w:sectPr>
      </w:pPr>
    </w:p>
    <w:p w:rsidR="00DF3E92" w:rsidRPr="00714B18" w:rsidRDefault="00DF3E92" w:rsidP="00DF3E92">
      <w:pPr>
        <w:widowControl/>
        <w:spacing w:before="100" w:beforeAutospacing="1" w:after="100" w:afterAutospacing="1"/>
        <w:jc w:val="center"/>
        <w:rPr>
          <w:b/>
          <w:bCs/>
          <w:sz w:val="28"/>
        </w:rPr>
      </w:pPr>
      <w:proofErr w:type="gramStart"/>
      <w:r w:rsidRPr="00F75AD2">
        <w:rPr>
          <w:b/>
          <w:bCs/>
          <w:sz w:val="28"/>
        </w:rPr>
        <w:lastRenderedPageBreak/>
        <w:t>Appendix</w:t>
      </w:r>
      <w:r>
        <w:rPr>
          <w:rFonts w:hint="eastAsia"/>
          <w:b/>
          <w:bCs/>
          <w:sz w:val="28"/>
        </w:rPr>
        <w:t xml:space="preserve">  2</w:t>
      </w:r>
      <w:proofErr w:type="gramEnd"/>
    </w:p>
    <w:p w:rsidR="00DF3E92" w:rsidRPr="005C6C5B" w:rsidRDefault="00DF3E92" w:rsidP="00B31BD5">
      <w:pPr>
        <w:widowControl/>
        <w:spacing w:before="100" w:beforeAutospacing="1" w:after="100" w:afterAutospacing="1"/>
        <w:jc w:val="center"/>
        <w:rPr>
          <w:sz w:val="28"/>
        </w:rPr>
      </w:pPr>
      <w:r w:rsidRPr="005C6C5B">
        <w:rPr>
          <w:rFonts w:hint="eastAsia"/>
          <w:b/>
          <w:bCs/>
          <w:sz w:val="28"/>
        </w:rPr>
        <w:t>C</w:t>
      </w:r>
      <w:r>
        <w:rPr>
          <w:rFonts w:hint="eastAsia"/>
          <w:b/>
          <w:bCs/>
          <w:sz w:val="28"/>
        </w:rPr>
        <w:t>onsiderations for</w:t>
      </w:r>
      <w:r w:rsidRPr="005C6C5B">
        <w:rPr>
          <w:rFonts w:hint="eastAsia"/>
          <w:b/>
          <w:bCs/>
          <w:sz w:val="28"/>
        </w:rPr>
        <w:t xml:space="preserve"> </w:t>
      </w:r>
      <w:r w:rsidRPr="005C6C5B">
        <w:rPr>
          <w:b/>
          <w:bCs/>
          <w:sz w:val="28"/>
        </w:rPr>
        <w:t xml:space="preserve">the </w:t>
      </w:r>
      <w:r>
        <w:rPr>
          <w:rFonts w:hint="eastAsia"/>
          <w:b/>
          <w:bCs/>
          <w:sz w:val="28"/>
        </w:rPr>
        <w:t xml:space="preserve">year 2018 </w:t>
      </w:r>
      <w:r w:rsidRPr="005C6C5B">
        <w:rPr>
          <w:b/>
          <w:bCs/>
          <w:sz w:val="28"/>
        </w:rPr>
        <w:t xml:space="preserve">M2 growth target </w:t>
      </w:r>
      <w:r>
        <w:rPr>
          <w:rFonts w:hint="eastAsia"/>
          <w:b/>
          <w:bCs/>
          <w:sz w:val="28"/>
        </w:rPr>
        <w:t>range</w:t>
      </w:r>
    </w:p>
    <w:p w:rsidR="00DF3E92" w:rsidRPr="00714B18" w:rsidRDefault="00DF3E92" w:rsidP="00DF3E92">
      <w:pPr>
        <w:pStyle w:val="af3"/>
        <w:numPr>
          <w:ilvl w:val="0"/>
          <w:numId w:val="36"/>
        </w:numPr>
        <w:adjustRightInd/>
        <w:spacing w:before="0" w:afterLines="50" w:after="120" w:line="400" w:lineRule="exact"/>
        <w:jc w:val="both"/>
        <w:textAlignment w:val="auto"/>
        <w:rPr>
          <w:rFonts w:eastAsia="新細明體"/>
          <w:sz w:val="28"/>
        </w:rPr>
      </w:pPr>
      <w:r w:rsidRPr="00714B18">
        <w:rPr>
          <w:rFonts w:eastAsia="新細明體" w:hint="eastAsia"/>
          <w:sz w:val="28"/>
        </w:rPr>
        <w:t xml:space="preserve">In 2018, the domestic economy is expected to recover moderately along with subdued inflationary pressures. In addition, several areas of concern, including volatile cross-border capital movements amid amplified uncertainties over global financial conditions, </w:t>
      </w:r>
      <w:r>
        <w:rPr>
          <w:rFonts w:eastAsia="新細明體" w:hint="eastAsia"/>
          <w:sz w:val="28"/>
        </w:rPr>
        <w:t>the</w:t>
      </w:r>
      <w:r w:rsidRPr="00714B18">
        <w:rPr>
          <w:rFonts w:eastAsia="新細明體" w:hint="eastAsia"/>
          <w:sz w:val="28"/>
        </w:rPr>
        <w:t xml:space="preserve"> developments </w:t>
      </w:r>
      <w:r>
        <w:rPr>
          <w:rFonts w:eastAsia="新細明體" w:hint="eastAsia"/>
          <w:sz w:val="28"/>
        </w:rPr>
        <w:t>and impact</w:t>
      </w:r>
      <w:r w:rsidRPr="00714B18">
        <w:rPr>
          <w:rFonts w:eastAsia="新細明體" w:hint="eastAsia"/>
          <w:sz w:val="28"/>
        </w:rPr>
        <w:t xml:space="preserve"> of the U.S. economic and trade policies, and slower growth in the Chinese economy, could affect Taiwan</w:t>
      </w:r>
      <w:r w:rsidRPr="00714B18">
        <w:rPr>
          <w:rFonts w:eastAsia="新細明體"/>
          <w:sz w:val="28"/>
        </w:rPr>
        <w:t>'</w:t>
      </w:r>
      <w:r w:rsidRPr="00714B18">
        <w:rPr>
          <w:rFonts w:eastAsia="新細明體" w:hint="eastAsia"/>
          <w:sz w:val="28"/>
        </w:rPr>
        <w:t xml:space="preserve">s </w:t>
      </w:r>
      <w:r w:rsidRPr="00714B18">
        <w:rPr>
          <w:rFonts w:eastAsia="新細明體"/>
          <w:sz w:val="28"/>
        </w:rPr>
        <w:t>economic</w:t>
      </w:r>
      <w:r w:rsidRPr="00714B18">
        <w:rPr>
          <w:rFonts w:eastAsia="新細明體" w:hint="eastAsia"/>
          <w:sz w:val="28"/>
        </w:rPr>
        <w:t xml:space="preserve"> recovery. Based on the assessment, </w:t>
      </w:r>
      <w:r w:rsidRPr="00714B18">
        <w:rPr>
          <w:rFonts w:eastAsia="新細明體"/>
          <w:sz w:val="28"/>
        </w:rPr>
        <w:t>the M2 growth target range for 201</w:t>
      </w:r>
      <w:r w:rsidRPr="00714B18">
        <w:rPr>
          <w:rFonts w:eastAsia="新細明體" w:hint="eastAsia"/>
          <w:sz w:val="28"/>
        </w:rPr>
        <w:t>8</w:t>
      </w:r>
      <w:r w:rsidRPr="00714B18">
        <w:rPr>
          <w:rFonts w:eastAsia="新細明體"/>
          <w:sz w:val="28"/>
        </w:rPr>
        <w:t xml:space="preserve"> is set at 2.5% to 6.5%</w:t>
      </w:r>
      <w:r w:rsidRPr="00714B18">
        <w:rPr>
          <w:rFonts w:eastAsia="新細明體" w:hint="eastAsia"/>
          <w:sz w:val="28"/>
        </w:rPr>
        <w:t>, unchanged from this year. The CBC will</w:t>
      </w:r>
      <w:r w:rsidRPr="00714B18">
        <w:rPr>
          <w:rFonts w:eastAsia="新細明體"/>
          <w:sz w:val="28"/>
        </w:rPr>
        <w:t xml:space="preserve"> </w:t>
      </w:r>
      <w:r w:rsidRPr="00714B18">
        <w:rPr>
          <w:rFonts w:eastAsia="新細明體" w:hint="eastAsia"/>
          <w:sz w:val="28"/>
        </w:rPr>
        <w:t>sufficiently</w:t>
      </w:r>
      <w:r w:rsidRPr="00714B18">
        <w:rPr>
          <w:rFonts w:eastAsia="新細明體"/>
          <w:sz w:val="28"/>
        </w:rPr>
        <w:t xml:space="preserve"> meet </w:t>
      </w:r>
      <w:r w:rsidRPr="00714B18">
        <w:rPr>
          <w:rFonts w:eastAsia="新細明體" w:hint="eastAsia"/>
          <w:sz w:val="28"/>
        </w:rPr>
        <w:t xml:space="preserve">the funding </w:t>
      </w:r>
      <w:r w:rsidRPr="00714B18">
        <w:rPr>
          <w:rFonts w:eastAsia="新細明體"/>
          <w:sz w:val="28"/>
        </w:rPr>
        <w:t>needs</w:t>
      </w:r>
      <w:r w:rsidRPr="00714B18">
        <w:rPr>
          <w:rFonts w:eastAsia="新細明體" w:hint="eastAsia"/>
          <w:sz w:val="28"/>
        </w:rPr>
        <w:t xml:space="preserve"> of the private sector</w:t>
      </w:r>
      <w:r w:rsidRPr="00714B18">
        <w:rPr>
          <w:rFonts w:eastAsia="新細明體"/>
          <w:sz w:val="28"/>
        </w:rPr>
        <w:t xml:space="preserve"> </w:t>
      </w:r>
      <w:r w:rsidRPr="00714B18">
        <w:rPr>
          <w:rFonts w:eastAsia="新細明體" w:hint="eastAsia"/>
          <w:sz w:val="28"/>
        </w:rPr>
        <w:t xml:space="preserve">in order to foster </w:t>
      </w:r>
      <w:r w:rsidRPr="00714B18">
        <w:rPr>
          <w:rFonts w:eastAsia="新細明體"/>
          <w:sz w:val="28"/>
        </w:rPr>
        <w:t xml:space="preserve">economic </w:t>
      </w:r>
      <w:r w:rsidRPr="00714B18">
        <w:rPr>
          <w:rFonts w:eastAsia="新細明體" w:hint="eastAsia"/>
          <w:sz w:val="28"/>
        </w:rPr>
        <w:t xml:space="preserve">growth. </w:t>
      </w:r>
    </w:p>
    <w:p w:rsidR="00DF3E92" w:rsidRPr="00714B18" w:rsidRDefault="00DF3E92" w:rsidP="00DF3E92">
      <w:pPr>
        <w:pStyle w:val="af3"/>
        <w:numPr>
          <w:ilvl w:val="0"/>
          <w:numId w:val="36"/>
        </w:numPr>
        <w:adjustRightInd/>
        <w:spacing w:before="0" w:afterLines="50" w:after="120" w:line="400" w:lineRule="exact"/>
        <w:jc w:val="both"/>
        <w:textAlignment w:val="auto"/>
        <w:rPr>
          <w:rFonts w:eastAsia="新細明體"/>
          <w:sz w:val="28"/>
        </w:rPr>
      </w:pPr>
      <w:r w:rsidRPr="00714B18">
        <w:rPr>
          <w:rFonts w:eastAsia="新細明體" w:hint="eastAsia"/>
          <w:sz w:val="28"/>
        </w:rPr>
        <w:t xml:space="preserve">Given the highly uncertain outlook for </w:t>
      </w:r>
      <w:r w:rsidRPr="00714B18">
        <w:rPr>
          <w:rFonts w:eastAsia="新細明體"/>
          <w:sz w:val="28"/>
        </w:rPr>
        <w:t>international and domestic economic and financial developments</w:t>
      </w:r>
      <w:r w:rsidRPr="00714B18">
        <w:rPr>
          <w:rFonts w:eastAsia="新細明體" w:hint="eastAsia"/>
          <w:sz w:val="28"/>
        </w:rPr>
        <w:t xml:space="preserve"> in 2018, the CBC will, as usual, review and assess the M2 growth target in mid-year and adjust the target range if necessary. </w:t>
      </w:r>
    </w:p>
    <w:p w:rsidR="00DF3E92" w:rsidRDefault="00DF3E92">
      <w:pPr>
        <w:widowControl/>
        <w:adjustRightInd/>
        <w:spacing w:line="240" w:lineRule="auto"/>
        <w:textAlignment w:val="auto"/>
        <w:rPr>
          <w:rFonts w:eastAsia="標楷體"/>
          <w:b/>
          <w:sz w:val="32"/>
        </w:rPr>
      </w:pPr>
    </w:p>
    <w:sectPr w:rsidR="00DF3E92" w:rsidSect="00DF3E92">
      <w:footerReference w:type="default" r:id="rId14"/>
      <w:footerReference w:type="first" r:id="rId15"/>
      <w:pgSz w:w="11907" w:h="16840" w:code="9"/>
      <w:pgMar w:top="1134" w:right="1418" w:bottom="851" w:left="1418" w:header="0" w:footer="510" w:gutter="0"/>
      <w:paperSrc w:first="15" w:other="15"/>
      <w:cols w:space="42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205" w:rsidRDefault="00061205">
      <w:r>
        <w:separator/>
      </w:r>
    </w:p>
  </w:endnote>
  <w:endnote w:type="continuationSeparator" w:id="0">
    <w:p w:rsidR="00061205" w:rsidRDefault="0006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altName w:val="Arial Unicode MS"/>
    <w:charset w:val="88"/>
    <w:family w:val="script"/>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鼎中楷">
    <w:altName w:val="細明體"/>
    <w:panose1 w:val="00000000000000000000"/>
    <w:charset w:val="88"/>
    <w:family w:val="modern"/>
    <w:notTrueType/>
    <w:pitch w:val="fixed"/>
    <w:sig w:usb0="00000001" w:usb1="08080000" w:usb2="00000010" w:usb3="00000000" w:csb0="00100000" w:csb1="00000000"/>
  </w:font>
  <w:font w:name="華康中楷體">
    <w:altName w:val="細明體"/>
    <w:charset w:val="88"/>
    <w:family w:val="modern"/>
    <w:pitch w:val="fixed"/>
    <w:sig w:usb0="00000001" w:usb1="08080000" w:usb2="00000010" w:usb3="00000000" w:csb0="00100000" w:csb1="00000000"/>
  </w:font>
  <w:font w:name="華康仿宋體W6">
    <w:charset w:val="88"/>
    <w:family w:val="modern"/>
    <w:pitch w:val="fixed"/>
    <w:sig w:usb0="80000001"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sө">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BD5" w:rsidRDefault="00B31BD5">
    <w:pPr>
      <w:pStyle w:val="a5"/>
      <w:framePr w:wrap="auto" w:vAnchor="text" w:hAnchor="margin" w:xAlign="right" w:y="1"/>
      <w:textDirection w:val="lrTbV"/>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B31BD5" w:rsidRDefault="00B31BD5">
    <w:pPr>
      <w:pStyle w:val="a5"/>
      <w:ind w:right="360"/>
      <w:textDirection w:val="lrTbV"/>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BD5" w:rsidRDefault="00B31BD5">
    <w:pPr>
      <w:pStyle w:val="a5"/>
      <w:jc w:val="center"/>
    </w:pPr>
  </w:p>
  <w:p w:rsidR="00B31BD5" w:rsidRDefault="00B31B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20287"/>
      <w:docPartObj>
        <w:docPartGallery w:val="Page Numbers (Bottom of Page)"/>
        <w:docPartUnique/>
      </w:docPartObj>
    </w:sdtPr>
    <w:sdtEndPr/>
    <w:sdtContent>
      <w:p w:rsidR="00B31BD5" w:rsidRDefault="00B31BD5">
        <w:pPr>
          <w:pStyle w:val="a5"/>
          <w:jc w:val="center"/>
        </w:pPr>
        <w:r>
          <w:fldChar w:fldCharType="begin"/>
        </w:r>
        <w:r>
          <w:instrText>PAGE   \* MERGEFORMAT</w:instrText>
        </w:r>
        <w:r>
          <w:fldChar w:fldCharType="separate"/>
        </w:r>
        <w:r w:rsidR="001320BE" w:rsidRPr="001320BE">
          <w:rPr>
            <w:noProof/>
            <w:lang w:val="zh-TW"/>
          </w:rPr>
          <w:t>10</w:t>
        </w:r>
        <w:r>
          <w:fldChar w:fldCharType="end"/>
        </w:r>
      </w:p>
    </w:sdtContent>
  </w:sdt>
  <w:p w:rsidR="00B31BD5" w:rsidRDefault="00B31BD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56324"/>
      <w:docPartObj>
        <w:docPartGallery w:val="Page Numbers (Bottom of Page)"/>
        <w:docPartUnique/>
      </w:docPartObj>
    </w:sdtPr>
    <w:sdtEndPr/>
    <w:sdtContent>
      <w:p w:rsidR="00B31BD5" w:rsidRDefault="00B31BD5">
        <w:pPr>
          <w:pStyle w:val="a5"/>
          <w:jc w:val="center"/>
        </w:pPr>
        <w:r>
          <w:fldChar w:fldCharType="begin"/>
        </w:r>
        <w:r>
          <w:instrText>PAGE   \* MERGEFORMAT</w:instrText>
        </w:r>
        <w:r>
          <w:fldChar w:fldCharType="separate"/>
        </w:r>
        <w:r w:rsidR="001320BE" w:rsidRPr="001320BE">
          <w:rPr>
            <w:noProof/>
            <w:lang w:val="zh-TW"/>
          </w:rPr>
          <w:t>26</w:t>
        </w:r>
        <w:r>
          <w:fldChar w:fldCharType="end"/>
        </w:r>
      </w:p>
    </w:sdtContent>
  </w:sdt>
  <w:p w:rsidR="00B31BD5" w:rsidRDefault="00B31BD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401886"/>
      <w:docPartObj>
        <w:docPartGallery w:val="Page Numbers (Bottom of Page)"/>
        <w:docPartUnique/>
      </w:docPartObj>
    </w:sdtPr>
    <w:sdtEndPr/>
    <w:sdtContent>
      <w:p w:rsidR="00B31BD5" w:rsidRDefault="00B31BD5">
        <w:pPr>
          <w:pStyle w:val="a5"/>
          <w:jc w:val="center"/>
        </w:pPr>
        <w:r>
          <w:fldChar w:fldCharType="begin"/>
        </w:r>
        <w:r>
          <w:instrText>PAGE   \* MERGEFORMAT</w:instrText>
        </w:r>
        <w:r>
          <w:fldChar w:fldCharType="separate"/>
        </w:r>
        <w:r w:rsidRPr="00590406">
          <w:rPr>
            <w:noProof/>
            <w:lang w:val="zh-TW"/>
          </w:rPr>
          <w:t>1</w:t>
        </w:r>
        <w:r>
          <w:fldChar w:fldCharType="end"/>
        </w:r>
      </w:p>
    </w:sdtContent>
  </w:sdt>
  <w:p w:rsidR="00B31BD5" w:rsidRDefault="00B31B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205" w:rsidRDefault="00061205">
      <w:r>
        <w:separator/>
      </w:r>
    </w:p>
  </w:footnote>
  <w:footnote w:type="continuationSeparator" w:id="0">
    <w:p w:rsidR="00061205" w:rsidRDefault="00061205">
      <w:r>
        <w:continuationSeparator/>
      </w:r>
    </w:p>
  </w:footnote>
  <w:footnote w:id="1">
    <w:p w:rsidR="00B31BD5" w:rsidRDefault="00B31BD5" w:rsidP="00363599">
      <w:pPr>
        <w:pStyle w:val="afb"/>
      </w:pPr>
      <w:r w:rsidRPr="002D6A8E">
        <w:rPr>
          <w:rStyle w:val="afd"/>
          <w:sz w:val="24"/>
        </w:rPr>
        <w:footnoteRef/>
      </w:r>
      <w:r w:rsidRPr="002D6A8E">
        <w:rPr>
          <w:sz w:val="24"/>
        </w:rPr>
        <w:t xml:space="preserve"> This English translation is provided for information purposes only</w:t>
      </w:r>
      <w:r>
        <w:rPr>
          <w:rFonts w:hint="eastAsia"/>
          <w:sz w:val="24"/>
        </w:rPr>
        <w:t>;</w:t>
      </w:r>
      <w:r w:rsidRPr="002D6A8E">
        <w:rPr>
          <w:sz w:val="24"/>
        </w:rPr>
        <w:t xml:space="preserve"> the Chinese version shall prevail in case of discrepancies.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BD5" w:rsidRDefault="00B31BD5" w:rsidP="00527E73">
    <w:pPr>
      <w:jc w:val="right"/>
      <w:rPr>
        <w:rFonts w:eastAsia="標楷體"/>
      </w:rPr>
    </w:pPr>
  </w:p>
  <w:p w:rsidR="00B31BD5" w:rsidRPr="00A76EF5" w:rsidRDefault="00B31BD5" w:rsidP="00527E7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4AA"/>
    <w:multiLevelType w:val="hybridMultilevel"/>
    <w:tmpl w:val="95D8E28A"/>
    <w:lvl w:ilvl="0" w:tplc="F24E37B8">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5C1A4D"/>
    <w:multiLevelType w:val="hybridMultilevel"/>
    <w:tmpl w:val="54F80464"/>
    <w:lvl w:ilvl="0" w:tplc="892CC06E">
      <w:start w:val="1"/>
      <w:numFmt w:val="taiwaneseCountingThousand"/>
      <w:lvlText w:val="(%1)"/>
      <w:lvlJc w:val="left"/>
      <w:pPr>
        <w:ind w:left="1530" w:hanging="792"/>
      </w:pPr>
      <w:rPr>
        <w:rFonts w:hint="default"/>
      </w:r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2">
    <w:nsid w:val="0B305A87"/>
    <w:multiLevelType w:val="hybridMultilevel"/>
    <w:tmpl w:val="2EB67CD2"/>
    <w:lvl w:ilvl="0" w:tplc="98FA2CF2">
      <w:start w:val="1"/>
      <w:numFmt w:val="upperRoman"/>
      <w:lvlText w:val="%1."/>
      <w:lvlJc w:val="left"/>
      <w:pPr>
        <w:tabs>
          <w:tab w:val="num" w:pos="480"/>
        </w:tabs>
        <w:ind w:left="480" w:hanging="480"/>
      </w:pPr>
      <w:rPr>
        <w:rFonts w:cs="Times New Roman" w:hint="eastAsia"/>
      </w:rPr>
    </w:lvl>
    <w:lvl w:ilvl="1" w:tplc="8AE84C8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BB67B8F"/>
    <w:multiLevelType w:val="hybridMultilevel"/>
    <w:tmpl w:val="8F52CADC"/>
    <w:lvl w:ilvl="0" w:tplc="F2B0F786">
      <w:start w:val="1"/>
      <w:numFmt w:val="decimal"/>
      <w:lvlText w:val="(%1)"/>
      <w:lvlJc w:val="left"/>
      <w:pPr>
        <w:ind w:left="1512" w:hanging="9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4">
    <w:nsid w:val="0C5006BA"/>
    <w:multiLevelType w:val="hybridMultilevel"/>
    <w:tmpl w:val="028026DE"/>
    <w:lvl w:ilvl="0" w:tplc="F3EE8AC4">
      <w:start w:val="1"/>
      <w:numFmt w:val="taiwaneseCountingThousand"/>
      <w:pStyle w:val="2"/>
      <w:suff w:val="nothing"/>
      <w:lvlText w:val="(%1)"/>
      <w:lvlJc w:val="left"/>
      <w:pPr>
        <w:ind w:left="1437" w:hanging="1080"/>
      </w:pPr>
      <w:rPr>
        <w:rFonts w:ascii="標楷體" w:eastAsia="標楷體" w:hAnsi="標楷體" w:hint="eastAsia"/>
        <w:color w:val="auto"/>
        <w:u w:val="none"/>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5">
    <w:nsid w:val="111B63F8"/>
    <w:multiLevelType w:val="hybridMultilevel"/>
    <w:tmpl w:val="EDC43B7E"/>
    <w:lvl w:ilvl="0" w:tplc="F65CCD78">
      <w:start w:val="1"/>
      <w:numFmt w:val="decimal"/>
      <w:lvlText w:val="%1、"/>
      <w:lvlJc w:val="left"/>
      <w:pPr>
        <w:ind w:left="1892" w:hanging="720"/>
      </w:pPr>
      <w:rPr>
        <w:rFonts w:ascii="Times New Roman" w:hAnsi="Times New Roman" w:hint="default"/>
        <w:b w:val="0"/>
        <w:i w:val="0"/>
        <w:color w:val="auto"/>
        <w:sz w:val="32"/>
      </w:rPr>
    </w:lvl>
    <w:lvl w:ilvl="1" w:tplc="63AC1ED0">
      <w:start w:val="1"/>
      <w:numFmt w:val="taiwaneseCountingThousand"/>
      <w:lvlText w:val="(%2)"/>
      <w:lvlJc w:val="left"/>
      <w:pPr>
        <w:ind w:left="2372" w:hanging="720"/>
      </w:pPr>
      <w:rPr>
        <w:rFonts w:hint="default"/>
      </w:rPr>
    </w:lvl>
    <w:lvl w:ilvl="2" w:tplc="0409001B">
      <w:start w:val="1"/>
      <w:numFmt w:val="lowerRoman"/>
      <w:lvlText w:val="%3."/>
      <w:lvlJc w:val="right"/>
      <w:pPr>
        <w:ind w:left="2612" w:hanging="480"/>
      </w:pPr>
    </w:lvl>
    <w:lvl w:ilvl="3" w:tplc="0409000F">
      <w:start w:val="1"/>
      <w:numFmt w:val="decimal"/>
      <w:lvlText w:val="%4."/>
      <w:lvlJc w:val="left"/>
      <w:pPr>
        <w:ind w:left="3092" w:hanging="480"/>
      </w:pPr>
    </w:lvl>
    <w:lvl w:ilvl="4" w:tplc="04090019" w:tentative="1">
      <w:start w:val="1"/>
      <w:numFmt w:val="ideographTraditional"/>
      <w:lvlText w:val="%5、"/>
      <w:lvlJc w:val="left"/>
      <w:pPr>
        <w:ind w:left="3572" w:hanging="480"/>
      </w:pPr>
    </w:lvl>
    <w:lvl w:ilvl="5" w:tplc="0409001B" w:tentative="1">
      <w:start w:val="1"/>
      <w:numFmt w:val="lowerRoman"/>
      <w:lvlText w:val="%6."/>
      <w:lvlJc w:val="right"/>
      <w:pPr>
        <w:ind w:left="4052" w:hanging="480"/>
      </w:pPr>
    </w:lvl>
    <w:lvl w:ilvl="6" w:tplc="0409000F" w:tentative="1">
      <w:start w:val="1"/>
      <w:numFmt w:val="decimal"/>
      <w:lvlText w:val="%7."/>
      <w:lvlJc w:val="left"/>
      <w:pPr>
        <w:ind w:left="4532" w:hanging="480"/>
      </w:pPr>
    </w:lvl>
    <w:lvl w:ilvl="7" w:tplc="04090019" w:tentative="1">
      <w:start w:val="1"/>
      <w:numFmt w:val="ideographTraditional"/>
      <w:lvlText w:val="%8、"/>
      <w:lvlJc w:val="left"/>
      <w:pPr>
        <w:ind w:left="5012" w:hanging="480"/>
      </w:pPr>
    </w:lvl>
    <w:lvl w:ilvl="8" w:tplc="0409001B" w:tentative="1">
      <w:start w:val="1"/>
      <w:numFmt w:val="lowerRoman"/>
      <w:lvlText w:val="%9."/>
      <w:lvlJc w:val="right"/>
      <w:pPr>
        <w:ind w:left="5492" w:hanging="480"/>
      </w:pPr>
    </w:lvl>
  </w:abstractNum>
  <w:abstractNum w:abstractNumId="6">
    <w:nsid w:val="18496F15"/>
    <w:multiLevelType w:val="hybridMultilevel"/>
    <w:tmpl w:val="32AA09EE"/>
    <w:lvl w:ilvl="0" w:tplc="4E88451E">
      <w:start w:val="1"/>
      <w:numFmt w:val="taiwaneseCountingThousand"/>
      <w:suff w:val="nothing"/>
      <w:lvlText w:val="(%1)"/>
      <w:lvlJc w:val="left"/>
      <w:pPr>
        <w:ind w:left="764" w:hanging="480"/>
      </w:pPr>
      <w:rPr>
        <w:rFonts w:ascii="Times New Roman" w:eastAsia="標楷體" w:hAnsi="Times New Roman" w:cs="Times New Roman" w:hint="default"/>
        <w:color w:val="auto"/>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7">
    <w:nsid w:val="1AED194C"/>
    <w:multiLevelType w:val="hybridMultilevel"/>
    <w:tmpl w:val="744054DC"/>
    <w:lvl w:ilvl="0" w:tplc="E068B746">
      <w:start w:val="1"/>
      <w:numFmt w:val="taiwaneseCountingThousand"/>
      <w:suff w:val="nothing"/>
      <w:lvlText w:val="第%1案："/>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E428C4"/>
    <w:multiLevelType w:val="hybridMultilevel"/>
    <w:tmpl w:val="5918866A"/>
    <w:lvl w:ilvl="0" w:tplc="0F04625E">
      <w:start w:val="1"/>
      <w:numFmt w:val="decimal"/>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9">
    <w:nsid w:val="2770268D"/>
    <w:multiLevelType w:val="hybridMultilevel"/>
    <w:tmpl w:val="0BC024F0"/>
    <w:lvl w:ilvl="0" w:tplc="2CEA67F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28F91C37"/>
    <w:multiLevelType w:val="hybridMultilevel"/>
    <w:tmpl w:val="4E4AEE38"/>
    <w:lvl w:ilvl="0" w:tplc="F65CCD78">
      <w:start w:val="1"/>
      <w:numFmt w:val="decimal"/>
      <w:lvlText w:val="%1、"/>
      <w:lvlJc w:val="left"/>
      <w:pPr>
        <w:ind w:left="720" w:hanging="720"/>
      </w:pPr>
      <w:rPr>
        <w:rFonts w:ascii="Times New Roman" w:hAnsi="Times New Roman" w:hint="default"/>
        <w:b w:val="0"/>
        <w:i w:val="0"/>
        <w:color w:val="auto"/>
        <w:sz w:val="32"/>
      </w:rPr>
    </w:lvl>
    <w:lvl w:ilvl="1" w:tplc="A52AE86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2424502"/>
    <w:multiLevelType w:val="hybridMultilevel"/>
    <w:tmpl w:val="1E46E38A"/>
    <w:lvl w:ilvl="0" w:tplc="A342A874">
      <w:start w:val="1"/>
      <w:numFmt w:val="decimalFullWidth"/>
      <w:pStyle w:val="1"/>
      <w:suff w:val="nothing"/>
      <w:lvlText w:val="%1、"/>
      <w:lvlJc w:val="left"/>
      <w:pPr>
        <w:ind w:left="1935" w:hanging="480"/>
      </w:pPr>
      <w:rPr>
        <w:rFonts w:hint="eastAsia"/>
        <w:b w:val="0"/>
        <w:lang w:val="en-US"/>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12">
    <w:nsid w:val="36D67DCF"/>
    <w:multiLevelType w:val="hybridMultilevel"/>
    <w:tmpl w:val="6AAA8B5C"/>
    <w:lvl w:ilvl="0" w:tplc="1BBAF7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846A57"/>
    <w:multiLevelType w:val="hybridMultilevel"/>
    <w:tmpl w:val="3096582A"/>
    <w:lvl w:ilvl="0" w:tplc="8198089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157B6A"/>
    <w:multiLevelType w:val="hybridMultilevel"/>
    <w:tmpl w:val="01CEB48A"/>
    <w:lvl w:ilvl="0" w:tplc="F65CCD78">
      <w:start w:val="1"/>
      <w:numFmt w:val="decimal"/>
      <w:lvlText w:val="%1、"/>
      <w:lvlJc w:val="left"/>
      <w:pPr>
        <w:ind w:left="720" w:hanging="720"/>
      </w:pPr>
      <w:rPr>
        <w:rFonts w:ascii="Times New Roman" w:hAnsi="Times New Roman" w:hint="default"/>
        <w:b w:val="0"/>
        <w:i w:val="0"/>
        <w:color w:val="auto"/>
        <w:sz w:val="32"/>
      </w:rPr>
    </w:lvl>
    <w:lvl w:ilvl="1" w:tplc="63AC1ED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3F31D5"/>
    <w:multiLevelType w:val="hybridMultilevel"/>
    <w:tmpl w:val="E102AD5E"/>
    <w:lvl w:ilvl="0" w:tplc="5552934E">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E47233"/>
    <w:multiLevelType w:val="hybridMultilevel"/>
    <w:tmpl w:val="DBBC5CE6"/>
    <w:lvl w:ilvl="0" w:tplc="5978A4B6">
      <w:start w:val="1"/>
      <w:numFmt w:val="taiwaneseCountingThousand"/>
      <w:lvlText w:val="(%1)"/>
      <w:lvlJc w:val="left"/>
      <w:pPr>
        <w:ind w:left="18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EB11A3"/>
    <w:multiLevelType w:val="hybridMultilevel"/>
    <w:tmpl w:val="D2441938"/>
    <w:lvl w:ilvl="0" w:tplc="15DCE4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F96370"/>
    <w:multiLevelType w:val="hybridMultilevel"/>
    <w:tmpl w:val="C4AC9966"/>
    <w:lvl w:ilvl="0" w:tplc="11B46D98">
      <w:start w:val="1"/>
      <w:numFmt w:val="taiwaneseCountingThousand"/>
      <w:suff w:val="nothing"/>
      <w:lvlText w:val="第%1案："/>
      <w:lvlJc w:val="left"/>
      <w:pPr>
        <w:ind w:left="1615"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FE0CE6"/>
    <w:multiLevelType w:val="hybridMultilevel"/>
    <w:tmpl w:val="55146648"/>
    <w:lvl w:ilvl="0" w:tplc="33CC672A">
      <w:start w:val="1"/>
      <w:numFmt w:val="taiwaneseCountingThousand"/>
      <w:pStyle w:val="10"/>
      <w:suff w:val="nothing"/>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0">
    <w:nsid w:val="4C0B7C94"/>
    <w:multiLevelType w:val="hybridMultilevel"/>
    <w:tmpl w:val="291A2BE8"/>
    <w:lvl w:ilvl="0" w:tplc="FFFFFFFF">
      <w:start w:val="1"/>
      <w:numFmt w:val="taiwaneseCountingThousand"/>
      <w:lvlText w:val="%1、"/>
      <w:lvlJc w:val="left"/>
      <w:pPr>
        <w:tabs>
          <w:tab w:val="num" w:pos="480"/>
        </w:tabs>
        <w:ind w:left="480" w:hanging="480"/>
      </w:pPr>
    </w:lvl>
    <w:lvl w:ilvl="1" w:tplc="FFFFFFFF">
      <w:start w:val="1"/>
      <w:numFmt w:val="taiwaneseCountingThousand"/>
      <w:pStyle w:val="20"/>
      <w:lvlText w:val="（%2）"/>
      <w:lvlJc w:val="left"/>
      <w:pPr>
        <w:tabs>
          <w:tab w:val="num" w:pos="1335"/>
        </w:tabs>
        <w:ind w:left="1335" w:hanging="855"/>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nsid w:val="53373AAB"/>
    <w:multiLevelType w:val="hybridMultilevel"/>
    <w:tmpl w:val="4B3252A6"/>
    <w:lvl w:ilvl="0" w:tplc="B2B0A792">
      <w:start w:val="1"/>
      <w:numFmt w:val="taiwaneseCountingThousand"/>
      <w:lvlText w:val="%1、"/>
      <w:lvlJc w:val="left"/>
      <w:pPr>
        <w:ind w:left="721" w:hanging="720"/>
      </w:pPr>
      <w:rPr>
        <w:rFonts w:hint="default"/>
      </w:rPr>
    </w:lvl>
    <w:lvl w:ilvl="1" w:tplc="20408084">
      <w:start w:val="1"/>
      <w:numFmt w:val="taiwaneseCountingThousand"/>
      <w:lvlText w:val="(%2)"/>
      <w:lvlJc w:val="left"/>
      <w:pPr>
        <w:ind w:left="1201" w:hanging="720"/>
      </w:pPr>
      <w:rPr>
        <w:rFonts w:ascii="Book Antiqua" w:hint="default"/>
      </w:r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2">
    <w:nsid w:val="53966627"/>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7A8054E"/>
    <w:multiLevelType w:val="hybridMultilevel"/>
    <w:tmpl w:val="C48485EA"/>
    <w:lvl w:ilvl="0" w:tplc="E2D499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D913DD6"/>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7B5365"/>
    <w:multiLevelType w:val="hybridMultilevel"/>
    <w:tmpl w:val="26FE4618"/>
    <w:lvl w:ilvl="0" w:tplc="35067700">
      <w:start w:val="1"/>
      <w:numFmt w:val="decimal"/>
      <w:lvlText w:val="%1、"/>
      <w:lvlJc w:val="left"/>
      <w:pPr>
        <w:ind w:left="1892" w:hanging="720"/>
      </w:pPr>
      <w:rPr>
        <w:rFonts w:ascii="Times New Roman" w:hAnsi="Times New Roman" w:hint="default"/>
        <w:b w:val="0"/>
        <w:i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7AE572F"/>
    <w:multiLevelType w:val="hybridMultilevel"/>
    <w:tmpl w:val="5C30FB16"/>
    <w:lvl w:ilvl="0" w:tplc="FF0C0EA2">
      <w:start w:val="1"/>
      <w:numFmt w:val="taiwaneseCountingThousand"/>
      <w:lvlText w:val="%1、"/>
      <w:lvlJc w:val="left"/>
      <w:pPr>
        <w:tabs>
          <w:tab w:val="num" w:pos="1100"/>
        </w:tabs>
        <w:ind w:left="1100" w:hanging="720"/>
      </w:pPr>
      <w:rPr>
        <w:rFonts w:hint="eastAsia"/>
        <w:lang w:val="en-US"/>
      </w:rPr>
    </w:lvl>
    <w:lvl w:ilvl="1" w:tplc="04090019" w:tentative="1">
      <w:start w:val="1"/>
      <w:numFmt w:val="ideographTraditional"/>
      <w:lvlText w:val="%2、"/>
      <w:lvlJc w:val="left"/>
      <w:pPr>
        <w:tabs>
          <w:tab w:val="num" w:pos="1340"/>
        </w:tabs>
        <w:ind w:left="1340" w:hanging="480"/>
      </w:pPr>
    </w:lvl>
    <w:lvl w:ilvl="2" w:tplc="0409001B" w:tentative="1">
      <w:start w:val="1"/>
      <w:numFmt w:val="lowerRoman"/>
      <w:lvlText w:val="%3."/>
      <w:lvlJc w:val="right"/>
      <w:pPr>
        <w:tabs>
          <w:tab w:val="num" w:pos="1820"/>
        </w:tabs>
        <w:ind w:left="1820" w:hanging="480"/>
      </w:pPr>
    </w:lvl>
    <w:lvl w:ilvl="3" w:tplc="0409000F" w:tentative="1">
      <w:start w:val="1"/>
      <w:numFmt w:val="decimal"/>
      <w:lvlText w:val="%4."/>
      <w:lvlJc w:val="left"/>
      <w:pPr>
        <w:tabs>
          <w:tab w:val="num" w:pos="2300"/>
        </w:tabs>
        <w:ind w:left="2300" w:hanging="480"/>
      </w:pPr>
    </w:lvl>
    <w:lvl w:ilvl="4" w:tplc="04090019" w:tentative="1">
      <w:start w:val="1"/>
      <w:numFmt w:val="ideographTraditional"/>
      <w:lvlText w:val="%5、"/>
      <w:lvlJc w:val="left"/>
      <w:pPr>
        <w:tabs>
          <w:tab w:val="num" w:pos="2780"/>
        </w:tabs>
        <w:ind w:left="2780" w:hanging="480"/>
      </w:pPr>
    </w:lvl>
    <w:lvl w:ilvl="5" w:tplc="0409001B" w:tentative="1">
      <w:start w:val="1"/>
      <w:numFmt w:val="lowerRoman"/>
      <w:lvlText w:val="%6."/>
      <w:lvlJc w:val="right"/>
      <w:pPr>
        <w:tabs>
          <w:tab w:val="num" w:pos="3260"/>
        </w:tabs>
        <w:ind w:left="3260" w:hanging="480"/>
      </w:pPr>
    </w:lvl>
    <w:lvl w:ilvl="6" w:tplc="0409000F" w:tentative="1">
      <w:start w:val="1"/>
      <w:numFmt w:val="decimal"/>
      <w:lvlText w:val="%7."/>
      <w:lvlJc w:val="left"/>
      <w:pPr>
        <w:tabs>
          <w:tab w:val="num" w:pos="3740"/>
        </w:tabs>
        <w:ind w:left="3740" w:hanging="480"/>
      </w:pPr>
    </w:lvl>
    <w:lvl w:ilvl="7" w:tplc="04090019" w:tentative="1">
      <w:start w:val="1"/>
      <w:numFmt w:val="ideographTraditional"/>
      <w:lvlText w:val="%8、"/>
      <w:lvlJc w:val="left"/>
      <w:pPr>
        <w:tabs>
          <w:tab w:val="num" w:pos="4220"/>
        </w:tabs>
        <w:ind w:left="4220" w:hanging="480"/>
      </w:pPr>
    </w:lvl>
    <w:lvl w:ilvl="8" w:tplc="0409001B" w:tentative="1">
      <w:start w:val="1"/>
      <w:numFmt w:val="lowerRoman"/>
      <w:lvlText w:val="%9."/>
      <w:lvlJc w:val="right"/>
      <w:pPr>
        <w:tabs>
          <w:tab w:val="num" w:pos="4700"/>
        </w:tabs>
        <w:ind w:left="4700" w:hanging="480"/>
      </w:pPr>
    </w:lvl>
  </w:abstractNum>
  <w:abstractNum w:abstractNumId="27">
    <w:nsid w:val="706E0043"/>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5C27277"/>
    <w:multiLevelType w:val="hybridMultilevel"/>
    <w:tmpl w:val="26B42DFE"/>
    <w:lvl w:ilvl="0" w:tplc="44AE17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81A3E47"/>
    <w:multiLevelType w:val="hybridMultilevel"/>
    <w:tmpl w:val="64663490"/>
    <w:lvl w:ilvl="0" w:tplc="33E8C0C6">
      <w:start w:val="1"/>
      <w:numFmt w:val="taiwaneseCountingThousand"/>
      <w:pStyle w:val="a"/>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0">
    <w:nsid w:val="79C72983"/>
    <w:multiLevelType w:val="hybridMultilevel"/>
    <w:tmpl w:val="11A8D7A0"/>
    <w:lvl w:ilvl="0" w:tplc="5D0ACDF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7C5D6254"/>
    <w:multiLevelType w:val="hybridMultilevel"/>
    <w:tmpl w:val="51A0DC26"/>
    <w:lvl w:ilvl="0" w:tplc="0409000F">
      <w:start w:val="1"/>
      <w:numFmt w:val="decimal"/>
      <w:lvlText w:val="%1."/>
      <w:lvlJc w:val="left"/>
      <w:pPr>
        <w:ind w:left="720" w:hanging="720"/>
      </w:pPr>
      <w:rPr>
        <w:rFonts w:hint="default"/>
      </w:rPr>
    </w:lvl>
    <w:lvl w:ilvl="1" w:tplc="87C6383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7"/>
  </w:num>
  <w:num w:numId="3">
    <w:abstractNumId w:val="20"/>
  </w:num>
  <w:num w:numId="4">
    <w:abstractNumId w:val="27"/>
  </w:num>
  <w:num w:numId="5">
    <w:abstractNumId w:val="19"/>
  </w:num>
  <w:num w:numId="6">
    <w:abstractNumId w:val="4"/>
  </w:num>
  <w:num w:numId="7">
    <w:abstractNumId w:val="14"/>
  </w:num>
  <w:num w:numId="8">
    <w:abstractNumId w:val="5"/>
  </w:num>
  <w:num w:numId="9">
    <w:abstractNumId w:val="10"/>
  </w:num>
  <w:num w:numId="10">
    <w:abstractNumId w:val="16"/>
  </w:num>
  <w:num w:numId="11">
    <w:abstractNumId w:val="11"/>
  </w:num>
  <w:num w:numId="12">
    <w:abstractNumId w:val="9"/>
  </w:num>
  <w:num w:numId="13">
    <w:abstractNumId w:val="6"/>
  </w:num>
  <w:num w:numId="14">
    <w:abstractNumId w:val="15"/>
  </w:num>
  <w:num w:numId="15">
    <w:abstractNumId w:val="25"/>
  </w:num>
  <w:num w:numId="16">
    <w:abstractNumId w:val="0"/>
  </w:num>
  <w:num w:numId="17">
    <w:abstractNumId w:val="12"/>
  </w:num>
  <w:num w:numId="18">
    <w:abstractNumId w:val="29"/>
  </w:num>
  <w:num w:numId="19">
    <w:abstractNumId w:val="21"/>
  </w:num>
  <w:num w:numId="20">
    <w:abstractNumId w:val="29"/>
  </w:num>
  <w:num w:numId="21">
    <w:abstractNumId w:val="29"/>
  </w:num>
  <w:num w:numId="22">
    <w:abstractNumId w:val="29"/>
  </w:num>
  <w:num w:numId="23">
    <w:abstractNumId w:val="30"/>
  </w:num>
  <w:num w:numId="24">
    <w:abstractNumId w:val="29"/>
  </w:num>
  <w:num w:numId="25">
    <w:abstractNumId w:val="29"/>
  </w:num>
  <w:num w:numId="26">
    <w:abstractNumId w:val="17"/>
  </w:num>
  <w:num w:numId="27">
    <w:abstractNumId w:val="23"/>
  </w:num>
  <w:num w:numId="28">
    <w:abstractNumId w:val="2"/>
  </w:num>
  <w:num w:numId="29">
    <w:abstractNumId w:val="28"/>
  </w:num>
  <w:num w:numId="30">
    <w:abstractNumId w:val="24"/>
  </w:num>
  <w:num w:numId="31">
    <w:abstractNumId w:val="26"/>
  </w:num>
  <w:num w:numId="32">
    <w:abstractNumId w:val="1"/>
  </w:num>
  <w:num w:numId="33">
    <w:abstractNumId w:val="8"/>
  </w:num>
  <w:num w:numId="34">
    <w:abstractNumId w:val="3"/>
  </w:num>
  <w:num w:numId="35">
    <w:abstractNumId w:val="22"/>
  </w:num>
  <w:num w:numId="36">
    <w:abstractNumId w:val="13"/>
  </w:num>
  <w:num w:numId="37">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360"/>
  <w:doNotHyphenateCaps/>
  <w:drawingGridHorizontalSpacing w:val="91"/>
  <w:drawingGridVerticalSpacing w:val="186"/>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4.26 pt,3.4 pt"/>
    <w:docVar w:name="AutoMarginAdjustment3" w:val="68.04 pt,-2.82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357D03"/>
    <w:rsid w:val="000000CD"/>
    <w:rsid w:val="00000893"/>
    <w:rsid w:val="00000C8B"/>
    <w:rsid w:val="000011A0"/>
    <w:rsid w:val="00001514"/>
    <w:rsid w:val="000015F2"/>
    <w:rsid w:val="00001A47"/>
    <w:rsid w:val="0000343F"/>
    <w:rsid w:val="00003746"/>
    <w:rsid w:val="0000408E"/>
    <w:rsid w:val="00004D84"/>
    <w:rsid w:val="00004ECA"/>
    <w:rsid w:val="00007267"/>
    <w:rsid w:val="00007492"/>
    <w:rsid w:val="00007912"/>
    <w:rsid w:val="0001263F"/>
    <w:rsid w:val="00012AE8"/>
    <w:rsid w:val="00012CF6"/>
    <w:rsid w:val="00013734"/>
    <w:rsid w:val="00014832"/>
    <w:rsid w:val="00015948"/>
    <w:rsid w:val="000172D1"/>
    <w:rsid w:val="00017CFB"/>
    <w:rsid w:val="0002139D"/>
    <w:rsid w:val="00021C4D"/>
    <w:rsid w:val="00022D53"/>
    <w:rsid w:val="000234E1"/>
    <w:rsid w:val="0002361C"/>
    <w:rsid w:val="00023B97"/>
    <w:rsid w:val="00024563"/>
    <w:rsid w:val="00024918"/>
    <w:rsid w:val="00024E21"/>
    <w:rsid w:val="00025945"/>
    <w:rsid w:val="000261D7"/>
    <w:rsid w:val="00026B66"/>
    <w:rsid w:val="000273DC"/>
    <w:rsid w:val="00030F1C"/>
    <w:rsid w:val="00030F57"/>
    <w:rsid w:val="000313D2"/>
    <w:rsid w:val="0003181C"/>
    <w:rsid w:val="00031EE6"/>
    <w:rsid w:val="00033A27"/>
    <w:rsid w:val="000347CA"/>
    <w:rsid w:val="00034A01"/>
    <w:rsid w:val="000352E7"/>
    <w:rsid w:val="000354D4"/>
    <w:rsid w:val="00035AF2"/>
    <w:rsid w:val="00035C93"/>
    <w:rsid w:val="000364D7"/>
    <w:rsid w:val="00036C01"/>
    <w:rsid w:val="00037CF9"/>
    <w:rsid w:val="00037E4C"/>
    <w:rsid w:val="000409C7"/>
    <w:rsid w:val="00040A99"/>
    <w:rsid w:val="00040D8D"/>
    <w:rsid w:val="00041971"/>
    <w:rsid w:val="00041B34"/>
    <w:rsid w:val="00041F4E"/>
    <w:rsid w:val="0004218D"/>
    <w:rsid w:val="00042C02"/>
    <w:rsid w:val="00042EF3"/>
    <w:rsid w:val="00043817"/>
    <w:rsid w:val="00043DEB"/>
    <w:rsid w:val="00044455"/>
    <w:rsid w:val="000447BE"/>
    <w:rsid w:val="00045291"/>
    <w:rsid w:val="00045DC9"/>
    <w:rsid w:val="00045E43"/>
    <w:rsid w:val="000465FC"/>
    <w:rsid w:val="00047470"/>
    <w:rsid w:val="0005062A"/>
    <w:rsid w:val="000506F7"/>
    <w:rsid w:val="00050E8E"/>
    <w:rsid w:val="00051573"/>
    <w:rsid w:val="00051C4F"/>
    <w:rsid w:val="00052499"/>
    <w:rsid w:val="00052542"/>
    <w:rsid w:val="000527ED"/>
    <w:rsid w:val="00052D7F"/>
    <w:rsid w:val="00054C75"/>
    <w:rsid w:val="0005572F"/>
    <w:rsid w:val="00055735"/>
    <w:rsid w:val="00055A5B"/>
    <w:rsid w:val="00055AA1"/>
    <w:rsid w:val="00055BEF"/>
    <w:rsid w:val="00055BFA"/>
    <w:rsid w:val="00057456"/>
    <w:rsid w:val="00057824"/>
    <w:rsid w:val="00057FAE"/>
    <w:rsid w:val="00060393"/>
    <w:rsid w:val="0006043D"/>
    <w:rsid w:val="00060E8F"/>
    <w:rsid w:val="00061205"/>
    <w:rsid w:val="000615FB"/>
    <w:rsid w:val="00062A2E"/>
    <w:rsid w:val="00062DAF"/>
    <w:rsid w:val="00063420"/>
    <w:rsid w:val="00063487"/>
    <w:rsid w:val="00064A6F"/>
    <w:rsid w:val="00065BAE"/>
    <w:rsid w:val="00065C34"/>
    <w:rsid w:val="00065E78"/>
    <w:rsid w:val="0006645E"/>
    <w:rsid w:val="000665A2"/>
    <w:rsid w:val="00067450"/>
    <w:rsid w:val="000677F4"/>
    <w:rsid w:val="0006788A"/>
    <w:rsid w:val="00067E09"/>
    <w:rsid w:val="000714E9"/>
    <w:rsid w:val="0007178B"/>
    <w:rsid w:val="00071AEF"/>
    <w:rsid w:val="000725FA"/>
    <w:rsid w:val="0007357C"/>
    <w:rsid w:val="00073992"/>
    <w:rsid w:val="00073BC3"/>
    <w:rsid w:val="00073C35"/>
    <w:rsid w:val="000740C9"/>
    <w:rsid w:val="00074362"/>
    <w:rsid w:val="00074950"/>
    <w:rsid w:val="00074D40"/>
    <w:rsid w:val="0007575D"/>
    <w:rsid w:val="00076BA5"/>
    <w:rsid w:val="00077111"/>
    <w:rsid w:val="00077397"/>
    <w:rsid w:val="00077E23"/>
    <w:rsid w:val="0008017B"/>
    <w:rsid w:val="00080E7D"/>
    <w:rsid w:val="0008147C"/>
    <w:rsid w:val="0008208A"/>
    <w:rsid w:val="0008211B"/>
    <w:rsid w:val="00085353"/>
    <w:rsid w:val="000857AB"/>
    <w:rsid w:val="00086D52"/>
    <w:rsid w:val="00090AFA"/>
    <w:rsid w:val="00091367"/>
    <w:rsid w:val="000919E1"/>
    <w:rsid w:val="00091D81"/>
    <w:rsid w:val="0009218B"/>
    <w:rsid w:val="0009286B"/>
    <w:rsid w:val="00092E6C"/>
    <w:rsid w:val="00092EE8"/>
    <w:rsid w:val="000941DE"/>
    <w:rsid w:val="00094254"/>
    <w:rsid w:val="00094699"/>
    <w:rsid w:val="0009482E"/>
    <w:rsid w:val="00094953"/>
    <w:rsid w:val="00094D1C"/>
    <w:rsid w:val="000957B8"/>
    <w:rsid w:val="00096ADB"/>
    <w:rsid w:val="00097ECB"/>
    <w:rsid w:val="000A244B"/>
    <w:rsid w:val="000A3D31"/>
    <w:rsid w:val="000A434A"/>
    <w:rsid w:val="000A48C6"/>
    <w:rsid w:val="000A5575"/>
    <w:rsid w:val="000A5E81"/>
    <w:rsid w:val="000A6B23"/>
    <w:rsid w:val="000A7644"/>
    <w:rsid w:val="000A767D"/>
    <w:rsid w:val="000B0AD9"/>
    <w:rsid w:val="000B0F2C"/>
    <w:rsid w:val="000B302B"/>
    <w:rsid w:val="000B3944"/>
    <w:rsid w:val="000B3F80"/>
    <w:rsid w:val="000B5270"/>
    <w:rsid w:val="000B556E"/>
    <w:rsid w:val="000B5C1F"/>
    <w:rsid w:val="000B6BEB"/>
    <w:rsid w:val="000B6D6B"/>
    <w:rsid w:val="000B7BA4"/>
    <w:rsid w:val="000B7DCC"/>
    <w:rsid w:val="000C4BEE"/>
    <w:rsid w:val="000C65AF"/>
    <w:rsid w:val="000C66CA"/>
    <w:rsid w:val="000C7FDE"/>
    <w:rsid w:val="000D0035"/>
    <w:rsid w:val="000D00CC"/>
    <w:rsid w:val="000D09C1"/>
    <w:rsid w:val="000D235C"/>
    <w:rsid w:val="000D2D5F"/>
    <w:rsid w:val="000D38AC"/>
    <w:rsid w:val="000D3D4F"/>
    <w:rsid w:val="000D3D6D"/>
    <w:rsid w:val="000D438A"/>
    <w:rsid w:val="000D4473"/>
    <w:rsid w:val="000D48B4"/>
    <w:rsid w:val="000D5121"/>
    <w:rsid w:val="000D5A82"/>
    <w:rsid w:val="000D6024"/>
    <w:rsid w:val="000D6AA2"/>
    <w:rsid w:val="000D6E10"/>
    <w:rsid w:val="000D7025"/>
    <w:rsid w:val="000D7459"/>
    <w:rsid w:val="000D791E"/>
    <w:rsid w:val="000E031F"/>
    <w:rsid w:val="000E09BC"/>
    <w:rsid w:val="000E0D17"/>
    <w:rsid w:val="000E0E71"/>
    <w:rsid w:val="000E1D3F"/>
    <w:rsid w:val="000E23F1"/>
    <w:rsid w:val="000E2D42"/>
    <w:rsid w:val="000E3124"/>
    <w:rsid w:val="000E3587"/>
    <w:rsid w:val="000E3CFE"/>
    <w:rsid w:val="000E3DCC"/>
    <w:rsid w:val="000E4351"/>
    <w:rsid w:val="000E55EF"/>
    <w:rsid w:val="000E658A"/>
    <w:rsid w:val="000E6FDF"/>
    <w:rsid w:val="000E700C"/>
    <w:rsid w:val="000E753C"/>
    <w:rsid w:val="000E7BD6"/>
    <w:rsid w:val="000E7CC3"/>
    <w:rsid w:val="000E7DB4"/>
    <w:rsid w:val="000F01A7"/>
    <w:rsid w:val="000F063A"/>
    <w:rsid w:val="000F0C2A"/>
    <w:rsid w:val="000F1501"/>
    <w:rsid w:val="000F1CF6"/>
    <w:rsid w:val="000F1F88"/>
    <w:rsid w:val="000F259C"/>
    <w:rsid w:val="000F385F"/>
    <w:rsid w:val="000F4FA1"/>
    <w:rsid w:val="000F598A"/>
    <w:rsid w:val="000F5AD6"/>
    <w:rsid w:val="000F5C7A"/>
    <w:rsid w:val="000F6FE9"/>
    <w:rsid w:val="000F7B28"/>
    <w:rsid w:val="00100323"/>
    <w:rsid w:val="00101BE5"/>
    <w:rsid w:val="00101F97"/>
    <w:rsid w:val="001020BA"/>
    <w:rsid w:val="001022B6"/>
    <w:rsid w:val="001022EF"/>
    <w:rsid w:val="00102B34"/>
    <w:rsid w:val="001031BF"/>
    <w:rsid w:val="00104994"/>
    <w:rsid w:val="00105328"/>
    <w:rsid w:val="00107214"/>
    <w:rsid w:val="0010768E"/>
    <w:rsid w:val="00111E15"/>
    <w:rsid w:val="00112CF9"/>
    <w:rsid w:val="00113380"/>
    <w:rsid w:val="00114C52"/>
    <w:rsid w:val="00115389"/>
    <w:rsid w:val="00115DC5"/>
    <w:rsid w:val="00117A5A"/>
    <w:rsid w:val="00117EC2"/>
    <w:rsid w:val="0012072E"/>
    <w:rsid w:val="00120F63"/>
    <w:rsid w:val="00121303"/>
    <w:rsid w:val="001213DE"/>
    <w:rsid w:val="00122786"/>
    <w:rsid w:val="001231AB"/>
    <w:rsid w:val="00123C8A"/>
    <w:rsid w:val="001241D3"/>
    <w:rsid w:val="00124DC3"/>
    <w:rsid w:val="001252DD"/>
    <w:rsid w:val="00125319"/>
    <w:rsid w:val="00125CC6"/>
    <w:rsid w:val="00131ACC"/>
    <w:rsid w:val="00131D07"/>
    <w:rsid w:val="00131D75"/>
    <w:rsid w:val="001320BE"/>
    <w:rsid w:val="001326F6"/>
    <w:rsid w:val="00132907"/>
    <w:rsid w:val="00132F22"/>
    <w:rsid w:val="0013358A"/>
    <w:rsid w:val="00133822"/>
    <w:rsid w:val="00133E71"/>
    <w:rsid w:val="001340BB"/>
    <w:rsid w:val="001340F4"/>
    <w:rsid w:val="001342A6"/>
    <w:rsid w:val="001348DC"/>
    <w:rsid w:val="00134E75"/>
    <w:rsid w:val="00136CB9"/>
    <w:rsid w:val="001373B9"/>
    <w:rsid w:val="0013768F"/>
    <w:rsid w:val="001414C1"/>
    <w:rsid w:val="0014153F"/>
    <w:rsid w:val="00141A58"/>
    <w:rsid w:val="00142723"/>
    <w:rsid w:val="00142813"/>
    <w:rsid w:val="00142D07"/>
    <w:rsid w:val="00143869"/>
    <w:rsid w:val="001443CF"/>
    <w:rsid w:val="00144899"/>
    <w:rsid w:val="0014532B"/>
    <w:rsid w:val="00146F87"/>
    <w:rsid w:val="0014756F"/>
    <w:rsid w:val="00147E3F"/>
    <w:rsid w:val="00147E6F"/>
    <w:rsid w:val="00147EEA"/>
    <w:rsid w:val="001515BF"/>
    <w:rsid w:val="00151838"/>
    <w:rsid w:val="00151948"/>
    <w:rsid w:val="00151F8D"/>
    <w:rsid w:val="001525CE"/>
    <w:rsid w:val="0015353E"/>
    <w:rsid w:val="0015391F"/>
    <w:rsid w:val="00153B79"/>
    <w:rsid w:val="00153BD7"/>
    <w:rsid w:val="00153C34"/>
    <w:rsid w:val="001542A7"/>
    <w:rsid w:val="001542D3"/>
    <w:rsid w:val="00154AFB"/>
    <w:rsid w:val="00157142"/>
    <w:rsid w:val="00157C06"/>
    <w:rsid w:val="00162E0A"/>
    <w:rsid w:val="00163118"/>
    <w:rsid w:val="00163395"/>
    <w:rsid w:val="0016414B"/>
    <w:rsid w:val="00164410"/>
    <w:rsid w:val="00164974"/>
    <w:rsid w:val="00164D4A"/>
    <w:rsid w:val="00164F08"/>
    <w:rsid w:val="00165455"/>
    <w:rsid w:val="00166265"/>
    <w:rsid w:val="001668A5"/>
    <w:rsid w:val="00166B5D"/>
    <w:rsid w:val="00166C8F"/>
    <w:rsid w:val="00167270"/>
    <w:rsid w:val="0016734E"/>
    <w:rsid w:val="001674BA"/>
    <w:rsid w:val="001676FA"/>
    <w:rsid w:val="00170030"/>
    <w:rsid w:val="001703A9"/>
    <w:rsid w:val="001705D2"/>
    <w:rsid w:val="00170CC4"/>
    <w:rsid w:val="0017166B"/>
    <w:rsid w:val="00171792"/>
    <w:rsid w:val="001721A3"/>
    <w:rsid w:val="00172490"/>
    <w:rsid w:val="0017263E"/>
    <w:rsid w:val="0017312A"/>
    <w:rsid w:val="00173370"/>
    <w:rsid w:val="001739DA"/>
    <w:rsid w:val="00173B4A"/>
    <w:rsid w:val="001741BC"/>
    <w:rsid w:val="0017420B"/>
    <w:rsid w:val="0017439E"/>
    <w:rsid w:val="00174B14"/>
    <w:rsid w:val="00175547"/>
    <w:rsid w:val="00175D7F"/>
    <w:rsid w:val="00175F1A"/>
    <w:rsid w:val="00175FA7"/>
    <w:rsid w:val="00176AFC"/>
    <w:rsid w:val="00176B8E"/>
    <w:rsid w:val="001801FF"/>
    <w:rsid w:val="00180541"/>
    <w:rsid w:val="001807F2"/>
    <w:rsid w:val="00180999"/>
    <w:rsid w:val="00180DAC"/>
    <w:rsid w:val="00181D76"/>
    <w:rsid w:val="00181E16"/>
    <w:rsid w:val="00182097"/>
    <w:rsid w:val="001828C2"/>
    <w:rsid w:val="00182B4F"/>
    <w:rsid w:val="00183391"/>
    <w:rsid w:val="001837D2"/>
    <w:rsid w:val="0018387C"/>
    <w:rsid w:val="001839B2"/>
    <w:rsid w:val="00183CD3"/>
    <w:rsid w:val="001843BA"/>
    <w:rsid w:val="00184629"/>
    <w:rsid w:val="0018476B"/>
    <w:rsid w:val="00184FA4"/>
    <w:rsid w:val="00186753"/>
    <w:rsid w:val="00187092"/>
    <w:rsid w:val="001875E7"/>
    <w:rsid w:val="001877A8"/>
    <w:rsid w:val="00191290"/>
    <w:rsid w:val="00192B84"/>
    <w:rsid w:val="00192C54"/>
    <w:rsid w:val="00193A3A"/>
    <w:rsid w:val="00194133"/>
    <w:rsid w:val="0019447E"/>
    <w:rsid w:val="00194A19"/>
    <w:rsid w:val="00194FA2"/>
    <w:rsid w:val="00195C33"/>
    <w:rsid w:val="00195D8C"/>
    <w:rsid w:val="001962A4"/>
    <w:rsid w:val="001962C6"/>
    <w:rsid w:val="00197320"/>
    <w:rsid w:val="00197C61"/>
    <w:rsid w:val="00197D46"/>
    <w:rsid w:val="00197E56"/>
    <w:rsid w:val="001A1067"/>
    <w:rsid w:val="001A25A4"/>
    <w:rsid w:val="001A3613"/>
    <w:rsid w:val="001A3644"/>
    <w:rsid w:val="001A3986"/>
    <w:rsid w:val="001A518F"/>
    <w:rsid w:val="001A5E2D"/>
    <w:rsid w:val="001A65DE"/>
    <w:rsid w:val="001A6625"/>
    <w:rsid w:val="001A6889"/>
    <w:rsid w:val="001A7280"/>
    <w:rsid w:val="001B044C"/>
    <w:rsid w:val="001B3000"/>
    <w:rsid w:val="001B3517"/>
    <w:rsid w:val="001B3DCC"/>
    <w:rsid w:val="001B4224"/>
    <w:rsid w:val="001B44D6"/>
    <w:rsid w:val="001B4712"/>
    <w:rsid w:val="001B47C7"/>
    <w:rsid w:val="001B5AF3"/>
    <w:rsid w:val="001B62E4"/>
    <w:rsid w:val="001B66F6"/>
    <w:rsid w:val="001C022A"/>
    <w:rsid w:val="001C04A1"/>
    <w:rsid w:val="001C10E8"/>
    <w:rsid w:val="001C1185"/>
    <w:rsid w:val="001C167F"/>
    <w:rsid w:val="001C17EC"/>
    <w:rsid w:val="001C27C4"/>
    <w:rsid w:val="001C2BDC"/>
    <w:rsid w:val="001C2D88"/>
    <w:rsid w:val="001C3FA6"/>
    <w:rsid w:val="001C46ED"/>
    <w:rsid w:val="001C53F8"/>
    <w:rsid w:val="001C5A3A"/>
    <w:rsid w:val="001C5F3D"/>
    <w:rsid w:val="001C61BE"/>
    <w:rsid w:val="001C7A48"/>
    <w:rsid w:val="001C7D4E"/>
    <w:rsid w:val="001D0265"/>
    <w:rsid w:val="001D055E"/>
    <w:rsid w:val="001D0A4D"/>
    <w:rsid w:val="001D13D7"/>
    <w:rsid w:val="001D1A43"/>
    <w:rsid w:val="001D21A9"/>
    <w:rsid w:val="001D25DA"/>
    <w:rsid w:val="001D3862"/>
    <w:rsid w:val="001D3B96"/>
    <w:rsid w:val="001D5531"/>
    <w:rsid w:val="001D58AA"/>
    <w:rsid w:val="001D5AF5"/>
    <w:rsid w:val="001D6019"/>
    <w:rsid w:val="001D611E"/>
    <w:rsid w:val="001D6167"/>
    <w:rsid w:val="001D631A"/>
    <w:rsid w:val="001D7AE6"/>
    <w:rsid w:val="001E0258"/>
    <w:rsid w:val="001E156A"/>
    <w:rsid w:val="001E1763"/>
    <w:rsid w:val="001E2139"/>
    <w:rsid w:val="001E2423"/>
    <w:rsid w:val="001E28A0"/>
    <w:rsid w:val="001E418B"/>
    <w:rsid w:val="001E4867"/>
    <w:rsid w:val="001E4D1F"/>
    <w:rsid w:val="001E5463"/>
    <w:rsid w:val="001E5B95"/>
    <w:rsid w:val="001E6348"/>
    <w:rsid w:val="001E6D06"/>
    <w:rsid w:val="001E738B"/>
    <w:rsid w:val="001E750E"/>
    <w:rsid w:val="001F0DB3"/>
    <w:rsid w:val="001F1F15"/>
    <w:rsid w:val="001F42E5"/>
    <w:rsid w:val="001F47FD"/>
    <w:rsid w:val="001F4ADB"/>
    <w:rsid w:val="001F4AEA"/>
    <w:rsid w:val="001F4C4D"/>
    <w:rsid w:val="001F4C56"/>
    <w:rsid w:val="001F5C30"/>
    <w:rsid w:val="001F60DD"/>
    <w:rsid w:val="001F7BDB"/>
    <w:rsid w:val="001F7E58"/>
    <w:rsid w:val="00201BBE"/>
    <w:rsid w:val="00201ED0"/>
    <w:rsid w:val="0020242D"/>
    <w:rsid w:val="00202D36"/>
    <w:rsid w:val="00202D7F"/>
    <w:rsid w:val="00203094"/>
    <w:rsid w:val="0020329A"/>
    <w:rsid w:val="002038BA"/>
    <w:rsid w:val="002056E8"/>
    <w:rsid w:val="002059E7"/>
    <w:rsid w:val="002063FD"/>
    <w:rsid w:val="00206E29"/>
    <w:rsid w:val="00206F30"/>
    <w:rsid w:val="00207F13"/>
    <w:rsid w:val="002107E1"/>
    <w:rsid w:val="00210A96"/>
    <w:rsid w:val="0021189D"/>
    <w:rsid w:val="00211BFD"/>
    <w:rsid w:val="00212BFD"/>
    <w:rsid w:val="00212FC8"/>
    <w:rsid w:val="00214052"/>
    <w:rsid w:val="0021415C"/>
    <w:rsid w:val="0021482C"/>
    <w:rsid w:val="0021483E"/>
    <w:rsid w:val="002158DB"/>
    <w:rsid w:val="00216094"/>
    <w:rsid w:val="002162B4"/>
    <w:rsid w:val="00216925"/>
    <w:rsid w:val="00220108"/>
    <w:rsid w:val="00220919"/>
    <w:rsid w:val="00221565"/>
    <w:rsid w:val="00221CFE"/>
    <w:rsid w:val="00222297"/>
    <w:rsid w:val="002225F6"/>
    <w:rsid w:val="00223006"/>
    <w:rsid w:val="002230B7"/>
    <w:rsid w:val="00223135"/>
    <w:rsid w:val="002238CA"/>
    <w:rsid w:val="00223B29"/>
    <w:rsid w:val="00223DB8"/>
    <w:rsid w:val="00223E20"/>
    <w:rsid w:val="00224249"/>
    <w:rsid w:val="00224E4E"/>
    <w:rsid w:val="00225717"/>
    <w:rsid w:val="00225927"/>
    <w:rsid w:val="00225D05"/>
    <w:rsid w:val="00226968"/>
    <w:rsid w:val="0022715A"/>
    <w:rsid w:val="00227DF7"/>
    <w:rsid w:val="00230037"/>
    <w:rsid w:val="00230114"/>
    <w:rsid w:val="00230704"/>
    <w:rsid w:val="002316D1"/>
    <w:rsid w:val="00231E84"/>
    <w:rsid w:val="00233F4C"/>
    <w:rsid w:val="00235D84"/>
    <w:rsid w:val="00236F1A"/>
    <w:rsid w:val="00237015"/>
    <w:rsid w:val="0023797D"/>
    <w:rsid w:val="002379E1"/>
    <w:rsid w:val="00237CE3"/>
    <w:rsid w:val="00237E38"/>
    <w:rsid w:val="002404E0"/>
    <w:rsid w:val="00240927"/>
    <w:rsid w:val="00240AAF"/>
    <w:rsid w:val="002415B9"/>
    <w:rsid w:val="00241D92"/>
    <w:rsid w:val="002428CE"/>
    <w:rsid w:val="00242FE7"/>
    <w:rsid w:val="00243BAF"/>
    <w:rsid w:val="00243D19"/>
    <w:rsid w:val="002456E3"/>
    <w:rsid w:val="002464BC"/>
    <w:rsid w:val="00246C14"/>
    <w:rsid w:val="0024725E"/>
    <w:rsid w:val="00247510"/>
    <w:rsid w:val="00247C69"/>
    <w:rsid w:val="00251572"/>
    <w:rsid w:val="002515AF"/>
    <w:rsid w:val="00251E62"/>
    <w:rsid w:val="0025209D"/>
    <w:rsid w:val="00252132"/>
    <w:rsid w:val="00252F4C"/>
    <w:rsid w:val="002536AE"/>
    <w:rsid w:val="002543C7"/>
    <w:rsid w:val="002549F5"/>
    <w:rsid w:val="002552ED"/>
    <w:rsid w:val="0025567B"/>
    <w:rsid w:val="00255C38"/>
    <w:rsid w:val="00255CAC"/>
    <w:rsid w:val="002570BA"/>
    <w:rsid w:val="00257229"/>
    <w:rsid w:val="002573C5"/>
    <w:rsid w:val="0026111C"/>
    <w:rsid w:val="00261626"/>
    <w:rsid w:val="0026163E"/>
    <w:rsid w:val="00261C2A"/>
    <w:rsid w:val="00262357"/>
    <w:rsid w:val="00262C2C"/>
    <w:rsid w:val="00263736"/>
    <w:rsid w:val="00263E9F"/>
    <w:rsid w:val="00264990"/>
    <w:rsid w:val="00264C4E"/>
    <w:rsid w:val="00264DDA"/>
    <w:rsid w:val="00265F0F"/>
    <w:rsid w:val="002662A1"/>
    <w:rsid w:val="00266515"/>
    <w:rsid w:val="0026669B"/>
    <w:rsid w:val="00267200"/>
    <w:rsid w:val="00267B9C"/>
    <w:rsid w:val="00267F7A"/>
    <w:rsid w:val="0027002B"/>
    <w:rsid w:val="002709A5"/>
    <w:rsid w:val="002713F4"/>
    <w:rsid w:val="0027180C"/>
    <w:rsid w:val="00272F3D"/>
    <w:rsid w:val="00273CCC"/>
    <w:rsid w:val="00276900"/>
    <w:rsid w:val="002772B5"/>
    <w:rsid w:val="0027781B"/>
    <w:rsid w:val="00280099"/>
    <w:rsid w:val="002808FC"/>
    <w:rsid w:val="0028097C"/>
    <w:rsid w:val="00283495"/>
    <w:rsid w:val="002835EF"/>
    <w:rsid w:val="00283B1E"/>
    <w:rsid w:val="0028460D"/>
    <w:rsid w:val="002848E2"/>
    <w:rsid w:val="00285CC6"/>
    <w:rsid w:val="002860A7"/>
    <w:rsid w:val="00286473"/>
    <w:rsid w:val="002865A1"/>
    <w:rsid w:val="00286F49"/>
    <w:rsid w:val="0028744F"/>
    <w:rsid w:val="0029094E"/>
    <w:rsid w:val="002912A6"/>
    <w:rsid w:val="00291FFB"/>
    <w:rsid w:val="00293126"/>
    <w:rsid w:val="00293361"/>
    <w:rsid w:val="00293807"/>
    <w:rsid w:val="002940BF"/>
    <w:rsid w:val="00295040"/>
    <w:rsid w:val="002951B1"/>
    <w:rsid w:val="002955CB"/>
    <w:rsid w:val="00295C1B"/>
    <w:rsid w:val="00295D7F"/>
    <w:rsid w:val="002962EF"/>
    <w:rsid w:val="00296386"/>
    <w:rsid w:val="002975C2"/>
    <w:rsid w:val="002A0679"/>
    <w:rsid w:val="002A1060"/>
    <w:rsid w:val="002A14C4"/>
    <w:rsid w:val="002A1926"/>
    <w:rsid w:val="002A1BFA"/>
    <w:rsid w:val="002A27CF"/>
    <w:rsid w:val="002A3602"/>
    <w:rsid w:val="002A4398"/>
    <w:rsid w:val="002A4F38"/>
    <w:rsid w:val="002A56F3"/>
    <w:rsid w:val="002A596B"/>
    <w:rsid w:val="002A6781"/>
    <w:rsid w:val="002A6DDB"/>
    <w:rsid w:val="002A6FEB"/>
    <w:rsid w:val="002A72E5"/>
    <w:rsid w:val="002A7FD7"/>
    <w:rsid w:val="002B22B2"/>
    <w:rsid w:val="002B2369"/>
    <w:rsid w:val="002B2A52"/>
    <w:rsid w:val="002B2DF5"/>
    <w:rsid w:val="002B386F"/>
    <w:rsid w:val="002B47FD"/>
    <w:rsid w:val="002B4F91"/>
    <w:rsid w:val="002B5020"/>
    <w:rsid w:val="002B57F3"/>
    <w:rsid w:val="002B5ED8"/>
    <w:rsid w:val="002B640E"/>
    <w:rsid w:val="002B6711"/>
    <w:rsid w:val="002B6C76"/>
    <w:rsid w:val="002B6DE2"/>
    <w:rsid w:val="002B7641"/>
    <w:rsid w:val="002C0156"/>
    <w:rsid w:val="002C0930"/>
    <w:rsid w:val="002C0DF3"/>
    <w:rsid w:val="002C0E0B"/>
    <w:rsid w:val="002C113C"/>
    <w:rsid w:val="002C1467"/>
    <w:rsid w:val="002C2F8A"/>
    <w:rsid w:val="002C402F"/>
    <w:rsid w:val="002C5484"/>
    <w:rsid w:val="002C5589"/>
    <w:rsid w:val="002C5931"/>
    <w:rsid w:val="002C5BCD"/>
    <w:rsid w:val="002C5EE6"/>
    <w:rsid w:val="002C60C7"/>
    <w:rsid w:val="002C641D"/>
    <w:rsid w:val="002C6445"/>
    <w:rsid w:val="002C67E4"/>
    <w:rsid w:val="002C782F"/>
    <w:rsid w:val="002D06E0"/>
    <w:rsid w:val="002D1452"/>
    <w:rsid w:val="002D15CE"/>
    <w:rsid w:val="002D21F6"/>
    <w:rsid w:val="002D26E7"/>
    <w:rsid w:val="002D371F"/>
    <w:rsid w:val="002D376B"/>
    <w:rsid w:val="002D3E57"/>
    <w:rsid w:val="002D43BB"/>
    <w:rsid w:val="002D45D3"/>
    <w:rsid w:val="002D4DAF"/>
    <w:rsid w:val="002D4F30"/>
    <w:rsid w:val="002D5B26"/>
    <w:rsid w:val="002D5D00"/>
    <w:rsid w:val="002D633A"/>
    <w:rsid w:val="002D77D7"/>
    <w:rsid w:val="002E089F"/>
    <w:rsid w:val="002E0A9A"/>
    <w:rsid w:val="002E1817"/>
    <w:rsid w:val="002E23C8"/>
    <w:rsid w:val="002E26A7"/>
    <w:rsid w:val="002E2977"/>
    <w:rsid w:val="002E3792"/>
    <w:rsid w:val="002E3F88"/>
    <w:rsid w:val="002E43E1"/>
    <w:rsid w:val="002E497E"/>
    <w:rsid w:val="002E59D6"/>
    <w:rsid w:val="002E59E1"/>
    <w:rsid w:val="002E5FAB"/>
    <w:rsid w:val="002E6172"/>
    <w:rsid w:val="002E69BE"/>
    <w:rsid w:val="002E6EB1"/>
    <w:rsid w:val="002E758B"/>
    <w:rsid w:val="002E7C82"/>
    <w:rsid w:val="002F04F2"/>
    <w:rsid w:val="002F30B1"/>
    <w:rsid w:val="002F3263"/>
    <w:rsid w:val="002F34C1"/>
    <w:rsid w:val="002F36A1"/>
    <w:rsid w:val="002F3E31"/>
    <w:rsid w:val="002F4137"/>
    <w:rsid w:val="002F47ED"/>
    <w:rsid w:val="002F4ABA"/>
    <w:rsid w:val="002F51AC"/>
    <w:rsid w:val="002F54DD"/>
    <w:rsid w:val="002F68DD"/>
    <w:rsid w:val="002F73BF"/>
    <w:rsid w:val="002F7B6C"/>
    <w:rsid w:val="00300443"/>
    <w:rsid w:val="0030081C"/>
    <w:rsid w:val="003010D7"/>
    <w:rsid w:val="003010FC"/>
    <w:rsid w:val="00301144"/>
    <w:rsid w:val="00301644"/>
    <w:rsid w:val="00301FF8"/>
    <w:rsid w:val="00302422"/>
    <w:rsid w:val="00302771"/>
    <w:rsid w:val="00302C62"/>
    <w:rsid w:val="00302E3B"/>
    <w:rsid w:val="003037EC"/>
    <w:rsid w:val="00303D18"/>
    <w:rsid w:val="0030555E"/>
    <w:rsid w:val="003055F3"/>
    <w:rsid w:val="00305EB6"/>
    <w:rsid w:val="0030677B"/>
    <w:rsid w:val="0030749C"/>
    <w:rsid w:val="00307764"/>
    <w:rsid w:val="00310D78"/>
    <w:rsid w:val="00311666"/>
    <w:rsid w:val="003116CE"/>
    <w:rsid w:val="00312202"/>
    <w:rsid w:val="00312243"/>
    <w:rsid w:val="003124DD"/>
    <w:rsid w:val="00312AC0"/>
    <w:rsid w:val="00312CBB"/>
    <w:rsid w:val="0031344A"/>
    <w:rsid w:val="00313DAD"/>
    <w:rsid w:val="003145CE"/>
    <w:rsid w:val="003149A3"/>
    <w:rsid w:val="0031525E"/>
    <w:rsid w:val="00315B9D"/>
    <w:rsid w:val="00315BC2"/>
    <w:rsid w:val="00316404"/>
    <w:rsid w:val="0031694B"/>
    <w:rsid w:val="003170FD"/>
    <w:rsid w:val="00317573"/>
    <w:rsid w:val="00320683"/>
    <w:rsid w:val="00321036"/>
    <w:rsid w:val="00321D32"/>
    <w:rsid w:val="003224D6"/>
    <w:rsid w:val="003230F8"/>
    <w:rsid w:val="0032447F"/>
    <w:rsid w:val="00324BC7"/>
    <w:rsid w:val="00325ADF"/>
    <w:rsid w:val="0032633E"/>
    <w:rsid w:val="00327169"/>
    <w:rsid w:val="003273CC"/>
    <w:rsid w:val="00327607"/>
    <w:rsid w:val="00331AD3"/>
    <w:rsid w:val="00332284"/>
    <w:rsid w:val="003327D4"/>
    <w:rsid w:val="00332B14"/>
    <w:rsid w:val="00332C61"/>
    <w:rsid w:val="00333026"/>
    <w:rsid w:val="0033362B"/>
    <w:rsid w:val="00333F25"/>
    <w:rsid w:val="00334399"/>
    <w:rsid w:val="003343B0"/>
    <w:rsid w:val="003348A5"/>
    <w:rsid w:val="00335922"/>
    <w:rsid w:val="00335B45"/>
    <w:rsid w:val="00336567"/>
    <w:rsid w:val="003378EA"/>
    <w:rsid w:val="00337B1F"/>
    <w:rsid w:val="00340583"/>
    <w:rsid w:val="0034087B"/>
    <w:rsid w:val="00341190"/>
    <w:rsid w:val="0034299B"/>
    <w:rsid w:val="00343280"/>
    <w:rsid w:val="0034378D"/>
    <w:rsid w:val="0034393A"/>
    <w:rsid w:val="00343B3D"/>
    <w:rsid w:val="00344127"/>
    <w:rsid w:val="003447B1"/>
    <w:rsid w:val="00345258"/>
    <w:rsid w:val="00345E91"/>
    <w:rsid w:val="003464F2"/>
    <w:rsid w:val="00347C31"/>
    <w:rsid w:val="0035053B"/>
    <w:rsid w:val="00350D44"/>
    <w:rsid w:val="003526A7"/>
    <w:rsid w:val="00352CA9"/>
    <w:rsid w:val="00352CCD"/>
    <w:rsid w:val="00353484"/>
    <w:rsid w:val="003539BF"/>
    <w:rsid w:val="00355A68"/>
    <w:rsid w:val="00356626"/>
    <w:rsid w:val="00356B2E"/>
    <w:rsid w:val="00357A7F"/>
    <w:rsid w:val="00357D03"/>
    <w:rsid w:val="00360657"/>
    <w:rsid w:val="003608D4"/>
    <w:rsid w:val="00360F0C"/>
    <w:rsid w:val="00361064"/>
    <w:rsid w:val="0036198D"/>
    <w:rsid w:val="003628CA"/>
    <w:rsid w:val="00363599"/>
    <w:rsid w:val="003638DB"/>
    <w:rsid w:val="00363EAB"/>
    <w:rsid w:val="0036410D"/>
    <w:rsid w:val="003644EA"/>
    <w:rsid w:val="0036598B"/>
    <w:rsid w:val="00367AA8"/>
    <w:rsid w:val="00370B57"/>
    <w:rsid w:val="0037223C"/>
    <w:rsid w:val="00373258"/>
    <w:rsid w:val="00374181"/>
    <w:rsid w:val="00375FB8"/>
    <w:rsid w:val="0037678D"/>
    <w:rsid w:val="0037692C"/>
    <w:rsid w:val="00376CD0"/>
    <w:rsid w:val="00376CED"/>
    <w:rsid w:val="00377EAF"/>
    <w:rsid w:val="00380046"/>
    <w:rsid w:val="003818F8"/>
    <w:rsid w:val="00381CE0"/>
    <w:rsid w:val="00381E04"/>
    <w:rsid w:val="00382388"/>
    <w:rsid w:val="003832F4"/>
    <w:rsid w:val="003835ED"/>
    <w:rsid w:val="00383C17"/>
    <w:rsid w:val="003848DC"/>
    <w:rsid w:val="00385464"/>
    <w:rsid w:val="00385D32"/>
    <w:rsid w:val="003864EF"/>
    <w:rsid w:val="0038665E"/>
    <w:rsid w:val="00387A8E"/>
    <w:rsid w:val="00390401"/>
    <w:rsid w:val="00390578"/>
    <w:rsid w:val="003908D3"/>
    <w:rsid w:val="00391373"/>
    <w:rsid w:val="00391567"/>
    <w:rsid w:val="00394865"/>
    <w:rsid w:val="00395542"/>
    <w:rsid w:val="00395BB6"/>
    <w:rsid w:val="003963A1"/>
    <w:rsid w:val="00396913"/>
    <w:rsid w:val="003971BD"/>
    <w:rsid w:val="00397E84"/>
    <w:rsid w:val="00397EEB"/>
    <w:rsid w:val="003A0D1F"/>
    <w:rsid w:val="003A0D2F"/>
    <w:rsid w:val="003A135F"/>
    <w:rsid w:val="003A13DE"/>
    <w:rsid w:val="003A197C"/>
    <w:rsid w:val="003A2948"/>
    <w:rsid w:val="003A3022"/>
    <w:rsid w:val="003A313A"/>
    <w:rsid w:val="003A3CD1"/>
    <w:rsid w:val="003A5ECF"/>
    <w:rsid w:val="003A64CF"/>
    <w:rsid w:val="003A78E7"/>
    <w:rsid w:val="003A7908"/>
    <w:rsid w:val="003B0670"/>
    <w:rsid w:val="003B0D3B"/>
    <w:rsid w:val="003B1759"/>
    <w:rsid w:val="003B1A92"/>
    <w:rsid w:val="003B2659"/>
    <w:rsid w:val="003B3640"/>
    <w:rsid w:val="003B3849"/>
    <w:rsid w:val="003B41EE"/>
    <w:rsid w:val="003B4744"/>
    <w:rsid w:val="003B47BA"/>
    <w:rsid w:val="003B4948"/>
    <w:rsid w:val="003B5DD6"/>
    <w:rsid w:val="003B6789"/>
    <w:rsid w:val="003B6EC8"/>
    <w:rsid w:val="003B7531"/>
    <w:rsid w:val="003B7A73"/>
    <w:rsid w:val="003C0539"/>
    <w:rsid w:val="003C1DF1"/>
    <w:rsid w:val="003C2A6C"/>
    <w:rsid w:val="003C2BA9"/>
    <w:rsid w:val="003C3153"/>
    <w:rsid w:val="003C4217"/>
    <w:rsid w:val="003C48C9"/>
    <w:rsid w:val="003C4AE7"/>
    <w:rsid w:val="003C52DA"/>
    <w:rsid w:val="003C545A"/>
    <w:rsid w:val="003C695D"/>
    <w:rsid w:val="003C6CDA"/>
    <w:rsid w:val="003C6F48"/>
    <w:rsid w:val="003C75AA"/>
    <w:rsid w:val="003C75C0"/>
    <w:rsid w:val="003C7E65"/>
    <w:rsid w:val="003D01FF"/>
    <w:rsid w:val="003D1F7E"/>
    <w:rsid w:val="003D2F3C"/>
    <w:rsid w:val="003D3434"/>
    <w:rsid w:val="003D3F94"/>
    <w:rsid w:val="003D4287"/>
    <w:rsid w:val="003D464D"/>
    <w:rsid w:val="003D5AB4"/>
    <w:rsid w:val="003D5FC4"/>
    <w:rsid w:val="003D6CD4"/>
    <w:rsid w:val="003D7006"/>
    <w:rsid w:val="003E03B6"/>
    <w:rsid w:val="003E1801"/>
    <w:rsid w:val="003E227F"/>
    <w:rsid w:val="003E242C"/>
    <w:rsid w:val="003E2B2C"/>
    <w:rsid w:val="003E383B"/>
    <w:rsid w:val="003E4866"/>
    <w:rsid w:val="003E51F7"/>
    <w:rsid w:val="003E5792"/>
    <w:rsid w:val="003E7378"/>
    <w:rsid w:val="003F103D"/>
    <w:rsid w:val="003F1C68"/>
    <w:rsid w:val="003F216C"/>
    <w:rsid w:val="003F258E"/>
    <w:rsid w:val="003F378E"/>
    <w:rsid w:val="003F3FF6"/>
    <w:rsid w:val="003F423C"/>
    <w:rsid w:val="003F4E8C"/>
    <w:rsid w:val="003F5145"/>
    <w:rsid w:val="003F5269"/>
    <w:rsid w:val="003F5DAB"/>
    <w:rsid w:val="003F5F0F"/>
    <w:rsid w:val="003F74BA"/>
    <w:rsid w:val="00400355"/>
    <w:rsid w:val="00400361"/>
    <w:rsid w:val="0040234D"/>
    <w:rsid w:val="004033AF"/>
    <w:rsid w:val="00403482"/>
    <w:rsid w:val="00403DEF"/>
    <w:rsid w:val="00403EF9"/>
    <w:rsid w:val="0040497D"/>
    <w:rsid w:val="00405BEB"/>
    <w:rsid w:val="00405D1A"/>
    <w:rsid w:val="00406056"/>
    <w:rsid w:val="004068E6"/>
    <w:rsid w:val="00406D8D"/>
    <w:rsid w:val="00406FCC"/>
    <w:rsid w:val="0040738E"/>
    <w:rsid w:val="00410C4F"/>
    <w:rsid w:val="0041111F"/>
    <w:rsid w:val="00411618"/>
    <w:rsid w:val="004117EC"/>
    <w:rsid w:val="00412200"/>
    <w:rsid w:val="00412A8F"/>
    <w:rsid w:val="00412BE5"/>
    <w:rsid w:val="00412F16"/>
    <w:rsid w:val="004130A0"/>
    <w:rsid w:val="0041326F"/>
    <w:rsid w:val="0041617F"/>
    <w:rsid w:val="004170D1"/>
    <w:rsid w:val="00420019"/>
    <w:rsid w:val="00420090"/>
    <w:rsid w:val="0042021D"/>
    <w:rsid w:val="004214A0"/>
    <w:rsid w:val="00421927"/>
    <w:rsid w:val="00421A37"/>
    <w:rsid w:val="00421ABE"/>
    <w:rsid w:val="00421D80"/>
    <w:rsid w:val="004223AD"/>
    <w:rsid w:val="00422AE5"/>
    <w:rsid w:val="00422B19"/>
    <w:rsid w:val="00424203"/>
    <w:rsid w:val="00424254"/>
    <w:rsid w:val="00424279"/>
    <w:rsid w:val="00424C56"/>
    <w:rsid w:val="004256D6"/>
    <w:rsid w:val="00425726"/>
    <w:rsid w:val="00425A70"/>
    <w:rsid w:val="00426081"/>
    <w:rsid w:val="00426607"/>
    <w:rsid w:val="004275D1"/>
    <w:rsid w:val="0043017B"/>
    <w:rsid w:val="00430212"/>
    <w:rsid w:val="004313CF"/>
    <w:rsid w:val="00431632"/>
    <w:rsid w:val="0043171C"/>
    <w:rsid w:val="004325A5"/>
    <w:rsid w:val="00434AF4"/>
    <w:rsid w:val="00434C55"/>
    <w:rsid w:val="0043506F"/>
    <w:rsid w:val="00437ABA"/>
    <w:rsid w:val="004402A5"/>
    <w:rsid w:val="0044066B"/>
    <w:rsid w:val="0044149B"/>
    <w:rsid w:val="004418B6"/>
    <w:rsid w:val="00441FC1"/>
    <w:rsid w:val="004428D5"/>
    <w:rsid w:val="004430F4"/>
    <w:rsid w:val="004435A0"/>
    <w:rsid w:val="00443999"/>
    <w:rsid w:val="0044428F"/>
    <w:rsid w:val="00444AAF"/>
    <w:rsid w:val="00444DFF"/>
    <w:rsid w:val="00445023"/>
    <w:rsid w:val="004451D9"/>
    <w:rsid w:val="00445410"/>
    <w:rsid w:val="00445A49"/>
    <w:rsid w:val="00445FDE"/>
    <w:rsid w:val="00446649"/>
    <w:rsid w:val="00450B65"/>
    <w:rsid w:val="00451098"/>
    <w:rsid w:val="00451BA0"/>
    <w:rsid w:val="00452CA7"/>
    <w:rsid w:val="00453B90"/>
    <w:rsid w:val="00453E1A"/>
    <w:rsid w:val="00454CDD"/>
    <w:rsid w:val="00456E7E"/>
    <w:rsid w:val="004570FA"/>
    <w:rsid w:val="004604A3"/>
    <w:rsid w:val="004608DA"/>
    <w:rsid w:val="00460B12"/>
    <w:rsid w:val="00460BF8"/>
    <w:rsid w:val="004619F4"/>
    <w:rsid w:val="00461A24"/>
    <w:rsid w:val="00462191"/>
    <w:rsid w:val="00462DE7"/>
    <w:rsid w:val="00464943"/>
    <w:rsid w:val="00465C7B"/>
    <w:rsid w:val="00465E19"/>
    <w:rsid w:val="00467D10"/>
    <w:rsid w:val="00470F20"/>
    <w:rsid w:val="00471C0B"/>
    <w:rsid w:val="00471F4F"/>
    <w:rsid w:val="00472B64"/>
    <w:rsid w:val="004742EF"/>
    <w:rsid w:val="0047598A"/>
    <w:rsid w:val="004769A5"/>
    <w:rsid w:val="00477612"/>
    <w:rsid w:val="004776A0"/>
    <w:rsid w:val="0047784B"/>
    <w:rsid w:val="00477A82"/>
    <w:rsid w:val="00477E3F"/>
    <w:rsid w:val="00477E66"/>
    <w:rsid w:val="00483E53"/>
    <w:rsid w:val="00484509"/>
    <w:rsid w:val="004848BE"/>
    <w:rsid w:val="00484D39"/>
    <w:rsid w:val="00484F2E"/>
    <w:rsid w:val="004854BA"/>
    <w:rsid w:val="0048724A"/>
    <w:rsid w:val="004877FC"/>
    <w:rsid w:val="00487C00"/>
    <w:rsid w:val="00487C5E"/>
    <w:rsid w:val="00487D45"/>
    <w:rsid w:val="00487E76"/>
    <w:rsid w:val="0049000A"/>
    <w:rsid w:val="00491078"/>
    <w:rsid w:val="00491661"/>
    <w:rsid w:val="004918EE"/>
    <w:rsid w:val="00491C7B"/>
    <w:rsid w:val="00492160"/>
    <w:rsid w:val="00492B29"/>
    <w:rsid w:val="00493266"/>
    <w:rsid w:val="00494474"/>
    <w:rsid w:val="00495A1E"/>
    <w:rsid w:val="00495B13"/>
    <w:rsid w:val="004962A8"/>
    <w:rsid w:val="00496742"/>
    <w:rsid w:val="00496976"/>
    <w:rsid w:val="00496A1D"/>
    <w:rsid w:val="00496A5F"/>
    <w:rsid w:val="00497313"/>
    <w:rsid w:val="004A1408"/>
    <w:rsid w:val="004A18C8"/>
    <w:rsid w:val="004A1BE4"/>
    <w:rsid w:val="004A1EB0"/>
    <w:rsid w:val="004A2717"/>
    <w:rsid w:val="004A3269"/>
    <w:rsid w:val="004A3960"/>
    <w:rsid w:val="004A3BC2"/>
    <w:rsid w:val="004A3D87"/>
    <w:rsid w:val="004A4BFC"/>
    <w:rsid w:val="004A5358"/>
    <w:rsid w:val="004A6101"/>
    <w:rsid w:val="004A6987"/>
    <w:rsid w:val="004A6DF8"/>
    <w:rsid w:val="004A6FAE"/>
    <w:rsid w:val="004A7A52"/>
    <w:rsid w:val="004B0532"/>
    <w:rsid w:val="004B0C53"/>
    <w:rsid w:val="004B0CEB"/>
    <w:rsid w:val="004B0DF2"/>
    <w:rsid w:val="004B1E1C"/>
    <w:rsid w:val="004B3531"/>
    <w:rsid w:val="004B41BC"/>
    <w:rsid w:val="004B44E8"/>
    <w:rsid w:val="004B5FCB"/>
    <w:rsid w:val="004B6007"/>
    <w:rsid w:val="004B66A8"/>
    <w:rsid w:val="004B7920"/>
    <w:rsid w:val="004C04F1"/>
    <w:rsid w:val="004C0C3F"/>
    <w:rsid w:val="004C1370"/>
    <w:rsid w:val="004C164B"/>
    <w:rsid w:val="004C19FD"/>
    <w:rsid w:val="004C1E14"/>
    <w:rsid w:val="004C2B60"/>
    <w:rsid w:val="004C385A"/>
    <w:rsid w:val="004C3A2D"/>
    <w:rsid w:val="004C4206"/>
    <w:rsid w:val="004C4EB4"/>
    <w:rsid w:val="004C52D2"/>
    <w:rsid w:val="004C5884"/>
    <w:rsid w:val="004C6FEA"/>
    <w:rsid w:val="004D09F6"/>
    <w:rsid w:val="004D18C3"/>
    <w:rsid w:val="004D2130"/>
    <w:rsid w:val="004D219C"/>
    <w:rsid w:val="004D2699"/>
    <w:rsid w:val="004D3477"/>
    <w:rsid w:val="004D3A67"/>
    <w:rsid w:val="004D415F"/>
    <w:rsid w:val="004D43D9"/>
    <w:rsid w:val="004D4975"/>
    <w:rsid w:val="004D5859"/>
    <w:rsid w:val="004D5BD3"/>
    <w:rsid w:val="004D7FAC"/>
    <w:rsid w:val="004E018E"/>
    <w:rsid w:val="004E021A"/>
    <w:rsid w:val="004E060F"/>
    <w:rsid w:val="004E06E8"/>
    <w:rsid w:val="004E0A6A"/>
    <w:rsid w:val="004E1841"/>
    <w:rsid w:val="004E234E"/>
    <w:rsid w:val="004E23DA"/>
    <w:rsid w:val="004E2C14"/>
    <w:rsid w:val="004E4BE9"/>
    <w:rsid w:val="004E5480"/>
    <w:rsid w:val="004E598E"/>
    <w:rsid w:val="004E7F53"/>
    <w:rsid w:val="004E7FB6"/>
    <w:rsid w:val="004F0458"/>
    <w:rsid w:val="004F09FC"/>
    <w:rsid w:val="004F0C5D"/>
    <w:rsid w:val="004F0EA3"/>
    <w:rsid w:val="004F12F3"/>
    <w:rsid w:val="004F1BA3"/>
    <w:rsid w:val="004F2C75"/>
    <w:rsid w:val="004F2DF8"/>
    <w:rsid w:val="004F3229"/>
    <w:rsid w:val="004F4143"/>
    <w:rsid w:val="004F6A97"/>
    <w:rsid w:val="004F71AE"/>
    <w:rsid w:val="004F7F0F"/>
    <w:rsid w:val="005000C7"/>
    <w:rsid w:val="00501049"/>
    <w:rsid w:val="00502E95"/>
    <w:rsid w:val="005032F6"/>
    <w:rsid w:val="0050345E"/>
    <w:rsid w:val="005035DF"/>
    <w:rsid w:val="00504177"/>
    <w:rsid w:val="00504BC6"/>
    <w:rsid w:val="00505335"/>
    <w:rsid w:val="005058BB"/>
    <w:rsid w:val="00505E62"/>
    <w:rsid w:val="00505ECE"/>
    <w:rsid w:val="00506CDC"/>
    <w:rsid w:val="00506EE0"/>
    <w:rsid w:val="00507620"/>
    <w:rsid w:val="00511132"/>
    <w:rsid w:val="005130ED"/>
    <w:rsid w:val="005133F4"/>
    <w:rsid w:val="0051380B"/>
    <w:rsid w:val="00514174"/>
    <w:rsid w:val="00515D1C"/>
    <w:rsid w:val="00516651"/>
    <w:rsid w:val="005176B5"/>
    <w:rsid w:val="0051797D"/>
    <w:rsid w:val="00520691"/>
    <w:rsid w:val="00520D44"/>
    <w:rsid w:val="005213BD"/>
    <w:rsid w:val="005217F7"/>
    <w:rsid w:val="0052193B"/>
    <w:rsid w:val="005223AE"/>
    <w:rsid w:val="00522953"/>
    <w:rsid w:val="00522B8E"/>
    <w:rsid w:val="00523009"/>
    <w:rsid w:val="005230C3"/>
    <w:rsid w:val="00523749"/>
    <w:rsid w:val="00523C34"/>
    <w:rsid w:val="0052576E"/>
    <w:rsid w:val="00525964"/>
    <w:rsid w:val="00525D16"/>
    <w:rsid w:val="005264AA"/>
    <w:rsid w:val="00526856"/>
    <w:rsid w:val="00527E73"/>
    <w:rsid w:val="005305D9"/>
    <w:rsid w:val="005309DE"/>
    <w:rsid w:val="00531FED"/>
    <w:rsid w:val="005321AE"/>
    <w:rsid w:val="005322CA"/>
    <w:rsid w:val="00532CDE"/>
    <w:rsid w:val="0053301D"/>
    <w:rsid w:val="00534178"/>
    <w:rsid w:val="0053433B"/>
    <w:rsid w:val="005353BC"/>
    <w:rsid w:val="00535AD3"/>
    <w:rsid w:val="00535FDD"/>
    <w:rsid w:val="00540141"/>
    <w:rsid w:val="005408AC"/>
    <w:rsid w:val="00540A00"/>
    <w:rsid w:val="00541236"/>
    <w:rsid w:val="00541497"/>
    <w:rsid w:val="00541699"/>
    <w:rsid w:val="0054170A"/>
    <w:rsid w:val="00542071"/>
    <w:rsid w:val="00542147"/>
    <w:rsid w:val="00542CE8"/>
    <w:rsid w:val="00542E55"/>
    <w:rsid w:val="00543ADE"/>
    <w:rsid w:val="00544025"/>
    <w:rsid w:val="00544823"/>
    <w:rsid w:val="005462D4"/>
    <w:rsid w:val="00546C3B"/>
    <w:rsid w:val="00547F74"/>
    <w:rsid w:val="00547F76"/>
    <w:rsid w:val="005509D2"/>
    <w:rsid w:val="00550BAF"/>
    <w:rsid w:val="00551908"/>
    <w:rsid w:val="00551AD2"/>
    <w:rsid w:val="00552196"/>
    <w:rsid w:val="0055259A"/>
    <w:rsid w:val="00552E48"/>
    <w:rsid w:val="00553066"/>
    <w:rsid w:val="005534C8"/>
    <w:rsid w:val="00553A0E"/>
    <w:rsid w:val="00553CE8"/>
    <w:rsid w:val="00553F3F"/>
    <w:rsid w:val="005544FE"/>
    <w:rsid w:val="00554A4B"/>
    <w:rsid w:val="00554A71"/>
    <w:rsid w:val="0055524B"/>
    <w:rsid w:val="0055598B"/>
    <w:rsid w:val="00556C6D"/>
    <w:rsid w:val="00556D20"/>
    <w:rsid w:val="005570F8"/>
    <w:rsid w:val="00557DF2"/>
    <w:rsid w:val="00563586"/>
    <w:rsid w:val="00564E44"/>
    <w:rsid w:val="0056575F"/>
    <w:rsid w:val="00567719"/>
    <w:rsid w:val="005679F3"/>
    <w:rsid w:val="00570934"/>
    <w:rsid w:val="00571623"/>
    <w:rsid w:val="00571747"/>
    <w:rsid w:val="005730DD"/>
    <w:rsid w:val="00574B3F"/>
    <w:rsid w:val="00574F8E"/>
    <w:rsid w:val="00575C4F"/>
    <w:rsid w:val="00580033"/>
    <w:rsid w:val="00581542"/>
    <w:rsid w:val="00581AFE"/>
    <w:rsid w:val="0058244F"/>
    <w:rsid w:val="00583317"/>
    <w:rsid w:val="00583A6D"/>
    <w:rsid w:val="00583D77"/>
    <w:rsid w:val="005843D5"/>
    <w:rsid w:val="00585ABF"/>
    <w:rsid w:val="00585BCD"/>
    <w:rsid w:val="0058619D"/>
    <w:rsid w:val="00586351"/>
    <w:rsid w:val="005863F5"/>
    <w:rsid w:val="005867B6"/>
    <w:rsid w:val="00586E00"/>
    <w:rsid w:val="00586EA0"/>
    <w:rsid w:val="00587159"/>
    <w:rsid w:val="00590406"/>
    <w:rsid w:val="00591ED6"/>
    <w:rsid w:val="005920A2"/>
    <w:rsid w:val="005929A3"/>
    <w:rsid w:val="0059300E"/>
    <w:rsid w:val="00593E33"/>
    <w:rsid w:val="00593E67"/>
    <w:rsid w:val="00594121"/>
    <w:rsid w:val="00594255"/>
    <w:rsid w:val="00594547"/>
    <w:rsid w:val="005946B4"/>
    <w:rsid w:val="00594D5D"/>
    <w:rsid w:val="00596368"/>
    <w:rsid w:val="00596F47"/>
    <w:rsid w:val="0059799F"/>
    <w:rsid w:val="005A0FE8"/>
    <w:rsid w:val="005A0FFE"/>
    <w:rsid w:val="005A1F5F"/>
    <w:rsid w:val="005A2F68"/>
    <w:rsid w:val="005A2F9E"/>
    <w:rsid w:val="005A3770"/>
    <w:rsid w:val="005A4911"/>
    <w:rsid w:val="005A497A"/>
    <w:rsid w:val="005A5601"/>
    <w:rsid w:val="005A64E8"/>
    <w:rsid w:val="005A71F6"/>
    <w:rsid w:val="005A7A93"/>
    <w:rsid w:val="005A7B89"/>
    <w:rsid w:val="005B028B"/>
    <w:rsid w:val="005B06EE"/>
    <w:rsid w:val="005B0AB1"/>
    <w:rsid w:val="005B0B38"/>
    <w:rsid w:val="005B0D8E"/>
    <w:rsid w:val="005B2D3E"/>
    <w:rsid w:val="005B33DB"/>
    <w:rsid w:val="005B41E7"/>
    <w:rsid w:val="005B46DE"/>
    <w:rsid w:val="005B50D8"/>
    <w:rsid w:val="005B6B7B"/>
    <w:rsid w:val="005B6EB5"/>
    <w:rsid w:val="005C0132"/>
    <w:rsid w:val="005C0335"/>
    <w:rsid w:val="005C06ED"/>
    <w:rsid w:val="005C1652"/>
    <w:rsid w:val="005C2074"/>
    <w:rsid w:val="005C316C"/>
    <w:rsid w:val="005C4138"/>
    <w:rsid w:val="005C46EB"/>
    <w:rsid w:val="005C47B6"/>
    <w:rsid w:val="005C4C97"/>
    <w:rsid w:val="005C5445"/>
    <w:rsid w:val="005C54F9"/>
    <w:rsid w:val="005C5A43"/>
    <w:rsid w:val="005C6D73"/>
    <w:rsid w:val="005C7149"/>
    <w:rsid w:val="005C734C"/>
    <w:rsid w:val="005C7984"/>
    <w:rsid w:val="005D01A9"/>
    <w:rsid w:val="005D06D1"/>
    <w:rsid w:val="005D0A4A"/>
    <w:rsid w:val="005D15C6"/>
    <w:rsid w:val="005D19FD"/>
    <w:rsid w:val="005D241E"/>
    <w:rsid w:val="005D37D4"/>
    <w:rsid w:val="005D4118"/>
    <w:rsid w:val="005D4B1C"/>
    <w:rsid w:val="005D50F5"/>
    <w:rsid w:val="005D5461"/>
    <w:rsid w:val="005D5855"/>
    <w:rsid w:val="005D5D15"/>
    <w:rsid w:val="005D5F81"/>
    <w:rsid w:val="005D72DC"/>
    <w:rsid w:val="005E024F"/>
    <w:rsid w:val="005E02BF"/>
    <w:rsid w:val="005E0C8F"/>
    <w:rsid w:val="005E2507"/>
    <w:rsid w:val="005E27CD"/>
    <w:rsid w:val="005E3BB5"/>
    <w:rsid w:val="005E5073"/>
    <w:rsid w:val="005E5092"/>
    <w:rsid w:val="005E5714"/>
    <w:rsid w:val="005E748D"/>
    <w:rsid w:val="005E7E76"/>
    <w:rsid w:val="005F4983"/>
    <w:rsid w:val="005F502D"/>
    <w:rsid w:val="005F5102"/>
    <w:rsid w:val="005F55B4"/>
    <w:rsid w:val="005F56DC"/>
    <w:rsid w:val="005F57F1"/>
    <w:rsid w:val="005F60A7"/>
    <w:rsid w:val="005F7472"/>
    <w:rsid w:val="005F7D93"/>
    <w:rsid w:val="006014CE"/>
    <w:rsid w:val="00601517"/>
    <w:rsid w:val="00601FF1"/>
    <w:rsid w:val="00602492"/>
    <w:rsid w:val="0060263E"/>
    <w:rsid w:val="00603315"/>
    <w:rsid w:val="00603D4B"/>
    <w:rsid w:val="00604949"/>
    <w:rsid w:val="0060658F"/>
    <w:rsid w:val="00610305"/>
    <w:rsid w:val="00610A70"/>
    <w:rsid w:val="00610FD1"/>
    <w:rsid w:val="00612321"/>
    <w:rsid w:val="006129BA"/>
    <w:rsid w:val="00612EF7"/>
    <w:rsid w:val="0061395E"/>
    <w:rsid w:val="0061632E"/>
    <w:rsid w:val="0061747F"/>
    <w:rsid w:val="00617963"/>
    <w:rsid w:val="00617A0C"/>
    <w:rsid w:val="00617D9F"/>
    <w:rsid w:val="00620DE3"/>
    <w:rsid w:val="00621119"/>
    <w:rsid w:val="00621D50"/>
    <w:rsid w:val="006225D3"/>
    <w:rsid w:val="0062353D"/>
    <w:rsid w:val="006235F6"/>
    <w:rsid w:val="0062392F"/>
    <w:rsid w:val="00623D1E"/>
    <w:rsid w:val="006247A2"/>
    <w:rsid w:val="00624F0E"/>
    <w:rsid w:val="00625374"/>
    <w:rsid w:val="00625B2F"/>
    <w:rsid w:val="00626302"/>
    <w:rsid w:val="006276FB"/>
    <w:rsid w:val="00627EF0"/>
    <w:rsid w:val="00630489"/>
    <w:rsid w:val="00630732"/>
    <w:rsid w:val="00630AB7"/>
    <w:rsid w:val="00630D39"/>
    <w:rsid w:val="00631012"/>
    <w:rsid w:val="006316FF"/>
    <w:rsid w:val="006333E8"/>
    <w:rsid w:val="006337B5"/>
    <w:rsid w:val="006338A1"/>
    <w:rsid w:val="0063448D"/>
    <w:rsid w:val="00634DB9"/>
    <w:rsid w:val="00635DAD"/>
    <w:rsid w:val="00635EE7"/>
    <w:rsid w:val="006365EB"/>
    <w:rsid w:val="00636ED7"/>
    <w:rsid w:val="0063750A"/>
    <w:rsid w:val="0064060C"/>
    <w:rsid w:val="00642361"/>
    <w:rsid w:val="00642372"/>
    <w:rsid w:val="00643925"/>
    <w:rsid w:val="00643DA7"/>
    <w:rsid w:val="00644DDF"/>
    <w:rsid w:val="00645DCE"/>
    <w:rsid w:val="006461AB"/>
    <w:rsid w:val="00646C5A"/>
    <w:rsid w:val="00646E7C"/>
    <w:rsid w:val="006513B3"/>
    <w:rsid w:val="00652A78"/>
    <w:rsid w:val="00652A8F"/>
    <w:rsid w:val="00653581"/>
    <w:rsid w:val="006535E6"/>
    <w:rsid w:val="00653A10"/>
    <w:rsid w:val="00653A24"/>
    <w:rsid w:val="00653E50"/>
    <w:rsid w:val="0065483C"/>
    <w:rsid w:val="006551BA"/>
    <w:rsid w:val="006553A6"/>
    <w:rsid w:val="00655A1E"/>
    <w:rsid w:val="00655AAE"/>
    <w:rsid w:val="00655AE7"/>
    <w:rsid w:val="0065636A"/>
    <w:rsid w:val="006568FC"/>
    <w:rsid w:val="00657426"/>
    <w:rsid w:val="00660568"/>
    <w:rsid w:val="0066092E"/>
    <w:rsid w:val="00661082"/>
    <w:rsid w:val="006613A5"/>
    <w:rsid w:val="006613D4"/>
    <w:rsid w:val="006617B7"/>
    <w:rsid w:val="006628AC"/>
    <w:rsid w:val="00662E88"/>
    <w:rsid w:val="00663483"/>
    <w:rsid w:val="0066388E"/>
    <w:rsid w:val="00664C63"/>
    <w:rsid w:val="0066595F"/>
    <w:rsid w:val="006659BF"/>
    <w:rsid w:val="00665B29"/>
    <w:rsid w:val="00666056"/>
    <w:rsid w:val="006660DB"/>
    <w:rsid w:val="006675E5"/>
    <w:rsid w:val="006701B8"/>
    <w:rsid w:val="006703CA"/>
    <w:rsid w:val="00670563"/>
    <w:rsid w:val="00670730"/>
    <w:rsid w:val="00670BC0"/>
    <w:rsid w:val="00671A3E"/>
    <w:rsid w:val="00673646"/>
    <w:rsid w:val="00673CDA"/>
    <w:rsid w:val="0067400B"/>
    <w:rsid w:val="006744D1"/>
    <w:rsid w:val="00674802"/>
    <w:rsid w:val="0067490E"/>
    <w:rsid w:val="006749A2"/>
    <w:rsid w:val="00674BED"/>
    <w:rsid w:val="00674ECD"/>
    <w:rsid w:val="006756EA"/>
    <w:rsid w:val="00675C2C"/>
    <w:rsid w:val="00676274"/>
    <w:rsid w:val="00676354"/>
    <w:rsid w:val="00676CE0"/>
    <w:rsid w:val="00680845"/>
    <w:rsid w:val="00681B82"/>
    <w:rsid w:val="00681E5A"/>
    <w:rsid w:val="00682541"/>
    <w:rsid w:val="00682E11"/>
    <w:rsid w:val="00683C72"/>
    <w:rsid w:val="00684A76"/>
    <w:rsid w:val="00684B92"/>
    <w:rsid w:val="00687108"/>
    <w:rsid w:val="00687D64"/>
    <w:rsid w:val="00690599"/>
    <w:rsid w:val="006909AB"/>
    <w:rsid w:val="00691CB0"/>
    <w:rsid w:val="00691FFA"/>
    <w:rsid w:val="00692CF6"/>
    <w:rsid w:val="00693662"/>
    <w:rsid w:val="006939A6"/>
    <w:rsid w:val="00693BF9"/>
    <w:rsid w:val="006957DB"/>
    <w:rsid w:val="00696828"/>
    <w:rsid w:val="00697051"/>
    <w:rsid w:val="0069734C"/>
    <w:rsid w:val="006976F0"/>
    <w:rsid w:val="006979B6"/>
    <w:rsid w:val="006A02E6"/>
    <w:rsid w:val="006A083A"/>
    <w:rsid w:val="006A1AEB"/>
    <w:rsid w:val="006A1BE1"/>
    <w:rsid w:val="006A1CC9"/>
    <w:rsid w:val="006A1FDB"/>
    <w:rsid w:val="006A37E7"/>
    <w:rsid w:val="006A3C04"/>
    <w:rsid w:val="006A47DF"/>
    <w:rsid w:val="006A48F4"/>
    <w:rsid w:val="006A4BA7"/>
    <w:rsid w:val="006A5B69"/>
    <w:rsid w:val="006A6C03"/>
    <w:rsid w:val="006B022B"/>
    <w:rsid w:val="006B02A8"/>
    <w:rsid w:val="006B0351"/>
    <w:rsid w:val="006B1A1A"/>
    <w:rsid w:val="006B2BA3"/>
    <w:rsid w:val="006B2E6B"/>
    <w:rsid w:val="006B2EE9"/>
    <w:rsid w:val="006B59E9"/>
    <w:rsid w:val="006B62AE"/>
    <w:rsid w:val="006B635D"/>
    <w:rsid w:val="006B6FBE"/>
    <w:rsid w:val="006B7B45"/>
    <w:rsid w:val="006B7B7E"/>
    <w:rsid w:val="006C0160"/>
    <w:rsid w:val="006C01AF"/>
    <w:rsid w:val="006C1A26"/>
    <w:rsid w:val="006C1EEB"/>
    <w:rsid w:val="006C3ACC"/>
    <w:rsid w:val="006C3FD2"/>
    <w:rsid w:val="006C483B"/>
    <w:rsid w:val="006C4841"/>
    <w:rsid w:val="006C6024"/>
    <w:rsid w:val="006C6271"/>
    <w:rsid w:val="006C634C"/>
    <w:rsid w:val="006C6A76"/>
    <w:rsid w:val="006C73C9"/>
    <w:rsid w:val="006C7F3C"/>
    <w:rsid w:val="006C7F4F"/>
    <w:rsid w:val="006D0BAF"/>
    <w:rsid w:val="006D0D74"/>
    <w:rsid w:val="006D21B7"/>
    <w:rsid w:val="006D2E88"/>
    <w:rsid w:val="006D3B03"/>
    <w:rsid w:val="006D4211"/>
    <w:rsid w:val="006D4577"/>
    <w:rsid w:val="006D54D3"/>
    <w:rsid w:val="006D57FF"/>
    <w:rsid w:val="006D584E"/>
    <w:rsid w:val="006D5EC2"/>
    <w:rsid w:val="006D6360"/>
    <w:rsid w:val="006D6520"/>
    <w:rsid w:val="006D6E3F"/>
    <w:rsid w:val="006D7877"/>
    <w:rsid w:val="006D7F31"/>
    <w:rsid w:val="006E006B"/>
    <w:rsid w:val="006E1891"/>
    <w:rsid w:val="006E3538"/>
    <w:rsid w:val="006E4A76"/>
    <w:rsid w:val="006E4BAB"/>
    <w:rsid w:val="006E52AE"/>
    <w:rsid w:val="006E5BB7"/>
    <w:rsid w:val="006E5C4F"/>
    <w:rsid w:val="006E6007"/>
    <w:rsid w:val="006E6EAE"/>
    <w:rsid w:val="006E6FF7"/>
    <w:rsid w:val="006E7054"/>
    <w:rsid w:val="006E7956"/>
    <w:rsid w:val="006F0026"/>
    <w:rsid w:val="006F062E"/>
    <w:rsid w:val="006F0CDB"/>
    <w:rsid w:val="006F1B9B"/>
    <w:rsid w:val="006F23E9"/>
    <w:rsid w:val="006F259A"/>
    <w:rsid w:val="006F25E5"/>
    <w:rsid w:val="006F29B7"/>
    <w:rsid w:val="006F31E1"/>
    <w:rsid w:val="006F3497"/>
    <w:rsid w:val="006F41DA"/>
    <w:rsid w:val="006F48EF"/>
    <w:rsid w:val="006F52CB"/>
    <w:rsid w:val="006F572A"/>
    <w:rsid w:val="006F57DE"/>
    <w:rsid w:val="006F614A"/>
    <w:rsid w:val="006F70F7"/>
    <w:rsid w:val="007000A5"/>
    <w:rsid w:val="007003AA"/>
    <w:rsid w:val="0070047A"/>
    <w:rsid w:val="00700833"/>
    <w:rsid w:val="00702685"/>
    <w:rsid w:val="00702A32"/>
    <w:rsid w:val="00704F5D"/>
    <w:rsid w:val="00705A48"/>
    <w:rsid w:val="00705BA0"/>
    <w:rsid w:val="00706050"/>
    <w:rsid w:val="00706850"/>
    <w:rsid w:val="0070721E"/>
    <w:rsid w:val="0070742B"/>
    <w:rsid w:val="00707BA5"/>
    <w:rsid w:val="00710789"/>
    <w:rsid w:val="007107B9"/>
    <w:rsid w:val="00710A58"/>
    <w:rsid w:val="00710DF2"/>
    <w:rsid w:val="007118B8"/>
    <w:rsid w:val="0071206F"/>
    <w:rsid w:val="00712B60"/>
    <w:rsid w:val="0071504F"/>
    <w:rsid w:val="00715E14"/>
    <w:rsid w:val="00716DA7"/>
    <w:rsid w:val="007171CA"/>
    <w:rsid w:val="00717CC9"/>
    <w:rsid w:val="00720006"/>
    <w:rsid w:val="007206DD"/>
    <w:rsid w:val="0072085F"/>
    <w:rsid w:val="00720909"/>
    <w:rsid w:val="00720C30"/>
    <w:rsid w:val="00721CD1"/>
    <w:rsid w:val="00723970"/>
    <w:rsid w:val="007247A6"/>
    <w:rsid w:val="00725203"/>
    <w:rsid w:val="00725BBE"/>
    <w:rsid w:val="00727342"/>
    <w:rsid w:val="00727D0E"/>
    <w:rsid w:val="00727F01"/>
    <w:rsid w:val="007307AA"/>
    <w:rsid w:val="007319CB"/>
    <w:rsid w:val="0073248F"/>
    <w:rsid w:val="007324D4"/>
    <w:rsid w:val="00732911"/>
    <w:rsid w:val="00732BF7"/>
    <w:rsid w:val="00733D53"/>
    <w:rsid w:val="00734626"/>
    <w:rsid w:val="00735361"/>
    <w:rsid w:val="007354D8"/>
    <w:rsid w:val="00735BA0"/>
    <w:rsid w:val="00735DDF"/>
    <w:rsid w:val="007368C2"/>
    <w:rsid w:val="00736B89"/>
    <w:rsid w:val="00736D7B"/>
    <w:rsid w:val="0073711D"/>
    <w:rsid w:val="00737FD3"/>
    <w:rsid w:val="007411D6"/>
    <w:rsid w:val="00741587"/>
    <w:rsid w:val="00741C6C"/>
    <w:rsid w:val="0074210F"/>
    <w:rsid w:val="007422CF"/>
    <w:rsid w:val="00743315"/>
    <w:rsid w:val="00743AD9"/>
    <w:rsid w:val="00743F7B"/>
    <w:rsid w:val="00744335"/>
    <w:rsid w:val="00744A48"/>
    <w:rsid w:val="00745262"/>
    <w:rsid w:val="00745E1D"/>
    <w:rsid w:val="00746FDE"/>
    <w:rsid w:val="007470B9"/>
    <w:rsid w:val="0074758D"/>
    <w:rsid w:val="007476C1"/>
    <w:rsid w:val="00750678"/>
    <w:rsid w:val="00750B45"/>
    <w:rsid w:val="00750F14"/>
    <w:rsid w:val="007511CC"/>
    <w:rsid w:val="00751443"/>
    <w:rsid w:val="00751721"/>
    <w:rsid w:val="00751A55"/>
    <w:rsid w:val="00752089"/>
    <w:rsid w:val="007531A0"/>
    <w:rsid w:val="00753736"/>
    <w:rsid w:val="00754352"/>
    <w:rsid w:val="00754AA7"/>
    <w:rsid w:val="0075647A"/>
    <w:rsid w:val="007568DC"/>
    <w:rsid w:val="00756C35"/>
    <w:rsid w:val="00757582"/>
    <w:rsid w:val="00761E57"/>
    <w:rsid w:val="00763236"/>
    <w:rsid w:val="00763817"/>
    <w:rsid w:val="00763C39"/>
    <w:rsid w:val="00763EE0"/>
    <w:rsid w:val="007643C0"/>
    <w:rsid w:val="00765A36"/>
    <w:rsid w:val="007661D2"/>
    <w:rsid w:val="00767D58"/>
    <w:rsid w:val="007706FD"/>
    <w:rsid w:val="00770801"/>
    <w:rsid w:val="00771CD0"/>
    <w:rsid w:val="00772337"/>
    <w:rsid w:val="00774621"/>
    <w:rsid w:val="00774690"/>
    <w:rsid w:val="00774805"/>
    <w:rsid w:val="0077654B"/>
    <w:rsid w:val="00776E22"/>
    <w:rsid w:val="00781F7D"/>
    <w:rsid w:val="00782073"/>
    <w:rsid w:val="00783530"/>
    <w:rsid w:val="007844C8"/>
    <w:rsid w:val="0078467D"/>
    <w:rsid w:val="007850DE"/>
    <w:rsid w:val="00787C48"/>
    <w:rsid w:val="0079093A"/>
    <w:rsid w:val="00791133"/>
    <w:rsid w:val="00791143"/>
    <w:rsid w:val="00792223"/>
    <w:rsid w:val="00792C03"/>
    <w:rsid w:val="00792D10"/>
    <w:rsid w:val="00793944"/>
    <w:rsid w:val="00793B10"/>
    <w:rsid w:val="007946AF"/>
    <w:rsid w:val="007959B8"/>
    <w:rsid w:val="00795A01"/>
    <w:rsid w:val="00796717"/>
    <w:rsid w:val="00796C3B"/>
    <w:rsid w:val="00797351"/>
    <w:rsid w:val="0079743D"/>
    <w:rsid w:val="00797772"/>
    <w:rsid w:val="00797DA2"/>
    <w:rsid w:val="007A1530"/>
    <w:rsid w:val="007A17F1"/>
    <w:rsid w:val="007A1859"/>
    <w:rsid w:val="007A27A6"/>
    <w:rsid w:val="007A38B9"/>
    <w:rsid w:val="007A4FCA"/>
    <w:rsid w:val="007A519B"/>
    <w:rsid w:val="007A5FED"/>
    <w:rsid w:val="007A7CFF"/>
    <w:rsid w:val="007A7D90"/>
    <w:rsid w:val="007B0039"/>
    <w:rsid w:val="007B01CF"/>
    <w:rsid w:val="007B1446"/>
    <w:rsid w:val="007B150C"/>
    <w:rsid w:val="007B3CEF"/>
    <w:rsid w:val="007B4D5C"/>
    <w:rsid w:val="007B4FFD"/>
    <w:rsid w:val="007B590C"/>
    <w:rsid w:val="007B60BD"/>
    <w:rsid w:val="007B7A92"/>
    <w:rsid w:val="007B7E9F"/>
    <w:rsid w:val="007C0C12"/>
    <w:rsid w:val="007C12E8"/>
    <w:rsid w:val="007C2CB2"/>
    <w:rsid w:val="007C2E23"/>
    <w:rsid w:val="007C3139"/>
    <w:rsid w:val="007C3565"/>
    <w:rsid w:val="007C42BB"/>
    <w:rsid w:val="007C45CA"/>
    <w:rsid w:val="007C46A0"/>
    <w:rsid w:val="007C5070"/>
    <w:rsid w:val="007C663D"/>
    <w:rsid w:val="007D008E"/>
    <w:rsid w:val="007D07C4"/>
    <w:rsid w:val="007D0AF0"/>
    <w:rsid w:val="007D224B"/>
    <w:rsid w:val="007D4E85"/>
    <w:rsid w:val="007D50EF"/>
    <w:rsid w:val="007D69E1"/>
    <w:rsid w:val="007D6A1E"/>
    <w:rsid w:val="007E0064"/>
    <w:rsid w:val="007E04A2"/>
    <w:rsid w:val="007E09E9"/>
    <w:rsid w:val="007E0A8F"/>
    <w:rsid w:val="007E0B3E"/>
    <w:rsid w:val="007E12A2"/>
    <w:rsid w:val="007E12D3"/>
    <w:rsid w:val="007E13EB"/>
    <w:rsid w:val="007E2155"/>
    <w:rsid w:val="007E3446"/>
    <w:rsid w:val="007E4D1E"/>
    <w:rsid w:val="007E66D0"/>
    <w:rsid w:val="007E6835"/>
    <w:rsid w:val="007E6F46"/>
    <w:rsid w:val="007F04B2"/>
    <w:rsid w:val="007F1DAE"/>
    <w:rsid w:val="007F24B9"/>
    <w:rsid w:val="007F26C7"/>
    <w:rsid w:val="007F3388"/>
    <w:rsid w:val="007F347D"/>
    <w:rsid w:val="007F3571"/>
    <w:rsid w:val="007F497A"/>
    <w:rsid w:val="007F4D6C"/>
    <w:rsid w:val="007F5CF0"/>
    <w:rsid w:val="007F5DC6"/>
    <w:rsid w:val="007F5EAC"/>
    <w:rsid w:val="007F6251"/>
    <w:rsid w:val="007F6461"/>
    <w:rsid w:val="007F6BAE"/>
    <w:rsid w:val="007F7B5C"/>
    <w:rsid w:val="007F7D2F"/>
    <w:rsid w:val="00801B8F"/>
    <w:rsid w:val="0080256F"/>
    <w:rsid w:val="00802BF1"/>
    <w:rsid w:val="00802FF1"/>
    <w:rsid w:val="008034DB"/>
    <w:rsid w:val="008041E6"/>
    <w:rsid w:val="008041FF"/>
    <w:rsid w:val="00806471"/>
    <w:rsid w:val="00807263"/>
    <w:rsid w:val="0080751A"/>
    <w:rsid w:val="0080752D"/>
    <w:rsid w:val="00807F81"/>
    <w:rsid w:val="008123CB"/>
    <w:rsid w:val="00812892"/>
    <w:rsid w:val="008129F2"/>
    <w:rsid w:val="008137C4"/>
    <w:rsid w:val="00813B83"/>
    <w:rsid w:val="008150EA"/>
    <w:rsid w:val="0081516B"/>
    <w:rsid w:val="00815355"/>
    <w:rsid w:val="00815EF5"/>
    <w:rsid w:val="00816175"/>
    <w:rsid w:val="00816809"/>
    <w:rsid w:val="00817C2F"/>
    <w:rsid w:val="00820059"/>
    <w:rsid w:val="00820AAF"/>
    <w:rsid w:val="00820D3A"/>
    <w:rsid w:val="00821900"/>
    <w:rsid w:val="00821A21"/>
    <w:rsid w:val="00821B0A"/>
    <w:rsid w:val="00821D52"/>
    <w:rsid w:val="00822140"/>
    <w:rsid w:val="00822285"/>
    <w:rsid w:val="00822350"/>
    <w:rsid w:val="008228D5"/>
    <w:rsid w:val="00823081"/>
    <w:rsid w:val="0082315F"/>
    <w:rsid w:val="0082471D"/>
    <w:rsid w:val="00824957"/>
    <w:rsid w:val="00824986"/>
    <w:rsid w:val="00824FA1"/>
    <w:rsid w:val="00825E5A"/>
    <w:rsid w:val="0082623F"/>
    <w:rsid w:val="0082649C"/>
    <w:rsid w:val="00827A57"/>
    <w:rsid w:val="00830BFA"/>
    <w:rsid w:val="008318D7"/>
    <w:rsid w:val="0083217B"/>
    <w:rsid w:val="00833015"/>
    <w:rsid w:val="0083304A"/>
    <w:rsid w:val="0083382A"/>
    <w:rsid w:val="00834071"/>
    <w:rsid w:val="0083555E"/>
    <w:rsid w:val="00837874"/>
    <w:rsid w:val="008409CC"/>
    <w:rsid w:val="00840BAF"/>
    <w:rsid w:val="00842B65"/>
    <w:rsid w:val="00842CFE"/>
    <w:rsid w:val="00843259"/>
    <w:rsid w:val="0084352C"/>
    <w:rsid w:val="00844B24"/>
    <w:rsid w:val="00845105"/>
    <w:rsid w:val="008465BB"/>
    <w:rsid w:val="008472A2"/>
    <w:rsid w:val="0085169E"/>
    <w:rsid w:val="00851C15"/>
    <w:rsid w:val="00852846"/>
    <w:rsid w:val="0085398C"/>
    <w:rsid w:val="00853EF1"/>
    <w:rsid w:val="0085419D"/>
    <w:rsid w:val="008541D3"/>
    <w:rsid w:val="0085445A"/>
    <w:rsid w:val="00854BF1"/>
    <w:rsid w:val="00855207"/>
    <w:rsid w:val="008558F8"/>
    <w:rsid w:val="00855984"/>
    <w:rsid w:val="00857C2E"/>
    <w:rsid w:val="008600F0"/>
    <w:rsid w:val="008601F7"/>
    <w:rsid w:val="00860B35"/>
    <w:rsid w:val="00861A9E"/>
    <w:rsid w:val="008626B5"/>
    <w:rsid w:val="00862CE5"/>
    <w:rsid w:val="00863D5F"/>
    <w:rsid w:val="00863E40"/>
    <w:rsid w:val="00863E6E"/>
    <w:rsid w:val="0086426F"/>
    <w:rsid w:val="008642EA"/>
    <w:rsid w:val="008648B1"/>
    <w:rsid w:val="00864CEE"/>
    <w:rsid w:val="00865929"/>
    <w:rsid w:val="00867A31"/>
    <w:rsid w:val="00870520"/>
    <w:rsid w:val="008707D7"/>
    <w:rsid w:val="00872366"/>
    <w:rsid w:val="008725E4"/>
    <w:rsid w:val="008730D2"/>
    <w:rsid w:val="00873286"/>
    <w:rsid w:val="00873657"/>
    <w:rsid w:val="0087400B"/>
    <w:rsid w:val="0087440C"/>
    <w:rsid w:val="00875114"/>
    <w:rsid w:val="008753AD"/>
    <w:rsid w:val="00875AFE"/>
    <w:rsid w:val="00875F91"/>
    <w:rsid w:val="00876985"/>
    <w:rsid w:val="00876A95"/>
    <w:rsid w:val="00877AA9"/>
    <w:rsid w:val="008801C4"/>
    <w:rsid w:val="0088027D"/>
    <w:rsid w:val="00881B29"/>
    <w:rsid w:val="00881C9D"/>
    <w:rsid w:val="00881F1B"/>
    <w:rsid w:val="00883438"/>
    <w:rsid w:val="008837C5"/>
    <w:rsid w:val="00883A24"/>
    <w:rsid w:val="00884D6F"/>
    <w:rsid w:val="00885BE9"/>
    <w:rsid w:val="008873C5"/>
    <w:rsid w:val="00887437"/>
    <w:rsid w:val="0088749C"/>
    <w:rsid w:val="00887C19"/>
    <w:rsid w:val="008903B0"/>
    <w:rsid w:val="008907D3"/>
    <w:rsid w:val="008908AD"/>
    <w:rsid w:val="0089115F"/>
    <w:rsid w:val="0089174E"/>
    <w:rsid w:val="00891E6D"/>
    <w:rsid w:val="00892127"/>
    <w:rsid w:val="00894CE2"/>
    <w:rsid w:val="00895BA7"/>
    <w:rsid w:val="00895BCD"/>
    <w:rsid w:val="00895C33"/>
    <w:rsid w:val="00895EAD"/>
    <w:rsid w:val="00895EFD"/>
    <w:rsid w:val="00896D8A"/>
    <w:rsid w:val="008A0515"/>
    <w:rsid w:val="008A054E"/>
    <w:rsid w:val="008A074C"/>
    <w:rsid w:val="008A1ED6"/>
    <w:rsid w:val="008A2539"/>
    <w:rsid w:val="008A3343"/>
    <w:rsid w:val="008A38AE"/>
    <w:rsid w:val="008A4688"/>
    <w:rsid w:val="008A4969"/>
    <w:rsid w:val="008A4A3C"/>
    <w:rsid w:val="008A5036"/>
    <w:rsid w:val="008B07B3"/>
    <w:rsid w:val="008B0BD1"/>
    <w:rsid w:val="008B0E7D"/>
    <w:rsid w:val="008B24CA"/>
    <w:rsid w:val="008B2B82"/>
    <w:rsid w:val="008B3365"/>
    <w:rsid w:val="008B4034"/>
    <w:rsid w:val="008B4602"/>
    <w:rsid w:val="008B4B6A"/>
    <w:rsid w:val="008B4D3C"/>
    <w:rsid w:val="008B5192"/>
    <w:rsid w:val="008B5D53"/>
    <w:rsid w:val="008B60E6"/>
    <w:rsid w:val="008B7F3D"/>
    <w:rsid w:val="008C1539"/>
    <w:rsid w:val="008C1962"/>
    <w:rsid w:val="008C27CF"/>
    <w:rsid w:val="008C2D32"/>
    <w:rsid w:val="008C328D"/>
    <w:rsid w:val="008C33E1"/>
    <w:rsid w:val="008C38A8"/>
    <w:rsid w:val="008C3B27"/>
    <w:rsid w:val="008C512F"/>
    <w:rsid w:val="008C5163"/>
    <w:rsid w:val="008C63C3"/>
    <w:rsid w:val="008C6539"/>
    <w:rsid w:val="008C6976"/>
    <w:rsid w:val="008C6DDF"/>
    <w:rsid w:val="008C7830"/>
    <w:rsid w:val="008C7B77"/>
    <w:rsid w:val="008D0200"/>
    <w:rsid w:val="008D159E"/>
    <w:rsid w:val="008D16E0"/>
    <w:rsid w:val="008D1912"/>
    <w:rsid w:val="008D2189"/>
    <w:rsid w:val="008D2437"/>
    <w:rsid w:val="008D29F2"/>
    <w:rsid w:val="008D3159"/>
    <w:rsid w:val="008D31C3"/>
    <w:rsid w:val="008D38AC"/>
    <w:rsid w:val="008D40EE"/>
    <w:rsid w:val="008D42DC"/>
    <w:rsid w:val="008D550E"/>
    <w:rsid w:val="008D63B1"/>
    <w:rsid w:val="008D66C1"/>
    <w:rsid w:val="008D6A6B"/>
    <w:rsid w:val="008D6F01"/>
    <w:rsid w:val="008D7D35"/>
    <w:rsid w:val="008D7E8A"/>
    <w:rsid w:val="008E0053"/>
    <w:rsid w:val="008E0D78"/>
    <w:rsid w:val="008E1411"/>
    <w:rsid w:val="008E1F21"/>
    <w:rsid w:val="008E2322"/>
    <w:rsid w:val="008E2CC2"/>
    <w:rsid w:val="008E395A"/>
    <w:rsid w:val="008E4747"/>
    <w:rsid w:val="008E4909"/>
    <w:rsid w:val="008E4B48"/>
    <w:rsid w:val="008E55B7"/>
    <w:rsid w:val="008E59F5"/>
    <w:rsid w:val="008E7596"/>
    <w:rsid w:val="008F08C7"/>
    <w:rsid w:val="008F13B6"/>
    <w:rsid w:val="008F1775"/>
    <w:rsid w:val="008F1BC5"/>
    <w:rsid w:val="008F24C6"/>
    <w:rsid w:val="008F3021"/>
    <w:rsid w:val="008F3D05"/>
    <w:rsid w:val="008F43D6"/>
    <w:rsid w:val="008F4924"/>
    <w:rsid w:val="008F56E3"/>
    <w:rsid w:val="008F58CE"/>
    <w:rsid w:val="008F598A"/>
    <w:rsid w:val="008F6E59"/>
    <w:rsid w:val="008F774C"/>
    <w:rsid w:val="008F7A5F"/>
    <w:rsid w:val="009001EE"/>
    <w:rsid w:val="00901302"/>
    <w:rsid w:val="00901BB6"/>
    <w:rsid w:val="00901F77"/>
    <w:rsid w:val="00902515"/>
    <w:rsid w:val="00902C48"/>
    <w:rsid w:val="00903C62"/>
    <w:rsid w:val="00903F0C"/>
    <w:rsid w:val="00903FCB"/>
    <w:rsid w:val="00904DC6"/>
    <w:rsid w:val="00906BFC"/>
    <w:rsid w:val="00907D56"/>
    <w:rsid w:val="00911BD4"/>
    <w:rsid w:val="0091365C"/>
    <w:rsid w:val="00913946"/>
    <w:rsid w:val="00913D35"/>
    <w:rsid w:val="00914284"/>
    <w:rsid w:val="00914D7A"/>
    <w:rsid w:val="009153D2"/>
    <w:rsid w:val="009154B3"/>
    <w:rsid w:val="00915772"/>
    <w:rsid w:val="0091608B"/>
    <w:rsid w:val="0091626F"/>
    <w:rsid w:val="00916AE8"/>
    <w:rsid w:val="0091791E"/>
    <w:rsid w:val="00917EBE"/>
    <w:rsid w:val="00920D1B"/>
    <w:rsid w:val="00921037"/>
    <w:rsid w:val="0092199A"/>
    <w:rsid w:val="0092242C"/>
    <w:rsid w:val="009224AC"/>
    <w:rsid w:val="0092291F"/>
    <w:rsid w:val="00922EDC"/>
    <w:rsid w:val="009244F2"/>
    <w:rsid w:val="009246A5"/>
    <w:rsid w:val="00925113"/>
    <w:rsid w:val="00925DE2"/>
    <w:rsid w:val="0092609D"/>
    <w:rsid w:val="00927005"/>
    <w:rsid w:val="00927329"/>
    <w:rsid w:val="00930077"/>
    <w:rsid w:val="009306E5"/>
    <w:rsid w:val="009314D7"/>
    <w:rsid w:val="009316CE"/>
    <w:rsid w:val="00934BDB"/>
    <w:rsid w:val="00934CE9"/>
    <w:rsid w:val="00935BC6"/>
    <w:rsid w:val="00936830"/>
    <w:rsid w:val="00937175"/>
    <w:rsid w:val="00937A27"/>
    <w:rsid w:val="00937CF8"/>
    <w:rsid w:val="00940DA0"/>
    <w:rsid w:val="00943DD3"/>
    <w:rsid w:val="00944989"/>
    <w:rsid w:val="00945E50"/>
    <w:rsid w:val="00946BDA"/>
    <w:rsid w:val="009477C4"/>
    <w:rsid w:val="00947C1D"/>
    <w:rsid w:val="00950C5D"/>
    <w:rsid w:val="00951836"/>
    <w:rsid w:val="0095190C"/>
    <w:rsid w:val="00953725"/>
    <w:rsid w:val="009538B8"/>
    <w:rsid w:val="00953D0D"/>
    <w:rsid w:val="009550E2"/>
    <w:rsid w:val="00955BEE"/>
    <w:rsid w:val="00955FC9"/>
    <w:rsid w:val="00956443"/>
    <w:rsid w:val="009614CE"/>
    <w:rsid w:val="00961987"/>
    <w:rsid w:val="00961AAD"/>
    <w:rsid w:val="00961B39"/>
    <w:rsid w:val="0096267E"/>
    <w:rsid w:val="00963237"/>
    <w:rsid w:val="00964891"/>
    <w:rsid w:val="009648E8"/>
    <w:rsid w:val="00964D92"/>
    <w:rsid w:val="009652DA"/>
    <w:rsid w:val="00966B08"/>
    <w:rsid w:val="00966C77"/>
    <w:rsid w:val="00966C79"/>
    <w:rsid w:val="00967120"/>
    <w:rsid w:val="00967DF4"/>
    <w:rsid w:val="00970377"/>
    <w:rsid w:val="0097107C"/>
    <w:rsid w:val="009711B9"/>
    <w:rsid w:val="00972748"/>
    <w:rsid w:val="00973F76"/>
    <w:rsid w:val="009747A6"/>
    <w:rsid w:val="00974A66"/>
    <w:rsid w:val="00974BF8"/>
    <w:rsid w:val="00974CD2"/>
    <w:rsid w:val="00975C68"/>
    <w:rsid w:val="00975FFC"/>
    <w:rsid w:val="00976DE8"/>
    <w:rsid w:val="0097759E"/>
    <w:rsid w:val="00980BD7"/>
    <w:rsid w:val="00980E55"/>
    <w:rsid w:val="0098108A"/>
    <w:rsid w:val="00981BEF"/>
    <w:rsid w:val="00981F4A"/>
    <w:rsid w:val="009820F0"/>
    <w:rsid w:val="00982614"/>
    <w:rsid w:val="00982969"/>
    <w:rsid w:val="00984710"/>
    <w:rsid w:val="00985050"/>
    <w:rsid w:val="0098584D"/>
    <w:rsid w:val="00986021"/>
    <w:rsid w:val="0098613A"/>
    <w:rsid w:val="00986DD9"/>
    <w:rsid w:val="009873F6"/>
    <w:rsid w:val="00987995"/>
    <w:rsid w:val="00991C5F"/>
    <w:rsid w:val="009926DF"/>
    <w:rsid w:val="00993575"/>
    <w:rsid w:val="00993A20"/>
    <w:rsid w:val="00994662"/>
    <w:rsid w:val="00994677"/>
    <w:rsid w:val="009946D8"/>
    <w:rsid w:val="009952FB"/>
    <w:rsid w:val="00995606"/>
    <w:rsid w:val="0099628B"/>
    <w:rsid w:val="00996F8A"/>
    <w:rsid w:val="009A10AF"/>
    <w:rsid w:val="009A25D6"/>
    <w:rsid w:val="009A532D"/>
    <w:rsid w:val="009A5414"/>
    <w:rsid w:val="009A5E8A"/>
    <w:rsid w:val="009A79DA"/>
    <w:rsid w:val="009B0854"/>
    <w:rsid w:val="009B08F5"/>
    <w:rsid w:val="009B1CD5"/>
    <w:rsid w:val="009B200B"/>
    <w:rsid w:val="009B24A5"/>
    <w:rsid w:val="009B2560"/>
    <w:rsid w:val="009B29AD"/>
    <w:rsid w:val="009B2EC2"/>
    <w:rsid w:val="009B31DB"/>
    <w:rsid w:val="009B3408"/>
    <w:rsid w:val="009B3D5A"/>
    <w:rsid w:val="009B4301"/>
    <w:rsid w:val="009B5682"/>
    <w:rsid w:val="009B72C6"/>
    <w:rsid w:val="009B730F"/>
    <w:rsid w:val="009B74D5"/>
    <w:rsid w:val="009B7D47"/>
    <w:rsid w:val="009C0034"/>
    <w:rsid w:val="009C0E52"/>
    <w:rsid w:val="009C0ECC"/>
    <w:rsid w:val="009C1BBA"/>
    <w:rsid w:val="009C1F4A"/>
    <w:rsid w:val="009C1FF0"/>
    <w:rsid w:val="009C2232"/>
    <w:rsid w:val="009C3084"/>
    <w:rsid w:val="009C312A"/>
    <w:rsid w:val="009C321A"/>
    <w:rsid w:val="009C4214"/>
    <w:rsid w:val="009C4216"/>
    <w:rsid w:val="009C5060"/>
    <w:rsid w:val="009C54DF"/>
    <w:rsid w:val="009C5B09"/>
    <w:rsid w:val="009C63AB"/>
    <w:rsid w:val="009C6AA8"/>
    <w:rsid w:val="009C74FA"/>
    <w:rsid w:val="009D0258"/>
    <w:rsid w:val="009D0684"/>
    <w:rsid w:val="009D3294"/>
    <w:rsid w:val="009D42E7"/>
    <w:rsid w:val="009D49ED"/>
    <w:rsid w:val="009D4A7B"/>
    <w:rsid w:val="009D4F12"/>
    <w:rsid w:val="009D7296"/>
    <w:rsid w:val="009D75EB"/>
    <w:rsid w:val="009D7725"/>
    <w:rsid w:val="009D78C3"/>
    <w:rsid w:val="009E07DA"/>
    <w:rsid w:val="009E160F"/>
    <w:rsid w:val="009E1BE8"/>
    <w:rsid w:val="009E2166"/>
    <w:rsid w:val="009E235B"/>
    <w:rsid w:val="009E2DD5"/>
    <w:rsid w:val="009E3869"/>
    <w:rsid w:val="009E3A81"/>
    <w:rsid w:val="009E3BFF"/>
    <w:rsid w:val="009E439C"/>
    <w:rsid w:val="009E5AC4"/>
    <w:rsid w:val="009E6096"/>
    <w:rsid w:val="009E6A48"/>
    <w:rsid w:val="009E6A73"/>
    <w:rsid w:val="009E6C36"/>
    <w:rsid w:val="009E7641"/>
    <w:rsid w:val="009F0D9B"/>
    <w:rsid w:val="009F3A36"/>
    <w:rsid w:val="009F3F48"/>
    <w:rsid w:val="009F6368"/>
    <w:rsid w:val="009F69B8"/>
    <w:rsid w:val="009F725D"/>
    <w:rsid w:val="009F76A8"/>
    <w:rsid w:val="009F78B1"/>
    <w:rsid w:val="009F7B6E"/>
    <w:rsid w:val="00A00D80"/>
    <w:rsid w:val="00A0177A"/>
    <w:rsid w:val="00A04CEC"/>
    <w:rsid w:val="00A04E86"/>
    <w:rsid w:val="00A052F6"/>
    <w:rsid w:val="00A0580B"/>
    <w:rsid w:val="00A070D6"/>
    <w:rsid w:val="00A072A3"/>
    <w:rsid w:val="00A0755D"/>
    <w:rsid w:val="00A106DC"/>
    <w:rsid w:val="00A10E92"/>
    <w:rsid w:val="00A10EA0"/>
    <w:rsid w:val="00A12484"/>
    <w:rsid w:val="00A12735"/>
    <w:rsid w:val="00A12F3F"/>
    <w:rsid w:val="00A13244"/>
    <w:rsid w:val="00A15C66"/>
    <w:rsid w:val="00A173F4"/>
    <w:rsid w:val="00A17641"/>
    <w:rsid w:val="00A17B6F"/>
    <w:rsid w:val="00A21EA6"/>
    <w:rsid w:val="00A22630"/>
    <w:rsid w:val="00A23897"/>
    <w:rsid w:val="00A23A90"/>
    <w:rsid w:val="00A25C8C"/>
    <w:rsid w:val="00A25D30"/>
    <w:rsid w:val="00A25FC1"/>
    <w:rsid w:val="00A26356"/>
    <w:rsid w:val="00A2641E"/>
    <w:rsid w:val="00A26D3E"/>
    <w:rsid w:val="00A304CB"/>
    <w:rsid w:val="00A30B55"/>
    <w:rsid w:val="00A31364"/>
    <w:rsid w:val="00A3321C"/>
    <w:rsid w:val="00A334E1"/>
    <w:rsid w:val="00A3371D"/>
    <w:rsid w:val="00A339BC"/>
    <w:rsid w:val="00A355C0"/>
    <w:rsid w:val="00A356A1"/>
    <w:rsid w:val="00A356C2"/>
    <w:rsid w:val="00A35A77"/>
    <w:rsid w:val="00A36208"/>
    <w:rsid w:val="00A36DAF"/>
    <w:rsid w:val="00A3726B"/>
    <w:rsid w:val="00A4060F"/>
    <w:rsid w:val="00A40BEE"/>
    <w:rsid w:val="00A41843"/>
    <w:rsid w:val="00A418E0"/>
    <w:rsid w:val="00A41FB8"/>
    <w:rsid w:val="00A4392D"/>
    <w:rsid w:val="00A43ABE"/>
    <w:rsid w:val="00A44B84"/>
    <w:rsid w:val="00A44FB7"/>
    <w:rsid w:val="00A4522B"/>
    <w:rsid w:val="00A45BD0"/>
    <w:rsid w:val="00A460AD"/>
    <w:rsid w:val="00A47004"/>
    <w:rsid w:val="00A47B5E"/>
    <w:rsid w:val="00A47C5A"/>
    <w:rsid w:val="00A47F42"/>
    <w:rsid w:val="00A508EF"/>
    <w:rsid w:val="00A50EF6"/>
    <w:rsid w:val="00A51B6C"/>
    <w:rsid w:val="00A51FEF"/>
    <w:rsid w:val="00A52F9D"/>
    <w:rsid w:val="00A530CC"/>
    <w:rsid w:val="00A53289"/>
    <w:rsid w:val="00A53439"/>
    <w:rsid w:val="00A5404D"/>
    <w:rsid w:val="00A5472C"/>
    <w:rsid w:val="00A54D59"/>
    <w:rsid w:val="00A566A4"/>
    <w:rsid w:val="00A56A4E"/>
    <w:rsid w:val="00A57023"/>
    <w:rsid w:val="00A57417"/>
    <w:rsid w:val="00A57587"/>
    <w:rsid w:val="00A6032A"/>
    <w:rsid w:val="00A61374"/>
    <w:rsid w:val="00A6144D"/>
    <w:rsid w:val="00A61FED"/>
    <w:rsid w:val="00A621D8"/>
    <w:rsid w:val="00A62237"/>
    <w:rsid w:val="00A63646"/>
    <w:rsid w:val="00A64B38"/>
    <w:rsid w:val="00A7074B"/>
    <w:rsid w:val="00A7089F"/>
    <w:rsid w:val="00A70B44"/>
    <w:rsid w:val="00A741B7"/>
    <w:rsid w:val="00A74457"/>
    <w:rsid w:val="00A746B2"/>
    <w:rsid w:val="00A75596"/>
    <w:rsid w:val="00A75725"/>
    <w:rsid w:val="00A76CE6"/>
    <w:rsid w:val="00A76EF5"/>
    <w:rsid w:val="00A77492"/>
    <w:rsid w:val="00A77843"/>
    <w:rsid w:val="00A779DC"/>
    <w:rsid w:val="00A800E4"/>
    <w:rsid w:val="00A80E0A"/>
    <w:rsid w:val="00A811C7"/>
    <w:rsid w:val="00A811F1"/>
    <w:rsid w:val="00A81F12"/>
    <w:rsid w:val="00A828BD"/>
    <w:rsid w:val="00A8295C"/>
    <w:rsid w:val="00A83122"/>
    <w:rsid w:val="00A832B2"/>
    <w:rsid w:val="00A83729"/>
    <w:rsid w:val="00A83C57"/>
    <w:rsid w:val="00A84526"/>
    <w:rsid w:val="00A845EF"/>
    <w:rsid w:val="00A846F6"/>
    <w:rsid w:val="00A849C8"/>
    <w:rsid w:val="00A869E0"/>
    <w:rsid w:val="00A86EA4"/>
    <w:rsid w:val="00A87747"/>
    <w:rsid w:val="00A87AAF"/>
    <w:rsid w:val="00A87DC2"/>
    <w:rsid w:val="00A91855"/>
    <w:rsid w:val="00A9208D"/>
    <w:rsid w:val="00A92D03"/>
    <w:rsid w:val="00A937C1"/>
    <w:rsid w:val="00A9390B"/>
    <w:rsid w:val="00A93C6D"/>
    <w:rsid w:val="00A94AF2"/>
    <w:rsid w:val="00A95A3B"/>
    <w:rsid w:val="00A95EAC"/>
    <w:rsid w:val="00A970CE"/>
    <w:rsid w:val="00AA027A"/>
    <w:rsid w:val="00AA0338"/>
    <w:rsid w:val="00AA1004"/>
    <w:rsid w:val="00AA1F1C"/>
    <w:rsid w:val="00AA22B8"/>
    <w:rsid w:val="00AA2828"/>
    <w:rsid w:val="00AA2E8F"/>
    <w:rsid w:val="00AA3566"/>
    <w:rsid w:val="00AA3A2D"/>
    <w:rsid w:val="00AA4E19"/>
    <w:rsid w:val="00AA4FD5"/>
    <w:rsid w:val="00AA5C95"/>
    <w:rsid w:val="00AA5E71"/>
    <w:rsid w:val="00AA60F6"/>
    <w:rsid w:val="00AA61AE"/>
    <w:rsid w:val="00AA643C"/>
    <w:rsid w:val="00AA66B7"/>
    <w:rsid w:val="00AA6988"/>
    <w:rsid w:val="00AA760A"/>
    <w:rsid w:val="00AB0371"/>
    <w:rsid w:val="00AB0C46"/>
    <w:rsid w:val="00AB1712"/>
    <w:rsid w:val="00AB1DD0"/>
    <w:rsid w:val="00AB23EF"/>
    <w:rsid w:val="00AB2672"/>
    <w:rsid w:val="00AB2D89"/>
    <w:rsid w:val="00AB2E39"/>
    <w:rsid w:val="00AB3346"/>
    <w:rsid w:val="00AB3540"/>
    <w:rsid w:val="00AB38B9"/>
    <w:rsid w:val="00AB3E59"/>
    <w:rsid w:val="00AB4E8F"/>
    <w:rsid w:val="00AB656B"/>
    <w:rsid w:val="00AB6EA2"/>
    <w:rsid w:val="00AB7C3C"/>
    <w:rsid w:val="00AC14E3"/>
    <w:rsid w:val="00AC169A"/>
    <w:rsid w:val="00AC1D6D"/>
    <w:rsid w:val="00AC2031"/>
    <w:rsid w:val="00AC292E"/>
    <w:rsid w:val="00AC2AC3"/>
    <w:rsid w:val="00AC2C4F"/>
    <w:rsid w:val="00AC2F72"/>
    <w:rsid w:val="00AC3001"/>
    <w:rsid w:val="00AC31FD"/>
    <w:rsid w:val="00AC3A0B"/>
    <w:rsid w:val="00AC4120"/>
    <w:rsid w:val="00AC4FBD"/>
    <w:rsid w:val="00AC5849"/>
    <w:rsid w:val="00AC5992"/>
    <w:rsid w:val="00AC7149"/>
    <w:rsid w:val="00AC7A60"/>
    <w:rsid w:val="00AC7BBA"/>
    <w:rsid w:val="00AD0228"/>
    <w:rsid w:val="00AD0759"/>
    <w:rsid w:val="00AD0A53"/>
    <w:rsid w:val="00AD0EB2"/>
    <w:rsid w:val="00AD1747"/>
    <w:rsid w:val="00AD1ED6"/>
    <w:rsid w:val="00AD2603"/>
    <w:rsid w:val="00AD3F86"/>
    <w:rsid w:val="00AD3FEC"/>
    <w:rsid w:val="00AD436B"/>
    <w:rsid w:val="00AD4669"/>
    <w:rsid w:val="00AD4D89"/>
    <w:rsid w:val="00AD5B41"/>
    <w:rsid w:val="00AD5BE4"/>
    <w:rsid w:val="00AD6007"/>
    <w:rsid w:val="00AD6C79"/>
    <w:rsid w:val="00AD7D74"/>
    <w:rsid w:val="00AD7DAC"/>
    <w:rsid w:val="00AE0069"/>
    <w:rsid w:val="00AE0369"/>
    <w:rsid w:val="00AE0C02"/>
    <w:rsid w:val="00AE3346"/>
    <w:rsid w:val="00AE3B11"/>
    <w:rsid w:val="00AE3CE8"/>
    <w:rsid w:val="00AE3E87"/>
    <w:rsid w:val="00AE41F0"/>
    <w:rsid w:val="00AE431C"/>
    <w:rsid w:val="00AE4FA1"/>
    <w:rsid w:val="00AE7278"/>
    <w:rsid w:val="00AE75E7"/>
    <w:rsid w:val="00AE7799"/>
    <w:rsid w:val="00AF089B"/>
    <w:rsid w:val="00AF123C"/>
    <w:rsid w:val="00AF2C52"/>
    <w:rsid w:val="00AF3057"/>
    <w:rsid w:val="00AF3412"/>
    <w:rsid w:val="00AF34DB"/>
    <w:rsid w:val="00AF3B6C"/>
    <w:rsid w:val="00AF4359"/>
    <w:rsid w:val="00AF520E"/>
    <w:rsid w:val="00AF547D"/>
    <w:rsid w:val="00AF5634"/>
    <w:rsid w:val="00AF56A5"/>
    <w:rsid w:val="00AF5EEE"/>
    <w:rsid w:val="00AF6360"/>
    <w:rsid w:val="00AF758F"/>
    <w:rsid w:val="00AF759D"/>
    <w:rsid w:val="00AF76A5"/>
    <w:rsid w:val="00AF7EBA"/>
    <w:rsid w:val="00B00A4C"/>
    <w:rsid w:val="00B00C7E"/>
    <w:rsid w:val="00B00E48"/>
    <w:rsid w:val="00B00ED2"/>
    <w:rsid w:val="00B019EB"/>
    <w:rsid w:val="00B028C3"/>
    <w:rsid w:val="00B02912"/>
    <w:rsid w:val="00B0311A"/>
    <w:rsid w:val="00B04119"/>
    <w:rsid w:val="00B04963"/>
    <w:rsid w:val="00B049F9"/>
    <w:rsid w:val="00B05B82"/>
    <w:rsid w:val="00B06DDF"/>
    <w:rsid w:val="00B071A8"/>
    <w:rsid w:val="00B07B66"/>
    <w:rsid w:val="00B1056D"/>
    <w:rsid w:val="00B111FC"/>
    <w:rsid w:val="00B114BA"/>
    <w:rsid w:val="00B13A63"/>
    <w:rsid w:val="00B1511C"/>
    <w:rsid w:val="00B15996"/>
    <w:rsid w:val="00B15E54"/>
    <w:rsid w:val="00B17805"/>
    <w:rsid w:val="00B17C59"/>
    <w:rsid w:val="00B17FC5"/>
    <w:rsid w:val="00B20693"/>
    <w:rsid w:val="00B20B00"/>
    <w:rsid w:val="00B20F38"/>
    <w:rsid w:val="00B21765"/>
    <w:rsid w:val="00B21963"/>
    <w:rsid w:val="00B21E05"/>
    <w:rsid w:val="00B22802"/>
    <w:rsid w:val="00B231C1"/>
    <w:rsid w:val="00B232FD"/>
    <w:rsid w:val="00B238B4"/>
    <w:rsid w:val="00B23EF1"/>
    <w:rsid w:val="00B2489A"/>
    <w:rsid w:val="00B25271"/>
    <w:rsid w:val="00B26551"/>
    <w:rsid w:val="00B30017"/>
    <w:rsid w:val="00B3062F"/>
    <w:rsid w:val="00B31032"/>
    <w:rsid w:val="00B312DE"/>
    <w:rsid w:val="00B3147B"/>
    <w:rsid w:val="00B315D4"/>
    <w:rsid w:val="00B31BD5"/>
    <w:rsid w:val="00B31EE6"/>
    <w:rsid w:val="00B32FCC"/>
    <w:rsid w:val="00B3322E"/>
    <w:rsid w:val="00B345A5"/>
    <w:rsid w:val="00B345BE"/>
    <w:rsid w:val="00B34F2B"/>
    <w:rsid w:val="00B35E3C"/>
    <w:rsid w:val="00B36595"/>
    <w:rsid w:val="00B368B0"/>
    <w:rsid w:val="00B37861"/>
    <w:rsid w:val="00B37899"/>
    <w:rsid w:val="00B37A71"/>
    <w:rsid w:val="00B37C06"/>
    <w:rsid w:val="00B37C82"/>
    <w:rsid w:val="00B41380"/>
    <w:rsid w:val="00B42BD7"/>
    <w:rsid w:val="00B42C08"/>
    <w:rsid w:val="00B43442"/>
    <w:rsid w:val="00B463F4"/>
    <w:rsid w:val="00B50428"/>
    <w:rsid w:val="00B50A07"/>
    <w:rsid w:val="00B51323"/>
    <w:rsid w:val="00B51604"/>
    <w:rsid w:val="00B523A1"/>
    <w:rsid w:val="00B52F90"/>
    <w:rsid w:val="00B530AB"/>
    <w:rsid w:val="00B54080"/>
    <w:rsid w:val="00B557E2"/>
    <w:rsid w:val="00B55C31"/>
    <w:rsid w:val="00B56157"/>
    <w:rsid w:val="00B56CD4"/>
    <w:rsid w:val="00B57B61"/>
    <w:rsid w:val="00B57F91"/>
    <w:rsid w:val="00B601E2"/>
    <w:rsid w:val="00B60370"/>
    <w:rsid w:val="00B6055E"/>
    <w:rsid w:val="00B61B8F"/>
    <w:rsid w:val="00B6281F"/>
    <w:rsid w:val="00B629D8"/>
    <w:rsid w:val="00B631E5"/>
    <w:rsid w:val="00B63389"/>
    <w:rsid w:val="00B634AF"/>
    <w:rsid w:val="00B63D9C"/>
    <w:rsid w:val="00B665BF"/>
    <w:rsid w:val="00B67ADE"/>
    <w:rsid w:val="00B70569"/>
    <w:rsid w:val="00B70804"/>
    <w:rsid w:val="00B708AB"/>
    <w:rsid w:val="00B70E8E"/>
    <w:rsid w:val="00B71345"/>
    <w:rsid w:val="00B7181C"/>
    <w:rsid w:val="00B73B39"/>
    <w:rsid w:val="00B73B57"/>
    <w:rsid w:val="00B74535"/>
    <w:rsid w:val="00B74DE9"/>
    <w:rsid w:val="00B7529B"/>
    <w:rsid w:val="00B7581A"/>
    <w:rsid w:val="00B758A3"/>
    <w:rsid w:val="00B75A5E"/>
    <w:rsid w:val="00B764CC"/>
    <w:rsid w:val="00B765B7"/>
    <w:rsid w:val="00B765D5"/>
    <w:rsid w:val="00B770F3"/>
    <w:rsid w:val="00B77180"/>
    <w:rsid w:val="00B77866"/>
    <w:rsid w:val="00B80C45"/>
    <w:rsid w:val="00B81151"/>
    <w:rsid w:val="00B8290B"/>
    <w:rsid w:val="00B83089"/>
    <w:rsid w:val="00B83251"/>
    <w:rsid w:val="00B83D53"/>
    <w:rsid w:val="00B84CBF"/>
    <w:rsid w:val="00B8531C"/>
    <w:rsid w:val="00B8532E"/>
    <w:rsid w:val="00B863D2"/>
    <w:rsid w:val="00B86AAA"/>
    <w:rsid w:val="00B86E40"/>
    <w:rsid w:val="00B86EAD"/>
    <w:rsid w:val="00B87550"/>
    <w:rsid w:val="00B87808"/>
    <w:rsid w:val="00B87A1E"/>
    <w:rsid w:val="00B87ECD"/>
    <w:rsid w:val="00B90436"/>
    <w:rsid w:val="00B90D93"/>
    <w:rsid w:val="00B90EEF"/>
    <w:rsid w:val="00B92E8F"/>
    <w:rsid w:val="00B93B26"/>
    <w:rsid w:val="00B94696"/>
    <w:rsid w:val="00B94E16"/>
    <w:rsid w:val="00B951E3"/>
    <w:rsid w:val="00B97096"/>
    <w:rsid w:val="00B97BEA"/>
    <w:rsid w:val="00B97DAB"/>
    <w:rsid w:val="00B97E15"/>
    <w:rsid w:val="00B97F85"/>
    <w:rsid w:val="00BA086C"/>
    <w:rsid w:val="00BA09AF"/>
    <w:rsid w:val="00BA1587"/>
    <w:rsid w:val="00BA29EB"/>
    <w:rsid w:val="00BA2DA8"/>
    <w:rsid w:val="00BA322B"/>
    <w:rsid w:val="00BA378F"/>
    <w:rsid w:val="00BA3B49"/>
    <w:rsid w:val="00BA3F4F"/>
    <w:rsid w:val="00BA4B3E"/>
    <w:rsid w:val="00BA53C7"/>
    <w:rsid w:val="00BA545E"/>
    <w:rsid w:val="00BA589D"/>
    <w:rsid w:val="00BA5D9C"/>
    <w:rsid w:val="00BA6471"/>
    <w:rsid w:val="00BA6589"/>
    <w:rsid w:val="00BB0768"/>
    <w:rsid w:val="00BB0806"/>
    <w:rsid w:val="00BB09B8"/>
    <w:rsid w:val="00BB1356"/>
    <w:rsid w:val="00BB1388"/>
    <w:rsid w:val="00BB1436"/>
    <w:rsid w:val="00BB1443"/>
    <w:rsid w:val="00BB1CED"/>
    <w:rsid w:val="00BB1D2A"/>
    <w:rsid w:val="00BB4665"/>
    <w:rsid w:val="00BB50F2"/>
    <w:rsid w:val="00BB5F5D"/>
    <w:rsid w:val="00BB60BC"/>
    <w:rsid w:val="00BB6346"/>
    <w:rsid w:val="00BB6390"/>
    <w:rsid w:val="00BB7A3E"/>
    <w:rsid w:val="00BC04F8"/>
    <w:rsid w:val="00BC0916"/>
    <w:rsid w:val="00BC0F5C"/>
    <w:rsid w:val="00BC1219"/>
    <w:rsid w:val="00BC128E"/>
    <w:rsid w:val="00BC1F86"/>
    <w:rsid w:val="00BC28BE"/>
    <w:rsid w:val="00BC3A9E"/>
    <w:rsid w:val="00BC3AA8"/>
    <w:rsid w:val="00BC431A"/>
    <w:rsid w:val="00BC4F1E"/>
    <w:rsid w:val="00BC639A"/>
    <w:rsid w:val="00BC6713"/>
    <w:rsid w:val="00BC7539"/>
    <w:rsid w:val="00BC75E7"/>
    <w:rsid w:val="00BD0843"/>
    <w:rsid w:val="00BD0E25"/>
    <w:rsid w:val="00BD1E32"/>
    <w:rsid w:val="00BD32CA"/>
    <w:rsid w:val="00BD5EDF"/>
    <w:rsid w:val="00BD6265"/>
    <w:rsid w:val="00BD629E"/>
    <w:rsid w:val="00BD6BE8"/>
    <w:rsid w:val="00BD739F"/>
    <w:rsid w:val="00BD7856"/>
    <w:rsid w:val="00BD7C3A"/>
    <w:rsid w:val="00BD7DFC"/>
    <w:rsid w:val="00BE067D"/>
    <w:rsid w:val="00BE0BB1"/>
    <w:rsid w:val="00BE19E0"/>
    <w:rsid w:val="00BE1CB3"/>
    <w:rsid w:val="00BE21F3"/>
    <w:rsid w:val="00BE2E01"/>
    <w:rsid w:val="00BE2F11"/>
    <w:rsid w:val="00BE42EF"/>
    <w:rsid w:val="00BE49D8"/>
    <w:rsid w:val="00BE55CF"/>
    <w:rsid w:val="00BE5F1A"/>
    <w:rsid w:val="00BE7799"/>
    <w:rsid w:val="00BE7BB3"/>
    <w:rsid w:val="00BF00AF"/>
    <w:rsid w:val="00BF05E2"/>
    <w:rsid w:val="00BF08A6"/>
    <w:rsid w:val="00BF1372"/>
    <w:rsid w:val="00BF23F2"/>
    <w:rsid w:val="00BF2BA8"/>
    <w:rsid w:val="00BF31DF"/>
    <w:rsid w:val="00BF4506"/>
    <w:rsid w:val="00BF4B04"/>
    <w:rsid w:val="00BF4B1F"/>
    <w:rsid w:val="00BF557A"/>
    <w:rsid w:val="00BF5BC3"/>
    <w:rsid w:val="00BF6AB5"/>
    <w:rsid w:val="00C0077A"/>
    <w:rsid w:val="00C01184"/>
    <w:rsid w:val="00C01658"/>
    <w:rsid w:val="00C01EC4"/>
    <w:rsid w:val="00C05249"/>
    <w:rsid w:val="00C052C4"/>
    <w:rsid w:val="00C0601C"/>
    <w:rsid w:val="00C0620C"/>
    <w:rsid w:val="00C06246"/>
    <w:rsid w:val="00C062C5"/>
    <w:rsid w:val="00C069AE"/>
    <w:rsid w:val="00C077CE"/>
    <w:rsid w:val="00C078BC"/>
    <w:rsid w:val="00C07B15"/>
    <w:rsid w:val="00C07C33"/>
    <w:rsid w:val="00C10493"/>
    <w:rsid w:val="00C107FF"/>
    <w:rsid w:val="00C10BEC"/>
    <w:rsid w:val="00C11539"/>
    <w:rsid w:val="00C11E97"/>
    <w:rsid w:val="00C124AE"/>
    <w:rsid w:val="00C1416D"/>
    <w:rsid w:val="00C14202"/>
    <w:rsid w:val="00C144BE"/>
    <w:rsid w:val="00C147B3"/>
    <w:rsid w:val="00C14AF0"/>
    <w:rsid w:val="00C14EE5"/>
    <w:rsid w:val="00C15DBE"/>
    <w:rsid w:val="00C16DB8"/>
    <w:rsid w:val="00C16EEB"/>
    <w:rsid w:val="00C170DE"/>
    <w:rsid w:val="00C17237"/>
    <w:rsid w:val="00C17379"/>
    <w:rsid w:val="00C176EF"/>
    <w:rsid w:val="00C17AC9"/>
    <w:rsid w:val="00C20E54"/>
    <w:rsid w:val="00C21259"/>
    <w:rsid w:val="00C21FF5"/>
    <w:rsid w:val="00C23AA5"/>
    <w:rsid w:val="00C241C7"/>
    <w:rsid w:val="00C2429C"/>
    <w:rsid w:val="00C24428"/>
    <w:rsid w:val="00C246D4"/>
    <w:rsid w:val="00C24B99"/>
    <w:rsid w:val="00C24F74"/>
    <w:rsid w:val="00C25A3F"/>
    <w:rsid w:val="00C25CF5"/>
    <w:rsid w:val="00C274C1"/>
    <w:rsid w:val="00C27901"/>
    <w:rsid w:val="00C300E0"/>
    <w:rsid w:val="00C304A0"/>
    <w:rsid w:val="00C31C3C"/>
    <w:rsid w:val="00C331A4"/>
    <w:rsid w:val="00C33280"/>
    <w:rsid w:val="00C333DA"/>
    <w:rsid w:val="00C350EF"/>
    <w:rsid w:val="00C35491"/>
    <w:rsid w:val="00C35991"/>
    <w:rsid w:val="00C35A86"/>
    <w:rsid w:val="00C35B8A"/>
    <w:rsid w:val="00C35EC7"/>
    <w:rsid w:val="00C368B0"/>
    <w:rsid w:val="00C36BEB"/>
    <w:rsid w:val="00C36C7B"/>
    <w:rsid w:val="00C36E16"/>
    <w:rsid w:val="00C40BA6"/>
    <w:rsid w:val="00C40FC9"/>
    <w:rsid w:val="00C41905"/>
    <w:rsid w:val="00C4331B"/>
    <w:rsid w:val="00C434AE"/>
    <w:rsid w:val="00C43FED"/>
    <w:rsid w:val="00C43FF3"/>
    <w:rsid w:val="00C45EBD"/>
    <w:rsid w:val="00C45EC6"/>
    <w:rsid w:val="00C46CA7"/>
    <w:rsid w:val="00C4760F"/>
    <w:rsid w:val="00C504EE"/>
    <w:rsid w:val="00C505F5"/>
    <w:rsid w:val="00C5122F"/>
    <w:rsid w:val="00C51B29"/>
    <w:rsid w:val="00C52B71"/>
    <w:rsid w:val="00C52FB6"/>
    <w:rsid w:val="00C5412F"/>
    <w:rsid w:val="00C544C1"/>
    <w:rsid w:val="00C54DD2"/>
    <w:rsid w:val="00C55031"/>
    <w:rsid w:val="00C55F54"/>
    <w:rsid w:val="00C5637D"/>
    <w:rsid w:val="00C567BD"/>
    <w:rsid w:val="00C56D0D"/>
    <w:rsid w:val="00C600E1"/>
    <w:rsid w:val="00C60125"/>
    <w:rsid w:val="00C604F8"/>
    <w:rsid w:val="00C61236"/>
    <w:rsid w:val="00C61DE4"/>
    <w:rsid w:val="00C624A5"/>
    <w:rsid w:val="00C6289B"/>
    <w:rsid w:val="00C636A9"/>
    <w:rsid w:val="00C64A3C"/>
    <w:rsid w:val="00C67F88"/>
    <w:rsid w:val="00C704DA"/>
    <w:rsid w:val="00C706E5"/>
    <w:rsid w:val="00C7203C"/>
    <w:rsid w:val="00C7215F"/>
    <w:rsid w:val="00C7277B"/>
    <w:rsid w:val="00C72C74"/>
    <w:rsid w:val="00C730FF"/>
    <w:rsid w:val="00C73491"/>
    <w:rsid w:val="00C73F2D"/>
    <w:rsid w:val="00C745E7"/>
    <w:rsid w:val="00C7489D"/>
    <w:rsid w:val="00C7512D"/>
    <w:rsid w:val="00C76DF7"/>
    <w:rsid w:val="00C77D4D"/>
    <w:rsid w:val="00C80501"/>
    <w:rsid w:val="00C80B3F"/>
    <w:rsid w:val="00C80C3D"/>
    <w:rsid w:val="00C82C3B"/>
    <w:rsid w:val="00C82C46"/>
    <w:rsid w:val="00C82F37"/>
    <w:rsid w:val="00C83CD5"/>
    <w:rsid w:val="00C849F1"/>
    <w:rsid w:val="00C85DF6"/>
    <w:rsid w:val="00C90106"/>
    <w:rsid w:val="00C90950"/>
    <w:rsid w:val="00C92A88"/>
    <w:rsid w:val="00C92B94"/>
    <w:rsid w:val="00C92BDE"/>
    <w:rsid w:val="00C92FF1"/>
    <w:rsid w:val="00C937EC"/>
    <w:rsid w:val="00C93838"/>
    <w:rsid w:val="00C9391E"/>
    <w:rsid w:val="00C93CE4"/>
    <w:rsid w:val="00C95507"/>
    <w:rsid w:val="00C955C6"/>
    <w:rsid w:val="00C96042"/>
    <w:rsid w:val="00C973A3"/>
    <w:rsid w:val="00CA1671"/>
    <w:rsid w:val="00CA2A74"/>
    <w:rsid w:val="00CA328A"/>
    <w:rsid w:val="00CA3A96"/>
    <w:rsid w:val="00CA3FF2"/>
    <w:rsid w:val="00CA4B22"/>
    <w:rsid w:val="00CA4DD9"/>
    <w:rsid w:val="00CA4DE3"/>
    <w:rsid w:val="00CA4E5D"/>
    <w:rsid w:val="00CA50A8"/>
    <w:rsid w:val="00CA6623"/>
    <w:rsid w:val="00CA6764"/>
    <w:rsid w:val="00CA697F"/>
    <w:rsid w:val="00CA70C1"/>
    <w:rsid w:val="00CA78A0"/>
    <w:rsid w:val="00CB0C59"/>
    <w:rsid w:val="00CB1053"/>
    <w:rsid w:val="00CB12A0"/>
    <w:rsid w:val="00CB2922"/>
    <w:rsid w:val="00CB2D25"/>
    <w:rsid w:val="00CB592E"/>
    <w:rsid w:val="00CB5FD5"/>
    <w:rsid w:val="00CB6A92"/>
    <w:rsid w:val="00CB6A95"/>
    <w:rsid w:val="00CC1861"/>
    <w:rsid w:val="00CC26A1"/>
    <w:rsid w:val="00CC28CC"/>
    <w:rsid w:val="00CC29B1"/>
    <w:rsid w:val="00CC2F3B"/>
    <w:rsid w:val="00CC3B26"/>
    <w:rsid w:val="00CC3F7D"/>
    <w:rsid w:val="00CC544E"/>
    <w:rsid w:val="00CC5563"/>
    <w:rsid w:val="00CC55F8"/>
    <w:rsid w:val="00CC575E"/>
    <w:rsid w:val="00CC69FD"/>
    <w:rsid w:val="00CC6F3B"/>
    <w:rsid w:val="00CD1431"/>
    <w:rsid w:val="00CD3530"/>
    <w:rsid w:val="00CD3CE1"/>
    <w:rsid w:val="00CD4504"/>
    <w:rsid w:val="00CD471F"/>
    <w:rsid w:val="00CD5915"/>
    <w:rsid w:val="00CD5D56"/>
    <w:rsid w:val="00CD7527"/>
    <w:rsid w:val="00CD7E87"/>
    <w:rsid w:val="00CE0420"/>
    <w:rsid w:val="00CE0838"/>
    <w:rsid w:val="00CE2A54"/>
    <w:rsid w:val="00CE3BC5"/>
    <w:rsid w:val="00CE454B"/>
    <w:rsid w:val="00CE5719"/>
    <w:rsid w:val="00CE577F"/>
    <w:rsid w:val="00CE5C4C"/>
    <w:rsid w:val="00CE6F3C"/>
    <w:rsid w:val="00CE7028"/>
    <w:rsid w:val="00CE7193"/>
    <w:rsid w:val="00CE757F"/>
    <w:rsid w:val="00CE7679"/>
    <w:rsid w:val="00CE7CD8"/>
    <w:rsid w:val="00CF1190"/>
    <w:rsid w:val="00CF1804"/>
    <w:rsid w:val="00CF19CF"/>
    <w:rsid w:val="00CF1F90"/>
    <w:rsid w:val="00CF2107"/>
    <w:rsid w:val="00CF2736"/>
    <w:rsid w:val="00CF2B00"/>
    <w:rsid w:val="00CF4529"/>
    <w:rsid w:val="00CF573F"/>
    <w:rsid w:val="00CF5AA0"/>
    <w:rsid w:val="00CF5E53"/>
    <w:rsid w:val="00CF6022"/>
    <w:rsid w:val="00CF6758"/>
    <w:rsid w:val="00CF678F"/>
    <w:rsid w:val="00CF6D64"/>
    <w:rsid w:val="00CF72B5"/>
    <w:rsid w:val="00CF7DF6"/>
    <w:rsid w:val="00CF7DF7"/>
    <w:rsid w:val="00D0032B"/>
    <w:rsid w:val="00D004E0"/>
    <w:rsid w:val="00D008C8"/>
    <w:rsid w:val="00D015F1"/>
    <w:rsid w:val="00D01AB7"/>
    <w:rsid w:val="00D0246E"/>
    <w:rsid w:val="00D03B9F"/>
    <w:rsid w:val="00D042BC"/>
    <w:rsid w:val="00D04352"/>
    <w:rsid w:val="00D04AAA"/>
    <w:rsid w:val="00D052FE"/>
    <w:rsid w:val="00D0547C"/>
    <w:rsid w:val="00D054E5"/>
    <w:rsid w:val="00D077A1"/>
    <w:rsid w:val="00D07B92"/>
    <w:rsid w:val="00D07D7A"/>
    <w:rsid w:val="00D102BA"/>
    <w:rsid w:val="00D10F00"/>
    <w:rsid w:val="00D10F3F"/>
    <w:rsid w:val="00D10FFB"/>
    <w:rsid w:val="00D11002"/>
    <w:rsid w:val="00D124F6"/>
    <w:rsid w:val="00D129AC"/>
    <w:rsid w:val="00D13A31"/>
    <w:rsid w:val="00D13FE7"/>
    <w:rsid w:val="00D14B20"/>
    <w:rsid w:val="00D15819"/>
    <w:rsid w:val="00D15A6B"/>
    <w:rsid w:val="00D16505"/>
    <w:rsid w:val="00D1685D"/>
    <w:rsid w:val="00D17454"/>
    <w:rsid w:val="00D209B6"/>
    <w:rsid w:val="00D20D3E"/>
    <w:rsid w:val="00D220AC"/>
    <w:rsid w:val="00D22DB2"/>
    <w:rsid w:val="00D23E11"/>
    <w:rsid w:val="00D265A8"/>
    <w:rsid w:val="00D2688D"/>
    <w:rsid w:val="00D26C4A"/>
    <w:rsid w:val="00D276B6"/>
    <w:rsid w:val="00D27725"/>
    <w:rsid w:val="00D303DB"/>
    <w:rsid w:val="00D32C74"/>
    <w:rsid w:val="00D3335A"/>
    <w:rsid w:val="00D33C92"/>
    <w:rsid w:val="00D348A4"/>
    <w:rsid w:val="00D357B1"/>
    <w:rsid w:val="00D367E0"/>
    <w:rsid w:val="00D377BE"/>
    <w:rsid w:val="00D379F6"/>
    <w:rsid w:val="00D403D6"/>
    <w:rsid w:val="00D40AE3"/>
    <w:rsid w:val="00D40B30"/>
    <w:rsid w:val="00D416D3"/>
    <w:rsid w:val="00D423DE"/>
    <w:rsid w:val="00D43E4B"/>
    <w:rsid w:val="00D447E9"/>
    <w:rsid w:val="00D44817"/>
    <w:rsid w:val="00D44F06"/>
    <w:rsid w:val="00D45292"/>
    <w:rsid w:val="00D456F1"/>
    <w:rsid w:val="00D45A56"/>
    <w:rsid w:val="00D46440"/>
    <w:rsid w:val="00D46F1E"/>
    <w:rsid w:val="00D47C35"/>
    <w:rsid w:val="00D507A7"/>
    <w:rsid w:val="00D5091E"/>
    <w:rsid w:val="00D52CC0"/>
    <w:rsid w:val="00D53ED2"/>
    <w:rsid w:val="00D555AB"/>
    <w:rsid w:val="00D561D7"/>
    <w:rsid w:val="00D569BF"/>
    <w:rsid w:val="00D56C47"/>
    <w:rsid w:val="00D57526"/>
    <w:rsid w:val="00D6019D"/>
    <w:rsid w:val="00D60E31"/>
    <w:rsid w:val="00D61F81"/>
    <w:rsid w:val="00D62720"/>
    <w:rsid w:val="00D62B02"/>
    <w:rsid w:val="00D63270"/>
    <w:rsid w:val="00D63589"/>
    <w:rsid w:val="00D64F10"/>
    <w:rsid w:val="00D650A9"/>
    <w:rsid w:val="00D66301"/>
    <w:rsid w:val="00D67901"/>
    <w:rsid w:val="00D70186"/>
    <w:rsid w:val="00D717C8"/>
    <w:rsid w:val="00D737D2"/>
    <w:rsid w:val="00D73E4B"/>
    <w:rsid w:val="00D73F0D"/>
    <w:rsid w:val="00D7421C"/>
    <w:rsid w:val="00D745F9"/>
    <w:rsid w:val="00D75AD9"/>
    <w:rsid w:val="00D764FD"/>
    <w:rsid w:val="00D76B9C"/>
    <w:rsid w:val="00D77E14"/>
    <w:rsid w:val="00D80640"/>
    <w:rsid w:val="00D81DC6"/>
    <w:rsid w:val="00D8248C"/>
    <w:rsid w:val="00D82C9C"/>
    <w:rsid w:val="00D83C94"/>
    <w:rsid w:val="00D864BF"/>
    <w:rsid w:val="00D869EE"/>
    <w:rsid w:val="00D87AC5"/>
    <w:rsid w:val="00D91432"/>
    <w:rsid w:val="00D9159B"/>
    <w:rsid w:val="00D915BA"/>
    <w:rsid w:val="00D91921"/>
    <w:rsid w:val="00D9194E"/>
    <w:rsid w:val="00D919E6"/>
    <w:rsid w:val="00D932C4"/>
    <w:rsid w:val="00D934EA"/>
    <w:rsid w:val="00D936AE"/>
    <w:rsid w:val="00D9385E"/>
    <w:rsid w:val="00D93CAA"/>
    <w:rsid w:val="00D94624"/>
    <w:rsid w:val="00D946BA"/>
    <w:rsid w:val="00D95F17"/>
    <w:rsid w:val="00D962ED"/>
    <w:rsid w:val="00D9636D"/>
    <w:rsid w:val="00D96400"/>
    <w:rsid w:val="00D973D6"/>
    <w:rsid w:val="00D97544"/>
    <w:rsid w:val="00D975DB"/>
    <w:rsid w:val="00D97CDE"/>
    <w:rsid w:val="00DA0BBE"/>
    <w:rsid w:val="00DA1A01"/>
    <w:rsid w:val="00DA2A6F"/>
    <w:rsid w:val="00DA3F74"/>
    <w:rsid w:val="00DA44B7"/>
    <w:rsid w:val="00DA47DC"/>
    <w:rsid w:val="00DA6FF2"/>
    <w:rsid w:val="00DA7022"/>
    <w:rsid w:val="00DA7468"/>
    <w:rsid w:val="00DA75CD"/>
    <w:rsid w:val="00DA7BA1"/>
    <w:rsid w:val="00DB0C3F"/>
    <w:rsid w:val="00DB13A5"/>
    <w:rsid w:val="00DB13E9"/>
    <w:rsid w:val="00DB1FA6"/>
    <w:rsid w:val="00DB2864"/>
    <w:rsid w:val="00DB4B7A"/>
    <w:rsid w:val="00DB561A"/>
    <w:rsid w:val="00DB5695"/>
    <w:rsid w:val="00DB5D0D"/>
    <w:rsid w:val="00DB66A0"/>
    <w:rsid w:val="00DB6706"/>
    <w:rsid w:val="00DB6755"/>
    <w:rsid w:val="00DB70A1"/>
    <w:rsid w:val="00DB729E"/>
    <w:rsid w:val="00DB771D"/>
    <w:rsid w:val="00DB7B39"/>
    <w:rsid w:val="00DC00D6"/>
    <w:rsid w:val="00DC08BA"/>
    <w:rsid w:val="00DC0D80"/>
    <w:rsid w:val="00DC129A"/>
    <w:rsid w:val="00DC1679"/>
    <w:rsid w:val="00DC1C34"/>
    <w:rsid w:val="00DC1C8B"/>
    <w:rsid w:val="00DC23EB"/>
    <w:rsid w:val="00DC3771"/>
    <w:rsid w:val="00DC43C3"/>
    <w:rsid w:val="00DC45A7"/>
    <w:rsid w:val="00DC4CAA"/>
    <w:rsid w:val="00DC5A7F"/>
    <w:rsid w:val="00DC6673"/>
    <w:rsid w:val="00DC7D3B"/>
    <w:rsid w:val="00DD08D3"/>
    <w:rsid w:val="00DD0A45"/>
    <w:rsid w:val="00DD0C07"/>
    <w:rsid w:val="00DD0E7F"/>
    <w:rsid w:val="00DD113F"/>
    <w:rsid w:val="00DD17CD"/>
    <w:rsid w:val="00DD1F53"/>
    <w:rsid w:val="00DD217E"/>
    <w:rsid w:val="00DD2DE4"/>
    <w:rsid w:val="00DD440E"/>
    <w:rsid w:val="00DD4D7F"/>
    <w:rsid w:val="00DD5260"/>
    <w:rsid w:val="00DD5E99"/>
    <w:rsid w:val="00DD6701"/>
    <w:rsid w:val="00DD6E88"/>
    <w:rsid w:val="00DD7CA4"/>
    <w:rsid w:val="00DE10B5"/>
    <w:rsid w:val="00DE1B89"/>
    <w:rsid w:val="00DE245D"/>
    <w:rsid w:val="00DE37BA"/>
    <w:rsid w:val="00DE39D8"/>
    <w:rsid w:val="00DE44E1"/>
    <w:rsid w:val="00DE4B3E"/>
    <w:rsid w:val="00DE503A"/>
    <w:rsid w:val="00DE5052"/>
    <w:rsid w:val="00DE65E7"/>
    <w:rsid w:val="00DE688A"/>
    <w:rsid w:val="00DE6A4B"/>
    <w:rsid w:val="00DE6BBE"/>
    <w:rsid w:val="00DE6E9C"/>
    <w:rsid w:val="00DF060B"/>
    <w:rsid w:val="00DF097B"/>
    <w:rsid w:val="00DF0CAA"/>
    <w:rsid w:val="00DF1953"/>
    <w:rsid w:val="00DF1F4B"/>
    <w:rsid w:val="00DF22C8"/>
    <w:rsid w:val="00DF3C63"/>
    <w:rsid w:val="00DF3D4A"/>
    <w:rsid w:val="00DF3D56"/>
    <w:rsid w:val="00DF3E92"/>
    <w:rsid w:val="00DF47A0"/>
    <w:rsid w:val="00DF5997"/>
    <w:rsid w:val="00DF5A17"/>
    <w:rsid w:val="00DF5B20"/>
    <w:rsid w:val="00DF5DA2"/>
    <w:rsid w:val="00DF65D5"/>
    <w:rsid w:val="00DF69AA"/>
    <w:rsid w:val="00DF6AC3"/>
    <w:rsid w:val="00DF6C56"/>
    <w:rsid w:val="00DF7887"/>
    <w:rsid w:val="00DF7EA5"/>
    <w:rsid w:val="00E0097F"/>
    <w:rsid w:val="00E034B7"/>
    <w:rsid w:val="00E03BE8"/>
    <w:rsid w:val="00E05854"/>
    <w:rsid w:val="00E05863"/>
    <w:rsid w:val="00E07100"/>
    <w:rsid w:val="00E07FEE"/>
    <w:rsid w:val="00E100F7"/>
    <w:rsid w:val="00E10564"/>
    <w:rsid w:val="00E1096F"/>
    <w:rsid w:val="00E128D7"/>
    <w:rsid w:val="00E13F99"/>
    <w:rsid w:val="00E14704"/>
    <w:rsid w:val="00E14D56"/>
    <w:rsid w:val="00E15F47"/>
    <w:rsid w:val="00E15F5C"/>
    <w:rsid w:val="00E1645B"/>
    <w:rsid w:val="00E1766F"/>
    <w:rsid w:val="00E17D8F"/>
    <w:rsid w:val="00E20564"/>
    <w:rsid w:val="00E20683"/>
    <w:rsid w:val="00E212C8"/>
    <w:rsid w:val="00E212EF"/>
    <w:rsid w:val="00E213D0"/>
    <w:rsid w:val="00E21422"/>
    <w:rsid w:val="00E21C85"/>
    <w:rsid w:val="00E2368B"/>
    <w:rsid w:val="00E24E98"/>
    <w:rsid w:val="00E25401"/>
    <w:rsid w:val="00E25C1D"/>
    <w:rsid w:val="00E26016"/>
    <w:rsid w:val="00E26055"/>
    <w:rsid w:val="00E26653"/>
    <w:rsid w:val="00E26739"/>
    <w:rsid w:val="00E26A1E"/>
    <w:rsid w:val="00E27166"/>
    <w:rsid w:val="00E274E3"/>
    <w:rsid w:val="00E27861"/>
    <w:rsid w:val="00E27D33"/>
    <w:rsid w:val="00E301C9"/>
    <w:rsid w:val="00E30577"/>
    <w:rsid w:val="00E313CD"/>
    <w:rsid w:val="00E316F1"/>
    <w:rsid w:val="00E320BA"/>
    <w:rsid w:val="00E32671"/>
    <w:rsid w:val="00E32E46"/>
    <w:rsid w:val="00E34DAC"/>
    <w:rsid w:val="00E34E81"/>
    <w:rsid w:val="00E35315"/>
    <w:rsid w:val="00E367E9"/>
    <w:rsid w:val="00E36F7A"/>
    <w:rsid w:val="00E41C04"/>
    <w:rsid w:val="00E41EE9"/>
    <w:rsid w:val="00E42431"/>
    <w:rsid w:val="00E4245E"/>
    <w:rsid w:val="00E428CA"/>
    <w:rsid w:val="00E4419D"/>
    <w:rsid w:val="00E441B0"/>
    <w:rsid w:val="00E444B4"/>
    <w:rsid w:val="00E44AF4"/>
    <w:rsid w:val="00E4558D"/>
    <w:rsid w:val="00E4727B"/>
    <w:rsid w:val="00E475BD"/>
    <w:rsid w:val="00E47808"/>
    <w:rsid w:val="00E47984"/>
    <w:rsid w:val="00E47DC9"/>
    <w:rsid w:val="00E500AA"/>
    <w:rsid w:val="00E51F72"/>
    <w:rsid w:val="00E5210A"/>
    <w:rsid w:val="00E530FB"/>
    <w:rsid w:val="00E53210"/>
    <w:rsid w:val="00E533D4"/>
    <w:rsid w:val="00E54246"/>
    <w:rsid w:val="00E54851"/>
    <w:rsid w:val="00E56001"/>
    <w:rsid w:val="00E563A3"/>
    <w:rsid w:val="00E5672C"/>
    <w:rsid w:val="00E5693D"/>
    <w:rsid w:val="00E571DC"/>
    <w:rsid w:val="00E5753D"/>
    <w:rsid w:val="00E576B4"/>
    <w:rsid w:val="00E57F12"/>
    <w:rsid w:val="00E57F78"/>
    <w:rsid w:val="00E61E09"/>
    <w:rsid w:val="00E62C58"/>
    <w:rsid w:val="00E6439B"/>
    <w:rsid w:val="00E65031"/>
    <w:rsid w:val="00E661AD"/>
    <w:rsid w:val="00E665E7"/>
    <w:rsid w:val="00E67484"/>
    <w:rsid w:val="00E6785D"/>
    <w:rsid w:val="00E714C0"/>
    <w:rsid w:val="00E73C7C"/>
    <w:rsid w:val="00E73DBC"/>
    <w:rsid w:val="00E73EBB"/>
    <w:rsid w:val="00E74DC3"/>
    <w:rsid w:val="00E750E3"/>
    <w:rsid w:val="00E75AD3"/>
    <w:rsid w:val="00E75B51"/>
    <w:rsid w:val="00E75DC9"/>
    <w:rsid w:val="00E75ED1"/>
    <w:rsid w:val="00E760B9"/>
    <w:rsid w:val="00E761F6"/>
    <w:rsid w:val="00E768E1"/>
    <w:rsid w:val="00E76A1B"/>
    <w:rsid w:val="00E77925"/>
    <w:rsid w:val="00E77BDE"/>
    <w:rsid w:val="00E77FDE"/>
    <w:rsid w:val="00E803B3"/>
    <w:rsid w:val="00E80C3C"/>
    <w:rsid w:val="00E8154D"/>
    <w:rsid w:val="00E81E0B"/>
    <w:rsid w:val="00E82476"/>
    <w:rsid w:val="00E839DB"/>
    <w:rsid w:val="00E83C77"/>
    <w:rsid w:val="00E8563F"/>
    <w:rsid w:val="00E85E08"/>
    <w:rsid w:val="00E8615F"/>
    <w:rsid w:val="00E87117"/>
    <w:rsid w:val="00E91661"/>
    <w:rsid w:val="00E91BE6"/>
    <w:rsid w:val="00E92FE1"/>
    <w:rsid w:val="00E9366C"/>
    <w:rsid w:val="00E93A47"/>
    <w:rsid w:val="00E94E7A"/>
    <w:rsid w:val="00E95ED5"/>
    <w:rsid w:val="00E960CC"/>
    <w:rsid w:val="00E96D9F"/>
    <w:rsid w:val="00E9759D"/>
    <w:rsid w:val="00EA015E"/>
    <w:rsid w:val="00EA023C"/>
    <w:rsid w:val="00EA0291"/>
    <w:rsid w:val="00EA1B36"/>
    <w:rsid w:val="00EA22AE"/>
    <w:rsid w:val="00EA33DE"/>
    <w:rsid w:val="00EA4407"/>
    <w:rsid w:val="00EA4D17"/>
    <w:rsid w:val="00EA73F1"/>
    <w:rsid w:val="00EA73FE"/>
    <w:rsid w:val="00EA7A6D"/>
    <w:rsid w:val="00EA7C87"/>
    <w:rsid w:val="00EB0065"/>
    <w:rsid w:val="00EB04C6"/>
    <w:rsid w:val="00EB083B"/>
    <w:rsid w:val="00EB13BF"/>
    <w:rsid w:val="00EB1763"/>
    <w:rsid w:val="00EB1BEB"/>
    <w:rsid w:val="00EB25D6"/>
    <w:rsid w:val="00EB38FF"/>
    <w:rsid w:val="00EB41BD"/>
    <w:rsid w:val="00EB44C7"/>
    <w:rsid w:val="00EB518E"/>
    <w:rsid w:val="00EB57AE"/>
    <w:rsid w:val="00EB5993"/>
    <w:rsid w:val="00EB632F"/>
    <w:rsid w:val="00EB6F9B"/>
    <w:rsid w:val="00EC0302"/>
    <w:rsid w:val="00EC0948"/>
    <w:rsid w:val="00EC0DD0"/>
    <w:rsid w:val="00EC1C1D"/>
    <w:rsid w:val="00EC1DD2"/>
    <w:rsid w:val="00EC25BC"/>
    <w:rsid w:val="00EC40FD"/>
    <w:rsid w:val="00EC6156"/>
    <w:rsid w:val="00EC7035"/>
    <w:rsid w:val="00ED1781"/>
    <w:rsid w:val="00ED2888"/>
    <w:rsid w:val="00ED2F5D"/>
    <w:rsid w:val="00ED37D2"/>
    <w:rsid w:val="00ED41E7"/>
    <w:rsid w:val="00ED4B07"/>
    <w:rsid w:val="00ED4EAF"/>
    <w:rsid w:val="00ED4F15"/>
    <w:rsid w:val="00ED5417"/>
    <w:rsid w:val="00ED6E7D"/>
    <w:rsid w:val="00ED7459"/>
    <w:rsid w:val="00EE06AC"/>
    <w:rsid w:val="00EE0931"/>
    <w:rsid w:val="00EE19A4"/>
    <w:rsid w:val="00EE19DC"/>
    <w:rsid w:val="00EE1FC1"/>
    <w:rsid w:val="00EE2960"/>
    <w:rsid w:val="00EE31DA"/>
    <w:rsid w:val="00EE3200"/>
    <w:rsid w:val="00EE33FB"/>
    <w:rsid w:val="00EE4637"/>
    <w:rsid w:val="00EE586B"/>
    <w:rsid w:val="00EE6807"/>
    <w:rsid w:val="00EE6D8C"/>
    <w:rsid w:val="00EE6E80"/>
    <w:rsid w:val="00EE7410"/>
    <w:rsid w:val="00EE7DB0"/>
    <w:rsid w:val="00EF128E"/>
    <w:rsid w:val="00EF3CFA"/>
    <w:rsid w:val="00EF3D6D"/>
    <w:rsid w:val="00EF4351"/>
    <w:rsid w:val="00EF4F10"/>
    <w:rsid w:val="00EF7902"/>
    <w:rsid w:val="00EF7C40"/>
    <w:rsid w:val="00EF7EB1"/>
    <w:rsid w:val="00F00631"/>
    <w:rsid w:val="00F0153A"/>
    <w:rsid w:val="00F01590"/>
    <w:rsid w:val="00F01DD7"/>
    <w:rsid w:val="00F033E7"/>
    <w:rsid w:val="00F03EB4"/>
    <w:rsid w:val="00F049DD"/>
    <w:rsid w:val="00F049E8"/>
    <w:rsid w:val="00F066AD"/>
    <w:rsid w:val="00F06C57"/>
    <w:rsid w:val="00F0762A"/>
    <w:rsid w:val="00F07CAD"/>
    <w:rsid w:val="00F07E0D"/>
    <w:rsid w:val="00F1084E"/>
    <w:rsid w:val="00F10F21"/>
    <w:rsid w:val="00F11743"/>
    <w:rsid w:val="00F11D81"/>
    <w:rsid w:val="00F13F74"/>
    <w:rsid w:val="00F146C8"/>
    <w:rsid w:val="00F14D5A"/>
    <w:rsid w:val="00F15F31"/>
    <w:rsid w:val="00F15FA0"/>
    <w:rsid w:val="00F20760"/>
    <w:rsid w:val="00F208E8"/>
    <w:rsid w:val="00F20BBF"/>
    <w:rsid w:val="00F2137C"/>
    <w:rsid w:val="00F21A59"/>
    <w:rsid w:val="00F21B1C"/>
    <w:rsid w:val="00F22FF6"/>
    <w:rsid w:val="00F23342"/>
    <w:rsid w:val="00F24C58"/>
    <w:rsid w:val="00F24F6F"/>
    <w:rsid w:val="00F25844"/>
    <w:rsid w:val="00F25993"/>
    <w:rsid w:val="00F25A9A"/>
    <w:rsid w:val="00F25C5B"/>
    <w:rsid w:val="00F25E2E"/>
    <w:rsid w:val="00F2637C"/>
    <w:rsid w:val="00F26992"/>
    <w:rsid w:val="00F26B6F"/>
    <w:rsid w:val="00F271AC"/>
    <w:rsid w:val="00F27954"/>
    <w:rsid w:val="00F27B31"/>
    <w:rsid w:val="00F30178"/>
    <w:rsid w:val="00F30203"/>
    <w:rsid w:val="00F3088A"/>
    <w:rsid w:val="00F309D7"/>
    <w:rsid w:val="00F30B12"/>
    <w:rsid w:val="00F31BE5"/>
    <w:rsid w:val="00F31FC4"/>
    <w:rsid w:val="00F35902"/>
    <w:rsid w:val="00F35FC0"/>
    <w:rsid w:val="00F36535"/>
    <w:rsid w:val="00F369B7"/>
    <w:rsid w:val="00F36AE0"/>
    <w:rsid w:val="00F41D68"/>
    <w:rsid w:val="00F423ED"/>
    <w:rsid w:val="00F42D04"/>
    <w:rsid w:val="00F43271"/>
    <w:rsid w:val="00F4328D"/>
    <w:rsid w:val="00F444DB"/>
    <w:rsid w:val="00F44615"/>
    <w:rsid w:val="00F44E03"/>
    <w:rsid w:val="00F45006"/>
    <w:rsid w:val="00F45108"/>
    <w:rsid w:val="00F45A27"/>
    <w:rsid w:val="00F47983"/>
    <w:rsid w:val="00F47B3A"/>
    <w:rsid w:val="00F47C99"/>
    <w:rsid w:val="00F503B1"/>
    <w:rsid w:val="00F50675"/>
    <w:rsid w:val="00F50D73"/>
    <w:rsid w:val="00F51052"/>
    <w:rsid w:val="00F51215"/>
    <w:rsid w:val="00F51C01"/>
    <w:rsid w:val="00F5251E"/>
    <w:rsid w:val="00F5317E"/>
    <w:rsid w:val="00F5368A"/>
    <w:rsid w:val="00F545A9"/>
    <w:rsid w:val="00F54A3F"/>
    <w:rsid w:val="00F54DD2"/>
    <w:rsid w:val="00F5602B"/>
    <w:rsid w:val="00F560C7"/>
    <w:rsid w:val="00F5615F"/>
    <w:rsid w:val="00F56E65"/>
    <w:rsid w:val="00F572D4"/>
    <w:rsid w:val="00F5762E"/>
    <w:rsid w:val="00F5779A"/>
    <w:rsid w:val="00F60421"/>
    <w:rsid w:val="00F60DEE"/>
    <w:rsid w:val="00F613CA"/>
    <w:rsid w:val="00F61D98"/>
    <w:rsid w:val="00F621FD"/>
    <w:rsid w:val="00F622FB"/>
    <w:rsid w:val="00F629E2"/>
    <w:rsid w:val="00F636F4"/>
    <w:rsid w:val="00F64534"/>
    <w:rsid w:val="00F653FE"/>
    <w:rsid w:val="00F65BF4"/>
    <w:rsid w:val="00F66E30"/>
    <w:rsid w:val="00F700CD"/>
    <w:rsid w:val="00F709A1"/>
    <w:rsid w:val="00F70C70"/>
    <w:rsid w:val="00F71265"/>
    <w:rsid w:val="00F714F0"/>
    <w:rsid w:val="00F71BC9"/>
    <w:rsid w:val="00F71F1F"/>
    <w:rsid w:val="00F72703"/>
    <w:rsid w:val="00F73027"/>
    <w:rsid w:val="00F7343C"/>
    <w:rsid w:val="00F734EF"/>
    <w:rsid w:val="00F736CA"/>
    <w:rsid w:val="00F73C14"/>
    <w:rsid w:val="00F73D19"/>
    <w:rsid w:val="00F73D93"/>
    <w:rsid w:val="00F74133"/>
    <w:rsid w:val="00F74775"/>
    <w:rsid w:val="00F75446"/>
    <w:rsid w:val="00F7548D"/>
    <w:rsid w:val="00F7576B"/>
    <w:rsid w:val="00F75F9C"/>
    <w:rsid w:val="00F763DB"/>
    <w:rsid w:val="00F76C87"/>
    <w:rsid w:val="00F76E25"/>
    <w:rsid w:val="00F77B03"/>
    <w:rsid w:val="00F807B8"/>
    <w:rsid w:val="00F81243"/>
    <w:rsid w:val="00F8160A"/>
    <w:rsid w:val="00F81BB9"/>
    <w:rsid w:val="00F81ECF"/>
    <w:rsid w:val="00F82120"/>
    <w:rsid w:val="00F82141"/>
    <w:rsid w:val="00F82414"/>
    <w:rsid w:val="00F83561"/>
    <w:rsid w:val="00F83991"/>
    <w:rsid w:val="00F83DC5"/>
    <w:rsid w:val="00F83F75"/>
    <w:rsid w:val="00F84122"/>
    <w:rsid w:val="00F850AC"/>
    <w:rsid w:val="00F8541C"/>
    <w:rsid w:val="00F85F85"/>
    <w:rsid w:val="00F86D4F"/>
    <w:rsid w:val="00F8722F"/>
    <w:rsid w:val="00F87822"/>
    <w:rsid w:val="00F87C07"/>
    <w:rsid w:val="00F90787"/>
    <w:rsid w:val="00F91230"/>
    <w:rsid w:val="00F9159F"/>
    <w:rsid w:val="00F91AB9"/>
    <w:rsid w:val="00F922A1"/>
    <w:rsid w:val="00F934A0"/>
    <w:rsid w:val="00F944B4"/>
    <w:rsid w:val="00F95E6B"/>
    <w:rsid w:val="00F95E91"/>
    <w:rsid w:val="00F96058"/>
    <w:rsid w:val="00F9612E"/>
    <w:rsid w:val="00F966A4"/>
    <w:rsid w:val="00F9671A"/>
    <w:rsid w:val="00F96C3D"/>
    <w:rsid w:val="00F97575"/>
    <w:rsid w:val="00FA0AAB"/>
    <w:rsid w:val="00FA1220"/>
    <w:rsid w:val="00FA15C5"/>
    <w:rsid w:val="00FA190E"/>
    <w:rsid w:val="00FA19AF"/>
    <w:rsid w:val="00FA20A3"/>
    <w:rsid w:val="00FA20DD"/>
    <w:rsid w:val="00FA26FF"/>
    <w:rsid w:val="00FA2944"/>
    <w:rsid w:val="00FA2C4C"/>
    <w:rsid w:val="00FA3211"/>
    <w:rsid w:val="00FA3975"/>
    <w:rsid w:val="00FA4ACE"/>
    <w:rsid w:val="00FA5CE3"/>
    <w:rsid w:val="00FA6DC5"/>
    <w:rsid w:val="00FB0456"/>
    <w:rsid w:val="00FB05D9"/>
    <w:rsid w:val="00FB0C47"/>
    <w:rsid w:val="00FB23BE"/>
    <w:rsid w:val="00FB2446"/>
    <w:rsid w:val="00FB291A"/>
    <w:rsid w:val="00FB2F10"/>
    <w:rsid w:val="00FB383B"/>
    <w:rsid w:val="00FB3AD7"/>
    <w:rsid w:val="00FB3B8C"/>
    <w:rsid w:val="00FB3BBE"/>
    <w:rsid w:val="00FB40AD"/>
    <w:rsid w:val="00FB55D4"/>
    <w:rsid w:val="00FB637C"/>
    <w:rsid w:val="00FB6806"/>
    <w:rsid w:val="00FB6907"/>
    <w:rsid w:val="00FC19B4"/>
    <w:rsid w:val="00FC1FE0"/>
    <w:rsid w:val="00FC2260"/>
    <w:rsid w:val="00FC244D"/>
    <w:rsid w:val="00FC27BE"/>
    <w:rsid w:val="00FC2DA3"/>
    <w:rsid w:val="00FC33D0"/>
    <w:rsid w:val="00FC356E"/>
    <w:rsid w:val="00FC3A5B"/>
    <w:rsid w:val="00FC3E64"/>
    <w:rsid w:val="00FC448E"/>
    <w:rsid w:val="00FC4864"/>
    <w:rsid w:val="00FC4FD5"/>
    <w:rsid w:val="00FC6096"/>
    <w:rsid w:val="00FC6EDC"/>
    <w:rsid w:val="00FC71A4"/>
    <w:rsid w:val="00FC7BB4"/>
    <w:rsid w:val="00FC7F7D"/>
    <w:rsid w:val="00FD0070"/>
    <w:rsid w:val="00FD2E92"/>
    <w:rsid w:val="00FD349A"/>
    <w:rsid w:val="00FD394C"/>
    <w:rsid w:val="00FD3E41"/>
    <w:rsid w:val="00FD4626"/>
    <w:rsid w:val="00FD4850"/>
    <w:rsid w:val="00FD5EED"/>
    <w:rsid w:val="00FE039E"/>
    <w:rsid w:val="00FE0756"/>
    <w:rsid w:val="00FE07B9"/>
    <w:rsid w:val="00FE0A7D"/>
    <w:rsid w:val="00FE22E4"/>
    <w:rsid w:val="00FE239C"/>
    <w:rsid w:val="00FE269B"/>
    <w:rsid w:val="00FE272F"/>
    <w:rsid w:val="00FE2AAE"/>
    <w:rsid w:val="00FE3F2E"/>
    <w:rsid w:val="00FE42B6"/>
    <w:rsid w:val="00FE4BB8"/>
    <w:rsid w:val="00FE51BB"/>
    <w:rsid w:val="00FE563B"/>
    <w:rsid w:val="00FE63FA"/>
    <w:rsid w:val="00FE7089"/>
    <w:rsid w:val="00FE72A3"/>
    <w:rsid w:val="00FE7776"/>
    <w:rsid w:val="00FE7DCB"/>
    <w:rsid w:val="00FE7E7E"/>
    <w:rsid w:val="00FF05F5"/>
    <w:rsid w:val="00FF0C94"/>
    <w:rsid w:val="00FF0DA1"/>
    <w:rsid w:val="00FF0FDA"/>
    <w:rsid w:val="00FF199B"/>
    <w:rsid w:val="00FF23DC"/>
    <w:rsid w:val="00FF24A2"/>
    <w:rsid w:val="00FF2915"/>
    <w:rsid w:val="00FF3335"/>
    <w:rsid w:val="00FF336F"/>
    <w:rsid w:val="00FF4099"/>
    <w:rsid w:val="00FF4221"/>
    <w:rsid w:val="00FF450E"/>
    <w:rsid w:val="00FF4C81"/>
    <w:rsid w:val="00FF5245"/>
    <w:rsid w:val="00FF6146"/>
    <w:rsid w:val="00FF6681"/>
    <w:rsid w:val="00FF7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72" w:lineRule="exact"/>
      <w:textAlignment w:val="center"/>
    </w:pPr>
    <w:rPr>
      <w:rFonts w:eastAsia="細明體"/>
    </w:rPr>
  </w:style>
  <w:style w:type="paragraph" w:styleId="11">
    <w:name w:val="heading 1"/>
    <w:basedOn w:val="a0"/>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0"/>
    <w:next w:val="a0"/>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0"/>
    <w:next w:val="a0"/>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弟3行"/>
    <w:basedOn w:val="a0"/>
    <w:pPr>
      <w:spacing w:line="300" w:lineRule="exact"/>
    </w:pPr>
    <w:rPr>
      <w:rFonts w:eastAsia=".文鼎中楷"/>
      <w:sz w:val="36"/>
    </w:rPr>
  </w:style>
  <w:style w:type="paragraph" w:customStyle="1" w:styleId="a4">
    <w:name w:val="信內文"/>
    <w:basedOn w:val="31"/>
    <w:pPr>
      <w:spacing w:line="360" w:lineRule="auto"/>
    </w:pPr>
    <w:rPr>
      <w:rFonts w:ascii=".文鼎中楷"/>
      <w:spacing w:val="43"/>
    </w:rPr>
  </w:style>
  <w:style w:type="paragraph" w:styleId="a5">
    <w:name w:val="footer"/>
    <w:basedOn w:val="a0"/>
    <w:link w:val="a6"/>
    <w:uiPriority w:val="99"/>
    <w:pPr>
      <w:tabs>
        <w:tab w:val="center" w:pos="4153"/>
        <w:tab w:val="right" w:pos="8306"/>
      </w:tabs>
      <w:spacing w:line="360" w:lineRule="auto"/>
    </w:pPr>
    <w:rPr>
      <w:sz w:val="18"/>
    </w:rPr>
  </w:style>
  <w:style w:type="paragraph" w:styleId="a7">
    <w:name w:val="header"/>
    <w:basedOn w:val="a0"/>
    <w:link w:val="a8"/>
    <w:uiPriority w:val="99"/>
    <w:pPr>
      <w:tabs>
        <w:tab w:val="center" w:pos="4153"/>
        <w:tab w:val="right" w:pos="8306"/>
      </w:tabs>
    </w:pPr>
  </w:style>
  <w:style w:type="character" w:styleId="a9">
    <w:name w:val="page number"/>
    <w:rPr>
      <w:rFonts w:ascii="Times New Roman" w:hAnsi="Times New Roman" w:cs="Times New Roman"/>
    </w:rPr>
  </w:style>
  <w:style w:type="paragraph" w:customStyle="1" w:styleId="aa">
    <w:name w:val="主旨"/>
    <w:basedOn w:val="a0"/>
    <w:pPr>
      <w:spacing w:line="720" w:lineRule="exact"/>
      <w:ind w:left="1021" w:hanging="1021"/>
    </w:pPr>
    <w:rPr>
      <w:rFonts w:eastAsia=".文鼎中楷"/>
      <w:sz w:val="36"/>
    </w:rPr>
  </w:style>
  <w:style w:type="paragraph" w:customStyle="1" w:styleId="13">
    <w:name w:val="說明1"/>
    <w:basedOn w:val="aa"/>
  </w:style>
  <w:style w:type="paragraph" w:customStyle="1" w:styleId="ab">
    <w:name w:val="說明"/>
    <w:basedOn w:val="aa"/>
    <w:pPr>
      <w:ind w:left="1474" w:hanging="1474"/>
    </w:pPr>
  </w:style>
  <w:style w:type="paragraph" w:customStyle="1" w:styleId="ac">
    <w:name w:val="二"/>
    <w:basedOn w:val="ab"/>
    <w:pPr>
      <w:ind w:left="397" w:hanging="397"/>
    </w:pPr>
  </w:style>
  <w:style w:type="paragraph" w:customStyle="1" w:styleId="ad">
    <w:name w:val="(一)"/>
    <w:basedOn w:val="ac"/>
    <w:pPr>
      <w:ind w:left="794"/>
    </w:pPr>
  </w:style>
  <w:style w:type="paragraph" w:customStyle="1" w:styleId="ae">
    <w:name w:val="案由"/>
    <w:basedOn w:val="a0"/>
    <w:pPr>
      <w:spacing w:line="680" w:lineRule="exact"/>
      <w:ind w:left="1134" w:hanging="1134"/>
      <w:jc w:val="both"/>
    </w:pPr>
    <w:rPr>
      <w:rFonts w:ascii="華康中楷體" w:eastAsia="華康中楷體"/>
      <w:spacing w:val="16"/>
      <w:sz w:val="36"/>
    </w:rPr>
  </w:style>
  <w:style w:type="paragraph" w:customStyle="1" w:styleId="af">
    <w:name w:val="二、"/>
    <w:basedOn w:val="a0"/>
    <w:pPr>
      <w:spacing w:line="680" w:lineRule="exact"/>
      <w:ind w:left="1560" w:hanging="426"/>
      <w:jc w:val="both"/>
    </w:pPr>
    <w:rPr>
      <w:rFonts w:ascii="華康中楷體" w:eastAsia="華康中楷體"/>
      <w:spacing w:val="16"/>
      <w:sz w:val="36"/>
    </w:rPr>
  </w:style>
  <w:style w:type="paragraph" w:customStyle="1" w:styleId="14">
    <w:name w:val="本文縮排1"/>
    <w:basedOn w:val="a0"/>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0"/>
    <w:pPr>
      <w:spacing w:line="640" w:lineRule="exact"/>
      <w:ind w:left="1120"/>
      <w:jc w:val="both"/>
      <w:textDirection w:val="lrTbV"/>
    </w:pPr>
    <w:rPr>
      <w:rFonts w:ascii="華康楷書體W5" w:eastAsia="華康楷書體W5"/>
      <w:spacing w:val="16"/>
      <w:sz w:val="36"/>
    </w:rPr>
  </w:style>
  <w:style w:type="paragraph" w:styleId="32">
    <w:name w:val="Body Text Indent 3"/>
    <w:basedOn w:val="a0"/>
    <w:pPr>
      <w:spacing w:line="680" w:lineRule="exact"/>
      <w:ind w:left="1134"/>
      <w:jc w:val="both"/>
      <w:textDirection w:val="lrTbV"/>
    </w:pPr>
    <w:rPr>
      <w:rFonts w:ascii="華康楷書體W5" w:eastAsia="華康楷書體W5"/>
      <w:spacing w:val="16"/>
      <w:sz w:val="36"/>
    </w:rPr>
  </w:style>
  <w:style w:type="paragraph" w:styleId="af0">
    <w:name w:val="Block Text"/>
    <w:basedOn w:val="a0"/>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0"/>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1">
    <w:name w:val="一、"/>
    <w:basedOn w:val="a0"/>
    <w:pPr>
      <w:spacing w:line="680" w:lineRule="exact"/>
      <w:ind w:left="425" w:hanging="425"/>
      <w:jc w:val="both"/>
    </w:pPr>
    <w:rPr>
      <w:rFonts w:ascii="華康楷書體W5" w:eastAsia="華康楷書體W5"/>
      <w:spacing w:val="16"/>
      <w:sz w:val="36"/>
    </w:rPr>
  </w:style>
  <w:style w:type="paragraph" w:styleId="Web">
    <w:name w:val="Normal (Web)"/>
    <w:basedOn w:val="a0"/>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2">
    <w:name w:val="Plain Text"/>
    <w:basedOn w:val="a0"/>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Body Text"/>
    <w:basedOn w:val="a0"/>
    <w:link w:val="af4"/>
    <w:pPr>
      <w:spacing w:before="50" w:line="560" w:lineRule="exact"/>
    </w:pPr>
    <w:rPr>
      <w:rFonts w:eastAsia="標楷體"/>
      <w:sz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5">
    <w:name w:val="Emphasis"/>
    <w:uiPriority w:val="20"/>
    <w:qFormat/>
    <w:rPr>
      <w:rFonts w:ascii="Times New Roman" w:hAnsi="Times New Roman" w:cs="Times New Roman"/>
      <w:color w:val="CC0033"/>
    </w:rPr>
  </w:style>
  <w:style w:type="character" w:styleId="af6">
    <w:name w:val="annotation reference"/>
    <w:semiHidden/>
    <w:rPr>
      <w:rFonts w:ascii="Times New Roman" w:hAnsi="Times New Roman" w:cs="Times New Roman"/>
      <w:sz w:val="18"/>
      <w:szCs w:val="18"/>
    </w:rPr>
  </w:style>
  <w:style w:type="paragraph" w:styleId="af7">
    <w:name w:val="annotation text"/>
    <w:basedOn w:val="a0"/>
    <w:link w:val="af8"/>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9">
    <w:name w:val="Strong"/>
    <w:qFormat/>
    <w:rPr>
      <w:rFonts w:ascii="Times New Roman" w:hAnsi="Times New Roman" w:cs="Times New Roman"/>
      <w:b/>
      <w:bCs/>
    </w:rPr>
  </w:style>
  <w:style w:type="paragraph" w:customStyle="1" w:styleId="a">
    <w:name w:val="一"/>
    <w:basedOn w:val="a0"/>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d"/>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a">
    <w:name w:val="Body Text Indent"/>
    <w:basedOn w:val="a0"/>
    <w:pPr>
      <w:spacing w:before="100" w:line="540" w:lineRule="exact"/>
      <w:ind w:left="620"/>
      <w:jc w:val="both"/>
    </w:pPr>
    <w:rPr>
      <w:rFonts w:eastAsia="標楷體"/>
      <w:sz w:val="32"/>
    </w:rPr>
  </w:style>
  <w:style w:type="character" w:customStyle="1" w:styleId="cpt2">
    <w:name w:val="cpt2"/>
    <w:basedOn w:val="a1"/>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b">
    <w:name w:val="footnote text"/>
    <w:basedOn w:val="a0"/>
    <w:link w:val="afc"/>
    <w:pPr>
      <w:adjustRightInd/>
      <w:snapToGrid w:val="0"/>
      <w:spacing w:line="240" w:lineRule="auto"/>
      <w:textAlignment w:val="auto"/>
    </w:pPr>
    <w:rPr>
      <w:rFonts w:eastAsia="新細明體"/>
      <w:kern w:val="2"/>
    </w:rPr>
  </w:style>
  <w:style w:type="character" w:styleId="afd">
    <w:name w:val="footnote reference"/>
    <w:rPr>
      <w:vertAlign w:val="superscript"/>
    </w:rPr>
  </w:style>
  <w:style w:type="paragraph" w:styleId="afe">
    <w:name w:val="annotation subject"/>
    <w:basedOn w:val="af7"/>
    <w:next w:val="af7"/>
    <w:link w:val="aff"/>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8">
    <w:name w:val="註解文字 字元"/>
    <w:link w:val="af7"/>
    <w:semiHidden/>
    <w:rsid w:val="001A5E2D"/>
    <w:rPr>
      <w:rFonts w:eastAsia="標楷體"/>
      <w:kern w:val="2"/>
      <w:sz w:val="32"/>
      <w:szCs w:val="24"/>
    </w:rPr>
  </w:style>
  <w:style w:type="character" w:customStyle="1" w:styleId="aff">
    <w:name w:val="註解主旨 字元"/>
    <w:link w:val="afe"/>
    <w:uiPriority w:val="99"/>
    <w:semiHidden/>
    <w:rsid w:val="001A5E2D"/>
    <w:rPr>
      <w:rFonts w:eastAsia="細明體"/>
      <w:b/>
      <w:bCs/>
      <w:kern w:val="2"/>
      <w:sz w:val="32"/>
      <w:szCs w:val="24"/>
    </w:rPr>
  </w:style>
  <w:style w:type="paragraph" w:styleId="aff0">
    <w:name w:val="Balloon Text"/>
    <w:basedOn w:val="a0"/>
    <w:link w:val="aff1"/>
    <w:unhideWhenUsed/>
    <w:rsid w:val="001A5E2D"/>
    <w:pPr>
      <w:spacing w:line="240" w:lineRule="auto"/>
    </w:pPr>
    <w:rPr>
      <w:rFonts w:ascii="Cambria" w:eastAsia="新細明體" w:hAnsi="Cambria"/>
      <w:sz w:val="18"/>
      <w:szCs w:val="18"/>
    </w:rPr>
  </w:style>
  <w:style w:type="character" w:customStyle="1" w:styleId="aff1">
    <w:name w:val="註解方塊文字 字元"/>
    <w:link w:val="aff0"/>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2">
    <w:name w:val="表附註"/>
    <w:basedOn w:val="24"/>
    <w:rsid w:val="00286F49"/>
    <w:pPr>
      <w:spacing w:after="0" w:line="240" w:lineRule="atLeast"/>
      <w:ind w:left="0"/>
    </w:pPr>
    <w:rPr>
      <w:spacing w:val="0"/>
      <w:sz w:val="24"/>
    </w:rPr>
  </w:style>
  <w:style w:type="paragraph" w:customStyle="1" w:styleId="24">
    <w:name w:val="內文2"/>
    <w:basedOn w:val="a0"/>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0"/>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0"/>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3">
    <w:name w:val="ｂ（）ｒ"/>
    <w:basedOn w:val="a0"/>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0"/>
    <w:rsid w:val="00286F49"/>
    <w:pPr>
      <w:spacing w:line="240" w:lineRule="auto"/>
      <w:ind w:firstLine="720"/>
      <w:jc w:val="both"/>
      <w:textAlignment w:val="baseline"/>
    </w:pPr>
    <w:rPr>
      <w:rFonts w:ascii="華康仿宋體W6" w:eastAsia="華康仿宋體W6"/>
      <w:kern w:val="2"/>
      <w:sz w:val="36"/>
    </w:rPr>
  </w:style>
  <w:style w:type="paragraph" w:customStyle="1" w:styleId="aff4">
    <w:name w:val="點段"/>
    <w:basedOn w:val="a0"/>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0"/>
    <w:rsid w:val="00286F49"/>
    <w:pPr>
      <w:spacing w:before="120" w:after="120" w:line="360" w:lineRule="auto"/>
      <w:ind w:left="960" w:hanging="450"/>
      <w:jc w:val="both"/>
      <w:textAlignment w:val="baseline"/>
    </w:pPr>
    <w:rPr>
      <w:rFonts w:ascii="細明體"/>
      <w:sz w:val="28"/>
    </w:rPr>
  </w:style>
  <w:style w:type="paragraph" w:customStyle="1" w:styleId="aff5">
    <w:name w:val="(一)文"/>
    <w:basedOn w:val="a0"/>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6">
    <w:name w:val="姓名"/>
    <w:basedOn w:val="a0"/>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0"/>
    <w:rsid w:val="00286F49"/>
    <w:pPr>
      <w:spacing w:before="120" w:after="120" w:line="960" w:lineRule="atLeast"/>
      <w:ind w:firstLine="1080"/>
      <w:jc w:val="both"/>
      <w:textAlignment w:val="baseline"/>
    </w:pPr>
    <w:rPr>
      <w:rFonts w:ascii="華康中楷體" w:eastAsia="華康中楷體"/>
      <w:spacing w:val="5"/>
      <w:sz w:val="54"/>
    </w:rPr>
  </w:style>
  <w:style w:type="paragraph" w:styleId="aff7">
    <w:name w:val="Document Map"/>
    <w:basedOn w:val="a0"/>
    <w:link w:val="aff8"/>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8">
    <w:name w:val="文件引導模式 字元"/>
    <w:link w:val="aff7"/>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0"/>
    <w:rsid w:val="00286F49"/>
    <w:pPr>
      <w:spacing w:before="120" w:after="120" w:line="440" w:lineRule="exact"/>
      <w:textAlignment w:val="baseline"/>
    </w:pPr>
    <w:rPr>
      <w:rFonts w:ascii="標楷體" w:eastAsia="標楷體"/>
      <w:sz w:val="30"/>
    </w:rPr>
  </w:style>
  <w:style w:type="paragraph" w:customStyle="1" w:styleId="aff9">
    <w:name w:val="中標題"/>
    <w:basedOn w:val="a0"/>
    <w:rsid w:val="00286F49"/>
    <w:pPr>
      <w:tabs>
        <w:tab w:val="left" w:pos="12960"/>
      </w:tabs>
      <w:spacing w:line="400" w:lineRule="atLeast"/>
      <w:textAlignment w:val="baseline"/>
    </w:pPr>
    <w:rPr>
      <w:sz w:val="22"/>
    </w:rPr>
  </w:style>
  <w:style w:type="paragraph" w:customStyle="1" w:styleId="affa">
    <w:name w:val="大標題本文"/>
    <w:basedOn w:val="a0"/>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0"/>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b">
    <w:name w:val="Salutation"/>
    <w:basedOn w:val="a0"/>
    <w:next w:val="a0"/>
    <w:link w:val="affc"/>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c">
    <w:name w:val="問候 字元"/>
    <w:link w:val="affb"/>
    <w:rsid w:val="00286F49"/>
    <w:rPr>
      <w:rFonts w:ascii="標楷體" w:eastAsia="標楷體" w:hAnsi="Garamond"/>
      <w:spacing w:val="20"/>
      <w:sz w:val="32"/>
    </w:rPr>
  </w:style>
  <w:style w:type="paragraph" w:styleId="affd">
    <w:name w:val="Closing"/>
    <w:basedOn w:val="a0"/>
    <w:next w:val="a0"/>
    <w:link w:val="affe"/>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e">
    <w:name w:val="結語 字元"/>
    <w:link w:val="affd"/>
    <w:rsid w:val="00286F49"/>
    <w:rPr>
      <w:rFonts w:ascii="標楷體" w:eastAsia="標楷體" w:hAnsi="Garamond"/>
      <w:spacing w:val="20"/>
      <w:sz w:val="32"/>
    </w:rPr>
  </w:style>
  <w:style w:type="paragraph" w:customStyle="1" w:styleId="afff">
    <w:name w:val="小段"/>
    <w:basedOn w:val="a0"/>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0"/>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a"/>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0">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0"/>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1">
    <w:name w:val="Hyperlink"/>
    <w:rsid w:val="00286F49"/>
    <w:rPr>
      <w:strike w:val="0"/>
      <w:dstrike w:val="0"/>
      <w:color w:val="0066CC"/>
      <w:u w:val="none"/>
      <w:effect w:val="none"/>
    </w:rPr>
  </w:style>
  <w:style w:type="character" w:styleId="afff2">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3">
    <w:name w:val="內文 + 標楷體"/>
    <w:aliases w:val="16 點,左右對齊,左:  0 cm,凸出:  3.6 字元,行距:  固定行高 30 pt,14 點"/>
    <w:basedOn w:val="a0"/>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4">
    <w:name w:val="一'"/>
    <w:basedOn w:val="a0"/>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0"/>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0"/>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5">
    <w:name w:val="List Paragraph"/>
    <w:basedOn w:val="a0"/>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6">
    <w:name w:val="Table Grid"/>
    <w:basedOn w:val="a2"/>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註腳文字 字元"/>
    <w:link w:val="afb"/>
    <w:rsid w:val="00286F49"/>
    <w:rPr>
      <w:kern w:val="2"/>
    </w:rPr>
  </w:style>
  <w:style w:type="character" w:customStyle="1" w:styleId="a6">
    <w:name w:val="頁尾 字元"/>
    <w:link w:val="a5"/>
    <w:uiPriority w:val="99"/>
    <w:rsid w:val="0091791E"/>
    <w:rPr>
      <w:rFonts w:eastAsia="細明體"/>
      <w:sz w:val="18"/>
    </w:rPr>
  </w:style>
  <w:style w:type="character" w:customStyle="1" w:styleId="a8">
    <w:name w:val="頁首 字元"/>
    <w:link w:val="a7"/>
    <w:uiPriority w:val="99"/>
    <w:rsid w:val="00527E73"/>
    <w:rPr>
      <w:rFonts w:eastAsia="細明體"/>
    </w:rPr>
  </w:style>
  <w:style w:type="paragraph" w:customStyle="1" w:styleId="10">
    <w:name w:val="理監事會第 1層"/>
    <w:basedOn w:val="af0"/>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0"/>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0"/>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0"/>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4">
    <w:name w:val="本文 字元"/>
    <w:basedOn w:val="a1"/>
    <w:link w:val="af3"/>
    <w:locked/>
    <w:rsid w:val="00BD32CA"/>
    <w:rPr>
      <w:rFonts w:eastAsia="標楷體"/>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72" w:lineRule="exact"/>
      <w:textAlignment w:val="center"/>
    </w:pPr>
    <w:rPr>
      <w:rFonts w:eastAsia="細明體"/>
    </w:rPr>
  </w:style>
  <w:style w:type="paragraph" w:styleId="11">
    <w:name w:val="heading 1"/>
    <w:basedOn w:val="a0"/>
    <w:link w:val="12"/>
    <w:uiPriority w:val="9"/>
    <w:qFormat/>
    <w:pPr>
      <w:widowControl/>
      <w:adjustRightInd/>
      <w:spacing w:before="100" w:beforeAutospacing="1" w:after="100" w:afterAutospacing="1" w:line="240" w:lineRule="auto"/>
      <w:textAlignment w:val="auto"/>
      <w:outlineLvl w:val="0"/>
    </w:pPr>
    <w:rPr>
      <w:rFonts w:ascii="Arial Unicode MS" w:eastAsia="Arial Unicode MS" w:hAnsi="Arial Unicode MS" w:cs="Arial Unicode MS"/>
      <w:b/>
      <w:bCs/>
      <w:kern w:val="36"/>
      <w:sz w:val="48"/>
      <w:szCs w:val="48"/>
    </w:rPr>
  </w:style>
  <w:style w:type="paragraph" w:styleId="21">
    <w:name w:val="heading 2"/>
    <w:basedOn w:val="a0"/>
    <w:next w:val="a0"/>
    <w:link w:val="22"/>
    <w:qFormat/>
    <w:rsid w:val="00286F49"/>
    <w:pPr>
      <w:keepNext/>
      <w:spacing w:after="240" w:line="720" w:lineRule="atLeast"/>
      <w:ind w:left="397"/>
      <w:textAlignment w:val="baseline"/>
      <w:outlineLvl w:val="1"/>
    </w:pPr>
    <w:rPr>
      <w:rFonts w:ascii="Book Antiqua" w:eastAsia="華康楷書體W5" w:hAnsi="Arial"/>
      <w:b/>
      <w:spacing w:val="10"/>
      <w:sz w:val="40"/>
    </w:rPr>
  </w:style>
  <w:style w:type="paragraph" w:styleId="3">
    <w:name w:val="heading 3"/>
    <w:basedOn w:val="a0"/>
    <w:next w:val="a0"/>
    <w:link w:val="30"/>
    <w:uiPriority w:val="9"/>
    <w:unhideWhenUsed/>
    <w:qFormat/>
    <w:rsid w:val="00E1645B"/>
    <w:pPr>
      <w:keepNext/>
      <w:spacing w:line="720" w:lineRule="atLeast"/>
      <w:outlineLvl w:val="2"/>
    </w:pPr>
    <w:rPr>
      <w:rFonts w:ascii="Cambria" w:eastAsia="新細明體"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弟3行"/>
    <w:basedOn w:val="a0"/>
    <w:pPr>
      <w:spacing w:line="300" w:lineRule="exact"/>
    </w:pPr>
    <w:rPr>
      <w:rFonts w:eastAsia=".文鼎中楷"/>
      <w:sz w:val="36"/>
    </w:rPr>
  </w:style>
  <w:style w:type="paragraph" w:customStyle="1" w:styleId="a4">
    <w:name w:val="信內文"/>
    <w:basedOn w:val="31"/>
    <w:pPr>
      <w:spacing w:line="360" w:lineRule="auto"/>
    </w:pPr>
    <w:rPr>
      <w:rFonts w:ascii=".文鼎中楷"/>
      <w:spacing w:val="43"/>
    </w:rPr>
  </w:style>
  <w:style w:type="paragraph" w:styleId="a5">
    <w:name w:val="footer"/>
    <w:basedOn w:val="a0"/>
    <w:link w:val="a6"/>
    <w:uiPriority w:val="99"/>
    <w:pPr>
      <w:tabs>
        <w:tab w:val="center" w:pos="4153"/>
        <w:tab w:val="right" w:pos="8306"/>
      </w:tabs>
      <w:spacing w:line="360" w:lineRule="auto"/>
    </w:pPr>
    <w:rPr>
      <w:sz w:val="18"/>
    </w:rPr>
  </w:style>
  <w:style w:type="paragraph" w:styleId="a7">
    <w:name w:val="header"/>
    <w:basedOn w:val="a0"/>
    <w:link w:val="a8"/>
    <w:uiPriority w:val="99"/>
    <w:pPr>
      <w:tabs>
        <w:tab w:val="center" w:pos="4153"/>
        <w:tab w:val="right" w:pos="8306"/>
      </w:tabs>
    </w:pPr>
  </w:style>
  <w:style w:type="character" w:styleId="a9">
    <w:name w:val="page number"/>
    <w:rPr>
      <w:rFonts w:ascii="Times New Roman" w:hAnsi="Times New Roman" w:cs="Times New Roman"/>
    </w:rPr>
  </w:style>
  <w:style w:type="paragraph" w:customStyle="1" w:styleId="aa">
    <w:name w:val="主旨"/>
    <w:basedOn w:val="a0"/>
    <w:pPr>
      <w:spacing w:line="720" w:lineRule="exact"/>
      <w:ind w:left="1021" w:hanging="1021"/>
    </w:pPr>
    <w:rPr>
      <w:rFonts w:eastAsia=".文鼎中楷"/>
      <w:sz w:val="36"/>
    </w:rPr>
  </w:style>
  <w:style w:type="paragraph" w:customStyle="1" w:styleId="13">
    <w:name w:val="說明1"/>
    <w:basedOn w:val="aa"/>
  </w:style>
  <w:style w:type="paragraph" w:customStyle="1" w:styleId="ab">
    <w:name w:val="說明"/>
    <w:basedOn w:val="aa"/>
    <w:pPr>
      <w:ind w:left="1474" w:hanging="1474"/>
    </w:pPr>
  </w:style>
  <w:style w:type="paragraph" w:customStyle="1" w:styleId="ac">
    <w:name w:val="二"/>
    <w:basedOn w:val="ab"/>
    <w:pPr>
      <w:ind w:left="397" w:hanging="397"/>
    </w:pPr>
  </w:style>
  <w:style w:type="paragraph" w:customStyle="1" w:styleId="ad">
    <w:name w:val="(一)"/>
    <w:basedOn w:val="ac"/>
    <w:pPr>
      <w:ind w:left="794"/>
    </w:pPr>
  </w:style>
  <w:style w:type="paragraph" w:customStyle="1" w:styleId="ae">
    <w:name w:val="案由"/>
    <w:basedOn w:val="a0"/>
    <w:pPr>
      <w:spacing w:line="680" w:lineRule="exact"/>
      <w:ind w:left="1134" w:hanging="1134"/>
      <w:jc w:val="both"/>
    </w:pPr>
    <w:rPr>
      <w:rFonts w:ascii="華康中楷體" w:eastAsia="華康中楷體"/>
      <w:spacing w:val="16"/>
      <w:sz w:val="36"/>
    </w:rPr>
  </w:style>
  <w:style w:type="paragraph" w:customStyle="1" w:styleId="af">
    <w:name w:val="二、"/>
    <w:basedOn w:val="a0"/>
    <w:pPr>
      <w:spacing w:line="680" w:lineRule="exact"/>
      <w:ind w:left="1560" w:hanging="426"/>
      <w:jc w:val="both"/>
    </w:pPr>
    <w:rPr>
      <w:rFonts w:ascii="華康中楷體" w:eastAsia="華康中楷體"/>
      <w:spacing w:val="16"/>
      <w:sz w:val="36"/>
    </w:rPr>
  </w:style>
  <w:style w:type="paragraph" w:customStyle="1" w:styleId="14">
    <w:name w:val="本文縮排1"/>
    <w:basedOn w:val="a0"/>
    <w:pPr>
      <w:spacing w:line="680" w:lineRule="exact"/>
      <w:ind w:left="2002" w:hanging="420"/>
      <w:jc w:val="both"/>
      <w:textDirection w:val="lrTbV"/>
    </w:pPr>
    <w:rPr>
      <w:rFonts w:ascii="華康楷書體W5" w:eastAsia="華康楷書體W5"/>
      <w:spacing w:val="16"/>
      <w:sz w:val="36"/>
    </w:rPr>
  </w:style>
  <w:style w:type="paragraph" w:styleId="23">
    <w:name w:val="Body Text Indent 2"/>
    <w:basedOn w:val="a0"/>
    <w:pPr>
      <w:spacing w:line="640" w:lineRule="exact"/>
      <w:ind w:left="1120"/>
      <w:jc w:val="both"/>
      <w:textDirection w:val="lrTbV"/>
    </w:pPr>
    <w:rPr>
      <w:rFonts w:ascii="華康楷書體W5" w:eastAsia="華康楷書體W5"/>
      <w:spacing w:val="16"/>
      <w:sz w:val="36"/>
    </w:rPr>
  </w:style>
  <w:style w:type="paragraph" w:styleId="32">
    <w:name w:val="Body Text Indent 3"/>
    <w:basedOn w:val="a0"/>
    <w:pPr>
      <w:spacing w:line="680" w:lineRule="exact"/>
      <w:ind w:left="1134"/>
      <w:jc w:val="both"/>
      <w:textDirection w:val="lrTbV"/>
    </w:pPr>
    <w:rPr>
      <w:rFonts w:ascii="華康楷書體W5" w:eastAsia="華康楷書體W5"/>
      <w:spacing w:val="16"/>
      <w:sz w:val="36"/>
    </w:rPr>
  </w:style>
  <w:style w:type="paragraph" w:styleId="af0">
    <w:name w:val="Block Text"/>
    <w:basedOn w:val="a0"/>
    <w:pPr>
      <w:spacing w:line="680" w:lineRule="exact"/>
      <w:ind w:left="1596" w:right="-20" w:hanging="1596"/>
      <w:jc w:val="both"/>
      <w:textDirection w:val="lrTbV"/>
    </w:pPr>
    <w:rPr>
      <w:rFonts w:ascii="華康楷書體W5" w:eastAsia="華康楷書體W5"/>
      <w:spacing w:val="10"/>
      <w:sz w:val="36"/>
    </w:rPr>
  </w:style>
  <w:style w:type="paragraph" w:customStyle="1" w:styleId="BodyTextIndent31">
    <w:name w:val="Body Text Indent 31"/>
    <w:basedOn w:val="a0"/>
    <w:pPr>
      <w:autoSpaceDE w:val="0"/>
      <w:autoSpaceDN w:val="0"/>
      <w:spacing w:line="420" w:lineRule="exact"/>
      <w:ind w:left="624" w:hanging="624"/>
      <w:jc w:val="both"/>
      <w:textDirection w:val="lrTbV"/>
      <w:textAlignment w:val="baseline"/>
    </w:pPr>
    <w:rPr>
      <w:rFonts w:ascii="標楷體" w:eastAsia="標楷體"/>
      <w:sz w:val="32"/>
    </w:rPr>
  </w:style>
  <w:style w:type="paragraph" w:customStyle="1" w:styleId="af1">
    <w:name w:val="一、"/>
    <w:basedOn w:val="a0"/>
    <w:pPr>
      <w:spacing w:line="680" w:lineRule="exact"/>
      <w:ind w:left="425" w:hanging="425"/>
      <w:jc w:val="both"/>
    </w:pPr>
    <w:rPr>
      <w:rFonts w:ascii="華康楷書體W5" w:eastAsia="華康楷書體W5"/>
      <w:spacing w:val="16"/>
      <w:sz w:val="36"/>
    </w:rPr>
  </w:style>
  <w:style w:type="paragraph" w:styleId="Web">
    <w:name w:val="Normal (Web)"/>
    <w:basedOn w:val="a0"/>
    <w:uiPriority w:val="99"/>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
    <w:name w:val="bodytextindent31"/>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2">
    <w:name w:val="Plain Text"/>
    <w:basedOn w:val="a0"/>
    <w:semiHidden/>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customStyle="1" w:styleId="bodytextindent3100">
    <w:name w:val="bodytextindent310"/>
    <w:basedOn w:val="a0"/>
    <w:pPr>
      <w:widowControl/>
      <w:adjustRightInd/>
      <w:spacing w:before="100" w:beforeAutospacing="1" w:after="100" w:afterAutospacing="1" w:line="240" w:lineRule="auto"/>
      <w:textAlignment w:val="auto"/>
    </w:pPr>
    <w:rPr>
      <w:rFonts w:ascii="Arial Unicode MS" w:eastAsia="Arial Unicode MS" w:hAnsi="Arial Unicode MS"/>
      <w:sz w:val="24"/>
      <w:szCs w:val="24"/>
    </w:rPr>
  </w:style>
  <w:style w:type="paragraph" w:styleId="af3">
    <w:name w:val="Body Text"/>
    <w:basedOn w:val="a0"/>
    <w:link w:val="af4"/>
    <w:pPr>
      <w:spacing w:before="50" w:line="560" w:lineRule="exact"/>
    </w:pPr>
    <w:rPr>
      <w:rFonts w:eastAsia="標楷體"/>
      <w:sz w:val="3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rPr>
  </w:style>
  <w:style w:type="character" w:styleId="af5">
    <w:name w:val="Emphasis"/>
    <w:uiPriority w:val="20"/>
    <w:qFormat/>
    <w:rPr>
      <w:rFonts w:ascii="Times New Roman" w:hAnsi="Times New Roman" w:cs="Times New Roman"/>
      <w:color w:val="CC0033"/>
    </w:rPr>
  </w:style>
  <w:style w:type="character" w:styleId="af6">
    <w:name w:val="annotation reference"/>
    <w:semiHidden/>
    <w:rPr>
      <w:rFonts w:ascii="Times New Roman" w:hAnsi="Times New Roman" w:cs="Times New Roman"/>
      <w:sz w:val="18"/>
      <w:szCs w:val="18"/>
    </w:rPr>
  </w:style>
  <w:style w:type="paragraph" w:styleId="af7">
    <w:name w:val="annotation text"/>
    <w:basedOn w:val="a0"/>
    <w:link w:val="af8"/>
    <w:semiHidden/>
    <w:pPr>
      <w:adjustRightInd/>
      <w:spacing w:line="560" w:lineRule="exact"/>
      <w:textAlignment w:val="auto"/>
    </w:pPr>
    <w:rPr>
      <w:rFonts w:eastAsia="標楷體"/>
      <w:kern w:val="2"/>
      <w:sz w:val="32"/>
      <w:szCs w:val="24"/>
    </w:rPr>
  </w:style>
  <w:style w:type="character" w:customStyle="1" w:styleId="highlight">
    <w:name w:val="highlight"/>
    <w:rPr>
      <w:rFonts w:ascii="Times New Roman" w:hAnsi="Times New Roman" w:cs="Times New Roman"/>
    </w:rPr>
  </w:style>
  <w:style w:type="character" w:styleId="af9">
    <w:name w:val="Strong"/>
    <w:qFormat/>
    <w:rPr>
      <w:rFonts w:ascii="Times New Roman" w:hAnsi="Times New Roman" w:cs="Times New Roman"/>
      <w:b/>
      <w:bCs/>
    </w:rPr>
  </w:style>
  <w:style w:type="paragraph" w:customStyle="1" w:styleId="a">
    <w:name w:val="一"/>
    <w:basedOn w:val="a0"/>
    <w:pPr>
      <w:numPr>
        <w:numId w:val="18"/>
      </w:numPr>
      <w:tabs>
        <w:tab w:val="left" w:leader="hyphen" w:pos="3402"/>
        <w:tab w:val="left" w:leader="hyphen" w:pos="6804"/>
        <w:tab w:val="left" w:leader="hyphen" w:pos="10206"/>
        <w:tab w:val="left" w:leader="hyphen" w:pos="13608"/>
      </w:tabs>
      <w:spacing w:before="50" w:line="560" w:lineRule="exact"/>
      <w:jc w:val="both"/>
      <w:textAlignment w:val="baseline"/>
    </w:pPr>
    <w:rPr>
      <w:rFonts w:eastAsia="標楷體"/>
      <w:spacing w:val="-10"/>
      <w:sz w:val="32"/>
      <w:szCs w:val="32"/>
    </w:rPr>
  </w:style>
  <w:style w:type="paragraph" w:customStyle="1" w:styleId="15">
    <w:name w:val="1"/>
    <w:basedOn w:val="ad"/>
    <w:pPr>
      <w:tabs>
        <w:tab w:val="left" w:leader="hyphen" w:pos="3402"/>
        <w:tab w:val="left" w:leader="hyphen" w:pos="6804"/>
        <w:tab w:val="left" w:leader="hyphen" w:pos="10206"/>
        <w:tab w:val="left" w:leader="hyphen" w:pos="13608"/>
      </w:tabs>
      <w:spacing w:before="50" w:line="240" w:lineRule="auto"/>
      <w:ind w:left="1440" w:hanging="540"/>
      <w:jc w:val="both"/>
      <w:textAlignment w:val="baseline"/>
    </w:pPr>
    <w:rPr>
      <w:rFonts w:eastAsia="標楷體"/>
      <w:spacing w:val="-22"/>
      <w:sz w:val="32"/>
      <w:szCs w:val="32"/>
    </w:rPr>
  </w:style>
  <w:style w:type="paragraph" w:styleId="afa">
    <w:name w:val="Body Text Indent"/>
    <w:basedOn w:val="a0"/>
    <w:pPr>
      <w:spacing w:before="100" w:line="540" w:lineRule="exact"/>
      <w:ind w:left="620"/>
      <w:jc w:val="both"/>
    </w:pPr>
    <w:rPr>
      <w:rFonts w:eastAsia="標楷體"/>
      <w:sz w:val="32"/>
    </w:rPr>
  </w:style>
  <w:style w:type="character" w:customStyle="1" w:styleId="cpt2">
    <w:name w:val="cpt2"/>
    <w:basedOn w:val="a1"/>
  </w:style>
  <w:style w:type="paragraph" w:customStyle="1" w:styleId="Default">
    <w:name w:val="Default"/>
    <w:uiPriority w:val="99"/>
    <w:pPr>
      <w:widowControl w:val="0"/>
      <w:autoSpaceDE w:val="0"/>
      <w:autoSpaceDN w:val="0"/>
      <w:adjustRightInd w:val="0"/>
    </w:pPr>
    <w:rPr>
      <w:rFonts w:ascii="標楷體" w:eastAsia="標楷體"/>
      <w:color w:val="000000"/>
      <w:sz w:val="24"/>
      <w:szCs w:val="24"/>
    </w:rPr>
  </w:style>
  <w:style w:type="character" w:customStyle="1" w:styleId="boldtitle1">
    <w:name w:val="boldtitle1"/>
    <w:rPr>
      <w:b/>
      <w:bCs/>
    </w:rPr>
  </w:style>
  <w:style w:type="paragraph" w:styleId="afb">
    <w:name w:val="footnote text"/>
    <w:basedOn w:val="a0"/>
    <w:link w:val="afc"/>
    <w:pPr>
      <w:adjustRightInd/>
      <w:snapToGrid w:val="0"/>
      <w:spacing w:line="240" w:lineRule="auto"/>
      <w:textAlignment w:val="auto"/>
    </w:pPr>
    <w:rPr>
      <w:rFonts w:eastAsia="新細明體"/>
      <w:kern w:val="2"/>
    </w:rPr>
  </w:style>
  <w:style w:type="character" w:styleId="afd">
    <w:name w:val="footnote reference"/>
    <w:rPr>
      <w:vertAlign w:val="superscript"/>
    </w:rPr>
  </w:style>
  <w:style w:type="paragraph" w:styleId="afe">
    <w:name w:val="annotation subject"/>
    <w:basedOn w:val="af7"/>
    <w:next w:val="af7"/>
    <w:link w:val="aff"/>
    <w:uiPriority w:val="99"/>
    <w:semiHidden/>
    <w:unhideWhenUsed/>
    <w:rsid w:val="001A5E2D"/>
    <w:pPr>
      <w:adjustRightInd w:val="0"/>
      <w:spacing w:line="372" w:lineRule="exact"/>
      <w:textAlignment w:val="center"/>
    </w:pPr>
    <w:rPr>
      <w:rFonts w:eastAsia="細明體"/>
      <w:b/>
      <w:bCs/>
      <w:kern w:val="0"/>
      <w:sz w:val="20"/>
      <w:szCs w:val="20"/>
    </w:rPr>
  </w:style>
  <w:style w:type="character" w:customStyle="1" w:styleId="af8">
    <w:name w:val="註解文字 字元"/>
    <w:link w:val="af7"/>
    <w:semiHidden/>
    <w:rsid w:val="001A5E2D"/>
    <w:rPr>
      <w:rFonts w:eastAsia="標楷體"/>
      <w:kern w:val="2"/>
      <w:sz w:val="32"/>
      <w:szCs w:val="24"/>
    </w:rPr>
  </w:style>
  <w:style w:type="character" w:customStyle="1" w:styleId="aff">
    <w:name w:val="註解主旨 字元"/>
    <w:link w:val="afe"/>
    <w:uiPriority w:val="99"/>
    <w:semiHidden/>
    <w:rsid w:val="001A5E2D"/>
    <w:rPr>
      <w:rFonts w:eastAsia="細明體"/>
      <w:b/>
      <w:bCs/>
      <w:kern w:val="2"/>
      <w:sz w:val="32"/>
      <w:szCs w:val="24"/>
    </w:rPr>
  </w:style>
  <w:style w:type="paragraph" w:styleId="aff0">
    <w:name w:val="Balloon Text"/>
    <w:basedOn w:val="a0"/>
    <w:link w:val="aff1"/>
    <w:unhideWhenUsed/>
    <w:rsid w:val="001A5E2D"/>
    <w:pPr>
      <w:spacing w:line="240" w:lineRule="auto"/>
    </w:pPr>
    <w:rPr>
      <w:rFonts w:ascii="Cambria" w:eastAsia="新細明體" w:hAnsi="Cambria"/>
      <w:sz w:val="18"/>
      <w:szCs w:val="18"/>
    </w:rPr>
  </w:style>
  <w:style w:type="character" w:customStyle="1" w:styleId="aff1">
    <w:name w:val="註解方塊文字 字元"/>
    <w:link w:val="aff0"/>
    <w:rsid w:val="001A5E2D"/>
    <w:rPr>
      <w:rFonts w:ascii="Cambria" w:eastAsia="新細明體" w:hAnsi="Cambria" w:cs="Times New Roman"/>
      <w:sz w:val="18"/>
      <w:szCs w:val="18"/>
    </w:rPr>
  </w:style>
  <w:style w:type="character" w:customStyle="1" w:styleId="30">
    <w:name w:val="標題 3 字元"/>
    <w:link w:val="3"/>
    <w:uiPriority w:val="9"/>
    <w:semiHidden/>
    <w:rsid w:val="00E1645B"/>
    <w:rPr>
      <w:rFonts w:ascii="Cambria" w:eastAsia="新細明體" w:hAnsi="Cambria" w:cs="Times New Roman"/>
      <w:b/>
      <w:bCs/>
      <w:sz w:val="36"/>
      <w:szCs w:val="36"/>
    </w:rPr>
  </w:style>
  <w:style w:type="character" w:customStyle="1" w:styleId="st1">
    <w:name w:val="st1"/>
    <w:rsid w:val="002B4F91"/>
  </w:style>
  <w:style w:type="character" w:customStyle="1" w:styleId="22">
    <w:name w:val="標題 2 字元"/>
    <w:link w:val="21"/>
    <w:rsid w:val="00286F49"/>
    <w:rPr>
      <w:rFonts w:ascii="Book Antiqua" w:eastAsia="華康楷書體W5" w:hAnsi="Arial"/>
      <w:b/>
      <w:spacing w:val="10"/>
      <w:sz w:val="40"/>
    </w:rPr>
  </w:style>
  <w:style w:type="paragraph" w:customStyle="1" w:styleId="aff2">
    <w:name w:val="表附註"/>
    <w:basedOn w:val="24"/>
    <w:rsid w:val="00286F49"/>
    <w:pPr>
      <w:spacing w:after="0" w:line="240" w:lineRule="atLeast"/>
      <w:ind w:left="0"/>
    </w:pPr>
    <w:rPr>
      <w:spacing w:val="0"/>
      <w:sz w:val="24"/>
    </w:rPr>
  </w:style>
  <w:style w:type="paragraph" w:customStyle="1" w:styleId="24">
    <w:name w:val="內文2"/>
    <w:basedOn w:val="a0"/>
    <w:rsid w:val="00286F49"/>
    <w:pPr>
      <w:spacing w:before="120" w:after="120" w:line="324" w:lineRule="auto"/>
      <w:ind w:left="1134"/>
      <w:jc w:val="both"/>
      <w:textAlignment w:val="baseline"/>
    </w:pPr>
    <w:rPr>
      <w:rFonts w:ascii="Book Antiqua" w:eastAsia="華康楷書體W5"/>
      <w:spacing w:val="10"/>
      <w:sz w:val="36"/>
    </w:rPr>
  </w:style>
  <w:style w:type="paragraph" w:customStyle="1" w:styleId="16">
    <w:name w:val="內文1"/>
    <w:basedOn w:val="a0"/>
    <w:rsid w:val="00286F49"/>
    <w:pPr>
      <w:spacing w:before="120" w:after="120" w:line="360" w:lineRule="auto"/>
      <w:ind w:left="964" w:firstLine="397"/>
      <w:jc w:val="both"/>
      <w:textAlignment w:val="baseline"/>
    </w:pPr>
    <w:rPr>
      <w:rFonts w:ascii="Book Antiqua" w:eastAsia="華康中楷體"/>
      <w:spacing w:val="10"/>
      <w:sz w:val="36"/>
    </w:rPr>
  </w:style>
  <w:style w:type="paragraph" w:customStyle="1" w:styleId="33">
    <w:name w:val="內文3"/>
    <w:basedOn w:val="16"/>
    <w:rsid w:val="00286F49"/>
    <w:pPr>
      <w:ind w:left="2042" w:hanging="1021"/>
    </w:pPr>
    <w:rPr>
      <w:rFonts w:eastAsia="華康楷書體W5"/>
    </w:rPr>
  </w:style>
  <w:style w:type="paragraph" w:customStyle="1" w:styleId="4">
    <w:name w:val="內文4"/>
    <w:basedOn w:val="33"/>
    <w:rsid w:val="00286F49"/>
    <w:pPr>
      <w:spacing w:line="680" w:lineRule="exact"/>
      <w:ind w:left="1645" w:hanging="624"/>
    </w:pPr>
  </w:style>
  <w:style w:type="paragraph" w:customStyle="1" w:styleId="5">
    <w:name w:val="內文5"/>
    <w:basedOn w:val="33"/>
    <w:rsid w:val="00286F49"/>
    <w:pPr>
      <w:spacing w:before="240"/>
      <w:ind w:left="1305" w:hanging="284"/>
    </w:pPr>
  </w:style>
  <w:style w:type="paragraph" w:customStyle="1" w:styleId="40">
    <w:name w:val="標題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6">
    <w:name w:val="內文6"/>
    <w:basedOn w:val="16"/>
    <w:rsid w:val="00286F49"/>
    <w:pPr>
      <w:spacing w:line="680" w:lineRule="exact"/>
      <w:ind w:left="567" w:firstLine="680"/>
    </w:pPr>
    <w:rPr>
      <w:rFonts w:eastAsia="華康楷書體W5"/>
    </w:rPr>
  </w:style>
  <w:style w:type="paragraph" w:customStyle="1" w:styleId="50">
    <w:name w:val="標題5"/>
    <w:basedOn w:val="40"/>
    <w:rsid w:val="00286F49"/>
    <w:pPr>
      <w:ind w:left="567"/>
    </w:pPr>
    <w:rPr>
      <w:rFonts w:ascii="Book Antiqua"/>
      <w:b w:val="0"/>
      <w:sz w:val="32"/>
    </w:rPr>
  </w:style>
  <w:style w:type="paragraph" w:customStyle="1" w:styleId="7">
    <w:name w:val="內文7"/>
    <w:basedOn w:val="4"/>
    <w:rsid w:val="00286F49"/>
    <w:pPr>
      <w:ind w:left="2211" w:hanging="964"/>
    </w:pPr>
  </w:style>
  <w:style w:type="paragraph" w:customStyle="1" w:styleId="60">
    <w:name w:val="標題6"/>
    <w:basedOn w:val="50"/>
    <w:rsid w:val="00286F49"/>
    <w:rPr>
      <w:b/>
    </w:rPr>
  </w:style>
  <w:style w:type="paragraph" w:customStyle="1" w:styleId="70">
    <w:name w:val="標題7"/>
    <w:basedOn w:val="3"/>
    <w:rsid w:val="00286F49"/>
    <w:pPr>
      <w:spacing w:before="120" w:after="360"/>
      <w:ind w:left="794" w:hanging="1247"/>
      <w:jc w:val="both"/>
      <w:textAlignment w:val="baseline"/>
      <w:outlineLvl w:val="9"/>
    </w:pPr>
    <w:rPr>
      <w:rFonts w:ascii="Arial" w:eastAsia="華康楷書體W5" w:hAnsi="Arial"/>
      <w:b w:val="0"/>
      <w:bCs w:val="0"/>
      <w:spacing w:val="10"/>
      <w:szCs w:val="20"/>
    </w:rPr>
  </w:style>
  <w:style w:type="paragraph" w:customStyle="1" w:styleId="8">
    <w:name w:val="內文8"/>
    <w:basedOn w:val="7"/>
    <w:rsid w:val="00286F49"/>
    <w:pPr>
      <w:spacing w:before="0" w:after="0"/>
    </w:pPr>
  </w:style>
  <w:style w:type="paragraph" w:customStyle="1" w:styleId="9">
    <w:name w:val="內文9"/>
    <w:basedOn w:val="4"/>
    <w:rsid w:val="00286F49"/>
    <w:pPr>
      <w:spacing w:before="0" w:after="0"/>
    </w:pPr>
  </w:style>
  <w:style w:type="paragraph" w:customStyle="1" w:styleId="17">
    <w:name w:val="樣式1"/>
    <w:basedOn w:val="a0"/>
    <w:rsid w:val="00286F49"/>
    <w:pPr>
      <w:spacing w:after="240" w:line="680" w:lineRule="exact"/>
      <w:ind w:left="1134" w:firstLine="567"/>
      <w:jc w:val="both"/>
      <w:textAlignment w:val="baseline"/>
    </w:pPr>
    <w:rPr>
      <w:rFonts w:ascii="Book Antiqua" w:eastAsia="華康楷書體W5"/>
      <w:spacing w:val="10"/>
      <w:sz w:val="36"/>
    </w:rPr>
  </w:style>
  <w:style w:type="paragraph" w:customStyle="1" w:styleId="80">
    <w:name w:val="標題8"/>
    <w:basedOn w:val="3"/>
    <w:rsid w:val="00286F49"/>
    <w:pPr>
      <w:spacing w:before="120" w:after="360"/>
      <w:ind w:left="1814" w:hanging="1247"/>
      <w:jc w:val="both"/>
      <w:textAlignment w:val="baseline"/>
      <w:outlineLvl w:val="9"/>
    </w:pPr>
    <w:rPr>
      <w:rFonts w:ascii="Arial" w:eastAsia="華康楷書體W5" w:hAnsi="Arial"/>
      <w:bCs w:val="0"/>
      <w:spacing w:val="10"/>
      <w:sz w:val="40"/>
      <w:szCs w:val="20"/>
    </w:rPr>
  </w:style>
  <w:style w:type="paragraph" w:customStyle="1" w:styleId="90">
    <w:name w:val="標題9"/>
    <w:basedOn w:val="70"/>
    <w:rsid w:val="00286F49"/>
    <w:pPr>
      <w:ind w:left="680" w:firstLine="0"/>
      <w:jc w:val="left"/>
    </w:pPr>
  </w:style>
  <w:style w:type="paragraph" w:customStyle="1" w:styleId="100">
    <w:name w:val="內文10"/>
    <w:basedOn w:val="6"/>
    <w:rsid w:val="00286F49"/>
    <w:pPr>
      <w:ind w:firstLine="454"/>
    </w:pPr>
  </w:style>
  <w:style w:type="paragraph" w:customStyle="1" w:styleId="110">
    <w:name w:val="內文11"/>
    <w:basedOn w:val="100"/>
    <w:rsid w:val="00286F49"/>
  </w:style>
  <w:style w:type="paragraph" w:customStyle="1" w:styleId="120">
    <w:name w:val="內文12"/>
    <w:basedOn w:val="8"/>
    <w:rsid w:val="00286F49"/>
    <w:pPr>
      <w:ind w:left="1248"/>
    </w:pPr>
    <w:rPr>
      <w:spacing w:val="0"/>
    </w:rPr>
  </w:style>
  <w:style w:type="paragraph" w:customStyle="1" w:styleId="aff3">
    <w:name w:val="ｂ（）ｒ"/>
    <w:basedOn w:val="a0"/>
    <w:rsid w:val="00286F49"/>
    <w:pPr>
      <w:spacing w:before="120" w:after="120" w:line="680" w:lineRule="exact"/>
      <w:ind w:left="2042" w:hanging="1021"/>
      <w:jc w:val="both"/>
      <w:textDirection w:val="lrTbV"/>
      <w:textAlignment w:val="baseline"/>
    </w:pPr>
    <w:rPr>
      <w:rFonts w:ascii="Book Antiqua" w:eastAsia="標楷體"/>
      <w:color w:val="000000"/>
      <w:spacing w:val="10"/>
      <w:sz w:val="36"/>
    </w:rPr>
  </w:style>
  <w:style w:type="paragraph" w:customStyle="1" w:styleId="210">
    <w:name w:val="本文 21"/>
    <w:basedOn w:val="a0"/>
    <w:rsid w:val="00286F49"/>
    <w:pPr>
      <w:spacing w:line="240" w:lineRule="auto"/>
      <w:ind w:firstLine="720"/>
      <w:jc w:val="both"/>
      <w:textAlignment w:val="baseline"/>
    </w:pPr>
    <w:rPr>
      <w:rFonts w:ascii="華康仿宋體W6" w:eastAsia="華康仿宋體W6"/>
      <w:kern w:val="2"/>
      <w:sz w:val="36"/>
    </w:rPr>
  </w:style>
  <w:style w:type="paragraph" w:customStyle="1" w:styleId="aff4">
    <w:name w:val="點段"/>
    <w:basedOn w:val="a0"/>
    <w:rsid w:val="00286F49"/>
    <w:pPr>
      <w:tabs>
        <w:tab w:val="left" w:pos="1332"/>
        <w:tab w:val="left" w:pos="11421"/>
      </w:tabs>
      <w:spacing w:before="120" w:after="120" w:line="440" w:lineRule="atLeast"/>
      <w:ind w:left="976" w:hanging="488"/>
      <w:jc w:val="both"/>
      <w:textAlignment w:val="baseline"/>
    </w:pPr>
    <w:rPr>
      <w:rFonts w:ascii="標楷體" w:eastAsia="標楷體"/>
      <w:sz w:val="36"/>
    </w:rPr>
  </w:style>
  <w:style w:type="paragraph" w:customStyle="1" w:styleId="18">
    <w:name w:val="(1)"/>
    <w:basedOn w:val="a0"/>
    <w:rsid w:val="00286F49"/>
    <w:pPr>
      <w:spacing w:before="120" w:after="120" w:line="360" w:lineRule="auto"/>
      <w:ind w:left="960" w:hanging="450"/>
      <w:jc w:val="both"/>
      <w:textAlignment w:val="baseline"/>
    </w:pPr>
    <w:rPr>
      <w:rFonts w:ascii="細明體"/>
      <w:sz w:val="28"/>
    </w:rPr>
  </w:style>
  <w:style w:type="paragraph" w:customStyle="1" w:styleId="aff5">
    <w:name w:val="(一)文"/>
    <w:basedOn w:val="a0"/>
    <w:rsid w:val="00286F49"/>
    <w:pPr>
      <w:spacing w:before="120" w:after="120" w:line="680" w:lineRule="exact"/>
      <w:ind w:right="40" w:firstLine="765"/>
      <w:textAlignment w:val="baseline"/>
    </w:pPr>
    <w:rPr>
      <w:rFonts w:ascii="華康楷書體W5" w:eastAsia="華康楷書體W5"/>
      <w:spacing w:val="20"/>
      <w:sz w:val="36"/>
    </w:rPr>
  </w:style>
  <w:style w:type="paragraph" w:customStyle="1" w:styleId="aff6">
    <w:name w:val="姓名"/>
    <w:basedOn w:val="a0"/>
    <w:rsid w:val="00286F49"/>
    <w:pPr>
      <w:spacing w:before="120" w:after="120" w:line="360" w:lineRule="auto"/>
      <w:ind w:left="510"/>
      <w:jc w:val="center"/>
      <w:textAlignment w:val="baseline"/>
    </w:pPr>
    <w:rPr>
      <w:rFonts w:ascii="Book Antiqua" w:eastAsia="華康隸書體W5"/>
      <w:sz w:val="28"/>
    </w:rPr>
  </w:style>
  <w:style w:type="paragraph" w:customStyle="1" w:styleId="19">
    <w:name w:val="段落1"/>
    <w:basedOn w:val="a0"/>
    <w:rsid w:val="00286F49"/>
    <w:pPr>
      <w:spacing w:before="120" w:after="120" w:line="960" w:lineRule="atLeast"/>
      <w:ind w:firstLine="1080"/>
      <w:jc w:val="both"/>
      <w:textAlignment w:val="baseline"/>
    </w:pPr>
    <w:rPr>
      <w:rFonts w:ascii="華康中楷體" w:eastAsia="華康中楷體"/>
      <w:spacing w:val="5"/>
      <w:sz w:val="54"/>
    </w:rPr>
  </w:style>
  <w:style w:type="paragraph" w:styleId="aff7">
    <w:name w:val="Document Map"/>
    <w:basedOn w:val="a0"/>
    <w:link w:val="aff8"/>
    <w:semiHidden/>
    <w:rsid w:val="00286F49"/>
    <w:pPr>
      <w:shd w:val="clear" w:color="auto" w:fill="000080"/>
      <w:spacing w:after="240" w:line="680" w:lineRule="exact"/>
      <w:ind w:left="1134" w:firstLine="567"/>
      <w:jc w:val="both"/>
      <w:textAlignment w:val="baseline"/>
    </w:pPr>
    <w:rPr>
      <w:rFonts w:ascii="Arial" w:eastAsia="新細明體" w:hAnsi="Arial"/>
      <w:spacing w:val="10"/>
      <w:sz w:val="36"/>
    </w:rPr>
  </w:style>
  <w:style w:type="character" w:customStyle="1" w:styleId="aff8">
    <w:name w:val="文件引導模式 字元"/>
    <w:link w:val="aff7"/>
    <w:semiHidden/>
    <w:rsid w:val="00286F49"/>
    <w:rPr>
      <w:rFonts w:ascii="Arial" w:hAnsi="Arial"/>
      <w:spacing w:val="10"/>
      <w:sz w:val="36"/>
      <w:shd w:val="clear" w:color="auto" w:fill="000080"/>
    </w:rPr>
  </w:style>
  <w:style w:type="paragraph" w:customStyle="1" w:styleId="D4">
    <w:name w:val="陏D4"/>
    <w:basedOn w:val="3"/>
    <w:rsid w:val="00286F49"/>
    <w:pPr>
      <w:spacing w:before="120" w:after="360"/>
      <w:textAlignment w:val="baseline"/>
      <w:outlineLvl w:val="9"/>
    </w:pPr>
    <w:rPr>
      <w:rFonts w:ascii="Arial" w:eastAsia="華康楷書體W5" w:hAnsi="Arial"/>
      <w:bCs w:val="0"/>
      <w:spacing w:val="10"/>
      <w:sz w:val="40"/>
      <w:szCs w:val="20"/>
    </w:rPr>
  </w:style>
  <w:style w:type="paragraph" w:customStyle="1" w:styleId="BodyText22">
    <w:name w:val="Body Text 22"/>
    <w:basedOn w:val="a0"/>
    <w:rsid w:val="00286F49"/>
    <w:pPr>
      <w:spacing w:before="120" w:after="120" w:line="440" w:lineRule="exact"/>
      <w:textAlignment w:val="baseline"/>
    </w:pPr>
    <w:rPr>
      <w:rFonts w:ascii="標楷體" w:eastAsia="標楷體"/>
      <w:sz w:val="30"/>
    </w:rPr>
  </w:style>
  <w:style w:type="paragraph" w:customStyle="1" w:styleId="aff9">
    <w:name w:val="中標題"/>
    <w:basedOn w:val="a0"/>
    <w:rsid w:val="00286F49"/>
    <w:pPr>
      <w:tabs>
        <w:tab w:val="left" w:pos="12960"/>
      </w:tabs>
      <w:spacing w:line="400" w:lineRule="atLeast"/>
      <w:textAlignment w:val="baseline"/>
    </w:pPr>
    <w:rPr>
      <w:sz w:val="22"/>
    </w:rPr>
  </w:style>
  <w:style w:type="paragraph" w:customStyle="1" w:styleId="affa">
    <w:name w:val="大標題本文"/>
    <w:basedOn w:val="a0"/>
    <w:rsid w:val="00286F49"/>
    <w:pPr>
      <w:tabs>
        <w:tab w:val="left" w:pos="13680"/>
      </w:tabs>
      <w:spacing w:before="60" w:after="60" w:line="440" w:lineRule="exact"/>
      <w:ind w:firstLine="476"/>
      <w:jc w:val="both"/>
      <w:textAlignment w:val="baseline"/>
    </w:pPr>
    <w:rPr>
      <w:rFonts w:eastAsia="華康中楷體"/>
      <w:sz w:val="24"/>
    </w:rPr>
  </w:style>
  <w:style w:type="character" w:customStyle="1" w:styleId="textstory1">
    <w:name w:val="text_story1"/>
    <w:rsid w:val="00286F49"/>
    <w:rPr>
      <w:rFonts w:ascii="sө" w:hAnsi="sө" w:hint="default"/>
      <w:i w:val="0"/>
      <w:iCs w:val="0"/>
      <w:strike w:val="0"/>
      <w:dstrike w:val="0"/>
      <w:color w:val="000000"/>
      <w:sz w:val="22"/>
      <w:szCs w:val="22"/>
      <w:u w:val="none"/>
      <w:effect w:val="none"/>
    </w:rPr>
  </w:style>
  <w:style w:type="paragraph" w:customStyle="1" w:styleId="section">
    <w:name w:val="section"/>
    <w:basedOn w:val="a0"/>
    <w:rsid w:val="00286F49"/>
    <w:pPr>
      <w:tabs>
        <w:tab w:val="left" w:pos="5580"/>
      </w:tabs>
      <w:autoSpaceDE w:val="0"/>
      <w:autoSpaceDN w:val="0"/>
      <w:spacing w:before="120" w:after="120" w:line="480" w:lineRule="atLeast"/>
      <w:ind w:firstLine="539"/>
      <w:jc w:val="both"/>
      <w:textAlignment w:val="baseline"/>
    </w:pPr>
    <w:rPr>
      <w:rFonts w:eastAsia="標楷體"/>
      <w:sz w:val="28"/>
    </w:rPr>
  </w:style>
  <w:style w:type="paragraph" w:styleId="affb">
    <w:name w:val="Salutation"/>
    <w:basedOn w:val="a0"/>
    <w:next w:val="a0"/>
    <w:link w:val="affc"/>
    <w:rsid w:val="00286F49"/>
    <w:pPr>
      <w:spacing w:after="240" w:line="680" w:lineRule="exact"/>
      <w:ind w:left="1134" w:firstLine="567"/>
      <w:jc w:val="both"/>
      <w:textAlignment w:val="baseline"/>
    </w:pPr>
    <w:rPr>
      <w:rFonts w:ascii="標楷體" w:eastAsia="標楷體" w:hAnsi="Garamond"/>
      <w:spacing w:val="20"/>
      <w:sz w:val="32"/>
    </w:rPr>
  </w:style>
  <w:style w:type="character" w:customStyle="1" w:styleId="affc">
    <w:name w:val="問候 字元"/>
    <w:link w:val="affb"/>
    <w:rsid w:val="00286F49"/>
    <w:rPr>
      <w:rFonts w:ascii="標楷體" w:eastAsia="標楷體" w:hAnsi="Garamond"/>
      <w:spacing w:val="20"/>
      <w:sz w:val="32"/>
    </w:rPr>
  </w:style>
  <w:style w:type="paragraph" w:styleId="affd">
    <w:name w:val="Closing"/>
    <w:basedOn w:val="a0"/>
    <w:next w:val="a0"/>
    <w:link w:val="affe"/>
    <w:rsid w:val="00286F49"/>
    <w:pPr>
      <w:spacing w:after="240" w:line="680" w:lineRule="exact"/>
      <w:ind w:left="4320" w:firstLine="567"/>
      <w:jc w:val="both"/>
      <w:textAlignment w:val="baseline"/>
    </w:pPr>
    <w:rPr>
      <w:rFonts w:ascii="標楷體" w:eastAsia="標楷體" w:hAnsi="Garamond"/>
      <w:spacing w:val="20"/>
      <w:sz w:val="32"/>
    </w:rPr>
  </w:style>
  <w:style w:type="character" w:customStyle="1" w:styleId="affe">
    <w:name w:val="結語 字元"/>
    <w:link w:val="affd"/>
    <w:rsid w:val="00286F49"/>
    <w:rPr>
      <w:rFonts w:ascii="標楷體" w:eastAsia="標楷體" w:hAnsi="Garamond"/>
      <w:spacing w:val="20"/>
      <w:sz w:val="32"/>
    </w:rPr>
  </w:style>
  <w:style w:type="paragraph" w:customStyle="1" w:styleId="afff">
    <w:name w:val="小段"/>
    <w:basedOn w:val="a0"/>
    <w:rsid w:val="00286F49"/>
    <w:pPr>
      <w:adjustRightInd/>
      <w:snapToGrid w:val="0"/>
      <w:spacing w:before="120" w:after="120" w:line="500" w:lineRule="atLeast"/>
      <w:ind w:right="26" w:firstLine="720"/>
      <w:jc w:val="both"/>
      <w:textAlignment w:val="auto"/>
    </w:pPr>
    <w:rPr>
      <w:rFonts w:eastAsia="標楷體"/>
      <w:kern w:val="2"/>
      <w:sz w:val="32"/>
    </w:rPr>
  </w:style>
  <w:style w:type="paragraph" w:customStyle="1" w:styleId="main">
    <w:name w:val="main"/>
    <w:basedOn w:val="a0"/>
    <w:rsid w:val="00286F49"/>
    <w:pPr>
      <w:adjustRightInd/>
      <w:snapToGrid w:val="0"/>
      <w:spacing w:beforeLines="50" w:before="180" w:afterLines="50" w:after="180" w:line="540" w:lineRule="atLeast"/>
      <w:ind w:firstLineChars="200" w:firstLine="560"/>
      <w:jc w:val="both"/>
      <w:textAlignment w:val="auto"/>
    </w:pPr>
    <w:rPr>
      <w:rFonts w:ascii="標楷體" w:eastAsia="標楷體" w:hAnsi="標楷體"/>
      <w:kern w:val="2"/>
      <w:sz w:val="28"/>
      <w:szCs w:val="24"/>
    </w:rPr>
  </w:style>
  <w:style w:type="paragraph" w:customStyle="1" w:styleId="P0">
    <w:name w:val="P0"/>
    <w:basedOn w:val="afa"/>
    <w:rsid w:val="00286F49"/>
    <w:pPr>
      <w:snapToGrid w:val="0"/>
      <w:spacing w:before="120" w:line="700" w:lineRule="atLeast"/>
      <w:ind w:left="960" w:firstLine="720"/>
      <w:textDirection w:val="lrTbV"/>
      <w:textAlignment w:val="baseline"/>
    </w:pPr>
    <w:rPr>
      <w:rFonts w:ascii="標楷體"/>
      <w:spacing w:val="20"/>
    </w:rPr>
  </w:style>
  <w:style w:type="paragraph" w:customStyle="1" w:styleId="afff0">
    <w:name w:val="表內容"/>
    <w:basedOn w:val="24"/>
    <w:rsid w:val="00286F49"/>
    <w:pPr>
      <w:spacing w:before="0" w:line="240" w:lineRule="atLeast"/>
      <w:ind w:left="0"/>
      <w:jc w:val="center"/>
    </w:pPr>
    <w:rPr>
      <w:spacing w:val="0"/>
      <w:sz w:val="22"/>
    </w:rPr>
  </w:style>
  <w:style w:type="character" w:customStyle="1" w:styleId="text11">
    <w:name w:val="text11"/>
    <w:rsid w:val="00286F49"/>
    <w:rPr>
      <w:color w:val="000000"/>
      <w:sz w:val="22"/>
      <w:szCs w:val="22"/>
    </w:rPr>
  </w:style>
  <w:style w:type="paragraph" w:styleId="20">
    <w:name w:val="toc 2"/>
    <w:aliases w:val="樣式(一)"/>
    <w:basedOn w:val="a0"/>
    <w:autoRedefine/>
    <w:semiHidden/>
    <w:rsid w:val="00286F49"/>
    <w:pPr>
      <w:numPr>
        <w:ilvl w:val="1"/>
        <w:numId w:val="3"/>
      </w:numPr>
      <w:adjustRightInd/>
      <w:spacing w:line="240" w:lineRule="auto"/>
      <w:jc w:val="both"/>
      <w:textAlignment w:val="auto"/>
    </w:pPr>
    <w:rPr>
      <w:rFonts w:eastAsia="標楷體"/>
      <w:b/>
      <w:kern w:val="2"/>
      <w:sz w:val="28"/>
    </w:rPr>
  </w:style>
  <w:style w:type="character" w:styleId="afff1">
    <w:name w:val="Hyperlink"/>
    <w:rsid w:val="00286F49"/>
    <w:rPr>
      <w:strike w:val="0"/>
      <w:dstrike w:val="0"/>
      <w:color w:val="0066CC"/>
      <w:u w:val="none"/>
      <w:effect w:val="none"/>
    </w:rPr>
  </w:style>
  <w:style w:type="character" w:styleId="afff2">
    <w:name w:val="FollowedHyperlink"/>
    <w:rsid w:val="00286F49"/>
    <w:rPr>
      <w:color w:val="800080"/>
      <w:u w:val="single"/>
    </w:rPr>
  </w:style>
  <w:style w:type="character" w:customStyle="1" w:styleId="newscontent1">
    <w:name w:val="news_content1"/>
    <w:rsid w:val="00286F49"/>
    <w:rPr>
      <w:sz w:val="19"/>
      <w:szCs w:val="19"/>
    </w:rPr>
  </w:style>
  <w:style w:type="paragraph" w:customStyle="1" w:styleId="afff3">
    <w:name w:val="內文 + 標楷體"/>
    <w:aliases w:val="16 點,左右對齊,左:  0 cm,凸出:  3.6 字元,行距:  固定行高 30 pt,14 點"/>
    <w:basedOn w:val="a0"/>
    <w:rsid w:val="00286F49"/>
    <w:pPr>
      <w:adjustRightInd/>
      <w:spacing w:line="240" w:lineRule="auto"/>
      <w:textAlignment w:val="auto"/>
    </w:pPr>
    <w:rPr>
      <w:rFonts w:ascii="標楷體" w:eastAsia="標楷體" w:hAnsi="標楷體"/>
      <w:kern w:val="2"/>
      <w:sz w:val="28"/>
      <w:szCs w:val="28"/>
    </w:rPr>
  </w:style>
  <w:style w:type="character" w:customStyle="1" w:styleId="mbody6">
    <w:name w:val="mbody6"/>
    <w:rsid w:val="00286F49"/>
    <w:rPr>
      <w:rFonts w:ascii="Arial" w:hAnsi="Arial" w:cs="Arial" w:hint="default"/>
      <w:sz w:val="24"/>
      <w:szCs w:val="24"/>
    </w:rPr>
  </w:style>
  <w:style w:type="paragraph" w:customStyle="1" w:styleId="afff4">
    <w:name w:val="一'"/>
    <w:basedOn w:val="a0"/>
    <w:rsid w:val="00286F49"/>
    <w:pPr>
      <w:spacing w:line="560" w:lineRule="atLeast"/>
      <w:ind w:firstLine="720"/>
      <w:jc w:val="both"/>
      <w:textAlignment w:val="baseline"/>
    </w:pPr>
    <w:rPr>
      <w:rFonts w:ascii="標楷體" w:eastAsia="標楷體"/>
      <w:sz w:val="36"/>
    </w:rPr>
  </w:style>
  <w:style w:type="paragraph" w:customStyle="1" w:styleId="default0">
    <w:name w:val="default"/>
    <w:basedOn w:val="a0"/>
    <w:rsid w:val="00286F49"/>
    <w:pPr>
      <w:widowControl/>
      <w:adjustRightInd/>
      <w:spacing w:before="100" w:beforeAutospacing="1" w:after="100" w:afterAutospacing="1" w:line="240" w:lineRule="auto"/>
      <w:textAlignment w:val="auto"/>
    </w:pPr>
    <w:rPr>
      <w:rFonts w:ascii="新細明體" w:eastAsia="新細明體" w:hAnsi="新細明體" w:cs="新細明體"/>
      <w:sz w:val="24"/>
      <w:szCs w:val="24"/>
    </w:rPr>
  </w:style>
  <w:style w:type="paragraph" w:customStyle="1" w:styleId="25">
    <w:name w:val="字元 字元2 字元 字元 字元 字元"/>
    <w:basedOn w:val="a0"/>
    <w:semiHidden/>
    <w:rsid w:val="00286F49"/>
    <w:pPr>
      <w:widowControl/>
      <w:adjustRightInd/>
      <w:spacing w:after="160" w:line="240" w:lineRule="exact"/>
      <w:textAlignment w:val="auto"/>
    </w:pPr>
    <w:rPr>
      <w:rFonts w:ascii="Verdana" w:eastAsia="Times New Roman" w:hAnsi="Verdana" w:cs="Mangal"/>
      <w:kern w:val="2"/>
      <w:szCs w:val="24"/>
      <w:lang w:eastAsia="en-US" w:bidi="hi-IN"/>
    </w:rPr>
  </w:style>
  <w:style w:type="character" w:customStyle="1" w:styleId="newmidwordlarge1">
    <w:name w:val="new_mid_word_large1"/>
    <w:rsid w:val="00286F49"/>
    <w:rPr>
      <w:rFonts w:ascii="Arial" w:hAnsi="Arial" w:cs="Arial" w:hint="default"/>
      <w:strike w:val="0"/>
      <w:dstrike w:val="0"/>
      <w:color w:val="555555"/>
      <w:sz w:val="19"/>
      <w:szCs w:val="19"/>
      <w:u w:val="none"/>
      <w:effect w:val="none"/>
    </w:rPr>
  </w:style>
  <w:style w:type="character" w:customStyle="1" w:styleId="12">
    <w:name w:val="標題 1 字元"/>
    <w:link w:val="11"/>
    <w:uiPriority w:val="9"/>
    <w:rsid w:val="00286F49"/>
    <w:rPr>
      <w:rFonts w:ascii="Arial Unicode MS" w:eastAsia="Arial Unicode MS" w:hAnsi="Arial Unicode MS" w:cs="Arial Unicode MS"/>
      <w:b/>
      <w:bCs/>
      <w:kern w:val="36"/>
      <w:sz w:val="48"/>
      <w:szCs w:val="48"/>
    </w:rPr>
  </w:style>
  <w:style w:type="paragraph" w:styleId="afff5">
    <w:name w:val="List Paragraph"/>
    <w:basedOn w:val="a0"/>
    <w:uiPriority w:val="34"/>
    <w:qFormat/>
    <w:rsid w:val="00286F49"/>
    <w:pPr>
      <w:spacing w:after="240" w:line="680" w:lineRule="exact"/>
      <w:ind w:leftChars="200" w:left="480" w:firstLine="567"/>
      <w:jc w:val="both"/>
      <w:textAlignment w:val="baseline"/>
    </w:pPr>
    <w:rPr>
      <w:rFonts w:ascii="Book Antiqua" w:eastAsia="華康楷書體W5"/>
      <w:spacing w:val="10"/>
      <w:sz w:val="36"/>
    </w:rPr>
  </w:style>
  <w:style w:type="table" w:styleId="afff6">
    <w:name w:val="Table Grid"/>
    <w:basedOn w:val="a2"/>
    <w:rsid w:val="00286F49"/>
    <w:rPr>
      <w:rFonts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註腳文字 字元"/>
    <w:link w:val="afb"/>
    <w:rsid w:val="00286F49"/>
    <w:rPr>
      <w:kern w:val="2"/>
    </w:rPr>
  </w:style>
  <w:style w:type="character" w:customStyle="1" w:styleId="a6">
    <w:name w:val="頁尾 字元"/>
    <w:link w:val="a5"/>
    <w:uiPriority w:val="99"/>
    <w:rsid w:val="0091791E"/>
    <w:rPr>
      <w:rFonts w:eastAsia="細明體"/>
      <w:sz w:val="18"/>
    </w:rPr>
  </w:style>
  <w:style w:type="character" w:customStyle="1" w:styleId="a8">
    <w:name w:val="頁首 字元"/>
    <w:link w:val="a7"/>
    <w:uiPriority w:val="99"/>
    <w:rsid w:val="00527E73"/>
    <w:rPr>
      <w:rFonts w:eastAsia="細明體"/>
    </w:rPr>
  </w:style>
  <w:style w:type="paragraph" w:customStyle="1" w:styleId="10">
    <w:name w:val="理監事會第 1層"/>
    <w:basedOn w:val="af0"/>
    <w:qFormat/>
    <w:rsid w:val="006D5EC2"/>
    <w:pPr>
      <w:widowControl/>
      <w:numPr>
        <w:numId w:val="5"/>
      </w:numPr>
      <w:topLinePunct/>
      <w:snapToGrid w:val="0"/>
      <w:spacing w:after="100" w:line="580" w:lineRule="exact"/>
      <w:ind w:left="925" w:right="0" w:hanging="641"/>
      <w:textDirection w:val="lrTb"/>
      <w:textAlignment w:val="auto"/>
    </w:pPr>
    <w:rPr>
      <w:rFonts w:ascii="Times New Roman" w:eastAsia="標楷體"/>
      <w:snapToGrid w:val="0"/>
      <w:spacing w:val="0"/>
      <w:sz w:val="32"/>
    </w:rPr>
  </w:style>
  <w:style w:type="paragraph" w:customStyle="1" w:styleId="2">
    <w:name w:val="理監事會第2層"/>
    <w:basedOn w:val="a0"/>
    <w:qFormat/>
    <w:rsid w:val="006D5EC2"/>
    <w:pPr>
      <w:widowControl/>
      <w:numPr>
        <w:numId w:val="6"/>
      </w:numPr>
      <w:tabs>
        <w:tab w:val="left" w:pos="1276"/>
      </w:tabs>
      <w:topLinePunct/>
      <w:snapToGrid w:val="0"/>
      <w:spacing w:after="100" w:line="580" w:lineRule="exact"/>
      <w:jc w:val="both"/>
      <w:textAlignment w:val="auto"/>
    </w:pPr>
    <w:rPr>
      <w:rFonts w:eastAsia="標楷體"/>
      <w:kern w:val="2"/>
      <w:sz w:val="32"/>
      <w:szCs w:val="24"/>
    </w:rPr>
  </w:style>
  <w:style w:type="paragraph" w:customStyle="1" w:styleId="34">
    <w:name w:val="理監事會第3層"/>
    <w:basedOn w:val="a0"/>
    <w:qFormat/>
    <w:rsid w:val="006D5EC2"/>
    <w:pPr>
      <w:widowControl/>
      <w:topLinePunct/>
      <w:snapToGrid w:val="0"/>
      <w:spacing w:after="100" w:line="580" w:lineRule="exact"/>
      <w:jc w:val="both"/>
      <w:textAlignment w:val="auto"/>
    </w:pPr>
    <w:rPr>
      <w:rFonts w:eastAsia="標楷體"/>
      <w:snapToGrid w:val="0"/>
      <w:sz w:val="32"/>
      <w:szCs w:val="24"/>
    </w:rPr>
  </w:style>
  <w:style w:type="paragraph" w:customStyle="1" w:styleId="1">
    <w:name w:val="1."/>
    <w:basedOn w:val="a0"/>
    <w:autoRedefine/>
    <w:rsid w:val="00EE7DB0"/>
    <w:pPr>
      <w:numPr>
        <w:numId w:val="11"/>
      </w:numPr>
      <w:topLinePunct/>
      <w:adjustRightInd/>
      <w:spacing w:after="100" w:line="580" w:lineRule="exact"/>
      <w:ind w:left="1406" w:right="28" w:hanging="641"/>
      <w:jc w:val="both"/>
      <w:textAlignment w:val="auto"/>
    </w:pPr>
    <w:rPr>
      <w:rFonts w:ascii="標楷體" w:eastAsia="標楷體"/>
      <w:kern w:val="2"/>
      <w:sz w:val="32"/>
      <w:szCs w:val="24"/>
    </w:rPr>
  </w:style>
  <w:style w:type="character" w:customStyle="1" w:styleId="af4">
    <w:name w:val="本文 字元"/>
    <w:basedOn w:val="a1"/>
    <w:link w:val="af3"/>
    <w:locked/>
    <w:rsid w:val="00BD32CA"/>
    <w:rPr>
      <w:rFonts w:eastAsia="標楷體"/>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012">
      <w:bodyDiv w:val="1"/>
      <w:marLeft w:val="0"/>
      <w:marRight w:val="0"/>
      <w:marTop w:val="0"/>
      <w:marBottom w:val="0"/>
      <w:divBdr>
        <w:top w:val="none" w:sz="0" w:space="0" w:color="auto"/>
        <w:left w:val="none" w:sz="0" w:space="0" w:color="auto"/>
        <w:bottom w:val="none" w:sz="0" w:space="0" w:color="auto"/>
        <w:right w:val="none" w:sz="0" w:space="0" w:color="auto"/>
      </w:divBdr>
      <w:divsChild>
        <w:div w:id="1287732111">
          <w:marLeft w:val="0"/>
          <w:marRight w:val="0"/>
          <w:marTop w:val="0"/>
          <w:marBottom w:val="0"/>
          <w:divBdr>
            <w:top w:val="none" w:sz="0" w:space="0" w:color="auto"/>
            <w:left w:val="none" w:sz="0" w:space="0" w:color="auto"/>
            <w:bottom w:val="none" w:sz="0" w:space="0" w:color="auto"/>
            <w:right w:val="none" w:sz="0" w:space="0" w:color="auto"/>
          </w:divBdr>
          <w:divsChild>
            <w:div w:id="1354460009">
              <w:marLeft w:val="0"/>
              <w:marRight w:val="0"/>
              <w:marTop w:val="0"/>
              <w:marBottom w:val="0"/>
              <w:divBdr>
                <w:top w:val="none" w:sz="0" w:space="0" w:color="auto"/>
                <w:left w:val="none" w:sz="0" w:space="0" w:color="auto"/>
                <w:bottom w:val="none" w:sz="0" w:space="0" w:color="auto"/>
                <w:right w:val="none" w:sz="0" w:space="0" w:color="auto"/>
              </w:divBdr>
              <w:divsChild>
                <w:div w:id="480732112">
                  <w:marLeft w:val="0"/>
                  <w:marRight w:val="0"/>
                  <w:marTop w:val="0"/>
                  <w:marBottom w:val="0"/>
                  <w:divBdr>
                    <w:top w:val="none" w:sz="0" w:space="0" w:color="auto"/>
                    <w:left w:val="none" w:sz="0" w:space="0" w:color="auto"/>
                    <w:bottom w:val="none" w:sz="0" w:space="0" w:color="auto"/>
                    <w:right w:val="none" w:sz="0" w:space="0" w:color="auto"/>
                  </w:divBdr>
                  <w:divsChild>
                    <w:div w:id="126896340">
                      <w:marLeft w:val="0"/>
                      <w:marRight w:val="0"/>
                      <w:marTop w:val="0"/>
                      <w:marBottom w:val="0"/>
                      <w:divBdr>
                        <w:top w:val="none" w:sz="0" w:space="0" w:color="auto"/>
                        <w:left w:val="none" w:sz="0" w:space="0" w:color="auto"/>
                        <w:bottom w:val="none" w:sz="0" w:space="0" w:color="auto"/>
                        <w:right w:val="none" w:sz="0" w:space="0" w:color="auto"/>
                      </w:divBdr>
                      <w:divsChild>
                        <w:div w:id="266472809">
                          <w:marLeft w:val="0"/>
                          <w:marRight w:val="0"/>
                          <w:marTop w:val="0"/>
                          <w:marBottom w:val="0"/>
                          <w:divBdr>
                            <w:top w:val="none" w:sz="0" w:space="0" w:color="auto"/>
                            <w:left w:val="none" w:sz="0" w:space="0" w:color="auto"/>
                            <w:bottom w:val="none" w:sz="0" w:space="0" w:color="auto"/>
                            <w:right w:val="none" w:sz="0" w:space="0" w:color="auto"/>
                          </w:divBdr>
                          <w:divsChild>
                            <w:div w:id="33966606">
                              <w:marLeft w:val="0"/>
                              <w:marRight w:val="0"/>
                              <w:marTop w:val="0"/>
                              <w:marBottom w:val="0"/>
                              <w:divBdr>
                                <w:top w:val="none" w:sz="0" w:space="0" w:color="auto"/>
                                <w:left w:val="none" w:sz="0" w:space="0" w:color="auto"/>
                                <w:bottom w:val="none" w:sz="0" w:space="0" w:color="auto"/>
                                <w:right w:val="none" w:sz="0" w:space="0" w:color="auto"/>
                              </w:divBdr>
                              <w:divsChild>
                                <w:div w:id="719282890">
                                  <w:marLeft w:val="0"/>
                                  <w:marRight w:val="0"/>
                                  <w:marTop w:val="0"/>
                                  <w:marBottom w:val="0"/>
                                  <w:divBdr>
                                    <w:top w:val="none" w:sz="0" w:space="0" w:color="auto"/>
                                    <w:left w:val="none" w:sz="0" w:space="0" w:color="auto"/>
                                    <w:bottom w:val="none" w:sz="0" w:space="0" w:color="auto"/>
                                    <w:right w:val="none" w:sz="0" w:space="0" w:color="auto"/>
                                  </w:divBdr>
                                  <w:divsChild>
                                    <w:div w:id="2054769483">
                                      <w:marLeft w:val="0"/>
                                      <w:marRight w:val="0"/>
                                      <w:marTop w:val="0"/>
                                      <w:marBottom w:val="0"/>
                                      <w:divBdr>
                                        <w:top w:val="none" w:sz="0" w:space="0" w:color="auto"/>
                                        <w:left w:val="none" w:sz="0" w:space="0" w:color="auto"/>
                                        <w:bottom w:val="none" w:sz="0" w:space="0" w:color="auto"/>
                                        <w:right w:val="none" w:sz="0" w:space="0" w:color="auto"/>
                                      </w:divBdr>
                                      <w:divsChild>
                                        <w:div w:id="1334407986">
                                          <w:marLeft w:val="0"/>
                                          <w:marRight w:val="0"/>
                                          <w:marTop w:val="0"/>
                                          <w:marBottom w:val="525"/>
                                          <w:divBdr>
                                            <w:top w:val="none" w:sz="0" w:space="0" w:color="auto"/>
                                            <w:left w:val="none" w:sz="0" w:space="0" w:color="auto"/>
                                            <w:bottom w:val="none" w:sz="0" w:space="0" w:color="auto"/>
                                            <w:right w:val="none" w:sz="0" w:space="0" w:color="auto"/>
                                          </w:divBdr>
                                          <w:divsChild>
                                            <w:div w:id="1849908556">
                                              <w:marLeft w:val="0"/>
                                              <w:marRight w:val="0"/>
                                              <w:marTop w:val="0"/>
                                              <w:marBottom w:val="0"/>
                                              <w:divBdr>
                                                <w:top w:val="none" w:sz="0" w:space="0" w:color="auto"/>
                                                <w:left w:val="none" w:sz="0" w:space="0" w:color="auto"/>
                                                <w:bottom w:val="none" w:sz="0" w:space="0" w:color="auto"/>
                                                <w:right w:val="none" w:sz="0" w:space="0" w:color="auto"/>
                                              </w:divBdr>
                                              <w:divsChild>
                                                <w:div w:id="1001662720">
                                                  <w:marLeft w:val="0"/>
                                                  <w:marRight w:val="0"/>
                                                  <w:marTop w:val="225"/>
                                                  <w:marBottom w:val="0"/>
                                                  <w:divBdr>
                                                    <w:top w:val="none" w:sz="0" w:space="0" w:color="auto"/>
                                                    <w:left w:val="none" w:sz="0" w:space="0" w:color="auto"/>
                                                    <w:bottom w:val="none" w:sz="0" w:space="0" w:color="auto"/>
                                                    <w:right w:val="none" w:sz="0" w:space="0" w:color="auto"/>
                                                  </w:divBdr>
                                                  <w:divsChild>
                                                    <w:div w:id="13669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80650">
      <w:bodyDiv w:val="1"/>
      <w:marLeft w:val="0"/>
      <w:marRight w:val="0"/>
      <w:marTop w:val="0"/>
      <w:marBottom w:val="0"/>
      <w:divBdr>
        <w:top w:val="none" w:sz="0" w:space="0" w:color="auto"/>
        <w:left w:val="none" w:sz="0" w:space="0" w:color="auto"/>
        <w:bottom w:val="none" w:sz="0" w:space="0" w:color="auto"/>
        <w:right w:val="none" w:sz="0" w:space="0" w:color="auto"/>
      </w:divBdr>
    </w:div>
    <w:div w:id="306513676">
      <w:bodyDiv w:val="1"/>
      <w:marLeft w:val="0"/>
      <w:marRight w:val="0"/>
      <w:marTop w:val="0"/>
      <w:marBottom w:val="0"/>
      <w:divBdr>
        <w:top w:val="none" w:sz="0" w:space="0" w:color="auto"/>
        <w:left w:val="none" w:sz="0" w:space="0" w:color="auto"/>
        <w:bottom w:val="none" w:sz="0" w:space="0" w:color="auto"/>
        <w:right w:val="none" w:sz="0" w:space="0" w:color="auto"/>
      </w:divBdr>
    </w:div>
    <w:div w:id="472910718">
      <w:bodyDiv w:val="1"/>
      <w:marLeft w:val="0"/>
      <w:marRight w:val="0"/>
      <w:marTop w:val="0"/>
      <w:marBottom w:val="0"/>
      <w:divBdr>
        <w:top w:val="none" w:sz="0" w:space="0" w:color="auto"/>
        <w:left w:val="none" w:sz="0" w:space="0" w:color="auto"/>
        <w:bottom w:val="none" w:sz="0" w:space="0" w:color="auto"/>
        <w:right w:val="none" w:sz="0" w:space="0" w:color="auto"/>
      </w:divBdr>
    </w:div>
    <w:div w:id="504130895">
      <w:bodyDiv w:val="1"/>
      <w:marLeft w:val="0"/>
      <w:marRight w:val="0"/>
      <w:marTop w:val="0"/>
      <w:marBottom w:val="240"/>
      <w:divBdr>
        <w:top w:val="none" w:sz="0" w:space="0" w:color="auto"/>
        <w:left w:val="none" w:sz="0" w:space="0" w:color="auto"/>
        <w:bottom w:val="none" w:sz="0" w:space="0" w:color="auto"/>
        <w:right w:val="none" w:sz="0" w:space="0" w:color="auto"/>
      </w:divBdr>
      <w:divsChild>
        <w:div w:id="1841000680">
          <w:marLeft w:val="0"/>
          <w:marRight w:val="0"/>
          <w:marTop w:val="0"/>
          <w:marBottom w:val="0"/>
          <w:divBdr>
            <w:top w:val="none" w:sz="0" w:space="0" w:color="auto"/>
            <w:left w:val="none" w:sz="0" w:space="0" w:color="auto"/>
            <w:bottom w:val="none" w:sz="0" w:space="0" w:color="auto"/>
            <w:right w:val="none" w:sz="0" w:space="0" w:color="auto"/>
          </w:divBdr>
          <w:divsChild>
            <w:div w:id="494877479">
              <w:marLeft w:val="150"/>
              <w:marRight w:val="150"/>
              <w:marTop w:val="0"/>
              <w:marBottom w:val="0"/>
              <w:divBdr>
                <w:top w:val="none" w:sz="0" w:space="0" w:color="auto"/>
                <w:left w:val="none" w:sz="0" w:space="0" w:color="auto"/>
                <w:bottom w:val="none" w:sz="0" w:space="0" w:color="auto"/>
                <w:right w:val="none" w:sz="0" w:space="0" w:color="auto"/>
              </w:divBdr>
              <w:divsChild>
                <w:div w:id="1365592283">
                  <w:marLeft w:val="-2400"/>
                  <w:marRight w:val="0"/>
                  <w:marTop w:val="0"/>
                  <w:marBottom w:val="0"/>
                  <w:divBdr>
                    <w:top w:val="none" w:sz="0" w:space="0" w:color="auto"/>
                    <w:left w:val="none" w:sz="0" w:space="0" w:color="auto"/>
                    <w:bottom w:val="none" w:sz="0" w:space="0" w:color="auto"/>
                    <w:right w:val="none" w:sz="0" w:space="0" w:color="auto"/>
                  </w:divBdr>
                  <w:divsChild>
                    <w:div w:id="2115710508">
                      <w:marLeft w:val="2400"/>
                      <w:marRight w:val="0"/>
                      <w:marTop w:val="0"/>
                      <w:marBottom w:val="0"/>
                      <w:divBdr>
                        <w:top w:val="none" w:sz="0" w:space="0" w:color="auto"/>
                        <w:left w:val="none" w:sz="0" w:space="0" w:color="auto"/>
                        <w:bottom w:val="none" w:sz="0" w:space="0" w:color="auto"/>
                        <w:right w:val="none" w:sz="0" w:space="0" w:color="auto"/>
                      </w:divBdr>
                      <w:divsChild>
                        <w:div w:id="72167117">
                          <w:marLeft w:val="0"/>
                          <w:marRight w:val="-2400"/>
                          <w:marTop w:val="0"/>
                          <w:marBottom w:val="0"/>
                          <w:divBdr>
                            <w:top w:val="none" w:sz="0" w:space="0" w:color="auto"/>
                            <w:left w:val="none" w:sz="0" w:space="0" w:color="auto"/>
                            <w:bottom w:val="none" w:sz="0" w:space="0" w:color="auto"/>
                            <w:right w:val="none" w:sz="0" w:space="0" w:color="auto"/>
                          </w:divBdr>
                          <w:divsChild>
                            <w:div w:id="1204975458">
                              <w:marLeft w:val="0"/>
                              <w:marRight w:val="2400"/>
                              <w:marTop w:val="0"/>
                              <w:marBottom w:val="0"/>
                              <w:divBdr>
                                <w:top w:val="none" w:sz="0" w:space="0" w:color="auto"/>
                                <w:left w:val="none" w:sz="0" w:space="0" w:color="auto"/>
                                <w:bottom w:val="none" w:sz="0" w:space="0" w:color="auto"/>
                                <w:right w:val="none" w:sz="0" w:space="0" w:color="auto"/>
                              </w:divBdr>
                              <w:divsChild>
                                <w:div w:id="264383213">
                                  <w:marLeft w:val="0"/>
                                  <w:marRight w:val="0"/>
                                  <w:marTop w:val="0"/>
                                  <w:marBottom w:val="150"/>
                                  <w:divBdr>
                                    <w:top w:val="none" w:sz="0" w:space="0" w:color="auto"/>
                                    <w:left w:val="none" w:sz="0" w:space="0" w:color="auto"/>
                                    <w:bottom w:val="none" w:sz="0" w:space="0" w:color="auto"/>
                                    <w:right w:val="none" w:sz="0" w:space="0" w:color="auto"/>
                                  </w:divBdr>
                                  <w:divsChild>
                                    <w:div w:id="1492139786">
                                      <w:marLeft w:val="0"/>
                                      <w:marRight w:val="0"/>
                                      <w:marTop w:val="0"/>
                                      <w:marBottom w:val="0"/>
                                      <w:divBdr>
                                        <w:top w:val="none" w:sz="0" w:space="0" w:color="auto"/>
                                        <w:left w:val="none" w:sz="0" w:space="0" w:color="auto"/>
                                        <w:bottom w:val="none" w:sz="0" w:space="0" w:color="auto"/>
                                        <w:right w:val="none" w:sz="0" w:space="0" w:color="auto"/>
                                      </w:divBdr>
                                      <w:divsChild>
                                        <w:div w:id="658265426">
                                          <w:marLeft w:val="0"/>
                                          <w:marRight w:val="0"/>
                                          <w:marTop w:val="0"/>
                                          <w:marBottom w:val="0"/>
                                          <w:divBdr>
                                            <w:top w:val="none" w:sz="0" w:space="0" w:color="auto"/>
                                            <w:left w:val="none" w:sz="0" w:space="0" w:color="auto"/>
                                            <w:bottom w:val="none" w:sz="0" w:space="0" w:color="auto"/>
                                            <w:right w:val="none" w:sz="0" w:space="0" w:color="auto"/>
                                          </w:divBdr>
                                          <w:divsChild>
                                            <w:div w:id="540479810">
                                              <w:marLeft w:val="0"/>
                                              <w:marRight w:val="0"/>
                                              <w:marTop w:val="0"/>
                                              <w:marBottom w:val="0"/>
                                              <w:divBdr>
                                                <w:top w:val="none" w:sz="0" w:space="0" w:color="auto"/>
                                                <w:left w:val="none" w:sz="0" w:space="0" w:color="auto"/>
                                                <w:bottom w:val="none" w:sz="0" w:space="0" w:color="auto"/>
                                                <w:right w:val="none" w:sz="0" w:space="0" w:color="auto"/>
                                              </w:divBdr>
                                              <w:divsChild>
                                                <w:div w:id="115682945">
                                                  <w:marLeft w:val="0"/>
                                                  <w:marRight w:val="0"/>
                                                  <w:marTop w:val="0"/>
                                                  <w:marBottom w:val="0"/>
                                                  <w:divBdr>
                                                    <w:top w:val="none" w:sz="0" w:space="0" w:color="auto"/>
                                                    <w:left w:val="none" w:sz="0" w:space="0" w:color="auto"/>
                                                    <w:bottom w:val="none" w:sz="0" w:space="0" w:color="auto"/>
                                                    <w:right w:val="none" w:sz="0" w:space="0" w:color="auto"/>
                                                  </w:divBdr>
                                                  <w:divsChild>
                                                    <w:div w:id="267205383">
                                                      <w:marLeft w:val="0"/>
                                                      <w:marRight w:val="0"/>
                                                      <w:marTop w:val="0"/>
                                                      <w:marBottom w:val="0"/>
                                                      <w:divBdr>
                                                        <w:top w:val="none" w:sz="0" w:space="0" w:color="auto"/>
                                                        <w:left w:val="none" w:sz="0" w:space="0" w:color="auto"/>
                                                        <w:bottom w:val="none" w:sz="0" w:space="0" w:color="auto"/>
                                                        <w:right w:val="none" w:sz="0" w:space="0" w:color="auto"/>
                                                      </w:divBdr>
                                                      <w:divsChild>
                                                        <w:div w:id="449277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1921">
      <w:bodyDiv w:val="1"/>
      <w:marLeft w:val="0"/>
      <w:marRight w:val="0"/>
      <w:marTop w:val="0"/>
      <w:marBottom w:val="0"/>
      <w:divBdr>
        <w:top w:val="none" w:sz="0" w:space="0" w:color="auto"/>
        <w:left w:val="none" w:sz="0" w:space="0" w:color="auto"/>
        <w:bottom w:val="none" w:sz="0" w:space="0" w:color="auto"/>
        <w:right w:val="none" w:sz="0" w:space="0" w:color="auto"/>
      </w:divBdr>
    </w:div>
    <w:div w:id="767770398">
      <w:bodyDiv w:val="1"/>
      <w:marLeft w:val="0"/>
      <w:marRight w:val="0"/>
      <w:marTop w:val="0"/>
      <w:marBottom w:val="0"/>
      <w:divBdr>
        <w:top w:val="none" w:sz="0" w:space="0" w:color="auto"/>
        <w:left w:val="none" w:sz="0" w:space="0" w:color="auto"/>
        <w:bottom w:val="none" w:sz="0" w:space="0" w:color="auto"/>
        <w:right w:val="none" w:sz="0" w:space="0" w:color="auto"/>
      </w:divBdr>
      <w:divsChild>
        <w:div w:id="120613336">
          <w:marLeft w:val="120"/>
          <w:marRight w:val="120"/>
          <w:marTop w:val="120"/>
          <w:marBottom w:val="120"/>
          <w:divBdr>
            <w:top w:val="none" w:sz="0" w:space="0" w:color="auto"/>
            <w:left w:val="none" w:sz="0" w:space="0" w:color="auto"/>
            <w:bottom w:val="none" w:sz="0" w:space="0" w:color="auto"/>
            <w:right w:val="none" w:sz="0" w:space="0" w:color="auto"/>
          </w:divBdr>
          <w:divsChild>
            <w:div w:id="1019311596">
              <w:marLeft w:val="0"/>
              <w:marRight w:val="0"/>
              <w:marTop w:val="0"/>
              <w:marBottom w:val="0"/>
              <w:divBdr>
                <w:top w:val="none" w:sz="0" w:space="0" w:color="auto"/>
                <w:left w:val="none" w:sz="0" w:space="0" w:color="auto"/>
                <w:bottom w:val="none" w:sz="0" w:space="0" w:color="auto"/>
                <w:right w:val="none" w:sz="0" w:space="0" w:color="auto"/>
              </w:divBdr>
              <w:divsChild>
                <w:div w:id="319889021">
                  <w:marLeft w:val="0"/>
                  <w:marRight w:val="0"/>
                  <w:marTop w:val="0"/>
                  <w:marBottom w:val="0"/>
                  <w:divBdr>
                    <w:top w:val="none" w:sz="0" w:space="0" w:color="auto"/>
                    <w:left w:val="none" w:sz="0" w:space="0" w:color="auto"/>
                    <w:bottom w:val="none" w:sz="0" w:space="0" w:color="auto"/>
                    <w:right w:val="none" w:sz="0" w:space="0" w:color="auto"/>
                  </w:divBdr>
                  <w:divsChild>
                    <w:div w:id="179511562">
                      <w:marLeft w:val="0"/>
                      <w:marRight w:val="0"/>
                      <w:marTop w:val="0"/>
                      <w:marBottom w:val="0"/>
                      <w:divBdr>
                        <w:top w:val="none" w:sz="0" w:space="0" w:color="auto"/>
                        <w:left w:val="none" w:sz="0" w:space="0" w:color="auto"/>
                        <w:bottom w:val="none" w:sz="0" w:space="0" w:color="auto"/>
                        <w:right w:val="none" w:sz="0" w:space="0" w:color="auto"/>
                      </w:divBdr>
                      <w:divsChild>
                        <w:div w:id="1933315777">
                          <w:marLeft w:val="0"/>
                          <w:marRight w:val="0"/>
                          <w:marTop w:val="0"/>
                          <w:marBottom w:val="0"/>
                          <w:divBdr>
                            <w:top w:val="none" w:sz="0" w:space="0" w:color="auto"/>
                            <w:left w:val="none" w:sz="0" w:space="0" w:color="auto"/>
                            <w:bottom w:val="none" w:sz="0" w:space="0" w:color="auto"/>
                            <w:right w:val="none" w:sz="0" w:space="0" w:color="auto"/>
                          </w:divBdr>
                          <w:divsChild>
                            <w:div w:id="1083189090">
                              <w:marLeft w:val="0"/>
                              <w:marRight w:val="0"/>
                              <w:marTop w:val="0"/>
                              <w:marBottom w:val="0"/>
                              <w:divBdr>
                                <w:top w:val="none" w:sz="0" w:space="0" w:color="auto"/>
                                <w:left w:val="none" w:sz="0" w:space="0" w:color="auto"/>
                                <w:bottom w:val="none" w:sz="0" w:space="0" w:color="auto"/>
                                <w:right w:val="none" w:sz="0" w:space="0" w:color="auto"/>
                              </w:divBdr>
                              <w:divsChild>
                                <w:div w:id="2125033415">
                                  <w:marLeft w:val="0"/>
                                  <w:marRight w:val="0"/>
                                  <w:marTop w:val="0"/>
                                  <w:marBottom w:val="0"/>
                                  <w:divBdr>
                                    <w:top w:val="none" w:sz="0" w:space="0" w:color="auto"/>
                                    <w:left w:val="none" w:sz="0" w:space="0" w:color="auto"/>
                                    <w:bottom w:val="none" w:sz="0" w:space="0" w:color="auto"/>
                                    <w:right w:val="none" w:sz="0" w:space="0" w:color="auto"/>
                                  </w:divBdr>
                                  <w:divsChild>
                                    <w:div w:id="1487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6007">
      <w:bodyDiv w:val="1"/>
      <w:marLeft w:val="0"/>
      <w:marRight w:val="0"/>
      <w:marTop w:val="0"/>
      <w:marBottom w:val="0"/>
      <w:divBdr>
        <w:top w:val="none" w:sz="0" w:space="0" w:color="auto"/>
        <w:left w:val="none" w:sz="0" w:space="0" w:color="auto"/>
        <w:bottom w:val="none" w:sz="0" w:space="0" w:color="auto"/>
        <w:right w:val="none" w:sz="0" w:space="0" w:color="auto"/>
      </w:divBdr>
      <w:divsChild>
        <w:div w:id="872569922">
          <w:marLeft w:val="0"/>
          <w:marRight w:val="0"/>
          <w:marTop w:val="0"/>
          <w:marBottom w:val="0"/>
          <w:divBdr>
            <w:top w:val="none" w:sz="0" w:space="0" w:color="auto"/>
            <w:left w:val="none" w:sz="0" w:space="0" w:color="auto"/>
            <w:bottom w:val="none" w:sz="0" w:space="0" w:color="auto"/>
            <w:right w:val="none" w:sz="0" w:space="0" w:color="auto"/>
          </w:divBdr>
          <w:divsChild>
            <w:div w:id="1643805195">
              <w:marLeft w:val="150"/>
              <w:marRight w:val="0"/>
              <w:marTop w:val="75"/>
              <w:marBottom w:val="75"/>
              <w:divBdr>
                <w:top w:val="none" w:sz="0" w:space="0" w:color="auto"/>
                <w:left w:val="none" w:sz="0" w:space="0" w:color="auto"/>
                <w:bottom w:val="none" w:sz="0" w:space="0" w:color="auto"/>
                <w:right w:val="none" w:sz="0" w:space="0" w:color="auto"/>
              </w:divBdr>
              <w:divsChild>
                <w:div w:id="1816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569">
      <w:bodyDiv w:val="1"/>
      <w:marLeft w:val="0"/>
      <w:marRight w:val="0"/>
      <w:marTop w:val="0"/>
      <w:marBottom w:val="0"/>
      <w:divBdr>
        <w:top w:val="none" w:sz="0" w:space="0" w:color="auto"/>
        <w:left w:val="none" w:sz="0" w:space="0" w:color="auto"/>
        <w:bottom w:val="none" w:sz="0" w:space="0" w:color="auto"/>
        <w:right w:val="none" w:sz="0" w:space="0" w:color="auto"/>
      </w:divBdr>
      <w:divsChild>
        <w:div w:id="669212467">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51">
      <w:bodyDiv w:val="1"/>
      <w:marLeft w:val="0"/>
      <w:marRight w:val="0"/>
      <w:marTop w:val="0"/>
      <w:marBottom w:val="240"/>
      <w:divBdr>
        <w:top w:val="none" w:sz="0" w:space="0" w:color="auto"/>
        <w:left w:val="none" w:sz="0" w:space="0" w:color="auto"/>
        <w:bottom w:val="none" w:sz="0" w:space="0" w:color="auto"/>
        <w:right w:val="none" w:sz="0" w:space="0" w:color="auto"/>
      </w:divBdr>
      <w:divsChild>
        <w:div w:id="2133672186">
          <w:marLeft w:val="0"/>
          <w:marRight w:val="0"/>
          <w:marTop w:val="0"/>
          <w:marBottom w:val="0"/>
          <w:divBdr>
            <w:top w:val="none" w:sz="0" w:space="0" w:color="auto"/>
            <w:left w:val="none" w:sz="0" w:space="0" w:color="auto"/>
            <w:bottom w:val="none" w:sz="0" w:space="0" w:color="auto"/>
            <w:right w:val="none" w:sz="0" w:space="0" w:color="auto"/>
          </w:divBdr>
          <w:divsChild>
            <w:div w:id="1829200916">
              <w:marLeft w:val="150"/>
              <w:marRight w:val="150"/>
              <w:marTop w:val="0"/>
              <w:marBottom w:val="0"/>
              <w:divBdr>
                <w:top w:val="none" w:sz="0" w:space="0" w:color="auto"/>
                <w:left w:val="none" w:sz="0" w:space="0" w:color="auto"/>
                <w:bottom w:val="none" w:sz="0" w:space="0" w:color="auto"/>
                <w:right w:val="none" w:sz="0" w:space="0" w:color="auto"/>
              </w:divBdr>
              <w:divsChild>
                <w:div w:id="2006736792">
                  <w:marLeft w:val="-2400"/>
                  <w:marRight w:val="0"/>
                  <w:marTop w:val="0"/>
                  <w:marBottom w:val="0"/>
                  <w:divBdr>
                    <w:top w:val="none" w:sz="0" w:space="0" w:color="auto"/>
                    <w:left w:val="none" w:sz="0" w:space="0" w:color="auto"/>
                    <w:bottom w:val="none" w:sz="0" w:space="0" w:color="auto"/>
                    <w:right w:val="none" w:sz="0" w:space="0" w:color="auto"/>
                  </w:divBdr>
                  <w:divsChild>
                    <w:div w:id="336346963">
                      <w:marLeft w:val="2400"/>
                      <w:marRight w:val="0"/>
                      <w:marTop w:val="0"/>
                      <w:marBottom w:val="0"/>
                      <w:divBdr>
                        <w:top w:val="none" w:sz="0" w:space="0" w:color="auto"/>
                        <w:left w:val="none" w:sz="0" w:space="0" w:color="auto"/>
                        <w:bottom w:val="none" w:sz="0" w:space="0" w:color="auto"/>
                        <w:right w:val="none" w:sz="0" w:space="0" w:color="auto"/>
                      </w:divBdr>
                      <w:divsChild>
                        <w:div w:id="627013584">
                          <w:marLeft w:val="0"/>
                          <w:marRight w:val="-2400"/>
                          <w:marTop w:val="0"/>
                          <w:marBottom w:val="0"/>
                          <w:divBdr>
                            <w:top w:val="none" w:sz="0" w:space="0" w:color="auto"/>
                            <w:left w:val="none" w:sz="0" w:space="0" w:color="auto"/>
                            <w:bottom w:val="none" w:sz="0" w:space="0" w:color="auto"/>
                            <w:right w:val="none" w:sz="0" w:space="0" w:color="auto"/>
                          </w:divBdr>
                          <w:divsChild>
                            <w:div w:id="1966153551">
                              <w:marLeft w:val="0"/>
                              <w:marRight w:val="2400"/>
                              <w:marTop w:val="0"/>
                              <w:marBottom w:val="0"/>
                              <w:divBdr>
                                <w:top w:val="none" w:sz="0" w:space="0" w:color="auto"/>
                                <w:left w:val="none" w:sz="0" w:space="0" w:color="auto"/>
                                <w:bottom w:val="none" w:sz="0" w:space="0" w:color="auto"/>
                                <w:right w:val="none" w:sz="0" w:space="0" w:color="auto"/>
                              </w:divBdr>
                              <w:divsChild>
                                <w:div w:id="146869302">
                                  <w:marLeft w:val="0"/>
                                  <w:marRight w:val="0"/>
                                  <w:marTop w:val="0"/>
                                  <w:marBottom w:val="150"/>
                                  <w:divBdr>
                                    <w:top w:val="none" w:sz="0" w:space="0" w:color="auto"/>
                                    <w:left w:val="none" w:sz="0" w:space="0" w:color="auto"/>
                                    <w:bottom w:val="none" w:sz="0" w:space="0" w:color="auto"/>
                                    <w:right w:val="none" w:sz="0" w:space="0" w:color="auto"/>
                                  </w:divBdr>
                                  <w:divsChild>
                                    <w:div w:id="1951818746">
                                      <w:marLeft w:val="0"/>
                                      <w:marRight w:val="0"/>
                                      <w:marTop w:val="0"/>
                                      <w:marBottom w:val="0"/>
                                      <w:divBdr>
                                        <w:top w:val="none" w:sz="0" w:space="0" w:color="auto"/>
                                        <w:left w:val="none" w:sz="0" w:space="0" w:color="auto"/>
                                        <w:bottom w:val="none" w:sz="0" w:space="0" w:color="auto"/>
                                        <w:right w:val="none" w:sz="0" w:space="0" w:color="auto"/>
                                      </w:divBdr>
                                      <w:divsChild>
                                        <w:div w:id="92406730">
                                          <w:marLeft w:val="0"/>
                                          <w:marRight w:val="0"/>
                                          <w:marTop w:val="0"/>
                                          <w:marBottom w:val="0"/>
                                          <w:divBdr>
                                            <w:top w:val="none" w:sz="0" w:space="0" w:color="auto"/>
                                            <w:left w:val="none" w:sz="0" w:space="0" w:color="auto"/>
                                            <w:bottom w:val="none" w:sz="0" w:space="0" w:color="auto"/>
                                            <w:right w:val="none" w:sz="0" w:space="0" w:color="auto"/>
                                          </w:divBdr>
                                          <w:divsChild>
                                            <w:div w:id="1241872449">
                                              <w:marLeft w:val="0"/>
                                              <w:marRight w:val="0"/>
                                              <w:marTop w:val="0"/>
                                              <w:marBottom w:val="0"/>
                                              <w:divBdr>
                                                <w:top w:val="none" w:sz="0" w:space="0" w:color="auto"/>
                                                <w:left w:val="none" w:sz="0" w:space="0" w:color="auto"/>
                                                <w:bottom w:val="none" w:sz="0" w:space="0" w:color="auto"/>
                                                <w:right w:val="none" w:sz="0" w:space="0" w:color="auto"/>
                                              </w:divBdr>
                                              <w:divsChild>
                                                <w:div w:id="843326528">
                                                  <w:marLeft w:val="0"/>
                                                  <w:marRight w:val="0"/>
                                                  <w:marTop w:val="0"/>
                                                  <w:marBottom w:val="0"/>
                                                  <w:divBdr>
                                                    <w:top w:val="none" w:sz="0" w:space="0" w:color="auto"/>
                                                    <w:left w:val="none" w:sz="0" w:space="0" w:color="auto"/>
                                                    <w:bottom w:val="none" w:sz="0" w:space="0" w:color="auto"/>
                                                    <w:right w:val="none" w:sz="0" w:space="0" w:color="auto"/>
                                                  </w:divBdr>
                                                  <w:divsChild>
                                                    <w:div w:id="1838764793">
                                                      <w:marLeft w:val="0"/>
                                                      <w:marRight w:val="0"/>
                                                      <w:marTop w:val="0"/>
                                                      <w:marBottom w:val="0"/>
                                                      <w:divBdr>
                                                        <w:top w:val="none" w:sz="0" w:space="0" w:color="auto"/>
                                                        <w:left w:val="none" w:sz="0" w:space="0" w:color="auto"/>
                                                        <w:bottom w:val="none" w:sz="0" w:space="0" w:color="auto"/>
                                                        <w:right w:val="none" w:sz="0" w:space="0" w:color="auto"/>
                                                      </w:divBdr>
                                                      <w:divsChild>
                                                        <w:div w:id="796531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403611">
      <w:bodyDiv w:val="1"/>
      <w:marLeft w:val="0"/>
      <w:marRight w:val="0"/>
      <w:marTop w:val="0"/>
      <w:marBottom w:val="0"/>
      <w:divBdr>
        <w:top w:val="none" w:sz="0" w:space="0" w:color="auto"/>
        <w:left w:val="none" w:sz="0" w:space="0" w:color="auto"/>
        <w:bottom w:val="none" w:sz="0" w:space="0" w:color="auto"/>
        <w:right w:val="none" w:sz="0" w:space="0" w:color="auto"/>
      </w:divBdr>
    </w:div>
    <w:div w:id="1719546443">
      <w:bodyDiv w:val="1"/>
      <w:marLeft w:val="0"/>
      <w:marRight w:val="0"/>
      <w:marTop w:val="0"/>
      <w:marBottom w:val="0"/>
      <w:divBdr>
        <w:top w:val="none" w:sz="0" w:space="0" w:color="auto"/>
        <w:left w:val="none" w:sz="0" w:space="0" w:color="auto"/>
        <w:bottom w:val="none" w:sz="0" w:space="0" w:color="auto"/>
        <w:right w:val="none" w:sz="0" w:space="0" w:color="auto"/>
      </w:divBdr>
    </w:div>
    <w:div w:id="1744141129">
      <w:bodyDiv w:val="1"/>
      <w:marLeft w:val="0"/>
      <w:marRight w:val="0"/>
      <w:marTop w:val="0"/>
      <w:marBottom w:val="0"/>
      <w:divBdr>
        <w:top w:val="none" w:sz="0" w:space="0" w:color="auto"/>
        <w:left w:val="none" w:sz="0" w:space="0" w:color="auto"/>
        <w:bottom w:val="none" w:sz="0" w:space="0" w:color="auto"/>
        <w:right w:val="none" w:sz="0" w:space="0" w:color="auto"/>
      </w:divBdr>
    </w:div>
    <w:div w:id="1801652802">
      <w:bodyDiv w:val="1"/>
      <w:marLeft w:val="0"/>
      <w:marRight w:val="0"/>
      <w:marTop w:val="0"/>
      <w:marBottom w:val="0"/>
      <w:divBdr>
        <w:top w:val="none" w:sz="0" w:space="0" w:color="auto"/>
        <w:left w:val="none" w:sz="0" w:space="0" w:color="auto"/>
        <w:bottom w:val="none" w:sz="0" w:space="0" w:color="auto"/>
        <w:right w:val="none" w:sz="0" w:space="0" w:color="auto"/>
      </w:divBdr>
    </w:div>
    <w:div w:id="1943878611">
      <w:bodyDiv w:val="1"/>
      <w:marLeft w:val="0"/>
      <w:marRight w:val="0"/>
      <w:marTop w:val="0"/>
      <w:marBottom w:val="0"/>
      <w:divBdr>
        <w:top w:val="none" w:sz="0" w:space="0" w:color="auto"/>
        <w:left w:val="none" w:sz="0" w:space="0" w:color="auto"/>
        <w:bottom w:val="none" w:sz="0" w:space="0" w:color="auto"/>
        <w:right w:val="none" w:sz="0" w:space="0" w:color="auto"/>
      </w:divBdr>
    </w:div>
    <w:div w:id="2067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78890907867286"/>
          <c:y val="0.10797850740355569"/>
          <c:w val="0.78162278674909436"/>
          <c:h val="0.69604846563990819"/>
        </c:manualLayout>
      </c:layout>
      <c:scatterChart>
        <c:scatterStyle val="lineMarker"/>
        <c:varyColors val="0"/>
        <c:ser>
          <c:idx val="0"/>
          <c:order val="0"/>
          <c:spPr>
            <a:ln w="28575">
              <a:noFill/>
            </a:ln>
          </c:spPr>
          <c:dLbls>
            <c:dLbl>
              <c:idx val="0"/>
              <c:layout>
                <c:manualLayout>
                  <c:x val="-4.0297732014267446E-3"/>
                  <c:y val="4.1958434440977892E-3"/>
                </c:manualLayout>
              </c:layout>
              <c:tx>
                <c:rich>
                  <a:bodyPr/>
                  <a:lstStyle/>
                  <a:p>
                    <a:pPr>
                      <a:defRPr sz="1300" b="0"/>
                    </a:pPr>
                    <a:r>
                      <a:rPr lang="en-US" altLang="zh-TW" sz="1300" b="0"/>
                      <a:t>Indonesia</a:t>
                    </a:r>
                    <a:r>
                      <a:rPr lang="en-US" altLang="zh-TW" sz="1300" b="0" baseline="0"/>
                      <a:t> </a:t>
                    </a:r>
                    <a:endParaRPr lang="en-US" altLang="zh-TW" b="0"/>
                  </a:p>
                </c:rich>
              </c:tx>
              <c:spPr/>
              <c:showLegendKey val="0"/>
              <c:showVal val="0"/>
              <c:showCatName val="0"/>
              <c:showSerName val="1"/>
              <c:showPercent val="0"/>
              <c:showBubbleSize val="0"/>
            </c:dLbl>
            <c:dLbl>
              <c:idx val="1"/>
              <c:layout>
                <c:manualLayout>
                  <c:x val="-4.1826943763177147E-3"/>
                  <c:y val="4.1985965143478401E-3"/>
                </c:manualLayout>
              </c:layout>
              <c:tx>
                <c:rich>
                  <a:bodyPr/>
                  <a:lstStyle/>
                  <a:p>
                    <a:pPr>
                      <a:defRPr sz="1300" b="0"/>
                    </a:pPr>
                    <a:r>
                      <a:rPr lang="en-US" altLang="zh-TW" sz="1300" b="0"/>
                      <a:t>Thailand</a:t>
                    </a:r>
                    <a:endParaRPr lang="en-US" altLang="zh-TW" b="0"/>
                  </a:p>
                </c:rich>
              </c:tx>
              <c:spPr/>
              <c:showLegendKey val="0"/>
              <c:showVal val="0"/>
              <c:showCatName val="0"/>
              <c:showSerName val="1"/>
              <c:showPercent val="0"/>
              <c:showBubbleSize val="0"/>
            </c:dLbl>
            <c:dLbl>
              <c:idx val="2"/>
              <c:layout>
                <c:manualLayout>
                  <c:x val="-3.6676492361531732E-3"/>
                  <c:y val="-1.1264629657141529E-3"/>
                </c:manualLayout>
              </c:layout>
              <c:tx>
                <c:rich>
                  <a:bodyPr/>
                  <a:lstStyle/>
                  <a:p>
                    <a:pPr>
                      <a:defRPr sz="1600" b="1">
                        <a:solidFill>
                          <a:srgbClr val="0070C0"/>
                        </a:solidFill>
                      </a:defRPr>
                    </a:pPr>
                    <a:r>
                      <a:rPr lang="en-US" altLang="zh-TW" sz="1400" b="1">
                        <a:solidFill>
                          <a:srgbClr val="0070C0"/>
                        </a:solidFill>
                      </a:rPr>
                      <a:t>Taiwan</a:t>
                    </a:r>
                    <a:endParaRPr lang="en-US" sz="1600" b="1">
                      <a:solidFill>
                        <a:srgbClr val="0070C0"/>
                      </a:solidFill>
                    </a:endParaRPr>
                  </a:p>
                </c:rich>
              </c:tx>
              <c:spPr/>
              <c:showLegendKey val="0"/>
              <c:showVal val="0"/>
              <c:showCatName val="0"/>
              <c:showSerName val="1"/>
              <c:showPercent val="0"/>
              <c:showBubbleSize val="0"/>
            </c:dLbl>
            <c:dLbl>
              <c:idx val="3"/>
              <c:layout>
                <c:manualLayout>
                  <c:x val="-0.1955194531766504"/>
                  <c:y val="8.2955910997479093E-2"/>
                </c:manualLayout>
              </c:layout>
              <c:tx>
                <c:rich>
                  <a:bodyPr/>
                  <a:lstStyle/>
                  <a:p>
                    <a:pPr>
                      <a:defRPr sz="1300" b="0"/>
                    </a:pPr>
                    <a:r>
                      <a:rPr lang="en-US" altLang="zh-TW" sz="1300" b="0"/>
                      <a:t>Switzerland</a:t>
                    </a:r>
                    <a:endParaRPr lang="en-US" altLang="zh-TW" b="0"/>
                  </a:p>
                </c:rich>
              </c:tx>
              <c:spPr/>
              <c:showLegendKey val="0"/>
              <c:showVal val="0"/>
              <c:showCatName val="0"/>
              <c:showSerName val="1"/>
              <c:showPercent val="0"/>
              <c:showBubbleSize val="0"/>
            </c:dLbl>
            <c:dLbl>
              <c:idx val="4"/>
              <c:layout>
                <c:manualLayout>
                  <c:x val="-0.4669435070616173"/>
                  <c:y val="-8.9053772124638268E-3"/>
                </c:manualLayout>
              </c:layout>
              <c:tx>
                <c:rich>
                  <a:bodyPr/>
                  <a:lstStyle/>
                  <a:p>
                    <a:pPr>
                      <a:defRPr sz="1300" b="0"/>
                    </a:pPr>
                    <a:r>
                      <a:rPr lang="en-US" altLang="zh-TW" sz="1300" b="0"/>
                      <a:t>US</a:t>
                    </a:r>
                    <a:endParaRPr lang="en-US" b="0"/>
                  </a:p>
                </c:rich>
              </c:tx>
              <c:spPr/>
              <c:showLegendKey val="0"/>
              <c:showVal val="0"/>
              <c:showCatName val="0"/>
              <c:showSerName val="1"/>
              <c:showPercent val="0"/>
              <c:showBubbleSize val="0"/>
            </c:dLbl>
            <c:dLbl>
              <c:idx val="5"/>
              <c:layout>
                <c:manualLayout>
                  <c:x val="0.30950055935630999"/>
                  <c:y val="2.9420485619213914E-3"/>
                </c:manualLayout>
              </c:layout>
              <c:tx>
                <c:rich>
                  <a:bodyPr/>
                  <a:lstStyle/>
                  <a:p>
                    <a:r>
                      <a:rPr lang="en-US" altLang="zh-TW" sz="1300" b="1"/>
                      <a:t>China</a:t>
                    </a:r>
                    <a:endParaRPr lang="en-US"/>
                  </a:p>
                </c:rich>
              </c:tx>
              <c:showLegendKey val="0"/>
              <c:showVal val="0"/>
              <c:showCatName val="0"/>
              <c:showSerName val="1"/>
              <c:showPercent val="0"/>
              <c:showBubbleSize val="0"/>
            </c:dLbl>
            <c:dLbl>
              <c:idx val="6"/>
              <c:layout>
                <c:manualLayout>
                  <c:x val="6.1821027494514007E-2"/>
                  <c:y val="1.2692814548809014E-2"/>
                </c:manualLayout>
              </c:layout>
              <c:tx>
                <c:rich>
                  <a:bodyPr/>
                  <a:lstStyle/>
                  <a:p>
                    <a:pPr>
                      <a:defRPr sz="1300" b="0"/>
                    </a:pPr>
                    <a:r>
                      <a:rPr lang="en-US" altLang="zh-TW" sz="1300" b="0"/>
                      <a:t>Japan</a:t>
                    </a:r>
                    <a:r>
                      <a:rPr lang="en-US" sz="1300" b="0"/>
                      <a:t> </a:t>
                    </a:r>
                    <a:endParaRPr lang="en-US" b="0"/>
                  </a:p>
                </c:rich>
              </c:tx>
              <c:spPr/>
              <c:showLegendKey val="0"/>
              <c:showVal val="1"/>
              <c:showCatName val="0"/>
              <c:showSerName val="1"/>
              <c:showPercent val="0"/>
              <c:showBubbleSize val="0"/>
            </c:dLbl>
            <c:dLbl>
              <c:idx val="7"/>
              <c:layout>
                <c:manualLayout>
                  <c:x val="0.17498762962006797"/>
                  <c:y val="-2.354808420913913E-2"/>
                </c:manualLayout>
              </c:layout>
              <c:tx>
                <c:rich>
                  <a:bodyPr/>
                  <a:lstStyle/>
                  <a:p>
                    <a:r>
                      <a:rPr lang="en-US" altLang="zh-TW" sz="1300" b="1"/>
                      <a:t>Singapore</a:t>
                    </a:r>
                    <a:endParaRPr lang="en-US" b="1"/>
                  </a:p>
                </c:rich>
              </c:tx>
              <c:showLegendKey val="0"/>
              <c:showVal val="0"/>
              <c:showCatName val="0"/>
              <c:showSerName val="1"/>
              <c:showPercent val="0"/>
              <c:showBubbleSize val="0"/>
            </c:dLbl>
            <c:dLbl>
              <c:idx val="8"/>
              <c:layout>
                <c:manualLayout>
                  <c:x val="-6.8101487314085737E-3"/>
                  <c:y val="8.4288284719127096E-3"/>
                </c:manualLayout>
              </c:layout>
              <c:tx>
                <c:rich>
                  <a:bodyPr/>
                  <a:lstStyle/>
                  <a:p>
                    <a:r>
                      <a:rPr lang="en-US" altLang="zh-TW" sz="1300" b="1"/>
                      <a:t>South Korea</a:t>
                    </a:r>
                    <a:endParaRPr lang="en-US"/>
                  </a:p>
                </c:rich>
              </c:tx>
              <c:showLegendKey val="0"/>
              <c:showVal val="0"/>
              <c:showCatName val="0"/>
              <c:showSerName val="1"/>
              <c:showPercent val="0"/>
              <c:showBubbleSize val="0"/>
            </c:dLbl>
            <c:dLbl>
              <c:idx val="9"/>
              <c:layout>
                <c:manualLayout>
                  <c:x val="-2.9590051243594553E-3"/>
                  <c:y val="2.1136780979300663E-3"/>
                </c:manualLayout>
              </c:layout>
              <c:tx>
                <c:rich>
                  <a:bodyPr/>
                  <a:lstStyle/>
                  <a:p>
                    <a:r>
                      <a:rPr lang="en-US" altLang="zh-TW" sz="1300" b="1"/>
                      <a:t>Malaysia</a:t>
                    </a:r>
                    <a:endParaRPr lang="en-US"/>
                  </a:p>
                </c:rich>
              </c:tx>
              <c:showLegendKey val="0"/>
              <c:showVal val="0"/>
              <c:showCatName val="0"/>
              <c:showSerName val="1"/>
              <c:showPercent val="0"/>
              <c:showBubbleSize val="0"/>
            </c:dLbl>
            <c:dLbl>
              <c:idx val="10"/>
              <c:layout>
                <c:manualLayout>
                  <c:x val="-2.7360989476791094E-3"/>
                  <c:y val="2.0945945277316071E-3"/>
                </c:manualLayout>
              </c:layout>
              <c:tx>
                <c:rich>
                  <a:bodyPr/>
                  <a:lstStyle/>
                  <a:p>
                    <a:r>
                      <a:rPr lang="en-US"/>
                      <a:t>Hong Kong</a:t>
                    </a:r>
                  </a:p>
                </c:rich>
              </c:tx>
              <c:showLegendKey val="0"/>
              <c:showVal val="0"/>
              <c:showCatName val="0"/>
              <c:showSerName val="1"/>
              <c:showPercent val="0"/>
              <c:showBubbleSize val="0"/>
            </c:dLbl>
            <c:dLbl>
              <c:idx val="11"/>
              <c:layout>
                <c:manualLayout>
                  <c:x val="-6.7440246206532981E-2"/>
                  <c:y val="1.6842479249483837E-2"/>
                </c:manualLayout>
              </c:layout>
              <c:tx>
                <c:rich>
                  <a:bodyPr/>
                  <a:lstStyle/>
                  <a:p>
                    <a:pPr>
                      <a:defRPr sz="1300" b="0"/>
                    </a:pPr>
                    <a:r>
                      <a:rPr lang="en-US" b="0"/>
                      <a:t>Euro </a:t>
                    </a:r>
                  </a:p>
                  <a:p>
                    <a:pPr>
                      <a:defRPr sz="1300" b="0"/>
                    </a:pPr>
                    <a:r>
                      <a:rPr lang="en-US" b="0"/>
                      <a:t>Area</a:t>
                    </a:r>
                  </a:p>
                </c:rich>
              </c:tx>
              <c:spPr/>
              <c:showLegendKey val="0"/>
              <c:showVal val="0"/>
              <c:showCatName val="0"/>
              <c:showSerName val="1"/>
              <c:showPercent val="0"/>
              <c:showBubbleSize val="0"/>
            </c:dLbl>
            <c:dLbl>
              <c:idx val="12"/>
              <c:layout>
                <c:manualLayout>
                  <c:x val="-5.3176675391649018E-2"/>
                  <c:y val="7.6042958478294677E-3"/>
                </c:manualLayout>
              </c:layout>
              <c:tx>
                <c:rich>
                  <a:bodyPr/>
                  <a:lstStyle/>
                  <a:p>
                    <a:pPr>
                      <a:defRPr sz="1300" b="0"/>
                    </a:pPr>
                    <a:r>
                      <a:rPr lang="en-US" altLang="zh-TW" sz="1300" b="0"/>
                      <a:t>UK</a:t>
                    </a:r>
                    <a:endParaRPr lang="zh-TW" b="0"/>
                  </a:p>
                </c:rich>
              </c:tx>
              <c:spPr/>
              <c:showLegendKey val="0"/>
              <c:showVal val="1"/>
              <c:showCatName val="0"/>
              <c:showSerName val="1"/>
              <c:showPercent val="0"/>
              <c:showBubbleSize val="0"/>
            </c:dLbl>
            <c:dLbl>
              <c:idx val="13"/>
              <c:layout>
                <c:manualLayout>
                  <c:x val="-5.4700854700854701E-3"/>
                  <c:y val="-2.0964360587002098E-3"/>
                </c:manualLayout>
              </c:layout>
              <c:tx>
                <c:rich>
                  <a:bodyPr/>
                  <a:lstStyle/>
                  <a:p>
                    <a:r>
                      <a:rPr lang="en-US" altLang="zh-TW" sz="1300" b="1"/>
                      <a:t>Philippines</a:t>
                    </a:r>
                    <a:endParaRPr lang="en-US"/>
                  </a:p>
                </c:rich>
              </c:tx>
              <c:showLegendKey val="0"/>
              <c:showVal val="0"/>
              <c:showCatName val="0"/>
              <c:showSerName val="1"/>
              <c:showPercent val="0"/>
              <c:showBubbleSize val="0"/>
            </c:dLbl>
            <c:txPr>
              <a:bodyPr/>
              <a:lstStyle/>
              <a:p>
                <a:pPr>
                  <a:defRPr sz="1300" b="1"/>
                </a:pPr>
                <a:endParaRPr lang="zh-TW"/>
              </a:p>
            </c:txPr>
            <c:showLegendKey val="0"/>
            <c:showVal val="0"/>
            <c:showCatName val="0"/>
            <c:showSerName val="1"/>
            <c:showPercent val="0"/>
            <c:showBubbleSize val="0"/>
            <c:showLeaderLines val="0"/>
          </c:dLbls>
          <c:xVal>
            <c:numRef>
              <c:f>RR_跨國!$B$2:$B$15</c:f>
              <c:numCache>
                <c:formatCode>0.0_ </c:formatCode>
                <c:ptCount val="14"/>
                <c:pt idx="0">
                  <c:v>5</c:v>
                </c:pt>
                <c:pt idx="1">
                  <c:v>3.81</c:v>
                </c:pt>
                <c:pt idx="2" formatCode="0.00_);[Red]\(0.00\)">
                  <c:v>2.61</c:v>
                </c:pt>
                <c:pt idx="3">
                  <c:v>2.2799999999999998</c:v>
                </c:pt>
                <c:pt idx="4">
                  <c:v>6.8</c:v>
                </c:pt>
                <c:pt idx="5">
                  <c:v>3.59</c:v>
                </c:pt>
                <c:pt idx="6">
                  <c:v>1.07</c:v>
                </c:pt>
                <c:pt idx="7">
                  <c:v>1.77</c:v>
                </c:pt>
                <c:pt idx="8">
                  <c:v>3.2</c:v>
                </c:pt>
                <c:pt idx="9">
                  <c:v>5.93</c:v>
                </c:pt>
                <c:pt idx="10">
                  <c:v>3.63</c:v>
                </c:pt>
                <c:pt idx="11">
                  <c:v>2.4</c:v>
                </c:pt>
                <c:pt idx="12">
                  <c:v>1.52</c:v>
                </c:pt>
                <c:pt idx="13">
                  <c:v>6.6</c:v>
                </c:pt>
              </c:numCache>
            </c:numRef>
          </c:xVal>
          <c:yVal>
            <c:numRef>
              <c:f>RR_跨國!$C$2:$C$15</c:f>
              <c:numCache>
                <c:formatCode>0.000_ </c:formatCode>
                <c:ptCount val="14"/>
                <c:pt idx="0">
                  <c:v>0.91000000000000014</c:v>
                </c:pt>
                <c:pt idx="1">
                  <c:v>0.8</c:v>
                </c:pt>
                <c:pt idx="2" formatCode="0.000">
                  <c:v>0.45499999999999996</c:v>
                </c:pt>
                <c:pt idx="3">
                  <c:v>0</c:v>
                </c:pt>
                <c:pt idx="4">
                  <c:v>-0.22999999999999998</c:v>
                </c:pt>
                <c:pt idx="5">
                  <c:v>-0.24</c:v>
                </c:pt>
                <c:pt idx="6">
                  <c:v>-0.36</c:v>
                </c:pt>
                <c:pt idx="7">
                  <c:v>-0.42899999999999999</c:v>
                </c:pt>
                <c:pt idx="8">
                  <c:v>-0.74</c:v>
                </c:pt>
                <c:pt idx="9">
                  <c:v>-0.94</c:v>
                </c:pt>
                <c:pt idx="10">
                  <c:v>-1.45</c:v>
                </c:pt>
                <c:pt idx="11">
                  <c:v>-1.74</c:v>
                </c:pt>
                <c:pt idx="12">
                  <c:v>-1.83</c:v>
                </c:pt>
                <c:pt idx="13">
                  <c:v>-2.67</c:v>
                </c:pt>
              </c:numCache>
            </c:numRef>
          </c:yVal>
          <c:smooth val="0"/>
        </c:ser>
        <c:dLbls>
          <c:showLegendKey val="0"/>
          <c:showVal val="0"/>
          <c:showCatName val="0"/>
          <c:showSerName val="0"/>
          <c:showPercent val="0"/>
          <c:showBubbleSize val="0"/>
        </c:dLbls>
        <c:axId val="148235776"/>
        <c:axId val="148237312"/>
      </c:scatterChart>
      <c:valAx>
        <c:axId val="148235776"/>
        <c:scaling>
          <c:orientation val="minMax"/>
        </c:scaling>
        <c:delete val="0"/>
        <c:axPos val="b"/>
        <c:numFmt formatCode="0.0_ " sourceLinked="1"/>
        <c:majorTickMark val="out"/>
        <c:minorTickMark val="none"/>
        <c:tickLblPos val="low"/>
        <c:crossAx val="148237312"/>
        <c:crosses val="autoZero"/>
        <c:crossBetween val="midCat"/>
      </c:valAx>
      <c:valAx>
        <c:axId val="148237312"/>
        <c:scaling>
          <c:orientation val="minMax"/>
        </c:scaling>
        <c:delete val="0"/>
        <c:axPos val="l"/>
        <c:numFmt formatCode="0.0_ " sourceLinked="0"/>
        <c:majorTickMark val="out"/>
        <c:minorTickMark val="none"/>
        <c:tickLblPos val="nextTo"/>
        <c:crossAx val="148235776"/>
        <c:crosses val="autoZero"/>
        <c:crossBetween val="midCat"/>
      </c:valAx>
    </c:plotArea>
    <c:plotVisOnly val="1"/>
    <c:dispBlanksAs val="gap"/>
    <c:showDLblsOverMax val="0"/>
  </c:chart>
  <c:spPr>
    <a:noFill/>
    <a:ln>
      <a:noFill/>
    </a:ln>
  </c:spPr>
  <c:txPr>
    <a:bodyPr/>
    <a:lstStyle/>
    <a:p>
      <a:pPr>
        <a:defRPr sz="12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0.29018</cdr:x>
      <cdr:y>0.86764</cdr:y>
    </cdr:from>
    <cdr:to>
      <cdr:x>0.68271</cdr:x>
      <cdr:y>0.92244</cdr:y>
    </cdr:to>
    <cdr:sp macro="" textlink="">
      <cdr:nvSpPr>
        <cdr:cNvPr id="3" name="文字方塊 1"/>
        <cdr:cNvSpPr txBox="1"/>
      </cdr:nvSpPr>
      <cdr:spPr>
        <a:xfrm xmlns:a="http://schemas.openxmlformats.org/drawingml/2006/main">
          <a:off x="2694865" y="5256086"/>
          <a:ext cx="3645377" cy="3319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100" b="1" i="0">
              <a:latin typeface="Times New Roman" panose="02020603050405020304" pitchFamily="18" charset="0"/>
              <a:ea typeface="標楷體" panose="03000509000000000000" pitchFamily="65" charset="-120"/>
              <a:cs typeface="Times New Roman" panose="02020603050405020304" pitchFamily="18" charset="0"/>
            </a:rPr>
            <a:t>2017</a:t>
          </a:r>
          <a:r>
            <a:rPr lang="zh-TW" altLang="en-US" sz="1100" b="1" i="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100" b="1" i="0">
              <a:latin typeface="Times New Roman" panose="02020603050405020304" pitchFamily="18" charset="0"/>
              <a:ea typeface="標楷體" panose="03000509000000000000" pitchFamily="65" charset="-120"/>
              <a:cs typeface="Times New Roman" panose="02020603050405020304" pitchFamily="18" charset="0"/>
            </a:rPr>
            <a:t>GDP growth</a:t>
          </a:r>
          <a:r>
            <a:rPr lang="en-US" altLang="zh-TW" sz="1100" b="1" i="0" baseline="0">
              <a:latin typeface="Times New Roman" panose="02020603050405020304" pitchFamily="18" charset="0"/>
              <a:ea typeface="標楷體" panose="03000509000000000000" pitchFamily="65" charset="-120"/>
              <a:cs typeface="Times New Roman" panose="02020603050405020304" pitchFamily="18" charset="0"/>
            </a:rPr>
            <a:t> rate </a:t>
          </a:r>
          <a:r>
            <a:rPr lang="en-US" altLang="zh-TW" sz="1100" b="1"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100" b="1" i="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0.23831</cdr:x>
      <cdr:y>0.0203</cdr:y>
    </cdr:from>
    <cdr:to>
      <cdr:x>0.80494</cdr:x>
      <cdr:y>0.12314</cdr:y>
    </cdr:to>
    <cdr:sp macro="" textlink="">
      <cdr:nvSpPr>
        <cdr:cNvPr id="4"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0.06183</cdr:x>
      <cdr:y>0.20879</cdr:y>
    </cdr:from>
    <cdr:to>
      <cdr:x>0.06183</cdr:x>
      <cdr:y>0.27239</cdr:y>
    </cdr:to>
    <cdr:cxnSp macro="">
      <cdr:nvCxnSpPr>
        <cdr:cNvPr id="11" name="直線單箭頭接點 10"/>
        <cdr:cNvCxnSpPr/>
      </cdr:nvCxnSpPr>
      <cdr:spPr>
        <a:xfrm xmlns:a="http://schemas.openxmlformats.org/drawingml/2006/main" flipV="1">
          <a:off x="494683" y="868683"/>
          <a:ext cx="0" cy="264609"/>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0.0113</cdr:x>
      <cdr:y>0</cdr:y>
    </cdr:from>
    <cdr:to>
      <cdr:x>0.1821</cdr:x>
      <cdr:y>0.10993</cdr:y>
    </cdr:to>
    <cdr:sp macro="" textlink="">
      <cdr:nvSpPr>
        <cdr:cNvPr id="18" name="文字方塊 1"/>
        <cdr:cNvSpPr txBox="1"/>
      </cdr:nvSpPr>
      <cdr:spPr>
        <a:xfrm xmlns:a="http://schemas.openxmlformats.org/drawingml/2006/main">
          <a:off x="90435" y="0"/>
          <a:ext cx="1366576" cy="4573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altLang="zh-TW" sz="1100" b="1">
              <a:latin typeface="Times New Roman" panose="02020603050405020304" pitchFamily="18" charset="0"/>
              <a:ea typeface="標楷體" panose="03000509000000000000" pitchFamily="65" charset="-120"/>
              <a:cs typeface="Times New Roman" panose="02020603050405020304" pitchFamily="18" charset="0"/>
            </a:rPr>
            <a:t>Real</a:t>
          </a:r>
          <a:r>
            <a:rPr lang="en-US" altLang="zh-TW" sz="1100" b="1" baseline="0">
              <a:latin typeface="Times New Roman" panose="02020603050405020304" pitchFamily="18" charset="0"/>
              <a:ea typeface="標楷體" panose="03000509000000000000" pitchFamily="65" charset="-120"/>
              <a:cs typeface="Times New Roman" panose="02020603050405020304" pitchFamily="18" charset="0"/>
            </a:rPr>
            <a:t> interest rate</a:t>
          </a:r>
        </a:p>
        <a:p xmlns:a="http://schemas.openxmlformats.org/drawingml/2006/main">
          <a:pPr algn="ctr"/>
          <a:r>
            <a:rPr lang="en-US" altLang="zh-TW" sz="1100" b="1" baseline="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100" b="1">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100" b="1">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0.23831</cdr:x>
      <cdr:y>0.0203</cdr:y>
    </cdr:from>
    <cdr:to>
      <cdr:x>0.80494</cdr:x>
      <cdr:y>0.12314</cdr:y>
    </cdr:to>
    <cdr:sp macro="" textlink="">
      <cdr:nvSpPr>
        <cdr:cNvPr id="21"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0.06322</cdr:x>
      <cdr:y>0.44864</cdr:y>
    </cdr:from>
    <cdr:to>
      <cdr:x>0.06322</cdr:x>
      <cdr:y>0.59452</cdr:y>
    </cdr:to>
    <cdr:cxnSp macro="">
      <cdr:nvCxnSpPr>
        <cdr:cNvPr id="25" name="直線單箭頭接點 11"/>
        <cdr:cNvCxnSpPr/>
      </cdr:nvCxnSpPr>
      <cdr:spPr>
        <a:xfrm xmlns:a="http://schemas.openxmlformats.org/drawingml/2006/main" flipH="1">
          <a:off x="587083" y="2717797"/>
          <a:ext cx="0" cy="883726"/>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0.01773</cdr:x>
      <cdr:y>0.21471</cdr:y>
    </cdr:from>
    <cdr:to>
      <cdr:x>0.05833</cdr:x>
      <cdr:y>0.29164</cdr:y>
    </cdr:to>
    <cdr:sp macro="" textlink="">
      <cdr:nvSpPr>
        <cdr:cNvPr id="26" name="文字方塊 14"/>
        <cdr:cNvSpPr txBox="1"/>
      </cdr:nvSpPr>
      <cdr:spPr>
        <a:xfrm xmlns:a="http://schemas.openxmlformats.org/drawingml/2006/main">
          <a:off x="141858" y="893289"/>
          <a:ext cx="324840" cy="32006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altLang="zh-TW" sz="11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High</a:t>
          </a:r>
          <a:endParaRPr lang="zh-TW" altLang="en-US" sz="110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0.23831</cdr:x>
      <cdr:y>0.0203</cdr:y>
    </cdr:from>
    <cdr:to>
      <cdr:x>0.80494</cdr:x>
      <cdr:y>0.12314</cdr:y>
    </cdr:to>
    <cdr:sp macro="" textlink="">
      <cdr:nvSpPr>
        <cdr:cNvPr id="32" name="文字方塊 3"/>
        <cdr:cNvSpPr txBox="1"/>
      </cdr:nvSpPr>
      <cdr:spPr>
        <a:xfrm xmlns:a="http://schemas.openxmlformats.org/drawingml/2006/main">
          <a:off x="2212258" y="122903"/>
          <a:ext cx="5260258" cy="622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0.01381</cdr:x>
      <cdr:y>0.50514</cdr:y>
    </cdr:from>
    <cdr:to>
      <cdr:x>0.0597</cdr:x>
      <cdr:y>0.55927</cdr:y>
    </cdr:to>
    <cdr:sp macro="" textlink="">
      <cdr:nvSpPr>
        <cdr:cNvPr id="38" name="文字方塊 1"/>
        <cdr:cNvSpPr txBox="1"/>
      </cdr:nvSpPr>
      <cdr:spPr>
        <a:xfrm xmlns:a="http://schemas.openxmlformats.org/drawingml/2006/main">
          <a:off x="110494" y="2101645"/>
          <a:ext cx="367166" cy="22520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zh-TW"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Low</a:t>
          </a:r>
          <a:endParaRPr lang="zh-TW" altLang="en-US"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0.64053</cdr:x>
      <cdr:y>0.90666</cdr:y>
    </cdr:from>
    <cdr:to>
      <cdr:x>0.81687</cdr:x>
      <cdr:y>0.90748</cdr:y>
    </cdr:to>
    <cdr:cxnSp macro="">
      <cdr:nvCxnSpPr>
        <cdr:cNvPr id="39" name="直線單箭頭接點 38"/>
        <cdr:cNvCxnSpPr/>
      </cdr:nvCxnSpPr>
      <cdr:spPr>
        <a:xfrm xmlns:a="http://schemas.openxmlformats.org/drawingml/2006/main">
          <a:off x="5124919" y="3772167"/>
          <a:ext cx="1410896" cy="3411"/>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0.83471</cdr:x>
      <cdr:y>0.87107</cdr:y>
    </cdr:from>
    <cdr:to>
      <cdr:x>0.93309</cdr:x>
      <cdr:y>0.92742</cdr:y>
    </cdr:to>
    <cdr:sp macro="" textlink="">
      <cdr:nvSpPr>
        <cdr:cNvPr id="42" name="文字方塊 14"/>
        <cdr:cNvSpPr txBox="1"/>
      </cdr:nvSpPr>
      <cdr:spPr>
        <a:xfrm xmlns:a="http://schemas.openxmlformats.org/drawingml/2006/main">
          <a:off x="6678515" y="3624104"/>
          <a:ext cx="787152" cy="2344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High</a:t>
          </a:r>
          <a:endParaRPr lang="zh-TW" altLang="en-US"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0.13797</cdr:x>
      <cdr:y>0.87917</cdr:y>
    </cdr:from>
    <cdr:to>
      <cdr:x>0.17857</cdr:x>
      <cdr:y>0.94006</cdr:y>
    </cdr:to>
    <cdr:sp macro="" textlink="">
      <cdr:nvSpPr>
        <cdr:cNvPr id="45" name="文字方塊 14"/>
        <cdr:cNvSpPr txBox="1"/>
      </cdr:nvSpPr>
      <cdr:spPr>
        <a:xfrm xmlns:a="http://schemas.openxmlformats.org/drawingml/2006/main">
          <a:off x="1103879" y="3657807"/>
          <a:ext cx="324841" cy="25333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rPr>
            <a:t>Low</a:t>
          </a:r>
          <a:endParaRPr lang="zh-TW" altLang="en-US" sz="1050" b="0">
            <a:solidFill>
              <a:srgbClr val="0070C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0.18152</cdr:x>
      <cdr:y>0.90391</cdr:y>
    </cdr:from>
    <cdr:to>
      <cdr:x>0.3095</cdr:x>
      <cdr:y>0.90391</cdr:y>
    </cdr:to>
    <cdr:cxnSp macro="">
      <cdr:nvCxnSpPr>
        <cdr:cNvPr id="47" name="直線單箭頭接點 46"/>
        <cdr:cNvCxnSpPr/>
      </cdr:nvCxnSpPr>
      <cdr:spPr>
        <a:xfrm xmlns:a="http://schemas.openxmlformats.org/drawingml/2006/main" flipH="1" flipV="1">
          <a:off x="1452303" y="3760738"/>
          <a:ext cx="1023968" cy="0"/>
        </a:xfrm>
        <a:prstGeom xmlns:a="http://schemas.openxmlformats.org/drawingml/2006/main" prst="straightConnector1">
          <a:avLst/>
        </a:prstGeom>
        <a:ln xmlns:a="http://schemas.openxmlformats.org/drawingml/2006/main" w="12700">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0.37914</cdr:x>
      <cdr:y>0.10144</cdr:y>
    </cdr:from>
    <cdr:to>
      <cdr:x>0.37914</cdr:x>
      <cdr:y>0.80267</cdr:y>
    </cdr:to>
    <cdr:cxnSp macro="">
      <cdr:nvCxnSpPr>
        <cdr:cNvPr id="17" name="直線接點 16"/>
        <cdr:cNvCxnSpPr/>
      </cdr:nvCxnSpPr>
      <cdr:spPr>
        <a:xfrm xmlns:a="http://schemas.openxmlformats.org/drawingml/2006/main" flipH="1">
          <a:off x="3521056" y="614516"/>
          <a:ext cx="0" cy="4248000"/>
        </a:xfrm>
        <a:prstGeom xmlns:a="http://schemas.openxmlformats.org/drawingml/2006/main" prst="line">
          <a:avLst/>
        </a:prstGeom>
        <a:ln xmlns:a="http://schemas.openxmlformats.org/drawingml/2006/main">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0.39053</cdr:x>
      <cdr:y>0.34537</cdr:y>
    </cdr:from>
    <cdr:to>
      <cdr:x>0.91421</cdr:x>
      <cdr:y>0.80701</cdr:y>
    </cdr:to>
    <cdr:sp macro="" textlink="">
      <cdr:nvSpPr>
        <cdr:cNvPr id="19" name="矩形 18"/>
        <cdr:cNvSpPr/>
      </cdr:nvSpPr>
      <cdr:spPr>
        <a:xfrm xmlns:a="http://schemas.openxmlformats.org/drawingml/2006/main">
          <a:off x="3124594" y="1436914"/>
          <a:ext cx="4189964" cy="1920662"/>
        </a:xfrm>
        <a:prstGeom xmlns:a="http://schemas.openxmlformats.org/drawingml/2006/main" prst="rect">
          <a:avLst/>
        </a:prstGeom>
        <a:solidFill xmlns:a="http://schemas.openxmlformats.org/drawingml/2006/main">
          <a:srgbClr val="FFFF66">
            <a:alpha val="41000"/>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zh-TW" altLang="en-US"/>
        </a:p>
      </cdr:txBody>
    </cdr:sp>
  </cdr:relSizeAnchor>
  <cdr:relSizeAnchor xmlns:cdr="http://schemas.openxmlformats.org/drawingml/2006/chartDrawing">
    <cdr:from>
      <cdr:x>0.11437</cdr:x>
      <cdr:y>0.93445</cdr:y>
    </cdr:from>
    <cdr:to>
      <cdr:x>0.40479</cdr:x>
      <cdr:y>0.98803</cdr:y>
    </cdr:to>
    <cdr:sp macro="" textlink="">
      <cdr:nvSpPr>
        <cdr:cNvPr id="20" name="文字方塊 1"/>
        <cdr:cNvSpPr txBox="1"/>
      </cdr:nvSpPr>
      <cdr:spPr>
        <a:xfrm xmlns:a="http://schemas.openxmlformats.org/drawingml/2006/main">
          <a:off x="1063229" y="5672667"/>
          <a:ext cx="2699861" cy="3252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zh-TW" sz="1050">
              <a:latin typeface="Times New Roman" panose="02020603050405020304" pitchFamily="18" charset="0"/>
              <a:ea typeface="標楷體" panose="03000509000000000000" pitchFamily="65" charset="-120"/>
              <a:cs typeface="Times New Roman" panose="02020603050405020304" pitchFamily="18" charset="0"/>
            </a:rPr>
            <a:t>Source: same as Table 2. </a:t>
          </a:r>
          <a:endParaRPr lang="zh-TW" altLang="en-US" sz="1050">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dr:relSizeAnchor xmlns:cdr="http://schemas.openxmlformats.org/drawingml/2006/chartDrawing">
    <cdr:from>
      <cdr:x>0.9102</cdr:x>
      <cdr:y>0.37113</cdr:y>
    </cdr:from>
    <cdr:to>
      <cdr:x>0.92896</cdr:x>
      <cdr:y>0.77964</cdr:y>
    </cdr:to>
    <cdr:sp macro="" textlink="">
      <cdr:nvSpPr>
        <cdr:cNvPr id="23" name="右中括弧 22"/>
        <cdr:cNvSpPr/>
      </cdr:nvSpPr>
      <cdr:spPr>
        <a:xfrm xmlns:a="http://schemas.openxmlformats.org/drawingml/2006/main">
          <a:off x="8461595" y="2252999"/>
          <a:ext cx="174405" cy="2479868"/>
        </a:xfrm>
        <a:prstGeom xmlns:a="http://schemas.openxmlformats.org/drawingml/2006/main" prst="rightBracket">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zh-TW"/>
        </a:p>
      </cdr:txBody>
    </cdr:sp>
  </cdr:relSizeAnchor>
  <cdr:relSizeAnchor xmlns:cdr="http://schemas.openxmlformats.org/drawingml/2006/chartDrawing">
    <cdr:from>
      <cdr:x>0.02282</cdr:x>
      <cdr:y>0.40322</cdr:y>
    </cdr:from>
    <cdr:to>
      <cdr:x>0.06342</cdr:x>
      <cdr:y>0.48015</cdr:y>
    </cdr:to>
    <cdr:sp macro="" textlink="">
      <cdr:nvSpPr>
        <cdr:cNvPr id="27" name="文字方塊 14"/>
        <cdr:cNvSpPr txBox="1"/>
      </cdr:nvSpPr>
      <cdr:spPr>
        <a:xfrm xmlns:a="http://schemas.openxmlformats.org/drawingml/2006/main">
          <a:off x="182609" y="1677620"/>
          <a:ext cx="324840" cy="320069"/>
        </a:xfrm>
        <a:prstGeom xmlns:a="http://schemas.openxmlformats.org/drawingml/2006/main" prst="rect">
          <a:avLst/>
        </a:prstGeom>
      </cdr:spPr>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1117-8A87-4BA7-993B-5382C4B2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5567</Words>
  <Characters>31737</Characters>
  <Application>Microsoft Office Word</Application>
  <DocSecurity>0</DocSecurity>
  <Lines>264</Lines>
  <Paragraphs>74</Paragraphs>
  <ScaleCrop>false</ScaleCrop>
  <Company>cbc</Company>
  <LinksUpToDate>false</LinksUpToDate>
  <CharactersWithSpaces>37230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人事評審會提案</dc:title>
  <dc:creator>秘書處長秘書室</dc:creator>
  <cp:lastModifiedBy>ssl</cp:lastModifiedBy>
  <cp:revision>3</cp:revision>
  <cp:lastPrinted>2018-01-30T08:14:00Z</cp:lastPrinted>
  <dcterms:created xsi:type="dcterms:W3CDTF">2018-01-31T08:52:00Z</dcterms:created>
  <dcterms:modified xsi:type="dcterms:W3CDTF">2018-01-31T08:53:00Z</dcterms:modified>
</cp:coreProperties>
</file>