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46" w:rsidRDefault="00C82C46" w:rsidP="002D541E">
      <w:pPr>
        <w:tabs>
          <w:tab w:val="left" w:pos="8609"/>
        </w:tabs>
        <w:spacing w:before="100" w:line="640" w:lineRule="exact"/>
        <w:ind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7F6F7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7F6F77">
        <w:rPr>
          <w:rFonts w:eastAsia="標楷體"/>
          <w:b/>
          <w:sz w:val="52"/>
          <w:szCs w:val="64"/>
        </w:rPr>
        <w:t xml:space="preserve">Minutes of the </w:t>
      </w:r>
      <w:r w:rsidRPr="007F6F77">
        <w:rPr>
          <w:rFonts w:eastAsia="標楷體" w:hint="eastAsia"/>
          <w:b/>
          <w:sz w:val="52"/>
          <w:szCs w:val="64"/>
        </w:rPr>
        <w:t xml:space="preserve">Monetary Policy </w:t>
      </w:r>
      <w:r w:rsidRPr="007F6F77">
        <w:rPr>
          <w:rFonts w:eastAsia="標楷體"/>
          <w:b/>
          <w:sz w:val="52"/>
          <w:szCs w:val="64"/>
        </w:rPr>
        <w:t>Meeting</w:t>
      </w:r>
    </w:p>
    <w:p w:rsidR="00181D76" w:rsidRPr="007F6F77" w:rsidRDefault="00181D76" w:rsidP="00FA173A">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p>
    <w:p w:rsidR="00181D76" w:rsidRPr="007F6F77" w:rsidRDefault="002D541E"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Pr>
          <w:rFonts w:eastAsia="標楷體" w:hint="eastAsia"/>
          <w:spacing w:val="-24"/>
          <w:sz w:val="40"/>
          <w:szCs w:val="48"/>
        </w:rPr>
        <w:t>March</w:t>
      </w:r>
      <w:r w:rsidR="00181D76" w:rsidRPr="007F6F77">
        <w:rPr>
          <w:rFonts w:eastAsia="標楷體" w:hint="eastAsia"/>
          <w:spacing w:val="-24"/>
          <w:sz w:val="40"/>
          <w:szCs w:val="48"/>
        </w:rPr>
        <w:t xml:space="preserve"> 2</w:t>
      </w:r>
      <w:r>
        <w:rPr>
          <w:rFonts w:eastAsia="標楷體" w:hint="eastAsia"/>
          <w:spacing w:val="-24"/>
          <w:sz w:val="40"/>
          <w:szCs w:val="48"/>
        </w:rPr>
        <w:t>1, 2019</w:t>
      </w:r>
    </w:p>
    <w:p w:rsidR="00C82C46" w:rsidRPr="007F6F77"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7F6F77" w:rsidRDefault="00181D76" w:rsidP="00181D76">
      <w:pPr>
        <w:spacing w:before="100" w:line="640" w:lineRule="exact"/>
        <w:ind w:leftChars="252" w:left="504" w:rightChars="231" w:right="462"/>
        <w:jc w:val="center"/>
        <w:textDirection w:val="lrTbV"/>
        <w:rPr>
          <w:rFonts w:eastAsia="標楷體"/>
          <w:b/>
          <w:spacing w:val="-24"/>
          <w:sz w:val="44"/>
          <w:szCs w:val="52"/>
        </w:rPr>
      </w:pPr>
      <w:r w:rsidRPr="007F6F77">
        <w:rPr>
          <w:rFonts w:eastAsia="標楷體" w:hint="eastAsia"/>
          <w:sz w:val="44"/>
          <w:szCs w:val="52"/>
        </w:rPr>
        <w:t>Central Bank of the R.O.C. (Taiwan)</w:t>
      </w:r>
    </w:p>
    <w:p w:rsidR="00C82C46" w:rsidRPr="007F6F77" w:rsidRDefault="00C82C46" w:rsidP="00D052FE">
      <w:pPr>
        <w:spacing w:before="100" w:line="640" w:lineRule="exact"/>
        <w:ind w:leftChars="252" w:left="504" w:rightChars="231" w:right="462"/>
        <w:jc w:val="both"/>
        <w:textDirection w:val="lrTbV"/>
        <w:rPr>
          <w:rFonts w:eastAsia="標楷體"/>
          <w:sz w:val="52"/>
          <w:szCs w:val="52"/>
        </w:rPr>
        <w:sectPr w:rsidR="00C82C46" w:rsidRPr="007F6F77" w:rsidSect="00F714F0">
          <w:headerReference w:type="default" r:id="rId9"/>
          <w:footerReference w:type="even" r:id="rId10"/>
          <w:footerReference w:type="first" r:id="rId11"/>
          <w:pgSz w:w="11907" w:h="16840" w:code="9"/>
          <w:pgMar w:top="1134" w:right="1418" w:bottom="851" w:left="1418" w:header="0" w:footer="510" w:gutter="0"/>
          <w:paperSrc w:first="15" w:other="15"/>
          <w:pgNumType w:start="0"/>
          <w:cols w:space="425"/>
          <w:titlePg/>
          <w:docGrid w:linePitch="272"/>
        </w:sectPr>
      </w:pPr>
      <w:r w:rsidRPr="007F6F77">
        <w:rPr>
          <w:rFonts w:eastAsia="標楷體"/>
          <w:spacing w:val="-24"/>
          <w:sz w:val="44"/>
          <w:szCs w:val="44"/>
        </w:rPr>
        <w:br w:type="page"/>
      </w:r>
    </w:p>
    <w:p w:rsidR="00363599" w:rsidRPr="007F6F77" w:rsidRDefault="00363599" w:rsidP="00642463">
      <w:pPr>
        <w:spacing w:line="440" w:lineRule="exact"/>
        <w:jc w:val="center"/>
        <w:textDirection w:val="lrTbV"/>
        <w:rPr>
          <w:rFonts w:eastAsia="標楷體"/>
          <w:b/>
          <w:sz w:val="28"/>
          <w:szCs w:val="28"/>
        </w:rPr>
      </w:pPr>
      <w:r w:rsidRPr="007F6F77">
        <w:rPr>
          <w:rFonts w:eastAsia="標楷體"/>
          <w:b/>
          <w:sz w:val="28"/>
          <w:szCs w:val="28"/>
        </w:rPr>
        <w:lastRenderedPageBreak/>
        <w:t>Minutes</w:t>
      </w:r>
      <w:r w:rsidRPr="007F6F77">
        <w:rPr>
          <w:rStyle w:val="afe"/>
          <w:rFonts w:eastAsia="標楷體"/>
          <w:b/>
          <w:sz w:val="28"/>
          <w:szCs w:val="28"/>
        </w:rPr>
        <w:footnoteReference w:id="1"/>
      </w:r>
      <w:r w:rsidRPr="007F6F77">
        <w:rPr>
          <w:rFonts w:eastAsia="標楷體"/>
          <w:b/>
          <w:sz w:val="28"/>
          <w:szCs w:val="28"/>
        </w:rPr>
        <w:t xml:space="preserve"> of the Joint Meeting of the Board of Directors and </w:t>
      </w:r>
    </w:p>
    <w:p w:rsidR="00363599" w:rsidRPr="007F6F77" w:rsidRDefault="00363599" w:rsidP="00642463">
      <w:pPr>
        <w:spacing w:line="440" w:lineRule="exact"/>
        <w:jc w:val="center"/>
        <w:textDirection w:val="lrTbV"/>
        <w:rPr>
          <w:rFonts w:eastAsia="標楷體"/>
          <w:b/>
          <w:sz w:val="28"/>
          <w:szCs w:val="28"/>
        </w:rPr>
      </w:pPr>
      <w:proofErr w:type="gramStart"/>
      <w:r w:rsidRPr="007F6F77">
        <w:rPr>
          <w:rFonts w:eastAsia="標楷體"/>
          <w:b/>
          <w:sz w:val="28"/>
          <w:szCs w:val="28"/>
        </w:rPr>
        <w:t>the</w:t>
      </w:r>
      <w:proofErr w:type="gramEnd"/>
      <w:r w:rsidRPr="007F6F77">
        <w:rPr>
          <w:rFonts w:eastAsia="標楷體"/>
          <w:b/>
          <w:sz w:val="28"/>
          <w:szCs w:val="28"/>
        </w:rPr>
        <w:t xml:space="preserve"> Board of Supervisors on</w:t>
      </w:r>
      <w:r w:rsidR="00C41905" w:rsidRPr="007F6F77">
        <w:rPr>
          <w:rFonts w:eastAsia="標楷體" w:hint="eastAsia"/>
          <w:b/>
          <w:sz w:val="28"/>
          <w:szCs w:val="28"/>
        </w:rPr>
        <w:t xml:space="preserve"> </w:t>
      </w:r>
      <w:r w:rsidR="002D541E">
        <w:rPr>
          <w:rFonts w:eastAsia="標楷體" w:hint="eastAsia"/>
          <w:b/>
          <w:sz w:val="28"/>
          <w:szCs w:val="28"/>
        </w:rPr>
        <w:t>March</w:t>
      </w:r>
      <w:r w:rsidRPr="007F6F77">
        <w:rPr>
          <w:rFonts w:eastAsia="標楷體"/>
          <w:b/>
          <w:sz w:val="28"/>
          <w:szCs w:val="28"/>
        </w:rPr>
        <w:t xml:space="preserve"> 2</w:t>
      </w:r>
      <w:r w:rsidR="002D541E">
        <w:rPr>
          <w:rFonts w:eastAsia="標楷體" w:hint="eastAsia"/>
          <w:b/>
          <w:sz w:val="28"/>
          <w:szCs w:val="28"/>
        </w:rPr>
        <w:t>1</w:t>
      </w:r>
      <w:r w:rsidR="008C284D" w:rsidRPr="007F6F77">
        <w:rPr>
          <w:rFonts w:eastAsia="標楷體"/>
          <w:b/>
          <w:sz w:val="28"/>
          <w:szCs w:val="28"/>
        </w:rPr>
        <w:t>, 201</w:t>
      </w:r>
      <w:r w:rsidR="002D541E">
        <w:rPr>
          <w:rFonts w:eastAsia="標楷體" w:hint="eastAsia"/>
          <w:b/>
          <w:sz w:val="28"/>
          <w:szCs w:val="28"/>
        </w:rPr>
        <w:t>9</w:t>
      </w:r>
    </w:p>
    <w:p w:rsidR="00363599" w:rsidRPr="007F6F77" w:rsidRDefault="00363599" w:rsidP="007A2BCD">
      <w:pPr>
        <w:spacing w:beforeLines="50" w:before="120" w:line="440" w:lineRule="exact"/>
        <w:jc w:val="both"/>
        <w:textDirection w:val="lrTbV"/>
        <w:rPr>
          <w:rFonts w:eastAsia="標楷體"/>
          <w:sz w:val="24"/>
          <w:szCs w:val="24"/>
        </w:rPr>
      </w:pPr>
      <w:r w:rsidRPr="007F6F77">
        <w:rPr>
          <w:rFonts w:eastAsia="標楷體" w:hint="eastAsia"/>
          <w:b/>
          <w:sz w:val="24"/>
          <w:szCs w:val="24"/>
        </w:rPr>
        <w:t>Date and Time</w:t>
      </w:r>
      <w:r w:rsidRPr="007F6F77">
        <w:rPr>
          <w:rFonts w:eastAsia="標楷體" w:hint="eastAsia"/>
          <w:sz w:val="24"/>
          <w:szCs w:val="24"/>
        </w:rPr>
        <w:t xml:space="preserve">: </w:t>
      </w:r>
      <w:r w:rsidR="002D541E">
        <w:rPr>
          <w:rFonts w:eastAsia="標楷體" w:hint="eastAsia"/>
          <w:sz w:val="24"/>
          <w:szCs w:val="24"/>
        </w:rPr>
        <w:t>March</w:t>
      </w:r>
      <w:r w:rsidRPr="007F6F77">
        <w:rPr>
          <w:rFonts w:eastAsia="標楷體" w:hint="eastAsia"/>
          <w:sz w:val="24"/>
          <w:szCs w:val="24"/>
        </w:rPr>
        <w:t xml:space="preserve"> 2</w:t>
      </w:r>
      <w:r w:rsidR="002D541E">
        <w:rPr>
          <w:rFonts w:eastAsia="標楷體" w:hint="eastAsia"/>
          <w:sz w:val="24"/>
          <w:szCs w:val="24"/>
        </w:rPr>
        <w:t>1</w:t>
      </w:r>
      <w:r w:rsidRPr="007F6F77">
        <w:rPr>
          <w:rFonts w:eastAsia="標楷體" w:hint="eastAsia"/>
          <w:sz w:val="24"/>
          <w:szCs w:val="24"/>
        </w:rPr>
        <w:t>, 201</w:t>
      </w:r>
      <w:r w:rsidR="002D541E">
        <w:rPr>
          <w:rFonts w:eastAsia="標楷體" w:hint="eastAsia"/>
          <w:sz w:val="24"/>
          <w:szCs w:val="24"/>
        </w:rPr>
        <w:t>9</w:t>
      </w:r>
      <w:r w:rsidRPr="007F6F77">
        <w:rPr>
          <w:rFonts w:eastAsia="標楷體" w:hint="eastAsia"/>
          <w:sz w:val="24"/>
          <w:szCs w:val="24"/>
        </w:rPr>
        <w:t xml:space="preserve">, at </w:t>
      </w:r>
      <w:r w:rsidR="008C284D" w:rsidRPr="007F6F77">
        <w:rPr>
          <w:rFonts w:eastAsia="標楷體" w:hint="eastAsia"/>
          <w:sz w:val="24"/>
          <w:szCs w:val="24"/>
        </w:rPr>
        <w:t>2</w:t>
      </w:r>
      <w:r w:rsidR="001F7BDB" w:rsidRPr="007F6F77">
        <w:rPr>
          <w:rFonts w:eastAsia="標楷體" w:hint="eastAsia"/>
          <w:sz w:val="24"/>
          <w:szCs w:val="24"/>
        </w:rPr>
        <w:t>:</w:t>
      </w:r>
      <w:r w:rsidR="008C284D" w:rsidRPr="007F6F77">
        <w:rPr>
          <w:rFonts w:eastAsia="標楷體" w:hint="eastAsia"/>
          <w:sz w:val="24"/>
          <w:szCs w:val="24"/>
        </w:rPr>
        <w:t>0</w:t>
      </w:r>
      <w:r w:rsidR="001F7BDB" w:rsidRPr="007F6F77">
        <w:rPr>
          <w:rFonts w:eastAsia="標楷體" w:hint="eastAsia"/>
          <w:sz w:val="24"/>
          <w:szCs w:val="24"/>
        </w:rPr>
        <w:t>0</w:t>
      </w:r>
      <w:r w:rsidRPr="007F6F77">
        <w:rPr>
          <w:rFonts w:eastAsia="標楷體" w:hint="eastAsia"/>
          <w:sz w:val="24"/>
          <w:szCs w:val="24"/>
        </w:rPr>
        <w:t xml:space="preserve"> p.m.</w:t>
      </w:r>
    </w:p>
    <w:p w:rsidR="00363599" w:rsidRPr="007F6F77" w:rsidRDefault="00363599" w:rsidP="00E972E3">
      <w:pPr>
        <w:spacing w:beforeLines="50" w:before="120" w:line="440" w:lineRule="exact"/>
        <w:ind w:left="745" w:hangingChars="310" w:hanging="745"/>
        <w:jc w:val="both"/>
        <w:textDirection w:val="lrTbV"/>
        <w:rPr>
          <w:rFonts w:eastAsia="標楷體"/>
          <w:sz w:val="24"/>
          <w:szCs w:val="24"/>
        </w:rPr>
      </w:pPr>
      <w:r w:rsidRPr="007F6F77">
        <w:rPr>
          <w:rFonts w:eastAsia="標楷體" w:hint="eastAsia"/>
          <w:b/>
          <w:sz w:val="24"/>
          <w:szCs w:val="24"/>
        </w:rPr>
        <w:t>Location:</w:t>
      </w:r>
      <w:r w:rsidRPr="007F6F77">
        <w:rPr>
          <w:rFonts w:eastAsia="標楷體" w:hint="eastAsia"/>
          <w:sz w:val="24"/>
          <w:szCs w:val="24"/>
        </w:rPr>
        <w:t xml:space="preserve"> Room A606, Main Building, </w:t>
      </w:r>
      <w:r w:rsidRPr="007F6F77">
        <w:rPr>
          <w:rFonts w:eastAsia="標楷體"/>
          <w:sz w:val="24"/>
          <w:szCs w:val="24"/>
        </w:rPr>
        <w:t>Central Bank of the R.O.C. (Taiwan)</w:t>
      </w:r>
    </w:p>
    <w:p w:rsidR="00363599" w:rsidRPr="007F6F77" w:rsidRDefault="00363599" w:rsidP="007A2BCD">
      <w:pPr>
        <w:pStyle w:val="31"/>
        <w:spacing w:beforeLines="50" w:before="120" w:line="440" w:lineRule="exact"/>
        <w:textDirection w:val="lrTbV"/>
        <w:rPr>
          <w:rFonts w:eastAsia="標楷體"/>
          <w:sz w:val="24"/>
          <w:szCs w:val="24"/>
        </w:rPr>
      </w:pPr>
      <w:r w:rsidRPr="007F6F77">
        <w:rPr>
          <w:rFonts w:eastAsia="標楷體" w:hint="eastAsia"/>
          <w:b/>
          <w:sz w:val="24"/>
          <w:szCs w:val="24"/>
        </w:rPr>
        <w:t>Members Present:</w:t>
      </w:r>
      <w:r w:rsidRPr="007F6F77">
        <w:rPr>
          <w:rFonts w:eastAsia="標楷體" w:hint="eastAsia"/>
          <w:sz w:val="24"/>
          <w:szCs w:val="24"/>
        </w:rPr>
        <w:t xml:space="preserve"> </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hint="eastAsia"/>
          <w:b/>
          <w:sz w:val="24"/>
          <w:szCs w:val="24"/>
        </w:rPr>
        <w:t>Chairman, Board of Directors</w:t>
      </w:r>
      <w:r w:rsidRPr="007F6F77">
        <w:rPr>
          <w:rFonts w:eastAsia="標楷體" w:hint="eastAsia"/>
          <w:sz w:val="24"/>
          <w:szCs w:val="24"/>
        </w:rPr>
        <w:t xml:space="preserve">: </w:t>
      </w:r>
      <w:r w:rsidR="008C284D" w:rsidRPr="007F6F77">
        <w:rPr>
          <w:rFonts w:eastAsia="標楷體"/>
          <w:sz w:val="24"/>
          <w:szCs w:val="24"/>
        </w:rPr>
        <w:t>Chin-long Yang</w:t>
      </w:r>
    </w:p>
    <w:p w:rsidR="008C284D" w:rsidRPr="007F6F77" w:rsidRDefault="008C284D" w:rsidP="00642463">
      <w:pPr>
        <w:pStyle w:val="31"/>
        <w:spacing w:line="440" w:lineRule="exact"/>
        <w:ind w:leftChars="200" w:left="400"/>
        <w:textDirection w:val="lrTbV"/>
        <w:rPr>
          <w:rFonts w:eastAsia="標楷體"/>
          <w:sz w:val="24"/>
          <w:szCs w:val="24"/>
        </w:rPr>
      </w:pPr>
      <w:r w:rsidRPr="007F6F77">
        <w:rPr>
          <w:rFonts w:eastAsia="標楷體" w:hint="eastAsia"/>
          <w:b/>
          <w:sz w:val="24"/>
          <w:szCs w:val="24"/>
        </w:rPr>
        <w:t>Executive Directors</w:t>
      </w:r>
      <w:r w:rsidRPr="007F6F77">
        <w:rPr>
          <w:rFonts w:eastAsia="標楷體" w:hint="eastAsia"/>
          <w:sz w:val="24"/>
          <w:szCs w:val="24"/>
        </w:rPr>
        <w:t xml:space="preserve">: </w:t>
      </w:r>
      <w:r w:rsidRPr="007F6F77">
        <w:rPr>
          <w:rFonts w:eastAsia="標楷體"/>
          <w:sz w:val="24"/>
          <w:szCs w:val="24"/>
        </w:rPr>
        <w:t>Jain-</w:t>
      </w:r>
      <w:proofErr w:type="spellStart"/>
      <w:r w:rsidRPr="007F6F77">
        <w:rPr>
          <w:rFonts w:eastAsia="標楷體"/>
          <w:sz w:val="24"/>
          <w:szCs w:val="24"/>
        </w:rPr>
        <w:t>Rong</w:t>
      </w:r>
      <w:proofErr w:type="spellEnd"/>
      <w:r w:rsidRPr="007F6F77">
        <w:rPr>
          <w:rFonts w:eastAsia="標楷體"/>
          <w:sz w:val="24"/>
          <w:szCs w:val="24"/>
        </w:rPr>
        <w:t xml:space="preserve"> Su,</w:t>
      </w:r>
      <w:r w:rsidRPr="007F6F77">
        <w:rPr>
          <w:rFonts w:eastAsia="標楷體" w:hint="eastAsia"/>
          <w:sz w:val="24"/>
          <w:szCs w:val="24"/>
        </w:rPr>
        <w:t xml:space="preserve"> </w:t>
      </w:r>
      <w:proofErr w:type="spellStart"/>
      <w:r w:rsidRPr="007F6F77">
        <w:rPr>
          <w:rFonts w:eastAsia="標楷體" w:hint="eastAsia"/>
          <w:sz w:val="24"/>
          <w:szCs w:val="24"/>
        </w:rPr>
        <w:t>Tzung</w:t>
      </w:r>
      <w:proofErr w:type="spellEnd"/>
      <w:r w:rsidRPr="007F6F77">
        <w:rPr>
          <w:rFonts w:eastAsia="標楷體" w:hint="eastAsia"/>
          <w:sz w:val="24"/>
          <w:szCs w:val="24"/>
        </w:rPr>
        <w:t>-ta Yen, Nan-</w:t>
      </w:r>
      <w:proofErr w:type="spellStart"/>
      <w:r w:rsidRPr="007F6F77">
        <w:rPr>
          <w:rFonts w:eastAsia="標楷體" w:hint="eastAsia"/>
          <w:sz w:val="24"/>
          <w:szCs w:val="24"/>
        </w:rPr>
        <w:t>kuang</w:t>
      </w:r>
      <w:proofErr w:type="spellEnd"/>
      <w:r w:rsidRPr="007F6F77">
        <w:rPr>
          <w:rFonts w:eastAsia="標楷體" w:hint="eastAsia"/>
          <w:sz w:val="24"/>
          <w:szCs w:val="24"/>
        </w:rPr>
        <w:t xml:space="preserve"> Chen, Ming-</w:t>
      </w:r>
      <w:proofErr w:type="spellStart"/>
      <w:r w:rsidRPr="007F6F77">
        <w:rPr>
          <w:rFonts w:eastAsia="標楷體" w:hint="eastAsia"/>
          <w:sz w:val="24"/>
          <w:szCs w:val="24"/>
        </w:rPr>
        <w:t>yih</w:t>
      </w:r>
      <w:proofErr w:type="spellEnd"/>
      <w:r w:rsidRPr="007F6F77">
        <w:rPr>
          <w:rFonts w:eastAsia="標楷體" w:hint="eastAsia"/>
          <w:sz w:val="24"/>
          <w:szCs w:val="24"/>
        </w:rPr>
        <w:t xml:space="preserve"> Liang </w:t>
      </w:r>
    </w:p>
    <w:p w:rsidR="008C284D" w:rsidRPr="007F6F77" w:rsidRDefault="008C284D" w:rsidP="007842BF">
      <w:pPr>
        <w:spacing w:line="440" w:lineRule="exact"/>
        <w:ind w:leftChars="200" w:left="1419" w:rightChars="5" w:right="10" w:hangingChars="424" w:hanging="1019"/>
        <w:textDirection w:val="lrTbV"/>
        <w:rPr>
          <w:rFonts w:eastAsia="標楷體"/>
          <w:sz w:val="24"/>
          <w:szCs w:val="24"/>
        </w:rPr>
      </w:pPr>
      <w:r w:rsidRPr="007F6F77">
        <w:rPr>
          <w:rFonts w:eastAsia="標楷體" w:hint="eastAsia"/>
          <w:b/>
          <w:sz w:val="24"/>
          <w:szCs w:val="24"/>
        </w:rPr>
        <w:t>Directors</w:t>
      </w:r>
      <w:r w:rsidRPr="007F6F77">
        <w:rPr>
          <w:rFonts w:eastAsia="標楷體" w:hint="eastAsia"/>
          <w:sz w:val="24"/>
          <w:szCs w:val="24"/>
        </w:rPr>
        <w:t xml:space="preserve">: </w:t>
      </w:r>
      <w:r w:rsidR="003C3DAA">
        <w:rPr>
          <w:rFonts w:eastAsia="標楷體"/>
          <w:sz w:val="24"/>
          <w:szCs w:val="24"/>
        </w:rPr>
        <w:t>Chi-</w:t>
      </w:r>
      <w:proofErr w:type="spellStart"/>
      <w:r w:rsidR="003C3DAA">
        <w:rPr>
          <w:rFonts w:eastAsia="標楷體" w:hint="eastAsia"/>
          <w:sz w:val="24"/>
          <w:szCs w:val="24"/>
        </w:rPr>
        <w:t>c</w:t>
      </w:r>
      <w:r w:rsidR="003C3DAA" w:rsidRPr="003C3DAA">
        <w:rPr>
          <w:rFonts w:eastAsia="標楷體"/>
          <w:sz w:val="24"/>
          <w:szCs w:val="24"/>
        </w:rPr>
        <w:t>hung</w:t>
      </w:r>
      <w:proofErr w:type="spellEnd"/>
      <w:r w:rsidR="003C3DAA" w:rsidRPr="003C3DAA">
        <w:rPr>
          <w:rFonts w:eastAsia="標楷體"/>
          <w:sz w:val="24"/>
          <w:szCs w:val="24"/>
        </w:rPr>
        <w:t xml:space="preserve"> Chen</w:t>
      </w:r>
      <w:r w:rsidR="003C3DAA">
        <w:rPr>
          <w:rFonts w:eastAsia="標楷體" w:hint="eastAsia"/>
          <w:sz w:val="24"/>
          <w:szCs w:val="24"/>
        </w:rPr>
        <w:t xml:space="preserve">, </w:t>
      </w:r>
      <w:r w:rsidRPr="007F6F77">
        <w:rPr>
          <w:rFonts w:eastAsia="標楷體" w:hint="eastAsia"/>
          <w:sz w:val="24"/>
          <w:szCs w:val="24"/>
        </w:rPr>
        <w:t xml:space="preserve">Chen-chia Lee, </w:t>
      </w:r>
      <w:proofErr w:type="spellStart"/>
      <w:r w:rsidRPr="007F6F77">
        <w:rPr>
          <w:rFonts w:eastAsia="標楷體" w:hint="eastAsia"/>
          <w:sz w:val="24"/>
          <w:szCs w:val="24"/>
        </w:rPr>
        <w:t>Jin</w:t>
      </w:r>
      <w:proofErr w:type="spellEnd"/>
      <w:r w:rsidRPr="007F6F77">
        <w:rPr>
          <w:rFonts w:eastAsia="標楷體" w:hint="eastAsia"/>
          <w:sz w:val="24"/>
          <w:szCs w:val="24"/>
        </w:rPr>
        <w:t>-lung Lin, Mei-lie Chu, Chao-</w:t>
      </w:r>
      <w:proofErr w:type="spellStart"/>
      <w:r w:rsidRPr="007F6F77">
        <w:rPr>
          <w:rFonts w:eastAsia="標楷體" w:hint="eastAsia"/>
          <w:sz w:val="24"/>
          <w:szCs w:val="24"/>
        </w:rPr>
        <w:t>h</w:t>
      </w:r>
      <w:r w:rsidRPr="007F6F77">
        <w:rPr>
          <w:rFonts w:eastAsia="標楷體"/>
          <w:sz w:val="24"/>
          <w:szCs w:val="24"/>
        </w:rPr>
        <w:t>s</w:t>
      </w:r>
      <w:r w:rsidRPr="007F6F77">
        <w:rPr>
          <w:rFonts w:eastAsia="標楷體" w:hint="eastAsia"/>
          <w:sz w:val="24"/>
          <w:szCs w:val="24"/>
        </w:rPr>
        <w:t>i</w:t>
      </w:r>
      <w:proofErr w:type="spellEnd"/>
      <w:r w:rsidRPr="007F6F77">
        <w:rPr>
          <w:rFonts w:eastAsia="標楷體" w:hint="eastAsia"/>
          <w:sz w:val="24"/>
          <w:szCs w:val="24"/>
        </w:rPr>
        <w:t xml:space="preserve"> Huang, </w:t>
      </w:r>
      <w:proofErr w:type="spellStart"/>
      <w:r w:rsidRPr="007F6F77">
        <w:rPr>
          <w:rFonts w:eastAsia="標楷體" w:hint="eastAsia"/>
          <w:sz w:val="24"/>
          <w:szCs w:val="24"/>
        </w:rPr>
        <w:t>Bih</w:t>
      </w:r>
      <w:proofErr w:type="spellEnd"/>
      <w:r w:rsidRPr="007F6F77">
        <w:rPr>
          <w:rFonts w:eastAsia="標楷體" w:hint="eastAsia"/>
          <w:sz w:val="24"/>
          <w:szCs w:val="24"/>
        </w:rPr>
        <w:t xml:space="preserve">-jane Liu, </w:t>
      </w:r>
      <w:proofErr w:type="spellStart"/>
      <w:r w:rsidRPr="007F6F77">
        <w:rPr>
          <w:rFonts w:eastAsia="標楷體"/>
          <w:sz w:val="24"/>
          <w:szCs w:val="24"/>
        </w:rPr>
        <w:t>Shiu</w:t>
      </w:r>
      <w:proofErr w:type="spellEnd"/>
      <w:r w:rsidRPr="007F6F77">
        <w:rPr>
          <w:rFonts w:eastAsia="標楷體"/>
          <w:sz w:val="24"/>
          <w:szCs w:val="24"/>
        </w:rPr>
        <w:t>-</w:t>
      </w:r>
      <w:r w:rsidRPr="007F6F77">
        <w:rPr>
          <w:rFonts w:eastAsia="標楷體" w:hint="eastAsia"/>
          <w:sz w:val="24"/>
          <w:szCs w:val="24"/>
        </w:rPr>
        <w:t>s</w:t>
      </w:r>
      <w:r w:rsidRPr="007F6F77">
        <w:rPr>
          <w:rFonts w:eastAsia="標楷體"/>
          <w:sz w:val="24"/>
          <w:szCs w:val="24"/>
        </w:rPr>
        <w:t>heng Chen</w:t>
      </w:r>
      <w:r w:rsidRPr="007F6F77">
        <w:rPr>
          <w:rFonts w:eastAsia="標楷體" w:hint="eastAsia"/>
          <w:sz w:val="24"/>
          <w:szCs w:val="24"/>
        </w:rPr>
        <w:t xml:space="preserve">, </w:t>
      </w:r>
      <w:proofErr w:type="spellStart"/>
      <w:r w:rsidRPr="007F6F77">
        <w:rPr>
          <w:rFonts w:eastAsia="標楷體"/>
          <w:sz w:val="24"/>
          <w:szCs w:val="24"/>
        </w:rPr>
        <w:t>Hsin-</w:t>
      </w:r>
      <w:r w:rsidR="000060B5" w:rsidRPr="007F6F77">
        <w:rPr>
          <w:rFonts w:eastAsia="標楷體" w:hint="eastAsia"/>
          <w:sz w:val="24"/>
          <w:szCs w:val="24"/>
        </w:rPr>
        <w:t>h</w:t>
      </w:r>
      <w:r w:rsidRPr="007F6F77">
        <w:rPr>
          <w:rFonts w:eastAsia="標楷體"/>
          <w:sz w:val="24"/>
          <w:szCs w:val="24"/>
        </w:rPr>
        <w:t>ong</w:t>
      </w:r>
      <w:proofErr w:type="spellEnd"/>
      <w:r w:rsidRPr="007F6F77">
        <w:rPr>
          <w:rFonts w:eastAsia="標楷體"/>
          <w:sz w:val="24"/>
          <w:szCs w:val="24"/>
        </w:rPr>
        <w:t xml:space="preserve"> Kang</w:t>
      </w:r>
      <w:r w:rsidRPr="007F6F77">
        <w:rPr>
          <w:rFonts w:eastAsia="標楷體" w:hint="eastAsia"/>
          <w:sz w:val="24"/>
          <w:szCs w:val="24"/>
        </w:rPr>
        <w:t xml:space="preserve">  </w:t>
      </w:r>
    </w:p>
    <w:p w:rsidR="002D541E" w:rsidRDefault="002D541E" w:rsidP="00642463">
      <w:pPr>
        <w:spacing w:line="440" w:lineRule="exact"/>
        <w:ind w:leftChars="200" w:left="400" w:rightChars="5" w:right="10"/>
        <w:textDirection w:val="lrTbV"/>
        <w:rPr>
          <w:rFonts w:eastAsia="標楷體"/>
          <w:sz w:val="24"/>
          <w:szCs w:val="24"/>
        </w:rPr>
      </w:pPr>
      <w:r>
        <w:rPr>
          <w:rFonts w:eastAsia="標楷體" w:hint="eastAsia"/>
          <w:b/>
          <w:sz w:val="24"/>
          <w:szCs w:val="24"/>
        </w:rPr>
        <w:t>Excused</w:t>
      </w:r>
      <w:r>
        <w:rPr>
          <w:rFonts w:eastAsia="標楷體" w:hint="eastAsia"/>
          <w:b/>
          <w:sz w:val="24"/>
          <w:szCs w:val="24"/>
        </w:rPr>
        <w:t>：</w:t>
      </w:r>
      <w:r w:rsidRPr="007F6F77">
        <w:rPr>
          <w:rFonts w:eastAsia="標楷體"/>
          <w:sz w:val="24"/>
          <w:szCs w:val="24"/>
        </w:rPr>
        <w:t>Jong-</w:t>
      </w:r>
      <w:r w:rsidRPr="007F6F77">
        <w:rPr>
          <w:rFonts w:eastAsia="標楷體" w:hint="eastAsia"/>
          <w:sz w:val="24"/>
          <w:szCs w:val="24"/>
        </w:rPr>
        <w:t>c</w:t>
      </w:r>
      <w:r w:rsidRPr="007F6F77">
        <w:rPr>
          <w:rFonts w:eastAsia="標楷體"/>
          <w:sz w:val="24"/>
          <w:szCs w:val="24"/>
        </w:rPr>
        <w:t>hin Shen (</w:t>
      </w:r>
      <w:r>
        <w:rPr>
          <w:rFonts w:eastAsia="標楷體" w:hint="eastAsia"/>
          <w:sz w:val="24"/>
          <w:szCs w:val="24"/>
        </w:rPr>
        <w:t xml:space="preserve">Executive Director, </w:t>
      </w:r>
      <w:r w:rsidRPr="007F6F77">
        <w:rPr>
          <w:rFonts w:eastAsia="標楷體"/>
          <w:sz w:val="24"/>
          <w:szCs w:val="24"/>
        </w:rPr>
        <w:t xml:space="preserve">appointing </w:t>
      </w:r>
      <w:proofErr w:type="spellStart"/>
      <w:r w:rsidRPr="007F6F77">
        <w:rPr>
          <w:rFonts w:eastAsia="標楷體"/>
          <w:sz w:val="24"/>
          <w:szCs w:val="24"/>
        </w:rPr>
        <w:t>T</w:t>
      </w:r>
      <w:r w:rsidRPr="007F6F77">
        <w:rPr>
          <w:rFonts w:eastAsia="標楷體" w:hint="eastAsia"/>
          <w:sz w:val="24"/>
          <w:szCs w:val="24"/>
        </w:rPr>
        <w:t>z</w:t>
      </w:r>
      <w:r w:rsidRPr="007F6F77">
        <w:rPr>
          <w:rFonts w:eastAsia="標楷體"/>
          <w:sz w:val="24"/>
          <w:szCs w:val="24"/>
        </w:rPr>
        <w:t>ung</w:t>
      </w:r>
      <w:proofErr w:type="spellEnd"/>
      <w:r w:rsidRPr="007F6F77">
        <w:rPr>
          <w:rFonts w:eastAsia="標楷體"/>
          <w:sz w:val="24"/>
          <w:szCs w:val="24"/>
        </w:rPr>
        <w:t>-ta Yen as proxy)</w:t>
      </w:r>
      <w:r w:rsidRPr="007F6F77">
        <w:rPr>
          <w:rFonts w:eastAsia="標楷體" w:hint="eastAsia"/>
          <w:sz w:val="24"/>
          <w:szCs w:val="24"/>
        </w:rPr>
        <w:t>,</w:t>
      </w:r>
    </w:p>
    <w:p w:rsidR="002D541E" w:rsidRDefault="002D541E" w:rsidP="005549FB">
      <w:pPr>
        <w:spacing w:line="440" w:lineRule="exact"/>
        <w:ind w:leftChars="709" w:left="1418" w:rightChars="5" w:right="10"/>
        <w:textDirection w:val="lrTbV"/>
        <w:rPr>
          <w:rFonts w:eastAsia="標楷體"/>
          <w:b/>
          <w:sz w:val="24"/>
          <w:szCs w:val="24"/>
        </w:rPr>
      </w:pPr>
      <w:r w:rsidRPr="007F6F77">
        <w:rPr>
          <w:rFonts w:eastAsia="標楷體"/>
          <w:sz w:val="24"/>
          <w:szCs w:val="24"/>
        </w:rPr>
        <w:t>Chung-</w:t>
      </w:r>
      <w:proofErr w:type="spellStart"/>
      <w:r w:rsidRPr="007F6F77">
        <w:rPr>
          <w:rFonts w:eastAsia="標楷體" w:hint="eastAsia"/>
          <w:sz w:val="24"/>
          <w:szCs w:val="24"/>
        </w:rPr>
        <w:t>d</w:t>
      </w:r>
      <w:r w:rsidRPr="007F6F77">
        <w:rPr>
          <w:rFonts w:eastAsia="標楷體"/>
          <w:sz w:val="24"/>
          <w:szCs w:val="24"/>
        </w:rPr>
        <w:t>ar</w:t>
      </w:r>
      <w:proofErr w:type="spellEnd"/>
      <w:r w:rsidRPr="007F6F77">
        <w:rPr>
          <w:rFonts w:eastAsia="標楷體"/>
          <w:sz w:val="24"/>
          <w:szCs w:val="24"/>
        </w:rPr>
        <w:t xml:space="preserve"> Le</w:t>
      </w:r>
      <w:r w:rsidRPr="00605747">
        <w:rPr>
          <w:rFonts w:eastAsia="標楷體"/>
          <w:sz w:val="24"/>
          <w:szCs w:val="24"/>
        </w:rPr>
        <w:t>i</w:t>
      </w:r>
      <w:r w:rsidRPr="00605747">
        <w:rPr>
          <w:rFonts w:eastAsia="標楷體" w:hint="eastAsia"/>
          <w:sz w:val="24"/>
          <w:szCs w:val="24"/>
        </w:rPr>
        <w:t xml:space="preserve"> </w:t>
      </w:r>
      <w:r w:rsidRPr="00605747">
        <w:rPr>
          <w:rFonts w:eastAsia="標楷體"/>
          <w:sz w:val="24"/>
          <w:szCs w:val="24"/>
        </w:rPr>
        <w:t>(</w:t>
      </w:r>
      <w:r w:rsidRPr="00605747">
        <w:rPr>
          <w:rFonts w:eastAsia="標楷體" w:hint="eastAsia"/>
          <w:sz w:val="24"/>
          <w:szCs w:val="24"/>
        </w:rPr>
        <w:t xml:space="preserve">Director, </w:t>
      </w:r>
      <w:r w:rsidRPr="00605747">
        <w:rPr>
          <w:rFonts w:eastAsia="標楷體"/>
          <w:sz w:val="24"/>
          <w:szCs w:val="24"/>
        </w:rPr>
        <w:t>appointin</w:t>
      </w:r>
      <w:r w:rsidRPr="007F6F77">
        <w:rPr>
          <w:rFonts w:eastAsia="標楷體"/>
          <w:sz w:val="24"/>
          <w:szCs w:val="24"/>
        </w:rPr>
        <w:t xml:space="preserve">g </w:t>
      </w:r>
      <w:r w:rsidRPr="007F6F77">
        <w:rPr>
          <w:rFonts w:eastAsia="標楷體" w:hint="eastAsia"/>
          <w:sz w:val="24"/>
          <w:szCs w:val="24"/>
        </w:rPr>
        <w:t>Nan-</w:t>
      </w:r>
      <w:proofErr w:type="spellStart"/>
      <w:r w:rsidRPr="007F6F77">
        <w:rPr>
          <w:rFonts w:eastAsia="標楷體" w:hint="eastAsia"/>
          <w:sz w:val="24"/>
          <w:szCs w:val="24"/>
        </w:rPr>
        <w:t>kuang</w:t>
      </w:r>
      <w:proofErr w:type="spellEnd"/>
      <w:r w:rsidRPr="007F6F77">
        <w:rPr>
          <w:rFonts w:eastAsia="標楷體" w:hint="eastAsia"/>
          <w:sz w:val="24"/>
          <w:szCs w:val="24"/>
        </w:rPr>
        <w:t xml:space="preserve"> Chen</w:t>
      </w:r>
      <w:r w:rsidRPr="007F6F77">
        <w:rPr>
          <w:rFonts w:eastAsia="標楷體"/>
          <w:sz w:val="24"/>
          <w:szCs w:val="24"/>
        </w:rPr>
        <w:t xml:space="preserve"> as proxy)</w:t>
      </w:r>
    </w:p>
    <w:p w:rsidR="008C284D" w:rsidRPr="007F6F77" w:rsidRDefault="008C284D" w:rsidP="00642463">
      <w:pPr>
        <w:spacing w:line="440" w:lineRule="exact"/>
        <w:ind w:leftChars="200" w:left="400" w:rightChars="5" w:right="10"/>
        <w:textDirection w:val="lrTbV"/>
        <w:rPr>
          <w:rFonts w:eastAsia="標楷體"/>
          <w:sz w:val="24"/>
          <w:szCs w:val="24"/>
        </w:rPr>
      </w:pPr>
      <w:r w:rsidRPr="007F6F77">
        <w:rPr>
          <w:rFonts w:eastAsia="標楷體" w:hint="eastAsia"/>
          <w:b/>
          <w:sz w:val="24"/>
          <w:szCs w:val="24"/>
        </w:rPr>
        <w:t>Chairman, Board of Supervisors</w:t>
      </w:r>
      <w:r w:rsidRPr="007F6F77">
        <w:rPr>
          <w:rFonts w:eastAsia="標楷體" w:hint="eastAsia"/>
          <w:sz w:val="24"/>
          <w:szCs w:val="24"/>
        </w:rPr>
        <w:t xml:space="preserve">: </w:t>
      </w:r>
      <w:proofErr w:type="spellStart"/>
      <w:r w:rsidRPr="007F6F77">
        <w:rPr>
          <w:rFonts w:eastAsia="標楷體" w:hint="eastAsia"/>
          <w:sz w:val="24"/>
          <w:szCs w:val="24"/>
        </w:rPr>
        <w:t>Tzer-ming</w:t>
      </w:r>
      <w:proofErr w:type="spellEnd"/>
      <w:r w:rsidRPr="007F6F77">
        <w:rPr>
          <w:rFonts w:eastAsia="標楷體" w:hint="eastAsia"/>
          <w:sz w:val="24"/>
          <w:szCs w:val="24"/>
        </w:rPr>
        <w:t xml:space="preserve"> Chu</w:t>
      </w:r>
    </w:p>
    <w:p w:rsidR="008C284D" w:rsidRPr="007F6F77" w:rsidRDefault="008C284D" w:rsidP="00642463">
      <w:pPr>
        <w:spacing w:line="440" w:lineRule="exact"/>
        <w:ind w:leftChars="200" w:left="400" w:rightChars="5" w:right="10"/>
        <w:jc w:val="both"/>
        <w:textDirection w:val="lrTbV"/>
        <w:rPr>
          <w:rFonts w:eastAsia="標楷體"/>
          <w:color w:val="FF0000"/>
          <w:sz w:val="24"/>
          <w:szCs w:val="24"/>
        </w:rPr>
      </w:pPr>
      <w:r w:rsidRPr="007F6F77">
        <w:rPr>
          <w:rFonts w:eastAsia="標楷體" w:hint="eastAsia"/>
          <w:b/>
          <w:sz w:val="24"/>
          <w:szCs w:val="24"/>
        </w:rPr>
        <w:t>Supervisors</w:t>
      </w:r>
      <w:r w:rsidRPr="007F6F77">
        <w:rPr>
          <w:rFonts w:eastAsia="標楷體" w:hint="eastAsia"/>
          <w:sz w:val="24"/>
          <w:szCs w:val="24"/>
        </w:rPr>
        <w:t xml:space="preserve">: </w:t>
      </w:r>
      <w:r w:rsidR="00605747" w:rsidRPr="007F6F77">
        <w:rPr>
          <w:rFonts w:eastAsia="標楷體" w:hint="eastAsia"/>
          <w:sz w:val="24"/>
          <w:szCs w:val="24"/>
        </w:rPr>
        <w:t>Ching-fan Chung, Sheng-</w:t>
      </w:r>
      <w:proofErr w:type="spellStart"/>
      <w:r w:rsidR="00605747" w:rsidRPr="007F6F77">
        <w:rPr>
          <w:rFonts w:eastAsia="標楷體" w:hint="eastAsia"/>
          <w:sz w:val="24"/>
          <w:szCs w:val="24"/>
        </w:rPr>
        <w:t>yao</w:t>
      </w:r>
      <w:proofErr w:type="spellEnd"/>
      <w:r w:rsidR="00605747" w:rsidRPr="007F6F77">
        <w:rPr>
          <w:rFonts w:eastAsia="標楷體" w:hint="eastAsia"/>
          <w:sz w:val="24"/>
          <w:szCs w:val="24"/>
        </w:rPr>
        <w:t xml:space="preserve"> Lin</w:t>
      </w:r>
      <w:r w:rsidR="00605747">
        <w:rPr>
          <w:rFonts w:eastAsia="標楷體" w:hint="eastAsia"/>
          <w:sz w:val="24"/>
          <w:szCs w:val="24"/>
        </w:rPr>
        <w:t xml:space="preserve">, </w:t>
      </w:r>
      <w:r w:rsidR="00605747">
        <w:rPr>
          <w:rFonts w:eastAsia="標楷體"/>
          <w:sz w:val="24"/>
          <w:szCs w:val="24"/>
        </w:rPr>
        <w:t>Tien-</w:t>
      </w:r>
      <w:proofErr w:type="spellStart"/>
      <w:r w:rsidR="00605747">
        <w:rPr>
          <w:rFonts w:eastAsia="標楷體" w:hint="eastAsia"/>
          <w:sz w:val="24"/>
          <w:szCs w:val="24"/>
        </w:rPr>
        <w:t>w</w:t>
      </w:r>
      <w:r w:rsidR="00605747" w:rsidRPr="00605747">
        <w:rPr>
          <w:rFonts w:eastAsia="標楷體"/>
          <w:sz w:val="24"/>
          <w:szCs w:val="24"/>
        </w:rPr>
        <w:t>ang</w:t>
      </w:r>
      <w:proofErr w:type="spellEnd"/>
      <w:r w:rsidR="00605747" w:rsidRPr="00605747">
        <w:rPr>
          <w:rFonts w:eastAsia="標楷體"/>
          <w:sz w:val="24"/>
          <w:szCs w:val="24"/>
        </w:rPr>
        <w:t xml:space="preserve"> </w:t>
      </w:r>
      <w:proofErr w:type="spellStart"/>
      <w:r w:rsidR="00605747" w:rsidRPr="00605747">
        <w:rPr>
          <w:rFonts w:eastAsia="標楷體"/>
          <w:sz w:val="24"/>
          <w:szCs w:val="24"/>
        </w:rPr>
        <w:t>Tsaur</w:t>
      </w:r>
      <w:proofErr w:type="spellEnd"/>
      <w:r w:rsidR="00605747">
        <w:rPr>
          <w:rFonts w:eastAsia="標楷體" w:hint="eastAsia"/>
          <w:sz w:val="24"/>
          <w:szCs w:val="24"/>
        </w:rPr>
        <w:t xml:space="preserve">, </w:t>
      </w:r>
      <w:proofErr w:type="spellStart"/>
      <w:r w:rsidR="00605747" w:rsidRPr="00605747">
        <w:rPr>
          <w:rFonts w:eastAsia="標楷體"/>
          <w:sz w:val="24"/>
          <w:szCs w:val="24"/>
        </w:rPr>
        <w:t>Kuei</w:t>
      </w:r>
      <w:proofErr w:type="spellEnd"/>
      <w:r w:rsidR="00605747" w:rsidRPr="00605747">
        <w:rPr>
          <w:rFonts w:eastAsia="標楷體"/>
          <w:sz w:val="24"/>
          <w:szCs w:val="24"/>
        </w:rPr>
        <w:t>-</w:t>
      </w:r>
      <w:r w:rsidR="00605747">
        <w:rPr>
          <w:rFonts w:eastAsia="標楷體" w:hint="eastAsia"/>
          <w:sz w:val="24"/>
          <w:szCs w:val="24"/>
        </w:rPr>
        <w:t>h</w:t>
      </w:r>
      <w:r w:rsidR="00605747" w:rsidRPr="00605747">
        <w:rPr>
          <w:rFonts w:eastAsia="標楷體"/>
          <w:sz w:val="24"/>
          <w:szCs w:val="24"/>
        </w:rPr>
        <w:t>ui Cheng</w:t>
      </w:r>
      <w:r w:rsidR="00605747" w:rsidRPr="007F6F77">
        <w:rPr>
          <w:rFonts w:eastAsia="標楷體" w:hint="eastAsia"/>
          <w:sz w:val="24"/>
          <w:szCs w:val="24"/>
        </w:rPr>
        <w:t xml:space="preserve"> </w:t>
      </w:r>
    </w:p>
    <w:p w:rsidR="00363599" w:rsidRPr="007F6F77" w:rsidRDefault="00363599" w:rsidP="007A2BCD">
      <w:pPr>
        <w:pStyle w:val="31"/>
        <w:spacing w:beforeLines="50" w:before="120" w:line="440" w:lineRule="exact"/>
        <w:textDirection w:val="lrTbV"/>
        <w:rPr>
          <w:rFonts w:eastAsia="標楷體"/>
          <w:sz w:val="24"/>
          <w:szCs w:val="24"/>
        </w:rPr>
      </w:pPr>
      <w:r w:rsidRPr="007F6F77">
        <w:rPr>
          <w:rFonts w:eastAsia="標楷體" w:hint="eastAsia"/>
          <w:b/>
          <w:sz w:val="24"/>
          <w:szCs w:val="24"/>
        </w:rPr>
        <w:t xml:space="preserve">Staff Present: </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sz w:val="24"/>
          <w:szCs w:val="24"/>
        </w:rPr>
        <w:t>E-</w:t>
      </w:r>
      <w:r w:rsidRPr="007F6F77">
        <w:rPr>
          <w:rFonts w:eastAsia="標楷體" w:hint="eastAsia"/>
          <w:sz w:val="24"/>
          <w:szCs w:val="24"/>
        </w:rPr>
        <w:t>d</w:t>
      </w:r>
      <w:r w:rsidRPr="007F6F77">
        <w:rPr>
          <w:rFonts w:eastAsia="標楷體"/>
          <w:sz w:val="24"/>
          <w:szCs w:val="24"/>
        </w:rPr>
        <w:t>awn Chen</w:t>
      </w:r>
      <w:r w:rsidRPr="007F6F77">
        <w:rPr>
          <w:rFonts w:eastAsia="標楷體" w:hint="eastAsia"/>
          <w:sz w:val="24"/>
          <w:szCs w:val="24"/>
        </w:rPr>
        <w:t>,</w:t>
      </w:r>
      <w:r w:rsidRPr="007F6F77">
        <w:rPr>
          <w:rFonts w:eastAsia="標楷體"/>
          <w:sz w:val="24"/>
          <w:szCs w:val="24"/>
        </w:rPr>
        <w:t xml:space="preserve"> Director General</w:t>
      </w:r>
      <w:r w:rsidRPr="007F6F77">
        <w:rPr>
          <w:rFonts w:eastAsia="標楷體" w:hint="eastAsia"/>
          <w:sz w:val="24"/>
          <w:szCs w:val="24"/>
        </w:rPr>
        <w:t>,</w:t>
      </w:r>
      <w:r w:rsidRPr="007F6F77">
        <w:rPr>
          <w:rFonts w:eastAsia="標楷體"/>
          <w:sz w:val="24"/>
          <w:szCs w:val="24"/>
        </w:rPr>
        <w:t xml:space="preserve"> Department of Banking</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sz w:val="24"/>
          <w:szCs w:val="24"/>
        </w:rPr>
        <w:t>James T.H. Shih</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w:t>
      </w:r>
      <w:r w:rsidR="006F25E5" w:rsidRPr="007F6F77">
        <w:rPr>
          <w:rFonts w:eastAsia="標楷體" w:hint="eastAsia"/>
          <w:sz w:val="24"/>
          <w:szCs w:val="24"/>
        </w:rPr>
        <w:t xml:space="preserve"> </w:t>
      </w:r>
      <w:r w:rsidRPr="007F6F77">
        <w:rPr>
          <w:rFonts w:eastAsia="標楷體"/>
          <w:sz w:val="24"/>
          <w:szCs w:val="24"/>
        </w:rPr>
        <w:t xml:space="preserve">Department of Issuing </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sz w:val="24"/>
          <w:szCs w:val="24"/>
        </w:rPr>
        <w:t>Hui-</w:t>
      </w:r>
      <w:proofErr w:type="spellStart"/>
      <w:r w:rsidRPr="007F6F77">
        <w:rPr>
          <w:rFonts w:eastAsia="標楷體" w:hint="eastAsia"/>
          <w:sz w:val="24"/>
          <w:szCs w:val="24"/>
        </w:rPr>
        <w:t>h</w:t>
      </w:r>
      <w:r w:rsidRPr="007F6F77">
        <w:rPr>
          <w:rFonts w:eastAsia="標楷體"/>
          <w:sz w:val="24"/>
          <w:szCs w:val="24"/>
        </w:rPr>
        <w:t>uang</w:t>
      </w:r>
      <w:proofErr w:type="spellEnd"/>
      <w:r w:rsidRPr="007F6F77">
        <w:rPr>
          <w:rFonts w:eastAsia="標楷體"/>
          <w:sz w:val="24"/>
          <w:szCs w:val="24"/>
        </w:rPr>
        <w:t xml:space="preserve"> Yen</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w:t>
      </w:r>
      <w:r w:rsidRPr="007F6F77">
        <w:rPr>
          <w:rFonts w:eastAsia="標楷體"/>
          <w:sz w:val="24"/>
          <w:szCs w:val="24"/>
        </w:rPr>
        <w:t xml:space="preserve"> Department of Foreign</w:t>
      </w:r>
      <w:r w:rsidRPr="007F6F77">
        <w:rPr>
          <w:rFonts w:eastAsia="標楷體" w:hint="eastAsia"/>
          <w:sz w:val="24"/>
          <w:szCs w:val="24"/>
        </w:rPr>
        <w:t xml:space="preserve"> </w:t>
      </w:r>
      <w:r w:rsidRPr="007F6F77">
        <w:rPr>
          <w:rFonts w:eastAsia="標楷體"/>
          <w:sz w:val="24"/>
          <w:szCs w:val="24"/>
        </w:rPr>
        <w:t>Exchange</w:t>
      </w:r>
    </w:p>
    <w:p w:rsidR="00363599" w:rsidRPr="007F6F77" w:rsidRDefault="005549FB" w:rsidP="00A32D1B">
      <w:pPr>
        <w:pStyle w:val="31"/>
        <w:spacing w:line="440" w:lineRule="exact"/>
        <w:ind w:leftChars="200" w:left="400"/>
        <w:textDirection w:val="lrTbV"/>
        <w:rPr>
          <w:rFonts w:eastAsia="標楷體"/>
          <w:sz w:val="24"/>
          <w:szCs w:val="24"/>
        </w:rPr>
      </w:pPr>
      <w:r w:rsidRPr="005549FB">
        <w:rPr>
          <w:rFonts w:eastAsia="標楷體"/>
          <w:sz w:val="24"/>
          <w:szCs w:val="24"/>
        </w:rPr>
        <w:t xml:space="preserve">Yue-min Chen, Director General, </w:t>
      </w:r>
      <w:r w:rsidR="00363599" w:rsidRPr="007F6F77">
        <w:rPr>
          <w:rFonts w:eastAsia="標楷體"/>
          <w:sz w:val="24"/>
          <w:szCs w:val="24"/>
        </w:rPr>
        <w:t>Department of the Treasury</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Tsuey</w:t>
      </w:r>
      <w:proofErr w:type="spellEnd"/>
      <w:r w:rsidRPr="007F6F77">
        <w:rPr>
          <w:rFonts w:eastAsia="標楷體"/>
          <w:sz w:val="24"/>
          <w:szCs w:val="24"/>
        </w:rPr>
        <w:t>-</w:t>
      </w:r>
      <w:r w:rsidRPr="007F6F77">
        <w:rPr>
          <w:rFonts w:eastAsia="標楷體" w:hint="eastAsia"/>
          <w:sz w:val="24"/>
          <w:szCs w:val="24"/>
        </w:rPr>
        <w:t>l</w:t>
      </w:r>
      <w:r w:rsidRPr="007F6F77">
        <w:rPr>
          <w:rFonts w:eastAsia="標楷體"/>
          <w:sz w:val="24"/>
          <w:szCs w:val="24"/>
        </w:rPr>
        <w:t>ing Hsiao</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 D</w:t>
      </w:r>
      <w:r w:rsidRPr="007F6F77">
        <w:rPr>
          <w:rFonts w:eastAsia="標楷體"/>
          <w:sz w:val="24"/>
          <w:szCs w:val="24"/>
        </w:rPr>
        <w:t>epartment of Financial</w:t>
      </w:r>
      <w:r w:rsidRPr="007F6F77">
        <w:rPr>
          <w:rFonts w:eastAsia="標楷體" w:hint="eastAsia"/>
          <w:sz w:val="24"/>
          <w:szCs w:val="24"/>
        </w:rPr>
        <w:t xml:space="preserve"> </w:t>
      </w:r>
      <w:r w:rsidRPr="007F6F77">
        <w:rPr>
          <w:rFonts w:eastAsia="標楷體"/>
          <w:sz w:val="24"/>
          <w:szCs w:val="24"/>
        </w:rPr>
        <w:t>Inspection</w:t>
      </w:r>
      <w:r w:rsidRPr="007F6F77">
        <w:rPr>
          <w:rFonts w:eastAsia="標楷體" w:hint="eastAsia"/>
          <w:sz w:val="24"/>
          <w:szCs w:val="24"/>
        </w:rPr>
        <w:t xml:space="preserve"> </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Tzong-</w:t>
      </w:r>
      <w:r w:rsidRPr="007F6F77">
        <w:rPr>
          <w:rFonts w:eastAsia="標楷體" w:hint="eastAsia"/>
          <w:sz w:val="24"/>
          <w:szCs w:val="24"/>
        </w:rPr>
        <w:t>y</w:t>
      </w:r>
      <w:r w:rsidRPr="007F6F77">
        <w:rPr>
          <w:rFonts w:eastAsia="標楷體"/>
          <w:sz w:val="24"/>
          <w:szCs w:val="24"/>
        </w:rPr>
        <w:t>au</w:t>
      </w:r>
      <w:proofErr w:type="spellEnd"/>
      <w:r w:rsidRPr="007F6F77">
        <w:rPr>
          <w:rFonts w:eastAsia="標楷體"/>
          <w:sz w:val="24"/>
          <w:szCs w:val="24"/>
        </w:rPr>
        <w:t xml:space="preserve"> Lin</w:t>
      </w:r>
      <w:r w:rsidRPr="007F6F77">
        <w:rPr>
          <w:rFonts w:eastAsia="標楷體" w:hint="eastAsia"/>
          <w:sz w:val="24"/>
          <w:szCs w:val="24"/>
        </w:rPr>
        <w:t>,</w:t>
      </w:r>
      <w:r w:rsidRPr="007F6F77">
        <w:rPr>
          <w:rFonts w:eastAsia="標楷體"/>
          <w:sz w:val="24"/>
          <w:szCs w:val="24"/>
        </w:rPr>
        <w:t xml:space="preserve"> Director General</w:t>
      </w:r>
      <w:r w:rsidRPr="007F6F77">
        <w:rPr>
          <w:rFonts w:eastAsia="標楷體" w:hint="eastAsia"/>
          <w:sz w:val="24"/>
          <w:szCs w:val="24"/>
        </w:rPr>
        <w:t xml:space="preserve">, </w:t>
      </w:r>
      <w:r w:rsidRPr="007F6F77">
        <w:rPr>
          <w:rFonts w:eastAsia="標楷體"/>
          <w:sz w:val="24"/>
          <w:szCs w:val="24"/>
        </w:rPr>
        <w:t>Department of Economic Research</w:t>
      </w:r>
      <w:r w:rsidRPr="007F6F77">
        <w:rPr>
          <w:rFonts w:eastAsia="標楷體" w:hint="eastAsia"/>
          <w:sz w:val="24"/>
          <w:szCs w:val="24"/>
        </w:rPr>
        <w:t xml:space="preserve"> </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Chien-</w:t>
      </w:r>
      <w:r w:rsidRPr="007F6F77">
        <w:rPr>
          <w:rFonts w:eastAsia="標楷體" w:hint="eastAsia"/>
          <w:sz w:val="24"/>
          <w:szCs w:val="24"/>
        </w:rPr>
        <w:t>c</w:t>
      </w:r>
      <w:r w:rsidRPr="007F6F77">
        <w:rPr>
          <w:rFonts w:eastAsia="標楷體"/>
          <w:sz w:val="24"/>
          <w:szCs w:val="24"/>
        </w:rPr>
        <w:t>hing</w:t>
      </w:r>
      <w:proofErr w:type="spellEnd"/>
      <w:r w:rsidRPr="007F6F77">
        <w:rPr>
          <w:rFonts w:eastAsia="標楷體"/>
          <w:sz w:val="24"/>
          <w:szCs w:val="24"/>
        </w:rPr>
        <w:t xml:space="preserve"> Liang</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w:t>
      </w:r>
      <w:r w:rsidRPr="007F6F77">
        <w:rPr>
          <w:rFonts w:eastAsia="標楷體"/>
          <w:sz w:val="24"/>
          <w:szCs w:val="24"/>
        </w:rPr>
        <w:t xml:space="preserve"> Secretariat</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Kuei-</w:t>
      </w:r>
      <w:r w:rsidRPr="007F6F77">
        <w:rPr>
          <w:rFonts w:eastAsia="標楷體" w:hint="eastAsia"/>
          <w:sz w:val="24"/>
          <w:szCs w:val="24"/>
        </w:rPr>
        <w:t>c</w:t>
      </w:r>
      <w:r w:rsidRPr="007F6F77">
        <w:rPr>
          <w:rFonts w:eastAsia="標楷體"/>
          <w:sz w:val="24"/>
          <w:szCs w:val="24"/>
        </w:rPr>
        <w:t>hou</w:t>
      </w:r>
      <w:proofErr w:type="spellEnd"/>
      <w:r w:rsidRPr="007F6F77">
        <w:rPr>
          <w:rFonts w:eastAsia="標楷體"/>
          <w:sz w:val="24"/>
          <w:szCs w:val="24"/>
        </w:rPr>
        <w:t xml:space="preserve"> Huang</w:t>
      </w:r>
      <w:r w:rsidRPr="007F6F77">
        <w:rPr>
          <w:rFonts w:eastAsia="標楷體" w:hint="eastAsia"/>
          <w:sz w:val="24"/>
          <w:szCs w:val="24"/>
        </w:rPr>
        <w:t xml:space="preserve">, </w:t>
      </w:r>
      <w:r w:rsidRPr="007F6F77">
        <w:rPr>
          <w:rFonts w:eastAsia="標楷體"/>
          <w:sz w:val="24"/>
          <w:szCs w:val="24"/>
        </w:rPr>
        <w:t>Director General</w:t>
      </w:r>
      <w:r w:rsidRPr="007F6F77">
        <w:rPr>
          <w:rFonts w:eastAsia="標楷體" w:hint="eastAsia"/>
          <w:sz w:val="24"/>
          <w:szCs w:val="24"/>
        </w:rPr>
        <w:t>,</w:t>
      </w:r>
      <w:r w:rsidRPr="007F6F77">
        <w:rPr>
          <w:rFonts w:eastAsia="標楷體"/>
          <w:sz w:val="24"/>
          <w:szCs w:val="24"/>
        </w:rPr>
        <w:t xml:space="preserve"> Department of Accounting</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sz w:val="24"/>
          <w:szCs w:val="24"/>
        </w:rPr>
        <w:t>Jhih-</w:t>
      </w:r>
      <w:r w:rsidRPr="007F6F77">
        <w:rPr>
          <w:rFonts w:eastAsia="標楷體" w:hint="eastAsia"/>
          <w:sz w:val="24"/>
          <w:szCs w:val="24"/>
        </w:rPr>
        <w:t>c</w:t>
      </w:r>
      <w:r w:rsidRPr="007F6F77">
        <w:rPr>
          <w:rFonts w:eastAsia="標楷體"/>
          <w:sz w:val="24"/>
          <w:szCs w:val="24"/>
        </w:rPr>
        <w:t>heng</w:t>
      </w:r>
      <w:proofErr w:type="spellEnd"/>
      <w:r w:rsidRPr="007F6F77">
        <w:rPr>
          <w:rFonts w:eastAsia="標楷體"/>
          <w:sz w:val="24"/>
          <w:szCs w:val="24"/>
        </w:rPr>
        <w:t xml:space="preserve"> Hong</w:t>
      </w:r>
      <w:r w:rsidRPr="007F6F77">
        <w:rPr>
          <w:rFonts w:eastAsia="標楷體" w:hint="eastAsia"/>
          <w:sz w:val="24"/>
          <w:szCs w:val="24"/>
        </w:rPr>
        <w:t xml:space="preserve">, </w:t>
      </w:r>
      <w:r w:rsidRPr="007F6F77">
        <w:rPr>
          <w:rFonts w:eastAsia="標楷體"/>
          <w:sz w:val="24"/>
          <w:szCs w:val="24"/>
        </w:rPr>
        <w:t>Director</w:t>
      </w:r>
      <w:r w:rsidRPr="007F6F77">
        <w:rPr>
          <w:rFonts w:eastAsia="標楷體" w:hint="eastAsia"/>
          <w:sz w:val="24"/>
          <w:szCs w:val="24"/>
        </w:rPr>
        <w:t>,</w:t>
      </w:r>
      <w:r w:rsidRPr="007F6F77">
        <w:rPr>
          <w:rFonts w:eastAsia="標楷體"/>
          <w:sz w:val="24"/>
          <w:szCs w:val="24"/>
        </w:rPr>
        <w:t xml:space="preserve"> Personnel Office</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sz w:val="24"/>
          <w:szCs w:val="24"/>
        </w:rPr>
        <w:t>Kun-</w:t>
      </w:r>
      <w:proofErr w:type="spellStart"/>
      <w:r w:rsidRPr="007F6F77">
        <w:rPr>
          <w:rFonts w:eastAsia="標楷體" w:hint="eastAsia"/>
          <w:sz w:val="24"/>
          <w:szCs w:val="24"/>
        </w:rPr>
        <w:t>s</w:t>
      </w:r>
      <w:r w:rsidRPr="007F6F77">
        <w:rPr>
          <w:rFonts w:eastAsia="標楷體"/>
          <w:sz w:val="24"/>
          <w:szCs w:val="24"/>
        </w:rPr>
        <w:t>han</w:t>
      </w:r>
      <w:proofErr w:type="spellEnd"/>
      <w:r w:rsidRPr="007F6F77">
        <w:rPr>
          <w:rFonts w:eastAsia="標楷體"/>
          <w:sz w:val="24"/>
          <w:szCs w:val="24"/>
        </w:rPr>
        <w:t xml:space="preserve"> Wu</w:t>
      </w:r>
      <w:r w:rsidRPr="007F6F77">
        <w:rPr>
          <w:rFonts w:eastAsia="標楷體" w:hint="eastAsia"/>
          <w:sz w:val="24"/>
          <w:szCs w:val="24"/>
        </w:rPr>
        <w:t>,</w:t>
      </w:r>
      <w:r w:rsidRPr="007F6F77">
        <w:rPr>
          <w:rFonts w:eastAsia="標楷體"/>
          <w:sz w:val="24"/>
          <w:szCs w:val="24"/>
        </w:rPr>
        <w:t xml:space="preserve"> Director</w:t>
      </w:r>
      <w:r w:rsidRPr="007F6F77">
        <w:rPr>
          <w:rFonts w:eastAsia="標楷體" w:hint="eastAsia"/>
          <w:sz w:val="24"/>
          <w:szCs w:val="24"/>
        </w:rPr>
        <w:t>,</w:t>
      </w:r>
      <w:r w:rsidRPr="007F6F77">
        <w:rPr>
          <w:rFonts w:eastAsia="標楷體"/>
          <w:sz w:val="24"/>
          <w:szCs w:val="24"/>
        </w:rPr>
        <w:t xml:space="preserve"> Legal Affairs Office </w:t>
      </w:r>
    </w:p>
    <w:p w:rsidR="00363599" w:rsidRPr="007F6F77" w:rsidRDefault="00363599" w:rsidP="00642463">
      <w:pPr>
        <w:pStyle w:val="31"/>
        <w:spacing w:line="440" w:lineRule="exact"/>
        <w:ind w:leftChars="200" w:left="400"/>
        <w:textDirection w:val="lrTbV"/>
        <w:rPr>
          <w:rFonts w:eastAsia="標楷體"/>
          <w:sz w:val="24"/>
          <w:szCs w:val="24"/>
        </w:rPr>
      </w:pPr>
      <w:proofErr w:type="spellStart"/>
      <w:r w:rsidRPr="007F6F77">
        <w:rPr>
          <w:rFonts w:eastAsia="標楷體" w:hint="eastAsia"/>
          <w:sz w:val="24"/>
          <w:szCs w:val="24"/>
        </w:rPr>
        <w:t>Chih-cheng</w:t>
      </w:r>
      <w:proofErr w:type="spellEnd"/>
      <w:r w:rsidRPr="007F6F77">
        <w:rPr>
          <w:rFonts w:eastAsia="標楷體" w:hint="eastAsia"/>
          <w:sz w:val="24"/>
          <w:szCs w:val="24"/>
        </w:rPr>
        <w:t xml:space="preserve"> Hu, Secretary, Board of Directors</w:t>
      </w:r>
    </w:p>
    <w:p w:rsidR="00EB5061" w:rsidRPr="007F6F77" w:rsidRDefault="00EB5061" w:rsidP="00EB5061">
      <w:pPr>
        <w:pStyle w:val="31"/>
        <w:spacing w:line="440" w:lineRule="exact"/>
        <w:ind w:leftChars="200" w:left="400"/>
        <w:textDirection w:val="lrTbV"/>
        <w:rPr>
          <w:rFonts w:eastAsia="標楷體"/>
          <w:sz w:val="24"/>
          <w:szCs w:val="24"/>
        </w:rPr>
      </w:pPr>
      <w:r w:rsidRPr="007F6F77">
        <w:rPr>
          <w:rFonts w:eastAsia="標楷體" w:hint="eastAsia"/>
          <w:sz w:val="24"/>
          <w:szCs w:val="24"/>
        </w:rPr>
        <w:t>Yu-</w:t>
      </w:r>
      <w:proofErr w:type="spellStart"/>
      <w:r w:rsidRPr="007F6F77">
        <w:rPr>
          <w:rFonts w:eastAsia="標楷體" w:hint="eastAsia"/>
          <w:sz w:val="24"/>
          <w:szCs w:val="24"/>
        </w:rPr>
        <w:t>min</w:t>
      </w:r>
      <w:r w:rsidR="0017066F" w:rsidRPr="007F6F77">
        <w:rPr>
          <w:rFonts w:eastAsia="標楷體" w:hint="eastAsia"/>
          <w:sz w:val="24"/>
          <w:szCs w:val="24"/>
        </w:rPr>
        <w:t>g</w:t>
      </w:r>
      <w:proofErr w:type="spellEnd"/>
      <w:r w:rsidRPr="007F6F77">
        <w:rPr>
          <w:rFonts w:eastAsia="標楷體" w:hint="eastAsia"/>
          <w:sz w:val="24"/>
          <w:szCs w:val="24"/>
        </w:rPr>
        <w:t xml:space="preserve"> Chang, Secretary, Board of Supervisors</w:t>
      </w:r>
    </w:p>
    <w:p w:rsidR="005E27CD" w:rsidRPr="007F6F77" w:rsidRDefault="00363599" w:rsidP="007A2BCD">
      <w:pPr>
        <w:spacing w:beforeLines="50" w:before="120" w:line="440" w:lineRule="exact"/>
        <w:textDirection w:val="lrTbV"/>
        <w:rPr>
          <w:rFonts w:eastAsia="標楷體"/>
          <w:sz w:val="32"/>
          <w:szCs w:val="32"/>
        </w:rPr>
      </w:pPr>
      <w:r w:rsidRPr="007F6F77">
        <w:rPr>
          <w:rFonts w:eastAsia="標楷體" w:hint="eastAsia"/>
          <w:b/>
          <w:sz w:val="24"/>
          <w:szCs w:val="24"/>
        </w:rPr>
        <w:t>Presiding:</w:t>
      </w:r>
      <w:r w:rsidRPr="007F6F77">
        <w:rPr>
          <w:rFonts w:eastAsia="標楷體" w:hint="eastAsia"/>
          <w:sz w:val="24"/>
          <w:szCs w:val="24"/>
        </w:rPr>
        <w:t xml:space="preserve"> </w:t>
      </w:r>
      <w:r w:rsidR="00642463" w:rsidRPr="007F6F77">
        <w:rPr>
          <w:rFonts w:eastAsia="標楷體"/>
          <w:sz w:val="24"/>
          <w:szCs w:val="24"/>
        </w:rPr>
        <w:t>Chin-long Yang</w:t>
      </w:r>
      <w:r w:rsidRPr="007F6F77">
        <w:rPr>
          <w:rFonts w:eastAsia="標楷體" w:hint="eastAsia"/>
          <w:sz w:val="24"/>
          <w:szCs w:val="24"/>
        </w:rPr>
        <w:t xml:space="preserve">　　　　</w:t>
      </w:r>
      <w:r w:rsidR="005E27CD" w:rsidRPr="007F6F77">
        <w:rPr>
          <w:rFonts w:eastAsia="標楷體"/>
          <w:sz w:val="32"/>
          <w:szCs w:val="32"/>
        </w:rPr>
        <w:br w:type="page"/>
      </w:r>
    </w:p>
    <w:p w:rsidR="00BC300B" w:rsidRDefault="00BC300B" w:rsidP="00BC300B">
      <w:pPr>
        <w:adjustRightInd/>
        <w:snapToGrid w:val="0"/>
        <w:spacing w:before="240" w:line="520" w:lineRule="exact"/>
        <w:jc w:val="both"/>
        <w:textDirection w:val="lrTbV"/>
        <w:rPr>
          <w:rFonts w:eastAsia="標楷體"/>
          <w:b/>
          <w:sz w:val="28"/>
          <w:szCs w:val="28"/>
        </w:rPr>
      </w:pPr>
      <w:r>
        <w:rPr>
          <w:rFonts w:eastAsia="標楷體" w:hint="eastAsia"/>
          <w:b/>
          <w:sz w:val="28"/>
          <w:szCs w:val="28"/>
        </w:rPr>
        <w:lastRenderedPageBreak/>
        <w:t>Agenda Item</w:t>
      </w:r>
      <w:r w:rsidRPr="00EB1763">
        <w:rPr>
          <w:rFonts w:eastAsia="標楷體" w:hint="eastAsia"/>
          <w:b/>
          <w:sz w:val="28"/>
          <w:szCs w:val="28"/>
        </w:rPr>
        <w:t xml:space="preserve">: </w:t>
      </w:r>
      <w:r w:rsidRPr="00EB1763">
        <w:rPr>
          <w:rFonts w:eastAsia="標楷體"/>
          <w:b/>
          <w:sz w:val="28"/>
          <w:szCs w:val="28"/>
        </w:rPr>
        <w:t xml:space="preserve">Economic </w:t>
      </w:r>
      <w:r w:rsidRPr="00EB1763">
        <w:rPr>
          <w:rFonts w:eastAsia="標楷體" w:hint="eastAsia"/>
          <w:b/>
          <w:sz w:val="28"/>
          <w:szCs w:val="28"/>
        </w:rPr>
        <w:t>and Financial Conditions and Monetary Policy</w:t>
      </w:r>
      <w:r>
        <w:rPr>
          <w:rFonts w:eastAsia="標楷體" w:hint="eastAsia"/>
          <w:b/>
          <w:sz w:val="28"/>
          <w:szCs w:val="28"/>
        </w:rPr>
        <w:t xml:space="preserve"> Decision</w:t>
      </w:r>
    </w:p>
    <w:p w:rsidR="002570BA" w:rsidRPr="007F6F77" w:rsidRDefault="00EB1763" w:rsidP="00BC300B">
      <w:pPr>
        <w:adjustRightInd/>
        <w:snapToGrid w:val="0"/>
        <w:spacing w:before="240" w:line="520" w:lineRule="exact"/>
        <w:jc w:val="both"/>
        <w:textDirection w:val="lrTbV"/>
        <w:rPr>
          <w:rFonts w:eastAsia="標楷體"/>
          <w:b/>
          <w:sz w:val="28"/>
          <w:szCs w:val="28"/>
        </w:rPr>
      </w:pPr>
      <w:r w:rsidRPr="007F6F77">
        <w:rPr>
          <w:rFonts w:eastAsia="標楷體" w:hint="eastAsia"/>
          <w:b/>
          <w:sz w:val="28"/>
          <w:szCs w:val="28"/>
        </w:rPr>
        <w:t xml:space="preserve">I. </w:t>
      </w:r>
      <w:r w:rsidR="00653A10" w:rsidRPr="007F6F77">
        <w:rPr>
          <w:rFonts w:eastAsia="標楷體" w:hint="eastAsia"/>
          <w:b/>
          <w:sz w:val="28"/>
          <w:szCs w:val="28"/>
        </w:rPr>
        <w:t xml:space="preserve">Review of </w:t>
      </w:r>
      <w:r w:rsidR="008F7E41" w:rsidRPr="007F6F77">
        <w:rPr>
          <w:rFonts w:eastAsia="標楷體"/>
          <w:b/>
          <w:sz w:val="28"/>
          <w:szCs w:val="28"/>
        </w:rPr>
        <w:t xml:space="preserve">economic </w:t>
      </w:r>
      <w:r w:rsidR="002570BA" w:rsidRPr="007F6F77">
        <w:rPr>
          <w:rFonts w:eastAsia="標楷體" w:hint="eastAsia"/>
          <w:b/>
          <w:sz w:val="28"/>
          <w:szCs w:val="28"/>
        </w:rPr>
        <w:t>a</w:t>
      </w:r>
      <w:r w:rsidR="008F7E41" w:rsidRPr="007F6F77">
        <w:rPr>
          <w:rFonts w:eastAsia="標楷體"/>
          <w:b/>
          <w:sz w:val="28"/>
          <w:szCs w:val="28"/>
        </w:rPr>
        <w:t xml:space="preserve">nd financial conditions </w:t>
      </w:r>
    </w:p>
    <w:p w:rsidR="00EB1763" w:rsidRPr="007F6F77" w:rsidRDefault="0043506F" w:rsidP="00FA173A">
      <w:pPr>
        <w:adjustRightInd/>
        <w:snapToGrid w:val="0"/>
        <w:spacing w:before="120" w:line="440" w:lineRule="exact"/>
        <w:jc w:val="both"/>
        <w:textDirection w:val="lrTbV"/>
        <w:rPr>
          <w:rFonts w:eastAsia="標楷體"/>
          <w:sz w:val="24"/>
          <w:szCs w:val="28"/>
        </w:rPr>
      </w:pPr>
      <w:r w:rsidRPr="007F6F77">
        <w:rPr>
          <w:rFonts w:eastAsia="標楷體" w:hint="eastAsia"/>
          <w:sz w:val="24"/>
          <w:szCs w:val="28"/>
        </w:rPr>
        <w:t xml:space="preserve">The </w:t>
      </w:r>
      <w:r w:rsidR="00EB1763" w:rsidRPr="007F6F77">
        <w:rPr>
          <w:rFonts w:eastAsia="標楷體" w:hint="eastAsia"/>
          <w:sz w:val="24"/>
          <w:szCs w:val="28"/>
        </w:rPr>
        <w:t xml:space="preserve">Department of Economic Research </w:t>
      </w:r>
      <w:r w:rsidR="00653A10" w:rsidRPr="007F6F77">
        <w:rPr>
          <w:rFonts w:eastAsia="標楷體" w:hint="eastAsia"/>
          <w:sz w:val="24"/>
          <w:szCs w:val="28"/>
        </w:rPr>
        <w:t xml:space="preserve">presented </w:t>
      </w:r>
      <w:r w:rsidRPr="007F6F77">
        <w:rPr>
          <w:rFonts w:eastAsia="標楷體" w:hint="eastAsia"/>
          <w:sz w:val="24"/>
          <w:szCs w:val="28"/>
        </w:rPr>
        <w:t>the following review</w:t>
      </w:r>
      <w:r w:rsidR="00653A10" w:rsidRPr="007F6F77">
        <w:rPr>
          <w:rFonts w:eastAsia="標楷體" w:hint="eastAsia"/>
          <w:sz w:val="24"/>
          <w:szCs w:val="28"/>
        </w:rPr>
        <w:t>:</w:t>
      </w:r>
      <w:r w:rsidRPr="007F6F77">
        <w:rPr>
          <w:rFonts w:eastAsia="標楷體" w:hint="eastAsia"/>
          <w:sz w:val="24"/>
          <w:szCs w:val="28"/>
        </w:rPr>
        <w:t xml:space="preserve"> </w:t>
      </w:r>
    </w:p>
    <w:p w:rsidR="00EB1763" w:rsidRPr="007F6F77" w:rsidRDefault="00EB1763" w:rsidP="00FA173A">
      <w:pPr>
        <w:numPr>
          <w:ilvl w:val="0"/>
          <w:numId w:val="30"/>
        </w:numPr>
        <w:overflowPunct w:val="0"/>
        <w:autoSpaceDE w:val="0"/>
        <w:autoSpaceDN w:val="0"/>
        <w:snapToGrid w:val="0"/>
        <w:spacing w:before="120" w:line="440" w:lineRule="exact"/>
        <w:ind w:left="426" w:hanging="426"/>
        <w:jc w:val="both"/>
        <w:rPr>
          <w:rFonts w:eastAsia="標楷體"/>
          <w:b/>
          <w:spacing w:val="-2"/>
          <w:sz w:val="24"/>
          <w:szCs w:val="28"/>
        </w:rPr>
      </w:pPr>
      <w:r w:rsidRPr="007F6F77">
        <w:rPr>
          <w:rFonts w:eastAsia="標楷體" w:hint="eastAsia"/>
          <w:b/>
          <w:spacing w:val="-2"/>
          <w:sz w:val="24"/>
          <w:szCs w:val="28"/>
        </w:rPr>
        <w:t xml:space="preserve">International </w:t>
      </w:r>
      <w:r w:rsidRPr="007F6F77">
        <w:rPr>
          <w:rFonts w:eastAsia="標楷體"/>
          <w:b/>
          <w:spacing w:val="-2"/>
          <w:sz w:val="24"/>
          <w:szCs w:val="28"/>
        </w:rPr>
        <w:t xml:space="preserve">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BC300B" w:rsidRDefault="00C33978" w:rsidP="007E3FA7">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Since the Board last convened </w:t>
      </w:r>
      <w:r w:rsidR="00363699">
        <w:rPr>
          <w:rFonts w:ascii="Times New Roman" w:eastAsia="標楷體" w:hint="eastAsia"/>
          <w:spacing w:val="0"/>
          <w:sz w:val="24"/>
          <w:szCs w:val="24"/>
        </w:rPr>
        <w:t xml:space="preserve">in </w:t>
      </w:r>
      <w:r>
        <w:rPr>
          <w:rFonts w:ascii="Times New Roman" w:eastAsia="標楷體" w:hint="eastAsia"/>
          <w:spacing w:val="0"/>
          <w:sz w:val="24"/>
          <w:szCs w:val="24"/>
        </w:rPr>
        <w:t xml:space="preserve">December 2018, </w:t>
      </w:r>
      <w:r w:rsidR="003973E4">
        <w:rPr>
          <w:rFonts w:ascii="Times New Roman" w:eastAsia="標楷體" w:hint="eastAsia"/>
          <w:spacing w:val="0"/>
          <w:sz w:val="24"/>
          <w:szCs w:val="24"/>
        </w:rPr>
        <w:t xml:space="preserve">a number of </w:t>
      </w:r>
      <w:r>
        <w:rPr>
          <w:rFonts w:ascii="Times New Roman" w:eastAsia="標楷體" w:hint="eastAsia"/>
          <w:spacing w:val="0"/>
          <w:sz w:val="24"/>
          <w:szCs w:val="24"/>
        </w:rPr>
        <w:t xml:space="preserve">major concerns, including lingering uncertainty over the US trade policy, a slowing China </w:t>
      </w:r>
      <w:r>
        <w:rPr>
          <w:rFonts w:ascii="Times New Roman" w:eastAsia="標楷體"/>
          <w:spacing w:val="0"/>
          <w:sz w:val="24"/>
          <w:szCs w:val="24"/>
        </w:rPr>
        <w:t>economy</w:t>
      </w:r>
      <w:r>
        <w:rPr>
          <w:rFonts w:ascii="Times New Roman" w:eastAsia="標楷體" w:hint="eastAsia"/>
          <w:spacing w:val="0"/>
          <w:sz w:val="24"/>
          <w:szCs w:val="24"/>
        </w:rPr>
        <w:t>, and possible extension of Brexit deadline, ha</w:t>
      </w:r>
      <w:r w:rsidR="00363699">
        <w:rPr>
          <w:rFonts w:ascii="Times New Roman" w:eastAsia="標楷體" w:hint="eastAsia"/>
          <w:spacing w:val="0"/>
          <w:sz w:val="24"/>
          <w:szCs w:val="24"/>
        </w:rPr>
        <w:t>d</w:t>
      </w:r>
      <w:r>
        <w:rPr>
          <w:rFonts w:ascii="Times New Roman" w:eastAsia="標楷體" w:hint="eastAsia"/>
          <w:spacing w:val="0"/>
          <w:sz w:val="24"/>
          <w:szCs w:val="24"/>
        </w:rPr>
        <w:t xml:space="preserve"> led major international forecasting institutions to revise down their projections for the global </w:t>
      </w:r>
      <w:r>
        <w:rPr>
          <w:rFonts w:ascii="Times New Roman" w:eastAsia="標楷體"/>
          <w:spacing w:val="0"/>
          <w:sz w:val="24"/>
          <w:szCs w:val="24"/>
        </w:rPr>
        <w:t>economic</w:t>
      </w:r>
      <w:r>
        <w:rPr>
          <w:rFonts w:ascii="Times New Roman" w:eastAsia="標楷體" w:hint="eastAsia"/>
          <w:spacing w:val="0"/>
          <w:sz w:val="24"/>
          <w:szCs w:val="24"/>
        </w:rPr>
        <w:t xml:space="preserve"> growth and to predict a slower pace this year than last. In </w:t>
      </w:r>
      <w:r w:rsidR="00363699">
        <w:rPr>
          <w:rFonts w:ascii="Times New Roman" w:eastAsia="標楷體" w:hint="eastAsia"/>
          <w:spacing w:val="0"/>
          <w:sz w:val="24"/>
          <w:szCs w:val="24"/>
        </w:rPr>
        <w:t>the meantime</w:t>
      </w:r>
      <w:r>
        <w:rPr>
          <w:rFonts w:ascii="Times New Roman" w:eastAsia="標楷體" w:hint="eastAsia"/>
          <w:spacing w:val="0"/>
          <w:sz w:val="24"/>
          <w:szCs w:val="24"/>
        </w:rPr>
        <w:t xml:space="preserve">, trade tension among major </w:t>
      </w:r>
      <w:r>
        <w:rPr>
          <w:rFonts w:ascii="Times New Roman" w:eastAsia="標楷體"/>
          <w:spacing w:val="0"/>
          <w:sz w:val="24"/>
          <w:szCs w:val="24"/>
        </w:rPr>
        <w:t>economies</w:t>
      </w:r>
      <w:r>
        <w:rPr>
          <w:rFonts w:ascii="Times New Roman" w:eastAsia="標楷體" w:hint="eastAsia"/>
          <w:spacing w:val="0"/>
          <w:sz w:val="24"/>
          <w:szCs w:val="24"/>
        </w:rPr>
        <w:t xml:space="preserve"> ha</w:t>
      </w:r>
      <w:r w:rsidR="00363699">
        <w:rPr>
          <w:rFonts w:ascii="Times New Roman" w:eastAsia="標楷體" w:hint="eastAsia"/>
          <w:spacing w:val="0"/>
          <w:sz w:val="24"/>
          <w:szCs w:val="24"/>
        </w:rPr>
        <w:t>d</w:t>
      </w:r>
      <w:r>
        <w:rPr>
          <w:rFonts w:ascii="Times New Roman" w:eastAsia="標楷體" w:hint="eastAsia"/>
          <w:spacing w:val="0"/>
          <w:sz w:val="24"/>
          <w:szCs w:val="24"/>
        </w:rPr>
        <w:t xml:space="preserve"> weighed on global trade growth momentum. As a result, world trade volume </w:t>
      </w:r>
      <w:r w:rsidR="00823FFE">
        <w:rPr>
          <w:rFonts w:ascii="Times New Roman" w:eastAsia="標楷體" w:hint="eastAsia"/>
          <w:spacing w:val="0"/>
          <w:sz w:val="24"/>
          <w:szCs w:val="24"/>
        </w:rPr>
        <w:t>wa</w:t>
      </w:r>
      <w:r>
        <w:rPr>
          <w:rFonts w:ascii="Times New Roman" w:eastAsia="標楷體" w:hint="eastAsia"/>
          <w:spacing w:val="0"/>
          <w:sz w:val="24"/>
          <w:szCs w:val="24"/>
        </w:rPr>
        <w:t xml:space="preserve">s forecast by international institutions to </w:t>
      </w:r>
      <w:r w:rsidR="00823FFE">
        <w:rPr>
          <w:rFonts w:ascii="Times New Roman" w:eastAsia="標楷體" w:hint="eastAsia"/>
          <w:spacing w:val="0"/>
          <w:sz w:val="24"/>
          <w:szCs w:val="24"/>
        </w:rPr>
        <w:t>rise</w:t>
      </w:r>
      <w:r>
        <w:rPr>
          <w:rFonts w:ascii="Times New Roman" w:eastAsia="標楷體" w:hint="eastAsia"/>
          <w:spacing w:val="0"/>
          <w:sz w:val="24"/>
          <w:szCs w:val="24"/>
        </w:rPr>
        <w:t xml:space="preserve"> slower this year than last year. </w:t>
      </w:r>
    </w:p>
    <w:p w:rsidR="00823FFE" w:rsidRDefault="00363699" w:rsidP="003973E4">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Forecasts for this year</w:t>
      </w:r>
      <w:r>
        <w:rPr>
          <w:rFonts w:ascii="Times New Roman" w:eastAsia="標楷體"/>
          <w:spacing w:val="0"/>
          <w:sz w:val="24"/>
          <w:szCs w:val="24"/>
        </w:rPr>
        <w:t>’</w:t>
      </w:r>
      <w:r>
        <w:rPr>
          <w:rFonts w:ascii="Times New Roman" w:eastAsia="標楷體" w:hint="eastAsia"/>
          <w:spacing w:val="0"/>
          <w:sz w:val="24"/>
          <w:szCs w:val="24"/>
        </w:rPr>
        <w:t xml:space="preserve">s growth in major economies were also revised down by international institutions on account of cooling </w:t>
      </w:r>
      <w:r>
        <w:rPr>
          <w:rFonts w:ascii="Times New Roman" w:eastAsia="標楷體"/>
          <w:spacing w:val="0"/>
          <w:sz w:val="24"/>
          <w:szCs w:val="24"/>
        </w:rPr>
        <w:t>economic</w:t>
      </w:r>
      <w:r>
        <w:rPr>
          <w:rFonts w:ascii="Times New Roman" w:eastAsia="標楷體" w:hint="eastAsia"/>
          <w:spacing w:val="0"/>
          <w:sz w:val="24"/>
          <w:szCs w:val="24"/>
        </w:rPr>
        <w:t xml:space="preserve"> and trade activity across the world; for Taiwan</w:t>
      </w:r>
      <w:r>
        <w:rPr>
          <w:rFonts w:ascii="Times New Roman" w:eastAsia="標楷體"/>
          <w:spacing w:val="0"/>
          <w:sz w:val="24"/>
          <w:szCs w:val="24"/>
        </w:rPr>
        <w:t>’</w:t>
      </w:r>
      <w:r>
        <w:rPr>
          <w:rFonts w:ascii="Times New Roman" w:eastAsia="標楷體" w:hint="eastAsia"/>
          <w:spacing w:val="0"/>
          <w:sz w:val="24"/>
          <w:szCs w:val="24"/>
        </w:rPr>
        <w:t xml:space="preserve">s primary trading partners, their growth this year would </w:t>
      </w:r>
      <w:r w:rsidR="008F008F">
        <w:rPr>
          <w:rFonts w:ascii="Times New Roman" w:eastAsia="標楷體" w:hint="eastAsia"/>
          <w:spacing w:val="0"/>
          <w:sz w:val="24"/>
          <w:szCs w:val="24"/>
        </w:rPr>
        <w:t>likely</w:t>
      </w:r>
      <w:r>
        <w:rPr>
          <w:rFonts w:ascii="Times New Roman" w:eastAsia="標楷體" w:hint="eastAsia"/>
          <w:spacing w:val="0"/>
          <w:sz w:val="24"/>
          <w:szCs w:val="24"/>
        </w:rPr>
        <w:t xml:space="preserve"> be slower than last year. </w:t>
      </w:r>
      <w:r w:rsidR="002A4AAA">
        <w:rPr>
          <w:rFonts w:ascii="Times New Roman" w:eastAsia="標楷體" w:hint="eastAsia"/>
          <w:spacing w:val="0"/>
          <w:sz w:val="24"/>
          <w:szCs w:val="24"/>
        </w:rPr>
        <w:t>Meanwhile, international</w:t>
      </w:r>
      <w:r w:rsidR="003973E4">
        <w:rPr>
          <w:rFonts w:ascii="Times New Roman" w:eastAsia="標楷體" w:hint="eastAsia"/>
          <w:spacing w:val="0"/>
          <w:sz w:val="24"/>
          <w:szCs w:val="24"/>
        </w:rPr>
        <w:t xml:space="preserve"> institutions expected that global inflation and inflation in most economies would be </w:t>
      </w:r>
      <w:r w:rsidR="002A4AAA">
        <w:rPr>
          <w:rFonts w:ascii="Times New Roman" w:eastAsia="標楷體" w:hint="eastAsia"/>
          <w:spacing w:val="0"/>
          <w:sz w:val="24"/>
          <w:szCs w:val="24"/>
        </w:rPr>
        <w:t>weaker than last year,</w:t>
      </w:r>
      <w:r w:rsidR="00BE2888">
        <w:rPr>
          <w:rFonts w:ascii="Times New Roman" w:eastAsia="標楷體" w:hint="eastAsia"/>
          <w:spacing w:val="0"/>
          <w:sz w:val="24"/>
          <w:szCs w:val="24"/>
        </w:rPr>
        <w:t xml:space="preserve"> citing a sluggish global economic prospect and a projected downtrend in international oil prices. Overall, the global inflation outlook was</w:t>
      </w:r>
      <w:r>
        <w:rPr>
          <w:rFonts w:ascii="Times New Roman" w:eastAsia="標楷體" w:hint="eastAsia"/>
          <w:spacing w:val="0"/>
          <w:sz w:val="24"/>
          <w:szCs w:val="24"/>
        </w:rPr>
        <w:t xml:space="preserve"> expected to be</w:t>
      </w:r>
      <w:r w:rsidR="00BE2888">
        <w:rPr>
          <w:rFonts w:ascii="Times New Roman" w:eastAsia="標楷體" w:hint="eastAsia"/>
          <w:spacing w:val="0"/>
          <w:sz w:val="24"/>
          <w:szCs w:val="24"/>
        </w:rPr>
        <w:t xml:space="preserve"> mild</w:t>
      </w:r>
      <w:r>
        <w:rPr>
          <w:rFonts w:ascii="Times New Roman" w:eastAsia="標楷體" w:hint="eastAsia"/>
          <w:spacing w:val="0"/>
          <w:sz w:val="24"/>
          <w:szCs w:val="24"/>
        </w:rPr>
        <w:t xml:space="preserve"> for the year</w:t>
      </w:r>
      <w:r w:rsidR="00BE2888">
        <w:rPr>
          <w:rFonts w:ascii="Times New Roman" w:eastAsia="標楷體" w:hint="eastAsia"/>
          <w:spacing w:val="0"/>
          <w:sz w:val="24"/>
          <w:szCs w:val="24"/>
        </w:rPr>
        <w:t xml:space="preserve">. </w:t>
      </w:r>
    </w:p>
    <w:p w:rsidR="00BE2888" w:rsidRDefault="000814EA" w:rsidP="00CD7253">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terms of monetary policy</w:t>
      </w:r>
      <w:r w:rsidR="003973E4">
        <w:rPr>
          <w:rFonts w:ascii="Times New Roman" w:eastAsia="標楷體" w:hint="eastAsia"/>
          <w:spacing w:val="0"/>
          <w:sz w:val="24"/>
          <w:szCs w:val="24"/>
        </w:rPr>
        <w:t xml:space="preserve"> developments overseas</w:t>
      </w:r>
      <w:r>
        <w:rPr>
          <w:rFonts w:ascii="Times New Roman" w:eastAsia="標楷體" w:hint="eastAsia"/>
          <w:spacing w:val="0"/>
          <w:sz w:val="24"/>
          <w:szCs w:val="24"/>
        </w:rPr>
        <w:t xml:space="preserve">, central banks in advanced economies </w:t>
      </w:r>
      <w:r w:rsidR="00010526">
        <w:rPr>
          <w:rFonts w:ascii="Times New Roman" w:eastAsia="標楷體" w:hint="eastAsia"/>
          <w:spacing w:val="0"/>
          <w:sz w:val="24"/>
          <w:szCs w:val="24"/>
        </w:rPr>
        <w:t>had</w:t>
      </w:r>
      <w:r>
        <w:rPr>
          <w:rFonts w:ascii="Times New Roman" w:eastAsia="標楷體" w:hint="eastAsia"/>
          <w:spacing w:val="0"/>
          <w:sz w:val="24"/>
          <w:szCs w:val="24"/>
        </w:rPr>
        <w:t xml:space="preserve"> kept policy rates unchanged </w:t>
      </w:r>
      <w:r w:rsidR="00F85DA2">
        <w:rPr>
          <w:rFonts w:ascii="Times New Roman" w:eastAsia="標楷體" w:hint="eastAsia"/>
          <w:spacing w:val="0"/>
          <w:sz w:val="24"/>
          <w:szCs w:val="24"/>
        </w:rPr>
        <w:t>in the year so far, albeit showing a more dovish</w:t>
      </w:r>
      <w:r w:rsidR="00E851A3">
        <w:rPr>
          <w:rFonts w:ascii="Times New Roman" w:eastAsia="標楷體" w:hint="eastAsia"/>
          <w:spacing w:val="0"/>
          <w:sz w:val="24"/>
          <w:szCs w:val="24"/>
        </w:rPr>
        <w:t xml:space="preserve"> turn</w:t>
      </w:r>
      <w:r w:rsidR="00F85DA2">
        <w:rPr>
          <w:rFonts w:ascii="Times New Roman" w:eastAsia="標楷體" w:hint="eastAsia"/>
          <w:spacing w:val="0"/>
          <w:sz w:val="24"/>
          <w:szCs w:val="24"/>
        </w:rPr>
        <w:t xml:space="preserve"> in general. The US Federal Reserve</w:t>
      </w:r>
      <w:r w:rsidR="00E851A3">
        <w:rPr>
          <w:rFonts w:ascii="Times New Roman" w:eastAsia="標楷體" w:hint="eastAsia"/>
          <w:spacing w:val="0"/>
          <w:sz w:val="24"/>
          <w:szCs w:val="24"/>
        </w:rPr>
        <w:t xml:space="preserve"> (Fed)</w:t>
      </w:r>
      <w:r w:rsidR="00F85DA2">
        <w:rPr>
          <w:rFonts w:ascii="Times New Roman" w:eastAsia="標楷體" w:hint="eastAsia"/>
          <w:spacing w:val="0"/>
          <w:sz w:val="24"/>
          <w:szCs w:val="24"/>
        </w:rPr>
        <w:t xml:space="preserve"> </w:t>
      </w:r>
      <w:r w:rsidR="00E851A3">
        <w:rPr>
          <w:rFonts w:ascii="Times New Roman" w:eastAsia="標楷體" w:hint="eastAsia"/>
          <w:spacing w:val="0"/>
          <w:sz w:val="24"/>
          <w:szCs w:val="24"/>
        </w:rPr>
        <w:t xml:space="preserve">decided to </w:t>
      </w:r>
      <w:r w:rsidR="00CD7253">
        <w:rPr>
          <w:rFonts w:ascii="Times New Roman" w:eastAsia="標楷體" w:hint="eastAsia"/>
          <w:spacing w:val="0"/>
          <w:sz w:val="24"/>
          <w:szCs w:val="24"/>
        </w:rPr>
        <w:t>hold the policy rate steady</w:t>
      </w:r>
      <w:r w:rsidR="00F85DA2">
        <w:rPr>
          <w:rFonts w:ascii="Times New Roman" w:eastAsia="標楷體" w:hint="eastAsia"/>
          <w:spacing w:val="0"/>
          <w:sz w:val="24"/>
          <w:szCs w:val="24"/>
        </w:rPr>
        <w:t xml:space="preserve"> on Mar</w:t>
      </w:r>
      <w:r w:rsidR="00CD7253">
        <w:rPr>
          <w:rFonts w:ascii="Times New Roman" w:eastAsia="標楷體" w:hint="eastAsia"/>
          <w:spacing w:val="0"/>
          <w:sz w:val="24"/>
          <w:szCs w:val="24"/>
        </w:rPr>
        <w:t>ch 20, along with a plan to end the</w:t>
      </w:r>
      <w:r w:rsidR="00F85DA2">
        <w:rPr>
          <w:rFonts w:ascii="Times New Roman" w:eastAsia="標楷體" w:hint="eastAsia"/>
          <w:spacing w:val="0"/>
          <w:sz w:val="24"/>
          <w:szCs w:val="24"/>
        </w:rPr>
        <w:t xml:space="preserve"> balance sheet runoff in September. </w:t>
      </w:r>
      <w:r w:rsidR="00F85DA2">
        <w:rPr>
          <w:rFonts w:ascii="Times New Roman" w:eastAsia="標楷體"/>
          <w:spacing w:val="0"/>
          <w:sz w:val="24"/>
          <w:szCs w:val="24"/>
        </w:rPr>
        <w:t>T</w:t>
      </w:r>
      <w:r w:rsidR="00F85DA2">
        <w:rPr>
          <w:rFonts w:ascii="Times New Roman" w:eastAsia="標楷體" w:hint="eastAsia"/>
          <w:spacing w:val="0"/>
          <w:sz w:val="24"/>
          <w:szCs w:val="24"/>
        </w:rPr>
        <w:t>he European Central Bank</w:t>
      </w:r>
      <w:r w:rsidR="00E851A3">
        <w:rPr>
          <w:rFonts w:ascii="Times New Roman" w:eastAsia="標楷體" w:hint="eastAsia"/>
          <w:spacing w:val="0"/>
          <w:sz w:val="24"/>
          <w:szCs w:val="24"/>
        </w:rPr>
        <w:t xml:space="preserve"> (ECB)</w:t>
      </w:r>
      <w:r w:rsidR="00F85DA2">
        <w:rPr>
          <w:rFonts w:ascii="Times New Roman" w:eastAsia="標楷體" w:hint="eastAsia"/>
          <w:spacing w:val="0"/>
          <w:sz w:val="24"/>
          <w:szCs w:val="24"/>
        </w:rPr>
        <w:t xml:space="preserve"> </w:t>
      </w:r>
      <w:r w:rsidR="00E851A3">
        <w:rPr>
          <w:rFonts w:ascii="Times New Roman" w:eastAsia="標楷體" w:hint="eastAsia"/>
          <w:spacing w:val="0"/>
          <w:sz w:val="24"/>
          <w:szCs w:val="24"/>
        </w:rPr>
        <w:t xml:space="preserve">said </w:t>
      </w:r>
      <w:r w:rsidR="00F85DA2">
        <w:rPr>
          <w:rFonts w:ascii="Times New Roman" w:eastAsia="標楷體" w:hint="eastAsia"/>
          <w:spacing w:val="0"/>
          <w:sz w:val="24"/>
          <w:szCs w:val="24"/>
        </w:rPr>
        <w:t xml:space="preserve">it would begin a fresh round of </w:t>
      </w:r>
      <w:r w:rsidR="00E851A3" w:rsidRPr="00E851A3">
        <w:rPr>
          <w:rFonts w:ascii="Times New Roman" w:eastAsia="標楷體"/>
          <w:spacing w:val="0"/>
          <w:sz w:val="24"/>
          <w:szCs w:val="24"/>
        </w:rPr>
        <w:t>targeted longer-term refinancing operations (TLTRO-III)</w:t>
      </w:r>
      <w:r w:rsidR="00E851A3">
        <w:rPr>
          <w:rFonts w:ascii="Times New Roman" w:eastAsia="標楷體" w:hint="eastAsia"/>
          <w:spacing w:val="0"/>
          <w:sz w:val="24"/>
          <w:szCs w:val="24"/>
        </w:rPr>
        <w:t xml:space="preserve"> in September to stimulate bank lending. The Bank of Japan (</w:t>
      </w:r>
      <w:proofErr w:type="spellStart"/>
      <w:r w:rsidR="00E851A3">
        <w:rPr>
          <w:rFonts w:ascii="Times New Roman" w:eastAsia="標楷體" w:hint="eastAsia"/>
          <w:spacing w:val="0"/>
          <w:sz w:val="24"/>
          <w:szCs w:val="24"/>
        </w:rPr>
        <w:t>BoJ</w:t>
      </w:r>
      <w:proofErr w:type="spellEnd"/>
      <w:r w:rsidR="00E851A3">
        <w:rPr>
          <w:rFonts w:ascii="Times New Roman" w:eastAsia="標楷體" w:hint="eastAsia"/>
          <w:spacing w:val="0"/>
          <w:sz w:val="24"/>
          <w:szCs w:val="24"/>
        </w:rPr>
        <w:t>) also</w:t>
      </w:r>
      <w:r w:rsidR="00CD7253">
        <w:rPr>
          <w:rFonts w:ascii="Times New Roman" w:eastAsia="標楷體" w:hint="eastAsia"/>
          <w:spacing w:val="0"/>
          <w:sz w:val="24"/>
          <w:szCs w:val="24"/>
        </w:rPr>
        <w:t xml:space="preserve"> </w:t>
      </w:r>
      <w:r w:rsidR="00CD7253" w:rsidRPr="00CD7253">
        <w:rPr>
          <w:rFonts w:ascii="Times New Roman" w:eastAsia="標楷體"/>
          <w:spacing w:val="0"/>
          <w:sz w:val="24"/>
          <w:szCs w:val="24"/>
        </w:rPr>
        <w:t>ma</w:t>
      </w:r>
      <w:r w:rsidR="00CD7253">
        <w:rPr>
          <w:rFonts w:ascii="Times New Roman" w:eastAsia="標楷體" w:hint="eastAsia"/>
          <w:spacing w:val="0"/>
          <w:sz w:val="24"/>
          <w:szCs w:val="24"/>
        </w:rPr>
        <w:t>d</w:t>
      </w:r>
      <w:r w:rsidR="00CD7253" w:rsidRPr="00CD7253">
        <w:rPr>
          <w:rFonts w:ascii="Times New Roman" w:eastAsia="標楷體"/>
          <w:spacing w:val="0"/>
          <w:sz w:val="24"/>
          <w:szCs w:val="24"/>
        </w:rPr>
        <w:t>e no change</w:t>
      </w:r>
      <w:r w:rsidR="00CD7253">
        <w:rPr>
          <w:rFonts w:ascii="Times New Roman" w:eastAsia="標楷體" w:hint="eastAsia"/>
          <w:spacing w:val="0"/>
          <w:sz w:val="24"/>
          <w:szCs w:val="24"/>
        </w:rPr>
        <w:t xml:space="preserve"> in </w:t>
      </w:r>
      <w:r w:rsidR="00E851A3">
        <w:rPr>
          <w:rFonts w:ascii="Times New Roman" w:eastAsia="標楷體" w:hint="eastAsia"/>
          <w:spacing w:val="0"/>
          <w:sz w:val="24"/>
          <w:szCs w:val="24"/>
        </w:rPr>
        <w:t>its easy policy stance. Despite a rate hold, the People</w:t>
      </w:r>
      <w:r w:rsidR="00E851A3">
        <w:rPr>
          <w:rFonts w:ascii="Times New Roman" w:eastAsia="標楷體"/>
          <w:spacing w:val="0"/>
          <w:sz w:val="24"/>
          <w:szCs w:val="24"/>
        </w:rPr>
        <w:t>’</w:t>
      </w:r>
      <w:r w:rsidR="00E851A3">
        <w:rPr>
          <w:rFonts w:ascii="Times New Roman" w:eastAsia="標楷體" w:hint="eastAsia"/>
          <w:spacing w:val="0"/>
          <w:sz w:val="24"/>
          <w:szCs w:val="24"/>
        </w:rPr>
        <w:t>s Bank of China cut</w:t>
      </w:r>
      <w:r w:rsidR="00E851A3" w:rsidRPr="00E851A3">
        <w:rPr>
          <w:rFonts w:ascii="Times New Roman" w:eastAsia="標楷體"/>
          <w:spacing w:val="0"/>
          <w:sz w:val="24"/>
          <w:szCs w:val="24"/>
        </w:rPr>
        <w:t xml:space="preserve"> reserve requirements</w:t>
      </w:r>
      <w:r w:rsidR="00E851A3">
        <w:rPr>
          <w:rFonts w:ascii="Times New Roman" w:eastAsia="標楷體" w:hint="eastAsia"/>
          <w:spacing w:val="0"/>
          <w:sz w:val="24"/>
          <w:szCs w:val="24"/>
        </w:rPr>
        <w:t xml:space="preserve"> </w:t>
      </w:r>
      <w:r w:rsidR="00CD7253">
        <w:rPr>
          <w:rFonts w:ascii="Times New Roman" w:eastAsia="標楷體" w:hint="eastAsia"/>
          <w:spacing w:val="0"/>
          <w:sz w:val="24"/>
          <w:szCs w:val="24"/>
        </w:rPr>
        <w:t>for all banks</w:t>
      </w:r>
      <w:r w:rsidR="00DA06E9">
        <w:rPr>
          <w:rFonts w:ascii="Times New Roman" w:eastAsia="標楷體" w:hint="eastAsia"/>
          <w:spacing w:val="0"/>
          <w:sz w:val="24"/>
          <w:szCs w:val="24"/>
        </w:rPr>
        <w:t xml:space="preserve"> to </w:t>
      </w:r>
      <w:r w:rsidR="00DA06E9" w:rsidRPr="00DA06E9">
        <w:rPr>
          <w:rFonts w:ascii="Times New Roman" w:eastAsia="標楷體"/>
          <w:spacing w:val="0"/>
          <w:sz w:val="24"/>
          <w:szCs w:val="24"/>
        </w:rPr>
        <w:t>keep credit conditions accommodative</w:t>
      </w:r>
      <w:r w:rsidR="00DA06E9">
        <w:rPr>
          <w:rFonts w:ascii="Times New Roman" w:eastAsia="標楷體" w:hint="eastAsia"/>
          <w:spacing w:val="0"/>
          <w:sz w:val="24"/>
          <w:szCs w:val="24"/>
        </w:rPr>
        <w:t>. Meanwhile, other economies in Asia either maintained or reduced the</w:t>
      </w:r>
      <w:r w:rsidR="00DA09E7">
        <w:rPr>
          <w:rFonts w:ascii="Times New Roman" w:eastAsia="標楷體" w:hint="eastAsia"/>
          <w:spacing w:val="0"/>
          <w:sz w:val="24"/>
          <w:szCs w:val="24"/>
        </w:rPr>
        <w:t>ir</w:t>
      </w:r>
      <w:r w:rsidR="00DA06E9">
        <w:rPr>
          <w:rFonts w:ascii="Times New Roman" w:eastAsia="標楷體" w:hint="eastAsia"/>
          <w:spacing w:val="0"/>
          <w:sz w:val="24"/>
          <w:szCs w:val="24"/>
        </w:rPr>
        <w:t xml:space="preserve"> policy rates. </w:t>
      </w:r>
    </w:p>
    <w:p w:rsidR="001E15F2" w:rsidRDefault="001E15F2" w:rsidP="00CD7253">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the international financial markets, yields on 10-year government bonds</w:t>
      </w:r>
      <w:r w:rsidR="00215564">
        <w:rPr>
          <w:rFonts w:ascii="Times New Roman" w:eastAsia="標楷體" w:hint="eastAsia"/>
          <w:spacing w:val="0"/>
          <w:sz w:val="24"/>
          <w:szCs w:val="24"/>
        </w:rPr>
        <w:t xml:space="preserve"> </w:t>
      </w:r>
      <w:r w:rsidR="003973E4">
        <w:rPr>
          <w:rFonts w:ascii="Times New Roman" w:eastAsia="標楷體" w:hint="eastAsia"/>
          <w:spacing w:val="0"/>
          <w:sz w:val="24"/>
          <w:szCs w:val="24"/>
        </w:rPr>
        <w:t xml:space="preserve">of major </w:t>
      </w:r>
      <w:r w:rsidR="003973E4">
        <w:rPr>
          <w:rFonts w:ascii="Times New Roman" w:eastAsia="標楷體" w:hint="eastAsia"/>
          <w:spacing w:val="0"/>
          <w:sz w:val="24"/>
          <w:szCs w:val="24"/>
        </w:rPr>
        <w:lastRenderedPageBreak/>
        <w:t xml:space="preserve">economies </w:t>
      </w:r>
      <w:r w:rsidR="00963F19">
        <w:rPr>
          <w:rFonts w:ascii="Times New Roman" w:eastAsia="標楷體" w:hint="eastAsia"/>
          <w:spacing w:val="0"/>
          <w:sz w:val="24"/>
          <w:szCs w:val="24"/>
        </w:rPr>
        <w:t xml:space="preserve">fell on </w:t>
      </w:r>
      <w:r w:rsidR="00963F19">
        <w:rPr>
          <w:rFonts w:ascii="Times New Roman" w:eastAsia="標楷體"/>
          <w:spacing w:val="0"/>
          <w:sz w:val="24"/>
          <w:szCs w:val="24"/>
        </w:rPr>
        <w:t>account</w:t>
      </w:r>
      <w:r w:rsidR="00963F19">
        <w:rPr>
          <w:rFonts w:ascii="Times New Roman" w:eastAsia="標楷體" w:hint="eastAsia"/>
          <w:spacing w:val="0"/>
          <w:sz w:val="24"/>
          <w:szCs w:val="24"/>
        </w:rPr>
        <w:t xml:space="preserve"> of a dovish shift by major central banks and a dimmer global </w:t>
      </w:r>
      <w:r w:rsidR="00963F19">
        <w:rPr>
          <w:rFonts w:ascii="Times New Roman" w:eastAsia="標楷體"/>
          <w:spacing w:val="0"/>
          <w:sz w:val="24"/>
          <w:szCs w:val="24"/>
        </w:rPr>
        <w:t>economic</w:t>
      </w:r>
      <w:r w:rsidR="00963F19">
        <w:rPr>
          <w:rFonts w:ascii="Times New Roman" w:eastAsia="標楷體" w:hint="eastAsia"/>
          <w:spacing w:val="0"/>
          <w:sz w:val="24"/>
          <w:szCs w:val="24"/>
        </w:rPr>
        <w:t xml:space="preserve"> outlook. </w:t>
      </w:r>
      <w:r w:rsidR="00355C6A">
        <w:rPr>
          <w:rFonts w:ascii="Times New Roman" w:eastAsia="標楷體" w:hint="eastAsia"/>
          <w:spacing w:val="0"/>
          <w:sz w:val="24"/>
          <w:szCs w:val="24"/>
        </w:rPr>
        <w:t xml:space="preserve">Global stock markets bounced back from the low in the fourth quarter of 2018, on the back of the aforementioned dovish turn, </w:t>
      </w:r>
      <w:r w:rsidR="00355C6A">
        <w:rPr>
          <w:rFonts w:ascii="Times New Roman" w:eastAsia="標楷體"/>
          <w:spacing w:val="0"/>
          <w:sz w:val="24"/>
          <w:szCs w:val="24"/>
        </w:rPr>
        <w:t xml:space="preserve">positive developments in US-China trade talks, and a marked easing in US financial squeeze. </w:t>
      </w:r>
    </w:p>
    <w:p w:rsidR="00C635C4" w:rsidRDefault="006D6E3F" w:rsidP="00C635C4">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Key</w:t>
      </w:r>
      <w:r w:rsidR="000015F2" w:rsidRPr="007F6F77">
        <w:rPr>
          <w:rFonts w:ascii="Times New Roman" w:eastAsia="標楷體" w:hint="eastAsia"/>
          <w:spacing w:val="0"/>
          <w:sz w:val="24"/>
          <w:szCs w:val="24"/>
        </w:rPr>
        <w:t xml:space="preserve"> risks </w:t>
      </w:r>
      <w:r w:rsidR="008A58E0" w:rsidRPr="007F6F77">
        <w:rPr>
          <w:rFonts w:ascii="Times New Roman" w:eastAsia="標楷體" w:hint="eastAsia"/>
          <w:spacing w:val="0"/>
          <w:sz w:val="24"/>
          <w:szCs w:val="24"/>
        </w:rPr>
        <w:t>to</w:t>
      </w:r>
      <w:r w:rsidR="000015F2" w:rsidRPr="007F6F77">
        <w:rPr>
          <w:rFonts w:ascii="Times New Roman" w:eastAsia="標楷體" w:hint="eastAsia"/>
          <w:spacing w:val="0"/>
          <w:sz w:val="24"/>
          <w:szCs w:val="24"/>
        </w:rPr>
        <w:t xml:space="preserve"> the global </w:t>
      </w:r>
      <w:r w:rsidR="000015F2" w:rsidRPr="007F6F77">
        <w:rPr>
          <w:rFonts w:ascii="Times New Roman" w:eastAsia="標楷體"/>
          <w:spacing w:val="0"/>
          <w:sz w:val="24"/>
          <w:szCs w:val="24"/>
        </w:rPr>
        <w:t>econom</w:t>
      </w:r>
      <w:r w:rsidR="008A58E0" w:rsidRPr="007F6F77">
        <w:rPr>
          <w:rFonts w:ascii="Times New Roman" w:eastAsia="標楷體" w:hint="eastAsia"/>
          <w:spacing w:val="0"/>
          <w:sz w:val="24"/>
          <w:szCs w:val="24"/>
        </w:rPr>
        <w:t xml:space="preserve">ic outlook include </w:t>
      </w:r>
      <w:r w:rsidR="00C30DE8" w:rsidRPr="007F6F77">
        <w:rPr>
          <w:rFonts w:ascii="Times New Roman" w:eastAsia="標楷體" w:hint="eastAsia"/>
          <w:spacing w:val="0"/>
          <w:sz w:val="24"/>
          <w:szCs w:val="24"/>
        </w:rPr>
        <w:t>the following</w:t>
      </w:r>
      <w:r w:rsidR="00EF26E1">
        <w:rPr>
          <w:rFonts w:ascii="Times New Roman" w:eastAsia="標楷體" w:hint="eastAsia"/>
          <w:spacing w:val="0"/>
          <w:sz w:val="24"/>
          <w:szCs w:val="24"/>
        </w:rPr>
        <w:t>.</w:t>
      </w:r>
      <w:r w:rsidR="000015F2" w:rsidRPr="007F6F77">
        <w:rPr>
          <w:rFonts w:ascii="Times New Roman" w:eastAsia="標楷體" w:hint="eastAsia"/>
          <w:spacing w:val="0"/>
          <w:sz w:val="24"/>
          <w:szCs w:val="24"/>
        </w:rPr>
        <w:t xml:space="preserve"> </w:t>
      </w:r>
    </w:p>
    <w:p w:rsidR="00EF26E1" w:rsidRDefault="000015F2" w:rsidP="009D1157">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(1) </w:t>
      </w:r>
      <w:r w:rsidR="00EF26E1">
        <w:rPr>
          <w:rFonts w:ascii="Times New Roman" w:eastAsia="標楷體"/>
          <w:spacing w:val="0"/>
          <w:sz w:val="24"/>
          <w:szCs w:val="24"/>
        </w:rPr>
        <w:t>Persistently</w:t>
      </w:r>
      <w:r w:rsidR="00EF26E1">
        <w:rPr>
          <w:rFonts w:ascii="Times New Roman" w:eastAsia="標楷體" w:hint="eastAsia"/>
          <w:spacing w:val="0"/>
          <w:sz w:val="24"/>
          <w:szCs w:val="24"/>
        </w:rPr>
        <w:t xml:space="preserve"> high uncertainty over major economies</w:t>
      </w:r>
      <w:r w:rsidR="00EF26E1">
        <w:rPr>
          <w:rFonts w:ascii="Times New Roman" w:eastAsia="標楷體"/>
          <w:spacing w:val="0"/>
          <w:sz w:val="24"/>
          <w:szCs w:val="24"/>
        </w:rPr>
        <w:t>’</w:t>
      </w:r>
      <w:r w:rsidR="00EF26E1">
        <w:rPr>
          <w:rFonts w:ascii="Times New Roman" w:eastAsia="標楷體" w:hint="eastAsia"/>
          <w:spacing w:val="0"/>
          <w:sz w:val="24"/>
          <w:szCs w:val="24"/>
        </w:rPr>
        <w:t xml:space="preserve"> trade policy: US-China trade talks</w:t>
      </w:r>
      <w:r w:rsidR="00010526">
        <w:rPr>
          <w:rFonts w:ascii="Times New Roman" w:eastAsia="標楷體" w:hint="eastAsia"/>
          <w:spacing w:val="0"/>
          <w:sz w:val="24"/>
          <w:szCs w:val="24"/>
        </w:rPr>
        <w:t xml:space="preserve"> are about to move towards conclusion</w:t>
      </w:r>
      <w:r w:rsidR="00EF26E1">
        <w:rPr>
          <w:rFonts w:ascii="Times New Roman" w:eastAsia="標楷體" w:hint="eastAsia"/>
          <w:spacing w:val="0"/>
          <w:sz w:val="24"/>
          <w:szCs w:val="24"/>
        </w:rPr>
        <w:t xml:space="preserve"> with the final deal yet to be signed; the US will also open new </w:t>
      </w:r>
      <w:r w:rsidR="005E58C2">
        <w:rPr>
          <w:rFonts w:ascii="Times New Roman" w:eastAsia="標楷體" w:hint="eastAsia"/>
          <w:spacing w:val="0"/>
          <w:sz w:val="24"/>
          <w:szCs w:val="24"/>
        </w:rPr>
        <w:t xml:space="preserve">battle </w:t>
      </w:r>
      <w:r w:rsidR="00EF26E1">
        <w:rPr>
          <w:rFonts w:ascii="Times New Roman" w:eastAsia="標楷體" w:hint="eastAsia"/>
          <w:spacing w:val="0"/>
          <w:sz w:val="24"/>
          <w:szCs w:val="24"/>
        </w:rPr>
        <w:t>front</w:t>
      </w:r>
      <w:r w:rsidR="005E58C2">
        <w:rPr>
          <w:rFonts w:ascii="Times New Roman" w:eastAsia="標楷體" w:hint="eastAsia"/>
          <w:spacing w:val="0"/>
          <w:sz w:val="24"/>
          <w:szCs w:val="24"/>
        </w:rPr>
        <w:t>s</w:t>
      </w:r>
      <w:r w:rsidR="00EF26E1">
        <w:rPr>
          <w:rFonts w:ascii="Times New Roman" w:eastAsia="標楷體" w:hint="eastAsia"/>
          <w:spacing w:val="0"/>
          <w:sz w:val="24"/>
          <w:szCs w:val="24"/>
        </w:rPr>
        <w:t xml:space="preserve"> </w:t>
      </w:r>
      <w:r w:rsidR="005E58C2">
        <w:rPr>
          <w:rFonts w:ascii="Times New Roman" w:eastAsia="標楷體" w:hint="eastAsia"/>
          <w:spacing w:val="0"/>
          <w:sz w:val="24"/>
          <w:szCs w:val="24"/>
        </w:rPr>
        <w:t>in</w:t>
      </w:r>
      <w:r w:rsidR="00EF26E1">
        <w:rPr>
          <w:rFonts w:ascii="Times New Roman" w:eastAsia="標楷體" w:hint="eastAsia"/>
          <w:spacing w:val="0"/>
          <w:sz w:val="24"/>
          <w:szCs w:val="24"/>
        </w:rPr>
        <w:t xml:space="preserve"> trade with the European Union and Japan, where </w:t>
      </w:r>
      <w:r w:rsidR="009D1157">
        <w:rPr>
          <w:rFonts w:ascii="Times New Roman" w:eastAsia="標楷體" w:hint="eastAsia"/>
          <w:spacing w:val="0"/>
          <w:sz w:val="24"/>
          <w:szCs w:val="24"/>
        </w:rPr>
        <w:t xml:space="preserve">automobile tariffs, if imposed by the US on the EU and Japan, could </w:t>
      </w:r>
      <w:r w:rsidR="0082203A">
        <w:rPr>
          <w:rFonts w:ascii="Times New Roman" w:eastAsia="標楷體" w:hint="eastAsia"/>
          <w:spacing w:val="0"/>
          <w:sz w:val="24"/>
          <w:szCs w:val="24"/>
        </w:rPr>
        <w:t>trigger</w:t>
      </w:r>
      <w:r w:rsidR="009D1157">
        <w:rPr>
          <w:rFonts w:ascii="Times New Roman" w:eastAsia="標楷體" w:hint="eastAsia"/>
          <w:spacing w:val="0"/>
          <w:sz w:val="24"/>
          <w:szCs w:val="24"/>
        </w:rPr>
        <w:t xml:space="preserve"> renewed tension. </w:t>
      </w:r>
    </w:p>
    <w:p w:rsidR="00C635C4" w:rsidRDefault="00C635C4" w:rsidP="00C635C4">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(2) </w:t>
      </w:r>
      <w:r w:rsidR="000268B3">
        <w:rPr>
          <w:rFonts w:ascii="Times New Roman" w:eastAsia="標楷體" w:hint="eastAsia"/>
          <w:spacing w:val="0"/>
          <w:sz w:val="24"/>
          <w:szCs w:val="24"/>
        </w:rPr>
        <w:t xml:space="preserve">Sharper-than-expected slowdown </w:t>
      </w:r>
      <w:r w:rsidR="002D5003">
        <w:rPr>
          <w:rFonts w:ascii="Times New Roman" w:eastAsia="標楷體" w:hint="eastAsia"/>
          <w:spacing w:val="0"/>
          <w:sz w:val="24"/>
          <w:szCs w:val="24"/>
        </w:rPr>
        <w:t>in China</w:t>
      </w:r>
      <w:r w:rsidR="002D5003">
        <w:rPr>
          <w:rFonts w:ascii="Times New Roman" w:eastAsia="標楷體"/>
          <w:spacing w:val="0"/>
          <w:sz w:val="24"/>
          <w:szCs w:val="24"/>
        </w:rPr>
        <w:t>’</w:t>
      </w:r>
      <w:r w:rsidR="002D5003">
        <w:rPr>
          <w:rFonts w:ascii="Times New Roman" w:eastAsia="標楷體" w:hint="eastAsia"/>
          <w:spacing w:val="0"/>
          <w:sz w:val="24"/>
          <w:szCs w:val="24"/>
        </w:rPr>
        <w:t>s economy: as the negative impact of US tariffs began to show, China</w:t>
      </w:r>
      <w:r w:rsidR="002D5003">
        <w:rPr>
          <w:rFonts w:ascii="Times New Roman" w:eastAsia="標楷體"/>
          <w:spacing w:val="0"/>
          <w:sz w:val="24"/>
          <w:szCs w:val="24"/>
        </w:rPr>
        <w:t xml:space="preserve"> could witness subdued growth in investment, consumption, and exports; </w:t>
      </w:r>
      <w:r w:rsidR="002D5003">
        <w:rPr>
          <w:rFonts w:ascii="Times New Roman" w:eastAsia="標楷體" w:hint="eastAsia"/>
          <w:spacing w:val="0"/>
          <w:sz w:val="24"/>
          <w:szCs w:val="24"/>
        </w:rPr>
        <w:t xml:space="preserve">spillovers from </w:t>
      </w:r>
      <w:r w:rsidR="002D5003">
        <w:rPr>
          <w:rFonts w:ascii="Times New Roman" w:eastAsia="標楷體"/>
          <w:spacing w:val="0"/>
          <w:sz w:val="24"/>
          <w:szCs w:val="24"/>
        </w:rPr>
        <w:t xml:space="preserve">a sharper slowdown or financial instability in China </w:t>
      </w:r>
      <w:r w:rsidR="002D5003">
        <w:rPr>
          <w:rFonts w:ascii="Times New Roman" w:eastAsia="標楷體" w:hint="eastAsia"/>
          <w:spacing w:val="0"/>
          <w:sz w:val="24"/>
          <w:szCs w:val="24"/>
        </w:rPr>
        <w:t xml:space="preserve">could batter global economic growth and commodity markets. </w:t>
      </w:r>
    </w:p>
    <w:p w:rsidR="0081226D" w:rsidRPr="007F6F77" w:rsidRDefault="00AC419E" w:rsidP="00430D7F">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(3) </w:t>
      </w:r>
      <w:r w:rsidR="00061D22">
        <w:rPr>
          <w:rFonts w:ascii="Times New Roman" w:eastAsia="標楷體" w:hint="eastAsia"/>
          <w:spacing w:val="0"/>
          <w:sz w:val="24"/>
          <w:szCs w:val="24"/>
        </w:rPr>
        <w:t xml:space="preserve">Brexit uncertainty and geopolitical tension: </w:t>
      </w:r>
      <w:r w:rsidR="002E7FB8" w:rsidRPr="002E7FB8">
        <w:rPr>
          <w:rFonts w:ascii="Times New Roman" w:eastAsia="標楷體"/>
          <w:spacing w:val="0"/>
          <w:sz w:val="24"/>
          <w:szCs w:val="24"/>
        </w:rPr>
        <w:t>still a great deal of uncertainty surrounding Brexit</w:t>
      </w:r>
      <w:r w:rsidR="00430D7F">
        <w:rPr>
          <w:rFonts w:ascii="Times New Roman" w:eastAsia="標楷體" w:hint="eastAsia"/>
          <w:spacing w:val="0"/>
          <w:sz w:val="24"/>
          <w:szCs w:val="24"/>
        </w:rPr>
        <w:t xml:space="preserve"> and a potential oil supply disruption from Venezuela</w:t>
      </w:r>
      <w:r w:rsidR="00430D7F">
        <w:rPr>
          <w:rFonts w:ascii="Times New Roman" w:eastAsia="標楷體"/>
          <w:spacing w:val="0"/>
          <w:sz w:val="24"/>
          <w:szCs w:val="24"/>
        </w:rPr>
        <w:t>’</w:t>
      </w:r>
      <w:r w:rsidR="00430D7F">
        <w:rPr>
          <w:rFonts w:ascii="Times New Roman" w:eastAsia="標楷體" w:hint="eastAsia"/>
          <w:spacing w:val="0"/>
          <w:sz w:val="24"/>
          <w:szCs w:val="24"/>
        </w:rPr>
        <w:t>s political crisis c</w:t>
      </w:r>
      <w:r w:rsidR="00061D22">
        <w:rPr>
          <w:rFonts w:ascii="Times New Roman" w:eastAsia="標楷體" w:hint="eastAsia"/>
          <w:spacing w:val="0"/>
          <w:sz w:val="24"/>
          <w:szCs w:val="24"/>
        </w:rPr>
        <w:t xml:space="preserve">ould incur additional </w:t>
      </w:r>
      <w:r w:rsidR="0081226D" w:rsidRPr="007F6F77">
        <w:rPr>
          <w:rFonts w:ascii="Times New Roman" w:eastAsia="標楷體" w:hint="eastAsia"/>
          <w:spacing w:val="0"/>
          <w:sz w:val="24"/>
          <w:szCs w:val="24"/>
        </w:rPr>
        <w:t xml:space="preserve">risks to the global </w:t>
      </w:r>
      <w:r w:rsidR="0081226D" w:rsidRPr="007F6F77">
        <w:rPr>
          <w:rFonts w:ascii="Times New Roman" w:eastAsia="標楷體"/>
          <w:spacing w:val="0"/>
          <w:sz w:val="24"/>
          <w:szCs w:val="24"/>
        </w:rPr>
        <w:t>economic</w:t>
      </w:r>
      <w:r w:rsidR="0081226D" w:rsidRPr="007F6F77">
        <w:rPr>
          <w:rFonts w:ascii="Times New Roman" w:eastAsia="標楷體" w:hint="eastAsia"/>
          <w:spacing w:val="0"/>
          <w:sz w:val="24"/>
          <w:szCs w:val="24"/>
        </w:rPr>
        <w:t xml:space="preserve"> prospects.  </w:t>
      </w:r>
    </w:p>
    <w:p w:rsidR="00D46F1E" w:rsidRPr="007F6F77" w:rsidRDefault="00D46F1E" w:rsidP="00FA173A">
      <w:pPr>
        <w:numPr>
          <w:ilvl w:val="0"/>
          <w:numId w:val="30"/>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t>Domestic</w:t>
      </w:r>
      <w:r w:rsidRPr="007F6F77">
        <w:rPr>
          <w:rFonts w:eastAsia="標楷體"/>
          <w:b/>
          <w:spacing w:val="-2"/>
          <w:sz w:val="24"/>
          <w:szCs w:val="28"/>
        </w:rPr>
        <w:t xml:space="preserve"> 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D46F1E" w:rsidRPr="007F6F77" w:rsidRDefault="00D46F1E" w:rsidP="00FA173A">
      <w:pPr>
        <w:adjustRightInd/>
        <w:spacing w:before="120" w:line="440" w:lineRule="exact"/>
        <w:textAlignment w:val="auto"/>
        <w:rPr>
          <w:rFonts w:eastAsia="標楷體"/>
          <w:spacing w:val="-2"/>
          <w:kern w:val="2"/>
          <w:sz w:val="24"/>
          <w:szCs w:val="28"/>
        </w:rPr>
      </w:pPr>
      <w:r w:rsidRPr="007F6F77">
        <w:rPr>
          <w:rFonts w:eastAsia="標楷體"/>
          <w:spacing w:val="-2"/>
          <w:kern w:val="2"/>
          <w:sz w:val="24"/>
          <w:szCs w:val="28"/>
        </w:rPr>
        <w:t>(</w:t>
      </w:r>
      <w:r w:rsidRPr="007F6F77">
        <w:rPr>
          <w:rFonts w:eastAsia="標楷體" w:hint="eastAsia"/>
          <w:spacing w:val="-2"/>
          <w:kern w:val="2"/>
          <w:sz w:val="24"/>
          <w:szCs w:val="28"/>
        </w:rPr>
        <w:t>1</w:t>
      </w:r>
      <w:r w:rsidRPr="007F6F77">
        <w:rPr>
          <w:rFonts w:eastAsia="標楷體"/>
          <w:spacing w:val="-2"/>
          <w:kern w:val="2"/>
          <w:sz w:val="24"/>
          <w:szCs w:val="28"/>
        </w:rPr>
        <w:t>)</w:t>
      </w:r>
      <w:r w:rsidRPr="007F6F77">
        <w:rPr>
          <w:rFonts w:eastAsia="標楷體" w:hint="eastAsia"/>
          <w:spacing w:val="-2"/>
          <w:kern w:val="2"/>
          <w:sz w:val="24"/>
          <w:szCs w:val="28"/>
        </w:rPr>
        <w:t xml:space="preserve"> Economic situation </w:t>
      </w:r>
    </w:p>
    <w:p w:rsidR="00B80AF4" w:rsidRDefault="00B80AF4" w:rsidP="002A33F7">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January, </w:t>
      </w:r>
      <w:r w:rsidR="00E07C54">
        <w:rPr>
          <w:rFonts w:ascii="Times New Roman" w:eastAsia="標楷體" w:hint="eastAsia"/>
          <w:spacing w:val="0"/>
          <w:sz w:val="24"/>
          <w:szCs w:val="24"/>
        </w:rPr>
        <w:t xml:space="preserve">though </w:t>
      </w:r>
      <w:r>
        <w:rPr>
          <w:rFonts w:ascii="Times New Roman" w:eastAsia="標楷體" w:hint="eastAsia"/>
          <w:spacing w:val="0"/>
          <w:sz w:val="24"/>
          <w:szCs w:val="24"/>
        </w:rPr>
        <w:t xml:space="preserve">the domestic </w:t>
      </w:r>
      <w:r w:rsidR="000208F9" w:rsidRPr="007F6F77">
        <w:rPr>
          <w:rFonts w:ascii="Times New Roman" w:eastAsia="標楷體" w:hint="eastAsia"/>
          <w:spacing w:val="0"/>
          <w:sz w:val="24"/>
          <w:szCs w:val="24"/>
        </w:rPr>
        <w:t>business climate monitor</w:t>
      </w:r>
      <w:r w:rsidR="002A33F7">
        <w:rPr>
          <w:rFonts w:ascii="Times New Roman" w:eastAsia="標楷體" w:hint="eastAsia"/>
          <w:spacing w:val="0"/>
          <w:sz w:val="24"/>
          <w:szCs w:val="24"/>
        </w:rPr>
        <w:t xml:space="preserve"> improved from a blue light to a yellow-blue light, </w:t>
      </w:r>
      <w:r w:rsidR="000208F9" w:rsidRPr="007F6F77">
        <w:rPr>
          <w:rFonts w:ascii="Times New Roman" w:eastAsia="標楷體" w:hint="eastAsia"/>
          <w:spacing w:val="0"/>
          <w:sz w:val="24"/>
          <w:szCs w:val="24"/>
        </w:rPr>
        <w:t xml:space="preserve">both leading and </w:t>
      </w:r>
      <w:r w:rsidR="00092585" w:rsidRPr="007F6F77">
        <w:rPr>
          <w:rFonts w:ascii="Times New Roman" w:eastAsia="標楷體" w:hint="eastAsia"/>
          <w:spacing w:val="0"/>
          <w:sz w:val="24"/>
          <w:szCs w:val="24"/>
        </w:rPr>
        <w:t>coincident indicators</w:t>
      </w:r>
      <w:r w:rsidR="00641684" w:rsidRPr="007F6F77">
        <w:rPr>
          <w:rFonts w:ascii="Times New Roman" w:eastAsia="標楷體" w:hint="eastAsia"/>
          <w:spacing w:val="0"/>
          <w:sz w:val="24"/>
          <w:szCs w:val="24"/>
        </w:rPr>
        <w:t xml:space="preserve"> continued </w:t>
      </w:r>
      <w:r w:rsidR="002A33F7">
        <w:rPr>
          <w:rFonts w:ascii="Times New Roman" w:eastAsia="標楷體" w:hint="eastAsia"/>
          <w:spacing w:val="0"/>
          <w:sz w:val="24"/>
          <w:szCs w:val="24"/>
        </w:rPr>
        <w:t>sliding downwards</w:t>
      </w:r>
      <w:r>
        <w:rPr>
          <w:rFonts w:ascii="Times New Roman" w:eastAsia="標楷體" w:hint="eastAsia"/>
          <w:spacing w:val="0"/>
          <w:sz w:val="24"/>
          <w:szCs w:val="24"/>
        </w:rPr>
        <w:t>,</w:t>
      </w:r>
      <w:r w:rsidR="002A33F7">
        <w:rPr>
          <w:rFonts w:ascii="Times New Roman" w:eastAsia="標楷體" w:hint="eastAsia"/>
          <w:spacing w:val="0"/>
          <w:sz w:val="24"/>
          <w:szCs w:val="24"/>
        </w:rPr>
        <w:t xml:space="preserve"> reflecting a domestic </w:t>
      </w:r>
      <w:r w:rsidR="002A33F7">
        <w:rPr>
          <w:rFonts w:ascii="Times New Roman" w:eastAsia="標楷體"/>
          <w:spacing w:val="0"/>
          <w:sz w:val="24"/>
          <w:szCs w:val="24"/>
        </w:rPr>
        <w:t>economic</w:t>
      </w:r>
      <w:r w:rsidR="002A33F7">
        <w:rPr>
          <w:rFonts w:ascii="Times New Roman" w:eastAsia="標楷體" w:hint="eastAsia"/>
          <w:spacing w:val="0"/>
          <w:sz w:val="24"/>
          <w:szCs w:val="24"/>
        </w:rPr>
        <w:t xml:space="preserve"> downturn. </w:t>
      </w:r>
      <w:r w:rsidR="00577452">
        <w:rPr>
          <w:rFonts w:ascii="Times New Roman" w:eastAsia="標楷體" w:hint="eastAsia"/>
          <w:spacing w:val="0"/>
          <w:sz w:val="24"/>
          <w:szCs w:val="24"/>
        </w:rPr>
        <w:t>T</w:t>
      </w:r>
      <w:r>
        <w:rPr>
          <w:rFonts w:ascii="Times New Roman" w:eastAsia="標楷體" w:hint="eastAsia"/>
          <w:spacing w:val="0"/>
          <w:sz w:val="24"/>
          <w:szCs w:val="24"/>
        </w:rPr>
        <w:t xml:space="preserve">he manufacturing inventory ratio climbed higher in January, </w:t>
      </w:r>
      <w:r w:rsidR="00577452">
        <w:rPr>
          <w:rFonts w:ascii="Times New Roman" w:eastAsia="標楷體" w:hint="eastAsia"/>
          <w:spacing w:val="0"/>
          <w:sz w:val="24"/>
          <w:szCs w:val="24"/>
        </w:rPr>
        <w:t xml:space="preserve">pointing to </w:t>
      </w:r>
      <w:r w:rsidR="005E58C2">
        <w:rPr>
          <w:rFonts w:ascii="Times New Roman" w:eastAsia="標楷體" w:hint="eastAsia"/>
          <w:spacing w:val="0"/>
          <w:sz w:val="24"/>
          <w:szCs w:val="24"/>
        </w:rPr>
        <w:t xml:space="preserve">a </w:t>
      </w:r>
      <w:r w:rsidR="00577452">
        <w:rPr>
          <w:rFonts w:ascii="Times New Roman" w:eastAsia="標楷體" w:hint="eastAsia"/>
          <w:spacing w:val="0"/>
          <w:sz w:val="24"/>
          <w:szCs w:val="24"/>
        </w:rPr>
        <w:t xml:space="preserve">higher </w:t>
      </w:r>
      <w:r w:rsidR="00577452" w:rsidRPr="00577452">
        <w:rPr>
          <w:rFonts w:ascii="Times New Roman" w:eastAsia="標楷體"/>
          <w:spacing w:val="0"/>
          <w:sz w:val="24"/>
          <w:szCs w:val="24"/>
        </w:rPr>
        <w:t>risk of economic contraction.</w:t>
      </w:r>
      <w:r w:rsidR="00577452">
        <w:rPr>
          <w:rFonts w:ascii="Times New Roman" w:eastAsia="標楷體" w:hint="eastAsia"/>
          <w:spacing w:val="0"/>
          <w:sz w:val="24"/>
          <w:szCs w:val="24"/>
        </w:rPr>
        <w:t xml:space="preserve"> Moreover, the ratio rose further</w:t>
      </w:r>
      <w:r w:rsidR="00EC4FDD">
        <w:rPr>
          <w:rFonts w:ascii="Times New Roman" w:eastAsia="標楷體" w:hint="eastAsia"/>
          <w:spacing w:val="0"/>
          <w:sz w:val="24"/>
          <w:szCs w:val="24"/>
        </w:rPr>
        <w:t xml:space="preserve"> thereafter, a sign that </w:t>
      </w:r>
      <w:r w:rsidR="00EC4FDD">
        <w:rPr>
          <w:rFonts w:ascii="Times New Roman" w:eastAsia="標楷體"/>
          <w:spacing w:val="0"/>
          <w:sz w:val="24"/>
          <w:szCs w:val="24"/>
        </w:rPr>
        <w:t>economic</w:t>
      </w:r>
      <w:r w:rsidR="00EC4FDD">
        <w:rPr>
          <w:rFonts w:ascii="Times New Roman" w:eastAsia="標楷體" w:hint="eastAsia"/>
          <w:spacing w:val="0"/>
          <w:sz w:val="24"/>
          <w:szCs w:val="24"/>
        </w:rPr>
        <w:t xml:space="preserve"> growth could weaken in the future. </w:t>
      </w:r>
    </w:p>
    <w:p w:rsidR="001A1E74" w:rsidRDefault="00B677A4" w:rsidP="00F57E8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With the global economy cooling, domestic exports falling short of </w:t>
      </w:r>
      <w:r w:rsidR="00393621">
        <w:rPr>
          <w:rFonts w:ascii="Times New Roman" w:eastAsia="標楷體"/>
          <w:spacing w:val="0"/>
          <w:sz w:val="24"/>
          <w:szCs w:val="24"/>
        </w:rPr>
        <w:t>expectation</w:t>
      </w:r>
      <w:r w:rsidR="00393621">
        <w:rPr>
          <w:rFonts w:ascii="Times New Roman" w:eastAsia="標楷體" w:hint="eastAsia"/>
          <w:spacing w:val="0"/>
          <w:sz w:val="24"/>
          <w:szCs w:val="24"/>
        </w:rPr>
        <w:t>,</w:t>
      </w:r>
      <w:r>
        <w:rPr>
          <w:rFonts w:ascii="Times New Roman" w:eastAsia="標楷體" w:hint="eastAsia"/>
          <w:spacing w:val="0"/>
          <w:sz w:val="24"/>
          <w:szCs w:val="24"/>
        </w:rPr>
        <w:t xml:space="preserve"> and </w:t>
      </w:r>
      <w:r w:rsidR="00925D3A">
        <w:rPr>
          <w:rFonts w:ascii="Times New Roman" w:eastAsia="標楷體" w:hint="eastAsia"/>
          <w:spacing w:val="0"/>
          <w:sz w:val="24"/>
          <w:szCs w:val="24"/>
        </w:rPr>
        <w:t xml:space="preserve">economic growth </w:t>
      </w:r>
      <w:r w:rsidR="00393621">
        <w:rPr>
          <w:rFonts w:ascii="Times New Roman" w:eastAsia="標楷體" w:hint="eastAsia"/>
          <w:spacing w:val="0"/>
          <w:sz w:val="24"/>
          <w:szCs w:val="24"/>
        </w:rPr>
        <w:t xml:space="preserve">losing steam, the Bank </w:t>
      </w:r>
      <w:r w:rsidR="00F57E81">
        <w:rPr>
          <w:rFonts w:ascii="Times New Roman" w:eastAsia="標楷體" w:hint="eastAsia"/>
          <w:spacing w:val="0"/>
          <w:sz w:val="24"/>
          <w:szCs w:val="24"/>
        </w:rPr>
        <w:t>now projected the annual GDP growth rate to be 2.13%</w:t>
      </w:r>
      <w:r w:rsidR="00A62015">
        <w:rPr>
          <w:rFonts w:ascii="Times New Roman" w:eastAsia="標楷體" w:hint="eastAsia"/>
          <w:spacing w:val="0"/>
          <w:sz w:val="24"/>
          <w:szCs w:val="24"/>
        </w:rPr>
        <w:t xml:space="preserve"> in 2019</w:t>
      </w:r>
      <w:r w:rsidR="00F57E81">
        <w:rPr>
          <w:rFonts w:ascii="Times New Roman" w:eastAsia="標楷體" w:hint="eastAsia"/>
          <w:spacing w:val="0"/>
          <w:sz w:val="24"/>
          <w:szCs w:val="24"/>
        </w:rPr>
        <w:t xml:space="preserve">, a downward revision of 0.20 percentage points from its December 2018 forecast. </w:t>
      </w:r>
    </w:p>
    <w:p w:rsidR="00E07C54" w:rsidRDefault="00C331A4" w:rsidP="00991E6A">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In terms of external demand,</w:t>
      </w:r>
      <w:r w:rsidR="00E07C54">
        <w:rPr>
          <w:rFonts w:ascii="Times New Roman" w:eastAsia="標楷體" w:hint="eastAsia"/>
          <w:spacing w:val="0"/>
          <w:sz w:val="24"/>
          <w:szCs w:val="24"/>
        </w:rPr>
        <w:t xml:space="preserve"> the global </w:t>
      </w:r>
      <w:r w:rsidR="00E07C54">
        <w:rPr>
          <w:rFonts w:ascii="Times New Roman" w:eastAsia="標楷體"/>
          <w:spacing w:val="0"/>
          <w:sz w:val="24"/>
          <w:szCs w:val="24"/>
        </w:rPr>
        <w:t>economic</w:t>
      </w:r>
      <w:r w:rsidR="00E07C54">
        <w:rPr>
          <w:rFonts w:ascii="Times New Roman" w:eastAsia="標楷體" w:hint="eastAsia"/>
          <w:spacing w:val="0"/>
          <w:sz w:val="24"/>
          <w:szCs w:val="24"/>
        </w:rPr>
        <w:t xml:space="preserve"> slowdown and US-China trade friction combined to drag export growth </w:t>
      </w:r>
      <w:r w:rsidR="009D364D">
        <w:rPr>
          <w:rFonts w:ascii="Times New Roman" w:eastAsia="標楷體" w:hint="eastAsia"/>
          <w:spacing w:val="0"/>
          <w:sz w:val="24"/>
          <w:szCs w:val="24"/>
        </w:rPr>
        <w:t xml:space="preserve">in </w:t>
      </w:r>
      <w:r w:rsidR="00E07C54">
        <w:rPr>
          <w:rFonts w:ascii="Times New Roman" w:eastAsia="標楷體" w:hint="eastAsia"/>
          <w:spacing w:val="0"/>
          <w:sz w:val="24"/>
          <w:szCs w:val="24"/>
        </w:rPr>
        <w:t>major Asian economies</w:t>
      </w:r>
      <w:r w:rsidR="00991E6A">
        <w:rPr>
          <w:rFonts w:ascii="Times New Roman" w:eastAsia="標楷體" w:hint="eastAsia"/>
          <w:spacing w:val="0"/>
          <w:sz w:val="24"/>
          <w:szCs w:val="24"/>
        </w:rPr>
        <w:t>, including Taiwan,</w:t>
      </w:r>
      <w:r w:rsidR="00E07C54">
        <w:rPr>
          <w:rFonts w:ascii="Times New Roman" w:eastAsia="標楷體" w:hint="eastAsia"/>
          <w:spacing w:val="0"/>
          <w:sz w:val="24"/>
          <w:szCs w:val="24"/>
        </w:rPr>
        <w:t xml:space="preserve"> into negative </w:t>
      </w:r>
      <w:r w:rsidR="00E07C54">
        <w:rPr>
          <w:rFonts w:ascii="Times New Roman" w:eastAsia="標楷體" w:hint="eastAsia"/>
          <w:spacing w:val="0"/>
          <w:sz w:val="24"/>
          <w:szCs w:val="24"/>
        </w:rPr>
        <w:lastRenderedPageBreak/>
        <w:t xml:space="preserve">territory for the Jan.-Feb. period. </w:t>
      </w:r>
      <w:proofErr w:type="gramStart"/>
      <w:r w:rsidR="001F2208" w:rsidRPr="007F6F77">
        <w:rPr>
          <w:rFonts w:ascii="Times New Roman" w:eastAsia="標楷體" w:hint="eastAsia"/>
          <w:spacing w:val="0"/>
          <w:sz w:val="24"/>
          <w:szCs w:val="24"/>
        </w:rPr>
        <w:t>Taiwan</w:t>
      </w:r>
      <w:r w:rsidR="001F2208" w:rsidRPr="007F6F77">
        <w:rPr>
          <w:rFonts w:ascii="Times New Roman" w:eastAsia="標楷體"/>
          <w:spacing w:val="0"/>
          <w:sz w:val="24"/>
          <w:szCs w:val="24"/>
        </w:rPr>
        <w:t>’</w:t>
      </w:r>
      <w:r w:rsidR="00E07C54">
        <w:rPr>
          <w:rFonts w:ascii="Times New Roman" w:eastAsia="標楷體" w:hint="eastAsia"/>
          <w:spacing w:val="0"/>
          <w:sz w:val="24"/>
          <w:szCs w:val="24"/>
        </w:rPr>
        <w:t>s exports contracted</w:t>
      </w:r>
      <w:r w:rsidR="001F2208" w:rsidRPr="007F6F77">
        <w:rPr>
          <w:rFonts w:ascii="Times New Roman" w:eastAsia="標楷體" w:hint="eastAsia"/>
          <w:spacing w:val="0"/>
          <w:sz w:val="24"/>
          <w:szCs w:val="24"/>
        </w:rPr>
        <w:t xml:space="preserve"> by </w:t>
      </w:r>
      <w:r w:rsidR="00E07C54">
        <w:rPr>
          <w:rFonts w:ascii="Times New Roman" w:eastAsia="標楷體" w:hint="eastAsia"/>
          <w:spacing w:val="0"/>
          <w:sz w:val="24"/>
          <w:szCs w:val="24"/>
        </w:rPr>
        <w:t>4.1</w:t>
      </w:r>
      <w:r w:rsidR="001F2208" w:rsidRPr="007F6F77">
        <w:rPr>
          <w:rFonts w:ascii="Times New Roman" w:eastAsia="標楷體" w:hint="eastAsia"/>
          <w:spacing w:val="0"/>
          <w:sz w:val="24"/>
          <w:szCs w:val="24"/>
        </w:rPr>
        <w:t xml:space="preserve">% in value terms, with export prices </w:t>
      </w:r>
      <w:r w:rsidR="00E07C54">
        <w:rPr>
          <w:rFonts w:ascii="Times New Roman" w:eastAsia="標楷體" w:hint="eastAsia"/>
          <w:spacing w:val="0"/>
          <w:sz w:val="24"/>
          <w:szCs w:val="24"/>
        </w:rPr>
        <w:t>falli</w:t>
      </w:r>
      <w:r w:rsidR="001F2208" w:rsidRPr="007F6F77">
        <w:rPr>
          <w:rFonts w:ascii="Times New Roman" w:eastAsia="標楷體" w:hint="eastAsia"/>
          <w:spacing w:val="0"/>
          <w:sz w:val="24"/>
          <w:szCs w:val="24"/>
        </w:rPr>
        <w:t xml:space="preserve">ng by </w:t>
      </w:r>
      <w:r w:rsidR="00E07C54">
        <w:rPr>
          <w:rFonts w:ascii="Times New Roman" w:eastAsia="標楷體" w:hint="eastAsia"/>
          <w:spacing w:val="0"/>
          <w:sz w:val="24"/>
          <w:szCs w:val="24"/>
        </w:rPr>
        <w:t>4.5</w:t>
      </w:r>
      <w:r w:rsidR="001F2208" w:rsidRPr="007F6F77">
        <w:rPr>
          <w:rFonts w:ascii="Times New Roman" w:eastAsia="標楷體" w:hint="eastAsia"/>
          <w:spacing w:val="0"/>
          <w:sz w:val="24"/>
          <w:szCs w:val="24"/>
        </w:rPr>
        <w:t xml:space="preserve">% and export volume rising by </w:t>
      </w:r>
      <w:r w:rsidR="00E07C54">
        <w:rPr>
          <w:rFonts w:ascii="Times New Roman" w:eastAsia="標楷體" w:hint="eastAsia"/>
          <w:spacing w:val="0"/>
          <w:sz w:val="24"/>
          <w:szCs w:val="24"/>
        </w:rPr>
        <w:t>a modest 0.4</w:t>
      </w:r>
      <w:r w:rsidR="00991E6A">
        <w:rPr>
          <w:rFonts w:ascii="Times New Roman" w:eastAsia="標楷體" w:hint="eastAsia"/>
          <w:spacing w:val="0"/>
          <w:sz w:val="24"/>
          <w:szCs w:val="24"/>
        </w:rPr>
        <w:t>%.</w:t>
      </w:r>
      <w:proofErr w:type="gramEnd"/>
      <w:r w:rsidR="00991E6A">
        <w:rPr>
          <w:rFonts w:ascii="Times New Roman" w:eastAsia="標楷體" w:hint="eastAsia"/>
          <w:spacing w:val="0"/>
          <w:sz w:val="24"/>
          <w:szCs w:val="24"/>
        </w:rPr>
        <w:t xml:space="preserve"> By product groups, most of </w:t>
      </w:r>
      <w:r w:rsidR="00F3464E">
        <w:rPr>
          <w:rFonts w:ascii="Times New Roman" w:eastAsia="標楷體" w:hint="eastAsia"/>
          <w:spacing w:val="0"/>
          <w:sz w:val="24"/>
          <w:szCs w:val="24"/>
        </w:rPr>
        <w:t xml:space="preserve">the leading groups </w:t>
      </w:r>
      <w:r w:rsidR="00991E6A">
        <w:rPr>
          <w:rFonts w:ascii="Times New Roman" w:eastAsia="標楷體" w:hint="eastAsia"/>
          <w:spacing w:val="0"/>
          <w:sz w:val="24"/>
          <w:szCs w:val="24"/>
        </w:rPr>
        <w:t xml:space="preserve">registered negative growth, except for </w:t>
      </w:r>
      <w:r w:rsidR="00F3464E">
        <w:rPr>
          <w:rFonts w:ascii="Times New Roman" w:eastAsia="標楷體" w:hint="eastAsia"/>
          <w:spacing w:val="0"/>
          <w:sz w:val="24"/>
          <w:szCs w:val="24"/>
        </w:rPr>
        <w:t>i</w:t>
      </w:r>
      <w:r w:rsidR="00F3464E" w:rsidRPr="00F3464E">
        <w:rPr>
          <w:rFonts w:ascii="Times New Roman" w:eastAsia="標楷體"/>
          <w:spacing w:val="0"/>
          <w:sz w:val="24"/>
          <w:szCs w:val="24"/>
        </w:rPr>
        <w:t xml:space="preserve">nformation, </w:t>
      </w:r>
      <w:r w:rsidR="00F3464E">
        <w:rPr>
          <w:rFonts w:ascii="Times New Roman" w:eastAsia="標楷體" w:hint="eastAsia"/>
          <w:spacing w:val="0"/>
          <w:sz w:val="24"/>
          <w:szCs w:val="24"/>
        </w:rPr>
        <w:t>c</w:t>
      </w:r>
      <w:r w:rsidR="00F3464E" w:rsidRPr="00F3464E">
        <w:rPr>
          <w:rFonts w:ascii="Times New Roman" w:eastAsia="標楷體"/>
          <w:spacing w:val="0"/>
          <w:sz w:val="24"/>
          <w:szCs w:val="24"/>
        </w:rPr>
        <w:t>ommunication</w:t>
      </w:r>
      <w:r w:rsidR="005E58C2">
        <w:rPr>
          <w:rFonts w:ascii="Times New Roman" w:eastAsia="標楷體" w:hint="eastAsia"/>
          <w:spacing w:val="0"/>
          <w:sz w:val="24"/>
          <w:szCs w:val="24"/>
        </w:rPr>
        <w:t>s</w:t>
      </w:r>
      <w:r w:rsidR="00F3464E" w:rsidRPr="00F3464E">
        <w:rPr>
          <w:rFonts w:ascii="Times New Roman" w:eastAsia="標楷體"/>
          <w:spacing w:val="0"/>
          <w:sz w:val="24"/>
          <w:szCs w:val="24"/>
        </w:rPr>
        <w:t xml:space="preserve"> </w:t>
      </w:r>
      <w:r w:rsidR="00F3464E">
        <w:rPr>
          <w:rFonts w:ascii="Times New Roman" w:eastAsia="標楷體" w:hint="eastAsia"/>
          <w:spacing w:val="0"/>
          <w:sz w:val="24"/>
          <w:szCs w:val="24"/>
        </w:rPr>
        <w:t>&amp;</w:t>
      </w:r>
      <w:r w:rsidR="00F3464E" w:rsidRPr="00F3464E">
        <w:rPr>
          <w:rFonts w:ascii="Times New Roman" w:eastAsia="標楷體"/>
          <w:spacing w:val="0"/>
          <w:sz w:val="24"/>
          <w:szCs w:val="24"/>
        </w:rPr>
        <w:t xml:space="preserve"> </w:t>
      </w:r>
      <w:r w:rsidR="00F3464E">
        <w:rPr>
          <w:rFonts w:ascii="Times New Roman" w:eastAsia="標楷體" w:hint="eastAsia"/>
          <w:spacing w:val="0"/>
          <w:sz w:val="24"/>
          <w:szCs w:val="24"/>
        </w:rPr>
        <w:t>a</w:t>
      </w:r>
      <w:r w:rsidR="00F3464E" w:rsidRPr="00F3464E">
        <w:rPr>
          <w:rFonts w:ascii="Times New Roman" w:eastAsia="標楷體"/>
          <w:spacing w:val="0"/>
          <w:sz w:val="24"/>
          <w:szCs w:val="24"/>
        </w:rPr>
        <w:t xml:space="preserve">udio-video </w:t>
      </w:r>
      <w:r w:rsidR="00F3464E">
        <w:rPr>
          <w:rFonts w:ascii="Times New Roman" w:eastAsia="標楷體" w:hint="eastAsia"/>
          <w:spacing w:val="0"/>
          <w:sz w:val="24"/>
          <w:szCs w:val="24"/>
        </w:rPr>
        <w:t>p</w:t>
      </w:r>
      <w:r w:rsidR="00F3464E" w:rsidRPr="00F3464E">
        <w:rPr>
          <w:rFonts w:ascii="Times New Roman" w:eastAsia="標楷體"/>
          <w:spacing w:val="0"/>
          <w:sz w:val="24"/>
          <w:szCs w:val="24"/>
        </w:rPr>
        <w:t>roducts</w:t>
      </w:r>
      <w:r w:rsidR="00F3464E">
        <w:rPr>
          <w:rFonts w:ascii="Times New Roman" w:eastAsia="標楷體" w:hint="eastAsia"/>
          <w:spacing w:val="0"/>
          <w:sz w:val="24"/>
          <w:szCs w:val="24"/>
        </w:rPr>
        <w:t xml:space="preserve">, and </w:t>
      </w:r>
      <w:r w:rsidR="00A57511">
        <w:rPr>
          <w:rFonts w:ascii="Times New Roman" w:eastAsia="標楷體" w:hint="eastAsia"/>
          <w:spacing w:val="0"/>
          <w:sz w:val="24"/>
          <w:szCs w:val="24"/>
        </w:rPr>
        <w:t xml:space="preserve">electrical machinery products. By destination market, the decline in exports to China had the greatest impact. </w:t>
      </w:r>
      <w:r w:rsidR="00227548">
        <w:rPr>
          <w:rFonts w:ascii="Times New Roman" w:eastAsia="標楷體" w:hint="eastAsia"/>
          <w:spacing w:val="0"/>
          <w:sz w:val="24"/>
          <w:szCs w:val="24"/>
        </w:rPr>
        <w:t>In view of expected sluggishness in global economic and trade growth, as well as a flattening in</w:t>
      </w:r>
      <w:r w:rsidR="008441E1">
        <w:rPr>
          <w:rFonts w:ascii="Times New Roman" w:eastAsia="標楷體" w:hint="eastAsia"/>
          <w:spacing w:val="0"/>
          <w:sz w:val="24"/>
          <w:szCs w:val="24"/>
        </w:rPr>
        <w:t xml:space="preserve"> </w:t>
      </w:r>
      <w:r w:rsidR="00227548">
        <w:rPr>
          <w:rFonts w:ascii="Times New Roman" w:eastAsia="標楷體" w:hint="eastAsia"/>
          <w:spacing w:val="0"/>
          <w:sz w:val="24"/>
          <w:szCs w:val="24"/>
        </w:rPr>
        <w:t>consum</w:t>
      </w:r>
      <w:r w:rsidR="008441E1">
        <w:rPr>
          <w:rFonts w:ascii="Times New Roman" w:eastAsia="標楷體" w:hint="eastAsia"/>
          <w:spacing w:val="0"/>
          <w:sz w:val="24"/>
          <w:szCs w:val="24"/>
        </w:rPr>
        <w:t>er expenditures</w:t>
      </w:r>
      <w:r w:rsidR="00227548">
        <w:rPr>
          <w:rFonts w:ascii="Times New Roman" w:eastAsia="標楷體" w:hint="eastAsia"/>
          <w:spacing w:val="0"/>
          <w:sz w:val="24"/>
          <w:szCs w:val="24"/>
        </w:rPr>
        <w:t xml:space="preserve"> </w:t>
      </w:r>
      <w:r w:rsidR="008441E1">
        <w:rPr>
          <w:rFonts w:ascii="Times New Roman" w:eastAsia="標楷體" w:hint="eastAsia"/>
          <w:spacing w:val="0"/>
          <w:sz w:val="24"/>
          <w:szCs w:val="24"/>
        </w:rPr>
        <w:t>on</w:t>
      </w:r>
      <w:r w:rsidR="00227548">
        <w:rPr>
          <w:rFonts w:ascii="Times New Roman" w:eastAsia="標楷體" w:hint="eastAsia"/>
          <w:spacing w:val="0"/>
          <w:sz w:val="24"/>
          <w:szCs w:val="24"/>
        </w:rPr>
        <w:t xml:space="preserve"> mobile devices, the Bank </w:t>
      </w:r>
      <w:r w:rsidR="00924E0D">
        <w:rPr>
          <w:rFonts w:ascii="Times New Roman" w:eastAsia="標楷體" w:hint="eastAsia"/>
          <w:spacing w:val="0"/>
          <w:sz w:val="24"/>
          <w:szCs w:val="24"/>
        </w:rPr>
        <w:t>forecast</w:t>
      </w:r>
      <w:r w:rsidR="00227548">
        <w:rPr>
          <w:rFonts w:ascii="Times New Roman" w:eastAsia="標楷體" w:hint="eastAsia"/>
          <w:spacing w:val="0"/>
          <w:sz w:val="24"/>
          <w:szCs w:val="24"/>
        </w:rPr>
        <w:t xml:space="preserve"> Taiwan</w:t>
      </w:r>
      <w:r w:rsidR="00227548">
        <w:rPr>
          <w:rFonts w:ascii="Times New Roman" w:eastAsia="標楷體"/>
          <w:spacing w:val="0"/>
          <w:sz w:val="24"/>
          <w:szCs w:val="24"/>
        </w:rPr>
        <w:t>’</w:t>
      </w:r>
      <w:r w:rsidR="00227548">
        <w:rPr>
          <w:rFonts w:ascii="Times New Roman" w:eastAsia="標楷體" w:hint="eastAsia"/>
          <w:spacing w:val="0"/>
          <w:sz w:val="24"/>
          <w:szCs w:val="24"/>
        </w:rPr>
        <w:t>s real export growth to moderate this year.</w:t>
      </w:r>
    </w:p>
    <w:p w:rsidR="0000009E" w:rsidRDefault="00C331A4" w:rsidP="00607438">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With respect to domestic demand, </w:t>
      </w:r>
      <w:r w:rsidR="006414DA">
        <w:rPr>
          <w:rFonts w:ascii="Times New Roman" w:eastAsia="標楷體" w:hint="eastAsia"/>
          <w:spacing w:val="0"/>
          <w:sz w:val="24"/>
          <w:szCs w:val="24"/>
        </w:rPr>
        <w:t xml:space="preserve">investment in machinery equipment and R&amp;D </w:t>
      </w:r>
      <w:r w:rsidR="007C795D">
        <w:rPr>
          <w:rFonts w:ascii="Times New Roman" w:eastAsia="標楷體" w:hint="eastAsia"/>
          <w:spacing w:val="0"/>
          <w:sz w:val="24"/>
          <w:szCs w:val="24"/>
        </w:rPr>
        <w:t xml:space="preserve">would </w:t>
      </w:r>
      <w:r w:rsidR="006414DA">
        <w:rPr>
          <w:rFonts w:ascii="Times New Roman" w:eastAsia="標楷體" w:hint="eastAsia"/>
          <w:spacing w:val="0"/>
          <w:sz w:val="24"/>
          <w:szCs w:val="24"/>
        </w:rPr>
        <w:t>continue expanding</w:t>
      </w:r>
      <w:r w:rsidR="007C795D">
        <w:rPr>
          <w:rFonts w:ascii="Times New Roman" w:eastAsia="標楷體" w:hint="eastAsia"/>
          <w:spacing w:val="0"/>
          <w:sz w:val="24"/>
          <w:szCs w:val="24"/>
        </w:rPr>
        <w:t xml:space="preserve">. Meanwhile, </w:t>
      </w:r>
      <w:r w:rsidR="006414DA">
        <w:rPr>
          <w:rFonts w:ascii="Times New Roman" w:eastAsia="標楷體" w:hint="eastAsia"/>
          <w:spacing w:val="0"/>
          <w:sz w:val="24"/>
          <w:szCs w:val="24"/>
        </w:rPr>
        <w:t xml:space="preserve">the government </w:t>
      </w:r>
      <w:r w:rsidR="007C795D">
        <w:rPr>
          <w:rFonts w:ascii="Times New Roman" w:eastAsia="標楷體" w:hint="eastAsia"/>
          <w:spacing w:val="0"/>
          <w:sz w:val="24"/>
          <w:szCs w:val="24"/>
        </w:rPr>
        <w:t xml:space="preserve">rolled out measures to </w:t>
      </w:r>
      <w:r w:rsidR="006414DA">
        <w:rPr>
          <w:rFonts w:ascii="Times New Roman" w:eastAsia="標楷體" w:hint="eastAsia"/>
          <w:spacing w:val="0"/>
          <w:sz w:val="24"/>
          <w:szCs w:val="24"/>
        </w:rPr>
        <w:t xml:space="preserve">encourage more </w:t>
      </w:r>
      <w:r w:rsidR="008303E0">
        <w:rPr>
          <w:rFonts w:ascii="Times New Roman" w:eastAsia="標楷體" w:hint="eastAsia"/>
          <w:spacing w:val="0"/>
          <w:sz w:val="24"/>
          <w:szCs w:val="24"/>
        </w:rPr>
        <w:t xml:space="preserve">overseas </w:t>
      </w:r>
      <w:r w:rsidR="006414DA">
        <w:rPr>
          <w:rFonts w:ascii="Times New Roman" w:eastAsia="標楷體" w:hint="eastAsia"/>
          <w:spacing w:val="0"/>
          <w:sz w:val="24"/>
          <w:szCs w:val="24"/>
        </w:rPr>
        <w:t xml:space="preserve">Taiwanese businesses to invest back </w:t>
      </w:r>
      <w:r w:rsidR="008303E0">
        <w:rPr>
          <w:rFonts w:ascii="Times New Roman" w:eastAsia="標楷體" w:hint="eastAsia"/>
          <w:spacing w:val="0"/>
          <w:sz w:val="24"/>
          <w:szCs w:val="24"/>
        </w:rPr>
        <w:t>at home</w:t>
      </w:r>
      <w:r w:rsidR="007C795D">
        <w:rPr>
          <w:rFonts w:ascii="Times New Roman" w:eastAsia="標楷體" w:hint="eastAsia"/>
          <w:spacing w:val="0"/>
          <w:sz w:val="24"/>
          <w:szCs w:val="24"/>
        </w:rPr>
        <w:t xml:space="preserve">, along with </w:t>
      </w:r>
      <w:r w:rsidR="008303E0">
        <w:rPr>
          <w:rFonts w:ascii="Times New Roman" w:eastAsia="標楷體" w:hint="eastAsia"/>
          <w:spacing w:val="0"/>
          <w:sz w:val="24"/>
          <w:szCs w:val="24"/>
        </w:rPr>
        <w:t xml:space="preserve">the ongoing efforts under the </w:t>
      </w:r>
      <w:r w:rsidR="008303E0" w:rsidRPr="008303E0">
        <w:rPr>
          <w:rFonts w:ascii="Times New Roman" w:eastAsia="標楷體"/>
          <w:spacing w:val="0"/>
          <w:sz w:val="24"/>
          <w:szCs w:val="24"/>
        </w:rPr>
        <w:t>Forward-looking Infrastructure Development Program</w:t>
      </w:r>
      <w:r w:rsidR="007C795D">
        <w:rPr>
          <w:rFonts w:ascii="Times New Roman" w:eastAsia="標楷體" w:hint="eastAsia"/>
          <w:spacing w:val="0"/>
          <w:sz w:val="24"/>
          <w:szCs w:val="24"/>
        </w:rPr>
        <w:t>. These w</w:t>
      </w:r>
      <w:r w:rsidR="00924E0D">
        <w:rPr>
          <w:rFonts w:ascii="Times New Roman" w:eastAsia="標楷體" w:hint="eastAsia"/>
          <w:spacing w:val="0"/>
          <w:sz w:val="24"/>
          <w:szCs w:val="24"/>
        </w:rPr>
        <w:t xml:space="preserve">ould </w:t>
      </w:r>
      <w:r w:rsidR="007C795D">
        <w:rPr>
          <w:rFonts w:ascii="Times New Roman" w:eastAsia="標楷體" w:hint="eastAsia"/>
          <w:spacing w:val="0"/>
          <w:sz w:val="24"/>
          <w:szCs w:val="24"/>
        </w:rPr>
        <w:t xml:space="preserve">combine to </w:t>
      </w:r>
      <w:r w:rsidR="00924E0D">
        <w:rPr>
          <w:rFonts w:ascii="Times New Roman" w:eastAsia="標楷體" w:hint="eastAsia"/>
          <w:spacing w:val="0"/>
          <w:sz w:val="24"/>
          <w:szCs w:val="24"/>
        </w:rPr>
        <w:t xml:space="preserve">bolster investment by public and private sectors alike. Therefore, real growth in private investment </w:t>
      </w:r>
      <w:r w:rsidR="007C795D">
        <w:rPr>
          <w:rFonts w:ascii="Times New Roman" w:eastAsia="標楷體" w:hint="eastAsia"/>
          <w:spacing w:val="0"/>
          <w:sz w:val="24"/>
          <w:szCs w:val="24"/>
        </w:rPr>
        <w:t>was projected by the Bank to</w:t>
      </w:r>
      <w:r w:rsidR="00924E0D">
        <w:rPr>
          <w:rFonts w:ascii="Times New Roman" w:eastAsia="標楷體" w:hint="eastAsia"/>
          <w:spacing w:val="0"/>
          <w:sz w:val="24"/>
          <w:szCs w:val="24"/>
        </w:rPr>
        <w:t xml:space="preserve"> gain stronger momentum this year. </w:t>
      </w:r>
    </w:p>
    <w:p w:rsidR="007F7DC1" w:rsidRDefault="0000009E" w:rsidP="0060743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terms of private consumption, </w:t>
      </w:r>
      <w:r w:rsidR="00AD48A7" w:rsidRPr="007F6F77">
        <w:rPr>
          <w:rFonts w:ascii="Times New Roman" w:eastAsia="標楷體" w:hint="eastAsia"/>
          <w:spacing w:val="0"/>
          <w:sz w:val="24"/>
          <w:szCs w:val="24"/>
        </w:rPr>
        <w:t>labor market conditions were stable</w:t>
      </w:r>
      <w:r w:rsidR="00227548">
        <w:rPr>
          <w:rFonts w:ascii="Times New Roman" w:eastAsia="標楷體" w:hint="eastAsia"/>
          <w:spacing w:val="0"/>
          <w:sz w:val="24"/>
          <w:szCs w:val="24"/>
        </w:rPr>
        <w:t>,</w:t>
      </w:r>
      <w:r w:rsidR="00AD48A7" w:rsidRPr="007F6F77">
        <w:rPr>
          <w:rFonts w:ascii="Times New Roman" w:eastAsia="標楷體" w:hint="eastAsia"/>
          <w:spacing w:val="0"/>
          <w:sz w:val="24"/>
          <w:szCs w:val="24"/>
        </w:rPr>
        <w:t xml:space="preserve"> the unemployment rate </w:t>
      </w:r>
      <w:r w:rsidR="00E76254">
        <w:rPr>
          <w:rFonts w:ascii="Times New Roman" w:eastAsia="標楷體" w:hint="eastAsia"/>
          <w:spacing w:val="0"/>
          <w:sz w:val="24"/>
          <w:szCs w:val="24"/>
        </w:rPr>
        <w:t xml:space="preserve">edged down further, and the number of employed persons increased steadily. </w:t>
      </w:r>
      <w:r w:rsidR="008303E0">
        <w:rPr>
          <w:rFonts w:ascii="Times New Roman" w:eastAsia="標楷體" w:hint="eastAsia"/>
          <w:spacing w:val="0"/>
          <w:sz w:val="24"/>
          <w:szCs w:val="24"/>
        </w:rPr>
        <w:t>Furthermore, c</w:t>
      </w:r>
      <w:r w:rsidR="00E76254">
        <w:rPr>
          <w:rFonts w:ascii="Times New Roman" w:eastAsia="標楷體" w:hint="eastAsia"/>
          <w:spacing w:val="0"/>
          <w:sz w:val="24"/>
          <w:szCs w:val="24"/>
        </w:rPr>
        <w:t xml:space="preserve">onsumer spending </w:t>
      </w:r>
      <w:r w:rsidR="00512FBD">
        <w:rPr>
          <w:rFonts w:ascii="Times New Roman" w:eastAsia="標楷體" w:hint="eastAsia"/>
          <w:spacing w:val="0"/>
          <w:sz w:val="24"/>
          <w:szCs w:val="24"/>
        </w:rPr>
        <w:t xml:space="preserve">is likely to </w:t>
      </w:r>
      <w:r w:rsidR="00E76254">
        <w:rPr>
          <w:rFonts w:ascii="Times New Roman" w:eastAsia="標楷體" w:hint="eastAsia"/>
          <w:spacing w:val="0"/>
          <w:sz w:val="24"/>
          <w:szCs w:val="24"/>
        </w:rPr>
        <w:t xml:space="preserve">be boosted by several favorable factors, including </w:t>
      </w:r>
      <w:r w:rsidR="007F7DC1">
        <w:rPr>
          <w:rFonts w:ascii="Times New Roman" w:eastAsia="標楷體" w:hint="eastAsia"/>
          <w:spacing w:val="0"/>
          <w:sz w:val="24"/>
          <w:szCs w:val="24"/>
        </w:rPr>
        <w:t xml:space="preserve">stronger prospects for pay raises as firms garnered better profits last year and incentives for shopping with government subsidies </w:t>
      </w:r>
      <w:r w:rsidR="00512FBD">
        <w:rPr>
          <w:rFonts w:ascii="Times New Roman" w:eastAsia="標楷體" w:hint="eastAsia"/>
          <w:spacing w:val="0"/>
          <w:sz w:val="24"/>
          <w:szCs w:val="24"/>
        </w:rPr>
        <w:t xml:space="preserve">on energy-efficient home appliances and domestic tourism. </w:t>
      </w:r>
      <w:r>
        <w:rPr>
          <w:rFonts w:ascii="Times New Roman" w:eastAsia="標楷體" w:hint="eastAsia"/>
          <w:spacing w:val="0"/>
          <w:sz w:val="24"/>
          <w:szCs w:val="24"/>
        </w:rPr>
        <w:t xml:space="preserve">However, recent signs of subdued growth momentum could dampen </w:t>
      </w:r>
      <w:r w:rsidR="005E58C2">
        <w:rPr>
          <w:rFonts w:ascii="Times New Roman" w:eastAsia="標楷體" w:hint="eastAsia"/>
          <w:spacing w:val="0"/>
          <w:sz w:val="24"/>
          <w:szCs w:val="24"/>
        </w:rPr>
        <w:t xml:space="preserve">the </w:t>
      </w:r>
      <w:r>
        <w:rPr>
          <w:rFonts w:ascii="Times New Roman" w:eastAsia="標楷體" w:hint="eastAsia"/>
          <w:spacing w:val="0"/>
          <w:sz w:val="24"/>
          <w:szCs w:val="24"/>
        </w:rPr>
        <w:t>willingness for hiring in the coming months. Overall, the Bank expected this year</w:t>
      </w:r>
      <w:r>
        <w:rPr>
          <w:rFonts w:ascii="Times New Roman" w:eastAsia="標楷體"/>
          <w:spacing w:val="0"/>
          <w:sz w:val="24"/>
          <w:szCs w:val="24"/>
        </w:rPr>
        <w:t>’</w:t>
      </w:r>
      <w:r>
        <w:rPr>
          <w:rFonts w:ascii="Times New Roman" w:eastAsia="標楷體" w:hint="eastAsia"/>
          <w:spacing w:val="0"/>
          <w:sz w:val="24"/>
          <w:szCs w:val="24"/>
        </w:rPr>
        <w:t xml:space="preserve">s real growth in private consumption to be mild. </w:t>
      </w:r>
    </w:p>
    <w:p w:rsidR="00E94A02" w:rsidRDefault="007150FA" w:rsidP="0060743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With </w:t>
      </w:r>
      <w:r w:rsidR="00EF5155">
        <w:rPr>
          <w:rFonts w:ascii="Times New Roman" w:eastAsia="標楷體" w:hint="eastAsia"/>
          <w:spacing w:val="0"/>
          <w:sz w:val="24"/>
          <w:szCs w:val="24"/>
        </w:rPr>
        <w:t>public and private investment</w:t>
      </w:r>
      <w:r>
        <w:rPr>
          <w:rFonts w:ascii="Times New Roman" w:eastAsia="標楷體" w:hint="eastAsia"/>
          <w:spacing w:val="0"/>
          <w:sz w:val="24"/>
          <w:szCs w:val="24"/>
        </w:rPr>
        <w:t xml:space="preserve"> </w:t>
      </w:r>
      <w:r w:rsidR="005E58C2">
        <w:rPr>
          <w:rFonts w:ascii="Times New Roman" w:eastAsia="標楷體" w:hint="eastAsia"/>
          <w:spacing w:val="0"/>
          <w:sz w:val="24"/>
          <w:szCs w:val="24"/>
        </w:rPr>
        <w:t xml:space="preserve">expected to grow faster than last year </w:t>
      </w:r>
      <w:r>
        <w:rPr>
          <w:rFonts w:ascii="Times New Roman" w:eastAsia="標楷體" w:hint="eastAsia"/>
          <w:spacing w:val="0"/>
          <w:sz w:val="24"/>
          <w:szCs w:val="24"/>
        </w:rPr>
        <w:t>and</w:t>
      </w:r>
      <w:r w:rsidR="00EF5155">
        <w:rPr>
          <w:rFonts w:ascii="Times New Roman" w:eastAsia="標楷體" w:hint="eastAsia"/>
          <w:spacing w:val="0"/>
          <w:sz w:val="24"/>
          <w:szCs w:val="24"/>
        </w:rPr>
        <w:t xml:space="preserve"> private consumption</w:t>
      </w:r>
      <w:r w:rsidR="005E58C2">
        <w:rPr>
          <w:rFonts w:ascii="Times New Roman" w:eastAsia="標楷體" w:hint="eastAsia"/>
          <w:spacing w:val="0"/>
          <w:sz w:val="24"/>
          <w:szCs w:val="24"/>
        </w:rPr>
        <w:t xml:space="preserve"> to expand steadily</w:t>
      </w:r>
      <w:r w:rsidR="00EF5155">
        <w:rPr>
          <w:rFonts w:ascii="Times New Roman" w:eastAsia="標楷體" w:hint="eastAsia"/>
          <w:spacing w:val="0"/>
          <w:sz w:val="24"/>
          <w:szCs w:val="24"/>
        </w:rPr>
        <w:t xml:space="preserve">, </w:t>
      </w:r>
      <w:r>
        <w:rPr>
          <w:rFonts w:ascii="Times New Roman" w:eastAsia="標楷體" w:hint="eastAsia"/>
          <w:spacing w:val="0"/>
          <w:sz w:val="24"/>
          <w:szCs w:val="24"/>
        </w:rPr>
        <w:t>domestic demand would continue to be the main driving force behind this year</w:t>
      </w:r>
      <w:r>
        <w:rPr>
          <w:rFonts w:ascii="Times New Roman" w:eastAsia="標楷體"/>
          <w:spacing w:val="0"/>
          <w:sz w:val="24"/>
          <w:szCs w:val="24"/>
        </w:rPr>
        <w:t>’</w:t>
      </w:r>
      <w:r>
        <w:rPr>
          <w:rFonts w:ascii="Times New Roman" w:eastAsia="標楷體" w:hint="eastAsia"/>
          <w:spacing w:val="0"/>
          <w:sz w:val="24"/>
          <w:szCs w:val="24"/>
        </w:rPr>
        <w:t xml:space="preserve">s economic growth. </w:t>
      </w:r>
      <w:r>
        <w:rPr>
          <w:rFonts w:ascii="Times New Roman" w:eastAsia="標楷體"/>
          <w:spacing w:val="0"/>
          <w:sz w:val="24"/>
          <w:szCs w:val="24"/>
        </w:rPr>
        <w:t>T</w:t>
      </w:r>
      <w:r>
        <w:rPr>
          <w:rFonts w:ascii="Times New Roman" w:eastAsia="標楷體" w:hint="eastAsia"/>
          <w:spacing w:val="0"/>
          <w:sz w:val="24"/>
          <w:szCs w:val="24"/>
        </w:rPr>
        <w:t>he Bank</w:t>
      </w:r>
      <w:r>
        <w:rPr>
          <w:rFonts w:ascii="Times New Roman" w:eastAsia="標楷體"/>
          <w:spacing w:val="0"/>
          <w:sz w:val="24"/>
          <w:szCs w:val="24"/>
        </w:rPr>
        <w:t xml:space="preserve"> judged that </w:t>
      </w:r>
      <w:r w:rsidR="00E94A02">
        <w:rPr>
          <w:rFonts w:ascii="Times New Roman" w:eastAsia="標楷體" w:hint="eastAsia"/>
          <w:spacing w:val="0"/>
          <w:sz w:val="24"/>
          <w:szCs w:val="24"/>
        </w:rPr>
        <w:t xml:space="preserve">a </w:t>
      </w:r>
      <w:r w:rsidR="00E94A02">
        <w:rPr>
          <w:rFonts w:ascii="Times New Roman" w:eastAsia="標楷體"/>
          <w:spacing w:val="0"/>
          <w:sz w:val="24"/>
          <w:szCs w:val="24"/>
        </w:rPr>
        <w:t>positive</w:t>
      </w:r>
      <w:r w:rsidR="00E94A02">
        <w:rPr>
          <w:rFonts w:ascii="Times New Roman" w:eastAsia="標楷體" w:hint="eastAsia"/>
          <w:spacing w:val="0"/>
          <w:sz w:val="24"/>
          <w:szCs w:val="24"/>
        </w:rPr>
        <w:t xml:space="preserve"> impetus from domestic demand and a lower base effect would </w:t>
      </w:r>
      <w:r w:rsidR="005E58C2">
        <w:rPr>
          <w:rFonts w:ascii="Times New Roman" w:eastAsia="標楷體" w:hint="eastAsia"/>
          <w:spacing w:val="0"/>
          <w:sz w:val="24"/>
          <w:szCs w:val="24"/>
        </w:rPr>
        <w:t xml:space="preserve">enable </w:t>
      </w:r>
      <w:r w:rsidR="00E94A02">
        <w:rPr>
          <w:rFonts w:ascii="Times New Roman" w:eastAsia="標楷體" w:hint="eastAsia"/>
          <w:spacing w:val="0"/>
          <w:sz w:val="24"/>
          <w:szCs w:val="24"/>
        </w:rPr>
        <w:t>Taiwan</w:t>
      </w:r>
      <w:r w:rsidR="00E94A02">
        <w:rPr>
          <w:rFonts w:ascii="Times New Roman" w:eastAsia="標楷體"/>
          <w:spacing w:val="0"/>
          <w:sz w:val="24"/>
          <w:szCs w:val="24"/>
        </w:rPr>
        <w:t>’</w:t>
      </w:r>
      <w:r w:rsidR="00E94A02">
        <w:rPr>
          <w:rFonts w:ascii="Times New Roman" w:eastAsia="標楷體" w:hint="eastAsia"/>
          <w:spacing w:val="0"/>
          <w:sz w:val="24"/>
          <w:szCs w:val="24"/>
        </w:rPr>
        <w:t xml:space="preserve">s pace of economic expansion to pick up quarter by </w:t>
      </w:r>
      <w:r w:rsidR="00E94A02">
        <w:rPr>
          <w:rFonts w:ascii="Times New Roman" w:eastAsia="標楷體"/>
          <w:spacing w:val="0"/>
          <w:sz w:val="24"/>
          <w:szCs w:val="24"/>
        </w:rPr>
        <w:t>quarter</w:t>
      </w:r>
      <w:r w:rsidR="00E94A02">
        <w:rPr>
          <w:rFonts w:ascii="Times New Roman" w:eastAsia="標楷體" w:hint="eastAsia"/>
          <w:spacing w:val="0"/>
          <w:sz w:val="24"/>
          <w:szCs w:val="24"/>
        </w:rPr>
        <w:t xml:space="preserve"> in 2019, albeit not as fast as 2018 </w:t>
      </w:r>
      <w:r w:rsidR="005E58C2">
        <w:rPr>
          <w:rFonts w:ascii="Times New Roman" w:eastAsia="標楷體" w:hint="eastAsia"/>
          <w:spacing w:val="0"/>
          <w:sz w:val="24"/>
          <w:szCs w:val="24"/>
        </w:rPr>
        <w:t>on a yearly basis</w:t>
      </w:r>
      <w:r w:rsidR="00E94A02">
        <w:rPr>
          <w:rFonts w:ascii="Times New Roman" w:eastAsia="標楷體" w:hint="eastAsia"/>
          <w:spacing w:val="0"/>
          <w:sz w:val="24"/>
          <w:szCs w:val="24"/>
        </w:rPr>
        <w:t>. Forecasts by major institutions for this year</w:t>
      </w:r>
      <w:r w:rsidR="00E94A02">
        <w:rPr>
          <w:rFonts w:ascii="Times New Roman" w:eastAsia="標楷體"/>
          <w:spacing w:val="0"/>
          <w:sz w:val="24"/>
          <w:szCs w:val="24"/>
        </w:rPr>
        <w:t>’</w:t>
      </w:r>
      <w:r w:rsidR="00E94A02">
        <w:rPr>
          <w:rFonts w:ascii="Times New Roman" w:eastAsia="標楷體" w:hint="eastAsia"/>
          <w:spacing w:val="0"/>
          <w:sz w:val="24"/>
          <w:szCs w:val="24"/>
        </w:rPr>
        <w:t xml:space="preserve">s </w:t>
      </w:r>
      <w:r w:rsidR="00E94A02">
        <w:rPr>
          <w:rFonts w:ascii="Times New Roman" w:eastAsia="標楷體"/>
          <w:spacing w:val="0"/>
          <w:sz w:val="24"/>
          <w:szCs w:val="24"/>
        </w:rPr>
        <w:t>economic</w:t>
      </w:r>
      <w:r w:rsidR="00E94A02">
        <w:rPr>
          <w:rFonts w:ascii="Times New Roman" w:eastAsia="標楷體" w:hint="eastAsia"/>
          <w:spacing w:val="0"/>
          <w:sz w:val="24"/>
          <w:szCs w:val="24"/>
        </w:rPr>
        <w:t xml:space="preserve"> growth were also lower than last year, ranging between 2.00% and 2.27%. </w:t>
      </w:r>
    </w:p>
    <w:p w:rsidR="00750B45" w:rsidRPr="007F6F77" w:rsidRDefault="00D46F1E" w:rsidP="00FA173A">
      <w:pPr>
        <w:adjustRightInd/>
        <w:spacing w:before="120" w:line="440" w:lineRule="exact"/>
        <w:textAlignment w:val="auto"/>
        <w:rPr>
          <w:rFonts w:eastAsia="標楷體"/>
          <w:spacing w:val="-2"/>
          <w:sz w:val="28"/>
          <w:szCs w:val="24"/>
        </w:rPr>
      </w:pPr>
      <w:r w:rsidRPr="007F6F77">
        <w:rPr>
          <w:rFonts w:eastAsia="標楷體" w:hint="eastAsia"/>
          <w:spacing w:val="-2"/>
          <w:sz w:val="24"/>
          <w:szCs w:val="28"/>
        </w:rPr>
        <w:t>(2) Financial conditions</w:t>
      </w:r>
      <w:r w:rsidR="00590406" w:rsidRPr="007F6F77">
        <w:rPr>
          <w:rFonts w:eastAsia="標楷體"/>
          <w:spacing w:val="-2"/>
          <w:sz w:val="28"/>
          <w:szCs w:val="24"/>
        </w:rPr>
        <w:t xml:space="preserve"> </w:t>
      </w:r>
    </w:p>
    <w:p w:rsidR="006052F1" w:rsidRPr="007F6F77" w:rsidRDefault="00591A4B" w:rsidP="006052F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E</w:t>
      </w:r>
      <w:r>
        <w:rPr>
          <w:rFonts w:ascii="Times New Roman" w:eastAsia="標楷體"/>
          <w:spacing w:val="0"/>
          <w:sz w:val="24"/>
          <w:szCs w:val="24"/>
        </w:rPr>
        <w:t>a</w:t>
      </w:r>
      <w:r>
        <w:rPr>
          <w:rFonts w:ascii="Times New Roman" w:eastAsia="標楷體" w:hint="eastAsia"/>
          <w:spacing w:val="0"/>
          <w:sz w:val="24"/>
          <w:szCs w:val="24"/>
        </w:rPr>
        <w:t xml:space="preserve">rlier in the year, as demand for funds built up ahead of the Lunar New Year holidays, </w:t>
      </w:r>
      <w:r>
        <w:rPr>
          <w:rFonts w:ascii="Times New Roman" w:eastAsia="標楷體" w:hint="eastAsia"/>
          <w:spacing w:val="0"/>
          <w:sz w:val="24"/>
          <w:szCs w:val="24"/>
        </w:rPr>
        <w:lastRenderedPageBreak/>
        <w:t>the Bank managed market liquidity</w:t>
      </w:r>
      <w:r w:rsidR="00643695">
        <w:rPr>
          <w:rFonts w:ascii="Times New Roman" w:eastAsia="標楷體" w:hint="eastAsia"/>
          <w:spacing w:val="0"/>
          <w:sz w:val="24"/>
          <w:szCs w:val="24"/>
        </w:rPr>
        <w:t xml:space="preserve"> </w:t>
      </w:r>
      <w:r>
        <w:rPr>
          <w:rFonts w:ascii="Times New Roman" w:eastAsia="標楷體" w:hint="eastAsia"/>
          <w:spacing w:val="0"/>
          <w:sz w:val="24"/>
          <w:szCs w:val="24"/>
        </w:rPr>
        <w:t xml:space="preserve">in response through open market operations. </w:t>
      </w:r>
      <w:r w:rsidR="00643695">
        <w:rPr>
          <w:rFonts w:ascii="Times New Roman" w:eastAsia="標楷體" w:hint="eastAsia"/>
          <w:spacing w:val="0"/>
          <w:sz w:val="24"/>
          <w:szCs w:val="24"/>
        </w:rPr>
        <w:t>E</w:t>
      </w:r>
      <w:r>
        <w:rPr>
          <w:rFonts w:ascii="Times New Roman" w:eastAsia="標楷體" w:hint="eastAsia"/>
          <w:spacing w:val="0"/>
          <w:sz w:val="24"/>
          <w:szCs w:val="24"/>
        </w:rPr>
        <w:t xml:space="preserve">xcess reserves </w:t>
      </w:r>
      <w:r w:rsidR="00643695">
        <w:rPr>
          <w:rFonts w:ascii="Times New Roman" w:eastAsia="標楷體" w:hint="eastAsia"/>
          <w:spacing w:val="0"/>
          <w:sz w:val="24"/>
          <w:szCs w:val="24"/>
        </w:rPr>
        <w:t xml:space="preserve">in the banking sector </w:t>
      </w:r>
      <w:r>
        <w:rPr>
          <w:rFonts w:ascii="Times New Roman" w:eastAsia="標楷體" w:hint="eastAsia"/>
          <w:spacing w:val="0"/>
          <w:sz w:val="24"/>
          <w:szCs w:val="24"/>
        </w:rPr>
        <w:t xml:space="preserve">were kept at a higher level, increasing from </w:t>
      </w:r>
      <w:r w:rsidR="00643695" w:rsidRPr="00643695">
        <w:rPr>
          <w:rFonts w:ascii="Times New Roman" w:eastAsia="標楷體"/>
          <w:spacing w:val="0"/>
          <w:sz w:val="24"/>
          <w:szCs w:val="24"/>
        </w:rPr>
        <w:t xml:space="preserve">over NT$40 </w:t>
      </w:r>
      <w:r w:rsidR="00643695">
        <w:rPr>
          <w:rFonts w:ascii="Times New Roman" w:eastAsia="標楷體"/>
          <w:spacing w:val="0"/>
          <w:sz w:val="24"/>
          <w:szCs w:val="24"/>
        </w:rPr>
        <w:t>billion of the previous quarter</w:t>
      </w:r>
      <w:r w:rsidR="00643695">
        <w:rPr>
          <w:rFonts w:ascii="Times New Roman" w:eastAsia="標楷體" w:hint="eastAsia"/>
          <w:spacing w:val="0"/>
          <w:sz w:val="24"/>
          <w:szCs w:val="24"/>
        </w:rPr>
        <w:t xml:space="preserve"> </w:t>
      </w:r>
      <w:r w:rsidR="00643695" w:rsidRPr="00643695">
        <w:rPr>
          <w:rFonts w:ascii="Times New Roman" w:eastAsia="標楷體"/>
          <w:spacing w:val="0"/>
          <w:sz w:val="24"/>
          <w:szCs w:val="24"/>
        </w:rPr>
        <w:t xml:space="preserve">to a level higher than NT$50 billion on average for </w:t>
      </w:r>
      <w:r w:rsidR="00643695">
        <w:rPr>
          <w:rFonts w:ascii="Times New Roman" w:eastAsia="標楷體" w:hint="eastAsia"/>
          <w:spacing w:val="0"/>
          <w:sz w:val="24"/>
          <w:szCs w:val="24"/>
        </w:rPr>
        <w:t>the Jan.-Feb. period.</w:t>
      </w:r>
      <w:r w:rsidR="00E53211">
        <w:rPr>
          <w:rFonts w:ascii="Times New Roman" w:eastAsia="標楷體" w:hint="eastAsia"/>
          <w:spacing w:val="0"/>
          <w:sz w:val="24"/>
          <w:szCs w:val="24"/>
        </w:rPr>
        <w:t xml:space="preserve"> </w:t>
      </w:r>
      <w:r w:rsidR="00643695">
        <w:rPr>
          <w:rFonts w:ascii="Times New Roman" w:eastAsia="標楷體" w:hint="eastAsia"/>
          <w:spacing w:val="0"/>
          <w:sz w:val="24"/>
          <w:szCs w:val="24"/>
        </w:rPr>
        <w:t xml:space="preserve">As for short-term market rates, notwithstanding </w:t>
      </w:r>
      <w:r w:rsidR="005E58C2">
        <w:rPr>
          <w:rFonts w:ascii="Times New Roman" w:eastAsia="標楷體" w:hint="eastAsia"/>
          <w:spacing w:val="0"/>
          <w:sz w:val="24"/>
          <w:szCs w:val="24"/>
        </w:rPr>
        <w:t xml:space="preserve">a </w:t>
      </w:r>
      <w:r w:rsidR="00643695">
        <w:rPr>
          <w:rFonts w:ascii="Times New Roman" w:eastAsia="標楷體" w:hint="eastAsia"/>
          <w:spacing w:val="0"/>
          <w:sz w:val="24"/>
          <w:szCs w:val="24"/>
        </w:rPr>
        <w:t xml:space="preserve">higher demand for funds before the Lunar New Year holidays, market liquidity was still ample thanks to net foreign capital inflows. </w:t>
      </w:r>
      <w:r w:rsidR="0055444D">
        <w:rPr>
          <w:rFonts w:ascii="Times New Roman" w:eastAsia="標楷體" w:hint="eastAsia"/>
          <w:spacing w:val="0"/>
          <w:sz w:val="24"/>
          <w:szCs w:val="24"/>
        </w:rPr>
        <w:t xml:space="preserve">As of late, </w:t>
      </w:r>
      <w:r w:rsidR="00405237">
        <w:rPr>
          <w:rFonts w:ascii="Times New Roman" w:eastAsia="標楷體" w:hint="eastAsia"/>
          <w:spacing w:val="0"/>
          <w:sz w:val="24"/>
          <w:szCs w:val="24"/>
        </w:rPr>
        <w:t xml:space="preserve">with </w:t>
      </w:r>
      <w:r w:rsidR="0055444D">
        <w:rPr>
          <w:rFonts w:ascii="Times New Roman" w:eastAsia="標楷體" w:hint="eastAsia"/>
          <w:spacing w:val="0"/>
          <w:sz w:val="24"/>
          <w:szCs w:val="24"/>
        </w:rPr>
        <w:t xml:space="preserve">currency </w:t>
      </w:r>
      <w:r w:rsidR="00405237">
        <w:rPr>
          <w:rFonts w:ascii="Times New Roman" w:eastAsia="標楷體" w:hint="eastAsia"/>
          <w:spacing w:val="0"/>
          <w:sz w:val="24"/>
          <w:szCs w:val="24"/>
        </w:rPr>
        <w:t xml:space="preserve">in circulation flowing back to the banking system, short-term market rates dropped slightly. </w:t>
      </w:r>
      <w:r w:rsidR="006052F1" w:rsidRPr="007F6F77">
        <w:rPr>
          <w:rFonts w:ascii="Times New Roman" w:eastAsia="標楷體" w:hint="eastAsia"/>
          <w:spacing w:val="0"/>
          <w:sz w:val="24"/>
          <w:szCs w:val="24"/>
        </w:rPr>
        <w:t>Compared to several key economies, Taiwan</w:t>
      </w:r>
      <w:r w:rsidR="006052F1" w:rsidRPr="007F6F77">
        <w:rPr>
          <w:rFonts w:ascii="Times New Roman" w:eastAsia="標楷體"/>
          <w:spacing w:val="0"/>
          <w:sz w:val="24"/>
          <w:szCs w:val="24"/>
        </w:rPr>
        <w:t>’</w:t>
      </w:r>
      <w:r w:rsidR="006052F1" w:rsidRPr="007F6F77">
        <w:rPr>
          <w:rFonts w:ascii="Times New Roman" w:eastAsia="標楷體" w:hint="eastAsia"/>
          <w:spacing w:val="0"/>
          <w:sz w:val="24"/>
          <w:szCs w:val="24"/>
        </w:rPr>
        <w:t>s real interest rate (adjusted for inflation)</w:t>
      </w:r>
      <w:r w:rsidR="00A62015">
        <w:rPr>
          <w:rFonts w:ascii="Times New Roman" w:eastAsia="標楷體" w:hint="eastAsia"/>
          <w:spacing w:val="0"/>
          <w:sz w:val="24"/>
          <w:szCs w:val="24"/>
        </w:rPr>
        <w:t xml:space="preserve"> stood</w:t>
      </w:r>
      <w:r w:rsidR="00336E96" w:rsidRPr="007F6F77">
        <w:rPr>
          <w:rFonts w:ascii="Times New Roman" w:eastAsia="標楷體" w:hint="eastAsia"/>
          <w:spacing w:val="0"/>
          <w:sz w:val="24"/>
          <w:szCs w:val="24"/>
        </w:rPr>
        <w:t xml:space="preserve"> around the middle </w:t>
      </w:r>
      <w:r w:rsidR="00F30742" w:rsidRPr="007F6F77">
        <w:rPr>
          <w:rFonts w:ascii="Times New Roman" w:eastAsia="標楷體" w:hint="eastAsia"/>
          <w:spacing w:val="0"/>
          <w:sz w:val="24"/>
          <w:szCs w:val="24"/>
        </w:rPr>
        <w:t xml:space="preserve">of the </w:t>
      </w:r>
      <w:r w:rsidR="00336E96" w:rsidRPr="007F6F77">
        <w:rPr>
          <w:rFonts w:ascii="Times New Roman" w:eastAsia="標楷體" w:hint="eastAsia"/>
          <w:spacing w:val="0"/>
          <w:sz w:val="24"/>
          <w:szCs w:val="24"/>
        </w:rPr>
        <w:t xml:space="preserve">range. </w:t>
      </w:r>
    </w:p>
    <w:p w:rsidR="00336E96" w:rsidRPr="007F6F77" w:rsidRDefault="00882498" w:rsidP="0088249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Looking at </w:t>
      </w:r>
      <w:r w:rsidR="005E58C2">
        <w:rPr>
          <w:rFonts w:ascii="Times New Roman" w:eastAsia="標楷體" w:hint="eastAsia"/>
          <w:spacing w:val="0"/>
          <w:sz w:val="24"/>
          <w:szCs w:val="24"/>
        </w:rPr>
        <w:t xml:space="preserve">the </w:t>
      </w:r>
      <w:r>
        <w:rPr>
          <w:rFonts w:ascii="Times New Roman" w:eastAsia="標楷體" w:hint="eastAsia"/>
          <w:spacing w:val="0"/>
          <w:sz w:val="24"/>
          <w:szCs w:val="24"/>
        </w:rPr>
        <w:t xml:space="preserve">money supply, for the first two months of the year, </w:t>
      </w:r>
      <w:r w:rsidR="00336E96" w:rsidRPr="007F6F77">
        <w:rPr>
          <w:rFonts w:ascii="Times New Roman" w:eastAsia="標楷體" w:hint="eastAsia"/>
          <w:spacing w:val="0"/>
          <w:sz w:val="24"/>
          <w:szCs w:val="24"/>
        </w:rPr>
        <w:t>M2 growth averaged at 3.</w:t>
      </w:r>
      <w:r>
        <w:rPr>
          <w:rFonts w:ascii="Times New Roman" w:eastAsia="標楷體" w:hint="eastAsia"/>
          <w:spacing w:val="0"/>
          <w:sz w:val="24"/>
          <w:szCs w:val="24"/>
        </w:rPr>
        <w:t>03</w:t>
      </w:r>
      <w:r w:rsidR="00336E96" w:rsidRPr="007F6F77">
        <w:rPr>
          <w:rFonts w:ascii="Times New Roman" w:eastAsia="標楷體" w:hint="eastAsia"/>
          <w:spacing w:val="0"/>
          <w:sz w:val="24"/>
          <w:szCs w:val="24"/>
        </w:rPr>
        <w:t>%</w:t>
      </w:r>
      <w:r w:rsidR="00F5322F" w:rsidRPr="007F6F77">
        <w:rPr>
          <w:rFonts w:ascii="Times New Roman" w:eastAsia="標楷體" w:hint="eastAsia"/>
          <w:spacing w:val="0"/>
          <w:sz w:val="24"/>
          <w:szCs w:val="24"/>
        </w:rPr>
        <w:t xml:space="preserve">, within the </w:t>
      </w:r>
      <w:r>
        <w:rPr>
          <w:rFonts w:ascii="Times New Roman" w:eastAsia="標楷體" w:hint="eastAsia"/>
          <w:spacing w:val="0"/>
          <w:sz w:val="24"/>
          <w:szCs w:val="24"/>
        </w:rPr>
        <w:t>Bank</w:t>
      </w:r>
      <w:r>
        <w:rPr>
          <w:rFonts w:ascii="Times New Roman" w:eastAsia="標楷體"/>
          <w:spacing w:val="0"/>
          <w:sz w:val="24"/>
          <w:szCs w:val="24"/>
        </w:rPr>
        <w:t>’</w:t>
      </w:r>
      <w:r>
        <w:rPr>
          <w:rFonts w:ascii="Times New Roman" w:eastAsia="標楷體" w:hint="eastAsia"/>
          <w:spacing w:val="0"/>
          <w:sz w:val="24"/>
          <w:szCs w:val="24"/>
        </w:rPr>
        <w:t xml:space="preserve">s </w:t>
      </w:r>
      <w:r w:rsidR="00F5322F" w:rsidRPr="007F6F77">
        <w:rPr>
          <w:rFonts w:ascii="Times New Roman" w:eastAsia="標楷體" w:hint="eastAsia"/>
          <w:spacing w:val="0"/>
          <w:sz w:val="24"/>
          <w:szCs w:val="24"/>
        </w:rPr>
        <w:t>target range.</w:t>
      </w:r>
      <w:r>
        <w:rPr>
          <w:rFonts w:ascii="Times New Roman" w:eastAsia="標楷體" w:hint="eastAsia"/>
          <w:spacing w:val="0"/>
          <w:sz w:val="24"/>
          <w:szCs w:val="24"/>
        </w:rPr>
        <w:t xml:space="preserve"> The annual growth rate of bank loans and investments averaged 5.70% for the same period as bank lending to private enterprises continued increasing. These data </w:t>
      </w:r>
      <w:r w:rsidR="00F5322F" w:rsidRPr="007F6F77">
        <w:rPr>
          <w:rFonts w:ascii="Times New Roman" w:eastAsia="標楷體" w:hint="eastAsia"/>
          <w:spacing w:val="0"/>
          <w:sz w:val="24"/>
          <w:szCs w:val="24"/>
        </w:rPr>
        <w:t xml:space="preserve">suggested </w:t>
      </w:r>
      <w:r>
        <w:rPr>
          <w:rFonts w:ascii="Times New Roman" w:eastAsia="標楷體" w:hint="eastAsia"/>
          <w:spacing w:val="0"/>
          <w:sz w:val="24"/>
          <w:szCs w:val="24"/>
        </w:rPr>
        <w:t>that market liquidity was sufficient to</w:t>
      </w:r>
      <w:r w:rsidR="00F5322F" w:rsidRPr="007F6F77">
        <w:rPr>
          <w:rFonts w:ascii="Times New Roman" w:eastAsia="標楷體" w:hint="eastAsia"/>
          <w:spacing w:val="0"/>
          <w:sz w:val="24"/>
          <w:szCs w:val="24"/>
        </w:rPr>
        <w:t xml:space="preserve"> support real </w:t>
      </w:r>
      <w:r w:rsidR="00F5322F" w:rsidRPr="007F6F77">
        <w:rPr>
          <w:rFonts w:ascii="Times New Roman" w:eastAsia="標楷體"/>
          <w:spacing w:val="0"/>
          <w:sz w:val="24"/>
          <w:szCs w:val="24"/>
        </w:rPr>
        <w:t>economic</w:t>
      </w:r>
      <w:r w:rsidR="00F5322F" w:rsidRPr="007F6F77">
        <w:rPr>
          <w:rFonts w:ascii="Times New Roman" w:eastAsia="標楷體" w:hint="eastAsia"/>
          <w:spacing w:val="0"/>
          <w:sz w:val="24"/>
          <w:szCs w:val="24"/>
        </w:rPr>
        <w:t xml:space="preserve"> activity and </w:t>
      </w:r>
      <w:r>
        <w:rPr>
          <w:rFonts w:ascii="Times New Roman" w:eastAsia="標楷體" w:hint="eastAsia"/>
          <w:spacing w:val="0"/>
          <w:sz w:val="24"/>
          <w:szCs w:val="24"/>
        </w:rPr>
        <w:t xml:space="preserve">that </w:t>
      </w:r>
      <w:r w:rsidR="00F5322F" w:rsidRPr="007F6F77">
        <w:rPr>
          <w:rFonts w:ascii="Times New Roman" w:eastAsia="標楷體" w:hint="eastAsia"/>
          <w:spacing w:val="0"/>
          <w:sz w:val="24"/>
          <w:szCs w:val="24"/>
        </w:rPr>
        <w:t>inflation</w:t>
      </w:r>
      <w:r w:rsidR="00831827" w:rsidRPr="007F6F77">
        <w:rPr>
          <w:rFonts w:ascii="Times New Roman" w:eastAsia="標楷體" w:hint="eastAsia"/>
          <w:spacing w:val="0"/>
          <w:sz w:val="24"/>
          <w:szCs w:val="24"/>
        </w:rPr>
        <w:t>ary</w:t>
      </w:r>
      <w:r w:rsidR="00F5322F" w:rsidRPr="007F6F77">
        <w:rPr>
          <w:rFonts w:ascii="Times New Roman" w:eastAsia="標楷體" w:hint="eastAsia"/>
          <w:spacing w:val="0"/>
          <w:sz w:val="24"/>
          <w:szCs w:val="24"/>
        </w:rPr>
        <w:t xml:space="preserve"> pressures were muted. </w:t>
      </w:r>
    </w:p>
    <w:p w:rsidR="00360050" w:rsidRDefault="00660650" w:rsidP="00FA173A">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For the year as a whole, it is expected that bank loans and investments will post mild growth. In spite of projections for slower domestic economic growth and multiple uncertainties over the economic outlook</w:t>
      </w:r>
      <w:r w:rsidR="00D92AF3">
        <w:rPr>
          <w:rFonts w:ascii="Times New Roman" w:eastAsia="標楷體" w:hint="eastAsia"/>
          <w:spacing w:val="0"/>
          <w:sz w:val="24"/>
          <w:szCs w:val="24"/>
        </w:rPr>
        <w:t>, government actions, including</w:t>
      </w:r>
      <w:r w:rsidR="00BE0C13" w:rsidRPr="00BE0C13">
        <w:t xml:space="preserve"> </w:t>
      </w:r>
      <w:r w:rsidR="00BE0C13" w:rsidRPr="00BE0C13">
        <w:rPr>
          <w:rFonts w:ascii="Times New Roman" w:eastAsia="標楷體"/>
          <w:spacing w:val="0"/>
          <w:sz w:val="24"/>
          <w:szCs w:val="24"/>
        </w:rPr>
        <w:t>those under the Forward-looking Infrastructure Development Program and measures to encourage returning investment by overseas Taiwanese firms</w:t>
      </w:r>
      <w:r w:rsidR="00D92AF3">
        <w:rPr>
          <w:rFonts w:ascii="Times New Roman" w:eastAsia="標楷體" w:hint="eastAsia"/>
          <w:spacing w:val="0"/>
          <w:sz w:val="24"/>
          <w:szCs w:val="24"/>
        </w:rPr>
        <w:t xml:space="preserve">, are likely to fuel growth in bank credit. </w:t>
      </w:r>
    </w:p>
    <w:p w:rsidR="00750B45" w:rsidRPr="007F6F77" w:rsidRDefault="001320BE" w:rsidP="00FA173A">
      <w:pPr>
        <w:adjustRightInd/>
        <w:spacing w:before="120" w:line="440" w:lineRule="exact"/>
        <w:textAlignment w:val="auto"/>
        <w:rPr>
          <w:rFonts w:eastAsia="標楷體"/>
          <w:spacing w:val="-2"/>
          <w:sz w:val="24"/>
          <w:szCs w:val="28"/>
        </w:rPr>
      </w:pPr>
      <w:r w:rsidRPr="007F6F77">
        <w:rPr>
          <w:rFonts w:eastAsia="標楷體" w:hint="eastAsia"/>
          <w:spacing w:val="-2"/>
          <w:sz w:val="24"/>
          <w:szCs w:val="28"/>
        </w:rPr>
        <w:t>(3) Price t</w:t>
      </w:r>
      <w:r w:rsidR="00D46F1E" w:rsidRPr="007F6F77">
        <w:rPr>
          <w:rFonts w:eastAsia="標楷體" w:hint="eastAsia"/>
          <w:spacing w:val="-2"/>
          <w:sz w:val="24"/>
          <w:szCs w:val="28"/>
        </w:rPr>
        <w:t xml:space="preserve">rends </w:t>
      </w:r>
    </w:p>
    <w:p w:rsidR="00F50D73" w:rsidRDefault="00A77F86" w:rsidP="005E58C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Since the start of the year, i</w:t>
      </w:r>
      <w:r w:rsidR="00463ADE">
        <w:rPr>
          <w:rFonts w:ascii="Times New Roman" w:eastAsia="標楷體" w:hint="eastAsia"/>
          <w:spacing w:val="0"/>
          <w:sz w:val="24"/>
          <w:szCs w:val="24"/>
        </w:rPr>
        <w:t xml:space="preserve">nternational oil prices </w:t>
      </w:r>
      <w:r>
        <w:rPr>
          <w:rFonts w:ascii="Times New Roman" w:eastAsia="標楷體" w:hint="eastAsia"/>
          <w:spacing w:val="0"/>
          <w:sz w:val="24"/>
          <w:szCs w:val="24"/>
        </w:rPr>
        <w:t xml:space="preserve">recovered ground from previous lows. However, </w:t>
      </w:r>
      <w:r w:rsidR="00114EB6">
        <w:rPr>
          <w:rFonts w:ascii="Times New Roman" w:eastAsia="標楷體" w:hint="eastAsia"/>
          <w:spacing w:val="0"/>
          <w:sz w:val="24"/>
          <w:szCs w:val="24"/>
        </w:rPr>
        <w:t xml:space="preserve">in addition to a slowing global economy, </w:t>
      </w:r>
      <w:r>
        <w:rPr>
          <w:rFonts w:ascii="Times New Roman" w:eastAsia="標楷體" w:hint="eastAsia"/>
          <w:spacing w:val="0"/>
          <w:sz w:val="24"/>
          <w:szCs w:val="24"/>
        </w:rPr>
        <w:t xml:space="preserve">the continuous rise in US oil production would probably balance out the effect of production cuts by </w:t>
      </w:r>
      <w:r w:rsidR="00A82B61">
        <w:rPr>
          <w:rFonts w:ascii="Times New Roman" w:eastAsia="標楷體" w:hint="eastAsia"/>
          <w:spacing w:val="0"/>
          <w:sz w:val="24"/>
          <w:szCs w:val="24"/>
        </w:rPr>
        <w:t xml:space="preserve">the </w:t>
      </w:r>
      <w:r w:rsidR="00557EA0" w:rsidRPr="007F6F77">
        <w:rPr>
          <w:rFonts w:ascii="Times New Roman" w:eastAsia="標楷體"/>
          <w:spacing w:val="0"/>
          <w:sz w:val="24"/>
          <w:szCs w:val="24"/>
        </w:rPr>
        <w:t>Organization of the Petroleum Exporting Countries</w:t>
      </w:r>
      <w:r w:rsidR="00114EB6">
        <w:rPr>
          <w:rFonts w:ascii="Times New Roman" w:eastAsia="標楷體" w:hint="eastAsia"/>
          <w:spacing w:val="0"/>
          <w:sz w:val="24"/>
          <w:szCs w:val="24"/>
        </w:rPr>
        <w:t xml:space="preserve">. Therefore, it was </w:t>
      </w:r>
      <w:r w:rsidR="00114EB6">
        <w:rPr>
          <w:rFonts w:ascii="Times New Roman" w:eastAsia="標楷體"/>
          <w:spacing w:val="0"/>
          <w:sz w:val="24"/>
          <w:szCs w:val="24"/>
        </w:rPr>
        <w:t>expected</w:t>
      </w:r>
      <w:r w:rsidR="00114EB6">
        <w:rPr>
          <w:rFonts w:ascii="Times New Roman" w:eastAsia="標楷體" w:hint="eastAsia"/>
          <w:spacing w:val="0"/>
          <w:sz w:val="24"/>
          <w:szCs w:val="24"/>
        </w:rPr>
        <w:t xml:space="preserve"> that </w:t>
      </w:r>
      <w:r w:rsidR="00114EB6">
        <w:rPr>
          <w:rFonts w:ascii="Times New Roman" w:eastAsia="標楷體"/>
          <w:spacing w:val="0"/>
          <w:sz w:val="24"/>
          <w:szCs w:val="24"/>
        </w:rPr>
        <w:t>international</w:t>
      </w:r>
      <w:r w:rsidR="00114EB6">
        <w:rPr>
          <w:rFonts w:ascii="Times New Roman" w:eastAsia="標楷體" w:hint="eastAsia"/>
          <w:spacing w:val="0"/>
          <w:sz w:val="24"/>
          <w:szCs w:val="24"/>
        </w:rPr>
        <w:t xml:space="preserve"> oil prices would register an average level lower than the previous year. As for </w:t>
      </w:r>
      <w:r w:rsidR="005E58C2">
        <w:rPr>
          <w:rFonts w:ascii="Times New Roman" w:eastAsia="標楷體" w:hint="eastAsia"/>
          <w:spacing w:val="0"/>
          <w:sz w:val="24"/>
          <w:szCs w:val="24"/>
        </w:rPr>
        <w:t xml:space="preserve">global grain prices, there has been a downward swing </w:t>
      </w:r>
      <w:r w:rsidR="00114EB6">
        <w:rPr>
          <w:rFonts w:ascii="Times New Roman" w:eastAsia="標楷體" w:hint="eastAsia"/>
          <w:spacing w:val="0"/>
          <w:sz w:val="24"/>
          <w:szCs w:val="24"/>
        </w:rPr>
        <w:t xml:space="preserve">since </w:t>
      </w:r>
      <w:r w:rsidR="00114EB6">
        <w:rPr>
          <w:rFonts w:ascii="Times New Roman" w:eastAsia="標楷體"/>
          <w:spacing w:val="0"/>
          <w:sz w:val="24"/>
          <w:szCs w:val="24"/>
        </w:rPr>
        <w:t>February</w:t>
      </w:r>
      <w:r w:rsidR="00114EB6">
        <w:rPr>
          <w:rFonts w:ascii="Times New Roman" w:eastAsia="標楷體" w:hint="eastAsia"/>
          <w:spacing w:val="0"/>
          <w:sz w:val="24"/>
          <w:szCs w:val="24"/>
        </w:rPr>
        <w:t xml:space="preserve">. </w:t>
      </w:r>
    </w:p>
    <w:p w:rsidR="007E6464" w:rsidRDefault="002026F4" w:rsidP="008342F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Against this backdrop of easing price trends for international commodities, domestic inflation was moderate. With vegetable prices falling on the back of stable weather conditions, communications rates </w:t>
      </w:r>
      <w:r w:rsidR="007E6464">
        <w:rPr>
          <w:rFonts w:ascii="Times New Roman" w:eastAsia="標楷體" w:hint="eastAsia"/>
          <w:spacing w:val="0"/>
          <w:sz w:val="24"/>
          <w:szCs w:val="24"/>
        </w:rPr>
        <w:t xml:space="preserve">decreasing, and consumer electronics products offered at promotional prices, the </w:t>
      </w:r>
      <w:r w:rsidR="007E6464" w:rsidRPr="007F6F77">
        <w:rPr>
          <w:rFonts w:ascii="Times New Roman" w:eastAsia="標楷體" w:hint="eastAsia"/>
          <w:spacing w:val="0"/>
          <w:sz w:val="24"/>
          <w:szCs w:val="24"/>
        </w:rPr>
        <w:t>annual growth rate</w:t>
      </w:r>
      <w:r w:rsidR="007E6464">
        <w:rPr>
          <w:rFonts w:ascii="Times New Roman" w:eastAsia="標楷體" w:hint="eastAsia"/>
          <w:spacing w:val="0"/>
          <w:sz w:val="24"/>
          <w:szCs w:val="24"/>
        </w:rPr>
        <w:t>s</w:t>
      </w:r>
      <w:r w:rsidR="007E6464" w:rsidRPr="007F6F77">
        <w:rPr>
          <w:rFonts w:ascii="Times New Roman" w:eastAsia="標楷體" w:hint="eastAsia"/>
          <w:spacing w:val="0"/>
          <w:sz w:val="24"/>
          <w:szCs w:val="24"/>
        </w:rPr>
        <w:t xml:space="preserve"> </w:t>
      </w:r>
      <w:r w:rsidR="007E6464">
        <w:rPr>
          <w:rFonts w:ascii="Times New Roman" w:eastAsia="標楷體" w:hint="eastAsia"/>
          <w:spacing w:val="0"/>
          <w:sz w:val="24"/>
          <w:szCs w:val="24"/>
        </w:rPr>
        <w:t xml:space="preserve">of CPI and core CPI stayed low for the first two months of the year. </w:t>
      </w:r>
      <w:r w:rsidR="006532E9">
        <w:rPr>
          <w:rFonts w:ascii="Times New Roman" w:eastAsia="標楷體" w:hint="eastAsia"/>
          <w:spacing w:val="0"/>
          <w:sz w:val="24"/>
          <w:szCs w:val="24"/>
        </w:rPr>
        <w:t>In terms of t</w:t>
      </w:r>
      <w:r w:rsidR="007E6464" w:rsidRPr="007F6F77">
        <w:rPr>
          <w:rFonts w:ascii="Times New Roman" w:eastAsia="標楷體" w:hint="eastAsia"/>
          <w:spacing w:val="0"/>
          <w:sz w:val="24"/>
          <w:szCs w:val="24"/>
        </w:rPr>
        <w:t xml:space="preserve">he output gap, a key factor </w:t>
      </w:r>
      <w:r w:rsidR="00A651FE">
        <w:rPr>
          <w:rFonts w:ascii="Times New Roman" w:eastAsia="標楷體" w:hint="eastAsia"/>
          <w:spacing w:val="0"/>
          <w:sz w:val="24"/>
          <w:szCs w:val="24"/>
        </w:rPr>
        <w:t xml:space="preserve">in </w:t>
      </w:r>
      <w:r w:rsidR="00A651FE">
        <w:rPr>
          <w:rFonts w:ascii="Times New Roman" w:eastAsia="標楷體"/>
          <w:spacing w:val="0"/>
          <w:sz w:val="24"/>
          <w:szCs w:val="24"/>
        </w:rPr>
        <w:t>gauging</w:t>
      </w:r>
      <w:r w:rsidR="00A651FE">
        <w:rPr>
          <w:rFonts w:ascii="Times New Roman" w:eastAsia="標楷體" w:hint="eastAsia"/>
          <w:spacing w:val="0"/>
          <w:sz w:val="24"/>
          <w:szCs w:val="24"/>
        </w:rPr>
        <w:t xml:space="preserve"> </w:t>
      </w:r>
      <w:r w:rsidR="007E6464" w:rsidRPr="007F6F77">
        <w:rPr>
          <w:rFonts w:ascii="Times New Roman" w:eastAsia="標楷體" w:hint="eastAsia"/>
          <w:spacing w:val="0"/>
          <w:sz w:val="24"/>
          <w:szCs w:val="24"/>
        </w:rPr>
        <w:t xml:space="preserve">inflationary pressures, </w:t>
      </w:r>
      <w:r w:rsidR="006532E9">
        <w:rPr>
          <w:rFonts w:ascii="Times New Roman" w:eastAsia="標楷體" w:hint="eastAsia"/>
          <w:spacing w:val="0"/>
          <w:sz w:val="24"/>
          <w:szCs w:val="24"/>
        </w:rPr>
        <w:t>the negative gap</w:t>
      </w:r>
      <w:r w:rsidR="006532E9" w:rsidRPr="006532E9">
        <w:rPr>
          <w:rFonts w:ascii="Times New Roman" w:eastAsia="標楷體" w:hint="eastAsia"/>
          <w:color w:val="FF0000"/>
          <w:spacing w:val="0"/>
          <w:sz w:val="24"/>
          <w:szCs w:val="24"/>
        </w:rPr>
        <w:t xml:space="preserve"> </w:t>
      </w:r>
      <w:r w:rsidR="006532E9" w:rsidRPr="008441E1">
        <w:rPr>
          <w:rFonts w:ascii="Times New Roman" w:eastAsia="標楷體" w:hint="eastAsia"/>
          <w:spacing w:val="0"/>
          <w:sz w:val="24"/>
          <w:szCs w:val="24"/>
        </w:rPr>
        <w:t xml:space="preserve">is expected to </w:t>
      </w:r>
      <w:r w:rsidR="007E6464" w:rsidRPr="008441E1">
        <w:rPr>
          <w:rFonts w:ascii="Times New Roman" w:eastAsia="標楷體" w:hint="eastAsia"/>
          <w:spacing w:val="0"/>
          <w:sz w:val="24"/>
          <w:szCs w:val="24"/>
        </w:rPr>
        <w:t xml:space="preserve">widen </w:t>
      </w:r>
      <w:r w:rsidR="006532E9" w:rsidRPr="008441E1">
        <w:rPr>
          <w:rFonts w:ascii="Times New Roman" w:eastAsia="標楷體" w:hint="eastAsia"/>
          <w:spacing w:val="0"/>
          <w:sz w:val="24"/>
          <w:szCs w:val="24"/>
        </w:rPr>
        <w:t xml:space="preserve">marginally owing to </w:t>
      </w:r>
      <w:r w:rsidR="007E6464" w:rsidRPr="008441E1">
        <w:rPr>
          <w:rFonts w:ascii="Times New Roman" w:eastAsia="標楷體" w:hint="eastAsia"/>
          <w:spacing w:val="0"/>
          <w:sz w:val="24"/>
          <w:szCs w:val="24"/>
        </w:rPr>
        <w:t xml:space="preserve">domestic </w:t>
      </w:r>
      <w:r w:rsidR="007E6464" w:rsidRPr="008441E1">
        <w:rPr>
          <w:rFonts w:ascii="Times New Roman" w:eastAsia="標楷體"/>
          <w:spacing w:val="0"/>
          <w:sz w:val="24"/>
          <w:szCs w:val="24"/>
        </w:rPr>
        <w:t>economic</w:t>
      </w:r>
      <w:r w:rsidR="007E6464" w:rsidRPr="008441E1">
        <w:rPr>
          <w:rFonts w:ascii="Times New Roman" w:eastAsia="標楷體" w:hint="eastAsia"/>
          <w:spacing w:val="0"/>
          <w:sz w:val="24"/>
          <w:szCs w:val="24"/>
        </w:rPr>
        <w:t xml:space="preserve"> moderation</w:t>
      </w:r>
      <w:r w:rsidR="006532E9" w:rsidRPr="008441E1">
        <w:rPr>
          <w:rFonts w:ascii="Times New Roman" w:eastAsia="標楷體" w:hint="eastAsia"/>
          <w:spacing w:val="0"/>
          <w:sz w:val="24"/>
          <w:szCs w:val="24"/>
        </w:rPr>
        <w:t xml:space="preserve"> </w:t>
      </w:r>
      <w:r w:rsidR="006532E9" w:rsidRPr="008441E1">
        <w:rPr>
          <w:rFonts w:ascii="Times New Roman" w:eastAsia="標楷體" w:hint="eastAsia"/>
          <w:spacing w:val="0"/>
          <w:sz w:val="24"/>
          <w:szCs w:val="24"/>
        </w:rPr>
        <w:lastRenderedPageBreak/>
        <w:t>this year.</w:t>
      </w:r>
    </w:p>
    <w:p w:rsidR="004B0C53" w:rsidRPr="007F6F77" w:rsidRDefault="00545D45" w:rsidP="009257E0">
      <w:pPr>
        <w:pStyle w:val="6"/>
        <w:overflowPunct w:val="0"/>
        <w:snapToGrid w:val="0"/>
        <w:spacing w:after="0" w:line="440" w:lineRule="exact"/>
        <w:ind w:left="0" w:firstLineChars="200" w:firstLine="480"/>
        <w:rPr>
          <w:rFonts w:ascii="Times New Roman" w:eastAsia="標楷體"/>
          <w:spacing w:val="-2"/>
          <w:sz w:val="24"/>
          <w:szCs w:val="28"/>
        </w:rPr>
      </w:pPr>
      <w:r>
        <w:rPr>
          <w:rFonts w:ascii="Times New Roman" w:eastAsia="標楷體" w:hint="eastAsia"/>
          <w:spacing w:val="0"/>
          <w:sz w:val="24"/>
          <w:szCs w:val="24"/>
        </w:rPr>
        <w:t xml:space="preserve">For this year, the Bank forecast </w:t>
      </w:r>
      <w:r w:rsidR="009257E0">
        <w:rPr>
          <w:rFonts w:ascii="Times New Roman" w:eastAsia="標楷體" w:hint="eastAsia"/>
          <w:spacing w:val="0"/>
          <w:sz w:val="24"/>
          <w:szCs w:val="24"/>
        </w:rPr>
        <w:t xml:space="preserve">the </w:t>
      </w:r>
      <w:r>
        <w:rPr>
          <w:rFonts w:ascii="Times New Roman" w:eastAsia="標楷體" w:hint="eastAsia"/>
          <w:spacing w:val="0"/>
          <w:sz w:val="24"/>
          <w:szCs w:val="24"/>
        </w:rPr>
        <w:t xml:space="preserve">CPI and core CPI </w:t>
      </w:r>
      <w:r w:rsidR="009257E0">
        <w:rPr>
          <w:rFonts w:ascii="Times New Roman" w:eastAsia="標楷體" w:hint="eastAsia"/>
          <w:spacing w:val="0"/>
          <w:sz w:val="24"/>
          <w:szCs w:val="24"/>
        </w:rPr>
        <w:t xml:space="preserve">annual growth rates </w:t>
      </w:r>
      <w:r>
        <w:rPr>
          <w:rFonts w:ascii="Times New Roman" w:eastAsia="標楷體" w:hint="eastAsia"/>
          <w:spacing w:val="0"/>
          <w:sz w:val="24"/>
          <w:szCs w:val="24"/>
        </w:rPr>
        <w:t>to</w:t>
      </w:r>
      <w:r w:rsidR="009257E0">
        <w:rPr>
          <w:rFonts w:ascii="Times New Roman" w:eastAsia="標楷體" w:hint="eastAsia"/>
          <w:spacing w:val="0"/>
          <w:sz w:val="24"/>
          <w:szCs w:val="24"/>
        </w:rPr>
        <w:t xml:space="preserve"> be</w:t>
      </w:r>
      <w:r>
        <w:rPr>
          <w:rFonts w:ascii="Times New Roman" w:eastAsia="標楷體" w:hint="eastAsia"/>
          <w:spacing w:val="0"/>
          <w:sz w:val="24"/>
          <w:szCs w:val="24"/>
        </w:rPr>
        <w:t xml:space="preserve"> 0.91% and 0.78%</w:t>
      </w:r>
      <w:r w:rsidR="00F1601E">
        <w:rPr>
          <w:rFonts w:ascii="Times New Roman" w:eastAsia="標楷體" w:hint="eastAsia"/>
          <w:spacing w:val="0"/>
          <w:sz w:val="24"/>
          <w:szCs w:val="24"/>
        </w:rPr>
        <w:t>, respectively</w:t>
      </w:r>
      <w:r>
        <w:rPr>
          <w:rFonts w:ascii="Times New Roman" w:eastAsia="標楷體" w:hint="eastAsia"/>
          <w:spacing w:val="0"/>
          <w:sz w:val="24"/>
          <w:szCs w:val="24"/>
        </w:rPr>
        <w:t xml:space="preserve">. The forecast was based on expectations of abating pressures of imported inflation owing to lower-than-2018 international oil prices, a hold on domestic electricity </w:t>
      </w:r>
      <w:r w:rsidR="009257E0">
        <w:rPr>
          <w:rFonts w:ascii="Times New Roman" w:eastAsia="標楷體" w:hint="eastAsia"/>
          <w:spacing w:val="0"/>
          <w:sz w:val="24"/>
          <w:szCs w:val="24"/>
        </w:rPr>
        <w:t xml:space="preserve">price hikes, mild </w:t>
      </w:r>
      <w:r w:rsidR="0011044E">
        <w:rPr>
          <w:rFonts w:ascii="Times New Roman" w:eastAsia="標楷體" w:hint="eastAsia"/>
          <w:spacing w:val="0"/>
          <w:sz w:val="24"/>
          <w:szCs w:val="24"/>
        </w:rPr>
        <w:t>domestic</w:t>
      </w:r>
      <w:r w:rsidR="009257E0">
        <w:rPr>
          <w:rFonts w:ascii="Times New Roman" w:eastAsia="標楷體" w:hint="eastAsia"/>
          <w:spacing w:val="0"/>
          <w:sz w:val="24"/>
          <w:szCs w:val="24"/>
        </w:rPr>
        <w:t xml:space="preserve"> demand, and the receding of the tobacco tax hike effect. </w:t>
      </w:r>
      <w:r w:rsidR="004B0C53" w:rsidRPr="007F6F77">
        <w:rPr>
          <w:rFonts w:ascii="Times New Roman" w:eastAsia="標楷體" w:hint="eastAsia"/>
          <w:spacing w:val="-2"/>
          <w:sz w:val="24"/>
          <w:szCs w:val="28"/>
        </w:rPr>
        <w:t xml:space="preserve">The medians of </w:t>
      </w:r>
      <w:r w:rsidR="008342FB" w:rsidRPr="007F6F77">
        <w:rPr>
          <w:rFonts w:ascii="Times New Roman" w:eastAsia="標楷體" w:hint="eastAsia"/>
          <w:spacing w:val="-2"/>
          <w:sz w:val="24"/>
          <w:szCs w:val="28"/>
        </w:rPr>
        <w:t>domestic and international</w:t>
      </w:r>
      <w:r w:rsidR="004B0C53" w:rsidRPr="007F6F77">
        <w:rPr>
          <w:rFonts w:ascii="Times New Roman" w:eastAsia="標楷體" w:hint="eastAsia"/>
          <w:spacing w:val="-2"/>
          <w:sz w:val="24"/>
          <w:szCs w:val="28"/>
        </w:rPr>
        <w:t xml:space="preserve"> institutions</w:t>
      </w:r>
      <w:r w:rsidR="004B0C53" w:rsidRPr="007F6F77">
        <w:rPr>
          <w:rFonts w:ascii="Times New Roman" w:eastAsia="標楷體"/>
          <w:spacing w:val="-2"/>
          <w:sz w:val="24"/>
          <w:szCs w:val="28"/>
        </w:rPr>
        <w:t>’</w:t>
      </w:r>
      <w:r w:rsidR="004B0C53" w:rsidRPr="007F6F77">
        <w:rPr>
          <w:rFonts w:ascii="Times New Roman" w:eastAsia="標楷體" w:hint="eastAsia"/>
          <w:spacing w:val="-2"/>
          <w:sz w:val="24"/>
          <w:szCs w:val="28"/>
        </w:rPr>
        <w:t xml:space="preserve"> </w:t>
      </w:r>
      <w:r w:rsidR="00932501" w:rsidRPr="007F6F77">
        <w:rPr>
          <w:rFonts w:ascii="Times New Roman" w:eastAsia="標楷體" w:hint="eastAsia"/>
          <w:spacing w:val="-2"/>
          <w:sz w:val="24"/>
          <w:szCs w:val="28"/>
        </w:rPr>
        <w:t xml:space="preserve">2019 </w:t>
      </w:r>
      <w:r w:rsidR="008342FB" w:rsidRPr="007F6F77">
        <w:rPr>
          <w:rFonts w:ascii="Times New Roman" w:eastAsia="標楷體" w:hint="eastAsia"/>
          <w:spacing w:val="-2"/>
          <w:sz w:val="24"/>
          <w:szCs w:val="28"/>
        </w:rPr>
        <w:t xml:space="preserve">inflation </w:t>
      </w:r>
      <w:r w:rsidR="004B0C53" w:rsidRPr="007F6F77">
        <w:rPr>
          <w:rFonts w:ascii="Times New Roman" w:eastAsia="標楷體" w:hint="eastAsia"/>
          <w:spacing w:val="-2"/>
          <w:sz w:val="24"/>
          <w:szCs w:val="28"/>
        </w:rPr>
        <w:t xml:space="preserve">forecasts are </w:t>
      </w:r>
      <w:r w:rsidR="009257E0">
        <w:rPr>
          <w:rFonts w:ascii="Times New Roman" w:eastAsia="標楷體" w:hint="eastAsia"/>
          <w:spacing w:val="-2"/>
          <w:sz w:val="24"/>
          <w:szCs w:val="28"/>
        </w:rPr>
        <w:t>0.91</w:t>
      </w:r>
      <w:r w:rsidR="004B0C53" w:rsidRPr="007F6F77">
        <w:rPr>
          <w:rFonts w:ascii="Times New Roman" w:eastAsia="標楷體" w:hint="eastAsia"/>
          <w:spacing w:val="-2"/>
          <w:sz w:val="24"/>
          <w:szCs w:val="28"/>
        </w:rPr>
        <w:t xml:space="preserve">% and </w:t>
      </w:r>
      <w:r w:rsidR="009257E0">
        <w:rPr>
          <w:rFonts w:ascii="Times New Roman" w:eastAsia="標楷體" w:hint="eastAsia"/>
          <w:spacing w:val="-2"/>
          <w:sz w:val="24"/>
          <w:szCs w:val="28"/>
        </w:rPr>
        <w:t>0.90</w:t>
      </w:r>
      <w:r w:rsidR="004B0C53" w:rsidRPr="007F6F77">
        <w:rPr>
          <w:rFonts w:ascii="Times New Roman" w:eastAsia="標楷體" w:hint="eastAsia"/>
          <w:spacing w:val="-2"/>
          <w:sz w:val="24"/>
          <w:szCs w:val="28"/>
        </w:rPr>
        <w:t>%, respectively</w:t>
      </w:r>
      <w:r w:rsidR="008342FB" w:rsidRPr="007F6F77">
        <w:rPr>
          <w:rFonts w:ascii="Times New Roman" w:eastAsia="標楷體" w:hint="eastAsia"/>
          <w:spacing w:val="-2"/>
          <w:sz w:val="24"/>
          <w:szCs w:val="28"/>
        </w:rPr>
        <w:t xml:space="preserve">. </w:t>
      </w:r>
    </w:p>
    <w:p w:rsidR="00471F4F" w:rsidRDefault="00090F95" w:rsidP="00090F95">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Looking ahead, </w:t>
      </w:r>
      <w:r w:rsidR="00A746B2" w:rsidRPr="007F6F77">
        <w:rPr>
          <w:rFonts w:ascii="Times New Roman" w:eastAsia="標楷體" w:hint="eastAsia"/>
          <w:spacing w:val="0"/>
          <w:sz w:val="24"/>
          <w:szCs w:val="24"/>
        </w:rPr>
        <w:t>key</w:t>
      </w:r>
      <w:r w:rsidR="004D09F6" w:rsidRPr="007F6F77">
        <w:rPr>
          <w:rFonts w:ascii="Times New Roman" w:eastAsia="標楷體" w:hint="eastAsia"/>
          <w:spacing w:val="0"/>
          <w:sz w:val="24"/>
          <w:szCs w:val="24"/>
        </w:rPr>
        <w:t xml:space="preserve"> determinants of </w:t>
      </w:r>
      <w:r w:rsidR="00932501" w:rsidRPr="007F6F77">
        <w:rPr>
          <w:rFonts w:ascii="Times New Roman" w:eastAsia="標楷體" w:hint="eastAsia"/>
          <w:spacing w:val="0"/>
          <w:sz w:val="24"/>
          <w:szCs w:val="24"/>
        </w:rPr>
        <w:t xml:space="preserve">future </w:t>
      </w:r>
      <w:r w:rsidR="004D09F6" w:rsidRPr="007F6F77">
        <w:rPr>
          <w:rFonts w:ascii="Times New Roman" w:eastAsia="標楷體" w:hint="eastAsia"/>
          <w:spacing w:val="0"/>
          <w:sz w:val="24"/>
          <w:szCs w:val="24"/>
        </w:rPr>
        <w:t>price trends</w:t>
      </w:r>
      <w:r>
        <w:rPr>
          <w:rFonts w:ascii="Times New Roman" w:eastAsia="標楷體" w:hint="eastAsia"/>
          <w:spacing w:val="0"/>
          <w:sz w:val="24"/>
          <w:szCs w:val="24"/>
        </w:rPr>
        <w:t xml:space="preserve"> include upside pressures from the following: </w:t>
      </w:r>
      <w:r w:rsidR="00377EDC" w:rsidRPr="00377EDC">
        <w:rPr>
          <w:rFonts w:ascii="Times New Roman" w:eastAsia="標楷體"/>
          <w:spacing w:val="0"/>
          <w:sz w:val="24"/>
          <w:szCs w:val="24"/>
        </w:rPr>
        <w:t>last year</w:t>
      </w:r>
      <w:r w:rsidR="00377EDC">
        <w:rPr>
          <w:rFonts w:ascii="Times New Roman" w:eastAsia="標楷體"/>
          <w:spacing w:val="0"/>
          <w:sz w:val="24"/>
          <w:szCs w:val="24"/>
        </w:rPr>
        <w:t>’</w:t>
      </w:r>
      <w:r w:rsidR="00377EDC" w:rsidRPr="00377EDC">
        <w:rPr>
          <w:rFonts w:ascii="Times New Roman" w:eastAsia="標楷體"/>
          <w:spacing w:val="0"/>
          <w:sz w:val="24"/>
          <w:szCs w:val="24"/>
        </w:rPr>
        <w:t>s price decline for fruit and vegetables owing to abundant supply is likely to result in a steeper in</w:t>
      </w:r>
      <w:r w:rsidR="00377EDC">
        <w:rPr>
          <w:rFonts w:ascii="Times New Roman" w:eastAsia="標楷體"/>
          <w:spacing w:val="0"/>
          <w:sz w:val="24"/>
          <w:szCs w:val="24"/>
        </w:rPr>
        <w:t>crease in food prices this year</w:t>
      </w:r>
      <w:r w:rsidR="00377EDC">
        <w:rPr>
          <w:rFonts w:ascii="Times New Roman" w:eastAsia="標楷體" w:hint="eastAsia"/>
          <w:spacing w:val="0"/>
          <w:sz w:val="24"/>
          <w:szCs w:val="24"/>
        </w:rPr>
        <w:t xml:space="preserve">; the base wage hike this year would drive upwards employee pay and </w:t>
      </w:r>
      <w:r w:rsidR="00377EDC" w:rsidRPr="00377EDC">
        <w:rPr>
          <w:rFonts w:ascii="Times New Roman" w:eastAsia="標楷體"/>
          <w:spacing w:val="0"/>
          <w:sz w:val="24"/>
          <w:szCs w:val="24"/>
        </w:rPr>
        <w:t xml:space="preserve">prices </w:t>
      </w:r>
      <w:r w:rsidR="00377EDC">
        <w:rPr>
          <w:rFonts w:ascii="Times New Roman" w:eastAsia="標楷體" w:hint="eastAsia"/>
          <w:spacing w:val="0"/>
          <w:sz w:val="24"/>
          <w:szCs w:val="24"/>
        </w:rPr>
        <w:t>for</w:t>
      </w:r>
      <w:r w:rsidR="00377EDC" w:rsidRPr="00377EDC">
        <w:rPr>
          <w:rFonts w:ascii="Times New Roman" w:eastAsia="標楷體"/>
          <w:spacing w:val="0"/>
          <w:sz w:val="24"/>
          <w:szCs w:val="24"/>
        </w:rPr>
        <w:t xml:space="preserve"> away-from-home food</w:t>
      </w:r>
      <w:r w:rsidR="00377EDC">
        <w:rPr>
          <w:rFonts w:ascii="Times New Roman" w:eastAsia="標楷體" w:hint="eastAsia"/>
          <w:spacing w:val="0"/>
          <w:sz w:val="24"/>
          <w:szCs w:val="24"/>
        </w:rPr>
        <w:t xml:space="preserve">; </w:t>
      </w:r>
      <w:r w:rsidR="00B26CF3">
        <w:rPr>
          <w:rFonts w:ascii="Times New Roman" w:eastAsia="標楷體" w:hint="eastAsia"/>
          <w:spacing w:val="0"/>
          <w:sz w:val="24"/>
          <w:szCs w:val="24"/>
        </w:rPr>
        <w:t xml:space="preserve">coach bus fares would be raised from March onwards. </w:t>
      </w:r>
      <w:r w:rsidR="00812349" w:rsidRPr="007F6F77">
        <w:rPr>
          <w:rFonts w:ascii="Times New Roman" w:eastAsia="標楷體" w:hint="eastAsia"/>
          <w:spacing w:val="0"/>
          <w:sz w:val="24"/>
          <w:szCs w:val="24"/>
        </w:rPr>
        <w:t xml:space="preserve">On the other hand, </w:t>
      </w:r>
      <w:r>
        <w:rPr>
          <w:rFonts w:ascii="Times New Roman" w:eastAsia="標楷體" w:hint="eastAsia"/>
          <w:spacing w:val="0"/>
          <w:sz w:val="24"/>
          <w:szCs w:val="24"/>
        </w:rPr>
        <w:t xml:space="preserve">downside price pressures could come from </w:t>
      </w:r>
      <w:r w:rsidR="00812349" w:rsidRPr="007F6F77">
        <w:rPr>
          <w:rFonts w:ascii="Times New Roman" w:eastAsia="標楷體" w:hint="eastAsia"/>
          <w:spacing w:val="0"/>
          <w:sz w:val="24"/>
          <w:szCs w:val="24"/>
        </w:rPr>
        <w:t xml:space="preserve">a projected </w:t>
      </w:r>
      <w:r w:rsidR="00B26CF3">
        <w:rPr>
          <w:rFonts w:ascii="Times New Roman" w:eastAsia="標楷體" w:hint="eastAsia"/>
          <w:spacing w:val="0"/>
          <w:sz w:val="24"/>
          <w:szCs w:val="24"/>
        </w:rPr>
        <w:t>downtrend</w:t>
      </w:r>
      <w:r w:rsidR="00812349" w:rsidRPr="007F6F77">
        <w:rPr>
          <w:rFonts w:ascii="Times New Roman" w:eastAsia="標楷體" w:hint="eastAsia"/>
          <w:spacing w:val="0"/>
          <w:sz w:val="24"/>
          <w:szCs w:val="24"/>
        </w:rPr>
        <w:t xml:space="preserve"> in international oil prices compared to </w:t>
      </w:r>
      <w:r w:rsidR="00B26CF3">
        <w:rPr>
          <w:rFonts w:ascii="Times New Roman" w:eastAsia="標楷體" w:hint="eastAsia"/>
          <w:spacing w:val="0"/>
          <w:sz w:val="24"/>
          <w:szCs w:val="24"/>
        </w:rPr>
        <w:t>last</w:t>
      </w:r>
      <w:r w:rsidR="00812349" w:rsidRPr="007F6F77">
        <w:rPr>
          <w:rFonts w:ascii="Times New Roman" w:eastAsia="標楷體" w:hint="eastAsia"/>
          <w:spacing w:val="0"/>
          <w:sz w:val="24"/>
          <w:szCs w:val="24"/>
        </w:rPr>
        <w:t xml:space="preserve"> year, </w:t>
      </w:r>
      <w:r w:rsidR="00B26CF3">
        <w:rPr>
          <w:rFonts w:ascii="Times New Roman" w:eastAsia="標楷體" w:hint="eastAsia"/>
          <w:spacing w:val="0"/>
          <w:sz w:val="24"/>
          <w:szCs w:val="24"/>
        </w:rPr>
        <w:t xml:space="preserve">further reductions in </w:t>
      </w:r>
      <w:r w:rsidR="00812349" w:rsidRPr="007F6F77">
        <w:rPr>
          <w:rFonts w:ascii="Times New Roman" w:eastAsia="標楷體" w:hint="eastAsia"/>
          <w:spacing w:val="0"/>
          <w:sz w:val="24"/>
          <w:szCs w:val="24"/>
        </w:rPr>
        <w:t>communication</w:t>
      </w:r>
      <w:r w:rsidR="009B6FCC">
        <w:rPr>
          <w:rFonts w:ascii="Times New Roman" w:eastAsia="標楷體" w:hint="eastAsia"/>
          <w:spacing w:val="0"/>
          <w:sz w:val="24"/>
          <w:szCs w:val="24"/>
        </w:rPr>
        <w:t>s</w:t>
      </w:r>
      <w:r w:rsidR="00812349" w:rsidRPr="007F6F77">
        <w:rPr>
          <w:rFonts w:ascii="Times New Roman" w:eastAsia="標楷體" w:hint="eastAsia"/>
          <w:spacing w:val="0"/>
          <w:sz w:val="24"/>
          <w:szCs w:val="24"/>
        </w:rPr>
        <w:t xml:space="preserve"> rates, and a still negative output gap. </w:t>
      </w:r>
    </w:p>
    <w:p w:rsidR="00D46F1E" w:rsidRPr="007F6F77" w:rsidRDefault="00D46F1E" w:rsidP="00FA173A">
      <w:pPr>
        <w:numPr>
          <w:ilvl w:val="0"/>
          <w:numId w:val="30"/>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t>Considerations for Monetary Policy</w:t>
      </w:r>
    </w:p>
    <w:p w:rsidR="00D128B0" w:rsidRDefault="00CF3A47" w:rsidP="0009490F">
      <w:pPr>
        <w:adjustRightInd/>
        <w:spacing w:before="120" w:line="440" w:lineRule="exact"/>
        <w:ind w:left="363" w:hangingChars="154" w:hanging="363"/>
        <w:jc w:val="both"/>
        <w:textAlignment w:val="auto"/>
        <w:rPr>
          <w:rFonts w:eastAsia="標楷體"/>
          <w:spacing w:val="-2"/>
          <w:kern w:val="2"/>
          <w:sz w:val="24"/>
          <w:szCs w:val="28"/>
        </w:rPr>
      </w:pPr>
      <w:r w:rsidRPr="007F6F77">
        <w:rPr>
          <w:rFonts w:eastAsia="標楷體" w:hint="eastAsia"/>
          <w:spacing w:val="-2"/>
          <w:kern w:val="2"/>
          <w:sz w:val="24"/>
          <w:szCs w:val="28"/>
        </w:rPr>
        <w:t xml:space="preserve">(1) </w:t>
      </w:r>
      <w:r w:rsidR="00D128B0">
        <w:rPr>
          <w:rFonts w:eastAsia="標楷體" w:hint="eastAsia"/>
          <w:spacing w:val="-2"/>
          <w:kern w:val="2"/>
          <w:sz w:val="24"/>
          <w:szCs w:val="28"/>
        </w:rPr>
        <w:t xml:space="preserve">International institutions recently revised down their forecasts for global </w:t>
      </w:r>
      <w:r w:rsidR="00D128B0">
        <w:rPr>
          <w:rFonts w:eastAsia="標楷體"/>
          <w:spacing w:val="-2"/>
          <w:kern w:val="2"/>
          <w:sz w:val="24"/>
          <w:szCs w:val="28"/>
        </w:rPr>
        <w:t>economic</w:t>
      </w:r>
      <w:r w:rsidR="00D128B0">
        <w:rPr>
          <w:rFonts w:eastAsia="標楷體" w:hint="eastAsia"/>
          <w:spacing w:val="-2"/>
          <w:kern w:val="2"/>
          <w:sz w:val="24"/>
          <w:szCs w:val="28"/>
        </w:rPr>
        <w:t xml:space="preserve"> and trade growth this year</w:t>
      </w:r>
      <w:r w:rsidR="00413DB5">
        <w:rPr>
          <w:rFonts w:eastAsia="標楷體" w:hint="eastAsia"/>
          <w:spacing w:val="-2"/>
          <w:kern w:val="2"/>
          <w:sz w:val="24"/>
          <w:szCs w:val="28"/>
        </w:rPr>
        <w:t>. M</w:t>
      </w:r>
      <w:r w:rsidR="00D128B0">
        <w:rPr>
          <w:rFonts w:eastAsia="標楷體" w:hint="eastAsia"/>
          <w:spacing w:val="-2"/>
          <w:kern w:val="2"/>
          <w:sz w:val="24"/>
          <w:szCs w:val="28"/>
        </w:rPr>
        <w:t xml:space="preserve">ajor economies </w:t>
      </w:r>
      <w:r w:rsidR="00043767">
        <w:rPr>
          <w:rFonts w:eastAsia="標楷體" w:hint="eastAsia"/>
          <w:spacing w:val="-2"/>
          <w:kern w:val="2"/>
          <w:sz w:val="24"/>
          <w:szCs w:val="28"/>
        </w:rPr>
        <w:t>would be</w:t>
      </w:r>
      <w:r w:rsidR="00413DB5">
        <w:rPr>
          <w:rFonts w:eastAsia="標楷體" w:hint="eastAsia"/>
          <w:spacing w:val="-2"/>
          <w:kern w:val="2"/>
          <w:sz w:val="24"/>
          <w:szCs w:val="28"/>
        </w:rPr>
        <w:t xml:space="preserve"> fac</w:t>
      </w:r>
      <w:r w:rsidR="005D7961">
        <w:rPr>
          <w:rFonts w:eastAsia="標楷體" w:hint="eastAsia"/>
          <w:spacing w:val="-2"/>
          <w:kern w:val="2"/>
          <w:sz w:val="24"/>
          <w:szCs w:val="28"/>
        </w:rPr>
        <w:t>ing</w:t>
      </w:r>
      <w:r w:rsidR="00D128B0">
        <w:rPr>
          <w:rFonts w:eastAsia="標楷體" w:hint="eastAsia"/>
          <w:spacing w:val="-2"/>
          <w:kern w:val="2"/>
          <w:sz w:val="24"/>
          <w:szCs w:val="28"/>
        </w:rPr>
        <w:t xml:space="preserve"> slower economic growth</w:t>
      </w:r>
      <w:r w:rsidR="00413DB5">
        <w:rPr>
          <w:rFonts w:eastAsia="標楷體" w:hint="eastAsia"/>
          <w:spacing w:val="-2"/>
          <w:kern w:val="2"/>
          <w:sz w:val="24"/>
          <w:szCs w:val="28"/>
        </w:rPr>
        <w:t>.</w:t>
      </w:r>
      <w:r w:rsidR="00D128B0">
        <w:rPr>
          <w:rFonts w:eastAsia="標楷體" w:hint="eastAsia"/>
          <w:spacing w:val="-2"/>
          <w:kern w:val="2"/>
          <w:sz w:val="24"/>
          <w:szCs w:val="28"/>
        </w:rPr>
        <w:t xml:space="preserve"> </w:t>
      </w:r>
      <w:r w:rsidR="00413DB5">
        <w:rPr>
          <w:rFonts w:eastAsia="標楷體" w:hint="eastAsia"/>
          <w:spacing w:val="-2"/>
          <w:kern w:val="2"/>
          <w:sz w:val="24"/>
          <w:szCs w:val="28"/>
        </w:rPr>
        <w:t>T</w:t>
      </w:r>
      <w:r w:rsidR="00D128B0">
        <w:rPr>
          <w:rFonts w:eastAsia="標楷體" w:hint="eastAsia"/>
          <w:spacing w:val="-2"/>
          <w:kern w:val="2"/>
          <w:sz w:val="24"/>
          <w:szCs w:val="28"/>
        </w:rPr>
        <w:t xml:space="preserve">here remain many uncertainties over </w:t>
      </w:r>
      <w:r w:rsidR="00D128B0">
        <w:rPr>
          <w:rFonts w:eastAsia="標楷體"/>
          <w:spacing w:val="-2"/>
          <w:kern w:val="2"/>
          <w:sz w:val="24"/>
          <w:szCs w:val="28"/>
        </w:rPr>
        <w:t>international</w:t>
      </w:r>
      <w:r w:rsidR="00D128B0">
        <w:rPr>
          <w:rFonts w:eastAsia="標楷體" w:hint="eastAsia"/>
          <w:spacing w:val="-2"/>
          <w:kern w:val="2"/>
          <w:sz w:val="24"/>
          <w:szCs w:val="28"/>
        </w:rPr>
        <w:t xml:space="preserve"> economic, trade, and financial prospects, including </w:t>
      </w:r>
      <w:r w:rsidR="0009490F">
        <w:rPr>
          <w:rFonts w:eastAsia="標楷體" w:hint="eastAsia"/>
          <w:spacing w:val="-2"/>
          <w:kern w:val="2"/>
          <w:sz w:val="24"/>
          <w:szCs w:val="28"/>
        </w:rPr>
        <w:t xml:space="preserve">the </w:t>
      </w:r>
      <w:r w:rsidR="004B0C97">
        <w:rPr>
          <w:rFonts w:eastAsia="標楷體" w:hint="eastAsia"/>
          <w:spacing w:val="-2"/>
          <w:kern w:val="2"/>
          <w:sz w:val="24"/>
          <w:szCs w:val="28"/>
        </w:rPr>
        <w:t>lack of clarity in future developments of US trade policy towards China, Europe, and Japan, China</w:t>
      </w:r>
      <w:r w:rsidR="004B0C97">
        <w:rPr>
          <w:rFonts w:eastAsia="標楷體"/>
          <w:spacing w:val="-2"/>
          <w:kern w:val="2"/>
          <w:sz w:val="24"/>
          <w:szCs w:val="28"/>
        </w:rPr>
        <w:t>’</w:t>
      </w:r>
      <w:r w:rsidR="004B0C97">
        <w:rPr>
          <w:rFonts w:eastAsia="標楷體" w:hint="eastAsia"/>
          <w:spacing w:val="-2"/>
          <w:kern w:val="2"/>
          <w:sz w:val="24"/>
          <w:szCs w:val="28"/>
        </w:rPr>
        <w:t xml:space="preserve">s </w:t>
      </w:r>
      <w:r w:rsidR="004B0C97">
        <w:rPr>
          <w:rFonts w:eastAsia="標楷體"/>
          <w:spacing w:val="-2"/>
          <w:kern w:val="2"/>
          <w:sz w:val="24"/>
          <w:szCs w:val="28"/>
        </w:rPr>
        <w:t>economic</w:t>
      </w:r>
      <w:r w:rsidR="004B0C97">
        <w:rPr>
          <w:rFonts w:eastAsia="標楷體" w:hint="eastAsia"/>
          <w:spacing w:val="-2"/>
          <w:kern w:val="2"/>
          <w:sz w:val="24"/>
          <w:szCs w:val="28"/>
        </w:rPr>
        <w:t xml:space="preserve"> downturn, and </w:t>
      </w:r>
      <w:r w:rsidR="004D1D62">
        <w:rPr>
          <w:rFonts w:eastAsia="標楷體" w:hint="eastAsia"/>
          <w:spacing w:val="-2"/>
          <w:kern w:val="2"/>
          <w:sz w:val="24"/>
          <w:szCs w:val="28"/>
        </w:rPr>
        <w:t xml:space="preserve">possible </w:t>
      </w:r>
      <w:r w:rsidR="004B0C97">
        <w:rPr>
          <w:rFonts w:eastAsia="標楷體" w:hint="eastAsia"/>
          <w:spacing w:val="-2"/>
          <w:kern w:val="2"/>
          <w:sz w:val="24"/>
          <w:szCs w:val="28"/>
        </w:rPr>
        <w:t xml:space="preserve">extension of Brexit deadline. </w:t>
      </w:r>
    </w:p>
    <w:p w:rsidR="00CF3A47" w:rsidRDefault="004D1D62" w:rsidP="0009490F">
      <w:pPr>
        <w:adjustRightInd/>
        <w:spacing w:before="120" w:line="440" w:lineRule="exact"/>
        <w:ind w:left="363" w:hangingChars="154" w:hanging="363"/>
        <w:jc w:val="both"/>
        <w:textAlignment w:val="auto"/>
        <w:rPr>
          <w:rFonts w:eastAsia="標楷體"/>
          <w:spacing w:val="-2"/>
          <w:kern w:val="2"/>
          <w:sz w:val="24"/>
          <w:szCs w:val="28"/>
        </w:rPr>
      </w:pPr>
      <w:r w:rsidRPr="007F6F77">
        <w:rPr>
          <w:rFonts w:eastAsia="標楷體" w:hint="eastAsia"/>
          <w:spacing w:val="-2"/>
          <w:kern w:val="2"/>
          <w:sz w:val="24"/>
          <w:szCs w:val="28"/>
        </w:rPr>
        <w:t xml:space="preserve"> </w:t>
      </w:r>
      <w:r w:rsidR="00CF3A47" w:rsidRPr="007F6F77">
        <w:rPr>
          <w:rFonts w:eastAsia="標楷體" w:hint="eastAsia"/>
          <w:spacing w:val="-2"/>
          <w:kern w:val="2"/>
          <w:sz w:val="24"/>
          <w:szCs w:val="28"/>
        </w:rPr>
        <w:t xml:space="preserve">(2) </w:t>
      </w:r>
      <w:r>
        <w:rPr>
          <w:rFonts w:eastAsia="標楷體" w:hint="eastAsia"/>
          <w:spacing w:val="-2"/>
          <w:kern w:val="2"/>
          <w:sz w:val="24"/>
          <w:szCs w:val="28"/>
        </w:rPr>
        <w:t xml:space="preserve">Inflationary pressures </w:t>
      </w:r>
      <w:r w:rsidR="00043767">
        <w:rPr>
          <w:rFonts w:eastAsia="標楷體" w:hint="eastAsia"/>
          <w:spacing w:val="-2"/>
          <w:kern w:val="2"/>
          <w:sz w:val="24"/>
          <w:szCs w:val="28"/>
        </w:rPr>
        <w:t xml:space="preserve">would </w:t>
      </w:r>
      <w:r>
        <w:rPr>
          <w:rFonts w:eastAsia="標楷體" w:hint="eastAsia"/>
          <w:spacing w:val="-2"/>
          <w:kern w:val="2"/>
          <w:sz w:val="24"/>
          <w:szCs w:val="28"/>
        </w:rPr>
        <w:t xml:space="preserve">be mild, given a slight moderation in the domestic economy and still below-potential output. For the year of 2019, the Bank projected the economy to expand mildly by 2.13% and inflation to rise 0.91%. </w:t>
      </w:r>
    </w:p>
    <w:p w:rsidR="00AF305A" w:rsidRDefault="00AF305A" w:rsidP="0009490F">
      <w:pPr>
        <w:adjustRightInd/>
        <w:spacing w:before="120" w:line="440" w:lineRule="exact"/>
        <w:ind w:left="363" w:hangingChars="154" w:hanging="363"/>
        <w:jc w:val="both"/>
        <w:textAlignment w:val="auto"/>
        <w:rPr>
          <w:rFonts w:eastAsia="標楷體"/>
          <w:spacing w:val="-2"/>
          <w:kern w:val="2"/>
          <w:sz w:val="24"/>
          <w:szCs w:val="28"/>
        </w:rPr>
      </w:pPr>
      <w:r>
        <w:rPr>
          <w:rFonts w:eastAsia="標楷體" w:hint="eastAsia"/>
          <w:spacing w:val="-2"/>
          <w:kern w:val="2"/>
          <w:sz w:val="24"/>
          <w:szCs w:val="28"/>
        </w:rPr>
        <w:t xml:space="preserve">(3) </w:t>
      </w:r>
      <w:r w:rsidR="006C6BEB">
        <w:rPr>
          <w:rFonts w:eastAsia="標楷體" w:hint="eastAsia"/>
          <w:spacing w:val="-2"/>
          <w:kern w:val="2"/>
          <w:sz w:val="24"/>
          <w:szCs w:val="28"/>
        </w:rPr>
        <w:t>In recent months, major central banks kept policy rates unchanged</w:t>
      </w:r>
      <w:r w:rsidR="00413DB5">
        <w:rPr>
          <w:rFonts w:eastAsia="標楷體" w:hint="eastAsia"/>
          <w:spacing w:val="-2"/>
          <w:kern w:val="2"/>
          <w:sz w:val="24"/>
          <w:szCs w:val="28"/>
        </w:rPr>
        <w:t xml:space="preserve"> while assuming</w:t>
      </w:r>
      <w:r w:rsidR="006C6BEB">
        <w:rPr>
          <w:rFonts w:eastAsia="標楷體" w:hint="eastAsia"/>
          <w:spacing w:val="-2"/>
          <w:kern w:val="2"/>
          <w:sz w:val="24"/>
          <w:szCs w:val="28"/>
        </w:rPr>
        <w:t xml:space="preserve"> more accommodative stance</w:t>
      </w:r>
      <w:r w:rsidR="00413DB5">
        <w:rPr>
          <w:rFonts w:eastAsia="標楷體" w:hint="eastAsia"/>
          <w:spacing w:val="-2"/>
          <w:kern w:val="2"/>
          <w:sz w:val="24"/>
          <w:szCs w:val="28"/>
        </w:rPr>
        <w:t>s</w:t>
      </w:r>
      <w:r w:rsidR="006C6BEB">
        <w:rPr>
          <w:rFonts w:eastAsia="標楷體" w:hint="eastAsia"/>
          <w:spacing w:val="-2"/>
          <w:kern w:val="2"/>
          <w:sz w:val="24"/>
          <w:szCs w:val="28"/>
        </w:rPr>
        <w:t xml:space="preserve">. Furthermore, </w:t>
      </w:r>
      <w:r w:rsidRPr="007F6F77">
        <w:rPr>
          <w:rFonts w:eastAsia="標楷體" w:hint="eastAsia"/>
          <w:spacing w:val="-2"/>
          <w:kern w:val="2"/>
          <w:sz w:val="24"/>
          <w:szCs w:val="28"/>
        </w:rPr>
        <w:t>Taiwan</w:t>
      </w:r>
      <w:r w:rsidRPr="007F6F77">
        <w:rPr>
          <w:rFonts w:eastAsia="標楷體"/>
          <w:spacing w:val="-2"/>
          <w:kern w:val="2"/>
          <w:sz w:val="24"/>
          <w:szCs w:val="28"/>
        </w:rPr>
        <w:t>’</w:t>
      </w:r>
      <w:r w:rsidRPr="007F6F77">
        <w:rPr>
          <w:rFonts w:eastAsia="標楷體" w:hint="eastAsia"/>
          <w:spacing w:val="-2"/>
          <w:kern w:val="2"/>
          <w:sz w:val="24"/>
          <w:szCs w:val="28"/>
        </w:rPr>
        <w:t xml:space="preserve">s nominal and real interest rates </w:t>
      </w:r>
      <w:r w:rsidR="00043767">
        <w:rPr>
          <w:rFonts w:eastAsia="標楷體" w:hint="eastAsia"/>
          <w:spacing w:val="-2"/>
          <w:kern w:val="2"/>
          <w:sz w:val="24"/>
          <w:szCs w:val="28"/>
        </w:rPr>
        <w:t>we</w:t>
      </w:r>
      <w:r w:rsidRPr="007F6F77">
        <w:rPr>
          <w:rFonts w:eastAsia="標楷體" w:hint="eastAsia"/>
          <w:spacing w:val="-2"/>
          <w:kern w:val="2"/>
          <w:sz w:val="24"/>
          <w:szCs w:val="28"/>
        </w:rPr>
        <w:t>re</w:t>
      </w:r>
      <w:r w:rsidR="00413DB5">
        <w:rPr>
          <w:rFonts w:eastAsia="標楷體" w:hint="eastAsia"/>
          <w:spacing w:val="-2"/>
          <w:kern w:val="2"/>
          <w:sz w:val="24"/>
          <w:szCs w:val="28"/>
        </w:rPr>
        <w:t xml:space="preserve"> still</w:t>
      </w:r>
      <w:r w:rsidRPr="007F6F77">
        <w:rPr>
          <w:rFonts w:eastAsia="標楷體" w:hint="eastAsia"/>
          <w:spacing w:val="-2"/>
          <w:kern w:val="2"/>
          <w:sz w:val="24"/>
          <w:szCs w:val="28"/>
        </w:rPr>
        <w:t xml:space="preserve"> around the middle range compared to selected economies. </w:t>
      </w:r>
    </w:p>
    <w:p w:rsidR="00D46F1E" w:rsidRPr="007F6F77" w:rsidRDefault="00D46F1E" w:rsidP="00FA173A">
      <w:pPr>
        <w:adjustRightInd/>
        <w:snapToGrid w:val="0"/>
        <w:spacing w:before="120" w:line="440" w:lineRule="exact"/>
        <w:jc w:val="both"/>
        <w:textDirection w:val="lrTbV"/>
        <w:rPr>
          <w:rFonts w:eastAsia="標楷體"/>
          <w:b/>
          <w:sz w:val="28"/>
          <w:szCs w:val="28"/>
        </w:rPr>
      </w:pPr>
      <w:r w:rsidRPr="007F6F77">
        <w:rPr>
          <w:rFonts w:eastAsia="標楷體" w:hint="eastAsia"/>
          <w:b/>
          <w:sz w:val="28"/>
          <w:szCs w:val="28"/>
        </w:rPr>
        <w:t xml:space="preserve">II. Proposition and Decision about Monetary Policy </w:t>
      </w:r>
    </w:p>
    <w:p w:rsidR="00D46F1E" w:rsidRPr="007F6F77" w:rsidRDefault="00D46F1E" w:rsidP="00FA173A">
      <w:pPr>
        <w:numPr>
          <w:ilvl w:val="0"/>
          <w:numId w:val="37"/>
        </w:numPr>
        <w:overflowPunct w:val="0"/>
        <w:autoSpaceDE w:val="0"/>
        <w:autoSpaceDN w:val="0"/>
        <w:snapToGrid w:val="0"/>
        <w:spacing w:before="120" w:line="440" w:lineRule="exact"/>
        <w:ind w:left="426" w:hanging="426"/>
        <w:textDirection w:val="lrTbV"/>
        <w:rPr>
          <w:rFonts w:eastAsia="標楷體"/>
          <w:b/>
          <w:spacing w:val="-2"/>
          <w:sz w:val="24"/>
          <w:szCs w:val="28"/>
        </w:rPr>
      </w:pPr>
      <w:r w:rsidRPr="007F6F77">
        <w:rPr>
          <w:rFonts w:eastAsia="標楷體" w:hint="eastAsia"/>
          <w:b/>
          <w:spacing w:val="-2"/>
          <w:sz w:val="24"/>
          <w:szCs w:val="28"/>
        </w:rPr>
        <w:t>Policy Proposition: To keep t</w:t>
      </w:r>
      <w:r w:rsidRPr="007F6F77">
        <w:rPr>
          <w:rFonts w:eastAsia="標楷體"/>
          <w:b/>
          <w:spacing w:val="-2"/>
          <w:sz w:val="24"/>
          <w:szCs w:val="28"/>
        </w:rPr>
        <w:t>he discount rate, the rate on accommodations with collateral, and the rate on accommodations without collateral unchanged at 1.375%, 1.75%, and 3.625%, respectively.</w:t>
      </w:r>
    </w:p>
    <w:p w:rsidR="00D46F1E" w:rsidRPr="007F6F77" w:rsidRDefault="00A32D1B" w:rsidP="00FA173A">
      <w:pPr>
        <w:numPr>
          <w:ilvl w:val="0"/>
          <w:numId w:val="37"/>
        </w:numPr>
        <w:overflowPunct w:val="0"/>
        <w:autoSpaceDE w:val="0"/>
        <w:autoSpaceDN w:val="0"/>
        <w:snapToGrid w:val="0"/>
        <w:spacing w:before="120" w:line="440" w:lineRule="exact"/>
        <w:ind w:left="426" w:hanging="426"/>
        <w:textDirection w:val="lrTbV"/>
        <w:rPr>
          <w:rFonts w:eastAsia="標楷體"/>
          <w:spacing w:val="-2"/>
          <w:sz w:val="24"/>
          <w:szCs w:val="28"/>
        </w:rPr>
      </w:pPr>
      <w:r w:rsidRPr="007F6F77">
        <w:rPr>
          <w:rFonts w:eastAsia="標楷體" w:hint="eastAsia"/>
          <w:spacing w:val="-2"/>
          <w:sz w:val="24"/>
          <w:szCs w:val="28"/>
        </w:rPr>
        <w:lastRenderedPageBreak/>
        <w:t>B</w:t>
      </w:r>
      <w:r w:rsidR="00D46F1E" w:rsidRPr="007F6F77">
        <w:rPr>
          <w:rFonts w:eastAsia="標楷體" w:hint="eastAsia"/>
          <w:spacing w:val="-2"/>
          <w:sz w:val="24"/>
          <w:szCs w:val="28"/>
        </w:rPr>
        <w:t xml:space="preserve">oard members </w:t>
      </w:r>
      <w:r w:rsidRPr="007F6F77">
        <w:rPr>
          <w:rFonts w:eastAsia="標楷體" w:hint="eastAsia"/>
          <w:spacing w:val="-2"/>
          <w:sz w:val="24"/>
          <w:szCs w:val="28"/>
        </w:rPr>
        <w:t xml:space="preserve">reached a unanimous vote for policy rates to remain unchanged. </w:t>
      </w:r>
      <w:r w:rsidR="00D46F1E" w:rsidRPr="007F6F77">
        <w:rPr>
          <w:rFonts w:eastAsia="標楷體" w:hint="eastAsia"/>
          <w:spacing w:val="-2"/>
          <w:sz w:val="24"/>
          <w:szCs w:val="28"/>
        </w:rPr>
        <w:t>The discussions are summarized as follows.</w:t>
      </w:r>
    </w:p>
    <w:p w:rsidR="000571DE" w:rsidRPr="007F6F77" w:rsidRDefault="000571DE" w:rsidP="000571DE">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(1) Discussion on domestic and international economic and financial conditions</w:t>
      </w:r>
    </w:p>
    <w:p w:rsidR="00547A6A" w:rsidRDefault="00CF02A5" w:rsidP="00E74380">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In respect of the external environment, one board director noted that</w:t>
      </w:r>
      <w:r w:rsidR="00B81A71">
        <w:rPr>
          <w:rFonts w:ascii="Times New Roman" w:eastAsia="標楷體" w:hint="eastAsia"/>
          <w:spacing w:val="-2"/>
          <w:sz w:val="24"/>
          <w:szCs w:val="28"/>
        </w:rPr>
        <w:t xml:space="preserve"> since the end of February international forecasting institu</w:t>
      </w:r>
      <w:r w:rsidR="00C902B7">
        <w:rPr>
          <w:rFonts w:ascii="Times New Roman" w:eastAsia="標楷體" w:hint="eastAsia"/>
          <w:spacing w:val="-2"/>
          <w:sz w:val="24"/>
          <w:szCs w:val="28"/>
        </w:rPr>
        <w:t>tions and investment banks have actually adjusted</w:t>
      </w:r>
      <w:r w:rsidR="00B81A71">
        <w:rPr>
          <w:rFonts w:ascii="Times New Roman" w:eastAsia="標楷體" w:hint="eastAsia"/>
          <w:spacing w:val="-2"/>
          <w:sz w:val="24"/>
          <w:szCs w:val="28"/>
        </w:rPr>
        <w:t xml:space="preserve"> their views on the global economic outlook</w:t>
      </w:r>
      <w:r w:rsidR="000A2A79">
        <w:rPr>
          <w:rFonts w:ascii="Times New Roman" w:eastAsia="標楷體" w:hint="eastAsia"/>
          <w:spacing w:val="-2"/>
          <w:sz w:val="24"/>
          <w:szCs w:val="28"/>
        </w:rPr>
        <w:t xml:space="preserve"> given</w:t>
      </w:r>
      <w:r w:rsidR="00C902B7">
        <w:rPr>
          <w:rFonts w:ascii="Times New Roman" w:eastAsia="標楷體" w:hint="eastAsia"/>
          <w:spacing w:val="-2"/>
          <w:sz w:val="24"/>
          <w:szCs w:val="28"/>
        </w:rPr>
        <w:t xml:space="preserve"> the Fed</w:t>
      </w:r>
      <w:r w:rsidR="00C902B7">
        <w:rPr>
          <w:rFonts w:ascii="Times New Roman" w:eastAsia="標楷體"/>
          <w:spacing w:val="-2"/>
          <w:sz w:val="24"/>
          <w:szCs w:val="28"/>
        </w:rPr>
        <w:t>’</w:t>
      </w:r>
      <w:r w:rsidR="00C902B7">
        <w:rPr>
          <w:rFonts w:ascii="Times New Roman" w:eastAsia="標楷體" w:hint="eastAsia"/>
          <w:spacing w:val="-2"/>
          <w:sz w:val="24"/>
          <w:szCs w:val="28"/>
        </w:rPr>
        <w:t xml:space="preserve">s rate hike pause and </w:t>
      </w:r>
      <w:r w:rsidR="00E74380">
        <w:rPr>
          <w:rFonts w:ascii="Times New Roman" w:eastAsia="標楷體" w:hint="eastAsia"/>
          <w:spacing w:val="-2"/>
          <w:sz w:val="24"/>
          <w:szCs w:val="28"/>
        </w:rPr>
        <w:t xml:space="preserve">a </w:t>
      </w:r>
      <w:r w:rsidR="00362F4D">
        <w:rPr>
          <w:rFonts w:ascii="Times New Roman" w:eastAsia="標楷體" w:hint="eastAsia"/>
          <w:spacing w:val="-2"/>
          <w:sz w:val="24"/>
          <w:szCs w:val="28"/>
        </w:rPr>
        <w:t>mild</w:t>
      </w:r>
      <w:r w:rsidR="00E74380">
        <w:rPr>
          <w:rFonts w:ascii="Times New Roman" w:eastAsia="標楷體" w:hint="eastAsia"/>
          <w:spacing w:val="-2"/>
          <w:sz w:val="24"/>
          <w:szCs w:val="28"/>
        </w:rPr>
        <w:t>er-than-expected slowdown in China thanks to Beijing</w:t>
      </w:r>
      <w:r w:rsidR="00E74380">
        <w:rPr>
          <w:rFonts w:ascii="Times New Roman" w:eastAsia="標楷體"/>
          <w:spacing w:val="-2"/>
          <w:sz w:val="24"/>
          <w:szCs w:val="28"/>
        </w:rPr>
        <w:t>’</w:t>
      </w:r>
      <w:r w:rsidR="00E74380">
        <w:rPr>
          <w:rFonts w:ascii="Times New Roman" w:eastAsia="標楷體" w:hint="eastAsia"/>
          <w:spacing w:val="-2"/>
          <w:sz w:val="24"/>
          <w:szCs w:val="28"/>
        </w:rPr>
        <w:t xml:space="preserve">s massive stimulus measures. In fact, </w:t>
      </w:r>
      <w:r w:rsidR="00D82DF3">
        <w:rPr>
          <w:rFonts w:ascii="Times New Roman" w:eastAsia="標楷體" w:hint="eastAsia"/>
          <w:spacing w:val="-2"/>
          <w:sz w:val="24"/>
          <w:szCs w:val="28"/>
        </w:rPr>
        <w:t xml:space="preserve">we have begun to see since mid-March that </w:t>
      </w:r>
      <w:r w:rsidR="00E74380">
        <w:rPr>
          <w:rFonts w:ascii="Times New Roman" w:eastAsia="標楷體" w:hint="eastAsia"/>
          <w:spacing w:val="-2"/>
          <w:sz w:val="24"/>
          <w:szCs w:val="28"/>
        </w:rPr>
        <w:t xml:space="preserve">some foreign analysts </w:t>
      </w:r>
      <w:r w:rsidR="00C3247C">
        <w:rPr>
          <w:rFonts w:ascii="Times New Roman" w:eastAsia="標楷體" w:hint="eastAsia"/>
          <w:spacing w:val="-2"/>
          <w:sz w:val="24"/>
          <w:szCs w:val="28"/>
        </w:rPr>
        <w:t xml:space="preserve">said they </w:t>
      </w:r>
      <w:r w:rsidR="00D82DF3">
        <w:rPr>
          <w:rFonts w:ascii="Times New Roman" w:eastAsia="標楷體" w:hint="eastAsia"/>
          <w:spacing w:val="-2"/>
          <w:sz w:val="24"/>
          <w:szCs w:val="28"/>
        </w:rPr>
        <w:t xml:space="preserve">expected global </w:t>
      </w:r>
      <w:r w:rsidR="00D82DF3">
        <w:rPr>
          <w:rFonts w:ascii="Times New Roman" w:eastAsia="標楷體"/>
          <w:spacing w:val="-2"/>
          <w:sz w:val="24"/>
          <w:szCs w:val="28"/>
        </w:rPr>
        <w:t>economic</w:t>
      </w:r>
      <w:r w:rsidR="00D82DF3">
        <w:rPr>
          <w:rFonts w:ascii="Times New Roman" w:eastAsia="標楷體" w:hint="eastAsia"/>
          <w:spacing w:val="-2"/>
          <w:sz w:val="24"/>
          <w:szCs w:val="28"/>
        </w:rPr>
        <w:t xml:space="preserve"> prospects to brighten in the second quarter or the latter half of the year. </w:t>
      </w:r>
      <w:r w:rsidR="00B666A1">
        <w:rPr>
          <w:rFonts w:ascii="Times New Roman" w:eastAsia="標楷體" w:hint="eastAsia"/>
          <w:spacing w:val="-2"/>
          <w:sz w:val="24"/>
          <w:szCs w:val="28"/>
        </w:rPr>
        <w:t>In light of</w:t>
      </w:r>
      <w:r w:rsidR="00547A6A">
        <w:rPr>
          <w:rFonts w:ascii="Times New Roman" w:eastAsia="標楷體" w:hint="eastAsia"/>
          <w:spacing w:val="-2"/>
          <w:sz w:val="24"/>
          <w:szCs w:val="28"/>
        </w:rPr>
        <w:t xml:space="preserve"> </w:t>
      </w:r>
      <w:r w:rsidR="00D127DF">
        <w:rPr>
          <w:rFonts w:ascii="Times New Roman" w:eastAsia="標楷體" w:hint="eastAsia"/>
          <w:spacing w:val="-2"/>
          <w:sz w:val="24"/>
          <w:szCs w:val="28"/>
        </w:rPr>
        <w:t>these shifts</w:t>
      </w:r>
      <w:r w:rsidR="00547A6A">
        <w:rPr>
          <w:rFonts w:ascii="Times New Roman" w:eastAsia="標楷體" w:hint="eastAsia"/>
          <w:spacing w:val="-2"/>
          <w:sz w:val="24"/>
          <w:szCs w:val="28"/>
        </w:rPr>
        <w:t xml:space="preserve">, it remains to be seen whether a deeper domestic downturn would materialize as previously projected. </w:t>
      </w:r>
    </w:p>
    <w:p w:rsidR="00D127DF" w:rsidRDefault="00D127DF" w:rsidP="00701DAA">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Another </w:t>
      </w:r>
      <w:r w:rsidR="00A41D7B">
        <w:rPr>
          <w:rFonts w:ascii="Times New Roman" w:eastAsia="標楷體" w:hint="eastAsia"/>
          <w:spacing w:val="-2"/>
          <w:sz w:val="24"/>
          <w:szCs w:val="28"/>
        </w:rPr>
        <w:t xml:space="preserve">board director </w:t>
      </w:r>
      <w:r w:rsidR="00701DAA">
        <w:rPr>
          <w:rFonts w:ascii="Times New Roman" w:eastAsia="標楷體" w:hint="eastAsia"/>
          <w:spacing w:val="-2"/>
          <w:sz w:val="24"/>
          <w:szCs w:val="28"/>
        </w:rPr>
        <w:t xml:space="preserve">stated </w:t>
      </w:r>
      <w:r w:rsidR="00A41D7B">
        <w:rPr>
          <w:rFonts w:ascii="Times New Roman" w:eastAsia="標楷體" w:hint="eastAsia"/>
          <w:spacing w:val="-2"/>
          <w:sz w:val="24"/>
          <w:szCs w:val="28"/>
        </w:rPr>
        <w:t xml:space="preserve">that the expectation of a slowdown in not only world trade but also global investment </w:t>
      </w:r>
      <w:r w:rsidR="00701DAA">
        <w:rPr>
          <w:rFonts w:ascii="Times New Roman" w:eastAsia="標楷體" w:hint="eastAsia"/>
          <w:spacing w:val="-2"/>
          <w:sz w:val="24"/>
          <w:szCs w:val="28"/>
        </w:rPr>
        <w:t xml:space="preserve">this year suggested the corporate sector was worried about future business prospects. </w:t>
      </w:r>
      <w:r w:rsidR="00701DAA">
        <w:rPr>
          <w:rFonts w:ascii="Times New Roman" w:eastAsia="標楷體"/>
          <w:spacing w:val="-2"/>
          <w:sz w:val="24"/>
          <w:szCs w:val="28"/>
        </w:rPr>
        <w:t>A</w:t>
      </w:r>
      <w:r w:rsidR="00701DAA">
        <w:rPr>
          <w:rFonts w:ascii="Times New Roman" w:eastAsia="標楷體" w:hint="eastAsia"/>
          <w:spacing w:val="-2"/>
          <w:sz w:val="24"/>
          <w:szCs w:val="28"/>
        </w:rPr>
        <w:t xml:space="preserve"> series of uncertainties </w:t>
      </w:r>
      <w:r w:rsidR="007E7E74">
        <w:rPr>
          <w:rFonts w:ascii="Times New Roman" w:eastAsia="標楷體" w:hint="eastAsia"/>
          <w:spacing w:val="-2"/>
          <w:sz w:val="24"/>
          <w:szCs w:val="28"/>
        </w:rPr>
        <w:t xml:space="preserve">have </w:t>
      </w:r>
      <w:r w:rsidR="00701DAA">
        <w:rPr>
          <w:rFonts w:ascii="Times New Roman" w:eastAsia="標楷體" w:hint="eastAsia"/>
          <w:spacing w:val="-2"/>
          <w:sz w:val="24"/>
          <w:szCs w:val="28"/>
        </w:rPr>
        <w:t xml:space="preserve">sowed the seeds of this concern, including the US-China trade </w:t>
      </w:r>
      <w:r w:rsidR="007E7E74">
        <w:rPr>
          <w:rFonts w:ascii="Times New Roman" w:eastAsia="標楷體" w:hint="eastAsia"/>
          <w:spacing w:val="-2"/>
          <w:sz w:val="24"/>
          <w:szCs w:val="28"/>
        </w:rPr>
        <w:t xml:space="preserve">conflicts, which are not merely some transitory events but represent </w:t>
      </w:r>
      <w:r w:rsidR="00701DAA">
        <w:rPr>
          <w:rFonts w:ascii="Times New Roman" w:eastAsia="標楷體" w:hint="eastAsia"/>
          <w:spacing w:val="-2"/>
          <w:sz w:val="24"/>
          <w:szCs w:val="28"/>
        </w:rPr>
        <w:t>fundamentally a contest for technolog</w:t>
      </w:r>
      <w:r w:rsidR="007B39FB">
        <w:rPr>
          <w:rFonts w:ascii="Times New Roman" w:eastAsia="標楷體" w:hint="eastAsia"/>
          <w:spacing w:val="-2"/>
          <w:sz w:val="24"/>
          <w:szCs w:val="28"/>
        </w:rPr>
        <w:t>ical</w:t>
      </w:r>
      <w:r w:rsidR="00701DAA">
        <w:rPr>
          <w:rFonts w:ascii="Times New Roman" w:eastAsia="標楷體" w:hint="eastAsia"/>
          <w:spacing w:val="-2"/>
          <w:sz w:val="24"/>
          <w:szCs w:val="28"/>
        </w:rPr>
        <w:t xml:space="preserve"> dominance</w:t>
      </w:r>
      <w:r w:rsidR="00DF6E71">
        <w:rPr>
          <w:rFonts w:ascii="Times New Roman" w:eastAsia="標楷體" w:hint="eastAsia"/>
          <w:spacing w:val="-2"/>
          <w:sz w:val="24"/>
          <w:szCs w:val="28"/>
        </w:rPr>
        <w:t xml:space="preserve">. In addition, </w:t>
      </w:r>
      <w:r w:rsidR="00FF33FC">
        <w:rPr>
          <w:rFonts w:ascii="Times New Roman" w:eastAsia="標楷體" w:hint="eastAsia"/>
          <w:spacing w:val="-2"/>
          <w:sz w:val="24"/>
          <w:szCs w:val="28"/>
        </w:rPr>
        <w:t>if the Brexit deadline w</w:t>
      </w:r>
      <w:r w:rsidR="007E7E74">
        <w:rPr>
          <w:rFonts w:ascii="Times New Roman" w:eastAsia="標楷體" w:hint="eastAsia"/>
          <w:spacing w:val="-2"/>
          <w:sz w:val="24"/>
          <w:szCs w:val="28"/>
        </w:rPr>
        <w:t>ere</w:t>
      </w:r>
      <w:r w:rsidR="00FF33FC">
        <w:rPr>
          <w:rFonts w:ascii="Times New Roman" w:eastAsia="標楷體" w:hint="eastAsia"/>
          <w:spacing w:val="-2"/>
          <w:sz w:val="24"/>
          <w:szCs w:val="28"/>
        </w:rPr>
        <w:t xml:space="preserve"> to be extended till June, the concomitant effects would carry on for an even longer </w:t>
      </w:r>
      <w:r w:rsidR="007B39FB">
        <w:rPr>
          <w:rFonts w:ascii="Times New Roman" w:eastAsia="標楷體" w:hint="eastAsia"/>
          <w:spacing w:val="-2"/>
          <w:sz w:val="24"/>
          <w:szCs w:val="28"/>
        </w:rPr>
        <w:t>period</w:t>
      </w:r>
      <w:r w:rsidR="00B17943">
        <w:rPr>
          <w:rFonts w:ascii="Times New Roman" w:eastAsia="標楷體" w:hint="eastAsia"/>
          <w:spacing w:val="-2"/>
          <w:sz w:val="24"/>
          <w:szCs w:val="28"/>
        </w:rPr>
        <w:t xml:space="preserve">. The influence on the global and domestic </w:t>
      </w:r>
      <w:r w:rsidR="00B17943">
        <w:rPr>
          <w:rFonts w:ascii="Times New Roman" w:eastAsia="標楷體"/>
          <w:spacing w:val="-2"/>
          <w:sz w:val="24"/>
          <w:szCs w:val="28"/>
        </w:rPr>
        <w:t xml:space="preserve">economy </w:t>
      </w:r>
      <w:r w:rsidR="00B17943">
        <w:rPr>
          <w:rFonts w:ascii="Times New Roman" w:eastAsia="標楷體" w:hint="eastAsia"/>
          <w:spacing w:val="-2"/>
          <w:sz w:val="24"/>
          <w:szCs w:val="28"/>
        </w:rPr>
        <w:t>arising therefrom also needs to be closely monitored.</w:t>
      </w:r>
    </w:p>
    <w:p w:rsidR="008E642E" w:rsidRDefault="00AC7C89" w:rsidP="001E3BA2">
      <w:pPr>
        <w:pStyle w:val="6"/>
        <w:overflowPunct w:val="0"/>
        <w:snapToGrid w:val="0"/>
        <w:spacing w:after="0" w:line="440" w:lineRule="exact"/>
        <w:ind w:left="0" w:firstLineChars="200" w:firstLine="472"/>
        <w:textDirection w:val="lrTbV"/>
        <w:rPr>
          <w:rFonts w:ascii="Times New Roman" w:eastAsia="標楷體"/>
          <w:spacing w:val="-2"/>
          <w:sz w:val="24"/>
          <w:szCs w:val="28"/>
        </w:rPr>
      </w:pPr>
      <w:r w:rsidRPr="007F6F77">
        <w:rPr>
          <w:rFonts w:ascii="Times New Roman" w:eastAsia="標楷體" w:hint="eastAsia"/>
          <w:spacing w:val="-2"/>
          <w:sz w:val="24"/>
          <w:szCs w:val="28"/>
        </w:rPr>
        <w:t xml:space="preserve">In respect of domestic </w:t>
      </w:r>
      <w:r w:rsidRPr="007F6F77">
        <w:rPr>
          <w:rFonts w:ascii="Times New Roman" w:eastAsia="標楷體"/>
          <w:spacing w:val="-2"/>
          <w:sz w:val="24"/>
          <w:szCs w:val="28"/>
        </w:rPr>
        <w:t>economic</w:t>
      </w:r>
      <w:r w:rsidRPr="007F6F77">
        <w:rPr>
          <w:rFonts w:ascii="Times New Roman" w:eastAsia="標楷體" w:hint="eastAsia"/>
          <w:spacing w:val="-2"/>
          <w:sz w:val="24"/>
          <w:szCs w:val="28"/>
        </w:rPr>
        <w:t xml:space="preserve"> </w:t>
      </w:r>
      <w:r w:rsidR="00BF7748">
        <w:rPr>
          <w:rFonts w:ascii="Times New Roman" w:eastAsia="標楷體" w:hint="eastAsia"/>
          <w:spacing w:val="-2"/>
          <w:sz w:val="24"/>
          <w:szCs w:val="28"/>
        </w:rPr>
        <w:t>conditions</w:t>
      </w:r>
      <w:r w:rsidRPr="007F6F77">
        <w:rPr>
          <w:rFonts w:ascii="Times New Roman" w:eastAsia="標楷體" w:hint="eastAsia"/>
          <w:spacing w:val="-2"/>
          <w:sz w:val="24"/>
          <w:szCs w:val="28"/>
        </w:rPr>
        <w:t xml:space="preserve">, </w:t>
      </w:r>
      <w:r w:rsidR="00FD0155">
        <w:rPr>
          <w:rFonts w:ascii="Times New Roman" w:eastAsia="標楷體" w:hint="eastAsia"/>
          <w:spacing w:val="-2"/>
          <w:sz w:val="24"/>
          <w:szCs w:val="28"/>
        </w:rPr>
        <w:t>several board directors discussed</w:t>
      </w:r>
      <w:r w:rsidR="007F0E02">
        <w:rPr>
          <w:rFonts w:ascii="Times New Roman" w:eastAsia="標楷體" w:hint="eastAsia"/>
          <w:spacing w:val="-2"/>
          <w:sz w:val="24"/>
          <w:szCs w:val="28"/>
        </w:rPr>
        <w:t xml:space="preserve"> the issue of</w:t>
      </w:r>
      <w:r w:rsidR="00FD0155">
        <w:rPr>
          <w:rFonts w:ascii="Times New Roman" w:eastAsia="標楷體" w:hint="eastAsia"/>
          <w:spacing w:val="-2"/>
          <w:sz w:val="24"/>
          <w:szCs w:val="28"/>
        </w:rPr>
        <w:t xml:space="preserve"> domestic investment growth momentum. One board d</w:t>
      </w:r>
      <w:r w:rsidR="007F0E02">
        <w:rPr>
          <w:rFonts w:ascii="Times New Roman" w:eastAsia="標楷體" w:hint="eastAsia"/>
          <w:spacing w:val="-2"/>
          <w:sz w:val="24"/>
          <w:szCs w:val="28"/>
        </w:rPr>
        <w:t>irector pointed out that</w:t>
      </w:r>
      <w:r w:rsidR="00D20283">
        <w:rPr>
          <w:rFonts w:ascii="Times New Roman" w:eastAsia="標楷體" w:hint="eastAsia"/>
          <w:spacing w:val="-2"/>
          <w:sz w:val="24"/>
          <w:szCs w:val="28"/>
        </w:rPr>
        <w:t xml:space="preserve">, </w:t>
      </w:r>
      <w:r w:rsidR="005D040D">
        <w:rPr>
          <w:rFonts w:ascii="Times New Roman" w:eastAsia="標楷體" w:hint="eastAsia"/>
          <w:spacing w:val="-2"/>
          <w:sz w:val="24"/>
          <w:szCs w:val="28"/>
        </w:rPr>
        <w:t>given the scale of</w:t>
      </w:r>
      <w:r w:rsidR="00D20283">
        <w:rPr>
          <w:rFonts w:ascii="Times New Roman" w:eastAsia="標楷體" w:hint="eastAsia"/>
          <w:spacing w:val="-2"/>
          <w:sz w:val="24"/>
          <w:szCs w:val="28"/>
        </w:rPr>
        <w:t xml:space="preserve"> Taiwan</w:t>
      </w:r>
      <w:r w:rsidR="00D20283">
        <w:rPr>
          <w:rFonts w:ascii="Times New Roman" w:eastAsia="標楷體"/>
          <w:spacing w:val="-2"/>
          <w:sz w:val="24"/>
          <w:szCs w:val="28"/>
        </w:rPr>
        <w:t>’</w:t>
      </w:r>
      <w:r w:rsidR="00D20283">
        <w:rPr>
          <w:rFonts w:ascii="Times New Roman" w:eastAsia="標楷體" w:hint="eastAsia"/>
          <w:spacing w:val="-2"/>
          <w:sz w:val="24"/>
          <w:szCs w:val="28"/>
        </w:rPr>
        <w:t xml:space="preserve">s investment in and </w:t>
      </w:r>
      <w:proofErr w:type="spellStart"/>
      <w:r w:rsidR="00D20283">
        <w:rPr>
          <w:rFonts w:ascii="Times New Roman" w:eastAsia="標楷體" w:hint="eastAsia"/>
          <w:spacing w:val="-2"/>
          <w:sz w:val="24"/>
          <w:szCs w:val="28"/>
        </w:rPr>
        <w:t>merchanting</w:t>
      </w:r>
      <w:proofErr w:type="spellEnd"/>
      <w:r w:rsidR="00D20283">
        <w:rPr>
          <w:rFonts w:ascii="Times New Roman" w:eastAsia="標楷體" w:hint="eastAsia"/>
          <w:spacing w:val="-2"/>
          <w:sz w:val="24"/>
          <w:szCs w:val="28"/>
        </w:rPr>
        <w:t xml:space="preserve"> trade (particularly intermediate goods trade) with China over the years since </w:t>
      </w:r>
      <w:proofErr w:type="gramStart"/>
      <w:r w:rsidR="00D20283">
        <w:rPr>
          <w:rFonts w:ascii="Times New Roman" w:eastAsia="標楷體" w:hint="eastAsia"/>
          <w:spacing w:val="-2"/>
          <w:sz w:val="24"/>
          <w:szCs w:val="28"/>
        </w:rPr>
        <w:t>2000,</w:t>
      </w:r>
      <w:proofErr w:type="gramEnd"/>
      <w:r w:rsidR="00D20283">
        <w:rPr>
          <w:rFonts w:ascii="Times New Roman" w:eastAsia="標楷體" w:hint="eastAsia"/>
          <w:spacing w:val="-2"/>
          <w:sz w:val="24"/>
          <w:szCs w:val="28"/>
        </w:rPr>
        <w:t xml:space="preserve"> we are highly integrated into the global value chain. </w:t>
      </w:r>
      <w:r w:rsidR="001E3BA2">
        <w:rPr>
          <w:rFonts w:ascii="Times New Roman" w:eastAsia="標楷體" w:hint="eastAsia"/>
          <w:spacing w:val="-2"/>
          <w:sz w:val="24"/>
          <w:szCs w:val="28"/>
        </w:rPr>
        <w:t xml:space="preserve">As the US-China trade friction could shake up global supply chains along the way, opportunities might also rise for Taiwan. In the </w:t>
      </w:r>
      <w:r w:rsidR="007B39FB">
        <w:rPr>
          <w:rFonts w:ascii="Times New Roman" w:eastAsia="標楷體" w:hint="eastAsia"/>
          <w:spacing w:val="-2"/>
          <w:sz w:val="24"/>
          <w:szCs w:val="28"/>
        </w:rPr>
        <w:t>past</w:t>
      </w:r>
      <w:r w:rsidR="001E3BA2">
        <w:rPr>
          <w:rFonts w:ascii="Times New Roman" w:eastAsia="標楷體" w:hint="eastAsia"/>
          <w:spacing w:val="-2"/>
          <w:sz w:val="24"/>
          <w:szCs w:val="28"/>
        </w:rPr>
        <w:t xml:space="preserve"> year, the government not only held meetings but also launched an action plan to encourage overseas Taiwanese businesses to invest at home. These efforts are expected to spur real investment by the returning Taiwanese firms, especially in the area of start-ups</w:t>
      </w:r>
      <w:r w:rsidR="008E642E">
        <w:rPr>
          <w:rFonts w:ascii="Times New Roman" w:eastAsia="標楷體" w:hint="eastAsia"/>
          <w:spacing w:val="-2"/>
          <w:sz w:val="24"/>
          <w:szCs w:val="28"/>
        </w:rPr>
        <w:t>. In turn, such real investment could help address Taiwan</w:t>
      </w:r>
      <w:r w:rsidR="008E642E">
        <w:rPr>
          <w:rFonts w:ascii="Times New Roman" w:eastAsia="標楷體"/>
          <w:spacing w:val="-2"/>
          <w:sz w:val="24"/>
          <w:szCs w:val="28"/>
        </w:rPr>
        <w:t>’</w:t>
      </w:r>
      <w:r w:rsidR="008E642E">
        <w:rPr>
          <w:rFonts w:ascii="Times New Roman" w:eastAsia="標楷體" w:hint="eastAsia"/>
          <w:spacing w:val="-2"/>
          <w:sz w:val="24"/>
          <w:szCs w:val="28"/>
        </w:rPr>
        <w:t xml:space="preserve">s long-running excess saving, </w:t>
      </w:r>
      <w:r w:rsidR="0089727F">
        <w:rPr>
          <w:rFonts w:ascii="Times New Roman" w:eastAsia="標楷體" w:hint="eastAsia"/>
          <w:spacing w:val="-2"/>
          <w:sz w:val="24"/>
          <w:szCs w:val="28"/>
        </w:rPr>
        <w:t xml:space="preserve">raise productivity, </w:t>
      </w:r>
      <w:r w:rsidR="007B39FB">
        <w:rPr>
          <w:rFonts w:ascii="Times New Roman" w:eastAsia="標楷體" w:hint="eastAsia"/>
          <w:spacing w:val="-2"/>
          <w:sz w:val="24"/>
          <w:szCs w:val="28"/>
        </w:rPr>
        <w:t xml:space="preserve">and </w:t>
      </w:r>
      <w:r w:rsidR="0089727F">
        <w:rPr>
          <w:rFonts w:ascii="Times New Roman" w:eastAsia="標楷體" w:hint="eastAsia"/>
          <w:spacing w:val="-2"/>
          <w:sz w:val="24"/>
          <w:szCs w:val="28"/>
        </w:rPr>
        <w:t xml:space="preserve">shore up wages, which would </w:t>
      </w:r>
      <w:r w:rsidR="007B39FB">
        <w:rPr>
          <w:rFonts w:ascii="Times New Roman" w:eastAsia="標楷體" w:hint="eastAsia"/>
          <w:spacing w:val="-2"/>
          <w:sz w:val="24"/>
          <w:szCs w:val="28"/>
        </w:rPr>
        <w:t xml:space="preserve">all </w:t>
      </w:r>
      <w:r w:rsidR="0089727F">
        <w:rPr>
          <w:rFonts w:ascii="Times New Roman" w:eastAsia="標楷體" w:hint="eastAsia"/>
          <w:spacing w:val="-2"/>
          <w:sz w:val="24"/>
          <w:szCs w:val="28"/>
        </w:rPr>
        <w:t>be conducive to Taiwan</w:t>
      </w:r>
      <w:r w:rsidR="0089727F">
        <w:rPr>
          <w:rFonts w:ascii="Times New Roman" w:eastAsia="標楷體"/>
          <w:spacing w:val="-2"/>
          <w:sz w:val="24"/>
          <w:szCs w:val="28"/>
        </w:rPr>
        <w:t>’</w:t>
      </w:r>
      <w:r w:rsidR="0089727F">
        <w:rPr>
          <w:rFonts w:ascii="Times New Roman" w:eastAsia="標楷體" w:hint="eastAsia"/>
          <w:spacing w:val="-2"/>
          <w:sz w:val="24"/>
          <w:szCs w:val="28"/>
        </w:rPr>
        <w:t xml:space="preserve">s </w:t>
      </w:r>
      <w:r w:rsidR="0089727F">
        <w:rPr>
          <w:rFonts w:ascii="Times New Roman" w:eastAsia="標楷體"/>
          <w:spacing w:val="-2"/>
          <w:sz w:val="24"/>
          <w:szCs w:val="28"/>
        </w:rPr>
        <w:t>economic</w:t>
      </w:r>
      <w:r w:rsidR="0089727F">
        <w:rPr>
          <w:rFonts w:ascii="Times New Roman" w:eastAsia="標楷體" w:hint="eastAsia"/>
          <w:spacing w:val="-2"/>
          <w:sz w:val="24"/>
          <w:szCs w:val="28"/>
        </w:rPr>
        <w:t xml:space="preserve"> growth. </w:t>
      </w:r>
    </w:p>
    <w:p w:rsidR="00D20283" w:rsidRDefault="009557E1" w:rsidP="00D66099">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Another board director noted that projections for investment supported the view that </w:t>
      </w:r>
      <w:r>
        <w:rPr>
          <w:rFonts w:ascii="Times New Roman" w:eastAsia="標楷體" w:hint="eastAsia"/>
          <w:spacing w:val="-2"/>
          <w:sz w:val="24"/>
          <w:szCs w:val="28"/>
        </w:rPr>
        <w:lastRenderedPageBreak/>
        <w:t>Taiwan</w:t>
      </w:r>
      <w:r>
        <w:rPr>
          <w:rFonts w:ascii="Times New Roman" w:eastAsia="標楷體"/>
          <w:spacing w:val="-2"/>
          <w:sz w:val="24"/>
          <w:szCs w:val="28"/>
        </w:rPr>
        <w:t>’</w:t>
      </w:r>
      <w:r>
        <w:rPr>
          <w:rFonts w:ascii="Times New Roman" w:eastAsia="標楷體" w:hint="eastAsia"/>
          <w:spacing w:val="-2"/>
          <w:sz w:val="24"/>
          <w:szCs w:val="28"/>
        </w:rPr>
        <w:t xml:space="preserve">s economic growth in the second half of the year would outpace that in the first half. For instance, private investment is forecast to expand faster in the coming three quarters (from the second quarter onwards) than last year, and </w:t>
      </w:r>
      <w:r w:rsidR="00DA6C33">
        <w:rPr>
          <w:rFonts w:ascii="Times New Roman" w:eastAsia="標楷體" w:hint="eastAsia"/>
          <w:spacing w:val="-2"/>
          <w:sz w:val="24"/>
          <w:szCs w:val="28"/>
        </w:rPr>
        <w:t>the government</w:t>
      </w:r>
      <w:r w:rsidR="00DA6C33">
        <w:rPr>
          <w:rFonts w:ascii="Times New Roman" w:eastAsia="標楷體"/>
          <w:spacing w:val="-2"/>
          <w:sz w:val="24"/>
          <w:szCs w:val="28"/>
        </w:rPr>
        <w:t>’</w:t>
      </w:r>
      <w:r w:rsidR="00DA6C33">
        <w:rPr>
          <w:rFonts w:ascii="Times New Roman" w:eastAsia="標楷體" w:hint="eastAsia"/>
          <w:spacing w:val="-2"/>
          <w:sz w:val="24"/>
          <w:szCs w:val="28"/>
        </w:rPr>
        <w:t xml:space="preserve">s </w:t>
      </w:r>
      <w:r w:rsidR="00DA6C33" w:rsidRPr="00DA6C33">
        <w:rPr>
          <w:rFonts w:ascii="Times New Roman" w:eastAsia="標楷體"/>
          <w:spacing w:val="-2"/>
          <w:sz w:val="24"/>
          <w:szCs w:val="28"/>
        </w:rPr>
        <w:t>Forward-looking Infrastructure Development Program</w:t>
      </w:r>
      <w:r w:rsidR="00BE7421">
        <w:rPr>
          <w:rFonts w:ascii="Times New Roman" w:eastAsia="標楷體" w:hint="eastAsia"/>
          <w:spacing w:val="-2"/>
          <w:sz w:val="24"/>
          <w:szCs w:val="28"/>
        </w:rPr>
        <w:t xml:space="preserve"> is also expected to propel growth in public and private investment</w:t>
      </w:r>
      <w:r w:rsidR="00652E80">
        <w:rPr>
          <w:rFonts w:ascii="Times New Roman" w:eastAsia="標楷體" w:hint="eastAsia"/>
          <w:spacing w:val="-2"/>
          <w:sz w:val="24"/>
          <w:szCs w:val="28"/>
        </w:rPr>
        <w:t xml:space="preserve"> this year</w:t>
      </w:r>
      <w:r w:rsidR="00BE7421">
        <w:rPr>
          <w:rFonts w:ascii="Times New Roman" w:eastAsia="標楷體" w:hint="eastAsia"/>
          <w:spacing w:val="-2"/>
          <w:sz w:val="24"/>
          <w:szCs w:val="28"/>
        </w:rPr>
        <w:t xml:space="preserve">. </w:t>
      </w:r>
      <w:r w:rsidR="00B826B7">
        <w:rPr>
          <w:rFonts w:ascii="Times New Roman" w:eastAsia="標楷體" w:hint="eastAsia"/>
          <w:spacing w:val="-2"/>
          <w:sz w:val="24"/>
          <w:szCs w:val="28"/>
        </w:rPr>
        <w:t>Nonetheless, an export-oriented economy like Taiwan should also</w:t>
      </w:r>
      <w:r w:rsidR="00C9203E">
        <w:rPr>
          <w:rFonts w:ascii="Times New Roman" w:eastAsia="標楷體" w:hint="eastAsia"/>
          <w:spacing w:val="-2"/>
          <w:sz w:val="24"/>
          <w:szCs w:val="28"/>
        </w:rPr>
        <w:t xml:space="preserve"> consider </w:t>
      </w:r>
      <w:r w:rsidR="0051685A">
        <w:rPr>
          <w:rFonts w:ascii="Times New Roman" w:eastAsia="標楷體" w:hint="eastAsia"/>
          <w:spacing w:val="-2"/>
          <w:sz w:val="24"/>
          <w:szCs w:val="28"/>
        </w:rPr>
        <w:t xml:space="preserve">potential headwinds in the </w:t>
      </w:r>
      <w:r w:rsidR="00C9203E">
        <w:rPr>
          <w:rFonts w:ascii="Times New Roman" w:eastAsia="標楷體" w:hint="eastAsia"/>
          <w:spacing w:val="-2"/>
          <w:sz w:val="24"/>
          <w:szCs w:val="28"/>
        </w:rPr>
        <w:t>broader environment</w:t>
      </w:r>
      <w:r w:rsidR="00B826B7">
        <w:rPr>
          <w:rFonts w:ascii="Times New Roman" w:eastAsia="標楷體" w:hint="eastAsia"/>
          <w:spacing w:val="-2"/>
          <w:sz w:val="24"/>
          <w:szCs w:val="28"/>
        </w:rPr>
        <w:t xml:space="preserve">, such as a global investment slowdown, and </w:t>
      </w:r>
      <w:r w:rsidR="0051685A">
        <w:rPr>
          <w:rFonts w:ascii="Times New Roman" w:eastAsia="標楷體" w:hint="eastAsia"/>
          <w:spacing w:val="-2"/>
          <w:sz w:val="24"/>
          <w:szCs w:val="28"/>
        </w:rPr>
        <w:t>take careful counteractions</w:t>
      </w:r>
      <w:r w:rsidR="00B826B7">
        <w:rPr>
          <w:rFonts w:ascii="Times New Roman" w:eastAsia="標楷體" w:hint="eastAsia"/>
          <w:spacing w:val="-2"/>
          <w:sz w:val="24"/>
          <w:szCs w:val="28"/>
        </w:rPr>
        <w:t xml:space="preserve"> as needed. </w:t>
      </w:r>
    </w:p>
    <w:p w:rsidR="009A297A" w:rsidRDefault="009A297A" w:rsidP="00D66099">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One supervisor gave an opinion </w:t>
      </w:r>
      <w:r w:rsidR="00BC25EB">
        <w:rPr>
          <w:rFonts w:ascii="Times New Roman" w:eastAsia="標楷體" w:hint="eastAsia"/>
          <w:spacing w:val="-2"/>
          <w:sz w:val="24"/>
          <w:szCs w:val="28"/>
        </w:rPr>
        <w:t>on</w:t>
      </w:r>
      <w:r>
        <w:rPr>
          <w:rFonts w:ascii="Times New Roman" w:eastAsia="標楷體" w:hint="eastAsia"/>
          <w:spacing w:val="-2"/>
          <w:sz w:val="24"/>
          <w:szCs w:val="28"/>
        </w:rPr>
        <w:t xml:space="preserve"> domestic</w:t>
      </w:r>
      <w:r w:rsidR="0072433F">
        <w:rPr>
          <w:rFonts w:ascii="Times New Roman" w:eastAsia="標楷體" w:hint="eastAsia"/>
          <w:spacing w:val="-2"/>
          <w:sz w:val="24"/>
          <w:szCs w:val="28"/>
        </w:rPr>
        <w:t xml:space="preserve"> economic </w:t>
      </w:r>
      <w:r w:rsidR="002848B9">
        <w:rPr>
          <w:rFonts w:ascii="Times New Roman" w:eastAsia="標楷體" w:hint="eastAsia"/>
          <w:spacing w:val="-2"/>
          <w:sz w:val="24"/>
          <w:szCs w:val="28"/>
        </w:rPr>
        <w:t>growth</w:t>
      </w:r>
      <w:r>
        <w:rPr>
          <w:rFonts w:ascii="Times New Roman" w:eastAsia="標楷體" w:hint="eastAsia"/>
          <w:spacing w:val="-2"/>
          <w:sz w:val="24"/>
          <w:szCs w:val="28"/>
        </w:rPr>
        <w:t xml:space="preserve"> and </w:t>
      </w:r>
      <w:r w:rsidR="00023FE5">
        <w:rPr>
          <w:rFonts w:ascii="Times New Roman" w:eastAsia="標楷體" w:hint="eastAsia"/>
          <w:spacing w:val="-2"/>
          <w:sz w:val="24"/>
          <w:szCs w:val="28"/>
        </w:rPr>
        <w:t xml:space="preserve">noted </w:t>
      </w:r>
      <w:r w:rsidR="002848B9">
        <w:rPr>
          <w:rFonts w:ascii="Times New Roman" w:eastAsia="標楷體" w:hint="eastAsia"/>
          <w:spacing w:val="-2"/>
          <w:sz w:val="24"/>
          <w:szCs w:val="28"/>
        </w:rPr>
        <w:t xml:space="preserve">that although </w:t>
      </w:r>
      <w:r w:rsidR="00D23BE1">
        <w:rPr>
          <w:rFonts w:ascii="Times New Roman" w:eastAsia="標楷體" w:hint="eastAsia"/>
          <w:spacing w:val="-2"/>
          <w:sz w:val="24"/>
          <w:szCs w:val="28"/>
        </w:rPr>
        <w:t xml:space="preserve">falling </w:t>
      </w:r>
      <w:r w:rsidR="002848B9">
        <w:rPr>
          <w:rFonts w:ascii="Times New Roman" w:eastAsia="標楷體" w:hint="eastAsia"/>
          <w:spacing w:val="-2"/>
          <w:sz w:val="24"/>
          <w:szCs w:val="28"/>
        </w:rPr>
        <w:t>export price</w:t>
      </w:r>
      <w:r w:rsidR="00D23BE1">
        <w:rPr>
          <w:rFonts w:ascii="Times New Roman" w:eastAsia="標楷體" w:hint="eastAsia"/>
          <w:spacing w:val="-2"/>
          <w:sz w:val="24"/>
          <w:szCs w:val="28"/>
        </w:rPr>
        <w:t xml:space="preserve">s (in NT dollars) </w:t>
      </w:r>
      <w:r w:rsidR="00D23BE1">
        <w:rPr>
          <w:rFonts w:ascii="Times New Roman" w:eastAsia="標楷體"/>
          <w:spacing w:val="-2"/>
          <w:sz w:val="24"/>
          <w:szCs w:val="28"/>
        </w:rPr>
        <w:t>–</w:t>
      </w:r>
      <w:r w:rsidR="00D23BE1">
        <w:rPr>
          <w:rFonts w:ascii="Times New Roman" w:eastAsia="標楷體" w:hint="eastAsia"/>
          <w:spacing w:val="-2"/>
          <w:sz w:val="24"/>
          <w:szCs w:val="28"/>
        </w:rPr>
        <w:t xml:space="preserve"> deteriorating </w:t>
      </w:r>
      <w:r w:rsidR="002848B9">
        <w:rPr>
          <w:rFonts w:ascii="Times New Roman" w:eastAsia="標楷體" w:hint="eastAsia"/>
          <w:spacing w:val="-2"/>
          <w:sz w:val="24"/>
          <w:szCs w:val="28"/>
        </w:rPr>
        <w:t>terms of trade</w:t>
      </w:r>
      <w:r w:rsidR="00D23BE1">
        <w:rPr>
          <w:rFonts w:ascii="Times New Roman" w:eastAsia="標楷體" w:hint="eastAsia"/>
          <w:spacing w:val="-2"/>
          <w:sz w:val="24"/>
          <w:szCs w:val="28"/>
        </w:rPr>
        <w:t xml:space="preserve"> </w:t>
      </w:r>
      <w:r w:rsidR="00D23BE1">
        <w:rPr>
          <w:rFonts w:ascii="Times New Roman" w:eastAsia="標楷體"/>
          <w:spacing w:val="-2"/>
          <w:sz w:val="24"/>
          <w:szCs w:val="28"/>
        </w:rPr>
        <w:t>–</w:t>
      </w:r>
      <w:r w:rsidR="00D23BE1">
        <w:rPr>
          <w:rFonts w:ascii="Times New Roman" w:eastAsia="標楷體" w:hint="eastAsia"/>
          <w:spacing w:val="-2"/>
          <w:sz w:val="24"/>
          <w:szCs w:val="28"/>
        </w:rPr>
        <w:t xml:space="preserve"> led </w:t>
      </w:r>
      <w:r w:rsidR="002848B9">
        <w:rPr>
          <w:rFonts w:ascii="Times New Roman" w:eastAsia="標楷體" w:hint="eastAsia"/>
          <w:spacing w:val="-2"/>
          <w:sz w:val="24"/>
          <w:szCs w:val="28"/>
        </w:rPr>
        <w:t>to a weak performance in Taiwan</w:t>
      </w:r>
      <w:r w:rsidR="002848B9">
        <w:rPr>
          <w:rFonts w:ascii="Times New Roman" w:eastAsia="標楷體"/>
          <w:spacing w:val="-2"/>
          <w:sz w:val="24"/>
          <w:szCs w:val="28"/>
        </w:rPr>
        <w:t>’</w:t>
      </w:r>
      <w:r w:rsidR="002848B9">
        <w:rPr>
          <w:rFonts w:ascii="Times New Roman" w:eastAsia="標楷體" w:hint="eastAsia"/>
          <w:spacing w:val="-2"/>
          <w:sz w:val="24"/>
          <w:szCs w:val="28"/>
        </w:rPr>
        <w:t xml:space="preserve">s exports, </w:t>
      </w:r>
      <w:r w:rsidR="00023FE5">
        <w:rPr>
          <w:rFonts w:ascii="Times New Roman" w:eastAsia="標楷體" w:hint="eastAsia"/>
          <w:spacing w:val="-2"/>
          <w:sz w:val="24"/>
          <w:szCs w:val="28"/>
        </w:rPr>
        <w:t xml:space="preserve">data based on real export volume showed modest growth in the Jan.-Feb. period. This supervisor also pointed out that domestic economic growth was not as slow as </w:t>
      </w:r>
      <w:r w:rsidR="008846FC">
        <w:rPr>
          <w:rFonts w:ascii="Times New Roman" w:eastAsia="標楷體" w:hint="eastAsia"/>
          <w:spacing w:val="-2"/>
          <w:sz w:val="24"/>
          <w:szCs w:val="28"/>
        </w:rPr>
        <w:t>perceived</w:t>
      </w:r>
      <w:r w:rsidR="00023FE5">
        <w:rPr>
          <w:rFonts w:ascii="Times New Roman" w:eastAsia="標楷體" w:hint="eastAsia"/>
          <w:spacing w:val="-2"/>
          <w:sz w:val="24"/>
          <w:szCs w:val="28"/>
        </w:rPr>
        <w:t xml:space="preserve"> by the public, let alone recessionary. One of the most popular definitions of a recession is </w:t>
      </w:r>
      <w:r w:rsidR="00023FE5" w:rsidRPr="00023FE5">
        <w:rPr>
          <w:rFonts w:ascii="Times New Roman" w:eastAsia="標楷體"/>
          <w:spacing w:val="-2"/>
          <w:sz w:val="24"/>
          <w:szCs w:val="28"/>
        </w:rPr>
        <w:t xml:space="preserve">two consecutive quarters of decline in </w:t>
      </w:r>
      <w:r w:rsidR="004928B9">
        <w:rPr>
          <w:rFonts w:ascii="Times New Roman" w:eastAsia="標楷體" w:hint="eastAsia"/>
          <w:spacing w:val="-2"/>
          <w:sz w:val="24"/>
          <w:szCs w:val="28"/>
        </w:rPr>
        <w:t>the seasonally-adjusted annual rate (SAAR) of GDP</w:t>
      </w:r>
      <w:r w:rsidR="008846FC" w:rsidRPr="008846FC">
        <w:rPr>
          <w:rFonts w:ascii="Times New Roman" w:eastAsia="標楷體" w:hint="eastAsia"/>
          <w:spacing w:val="-2"/>
          <w:sz w:val="24"/>
          <w:szCs w:val="28"/>
        </w:rPr>
        <w:t xml:space="preserve"> </w:t>
      </w:r>
      <w:r w:rsidR="008846FC">
        <w:rPr>
          <w:rFonts w:ascii="Times New Roman" w:eastAsia="標楷體" w:hint="eastAsia"/>
          <w:spacing w:val="-2"/>
          <w:sz w:val="24"/>
          <w:szCs w:val="28"/>
        </w:rPr>
        <w:t>growth</w:t>
      </w:r>
      <w:r w:rsidR="004928B9">
        <w:rPr>
          <w:rFonts w:ascii="Times New Roman" w:eastAsia="標楷體" w:hint="eastAsia"/>
          <w:spacing w:val="-2"/>
          <w:sz w:val="24"/>
          <w:szCs w:val="28"/>
        </w:rPr>
        <w:t xml:space="preserve">. </w:t>
      </w:r>
      <w:r w:rsidR="00742705">
        <w:rPr>
          <w:rFonts w:ascii="Times New Roman" w:eastAsia="標楷體" w:hint="eastAsia"/>
          <w:spacing w:val="-2"/>
          <w:sz w:val="24"/>
          <w:szCs w:val="28"/>
        </w:rPr>
        <w:t xml:space="preserve">In contrast, </w:t>
      </w:r>
      <w:r w:rsidR="004928B9">
        <w:rPr>
          <w:rFonts w:ascii="Times New Roman" w:eastAsia="標楷體" w:hint="eastAsia"/>
          <w:spacing w:val="-2"/>
          <w:sz w:val="24"/>
          <w:szCs w:val="28"/>
        </w:rPr>
        <w:t>Taiwan</w:t>
      </w:r>
      <w:r w:rsidR="004928B9">
        <w:rPr>
          <w:rFonts w:ascii="Times New Roman" w:eastAsia="標楷體"/>
          <w:spacing w:val="-2"/>
          <w:sz w:val="24"/>
          <w:szCs w:val="28"/>
        </w:rPr>
        <w:t>’</w:t>
      </w:r>
      <w:r w:rsidR="004928B9">
        <w:rPr>
          <w:rFonts w:ascii="Times New Roman" w:eastAsia="標楷體" w:hint="eastAsia"/>
          <w:spacing w:val="-2"/>
          <w:sz w:val="24"/>
          <w:szCs w:val="28"/>
        </w:rPr>
        <w:t xml:space="preserve">s economy is forecast by multiple domestic institutions to register </w:t>
      </w:r>
      <w:r w:rsidR="004928B9">
        <w:rPr>
          <w:rFonts w:ascii="Times New Roman" w:eastAsia="標楷體"/>
          <w:spacing w:val="-2"/>
          <w:sz w:val="24"/>
          <w:szCs w:val="28"/>
        </w:rPr>
        <w:t>positive</w:t>
      </w:r>
      <w:r w:rsidR="004928B9">
        <w:rPr>
          <w:rFonts w:ascii="Times New Roman" w:eastAsia="標楷體" w:hint="eastAsia"/>
          <w:spacing w:val="-2"/>
          <w:sz w:val="24"/>
          <w:szCs w:val="28"/>
        </w:rPr>
        <w:t xml:space="preserve">, close to 2% SAARs in all the quarters this year. </w:t>
      </w:r>
    </w:p>
    <w:p w:rsidR="00742705" w:rsidRDefault="00D66099" w:rsidP="00D66099">
      <w:pPr>
        <w:pStyle w:val="6"/>
        <w:overflowPunct w:val="0"/>
        <w:snapToGrid w:val="0"/>
        <w:spacing w:after="0" w:line="440" w:lineRule="exact"/>
        <w:ind w:left="0" w:firstLineChars="200" w:firstLine="472"/>
        <w:textDirection w:val="lrTbV"/>
        <w:rPr>
          <w:rFonts w:ascii="Times New Roman" w:eastAsia="標楷體"/>
          <w:spacing w:val="-2"/>
          <w:sz w:val="24"/>
          <w:szCs w:val="28"/>
        </w:rPr>
      </w:pPr>
      <w:r w:rsidRPr="007F6F77">
        <w:rPr>
          <w:rFonts w:ascii="Times New Roman" w:eastAsia="標楷體" w:hint="eastAsia"/>
          <w:spacing w:val="-2"/>
          <w:sz w:val="24"/>
          <w:szCs w:val="28"/>
        </w:rPr>
        <w:t xml:space="preserve">With regard to </w:t>
      </w:r>
      <w:r w:rsidRPr="007F6F77">
        <w:rPr>
          <w:rFonts w:ascii="Times New Roman" w:eastAsia="標楷體"/>
          <w:spacing w:val="-2"/>
          <w:sz w:val="24"/>
          <w:szCs w:val="28"/>
        </w:rPr>
        <w:t>domestic</w:t>
      </w:r>
      <w:r w:rsidRPr="007F6F77">
        <w:rPr>
          <w:rFonts w:ascii="Times New Roman" w:eastAsia="標楷體" w:hint="eastAsia"/>
          <w:spacing w:val="-2"/>
          <w:sz w:val="24"/>
          <w:szCs w:val="28"/>
        </w:rPr>
        <w:t xml:space="preserve"> prices, one board director </w:t>
      </w:r>
      <w:r w:rsidR="00742705">
        <w:rPr>
          <w:rFonts w:ascii="Times New Roman" w:eastAsia="標楷體" w:hint="eastAsia"/>
          <w:spacing w:val="-2"/>
          <w:sz w:val="24"/>
          <w:szCs w:val="28"/>
        </w:rPr>
        <w:t xml:space="preserve">stated that inflation was quite low in the first quarter of 2019 and </w:t>
      </w:r>
      <w:r w:rsidR="00372101">
        <w:rPr>
          <w:rFonts w:ascii="Times New Roman" w:eastAsia="標楷體" w:hint="eastAsia"/>
          <w:spacing w:val="-2"/>
          <w:sz w:val="24"/>
          <w:szCs w:val="28"/>
        </w:rPr>
        <w:t xml:space="preserve">was </w:t>
      </w:r>
      <w:r w:rsidR="00742705">
        <w:rPr>
          <w:rFonts w:ascii="Times New Roman" w:eastAsia="標楷體" w:hint="eastAsia"/>
          <w:spacing w:val="-2"/>
          <w:sz w:val="24"/>
          <w:szCs w:val="28"/>
        </w:rPr>
        <w:t xml:space="preserve">expected to stay at </w:t>
      </w:r>
      <w:r w:rsidR="00616B95">
        <w:rPr>
          <w:rFonts w:ascii="Times New Roman" w:eastAsia="標楷體" w:hint="eastAsia"/>
          <w:spacing w:val="-2"/>
          <w:sz w:val="24"/>
          <w:szCs w:val="28"/>
        </w:rPr>
        <w:t xml:space="preserve">a </w:t>
      </w:r>
      <w:r w:rsidR="00742705">
        <w:rPr>
          <w:rFonts w:ascii="Times New Roman" w:eastAsia="標楷體" w:hint="eastAsia"/>
          <w:spacing w:val="-2"/>
          <w:sz w:val="24"/>
          <w:szCs w:val="28"/>
        </w:rPr>
        <w:t xml:space="preserve">lower level for the year as a whole. Another board director </w:t>
      </w:r>
      <w:r w:rsidR="00616B95">
        <w:rPr>
          <w:rFonts w:ascii="Times New Roman" w:eastAsia="標楷體" w:hint="eastAsia"/>
          <w:spacing w:val="-2"/>
          <w:sz w:val="24"/>
          <w:szCs w:val="28"/>
        </w:rPr>
        <w:t>noted that, compared to last year</w:t>
      </w:r>
      <w:r w:rsidR="00616B95">
        <w:rPr>
          <w:rFonts w:ascii="Times New Roman" w:eastAsia="標楷體"/>
          <w:spacing w:val="-2"/>
          <w:sz w:val="24"/>
          <w:szCs w:val="28"/>
        </w:rPr>
        <w:t>’</w:t>
      </w:r>
      <w:r w:rsidR="00616B95">
        <w:rPr>
          <w:rFonts w:ascii="Times New Roman" w:eastAsia="標楷體" w:hint="eastAsia"/>
          <w:spacing w:val="-2"/>
          <w:sz w:val="24"/>
          <w:szCs w:val="28"/>
        </w:rPr>
        <w:t xml:space="preserve">s significant increase, crop production per unit of harvested area is expected to decrease this year. Combined with the </w:t>
      </w:r>
      <w:r w:rsidR="00420BD0">
        <w:rPr>
          <w:rFonts w:ascii="Times New Roman" w:eastAsia="標楷體" w:hint="eastAsia"/>
          <w:spacing w:val="-2"/>
          <w:sz w:val="24"/>
          <w:szCs w:val="28"/>
        </w:rPr>
        <w:t xml:space="preserve">growth-dampening </w:t>
      </w:r>
      <w:r w:rsidR="00616B95">
        <w:rPr>
          <w:rFonts w:ascii="Times New Roman" w:eastAsia="標楷體" w:hint="eastAsia"/>
          <w:spacing w:val="-2"/>
          <w:sz w:val="24"/>
          <w:szCs w:val="28"/>
        </w:rPr>
        <w:t>effect of a warm winter</w:t>
      </w:r>
      <w:r w:rsidR="00372101">
        <w:rPr>
          <w:rFonts w:ascii="Times New Roman" w:eastAsia="標楷體" w:hint="eastAsia"/>
          <w:spacing w:val="-2"/>
          <w:sz w:val="24"/>
          <w:szCs w:val="28"/>
        </w:rPr>
        <w:t xml:space="preserve"> at the start of the year</w:t>
      </w:r>
      <w:r w:rsidR="00616B95">
        <w:rPr>
          <w:rFonts w:ascii="Times New Roman" w:eastAsia="標楷體" w:hint="eastAsia"/>
          <w:spacing w:val="-2"/>
          <w:sz w:val="24"/>
          <w:szCs w:val="28"/>
        </w:rPr>
        <w:t xml:space="preserve">, </w:t>
      </w:r>
      <w:r w:rsidR="00420BD0">
        <w:rPr>
          <w:rFonts w:ascii="Times New Roman" w:eastAsia="標楷體" w:hint="eastAsia"/>
          <w:spacing w:val="-2"/>
          <w:sz w:val="24"/>
          <w:szCs w:val="28"/>
        </w:rPr>
        <w:t xml:space="preserve">food prices are likely to pick up. However, this would only have a limited influence on the </w:t>
      </w:r>
      <w:r w:rsidR="00420BD0">
        <w:rPr>
          <w:rFonts w:ascii="Times New Roman" w:eastAsia="標楷體"/>
          <w:spacing w:val="-2"/>
          <w:sz w:val="24"/>
          <w:szCs w:val="28"/>
        </w:rPr>
        <w:t>overall</w:t>
      </w:r>
      <w:r w:rsidR="00420BD0">
        <w:rPr>
          <w:rFonts w:ascii="Times New Roman" w:eastAsia="標楷體" w:hint="eastAsia"/>
          <w:spacing w:val="-2"/>
          <w:sz w:val="24"/>
          <w:szCs w:val="28"/>
        </w:rPr>
        <w:t xml:space="preserve"> </w:t>
      </w:r>
      <w:r w:rsidR="00D31D00">
        <w:rPr>
          <w:rFonts w:ascii="Times New Roman" w:eastAsia="標楷體" w:hint="eastAsia"/>
          <w:spacing w:val="-2"/>
          <w:sz w:val="24"/>
          <w:szCs w:val="28"/>
        </w:rPr>
        <w:t>inflation rate</w:t>
      </w:r>
      <w:r w:rsidR="00420BD0">
        <w:rPr>
          <w:rFonts w:ascii="Times New Roman" w:eastAsia="標楷體" w:hint="eastAsia"/>
          <w:spacing w:val="-2"/>
          <w:sz w:val="24"/>
          <w:szCs w:val="28"/>
        </w:rPr>
        <w:t xml:space="preserve">. </w:t>
      </w:r>
    </w:p>
    <w:p w:rsidR="003044E3" w:rsidRPr="007F6F77" w:rsidRDefault="00215564" w:rsidP="003044E3">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 xml:space="preserve"> </w:t>
      </w:r>
      <w:r w:rsidR="003044E3" w:rsidRPr="007F6F77">
        <w:rPr>
          <w:rFonts w:eastAsia="標楷體" w:hint="eastAsia"/>
          <w:spacing w:val="-2"/>
          <w:kern w:val="2"/>
          <w:sz w:val="24"/>
          <w:szCs w:val="28"/>
        </w:rPr>
        <w:t>(2) Discussion on interest rate decision</w:t>
      </w:r>
    </w:p>
    <w:p w:rsidR="00605AE8" w:rsidRPr="001B5916" w:rsidRDefault="001B5916" w:rsidP="00FA173A">
      <w:pPr>
        <w:adjustRightInd/>
        <w:snapToGrid w:val="0"/>
        <w:spacing w:before="120" w:line="440" w:lineRule="exact"/>
        <w:ind w:firstLineChars="200" w:firstLine="480"/>
        <w:jc w:val="both"/>
        <w:textDirection w:val="lrTbV"/>
        <w:rPr>
          <w:rFonts w:eastAsia="標楷體"/>
          <w:sz w:val="24"/>
          <w:szCs w:val="32"/>
        </w:rPr>
      </w:pPr>
      <w:r w:rsidRPr="001B5916">
        <w:rPr>
          <w:rFonts w:eastAsia="標楷體" w:hint="eastAsia"/>
          <w:sz w:val="24"/>
          <w:szCs w:val="32"/>
        </w:rPr>
        <w:t xml:space="preserve">All board </w:t>
      </w:r>
      <w:r>
        <w:rPr>
          <w:rFonts w:eastAsia="標楷體" w:hint="eastAsia"/>
          <w:sz w:val="24"/>
          <w:szCs w:val="32"/>
        </w:rPr>
        <w:t xml:space="preserve">directors favored no change to the current levels of policy rates, based mainly on the assessment of domestic economic moderation. </w:t>
      </w:r>
      <w:r w:rsidRPr="00215564">
        <w:rPr>
          <w:rFonts w:eastAsia="標楷體" w:hint="eastAsia"/>
          <w:sz w:val="24"/>
          <w:szCs w:val="32"/>
        </w:rPr>
        <w:t>One board director gave the reason t</w:t>
      </w:r>
      <w:r>
        <w:rPr>
          <w:rFonts w:eastAsia="標楷體" w:hint="eastAsia"/>
          <w:sz w:val="24"/>
          <w:szCs w:val="32"/>
        </w:rPr>
        <w:t xml:space="preserve">hat, with </w:t>
      </w:r>
      <w:r>
        <w:rPr>
          <w:rFonts w:eastAsia="標楷體"/>
          <w:sz w:val="24"/>
          <w:szCs w:val="32"/>
        </w:rPr>
        <w:t>economic</w:t>
      </w:r>
      <w:r>
        <w:rPr>
          <w:rFonts w:eastAsia="標楷體" w:hint="eastAsia"/>
          <w:sz w:val="24"/>
          <w:szCs w:val="32"/>
        </w:rPr>
        <w:t xml:space="preserve"> momentum </w:t>
      </w:r>
      <w:r w:rsidR="00700318">
        <w:rPr>
          <w:rFonts w:eastAsia="標楷體" w:hint="eastAsia"/>
          <w:sz w:val="24"/>
          <w:szCs w:val="32"/>
        </w:rPr>
        <w:t xml:space="preserve">weaker </w:t>
      </w:r>
      <w:r>
        <w:rPr>
          <w:rFonts w:eastAsia="標楷體" w:hint="eastAsia"/>
          <w:sz w:val="24"/>
          <w:szCs w:val="32"/>
        </w:rPr>
        <w:t xml:space="preserve">than last year, </w:t>
      </w:r>
      <w:r w:rsidR="00700318">
        <w:rPr>
          <w:rFonts w:eastAsia="標楷體" w:hint="eastAsia"/>
          <w:sz w:val="24"/>
          <w:szCs w:val="32"/>
        </w:rPr>
        <w:t>it is warranted to continue with the</w:t>
      </w:r>
      <w:r>
        <w:rPr>
          <w:rFonts w:eastAsia="標楷體" w:hint="eastAsia"/>
          <w:sz w:val="24"/>
          <w:szCs w:val="32"/>
        </w:rPr>
        <w:t xml:space="preserve"> accommodative monetary policy </w:t>
      </w:r>
      <w:r w:rsidR="00700318">
        <w:rPr>
          <w:rFonts w:eastAsia="標楷體" w:hint="eastAsia"/>
          <w:sz w:val="24"/>
          <w:szCs w:val="32"/>
        </w:rPr>
        <w:t xml:space="preserve">in order </w:t>
      </w:r>
      <w:r>
        <w:rPr>
          <w:rFonts w:eastAsia="標楷體" w:hint="eastAsia"/>
          <w:sz w:val="24"/>
          <w:szCs w:val="32"/>
        </w:rPr>
        <w:t xml:space="preserve">to support funding needs, particularly those of small- and medium-sized enterprises. </w:t>
      </w:r>
      <w:r w:rsidRPr="00215564">
        <w:rPr>
          <w:rFonts w:eastAsia="標楷體" w:hint="eastAsia"/>
          <w:sz w:val="24"/>
          <w:szCs w:val="32"/>
        </w:rPr>
        <w:t>Another board director</w:t>
      </w:r>
      <w:r>
        <w:rPr>
          <w:rFonts w:eastAsia="標楷體" w:hint="eastAsia"/>
          <w:sz w:val="24"/>
          <w:szCs w:val="32"/>
        </w:rPr>
        <w:t xml:space="preserve"> stated that a widened output gap</w:t>
      </w:r>
      <w:r w:rsidR="009147B8">
        <w:rPr>
          <w:rFonts w:eastAsia="標楷體" w:hint="eastAsia"/>
          <w:sz w:val="24"/>
          <w:szCs w:val="32"/>
        </w:rPr>
        <w:t>, which</w:t>
      </w:r>
      <w:r>
        <w:rPr>
          <w:rFonts w:eastAsia="標楷體" w:hint="eastAsia"/>
          <w:sz w:val="24"/>
          <w:szCs w:val="32"/>
        </w:rPr>
        <w:t xml:space="preserve"> </w:t>
      </w:r>
      <w:r w:rsidR="00B765E8">
        <w:rPr>
          <w:rFonts w:eastAsia="標楷體" w:hint="eastAsia"/>
          <w:sz w:val="24"/>
          <w:szCs w:val="32"/>
        </w:rPr>
        <w:t xml:space="preserve">indicated </w:t>
      </w:r>
      <w:r w:rsidR="009147B8">
        <w:rPr>
          <w:rFonts w:eastAsia="標楷體" w:hint="eastAsia"/>
          <w:sz w:val="24"/>
          <w:szCs w:val="32"/>
        </w:rPr>
        <w:t xml:space="preserve">deficient growth momentum and subdued inflation, and the likely year-long pause of rate hikes by the </w:t>
      </w:r>
      <w:proofErr w:type="gramStart"/>
      <w:r w:rsidR="009147B8">
        <w:rPr>
          <w:rFonts w:eastAsia="標楷體" w:hint="eastAsia"/>
          <w:sz w:val="24"/>
          <w:szCs w:val="32"/>
        </w:rPr>
        <w:t>Fed</w:t>
      </w:r>
      <w:proofErr w:type="gramEnd"/>
      <w:r w:rsidR="009147B8">
        <w:rPr>
          <w:rFonts w:eastAsia="標楷體" w:hint="eastAsia"/>
          <w:sz w:val="24"/>
          <w:szCs w:val="32"/>
        </w:rPr>
        <w:t xml:space="preserve"> gave little ground for Taiwan to raise policy rates. </w:t>
      </w:r>
      <w:r>
        <w:rPr>
          <w:rFonts w:eastAsia="標楷體" w:hint="eastAsia"/>
          <w:sz w:val="24"/>
          <w:szCs w:val="32"/>
        </w:rPr>
        <w:t xml:space="preserve"> </w:t>
      </w:r>
    </w:p>
    <w:p w:rsidR="005E32D5" w:rsidRDefault="00425A00" w:rsidP="005718A0">
      <w:pPr>
        <w:adjustRightInd/>
        <w:snapToGrid w:val="0"/>
        <w:spacing w:before="120" w:line="440" w:lineRule="exact"/>
        <w:ind w:firstLineChars="200" w:firstLine="480"/>
        <w:jc w:val="both"/>
        <w:textDirection w:val="lrTbV"/>
        <w:rPr>
          <w:rFonts w:eastAsia="標楷體"/>
          <w:sz w:val="24"/>
          <w:szCs w:val="32"/>
        </w:rPr>
      </w:pPr>
      <w:r w:rsidRPr="00215564">
        <w:rPr>
          <w:rFonts w:eastAsia="標楷體" w:hint="eastAsia"/>
          <w:sz w:val="24"/>
          <w:szCs w:val="32"/>
        </w:rPr>
        <w:t xml:space="preserve">One board director </w:t>
      </w:r>
      <w:r w:rsidR="00742BD3" w:rsidRPr="00215564">
        <w:rPr>
          <w:rFonts w:eastAsia="標楷體" w:hint="eastAsia"/>
          <w:sz w:val="24"/>
          <w:szCs w:val="32"/>
        </w:rPr>
        <w:t>remarked that while economies around the world, including T</w:t>
      </w:r>
      <w:r w:rsidR="00742BD3" w:rsidRPr="00215564">
        <w:rPr>
          <w:rFonts w:eastAsia="標楷體"/>
          <w:sz w:val="24"/>
          <w:szCs w:val="32"/>
        </w:rPr>
        <w:t>a</w:t>
      </w:r>
      <w:r w:rsidR="00742BD3" w:rsidRPr="00215564">
        <w:rPr>
          <w:rFonts w:eastAsia="標楷體" w:hint="eastAsia"/>
          <w:sz w:val="24"/>
          <w:szCs w:val="32"/>
        </w:rPr>
        <w:t xml:space="preserve">iwan, were </w:t>
      </w:r>
      <w:r w:rsidR="00700318">
        <w:rPr>
          <w:rFonts w:eastAsia="標楷體" w:hint="eastAsia"/>
          <w:sz w:val="24"/>
          <w:szCs w:val="32"/>
        </w:rPr>
        <w:t xml:space="preserve">experiencing some </w:t>
      </w:r>
      <w:r w:rsidR="00742BD3" w:rsidRPr="00215564">
        <w:rPr>
          <w:rFonts w:eastAsia="標楷體" w:hint="eastAsia"/>
          <w:sz w:val="24"/>
          <w:szCs w:val="32"/>
        </w:rPr>
        <w:t>slow</w:t>
      </w:r>
      <w:r w:rsidR="00700318">
        <w:rPr>
          <w:rFonts w:eastAsia="標楷體" w:hint="eastAsia"/>
          <w:sz w:val="24"/>
          <w:szCs w:val="32"/>
        </w:rPr>
        <w:t>down</w:t>
      </w:r>
      <w:r w:rsidR="00742BD3" w:rsidRPr="00215564">
        <w:rPr>
          <w:rFonts w:eastAsia="標楷體" w:hint="eastAsia"/>
          <w:sz w:val="24"/>
          <w:szCs w:val="32"/>
        </w:rPr>
        <w:t xml:space="preserve"> and uncertainties abounded for the global economic </w:t>
      </w:r>
      <w:r w:rsidR="00742BD3" w:rsidRPr="00215564">
        <w:rPr>
          <w:rFonts w:eastAsia="標楷體" w:hint="eastAsia"/>
          <w:sz w:val="24"/>
          <w:szCs w:val="32"/>
        </w:rPr>
        <w:lastRenderedPageBreak/>
        <w:t xml:space="preserve">outlook, caution would be in order and, therefore, a </w:t>
      </w:r>
      <w:r w:rsidR="009A6344" w:rsidRPr="00215564">
        <w:rPr>
          <w:rFonts w:eastAsia="標楷體"/>
          <w:sz w:val="24"/>
          <w:szCs w:val="32"/>
        </w:rPr>
        <w:t>‘</w:t>
      </w:r>
      <w:r w:rsidRPr="00215564">
        <w:rPr>
          <w:rFonts w:eastAsia="標楷體"/>
          <w:sz w:val="24"/>
          <w:szCs w:val="32"/>
        </w:rPr>
        <w:t>wait and see</w:t>
      </w:r>
      <w:r w:rsidR="009A6344" w:rsidRPr="00215564">
        <w:rPr>
          <w:rFonts w:eastAsia="標楷體"/>
          <w:sz w:val="24"/>
          <w:szCs w:val="32"/>
        </w:rPr>
        <w:t>’</w:t>
      </w:r>
      <w:r w:rsidRPr="00215564">
        <w:rPr>
          <w:rFonts w:eastAsia="標楷體"/>
          <w:sz w:val="24"/>
          <w:szCs w:val="32"/>
        </w:rPr>
        <w:t xml:space="preserve"> approach</w:t>
      </w:r>
      <w:r w:rsidR="00742BD3" w:rsidRPr="00215564">
        <w:rPr>
          <w:rFonts w:eastAsia="標楷體" w:hint="eastAsia"/>
          <w:sz w:val="24"/>
          <w:szCs w:val="32"/>
        </w:rPr>
        <w:t xml:space="preserve"> to the domestic policy rates would be warranted. </w:t>
      </w:r>
      <w:r w:rsidR="0045759A" w:rsidRPr="00215564">
        <w:rPr>
          <w:rFonts w:eastAsia="標楷體" w:hint="eastAsia"/>
          <w:sz w:val="24"/>
          <w:szCs w:val="32"/>
        </w:rPr>
        <w:t xml:space="preserve">Another board director mentioned </w:t>
      </w:r>
      <w:r w:rsidR="003B30AC">
        <w:rPr>
          <w:rFonts w:eastAsia="標楷體" w:hint="eastAsia"/>
          <w:sz w:val="24"/>
          <w:szCs w:val="32"/>
        </w:rPr>
        <w:t xml:space="preserve">that </w:t>
      </w:r>
      <w:r w:rsidR="0045759A" w:rsidRPr="00215564">
        <w:rPr>
          <w:rFonts w:eastAsia="標楷體" w:hint="eastAsia"/>
          <w:sz w:val="24"/>
          <w:szCs w:val="32"/>
        </w:rPr>
        <w:t>the Bank</w:t>
      </w:r>
      <w:r w:rsidR="0045759A" w:rsidRPr="00215564">
        <w:rPr>
          <w:rFonts w:eastAsia="標楷體"/>
          <w:sz w:val="24"/>
          <w:szCs w:val="32"/>
        </w:rPr>
        <w:t>’</w:t>
      </w:r>
      <w:r w:rsidR="0045759A" w:rsidRPr="00215564">
        <w:rPr>
          <w:rFonts w:eastAsia="標楷體" w:hint="eastAsia"/>
          <w:sz w:val="24"/>
          <w:szCs w:val="32"/>
        </w:rPr>
        <w:t xml:space="preserve">s previous rate cut cycle spanned about one year, namely from the third quarter of 2015 to the second quarter of 2016, with four consecutive reductions </w:t>
      </w:r>
      <w:r w:rsidR="001B7115" w:rsidRPr="00215564">
        <w:rPr>
          <w:rFonts w:eastAsia="標楷體" w:hint="eastAsia"/>
          <w:sz w:val="24"/>
          <w:szCs w:val="32"/>
        </w:rPr>
        <w:t xml:space="preserve">in response to </w:t>
      </w:r>
      <w:r w:rsidR="00F075EF" w:rsidRPr="00215564">
        <w:rPr>
          <w:rFonts w:eastAsia="標楷體" w:hint="eastAsia"/>
          <w:sz w:val="24"/>
          <w:szCs w:val="32"/>
        </w:rPr>
        <w:t xml:space="preserve">domestic </w:t>
      </w:r>
      <w:r w:rsidR="00F075EF" w:rsidRPr="00215564">
        <w:rPr>
          <w:rFonts w:eastAsia="標楷體"/>
          <w:sz w:val="24"/>
          <w:szCs w:val="32"/>
        </w:rPr>
        <w:t>economic</w:t>
      </w:r>
      <w:r w:rsidR="00F075EF" w:rsidRPr="00215564">
        <w:rPr>
          <w:rFonts w:eastAsia="標楷體" w:hint="eastAsia"/>
          <w:sz w:val="24"/>
          <w:szCs w:val="32"/>
        </w:rPr>
        <w:t xml:space="preserve"> </w:t>
      </w:r>
      <w:r w:rsidR="001B7115" w:rsidRPr="00215564">
        <w:rPr>
          <w:rFonts w:eastAsia="標楷體"/>
          <w:sz w:val="24"/>
          <w:szCs w:val="32"/>
        </w:rPr>
        <w:t xml:space="preserve">doldrums, even </w:t>
      </w:r>
      <w:r w:rsidR="001B7115" w:rsidRPr="00215564">
        <w:rPr>
          <w:rFonts w:eastAsia="標楷體" w:hint="eastAsia"/>
          <w:sz w:val="24"/>
          <w:szCs w:val="32"/>
        </w:rPr>
        <w:t>negative growth</w:t>
      </w:r>
      <w:r w:rsidR="001B7115" w:rsidRPr="00215564">
        <w:rPr>
          <w:rFonts w:eastAsia="標楷體"/>
          <w:sz w:val="24"/>
          <w:szCs w:val="32"/>
        </w:rPr>
        <w:t xml:space="preserve">. </w:t>
      </w:r>
      <w:r w:rsidR="001B7115" w:rsidRPr="00215564">
        <w:rPr>
          <w:rFonts w:eastAsia="標楷體" w:hint="eastAsia"/>
          <w:sz w:val="24"/>
          <w:szCs w:val="32"/>
        </w:rPr>
        <w:t xml:space="preserve">By contrast, domestic institutions </w:t>
      </w:r>
      <w:r w:rsidR="005718A0">
        <w:rPr>
          <w:rFonts w:eastAsia="標楷體" w:hint="eastAsia"/>
          <w:sz w:val="24"/>
          <w:szCs w:val="32"/>
        </w:rPr>
        <w:t xml:space="preserve">already </w:t>
      </w:r>
      <w:r w:rsidR="001B7115" w:rsidRPr="00215564">
        <w:rPr>
          <w:rFonts w:eastAsia="標楷體" w:hint="eastAsia"/>
          <w:sz w:val="24"/>
          <w:szCs w:val="32"/>
        </w:rPr>
        <w:t>pointed out that</w:t>
      </w:r>
      <w:r w:rsidR="005718A0">
        <w:rPr>
          <w:rFonts w:eastAsia="標楷體" w:hint="eastAsia"/>
          <w:sz w:val="24"/>
          <w:szCs w:val="32"/>
        </w:rPr>
        <w:t xml:space="preserve">, despite a slowdown in general, there is a likelihood for the </w:t>
      </w:r>
      <w:r w:rsidR="005718A0">
        <w:rPr>
          <w:rFonts w:eastAsia="標楷體"/>
          <w:sz w:val="24"/>
          <w:szCs w:val="32"/>
        </w:rPr>
        <w:t>econom</w:t>
      </w:r>
      <w:r w:rsidR="005718A0">
        <w:rPr>
          <w:rFonts w:eastAsia="標楷體" w:hint="eastAsia"/>
          <w:sz w:val="24"/>
          <w:szCs w:val="32"/>
        </w:rPr>
        <w:t xml:space="preserve">y to pick up gradually from quarter to quarter this year, </w:t>
      </w:r>
      <w:r w:rsidR="003741E0" w:rsidRPr="00215564">
        <w:rPr>
          <w:rFonts w:eastAsia="標楷體" w:hint="eastAsia"/>
          <w:sz w:val="24"/>
          <w:szCs w:val="32"/>
        </w:rPr>
        <w:t xml:space="preserve">underpinning </w:t>
      </w:r>
      <w:r w:rsidR="009D669E" w:rsidRPr="00215564">
        <w:rPr>
          <w:rFonts w:eastAsia="標楷體" w:hint="eastAsia"/>
          <w:sz w:val="24"/>
          <w:szCs w:val="32"/>
        </w:rPr>
        <w:t>the rate hold proposition. Furthermore, many economies had kept rates unchanged or continued with policy easing since the fourth quarter last year as they experienced slowdown in varying degrees. This board dire</w:t>
      </w:r>
      <w:r w:rsidR="00BB0511" w:rsidRPr="00215564">
        <w:rPr>
          <w:rFonts w:eastAsia="標楷體" w:hint="eastAsia"/>
          <w:sz w:val="24"/>
          <w:szCs w:val="32"/>
        </w:rPr>
        <w:t xml:space="preserve">ctor highlighted </w:t>
      </w:r>
      <w:r w:rsidR="005E32D5" w:rsidRPr="00215564">
        <w:rPr>
          <w:rFonts w:eastAsia="標楷體" w:hint="eastAsia"/>
          <w:sz w:val="24"/>
          <w:szCs w:val="32"/>
        </w:rPr>
        <w:t xml:space="preserve">that, </w:t>
      </w:r>
      <w:r w:rsidR="00AE0BA4" w:rsidRPr="00215564">
        <w:rPr>
          <w:rFonts w:eastAsia="標楷體" w:hint="eastAsia"/>
          <w:sz w:val="24"/>
          <w:szCs w:val="32"/>
        </w:rPr>
        <w:t>in accordance with</w:t>
      </w:r>
      <w:r w:rsidR="005E32D5" w:rsidRPr="00215564">
        <w:rPr>
          <w:rFonts w:eastAsia="標楷體" w:hint="eastAsia"/>
          <w:sz w:val="24"/>
          <w:szCs w:val="32"/>
        </w:rPr>
        <w:t xml:space="preserve"> the </w:t>
      </w:r>
      <w:r w:rsidR="00AE0BA4" w:rsidRPr="00215564">
        <w:rPr>
          <w:rFonts w:eastAsia="標楷體" w:hint="eastAsia"/>
          <w:sz w:val="24"/>
          <w:szCs w:val="32"/>
        </w:rPr>
        <w:t xml:space="preserve">Central Bank of the R.O.C. (Taiwan) </w:t>
      </w:r>
      <w:r w:rsidR="005E32D5" w:rsidRPr="00215564">
        <w:rPr>
          <w:rFonts w:eastAsia="標楷體" w:hint="eastAsia"/>
          <w:sz w:val="24"/>
          <w:szCs w:val="32"/>
        </w:rPr>
        <w:t xml:space="preserve">Act, </w:t>
      </w:r>
      <w:r w:rsidR="00AE0BA4" w:rsidRPr="00215564">
        <w:rPr>
          <w:rFonts w:eastAsia="標楷體" w:hint="eastAsia"/>
          <w:sz w:val="24"/>
          <w:szCs w:val="32"/>
        </w:rPr>
        <w:t>t</w:t>
      </w:r>
      <w:r w:rsidR="00AE0BA4">
        <w:rPr>
          <w:rFonts w:eastAsia="標楷體" w:hint="eastAsia"/>
          <w:sz w:val="24"/>
          <w:szCs w:val="32"/>
        </w:rPr>
        <w:t xml:space="preserve">he last operational objective </w:t>
      </w:r>
      <w:r w:rsidR="00AE0BA4">
        <w:rPr>
          <w:rFonts w:eastAsia="標楷體"/>
          <w:sz w:val="24"/>
          <w:szCs w:val="32"/>
        </w:rPr>
        <w:t>“</w:t>
      </w:r>
      <w:r w:rsidR="00AE0BA4">
        <w:rPr>
          <w:rFonts w:eastAsia="標楷體" w:hint="eastAsia"/>
          <w:sz w:val="24"/>
          <w:szCs w:val="32"/>
        </w:rPr>
        <w:t>to foster economic development</w:t>
      </w:r>
      <w:r w:rsidR="00AE0BA4">
        <w:rPr>
          <w:rFonts w:eastAsia="標楷體"/>
          <w:sz w:val="24"/>
          <w:szCs w:val="32"/>
        </w:rPr>
        <w:t>”</w:t>
      </w:r>
      <w:r w:rsidR="00AE0BA4">
        <w:rPr>
          <w:rFonts w:eastAsia="標楷體" w:hint="eastAsia"/>
          <w:sz w:val="24"/>
          <w:szCs w:val="32"/>
        </w:rPr>
        <w:t xml:space="preserve"> is to be pursued </w:t>
      </w:r>
      <w:r w:rsidR="00AE0BA4">
        <w:rPr>
          <w:rFonts w:eastAsia="標楷體"/>
          <w:sz w:val="24"/>
          <w:szCs w:val="32"/>
        </w:rPr>
        <w:t>“</w:t>
      </w:r>
      <w:r w:rsidR="00AE0BA4">
        <w:rPr>
          <w:rFonts w:eastAsia="標楷體" w:hint="eastAsia"/>
          <w:sz w:val="24"/>
          <w:szCs w:val="32"/>
        </w:rPr>
        <w:t>within the scope of</w:t>
      </w:r>
      <w:r w:rsidR="00AE0BA4">
        <w:rPr>
          <w:rFonts w:eastAsia="標楷體"/>
          <w:sz w:val="24"/>
          <w:szCs w:val="32"/>
        </w:rPr>
        <w:t>”</w:t>
      </w:r>
      <w:r w:rsidR="00AE0BA4">
        <w:rPr>
          <w:rFonts w:eastAsia="標楷體" w:hint="eastAsia"/>
          <w:sz w:val="24"/>
          <w:szCs w:val="32"/>
        </w:rPr>
        <w:t xml:space="preserve"> the </w:t>
      </w:r>
      <w:r w:rsidR="007B39FB">
        <w:rPr>
          <w:rFonts w:eastAsia="標楷體" w:hint="eastAsia"/>
          <w:sz w:val="24"/>
          <w:szCs w:val="32"/>
        </w:rPr>
        <w:t xml:space="preserve">other </w:t>
      </w:r>
      <w:r w:rsidR="00AE0BA4">
        <w:rPr>
          <w:rFonts w:eastAsia="標楷體" w:hint="eastAsia"/>
          <w:sz w:val="24"/>
          <w:szCs w:val="32"/>
        </w:rPr>
        <w:t>objectives</w:t>
      </w:r>
      <w:r w:rsidR="007B39FB">
        <w:rPr>
          <w:rFonts w:eastAsia="標楷體" w:hint="eastAsia"/>
          <w:sz w:val="24"/>
          <w:szCs w:val="32"/>
        </w:rPr>
        <w:t xml:space="preserve">, such as </w:t>
      </w:r>
      <w:r w:rsidR="00AE0BA4">
        <w:rPr>
          <w:rFonts w:eastAsia="標楷體" w:hint="eastAsia"/>
          <w:sz w:val="24"/>
          <w:szCs w:val="32"/>
        </w:rPr>
        <w:t>financial stability</w:t>
      </w:r>
      <w:r w:rsidR="007B39FB">
        <w:rPr>
          <w:rFonts w:eastAsia="標楷體" w:hint="eastAsia"/>
          <w:sz w:val="24"/>
          <w:szCs w:val="32"/>
        </w:rPr>
        <w:t xml:space="preserve"> and</w:t>
      </w:r>
      <w:r w:rsidR="00AE0BA4">
        <w:rPr>
          <w:rFonts w:eastAsia="標楷體" w:hint="eastAsia"/>
          <w:sz w:val="24"/>
          <w:szCs w:val="32"/>
        </w:rPr>
        <w:t xml:space="preserve"> sound banking operations, </w:t>
      </w:r>
      <w:r w:rsidR="00B31CDF">
        <w:rPr>
          <w:rFonts w:eastAsia="標楷體" w:hint="eastAsia"/>
          <w:sz w:val="24"/>
          <w:szCs w:val="32"/>
        </w:rPr>
        <w:t>whereas</w:t>
      </w:r>
      <w:r w:rsidR="00AE0BA4">
        <w:rPr>
          <w:rFonts w:eastAsia="標楷體" w:hint="eastAsia"/>
          <w:sz w:val="24"/>
          <w:szCs w:val="32"/>
        </w:rPr>
        <w:t xml:space="preserve"> the general public sometimes give too much weight to the Bank</w:t>
      </w:r>
      <w:r w:rsidR="00AE0BA4">
        <w:rPr>
          <w:rFonts w:eastAsia="標楷體"/>
          <w:sz w:val="24"/>
          <w:szCs w:val="32"/>
        </w:rPr>
        <w:t>’</w:t>
      </w:r>
      <w:r w:rsidR="00AE0BA4">
        <w:rPr>
          <w:rFonts w:eastAsia="標楷體" w:hint="eastAsia"/>
          <w:sz w:val="24"/>
          <w:szCs w:val="32"/>
        </w:rPr>
        <w:t xml:space="preserve">s role in </w:t>
      </w:r>
      <w:r w:rsidR="00AE0BA4">
        <w:rPr>
          <w:rFonts w:eastAsia="標楷體"/>
          <w:sz w:val="24"/>
          <w:szCs w:val="32"/>
        </w:rPr>
        <w:t>economic</w:t>
      </w:r>
      <w:r w:rsidR="00AE0BA4">
        <w:rPr>
          <w:rFonts w:eastAsia="標楷體" w:hint="eastAsia"/>
          <w:sz w:val="24"/>
          <w:szCs w:val="32"/>
        </w:rPr>
        <w:t xml:space="preserve"> growth. </w:t>
      </w:r>
    </w:p>
    <w:p w:rsidR="005751F8" w:rsidRDefault="00AE0BA4" w:rsidP="005751F8">
      <w:pPr>
        <w:adjustRightInd/>
        <w:snapToGrid w:val="0"/>
        <w:spacing w:before="120" w:line="440" w:lineRule="exact"/>
        <w:ind w:firstLineChars="200" w:firstLine="480"/>
        <w:jc w:val="both"/>
        <w:textDirection w:val="lrTbV"/>
        <w:rPr>
          <w:rFonts w:eastAsia="標楷體"/>
          <w:sz w:val="24"/>
          <w:szCs w:val="32"/>
        </w:rPr>
      </w:pPr>
      <w:r w:rsidRPr="00215564">
        <w:rPr>
          <w:rFonts w:eastAsia="標楷體" w:hint="eastAsia"/>
          <w:sz w:val="24"/>
          <w:szCs w:val="32"/>
        </w:rPr>
        <w:t>Several</w:t>
      </w:r>
      <w:r w:rsidR="00C41905" w:rsidRPr="00215564">
        <w:rPr>
          <w:rFonts w:eastAsia="標楷體" w:hint="eastAsia"/>
          <w:sz w:val="24"/>
          <w:szCs w:val="32"/>
        </w:rPr>
        <w:t xml:space="preserve"> </w:t>
      </w:r>
      <w:r w:rsidR="00A6032A" w:rsidRPr="00215564">
        <w:rPr>
          <w:rFonts w:eastAsia="標楷體" w:hint="eastAsia"/>
          <w:sz w:val="24"/>
          <w:szCs w:val="32"/>
        </w:rPr>
        <w:t>board directors</w:t>
      </w:r>
      <w:r w:rsidR="00A6032A" w:rsidRPr="00AE0BA4">
        <w:rPr>
          <w:rFonts w:eastAsia="標楷體" w:hint="eastAsia"/>
          <w:sz w:val="24"/>
          <w:szCs w:val="32"/>
        </w:rPr>
        <w:t xml:space="preserve"> </w:t>
      </w:r>
      <w:r w:rsidR="00B111FC" w:rsidRPr="00AE0BA4">
        <w:rPr>
          <w:rFonts w:eastAsia="標楷體" w:hint="eastAsia"/>
          <w:sz w:val="24"/>
          <w:szCs w:val="32"/>
        </w:rPr>
        <w:t>ex</w:t>
      </w:r>
      <w:r w:rsidR="00B111FC" w:rsidRPr="007F6F77">
        <w:rPr>
          <w:rFonts w:eastAsia="標楷體" w:hint="eastAsia"/>
          <w:sz w:val="24"/>
          <w:szCs w:val="32"/>
        </w:rPr>
        <w:t xml:space="preserve">pressed </w:t>
      </w:r>
      <w:r w:rsidR="00AB6995" w:rsidRPr="007F6F77">
        <w:rPr>
          <w:rFonts w:eastAsia="標楷體" w:hint="eastAsia"/>
          <w:sz w:val="24"/>
          <w:szCs w:val="32"/>
        </w:rPr>
        <w:t xml:space="preserve">support for </w:t>
      </w:r>
      <w:r w:rsidR="00EE6519" w:rsidRPr="00215564">
        <w:rPr>
          <w:rFonts w:eastAsia="標楷體" w:hint="eastAsia"/>
          <w:sz w:val="24"/>
          <w:szCs w:val="32"/>
        </w:rPr>
        <w:t xml:space="preserve">a rate hold </w:t>
      </w:r>
      <w:r w:rsidR="00EE6519">
        <w:rPr>
          <w:rFonts w:eastAsia="標楷體" w:hint="eastAsia"/>
          <w:sz w:val="24"/>
          <w:szCs w:val="32"/>
        </w:rPr>
        <w:t xml:space="preserve">and commented on future deliberations about monetary policy. </w:t>
      </w:r>
      <w:r w:rsidR="00EE6519" w:rsidRPr="00215564">
        <w:rPr>
          <w:rFonts w:eastAsia="標楷體" w:hint="eastAsia"/>
          <w:sz w:val="24"/>
          <w:szCs w:val="32"/>
        </w:rPr>
        <w:t xml:space="preserve">One board director noted that </w:t>
      </w:r>
      <w:r w:rsidR="00DA711C" w:rsidRPr="00215564">
        <w:rPr>
          <w:rFonts w:eastAsia="標楷體" w:hint="eastAsia"/>
          <w:sz w:val="24"/>
          <w:szCs w:val="32"/>
        </w:rPr>
        <w:t>holding rates steady</w:t>
      </w:r>
      <w:r w:rsidR="00DA711C">
        <w:rPr>
          <w:rFonts w:eastAsia="標楷體" w:hint="eastAsia"/>
          <w:sz w:val="24"/>
          <w:szCs w:val="32"/>
        </w:rPr>
        <w:t xml:space="preserve"> would suffice in the short term given the relative calmness in the current international economic and financial environment. Nevertheless, pro</w:t>
      </w:r>
      <w:r w:rsidR="0089443D">
        <w:rPr>
          <w:rFonts w:eastAsia="標楷體" w:hint="eastAsia"/>
          <w:sz w:val="24"/>
          <w:szCs w:val="32"/>
        </w:rPr>
        <w:t>tracted</w:t>
      </w:r>
      <w:r w:rsidR="00DA711C">
        <w:rPr>
          <w:rFonts w:eastAsia="標楷體" w:hint="eastAsia"/>
          <w:sz w:val="24"/>
          <w:szCs w:val="32"/>
        </w:rPr>
        <w:t xml:space="preserve"> low </w:t>
      </w:r>
      <w:r w:rsidR="0089443D">
        <w:rPr>
          <w:rFonts w:eastAsia="標楷體" w:hint="eastAsia"/>
          <w:sz w:val="24"/>
          <w:szCs w:val="32"/>
        </w:rPr>
        <w:t xml:space="preserve">interest rates hamper the efficiency of capital allocation. </w:t>
      </w:r>
      <w:r w:rsidR="00987128">
        <w:rPr>
          <w:rFonts w:eastAsia="標楷體" w:hint="eastAsia"/>
          <w:sz w:val="24"/>
          <w:szCs w:val="32"/>
        </w:rPr>
        <w:t xml:space="preserve">It is </w:t>
      </w:r>
      <w:r w:rsidR="00381368">
        <w:rPr>
          <w:rFonts w:eastAsia="標楷體" w:hint="eastAsia"/>
          <w:sz w:val="24"/>
          <w:szCs w:val="32"/>
        </w:rPr>
        <w:t xml:space="preserve">thus </w:t>
      </w:r>
      <w:r w:rsidR="00987128">
        <w:rPr>
          <w:rFonts w:eastAsia="標楷體" w:hint="eastAsia"/>
          <w:sz w:val="24"/>
          <w:szCs w:val="32"/>
        </w:rPr>
        <w:t xml:space="preserve">important to </w:t>
      </w:r>
      <w:r w:rsidR="005A344B">
        <w:rPr>
          <w:rFonts w:eastAsia="標楷體" w:hint="eastAsia"/>
          <w:sz w:val="24"/>
          <w:szCs w:val="32"/>
        </w:rPr>
        <w:t xml:space="preserve">explore potential </w:t>
      </w:r>
      <w:r w:rsidR="00987128">
        <w:rPr>
          <w:rFonts w:eastAsia="標楷體" w:hint="eastAsia"/>
          <w:sz w:val="24"/>
          <w:szCs w:val="32"/>
        </w:rPr>
        <w:t>structural impact</w:t>
      </w:r>
      <w:r w:rsidR="005A344B">
        <w:rPr>
          <w:rFonts w:eastAsia="標楷體" w:hint="eastAsia"/>
          <w:sz w:val="24"/>
          <w:szCs w:val="32"/>
        </w:rPr>
        <w:t>s</w:t>
      </w:r>
      <w:r w:rsidR="00987128">
        <w:rPr>
          <w:rFonts w:eastAsia="標楷體" w:hint="eastAsia"/>
          <w:sz w:val="24"/>
          <w:szCs w:val="32"/>
        </w:rPr>
        <w:t xml:space="preserve"> of sustained monetary accommodation on the economy as a whole and </w:t>
      </w:r>
      <w:r w:rsidR="005A344B">
        <w:rPr>
          <w:rFonts w:eastAsia="標楷體" w:hint="eastAsia"/>
          <w:sz w:val="24"/>
          <w:szCs w:val="32"/>
        </w:rPr>
        <w:t xml:space="preserve">whether the Bank has enough wiggle room </w:t>
      </w:r>
      <w:r w:rsidR="005751F8">
        <w:rPr>
          <w:rFonts w:eastAsia="標楷體" w:hint="eastAsia"/>
          <w:sz w:val="24"/>
          <w:szCs w:val="32"/>
        </w:rPr>
        <w:t>if</w:t>
      </w:r>
      <w:r w:rsidR="005A344B">
        <w:rPr>
          <w:rFonts w:eastAsia="標楷體" w:hint="eastAsia"/>
          <w:sz w:val="24"/>
          <w:szCs w:val="32"/>
        </w:rPr>
        <w:t xml:space="preserve"> a sharper </w:t>
      </w:r>
      <w:r w:rsidR="005751F8">
        <w:rPr>
          <w:rFonts w:eastAsia="標楷體" w:hint="eastAsia"/>
          <w:sz w:val="24"/>
          <w:szCs w:val="32"/>
        </w:rPr>
        <w:t xml:space="preserve">financial recession strikes. </w:t>
      </w:r>
      <w:r w:rsidR="005751F8" w:rsidRPr="00215564">
        <w:rPr>
          <w:rFonts w:eastAsia="標楷體" w:hint="eastAsia"/>
          <w:sz w:val="24"/>
          <w:szCs w:val="32"/>
        </w:rPr>
        <w:t xml:space="preserve">Another board director </w:t>
      </w:r>
      <w:r w:rsidR="00C303FA">
        <w:rPr>
          <w:rFonts w:eastAsia="標楷體" w:hint="eastAsia"/>
          <w:sz w:val="24"/>
          <w:szCs w:val="32"/>
        </w:rPr>
        <w:t xml:space="preserve">stated that </w:t>
      </w:r>
      <w:r w:rsidR="005751F8">
        <w:rPr>
          <w:rFonts w:eastAsia="標楷體" w:hint="eastAsia"/>
          <w:sz w:val="24"/>
          <w:szCs w:val="32"/>
        </w:rPr>
        <w:t xml:space="preserve">developments since the previous Board Meeting, including policy rate holds and a dovish shift in major </w:t>
      </w:r>
      <w:r w:rsidR="005751F8">
        <w:rPr>
          <w:rFonts w:eastAsia="標楷體"/>
          <w:sz w:val="24"/>
          <w:szCs w:val="32"/>
        </w:rPr>
        <w:t>economies</w:t>
      </w:r>
      <w:r w:rsidR="005751F8">
        <w:rPr>
          <w:rFonts w:eastAsia="標楷體" w:hint="eastAsia"/>
          <w:sz w:val="24"/>
          <w:szCs w:val="32"/>
        </w:rPr>
        <w:t>, a negative domestic output gap,</w:t>
      </w:r>
      <w:r w:rsidR="00C303FA">
        <w:rPr>
          <w:rFonts w:eastAsia="標楷體" w:hint="eastAsia"/>
          <w:sz w:val="24"/>
          <w:szCs w:val="32"/>
        </w:rPr>
        <w:t xml:space="preserve"> the prospect of gradual improvement of domestic </w:t>
      </w:r>
      <w:r w:rsidR="00C303FA">
        <w:rPr>
          <w:rFonts w:eastAsia="標楷體"/>
          <w:sz w:val="24"/>
          <w:szCs w:val="32"/>
        </w:rPr>
        <w:t>economic</w:t>
      </w:r>
      <w:r w:rsidR="00C303FA">
        <w:rPr>
          <w:rFonts w:eastAsia="標楷體" w:hint="eastAsia"/>
          <w:sz w:val="24"/>
          <w:szCs w:val="32"/>
        </w:rPr>
        <w:t xml:space="preserve"> growth within the year, and muted inflationary pressures at home, suggested no need to </w:t>
      </w:r>
      <w:r w:rsidR="0051685A">
        <w:rPr>
          <w:rFonts w:eastAsia="標楷體" w:hint="eastAsia"/>
          <w:sz w:val="24"/>
          <w:szCs w:val="32"/>
        </w:rPr>
        <w:t>reduce</w:t>
      </w:r>
      <w:r w:rsidR="00C303FA">
        <w:rPr>
          <w:rFonts w:eastAsia="標楷體" w:hint="eastAsia"/>
          <w:sz w:val="24"/>
          <w:szCs w:val="32"/>
        </w:rPr>
        <w:t xml:space="preserve"> policy rates for the time being. However, going forward, it is </w:t>
      </w:r>
      <w:r w:rsidR="00945865">
        <w:rPr>
          <w:rFonts w:eastAsia="標楷體" w:hint="eastAsia"/>
          <w:sz w:val="24"/>
          <w:szCs w:val="32"/>
        </w:rPr>
        <w:t>vital to</w:t>
      </w:r>
      <w:r w:rsidR="00381368">
        <w:rPr>
          <w:rFonts w:eastAsia="標楷體" w:hint="eastAsia"/>
          <w:sz w:val="24"/>
          <w:szCs w:val="32"/>
        </w:rPr>
        <w:t xml:space="preserve"> identify</w:t>
      </w:r>
      <w:r w:rsidR="00945865">
        <w:rPr>
          <w:rFonts w:eastAsia="標楷體" w:hint="eastAsia"/>
          <w:sz w:val="24"/>
          <w:szCs w:val="32"/>
        </w:rPr>
        <w:t xml:space="preserve"> what policy tools the Bank can use to counter future uncertainties such as a financial crisis. </w:t>
      </w:r>
    </w:p>
    <w:p w:rsidR="00D202A4" w:rsidRPr="00FC4CC2" w:rsidRDefault="00D27343" w:rsidP="00FD59B8">
      <w:pPr>
        <w:adjustRightInd/>
        <w:snapToGrid w:val="0"/>
        <w:spacing w:before="120" w:line="440" w:lineRule="exact"/>
        <w:ind w:firstLineChars="200" w:firstLine="480"/>
        <w:jc w:val="both"/>
        <w:textDirection w:val="lrTbV"/>
        <w:rPr>
          <w:rFonts w:eastAsia="標楷體"/>
          <w:strike/>
          <w:sz w:val="24"/>
          <w:szCs w:val="32"/>
        </w:rPr>
      </w:pPr>
      <w:r w:rsidRPr="00215564">
        <w:rPr>
          <w:rFonts w:eastAsia="標楷體" w:hint="eastAsia"/>
          <w:sz w:val="24"/>
          <w:szCs w:val="32"/>
        </w:rPr>
        <w:t xml:space="preserve">One board director </w:t>
      </w:r>
      <w:r>
        <w:rPr>
          <w:rFonts w:eastAsia="標楷體" w:hint="eastAsia"/>
          <w:sz w:val="24"/>
          <w:szCs w:val="32"/>
        </w:rPr>
        <w:t>expressed the view that the Bank</w:t>
      </w:r>
      <w:r>
        <w:rPr>
          <w:rFonts w:eastAsia="標楷體"/>
          <w:sz w:val="24"/>
          <w:szCs w:val="32"/>
        </w:rPr>
        <w:t>’</w:t>
      </w:r>
      <w:r>
        <w:rPr>
          <w:rFonts w:eastAsia="標楷體" w:hint="eastAsia"/>
          <w:sz w:val="24"/>
          <w:szCs w:val="32"/>
        </w:rPr>
        <w:t xml:space="preserve">s main policy rate, </w:t>
      </w:r>
      <w:r w:rsidR="00E16BEC">
        <w:rPr>
          <w:rFonts w:eastAsia="標楷體" w:hint="eastAsia"/>
          <w:sz w:val="24"/>
          <w:szCs w:val="32"/>
        </w:rPr>
        <w:t xml:space="preserve">i.e., </w:t>
      </w:r>
      <w:r>
        <w:rPr>
          <w:rFonts w:eastAsia="標楷體" w:hint="eastAsia"/>
          <w:sz w:val="24"/>
          <w:szCs w:val="32"/>
        </w:rPr>
        <w:t xml:space="preserve">the discount rate, </w:t>
      </w:r>
      <w:r w:rsidR="008F2539">
        <w:rPr>
          <w:rFonts w:eastAsia="標楷體" w:hint="eastAsia"/>
          <w:sz w:val="24"/>
          <w:szCs w:val="32"/>
        </w:rPr>
        <w:t xml:space="preserve">has had a </w:t>
      </w:r>
      <w:r w:rsidR="008F2539">
        <w:rPr>
          <w:rFonts w:eastAsia="標楷體"/>
          <w:sz w:val="24"/>
          <w:szCs w:val="32"/>
        </w:rPr>
        <w:t>signaling</w:t>
      </w:r>
      <w:r w:rsidR="008F2539">
        <w:rPr>
          <w:rFonts w:eastAsia="標楷體" w:hint="eastAsia"/>
          <w:sz w:val="24"/>
          <w:szCs w:val="32"/>
        </w:rPr>
        <w:t xml:space="preserve"> effect, albeit with limited power towards market interest rates and the real </w:t>
      </w:r>
      <w:r w:rsidR="008F2539">
        <w:rPr>
          <w:rFonts w:eastAsia="標楷體"/>
          <w:sz w:val="24"/>
          <w:szCs w:val="32"/>
        </w:rPr>
        <w:t>economy</w:t>
      </w:r>
      <w:r w:rsidR="008F2539">
        <w:rPr>
          <w:rFonts w:eastAsia="標楷體" w:hint="eastAsia"/>
          <w:sz w:val="24"/>
          <w:szCs w:val="32"/>
        </w:rPr>
        <w:t xml:space="preserve">. </w:t>
      </w:r>
      <w:r w:rsidR="00D202A4">
        <w:rPr>
          <w:rFonts w:eastAsia="標楷體" w:hint="eastAsia"/>
          <w:sz w:val="24"/>
          <w:szCs w:val="32"/>
        </w:rPr>
        <w:t xml:space="preserve">However, that signal could be obscured given the </w:t>
      </w:r>
      <w:r w:rsidR="00D202A4">
        <w:rPr>
          <w:rFonts w:eastAsia="標楷體"/>
          <w:sz w:val="24"/>
          <w:szCs w:val="32"/>
        </w:rPr>
        <w:t>contradiction</w:t>
      </w:r>
      <w:r w:rsidR="00D202A4">
        <w:rPr>
          <w:rFonts w:eastAsia="標楷體" w:hint="eastAsia"/>
          <w:sz w:val="24"/>
          <w:szCs w:val="32"/>
        </w:rPr>
        <w:t xml:space="preserve"> between a downtrend in money supply, which was shown in recent declines of M2 growth, and a proposed rate hold</w:t>
      </w:r>
      <w:r w:rsidR="00474234">
        <w:rPr>
          <w:rFonts w:eastAsia="標楷體" w:hint="eastAsia"/>
          <w:sz w:val="24"/>
          <w:szCs w:val="32"/>
        </w:rPr>
        <w:t>, which is to indicate continued policy accommodation</w:t>
      </w:r>
      <w:r w:rsidR="00D202A4">
        <w:rPr>
          <w:rFonts w:eastAsia="標楷體" w:hint="eastAsia"/>
          <w:sz w:val="24"/>
          <w:szCs w:val="32"/>
        </w:rPr>
        <w:t>.</w:t>
      </w:r>
      <w:r w:rsidR="00C275BE">
        <w:rPr>
          <w:rFonts w:eastAsia="標楷體" w:hint="eastAsia"/>
          <w:sz w:val="24"/>
          <w:szCs w:val="32"/>
        </w:rPr>
        <w:t xml:space="preserve"> </w:t>
      </w:r>
      <w:r w:rsidR="00FD59B8">
        <w:rPr>
          <w:rFonts w:eastAsia="標楷體" w:hint="eastAsia"/>
          <w:sz w:val="24"/>
          <w:szCs w:val="32"/>
        </w:rPr>
        <w:t xml:space="preserve">In </w:t>
      </w:r>
      <w:r w:rsidR="00E16BEC">
        <w:rPr>
          <w:rFonts w:eastAsia="標楷體" w:hint="eastAsia"/>
          <w:sz w:val="24"/>
          <w:szCs w:val="32"/>
        </w:rPr>
        <w:t>that</w:t>
      </w:r>
      <w:r w:rsidR="00FD59B8">
        <w:rPr>
          <w:rFonts w:eastAsia="標楷體" w:hint="eastAsia"/>
          <w:sz w:val="24"/>
          <w:szCs w:val="32"/>
        </w:rPr>
        <w:t xml:space="preserve"> connection, </w:t>
      </w:r>
      <w:r w:rsidR="00E16BEC">
        <w:rPr>
          <w:rFonts w:eastAsia="標楷體" w:hint="eastAsia"/>
          <w:sz w:val="24"/>
          <w:szCs w:val="32"/>
        </w:rPr>
        <w:lastRenderedPageBreak/>
        <w:t>this board director pointed to the moves by the Fed, who</w:t>
      </w:r>
      <w:r w:rsidR="00C275BE">
        <w:rPr>
          <w:rFonts w:eastAsia="標楷體" w:hint="eastAsia"/>
          <w:sz w:val="24"/>
          <w:szCs w:val="32"/>
        </w:rPr>
        <w:t xml:space="preserve"> began </w:t>
      </w:r>
      <w:r w:rsidR="00FD59B8">
        <w:rPr>
          <w:rFonts w:eastAsia="標楷體" w:hint="eastAsia"/>
          <w:sz w:val="24"/>
          <w:szCs w:val="32"/>
        </w:rPr>
        <w:t xml:space="preserve">last year </w:t>
      </w:r>
      <w:r w:rsidR="00C275BE">
        <w:rPr>
          <w:rFonts w:eastAsia="標楷體" w:hint="eastAsia"/>
          <w:sz w:val="24"/>
          <w:szCs w:val="32"/>
        </w:rPr>
        <w:t xml:space="preserve">to review its monetary </w:t>
      </w:r>
      <w:r w:rsidR="00C275BE">
        <w:rPr>
          <w:rFonts w:eastAsia="標楷體"/>
          <w:sz w:val="24"/>
          <w:szCs w:val="32"/>
        </w:rPr>
        <w:t>policy</w:t>
      </w:r>
      <w:r w:rsidR="00C275BE">
        <w:rPr>
          <w:rFonts w:eastAsia="標楷體" w:hint="eastAsia"/>
          <w:sz w:val="24"/>
          <w:szCs w:val="32"/>
        </w:rPr>
        <w:t xml:space="preserve"> framework and the effectiveness of its policy instruments while also inviting inputs from outside the institution</w:t>
      </w:r>
      <w:r w:rsidR="00E16BEC">
        <w:rPr>
          <w:rFonts w:eastAsia="標楷體" w:hint="eastAsia"/>
          <w:sz w:val="24"/>
          <w:szCs w:val="32"/>
        </w:rPr>
        <w:t>, and argued that the Fed</w:t>
      </w:r>
      <w:r w:rsidR="00E16BEC">
        <w:rPr>
          <w:rFonts w:eastAsia="標楷體"/>
          <w:sz w:val="24"/>
          <w:szCs w:val="32"/>
        </w:rPr>
        <w:t>’</w:t>
      </w:r>
      <w:r w:rsidR="00E16BEC">
        <w:rPr>
          <w:rFonts w:eastAsia="標楷體" w:hint="eastAsia"/>
          <w:sz w:val="24"/>
          <w:szCs w:val="32"/>
        </w:rPr>
        <w:t>s</w:t>
      </w:r>
      <w:r w:rsidR="00FC4CC2">
        <w:rPr>
          <w:rFonts w:eastAsia="標楷體" w:hint="eastAsia"/>
          <w:sz w:val="24"/>
          <w:szCs w:val="32"/>
        </w:rPr>
        <w:t xml:space="preserve"> reforming act merits our attention. </w:t>
      </w:r>
    </w:p>
    <w:p w:rsidR="00EE6519" w:rsidRDefault="00FC4CC2" w:rsidP="00FA173A">
      <w:pPr>
        <w:adjustRightInd/>
        <w:snapToGrid w:val="0"/>
        <w:spacing w:before="120" w:line="440" w:lineRule="exact"/>
        <w:ind w:firstLineChars="200" w:firstLine="480"/>
        <w:jc w:val="both"/>
        <w:textDirection w:val="lrTbV"/>
        <w:rPr>
          <w:rFonts w:eastAsia="標楷體"/>
          <w:sz w:val="24"/>
          <w:szCs w:val="32"/>
        </w:rPr>
      </w:pPr>
      <w:r w:rsidRPr="00215564">
        <w:rPr>
          <w:rFonts w:eastAsia="標楷體" w:hint="eastAsia"/>
          <w:sz w:val="24"/>
          <w:szCs w:val="32"/>
        </w:rPr>
        <w:t xml:space="preserve">Another board director </w:t>
      </w:r>
      <w:r>
        <w:rPr>
          <w:rFonts w:eastAsia="標楷體" w:hint="eastAsia"/>
          <w:sz w:val="24"/>
          <w:szCs w:val="32"/>
        </w:rPr>
        <w:t>contended that the Bank</w:t>
      </w:r>
      <w:r>
        <w:rPr>
          <w:rFonts w:eastAsia="標楷體"/>
          <w:sz w:val="24"/>
          <w:szCs w:val="32"/>
        </w:rPr>
        <w:t>’</w:t>
      </w:r>
      <w:r>
        <w:rPr>
          <w:rFonts w:eastAsia="標楷體" w:hint="eastAsia"/>
          <w:sz w:val="24"/>
          <w:szCs w:val="32"/>
        </w:rPr>
        <w:t>s discount rate not only serves as a signal but also affects interest rates on deposits and loans</w:t>
      </w:r>
      <w:r w:rsidR="007B39FB">
        <w:rPr>
          <w:rFonts w:eastAsia="標楷體" w:hint="eastAsia"/>
          <w:sz w:val="24"/>
          <w:szCs w:val="32"/>
        </w:rPr>
        <w:t xml:space="preserve"> offered by</w:t>
      </w:r>
      <w:r>
        <w:rPr>
          <w:rFonts w:eastAsia="標楷體" w:hint="eastAsia"/>
          <w:sz w:val="24"/>
          <w:szCs w:val="32"/>
        </w:rPr>
        <w:t xml:space="preserve"> banks under the bank-based financial system in Taiwan. For instance, banks would adjust their deposit rates after the central bank</w:t>
      </w:r>
      <w:r>
        <w:rPr>
          <w:rFonts w:eastAsia="標楷體"/>
          <w:sz w:val="24"/>
          <w:szCs w:val="32"/>
        </w:rPr>
        <w:t>’</w:t>
      </w:r>
      <w:r>
        <w:rPr>
          <w:rFonts w:eastAsia="標楷體" w:hint="eastAsia"/>
          <w:sz w:val="24"/>
          <w:szCs w:val="32"/>
        </w:rPr>
        <w:t xml:space="preserve">s discount rate decision is announced. Bank lending rates, including those on </w:t>
      </w:r>
      <w:r w:rsidRPr="00FC4CC2">
        <w:rPr>
          <w:rFonts w:eastAsia="標楷體"/>
          <w:sz w:val="24"/>
          <w:szCs w:val="32"/>
        </w:rPr>
        <w:t>adjustable rate mortgage</w:t>
      </w:r>
      <w:r>
        <w:rPr>
          <w:rFonts w:eastAsia="標楷體" w:hint="eastAsia"/>
          <w:sz w:val="24"/>
          <w:szCs w:val="32"/>
        </w:rPr>
        <w:t xml:space="preserve">s, </w:t>
      </w:r>
      <w:r w:rsidR="007C09AC">
        <w:rPr>
          <w:rFonts w:eastAsia="標楷體" w:hint="eastAsia"/>
          <w:sz w:val="24"/>
          <w:szCs w:val="32"/>
        </w:rPr>
        <w:t xml:space="preserve">would change in tandem. These would in turn affect macroeconomic activity including investment and consumer spending.  </w:t>
      </w:r>
    </w:p>
    <w:p w:rsidR="00FD59B8" w:rsidRPr="00DE01DE" w:rsidRDefault="007E4F90" w:rsidP="00FA173A">
      <w:pPr>
        <w:adjustRightInd/>
        <w:snapToGrid w:val="0"/>
        <w:spacing w:before="120" w:line="440" w:lineRule="exact"/>
        <w:ind w:firstLineChars="200" w:firstLine="480"/>
        <w:jc w:val="both"/>
        <w:textDirection w:val="lrTbV"/>
        <w:rPr>
          <w:rFonts w:eastAsia="標楷體"/>
          <w:strike/>
          <w:sz w:val="24"/>
          <w:szCs w:val="32"/>
        </w:rPr>
      </w:pPr>
      <w:r w:rsidRPr="00215564">
        <w:rPr>
          <w:rFonts w:eastAsia="標楷體" w:hint="eastAsia"/>
          <w:sz w:val="24"/>
          <w:szCs w:val="32"/>
        </w:rPr>
        <w:t>This board director explai</w:t>
      </w:r>
      <w:r w:rsidR="00A23D8D" w:rsidRPr="00215564">
        <w:rPr>
          <w:rFonts w:eastAsia="標楷體" w:hint="eastAsia"/>
          <w:sz w:val="24"/>
          <w:szCs w:val="32"/>
        </w:rPr>
        <w:t xml:space="preserve">ned further </w:t>
      </w:r>
      <w:r w:rsidR="00A23D8D">
        <w:rPr>
          <w:rFonts w:eastAsia="標楷體" w:hint="eastAsia"/>
          <w:sz w:val="24"/>
          <w:szCs w:val="32"/>
        </w:rPr>
        <w:t xml:space="preserve">in regard to M2 growth. While the Bank continued with an accommodative stance, the annual </w:t>
      </w:r>
      <w:r w:rsidR="00DA7707">
        <w:rPr>
          <w:rFonts w:eastAsia="標楷體" w:hint="eastAsia"/>
          <w:sz w:val="24"/>
          <w:szCs w:val="32"/>
        </w:rPr>
        <w:t xml:space="preserve">M2 </w:t>
      </w:r>
      <w:r w:rsidR="00A23D8D">
        <w:rPr>
          <w:rFonts w:eastAsia="標楷體" w:hint="eastAsia"/>
          <w:sz w:val="24"/>
          <w:szCs w:val="32"/>
        </w:rPr>
        <w:t xml:space="preserve">growth rate </w:t>
      </w:r>
      <w:r w:rsidR="00DA7707">
        <w:rPr>
          <w:rFonts w:eastAsia="標楷體" w:hint="eastAsia"/>
          <w:sz w:val="24"/>
          <w:szCs w:val="32"/>
        </w:rPr>
        <w:t xml:space="preserve">has kept sliding since the second half of 2018. Whether this is transient or </w:t>
      </w:r>
      <w:r w:rsidR="00DA7707">
        <w:rPr>
          <w:rFonts w:eastAsia="標楷體"/>
          <w:sz w:val="24"/>
          <w:szCs w:val="32"/>
        </w:rPr>
        <w:t>persistent</w:t>
      </w:r>
      <w:r w:rsidR="00DA7707">
        <w:rPr>
          <w:rFonts w:eastAsia="標楷體" w:hint="eastAsia"/>
          <w:sz w:val="24"/>
          <w:szCs w:val="32"/>
        </w:rPr>
        <w:t xml:space="preserve"> calls for attention. In particular, it needs to be determined if the significant increase in net ETF assets in the interim</w:t>
      </w:r>
      <w:r w:rsidR="00DA7707" w:rsidRPr="00215564">
        <w:rPr>
          <w:rFonts w:eastAsia="標楷體" w:hint="eastAsia"/>
          <w:sz w:val="24"/>
          <w:szCs w:val="32"/>
        </w:rPr>
        <w:t xml:space="preserve"> affected </w:t>
      </w:r>
      <w:r w:rsidR="00DA7707">
        <w:rPr>
          <w:rFonts w:eastAsia="標楷體" w:hint="eastAsia"/>
          <w:sz w:val="24"/>
          <w:szCs w:val="32"/>
        </w:rPr>
        <w:t xml:space="preserve">M2 growth adversely. Nonetheless, the </w:t>
      </w:r>
      <w:r w:rsidR="00DA7707">
        <w:rPr>
          <w:rFonts w:eastAsia="標楷體"/>
          <w:sz w:val="24"/>
          <w:szCs w:val="32"/>
        </w:rPr>
        <w:t>annual</w:t>
      </w:r>
      <w:r w:rsidR="00DA7707">
        <w:rPr>
          <w:rFonts w:eastAsia="標楷體" w:hint="eastAsia"/>
          <w:sz w:val="24"/>
          <w:szCs w:val="32"/>
        </w:rPr>
        <w:t xml:space="preserve"> M2 growth rate has </w:t>
      </w:r>
      <w:r w:rsidR="00D5796E">
        <w:rPr>
          <w:rFonts w:eastAsia="標楷體" w:hint="eastAsia"/>
          <w:sz w:val="24"/>
          <w:szCs w:val="32"/>
        </w:rPr>
        <w:t>stayed within the Bank</w:t>
      </w:r>
      <w:r w:rsidR="00D5796E">
        <w:rPr>
          <w:rFonts w:eastAsia="標楷體"/>
          <w:sz w:val="24"/>
          <w:szCs w:val="32"/>
        </w:rPr>
        <w:t>’</w:t>
      </w:r>
      <w:r w:rsidR="00D5796E">
        <w:rPr>
          <w:rFonts w:eastAsia="標楷體" w:hint="eastAsia"/>
          <w:sz w:val="24"/>
          <w:szCs w:val="32"/>
        </w:rPr>
        <w:t>s 2.5%-6.</w:t>
      </w:r>
      <w:r w:rsidR="00A53FFC">
        <w:rPr>
          <w:rFonts w:eastAsia="標楷體" w:hint="eastAsia"/>
          <w:sz w:val="24"/>
          <w:szCs w:val="32"/>
        </w:rPr>
        <w:t xml:space="preserve">5% target range in recent years, implying sufficient support for domestic </w:t>
      </w:r>
      <w:r w:rsidR="00A53FFC">
        <w:rPr>
          <w:rFonts w:eastAsia="標楷體"/>
          <w:sz w:val="24"/>
          <w:szCs w:val="32"/>
        </w:rPr>
        <w:t>economic</w:t>
      </w:r>
      <w:r w:rsidR="00A53FFC">
        <w:rPr>
          <w:rFonts w:eastAsia="標楷體" w:hint="eastAsia"/>
          <w:sz w:val="24"/>
          <w:szCs w:val="32"/>
        </w:rPr>
        <w:t xml:space="preserve"> activity </w:t>
      </w:r>
      <w:r w:rsidR="00A53FFC" w:rsidRPr="00A53FFC">
        <w:rPr>
          <w:rFonts w:eastAsia="標楷體"/>
          <w:sz w:val="24"/>
          <w:szCs w:val="32"/>
        </w:rPr>
        <w:t>in normal circumstances</w:t>
      </w:r>
      <w:r w:rsidR="00A53FFC">
        <w:rPr>
          <w:rFonts w:eastAsia="標楷體" w:hint="eastAsia"/>
          <w:sz w:val="24"/>
          <w:szCs w:val="32"/>
        </w:rPr>
        <w:t xml:space="preserve">. </w:t>
      </w:r>
      <w:r w:rsidR="00E36566">
        <w:rPr>
          <w:rFonts w:eastAsia="標楷體" w:hint="eastAsia"/>
          <w:sz w:val="24"/>
          <w:szCs w:val="32"/>
        </w:rPr>
        <w:t xml:space="preserve">Indeed, </w:t>
      </w:r>
      <w:r w:rsidR="00E36566" w:rsidRPr="00E36566">
        <w:rPr>
          <w:rFonts w:eastAsia="標楷體"/>
          <w:sz w:val="24"/>
          <w:szCs w:val="32"/>
        </w:rPr>
        <w:t xml:space="preserve">the endogenous nature of </w:t>
      </w:r>
      <w:r w:rsidR="00E36566">
        <w:rPr>
          <w:rFonts w:eastAsia="標楷體" w:hint="eastAsia"/>
          <w:sz w:val="24"/>
          <w:szCs w:val="32"/>
        </w:rPr>
        <w:t>M2</w:t>
      </w:r>
      <w:r w:rsidR="00E36566" w:rsidRPr="00E36566">
        <w:rPr>
          <w:rFonts w:eastAsia="標楷體"/>
          <w:sz w:val="24"/>
          <w:szCs w:val="32"/>
        </w:rPr>
        <w:t xml:space="preserve"> variations</w:t>
      </w:r>
      <w:r w:rsidR="00E36566">
        <w:rPr>
          <w:rFonts w:eastAsia="標楷體" w:hint="eastAsia"/>
          <w:sz w:val="24"/>
          <w:szCs w:val="32"/>
        </w:rPr>
        <w:t xml:space="preserve"> </w:t>
      </w:r>
      <w:r w:rsidR="00DE01DE">
        <w:rPr>
          <w:rFonts w:eastAsia="標楷體" w:hint="eastAsia"/>
          <w:sz w:val="24"/>
          <w:szCs w:val="32"/>
        </w:rPr>
        <w:t>entail</w:t>
      </w:r>
      <w:r w:rsidR="00CF2F00">
        <w:rPr>
          <w:rFonts w:eastAsia="標楷體" w:hint="eastAsia"/>
          <w:sz w:val="24"/>
          <w:szCs w:val="32"/>
        </w:rPr>
        <w:t xml:space="preserve">s that </w:t>
      </w:r>
      <w:r w:rsidR="00E36566">
        <w:rPr>
          <w:rFonts w:eastAsia="標楷體" w:hint="eastAsia"/>
          <w:sz w:val="24"/>
          <w:szCs w:val="32"/>
        </w:rPr>
        <w:t xml:space="preserve">M2 growth </w:t>
      </w:r>
      <w:r w:rsidR="00DE01DE">
        <w:rPr>
          <w:rFonts w:eastAsia="標楷體" w:hint="eastAsia"/>
          <w:sz w:val="24"/>
          <w:szCs w:val="32"/>
        </w:rPr>
        <w:t xml:space="preserve">would </w:t>
      </w:r>
      <w:r w:rsidR="00E36566">
        <w:rPr>
          <w:rFonts w:eastAsia="標楷體" w:hint="eastAsia"/>
          <w:sz w:val="24"/>
          <w:szCs w:val="32"/>
        </w:rPr>
        <w:t xml:space="preserve">soften in a slowing economy as bank lending </w:t>
      </w:r>
      <w:r w:rsidR="00DE01DE">
        <w:rPr>
          <w:rFonts w:eastAsia="標楷體" w:hint="eastAsia"/>
          <w:sz w:val="24"/>
          <w:szCs w:val="32"/>
        </w:rPr>
        <w:t>is</w:t>
      </w:r>
      <w:r w:rsidR="00E36566">
        <w:rPr>
          <w:rFonts w:eastAsia="標楷體" w:hint="eastAsia"/>
          <w:sz w:val="24"/>
          <w:szCs w:val="32"/>
        </w:rPr>
        <w:t xml:space="preserve"> </w:t>
      </w:r>
      <w:r w:rsidR="00E36566">
        <w:rPr>
          <w:rFonts w:eastAsia="標楷體"/>
          <w:sz w:val="24"/>
          <w:szCs w:val="32"/>
        </w:rPr>
        <w:t>dampened</w:t>
      </w:r>
      <w:r w:rsidR="00CF2F00">
        <w:rPr>
          <w:rFonts w:eastAsia="標楷體" w:hint="eastAsia"/>
          <w:sz w:val="24"/>
          <w:szCs w:val="32"/>
        </w:rPr>
        <w:t xml:space="preserve">, </w:t>
      </w:r>
      <w:r w:rsidR="00DE01DE">
        <w:rPr>
          <w:rFonts w:eastAsia="標楷體" w:hint="eastAsia"/>
          <w:sz w:val="24"/>
          <w:szCs w:val="32"/>
        </w:rPr>
        <w:t>in parallel with a central bank</w:t>
      </w:r>
      <w:r w:rsidR="00DE01DE">
        <w:rPr>
          <w:rFonts w:eastAsia="標楷體"/>
          <w:sz w:val="24"/>
          <w:szCs w:val="32"/>
        </w:rPr>
        <w:t>’</w:t>
      </w:r>
      <w:r w:rsidR="00DE01DE">
        <w:rPr>
          <w:rFonts w:eastAsia="標楷體" w:hint="eastAsia"/>
          <w:sz w:val="24"/>
          <w:szCs w:val="32"/>
        </w:rPr>
        <w:t>s accommodative stance amid an economic slowdown.</w:t>
      </w:r>
      <w:r w:rsidR="00CF2F00" w:rsidRPr="00AA61CC">
        <w:rPr>
          <w:rFonts w:eastAsia="標楷體" w:hint="eastAsia"/>
          <w:sz w:val="24"/>
          <w:szCs w:val="32"/>
        </w:rPr>
        <w:t xml:space="preserve"> </w:t>
      </w:r>
      <w:r w:rsidR="00AA61CC">
        <w:rPr>
          <w:rFonts w:eastAsia="標楷體" w:hint="eastAsia"/>
          <w:sz w:val="24"/>
          <w:szCs w:val="32"/>
        </w:rPr>
        <w:t xml:space="preserve">In terms of monetary policy framework, it seems that decisions of </w:t>
      </w:r>
      <w:r w:rsidR="00AA61CC">
        <w:rPr>
          <w:rFonts w:eastAsia="標楷體"/>
          <w:sz w:val="24"/>
          <w:szCs w:val="32"/>
        </w:rPr>
        <w:t>other</w:t>
      </w:r>
      <w:r w:rsidR="00AA61CC">
        <w:rPr>
          <w:rFonts w:eastAsia="標楷體" w:hint="eastAsia"/>
          <w:sz w:val="24"/>
          <w:szCs w:val="32"/>
        </w:rPr>
        <w:t xml:space="preserve"> central banks to shift to a different framework or </w:t>
      </w:r>
      <w:r w:rsidR="0044377E">
        <w:rPr>
          <w:rFonts w:eastAsia="標楷體" w:hint="eastAsia"/>
          <w:sz w:val="24"/>
          <w:szCs w:val="32"/>
        </w:rPr>
        <w:t xml:space="preserve">modify </w:t>
      </w:r>
      <w:r w:rsidR="00AA61CC">
        <w:rPr>
          <w:rFonts w:eastAsia="標楷體" w:hint="eastAsia"/>
          <w:sz w:val="24"/>
          <w:szCs w:val="32"/>
        </w:rPr>
        <w:t>the existing one are usually made to address</w:t>
      </w:r>
      <w:r w:rsidR="00CD3E7C">
        <w:rPr>
          <w:rFonts w:eastAsia="標楷體" w:hint="eastAsia"/>
          <w:sz w:val="24"/>
          <w:szCs w:val="32"/>
        </w:rPr>
        <w:t xml:space="preserve"> issues like</w:t>
      </w:r>
      <w:bookmarkStart w:id="0" w:name="_GoBack"/>
      <w:bookmarkEnd w:id="0"/>
      <w:r w:rsidR="00AA61CC">
        <w:rPr>
          <w:rFonts w:eastAsia="標楷體" w:hint="eastAsia"/>
          <w:sz w:val="24"/>
          <w:szCs w:val="32"/>
        </w:rPr>
        <w:t xml:space="preserve"> ineffective policy implementation, problems not</w:t>
      </w:r>
      <w:r w:rsidR="00D50278">
        <w:rPr>
          <w:rFonts w:eastAsia="標楷體" w:hint="eastAsia"/>
          <w:sz w:val="24"/>
          <w:szCs w:val="32"/>
        </w:rPr>
        <w:t xml:space="preserve"> facing</w:t>
      </w:r>
      <w:r w:rsidR="00AA61CC">
        <w:rPr>
          <w:rFonts w:eastAsia="標楷體" w:hint="eastAsia"/>
          <w:sz w:val="24"/>
          <w:szCs w:val="32"/>
        </w:rPr>
        <w:t xml:space="preserve"> the Bank. Moreover, our current monetary policy framework is functioning well, </w:t>
      </w:r>
      <w:r w:rsidR="000E284E">
        <w:rPr>
          <w:rFonts w:eastAsia="標楷體" w:hint="eastAsia"/>
          <w:sz w:val="24"/>
          <w:szCs w:val="32"/>
        </w:rPr>
        <w:t xml:space="preserve">having facilitated the attainment of low and stable inflation and financial stability. At present, there </w:t>
      </w:r>
      <w:r w:rsidR="0044377E">
        <w:rPr>
          <w:rFonts w:eastAsia="標楷體" w:hint="eastAsia"/>
          <w:sz w:val="24"/>
          <w:szCs w:val="32"/>
        </w:rPr>
        <w:t>seems</w:t>
      </w:r>
      <w:r w:rsidR="000E284E">
        <w:rPr>
          <w:rFonts w:eastAsia="標楷體" w:hint="eastAsia"/>
          <w:sz w:val="24"/>
          <w:szCs w:val="32"/>
        </w:rPr>
        <w:t xml:space="preserve"> no pressing need to </w:t>
      </w:r>
      <w:r w:rsidR="0044377E">
        <w:rPr>
          <w:rFonts w:eastAsia="標楷體" w:hint="eastAsia"/>
          <w:sz w:val="24"/>
          <w:szCs w:val="32"/>
        </w:rPr>
        <w:t>change</w:t>
      </w:r>
      <w:r w:rsidR="000E284E">
        <w:rPr>
          <w:rFonts w:eastAsia="標楷體" w:hint="eastAsia"/>
          <w:sz w:val="24"/>
          <w:szCs w:val="32"/>
        </w:rPr>
        <w:t xml:space="preserve"> the monetary policy framework except for regular review. </w:t>
      </w:r>
    </w:p>
    <w:p w:rsidR="00EE6519" w:rsidRDefault="0044377E" w:rsidP="00B80485">
      <w:pPr>
        <w:adjustRightInd/>
        <w:snapToGrid w:val="0"/>
        <w:spacing w:before="120" w:line="440" w:lineRule="exact"/>
        <w:ind w:firstLineChars="200" w:firstLine="480"/>
        <w:jc w:val="both"/>
        <w:textDirection w:val="lrTbV"/>
        <w:rPr>
          <w:rFonts w:eastAsia="標楷體"/>
          <w:sz w:val="24"/>
          <w:szCs w:val="32"/>
        </w:rPr>
      </w:pPr>
      <w:r w:rsidRPr="00215564">
        <w:rPr>
          <w:rFonts w:eastAsia="標楷體" w:hint="eastAsia"/>
          <w:sz w:val="24"/>
          <w:szCs w:val="32"/>
        </w:rPr>
        <w:t>One board director expressed support for a rate hold</w:t>
      </w:r>
      <w:r w:rsidRPr="007F6F77">
        <w:rPr>
          <w:rFonts w:eastAsia="標楷體" w:hint="eastAsia"/>
          <w:sz w:val="24"/>
          <w:szCs w:val="32"/>
        </w:rPr>
        <w:t xml:space="preserve">, </w:t>
      </w:r>
      <w:r>
        <w:rPr>
          <w:rFonts w:eastAsia="標楷體" w:hint="eastAsia"/>
          <w:sz w:val="24"/>
          <w:szCs w:val="32"/>
        </w:rPr>
        <w:t xml:space="preserve">citing developments in recent months, including short-term factors </w:t>
      </w:r>
      <w:r w:rsidR="00510590">
        <w:rPr>
          <w:rFonts w:eastAsia="標楷體" w:hint="eastAsia"/>
          <w:sz w:val="24"/>
          <w:szCs w:val="32"/>
        </w:rPr>
        <w:t>such as</w:t>
      </w:r>
      <w:r>
        <w:rPr>
          <w:rFonts w:eastAsia="標楷體" w:hint="eastAsia"/>
          <w:sz w:val="24"/>
          <w:szCs w:val="32"/>
        </w:rPr>
        <w:t xml:space="preserve"> </w:t>
      </w:r>
      <w:r w:rsidR="00510590">
        <w:rPr>
          <w:rFonts w:eastAsia="標楷體" w:hint="eastAsia"/>
          <w:sz w:val="24"/>
          <w:szCs w:val="32"/>
        </w:rPr>
        <w:t xml:space="preserve">developments in the </w:t>
      </w:r>
      <w:r>
        <w:rPr>
          <w:rFonts w:eastAsia="標楷體" w:hint="eastAsia"/>
          <w:sz w:val="24"/>
          <w:szCs w:val="32"/>
        </w:rPr>
        <w:t xml:space="preserve">domestic </w:t>
      </w:r>
      <w:r w:rsidR="00510590">
        <w:rPr>
          <w:rFonts w:eastAsia="標楷體"/>
          <w:sz w:val="24"/>
          <w:szCs w:val="32"/>
        </w:rPr>
        <w:t>econom</w:t>
      </w:r>
      <w:r w:rsidR="00510590">
        <w:rPr>
          <w:rFonts w:eastAsia="標楷體" w:hint="eastAsia"/>
          <w:sz w:val="24"/>
          <w:szCs w:val="32"/>
        </w:rPr>
        <w:t>y</w:t>
      </w:r>
      <w:r>
        <w:rPr>
          <w:rFonts w:eastAsia="標楷體" w:hint="eastAsia"/>
          <w:sz w:val="24"/>
          <w:szCs w:val="32"/>
        </w:rPr>
        <w:t>, financial conditions such as banks</w:t>
      </w:r>
      <w:r>
        <w:rPr>
          <w:rFonts w:eastAsia="標楷體"/>
          <w:sz w:val="24"/>
          <w:szCs w:val="32"/>
        </w:rPr>
        <w:t>’</w:t>
      </w:r>
      <w:r w:rsidR="000D47BE">
        <w:rPr>
          <w:rFonts w:eastAsia="標楷體" w:hint="eastAsia"/>
          <w:sz w:val="24"/>
          <w:szCs w:val="32"/>
        </w:rPr>
        <w:t xml:space="preserve"> excess reserves, and situations overseas especially those in major economies. However, it is no good news when protracted low interest rates since the 2008 global financial crisis restrict </w:t>
      </w:r>
      <w:r w:rsidR="00966DE8">
        <w:rPr>
          <w:rFonts w:eastAsia="標楷體" w:hint="eastAsia"/>
          <w:sz w:val="24"/>
          <w:szCs w:val="32"/>
        </w:rPr>
        <w:t xml:space="preserve">the efficacy </w:t>
      </w:r>
      <w:r w:rsidR="003042BB">
        <w:rPr>
          <w:rFonts w:eastAsia="標楷體" w:hint="eastAsia"/>
          <w:sz w:val="24"/>
          <w:szCs w:val="32"/>
        </w:rPr>
        <w:t>of</w:t>
      </w:r>
      <w:r w:rsidR="00966DE8">
        <w:rPr>
          <w:rFonts w:eastAsia="標楷體" w:hint="eastAsia"/>
          <w:sz w:val="24"/>
          <w:szCs w:val="32"/>
        </w:rPr>
        <w:t xml:space="preserve"> monetary policy via interest rate-setting. Foreign rate-setters, including those at the US Fed, have argued for raising policy rates, </w:t>
      </w:r>
      <w:r w:rsidR="00966DE8">
        <w:rPr>
          <w:rFonts w:eastAsia="標楷體" w:hint="eastAsia"/>
          <w:sz w:val="24"/>
          <w:szCs w:val="32"/>
        </w:rPr>
        <w:lastRenderedPageBreak/>
        <w:t xml:space="preserve">though the timing of such a move would need to take some short-term factors into account. Furthermore, as in the case of Japan, which has kept policy rates low since 1992, trying to achieve short-term results via low rates could </w:t>
      </w:r>
      <w:r w:rsidR="00ED521B">
        <w:rPr>
          <w:rFonts w:eastAsia="標楷體" w:hint="eastAsia"/>
          <w:sz w:val="24"/>
          <w:szCs w:val="32"/>
        </w:rPr>
        <w:t xml:space="preserve">backfire in the long run. In this light, it is advisable </w:t>
      </w:r>
      <w:r w:rsidR="00B80485">
        <w:rPr>
          <w:rFonts w:eastAsia="標楷體" w:hint="eastAsia"/>
          <w:sz w:val="24"/>
          <w:szCs w:val="32"/>
        </w:rPr>
        <w:t>to include</w:t>
      </w:r>
      <w:r w:rsidR="00ED521B">
        <w:rPr>
          <w:rFonts w:eastAsia="標楷體" w:hint="eastAsia"/>
          <w:sz w:val="24"/>
          <w:szCs w:val="32"/>
        </w:rPr>
        <w:t xml:space="preserve"> longer-term factors in the Bank</w:t>
      </w:r>
      <w:r w:rsidR="00ED521B">
        <w:rPr>
          <w:rFonts w:eastAsia="標楷體"/>
          <w:sz w:val="24"/>
          <w:szCs w:val="32"/>
        </w:rPr>
        <w:t>’</w:t>
      </w:r>
      <w:r w:rsidR="00ED521B">
        <w:rPr>
          <w:rFonts w:eastAsia="標楷體" w:hint="eastAsia"/>
          <w:sz w:val="24"/>
          <w:szCs w:val="32"/>
        </w:rPr>
        <w:t>s monetary policy decision-making</w:t>
      </w:r>
      <w:r w:rsidR="00B80485">
        <w:rPr>
          <w:rFonts w:eastAsia="標楷體" w:hint="eastAsia"/>
          <w:sz w:val="24"/>
          <w:szCs w:val="32"/>
        </w:rPr>
        <w:t xml:space="preserve"> in the future</w:t>
      </w:r>
      <w:r w:rsidR="00ED521B">
        <w:rPr>
          <w:rFonts w:eastAsia="標楷體" w:hint="eastAsia"/>
          <w:sz w:val="24"/>
          <w:szCs w:val="32"/>
        </w:rPr>
        <w:t xml:space="preserve">. </w:t>
      </w:r>
    </w:p>
    <w:p w:rsidR="0044377E" w:rsidRDefault="004C7D9F" w:rsidP="00FA173A">
      <w:pPr>
        <w:adjustRightInd/>
        <w:snapToGrid w:val="0"/>
        <w:spacing w:before="120" w:line="440" w:lineRule="exact"/>
        <w:ind w:firstLineChars="200" w:firstLine="480"/>
        <w:jc w:val="both"/>
        <w:textDirection w:val="lrTbV"/>
        <w:rPr>
          <w:rFonts w:eastAsia="標楷體"/>
          <w:sz w:val="24"/>
          <w:szCs w:val="32"/>
        </w:rPr>
      </w:pPr>
      <w:r w:rsidRPr="00215564">
        <w:rPr>
          <w:rFonts w:eastAsia="標楷體" w:hint="eastAsia"/>
          <w:sz w:val="24"/>
          <w:szCs w:val="32"/>
        </w:rPr>
        <w:t xml:space="preserve">Another board director stated that </w:t>
      </w:r>
      <w:r>
        <w:rPr>
          <w:rFonts w:eastAsia="標楷體" w:hint="eastAsia"/>
          <w:sz w:val="24"/>
          <w:szCs w:val="32"/>
        </w:rPr>
        <w:t xml:space="preserve">there are three </w:t>
      </w:r>
      <w:r w:rsidR="00CF3B6E">
        <w:rPr>
          <w:rFonts w:eastAsia="標楷體" w:hint="eastAsia"/>
          <w:sz w:val="24"/>
          <w:szCs w:val="32"/>
        </w:rPr>
        <w:t>types of interest rate decisions</w:t>
      </w:r>
      <w:r>
        <w:rPr>
          <w:rFonts w:eastAsia="標楷體" w:hint="eastAsia"/>
          <w:sz w:val="24"/>
          <w:szCs w:val="32"/>
        </w:rPr>
        <w:t xml:space="preserve">, a rate cut, a rate hold, and a rate hike. </w:t>
      </w:r>
      <w:r w:rsidR="00CF3B6E">
        <w:rPr>
          <w:rFonts w:eastAsia="標楷體" w:hint="eastAsia"/>
          <w:sz w:val="24"/>
          <w:szCs w:val="32"/>
        </w:rPr>
        <w:t>While nominal</w:t>
      </w:r>
      <w:r w:rsidR="002B22D9">
        <w:rPr>
          <w:rFonts w:eastAsia="標楷體" w:hint="eastAsia"/>
          <w:sz w:val="24"/>
          <w:szCs w:val="32"/>
        </w:rPr>
        <w:t xml:space="preserve"> interest rates in Taiwan have stayed at very low levels for a long time</w:t>
      </w:r>
      <w:r w:rsidR="00CF3B6E">
        <w:rPr>
          <w:rFonts w:eastAsia="標楷體" w:hint="eastAsia"/>
          <w:sz w:val="24"/>
          <w:szCs w:val="32"/>
        </w:rPr>
        <w:t>,</w:t>
      </w:r>
      <w:r w:rsidR="002B22D9">
        <w:rPr>
          <w:rFonts w:eastAsia="標楷體" w:hint="eastAsia"/>
          <w:sz w:val="24"/>
          <w:szCs w:val="32"/>
        </w:rPr>
        <w:t xml:space="preserve"> too low a level </w:t>
      </w:r>
      <w:r w:rsidR="002B22D9" w:rsidRPr="002B22D9">
        <w:rPr>
          <w:rFonts w:eastAsia="標楷體"/>
          <w:sz w:val="24"/>
          <w:szCs w:val="32"/>
        </w:rPr>
        <w:t>close to liquidity trap territory</w:t>
      </w:r>
      <w:r w:rsidR="002B22D9">
        <w:rPr>
          <w:rFonts w:eastAsia="標楷體" w:hint="eastAsia"/>
          <w:sz w:val="24"/>
          <w:szCs w:val="32"/>
        </w:rPr>
        <w:t xml:space="preserve"> would </w:t>
      </w:r>
      <w:r w:rsidR="00B929CF">
        <w:rPr>
          <w:rFonts w:eastAsia="標楷體" w:hint="eastAsia"/>
          <w:sz w:val="24"/>
          <w:szCs w:val="32"/>
        </w:rPr>
        <w:t xml:space="preserve">render a rate cut ineffective in spurring consumption and investment. </w:t>
      </w:r>
      <w:r w:rsidR="00CF3B6E">
        <w:rPr>
          <w:rFonts w:eastAsia="標楷體" w:hint="eastAsia"/>
          <w:sz w:val="24"/>
          <w:szCs w:val="32"/>
        </w:rPr>
        <w:t xml:space="preserve">Moreover, prolonged low rates could restrain options for </w:t>
      </w:r>
      <w:r w:rsidR="00CF3B6E">
        <w:rPr>
          <w:rFonts w:eastAsia="標楷體"/>
          <w:sz w:val="24"/>
          <w:szCs w:val="32"/>
        </w:rPr>
        <w:t>available</w:t>
      </w:r>
      <w:r w:rsidR="00CF3B6E">
        <w:rPr>
          <w:rFonts w:eastAsia="標楷體" w:hint="eastAsia"/>
          <w:sz w:val="24"/>
          <w:szCs w:val="32"/>
        </w:rPr>
        <w:t xml:space="preserve"> policy tools; it is also unusual </w:t>
      </w:r>
      <w:r w:rsidR="00AD4F4A">
        <w:rPr>
          <w:rFonts w:eastAsia="標楷體" w:hint="eastAsia"/>
          <w:sz w:val="24"/>
          <w:szCs w:val="32"/>
        </w:rPr>
        <w:t xml:space="preserve">when an interest rate-setting approach has not been as effective as intended. On the other hand, though, this is neither the right time to begin a rate hike cycle, considering the absence of an overheating risk or strong growth momentum. Excluding a cut or hike, </w:t>
      </w:r>
      <w:r w:rsidR="003042BB">
        <w:rPr>
          <w:rFonts w:eastAsia="標楷體" w:hint="eastAsia"/>
          <w:sz w:val="24"/>
          <w:szCs w:val="32"/>
        </w:rPr>
        <w:t xml:space="preserve">adopting </w:t>
      </w:r>
      <w:r w:rsidR="00AD4F4A">
        <w:rPr>
          <w:rFonts w:eastAsia="標楷體" w:hint="eastAsia"/>
          <w:sz w:val="24"/>
          <w:szCs w:val="32"/>
        </w:rPr>
        <w:t>a rate hold</w:t>
      </w:r>
      <w:r w:rsidR="003042BB">
        <w:rPr>
          <w:rFonts w:eastAsia="標楷體" w:hint="eastAsia"/>
          <w:sz w:val="24"/>
          <w:szCs w:val="32"/>
        </w:rPr>
        <w:t xml:space="preserve"> and allowing</w:t>
      </w:r>
      <w:r w:rsidR="00AD4F4A">
        <w:rPr>
          <w:rFonts w:eastAsia="標楷體" w:hint="eastAsia"/>
          <w:sz w:val="24"/>
          <w:szCs w:val="32"/>
        </w:rPr>
        <w:t xml:space="preserve"> market forces </w:t>
      </w:r>
      <w:r w:rsidR="003042BB">
        <w:rPr>
          <w:rFonts w:eastAsia="標楷體" w:hint="eastAsia"/>
          <w:sz w:val="24"/>
          <w:szCs w:val="32"/>
        </w:rPr>
        <w:t>to</w:t>
      </w:r>
      <w:r w:rsidR="00AD4F4A">
        <w:rPr>
          <w:rFonts w:eastAsia="標楷體" w:hint="eastAsia"/>
          <w:sz w:val="24"/>
          <w:szCs w:val="32"/>
        </w:rPr>
        <w:t xml:space="preserve"> </w:t>
      </w:r>
      <w:r w:rsidR="003050C1">
        <w:rPr>
          <w:rFonts w:eastAsia="標楷體" w:hint="eastAsia"/>
          <w:sz w:val="24"/>
          <w:szCs w:val="32"/>
        </w:rPr>
        <w:t>play their roles</w:t>
      </w:r>
      <w:r w:rsidR="00AD4F4A" w:rsidRPr="003050C1">
        <w:rPr>
          <w:rFonts w:eastAsia="標楷體" w:hint="eastAsia"/>
          <w:sz w:val="24"/>
          <w:szCs w:val="32"/>
        </w:rPr>
        <w:t xml:space="preserve"> constitutes the better option in the</w:t>
      </w:r>
      <w:r w:rsidR="00AD4F4A">
        <w:rPr>
          <w:rFonts w:eastAsia="標楷體" w:hint="eastAsia"/>
          <w:sz w:val="24"/>
          <w:szCs w:val="32"/>
        </w:rPr>
        <w:t xml:space="preserve"> current environment. </w:t>
      </w:r>
    </w:p>
    <w:p w:rsidR="00AD4F4A" w:rsidRDefault="00936F6D" w:rsidP="00936F6D">
      <w:pPr>
        <w:adjustRightInd/>
        <w:snapToGrid w:val="0"/>
        <w:spacing w:before="120" w:line="440" w:lineRule="exact"/>
        <w:ind w:firstLineChars="200" w:firstLine="480"/>
        <w:jc w:val="both"/>
        <w:textDirection w:val="lrTbV"/>
        <w:rPr>
          <w:rFonts w:eastAsia="標楷體"/>
          <w:sz w:val="24"/>
          <w:szCs w:val="32"/>
        </w:rPr>
      </w:pPr>
      <w:r w:rsidRPr="003050C1">
        <w:rPr>
          <w:rFonts w:eastAsia="標楷體" w:hint="eastAsia"/>
          <w:sz w:val="24"/>
          <w:szCs w:val="32"/>
        </w:rPr>
        <w:t>One board director</w:t>
      </w:r>
      <w:r w:rsidR="00AD4F4A">
        <w:rPr>
          <w:rFonts w:eastAsia="標楷體" w:hint="eastAsia"/>
          <w:sz w:val="24"/>
          <w:szCs w:val="32"/>
        </w:rPr>
        <w:t xml:space="preserve"> </w:t>
      </w:r>
      <w:r>
        <w:rPr>
          <w:rFonts w:eastAsia="標楷體" w:hint="eastAsia"/>
          <w:sz w:val="24"/>
          <w:szCs w:val="32"/>
        </w:rPr>
        <w:t xml:space="preserve">supported a rate hold on account of considerations regarding short-term </w:t>
      </w:r>
      <w:r>
        <w:rPr>
          <w:rFonts w:eastAsia="標楷體"/>
          <w:sz w:val="24"/>
          <w:szCs w:val="32"/>
        </w:rPr>
        <w:t>economic</w:t>
      </w:r>
      <w:r>
        <w:rPr>
          <w:rFonts w:eastAsia="標楷體" w:hint="eastAsia"/>
          <w:sz w:val="24"/>
          <w:szCs w:val="32"/>
        </w:rPr>
        <w:t xml:space="preserve"> cycles. However, the long-term effects of protracted low interest rates on Taiwan</w:t>
      </w:r>
      <w:r>
        <w:rPr>
          <w:rFonts w:eastAsia="標楷體"/>
          <w:sz w:val="24"/>
          <w:szCs w:val="32"/>
        </w:rPr>
        <w:t>’</w:t>
      </w:r>
      <w:r>
        <w:rPr>
          <w:rFonts w:eastAsia="標楷體" w:hint="eastAsia"/>
          <w:sz w:val="24"/>
          <w:szCs w:val="32"/>
        </w:rPr>
        <w:t xml:space="preserve">s economy as a whole have been unclear and should </w:t>
      </w:r>
      <w:r w:rsidRPr="003050C1">
        <w:rPr>
          <w:rFonts w:eastAsia="標楷體" w:hint="eastAsia"/>
          <w:sz w:val="24"/>
          <w:szCs w:val="32"/>
        </w:rPr>
        <w:t>be revealed in a timely manner</w:t>
      </w:r>
      <w:r>
        <w:rPr>
          <w:rFonts w:eastAsia="標楷體" w:hint="eastAsia"/>
          <w:sz w:val="24"/>
          <w:szCs w:val="32"/>
        </w:rPr>
        <w:t xml:space="preserve">. It is also suggested that the Bank communicate to the public that it pays great attention to not only short-term volatility but also longer-term economic growth. Basic </w:t>
      </w:r>
      <w:r>
        <w:rPr>
          <w:rFonts w:eastAsia="標楷體"/>
          <w:sz w:val="24"/>
          <w:szCs w:val="32"/>
        </w:rPr>
        <w:t xml:space="preserve">economics </w:t>
      </w:r>
      <w:r w:rsidR="00510590">
        <w:rPr>
          <w:rFonts w:eastAsia="標楷體" w:hint="eastAsia"/>
          <w:sz w:val="24"/>
          <w:szCs w:val="32"/>
        </w:rPr>
        <w:t xml:space="preserve">seems to indicate </w:t>
      </w:r>
      <w:r>
        <w:rPr>
          <w:rFonts w:eastAsia="標楷體" w:hint="eastAsia"/>
          <w:sz w:val="24"/>
          <w:szCs w:val="32"/>
        </w:rPr>
        <w:t xml:space="preserve">that </w:t>
      </w:r>
      <w:r w:rsidR="0091188D">
        <w:rPr>
          <w:rFonts w:eastAsia="標楷體" w:hint="eastAsia"/>
          <w:sz w:val="24"/>
          <w:szCs w:val="32"/>
        </w:rPr>
        <w:t xml:space="preserve">low rates </w:t>
      </w:r>
      <w:r w:rsidR="00510590">
        <w:rPr>
          <w:rFonts w:eastAsia="標楷體" w:hint="eastAsia"/>
          <w:sz w:val="24"/>
          <w:szCs w:val="32"/>
        </w:rPr>
        <w:t>c</w:t>
      </w:r>
      <w:r w:rsidR="0091188D">
        <w:rPr>
          <w:rFonts w:eastAsia="標楷體" w:hint="eastAsia"/>
          <w:sz w:val="24"/>
          <w:szCs w:val="32"/>
        </w:rPr>
        <w:t xml:space="preserve">ould harm </w:t>
      </w:r>
      <w:r w:rsidR="00797E3D" w:rsidRPr="003050C1">
        <w:rPr>
          <w:rFonts w:eastAsia="標楷體" w:hint="eastAsia"/>
          <w:sz w:val="24"/>
          <w:szCs w:val="32"/>
        </w:rPr>
        <w:t>credi</w:t>
      </w:r>
      <w:r w:rsidR="0091188D" w:rsidRPr="003050C1">
        <w:rPr>
          <w:rFonts w:eastAsia="標楷體" w:hint="eastAsia"/>
          <w:sz w:val="24"/>
          <w:szCs w:val="32"/>
        </w:rPr>
        <w:t>tors</w:t>
      </w:r>
      <w:r w:rsidR="0091188D">
        <w:rPr>
          <w:rFonts w:eastAsia="標楷體" w:hint="eastAsia"/>
          <w:sz w:val="24"/>
          <w:szCs w:val="32"/>
        </w:rPr>
        <w:t xml:space="preserve"> but benefi</w:t>
      </w:r>
      <w:r w:rsidR="009E3C7F">
        <w:rPr>
          <w:rFonts w:eastAsia="標楷體" w:hint="eastAsia"/>
          <w:sz w:val="24"/>
          <w:szCs w:val="32"/>
        </w:rPr>
        <w:t>t debt</w:t>
      </w:r>
      <w:r w:rsidR="00797E3D">
        <w:rPr>
          <w:rFonts w:eastAsia="標楷體" w:hint="eastAsia"/>
          <w:sz w:val="24"/>
          <w:szCs w:val="32"/>
        </w:rPr>
        <w:t>ors</w:t>
      </w:r>
      <w:r w:rsidR="009E3C7F">
        <w:rPr>
          <w:rFonts w:eastAsia="標楷體" w:hint="eastAsia"/>
          <w:sz w:val="24"/>
          <w:szCs w:val="32"/>
        </w:rPr>
        <w:t xml:space="preserve">, </w:t>
      </w:r>
      <w:r w:rsidR="00510590">
        <w:rPr>
          <w:rFonts w:eastAsia="標楷體" w:hint="eastAsia"/>
          <w:sz w:val="24"/>
          <w:szCs w:val="32"/>
        </w:rPr>
        <w:t xml:space="preserve">with such possible effects as </w:t>
      </w:r>
      <w:r w:rsidR="009E3C7F">
        <w:rPr>
          <w:rFonts w:eastAsia="標楷體" w:hint="eastAsia"/>
          <w:sz w:val="24"/>
          <w:szCs w:val="32"/>
        </w:rPr>
        <w:t xml:space="preserve">creating income inequality or widening </w:t>
      </w:r>
      <w:r w:rsidR="009E3C7F" w:rsidRPr="003050C1">
        <w:rPr>
          <w:rFonts w:eastAsia="標楷體" w:hint="eastAsia"/>
          <w:sz w:val="24"/>
          <w:szCs w:val="32"/>
        </w:rPr>
        <w:t xml:space="preserve">the rich-poor gap </w:t>
      </w:r>
      <w:r w:rsidR="009E3C7F">
        <w:rPr>
          <w:rFonts w:eastAsia="標楷體" w:hint="eastAsia"/>
          <w:sz w:val="24"/>
          <w:szCs w:val="32"/>
        </w:rPr>
        <w:t xml:space="preserve">along the way. </w:t>
      </w:r>
      <w:r w:rsidR="008441E1">
        <w:rPr>
          <w:rFonts w:eastAsia="標楷體" w:hint="eastAsia"/>
          <w:sz w:val="24"/>
          <w:szCs w:val="32"/>
        </w:rPr>
        <w:t xml:space="preserve">More attention is warranted to this potential risk. </w:t>
      </w:r>
    </w:p>
    <w:p w:rsidR="009E3C7F" w:rsidRDefault="00797E3D" w:rsidP="00791EDD">
      <w:pPr>
        <w:adjustRightInd/>
        <w:snapToGrid w:val="0"/>
        <w:spacing w:before="120" w:line="440" w:lineRule="exact"/>
        <w:ind w:firstLineChars="200" w:firstLine="480"/>
        <w:jc w:val="both"/>
        <w:textDirection w:val="lrTbV"/>
        <w:rPr>
          <w:rFonts w:eastAsia="標楷體"/>
          <w:sz w:val="24"/>
          <w:szCs w:val="32"/>
        </w:rPr>
      </w:pPr>
      <w:r w:rsidRPr="003050C1">
        <w:rPr>
          <w:rFonts w:eastAsia="標楷體" w:hint="eastAsia"/>
          <w:sz w:val="24"/>
          <w:szCs w:val="32"/>
        </w:rPr>
        <w:t xml:space="preserve">Another board director </w:t>
      </w:r>
      <w:r>
        <w:rPr>
          <w:rFonts w:eastAsia="標楷體" w:hint="eastAsia"/>
          <w:sz w:val="24"/>
          <w:szCs w:val="32"/>
        </w:rPr>
        <w:t xml:space="preserve">also commented on the issue of protracted </w:t>
      </w:r>
      <w:r w:rsidR="00AD49A0">
        <w:rPr>
          <w:rFonts w:eastAsia="標楷體" w:hint="eastAsia"/>
          <w:sz w:val="24"/>
          <w:szCs w:val="32"/>
        </w:rPr>
        <w:t xml:space="preserve">low </w:t>
      </w:r>
      <w:r>
        <w:rPr>
          <w:rFonts w:eastAsia="標楷體" w:hint="eastAsia"/>
          <w:sz w:val="24"/>
          <w:szCs w:val="32"/>
        </w:rPr>
        <w:t xml:space="preserve">interest rates. First, according to the </w:t>
      </w:r>
      <w:r>
        <w:rPr>
          <w:rFonts w:eastAsia="標楷體"/>
          <w:sz w:val="24"/>
          <w:szCs w:val="32"/>
        </w:rPr>
        <w:t>“</w:t>
      </w:r>
      <w:r>
        <w:rPr>
          <w:rFonts w:eastAsia="標楷體" w:hint="eastAsia"/>
          <w:sz w:val="24"/>
          <w:szCs w:val="32"/>
        </w:rPr>
        <w:t>secular stagnation</w:t>
      </w:r>
      <w:r>
        <w:rPr>
          <w:rFonts w:eastAsia="標楷體"/>
          <w:sz w:val="24"/>
          <w:szCs w:val="32"/>
        </w:rPr>
        <w:t>”</w:t>
      </w:r>
      <w:r>
        <w:rPr>
          <w:rFonts w:eastAsia="標楷體" w:hint="eastAsia"/>
          <w:sz w:val="24"/>
          <w:szCs w:val="32"/>
        </w:rPr>
        <w:t xml:space="preserve"> thesis by former US Treasury Secretary Lawrence H. Summers, interest rates had been declining before, not after, the 2008 global financial crisis. </w:t>
      </w:r>
      <w:r w:rsidR="00791EDD">
        <w:rPr>
          <w:rFonts w:eastAsia="標楷體" w:hint="eastAsia"/>
          <w:sz w:val="24"/>
          <w:szCs w:val="32"/>
        </w:rPr>
        <w:t xml:space="preserve">Meanwhile, Taiwan has recorded low nominal rates for quite some time, but its real interest rate is not one of the lowest. Some economists suggest that the reason why interest rates have stayed </w:t>
      </w:r>
      <w:r w:rsidR="00510590">
        <w:rPr>
          <w:rFonts w:eastAsia="標楷體" w:hint="eastAsia"/>
          <w:sz w:val="24"/>
          <w:szCs w:val="32"/>
        </w:rPr>
        <w:t>low</w:t>
      </w:r>
      <w:r w:rsidR="00791EDD">
        <w:rPr>
          <w:rFonts w:eastAsia="標楷體" w:hint="eastAsia"/>
          <w:sz w:val="24"/>
          <w:szCs w:val="32"/>
        </w:rPr>
        <w:t xml:space="preserve"> for a prolonged period with adverse implications is because of </w:t>
      </w:r>
      <w:r w:rsidR="00791EDD" w:rsidRPr="008441E1">
        <w:rPr>
          <w:rFonts w:eastAsia="標楷體"/>
          <w:sz w:val="24"/>
          <w:szCs w:val="32"/>
        </w:rPr>
        <w:t xml:space="preserve">insufficient investment </w:t>
      </w:r>
      <w:r w:rsidR="008441E1" w:rsidRPr="008441E1">
        <w:rPr>
          <w:rFonts w:eastAsia="標楷體" w:hint="eastAsia"/>
          <w:sz w:val="24"/>
          <w:szCs w:val="32"/>
        </w:rPr>
        <w:t xml:space="preserve">demand </w:t>
      </w:r>
      <w:r w:rsidR="00791EDD" w:rsidRPr="008441E1">
        <w:rPr>
          <w:rFonts w:eastAsia="標楷體"/>
          <w:sz w:val="24"/>
          <w:szCs w:val="32"/>
        </w:rPr>
        <w:t>to abs</w:t>
      </w:r>
      <w:r w:rsidR="00791EDD" w:rsidRPr="00791EDD">
        <w:rPr>
          <w:rFonts w:eastAsia="標楷體"/>
          <w:sz w:val="24"/>
          <w:szCs w:val="32"/>
        </w:rPr>
        <w:t xml:space="preserve">orb </w:t>
      </w:r>
      <w:r w:rsidR="00F21E58">
        <w:rPr>
          <w:rFonts w:eastAsia="標楷體" w:hint="eastAsia"/>
          <w:sz w:val="24"/>
          <w:szCs w:val="32"/>
        </w:rPr>
        <w:t xml:space="preserve">all the </w:t>
      </w:r>
      <w:r w:rsidR="00791EDD" w:rsidRPr="00791EDD">
        <w:rPr>
          <w:rFonts w:eastAsia="標楷體"/>
          <w:sz w:val="24"/>
          <w:szCs w:val="32"/>
        </w:rPr>
        <w:t>saving available in the economy</w:t>
      </w:r>
      <w:r w:rsidR="00FB4C1D">
        <w:rPr>
          <w:rFonts w:eastAsia="標楷體" w:hint="eastAsia"/>
          <w:sz w:val="24"/>
          <w:szCs w:val="32"/>
        </w:rPr>
        <w:t xml:space="preserve">. Therefore, the fundamental solution to protracted low rates is to boost investment. Furthermore, </w:t>
      </w:r>
      <w:r w:rsidR="00A55C42">
        <w:rPr>
          <w:rFonts w:eastAsia="標楷體" w:hint="eastAsia"/>
          <w:sz w:val="24"/>
          <w:szCs w:val="32"/>
        </w:rPr>
        <w:t>it is the collective viewpoint of several</w:t>
      </w:r>
      <w:r w:rsidR="00FB4C1D">
        <w:rPr>
          <w:rFonts w:eastAsia="標楷體" w:hint="eastAsia"/>
          <w:sz w:val="24"/>
          <w:szCs w:val="32"/>
        </w:rPr>
        <w:t xml:space="preserve"> renowned foreign economists that monetary policy is </w:t>
      </w:r>
      <w:r w:rsidR="00FB4C1D">
        <w:rPr>
          <w:rFonts w:eastAsia="標楷體" w:hint="eastAsia"/>
          <w:sz w:val="24"/>
          <w:szCs w:val="32"/>
        </w:rPr>
        <w:lastRenderedPageBreak/>
        <w:t xml:space="preserve">disproportionally burdened with the task of stabilizing the </w:t>
      </w:r>
      <w:r w:rsidR="00FB4C1D">
        <w:rPr>
          <w:rFonts w:eastAsia="標楷體"/>
          <w:sz w:val="24"/>
          <w:szCs w:val="32"/>
        </w:rPr>
        <w:t>economy</w:t>
      </w:r>
      <w:r w:rsidR="00A55C42">
        <w:rPr>
          <w:rFonts w:eastAsia="標楷體" w:hint="eastAsia"/>
          <w:sz w:val="24"/>
          <w:szCs w:val="32"/>
        </w:rPr>
        <w:t>; countries</w:t>
      </w:r>
      <w:r w:rsidR="00FB4C1D">
        <w:rPr>
          <w:rFonts w:eastAsia="標楷體" w:hint="eastAsia"/>
          <w:sz w:val="24"/>
          <w:szCs w:val="32"/>
        </w:rPr>
        <w:t xml:space="preserve"> with fiscal space should </w:t>
      </w:r>
      <w:r w:rsidR="00A55C42">
        <w:rPr>
          <w:rFonts w:eastAsia="標楷體" w:hint="eastAsia"/>
          <w:sz w:val="24"/>
          <w:szCs w:val="32"/>
        </w:rPr>
        <w:t xml:space="preserve">take </w:t>
      </w:r>
      <w:r w:rsidR="00FB4C1D">
        <w:rPr>
          <w:rFonts w:eastAsia="標楷體" w:hint="eastAsia"/>
          <w:sz w:val="24"/>
          <w:szCs w:val="32"/>
        </w:rPr>
        <w:t>more proactive</w:t>
      </w:r>
      <w:r w:rsidR="00A55C42">
        <w:rPr>
          <w:rFonts w:eastAsia="標楷體" w:hint="eastAsia"/>
          <w:sz w:val="24"/>
          <w:szCs w:val="32"/>
        </w:rPr>
        <w:t xml:space="preserve"> action</w:t>
      </w:r>
      <w:r w:rsidR="00FB4C1D">
        <w:rPr>
          <w:rFonts w:eastAsia="標楷體" w:hint="eastAsia"/>
          <w:sz w:val="24"/>
          <w:szCs w:val="32"/>
        </w:rPr>
        <w:t xml:space="preserve"> with fiscal expansion. </w:t>
      </w:r>
    </w:p>
    <w:p w:rsidR="009E3C7F" w:rsidRDefault="00162DBB" w:rsidP="0038056C">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Second, this board director continued, in a world of increased globalization, small open economies with free capital movements have their limitations in implementing interest rate policy, particularly in a low-interest rate environment, as well as in managing exchange rates. This concept could be described with the </w:t>
      </w:r>
      <w:r>
        <w:rPr>
          <w:rFonts w:eastAsia="標楷體"/>
          <w:sz w:val="24"/>
          <w:szCs w:val="32"/>
        </w:rPr>
        <w:t>“</w:t>
      </w:r>
      <w:r>
        <w:rPr>
          <w:rFonts w:eastAsia="標楷體" w:hint="eastAsia"/>
          <w:sz w:val="24"/>
          <w:szCs w:val="32"/>
        </w:rPr>
        <w:t>impossible trinity</w:t>
      </w:r>
      <w:r>
        <w:rPr>
          <w:rFonts w:eastAsia="標楷體"/>
          <w:sz w:val="24"/>
          <w:szCs w:val="32"/>
        </w:rPr>
        <w:t>”</w:t>
      </w:r>
      <w:r>
        <w:rPr>
          <w:rFonts w:eastAsia="標楷體" w:hint="eastAsia"/>
          <w:sz w:val="24"/>
          <w:szCs w:val="32"/>
        </w:rPr>
        <w:t xml:space="preserve"> theory. </w:t>
      </w:r>
      <w:r w:rsidR="0038056C">
        <w:rPr>
          <w:rFonts w:eastAsia="標楷體" w:hint="eastAsia"/>
          <w:sz w:val="24"/>
          <w:szCs w:val="32"/>
        </w:rPr>
        <w:t xml:space="preserve">On another front, </w:t>
      </w:r>
      <w:r w:rsidR="00F34AC3">
        <w:rPr>
          <w:rFonts w:eastAsia="標楷體" w:hint="eastAsia"/>
          <w:sz w:val="24"/>
          <w:szCs w:val="32"/>
        </w:rPr>
        <w:t>Japan</w:t>
      </w:r>
      <w:r w:rsidR="0038056C">
        <w:rPr>
          <w:rFonts w:eastAsia="標楷體" w:hint="eastAsia"/>
          <w:sz w:val="24"/>
          <w:szCs w:val="32"/>
        </w:rPr>
        <w:t xml:space="preserve"> has adopted low policy rates for a long time but could still be slipping into the </w:t>
      </w:r>
      <w:r w:rsidR="0038056C">
        <w:rPr>
          <w:rFonts w:eastAsia="標楷體"/>
          <w:sz w:val="24"/>
          <w:szCs w:val="32"/>
        </w:rPr>
        <w:t>“</w:t>
      </w:r>
      <w:r w:rsidR="0038056C">
        <w:rPr>
          <w:rFonts w:eastAsia="標楷體" w:hint="eastAsia"/>
          <w:sz w:val="24"/>
          <w:szCs w:val="32"/>
        </w:rPr>
        <w:t>lost 30 years.</w:t>
      </w:r>
      <w:r w:rsidR="0038056C">
        <w:rPr>
          <w:rFonts w:eastAsia="標楷體"/>
          <w:sz w:val="24"/>
          <w:szCs w:val="32"/>
        </w:rPr>
        <w:t>”</w:t>
      </w:r>
      <w:r w:rsidR="0038056C">
        <w:rPr>
          <w:rFonts w:eastAsia="標楷體" w:hint="eastAsia"/>
          <w:sz w:val="24"/>
          <w:szCs w:val="32"/>
        </w:rPr>
        <w:t xml:space="preserve"> While monetary policy (such as the </w:t>
      </w:r>
      <w:proofErr w:type="spellStart"/>
      <w:r w:rsidR="0038056C">
        <w:rPr>
          <w:rFonts w:eastAsia="標楷體" w:hint="eastAsia"/>
          <w:sz w:val="24"/>
          <w:szCs w:val="32"/>
        </w:rPr>
        <w:t>BoJ</w:t>
      </w:r>
      <w:r w:rsidR="0038056C">
        <w:rPr>
          <w:rFonts w:eastAsia="標楷體"/>
          <w:sz w:val="24"/>
          <w:szCs w:val="32"/>
        </w:rPr>
        <w:t>’</w:t>
      </w:r>
      <w:r w:rsidR="0038056C">
        <w:rPr>
          <w:rFonts w:eastAsia="標楷體" w:hint="eastAsia"/>
          <w:sz w:val="24"/>
          <w:szCs w:val="32"/>
        </w:rPr>
        <w:t>s</w:t>
      </w:r>
      <w:proofErr w:type="spellEnd"/>
      <w:r w:rsidR="0038056C">
        <w:rPr>
          <w:rFonts w:eastAsia="標楷體" w:hint="eastAsia"/>
          <w:sz w:val="24"/>
          <w:szCs w:val="32"/>
        </w:rPr>
        <w:t xml:space="preserve"> balance sheet expansion) and fiscal policy (such as increased government spending) could be used to counter short-term economic cycles, they </w:t>
      </w:r>
      <w:r w:rsidR="007B43E1">
        <w:rPr>
          <w:rFonts w:eastAsia="標楷體" w:hint="eastAsia"/>
          <w:sz w:val="24"/>
          <w:szCs w:val="32"/>
        </w:rPr>
        <w:t xml:space="preserve">are not the effective cure for long-term structural diseases, which have been ailing Japan. </w:t>
      </w:r>
      <w:r w:rsidR="008D02BF">
        <w:rPr>
          <w:rFonts w:eastAsia="標楷體" w:hint="eastAsia"/>
          <w:sz w:val="24"/>
          <w:szCs w:val="32"/>
        </w:rPr>
        <w:t xml:space="preserve">Meanwhile, globalization makes protracted low rates a worldwide syndrome, which is not just seen in Taiwan, but many other economies elsewhere. In sum, the Bank should, in addition to heeding the possible side effects of protracted low rates, </w:t>
      </w:r>
      <w:r w:rsidR="005179FC">
        <w:rPr>
          <w:rFonts w:eastAsia="標楷體" w:hint="eastAsia"/>
          <w:sz w:val="24"/>
          <w:szCs w:val="32"/>
        </w:rPr>
        <w:t xml:space="preserve">strive to resolve </w:t>
      </w:r>
      <w:r w:rsidR="005E49BC">
        <w:rPr>
          <w:rFonts w:eastAsia="標楷體" w:hint="eastAsia"/>
          <w:sz w:val="24"/>
          <w:szCs w:val="32"/>
        </w:rPr>
        <w:t xml:space="preserve">the root cause (such as considerable excess saving as a result of insufficient investment) </w:t>
      </w:r>
      <w:r w:rsidR="005179FC">
        <w:rPr>
          <w:rFonts w:eastAsia="標楷體" w:hint="eastAsia"/>
          <w:sz w:val="24"/>
          <w:szCs w:val="32"/>
        </w:rPr>
        <w:t xml:space="preserve">behind this phenomenon. </w:t>
      </w:r>
    </w:p>
    <w:p w:rsidR="009E3C7F" w:rsidRDefault="005179FC" w:rsidP="00936F6D">
      <w:pPr>
        <w:adjustRightInd/>
        <w:snapToGrid w:val="0"/>
        <w:spacing w:before="120" w:line="440" w:lineRule="exact"/>
        <w:ind w:firstLineChars="200" w:firstLine="480"/>
        <w:jc w:val="both"/>
        <w:textDirection w:val="lrTbV"/>
        <w:rPr>
          <w:rFonts w:eastAsia="標楷體"/>
          <w:sz w:val="24"/>
          <w:szCs w:val="32"/>
        </w:rPr>
      </w:pPr>
      <w:r w:rsidRPr="003050C1">
        <w:rPr>
          <w:rFonts w:eastAsia="標楷體" w:hint="eastAsia"/>
          <w:sz w:val="24"/>
          <w:szCs w:val="32"/>
        </w:rPr>
        <w:t>One board director</w:t>
      </w:r>
      <w:r w:rsidRPr="007F6F77">
        <w:rPr>
          <w:rFonts w:eastAsia="標楷體" w:hint="eastAsia"/>
          <w:sz w:val="24"/>
          <w:szCs w:val="32"/>
        </w:rPr>
        <w:t>, while approving of a rate hold,</w:t>
      </w:r>
      <w:r>
        <w:rPr>
          <w:rFonts w:eastAsia="標楷體" w:hint="eastAsia"/>
          <w:sz w:val="24"/>
          <w:szCs w:val="32"/>
        </w:rPr>
        <w:t xml:space="preserve"> called for attention to the influence of capital flows. </w:t>
      </w:r>
      <w:r w:rsidRPr="003050C1">
        <w:rPr>
          <w:rFonts w:eastAsia="標楷體" w:hint="eastAsia"/>
          <w:sz w:val="24"/>
          <w:szCs w:val="32"/>
        </w:rPr>
        <w:t xml:space="preserve">Another board director </w:t>
      </w:r>
      <w:r>
        <w:rPr>
          <w:rFonts w:eastAsia="標楷體" w:hint="eastAsia"/>
          <w:sz w:val="24"/>
          <w:szCs w:val="32"/>
        </w:rPr>
        <w:t>commented on Taiwan</w:t>
      </w:r>
      <w:r>
        <w:rPr>
          <w:rFonts w:eastAsia="標楷體"/>
          <w:sz w:val="24"/>
          <w:szCs w:val="32"/>
        </w:rPr>
        <w:t>’</w:t>
      </w:r>
      <w:r>
        <w:rPr>
          <w:rFonts w:eastAsia="標楷體" w:hint="eastAsia"/>
          <w:sz w:val="24"/>
          <w:szCs w:val="32"/>
        </w:rPr>
        <w:t xml:space="preserve">s capital outflows, pointing out that outbound investments by </w:t>
      </w:r>
      <w:r>
        <w:rPr>
          <w:rFonts w:eastAsia="標楷體"/>
          <w:sz w:val="24"/>
          <w:szCs w:val="32"/>
        </w:rPr>
        <w:t>insurers</w:t>
      </w:r>
      <w:r>
        <w:rPr>
          <w:rFonts w:eastAsia="標楷體" w:hint="eastAsia"/>
          <w:sz w:val="24"/>
          <w:szCs w:val="32"/>
        </w:rPr>
        <w:t xml:space="preserve"> were ma</w:t>
      </w:r>
      <w:r w:rsidR="000E029E">
        <w:rPr>
          <w:rFonts w:eastAsia="標楷體" w:hint="eastAsia"/>
          <w:sz w:val="24"/>
          <w:szCs w:val="32"/>
        </w:rPr>
        <w:t>ssive in size and concentrated by</w:t>
      </w:r>
      <w:r>
        <w:rPr>
          <w:rFonts w:eastAsia="標楷體" w:hint="eastAsia"/>
          <w:sz w:val="24"/>
          <w:szCs w:val="32"/>
        </w:rPr>
        <w:t xml:space="preserve"> market. If international stock and bond markets </w:t>
      </w:r>
      <w:r w:rsidR="00B809D5">
        <w:rPr>
          <w:rFonts w:eastAsia="標楷體" w:hint="eastAsia"/>
          <w:sz w:val="24"/>
          <w:szCs w:val="32"/>
        </w:rPr>
        <w:t>were to decline significantly,</w:t>
      </w:r>
      <w:r>
        <w:rPr>
          <w:rFonts w:eastAsia="標楷體" w:hint="eastAsia"/>
          <w:sz w:val="24"/>
          <w:szCs w:val="32"/>
        </w:rPr>
        <w:t xml:space="preserve"> it could hit these insurers and affect domestic financial stability. It is therefore recommended that domestic insurers be encouraged to make longer-term investments at home, instead of overseas. </w:t>
      </w:r>
      <w:r w:rsidR="000E029E" w:rsidRPr="003050C1">
        <w:rPr>
          <w:rFonts w:eastAsia="標楷體" w:hint="eastAsia"/>
          <w:sz w:val="24"/>
          <w:szCs w:val="32"/>
        </w:rPr>
        <w:t>One other board director</w:t>
      </w:r>
      <w:r w:rsidR="000E029E">
        <w:rPr>
          <w:rFonts w:eastAsia="標楷體" w:hint="eastAsia"/>
          <w:sz w:val="24"/>
          <w:szCs w:val="32"/>
        </w:rPr>
        <w:t xml:space="preserve"> followed </w:t>
      </w:r>
      <w:r w:rsidR="000E3711">
        <w:rPr>
          <w:rFonts w:eastAsia="標楷體" w:hint="eastAsia"/>
          <w:sz w:val="24"/>
          <w:szCs w:val="32"/>
        </w:rPr>
        <w:t xml:space="preserve">up </w:t>
      </w:r>
      <w:r w:rsidR="000E029E">
        <w:rPr>
          <w:rFonts w:eastAsia="標楷體" w:hint="eastAsia"/>
          <w:sz w:val="24"/>
          <w:szCs w:val="32"/>
        </w:rPr>
        <w:t xml:space="preserve">by </w:t>
      </w:r>
      <w:r w:rsidR="00EC4887">
        <w:rPr>
          <w:rFonts w:eastAsia="標楷體" w:hint="eastAsia"/>
          <w:sz w:val="24"/>
          <w:szCs w:val="32"/>
        </w:rPr>
        <w:t>explain</w:t>
      </w:r>
      <w:r w:rsidR="000E029E">
        <w:rPr>
          <w:rFonts w:eastAsia="標楷體" w:hint="eastAsia"/>
          <w:sz w:val="24"/>
          <w:szCs w:val="32"/>
        </w:rPr>
        <w:t xml:space="preserve">ing that </w:t>
      </w:r>
      <w:r w:rsidR="00EC4887">
        <w:rPr>
          <w:rFonts w:eastAsia="標楷體" w:hint="eastAsia"/>
          <w:sz w:val="24"/>
          <w:szCs w:val="32"/>
        </w:rPr>
        <w:t>insurers</w:t>
      </w:r>
      <w:r w:rsidR="00EC4887">
        <w:rPr>
          <w:rFonts w:eastAsia="標楷體"/>
          <w:sz w:val="24"/>
          <w:szCs w:val="32"/>
        </w:rPr>
        <w:t>’</w:t>
      </w:r>
      <w:r w:rsidR="00EC4887">
        <w:rPr>
          <w:rFonts w:eastAsia="標楷體" w:hint="eastAsia"/>
          <w:sz w:val="24"/>
          <w:szCs w:val="32"/>
        </w:rPr>
        <w:t xml:space="preserve"> outbound investment is in fact due to the lack of </w:t>
      </w:r>
      <w:r w:rsidR="000E3711">
        <w:rPr>
          <w:rFonts w:eastAsia="標楷體" w:hint="eastAsia"/>
          <w:sz w:val="24"/>
          <w:szCs w:val="32"/>
        </w:rPr>
        <w:t xml:space="preserve">longer-term (20-year or 30-year) financial products in the local market, to the extent that the levels of domestic interest rates, high or low, have little effect to the situation of insurer capital outflows. The solution would therefore be to guide insurers to invest more in real </w:t>
      </w:r>
      <w:r w:rsidR="000E3711">
        <w:rPr>
          <w:rFonts w:eastAsia="標楷體"/>
          <w:sz w:val="24"/>
          <w:szCs w:val="32"/>
        </w:rPr>
        <w:t>economic</w:t>
      </w:r>
      <w:r w:rsidR="000E3711">
        <w:rPr>
          <w:rFonts w:eastAsia="標楷體" w:hint="eastAsia"/>
          <w:sz w:val="24"/>
          <w:szCs w:val="32"/>
        </w:rPr>
        <w:t xml:space="preserve"> activity. In addition, given Taiwan</w:t>
      </w:r>
      <w:r w:rsidR="000E3711">
        <w:rPr>
          <w:rFonts w:eastAsia="標楷體"/>
          <w:sz w:val="24"/>
          <w:szCs w:val="32"/>
        </w:rPr>
        <w:t>’</w:t>
      </w:r>
      <w:r w:rsidR="000E3711">
        <w:rPr>
          <w:rFonts w:eastAsia="標楷體" w:hint="eastAsia"/>
          <w:sz w:val="24"/>
          <w:szCs w:val="32"/>
        </w:rPr>
        <w:t xml:space="preserve">s large trade surplus and foreign capital inflows, </w:t>
      </w:r>
      <w:r w:rsidR="000E3711">
        <w:rPr>
          <w:rFonts w:eastAsia="標楷體"/>
          <w:sz w:val="24"/>
          <w:szCs w:val="32"/>
        </w:rPr>
        <w:t>small</w:t>
      </w:r>
      <w:r w:rsidR="000E3711">
        <w:rPr>
          <w:rFonts w:eastAsia="標楷體" w:hint="eastAsia"/>
          <w:sz w:val="24"/>
          <w:szCs w:val="32"/>
        </w:rPr>
        <w:t xml:space="preserve"> capital outflows could help let out pressures of a domestic market flush with </w:t>
      </w:r>
      <w:r w:rsidR="000E3711">
        <w:rPr>
          <w:rFonts w:eastAsia="標楷體"/>
          <w:sz w:val="24"/>
          <w:szCs w:val="32"/>
        </w:rPr>
        <w:t>liquidity</w:t>
      </w:r>
      <w:r w:rsidR="000E3711">
        <w:rPr>
          <w:rFonts w:eastAsia="標楷體" w:hint="eastAsia"/>
          <w:sz w:val="24"/>
          <w:szCs w:val="32"/>
        </w:rPr>
        <w:t xml:space="preserve">. </w:t>
      </w:r>
      <w:r w:rsidR="00173BC1">
        <w:rPr>
          <w:rFonts w:eastAsia="標楷體" w:hint="eastAsia"/>
          <w:sz w:val="24"/>
          <w:szCs w:val="32"/>
        </w:rPr>
        <w:t>Liquidity utilization would also be less effective with domestic b</w:t>
      </w:r>
      <w:r w:rsidR="000E3711">
        <w:rPr>
          <w:rFonts w:eastAsia="標楷體" w:hint="eastAsia"/>
          <w:sz w:val="24"/>
          <w:szCs w:val="32"/>
        </w:rPr>
        <w:t xml:space="preserve">anks sitting on massive deposits yet </w:t>
      </w:r>
      <w:r w:rsidR="00173BC1">
        <w:rPr>
          <w:rFonts w:eastAsia="標楷體" w:hint="eastAsia"/>
          <w:sz w:val="24"/>
          <w:szCs w:val="32"/>
        </w:rPr>
        <w:t>lackluster</w:t>
      </w:r>
      <w:r w:rsidR="000E3711">
        <w:rPr>
          <w:rFonts w:eastAsia="標楷體" w:hint="eastAsia"/>
          <w:sz w:val="24"/>
          <w:szCs w:val="32"/>
        </w:rPr>
        <w:t xml:space="preserve"> in lending</w:t>
      </w:r>
      <w:r w:rsidR="00173BC1">
        <w:rPr>
          <w:rFonts w:eastAsia="標楷體" w:hint="eastAsia"/>
          <w:sz w:val="24"/>
          <w:szCs w:val="32"/>
        </w:rPr>
        <w:t xml:space="preserve">. These have all exerted downward pressures on interest rates. </w:t>
      </w:r>
    </w:p>
    <w:p w:rsidR="006A083A" w:rsidRPr="007F6F77" w:rsidRDefault="006A083A" w:rsidP="00FA173A">
      <w:pPr>
        <w:adjustRightInd/>
        <w:snapToGrid w:val="0"/>
        <w:spacing w:before="120" w:line="440" w:lineRule="exact"/>
        <w:ind w:left="320" w:hangingChars="133" w:hanging="320"/>
        <w:jc w:val="both"/>
        <w:textDirection w:val="lrTbV"/>
        <w:rPr>
          <w:rFonts w:eastAsia="標楷體"/>
          <w:sz w:val="24"/>
          <w:szCs w:val="28"/>
        </w:rPr>
      </w:pPr>
      <w:r w:rsidRPr="007F6F77">
        <w:rPr>
          <w:rFonts w:eastAsia="標楷體" w:hint="eastAsia"/>
          <w:b/>
          <w:sz w:val="24"/>
          <w:szCs w:val="28"/>
        </w:rPr>
        <w:t xml:space="preserve">3. Monetary Policy Decision: </w:t>
      </w:r>
      <w:r w:rsidR="00CE3BC5" w:rsidRPr="007F6F77">
        <w:rPr>
          <w:rFonts w:eastAsia="標楷體" w:hint="eastAsia"/>
          <w:sz w:val="24"/>
          <w:szCs w:val="28"/>
        </w:rPr>
        <w:t xml:space="preserve">The board directors </w:t>
      </w:r>
      <w:r w:rsidRPr="007F6F77">
        <w:rPr>
          <w:rFonts w:eastAsia="標楷體" w:hint="eastAsia"/>
          <w:sz w:val="24"/>
          <w:szCs w:val="28"/>
        </w:rPr>
        <w:t>reached a unanimous vote t</w:t>
      </w:r>
      <w:r w:rsidRPr="007F6F77">
        <w:rPr>
          <w:rFonts w:eastAsia="標楷體"/>
          <w:sz w:val="24"/>
          <w:szCs w:val="28"/>
        </w:rPr>
        <w:t xml:space="preserve">o keep the discount rate, the rate on accommodations with collateral, and the rate on accommodations </w:t>
      </w:r>
      <w:r w:rsidRPr="007F6F77">
        <w:rPr>
          <w:rFonts w:eastAsia="標楷體"/>
          <w:sz w:val="24"/>
          <w:szCs w:val="28"/>
        </w:rPr>
        <w:lastRenderedPageBreak/>
        <w:t>without collateral unchanged at 1.375%, 1.75%, and 3.625%, respectively.</w:t>
      </w:r>
    </w:p>
    <w:p w:rsidR="006A083A" w:rsidRDefault="006A083A" w:rsidP="00FA173A">
      <w:pPr>
        <w:snapToGrid w:val="0"/>
        <w:spacing w:before="120" w:line="440" w:lineRule="exact"/>
        <w:ind w:left="961" w:hangingChars="400" w:hanging="961"/>
        <w:jc w:val="both"/>
        <w:textDirection w:val="lrTbV"/>
        <w:rPr>
          <w:rFonts w:eastAsia="標楷體"/>
          <w:b/>
          <w:sz w:val="24"/>
          <w:szCs w:val="28"/>
        </w:rPr>
      </w:pPr>
      <w:r w:rsidRPr="007F6F77">
        <w:rPr>
          <w:rFonts w:eastAsia="標楷體" w:hint="eastAsia"/>
          <w:b/>
          <w:sz w:val="24"/>
          <w:szCs w:val="28"/>
        </w:rPr>
        <w:t xml:space="preserve">Voting for the proposition: </w:t>
      </w:r>
    </w:p>
    <w:p w:rsidR="00E972E3" w:rsidRPr="007F6F77" w:rsidRDefault="00860EF7" w:rsidP="00E972E3">
      <w:pPr>
        <w:spacing w:line="440" w:lineRule="exact"/>
        <w:ind w:leftChars="200" w:left="400" w:rightChars="5" w:right="10"/>
        <w:textDirection w:val="lrTbV"/>
        <w:rPr>
          <w:rFonts w:eastAsia="標楷體"/>
          <w:b/>
          <w:sz w:val="24"/>
          <w:szCs w:val="28"/>
        </w:rPr>
      </w:pPr>
      <w:r w:rsidRPr="007F6F77">
        <w:rPr>
          <w:rFonts w:eastAsia="標楷體"/>
          <w:sz w:val="24"/>
          <w:szCs w:val="24"/>
        </w:rPr>
        <w:t>Chin-long Yang</w:t>
      </w:r>
      <w:r w:rsidRPr="007F6F77">
        <w:rPr>
          <w:rFonts w:eastAsia="標楷體" w:hint="eastAsia"/>
          <w:sz w:val="24"/>
          <w:szCs w:val="24"/>
        </w:rPr>
        <w:t>,</w:t>
      </w:r>
      <w:r w:rsidRPr="007F6F77">
        <w:rPr>
          <w:rFonts w:eastAsia="標楷體"/>
          <w:sz w:val="24"/>
          <w:szCs w:val="24"/>
        </w:rPr>
        <w:t xml:space="preserve"> Jain-</w:t>
      </w:r>
      <w:proofErr w:type="spellStart"/>
      <w:r w:rsidRPr="007F6F77">
        <w:rPr>
          <w:rFonts w:eastAsia="標楷體"/>
          <w:sz w:val="24"/>
          <w:szCs w:val="24"/>
        </w:rPr>
        <w:t>Rong</w:t>
      </w:r>
      <w:proofErr w:type="spellEnd"/>
      <w:r w:rsidRPr="007F6F77">
        <w:rPr>
          <w:rFonts w:eastAsia="標楷體" w:hint="eastAsia"/>
          <w:sz w:val="24"/>
          <w:szCs w:val="24"/>
        </w:rPr>
        <w:t xml:space="preserve"> Su, </w:t>
      </w:r>
      <w:proofErr w:type="spellStart"/>
      <w:r w:rsidRPr="007F6F77">
        <w:rPr>
          <w:rFonts w:eastAsia="標楷體"/>
          <w:sz w:val="24"/>
          <w:szCs w:val="24"/>
        </w:rPr>
        <w:t>Tzung</w:t>
      </w:r>
      <w:proofErr w:type="spellEnd"/>
      <w:r w:rsidRPr="007F6F77">
        <w:rPr>
          <w:rFonts w:eastAsia="標楷體"/>
          <w:sz w:val="24"/>
          <w:szCs w:val="24"/>
        </w:rPr>
        <w:t>-ta Yen, Nan-</w:t>
      </w:r>
      <w:proofErr w:type="spellStart"/>
      <w:r w:rsidRPr="007F6F77">
        <w:rPr>
          <w:rFonts w:eastAsia="標楷體"/>
          <w:sz w:val="24"/>
          <w:szCs w:val="24"/>
        </w:rPr>
        <w:t>kuang</w:t>
      </w:r>
      <w:proofErr w:type="spellEnd"/>
      <w:r w:rsidRPr="007F6F77">
        <w:rPr>
          <w:rFonts w:eastAsia="標楷體"/>
          <w:sz w:val="24"/>
          <w:szCs w:val="24"/>
        </w:rPr>
        <w:t xml:space="preserve"> Chen, Ming-</w:t>
      </w:r>
      <w:proofErr w:type="spellStart"/>
      <w:r w:rsidRPr="007F6F77">
        <w:rPr>
          <w:rFonts w:eastAsia="標楷體"/>
          <w:sz w:val="24"/>
          <w:szCs w:val="24"/>
        </w:rPr>
        <w:t>yih</w:t>
      </w:r>
      <w:proofErr w:type="spellEnd"/>
      <w:r w:rsidRPr="007F6F77">
        <w:rPr>
          <w:rFonts w:eastAsia="標楷體"/>
          <w:sz w:val="24"/>
          <w:szCs w:val="24"/>
        </w:rPr>
        <w:t xml:space="preserve"> Liang, </w:t>
      </w:r>
      <w:r w:rsidR="00E972E3">
        <w:rPr>
          <w:rFonts w:eastAsia="標楷體"/>
          <w:sz w:val="24"/>
          <w:szCs w:val="24"/>
        </w:rPr>
        <w:t>Chi-</w:t>
      </w:r>
      <w:proofErr w:type="spellStart"/>
      <w:r w:rsidR="00E972E3">
        <w:rPr>
          <w:rFonts w:eastAsia="標楷體" w:hint="eastAsia"/>
          <w:sz w:val="24"/>
          <w:szCs w:val="24"/>
        </w:rPr>
        <w:t>c</w:t>
      </w:r>
      <w:r w:rsidR="00E972E3" w:rsidRPr="003C3DAA">
        <w:rPr>
          <w:rFonts w:eastAsia="標楷體"/>
          <w:sz w:val="24"/>
          <w:szCs w:val="24"/>
        </w:rPr>
        <w:t>hung</w:t>
      </w:r>
      <w:proofErr w:type="spellEnd"/>
      <w:r w:rsidR="00E972E3" w:rsidRPr="003C3DAA">
        <w:rPr>
          <w:rFonts w:eastAsia="標楷體"/>
          <w:sz w:val="24"/>
          <w:szCs w:val="24"/>
        </w:rPr>
        <w:t xml:space="preserve"> Chen</w:t>
      </w:r>
      <w:r w:rsidR="00E972E3">
        <w:rPr>
          <w:rFonts w:eastAsia="標楷體" w:hint="eastAsia"/>
          <w:sz w:val="24"/>
          <w:szCs w:val="24"/>
        </w:rPr>
        <w:t>,</w:t>
      </w:r>
      <w:r w:rsidRPr="007F6F77">
        <w:rPr>
          <w:rFonts w:eastAsia="標楷體"/>
          <w:sz w:val="24"/>
          <w:szCs w:val="24"/>
        </w:rPr>
        <w:t xml:space="preserve"> Chen-chia Lee, </w:t>
      </w:r>
      <w:proofErr w:type="spellStart"/>
      <w:r w:rsidRPr="007F6F77">
        <w:rPr>
          <w:rFonts w:eastAsia="標楷體"/>
          <w:sz w:val="24"/>
          <w:szCs w:val="24"/>
        </w:rPr>
        <w:t>Jin</w:t>
      </w:r>
      <w:proofErr w:type="spellEnd"/>
      <w:r w:rsidRPr="007F6F77">
        <w:rPr>
          <w:rFonts w:eastAsia="標楷體"/>
          <w:sz w:val="24"/>
          <w:szCs w:val="24"/>
        </w:rPr>
        <w:t>-lung Lin, Mei-lie Chu, Chao-</w:t>
      </w:r>
      <w:proofErr w:type="spellStart"/>
      <w:r w:rsidRPr="007F6F77">
        <w:rPr>
          <w:rFonts w:eastAsia="標楷體"/>
          <w:sz w:val="24"/>
          <w:szCs w:val="24"/>
        </w:rPr>
        <w:t>hsi</w:t>
      </w:r>
      <w:proofErr w:type="spellEnd"/>
      <w:r w:rsidRPr="007F6F77">
        <w:rPr>
          <w:rFonts w:eastAsia="標楷體"/>
          <w:sz w:val="24"/>
          <w:szCs w:val="24"/>
        </w:rPr>
        <w:t xml:space="preserve"> Huang, </w:t>
      </w:r>
      <w:proofErr w:type="spellStart"/>
      <w:r w:rsidRPr="007F6F77">
        <w:rPr>
          <w:rFonts w:eastAsia="標楷體"/>
          <w:sz w:val="24"/>
          <w:szCs w:val="24"/>
        </w:rPr>
        <w:t>Bih</w:t>
      </w:r>
      <w:proofErr w:type="spellEnd"/>
      <w:r w:rsidRPr="007F6F77">
        <w:rPr>
          <w:rFonts w:eastAsia="標楷體"/>
          <w:sz w:val="24"/>
          <w:szCs w:val="24"/>
        </w:rPr>
        <w:t xml:space="preserve">-jane Liu, </w:t>
      </w:r>
      <w:proofErr w:type="spellStart"/>
      <w:r w:rsidRPr="007F6F77">
        <w:rPr>
          <w:rFonts w:eastAsia="標楷體"/>
          <w:sz w:val="24"/>
          <w:szCs w:val="24"/>
        </w:rPr>
        <w:t>Shiu</w:t>
      </w:r>
      <w:proofErr w:type="spellEnd"/>
      <w:r w:rsidRPr="007F6F77">
        <w:rPr>
          <w:rFonts w:eastAsia="標楷體"/>
          <w:sz w:val="24"/>
          <w:szCs w:val="24"/>
        </w:rPr>
        <w:t>-sheng Chen</w:t>
      </w:r>
      <w:r w:rsidRPr="007F6F77">
        <w:rPr>
          <w:rFonts w:eastAsia="標楷體" w:hint="eastAsia"/>
          <w:sz w:val="24"/>
          <w:szCs w:val="24"/>
        </w:rPr>
        <w:t xml:space="preserve">, </w:t>
      </w:r>
      <w:proofErr w:type="spellStart"/>
      <w:r w:rsidR="000060B5" w:rsidRPr="007F6F77">
        <w:rPr>
          <w:rFonts w:eastAsia="標楷體"/>
          <w:sz w:val="24"/>
          <w:szCs w:val="24"/>
        </w:rPr>
        <w:t>Hsin-</w:t>
      </w:r>
      <w:r w:rsidR="000060B5" w:rsidRPr="007F6F77">
        <w:rPr>
          <w:rFonts w:eastAsia="標楷體" w:hint="eastAsia"/>
          <w:sz w:val="24"/>
          <w:szCs w:val="24"/>
        </w:rPr>
        <w:t>h</w:t>
      </w:r>
      <w:r w:rsidRPr="007F6F77">
        <w:rPr>
          <w:rFonts w:eastAsia="標楷體"/>
          <w:sz w:val="24"/>
          <w:szCs w:val="24"/>
        </w:rPr>
        <w:t>ong</w:t>
      </w:r>
      <w:proofErr w:type="spellEnd"/>
      <w:r w:rsidRPr="007F6F77">
        <w:rPr>
          <w:rFonts w:eastAsia="標楷體"/>
          <w:sz w:val="24"/>
          <w:szCs w:val="24"/>
        </w:rPr>
        <w:t xml:space="preserve"> Kang</w:t>
      </w:r>
      <w:r w:rsidR="00E972E3">
        <w:rPr>
          <w:rFonts w:eastAsia="標楷體" w:hint="eastAsia"/>
          <w:sz w:val="24"/>
          <w:szCs w:val="24"/>
        </w:rPr>
        <w:t xml:space="preserve">, </w:t>
      </w:r>
      <w:r w:rsidR="00E972E3" w:rsidRPr="007F6F77">
        <w:rPr>
          <w:rFonts w:eastAsia="標楷體"/>
          <w:sz w:val="24"/>
          <w:szCs w:val="24"/>
        </w:rPr>
        <w:t>Jong-</w:t>
      </w:r>
      <w:r w:rsidR="00E972E3" w:rsidRPr="007F6F77">
        <w:rPr>
          <w:rFonts w:eastAsia="標楷體" w:hint="eastAsia"/>
          <w:sz w:val="24"/>
          <w:szCs w:val="24"/>
        </w:rPr>
        <w:t>c</w:t>
      </w:r>
      <w:r w:rsidR="00E972E3" w:rsidRPr="007F6F77">
        <w:rPr>
          <w:rFonts w:eastAsia="標楷體"/>
          <w:sz w:val="24"/>
          <w:szCs w:val="24"/>
        </w:rPr>
        <w:t>hin Shen (</w:t>
      </w:r>
      <w:r w:rsidR="00E972E3" w:rsidRPr="007F6F77">
        <w:rPr>
          <w:rFonts w:eastAsia="標楷體" w:hint="eastAsia"/>
          <w:sz w:val="24"/>
          <w:szCs w:val="24"/>
        </w:rPr>
        <w:t>voting by proxy</w:t>
      </w:r>
      <w:r w:rsidR="00E972E3" w:rsidRPr="007F6F77">
        <w:rPr>
          <w:rFonts w:eastAsia="標楷體"/>
          <w:sz w:val="24"/>
          <w:szCs w:val="24"/>
        </w:rPr>
        <w:t>)</w:t>
      </w:r>
      <w:r w:rsidR="00E972E3">
        <w:rPr>
          <w:rFonts w:eastAsia="標楷體" w:hint="eastAsia"/>
          <w:sz w:val="24"/>
          <w:szCs w:val="24"/>
        </w:rPr>
        <w:t xml:space="preserve">, </w:t>
      </w:r>
      <w:r w:rsidR="00E972E3" w:rsidRPr="007F6F77">
        <w:rPr>
          <w:rFonts w:eastAsia="標楷體"/>
          <w:sz w:val="24"/>
          <w:szCs w:val="24"/>
        </w:rPr>
        <w:t>Chung-</w:t>
      </w:r>
      <w:proofErr w:type="spellStart"/>
      <w:r w:rsidR="00E972E3" w:rsidRPr="007F6F77">
        <w:rPr>
          <w:rFonts w:eastAsia="標楷體" w:hint="eastAsia"/>
          <w:sz w:val="24"/>
          <w:szCs w:val="24"/>
        </w:rPr>
        <w:t>d</w:t>
      </w:r>
      <w:r w:rsidR="00E972E3" w:rsidRPr="007F6F77">
        <w:rPr>
          <w:rFonts w:eastAsia="標楷體"/>
          <w:sz w:val="24"/>
          <w:szCs w:val="24"/>
        </w:rPr>
        <w:t>ar</w:t>
      </w:r>
      <w:proofErr w:type="spellEnd"/>
      <w:r w:rsidR="00E972E3" w:rsidRPr="007F6F77">
        <w:rPr>
          <w:rFonts w:eastAsia="標楷體"/>
          <w:sz w:val="24"/>
          <w:szCs w:val="24"/>
        </w:rPr>
        <w:t xml:space="preserve"> Le</w:t>
      </w:r>
      <w:r w:rsidR="00E972E3" w:rsidRPr="00605747">
        <w:rPr>
          <w:rFonts w:eastAsia="標楷體"/>
          <w:sz w:val="24"/>
          <w:szCs w:val="24"/>
        </w:rPr>
        <w:t>i</w:t>
      </w:r>
      <w:r w:rsidR="00E972E3" w:rsidRPr="00605747">
        <w:rPr>
          <w:rFonts w:eastAsia="標楷體" w:hint="eastAsia"/>
          <w:sz w:val="24"/>
          <w:szCs w:val="24"/>
        </w:rPr>
        <w:t xml:space="preserve"> </w:t>
      </w:r>
      <w:r w:rsidR="00E972E3" w:rsidRPr="007F6F77">
        <w:rPr>
          <w:rFonts w:eastAsia="標楷體"/>
          <w:sz w:val="24"/>
          <w:szCs w:val="24"/>
        </w:rPr>
        <w:t>(</w:t>
      </w:r>
      <w:r w:rsidR="00E972E3" w:rsidRPr="007F6F77">
        <w:rPr>
          <w:rFonts w:eastAsia="標楷體" w:hint="eastAsia"/>
          <w:sz w:val="24"/>
          <w:szCs w:val="24"/>
        </w:rPr>
        <w:t>voting by proxy</w:t>
      </w:r>
      <w:r w:rsidR="00E972E3" w:rsidRPr="007F6F77">
        <w:rPr>
          <w:rFonts w:eastAsia="標楷體"/>
          <w:sz w:val="24"/>
          <w:szCs w:val="24"/>
        </w:rPr>
        <w:t>)</w:t>
      </w:r>
    </w:p>
    <w:p w:rsidR="006A083A" w:rsidRPr="007F6F77" w:rsidRDefault="006A083A" w:rsidP="00860EF7">
      <w:pPr>
        <w:snapToGrid w:val="0"/>
        <w:spacing w:before="120" w:line="440" w:lineRule="exact"/>
        <w:ind w:left="985" w:hangingChars="410" w:hanging="985"/>
        <w:textDirection w:val="lrTbV"/>
        <w:rPr>
          <w:rFonts w:eastAsia="標楷體"/>
          <w:sz w:val="24"/>
          <w:szCs w:val="28"/>
        </w:rPr>
      </w:pPr>
      <w:proofErr w:type="gramStart"/>
      <w:r w:rsidRPr="007F6F77">
        <w:rPr>
          <w:rFonts w:eastAsia="標楷體" w:hint="eastAsia"/>
          <w:b/>
          <w:sz w:val="24"/>
          <w:szCs w:val="28"/>
        </w:rPr>
        <w:t xml:space="preserve">Voting against the proposition: </w:t>
      </w:r>
      <w:r w:rsidRPr="007F6F77">
        <w:rPr>
          <w:rFonts w:eastAsia="標楷體" w:hint="eastAsia"/>
          <w:sz w:val="24"/>
          <w:szCs w:val="28"/>
        </w:rPr>
        <w:t>None.</w:t>
      </w:r>
      <w:proofErr w:type="gramEnd"/>
      <w:r w:rsidRPr="007F6F77">
        <w:rPr>
          <w:rFonts w:eastAsia="標楷體" w:hint="eastAsia"/>
          <w:sz w:val="24"/>
          <w:szCs w:val="28"/>
        </w:rPr>
        <w:t xml:space="preserve"> </w:t>
      </w:r>
    </w:p>
    <w:p w:rsidR="006A083A" w:rsidRPr="007F6F77" w:rsidRDefault="006A083A" w:rsidP="00FA173A">
      <w:pPr>
        <w:widowControl/>
        <w:adjustRightInd/>
        <w:spacing w:before="120" w:line="440" w:lineRule="exact"/>
        <w:textAlignment w:val="auto"/>
        <w:rPr>
          <w:rFonts w:eastAsia="標楷體"/>
          <w:b/>
          <w:snapToGrid w:val="0"/>
          <w:sz w:val="24"/>
          <w:szCs w:val="28"/>
        </w:rPr>
      </w:pPr>
    </w:p>
    <w:p w:rsidR="006A083A" w:rsidRPr="007F6F77" w:rsidRDefault="006A083A" w:rsidP="00FA173A">
      <w:pPr>
        <w:widowControl/>
        <w:adjustRightInd/>
        <w:spacing w:before="120" w:line="440" w:lineRule="exact"/>
        <w:textAlignment w:val="auto"/>
        <w:rPr>
          <w:rFonts w:eastAsia="標楷體"/>
          <w:b/>
          <w:sz w:val="28"/>
          <w:szCs w:val="28"/>
        </w:rPr>
      </w:pPr>
      <w:r w:rsidRPr="007F6F77">
        <w:rPr>
          <w:rFonts w:eastAsia="標楷體" w:hint="eastAsia"/>
          <w:b/>
          <w:snapToGrid w:val="0"/>
          <w:sz w:val="28"/>
          <w:szCs w:val="28"/>
        </w:rPr>
        <w:t xml:space="preserve">III. The Press Release </w:t>
      </w:r>
    </w:p>
    <w:p w:rsidR="00F02919" w:rsidRPr="00F02919" w:rsidRDefault="006A083A" w:rsidP="002C1E6E">
      <w:pPr>
        <w:spacing w:before="120" w:line="440" w:lineRule="exact"/>
        <w:ind w:firstLineChars="200" w:firstLine="480"/>
        <w:jc w:val="both"/>
        <w:rPr>
          <w:sz w:val="32"/>
        </w:rPr>
      </w:pPr>
      <w:r w:rsidRPr="007F6F77">
        <w:rPr>
          <w:rFonts w:eastAsia="標楷體" w:hint="eastAsia"/>
          <w:sz w:val="24"/>
          <w:szCs w:val="28"/>
        </w:rPr>
        <w:t xml:space="preserve">The </w:t>
      </w:r>
      <w:r w:rsidR="00CE3BC5" w:rsidRPr="007F6F77">
        <w:rPr>
          <w:rFonts w:eastAsia="標楷體" w:hint="eastAsia"/>
          <w:sz w:val="24"/>
          <w:szCs w:val="28"/>
        </w:rPr>
        <w:t>b</w:t>
      </w:r>
      <w:r w:rsidRPr="007F6F77">
        <w:rPr>
          <w:rFonts w:eastAsia="標楷體" w:hint="eastAsia"/>
          <w:sz w:val="24"/>
          <w:szCs w:val="28"/>
        </w:rPr>
        <w:t xml:space="preserve">oard </w:t>
      </w:r>
      <w:r w:rsidR="00CE3BC5" w:rsidRPr="007F6F77">
        <w:rPr>
          <w:rFonts w:eastAsia="標楷體" w:hint="eastAsia"/>
          <w:sz w:val="24"/>
          <w:szCs w:val="28"/>
        </w:rPr>
        <w:t>d</w:t>
      </w:r>
      <w:r w:rsidRPr="007F6F77">
        <w:rPr>
          <w:rFonts w:eastAsia="標楷體" w:hint="eastAsia"/>
          <w:sz w:val="24"/>
          <w:szCs w:val="28"/>
        </w:rPr>
        <w:t xml:space="preserve">irectors and </w:t>
      </w:r>
      <w:r w:rsidR="00CE3BC5" w:rsidRPr="007F6F77">
        <w:rPr>
          <w:rFonts w:eastAsia="標楷體" w:hint="eastAsia"/>
          <w:sz w:val="24"/>
          <w:szCs w:val="28"/>
        </w:rPr>
        <w:t>s</w:t>
      </w:r>
      <w:r w:rsidRPr="007F6F77">
        <w:rPr>
          <w:rFonts w:eastAsia="標楷體" w:hint="eastAsia"/>
          <w:sz w:val="24"/>
          <w:szCs w:val="28"/>
        </w:rPr>
        <w:t xml:space="preserve">upervisors approved unanimously to issue the following press release in the post-meeting press conference, together with the </w:t>
      </w:r>
      <w:r w:rsidRPr="007F6F77">
        <w:rPr>
          <w:rFonts w:eastAsia="標楷體"/>
          <w:sz w:val="24"/>
          <w:szCs w:val="28"/>
        </w:rPr>
        <w:t xml:space="preserve">Supplementary Materials for the </w:t>
      </w:r>
      <w:r w:rsidRPr="007F6F77">
        <w:rPr>
          <w:rFonts w:eastAsia="標楷體" w:hint="eastAsia"/>
          <w:sz w:val="24"/>
          <w:szCs w:val="28"/>
        </w:rPr>
        <w:t>Post-Monetary Policy M</w:t>
      </w:r>
      <w:r w:rsidRPr="007F6F77">
        <w:rPr>
          <w:rFonts w:eastAsia="標楷體"/>
          <w:sz w:val="24"/>
          <w:szCs w:val="28"/>
        </w:rPr>
        <w:t>e</w:t>
      </w:r>
      <w:r w:rsidRPr="007F6F77">
        <w:rPr>
          <w:rFonts w:eastAsia="標楷體" w:hint="eastAsia"/>
          <w:sz w:val="24"/>
          <w:szCs w:val="28"/>
        </w:rPr>
        <w:t>eting Press Conference prepared by the</w:t>
      </w:r>
      <w:r w:rsidR="003B4EC4">
        <w:rPr>
          <w:rFonts w:eastAsia="標楷體" w:hint="eastAsia"/>
          <w:sz w:val="24"/>
          <w:szCs w:val="28"/>
        </w:rPr>
        <w:t xml:space="preserve"> </w:t>
      </w:r>
      <w:r w:rsidR="00491E9D">
        <w:rPr>
          <w:rFonts w:eastAsia="標楷體" w:hint="eastAsia"/>
          <w:sz w:val="24"/>
          <w:szCs w:val="28"/>
        </w:rPr>
        <w:t>Bank</w:t>
      </w:r>
      <w:r w:rsidRPr="007F6F77">
        <w:rPr>
          <w:rFonts w:eastAsia="標楷體" w:hint="eastAsia"/>
          <w:sz w:val="24"/>
          <w:szCs w:val="28"/>
        </w:rPr>
        <w:t xml:space="preserve">. </w:t>
      </w:r>
      <w:r w:rsidR="00F02919">
        <w:rPr>
          <w:rFonts w:eastAsia="標楷體"/>
          <w:sz w:val="24"/>
          <w:szCs w:val="28"/>
        </w:rPr>
        <w:br w:type="page"/>
      </w:r>
      <w:r w:rsidR="00F02919" w:rsidRPr="00F02919">
        <w:rPr>
          <w:sz w:val="32"/>
        </w:rPr>
        <w:lastRenderedPageBreak/>
        <w:t>Central Bank of the Republic of China (Taiwan)</w:t>
      </w:r>
    </w:p>
    <w:p w:rsidR="00F02919" w:rsidRPr="00F02919" w:rsidRDefault="00F02919" w:rsidP="00F02919">
      <w:pPr>
        <w:pBdr>
          <w:top w:val="double" w:sz="4" w:space="1" w:color="auto"/>
          <w:bottom w:val="double" w:sz="4" w:space="1" w:color="auto"/>
        </w:pBdr>
        <w:spacing w:afterLines="50" w:after="120" w:line="320" w:lineRule="exact"/>
        <w:jc w:val="both"/>
        <w:rPr>
          <w:sz w:val="24"/>
        </w:rPr>
      </w:pPr>
      <w:r w:rsidRPr="00F02919">
        <w:rPr>
          <w:b/>
          <w:sz w:val="28"/>
        </w:rPr>
        <w:t>PRESS RELEASE</w:t>
      </w:r>
      <w:r w:rsidRPr="00F02919">
        <w:rPr>
          <w:b/>
          <w:sz w:val="18"/>
        </w:rPr>
        <w:t xml:space="preserve">                  </w:t>
      </w:r>
      <w:proofErr w:type="spellStart"/>
      <w:r w:rsidRPr="00F02919">
        <w:rPr>
          <w:sz w:val="24"/>
        </w:rPr>
        <w:t>Release</w:t>
      </w:r>
      <w:proofErr w:type="spellEnd"/>
      <w:r w:rsidRPr="00F02919">
        <w:rPr>
          <w:sz w:val="24"/>
        </w:rPr>
        <w:t xml:space="preserve"> Date: March 21, 2019</w:t>
      </w:r>
    </w:p>
    <w:p w:rsidR="00F02919" w:rsidRPr="00F02919" w:rsidRDefault="00F02919" w:rsidP="00F02919">
      <w:pPr>
        <w:pBdr>
          <w:top w:val="double" w:sz="4" w:space="1" w:color="auto"/>
          <w:bottom w:val="double" w:sz="4" w:space="1" w:color="auto"/>
        </w:pBdr>
        <w:spacing w:afterLines="50" w:after="120" w:line="320" w:lineRule="exact"/>
        <w:rPr>
          <w:rFonts w:eastAsia="標楷體"/>
          <w:sz w:val="24"/>
        </w:rPr>
      </w:pPr>
      <w:r w:rsidRPr="00F02919">
        <w:rPr>
          <w:rFonts w:eastAsia="標楷體"/>
          <w:sz w:val="24"/>
        </w:rPr>
        <w:t>&lt;Website</w:t>
      </w:r>
      <w:r w:rsidRPr="00F02919">
        <w:rPr>
          <w:rFonts w:eastAsia="標楷體"/>
          <w:sz w:val="24"/>
        </w:rPr>
        <w:t>：</w:t>
      </w:r>
      <w:r w:rsidRPr="00F02919">
        <w:rPr>
          <w:rFonts w:eastAsia="標楷體"/>
          <w:sz w:val="24"/>
        </w:rPr>
        <w:t>http://www.cbc.gov.tw&gt;</w:t>
      </w:r>
    </w:p>
    <w:p w:rsidR="00F02919" w:rsidRPr="004A2861" w:rsidRDefault="00F02919" w:rsidP="00F02919">
      <w:pPr>
        <w:pStyle w:val="11"/>
        <w:tabs>
          <w:tab w:val="left" w:pos="0"/>
        </w:tabs>
        <w:spacing w:before="0" w:afterLines="50" w:after="120" w:line="320" w:lineRule="exact"/>
        <w:ind w:right="-28"/>
        <w:jc w:val="center"/>
        <w:rPr>
          <w:rFonts w:ascii="Times New Roman" w:hAnsi="Times New Roman" w:cs="Times New Roman"/>
          <w:sz w:val="28"/>
          <w:szCs w:val="28"/>
        </w:rPr>
      </w:pPr>
      <w:r w:rsidRPr="004A2861">
        <w:rPr>
          <w:rFonts w:ascii="Times New Roman" w:hAnsi="Times New Roman" w:cs="Times New Roman"/>
          <w:sz w:val="28"/>
          <w:szCs w:val="28"/>
        </w:rPr>
        <w:t>Monetary Policy Decision of the Board Meeting</w:t>
      </w:r>
    </w:p>
    <w:p w:rsidR="00F02919" w:rsidRPr="004A2861" w:rsidRDefault="00F02919" w:rsidP="00F02919">
      <w:pPr>
        <w:pStyle w:val="af4"/>
        <w:numPr>
          <w:ilvl w:val="0"/>
          <w:numId w:val="28"/>
        </w:numPr>
        <w:tabs>
          <w:tab w:val="clear" w:pos="480"/>
          <w:tab w:val="num" w:pos="426"/>
        </w:tabs>
        <w:adjustRightInd/>
        <w:spacing w:before="0" w:afterLines="50" w:after="120" w:line="320" w:lineRule="exact"/>
        <w:jc w:val="both"/>
        <w:textAlignment w:val="auto"/>
        <w:rPr>
          <w:sz w:val="24"/>
          <w:szCs w:val="28"/>
        </w:rPr>
      </w:pPr>
      <w:r w:rsidRPr="004A2861">
        <w:rPr>
          <w:sz w:val="24"/>
          <w:szCs w:val="28"/>
        </w:rPr>
        <w:t>Global economic and financial conditions</w:t>
      </w:r>
    </w:p>
    <w:p w:rsidR="00F02919" w:rsidRPr="00F02919" w:rsidRDefault="00F02919" w:rsidP="00F02919">
      <w:pPr>
        <w:pStyle w:val="afff6"/>
        <w:spacing w:afterLines="50" w:after="120" w:line="400" w:lineRule="exact"/>
        <w:ind w:leftChars="0" w:left="357"/>
        <w:rPr>
          <w:rFonts w:ascii="Times New Roman"/>
          <w:sz w:val="24"/>
          <w:szCs w:val="28"/>
        </w:rPr>
      </w:pPr>
      <w:r w:rsidRPr="00F02919">
        <w:rPr>
          <w:rFonts w:ascii="Times New Roman"/>
          <w:sz w:val="24"/>
          <w:szCs w:val="28"/>
        </w:rPr>
        <w:t>Since the Board met in late December last year, global trade and manufacturing activity has continued to show signs of cooling. International institutions have widely revised down growth projections for the global economy this year, and major economies have mostly witnessed slower growth. Momentum for global economic expansion has weakened and international oil prices are expected to trend lower than last year, indicating a mild global inflation outlook.</w:t>
      </w:r>
    </w:p>
    <w:p w:rsidR="00F02919" w:rsidRPr="00F02919" w:rsidRDefault="00F02919" w:rsidP="00F02919">
      <w:pPr>
        <w:pStyle w:val="afff6"/>
        <w:spacing w:afterLines="50" w:after="120" w:line="400" w:lineRule="exact"/>
        <w:ind w:leftChars="0" w:left="357"/>
        <w:rPr>
          <w:rFonts w:ascii="Times New Roman"/>
          <w:sz w:val="24"/>
          <w:szCs w:val="28"/>
        </w:rPr>
      </w:pPr>
      <w:r w:rsidRPr="00F02919">
        <w:rPr>
          <w:rFonts w:ascii="Times New Roman"/>
          <w:sz w:val="24"/>
          <w:szCs w:val="28"/>
        </w:rPr>
        <w:t>Major central banks have maintained policy rates unchanged in recent months, yet they have broadly adopted a more accommodative monetary policy stance. In addition, US-China trade negotiations are likely to achieve positive results, and global financial markets have rebounded significantly. Looking ahead, given lingering uncertainties over the US trade policies toward major economies such as China, the euro area, and Japan, a slowdown in the Chinese economy, and a possible extension of the Brexit deadline, the global economic and financial outlook remains unclear.</w:t>
      </w:r>
    </w:p>
    <w:p w:rsidR="00F02919" w:rsidRPr="004A2861" w:rsidRDefault="00F02919" w:rsidP="00F02919">
      <w:pPr>
        <w:pStyle w:val="af4"/>
        <w:numPr>
          <w:ilvl w:val="0"/>
          <w:numId w:val="28"/>
        </w:numPr>
        <w:tabs>
          <w:tab w:val="clear" w:pos="480"/>
          <w:tab w:val="num" w:pos="426"/>
        </w:tabs>
        <w:adjustRightInd/>
        <w:spacing w:before="0" w:afterLines="50" w:after="120" w:line="320" w:lineRule="exact"/>
        <w:jc w:val="both"/>
        <w:textAlignment w:val="auto"/>
        <w:rPr>
          <w:sz w:val="24"/>
          <w:szCs w:val="28"/>
        </w:rPr>
      </w:pPr>
      <w:r w:rsidRPr="004A2861">
        <w:rPr>
          <w:sz w:val="24"/>
          <w:szCs w:val="28"/>
        </w:rPr>
        <w:t>Domestic economic and financial conditions</w:t>
      </w:r>
    </w:p>
    <w:p w:rsidR="00F02919" w:rsidRPr="00F02919" w:rsidRDefault="00F02919" w:rsidP="00F02919">
      <w:pPr>
        <w:pStyle w:val="afff6"/>
        <w:numPr>
          <w:ilvl w:val="0"/>
          <w:numId w:val="29"/>
        </w:numPr>
        <w:adjustRightInd/>
        <w:spacing w:afterLines="50" w:after="120" w:line="400" w:lineRule="exact"/>
        <w:ind w:leftChars="0" w:left="357"/>
        <w:textAlignment w:val="auto"/>
        <w:rPr>
          <w:rFonts w:ascii="Times New Roman"/>
          <w:sz w:val="24"/>
          <w:szCs w:val="28"/>
        </w:rPr>
      </w:pPr>
      <w:r w:rsidRPr="00F02919">
        <w:rPr>
          <w:rFonts w:ascii="Times New Roman"/>
          <w:sz w:val="24"/>
          <w:szCs w:val="28"/>
        </w:rPr>
        <w:t>Since the beginning of this year, softened external demand has contributed to negative growth in exports and weighed on production activity. Nevertheless, capital equipment imports have increased and the domestic stock market has rallied on the back of buoyant international stock markets, bolstering consumer confidence. The domestic economy has thus continued to register moderate growth. Labor market conditions have been stable, with employment slightly increasing and the unemployment rate modestly declining.</w:t>
      </w:r>
    </w:p>
    <w:p w:rsidR="00F02919" w:rsidRPr="00F02919" w:rsidRDefault="00F02919" w:rsidP="00F02919">
      <w:pPr>
        <w:pStyle w:val="afff6"/>
        <w:spacing w:afterLines="50" w:after="120" w:line="400" w:lineRule="exact"/>
        <w:ind w:leftChars="0" w:left="357"/>
        <w:rPr>
          <w:rFonts w:ascii="Times New Roman"/>
          <w:sz w:val="24"/>
          <w:szCs w:val="28"/>
        </w:rPr>
      </w:pPr>
      <w:r w:rsidRPr="00F02919">
        <w:rPr>
          <w:rFonts w:ascii="Times New Roman"/>
          <w:sz w:val="24"/>
          <w:szCs w:val="28"/>
        </w:rPr>
        <w:t xml:space="preserve">In light of anticipated slowing in global economic and trade activity this year and a higher base last year, export growth may decelerate in 2019. However, with sustained growth in regular earnings and the government's consumption stimulus measures, private consumption is likely to grow at a steady pace. Meanwhile, as the government has proactively promoted the Forward-Looking Infrastructure Development Program and launched an action plan to welcome investments by </w:t>
      </w:r>
      <w:r w:rsidRPr="00F02919">
        <w:rPr>
          <w:rFonts w:ascii="Times New Roman"/>
          <w:sz w:val="24"/>
          <w:szCs w:val="28"/>
        </w:rPr>
        <w:lastRenderedPageBreak/>
        <w:t>Taiwanese companies abroad, both public and private investment will continue to expand. The Bank forecasts Taiwan's economic growth to accelerate quarter by quarter driven by domestic demand. For the entire year, the GDP growth rate is projected to be 2.13%, lower than the previous year.</w:t>
      </w:r>
    </w:p>
    <w:p w:rsidR="00F02919" w:rsidRPr="00F02919" w:rsidRDefault="00F02919" w:rsidP="00F02919">
      <w:pPr>
        <w:pStyle w:val="afff6"/>
        <w:numPr>
          <w:ilvl w:val="0"/>
          <w:numId w:val="29"/>
        </w:numPr>
        <w:adjustRightInd/>
        <w:spacing w:afterLines="50" w:after="120" w:line="400" w:lineRule="exact"/>
        <w:ind w:leftChars="0" w:left="357"/>
        <w:textAlignment w:val="auto"/>
        <w:rPr>
          <w:rFonts w:ascii="Times New Roman"/>
          <w:sz w:val="24"/>
          <w:szCs w:val="28"/>
        </w:rPr>
      </w:pPr>
      <w:r w:rsidRPr="00F02919">
        <w:rPr>
          <w:rFonts w:ascii="Times New Roman"/>
          <w:sz w:val="24"/>
          <w:szCs w:val="28"/>
        </w:rPr>
        <w:t xml:space="preserve">For the first two months of this year, the consumer price index (CPI) posted an average annual growth rate of 0.20%, and the core CPI also </w:t>
      </w:r>
      <w:proofErr w:type="gramStart"/>
      <w:r w:rsidRPr="00F02919">
        <w:rPr>
          <w:rFonts w:ascii="Times New Roman"/>
          <w:sz w:val="24"/>
          <w:szCs w:val="28"/>
        </w:rPr>
        <w:t>rose</w:t>
      </w:r>
      <w:proofErr w:type="gramEnd"/>
      <w:r w:rsidRPr="00F02919">
        <w:rPr>
          <w:rFonts w:ascii="Times New Roman"/>
          <w:sz w:val="24"/>
          <w:szCs w:val="28"/>
        </w:rPr>
        <w:t xml:space="preserve"> mildly by 0.41% in the same period. </w:t>
      </w:r>
    </w:p>
    <w:p w:rsidR="00F02919" w:rsidRPr="00F02919" w:rsidRDefault="00F02919" w:rsidP="00F02919">
      <w:pPr>
        <w:pStyle w:val="afff6"/>
        <w:spacing w:afterLines="50" w:after="120" w:line="400" w:lineRule="exact"/>
        <w:ind w:leftChars="0" w:left="357"/>
        <w:rPr>
          <w:rFonts w:ascii="Times New Roman"/>
          <w:sz w:val="24"/>
          <w:szCs w:val="28"/>
        </w:rPr>
      </w:pPr>
      <w:r w:rsidRPr="00F02919">
        <w:rPr>
          <w:rFonts w:ascii="Times New Roman"/>
          <w:sz w:val="24"/>
          <w:szCs w:val="28"/>
        </w:rPr>
        <w:t>In terms of the inflation outlook, a lower base effect as excess supply brought down prices in fruit and vegetables is likely to result in a steeper increase in food prices this year, while a minimum wage hike is expected to boost wage growth and drive up prices in away-from-home food. On the other hand, imported inflationary pressures would be held down by lower international oil prices projected for this year. Combined with moderate domestic demand and a dissipated tobacco tax hike effect, the inflation outlook is stable. The Bank forecasts the annual growth rates of CPI and core CPI (excluding fruit, vegetables, and energy items) for 2019 to be 0.91% and 0.78%, respectively (Appendix Table 1).</w:t>
      </w:r>
    </w:p>
    <w:p w:rsidR="00F02919" w:rsidRPr="00F02919" w:rsidRDefault="00F02919" w:rsidP="00F02919">
      <w:pPr>
        <w:pStyle w:val="afff6"/>
        <w:numPr>
          <w:ilvl w:val="0"/>
          <w:numId w:val="29"/>
        </w:numPr>
        <w:adjustRightInd/>
        <w:spacing w:afterLines="50" w:after="120" w:line="400" w:lineRule="exact"/>
        <w:ind w:leftChars="0" w:left="357"/>
        <w:textAlignment w:val="auto"/>
        <w:rPr>
          <w:rFonts w:ascii="Times New Roman"/>
          <w:sz w:val="24"/>
          <w:szCs w:val="28"/>
        </w:rPr>
      </w:pPr>
      <w:r w:rsidRPr="00F02919">
        <w:rPr>
          <w:rFonts w:ascii="Times New Roman"/>
          <w:sz w:val="24"/>
          <w:szCs w:val="28"/>
        </w:rPr>
        <w:t xml:space="preserve">Early in the year, demand for funds in preparation for the Lunar New Year holidays was well met as the Bank managed market liquidity through open market operations. Banks' excess reserves climbed to a level higher than NT$50 billion </w:t>
      </w:r>
      <w:r w:rsidRPr="00F02919">
        <w:rPr>
          <w:rFonts w:ascii="Times New Roman"/>
          <w:sz w:val="24"/>
        </w:rPr>
        <w:t>on average</w:t>
      </w:r>
      <w:r w:rsidRPr="00F02919">
        <w:rPr>
          <w:rFonts w:ascii="Times New Roman"/>
          <w:sz w:val="24"/>
          <w:szCs w:val="28"/>
        </w:rPr>
        <w:t xml:space="preserve"> f</w:t>
      </w:r>
      <w:r w:rsidRPr="00F02919">
        <w:rPr>
          <w:rFonts w:ascii="Times New Roman"/>
          <w:sz w:val="24"/>
        </w:rPr>
        <w:t xml:space="preserve">or the first two months of the year, </w:t>
      </w:r>
      <w:r w:rsidRPr="00F02919">
        <w:rPr>
          <w:rFonts w:ascii="Times New Roman"/>
          <w:sz w:val="24"/>
          <w:szCs w:val="28"/>
        </w:rPr>
        <w:t>from over NT$40 billion of the previous quarter. Meanwhile, both long- and short-term market interest rates slipped slightly downwards in recent months.</w:t>
      </w:r>
    </w:p>
    <w:p w:rsidR="00F02919" w:rsidRPr="00F02919" w:rsidRDefault="00F02919" w:rsidP="00F02919">
      <w:pPr>
        <w:pStyle w:val="afff6"/>
        <w:spacing w:afterLines="50" w:after="120" w:line="400" w:lineRule="exact"/>
        <w:ind w:leftChars="0" w:left="357"/>
        <w:rPr>
          <w:rFonts w:ascii="Times New Roman"/>
          <w:sz w:val="24"/>
          <w:szCs w:val="28"/>
        </w:rPr>
      </w:pPr>
      <w:r w:rsidRPr="00F02919">
        <w:rPr>
          <w:rFonts w:ascii="Times New Roman"/>
          <w:sz w:val="24"/>
          <w:szCs w:val="28"/>
        </w:rPr>
        <w:t xml:space="preserve">In the meantime, reserve money and the monetary aggregate M2 registered average annual growth rates of 6.78% and 3.03%, respectively, while bank loans and investments expanded by 5.70% for the same period, indicating sufficient money and credit growth to support economic activity. Recent data also pointed to satisfactory bank asset quality, with the non-performing loan ratio of domestic banks standing at 0.24% and the loan loss coverage ratio reaching a considerably healthy level of 569.56%. </w:t>
      </w:r>
    </w:p>
    <w:p w:rsidR="00F02919" w:rsidRPr="004A2861" w:rsidRDefault="00F02919" w:rsidP="00F02919">
      <w:pPr>
        <w:pStyle w:val="af4"/>
        <w:numPr>
          <w:ilvl w:val="0"/>
          <w:numId w:val="28"/>
        </w:numPr>
        <w:tabs>
          <w:tab w:val="clear" w:pos="480"/>
          <w:tab w:val="num" w:pos="426"/>
        </w:tabs>
        <w:adjustRightInd/>
        <w:spacing w:before="0" w:afterLines="50" w:after="120" w:line="320" w:lineRule="exact"/>
        <w:jc w:val="both"/>
        <w:textAlignment w:val="auto"/>
        <w:rPr>
          <w:sz w:val="24"/>
          <w:szCs w:val="28"/>
        </w:rPr>
      </w:pPr>
      <w:r w:rsidRPr="004A2861">
        <w:rPr>
          <w:sz w:val="24"/>
          <w:szCs w:val="28"/>
        </w:rPr>
        <w:t xml:space="preserve">Monetary policy decisions </w:t>
      </w:r>
    </w:p>
    <w:p w:rsidR="00F02919" w:rsidRPr="00F02919" w:rsidRDefault="00F02919" w:rsidP="00F02919">
      <w:pPr>
        <w:pStyle w:val="afff6"/>
        <w:spacing w:afterLines="50" w:after="120" w:line="400" w:lineRule="exact"/>
        <w:ind w:leftChars="0" w:left="357"/>
        <w:rPr>
          <w:rFonts w:ascii="Times New Roman"/>
          <w:sz w:val="24"/>
          <w:szCs w:val="28"/>
        </w:rPr>
      </w:pPr>
      <w:r w:rsidRPr="00F02919">
        <w:rPr>
          <w:rFonts w:ascii="Times New Roman"/>
          <w:sz w:val="24"/>
          <w:szCs w:val="28"/>
        </w:rPr>
        <w:t xml:space="preserve">The overall assessment based on the above information showed that Taiwan's economy would likely grow at a somewhat slower pace this year against the backdrop of a downward revision of global GDP and trade growth forecasts and </w:t>
      </w:r>
      <w:r w:rsidRPr="00F02919">
        <w:rPr>
          <w:rFonts w:ascii="Times New Roman"/>
          <w:sz w:val="24"/>
          <w:szCs w:val="28"/>
        </w:rPr>
        <w:lastRenderedPageBreak/>
        <w:t>persistent uncertainties over the international economic, trade, and financial prospects. In addition, the actual output remains below potential and inflationary pressures are expected to be subdued. Moreover, Taiwan's nominal and real interest rates continue to register around the middle range among a host of economies (Appendix Figure 1 &amp; Table 2). Therefore, the Board judged that a policy rate hold and a continued accommodative monetary policy stance will help foster sound development of the economy and the financial sector.</w:t>
      </w:r>
    </w:p>
    <w:p w:rsidR="00F02919" w:rsidRPr="00F02919" w:rsidRDefault="00F02919" w:rsidP="00EC57D0">
      <w:pPr>
        <w:pStyle w:val="afff6"/>
        <w:spacing w:line="400" w:lineRule="exact"/>
        <w:ind w:leftChars="0" w:left="357"/>
        <w:rPr>
          <w:rFonts w:ascii="Times New Roman"/>
          <w:sz w:val="24"/>
          <w:szCs w:val="28"/>
        </w:rPr>
      </w:pPr>
      <w:r w:rsidRPr="00F02919">
        <w:rPr>
          <w:rFonts w:ascii="Times New Roman"/>
          <w:sz w:val="24"/>
          <w:szCs w:val="28"/>
        </w:rPr>
        <w:t>The Board reached the following decision unanimously at the Meeting today:</w:t>
      </w:r>
    </w:p>
    <w:p w:rsidR="00F02919" w:rsidRPr="00F02919" w:rsidRDefault="00F02919" w:rsidP="00F02919">
      <w:pPr>
        <w:pStyle w:val="afff6"/>
        <w:spacing w:afterLines="50" w:after="120" w:line="400" w:lineRule="exact"/>
        <w:ind w:leftChars="350" w:left="700"/>
        <w:rPr>
          <w:rFonts w:ascii="Times New Roman"/>
          <w:sz w:val="24"/>
          <w:szCs w:val="28"/>
        </w:rPr>
      </w:pPr>
      <w:r w:rsidRPr="00F02919">
        <w:rPr>
          <w:rFonts w:ascii="Times New Roman"/>
          <w:sz w:val="24"/>
          <w:szCs w:val="28"/>
        </w:rPr>
        <w:t>The discount rate, the rate on accommodations with collateral, and the rate on accommodations without collateral are kept unchanged at 1.375%, 1.75%, and 3.625%, respectively.</w:t>
      </w:r>
    </w:p>
    <w:p w:rsidR="00F02919" w:rsidRPr="00DA0DEC" w:rsidRDefault="00F02919" w:rsidP="00F02919">
      <w:pPr>
        <w:pStyle w:val="af4"/>
        <w:widowControl/>
        <w:numPr>
          <w:ilvl w:val="0"/>
          <w:numId w:val="28"/>
        </w:numPr>
        <w:adjustRightInd/>
        <w:spacing w:before="0" w:afterLines="50" w:after="120" w:line="400" w:lineRule="exact"/>
        <w:jc w:val="both"/>
        <w:textAlignment w:val="auto"/>
        <w:rPr>
          <w:sz w:val="24"/>
          <w:szCs w:val="28"/>
        </w:rPr>
      </w:pPr>
      <w:r w:rsidRPr="00DA0DEC">
        <w:rPr>
          <w:sz w:val="24"/>
          <w:szCs w:val="28"/>
        </w:rPr>
        <w:t xml:space="preserve">The Bank will continue to monitor inflation, economic, and financial developments at home, while paying close attention to any possible impacts on Taiwan's economy and financial conditions resulting from shifts in global economic and trade activity, monetary policy of major economies, and cross-border capital flows. We will undertake appropriate and timely actions as warranted, so as to fulfill the central bank's statutory mandate. </w:t>
      </w:r>
    </w:p>
    <w:p w:rsidR="00F02919" w:rsidRPr="00DA0DEC" w:rsidRDefault="00F02919" w:rsidP="00F02919">
      <w:pPr>
        <w:pStyle w:val="af4"/>
        <w:widowControl/>
        <w:numPr>
          <w:ilvl w:val="0"/>
          <w:numId w:val="28"/>
        </w:numPr>
        <w:adjustRightInd/>
        <w:spacing w:before="0" w:afterLines="50" w:after="120" w:line="400" w:lineRule="exact"/>
        <w:jc w:val="both"/>
        <w:textAlignment w:val="auto"/>
        <w:rPr>
          <w:sz w:val="24"/>
          <w:szCs w:val="28"/>
        </w:rPr>
      </w:pPr>
      <w:r w:rsidRPr="00DA0DEC">
        <w:rPr>
          <w:sz w:val="24"/>
          <w:szCs w:val="28"/>
        </w:rPr>
        <w:t>In principle, the NT dollar exchange rate is determined by market forces. Nonetheless, if irregular factors (such as massive inflows or outflows of short-term capital) as well as seasonal ones lead to excess volatility and disorderly movements in the NT dollar exchange rate with adverse implications for economic and financial stability, the Bank will, in accordance with its mandate, step in to maintain an orderly foreign exchange market.</w:t>
      </w:r>
    </w:p>
    <w:p w:rsidR="00F02919" w:rsidRPr="00E11768" w:rsidRDefault="00F02919" w:rsidP="004A0C52">
      <w:pPr>
        <w:spacing w:line="480" w:lineRule="exact"/>
        <w:jc w:val="center"/>
        <w:rPr>
          <w:rFonts w:eastAsia="標楷體"/>
          <w:b/>
          <w:sz w:val="32"/>
          <w:szCs w:val="28"/>
        </w:rPr>
      </w:pPr>
      <w:r>
        <w:rPr>
          <w:rFonts w:eastAsia="標楷體"/>
          <w:sz w:val="24"/>
          <w:szCs w:val="28"/>
        </w:rPr>
        <w:br w:type="page"/>
      </w:r>
      <w:r w:rsidRPr="00E11768">
        <w:rPr>
          <w:rFonts w:eastAsia="標楷體" w:hint="eastAsia"/>
          <w:b/>
          <w:sz w:val="32"/>
          <w:szCs w:val="28"/>
        </w:rPr>
        <w:lastRenderedPageBreak/>
        <w:t>Appendix</w:t>
      </w:r>
    </w:p>
    <w:tbl>
      <w:tblPr>
        <w:tblpPr w:leftFromText="180" w:rightFromText="180" w:vertAnchor="text" w:horzAnchor="page" w:tblpX="1594" w:tblpY="1025"/>
        <w:tblW w:w="9526" w:type="dxa"/>
        <w:tblLayout w:type="fixed"/>
        <w:tblCellMar>
          <w:left w:w="28" w:type="dxa"/>
          <w:right w:w="28" w:type="dxa"/>
        </w:tblCellMar>
        <w:tblLook w:val="04A0" w:firstRow="1" w:lastRow="0" w:firstColumn="1" w:lastColumn="0" w:noHBand="0" w:noVBand="1"/>
      </w:tblPr>
      <w:tblGrid>
        <w:gridCol w:w="1162"/>
        <w:gridCol w:w="2977"/>
        <w:gridCol w:w="1701"/>
        <w:gridCol w:w="1843"/>
        <w:gridCol w:w="1843"/>
      </w:tblGrid>
      <w:tr w:rsidR="00F02919" w:rsidRPr="00DA36B6" w:rsidTr="00DA36B6">
        <w:trPr>
          <w:trHeight w:val="444"/>
        </w:trPr>
        <w:tc>
          <w:tcPr>
            <w:tcW w:w="7683" w:type="dxa"/>
            <w:gridSpan w:val="4"/>
            <w:shd w:val="clear" w:color="000000" w:fill="FFFFFF"/>
            <w:noWrap/>
            <w:vAlign w:val="center"/>
          </w:tcPr>
          <w:p w:rsidR="00F02919" w:rsidRPr="00DA36B6" w:rsidRDefault="00F02919" w:rsidP="00DA36B6">
            <w:pPr>
              <w:spacing w:line="240" w:lineRule="exact"/>
              <w:jc w:val="right"/>
              <w:rPr>
                <w:sz w:val="18"/>
              </w:rPr>
            </w:pPr>
            <w:r w:rsidRPr="00DA36B6">
              <w:rPr>
                <w:rFonts w:eastAsia="標楷體"/>
                <w:sz w:val="16"/>
              </w:rPr>
              <w:t>Unit: %</w:t>
            </w:r>
          </w:p>
        </w:tc>
        <w:tc>
          <w:tcPr>
            <w:tcW w:w="1843" w:type="dxa"/>
            <w:shd w:val="clear" w:color="000000" w:fill="FFFFFF"/>
          </w:tcPr>
          <w:p w:rsidR="00F02919" w:rsidRPr="00DA36B6" w:rsidRDefault="00F02919" w:rsidP="00DA36B6">
            <w:pPr>
              <w:widowControl/>
              <w:snapToGrid w:val="0"/>
              <w:jc w:val="right"/>
              <w:rPr>
                <w:rFonts w:eastAsia="標楷體"/>
              </w:rPr>
            </w:pPr>
          </w:p>
        </w:tc>
      </w:tr>
      <w:tr w:rsidR="00F02919" w:rsidRPr="00DA36B6" w:rsidTr="00DA36B6">
        <w:trPr>
          <w:trHeight w:val="444"/>
        </w:trPr>
        <w:tc>
          <w:tcPr>
            <w:tcW w:w="4139" w:type="dxa"/>
            <w:gridSpan w:val="2"/>
            <w:vMerge w:val="restart"/>
            <w:tcBorders>
              <w:top w:val="single" w:sz="8" w:space="0" w:color="auto"/>
              <w:left w:val="single" w:sz="6" w:space="0" w:color="auto"/>
              <w:right w:val="single" w:sz="6" w:space="0" w:color="auto"/>
            </w:tcBorders>
            <w:shd w:val="clear" w:color="000000" w:fill="FFFFFF"/>
            <w:noWrap/>
            <w:vAlign w:val="center"/>
            <w:hideMark/>
          </w:tcPr>
          <w:p w:rsidR="00F02919" w:rsidRPr="00DA36B6" w:rsidRDefault="00F02919" w:rsidP="00DA36B6">
            <w:pPr>
              <w:widowControl/>
              <w:snapToGrid w:val="0"/>
              <w:jc w:val="center"/>
              <w:rPr>
                <w:rFonts w:eastAsia="標楷體"/>
                <w:sz w:val="22"/>
                <w:szCs w:val="22"/>
              </w:rPr>
            </w:pPr>
            <w:r w:rsidRPr="00DA36B6">
              <w:rPr>
                <w:rFonts w:eastAsia="標楷體"/>
                <w:sz w:val="22"/>
                <w:szCs w:val="22"/>
              </w:rPr>
              <w:t>Forecast institutions</w:t>
            </w:r>
          </w:p>
        </w:tc>
        <w:tc>
          <w:tcPr>
            <w:tcW w:w="1701"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widowControl/>
              <w:snapToGrid w:val="0"/>
              <w:jc w:val="center"/>
              <w:rPr>
                <w:rFonts w:eastAsia="標楷體"/>
                <w:b/>
                <w:bCs/>
                <w:sz w:val="22"/>
                <w:szCs w:val="22"/>
              </w:rPr>
            </w:pPr>
            <w:r w:rsidRPr="00DA36B6">
              <w:rPr>
                <w:rFonts w:eastAsia="標楷體"/>
                <w:b/>
                <w:bCs/>
                <w:sz w:val="22"/>
                <w:szCs w:val="22"/>
              </w:rPr>
              <w:t>Inflation</w:t>
            </w:r>
          </w:p>
        </w:tc>
        <w:tc>
          <w:tcPr>
            <w:tcW w:w="1843" w:type="dxa"/>
            <w:tcBorders>
              <w:top w:val="single" w:sz="8" w:space="0" w:color="auto"/>
              <w:left w:val="single" w:sz="6" w:space="0" w:color="auto"/>
              <w:bottom w:val="single" w:sz="6" w:space="0" w:color="auto"/>
              <w:right w:val="single" w:sz="6" w:space="0" w:color="auto"/>
            </w:tcBorders>
            <w:shd w:val="clear" w:color="000000" w:fill="FFFFFF"/>
            <w:vAlign w:val="center"/>
          </w:tcPr>
          <w:p w:rsidR="00F02919" w:rsidRPr="00DA36B6" w:rsidRDefault="00F02919" w:rsidP="00DA36B6">
            <w:pPr>
              <w:widowControl/>
              <w:snapToGrid w:val="0"/>
              <w:jc w:val="center"/>
              <w:rPr>
                <w:rFonts w:eastAsia="標楷體"/>
                <w:b/>
                <w:bCs/>
                <w:sz w:val="22"/>
                <w:szCs w:val="22"/>
              </w:rPr>
            </w:pPr>
            <w:r w:rsidRPr="00DA36B6">
              <w:rPr>
                <w:rFonts w:eastAsia="標楷體"/>
                <w:b/>
                <w:bCs/>
                <w:sz w:val="22"/>
                <w:szCs w:val="22"/>
              </w:rPr>
              <w:t>Inflation outlook</w:t>
            </w:r>
          </w:p>
        </w:tc>
        <w:tc>
          <w:tcPr>
            <w:tcW w:w="1843" w:type="dxa"/>
            <w:vMerge w:val="restart"/>
            <w:tcBorders>
              <w:left w:val="single" w:sz="6" w:space="0" w:color="auto"/>
            </w:tcBorders>
            <w:shd w:val="clear" w:color="000000" w:fill="FFFFFF"/>
          </w:tcPr>
          <w:p w:rsidR="00F02919" w:rsidRPr="00DA36B6" w:rsidRDefault="00F02919" w:rsidP="00DA36B6">
            <w:pPr>
              <w:widowControl/>
              <w:snapToGrid w:val="0"/>
              <w:jc w:val="center"/>
              <w:rPr>
                <w:rFonts w:eastAsia="標楷體"/>
                <w:b/>
                <w:bCs/>
                <w:sz w:val="22"/>
                <w:szCs w:val="22"/>
              </w:rPr>
            </w:pPr>
          </w:p>
          <w:p w:rsidR="00F02919" w:rsidRPr="00DA36B6" w:rsidRDefault="00F02919" w:rsidP="00DA36B6">
            <w:pPr>
              <w:widowControl/>
              <w:snapToGrid w:val="0"/>
              <w:jc w:val="center"/>
              <w:rPr>
                <w:rFonts w:eastAsia="標楷體"/>
                <w:b/>
                <w:bCs/>
                <w:sz w:val="22"/>
                <w:szCs w:val="22"/>
              </w:rPr>
            </w:pPr>
          </w:p>
          <w:p w:rsidR="00F02919" w:rsidRPr="00DA36B6" w:rsidRDefault="00F02919" w:rsidP="00DA36B6">
            <w:pPr>
              <w:widowControl/>
              <w:snapToGrid w:val="0"/>
              <w:jc w:val="center"/>
              <w:rPr>
                <w:rFonts w:eastAsia="標楷體"/>
                <w:b/>
                <w:bCs/>
                <w:sz w:val="22"/>
                <w:szCs w:val="22"/>
              </w:rPr>
            </w:pPr>
          </w:p>
          <w:p w:rsidR="00F02919" w:rsidRPr="00DA36B6" w:rsidRDefault="00F02919" w:rsidP="00DA36B6">
            <w:pPr>
              <w:widowControl/>
              <w:snapToGrid w:val="0"/>
              <w:jc w:val="center"/>
              <w:rPr>
                <w:rFonts w:eastAsia="標楷體"/>
                <w:b/>
                <w:bCs/>
                <w:sz w:val="22"/>
                <w:szCs w:val="22"/>
              </w:rPr>
            </w:pPr>
          </w:p>
          <w:p w:rsidR="00F02919" w:rsidRPr="00DA36B6" w:rsidRDefault="00F02919" w:rsidP="00DA36B6">
            <w:pPr>
              <w:widowControl/>
              <w:snapToGrid w:val="0"/>
              <w:jc w:val="center"/>
              <w:rPr>
                <w:rFonts w:eastAsia="標楷體"/>
                <w:b/>
                <w:bCs/>
                <w:sz w:val="22"/>
                <w:szCs w:val="22"/>
              </w:rPr>
            </w:pPr>
          </w:p>
          <w:p w:rsidR="00F02919" w:rsidRPr="00D424B1" w:rsidRDefault="00F02919" w:rsidP="00DA36B6">
            <w:pPr>
              <w:widowControl/>
              <w:snapToGrid w:val="0"/>
              <w:spacing w:line="440" w:lineRule="exact"/>
              <w:jc w:val="center"/>
              <w:rPr>
                <w:rFonts w:eastAsia="標楷體"/>
                <w:b/>
                <w:bCs/>
                <w:sz w:val="22"/>
                <w:szCs w:val="22"/>
                <w:u w:val="single"/>
              </w:rPr>
            </w:pPr>
            <w:r w:rsidRPr="00D424B1">
              <w:rPr>
                <w:rFonts w:eastAsia="標楷體"/>
                <w:b/>
                <w:bCs/>
                <w:sz w:val="22"/>
                <w:szCs w:val="22"/>
                <w:u w:val="single"/>
              </w:rPr>
              <w:t>Median:</w:t>
            </w:r>
            <w:r w:rsidRPr="00D424B1">
              <w:rPr>
                <w:rFonts w:eastAsia="標楷體"/>
                <w:b/>
                <w:bCs/>
                <w:sz w:val="22"/>
                <w:szCs w:val="22"/>
              </w:rPr>
              <w:t xml:space="preserve"> </w:t>
            </w:r>
          </w:p>
          <w:p w:rsidR="00F02919" w:rsidRPr="00D424B1" w:rsidRDefault="00F02919" w:rsidP="00DA36B6">
            <w:pPr>
              <w:widowControl/>
              <w:snapToGrid w:val="0"/>
              <w:spacing w:line="440" w:lineRule="exact"/>
              <w:jc w:val="center"/>
              <w:rPr>
                <w:b/>
                <w:bCs/>
                <w:sz w:val="22"/>
                <w:szCs w:val="22"/>
              </w:rPr>
            </w:pPr>
            <w:r>
              <w:rPr>
                <w:rFonts w:hint="eastAsia"/>
                <w:b/>
                <w:bCs/>
                <w:sz w:val="22"/>
                <w:szCs w:val="22"/>
              </w:rPr>
              <w:t>0.91</w:t>
            </w:r>
            <w:r w:rsidRPr="00D424B1">
              <w:rPr>
                <w:rFonts w:hint="eastAsia"/>
                <w:b/>
                <w:bCs/>
                <w:sz w:val="22"/>
                <w:szCs w:val="22"/>
              </w:rPr>
              <w:t>%</w:t>
            </w:r>
          </w:p>
          <w:p w:rsidR="00F02919" w:rsidRPr="00D424B1" w:rsidRDefault="00F02919" w:rsidP="00DA36B6">
            <w:pPr>
              <w:jc w:val="center"/>
              <w:rPr>
                <w:rFonts w:eastAsia="標楷體"/>
                <w:b/>
                <w:sz w:val="22"/>
                <w:szCs w:val="22"/>
              </w:rPr>
            </w:pPr>
            <w:r w:rsidRPr="00D424B1">
              <w:rPr>
                <w:b/>
                <w:sz w:val="22"/>
                <w:szCs w:val="22"/>
              </w:rPr>
              <w:t>(domestic institutions)</w:t>
            </w:r>
          </w:p>
          <w:p w:rsidR="00F02919" w:rsidRPr="00DA36B6" w:rsidRDefault="00F02919" w:rsidP="00DA36B6">
            <w:pPr>
              <w:snapToGrid w:val="0"/>
              <w:rPr>
                <w:rFonts w:eastAsia="標楷體"/>
                <w:b/>
                <w:bCs/>
                <w:sz w:val="22"/>
                <w:szCs w:val="22"/>
              </w:rPr>
            </w:pPr>
          </w:p>
        </w:tc>
      </w:tr>
      <w:tr w:rsidR="00F02919" w:rsidRPr="00DA36B6" w:rsidTr="00DA36B6">
        <w:trPr>
          <w:trHeight w:val="420"/>
        </w:trPr>
        <w:tc>
          <w:tcPr>
            <w:tcW w:w="4139" w:type="dxa"/>
            <w:gridSpan w:val="2"/>
            <w:vMerge/>
            <w:tcBorders>
              <w:left w:val="single" w:sz="6" w:space="0" w:color="auto"/>
              <w:bottom w:val="single" w:sz="6" w:space="0" w:color="auto"/>
              <w:right w:val="single" w:sz="6" w:space="0" w:color="auto"/>
            </w:tcBorders>
            <w:shd w:val="clear" w:color="000000" w:fill="FFFFFF"/>
            <w:noWrap/>
            <w:vAlign w:val="bottom"/>
            <w:hideMark/>
          </w:tcPr>
          <w:p w:rsidR="00F02919" w:rsidRPr="00DA36B6" w:rsidRDefault="00F02919" w:rsidP="00DA36B6">
            <w:pPr>
              <w:widowControl/>
              <w:snapToGrid w:val="0"/>
              <w:rPr>
                <w:rFonts w:eastAsia="標楷體"/>
                <w:bCs/>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widowControl/>
              <w:snapToGrid w:val="0"/>
              <w:jc w:val="center"/>
              <w:rPr>
                <w:bCs/>
                <w:sz w:val="22"/>
                <w:szCs w:val="22"/>
              </w:rPr>
            </w:pPr>
            <w:r w:rsidRPr="00DA36B6">
              <w:rPr>
                <w:bCs/>
                <w:sz w:val="22"/>
                <w:szCs w:val="22"/>
              </w:rPr>
              <w:t>Jan.-Feb. 2019</w:t>
            </w:r>
          </w:p>
        </w:tc>
        <w:tc>
          <w:tcPr>
            <w:tcW w:w="1843"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F02919" w:rsidRPr="00DA36B6" w:rsidRDefault="00F02919" w:rsidP="00DA36B6">
            <w:pPr>
              <w:widowControl/>
              <w:snapToGrid w:val="0"/>
              <w:jc w:val="center"/>
              <w:rPr>
                <w:rFonts w:eastAsia="標楷體"/>
                <w:bCs/>
                <w:sz w:val="22"/>
                <w:szCs w:val="22"/>
              </w:rPr>
            </w:pPr>
            <w:r w:rsidRPr="00DA36B6">
              <w:rPr>
                <w:rFonts w:eastAsia="標楷體"/>
                <w:bCs/>
                <w:sz w:val="22"/>
                <w:szCs w:val="22"/>
              </w:rPr>
              <w:t>2019 (f)</w:t>
            </w:r>
          </w:p>
        </w:tc>
        <w:tc>
          <w:tcPr>
            <w:tcW w:w="1843" w:type="dxa"/>
            <w:vMerge/>
            <w:tcBorders>
              <w:left w:val="single" w:sz="6" w:space="0" w:color="auto"/>
            </w:tcBorders>
            <w:shd w:val="clear" w:color="000000" w:fill="FFFFFF"/>
          </w:tcPr>
          <w:p w:rsidR="00F02919" w:rsidRPr="00DA36B6" w:rsidRDefault="00F02919" w:rsidP="00DA36B6">
            <w:pPr>
              <w:widowControl/>
              <w:snapToGrid w:val="0"/>
              <w:jc w:val="center"/>
              <w:rPr>
                <w:rFonts w:eastAsia="標楷體"/>
                <w:bCs/>
                <w:sz w:val="22"/>
                <w:szCs w:val="22"/>
              </w:rPr>
            </w:pPr>
          </w:p>
        </w:tc>
      </w:tr>
      <w:tr w:rsidR="00F02919" w:rsidRPr="00DA36B6" w:rsidTr="00DA36B6">
        <w:trPr>
          <w:trHeight w:val="458"/>
        </w:trPr>
        <w:tc>
          <w:tcPr>
            <w:tcW w:w="1162" w:type="dxa"/>
            <w:vMerge w:val="restart"/>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jc w:val="center"/>
              <w:rPr>
                <w:rFonts w:eastAsia="標楷體"/>
                <w:bCs/>
                <w:sz w:val="22"/>
                <w:szCs w:val="22"/>
              </w:rPr>
            </w:pPr>
            <w:r w:rsidRPr="00D424B1">
              <w:rPr>
                <w:rFonts w:eastAsia="標楷體"/>
                <w:bCs/>
                <w:sz w:val="22"/>
                <w:szCs w:val="22"/>
              </w:rPr>
              <w:t>Domestic institutions</w:t>
            </w: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rFonts w:eastAsia="標楷體"/>
                <w:sz w:val="22"/>
                <w:szCs w:val="22"/>
              </w:rPr>
            </w:pPr>
            <w:r>
              <w:rPr>
                <w:rFonts w:eastAsia="標楷體" w:hint="eastAsia"/>
                <w:sz w:val="22"/>
                <w:szCs w:val="22"/>
              </w:rPr>
              <w:t xml:space="preserve">DGBAS </w:t>
            </w:r>
            <w:r w:rsidRPr="00DA36B6">
              <w:rPr>
                <w:rFonts w:eastAsia="標楷體"/>
                <w:sz w:val="22"/>
                <w:szCs w:val="22"/>
              </w:rPr>
              <w:t>(2019/2/13)</w:t>
            </w:r>
          </w:p>
        </w:tc>
        <w:tc>
          <w:tcPr>
            <w:tcW w:w="1701" w:type="dxa"/>
            <w:vMerge w:val="restart"/>
            <w:tcBorders>
              <w:top w:val="single" w:sz="6" w:space="0" w:color="auto"/>
              <w:left w:val="single" w:sz="6" w:space="0" w:color="auto"/>
              <w:bottom w:val="single" w:sz="6" w:space="0" w:color="auto"/>
              <w:right w:val="single" w:sz="6" w:space="0" w:color="auto"/>
            </w:tcBorders>
            <w:hideMark/>
          </w:tcPr>
          <w:p w:rsidR="00F02919" w:rsidRPr="00DA36B6" w:rsidRDefault="00F02919" w:rsidP="00D32E98">
            <w:pPr>
              <w:widowControl/>
              <w:snapToGrid w:val="0"/>
              <w:spacing w:beforeLines="130" w:before="312"/>
              <w:jc w:val="center"/>
              <w:rPr>
                <w:b/>
                <w:bCs/>
                <w:sz w:val="22"/>
                <w:szCs w:val="22"/>
              </w:rPr>
            </w:pPr>
            <w:r w:rsidRPr="00DA36B6">
              <w:rPr>
                <w:b/>
                <w:bCs/>
                <w:sz w:val="22"/>
                <w:szCs w:val="22"/>
              </w:rPr>
              <w:t>0.20</w:t>
            </w:r>
            <w:r w:rsidRPr="00DA36B6">
              <w:rPr>
                <w:b/>
                <w:bCs/>
                <w:sz w:val="22"/>
                <w:szCs w:val="22"/>
              </w:rPr>
              <w:br/>
              <w:t>(CPI)</w:t>
            </w:r>
          </w:p>
          <w:p w:rsidR="00F02919" w:rsidRPr="00DA36B6" w:rsidRDefault="00F02919" w:rsidP="00D32E98">
            <w:pPr>
              <w:snapToGrid w:val="0"/>
              <w:spacing w:beforeLines="20" w:before="48"/>
              <w:jc w:val="center"/>
              <w:rPr>
                <w:rFonts w:eastAsia="標楷體"/>
                <w:b/>
              </w:rPr>
            </w:pPr>
            <w:r w:rsidRPr="00DA36B6">
              <w:rPr>
                <w:b/>
                <w:bCs/>
                <w:sz w:val="22"/>
                <w:szCs w:val="22"/>
              </w:rPr>
              <w:t>0.41</w:t>
            </w:r>
            <w:r w:rsidRPr="00DA36B6">
              <w:rPr>
                <w:b/>
                <w:bCs/>
                <w:sz w:val="22"/>
                <w:szCs w:val="22"/>
              </w:rPr>
              <w:br/>
              <w:t>(</w:t>
            </w:r>
            <w:r>
              <w:rPr>
                <w:rFonts w:eastAsia="標楷體" w:hint="eastAsia"/>
                <w:b/>
                <w:bCs/>
                <w:sz w:val="22"/>
                <w:szCs w:val="22"/>
              </w:rPr>
              <w:t xml:space="preserve">Core </w:t>
            </w:r>
            <w:r w:rsidRPr="00DA36B6">
              <w:rPr>
                <w:b/>
                <w:bCs/>
                <w:sz w:val="22"/>
                <w:szCs w:val="22"/>
              </w:rPr>
              <w:t>CPI*)</w:t>
            </w:r>
          </w:p>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F02919" w:rsidRPr="00DA36B6" w:rsidRDefault="00F02919" w:rsidP="00DA36B6">
            <w:pPr>
              <w:jc w:val="center"/>
              <w:rPr>
                <w:sz w:val="22"/>
              </w:rPr>
            </w:pPr>
            <w:r w:rsidRPr="00DA36B6">
              <w:rPr>
                <w:sz w:val="22"/>
              </w:rPr>
              <w:t>0.73</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8"/>
        </w:trPr>
        <w:tc>
          <w:tcPr>
            <w:tcW w:w="1162" w:type="dxa"/>
            <w:vMerge/>
            <w:tcBorders>
              <w:top w:val="single" w:sz="6" w:space="0" w:color="auto"/>
              <w:left w:val="single" w:sz="6" w:space="0" w:color="auto"/>
              <w:bottom w:val="single" w:sz="6" w:space="0" w:color="auto"/>
              <w:right w:val="single" w:sz="6" w:space="0" w:color="auto"/>
            </w:tcBorders>
            <w:vAlign w:val="center"/>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tcPr>
          <w:p w:rsidR="00F02919" w:rsidRPr="00DA36B6" w:rsidRDefault="00F02919" w:rsidP="00DA36B6">
            <w:pPr>
              <w:jc w:val="both"/>
              <w:rPr>
                <w:rFonts w:eastAsia="標楷體"/>
                <w:sz w:val="22"/>
                <w:szCs w:val="22"/>
              </w:rPr>
            </w:pPr>
            <w:r>
              <w:rPr>
                <w:rFonts w:eastAsia="標楷體" w:hint="eastAsia"/>
                <w:b/>
                <w:sz w:val="22"/>
                <w:szCs w:val="22"/>
              </w:rPr>
              <w:t xml:space="preserve">CBC </w:t>
            </w:r>
            <w:r w:rsidRPr="00DA36B6">
              <w:rPr>
                <w:rFonts w:eastAsia="標楷體"/>
                <w:b/>
                <w:sz w:val="22"/>
                <w:szCs w:val="22"/>
              </w:rPr>
              <w:t>(2019/3/21)</w:t>
            </w:r>
          </w:p>
        </w:tc>
        <w:tc>
          <w:tcPr>
            <w:tcW w:w="1701" w:type="dxa"/>
            <w:vMerge/>
            <w:tcBorders>
              <w:top w:val="single" w:sz="6" w:space="0" w:color="auto"/>
              <w:left w:val="single" w:sz="6" w:space="0" w:color="auto"/>
              <w:bottom w:val="single" w:sz="6" w:space="0" w:color="auto"/>
              <w:right w:val="single" w:sz="6" w:space="0" w:color="auto"/>
            </w:tcBorders>
            <w:vAlign w:val="center"/>
          </w:tcPr>
          <w:p w:rsidR="00F02919" w:rsidRPr="00DA36B6" w:rsidRDefault="00F02919" w:rsidP="00DA36B6">
            <w:pPr>
              <w:widowControl/>
              <w:snapToGrid w:val="0"/>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vAlign w:val="center"/>
          </w:tcPr>
          <w:p w:rsidR="00F02919" w:rsidRPr="00DA36B6" w:rsidRDefault="00F02919" w:rsidP="00DA36B6">
            <w:pPr>
              <w:widowControl/>
              <w:snapToGrid w:val="0"/>
              <w:jc w:val="center"/>
              <w:rPr>
                <w:b/>
                <w:bCs/>
                <w:sz w:val="22"/>
              </w:rPr>
            </w:pPr>
            <w:r w:rsidRPr="00DA36B6">
              <w:rPr>
                <w:b/>
                <w:bCs/>
                <w:sz w:val="22"/>
              </w:rPr>
              <w:t>0.91</w:t>
            </w:r>
            <w:r w:rsidRPr="00DA36B6">
              <w:rPr>
                <w:b/>
                <w:bCs/>
                <w:sz w:val="22"/>
              </w:rPr>
              <w:br/>
              <w:t>(CPI)</w:t>
            </w:r>
          </w:p>
          <w:p w:rsidR="00F02919" w:rsidRPr="00DA36B6" w:rsidRDefault="00F02919" w:rsidP="00DA36B6">
            <w:pPr>
              <w:snapToGrid w:val="0"/>
              <w:jc w:val="center"/>
              <w:rPr>
                <w:sz w:val="22"/>
              </w:rPr>
            </w:pPr>
            <w:r w:rsidRPr="00DA36B6">
              <w:rPr>
                <w:b/>
                <w:bCs/>
                <w:sz w:val="22"/>
              </w:rPr>
              <w:t>0.78</w:t>
            </w:r>
            <w:r w:rsidRPr="00DA36B6">
              <w:rPr>
                <w:b/>
                <w:bCs/>
                <w:sz w:val="22"/>
              </w:rPr>
              <w:br/>
              <w:t>(</w:t>
            </w:r>
            <w:r>
              <w:rPr>
                <w:rFonts w:hint="eastAsia"/>
                <w:b/>
                <w:bCs/>
                <w:sz w:val="22"/>
              </w:rPr>
              <w:t xml:space="preserve">Core </w:t>
            </w:r>
            <w:r w:rsidRPr="00DA36B6">
              <w:rPr>
                <w:b/>
                <w:bCs/>
                <w:sz w:val="22"/>
              </w:rPr>
              <w:t>CPI*)</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6"/>
        </w:trPr>
        <w:tc>
          <w:tcPr>
            <w:tcW w:w="1162" w:type="dxa"/>
            <w:vMerge/>
            <w:tcBorders>
              <w:top w:val="single" w:sz="6" w:space="0" w:color="auto"/>
              <w:left w:val="single" w:sz="6" w:space="0" w:color="auto"/>
              <w:bottom w:val="double" w:sz="4"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double" w:sz="4" w:space="0" w:color="auto"/>
              <w:right w:val="single" w:sz="6" w:space="0" w:color="auto"/>
            </w:tcBorders>
            <w:shd w:val="clear" w:color="000000" w:fill="FFFFFF"/>
            <w:noWrap/>
            <w:vAlign w:val="center"/>
            <w:hideMark/>
          </w:tcPr>
          <w:p w:rsidR="00F02919" w:rsidRPr="00DA36B6" w:rsidRDefault="00F02919" w:rsidP="00DA36B6">
            <w:pPr>
              <w:jc w:val="both"/>
              <w:rPr>
                <w:rFonts w:eastAsia="標楷體"/>
                <w:sz w:val="22"/>
                <w:szCs w:val="22"/>
              </w:rPr>
            </w:pPr>
            <w:r>
              <w:rPr>
                <w:rFonts w:eastAsia="標楷體" w:hint="eastAsia"/>
                <w:sz w:val="22"/>
                <w:szCs w:val="22"/>
              </w:rPr>
              <w:t xml:space="preserve">TIER </w:t>
            </w:r>
            <w:r w:rsidRPr="00DA36B6">
              <w:rPr>
                <w:rFonts w:eastAsia="標楷體"/>
                <w:sz w:val="22"/>
                <w:szCs w:val="22"/>
              </w:rPr>
              <w:t>(2019/1/25)</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b/>
                <w:bCs/>
                <w:sz w:val="22"/>
                <w:szCs w:val="22"/>
              </w:rPr>
            </w:pPr>
          </w:p>
        </w:tc>
        <w:tc>
          <w:tcPr>
            <w:tcW w:w="1843" w:type="dxa"/>
            <w:tcBorders>
              <w:top w:val="single" w:sz="6" w:space="0" w:color="auto"/>
              <w:left w:val="single" w:sz="6" w:space="0" w:color="auto"/>
              <w:bottom w:val="double" w:sz="4" w:space="0" w:color="auto"/>
              <w:right w:val="single" w:sz="6" w:space="0" w:color="auto"/>
            </w:tcBorders>
            <w:shd w:val="clear" w:color="000000" w:fill="FFFFFF"/>
            <w:noWrap/>
            <w:vAlign w:val="center"/>
            <w:hideMark/>
          </w:tcPr>
          <w:p w:rsidR="00F02919" w:rsidRPr="00DA36B6" w:rsidRDefault="00F02919" w:rsidP="00DA36B6">
            <w:pPr>
              <w:widowControl/>
              <w:snapToGrid w:val="0"/>
              <w:jc w:val="center"/>
              <w:rPr>
                <w:bCs/>
                <w:sz w:val="22"/>
              </w:rPr>
            </w:pPr>
            <w:r w:rsidRPr="00DA36B6">
              <w:rPr>
                <w:bCs/>
                <w:sz w:val="22"/>
              </w:rPr>
              <w:t>1.10</w:t>
            </w:r>
          </w:p>
        </w:tc>
        <w:tc>
          <w:tcPr>
            <w:tcW w:w="1843" w:type="dxa"/>
            <w:vMerge/>
            <w:tcBorders>
              <w:left w:val="single" w:sz="6" w:space="0" w:color="auto"/>
            </w:tcBorders>
            <w:shd w:val="clear" w:color="000000" w:fill="FFFFFF"/>
          </w:tcPr>
          <w:p w:rsidR="00F02919" w:rsidRPr="00DA36B6" w:rsidRDefault="00F02919" w:rsidP="00DA36B6">
            <w:pPr>
              <w:widowControl/>
              <w:snapToGrid w:val="0"/>
              <w:jc w:val="center"/>
              <w:rPr>
                <w:b/>
                <w:bCs/>
                <w:sz w:val="22"/>
              </w:rPr>
            </w:pPr>
          </w:p>
        </w:tc>
      </w:tr>
      <w:tr w:rsidR="00F02919" w:rsidRPr="00DA36B6" w:rsidTr="00DA36B6">
        <w:trPr>
          <w:trHeight w:val="456"/>
        </w:trPr>
        <w:tc>
          <w:tcPr>
            <w:tcW w:w="1162" w:type="dxa"/>
            <w:vMerge w:val="restart"/>
            <w:tcBorders>
              <w:top w:val="double" w:sz="4" w:space="0" w:color="auto"/>
              <w:left w:val="single" w:sz="6" w:space="0" w:color="auto"/>
              <w:bottom w:val="single" w:sz="6" w:space="0" w:color="auto"/>
              <w:right w:val="single" w:sz="6" w:space="0" w:color="auto"/>
            </w:tcBorders>
            <w:shd w:val="clear" w:color="000000" w:fill="FFFFFF"/>
            <w:vAlign w:val="center"/>
            <w:hideMark/>
          </w:tcPr>
          <w:p w:rsidR="00F02919" w:rsidRPr="00DA36B6" w:rsidRDefault="00F02919" w:rsidP="00DA36B6">
            <w:pPr>
              <w:widowControl/>
              <w:snapToGrid w:val="0"/>
              <w:jc w:val="center"/>
              <w:rPr>
                <w:rFonts w:eastAsia="標楷體"/>
                <w:bCs/>
                <w:sz w:val="22"/>
                <w:szCs w:val="22"/>
              </w:rPr>
            </w:pPr>
            <w:r>
              <w:rPr>
                <w:rFonts w:eastAsia="標楷體" w:hint="eastAsia"/>
                <w:bCs/>
                <w:sz w:val="22"/>
                <w:szCs w:val="22"/>
              </w:rPr>
              <w:t>Foreign</w:t>
            </w:r>
            <w:r w:rsidRPr="00D424B1">
              <w:rPr>
                <w:rFonts w:eastAsia="標楷體"/>
                <w:bCs/>
                <w:sz w:val="22"/>
                <w:szCs w:val="22"/>
              </w:rPr>
              <w:t xml:space="preserve"> institutions</w:t>
            </w:r>
          </w:p>
        </w:tc>
        <w:tc>
          <w:tcPr>
            <w:tcW w:w="2977"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Morgan Stanley</w:t>
            </w:r>
            <w:r>
              <w:rPr>
                <w:rFonts w:hint="eastAsia"/>
                <w:sz w:val="22"/>
                <w:szCs w:val="22"/>
              </w:rPr>
              <w:t xml:space="preserve"> </w:t>
            </w:r>
            <w:r w:rsidRPr="00DA36B6">
              <w:rPr>
                <w:sz w:val="22"/>
                <w:szCs w:val="22"/>
              </w:rPr>
              <w:t>(2019/2/15)</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jc w:val="center"/>
              <w:rPr>
                <w:bCs/>
                <w:sz w:val="22"/>
                <w:szCs w:val="22"/>
              </w:rPr>
            </w:pPr>
          </w:p>
        </w:tc>
        <w:tc>
          <w:tcPr>
            <w:tcW w:w="1843" w:type="dxa"/>
            <w:tcBorders>
              <w:top w:val="double" w:sz="4"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0.50</w:t>
            </w:r>
          </w:p>
        </w:tc>
        <w:tc>
          <w:tcPr>
            <w:tcW w:w="1843" w:type="dxa"/>
            <w:vMerge w:val="restart"/>
            <w:tcBorders>
              <w:left w:val="single" w:sz="6" w:space="0" w:color="auto"/>
            </w:tcBorders>
            <w:shd w:val="clear" w:color="000000" w:fill="FFFFFF"/>
          </w:tcPr>
          <w:p w:rsidR="00F02919" w:rsidRPr="00DA36B6" w:rsidRDefault="00F02919" w:rsidP="00DA36B6">
            <w:pPr>
              <w:snapToGrid w:val="0"/>
              <w:jc w:val="center"/>
              <w:rPr>
                <w:rFonts w:eastAsia="標楷體"/>
                <w:b/>
              </w:rPr>
            </w:pPr>
          </w:p>
          <w:p w:rsidR="00F02919" w:rsidRPr="00DA36B6" w:rsidRDefault="00F02919" w:rsidP="00DA36B6">
            <w:pPr>
              <w:snapToGrid w:val="0"/>
              <w:jc w:val="center"/>
              <w:rPr>
                <w:rFonts w:eastAsia="標楷體"/>
                <w:b/>
              </w:rPr>
            </w:pPr>
          </w:p>
          <w:p w:rsidR="00F02919" w:rsidRPr="00DA36B6" w:rsidRDefault="00F02919" w:rsidP="00DA36B6">
            <w:pPr>
              <w:snapToGrid w:val="0"/>
              <w:jc w:val="center"/>
              <w:rPr>
                <w:rFonts w:eastAsia="標楷體"/>
                <w:b/>
              </w:rPr>
            </w:pPr>
          </w:p>
          <w:p w:rsidR="00F02919" w:rsidRPr="00DA36B6" w:rsidRDefault="00F02919" w:rsidP="00DA36B6">
            <w:pPr>
              <w:snapToGrid w:val="0"/>
              <w:jc w:val="center"/>
              <w:rPr>
                <w:rFonts w:eastAsia="標楷體"/>
                <w:b/>
              </w:rPr>
            </w:pPr>
          </w:p>
          <w:p w:rsidR="00F02919" w:rsidRPr="00DA36B6" w:rsidRDefault="00F02919" w:rsidP="00DA36B6">
            <w:pPr>
              <w:snapToGrid w:val="0"/>
              <w:jc w:val="center"/>
              <w:rPr>
                <w:rFonts w:eastAsia="標楷體"/>
                <w:b/>
              </w:rPr>
            </w:pPr>
          </w:p>
          <w:p w:rsidR="00F02919" w:rsidRPr="00DA36B6" w:rsidRDefault="00F02919" w:rsidP="00DA36B6">
            <w:pPr>
              <w:snapToGrid w:val="0"/>
              <w:jc w:val="center"/>
              <w:rPr>
                <w:rFonts w:eastAsia="標楷體"/>
                <w:b/>
              </w:rPr>
            </w:pPr>
          </w:p>
          <w:p w:rsidR="00F02919" w:rsidRPr="00D424B1" w:rsidRDefault="00F02919" w:rsidP="00DA36B6">
            <w:pPr>
              <w:widowControl/>
              <w:snapToGrid w:val="0"/>
              <w:spacing w:line="440" w:lineRule="exact"/>
              <w:jc w:val="center"/>
              <w:rPr>
                <w:rFonts w:eastAsia="標楷體"/>
                <w:b/>
                <w:bCs/>
                <w:sz w:val="22"/>
                <w:szCs w:val="22"/>
                <w:u w:val="single"/>
              </w:rPr>
            </w:pPr>
            <w:r w:rsidRPr="00D424B1">
              <w:rPr>
                <w:rFonts w:eastAsia="標楷體"/>
                <w:b/>
                <w:bCs/>
                <w:sz w:val="22"/>
                <w:szCs w:val="22"/>
                <w:u w:val="single"/>
              </w:rPr>
              <w:t>Median:</w:t>
            </w:r>
            <w:r w:rsidRPr="00D424B1">
              <w:rPr>
                <w:rFonts w:eastAsia="標楷體"/>
                <w:b/>
                <w:bCs/>
                <w:sz w:val="22"/>
                <w:szCs w:val="22"/>
              </w:rPr>
              <w:t xml:space="preserve"> </w:t>
            </w:r>
          </w:p>
          <w:p w:rsidR="00F02919" w:rsidRPr="00D424B1" w:rsidRDefault="00F02919" w:rsidP="00DA36B6">
            <w:pPr>
              <w:widowControl/>
              <w:snapToGrid w:val="0"/>
              <w:spacing w:line="440" w:lineRule="exact"/>
              <w:jc w:val="center"/>
              <w:rPr>
                <w:b/>
                <w:bCs/>
                <w:sz w:val="22"/>
                <w:szCs w:val="22"/>
              </w:rPr>
            </w:pPr>
            <w:r>
              <w:rPr>
                <w:rFonts w:hint="eastAsia"/>
                <w:b/>
                <w:bCs/>
                <w:sz w:val="22"/>
                <w:szCs w:val="22"/>
              </w:rPr>
              <w:t>0.90</w:t>
            </w:r>
            <w:r w:rsidRPr="00D424B1">
              <w:rPr>
                <w:rFonts w:hint="eastAsia"/>
                <w:b/>
                <w:bCs/>
                <w:sz w:val="22"/>
                <w:szCs w:val="22"/>
              </w:rPr>
              <w:t>%</w:t>
            </w:r>
          </w:p>
          <w:p w:rsidR="00F02919" w:rsidRPr="00D424B1" w:rsidRDefault="00F02919" w:rsidP="00DA36B6">
            <w:pPr>
              <w:jc w:val="center"/>
              <w:rPr>
                <w:rFonts w:eastAsia="標楷體"/>
                <w:b/>
                <w:sz w:val="22"/>
                <w:szCs w:val="22"/>
              </w:rPr>
            </w:pPr>
            <w:r w:rsidRPr="00D424B1">
              <w:rPr>
                <w:b/>
                <w:sz w:val="22"/>
                <w:szCs w:val="22"/>
              </w:rPr>
              <w:t>(</w:t>
            </w:r>
            <w:r>
              <w:rPr>
                <w:rFonts w:hint="eastAsia"/>
                <w:b/>
                <w:sz w:val="22"/>
                <w:szCs w:val="22"/>
              </w:rPr>
              <w:t>foreign</w:t>
            </w:r>
            <w:r w:rsidRPr="00D424B1">
              <w:rPr>
                <w:b/>
                <w:sz w:val="22"/>
                <w:szCs w:val="22"/>
              </w:rPr>
              <w:t xml:space="preserve"> institutions)</w:t>
            </w:r>
          </w:p>
          <w:p w:rsidR="00F02919" w:rsidRPr="00DA36B6" w:rsidRDefault="00F02919" w:rsidP="00DA36B6">
            <w:pPr>
              <w:jc w:val="center"/>
              <w:rPr>
                <w:sz w:val="22"/>
              </w:rPr>
            </w:pPr>
          </w:p>
        </w:tc>
      </w:tr>
      <w:tr w:rsidR="00F02919" w:rsidRPr="00DA36B6" w:rsidTr="00DA36B6">
        <w:trPr>
          <w:trHeight w:val="456"/>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Citi</w:t>
            </w:r>
            <w:r>
              <w:rPr>
                <w:rFonts w:hint="eastAsia"/>
                <w:sz w:val="22"/>
                <w:szCs w:val="22"/>
              </w:rPr>
              <w:t xml:space="preserve"> </w:t>
            </w:r>
            <w:r w:rsidRPr="00DA36B6">
              <w:rPr>
                <w:sz w:val="22"/>
                <w:szCs w:val="22"/>
              </w:rPr>
              <w:t>(2019/2/18)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0.70</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6"/>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Nomura</w:t>
            </w:r>
            <w:r>
              <w:rPr>
                <w:rFonts w:hint="eastAsia"/>
                <w:sz w:val="22"/>
                <w:szCs w:val="22"/>
              </w:rPr>
              <w:t xml:space="preserve"> </w:t>
            </w:r>
            <w:r w:rsidRPr="00DA36B6">
              <w:rPr>
                <w:sz w:val="22"/>
                <w:szCs w:val="22"/>
              </w:rPr>
              <w:t>(2019/3/15)</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0.80</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6"/>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UBS</w:t>
            </w:r>
            <w:r>
              <w:rPr>
                <w:rFonts w:hint="eastAsia"/>
                <w:sz w:val="22"/>
                <w:szCs w:val="22"/>
              </w:rPr>
              <w:t xml:space="preserve"> </w:t>
            </w:r>
            <w:r w:rsidRPr="00DA36B6">
              <w:rPr>
                <w:sz w:val="22"/>
                <w:szCs w:val="22"/>
              </w:rPr>
              <w:t>(2019/3/15)</w:t>
            </w:r>
          </w:p>
        </w:tc>
        <w:tc>
          <w:tcPr>
            <w:tcW w:w="1701" w:type="dxa"/>
            <w:vMerge/>
            <w:tcBorders>
              <w:top w:val="single" w:sz="6" w:space="0" w:color="auto"/>
              <w:left w:val="single" w:sz="6" w:space="0" w:color="auto"/>
              <w:bottom w:val="single" w:sz="6" w:space="0" w:color="auto"/>
              <w:right w:val="single" w:sz="6" w:space="0" w:color="auto"/>
            </w:tcBorders>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0.81</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36"/>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 xml:space="preserve">IHS </w:t>
            </w:r>
            <w:proofErr w:type="spellStart"/>
            <w:r w:rsidRPr="00DA36B6">
              <w:rPr>
                <w:sz w:val="22"/>
                <w:szCs w:val="22"/>
              </w:rPr>
              <w:t>Markit</w:t>
            </w:r>
            <w:proofErr w:type="spellEnd"/>
            <w:r>
              <w:rPr>
                <w:rFonts w:hint="eastAsia"/>
                <w:sz w:val="22"/>
                <w:szCs w:val="22"/>
              </w:rPr>
              <w:t xml:space="preserve"> </w:t>
            </w:r>
            <w:r w:rsidRPr="00DA36B6">
              <w:rPr>
                <w:sz w:val="22"/>
                <w:szCs w:val="22"/>
              </w:rPr>
              <w:t>(2019/3/15)</w:t>
            </w:r>
          </w:p>
        </w:tc>
        <w:tc>
          <w:tcPr>
            <w:tcW w:w="1701" w:type="dxa"/>
            <w:vMerge/>
            <w:tcBorders>
              <w:top w:val="single" w:sz="6" w:space="0" w:color="auto"/>
              <w:left w:val="single" w:sz="6" w:space="0" w:color="auto"/>
              <w:bottom w:val="single" w:sz="6" w:space="0" w:color="auto"/>
              <w:right w:val="single" w:sz="6" w:space="0" w:color="auto"/>
            </w:tcBorders>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0.87</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68"/>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Deutsche Bank</w:t>
            </w:r>
            <w:r>
              <w:rPr>
                <w:rFonts w:hint="eastAsia"/>
                <w:sz w:val="22"/>
                <w:szCs w:val="22"/>
              </w:rPr>
              <w:t xml:space="preserve"> </w:t>
            </w:r>
            <w:r w:rsidRPr="00DA36B6">
              <w:rPr>
                <w:sz w:val="22"/>
                <w:szCs w:val="22"/>
              </w:rPr>
              <w:t>(2019/3/14)</w:t>
            </w:r>
          </w:p>
        </w:tc>
        <w:tc>
          <w:tcPr>
            <w:tcW w:w="1701" w:type="dxa"/>
            <w:vMerge/>
            <w:tcBorders>
              <w:top w:val="single" w:sz="6" w:space="0" w:color="auto"/>
              <w:left w:val="single" w:sz="6" w:space="0" w:color="auto"/>
              <w:bottom w:val="single" w:sz="6" w:space="0" w:color="auto"/>
              <w:right w:val="single" w:sz="6" w:space="0" w:color="auto"/>
            </w:tcBorders>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0.90</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6"/>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Barclays Capital</w:t>
            </w:r>
            <w:r>
              <w:rPr>
                <w:rFonts w:hint="eastAsia"/>
                <w:sz w:val="22"/>
                <w:szCs w:val="22"/>
              </w:rPr>
              <w:t xml:space="preserve"> </w:t>
            </w:r>
            <w:r w:rsidRPr="00DA36B6">
              <w:rPr>
                <w:sz w:val="22"/>
                <w:szCs w:val="22"/>
              </w:rPr>
              <w:t>(2019/3/15)</w:t>
            </w:r>
          </w:p>
        </w:tc>
        <w:tc>
          <w:tcPr>
            <w:tcW w:w="1701" w:type="dxa"/>
            <w:vMerge/>
            <w:tcBorders>
              <w:top w:val="single" w:sz="6" w:space="0" w:color="auto"/>
              <w:left w:val="single" w:sz="6" w:space="0" w:color="auto"/>
              <w:bottom w:val="single" w:sz="6" w:space="0" w:color="auto"/>
              <w:right w:val="single" w:sz="6" w:space="0" w:color="auto"/>
            </w:tcBorders>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1.00</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6"/>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proofErr w:type="spellStart"/>
            <w:r w:rsidRPr="00DA36B6">
              <w:rPr>
                <w:sz w:val="22"/>
                <w:szCs w:val="22"/>
              </w:rPr>
              <w:t>BoA</w:t>
            </w:r>
            <w:proofErr w:type="spellEnd"/>
            <w:r w:rsidRPr="00DA36B6">
              <w:rPr>
                <w:sz w:val="22"/>
                <w:szCs w:val="22"/>
              </w:rPr>
              <w:t xml:space="preserve"> Merrill Lynch</w:t>
            </w:r>
            <w:r>
              <w:rPr>
                <w:rFonts w:hint="eastAsia"/>
                <w:sz w:val="22"/>
                <w:szCs w:val="22"/>
              </w:rPr>
              <w:t xml:space="preserve"> </w:t>
            </w:r>
            <w:r w:rsidRPr="00DA36B6">
              <w:rPr>
                <w:sz w:val="22"/>
                <w:szCs w:val="22"/>
              </w:rPr>
              <w:t>(2019/3/18)</w:t>
            </w:r>
          </w:p>
        </w:tc>
        <w:tc>
          <w:tcPr>
            <w:tcW w:w="1701" w:type="dxa"/>
            <w:vMerge/>
            <w:tcBorders>
              <w:top w:val="single" w:sz="6" w:space="0" w:color="auto"/>
              <w:left w:val="single" w:sz="6" w:space="0" w:color="auto"/>
              <w:bottom w:val="single" w:sz="6" w:space="0" w:color="auto"/>
              <w:right w:val="single" w:sz="6" w:space="0" w:color="auto"/>
            </w:tcBorders>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1.10</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6"/>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Goldman Sachs</w:t>
            </w:r>
            <w:r>
              <w:rPr>
                <w:rFonts w:hint="eastAsia"/>
                <w:sz w:val="22"/>
                <w:szCs w:val="22"/>
              </w:rPr>
              <w:t xml:space="preserve"> </w:t>
            </w:r>
            <w:r w:rsidRPr="00DA36B6">
              <w:rPr>
                <w:sz w:val="22"/>
                <w:szCs w:val="22"/>
              </w:rPr>
              <w:t>(2019/3/18)</w:t>
            </w:r>
          </w:p>
        </w:tc>
        <w:tc>
          <w:tcPr>
            <w:tcW w:w="1701" w:type="dxa"/>
            <w:vMerge/>
            <w:tcBorders>
              <w:top w:val="single" w:sz="6" w:space="0" w:color="auto"/>
              <w:left w:val="single" w:sz="6" w:space="0" w:color="auto"/>
              <w:bottom w:val="single" w:sz="6" w:space="0" w:color="auto"/>
              <w:right w:val="single" w:sz="6" w:space="0" w:color="auto"/>
            </w:tcBorders>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1.10</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6"/>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HSBC</w:t>
            </w:r>
            <w:r>
              <w:rPr>
                <w:rFonts w:hint="eastAsia"/>
                <w:sz w:val="22"/>
                <w:szCs w:val="22"/>
              </w:rPr>
              <w:t xml:space="preserve"> </w:t>
            </w:r>
            <w:r w:rsidRPr="00DA36B6">
              <w:rPr>
                <w:sz w:val="22"/>
                <w:szCs w:val="22"/>
              </w:rPr>
              <w:t>(2019/3/18)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1.20</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6"/>
        </w:trPr>
        <w:tc>
          <w:tcPr>
            <w:tcW w:w="1162"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rPr>
                <w:rFonts w:eastAsia="標楷體"/>
                <w:bCs/>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both"/>
              <w:rPr>
                <w:sz w:val="22"/>
                <w:szCs w:val="22"/>
              </w:rPr>
            </w:pPr>
            <w:r w:rsidRPr="00DA36B6">
              <w:rPr>
                <w:sz w:val="22"/>
                <w:szCs w:val="22"/>
              </w:rPr>
              <w:t>Credit Suisse</w:t>
            </w:r>
            <w:r>
              <w:rPr>
                <w:rFonts w:hint="eastAsia"/>
                <w:sz w:val="22"/>
                <w:szCs w:val="22"/>
              </w:rPr>
              <w:t xml:space="preserve"> </w:t>
            </w:r>
            <w:r w:rsidRPr="00DA36B6">
              <w:rPr>
                <w:sz w:val="22"/>
                <w:szCs w:val="22"/>
              </w:rPr>
              <w:t>(2019/3/14)</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F02919" w:rsidRPr="00DA36B6" w:rsidRDefault="00F02919" w:rsidP="00DA36B6">
            <w:pPr>
              <w:widowControl/>
              <w:snapToGrid w:val="0"/>
              <w:jc w:val="center"/>
              <w:rPr>
                <w:bCs/>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F02919" w:rsidRPr="00DA36B6" w:rsidRDefault="00F02919" w:rsidP="00DA36B6">
            <w:pPr>
              <w:jc w:val="center"/>
              <w:rPr>
                <w:sz w:val="22"/>
              </w:rPr>
            </w:pPr>
            <w:r w:rsidRPr="00DA36B6">
              <w:rPr>
                <w:sz w:val="22"/>
              </w:rPr>
              <w:t>1.40</w:t>
            </w:r>
          </w:p>
        </w:tc>
        <w:tc>
          <w:tcPr>
            <w:tcW w:w="1843" w:type="dxa"/>
            <w:vMerge/>
            <w:tcBorders>
              <w:left w:val="single" w:sz="6" w:space="0" w:color="auto"/>
            </w:tcBorders>
            <w:shd w:val="clear" w:color="000000" w:fill="FFFFFF"/>
          </w:tcPr>
          <w:p w:rsidR="00F02919" w:rsidRPr="00DA36B6" w:rsidRDefault="00F02919" w:rsidP="00DA36B6">
            <w:pPr>
              <w:jc w:val="center"/>
              <w:rPr>
                <w:sz w:val="22"/>
              </w:rPr>
            </w:pPr>
          </w:p>
        </w:tc>
      </w:tr>
      <w:tr w:rsidR="00F02919" w:rsidRPr="00DA36B6" w:rsidTr="00DA36B6">
        <w:trPr>
          <w:trHeight w:val="456"/>
        </w:trPr>
        <w:tc>
          <w:tcPr>
            <w:tcW w:w="7683" w:type="dxa"/>
            <w:gridSpan w:val="4"/>
            <w:tcBorders>
              <w:top w:val="single" w:sz="6" w:space="0" w:color="auto"/>
            </w:tcBorders>
            <w:vAlign w:val="center"/>
          </w:tcPr>
          <w:p w:rsidR="00F02919" w:rsidRPr="00D424B1" w:rsidRDefault="00F02919" w:rsidP="00D32E98">
            <w:pPr>
              <w:widowControl/>
              <w:snapToGrid w:val="0"/>
              <w:spacing w:beforeLines="25" w:before="60"/>
              <w:ind w:left="270" w:hangingChars="135" w:hanging="270"/>
              <w:rPr>
                <w:rFonts w:eastAsia="標楷體"/>
              </w:rPr>
            </w:pPr>
            <w:r w:rsidRPr="00D424B1">
              <w:rPr>
                <w:rFonts w:eastAsia="標楷體"/>
              </w:rPr>
              <w:t xml:space="preserve">**Excluding vegetables, fruit, and energy. </w:t>
            </w:r>
          </w:p>
          <w:p w:rsidR="00F02919" w:rsidRPr="00D424B1" w:rsidRDefault="00F02919" w:rsidP="00E44BD3">
            <w:pPr>
              <w:spacing w:line="400" w:lineRule="exact"/>
              <w:ind w:left="270" w:hangingChars="135" w:hanging="270"/>
              <w:rPr>
                <w:rFonts w:eastAsia="標楷體"/>
              </w:rPr>
            </w:pPr>
            <w:r w:rsidRPr="00D424B1">
              <w:rPr>
                <w:rFonts w:eastAsia="標楷體"/>
              </w:rPr>
              <w:t>Sources: DGBAS, Executive Yuan; forecasts by respective institutions.</w:t>
            </w:r>
          </w:p>
          <w:p w:rsidR="00F02919" w:rsidRPr="00DA36B6" w:rsidRDefault="00F02919" w:rsidP="00DA36B6">
            <w:pPr>
              <w:snapToGrid w:val="0"/>
              <w:rPr>
                <w:rFonts w:eastAsia="標楷體"/>
              </w:rPr>
            </w:pPr>
          </w:p>
        </w:tc>
        <w:tc>
          <w:tcPr>
            <w:tcW w:w="1843" w:type="dxa"/>
            <w:vAlign w:val="center"/>
          </w:tcPr>
          <w:p w:rsidR="00F02919" w:rsidRPr="00DA36B6" w:rsidRDefault="00F02919" w:rsidP="00DA36B6">
            <w:pPr>
              <w:snapToGrid w:val="0"/>
              <w:rPr>
                <w:rFonts w:eastAsia="標楷體"/>
              </w:rPr>
            </w:pPr>
          </w:p>
        </w:tc>
      </w:tr>
    </w:tbl>
    <w:p w:rsidR="00F02919" w:rsidRPr="005A4463" w:rsidRDefault="00F02919" w:rsidP="00D32E98">
      <w:pPr>
        <w:spacing w:beforeLines="50" w:before="120" w:afterLines="50" w:after="120" w:line="480" w:lineRule="exact"/>
        <w:ind w:left="960" w:firstLine="480"/>
        <w:rPr>
          <w:rFonts w:eastAsia="標楷體"/>
          <w:b/>
          <w:sz w:val="32"/>
          <w:szCs w:val="28"/>
        </w:rPr>
      </w:pPr>
      <w:r>
        <w:rPr>
          <w:rFonts w:eastAsia="標楷體" w:hint="eastAsia"/>
          <w:b/>
          <w:sz w:val="28"/>
          <w:szCs w:val="28"/>
        </w:rPr>
        <w:t xml:space="preserve">Table </w:t>
      </w:r>
      <w:proofErr w:type="gramStart"/>
      <w:r>
        <w:rPr>
          <w:rFonts w:eastAsia="標楷體" w:hint="eastAsia"/>
          <w:b/>
          <w:sz w:val="28"/>
          <w:szCs w:val="28"/>
        </w:rPr>
        <w:t xml:space="preserve">1  </w:t>
      </w:r>
      <w:r>
        <w:rPr>
          <w:rFonts w:eastAsia="標楷體"/>
          <w:b/>
          <w:sz w:val="28"/>
          <w:szCs w:val="28"/>
        </w:rPr>
        <w:t>Taiwan</w:t>
      </w:r>
      <w:r w:rsidRPr="00C37050">
        <w:rPr>
          <w:rFonts w:eastAsia="標楷體" w:hint="eastAsia"/>
          <w:b/>
          <w:sz w:val="28"/>
          <w:szCs w:val="28"/>
        </w:rPr>
        <w:t>'</w:t>
      </w:r>
      <w:r w:rsidRPr="009032EE">
        <w:rPr>
          <w:rFonts w:eastAsia="標楷體"/>
          <w:b/>
          <w:sz w:val="28"/>
          <w:szCs w:val="28"/>
        </w:rPr>
        <w:t>s</w:t>
      </w:r>
      <w:proofErr w:type="gramEnd"/>
      <w:r w:rsidRPr="009032EE">
        <w:rPr>
          <w:rFonts w:eastAsia="標楷體"/>
          <w:b/>
          <w:sz w:val="28"/>
          <w:szCs w:val="28"/>
        </w:rPr>
        <w:t xml:space="preserve"> Inflation and Inflation Outlook</w:t>
      </w:r>
    </w:p>
    <w:p w:rsidR="00F02919" w:rsidRPr="004A0C52" w:rsidRDefault="00F02919" w:rsidP="00D25082">
      <w:pPr>
        <w:spacing w:line="480" w:lineRule="exact"/>
        <w:ind w:firstLineChars="300" w:firstLine="961"/>
        <w:rPr>
          <w:rFonts w:eastAsia="標楷體"/>
          <w:b/>
          <w:sz w:val="32"/>
          <w:szCs w:val="28"/>
        </w:rPr>
      </w:pPr>
    </w:p>
    <w:p w:rsidR="00F02919" w:rsidRPr="004F16D5" w:rsidRDefault="00F02919" w:rsidP="00D32E98">
      <w:pPr>
        <w:widowControl/>
        <w:snapToGrid w:val="0"/>
        <w:spacing w:beforeLines="50" w:before="120"/>
        <w:rPr>
          <w:rFonts w:eastAsia="標楷體"/>
          <w:szCs w:val="28"/>
        </w:rPr>
      </w:pPr>
    </w:p>
    <w:p w:rsidR="00F02919" w:rsidRPr="004F16D5" w:rsidRDefault="00F02919" w:rsidP="00D32E98">
      <w:pPr>
        <w:widowControl/>
        <w:snapToGrid w:val="0"/>
        <w:spacing w:beforeLines="20" w:before="48"/>
        <w:rPr>
          <w:rFonts w:eastAsia="標楷體"/>
          <w:szCs w:val="28"/>
        </w:rPr>
      </w:pPr>
    </w:p>
    <w:p w:rsidR="00F02919" w:rsidRPr="00627180" w:rsidRDefault="00F02919" w:rsidP="00627180">
      <w:pPr>
        <w:widowControl/>
        <w:snapToGrid w:val="0"/>
        <w:rPr>
          <w:rFonts w:eastAsia="標楷體"/>
          <w:szCs w:val="28"/>
        </w:rPr>
        <w:sectPr w:rsidR="00F02919" w:rsidRPr="00627180" w:rsidSect="00D32E98">
          <w:footerReference w:type="default" r:id="rId12"/>
          <w:pgSz w:w="11907" w:h="16840" w:code="9"/>
          <w:pgMar w:top="1304" w:right="1418" w:bottom="1276" w:left="1418" w:header="0" w:footer="454" w:gutter="0"/>
          <w:paperSrc w:first="15" w:other="15"/>
          <w:pgNumType w:start="1"/>
          <w:cols w:space="425"/>
          <w:docGrid w:linePitch="272"/>
        </w:sectPr>
      </w:pPr>
    </w:p>
    <w:p w:rsidR="00F02919" w:rsidRPr="00E11768" w:rsidRDefault="00F02919" w:rsidP="00A41DD8">
      <w:pPr>
        <w:spacing w:line="400" w:lineRule="exact"/>
        <w:jc w:val="center"/>
        <w:rPr>
          <w:rFonts w:eastAsia="標楷體"/>
          <w:b/>
          <w:sz w:val="28"/>
          <w:szCs w:val="28"/>
        </w:rPr>
      </w:pPr>
      <w:r w:rsidRPr="00E11768">
        <w:rPr>
          <w:rFonts w:eastAsia="標楷體" w:hint="eastAsia"/>
          <w:b/>
          <w:sz w:val="28"/>
          <w:szCs w:val="28"/>
        </w:rPr>
        <w:lastRenderedPageBreak/>
        <w:t>Figure 1</w:t>
      </w:r>
    </w:p>
    <w:p w:rsidR="00F02919" w:rsidRPr="00E11768" w:rsidRDefault="00F02919" w:rsidP="00A41DD8">
      <w:pPr>
        <w:snapToGrid w:val="0"/>
        <w:spacing w:beforeLines="50" w:before="180"/>
        <w:jc w:val="center"/>
        <w:rPr>
          <w:rFonts w:eastAsia="標楷體"/>
          <w:b/>
          <w:sz w:val="28"/>
          <w:szCs w:val="28"/>
        </w:rPr>
      </w:pPr>
      <w:r>
        <w:rPr>
          <w:rFonts w:eastAsia="標楷體" w:hint="eastAsia"/>
          <w:b/>
          <w:sz w:val="28"/>
          <w:szCs w:val="28"/>
        </w:rPr>
        <w:t>Government Bond Yields</w:t>
      </w:r>
      <w:r w:rsidRPr="00E11768">
        <w:rPr>
          <w:rFonts w:eastAsia="標楷體"/>
          <w:b/>
          <w:sz w:val="28"/>
          <w:szCs w:val="28"/>
        </w:rPr>
        <w:t xml:space="preserve"> </w:t>
      </w:r>
      <w:r w:rsidRPr="00E11768">
        <w:rPr>
          <w:rFonts w:eastAsia="標楷體" w:hint="eastAsia"/>
          <w:b/>
          <w:sz w:val="28"/>
          <w:szCs w:val="28"/>
        </w:rPr>
        <w:t>o</w:t>
      </w:r>
      <w:r w:rsidRPr="00E11768">
        <w:rPr>
          <w:rFonts w:eastAsia="標楷體"/>
          <w:b/>
          <w:sz w:val="28"/>
          <w:szCs w:val="28"/>
        </w:rPr>
        <w:t>f Selected Economies</w:t>
      </w:r>
      <w:r w:rsidRPr="00E11768">
        <w:rPr>
          <w:rFonts w:eastAsia="標楷體" w:hint="eastAsia"/>
          <w:b/>
          <w:sz w:val="28"/>
          <w:szCs w:val="28"/>
        </w:rPr>
        <w:t xml:space="preserve"> (201</w:t>
      </w:r>
      <w:r>
        <w:rPr>
          <w:rFonts w:eastAsia="標楷體" w:hint="eastAsia"/>
          <w:b/>
          <w:sz w:val="28"/>
          <w:szCs w:val="28"/>
        </w:rPr>
        <w:t>9</w:t>
      </w:r>
      <w:r w:rsidRPr="00E11768">
        <w:rPr>
          <w:rFonts w:eastAsia="標楷體" w:hint="eastAsia"/>
          <w:b/>
          <w:sz w:val="28"/>
          <w:szCs w:val="28"/>
        </w:rPr>
        <w:t>/</w:t>
      </w:r>
      <w:r>
        <w:rPr>
          <w:rFonts w:eastAsia="標楷體" w:hint="eastAsia"/>
          <w:b/>
          <w:sz w:val="28"/>
          <w:szCs w:val="28"/>
        </w:rPr>
        <w:t>3/21</w:t>
      </w:r>
      <w:r w:rsidRPr="00E11768">
        <w:rPr>
          <w:rFonts w:eastAsia="標楷體" w:hint="eastAsia"/>
          <w:b/>
          <w:sz w:val="28"/>
          <w:szCs w:val="28"/>
        </w:rPr>
        <w:t>)</w:t>
      </w:r>
    </w:p>
    <w:p w:rsidR="00F02919" w:rsidRPr="00627180" w:rsidRDefault="00F02919" w:rsidP="00627180">
      <w:pPr>
        <w:jc w:val="center"/>
        <w:rPr>
          <w:rFonts w:eastAsia="標楷體"/>
          <w:b/>
          <w:sz w:val="32"/>
          <w:szCs w:val="28"/>
        </w:rPr>
      </w:pPr>
      <w:r w:rsidRPr="004B464F">
        <w:rPr>
          <w:noProof/>
        </w:rPr>
        <mc:AlternateContent>
          <mc:Choice Requires="wps">
            <w:drawing>
              <wp:anchor distT="0" distB="0" distL="114300" distR="114300" simplePos="0" relativeHeight="251665408" behindDoc="0" locked="0" layoutInCell="1" allowOverlap="1" wp14:anchorId="30E1EFB0" wp14:editId="66B4EDE7">
                <wp:simplePos x="0" y="0"/>
                <wp:positionH relativeFrom="column">
                  <wp:posOffset>6309995</wp:posOffset>
                </wp:positionH>
                <wp:positionV relativeFrom="paragraph">
                  <wp:posOffset>3803650</wp:posOffset>
                </wp:positionV>
                <wp:extent cx="952500" cy="36576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5760"/>
                        </a:xfrm>
                        <a:prstGeom prst="rect">
                          <a:avLst/>
                        </a:prstGeom>
                        <a:solidFill>
                          <a:srgbClr val="FFFFFF"/>
                        </a:solidFill>
                        <a:ln w="9525">
                          <a:noFill/>
                          <a:miter lim="800000"/>
                          <a:headEnd/>
                          <a:tailEnd/>
                        </a:ln>
                      </wps:spPr>
                      <wps:txbx>
                        <w:txbxContent>
                          <w:p w:rsidR="00F02919" w:rsidRPr="004B464F" w:rsidRDefault="00F02919" w:rsidP="004B464F">
                            <w:pPr>
                              <w:pStyle w:val="Web"/>
                              <w:spacing w:before="0" w:beforeAutospacing="0" w:after="0" w:afterAutospacing="0"/>
                              <w:rPr>
                                <w:b/>
                              </w:rPr>
                            </w:pPr>
                            <w:r w:rsidRPr="004B464F">
                              <w:rPr>
                                <w:rFonts w:ascii="Times New Roman" w:eastAsiaTheme="minorEastAsia" w:hAnsi="Times New Roman"/>
                                <w:b/>
                                <w:sz w:val="22"/>
                                <w:szCs w:val="22"/>
                              </w:rPr>
                              <w:t>30-year bonds</w:t>
                            </w:r>
                          </w:p>
                        </w:txbxContent>
                      </wps:txbx>
                      <wps:bodyPr rot="0" vert="horz" wrap="square" lIns="0" tIns="0" rIns="0" bIns="0" anchor="t"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496.85pt;margin-top:299.5pt;width:75pt;height:28.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" stroked="f">
                <v:textbox inset="0,0,0,0">
                  <w:txbxContent>
                    <w:p w:rsidR="00F02919" w:rsidRPr="004B464F" w:rsidRDefault="00F02919" w:rsidP="004B464F">
                      <w:pPr>
                        <w:pStyle w:val="Web"/>
                        <w:spacing w:before="0" w:beforeAutospacing="0" w:after="0" w:afterAutospacing="0"/>
                        <w:rPr>
                          <w:b/>
                        </w:rPr>
                      </w:pPr>
                      <w:r w:rsidRPr="004B464F">
                        <w:rPr>
                          <w:rFonts w:ascii="Times New Roman" w:eastAsiaTheme="minorEastAsia" w:hAnsi="Times New Roman"/>
                          <w:b/>
                          <w:sz w:val="22"/>
                          <w:szCs w:val="22"/>
                        </w:rPr>
                        <w:t>30-year bonds</w:t>
                      </w:r>
                    </w:p>
                  </w:txbxContent>
                </v:textbox>
              </v:shape>
            </w:pict>
          </mc:Fallback>
        </mc:AlternateContent>
      </w:r>
      <w:r w:rsidRPr="00627180">
        <w:rPr>
          <w:noProof/>
        </w:rPr>
        <mc:AlternateContent>
          <mc:Choice Requires="wps">
            <w:drawing>
              <wp:anchor distT="0" distB="0" distL="114300" distR="114300" simplePos="0" relativeHeight="251663360" behindDoc="0" locked="0" layoutInCell="1" allowOverlap="1" wp14:anchorId="1CAB734A" wp14:editId="7872921B">
                <wp:simplePos x="0" y="0"/>
                <wp:positionH relativeFrom="column">
                  <wp:posOffset>1216025</wp:posOffset>
                </wp:positionH>
                <wp:positionV relativeFrom="paragraph">
                  <wp:posOffset>4168290</wp:posOffset>
                </wp:positionV>
                <wp:extent cx="6649720" cy="323850"/>
                <wp:effectExtent l="0" t="0" r="0" b="0"/>
                <wp:wrapNone/>
                <wp:docPr id="5" name="文字方塊 1"/>
                <wp:cNvGraphicFramePr/>
                <a:graphic xmlns:a="http://schemas.openxmlformats.org/drawingml/2006/main">
                  <a:graphicData uri="http://schemas.microsoft.com/office/word/2010/wordprocessingShape">
                    <wps:wsp>
                      <wps:cNvSpPr txBox="1"/>
                      <wps:spPr>
                        <a:xfrm>
                          <a:off x="0" y="0"/>
                          <a:ext cx="6649720" cy="323850"/>
                        </a:xfrm>
                        <a:prstGeom prst="rect">
                          <a:avLst/>
                        </a:prstGeom>
                        <a:noFill/>
                        <a:ln w="9525" cmpd="sng">
                          <a:noFill/>
                        </a:ln>
                        <a:effectLst/>
                      </wps:spPr>
                      <wps:txbx>
                        <w:txbxContent>
                          <w:p w:rsidR="00F02919" w:rsidRDefault="00F02919" w:rsidP="00E75446">
                            <w:pPr>
                              <w:pStyle w:val="Web"/>
                              <w:snapToGrid w:val="0"/>
                              <w:spacing w:before="0" w:beforeAutospacing="0" w:after="0" w:afterAutospacing="0"/>
                              <w:jc w:val="both"/>
                            </w:pPr>
                            <w:r>
                              <w:rPr>
                                <w:rFonts w:ascii="Times New Roman" w:eastAsia="標楷體" w:hAnsi="標楷體"/>
                                <w:color w:val="000000" w:themeColor="dark1"/>
                                <w:sz w:val="22"/>
                                <w:szCs w:val="22"/>
                              </w:rPr>
                              <w:t>Sources: Bloomberg; Taipei Exchange; US Treasury Department.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文字方塊 1" o:spid="_x0000_s1027" type="#_x0000_t202" style="position:absolute;left:0;text-align:left;margin-left:95.75pt;margin-top:328.2pt;width:523.6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" filled="f" stroked="f">
                <v:textbox>
                  <w:txbxContent>
                    <w:p w:rsidR="00F02919" w:rsidRDefault="00F02919" w:rsidP="00E75446">
                      <w:pPr>
                        <w:pStyle w:val="Web"/>
                        <w:snapToGrid w:val="0"/>
                        <w:spacing w:before="0" w:beforeAutospacing="0" w:after="0" w:afterAutospacing="0"/>
                        <w:jc w:val="both"/>
                      </w:pPr>
                      <w:r>
                        <w:rPr>
                          <w:rFonts w:ascii="Times New Roman" w:eastAsia="標楷體" w:hAnsi="標楷體"/>
                          <w:color w:val="000000" w:themeColor="dark1"/>
                          <w:sz w:val="22"/>
                          <w:szCs w:val="22"/>
                        </w:rPr>
                        <w:t>Sources: Bloomberg; Taipei Exchange; US Treasury Department.</w:t>
                      </w:r>
                    </w:p>
                  </w:txbxContent>
                </v:textbox>
              </v:shape>
            </w:pict>
          </mc:Fallback>
        </mc:AlternateContent>
      </w:r>
    </w:p>
    <w:p w:rsidR="00F02919" w:rsidRPr="00627180" w:rsidRDefault="00F02919" w:rsidP="00627180">
      <w:pPr>
        <w:jc w:val="center"/>
        <w:rPr>
          <w:rFonts w:eastAsia="標楷體"/>
          <w:b/>
          <w:sz w:val="32"/>
          <w:szCs w:val="28"/>
        </w:rPr>
      </w:pPr>
      <w:r w:rsidRPr="00A41DD8">
        <w:rPr>
          <w:noProof/>
          <w:color w:val="33CC33"/>
        </w:rPr>
        <w:drawing>
          <wp:anchor distT="0" distB="0" distL="114300" distR="114300" simplePos="0" relativeHeight="251666432" behindDoc="1" locked="0" layoutInCell="1" allowOverlap="1" wp14:anchorId="5E5C06CD" wp14:editId="0B7DBD05">
            <wp:simplePos x="0" y="0"/>
            <wp:positionH relativeFrom="column">
              <wp:posOffset>1029970</wp:posOffset>
            </wp:positionH>
            <wp:positionV relativeFrom="paragraph">
              <wp:posOffset>57785</wp:posOffset>
            </wp:positionV>
            <wp:extent cx="7321550" cy="4064000"/>
            <wp:effectExtent l="0" t="0" r="0" b="0"/>
            <wp:wrapSquare wrapText="bothSides"/>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F02919" w:rsidRPr="00627180" w:rsidRDefault="00F02919" w:rsidP="00627180">
      <w:pPr>
        <w:jc w:val="center"/>
        <w:rPr>
          <w:rFonts w:eastAsia="標楷體"/>
          <w:b/>
          <w:sz w:val="32"/>
          <w:szCs w:val="28"/>
        </w:rPr>
      </w:pPr>
      <w:r w:rsidRPr="004B464F">
        <w:rPr>
          <w:noProof/>
        </w:rPr>
        <mc:AlternateContent>
          <mc:Choice Requires="wps">
            <w:drawing>
              <wp:anchor distT="0" distB="0" distL="114300" distR="114300" simplePos="0" relativeHeight="251664384" behindDoc="0" locked="0" layoutInCell="1" allowOverlap="1" wp14:anchorId="6AD86191" wp14:editId="0A23D9C3">
                <wp:simplePos x="0" y="0"/>
                <wp:positionH relativeFrom="column">
                  <wp:posOffset>4827270</wp:posOffset>
                </wp:positionH>
                <wp:positionV relativeFrom="paragraph">
                  <wp:posOffset>3333115</wp:posOffset>
                </wp:positionV>
                <wp:extent cx="1136650" cy="365760"/>
                <wp:effectExtent l="0" t="0" r="635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65760"/>
                        </a:xfrm>
                        <a:prstGeom prst="rect">
                          <a:avLst/>
                        </a:prstGeom>
                        <a:solidFill>
                          <a:srgbClr val="FFFFFF"/>
                        </a:solidFill>
                        <a:ln w="9525">
                          <a:noFill/>
                          <a:miter lim="800000"/>
                          <a:headEnd/>
                          <a:tailEnd/>
                        </a:ln>
                      </wps:spPr>
                      <wps:txbx>
                        <w:txbxContent>
                          <w:p w:rsidR="00F02919" w:rsidRPr="004B464F" w:rsidRDefault="00F02919" w:rsidP="004B464F">
                            <w:pPr>
                              <w:pStyle w:val="Web"/>
                              <w:spacing w:before="0" w:beforeAutospacing="0" w:after="0" w:afterAutospacing="0"/>
                              <w:rPr>
                                <w:b/>
                              </w:rPr>
                            </w:pPr>
                            <w:r w:rsidRPr="004B464F">
                              <w:rPr>
                                <w:rFonts w:ascii="Times New Roman" w:eastAsiaTheme="minorEastAsia" w:hAnsi="Times New Roman"/>
                                <w:b/>
                                <w:sz w:val="22"/>
                                <w:szCs w:val="22"/>
                              </w:rPr>
                              <w:t>10-year bonds</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id="文字方塊 2" o:spid="_x0000_s1028" type="#_x0000_t202" style="position:absolute;left:0;text-align:left;margin-left:380.1pt;margin-top:262.45pt;width:89.5pt;height:28.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" stroked="f">
                <v:textbox inset="0,0,0,0">
                  <w:txbxContent>
                    <w:p w:rsidR="00F02919" w:rsidRPr="004B464F" w:rsidRDefault="00F02919" w:rsidP="004B464F">
                      <w:pPr>
                        <w:pStyle w:val="Web"/>
                        <w:spacing w:before="0" w:beforeAutospacing="0" w:after="0" w:afterAutospacing="0"/>
                        <w:rPr>
                          <w:b/>
                        </w:rPr>
                      </w:pPr>
                      <w:r w:rsidRPr="004B464F">
                        <w:rPr>
                          <w:rFonts w:ascii="Times New Roman" w:eastAsiaTheme="minorEastAsia" w:hAnsi="Times New Roman"/>
                          <w:b/>
                          <w:sz w:val="22"/>
                          <w:szCs w:val="22"/>
                        </w:rPr>
                        <w:t>10-year bonds</w:t>
                      </w:r>
                    </w:p>
                  </w:txbxContent>
                </v:textbox>
              </v:shape>
            </w:pict>
          </mc:Fallback>
        </mc:AlternateContent>
      </w:r>
    </w:p>
    <w:p w:rsidR="00F02919" w:rsidRPr="00627180" w:rsidRDefault="00F02919" w:rsidP="00627180">
      <w:pPr>
        <w:jc w:val="center"/>
        <w:rPr>
          <w:rFonts w:eastAsia="標楷體"/>
          <w:b/>
          <w:sz w:val="32"/>
          <w:szCs w:val="28"/>
        </w:rPr>
        <w:sectPr w:rsidR="00F02919" w:rsidRPr="00627180" w:rsidSect="00781C6A">
          <w:pgSz w:w="16838" w:h="11906" w:orient="landscape" w:code="9"/>
          <w:pgMar w:top="1418" w:right="1418" w:bottom="1418" w:left="1418" w:header="851" w:footer="851" w:gutter="0"/>
          <w:cols w:space="425"/>
          <w:docGrid w:type="lines" w:linePitch="360"/>
        </w:sectPr>
      </w:pPr>
    </w:p>
    <w:p w:rsidR="00F02919" w:rsidRPr="005545EC" w:rsidRDefault="00F02919" w:rsidP="00112888">
      <w:pPr>
        <w:spacing w:line="480" w:lineRule="exact"/>
        <w:jc w:val="center"/>
        <w:rPr>
          <w:rFonts w:eastAsia="標楷體"/>
          <w:b/>
          <w:sz w:val="28"/>
          <w:szCs w:val="28"/>
        </w:rPr>
      </w:pPr>
      <w:r>
        <w:rPr>
          <w:rFonts w:eastAsia="標楷體" w:hint="eastAsia"/>
          <w:b/>
          <w:sz w:val="28"/>
          <w:szCs w:val="28"/>
        </w:rPr>
        <w:lastRenderedPageBreak/>
        <w:t>Table 2</w:t>
      </w:r>
    </w:p>
    <w:p w:rsidR="00F02919" w:rsidRPr="00627180" w:rsidRDefault="00F02919" w:rsidP="00112888">
      <w:pPr>
        <w:spacing w:line="480" w:lineRule="exact"/>
        <w:jc w:val="center"/>
        <w:rPr>
          <w:rFonts w:eastAsia="標楷體"/>
          <w:b/>
          <w:sz w:val="32"/>
          <w:szCs w:val="28"/>
        </w:rPr>
      </w:pPr>
      <w:r>
        <w:rPr>
          <w:rFonts w:eastAsia="標楷體" w:hint="eastAsia"/>
          <w:b/>
          <w:sz w:val="28"/>
          <w:szCs w:val="28"/>
        </w:rPr>
        <w:t>Real Interest Rates of Selected Economies</w:t>
      </w:r>
    </w:p>
    <w:tbl>
      <w:tblPr>
        <w:tblW w:w="9087" w:type="dxa"/>
        <w:tblInd w:w="13" w:type="dxa"/>
        <w:tblLayout w:type="fixed"/>
        <w:tblCellMar>
          <w:left w:w="28" w:type="dxa"/>
          <w:right w:w="28" w:type="dxa"/>
        </w:tblCellMar>
        <w:tblLook w:val="04A0" w:firstRow="1" w:lastRow="0" w:firstColumn="1" w:lastColumn="0" w:noHBand="0" w:noVBand="1"/>
      </w:tblPr>
      <w:tblGrid>
        <w:gridCol w:w="1575"/>
        <w:gridCol w:w="2504"/>
        <w:gridCol w:w="2504"/>
        <w:gridCol w:w="2504"/>
      </w:tblGrid>
      <w:tr w:rsidR="00F02919" w:rsidRPr="00112888" w:rsidTr="0032770E">
        <w:trPr>
          <w:trHeight w:val="696"/>
        </w:trPr>
        <w:tc>
          <w:tcPr>
            <w:tcW w:w="9087" w:type="dxa"/>
            <w:gridSpan w:val="4"/>
            <w:tcBorders>
              <w:top w:val="nil"/>
              <w:left w:val="nil"/>
              <w:bottom w:val="single" w:sz="8" w:space="0" w:color="auto"/>
              <w:right w:val="nil"/>
            </w:tcBorders>
            <w:shd w:val="clear" w:color="auto" w:fill="auto"/>
            <w:noWrap/>
            <w:vAlign w:val="bottom"/>
            <w:hideMark/>
          </w:tcPr>
          <w:p w:rsidR="00F02919" w:rsidRPr="00112888" w:rsidRDefault="00F02919" w:rsidP="00112888">
            <w:pPr>
              <w:widowControl/>
              <w:wordWrap w:val="0"/>
              <w:jc w:val="right"/>
              <w:rPr>
                <w:rFonts w:eastAsia="標楷體"/>
                <w:szCs w:val="22"/>
              </w:rPr>
            </w:pPr>
            <w:r w:rsidRPr="00112888">
              <w:rPr>
                <w:rFonts w:eastAsia="標楷體"/>
                <w:szCs w:val="22"/>
              </w:rPr>
              <w:t>Unit: %</w:t>
            </w:r>
          </w:p>
        </w:tc>
      </w:tr>
      <w:tr w:rsidR="00F02919" w:rsidRPr="00112888" w:rsidTr="0032770E">
        <w:trPr>
          <w:trHeight w:val="224"/>
        </w:trPr>
        <w:tc>
          <w:tcPr>
            <w:tcW w:w="157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F02919" w:rsidRPr="00112888" w:rsidRDefault="00F02919" w:rsidP="002C063F">
            <w:pPr>
              <w:widowControl/>
              <w:snapToGrid w:val="0"/>
              <w:jc w:val="center"/>
              <w:rPr>
                <w:rFonts w:eastAsia="標楷體"/>
              </w:rPr>
            </w:pPr>
            <w:r w:rsidRPr="00112888">
              <w:rPr>
                <w:rFonts w:eastAsia="標楷體"/>
              </w:rPr>
              <w:t>Economies</w:t>
            </w:r>
          </w:p>
        </w:tc>
        <w:tc>
          <w:tcPr>
            <w:tcW w:w="2504" w:type="dxa"/>
            <w:tcBorders>
              <w:top w:val="single" w:sz="8" w:space="0" w:color="auto"/>
              <w:left w:val="nil"/>
              <w:bottom w:val="nil"/>
              <w:right w:val="single" w:sz="4" w:space="0" w:color="auto"/>
            </w:tcBorders>
            <w:shd w:val="clear" w:color="auto" w:fill="auto"/>
            <w:noWrap/>
            <w:vAlign w:val="bottom"/>
            <w:hideMark/>
          </w:tcPr>
          <w:p w:rsidR="00F02919" w:rsidRPr="006676A5" w:rsidRDefault="00F02919" w:rsidP="002F5B75">
            <w:pPr>
              <w:widowControl/>
              <w:snapToGrid w:val="0"/>
              <w:jc w:val="center"/>
            </w:pPr>
            <w:r w:rsidRPr="006676A5">
              <w:t>(1)</w:t>
            </w:r>
          </w:p>
        </w:tc>
        <w:tc>
          <w:tcPr>
            <w:tcW w:w="2504" w:type="dxa"/>
            <w:tcBorders>
              <w:top w:val="single" w:sz="8" w:space="0" w:color="auto"/>
              <w:left w:val="nil"/>
              <w:bottom w:val="nil"/>
              <w:right w:val="single" w:sz="4" w:space="0" w:color="auto"/>
            </w:tcBorders>
            <w:shd w:val="clear" w:color="auto" w:fill="auto"/>
            <w:noWrap/>
            <w:vAlign w:val="bottom"/>
            <w:hideMark/>
          </w:tcPr>
          <w:p w:rsidR="00F02919" w:rsidRPr="006676A5" w:rsidRDefault="00F02919" w:rsidP="002F5B75">
            <w:pPr>
              <w:widowControl/>
              <w:snapToGrid w:val="0"/>
              <w:jc w:val="center"/>
            </w:pPr>
            <w:r w:rsidRPr="006676A5">
              <w:t>(2)</w:t>
            </w:r>
          </w:p>
        </w:tc>
        <w:tc>
          <w:tcPr>
            <w:tcW w:w="2504" w:type="dxa"/>
            <w:tcBorders>
              <w:top w:val="single" w:sz="8" w:space="0" w:color="auto"/>
              <w:left w:val="nil"/>
              <w:bottom w:val="nil"/>
              <w:right w:val="single" w:sz="4" w:space="0" w:color="auto"/>
            </w:tcBorders>
            <w:shd w:val="clear" w:color="auto" w:fill="auto"/>
            <w:noWrap/>
            <w:vAlign w:val="bottom"/>
            <w:hideMark/>
          </w:tcPr>
          <w:p w:rsidR="00F02919" w:rsidRPr="00112888" w:rsidRDefault="00F02919" w:rsidP="00627180">
            <w:pPr>
              <w:widowControl/>
              <w:snapToGrid w:val="0"/>
              <w:jc w:val="center"/>
            </w:pPr>
            <w:r w:rsidRPr="00112888">
              <w:t>(3)=(1)-(2)</w:t>
            </w:r>
          </w:p>
        </w:tc>
      </w:tr>
      <w:tr w:rsidR="00F02919" w:rsidRPr="00112888" w:rsidTr="0032770E">
        <w:trPr>
          <w:trHeight w:val="355"/>
        </w:trPr>
        <w:tc>
          <w:tcPr>
            <w:tcW w:w="1575" w:type="dxa"/>
            <w:vMerge/>
            <w:tcBorders>
              <w:top w:val="single" w:sz="8" w:space="0" w:color="auto"/>
              <w:left w:val="single" w:sz="4" w:space="0" w:color="auto"/>
              <w:bottom w:val="single" w:sz="4" w:space="0" w:color="000000"/>
              <w:right w:val="single" w:sz="4" w:space="0" w:color="auto"/>
            </w:tcBorders>
            <w:vAlign w:val="center"/>
            <w:hideMark/>
          </w:tcPr>
          <w:p w:rsidR="00F02919" w:rsidRPr="00112888" w:rsidRDefault="00F02919" w:rsidP="002C063F">
            <w:pPr>
              <w:widowControl/>
              <w:snapToGrid w:val="0"/>
              <w:jc w:val="center"/>
              <w:rPr>
                <w:rFonts w:eastAsia="標楷體"/>
              </w:rPr>
            </w:pPr>
          </w:p>
        </w:tc>
        <w:tc>
          <w:tcPr>
            <w:tcW w:w="2504" w:type="dxa"/>
            <w:tcBorders>
              <w:top w:val="nil"/>
              <w:left w:val="nil"/>
              <w:right w:val="single" w:sz="4" w:space="0" w:color="auto"/>
            </w:tcBorders>
            <w:shd w:val="clear" w:color="auto" w:fill="auto"/>
            <w:vAlign w:val="center"/>
            <w:hideMark/>
          </w:tcPr>
          <w:p w:rsidR="00F02919" w:rsidRPr="004F16D5" w:rsidRDefault="00F02919" w:rsidP="002F5B75">
            <w:pPr>
              <w:widowControl/>
              <w:snapToGrid w:val="0"/>
              <w:jc w:val="center"/>
            </w:pPr>
            <w:r w:rsidRPr="008E2538">
              <w:t xml:space="preserve">1-year </w:t>
            </w:r>
            <w:r w:rsidRPr="008E2538">
              <w:rPr>
                <w:b/>
              </w:rPr>
              <w:t>time deposit rate</w:t>
            </w:r>
            <w:r>
              <w:rPr>
                <w:rFonts w:hint="eastAsia"/>
              </w:rPr>
              <w:t xml:space="preserve">* </w:t>
            </w:r>
          </w:p>
        </w:tc>
        <w:tc>
          <w:tcPr>
            <w:tcW w:w="2504" w:type="dxa"/>
            <w:tcBorders>
              <w:top w:val="nil"/>
              <w:left w:val="nil"/>
              <w:right w:val="single" w:sz="4" w:space="0" w:color="auto"/>
            </w:tcBorders>
            <w:shd w:val="clear" w:color="auto" w:fill="auto"/>
            <w:noWrap/>
            <w:vAlign w:val="center"/>
            <w:hideMark/>
          </w:tcPr>
          <w:p w:rsidR="00F02919" w:rsidRPr="004F16D5" w:rsidRDefault="00F02919" w:rsidP="002F5B75">
            <w:pPr>
              <w:widowControl/>
              <w:snapToGrid w:val="0"/>
              <w:jc w:val="center"/>
            </w:pPr>
            <w:r>
              <w:t>CPI annual growth rate</w:t>
            </w:r>
            <w:r w:rsidRPr="00E20FEE">
              <w:rPr>
                <w:rFonts w:eastAsia="標楷體"/>
              </w:rPr>
              <w:t>*</w:t>
            </w:r>
            <w:r w:rsidRPr="00E20FEE">
              <w:t>*</w:t>
            </w:r>
          </w:p>
        </w:tc>
        <w:tc>
          <w:tcPr>
            <w:tcW w:w="25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2919" w:rsidRPr="00112888" w:rsidRDefault="00F02919" w:rsidP="00627180">
            <w:pPr>
              <w:widowControl/>
              <w:snapToGrid w:val="0"/>
              <w:jc w:val="center"/>
              <w:rPr>
                <w:rFonts w:eastAsia="標楷體"/>
                <w:b/>
                <w:bCs/>
              </w:rPr>
            </w:pPr>
            <w:r>
              <w:rPr>
                <w:rFonts w:eastAsia="標楷體" w:hint="eastAsia"/>
                <w:b/>
                <w:bCs/>
              </w:rPr>
              <w:t>Real interest rate</w:t>
            </w:r>
          </w:p>
        </w:tc>
      </w:tr>
      <w:tr w:rsidR="00F02919" w:rsidRPr="00112888" w:rsidTr="0032770E">
        <w:trPr>
          <w:trHeight w:val="261"/>
        </w:trPr>
        <w:tc>
          <w:tcPr>
            <w:tcW w:w="1575" w:type="dxa"/>
            <w:vMerge/>
            <w:tcBorders>
              <w:top w:val="single" w:sz="8" w:space="0" w:color="auto"/>
              <w:left w:val="single" w:sz="4" w:space="0" w:color="auto"/>
              <w:bottom w:val="single" w:sz="4" w:space="0" w:color="000000"/>
              <w:right w:val="single" w:sz="4" w:space="0" w:color="auto"/>
            </w:tcBorders>
            <w:vAlign w:val="center"/>
            <w:hideMark/>
          </w:tcPr>
          <w:p w:rsidR="00F02919" w:rsidRPr="00112888" w:rsidRDefault="00F02919" w:rsidP="002C063F">
            <w:pPr>
              <w:widowControl/>
              <w:snapToGrid w:val="0"/>
              <w:jc w:val="center"/>
              <w:rPr>
                <w:rFonts w:eastAsia="標楷體"/>
              </w:rPr>
            </w:pPr>
          </w:p>
        </w:tc>
        <w:tc>
          <w:tcPr>
            <w:tcW w:w="2504" w:type="dxa"/>
            <w:tcBorders>
              <w:top w:val="nil"/>
              <w:left w:val="nil"/>
              <w:bottom w:val="single" w:sz="4" w:space="0" w:color="auto"/>
              <w:right w:val="single" w:sz="4" w:space="0" w:color="auto"/>
            </w:tcBorders>
            <w:shd w:val="clear" w:color="auto" w:fill="auto"/>
            <w:noWrap/>
            <w:vAlign w:val="center"/>
            <w:hideMark/>
          </w:tcPr>
          <w:p w:rsidR="00F02919" w:rsidRPr="004F16D5" w:rsidRDefault="00F02919" w:rsidP="00112888">
            <w:pPr>
              <w:widowControl/>
              <w:snapToGrid w:val="0"/>
              <w:jc w:val="center"/>
            </w:pPr>
            <w:r w:rsidRPr="00E20FEE">
              <w:t>(</w:t>
            </w:r>
            <w:r>
              <w:rPr>
                <w:rFonts w:hint="eastAsia"/>
              </w:rPr>
              <w:t xml:space="preserve">As of </w:t>
            </w:r>
            <w:r>
              <w:t>201</w:t>
            </w:r>
            <w:r>
              <w:rPr>
                <w:rFonts w:hint="eastAsia"/>
              </w:rPr>
              <w:t>9</w:t>
            </w:r>
            <w:r>
              <w:rPr>
                <w:rFonts w:eastAsia="標楷體" w:hint="eastAsia"/>
              </w:rPr>
              <w:t>/</w:t>
            </w:r>
            <w:r>
              <w:rPr>
                <w:rFonts w:hint="eastAsia"/>
              </w:rPr>
              <w:t>3</w:t>
            </w:r>
            <w:r>
              <w:rPr>
                <w:rFonts w:eastAsia="標楷體" w:hint="eastAsia"/>
              </w:rPr>
              <w:t>/</w:t>
            </w:r>
            <w:r>
              <w:t>2</w:t>
            </w:r>
            <w:r>
              <w:rPr>
                <w:rFonts w:hint="eastAsia"/>
              </w:rPr>
              <w:t>1</w:t>
            </w:r>
            <w:r w:rsidRPr="00E20FEE">
              <w:t>)</w:t>
            </w:r>
          </w:p>
        </w:tc>
        <w:tc>
          <w:tcPr>
            <w:tcW w:w="2504" w:type="dxa"/>
            <w:tcBorders>
              <w:top w:val="nil"/>
              <w:left w:val="nil"/>
              <w:bottom w:val="single" w:sz="4" w:space="0" w:color="auto"/>
              <w:right w:val="single" w:sz="4" w:space="0" w:color="auto"/>
            </w:tcBorders>
            <w:shd w:val="clear" w:color="auto" w:fill="auto"/>
            <w:noWrap/>
            <w:vAlign w:val="center"/>
            <w:hideMark/>
          </w:tcPr>
          <w:p w:rsidR="00F02919" w:rsidRPr="004F16D5" w:rsidRDefault="00F02919" w:rsidP="00112888">
            <w:pPr>
              <w:widowControl/>
              <w:snapToGrid w:val="0"/>
              <w:jc w:val="center"/>
            </w:pPr>
            <w:r>
              <w:t>(201</w:t>
            </w:r>
            <w:r>
              <w:rPr>
                <w:rFonts w:hint="eastAsia"/>
              </w:rPr>
              <w:t>9</w:t>
            </w:r>
            <w:r>
              <w:rPr>
                <w:rFonts w:eastAsia="標楷體" w:hint="eastAsia"/>
              </w:rPr>
              <w:t xml:space="preserve"> forecast</w:t>
            </w:r>
            <w:r w:rsidRPr="00E20FEE">
              <w:t>)</w:t>
            </w:r>
          </w:p>
        </w:tc>
        <w:tc>
          <w:tcPr>
            <w:tcW w:w="2504" w:type="dxa"/>
            <w:vMerge/>
            <w:tcBorders>
              <w:top w:val="nil"/>
              <w:left w:val="single" w:sz="4" w:space="0" w:color="auto"/>
              <w:bottom w:val="single" w:sz="4" w:space="0" w:color="000000"/>
              <w:right w:val="single" w:sz="4" w:space="0" w:color="auto"/>
            </w:tcBorders>
            <w:vAlign w:val="center"/>
            <w:hideMark/>
          </w:tcPr>
          <w:p w:rsidR="00F02919" w:rsidRPr="00112888" w:rsidRDefault="00F02919" w:rsidP="00627180">
            <w:pPr>
              <w:widowControl/>
              <w:snapToGrid w:val="0"/>
              <w:rPr>
                <w:rFonts w:eastAsia="標楷體"/>
                <w:b/>
                <w:bCs/>
              </w:rPr>
            </w:pPr>
          </w:p>
        </w:tc>
      </w:tr>
      <w:tr w:rsidR="00F02919" w:rsidRPr="00112888"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F02919" w:rsidRPr="00112888" w:rsidRDefault="00F02919" w:rsidP="002C063F">
            <w:pPr>
              <w:jc w:val="center"/>
              <w:rPr>
                <w:rFonts w:eastAsia="標楷體"/>
              </w:rPr>
            </w:pPr>
            <w:r>
              <w:rPr>
                <w:rFonts w:eastAsia="標楷體" w:hint="eastAsia"/>
              </w:rPr>
              <w:t>Malaysia</w:t>
            </w:r>
          </w:p>
        </w:tc>
        <w:tc>
          <w:tcPr>
            <w:tcW w:w="2504" w:type="dxa"/>
            <w:tcBorders>
              <w:top w:val="single" w:sz="4" w:space="0" w:color="auto"/>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2.950</w:t>
            </w:r>
          </w:p>
        </w:tc>
        <w:tc>
          <w:tcPr>
            <w:tcW w:w="2504" w:type="dxa"/>
            <w:tcBorders>
              <w:top w:val="single" w:sz="4" w:space="0" w:color="auto"/>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0.59</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pPr>
            <w:r w:rsidRPr="00112888">
              <w:t>2.360</w:t>
            </w:r>
          </w:p>
        </w:tc>
      </w:tr>
      <w:tr w:rsidR="00F02919" w:rsidRPr="00112888" w:rsidTr="0032770E">
        <w:trPr>
          <w:trHeight w:val="588"/>
        </w:trPr>
        <w:tc>
          <w:tcPr>
            <w:tcW w:w="1575" w:type="dxa"/>
            <w:tcBorders>
              <w:top w:val="nil"/>
              <w:left w:val="single" w:sz="4" w:space="0" w:color="auto"/>
              <w:bottom w:val="single" w:sz="4" w:space="0" w:color="auto"/>
              <w:right w:val="single" w:sz="4" w:space="0" w:color="auto"/>
            </w:tcBorders>
            <w:shd w:val="clear" w:color="auto" w:fill="auto"/>
            <w:noWrap/>
            <w:vAlign w:val="center"/>
          </w:tcPr>
          <w:p w:rsidR="00F02919" w:rsidRPr="00112888" w:rsidRDefault="00F02919" w:rsidP="002C063F">
            <w:pPr>
              <w:jc w:val="center"/>
              <w:rPr>
                <w:rFonts w:eastAsia="標楷體"/>
              </w:rPr>
            </w:pPr>
            <w:r>
              <w:rPr>
                <w:rFonts w:eastAsia="標楷體" w:hint="eastAsia"/>
              </w:rPr>
              <w:t>Indonesia</w:t>
            </w:r>
          </w:p>
        </w:tc>
        <w:tc>
          <w:tcPr>
            <w:tcW w:w="2504" w:type="dxa"/>
            <w:tcBorders>
              <w:top w:val="nil"/>
              <w:left w:val="nil"/>
              <w:bottom w:val="single" w:sz="4" w:space="0" w:color="auto"/>
              <w:right w:val="single" w:sz="4" w:space="0" w:color="auto"/>
            </w:tcBorders>
            <w:shd w:val="clear" w:color="auto" w:fill="auto"/>
            <w:vAlign w:val="center"/>
          </w:tcPr>
          <w:p w:rsidR="00F02919" w:rsidRPr="00112888" w:rsidRDefault="00F02919" w:rsidP="0032770E">
            <w:pPr>
              <w:jc w:val="center"/>
            </w:pPr>
            <w:r w:rsidRPr="00112888">
              <w:t>4.750</w:t>
            </w:r>
          </w:p>
        </w:tc>
        <w:tc>
          <w:tcPr>
            <w:tcW w:w="2504" w:type="dxa"/>
            <w:tcBorders>
              <w:top w:val="nil"/>
              <w:left w:val="nil"/>
              <w:bottom w:val="single" w:sz="4" w:space="0" w:color="auto"/>
              <w:right w:val="single" w:sz="4" w:space="0" w:color="auto"/>
            </w:tcBorders>
            <w:shd w:val="clear" w:color="auto" w:fill="auto"/>
            <w:vAlign w:val="center"/>
          </w:tcPr>
          <w:p w:rsidR="00F02919" w:rsidRPr="00112888" w:rsidRDefault="00F02919" w:rsidP="0032770E">
            <w:pPr>
              <w:jc w:val="center"/>
            </w:pPr>
            <w:r w:rsidRPr="00112888">
              <w:t>2.99</w:t>
            </w:r>
          </w:p>
        </w:tc>
        <w:tc>
          <w:tcPr>
            <w:tcW w:w="2504" w:type="dxa"/>
            <w:tcBorders>
              <w:top w:val="nil"/>
              <w:left w:val="nil"/>
              <w:bottom w:val="single" w:sz="4" w:space="0" w:color="auto"/>
              <w:right w:val="single" w:sz="4" w:space="0" w:color="auto"/>
            </w:tcBorders>
            <w:shd w:val="clear" w:color="auto" w:fill="auto"/>
            <w:vAlign w:val="center"/>
          </w:tcPr>
          <w:p w:rsidR="00F02919" w:rsidRPr="00112888" w:rsidRDefault="00F02919" w:rsidP="0032770E">
            <w:pPr>
              <w:jc w:val="center"/>
            </w:pPr>
            <w:r w:rsidRPr="00112888">
              <w:t>1.760</w:t>
            </w:r>
          </w:p>
        </w:tc>
      </w:tr>
      <w:tr w:rsidR="00F02919" w:rsidRPr="00112888" w:rsidTr="0032770E">
        <w:trPr>
          <w:trHeight w:val="588"/>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2C063F">
            <w:pPr>
              <w:jc w:val="center"/>
              <w:rPr>
                <w:rFonts w:eastAsia="標楷體"/>
              </w:rPr>
            </w:pPr>
            <w:r>
              <w:rPr>
                <w:rFonts w:eastAsia="標楷體" w:hint="eastAsia"/>
              </w:rPr>
              <w:t>South Korea</w:t>
            </w:r>
          </w:p>
        </w:tc>
        <w:tc>
          <w:tcPr>
            <w:tcW w:w="2504" w:type="dxa"/>
            <w:tcBorders>
              <w:top w:val="nil"/>
              <w:left w:val="nil"/>
              <w:bottom w:val="single" w:sz="4" w:space="0" w:color="auto"/>
              <w:right w:val="single" w:sz="4" w:space="0" w:color="auto"/>
            </w:tcBorders>
            <w:shd w:val="clear" w:color="auto" w:fill="auto"/>
            <w:vAlign w:val="center"/>
            <w:hideMark/>
          </w:tcPr>
          <w:p w:rsidR="00F02919" w:rsidRPr="00112888" w:rsidRDefault="00F02919" w:rsidP="0032770E">
            <w:pPr>
              <w:jc w:val="center"/>
            </w:pPr>
            <w:r w:rsidRPr="00112888">
              <w:t>1.500</w:t>
            </w:r>
          </w:p>
        </w:tc>
        <w:tc>
          <w:tcPr>
            <w:tcW w:w="2504" w:type="dxa"/>
            <w:tcBorders>
              <w:top w:val="nil"/>
              <w:left w:val="nil"/>
              <w:bottom w:val="single" w:sz="4" w:space="0" w:color="auto"/>
              <w:right w:val="single" w:sz="4" w:space="0" w:color="auto"/>
            </w:tcBorders>
            <w:shd w:val="clear" w:color="auto" w:fill="auto"/>
            <w:vAlign w:val="center"/>
            <w:hideMark/>
          </w:tcPr>
          <w:p w:rsidR="00F02919" w:rsidRPr="00112888" w:rsidRDefault="00F02919" w:rsidP="0032770E">
            <w:pPr>
              <w:jc w:val="center"/>
            </w:pPr>
            <w:r w:rsidRPr="00112888">
              <w:t>0.32</w:t>
            </w:r>
          </w:p>
        </w:tc>
        <w:tc>
          <w:tcPr>
            <w:tcW w:w="2504" w:type="dxa"/>
            <w:tcBorders>
              <w:top w:val="nil"/>
              <w:left w:val="nil"/>
              <w:bottom w:val="single" w:sz="4" w:space="0" w:color="auto"/>
              <w:right w:val="single" w:sz="4" w:space="0" w:color="auto"/>
            </w:tcBorders>
            <w:shd w:val="clear" w:color="auto" w:fill="auto"/>
            <w:vAlign w:val="center"/>
            <w:hideMark/>
          </w:tcPr>
          <w:p w:rsidR="00F02919" w:rsidRPr="00112888" w:rsidRDefault="00F02919" w:rsidP="0032770E">
            <w:pPr>
              <w:jc w:val="center"/>
            </w:pPr>
            <w:r w:rsidRPr="00112888">
              <w:t>1.180</w:t>
            </w:r>
          </w:p>
        </w:tc>
      </w:tr>
      <w:tr w:rsidR="00F02919" w:rsidRPr="00112888"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F02919" w:rsidRPr="00112888" w:rsidRDefault="00F02919" w:rsidP="002C063F">
            <w:pPr>
              <w:jc w:val="center"/>
              <w:rPr>
                <w:rFonts w:eastAsia="標楷體"/>
              </w:rPr>
            </w:pPr>
            <w:r>
              <w:rPr>
                <w:rFonts w:eastAsia="標楷體" w:hint="eastAsia"/>
              </w:rPr>
              <w:t>Thailand</w:t>
            </w:r>
          </w:p>
        </w:tc>
        <w:tc>
          <w:tcPr>
            <w:tcW w:w="2504" w:type="dxa"/>
            <w:tcBorders>
              <w:top w:val="nil"/>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1.500</w:t>
            </w:r>
          </w:p>
        </w:tc>
        <w:tc>
          <w:tcPr>
            <w:tcW w:w="2504" w:type="dxa"/>
            <w:tcBorders>
              <w:top w:val="nil"/>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0.78</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pPr>
            <w:r w:rsidRPr="00112888">
              <w:t>0.720</w:t>
            </w:r>
          </w:p>
        </w:tc>
      </w:tr>
      <w:tr w:rsidR="00F02919" w:rsidRPr="00112888" w:rsidTr="0032770E">
        <w:trPr>
          <w:trHeight w:val="588"/>
        </w:trPr>
        <w:tc>
          <w:tcPr>
            <w:tcW w:w="1575" w:type="dxa"/>
            <w:tcBorders>
              <w:top w:val="nil"/>
              <w:left w:val="single" w:sz="4" w:space="0" w:color="auto"/>
              <w:bottom w:val="single" w:sz="4" w:space="0" w:color="auto"/>
              <w:right w:val="single" w:sz="4" w:space="0" w:color="auto"/>
            </w:tcBorders>
            <w:shd w:val="clear" w:color="auto" w:fill="FFFFCC"/>
            <w:noWrap/>
            <w:vAlign w:val="center"/>
            <w:hideMark/>
          </w:tcPr>
          <w:p w:rsidR="00F02919" w:rsidRPr="00112888" w:rsidRDefault="00F02919" w:rsidP="002C063F">
            <w:pPr>
              <w:jc w:val="center"/>
              <w:rPr>
                <w:rFonts w:eastAsia="標楷體"/>
                <w:b/>
              </w:rPr>
            </w:pPr>
            <w:r>
              <w:rPr>
                <w:rFonts w:eastAsia="標楷體" w:hint="eastAsia"/>
                <w:b/>
              </w:rPr>
              <w:t>T</w:t>
            </w:r>
            <w:r>
              <w:rPr>
                <w:rFonts w:eastAsia="標楷體"/>
                <w:b/>
              </w:rPr>
              <w:t>a</w:t>
            </w:r>
            <w:r>
              <w:rPr>
                <w:rFonts w:eastAsia="標楷體" w:hint="eastAsia"/>
                <w:b/>
              </w:rPr>
              <w:t>iwan</w:t>
            </w:r>
          </w:p>
        </w:tc>
        <w:tc>
          <w:tcPr>
            <w:tcW w:w="2504" w:type="dxa"/>
            <w:tcBorders>
              <w:top w:val="nil"/>
              <w:left w:val="nil"/>
              <w:bottom w:val="single" w:sz="4" w:space="0" w:color="auto"/>
              <w:right w:val="nil"/>
            </w:tcBorders>
            <w:shd w:val="clear" w:color="auto" w:fill="FFFFCC"/>
            <w:noWrap/>
            <w:vAlign w:val="center"/>
            <w:hideMark/>
          </w:tcPr>
          <w:p w:rsidR="00F02919" w:rsidRPr="00112888" w:rsidRDefault="00F02919" w:rsidP="0032770E">
            <w:pPr>
              <w:jc w:val="center"/>
              <w:rPr>
                <w:b/>
              </w:rPr>
            </w:pPr>
            <w:r w:rsidRPr="00112888">
              <w:rPr>
                <w:b/>
              </w:rPr>
              <w:t>1.065</w:t>
            </w:r>
          </w:p>
        </w:tc>
        <w:tc>
          <w:tcPr>
            <w:tcW w:w="2504" w:type="dxa"/>
            <w:tcBorders>
              <w:top w:val="nil"/>
              <w:left w:val="single" w:sz="4" w:space="0" w:color="auto"/>
              <w:bottom w:val="single" w:sz="4" w:space="0" w:color="auto"/>
              <w:right w:val="nil"/>
            </w:tcBorders>
            <w:shd w:val="clear" w:color="auto" w:fill="FFFFCC"/>
            <w:noWrap/>
            <w:vAlign w:val="center"/>
            <w:hideMark/>
          </w:tcPr>
          <w:p w:rsidR="00F02919" w:rsidRPr="00112888" w:rsidRDefault="00F02919" w:rsidP="0032770E">
            <w:pPr>
              <w:jc w:val="center"/>
              <w:rPr>
                <w:b/>
              </w:rPr>
            </w:pPr>
            <w:r w:rsidRPr="00112888">
              <w:rPr>
                <w:b/>
              </w:rPr>
              <w:t>0.91</w:t>
            </w:r>
          </w:p>
        </w:tc>
        <w:tc>
          <w:tcPr>
            <w:tcW w:w="2504" w:type="dxa"/>
            <w:tcBorders>
              <w:top w:val="nil"/>
              <w:left w:val="single" w:sz="4" w:space="0" w:color="auto"/>
              <w:bottom w:val="single" w:sz="4" w:space="0" w:color="auto"/>
              <w:right w:val="single" w:sz="4" w:space="0" w:color="auto"/>
            </w:tcBorders>
            <w:shd w:val="clear" w:color="auto" w:fill="FFFFCC"/>
            <w:noWrap/>
            <w:vAlign w:val="center"/>
            <w:hideMark/>
          </w:tcPr>
          <w:p w:rsidR="00F02919" w:rsidRPr="00112888" w:rsidRDefault="00F02919" w:rsidP="0032770E">
            <w:pPr>
              <w:jc w:val="center"/>
              <w:rPr>
                <w:b/>
              </w:rPr>
            </w:pPr>
            <w:r w:rsidRPr="00112888">
              <w:rPr>
                <w:b/>
              </w:rPr>
              <w:t>0.155</w:t>
            </w:r>
          </w:p>
        </w:tc>
      </w:tr>
      <w:tr w:rsidR="00F02919" w:rsidRPr="00112888" w:rsidTr="0032770E">
        <w:trPr>
          <w:trHeight w:val="588"/>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2C063F">
            <w:pPr>
              <w:jc w:val="center"/>
              <w:rPr>
                <w:rFonts w:eastAsia="標楷體"/>
              </w:rPr>
            </w:pPr>
            <w:r>
              <w:rPr>
                <w:rFonts w:eastAsia="標楷體" w:hint="eastAsia"/>
              </w:rPr>
              <w:t>Singapore</w:t>
            </w:r>
          </w:p>
        </w:tc>
        <w:tc>
          <w:tcPr>
            <w:tcW w:w="2504" w:type="dxa"/>
            <w:tcBorders>
              <w:top w:val="single" w:sz="4" w:space="0" w:color="auto"/>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0.700</w:t>
            </w:r>
          </w:p>
        </w:tc>
        <w:tc>
          <w:tcPr>
            <w:tcW w:w="2504" w:type="dxa"/>
            <w:tcBorders>
              <w:top w:val="single" w:sz="4" w:space="0" w:color="auto"/>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1.08</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pPr>
            <w:r w:rsidRPr="00112888">
              <w:t>-0.380</w:t>
            </w:r>
          </w:p>
        </w:tc>
      </w:tr>
      <w:tr w:rsidR="00F02919" w:rsidRPr="00112888" w:rsidTr="0032770E">
        <w:trPr>
          <w:trHeight w:val="588"/>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2C063F">
            <w:pPr>
              <w:jc w:val="center"/>
              <w:rPr>
                <w:rFonts w:eastAsia="標楷體"/>
                <w:b/>
              </w:rPr>
            </w:pPr>
            <w:r>
              <w:rPr>
                <w:rFonts w:eastAsia="標楷體" w:hint="eastAsia"/>
                <w:b/>
              </w:rPr>
              <w:t>US</w:t>
            </w:r>
          </w:p>
        </w:tc>
        <w:tc>
          <w:tcPr>
            <w:tcW w:w="2504" w:type="dxa"/>
            <w:tcBorders>
              <w:top w:val="single" w:sz="4" w:space="0" w:color="auto"/>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1.390</w:t>
            </w:r>
          </w:p>
        </w:tc>
        <w:tc>
          <w:tcPr>
            <w:tcW w:w="2504" w:type="dxa"/>
            <w:tcBorders>
              <w:top w:val="single" w:sz="4" w:space="0" w:color="auto"/>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1.95</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rPr>
                <w:b/>
              </w:rPr>
            </w:pPr>
            <w:r w:rsidRPr="00112888">
              <w:rPr>
                <w:b/>
              </w:rPr>
              <w:t>-0.560</w:t>
            </w:r>
          </w:p>
        </w:tc>
      </w:tr>
      <w:tr w:rsidR="00F02919" w:rsidRPr="00112888"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F02919" w:rsidRPr="00112888" w:rsidRDefault="00F02919" w:rsidP="002C063F">
            <w:pPr>
              <w:jc w:val="center"/>
              <w:rPr>
                <w:rFonts w:eastAsia="標楷體"/>
                <w:b/>
              </w:rPr>
            </w:pPr>
            <w:r>
              <w:rPr>
                <w:rFonts w:eastAsia="標楷體" w:hint="eastAsia"/>
                <w:b/>
              </w:rPr>
              <w:t>J</w:t>
            </w:r>
            <w:r>
              <w:rPr>
                <w:rFonts w:eastAsia="標楷體"/>
                <w:b/>
              </w:rPr>
              <w:t>a</w:t>
            </w:r>
            <w:r>
              <w:rPr>
                <w:rFonts w:eastAsia="標楷體" w:hint="eastAsia"/>
                <w:b/>
              </w:rPr>
              <w:t>pan</w:t>
            </w:r>
          </w:p>
        </w:tc>
        <w:tc>
          <w:tcPr>
            <w:tcW w:w="2504" w:type="dxa"/>
            <w:tcBorders>
              <w:top w:val="nil"/>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0.010</w:t>
            </w:r>
          </w:p>
        </w:tc>
        <w:tc>
          <w:tcPr>
            <w:tcW w:w="2504" w:type="dxa"/>
            <w:tcBorders>
              <w:top w:val="nil"/>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0.62</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rPr>
                <w:b/>
              </w:rPr>
            </w:pPr>
            <w:r w:rsidRPr="00112888">
              <w:rPr>
                <w:b/>
              </w:rPr>
              <w:t>-0.610</w:t>
            </w:r>
          </w:p>
        </w:tc>
      </w:tr>
      <w:tr w:rsidR="00F02919" w:rsidRPr="00112888"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F02919" w:rsidRPr="00112888" w:rsidRDefault="00F02919" w:rsidP="002C063F">
            <w:pPr>
              <w:jc w:val="center"/>
              <w:rPr>
                <w:rFonts w:eastAsia="標楷體"/>
              </w:rPr>
            </w:pPr>
            <w:r>
              <w:rPr>
                <w:rFonts w:eastAsia="標楷體" w:hint="eastAsia"/>
              </w:rPr>
              <w:t>Switzerland</w:t>
            </w:r>
          </w:p>
        </w:tc>
        <w:tc>
          <w:tcPr>
            <w:tcW w:w="2504" w:type="dxa"/>
            <w:tcBorders>
              <w:top w:val="nil"/>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0.000</w:t>
            </w:r>
          </w:p>
        </w:tc>
        <w:tc>
          <w:tcPr>
            <w:tcW w:w="2504" w:type="dxa"/>
            <w:tcBorders>
              <w:top w:val="nil"/>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0.62</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pPr>
            <w:r w:rsidRPr="00112888">
              <w:t>-0.620</w:t>
            </w:r>
          </w:p>
        </w:tc>
      </w:tr>
      <w:tr w:rsidR="00F02919" w:rsidRPr="00112888"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F02919" w:rsidRPr="00112888" w:rsidRDefault="00F02919" w:rsidP="002C063F">
            <w:pPr>
              <w:jc w:val="center"/>
              <w:rPr>
                <w:rFonts w:eastAsia="標楷體"/>
              </w:rPr>
            </w:pPr>
            <w:r>
              <w:rPr>
                <w:rFonts w:eastAsia="標楷體" w:hint="eastAsia"/>
              </w:rPr>
              <w:t>UK</w:t>
            </w:r>
          </w:p>
        </w:tc>
        <w:tc>
          <w:tcPr>
            <w:tcW w:w="2504" w:type="dxa"/>
            <w:tcBorders>
              <w:top w:val="nil"/>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0.700</w:t>
            </w:r>
          </w:p>
        </w:tc>
        <w:tc>
          <w:tcPr>
            <w:tcW w:w="2504" w:type="dxa"/>
            <w:tcBorders>
              <w:top w:val="nil"/>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1.94</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pPr>
            <w:r w:rsidRPr="00112888">
              <w:t>-1.240</w:t>
            </w:r>
          </w:p>
        </w:tc>
      </w:tr>
      <w:tr w:rsidR="00F02919" w:rsidRPr="00112888" w:rsidTr="0032770E">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F02919" w:rsidRPr="00112888" w:rsidRDefault="00F02919" w:rsidP="002C063F">
            <w:pPr>
              <w:jc w:val="center"/>
              <w:rPr>
                <w:rFonts w:eastAsia="標楷體"/>
              </w:rPr>
            </w:pPr>
            <w:r>
              <w:rPr>
                <w:rFonts w:eastAsia="標楷體" w:hint="eastAsia"/>
              </w:rPr>
              <w:t>China</w:t>
            </w:r>
          </w:p>
        </w:tc>
        <w:tc>
          <w:tcPr>
            <w:tcW w:w="2504" w:type="dxa"/>
            <w:tcBorders>
              <w:top w:val="nil"/>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1.500</w:t>
            </w:r>
          </w:p>
        </w:tc>
        <w:tc>
          <w:tcPr>
            <w:tcW w:w="2504" w:type="dxa"/>
            <w:tcBorders>
              <w:top w:val="nil"/>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2.79</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pPr>
            <w:r w:rsidRPr="00112888">
              <w:t>-1.290</w:t>
            </w:r>
          </w:p>
        </w:tc>
      </w:tr>
      <w:tr w:rsidR="00F02919" w:rsidRPr="00112888" w:rsidTr="0032770E">
        <w:trPr>
          <w:trHeight w:val="588"/>
        </w:trPr>
        <w:tc>
          <w:tcPr>
            <w:tcW w:w="1575" w:type="dxa"/>
            <w:tcBorders>
              <w:top w:val="nil"/>
              <w:left w:val="single" w:sz="4" w:space="0" w:color="auto"/>
              <w:bottom w:val="nil"/>
              <w:right w:val="single" w:sz="4" w:space="0" w:color="auto"/>
            </w:tcBorders>
            <w:shd w:val="clear" w:color="auto" w:fill="auto"/>
            <w:noWrap/>
            <w:vAlign w:val="center"/>
            <w:hideMark/>
          </w:tcPr>
          <w:p w:rsidR="00F02919" w:rsidRPr="00112888" w:rsidRDefault="00F02919" w:rsidP="002C063F">
            <w:pPr>
              <w:jc w:val="center"/>
              <w:rPr>
                <w:rFonts w:eastAsia="標楷體"/>
                <w:b/>
              </w:rPr>
            </w:pPr>
            <w:r>
              <w:rPr>
                <w:rFonts w:eastAsia="標楷體" w:hint="eastAsia"/>
                <w:b/>
              </w:rPr>
              <w:t>Euro area</w:t>
            </w:r>
          </w:p>
        </w:tc>
        <w:tc>
          <w:tcPr>
            <w:tcW w:w="2504" w:type="dxa"/>
            <w:tcBorders>
              <w:top w:val="nil"/>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0.050</w:t>
            </w:r>
          </w:p>
        </w:tc>
        <w:tc>
          <w:tcPr>
            <w:tcW w:w="2504" w:type="dxa"/>
            <w:tcBorders>
              <w:top w:val="nil"/>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1.44</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rPr>
                <w:b/>
              </w:rPr>
            </w:pPr>
            <w:r w:rsidRPr="00112888">
              <w:rPr>
                <w:b/>
              </w:rPr>
              <w:t>-1.390</w:t>
            </w:r>
          </w:p>
        </w:tc>
      </w:tr>
      <w:tr w:rsidR="00F02919" w:rsidRPr="00112888" w:rsidTr="0032770E">
        <w:trPr>
          <w:trHeight w:val="588"/>
        </w:trPr>
        <w:tc>
          <w:tcPr>
            <w:tcW w:w="157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F02919" w:rsidRPr="00112888" w:rsidRDefault="00F02919" w:rsidP="002C063F">
            <w:pPr>
              <w:jc w:val="center"/>
              <w:rPr>
                <w:rFonts w:eastAsia="標楷體"/>
              </w:rPr>
            </w:pPr>
            <w:r>
              <w:rPr>
                <w:rFonts w:eastAsia="標楷體" w:hint="eastAsia"/>
              </w:rPr>
              <w:t>Hong Kong</w:t>
            </w:r>
          </w:p>
        </w:tc>
        <w:tc>
          <w:tcPr>
            <w:tcW w:w="2504" w:type="dxa"/>
            <w:tcBorders>
              <w:top w:val="nil"/>
              <w:left w:val="nil"/>
              <w:bottom w:val="single" w:sz="4" w:space="0" w:color="auto"/>
              <w:right w:val="nil"/>
            </w:tcBorders>
            <w:shd w:val="clear" w:color="auto" w:fill="auto"/>
            <w:noWrap/>
            <w:vAlign w:val="center"/>
            <w:hideMark/>
          </w:tcPr>
          <w:p w:rsidR="00F02919" w:rsidRPr="00112888" w:rsidRDefault="00F02919" w:rsidP="0032770E">
            <w:pPr>
              <w:jc w:val="center"/>
            </w:pPr>
            <w:r w:rsidRPr="00112888">
              <w:t>0.300</w:t>
            </w:r>
          </w:p>
        </w:tc>
        <w:tc>
          <w:tcPr>
            <w:tcW w:w="2504" w:type="dxa"/>
            <w:tcBorders>
              <w:top w:val="nil"/>
              <w:left w:val="single" w:sz="4" w:space="0" w:color="auto"/>
              <w:bottom w:val="single" w:sz="4" w:space="0" w:color="auto"/>
              <w:right w:val="nil"/>
            </w:tcBorders>
            <w:shd w:val="clear" w:color="auto" w:fill="auto"/>
            <w:noWrap/>
            <w:vAlign w:val="center"/>
            <w:hideMark/>
          </w:tcPr>
          <w:p w:rsidR="00F02919" w:rsidRPr="00112888" w:rsidRDefault="00F02919" w:rsidP="0032770E">
            <w:pPr>
              <w:jc w:val="center"/>
            </w:pPr>
            <w:r w:rsidRPr="00112888">
              <w:t>2.26</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F02919" w:rsidRPr="00112888" w:rsidRDefault="00F02919" w:rsidP="0032770E">
            <w:pPr>
              <w:jc w:val="center"/>
            </w:pPr>
            <w:r w:rsidRPr="00112888">
              <w:t>-1.960</w:t>
            </w:r>
          </w:p>
        </w:tc>
      </w:tr>
      <w:tr w:rsidR="00F02919" w:rsidRPr="00112888" w:rsidTr="0032770E">
        <w:trPr>
          <w:trHeight w:val="588"/>
        </w:trPr>
        <w:tc>
          <w:tcPr>
            <w:tcW w:w="1575" w:type="dxa"/>
            <w:tcBorders>
              <w:top w:val="nil"/>
              <w:left w:val="single" w:sz="4" w:space="0" w:color="auto"/>
              <w:bottom w:val="single" w:sz="8" w:space="0" w:color="auto"/>
              <w:right w:val="single" w:sz="4" w:space="0" w:color="auto"/>
            </w:tcBorders>
            <w:shd w:val="clear" w:color="FFFFFF" w:fill="FFFFFF"/>
            <w:noWrap/>
            <w:vAlign w:val="center"/>
            <w:hideMark/>
          </w:tcPr>
          <w:p w:rsidR="00F02919" w:rsidRPr="00112888" w:rsidRDefault="00F02919" w:rsidP="002C063F">
            <w:pPr>
              <w:jc w:val="center"/>
              <w:rPr>
                <w:rFonts w:eastAsia="標楷體"/>
              </w:rPr>
            </w:pPr>
            <w:r>
              <w:rPr>
                <w:rFonts w:eastAsia="標楷體" w:hint="eastAsia"/>
              </w:rPr>
              <w:t>Philippines</w:t>
            </w:r>
          </w:p>
        </w:tc>
        <w:tc>
          <w:tcPr>
            <w:tcW w:w="2504" w:type="dxa"/>
            <w:tcBorders>
              <w:top w:val="nil"/>
              <w:left w:val="nil"/>
              <w:bottom w:val="single" w:sz="8" w:space="0" w:color="auto"/>
              <w:right w:val="single" w:sz="4" w:space="0" w:color="auto"/>
            </w:tcBorders>
            <w:shd w:val="clear" w:color="auto" w:fill="auto"/>
            <w:noWrap/>
            <w:vAlign w:val="center"/>
            <w:hideMark/>
          </w:tcPr>
          <w:p w:rsidR="00F02919" w:rsidRPr="00112888" w:rsidRDefault="00F02919" w:rsidP="0032770E">
            <w:pPr>
              <w:jc w:val="center"/>
            </w:pPr>
            <w:r w:rsidRPr="00112888">
              <w:t>0.500</w:t>
            </w:r>
          </w:p>
        </w:tc>
        <w:tc>
          <w:tcPr>
            <w:tcW w:w="2504" w:type="dxa"/>
            <w:tcBorders>
              <w:top w:val="nil"/>
              <w:left w:val="nil"/>
              <w:bottom w:val="single" w:sz="8" w:space="0" w:color="auto"/>
              <w:right w:val="single" w:sz="4" w:space="0" w:color="auto"/>
            </w:tcBorders>
            <w:shd w:val="clear" w:color="auto" w:fill="auto"/>
            <w:noWrap/>
            <w:vAlign w:val="center"/>
            <w:hideMark/>
          </w:tcPr>
          <w:p w:rsidR="00F02919" w:rsidRPr="00112888" w:rsidRDefault="00F02919" w:rsidP="0032770E">
            <w:pPr>
              <w:jc w:val="center"/>
            </w:pPr>
            <w:r w:rsidRPr="00112888">
              <w:t>3.32</w:t>
            </w:r>
          </w:p>
        </w:tc>
        <w:tc>
          <w:tcPr>
            <w:tcW w:w="2504" w:type="dxa"/>
            <w:tcBorders>
              <w:top w:val="nil"/>
              <w:left w:val="nil"/>
              <w:bottom w:val="single" w:sz="8" w:space="0" w:color="auto"/>
              <w:right w:val="single" w:sz="4" w:space="0" w:color="auto"/>
            </w:tcBorders>
            <w:shd w:val="clear" w:color="auto" w:fill="auto"/>
            <w:noWrap/>
            <w:vAlign w:val="center"/>
            <w:hideMark/>
          </w:tcPr>
          <w:p w:rsidR="00F02919" w:rsidRPr="00112888" w:rsidRDefault="00F02919" w:rsidP="0032770E">
            <w:pPr>
              <w:jc w:val="center"/>
            </w:pPr>
            <w:r w:rsidRPr="00112888">
              <w:t>-2.820</w:t>
            </w:r>
          </w:p>
        </w:tc>
      </w:tr>
    </w:tbl>
    <w:p w:rsidR="00F02919" w:rsidRPr="000515AE" w:rsidRDefault="00F02919" w:rsidP="00DD04FF">
      <w:pPr>
        <w:snapToGrid w:val="0"/>
        <w:spacing w:before="60"/>
        <w:ind w:left="284" w:hangingChars="129" w:hanging="284"/>
        <w:rPr>
          <w:rFonts w:eastAsia="標楷體"/>
          <w:sz w:val="22"/>
          <w:szCs w:val="22"/>
        </w:rPr>
      </w:pPr>
      <w:proofErr w:type="gramStart"/>
      <w:r w:rsidRPr="000515AE">
        <w:rPr>
          <w:rFonts w:eastAsia="標楷體" w:hint="eastAsia"/>
          <w:sz w:val="22"/>
          <w:szCs w:val="22"/>
        </w:rPr>
        <w:t xml:space="preserve">* </w:t>
      </w:r>
      <w:r>
        <w:rPr>
          <w:rFonts w:eastAsia="標楷體" w:hint="eastAsia"/>
          <w:sz w:val="22"/>
          <w:szCs w:val="22"/>
        </w:rPr>
        <w:t xml:space="preserve"> 1</w:t>
      </w:r>
      <w:proofErr w:type="gramEnd"/>
      <w:r>
        <w:rPr>
          <w:rFonts w:eastAsia="標楷體" w:hint="eastAsia"/>
          <w:sz w:val="22"/>
          <w:szCs w:val="22"/>
        </w:rPr>
        <w:t xml:space="preserve">-year interest rates on small-amount deposits of selected major banks in respective economies, except for Taiwan, of which the figure is the </w:t>
      </w:r>
      <w:r w:rsidRPr="000515AE">
        <w:rPr>
          <w:rFonts w:eastAsia="標楷體"/>
          <w:sz w:val="22"/>
          <w:szCs w:val="22"/>
        </w:rPr>
        <w:t>1</w:t>
      </w:r>
      <w:r w:rsidRPr="000515AE">
        <w:rPr>
          <w:rFonts w:eastAsia="標楷體" w:hint="eastAsia"/>
          <w:sz w:val="22"/>
          <w:szCs w:val="22"/>
        </w:rPr>
        <w:t>-</w:t>
      </w:r>
      <w:r w:rsidRPr="000515AE">
        <w:rPr>
          <w:rFonts w:eastAsia="標楷體"/>
          <w:sz w:val="22"/>
          <w:szCs w:val="22"/>
        </w:rPr>
        <w:t>y</w:t>
      </w:r>
      <w:r w:rsidRPr="000515AE">
        <w:rPr>
          <w:rFonts w:eastAsia="標楷體" w:hint="eastAsia"/>
          <w:sz w:val="22"/>
          <w:szCs w:val="22"/>
        </w:rPr>
        <w:t>ear</w:t>
      </w:r>
      <w:r w:rsidRPr="000515AE">
        <w:rPr>
          <w:rFonts w:eastAsia="標楷體"/>
          <w:sz w:val="22"/>
          <w:szCs w:val="22"/>
        </w:rPr>
        <w:t xml:space="preserve"> time</w:t>
      </w:r>
      <w:r>
        <w:rPr>
          <w:rFonts w:eastAsia="標楷體" w:hint="eastAsia"/>
          <w:sz w:val="22"/>
          <w:szCs w:val="22"/>
        </w:rPr>
        <w:t xml:space="preserve"> </w:t>
      </w:r>
      <w:r w:rsidRPr="000515AE">
        <w:rPr>
          <w:rFonts w:eastAsia="標楷體"/>
          <w:sz w:val="22"/>
          <w:szCs w:val="22"/>
        </w:rPr>
        <w:t>deposit</w:t>
      </w:r>
      <w:r w:rsidRPr="000515AE">
        <w:rPr>
          <w:rFonts w:eastAsia="標楷體" w:hint="eastAsia"/>
          <w:sz w:val="22"/>
          <w:szCs w:val="22"/>
        </w:rPr>
        <w:t xml:space="preserve"> floating</w:t>
      </w:r>
      <w:r w:rsidRPr="000515AE">
        <w:rPr>
          <w:rFonts w:eastAsia="標楷體"/>
          <w:sz w:val="22"/>
          <w:szCs w:val="22"/>
        </w:rPr>
        <w:t xml:space="preserve"> rate of the five major domestic banks</w:t>
      </w:r>
      <w:r w:rsidRPr="000515AE">
        <w:rPr>
          <w:rFonts w:eastAsia="標楷體" w:hint="eastAsia"/>
          <w:sz w:val="22"/>
          <w:szCs w:val="22"/>
        </w:rPr>
        <w:t xml:space="preserve">. </w:t>
      </w:r>
    </w:p>
    <w:p w:rsidR="00F02919" w:rsidRPr="000515AE" w:rsidRDefault="00F02919" w:rsidP="00DD04FF">
      <w:pPr>
        <w:snapToGrid w:val="0"/>
        <w:spacing w:before="60"/>
        <w:ind w:left="284" w:hangingChars="129" w:hanging="284"/>
        <w:rPr>
          <w:rFonts w:eastAsia="標楷體"/>
          <w:sz w:val="22"/>
          <w:szCs w:val="22"/>
        </w:rPr>
      </w:pPr>
      <w:r w:rsidRPr="000515AE">
        <w:rPr>
          <w:rFonts w:eastAsia="標楷體" w:hint="eastAsia"/>
          <w:sz w:val="22"/>
          <w:szCs w:val="22"/>
        </w:rPr>
        <w:t xml:space="preserve">** </w:t>
      </w:r>
      <w:r w:rsidRPr="000515AE">
        <w:rPr>
          <w:rFonts w:eastAsia="標楷體"/>
          <w:sz w:val="22"/>
          <w:szCs w:val="22"/>
        </w:rPr>
        <w:t>I</w:t>
      </w:r>
      <w:r w:rsidRPr="000515AE">
        <w:rPr>
          <w:rFonts w:eastAsia="標楷體" w:hint="eastAsia"/>
          <w:sz w:val="22"/>
          <w:szCs w:val="22"/>
        </w:rPr>
        <w:t>H</w:t>
      </w:r>
      <w:r w:rsidRPr="000515AE">
        <w:rPr>
          <w:rFonts w:eastAsia="標楷體"/>
          <w:sz w:val="22"/>
          <w:szCs w:val="22"/>
        </w:rPr>
        <w:t>S</w:t>
      </w:r>
      <w:r w:rsidRPr="000515AE">
        <w:rPr>
          <w:rFonts w:eastAsia="標楷體" w:hint="eastAsia"/>
          <w:sz w:val="22"/>
          <w:szCs w:val="22"/>
        </w:rPr>
        <w:t xml:space="preserve"> </w:t>
      </w:r>
      <w:proofErr w:type="spellStart"/>
      <w:r w:rsidRPr="000515AE">
        <w:rPr>
          <w:rFonts w:eastAsia="標楷體" w:hint="eastAsia"/>
          <w:sz w:val="22"/>
          <w:szCs w:val="22"/>
        </w:rPr>
        <w:t>Markit</w:t>
      </w:r>
      <w:proofErr w:type="spellEnd"/>
      <w:r w:rsidRPr="000515AE">
        <w:rPr>
          <w:rFonts w:eastAsia="標楷體"/>
          <w:sz w:val="22"/>
          <w:szCs w:val="22"/>
        </w:rPr>
        <w:t xml:space="preserve"> projections, as of </w:t>
      </w:r>
      <w:r>
        <w:rPr>
          <w:rFonts w:eastAsia="標楷體" w:hint="eastAsia"/>
          <w:sz w:val="22"/>
          <w:szCs w:val="22"/>
        </w:rPr>
        <w:t>M</w:t>
      </w:r>
      <w:r>
        <w:rPr>
          <w:rFonts w:eastAsia="標楷體"/>
          <w:sz w:val="22"/>
          <w:szCs w:val="22"/>
        </w:rPr>
        <w:t>a</w:t>
      </w:r>
      <w:r>
        <w:rPr>
          <w:rFonts w:eastAsia="標楷體" w:hint="eastAsia"/>
          <w:sz w:val="22"/>
          <w:szCs w:val="22"/>
        </w:rPr>
        <w:t>rch</w:t>
      </w:r>
      <w:r>
        <w:rPr>
          <w:rFonts w:eastAsia="標楷體"/>
          <w:sz w:val="22"/>
          <w:szCs w:val="22"/>
        </w:rPr>
        <w:t xml:space="preserve"> 1</w:t>
      </w:r>
      <w:r>
        <w:rPr>
          <w:rFonts w:eastAsia="標楷體" w:hint="eastAsia"/>
          <w:sz w:val="22"/>
          <w:szCs w:val="22"/>
        </w:rPr>
        <w:t>5</w:t>
      </w:r>
      <w:r w:rsidRPr="000515AE">
        <w:rPr>
          <w:rFonts w:eastAsia="標楷體"/>
          <w:sz w:val="22"/>
          <w:szCs w:val="22"/>
        </w:rPr>
        <w:t>, 201</w:t>
      </w:r>
      <w:r>
        <w:rPr>
          <w:rFonts w:eastAsia="標楷體" w:hint="eastAsia"/>
          <w:sz w:val="22"/>
          <w:szCs w:val="22"/>
        </w:rPr>
        <w:t>9</w:t>
      </w:r>
      <w:r w:rsidRPr="000515AE">
        <w:rPr>
          <w:rFonts w:eastAsia="標楷體"/>
          <w:sz w:val="22"/>
          <w:szCs w:val="22"/>
        </w:rPr>
        <w:t>. Forecast for Taiwan'</w:t>
      </w:r>
      <w:r w:rsidRPr="000515AE">
        <w:rPr>
          <w:rFonts w:eastAsia="標楷體" w:hint="eastAsia"/>
          <w:sz w:val="22"/>
          <w:szCs w:val="22"/>
        </w:rPr>
        <w:t xml:space="preserve">s CPI annual growth rate </w:t>
      </w:r>
      <w:r>
        <w:rPr>
          <w:rFonts w:eastAsia="標楷體" w:hint="eastAsia"/>
          <w:sz w:val="22"/>
          <w:szCs w:val="22"/>
        </w:rPr>
        <w:t>is</w:t>
      </w:r>
      <w:r w:rsidRPr="000515AE">
        <w:rPr>
          <w:rFonts w:eastAsia="標楷體" w:hint="eastAsia"/>
          <w:sz w:val="22"/>
          <w:szCs w:val="22"/>
        </w:rPr>
        <w:t xml:space="preserve"> </w:t>
      </w:r>
      <w:r>
        <w:rPr>
          <w:rFonts w:eastAsia="標楷體" w:hint="eastAsia"/>
          <w:sz w:val="22"/>
          <w:szCs w:val="22"/>
        </w:rPr>
        <w:t xml:space="preserve">the </w:t>
      </w:r>
      <w:r w:rsidRPr="000515AE">
        <w:rPr>
          <w:rFonts w:eastAsia="標楷體" w:hint="eastAsia"/>
          <w:sz w:val="22"/>
          <w:szCs w:val="22"/>
        </w:rPr>
        <w:t>CBC</w:t>
      </w:r>
      <w:r w:rsidRPr="000515AE">
        <w:rPr>
          <w:rFonts w:eastAsia="標楷體"/>
          <w:sz w:val="22"/>
          <w:szCs w:val="22"/>
        </w:rPr>
        <w:t>'</w:t>
      </w:r>
      <w:r>
        <w:rPr>
          <w:rFonts w:eastAsia="標楷體" w:hint="eastAsia"/>
          <w:sz w:val="22"/>
          <w:szCs w:val="22"/>
        </w:rPr>
        <w:t>s projection</w:t>
      </w:r>
      <w:r w:rsidRPr="000515AE">
        <w:rPr>
          <w:rFonts w:eastAsia="標楷體" w:hint="eastAsia"/>
          <w:sz w:val="22"/>
          <w:szCs w:val="22"/>
        </w:rPr>
        <w:t>.</w:t>
      </w:r>
    </w:p>
    <w:p w:rsidR="00F02919" w:rsidRPr="00627180" w:rsidRDefault="00F02919" w:rsidP="00627180">
      <w:pPr>
        <w:spacing w:line="480" w:lineRule="exact"/>
        <w:rPr>
          <w:rFonts w:eastAsia="標楷體"/>
          <w:b/>
          <w:sz w:val="32"/>
          <w:szCs w:val="28"/>
        </w:rPr>
      </w:pPr>
    </w:p>
    <w:p w:rsidR="00F02919" w:rsidRDefault="00F02919">
      <w:pPr>
        <w:widowControl/>
        <w:adjustRightInd/>
        <w:spacing w:line="240" w:lineRule="auto"/>
        <w:textAlignment w:val="auto"/>
        <w:rPr>
          <w:rFonts w:eastAsia="標楷體"/>
          <w:sz w:val="24"/>
          <w:szCs w:val="28"/>
        </w:rPr>
      </w:pPr>
    </w:p>
    <w:sectPr w:rsidR="00F02919" w:rsidSect="003E5A18">
      <w:footerReference w:type="default" r:id="rId14"/>
      <w:footerReference w:type="first" r:id="rId15"/>
      <w:pgSz w:w="11907" w:h="16840" w:code="9"/>
      <w:pgMar w:top="1304" w:right="1418" w:bottom="1276" w:left="1418" w:header="0" w:footer="454" w:gutter="0"/>
      <w:paperSrc w:first="15" w:other="15"/>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DF" w:rsidRDefault="00343DDF">
      <w:r>
        <w:separator/>
      </w:r>
    </w:p>
  </w:endnote>
  <w:endnote w:type="continuationSeparator" w:id="0">
    <w:p w:rsidR="00343DDF" w:rsidRDefault="0034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
    <w:altName w:val="新細明體"/>
    <w:charset w:val="88"/>
    <w:family w:val="script"/>
    <w:pitch w:val="fixed"/>
    <w:sig w:usb0="0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文鼎中楷">
    <w:altName w:val="Times New Roman"/>
    <w:charset w:val="00"/>
    <w:family w:val="auto"/>
    <w:pitch w:val="variable"/>
    <w:sig w:usb0="00000001" w:usb1="5000785B" w:usb2="00000000" w:usb3="00000000" w:csb0="0000019F" w:csb1="00000000"/>
  </w:font>
  <w:font w:name="華康中楷體">
    <w:altName w:val="細明體"/>
    <w:panose1 w:val="00000000000000000000"/>
    <w:charset w:val="88"/>
    <w:family w:val="modern"/>
    <w:notTrueType/>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altName w:val="Arial Unicode MS"/>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3D" w:rsidRDefault="00797E3D">
    <w:pPr>
      <w:pStyle w:val="a6"/>
      <w:framePr w:wrap="auto" w:vAnchor="text" w:hAnchor="margin" w:xAlign="right" w:y="1"/>
      <w:textDirection w:val="lrTbV"/>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797E3D" w:rsidRDefault="00797E3D">
    <w:pPr>
      <w:pStyle w:val="a6"/>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3D" w:rsidRDefault="00797E3D">
    <w:pPr>
      <w:pStyle w:val="a6"/>
      <w:jc w:val="center"/>
    </w:pPr>
  </w:p>
  <w:p w:rsidR="00797E3D" w:rsidRDefault="00797E3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28376"/>
      <w:docPartObj>
        <w:docPartGallery w:val="Page Numbers (Bottom of Page)"/>
        <w:docPartUnique/>
      </w:docPartObj>
    </w:sdtPr>
    <w:sdtEndPr/>
    <w:sdtContent>
      <w:p w:rsidR="00F02919" w:rsidRDefault="00F02919">
        <w:pPr>
          <w:pStyle w:val="a6"/>
          <w:jc w:val="center"/>
        </w:pPr>
        <w:r>
          <w:fldChar w:fldCharType="begin"/>
        </w:r>
        <w:r>
          <w:instrText>PAGE   \* MERGEFORMAT</w:instrText>
        </w:r>
        <w:r>
          <w:fldChar w:fldCharType="separate"/>
        </w:r>
        <w:r w:rsidR="00CD3E7C" w:rsidRPr="00CD3E7C">
          <w:rPr>
            <w:noProof/>
            <w:lang w:val="zh-TW"/>
          </w:rPr>
          <w:t>10</w:t>
        </w:r>
        <w:r>
          <w:fldChar w:fldCharType="end"/>
        </w:r>
      </w:p>
    </w:sdtContent>
  </w:sdt>
  <w:p w:rsidR="00F02919" w:rsidRDefault="00F0291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56324"/>
      <w:docPartObj>
        <w:docPartGallery w:val="Page Numbers (Bottom of Page)"/>
        <w:docPartUnique/>
      </w:docPartObj>
    </w:sdtPr>
    <w:sdtEndPr/>
    <w:sdtContent>
      <w:p w:rsidR="00797E3D" w:rsidRDefault="00797E3D">
        <w:pPr>
          <w:pStyle w:val="a6"/>
          <w:jc w:val="center"/>
        </w:pPr>
        <w:r>
          <w:fldChar w:fldCharType="begin"/>
        </w:r>
        <w:r>
          <w:instrText>PAGE   \* MERGEFORMAT</w:instrText>
        </w:r>
        <w:r>
          <w:fldChar w:fldCharType="separate"/>
        </w:r>
        <w:r w:rsidR="003973E4" w:rsidRPr="003973E4">
          <w:rPr>
            <w:noProof/>
            <w:lang w:val="zh-TW"/>
          </w:rPr>
          <w:t>19</w:t>
        </w:r>
        <w:r>
          <w:fldChar w:fldCharType="end"/>
        </w:r>
      </w:p>
    </w:sdtContent>
  </w:sdt>
  <w:p w:rsidR="00797E3D" w:rsidRDefault="00797E3D">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01886"/>
      <w:docPartObj>
        <w:docPartGallery w:val="Page Numbers (Bottom of Page)"/>
        <w:docPartUnique/>
      </w:docPartObj>
    </w:sdtPr>
    <w:sdtEndPr/>
    <w:sdtContent>
      <w:p w:rsidR="00797E3D" w:rsidRDefault="00797E3D">
        <w:pPr>
          <w:pStyle w:val="a6"/>
          <w:jc w:val="center"/>
        </w:pPr>
        <w:r>
          <w:fldChar w:fldCharType="begin"/>
        </w:r>
        <w:r>
          <w:instrText>PAGE   \* MERGEFORMAT</w:instrText>
        </w:r>
        <w:r>
          <w:fldChar w:fldCharType="separate"/>
        </w:r>
        <w:r w:rsidRPr="00590406">
          <w:rPr>
            <w:noProof/>
            <w:lang w:val="zh-TW"/>
          </w:rPr>
          <w:t>1</w:t>
        </w:r>
        <w:r>
          <w:fldChar w:fldCharType="end"/>
        </w:r>
      </w:p>
    </w:sdtContent>
  </w:sdt>
  <w:p w:rsidR="00797E3D" w:rsidRDefault="00797E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DF" w:rsidRDefault="00343DDF">
      <w:r>
        <w:separator/>
      </w:r>
    </w:p>
  </w:footnote>
  <w:footnote w:type="continuationSeparator" w:id="0">
    <w:p w:rsidR="00343DDF" w:rsidRDefault="00343DDF">
      <w:r>
        <w:continuationSeparator/>
      </w:r>
    </w:p>
  </w:footnote>
  <w:footnote w:id="1">
    <w:p w:rsidR="00797E3D" w:rsidRDefault="00797E3D" w:rsidP="00363599">
      <w:pPr>
        <w:pStyle w:val="afc"/>
      </w:pPr>
      <w:r w:rsidRPr="002D6A8E">
        <w:rPr>
          <w:rStyle w:val="afe"/>
          <w:sz w:val="24"/>
        </w:rPr>
        <w:footnoteRef/>
      </w:r>
      <w:r w:rsidRPr="002D6A8E">
        <w:rPr>
          <w:sz w:val="24"/>
        </w:rPr>
        <w:t xml:space="preserve"> This English translation is provided for information purposes only</w:t>
      </w:r>
      <w:r>
        <w:rPr>
          <w:rFonts w:hint="eastAsia"/>
          <w:sz w:val="24"/>
        </w:rPr>
        <w:t>;</w:t>
      </w:r>
      <w:r w:rsidRPr="002D6A8E">
        <w:rPr>
          <w:sz w:val="24"/>
        </w:rPr>
        <w:t xml:space="preserve"> the Chinese version shall prevail in case of discrepancies.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3D" w:rsidRDefault="00797E3D" w:rsidP="00527E73">
    <w:pPr>
      <w:jc w:val="right"/>
      <w:rPr>
        <w:rFonts w:eastAsia="標楷體"/>
      </w:rPr>
    </w:pPr>
  </w:p>
  <w:p w:rsidR="00797E3D" w:rsidRPr="00A76EF5" w:rsidRDefault="00797E3D" w:rsidP="00527E7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48015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5B54AA"/>
    <w:multiLevelType w:val="hybridMultilevel"/>
    <w:tmpl w:val="95D8E28A"/>
    <w:lvl w:ilvl="0" w:tplc="F24E37B8">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8223DF"/>
    <w:multiLevelType w:val="hybridMultilevel"/>
    <w:tmpl w:val="C492A912"/>
    <w:lvl w:ilvl="0" w:tplc="0F0462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5C1A4D"/>
    <w:multiLevelType w:val="hybridMultilevel"/>
    <w:tmpl w:val="54F80464"/>
    <w:lvl w:ilvl="0" w:tplc="892CC06E">
      <w:start w:val="1"/>
      <w:numFmt w:val="taiwaneseCountingThousand"/>
      <w:lvlText w:val="(%1)"/>
      <w:lvlJc w:val="left"/>
      <w:pPr>
        <w:ind w:left="1530" w:hanging="792"/>
      </w:pPr>
      <w:rPr>
        <w:rFonts w:hint="default"/>
      </w:rPr>
    </w:lvl>
    <w:lvl w:ilvl="1" w:tplc="04090019" w:tentative="1">
      <w:start w:val="1"/>
      <w:numFmt w:val="ideographTraditional"/>
      <w:lvlText w:val="%2、"/>
      <w:lvlJc w:val="left"/>
      <w:pPr>
        <w:ind w:left="1698" w:hanging="480"/>
      </w:pPr>
    </w:lvl>
    <w:lvl w:ilvl="2" w:tplc="0409001B" w:tentative="1">
      <w:start w:val="1"/>
      <w:numFmt w:val="lowerRoman"/>
      <w:lvlText w:val="%3."/>
      <w:lvlJc w:val="right"/>
      <w:pPr>
        <w:ind w:left="2178" w:hanging="480"/>
      </w:pPr>
    </w:lvl>
    <w:lvl w:ilvl="3" w:tplc="0409000F" w:tentative="1">
      <w:start w:val="1"/>
      <w:numFmt w:val="decimal"/>
      <w:lvlText w:val="%4."/>
      <w:lvlJc w:val="left"/>
      <w:pPr>
        <w:ind w:left="2658" w:hanging="480"/>
      </w:pPr>
    </w:lvl>
    <w:lvl w:ilvl="4" w:tplc="04090019" w:tentative="1">
      <w:start w:val="1"/>
      <w:numFmt w:val="ideographTraditional"/>
      <w:lvlText w:val="%5、"/>
      <w:lvlJc w:val="left"/>
      <w:pPr>
        <w:ind w:left="3138" w:hanging="480"/>
      </w:pPr>
    </w:lvl>
    <w:lvl w:ilvl="5" w:tplc="0409001B" w:tentative="1">
      <w:start w:val="1"/>
      <w:numFmt w:val="lowerRoman"/>
      <w:lvlText w:val="%6."/>
      <w:lvlJc w:val="right"/>
      <w:pPr>
        <w:ind w:left="3618" w:hanging="480"/>
      </w:pPr>
    </w:lvl>
    <w:lvl w:ilvl="6" w:tplc="0409000F" w:tentative="1">
      <w:start w:val="1"/>
      <w:numFmt w:val="decimal"/>
      <w:lvlText w:val="%7."/>
      <w:lvlJc w:val="left"/>
      <w:pPr>
        <w:ind w:left="4098" w:hanging="480"/>
      </w:pPr>
    </w:lvl>
    <w:lvl w:ilvl="7" w:tplc="04090019" w:tentative="1">
      <w:start w:val="1"/>
      <w:numFmt w:val="ideographTraditional"/>
      <w:lvlText w:val="%8、"/>
      <w:lvlJc w:val="left"/>
      <w:pPr>
        <w:ind w:left="4578" w:hanging="480"/>
      </w:pPr>
    </w:lvl>
    <w:lvl w:ilvl="8" w:tplc="0409001B" w:tentative="1">
      <w:start w:val="1"/>
      <w:numFmt w:val="lowerRoman"/>
      <w:lvlText w:val="%9."/>
      <w:lvlJc w:val="right"/>
      <w:pPr>
        <w:ind w:left="5058" w:hanging="480"/>
      </w:pPr>
    </w:lvl>
  </w:abstractNum>
  <w:abstractNum w:abstractNumId="4">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BB67B8F"/>
    <w:multiLevelType w:val="hybridMultilevel"/>
    <w:tmpl w:val="8F52CADC"/>
    <w:lvl w:ilvl="0" w:tplc="F2B0F786">
      <w:start w:val="1"/>
      <w:numFmt w:val="decimal"/>
      <w:lvlText w:val="(%1)"/>
      <w:lvlJc w:val="left"/>
      <w:pPr>
        <w:ind w:left="1512" w:hanging="9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6">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7">
    <w:nsid w:val="111B63F8"/>
    <w:multiLevelType w:val="hybridMultilevel"/>
    <w:tmpl w:val="EDC43B7E"/>
    <w:lvl w:ilvl="0" w:tplc="F65CCD78">
      <w:start w:val="1"/>
      <w:numFmt w:val="decimal"/>
      <w:lvlText w:val="%1、"/>
      <w:lvlJc w:val="left"/>
      <w:pPr>
        <w:ind w:left="1892" w:hanging="720"/>
      </w:pPr>
      <w:rPr>
        <w:rFonts w:ascii="Times New Roman" w:hAnsi="Times New Roman" w:hint="default"/>
        <w:b w:val="0"/>
        <w:i w:val="0"/>
        <w:color w:val="auto"/>
        <w:sz w:val="32"/>
      </w:rPr>
    </w:lvl>
    <w:lvl w:ilvl="1" w:tplc="63AC1ED0">
      <w:start w:val="1"/>
      <w:numFmt w:val="taiwaneseCountingThousand"/>
      <w:lvlText w:val="(%2)"/>
      <w:lvlJc w:val="left"/>
      <w:pPr>
        <w:ind w:left="2372" w:hanging="720"/>
      </w:pPr>
      <w:rPr>
        <w:rFonts w:hint="default"/>
      </w:rPr>
    </w:lvl>
    <w:lvl w:ilvl="2" w:tplc="0409001B">
      <w:start w:val="1"/>
      <w:numFmt w:val="lowerRoman"/>
      <w:lvlText w:val="%3."/>
      <w:lvlJc w:val="right"/>
      <w:pPr>
        <w:ind w:left="2612" w:hanging="480"/>
      </w:pPr>
    </w:lvl>
    <w:lvl w:ilvl="3" w:tplc="0409000F">
      <w:start w:val="1"/>
      <w:numFmt w:val="decimal"/>
      <w:lvlText w:val="%4."/>
      <w:lvlJc w:val="left"/>
      <w:pPr>
        <w:ind w:left="3092" w:hanging="480"/>
      </w:pPr>
    </w:lvl>
    <w:lvl w:ilvl="4" w:tplc="04090019" w:tentative="1">
      <w:start w:val="1"/>
      <w:numFmt w:val="ideographTraditional"/>
      <w:lvlText w:val="%5、"/>
      <w:lvlJc w:val="left"/>
      <w:pPr>
        <w:ind w:left="3572" w:hanging="480"/>
      </w:pPr>
    </w:lvl>
    <w:lvl w:ilvl="5" w:tplc="0409001B" w:tentative="1">
      <w:start w:val="1"/>
      <w:numFmt w:val="lowerRoman"/>
      <w:lvlText w:val="%6."/>
      <w:lvlJc w:val="right"/>
      <w:pPr>
        <w:ind w:left="4052" w:hanging="480"/>
      </w:pPr>
    </w:lvl>
    <w:lvl w:ilvl="6" w:tplc="0409000F" w:tentative="1">
      <w:start w:val="1"/>
      <w:numFmt w:val="decimal"/>
      <w:lvlText w:val="%7."/>
      <w:lvlJc w:val="left"/>
      <w:pPr>
        <w:ind w:left="4532" w:hanging="480"/>
      </w:pPr>
    </w:lvl>
    <w:lvl w:ilvl="7" w:tplc="04090019" w:tentative="1">
      <w:start w:val="1"/>
      <w:numFmt w:val="ideographTraditional"/>
      <w:lvlText w:val="%8、"/>
      <w:lvlJc w:val="left"/>
      <w:pPr>
        <w:ind w:left="5012" w:hanging="480"/>
      </w:pPr>
    </w:lvl>
    <w:lvl w:ilvl="8" w:tplc="0409001B" w:tentative="1">
      <w:start w:val="1"/>
      <w:numFmt w:val="lowerRoman"/>
      <w:lvlText w:val="%9."/>
      <w:lvlJc w:val="right"/>
      <w:pPr>
        <w:ind w:left="5492" w:hanging="480"/>
      </w:pPr>
    </w:lvl>
  </w:abstractNum>
  <w:abstractNum w:abstractNumId="8">
    <w:nsid w:val="18496F15"/>
    <w:multiLevelType w:val="hybridMultilevel"/>
    <w:tmpl w:val="32AA09EE"/>
    <w:lvl w:ilvl="0" w:tplc="4E88451E">
      <w:start w:val="1"/>
      <w:numFmt w:val="taiwaneseCountingThousand"/>
      <w:suff w:val="nothing"/>
      <w:lvlText w:val="(%1)"/>
      <w:lvlJc w:val="left"/>
      <w:pPr>
        <w:ind w:left="764" w:hanging="480"/>
      </w:pPr>
      <w:rPr>
        <w:rFonts w:ascii="Times New Roman" w:eastAsia="標楷體" w:hAnsi="Times New Roman" w:cs="Times New Roman" w:hint="default"/>
        <w:color w:val="auto"/>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9">
    <w:nsid w:val="1AED194C"/>
    <w:multiLevelType w:val="hybridMultilevel"/>
    <w:tmpl w:val="744054DC"/>
    <w:lvl w:ilvl="0" w:tplc="E068B746">
      <w:start w:val="1"/>
      <w:numFmt w:val="taiwaneseCountingThousand"/>
      <w:suff w:val="nothing"/>
      <w:lvlText w:val="第%1案："/>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E428C4"/>
    <w:multiLevelType w:val="hybridMultilevel"/>
    <w:tmpl w:val="5918866A"/>
    <w:lvl w:ilvl="0" w:tplc="0F04625E">
      <w:start w:val="1"/>
      <w:numFmt w:val="decimal"/>
      <w:lvlText w:val="(%1)"/>
      <w:lvlJc w:val="left"/>
      <w:pPr>
        <w:ind w:left="1032" w:hanging="480"/>
      </w:pPr>
      <w:rPr>
        <w:rFonts w:hint="eastAsia"/>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1">
    <w:nsid w:val="213B019E"/>
    <w:multiLevelType w:val="hybridMultilevel"/>
    <w:tmpl w:val="28C09B6C"/>
    <w:lvl w:ilvl="0" w:tplc="3588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70268D"/>
    <w:multiLevelType w:val="hybridMultilevel"/>
    <w:tmpl w:val="0BC024F0"/>
    <w:lvl w:ilvl="0" w:tplc="2CEA67F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28F91C37"/>
    <w:multiLevelType w:val="hybridMultilevel"/>
    <w:tmpl w:val="4E4AEE38"/>
    <w:lvl w:ilvl="0" w:tplc="F65CCD78">
      <w:start w:val="1"/>
      <w:numFmt w:val="decimal"/>
      <w:lvlText w:val="%1、"/>
      <w:lvlJc w:val="left"/>
      <w:pPr>
        <w:ind w:left="720" w:hanging="720"/>
      </w:pPr>
      <w:rPr>
        <w:rFonts w:ascii="Times New Roman" w:hAnsi="Times New Roman" w:hint="default"/>
        <w:b w:val="0"/>
        <w:i w:val="0"/>
        <w:color w:val="auto"/>
        <w:sz w:val="32"/>
      </w:rPr>
    </w:lvl>
    <w:lvl w:ilvl="1" w:tplc="A52AE86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A2740B"/>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DE276D2"/>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7">
    <w:nsid w:val="33410228"/>
    <w:multiLevelType w:val="hybridMultilevel"/>
    <w:tmpl w:val="C320479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6D67DCF"/>
    <w:multiLevelType w:val="hybridMultilevel"/>
    <w:tmpl w:val="6AAA8B5C"/>
    <w:lvl w:ilvl="0" w:tplc="1BBAF7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846A57"/>
    <w:multiLevelType w:val="hybridMultilevel"/>
    <w:tmpl w:val="3096582A"/>
    <w:lvl w:ilvl="0" w:tplc="819808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A157B6A"/>
    <w:multiLevelType w:val="hybridMultilevel"/>
    <w:tmpl w:val="01CEB48A"/>
    <w:lvl w:ilvl="0" w:tplc="F65CCD78">
      <w:start w:val="1"/>
      <w:numFmt w:val="decimal"/>
      <w:lvlText w:val="%1、"/>
      <w:lvlJc w:val="left"/>
      <w:pPr>
        <w:ind w:left="720" w:hanging="720"/>
      </w:pPr>
      <w:rPr>
        <w:rFonts w:ascii="Times New Roman" w:hAnsi="Times New Roman" w:hint="default"/>
        <w:b w:val="0"/>
        <w:i w:val="0"/>
        <w:color w:val="auto"/>
        <w:sz w:val="32"/>
      </w:rPr>
    </w:lvl>
    <w:lvl w:ilvl="1" w:tplc="63AC1ED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551B55"/>
    <w:multiLevelType w:val="hybridMultilevel"/>
    <w:tmpl w:val="74927AC0"/>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E3F31D5"/>
    <w:multiLevelType w:val="hybridMultilevel"/>
    <w:tmpl w:val="E102AD5E"/>
    <w:lvl w:ilvl="0" w:tplc="5552934E">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EE47233"/>
    <w:multiLevelType w:val="hybridMultilevel"/>
    <w:tmpl w:val="DBBC5CE6"/>
    <w:lvl w:ilvl="0" w:tplc="5978A4B6">
      <w:start w:val="1"/>
      <w:numFmt w:val="taiwaneseCountingThousand"/>
      <w:lvlText w:val="(%1)"/>
      <w:lvlJc w:val="left"/>
      <w:pPr>
        <w:ind w:left="18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EEB11A3"/>
    <w:multiLevelType w:val="hybridMultilevel"/>
    <w:tmpl w:val="D2441938"/>
    <w:lvl w:ilvl="0" w:tplc="15DCE4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F96370"/>
    <w:multiLevelType w:val="hybridMultilevel"/>
    <w:tmpl w:val="C4AC9966"/>
    <w:lvl w:ilvl="0" w:tplc="11B46D98">
      <w:start w:val="1"/>
      <w:numFmt w:val="taiwaneseCountingThousand"/>
      <w:suff w:val="nothing"/>
      <w:lvlText w:val="第%1案："/>
      <w:lvlJc w:val="left"/>
      <w:pPr>
        <w:ind w:left="1615"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034545"/>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8">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nsid w:val="4F8450A6"/>
    <w:multiLevelType w:val="hybridMultilevel"/>
    <w:tmpl w:val="7202262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2B950A1"/>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3373AAB"/>
    <w:multiLevelType w:val="hybridMultilevel"/>
    <w:tmpl w:val="4B3252A6"/>
    <w:lvl w:ilvl="0" w:tplc="B2B0A792">
      <w:start w:val="1"/>
      <w:numFmt w:val="taiwaneseCountingThousand"/>
      <w:lvlText w:val="%1、"/>
      <w:lvlJc w:val="left"/>
      <w:pPr>
        <w:ind w:left="721" w:hanging="720"/>
      </w:pPr>
      <w:rPr>
        <w:rFonts w:hint="default"/>
      </w:rPr>
    </w:lvl>
    <w:lvl w:ilvl="1" w:tplc="20408084">
      <w:start w:val="1"/>
      <w:numFmt w:val="taiwaneseCountingThousand"/>
      <w:lvlText w:val="(%2)"/>
      <w:lvlJc w:val="left"/>
      <w:pPr>
        <w:ind w:left="1201" w:hanging="720"/>
      </w:pPr>
      <w:rPr>
        <w:rFonts w:ascii="Book Antiqua" w:hint="default"/>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2">
    <w:nsid w:val="53966627"/>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A41DEA"/>
    <w:multiLevelType w:val="hybridMultilevel"/>
    <w:tmpl w:val="9192FB2C"/>
    <w:lvl w:ilvl="0" w:tplc="04090011">
      <w:start w:val="1"/>
      <w:numFmt w:val="upperLetter"/>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7A8054E"/>
    <w:multiLevelType w:val="hybridMultilevel"/>
    <w:tmpl w:val="C48485EA"/>
    <w:lvl w:ilvl="0" w:tplc="E2D499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D913DD6"/>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E7B5365"/>
    <w:multiLevelType w:val="hybridMultilevel"/>
    <w:tmpl w:val="26FE4618"/>
    <w:lvl w:ilvl="0" w:tplc="35067700">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AE572F"/>
    <w:multiLevelType w:val="hybridMultilevel"/>
    <w:tmpl w:val="5C30FB16"/>
    <w:lvl w:ilvl="0" w:tplc="FF0C0EA2">
      <w:start w:val="1"/>
      <w:numFmt w:val="taiwaneseCountingThousand"/>
      <w:lvlText w:val="%1、"/>
      <w:lvlJc w:val="left"/>
      <w:pPr>
        <w:tabs>
          <w:tab w:val="num" w:pos="1100"/>
        </w:tabs>
        <w:ind w:left="1100" w:hanging="720"/>
      </w:pPr>
      <w:rPr>
        <w:rFonts w:hint="eastAsia"/>
        <w:lang w:val="en-US"/>
      </w:rPr>
    </w:lvl>
    <w:lvl w:ilvl="1" w:tplc="04090019" w:tentative="1">
      <w:start w:val="1"/>
      <w:numFmt w:val="ideographTraditional"/>
      <w:lvlText w:val="%2、"/>
      <w:lvlJc w:val="left"/>
      <w:pPr>
        <w:tabs>
          <w:tab w:val="num" w:pos="1340"/>
        </w:tabs>
        <w:ind w:left="1340" w:hanging="480"/>
      </w:pPr>
    </w:lvl>
    <w:lvl w:ilvl="2" w:tplc="0409001B" w:tentative="1">
      <w:start w:val="1"/>
      <w:numFmt w:val="lowerRoman"/>
      <w:lvlText w:val="%3."/>
      <w:lvlJc w:val="right"/>
      <w:pPr>
        <w:tabs>
          <w:tab w:val="num" w:pos="1820"/>
        </w:tabs>
        <w:ind w:left="1820" w:hanging="480"/>
      </w:pPr>
    </w:lvl>
    <w:lvl w:ilvl="3" w:tplc="0409000F" w:tentative="1">
      <w:start w:val="1"/>
      <w:numFmt w:val="decimal"/>
      <w:lvlText w:val="%4."/>
      <w:lvlJc w:val="left"/>
      <w:pPr>
        <w:tabs>
          <w:tab w:val="num" w:pos="2300"/>
        </w:tabs>
        <w:ind w:left="2300" w:hanging="480"/>
      </w:pPr>
    </w:lvl>
    <w:lvl w:ilvl="4" w:tplc="04090019" w:tentative="1">
      <w:start w:val="1"/>
      <w:numFmt w:val="ideographTraditional"/>
      <w:lvlText w:val="%5、"/>
      <w:lvlJc w:val="left"/>
      <w:pPr>
        <w:tabs>
          <w:tab w:val="num" w:pos="2780"/>
        </w:tabs>
        <w:ind w:left="2780" w:hanging="480"/>
      </w:pPr>
    </w:lvl>
    <w:lvl w:ilvl="5" w:tplc="0409001B" w:tentative="1">
      <w:start w:val="1"/>
      <w:numFmt w:val="lowerRoman"/>
      <w:lvlText w:val="%6."/>
      <w:lvlJc w:val="right"/>
      <w:pPr>
        <w:tabs>
          <w:tab w:val="num" w:pos="3260"/>
        </w:tabs>
        <w:ind w:left="3260" w:hanging="480"/>
      </w:pPr>
    </w:lvl>
    <w:lvl w:ilvl="6" w:tplc="0409000F" w:tentative="1">
      <w:start w:val="1"/>
      <w:numFmt w:val="decimal"/>
      <w:lvlText w:val="%7."/>
      <w:lvlJc w:val="left"/>
      <w:pPr>
        <w:tabs>
          <w:tab w:val="num" w:pos="3740"/>
        </w:tabs>
        <w:ind w:left="3740" w:hanging="480"/>
      </w:pPr>
    </w:lvl>
    <w:lvl w:ilvl="7" w:tplc="04090019" w:tentative="1">
      <w:start w:val="1"/>
      <w:numFmt w:val="ideographTraditional"/>
      <w:lvlText w:val="%8、"/>
      <w:lvlJc w:val="left"/>
      <w:pPr>
        <w:tabs>
          <w:tab w:val="num" w:pos="4220"/>
        </w:tabs>
        <w:ind w:left="4220" w:hanging="480"/>
      </w:pPr>
    </w:lvl>
    <w:lvl w:ilvl="8" w:tplc="0409001B" w:tentative="1">
      <w:start w:val="1"/>
      <w:numFmt w:val="lowerRoman"/>
      <w:lvlText w:val="%9."/>
      <w:lvlJc w:val="right"/>
      <w:pPr>
        <w:tabs>
          <w:tab w:val="num" w:pos="4700"/>
        </w:tabs>
        <w:ind w:left="4700" w:hanging="480"/>
      </w:pPr>
    </w:lvl>
  </w:abstractNum>
  <w:abstractNum w:abstractNumId="38">
    <w:nsid w:val="706E0043"/>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81A3E47"/>
    <w:multiLevelType w:val="hybridMultilevel"/>
    <w:tmpl w:val="64663490"/>
    <w:lvl w:ilvl="0" w:tplc="33E8C0C6">
      <w:start w:val="1"/>
      <w:numFmt w:val="taiwaneseCountingThousand"/>
      <w:pStyle w:val="a0"/>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1">
    <w:nsid w:val="79C72983"/>
    <w:multiLevelType w:val="hybridMultilevel"/>
    <w:tmpl w:val="11A8D7A0"/>
    <w:lvl w:ilvl="0" w:tplc="5D0ACD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nsid w:val="7C5D6254"/>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CFD383F"/>
    <w:multiLevelType w:val="hybridMultilevel"/>
    <w:tmpl w:val="2E12D69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5"/>
  </w:num>
  <w:num w:numId="2">
    <w:abstractNumId w:val="9"/>
  </w:num>
  <w:num w:numId="3">
    <w:abstractNumId w:val="28"/>
  </w:num>
  <w:num w:numId="4">
    <w:abstractNumId w:val="38"/>
  </w:num>
  <w:num w:numId="5">
    <w:abstractNumId w:val="27"/>
  </w:num>
  <w:num w:numId="6">
    <w:abstractNumId w:val="6"/>
  </w:num>
  <w:num w:numId="7">
    <w:abstractNumId w:val="20"/>
  </w:num>
  <w:num w:numId="8">
    <w:abstractNumId w:val="7"/>
  </w:num>
  <w:num w:numId="9">
    <w:abstractNumId w:val="13"/>
  </w:num>
  <w:num w:numId="10">
    <w:abstractNumId w:val="23"/>
  </w:num>
  <w:num w:numId="11">
    <w:abstractNumId w:val="16"/>
  </w:num>
  <w:num w:numId="12">
    <w:abstractNumId w:val="12"/>
  </w:num>
  <w:num w:numId="13">
    <w:abstractNumId w:val="8"/>
  </w:num>
  <w:num w:numId="14">
    <w:abstractNumId w:val="22"/>
  </w:num>
  <w:num w:numId="15">
    <w:abstractNumId w:val="36"/>
  </w:num>
  <w:num w:numId="16">
    <w:abstractNumId w:val="1"/>
  </w:num>
  <w:num w:numId="17">
    <w:abstractNumId w:val="18"/>
  </w:num>
  <w:num w:numId="18">
    <w:abstractNumId w:val="40"/>
  </w:num>
  <w:num w:numId="19">
    <w:abstractNumId w:val="31"/>
  </w:num>
  <w:num w:numId="20">
    <w:abstractNumId w:val="40"/>
  </w:num>
  <w:num w:numId="21">
    <w:abstractNumId w:val="40"/>
  </w:num>
  <w:num w:numId="22">
    <w:abstractNumId w:val="40"/>
  </w:num>
  <w:num w:numId="23">
    <w:abstractNumId w:val="41"/>
  </w:num>
  <w:num w:numId="24">
    <w:abstractNumId w:val="40"/>
  </w:num>
  <w:num w:numId="25">
    <w:abstractNumId w:val="40"/>
  </w:num>
  <w:num w:numId="26">
    <w:abstractNumId w:val="24"/>
  </w:num>
  <w:num w:numId="27">
    <w:abstractNumId w:val="34"/>
  </w:num>
  <w:num w:numId="28">
    <w:abstractNumId w:val="4"/>
  </w:num>
  <w:num w:numId="29">
    <w:abstractNumId w:val="39"/>
  </w:num>
  <w:num w:numId="30">
    <w:abstractNumId w:val="35"/>
  </w:num>
  <w:num w:numId="31">
    <w:abstractNumId w:val="37"/>
  </w:num>
  <w:num w:numId="32">
    <w:abstractNumId w:val="3"/>
  </w:num>
  <w:num w:numId="33">
    <w:abstractNumId w:val="10"/>
  </w:num>
  <w:num w:numId="34">
    <w:abstractNumId w:val="5"/>
  </w:num>
  <w:num w:numId="35">
    <w:abstractNumId w:val="32"/>
  </w:num>
  <w:num w:numId="36">
    <w:abstractNumId w:val="19"/>
  </w:num>
  <w:num w:numId="37">
    <w:abstractNumId w:val="42"/>
  </w:num>
  <w:num w:numId="38">
    <w:abstractNumId w:val="2"/>
  </w:num>
  <w:num w:numId="39">
    <w:abstractNumId w:val="11"/>
  </w:num>
  <w:num w:numId="40">
    <w:abstractNumId w:val="30"/>
  </w:num>
  <w:num w:numId="41">
    <w:abstractNumId w:val="26"/>
  </w:num>
  <w:num w:numId="42">
    <w:abstractNumId w:val="14"/>
  </w:num>
  <w:num w:numId="43">
    <w:abstractNumId w:val="15"/>
  </w:num>
  <w:num w:numId="44">
    <w:abstractNumId w:val="0"/>
  </w:num>
  <w:num w:numId="45">
    <w:abstractNumId w:val="21"/>
  </w:num>
  <w:num w:numId="46">
    <w:abstractNumId w:val="33"/>
  </w:num>
  <w:num w:numId="47">
    <w:abstractNumId w:val="29"/>
  </w:num>
  <w:num w:numId="48">
    <w:abstractNumId w:val="43"/>
  </w:num>
  <w:num w:numId="4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09E"/>
    <w:rsid w:val="000000CD"/>
    <w:rsid w:val="00000539"/>
    <w:rsid w:val="00000893"/>
    <w:rsid w:val="00000C8B"/>
    <w:rsid w:val="000011A0"/>
    <w:rsid w:val="00001514"/>
    <w:rsid w:val="000015F2"/>
    <w:rsid w:val="00001A47"/>
    <w:rsid w:val="0000343F"/>
    <w:rsid w:val="00003746"/>
    <w:rsid w:val="0000408E"/>
    <w:rsid w:val="00004D84"/>
    <w:rsid w:val="00004ECA"/>
    <w:rsid w:val="000060B5"/>
    <w:rsid w:val="00007267"/>
    <w:rsid w:val="00007492"/>
    <w:rsid w:val="00007912"/>
    <w:rsid w:val="00010526"/>
    <w:rsid w:val="0001263F"/>
    <w:rsid w:val="00012AE8"/>
    <w:rsid w:val="00012CF6"/>
    <w:rsid w:val="00013734"/>
    <w:rsid w:val="00014832"/>
    <w:rsid w:val="00015948"/>
    <w:rsid w:val="000172D1"/>
    <w:rsid w:val="00017CFB"/>
    <w:rsid w:val="000208F9"/>
    <w:rsid w:val="00020E28"/>
    <w:rsid w:val="0002139D"/>
    <w:rsid w:val="00021C4D"/>
    <w:rsid w:val="00022D53"/>
    <w:rsid w:val="000234E1"/>
    <w:rsid w:val="0002361C"/>
    <w:rsid w:val="00023B97"/>
    <w:rsid w:val="00023FE5"/>
    <w:rsid w:val="00024563"/>
    <w:rsid w:val="00024918"/>
    <w:rsid w:val="00024E21"/>
    <w:rsid w:val="00025945"/>
    <w:rsid w:val="000261D7"/>
    <w:rsid w:val="000268B3"/>
    <w:rsid w:val="00026B66"/>
    <w:rsid w:val="000273DC"/>
    <w:rsid w:val="000277F7"/>
    <w:rsid w:val="00030F1C"/>
    <w:rsid w:val="00030F57"/>
    <w:rsid w:val="00030FC7"/>
    <w:rsid w:val="000313D2"/>
    <w:rsid w:val="0003181C"/>
    <w:rsid w:val="00031952"/>
    <w:rsid w:val="00031EE6"/>
    <w:rsid w:val="00033A27"/>
    <w:rsid w:val="000347CA"/>
    <w:rsid w:val="00034A01"/>
    <w:rsid w:val="000352E7"/>
    <w:rsid w:val="000354D4"/>
    <w:rsid w:val="00035AF2"/>
    <w:rsid w:val="00035C93"/>
    <w:rsid w:val="000364D7"/>
    <w:rsid w:val="00036C01"/>
    <w:rsid w:val="00037CF9"/>
    <w:rsid w:val="00037E4C"/>
    <w:rsid w:val="000409C7"/>
    <w:rsid w:val="00040A99"/>
    <w:rsid w:val="00040D8D"/>
    <w:rsid w:val="00041971"/>
    <w:rsid w:val="00041B34"/>
    <w:rsid w:val="00041F4E"/>
    <w:rsid w:val="0004218D"/>
    <w:rsid w:val="00042C02"/>
    <w:rsid w:val="00042EF3"/>
    <w:rsid w:val="00043767"/>
    <w:rsid w:val="00043817"/>
    <w:rsid w:val="00043DEB"/>
    <w:rsid w:val="00044455"/>
    <w:rsid w:val="000447BE"/>
    <w:rsid w:val="0004487E"/>
    <w:rsid w:val="00045291"/>
    <w:rsid w:val="00045DC9"/>
    <w:rsid w:val="00045E43"/>
    <w:rsid w:val="000465FC"/>
    <w:rsid w:val="00046AB9"/>
    <w:rsid w:val="00047470"/>
    <w:rsid w:val="0005062A"/>
    <w:rsid w:val="000506F7"/>
    <w:rsid w:val="00050E8E"/>
    <w:rsid w:val="00051573"/>
    <w:rsid w:val="00051C4F"/>
    <w:rsid w:val="00052499"/>
    <w:rsid w:val="00052542"/>
    <w:rsid w:val="000527ED"/>
    <w:rsid w:val="00052D7F"/>
    <w:rsid w:val="0005481E"/>
    <w:rsid w:val="00054C75"/>
    <w:rsid w:val="0005572F"/>
    <w:rsid w:val="00055735"/>
    <w:rsid w:val="00055A5B"/>
    <w:rsid w:val="00055AA1"/>
    <w:rsid w:val="00055BEF"/>
    <w:rsid w:val="00055BFA"/>
    <w:rsid w:val="00057028"/>
    <w:rsid w:val="000571DE"/>
    <w:rsid w:val="00057456"/>
    <w:rsid w:val="00057824"/>
    <w:rsid w:val="00057FAE"/>
    <w:rsid w:val="00060393"/>
    <w:rsid w:val="0006043D"/>
    <w:rsid w:val="0006066B"/>
    <w:rsid w:val="00060E8F"/>
    <w:rsid w:val="00061205"/>
    <w:rsid w:val="000615FB"/>
    <w:rsid w:val="00061D22"/>
    <w:rsid w:val="00062A2E"/>
    <w:rsid w:val="00062DAF"/>
    <w:rsid w:val="00063420"/>
    <w:rsid w:val="00063487"/>
    <w:rsid w:val="00064A6F"/>
    <w:rsid w:val="00065BAE"/>
    <w:rsid w:val="00065C34"/>
    <w:rsid w:val="00065E78"/>
    <w:rsid w:val="0006645E"/>
    <w:rsid w:val="000665A2"/>
    <w:rsid w:val="00066EDA"/>
    <w:rsid w:val="00067450"/>
    <w:rsid w:val="000677F4"/>
    <w:rsid w:val="0006788A"/>
    <w:rsid w:val="00067E09"/>
    <w:rsid w:val="000714E9"/>
    <w:rsid w:val="0007178B"/>
    <w:rsid w:val="00071AEF"/>
    <w:rsid w:val="000725FA"/>
    <w:rsid w:val="0007357C"/>
    <w:rsid w:val="00073992"/>
    <w:rsid w:val="00073BC3"/>
    <w:rsid w:val="00073C35"/>
    <w:rsid w:val="000740C9"/>
    <w:rsid w:val="00074362"/>
    <w:rsid w:val="00074950"/>
    <w:rsid w:val="00074D40"/>
    <w:rsid w:val="0007575D"/>
    <w:rsid w:val="00076BA5"/>
    <w:rsid w:val="00077111"/>
    <w:rsid w:val="00077397"/>
    <w:rsid w:val="00077E23"/>
    <w:rsid w:val="0008017B"/>
    <w:rsid w:val="00080E7D"/>
    <w:rsid w:val="0008147C"/>
    <w:rsid w:val="000814EA"/>
    <w:rsid w:val="0008208A"/>
    <w:rsid w:val="0008211B"/>
    <w:rsid w:val="00085353"/>
    <w:rsid w:val="000857AB"/>
    <w:rsid w:val="00086D52"/>
    <w:rsid w:val="000879C7"/>
    <w:rsid w:val="00087E2C"/>
    <w:rsid w:val="00090AFA"/>
    <w:rsid w:val="00090F95"/>
    <w:rsid w:val="00090FBD"/>
    <w:rsid w:val="00091367"/>
    <w:rsid w:val="000919E1"/>
    <w:rsid w:val="00091D81"/>
    <w:rsid w:val="0009218B"/>
    <w:rsid w:val="00092585"/>
    <w:rsid w:val="0009286B"/>
    <w:rsid w:val="00092E6C"/>
    <w:rsid w:val="00092EE8"/>
    <w:rsid w:val="000941DE"/>
    <w:rsid w:val="00094254"/>
    <w:rsid w:val="00094699"/>
    <w:rsid w:val="0009482E"/>
    <w:rsid w:val="0009490F"/>
    <w:rsid w:val="00094953"/>
    <w:rsid w:val="00094D1C"/>
    <w:rsid w:val="000957B8"/>
    <w:rsid w:val="00096651"/>
    <w:rsid w:val="00096ADB"/>
    <w:rsid w:val="00097ECB"/>
    <w:rsid w:val="000A244B"/>
    <w:rsid w:val="000A2A79"/>
    <w:rsid w:val="000A3D31"/>
    <w:rsid w:val="000A434A"/>
    <w:rsid w:val="000A48C6"/>
    <w:rsid w:val="000A5575"/>
    <w:rsid w:val="000A5E81"/>
    <w:rsid w:val="000A6B23"/>
    <w:rsid w:val="000A7644"/>
    <w:rsid w:val="000A767D"/>
    <w:rsid w:val="000B0AD9"/>
    <w:rsid w:val="000B0F2C"/>
    <w:rsid w:val="000B302B"/>
    <w:rsid w:val="000B3944"/>
    <w:rsid w:val="000B3F80"/>
    <w:rsid w:val="000B5270"/>
    <w:rsid w:val="000B556E"/>
    <w:rsid w:val="000B5C1F"/>
    <w:rsid w:val="000B67BB"/>
    <w:rsid w:val="000B6BEB"/>
    <w:rsid w:val="000B6D6B"/>
    <w:rsid w:val="000B7BA4"/>
    <w:rsid w:val="000B7DCC"/>
    <w:rsid w:val="000C4BEE"/>
    <w:rsid w:val="000C65AF"/>
    <w:rsid w:val="000C66CA"/>
    <w:rsid w:val="000C7FDE"/>
    <w:rsid w:val="000D0035"/>
    <w:rsid w:val="000D00CC"/>
    <w:rsid w:val="000D09C1"/>
    <w:rsid w:val="000D15F7"/>
    <w:rsid w:val="000D235C"/>
    <w:rsid w:val="000D2D5F"/>
    <w:rsid w:val="000D38AC"/>
    <w:rsid w:val="000D3D4F"/>
    <w:rsid w:val="000D3D6D"/>
    <w:rsid w:val="000D438A"/>
    <w:rsid w:val="000D4473"/>
    <w:rsid w:val="000D47BE"/>
    <w:rsid w:val="000D48B4"/>
    <w:rsid w:val="000D5121"/>
    <w:rsid w:val="000D5A82"/>
    <w:rsid w:val="000D6024"/>
    <w:rsid w:val="000D6AA2"/>
    <w:rsid w:val="000D6E10"/>
    <w:rsid w:val="000D7025"/>
    <w:rsid w:val="000D7459"/>
    <w:rsid w:val="000D791E"/>
    <w:rsid w:val="000E029E"/>
    <w:rsid w:val="000E031F"/>
    <w:rsid w:val="000E09BC"/>
    <w:rsid w:val="000E0BA5"/>
    <w:rsid w:val="000E0D17"/>
    <w:rsid w:val="000E0E71"/>
    <w:rsid w:val="000E1D3F"/>
    <w:rsid w:val="000E23F1"/>
    <w:rsid w:val="000E284E"/>
    <w:rsid w:val="000E2D42"/>
    <w:rsid w:val="000E2E4A"/>
    <w:rsid w:val="000E3124"/>
    <w:rsid w:val="000E3587"/>
    <w:rsid w:val="000E3711"/>
    <w:rsid w:val="000E3CFE"/>
    <w:rsid w:val="000E3DCC"/>
    <w:rsid w:val="000E4351"/>
    <w:rsid w:val="000E55EF"/>
    <w:rsid w:val="000E658A"/>
    <w:rsid w:val="000E6FDF"/>
    <w:rsid w:val="000E700C"/>
    <w:rsid w:val="000E753C"/>
    <w:rsid w:val="000E7BD6"/>
    <w:rsid w:val="000E7CC3"/>
    <w:rsid w:val="000E7DB4"/>
    <w:rsid w:val="000F01A7"/>
    <w:rsid w:val="000F0290"/>
    <w:rsid w:val="000F063A"/>
    <w:rsid w:val="000F0C2A"/>
    <w:rsid w:val="000F1501"/>
    <w:rsid w:val="000F1CF6"/>
    <w:rsid w:val="000F1F88"/>
    <w:rsid w:val="000F259C"/>
    <w:rsid w:val="000F385F"/>
    <w:rsid w:val="000F4FA1"/>
    <w:rsid w:val="000F598A"/>
    <w:rsid w:val="000F5AD6"/>
    <w:rsid w:val="000F5C7A"/>
    <w:rsid w:val="000F6FE9"/>
    <w:rsid w:val="000F7B28"/>
    <w:rsid w:val="00100323"/>
    <w:rsid w:val="00100DA1"/>
    <w:rsid w:val="00101BE5"/>
    <w:rsid w:val="00101F97"/>
    <w:rsid w:val="001020BA"/>
    <w:rsid w:val="001022B6"/>
    <w:rsid w:val="001022EF"/>
    <w:rsid w:val="00102B34"/>
    <w:rsid w:val="001030C5"/>
    <w:rsid w:val="001031BF"/>
    <w:rsid w:val="00104994"/>
    <w:rsid w:val="00105328"/>
    <w:rsid w:val="00107214"/>
    <w:rsid w:val="0010768E"/>
    <w:rsid w:val="00110042"/>
    <w:rsid w:val="0011044E"/>
    <w:rsid w:val="00111E15"/>
    <w:rsid w:val="00112CF9"/>
    <w:rsid w:val="00113380"/>
    <w:rsid w:val="00114C52"/>
    <w:rsid w:val="00114EB6"/>
    <w:rsid w:val="00115389"/>
    <w:rsid w:val="00115578"/>
    <w:rsid w:val="00115DC5"/>
    <w:rsid w:val="00117A5A"/>
    <w:rsid w:val="00117EC2"/>
    <w:rsid w:val="0012072E"/>
    <w:rsid w:val="00120F63"/>
    <w:rsid w:val="00121303"/>
    <w:rsid w:val="001213DE"/>
    <w:rsid w:val="00122786"/>
    <w:rsid w:val="001231AB"/>
    <w:rsid w:val="00123C8A"/>
    <w:rsid w:val="001241D3"/>
    <w:rsid w:val="00124DC3"/>
    <w:rsid w:val="001252DD"/>
    <w:rsid w:val="00125319"/>
    <w:rsid w:val="001254BC"/>
    <w:rsid w:val="00125CC6"/>
    <w:rsid w:val="00130CCB"/>
    <w:rsid w:val="00131ACC"/>
    <w:rsid w:val="00131D07"/>
    <w:rsid w:val="00131D75"/>
    <w:rsid w:val="001320BE"/>
    <w:rsid w:val="001326F6"/>
    <w:rsid w:val="00132907"/>
    <w:rsid w:val="00132F22"/>
    <w:rsid w:val="0013358A"/>
    <w:rsid w:val="00133822"/>
    <w:rsid w:val="00133E71"/>
    <w:rsid w:val="001340BB"/>
    <w:rsid w:val="001340F4"/>
    <w:rsid w:val="001342A6"/>
    <w:rsid w:val="001348DC"/>
    <w:rsid w:val="00134E75"/>
    <w:rsid w:val="00136CB9"/>
    <w:rsid w:val="001373B9"/>
    <w:rsid w:val="0013768F"/>
    <w:rsid w:val="001414C1"/>
    <w:rsid w:val="0014153F"/>
    <w:rsid w:val="00141A58"/>
    <w:rsid w:val="00142723"/>
    <w:rsid w:val="00142813"/>
    <w:rsid w:val="00142D07"/>
    <w:rsid w:val="00143869"/>
    <w:rsid w:val="00143C6F"/>
    <w:rsid w:val="001443CF"/>
    <w:rsid w:val="00144899"/>
    <w:rsid w:val="0014532B"/>
    <w:rsid w:val="00146F87"/>
    <w:rsid w:val="0014756F"/>
    <w:rsid w:val="00147E3F"/>
    <w:rsid w:val="00147E6F"/>
    <w:rsid w:val="00147EEA"/>
    <w:rsid w:val="001515BF"/>
    <w:rsid w:val="00151838"/>
    <w:rsid w:val="00151948"/>
    <w:rsid w:val="00151F8D"/>
    <w:rsid w:val="001525CE"/>
    <w:rsid w:val="0015353E"/>
    <w:rsid w:val="0015391F"/>
    <w:rsid w:val="00153B79"/>
    <w:rsid w:val="00153BD7"/>
    <w:rsid w:val="00153C34"/>
    <w:rsid w:val="001542A7"/>
    <w:rsid w:val="001542D3"/>
    <w:rsid w:val="00154AFB"/>
    <w:rsid w:val="00157142"/>
    <w:rsid w:val="00157C06"/>
    <w:rsid w:val="00162DBB"/>
    <w:rsid w:val="00162E0A"/>
    <w:rsid w:val="00163118"/>
    <w:rsid w:val="00163395"/>
    <w:rsid w:val="0016414B"/>
    <w:rsid w:val="00164410"/>
    <w:rsid w:val="00164974"/>
    <w:rsid w:val="00164D4A"/>
    <w:rsid w:val="00164F08"/>
    <w:rsid w:val="00165455"/>
    <w:rsid w:val="00166265"/>
    <w:rsid w:val="001668A5"/>
    <w:rsid w:val="00166B5D"/>
    <w:rsid w:val="00166C8F"/>
    <w:rsid w:val="00166E22"/>
    <w:rsid w:val="00166FF7"/>
    <w:rsid w:val="00167270"/>
    <w:rsid w:val="0016734E"/>
    <w:rsid w:val="001674BA"/>
    <w:rsid w:val="001676FA"/>
    <w:rsid w:val="00170030"/>
    <w:rsid w:val="001703A9"/>
    <w:rsid w:val="001705D2"/>
    <w:rsid w:val="0017066F"/>
    <w:rsid w:val="00170866"/>
    <w:rsid w:val="00170CC4"/>
    <w:rsid w:val="0017166B"/>
    <w:rsid w:val="00171792"/>
    <w:rsid w:val="001721A3"/>
    <w:rsid w:val="00172490"/>
    <w:rsid w:val="0017263E"/>
    <w:rsid w:val="0017312A"/>
    <w:rsid w:val="00173370"/>
    <w:rsid w:val="001739DA"/>
    <w:rsid w:val="00173B4A"/>
    <w:rsid w:val="00173BC1"/>
    <w:rsid w:val="001741BC"/>
    <w:rsid w:val="0017420B"/>
    <w:rsid w:val="0017439E"/>
    <w:rsid w:val="00174B14"/>
    <w:rsid w:val="00174F35"/>
    <w:rsid w:val="00175547"/>
    <w:rsid w:val="00175D7F"/>
    <w:rsid w:val="00175F1A"/>
    <w:rsid w:val="00175FA7"/>
    <w:rsid w:val="00176AFC"/>
    <w:rsid w:val="00176B8E"/>
    <w:rsid w:val="001770DA"/>
    <w:rsid w:val="001801FF"/>
    <w:rsid w:val="00180541"/>
    <w:rsid w:val="001807F2"/>
    <w:rsid w:val="00180999"/>
    <w:rsid w:val="00180DAC"/>
    <w:rsid w:val="00181D76"/>
    <w:rsid w:val="00181E16"/>
    <w:rsid w:val="00181EC8"/>
    <w:rsid w:val="00182097"/>
    <w:rsid w:val="001828C2"/>
    <w:rsid w:val="00182B4F"/>
    <w:rsid w:val="00183391"/>
    <w:rsid w:val="001837D2"/>
    <w:rsid w:val="0018387C"/>
    <w:rsid w:val="001839B2"/>
    <w:rsid w:val="00183CD3"/>
    <w:rsid w:val="001843BA"/>
    <w:rsid w:val="00184629"/>
    <w:rsid w:val="0018476B"/>
    <w:rsid w:val="00184FA4"/>
    <w:rsid w:val="00185512"/>
    <w:rsid w:val="00186753"/>
    <w:rsid w:val="00187092"/>
    <w:rsid w:val="001874FC"/>
    <w:rsid w:val="001875E7"/>
    <w:rsid w:val="001877A8"/>
    <w:rsid w:val="00191290"/>
    <w:rsid w:val="00192B84"/>
    <w:rsid w:val="00192C54"/>
    <w:rsid w:val="00193A3A"/>
    <w:rsid w:val="00194133"/>
    <w:rsid w:val="0019447E"/>
    <w:rsid w:val="00194A19"/>
    <w:rsid w:val="00194FA2"/>
    <w:rsid w:val="00195C33"/>
    <w:rsid w:val="00195D8C"/>
    <w:rsid w:val="001962A4"/>
    <w:rsid w:val="001962C6"/>
    <w:rsid w:val="00197320"/>
    <w:rsid w:val="00197C61"/>
    <w:rsid w:val="00197D46"/>
    <w:rsid w:val="00197E56"/>
    <w:rsid w:val="001A1067"/>
    <w:rsid w:val="001A1E74"/>
    <w:rsid w:val="001A25A4"/>
    <w:rsid w:val="001A3613"/>
    <w:rsid w:val="001A3644"/>
    <w:rsid w:val="001A3986"/>
    <w:rsid w:val="001A518F"/>
    <w:rsid w:val="001A5E2D"/>
    <w:rsid w:val="001A65DE"/>
    <w:rsid w:val="001A6625"/>
    <w:rsid w:val="001A6889"/>
    <w:rsid w:val="001A7280"/>
    <w:rsid w:val="001B044C"/>
    <w:rsid w:val="001B3000"/>
    <w:rsid w:val="001B3517"/>
    <w:rsid w:val="001B3DCC"/>
    <w:rsid w:val="001B4224"/>
    <w:rsid w:val="001B44D6"/>
    <w:rsid w:val="001B4712"/>
    <w:rsid w:val="001B47C7"/>
    <w:rsid w:val="001B5916"/>
    <w:rsid w:val="001B5AF3"/>
    <w:rsid w:val="001B62E4"/>
    <w:rsid w:val="001B66F6"/>
    <w:rsid w:val="001B7115"/>
    <w:rsid w:val="001C022A"/>
    <w:rsid w:val="001C04A1"/>
    <w:rsid w:val="001C10E8"/>
    <w:rsid w:val="001C1185"/>
    <w:rsid w:val="001C167F"/>
    <w:rsid w:val="001C17EC"/>
    <w:rsid w:val="001C27C4"/>
    <w:rsid w:val="001C2BDC"/>
    <w:rsid w:val="001C2D88"/>
    <w:rsid w:val="001C3FA6"/>
    <w:rsid w:val="001C46ED"/>
    <w:rsid w:val="001C52CC"/>
    <w:rsid w:val="001C53F8"/>
    <w:rsid w:val="001C5A3A"/>
    <w:rsid w:val="001C5F3D"/>
    <w:rsid w:val="001C61BE"/>
    <w:rsid w:val="001C7A48"/>
    <w:rsid w:val="001C7D4E"/>
    <w:rsid w:val="001D004B"/>
    <w:rsid w:val="001D0265"/>
    <w:rsid w:val="001D055E"/>
    <w:rsid w:val="001D0A4D"/>
    <w:rsid w:val="001D13D7"/>
    <w:rsid w:val="001D1A43"/>
    <w:rsid w:val="001D21A9"/>
    <w:rsid w:val="001D25DA"/>
    <w:rsid w:val="001D3862"/>
    <w:rsid w:val="001D3B96"/>
    <w:rsid w:val="001D5531"/>
    <w:rsid w:val="001D5621"/>
    <w:rsid w:val="001D58AA"/>
    <w:rsid w:val="001D5AF5"/>
    <w:rsid w:val="001D6019"/>
    <w:rsid w:val="001D611E"/>
    <w:rsid w:val="001D6167"/>
    <w:rsid w:val="001D631A"/>
    <w:rsid w:val="001D797C"/>
    <w:rsid w:val="001D7AE6"/>
    <w:rsid w:val="001E0258"/>
    <w:rsid w:val="001E156A"/>
    <w:rsid w:val="001E15F2"/>
    <w:rsid w:val="001E1763"/>
    <w:rsid w:val="001E2139"/>
    <w:rsid w:val="001E2423"/>
    <w:rsid w:val="001E28A0"/>
    <w:rsid w:val="001E3BA2"/>
    <w:rsid w:val="001E418B"/>
    <w:rsid w:val="001E4867"/>
    <w:rsid w:val="001E4D1F"/>
    <w:rsid w:val="001E5463"/>
    <w:rsid w:val="001E5B95"/>
    <w:rsid w:val="001E6348"/>
    <w:rsid w:val="001E6D06"/>
    <w:rsid w:val="001E738B"/>
    <w:rsid w:val="001E750E"/>
    <w:rsid w:val="001F0DB3"/>
    <w:rsid w:val="001F1F15"/>
    <w:rsid w:val="001F2208"/>
    <w:rsid w:val="001F42E5"/>
    <w:rsid w:val="001F47FD"/>
    <w:rsid w:val="001F4ADB"/>
    <w:rsid w:val="001F4AEA"/>
    <w:rsid w:val="001F4C4D"/>
    <w:rsid w:val="001F4C56"/>
    <w:rsid w:val="001F5C30"/>
    <w:rsid w:val="001F60DD"/>
    <w:rsid w:val="001F7BDB"/>
    <w:rsid w:val="001F7E58"/>
    <w:rsid w:val="00201385"/>
    <w:rsid w:val="00201BBE"/>
    <w:rsid w:val="00201ED0"/>
    <w:rsid w:val="0020242D"/>
    <w:rsid w:val="002026F4"/>
    <w:rsid w:val="00202D36"/>
    <w:rsid w:val="00202D7F"/>
    <w:rsid w:val="00203094"/>
    <w:rsid w:val="0020329A"/>
    <w:rsid w:val="002038BA"/>
    <w:rsid w:val="002056E8"/>
    <w:rsid w:val="002059E7"/>
    <w:rsid w:val="002063FD"/>
    <w:rsid w:val="00206E29"/>
    <w:rsid w:val="00206F30"/>
    <w:rsid w:val="00207F13"/>
    <w:rsid w:val="002107E1"/>
    <w:rsid w:val="00210A96"/>
    <w:rsid w:val="0021189D"/>
    <w:rsid w:val="00211BFD"/>
    <w:rsid w:val="00212BFD"/>
    <w:rsid w:val="00212FC8"/>
    <w:rsid w:val="00214052"/>
    <w:rsid w:val="0021415C"/>
    <w:rsid w:val="0021482C"/>
    <w:rsid w:val="0021483E"/>
    <w:rsid w:val="00215564"/>
    <w:rsid w:val="002158DB"/>
    <w:rsid w:val="00216094"/>
    <w:rsid w:val="002162B4"/>
    <w:rsid w:val="00216925"/>
    <w:rsid w:val="002175A7"/>
    <w:rsid w:val="00220108"/>
    <w:rsid w:val="00220919"/>
    <w:rsid w:val="00221565"/>
    <w:rsid w:val="00221CFE"/>
    <w:rsid w:val="00222297"/>
    <w:rsid w:val="002225F6"/>
    <w:rsid w:val="00222B50"/>
    <w:rsid w:val="00223006"/>
    <w:rsid w:val="002230B7"/>
    <w:rsid w:val="00223135"/>
    <w:rsid w:val="002238CA"/>
    <w:rsid w:val="00223B29"/>
    <w:rsid w:val="00223DB8"/>
    <w:rsid w:val="00223E20"/>
    <w:rsid w:val="00224249"/>
    <w:rsid w:val="00224E4E"/>
    <w:rsid w:val="002254DA"/>
    <w:rsid w:val="00225717"/>
    <w:rsid w:val="00225927"/>
    <w:rsid w:val="00225D05"/>
    <w:rsid w:val="00226968"/>
    <w:rsid w:val="0022715A"/>
    <w:rsid w:val="00227548"/>
    <w:rsid w:val="00227DF7"/>
    <w:rsid w:val="00230037"/>
    <w:rsid w:val="00230114"/>
    <w:rsid w:val="00230704"/>
    <w:rsid w:val="002316D1"/>
    <w:rsid w:val="00231E84"/>
    <w:rsid w:val="00233F4C"/>
    <w:rsid w:val="00235D84"/>
    <w:rsid w:val="00236F1A"/>
    <w:rsid w:val="00237015"/>
    <w:rsid w:val="0023797D"/>
    <w:rsid w:val="002379E1"/>
    <w:rsid w:val="00237CE3"/>
    <w:rsid w:val="00237E38"/>
    <w:rsid w:val="002404E0"/>
    <w:rsid w:val="00240927"/>
    <w:rsid w:val="00240AAF"/>
    <w:rsid w:val="002415B9"/>
    <w:rsid w:val="00241D92"/>
    <w:rsid w:val="002428CE"/>
    <w:rsid w:val="00242FE7"/>
    <w:rsid w:val="00243BAF"/>
    <w:rsid w:val="00243D19"/>
    <w:rsid w:val="00243EFC"/>
    <w:rsid w:val="002456E3"/>
    <w:rsid w:val="002464BC"/>
    <w:rsid w:val="00246C14"/>
    <w:rsid w:val="0024725E"/>
    <w:rsid w:val="00247510"/>
    <w:rsid w:val="00247A9F"/>
    <w:rsid w:val="00247C69"/>
    <w:rsid w:val="00250748"/>
    <w:rsid w:val="00251572"/>
    <w:rsid w:val="002515AF"/>
    <w:rsid w:val="00251E62"/>
    <w:rsid w:val="0025209D"/>
    <w:rsid w:val="00252132"/>
    <w:rsid w:val="00252F4C"/>
    <w:rsid w:val="002536AE"/>
    <w:rsid w:val="002543C7"/>
    <w:rsid w:val="002549F5"/>
    <w:rsid w:val="002552ED"/>
    <w:rsid w:val="0025567B"/>
    <w:rsid w:val="00255C38"/>
    <w:rsid w:val="00255CAC"/>
    <w:rsid w:val="002570BA"/>
    <w:rsid w:val="00257229"/>
    <w:rsid w:val="002573C5"/>
    <w:rsid w:val="0026111C"/>
    <w:rsid w:val="00261626"/>
    <w:rsid w:val="0026163E"/>
    <w:rsid w:val="00261C2A"/>
    <w:rsid w:val="00262357"/>
    <w:rsid w:val="00262C2C"/>
    <w:rsid w:val="00263736"/>
    <w:rsid w:val="00263E9F"/>
    <w:rsid w:val="00264990"/>
    <w:rsid w:val="00264C4E"/>
    <w:rsid w:val="00264DDA"/>
    <w:rsid w:val="00265F0F"/>
    <w:rsid w:val="002662A1"/>
    <w:rsid w:val="00266515"/>
    <w:rsid w:val="0026669B"/>
    <w:rsid w:val="00267200"/>
    <w:rsid w:val="00267B9C"/>
    <w:rsid w:val="00267F7A"/>
    <w:rsid w:val="0027002B"/>
    <w:rsid w:val="002709A5"/>
    <w:rsid w:val="00270B32"/>
    <w:rsid w:val="002713F4"/>
    <w:rsid w:val="0027180C"/>
    <w:rsid w:val="00272F3D"/>
    <w:rsid w:val="00273CCC"/>
    <w:rsid w:val="00274D15"/>
    <w:rsid w:val="002750E3"/>
    <w:rsid w:val="00276900"/>
    <w:rsid w:val="00277079"/>
    <w:rsid w:val="002772B5"/>
    <w:rsid w:val="0027781B"/>
    <w:rsid w:val="00280099"/>
    <w:rsid w:val="002808FC"/>
    <w:rsid w:val="0028097C"/>
    <w:rsid w:val="00283495"/>
    <w:rsid w:val="002835EF"/>
    <w:rsid w:val="00283B1E"/>
    <w:rsid w:val="0028460D"/>
    <w:rsid w:val="002848B9"/>
    <w:rsid w:val="002848E2"/>
    <w:rsid w:val="002851C9"/>
    <w:rsid w:val="00285CC6"/>
    <w:rsid w:val="002860A7"/>
    <w:rsid w:val="00286473"/>
    <w:rsid w:val="002865A1"/>
    <w:rsid w:val="00286E9F"/>
    <w:rsid w:val="00286F49"/>
    <w:rsid w:val="0028744F"/>
    <w:rsid w:val="0029094E"/>
    <w:rsid w:val="002912A6"/>
    <w:rsid w:val="00291300"/>
    <w:rsid w:val="002914DC"/>
    <w:rsid w:val="00291FFB"/>
    <w:rsid w:val="00293126"/>
    <w:rsid w:val="00293361"/>
    <w:rsid w:val="00293807"/>
    <w:rsid w:val="002940BF"/>
    <w:rsid w:val="00295040"/>
    <w:rsid w:val="002951B1"/>
    <w:rsid w:val="002955CB"/>
    <w:rsid w:val="00295814"/>
    <w:rsid w:val="00295C1B"/>
    <w:rsid w:val="00295D7F"/>
    <w:rsid w:val="002962EF"/>
    <w:rsid w:val="00296386"/>
    <w:rsid w:val="00296BE6"/>
    <w:rsid w:val="002975C2"/>
    <w:rsid w:val="002A0679"/>
    <w:rsid w:val="002A0E3D"/>
    <w:rsid w:val="002A1060"/>
    <w:rsid w:val="002A14C4"/>
    <w:rsid w:val="002A1576"/>
    <w:rsid w:val="002A1926"/>
    <w:rsid w:val="002A1BFA"/>
    <w:rsid w:val="002A27CF"/>
    <w:rsid w:val="002A33F7"/>
    <w:rsid w:val="002A3602"/>
    <w:rsid w:val="002A4398"/>
    <w:rsid w:val="002A4AAA"/>
    <w:rsid w:val="002A4F38"/>
    <w:rsid w:val="002A56F3"/>
    <w:rsid w:val="002A596B"/>
    <w:rsid w:val="002A6781"/>
    <w:rsid w:val="002A6DDB"/>
    <w:rsid w:val="002A6FEB"/>
    <w:rsid w:val="002A72E5"/>
    <w:rsid w:val="002A7FD7"/>
    <w:rsid w:val="002B22B2"/>
    <w:rsid w:val="002B22D9"/>
    <w:rsid w:val="002B2369"/>
    <w:rsid w:val="002B2A52"/>
    <w:rsid w:val="002B2DF5"/>
    <w:rsid w:val="002B386F"/>
    <w:rsid w:val="002B47FD"/>
    <w:rsid w:val="002B4F91"/>
    <w:rsid w:val="002B5020"/>
    <w:rsid w:val="002B57F3"/>
    <w:rsid w:val="002B5ED8"/>
    <w:rsid w:val="002B640E"/>
    <w:rsid w:val="002B6711"/>
    <w:rsid w:val="002B6C76"/>
    <w:rsid w:val="002B6DE2"/>
    <w:rsid w:val="002B7641"/>
    <w:rsid w:val="002C0156"/>
    <w:rsid w:val="002C0930"/>
    <w:rsid w:val="002C0DF3"/>
    <w:rsid w:val="002C0E0B"/>
    <w:rsid w:val="002C113C"/>
    <w:rsid w:val="002C1467"/>
    <w:rsid w:val="002C1E6E"/>
    <w:rsid w:val="002C2F8A"/>
    <w:rsid w:val="002C364A"/>
    <w:rsid w:val="002C402F"/>
    <w:rsid w:val="002C4A72"/>
    <w:rsid w:val="002C5484"/>
    <w:rsid w:val="002C5589"/>
    <w:rsid w:val="002C5931"/>
    <w:rsid w:val="002C5BCD"/>
    <w:rsid w:val="002C5EE6"/>
    <w:rsid w:val="002C60C7"/>
    <w:rsid w:val="002C641D"/>
    <w:rsid w:val="002C6445"/>
    <w:rsid w:val="002C67E4"/>
    <w:rsid w:val="002C76C5"/>
    <w:rsid w:val="002C782F"/>
    <w:rsid w:val="002C7C69"/>
    <w:rsid w:val="002D06E0"/>
    <w:rsid w:val="002D1452"/>
    <w:rsid w:val="002D15CE"/>
    <w:rsid w:val="002D21F6"/>
    <w:rsid w:val="002D26E7"/>
    <w:rsid w:val="002D371F"/>
    <w:rsid w:val="002D376B"/>
    <w:rsid w:val="002D3E57"/>
    <w:rsid w:val="002D4246"/>
    <w:rsid w:val="002D43BB"/>
    <w:rsid w:val="002D45D3"/>
    <w:rsid w:val="002D4DAF"/>
    <w:rsid w:val="002D4F30"/>
    <w:rsid w:val="002D5003"/>
    <w:rsid w:val="002D541E"/>
    <w:rsid w:val="002D5B26"/>
    <w:rsid w:val="002D5D00"/>
    <w:rsid w:val="002D633A"/>
    <w:rsid w:val="002D77D7"/>
    <w:rsid w:val="002E089F"/>
    <w:rsid w:val="002E0A9A"/>
    <w:rsid w:val="002E1817"/>
    <w:rsid w:val="002E1D55"/>
    <w:rsid w:val="002E23C8"/>
    <w:rsid w:val="002E26A7"/>
    <w:rsid w:val="002E2977"/>
    <w:rsid w:val="002E3792"/>
    <w:rsid w:val="002E3F88"/>
    <w:rsid w:val="002E43E1"/>
    <w:rsid w:val="002E497E"/>
    <w:rsid w:val="002E59D6"/>
    <w:rsid w:val="002E59E1"/>
    <w:rsid w:val="002E5EFF"/>
    <w:rsid w:val="002E5FAB"/>
    <w:rsid w:val="002E6172"/>
    <w:rsid w:val="002E69BE"/>
    <w:rsid w:val="002E6EB1"/>
    <w:rsid w:val="002E758B"/>
    <w:rsid w:val="002E7C82"/>
    <w:rsid w:val="002E7FB8"/>
    <w:rsid w:val="002F04F2"/>
    <w:rsid w:val="002F1E58"/>
    <w:rsid w:val="002F30B1"/>
    <w:rsid w:val="002F3263"/>
    <w:rsid w:val="002F34C1"/>
    <w:rsid w:val="002F36A1"/>
    <w:rsid w:val="002F3E31"/>
    <w:rsid w:val="002F4137"/>
    <w:rsid w:val="002F47ED"/>
    <w:rsid w:val="002F4ABA"/>
    <w:rsid w:val="002F51AC"/>
    <w:rsid w:val="002F54DD"/>
    <w:rsid w:val="002F68DD"/>
    <w:rsid w:val="002F73BF"/>
    <w:rsid w:val="002F7B6C"/>
    <w:rsid w:val="00300443"/>
    <w:rsid w:val="0030081C"/>
    <w:rsid w:val="003010D7"/>
    <w:rsid w:val="003010FC"/>
    <w:rsid w:val="00301144"/>
    <w:rsid w:val="00301644"/>
    <w:rsid w:val="00301FF8"/>
    <w:rsid w:val="00302422"/>
    <w:rsid w:val="00302771"/>
    <w:rsid w:val="00302C62"/>
    <w:rsid w:val="00302E3B"/>
    <w:rsid w:val="003037EC"/>
    <w:rsid w:val="00303D18"/>
    <w:rsid w:val="003042BB"/>
    <w:rsid w:val="003044E3"/>
    <w:rsid w:val="003050C1"/>
    <w:rsid w:val="0030555E"/>
    <w:rsid w:val="003055F3"/>
    <w:rsid w:val="00305EB6"/>
    <w:rsid w:val="0030677B"/>
    <w:rsid w:val="0030749C"/>
    <w:rsid w:val="00307764"/>
    <w:rsid w:val="00310D78"/>
    <w:rsid w:val="00311666"/>
    <w:rsid w:val="003116CE"/>
    <w:rsid w:val="00311DFD"/>
    <w:rsid w:val="00312202"/>
    <w:rsid w:val="00312243"/>
    <w:rsid w:val="003124DD"/>
    <w:rsid w:val="00312AC0"/>
    <w:rsid w:val="00312CBB"/>
    <w:rsid w:val="0031344A"/>
    <w:rsid w:val="00313DAD"/>
    <w:rsid w:val="003145CE"/>
    <w:rsid w:val="003149A3"/>
    <w:rsid w:val="0031525E"/>
    <w:rsid w:val="00315B9D"/>
    <w:rsid w:val="00315BC2"/>
    <w:rsid w:val="00316404"/>
    <w:rsid w:val="0031694B"/>
    <w:rsid w:val="003170FD"/>
    <w:rsid w:val="00317573"/>
    <w:rsid w:val="00320683"/>
    <w:rsid w:val="00321036"/>
    <w:rsid w:val="00321D32"/>
    <w:rsid w:val="003224D6"/>
    <w:rsid w:val="003230F8"/>
    <w:rsid w:val="0032447F"/>
    <w:rsid w:val="00324BC7"/>
    <w:rsid w:val="00325ADF"/>
    <w:rsid w:val="0032633E"/>
    <w:rsid w:val="00327169"/>
    <w:rsid w:val="003273CC"/>
    <w:rsid w:val="00327607"/>
    <w:rsid w:val="00331AD3"/>
    <w:rsid w:val="00332284"/>
    <w:rsid w:val="00332515"/>
    <w:rsid w:val="003327D4"/>
    <w:rsid w:val="00332B14"/>
    <w:rsid w:val="00332C61"/>
    <w:rsid w:val="00333026"/>
    <w:rsid w:val="0033362B"/>
    <w:rsid w:val="00333F25"/>
    <w:rsid w:val="00333F7E"/>
    <w:rsid w:val="00334399"/>
    <w:rsid w:val="003343B0"/>
    <w:rsid w:val="003348A5"/>
    <w:rsid w:val="00335922"/>
    <w:rsid w:val="00335B45"/>
    <w:rsid w:val="00336567"/>
    <w:rsid w:val="00336E96"/>
    <w:rsid w:val="003372A2"/>
    <w:rsid w:val="003378EA"/>
    <w:rsid w:val="00337B1F"/>
    <w:rsid w:val="00340583"/>
    <w:rsid w:val="0034087B"/>
    <w:rsid w:val="00341190"/>
    <w:rsid w:val="0034299B"/>
    <w:rsid w:val="00343280"/>
    <w:rsid w:val="0034378D"/>
    <w:rsid w:val="0034393A"/>
    <w:rsid w:val="00343B3D"/>
    <w:rsid w:val="00343DDF"/>
    <w:rsid w:val="00344127"/>
    <w:rsid w:val="003447B1"/>
    <w:rsid w:val="00345258"/>
    <w:rsid w:val="00345E91"/>
    <w:rsid w:val="003464F2"/>
    <w:rsid w:val="0034735A"/>
    <w:rsid w:val="00347C31"/>
    <w:rsid w:val="0035053B"/>
    <w:rsid w:val="00350D44"/>
    <w:rsid w:val="003513B8"/>
    <w:rsid w:val="003526A7"/>
    <w:rsid w:val="00352CA9"/>
    <w:rsid w:val="00352CCD"/>
    <w:rsid w:val="00353484"/>
    <w:rsid w:val="003539BF"/>
    <w:rsid w:val="00355A68"/>
    <w:rsid w:val="00355C6A"/>
    <w:rsid w:val="00356626"/>
    <w:rsid w:val="00356B2E"/>
    <w:rsid w:val="00357A7F"/>
    <w:rsid w:val="00357D03"/>
    <w:rsid w:val="00360050"/>
    <w:rsid w:val="00360657"/>
    <w:rsid w:val="003608D4"/>
    <w:rsid w:val="00360939"/>
    <w:rsid w:val="00360F0C"/>
    <w:rsid w:val="00361064"/>
    <w:rsid w:val="0036198D"/>
    <w:rsid w:val="003628CA"/>
    <w:rsid w:val="00362F4D"/>
    <w:rsid w:val="00363599"/>
    <w:rsid w:val="00363699"/>
    <w:rsid w:val="003638DB"/>
    <w:rsid w:val="00363DC7"/>
    <w:rsid w:val="00363EAB"/>
    <w:rsid w:val="0036410D"/>
    <w:rsid w:val="003644EA"/>
    <w:rsid w:val="0036598B"/>
    <w:rsid w:val="00367AA8"/>
    <w:rsid w:val="00370B57"/>
    <w:rsid w:val="00372101"/>
    <w:rsid w:val="0037223C"/>
    <w:rsid w:val="003722AF"/>
    <w:rsid w:val="00372F0D"/>
    <w:rsid w:val="00373258"/>
    <w:rsid w:val="00374181"/>
    <w:rsid w:val="003741E0"/>
    <w:rsid w:val="00375FB8"/>
    <w:rsid w:val="0037678D"/>
    <w:rsid w:val="0037692C"/>
    <w:rsid w:val="00376CD0"/>
    <w:rsid w:val="00376CED"/>
    <w:rsid w:val="00377EAF"/>
    <w:rsid w:val="00377EDC"/>
    <w:rsid w:val="00380046"/>
    <w:rsid w:val="0038056C"/>
    <w:rsid w:val="00381368"/>
    <w:rsid w:val="003818F8"/>
    <w:rsid w:val="00381CE0"/>
    <w:rsid w:val="00381E04"/>
    <w:rsid w:val="00382388"/>
    <w:rsid w:val="003832F4"/>
    <w:rsid w:val="003835ED"/>
    <w:rsid w:val="00383C17"/>
    <w:rsid w:val="003848DC"/>
    <w:rsid w:val="00385464"/>
    <w:rsid w:val="00385D32"/>
    <w:rsid w:val="003864EF"/>
    <w:rsid w:val="0038665E"/>
    <w:rsid w:val="00387A8E"/>
    <w:rsid w:val="00387CE0"/>
    <w:rsid w:val="00387E24"/>
    <w:rsid w:val="003902D5"/>
    <w:rsid w:val="00390401"/>
    <w:rsid w:val="00390578"/>
    <w:rsid w:val="003908D3"/>
    <w:rsid w:val="003912A4"/>
    <w:rsid w:val="00391373"/>
    <w:rsid w:val="00391483"/>
    <w:rsid w:val="00391567"/>
    <w:rsid w:val="00393621"/>
    <w:rsid w:val="00394865"/>
    <w:rsid w:val="00395542"/>
    <w:rsid w:val="00395BB6"/>
    <w:rsid w:val="003963A1"/>
    <w:rsid w:val="00396913"/>
    <w:rsid w:val="003971BD"/>
    <w:rsid w:val="003973E4"/>
    <w:rsid w:val="00397E84"/>
    <w:rsid w:val="00397EEB"/>
    <w:rsid w:val="003A0D1F"/>
    <w:rsid w:val="003A0D2F"/>
    <w:rsid w:val="003A135F"/>
    <w:rsid w:val="003A13DE"/>
    <w:rsid w:val="003A197C"/>
    <w:rsid w:val="003A1FB6"/>
    <w:rsid w:val="003A2948"/>
    <w:rsid w:val="003A2F46"/>
    <w:rsid w:val="003A3022"/>
    <w:rsid w:val="003A313A"/>
    <w:rsid w:val="003A32E1"/>
    <w:rsid w:val="003A3CD1"/>
    <w:rsid w:val="003A4D36"/>
    <w:rsid w:val="003A5C14"/>
    <w:rsid w:val="003A5ECF"/>
    <w:rsid w:val="003A64CF"/>
    <w:rsid w:val="003A78E7"/>
    <w:rsid w:val="003A7908"/>
    <w:rsid w:val="003B0460"/>
    <w:rsid w:val="003B0670"/>
    <w:rsid w:val="003B0D3B"/>
    <w:rsid w:val="003B1759"/>
    <w:rsid w:val="003B196A"/>
    <w:rsid w:val="003B199B"/>
    <w:rsid w:val="003B1A92"/>
    <w:rsid w:val="003B2659"/>
    <w:rsid w:val="003B30AC"/>
    <w:rsid w:val="003B3640"/>
    <w:rsid w:val="003B3849"/>
    <w:rsid w:val="003B41EE"/>
    <w:rsid w:val="003B4744"/>
    <w:rsid w:val="003B47BA"/>
    <w:rsid w:val="003B4948"/>
    <w:rsid w:val="003B4EC4"/>
    <w:rsid w:val="003B5D04"/>
    <w:rsid w:val="003B5DD6"/>
    <w:rsid w:val="003B6789"/>
    <w:rsid w:val="003B6EC8"/>
    <w:rsid w:val="003B7531"/>
    <w:rsid w:val="003B7A73"/>
    <w:rsid w:val="003B7E2B"/>
    <w:rsid w:val="003C0539"/>
    <w:rsid w:val="003C1DF1"/>
    <w:rsid w:val="003C2A6C"/>
    <w:rsid w:val="003C2BA9"/>
    <w:rsid w:val="003C3153"/>
    <w:rsid w:val="003C3DAA"/>
    <w:rsid w:val="003C4217"/>
    <w:rsid w:val="003C48C9"/>
    <w:rsid w:val="003C4AE7"/>
    <w:rsid w:val="003C52DA"/>
    <w:rsid w:val="003C545A"/>
    <w:rsid w:val="003C695D"/>
    <w:rsid w:val="003C6CDA"/>
    <w:rsid w:val="003C6F48"/>
    <w:rsid w:val="003C729E"/>
    <w:rsid w:val="003C75AA"/>
    <w:rsid w:val="003C75C0"/>
    <w:rsid w:val="003C7E65"/>
    <w:rsid w:val="003D0152"/>
    <w:rsid w:val="003D01FF"/>
    <w:rsid w:val="003D1F7E"/>
    <w:rsid w:val="003D2F3C"/>
    <w:rsid w:val="003D3434"/>
    <w:rsid w:val="003D3F94"/>
    <w:rsid w:val="003D4287"/>
    <w:rsid w:val="003D464D"/>
    <w:rsid w:val="003D5AB4"/>
    <w:rsid w:val="003D5FC4"/>
    <w:rsid w:val="003D6CD4"/>
    <w:rsid w:val="003D7006"/>
    <w:rsid w:val="003E03B6"/>
    <w:rsid w:val="003E1801"/>
    <w:rsid w:val="003E1D64"/>
    <w:rsid w:val="003E227F"/>
    <w:rsid w:val="003E242C"/>
    <w:rsid w:val="003E2B2C"/>
    <w:rsid w:val="003E383B"/>
    <w:rsid w:val="003E3E35"/>
    <w:rsid w:val="003E4866"/>
    <w:rsid w:val="003E51F7"/>
    <w:rsid w:val="003E5792"/>
    <w:rsid w:val="003E5A18"/>
    <w:rsid w:val="003E7378"/>
    <w:rsid w:val="003F103D"/>
    <w:rsid w:val="003F1C68"/>
    <w:rsid w:val="003F216C"/>
    <w:rsid w:val="003F258E"/>
    <w:rsid w:val="003F378E"/>
    <w:rsid w:val="003F3FF6"/>
    <w:rsid w:val="003F423C"/>
    <w:rsid w:val="003F4E8C"/>
    <w:rsid w:val="003F5145"/>
    <w:rsid w:val="003F5269"/>
    <w:rsid w:val="003F5DAB"/>
    <w:rsid w:val="003F5F0F"/>
    <w:rsid w:val="003F74BA"/>
    <w:rsid w:val="00400355"/>
    <w:rsid w:val="00400361"/>
    <w:rsid w:val="0040234D"/>
    <w:rsid w:val="004033AF"/>
    <w:rsid w:val="00403482"/>
    <w:rsid w:val="00403DEF"/>
    <w:rsid w:val="00403EF9"/>
    <w:rsid w:val="0040497D"/>
    <w:rsid w:val="00405237"/>
    <w:rsid w:val="00405BEB"/>
    <w:rsid w:val="00405D1A"/>
    <w:rsid w:val="00406056"/>
    <w:rsid w:val="004068E6"/>
    <w:rsid w:val="00406D8D"/>
    <w:rsid w:val="00406FCC"/>
    <w:rsid w:val="0040738E"/>
    <w:rsid w:val="00407954"/>
    <w:rsid w:val="00407D71"/>
    <w:rsid w:val="00410C4F"/>
    <w:rsid w:val="0041111F"/>
    <w:rsid w:val="00411618"/>
    <w:rsid w:val="004117EC"/>
    <w:rsid w:val="00412200"/>
    <w:rsid w:val="00412A8F"/>
    <w:rsid w:val="00412BE5"/>
    <w:rsid w:val="00412F16"/>
    <w:rsid w:val="004130A0"/>
    <w:rsid w:val="0041326F"/>
    <w:rsid w:val="00413DB5"/>
    <w:rsid w:val="0041484D"/>
    <w:rsid w:val="0041617F"/>
    <w:rsid w:val="004170D1"/>
    <w:rsid w:val="00420019"/>
    <w:rsid w:val="00420090"/>
    <w:rsid w:val="0042021D"/>
    <w:rsid w:val="00420BD0"/>
    <w:rsid w:val="004214A0"/>
    <w:rsid w:val="00421927"/>
    <w:rsid w:val="00421A37"/>
    <w:rsid w:val="00421ABE"/>
    <w:rsid w:val="00421B51"/>
    <w:rsid w:val="00421C54"/>
    <w:rsid w:val="00421D80"/>
    <w:rsid w:val="004223AD"/>
    <w:rsid w:val="00422AE5"/>
    <w:rsid w:val="00422B19"/>
    <w:rsid w:val="00424203"/>
    <w:rsid w:val="00424254"/>
    <w:rsid w:val="00424279"/>
    <w:rsid w:val="00424C56"/>
    <w:rsid w:val="00424DD1"/>
    <w:rsid w:val="004256D6"/>
    <w:rsid w:val="00425726"/>
    <w:rsid w:val="00425A00"/>
    <w:rsid w:val="00425A70"/>
    <w:rsid w:val="00426081"/>
    <w:rsid w:val="00426607"/>
    <w:rsid w:val="004275D1"/>
    <w:rsid w:val="0043017B"/>
    <w:rsid w:val="00430212"/>
    <w:rsid w:val="00430D7F"/>
    <w:rsid w:val="004313CF"/>
    <w:rsid w:val="00431632"/>
    <w:rsid w:val="0043171C"/>
    <w:rsid w:val="004325A5"/>
    <w:rsid w:val="00433140"/>
    <w:rsid w:val="00434069"/>
    <w:rsid w:val="00434AF4"/>
    <w:rsid w:val="00434C55"/>
    <w:rsid w:val="0043506F"/>
    <w:rsid w:val="00437ABA"/>
    <w:rsid w:val="004402A5"/>
    <w:rsid w:val="0044066B"/>
    <w:rsid w:val="0044149B"/>
    <w:rsid w:val="004418B6"/>
    <w:rsid w:val="00441FC1"/>
    <w:rsid w:val="004428D5"/>
    <w:rsid w:val="004430F4"/>
    <w:rsid w:val="004435A0"/>
    <w:rsid w:val="0044377E"/>
    <w:rsid w:val="00443999"/>
    <w:rsid w:val="0044428F"/>
    <w:rsid w:val="00444AAF"/>
    <w:rsid w:val="00444DFF"/>
    <w:rsid w:val="00445023"/>
    <w:rsid w:val="004451D9"/>
    <w:rsid w:val="00445410"/>
    <w:rsid w:val="00445A49"/>
    <w:rsid w:val="00445FDE"/>
    <w:rsid w:val="00446649"/>
    <w:rsid w:val="00450B65"/>
    <w:rsid w:val="00451098"/>
    <w:rsid w:val="00451BA0"/>
    <w:rsid w:val="00452CA7"/>
    <w:rsid w:val="00453B90"/>
    <w:rsid w:val="00453E1A"/>
    <w:rsid w:val="00454CDD"/>
    <w:rsid w:val="00456E7E"/>
    <w:rsid w:val="004570FA"/>
    <w:rsid w:val="0045759A"/>
    <w:rsid w:val="004604A3"/>
    <w:rsid w:val="004608DA"/>
    <w:rsid w:val="00460B12"/>
    <w:rsid w:val="00460BF8"/>
    <w:rsid w:val="004619F4"/>
    <w:rsid w:val="00461A24"/>
    <w:rsid w:val="00462191"/>
    <w:rsid w:val="00462DE7"/>
    <w:rsid w:val="00463ADE"/>
    <w:rsid w:val="00464943"/>
    <w:rsid w:val="00465C7B"/>
    <w:rsid w:val="00465E19"/>
    <w:rsid w:val="00467D10"/>
    <w:rsid w:val="00470F20"/>
    <w:rsid w:val="00471C0B"/>
    <w:rsid w:val="00471F4F"/>
    <w:rsid w:val="00472B64"/>
    <w:rsid w:val="00473C3B"/>
    <w:rsid w:val="00474234"/>
    <w:rsid w:val="004742EF"/>
    <w:rsid w:val="004745BB"/>
    <w:rsid w:val="004751D2"/>
    <w:rsid w:val="0047598A"/>
    <w:rsid w:val="004769A5"/>
    <w:rsid w:val="00477612"/>
    <w:rsid w:val="004776A0"/>
    <w:rsid w:val="0047784B"/>
    <w:rsid w:val="00477A82"/>
    <w:rsid w:val="00477E3F"/>
    <w:rsid w:val="00477E66"/>
    <w:rsid w:val="00481341"/>
    <w:rsid w:val="00483E53"/>
    <w:rsid w:val="00484509"/>
    <w:rsid w:val="004848BE"/>
    <w:rsid w:val="00484D39"/>
    <w:rsid w:val="00484F2E"/>
    <w:rsid w:val="004854BA"/>
    <w:rsid w:val="00485E82"/>
    <w:rsid w:val="0048724A"/>
    <w:rsid w:val="004877FC"/>
    <w:rsid w:val="00487C00"/>
    <w:rsid w:val="00487C5E"/>
    <w:rsid w:val="00487D45"/>
    <w:rsid w:val="00487E76"/>
    <w:rsid w:val="0049000A"/>
    <w:rsid w:val="00491078"/>
    <w:rsid w:val="00491661"/>
    <w:rsid w:val="004918EE"/>
    <w:rsid w:val="00491C7B"/>
    <w:rsid w:val="00491E9D"/>
    <w:rsid w:val="00492160"/>
    <w:rsid w:val="004928B9"/>
    <w:rsid w:val="00492B29"/>
    <w:rsid w:val="00493266"/>
    <w:rsid w:val="00494474"/>
    <w:rsid w:val="00495A1E"/>
    <w:rsid w:val="00495B13"/>
    <w:rsid w:val="004962A8"/>
    <w:rsid w:val="00496385"/>
    <w:rsid w:val="00496742"/>
    <w:rsid w:val="00496976"/>
    <w:rsid w:val="00496A1D"/>
    <w:rsid w:val="00496A5F"/>
    <w:rsid w:val="00497313"/>
    <w:rsid w:val="004A0E41"/>
    <w:rsid w:val="004A1408"/>
    <w:rsid w:val="004A18C8"/>
    <w:rsid w:val="004A1BE4"/>
    <w:rsid w:val="004A1EB0"/>
    <w:rsid w:val="004A1FCB"/>
    <w:rsid w:val="004A2717"/>
    <w:rsid w:val="004A2861"/>
    <w:rsid w:val="004A3269"/>
    <w:rsid w:val="004A3960"/>
    <w:rsid w:val="004A3BC2"/>
    <w:rsid w:val="004A3D87"/>
    <w:rsid w:val="004A4BFC"/>
    <w:rsid w:val="004A5358"/>
    <w:rsid w:val="004A6101"/>
    <w:rsid w:val="004A62D0"/>
    <w:rsid w:val="004A6987"/>
    <w:rsid w:val="004A6DF8"/>
    <w:rsid w:val="004A6FAE"/>
    <w:rsid w:val="004A7A52"/>
    <w:rsid w:val="004B0532"/>
    <w:rsid w:val="004B0C53"/>
    <w:rsid w:val="004B0C97"/>
    <w:rsid w:val="004B0CEB"/>
    <w:rsid w:val="004B0DF2"/>
    <w:rsid w:val="004B1E1C"/>
    <w:rsid w:val="004B235F"/>
    <w:rsid w:val="004B3531"/>
    <w:rsid w:val="004B41BC"/>
    <w:rsid w:val="004B44E8"/>
    <w:rsid w:val="004B5FCB"/>
    <w:rsid w:val="004B6007"/>
    <w:rsid w:val="004B66A8"/>
    <w:rsid w:val="004B7920"/>
    <w:rsid w:val="004C04F1"/>
    <w:rsid w:val="004C0C3F"/>
    <w:rsid w:val="004C1370"/>
    <w:rsid w:val="004C164B"/>
    <w:rsid w:val="004C19FD"/>
    <w:rsid w:val="004C1E14"/>
    <w:rsid w:val="004C2B60"/>
    <w:rsid w:val="004C385A"/>
    <w:rsid w:val="004C3A2D"/>
    <w:rsid w:val="004C4206"/>
    <w:rsid w:val="004C4EB4"/>
    <w:rsid w:val="004C52D2"/>
    <w:rsid w:val="004C5884"/>
    <w:rsid w:val="004C6FEA"/>
    <w:rsid w:val="004C7D9F"/>
    <w:rsid w:val="004D09F6"/>
    <w:rsid w:val="004D18C3"/>
    <w:rsid w:val="004D1D62"/>
    <w:rsid w:val="004D2130"/>
    <w:rsid w:val="004D219C"/>
    <w:rsid w:val="004D2699"/>
    <w:rsid w:val="004D3477"/>
    <w:rsid w:val="004D3A67"/>
    <w:rsid w:val="004D415F"/>
    <w:rsid w:val="004D43D9"/>
    <w:rsid w:val="004D4975"/>
    <w:rsid w:val="004D5859"/>
    <w:rsid w:val="004D5BD3"/>
    <w:rsid w:val="004D7FAC"/>
    <w:rsid w:val="004E018E"/>
    <w:rsid w:val="004E021A"/>
    <w:rsid w:val="004E060F"/>
    <w:rsid w:val="004E06E8"/>
    <w:rsid w:val="004E0A6A"/>
    <w:rsid w:val="004E1841"/>
    <w:rsid w:val="004E234E"/>
    <w:rsid w:val="004E23DA"/>
    <w:rsid w:val="004E2C14"/>
    <w:rsid w:val="004E4BE9"/>
    <w:rsid w:val="004E5480"/>
    <w:rsid w:val="004E58D0"/>
    <w:rsid w:val="004E598E"/>
    <w:rsid w:val="004E7F53"/>
    <w:rsid w:val="004E7FB6"/>
    <w:rsid w:val="004F0458"/>
    <w:rsid w:val="004F09FC"/>
    <w:rsid w:val="004F0C5D"/>
    <w:rsid w:val="004F0EA3"/>
    <w:rsid w:val="004F12F3"/>
    <w:rsid w:val="004F1312"/>
    <w:rsid w:val="004F1BA3"/>
    <w:rsid w:val="004F21CA"/>
    <w:rsid w:val="004F2C75"/>
    <w:rsid w:val="004F2DF8"/>
    <w:rsid w:val="004F3229"/>
    <w:rsid w:val="004F4143"/>
    <w:rsid w:val="004F6A97"/>
    <w:rsid w:val="004F71AE"/>
    <w:rsid w:val="004F7F0F"/>
    <w:rsid w:val="005000C7"/>
    <w:rsid w:val="00501049"/>
    <w:rsid w:val="00501215"/>
    <w:rsid w:val="00502E95"/>
    <w:rsid w:val="005032F6"/>
    <w:rsid w:val="0050345E"/>
    <w:rsid w:val="005035DF"/>
    <w:rsid w:val="00504177"/>
    <w:rsid w:val="00504BC6"/>
    <w:rsid w:val="00504DB1"/>
    <w:rsid w:val="00505335"/>
    <w:rsid w:val="005058BB"/>
    <w:rsid w:val="00505E62"/>
    <w:rsid w:val="00505ECE"/>
    <w:rsid w:val="00506B7E"/>
    <w:rsid w:val="00506CDC"/>
    <w:rsid w:val="00506EE0"/>
    <w:rsid w:val="00507620"/>
    <w:rsid w:val="00510590"/>
    <w:rsid w:val="00511132"/>
    <w:rsid w:val="00512FBD"/>
    <w:rsid w:val="005130ED"/>
    <w:rsid w:val="005133F4"/>
    <w:rsid w:val="0051380B"/>
    <w:rsid w:val="00514174"/>
    <w:rsid w:val="00514FFB"/>
    <w:rsid w:val="005154D9"/>
    <w:rsid w:val="00515D1C"/>
    <w:rsid w:val="00516651"/>
    <w:rsid w:val="0051685A"/>
    <w:rsid w:val="005176B5"/>
    <w:rsid w:val="0051797D"/>
    <w:rsid w:val="005179FC"/>
    <w:rsid w:val="00520691"/>
    <w:rsid w:val="00520D44"/>
    <w:rsid w:val="005213BD"/>
    <w:rsid w:val="005217F7"/>
    <w:rsid w:val="0052193B"/>
    <w:rsid w:val="005223AE"/>
    <w:rsid w:val="00522953"/>
    <w:rsid w:val="00522B8E"/>
    <w:rsid w:val="00523009"/>
    <w:rsid w:val="005230C3"/>
    <w:rsid w:val="00523749"/>
    <w:rsid w:val="00523C34"/>
    <w:rsid w:val="00524C00"/>
    <w:rsid w:val="0052576E"/>
    <w:rsid w:val="00525964"/>
    <w:rsid w:val="00525D16"/>
    <w:rsid w:val="005264AA"/>
    <w:rsid w:val="00526856"/>
    <w:rsid w:val="00527E73"/>
    <w:rsid w:val="005305D9"/>
    <w:rsid w:val="005309DE"/>
    <w:rsid w:val="00531FED"/>
    <w:rsid w:val="005321AE"/>
    <w:rsid w:val="005322CA"/>
    <w:rsid w:val="00532CDE"/>
    <w:rsid w:val="0053301D"/>
    <w:rsid w:val="00534178"/>
    <w:rsid w:val="0053433B"/>
    <w:rsid w:val="005353BC"/>
    <w:rsid w:val="00535AD3"/>
    <w:rsid w:val="00535FDD"/>
    <w:rsid w:val="00540141"/>
    <w:rsid w:val="005408AC"/>
    <w:rsid w:val="00540A00"/>
    <w:rsid w:val="00541236"/>
    <w:rsid w:val="00541497"/>
    <w:rsid w:val="00541699"/>
    <w:rsid w:val="0054170A"/>
    <w:rsid w:val="00542071"/>
    <w:rsid w:val="00542147"/>
    <w:rsid w:val="00542CE8"/>
    <w:rsid w:val="00542E55"/>
    <w:rsid w:val="00543ADE"/>
    <w:rsid w:val="00544025"/>
    <w:rsid w:val="00544145"/>
    <w:rsid w:val="00544823"/>
    <w:rsid w:val="00545D45"/>
    <w:rsid w:val="005462D4"/>
    <w:rsid w:val="00546C3B"/>
    <w:rsid w:val="00547A6A"/>
    <w:rsid w:val="00547F74"/>
    <w:rsid w:val="00547F76"/>
    <w:rsid w:val="005509D2"/>
    <w:rsid w:val="00550BAF"/>
    <w:rsid w:val="00551520"/>
    <w:rsid w:val="00551908"/>
    <w:rsid w:val="00551AD2"/>
    <w:rsid w:val="00552196"/>
    <w:rsid w:val="0055259A"/>
    <w:rsid w:val="00552E48"/>
    <w:rsid w:val="00553066"/>
    <w:rsid w:val="005534C8"/>
    <w:rsid w:val="0055373B"/>
    <w:rsid w:val="00553A0E"/>
    <w:rsid w:val="00553CE8"/>
    <w:rsid w:val="00553F03"/>
    <w:rsid w:val="00553F3F"/>
    <w:rsid w:val="0055444D"/>
    <w:rsid w:val="005544FE"/>
    <w:rsid w:val="005549FB"/>
    <w:rsid w:val="00554A4B"/>
    <w:rsid w:val="00554A71"/>
    <w:rsid w:val="0055524B"/>
    <w:rsid w:val="0055598B"/>
    <w:rsid w:val="00556C6D"/>
    <w:rsid w:val="00556D20"/>
    <w:rsid w:val="005570F8"/>
    <w:rsid w:val="00557DF2"/>
    <w:rsid w:val="00557EA0"/>
    <w:rsid w:val="00563586"/>
    <w:rsid w:val="00564E44"/>
    <w:rsid w:val="0056575F"/>
    <w:rsid w:val="00567719"/>
    <w:rsid w:val="005679F3"/>
    <w:rsid w:val="00570934"/>
    <w:rsid w:val="00571623"/>
    <w:rsid w:val="00571747"/>
    <w:rsid w:val="005718A0"/>
    <w:rsid w:val="005730DD"/>
    <w:rsid w:val="005737BB"/>
    <w:rsid w:val="00574B3F"/>
    <w:rsid w:val="00574F8E"/>
    <w:rsid w:val="005751F8"/>
    <w:rsid w:val="00575A67"/>
    <w:rsid w:val="00575C4F"/>
    <w:rsid w:val="00577452"/>
    <w:rsid w:val="00580033"/>
    <w:rsid w:val="00581542"/>
    <w:rsid w:val="00581AFE"/>
    <w:rsid w:val="0058244F"/>
    <w:rsid w:val="00583317"/>
    <w:rsid w:val="00583A6D"/>
    <w:rsid w:val="00583D77"/>
    <w:rsid w:val="005843D5"/>
    <w:rsid w:val="00585ABF"/>
    <w:rsid w:val="00585BCD"/>
    <w:rsid w:val="0058619D"/>
    <w:rsid w:val="00586351"/>
    <w:rsid w:val="005863F5"/>
    <w:rsid w:val="005867B6"/>
    <w:rsid w:val="00586E00"/>
    <w:rsid w:val="00586EA0"/>
    <w:rsid w:val="00587159"/>
    <w:rsid w:val="00590406"/>
    <w:rsid w:val="00590F25"/>
    <w:rsid w:val="00591A23"/>
    <w:rsid w:val="00591A4B"/>
    <w:rsid w:val="00591ED6"/>
    <w:rsid w:val="005920A2"/>
    <w:rsid w:val="005929A3"/>
    <w:rsid w:val="0059300E"/>
    <w:rsid w:val="00593E33"/>
    <w:rsid w:val="00593E67"/>
    <w:rsid w:val="00594121"/>
    <w:rsid w:val="00594255"/>
    <w:rsid w:val="00594547"/>
    <w:rsid w:val="005946B4"/>
    <w:rsid w:val="00594D5D"/>
    <w:rsid w:val="00596368"/>
    <w:rsid w:val="005966A7"/>
    <w:rsid w:val="00596F47"/>
    <w:rsid w:val="0059799F"/>
    <w:rsid w:val="005A0FE8"/>
    <w:rsid w:val="005A0FFE"/>
    <w:rsid w:val="005A142D"/>
    <w:rsid w:val="005A1F5F"/>
    <w:rsid w:val="005A2F68"/>
    <w:rsid w:val="005A2F9E"/>
    <w:rsid w:val="005A344B"/>
    <w:rsid w:val="005A3770"/>
    <w:rsid w:val="005A4911"/>
    <w:rsid w:val="005A497A"/>
    <w:rsid w:val="005A5601"/>
    <w:rsid w:val="005A64E8"/>
    <w:rsid w:val="005A71F6"/>
    <w:rsid w:val="005A7A93"/>
    <w:rsid w:val="005A7B89"/>
    <w:rsid w:val="005B028B"/>
    <w:rsid w:val="005B06EE"/>
    <w:rsid w:val="005B0AB1"/>
    <w:rsid w:val="005B0B38"/>
    <w:rsid w:val="005B0D8E"/>
    <w:rsid w:val="005B2D3E"/>
    <w:rsid w:val="005B33DB"/>
    <w:rsid w:val="005B41E7"/>
    <w:rsid w:val="005B46DE"/>
    <w:rsid w:val="005B50D8"/>
    <w:rsid w:val="005B6B7B"/>
    <w:rsid w:val="005B6EB5"/>
    <w:rsid w:val="005C0132"/>
    <w:rsid w:val="005C0335"/>
    <w:rsid w:val="005C06ED"/>
    <w:rsid w:val="005C1652"/>
    <w:rsid w:val="005C1712"/>
    <w:rsid w:val="005C2074"/>
    <w:rsid w:val="005C2B78"/>
    <w:rsid w:val="005C316C"/>
    <w:rsid w:val="005C4138"/>
    <w:rsid w:val="005C46EB"/>
    <w:rsid w:val="005C47B6"/>
    <w:rsid w:val="005C4C97"/>
    <w:rsid w:val="005C5445"/>
    <w:rsid w:val="005C54F9"/>
    <w:rsid w:val="005C5A43"/>
    <w:rsid w:val="005C6520"/>
    <w:rsid w:val="005C6D73"/>
    <w:rsid w:val="005C7149"/>
    <w:rsid w:val="005C734C"/>
    <w:rsid w:val="005C7984"/>
    <w:rsid w:val="005D01A9"/>
    <w:rsid w:val="005D040D"/>
    <w:rsid w:val="005D06D1"/>
    <w:rsid w:val="005D0A4A"/>
    <w:rsid w:val="005D15C6"/>
    <w:rsid w:val="005D19FD"/>
    <w:rsid w:val="005D241E"/>
    <w:rsid w:val="005D37D4"/>
    <w:rsid w:val="005D4118"/>
    <w:rsid w:val="005D4B1C"/>
    <w:rsid w:val="005D50F5"/>
    <w:rsid w:val="005D5461"/>
    <w:rsid w:val="005D5855"/>
    <w:rsid w:val="005D5D15"/>
    <w:rsid w:val="005D5F81"/>
    <w:rsid w:val="005D72DC"/>
    <w:rsid w:val="005D7961"/>
    <w:rsid w:val="005E024F"/>
    <w:rsid w:val="005E02BF"/>
    <w:rsid w:val="005E0C8F"/>
    <w:rsid w:val="005E1773"/>
    <w:rsid w:val="005E2507"/>
    <w:rsid w:val="005E27CD"/>
    <w:rsid w:val="005E32D5"/>
    <w:rsid w:val="005E33BF"/>
    <w:rsid w:val="005E3BB5"/>
    <w:rsid w:val="005E49BC"/>
    <w:rsid w:val="005E5073"/>
    <w:rsid w:val="005E5092"/>
    <w:rsid w:val="005E5714"/>
    <w:rsid w:val="005E58C2"/>
    <w:rsid w:val="005E615B"/>
    <w:rsid w:val="005E748D"/>
    <w:rsid w:val="005E7E76"/>
    <w:rsid w:val="005F3426"/>
    <w:rsid w:val="005F4983"/>
    <w:rsid w:val="005F502D"/>
    <w:rsid w:val="005F5102"/>
    <w:rsid w:val="005F55B4"/>
    <w:rsid w:val="005F56DC"/>
    <w:rsid w:val="005F57F1"/>
    <w:rsid w:val="005F60A7"/>
    <w:rsid w:val="005F7472"/>
    <w:rsid w:val="005F7D93"/>
    <w:rsid w:val="0060076F"/>
    <w:rsid w:val="006014CE"/>
    <w:rsid w:val="00601517"/>
    <w:rsid w:val="00601FF1"/>
    <w:rsid w:val="00602492"/>
    <w:rsid w:val="0060263E"/>
    <w:rsid w:val="00603315"/>
    <w:rsid w:val="00603D4B"/>
    <w:rsid w:val="00604949"/>
    <w:rsid w:val="006052F1"/>
    <w:rsid w:val="00605747"/>
    <w:rsid w:val="00605AE8"/>
    <w:rsid w:val="0060658F"/>
    <w:rsid w:val="00607132"/>
    <w:rsid w:val="00607438"/>
    <w:rsid w:val="006078CD"/>
    <w:rsid w:val="00610305"/>
    <w:rsid w:val="00610A70"/>
    <w:rsid w:val="00610FD1"/>
    <w:rsid w:val="00611F47"/>
    <w:rsid w:val="00612321"/>
    <w:rsid w:val="006129BA"/>
    <w:rsid w:val="00612EF7"/>
    <w:rsid w:val="0061395E"/>
    <w:rsid w:val="0061632E"/>
    <w:rsid w:val="00616B95"/>
    <w:rsid w:val="0061747F"/>
    <w:rsid w:val="00617963"/>
    <w:rsid w:val="00617A0C"/>
    <w:rsid w:val="00617D9F"/>
    <w:rsid w:val="00620DE3"/>
    <w:rsid w:val="00621119"/>
    <w:rsid w:val="00621D50"/>
    <w:rsid w:val="006225D3"/>
    <w:rsid w:val="00622A70"/>
    <w:rsid w:val="0062353D"/>
    <w:rsid w:val="006235F6"/>
    <w:rsid w:val="0062392F"/>
    <w:rsid w:val="00623D1E"/>
    <w:rsid w:val="006247A2"/>
    <w:rsid w:val="00624F0E"/>
    <w:rsid w:val="00625374"/>
    <w:rsid w:val="00625B2F"/>
    <w:rsid w:val="00626302"/>
    <w:rsid w:val="006276FB"/>
    <w:rsid w:val="00627EF0"/>
    <w:rsid w:val="00630489"/>
    <w:rsid w:val="00630732"/>
    <w:rsid w:val="00630AB7"/>
    <w:rsid w:val="00630D39"/>
    <w:rsid w:val="00631012"/>
    <w:rsid w:val="006316FF"/>
    <w:rsid w:val="006333E8"/>
    <w:rsid w:val="006337B5"/>
    <w:rsid w:val="006338A1"/>
    <w:rsid w:val="0063448D"/>
    <w:rsid w:val="00634DB9"/>
    <w:rsid w:val="006350D2"/>
    <w:rsid w:val="00635DAD"/>
    <w:rsid w:val="00635EE7"/>
    <w:rsid w:val="006365EB"/>
    <w:rsid w:val="00636ED7"/>
    <w:rsid w:val="00637237"/>
    <w:rsid w:val="0063750A"/>
    <w:rsid w:val="0064060C"/>
    <w:rsid w:val="006414DA"/>
    <w:rsid w:val="00641684"/>
    <w:rsid w:val="00642361"/>
    <w:rsid w:val="00642372"/>
    <w:rsid w:val="00642463"/>
    <w:rsid w:val="00643695"/>
    <w:rsid w:val="00643925"/>
    <w:rsid w:val="00643DA7"/>
    <w:rsid w:val="00644DDF"/>
    <w:rsid w:val="00644EEB"/>
    <w:rsid w:val="00645DCE"/>
    <w:rsid w:val="006461AB"/>
    <w:rsid w:val="00646C5A"/>
    <w:rsid w:val="00646E7C"/>
    <w:rsid w:val="0064764F"/>
    <w:rsid w:val="006479FB"/>
    <w:rsid w:val="00650774"/>
    <w:rsid w:val="006513B3"/>
    <w:rsid w:val="00652A78"/>
    <w:rsid w:val="00652A8F"/>
    <w:rsid w:val="00652E80"/>
    <w:rsid w:val="006532E9"/>
    <w:rsid w:val="00653581"/>
    <w:rsid w:val="006535E6"/>
    <w:rsid w:val="00653A10"/>
    <w:rsid w:val="00653A24"/>
    <w:rsid w:val="00653E50"/>
    <w:rsid w:val="0065483C"/>
    <w:rsid w:val="006551BA"/>
    <w:rsid w:val="006553A6"/>
    <w:rsid w:val="00655A1E"/>
    <w:rsid w:val="00655AAE"/>
    <w:rsid w:val="00655AE7"/>
    <w:rsid w:val="0065636A"/>
    <w:rsid w:val="006568FC"/>
    <w:rsid w:val="00657426"/>
    <w:rsid w:val="00660568"/>
    <w:rsid w:val="00660650"/>
    <w:rsid w:val="0066092E"/>
    <w:rsid w:val="00661082"/>
    <w:rsid w:val="006613A5"/>
    <w:rsid w:val="006613D4"/>
    <w:rsid w:val="006617B7"/>
    <w:rsid w:val="006628AC"/>
    <w:rsid w:val="00662E88"/>
    <w:rsid w:val="00663483"/>
    <w:rsid w:val="0066388E"/>
    <w:rsid w:val="00664C63"/>
    <w:rsid w:val="0066595F"/>
    <w:rsid w:val="006659BF"/>
    <w:rsid w:val="00665B29"/>
    <w:rsid w:val="00666056"/>
    <w:rsid w:val="006660DB"/>
    <w:rsid w:val="006675E5"/>
    <w:rsid w:val="006701B8"/>
    <w:rsid w:val="006703CA"/>
    <w:rsid w:val="00670563"/>
    <w:rsid w:val="00670730"/>
    <w:rsid w:val="00670BC0"/>
    <w:rsid w:val="00671A3E"/>
    <w:rsid w:val="00673646"/>
    <w:rsid w:val="00673CDA"/>
    <w:rsid w:val="0067400B"/>
    <w:rsid w:val="006744D1"/>
    <w:rsid w:val="00674802"/>
    <w:rsid w:val="0067490E"/>
    <w:rsid w:val="006749A2"/>
    <w:rsid w:val="00674BED"/>
    <w:rsid w:val="00674ECD"/>
    <w:rsid w:val="006756EA"/>
    <w:rsid w:val="00675C2C"/>
    <w:rsid w:val="00676274"/>
    <w:rsid w:val="00676354"/>
    <w:rsid w:val="00676CE0"/>
    <w:rsid w:val="00680845"/>
    <w:rsid w:val="00680CC4"/>
    <w:rsid w:val="00681B82"/>
    <w:rsid w:val="00681E5A"/>
    <w:rsid w:val="00682541"/>
    <w:rsid w:val="00682E11"/>
    <w:rsid w:val="00683C72"/>
    <w:rsid w:val="006844F1"/>
    <w:rsid w:val="00684A76"/>
    <w:rsid w:val="00684B92"/>
    <w:rsid w:val="00684D17"/>
    <w:rsid w:val="00687108"/>
    <w:rsid w:val="00687D64"/>
    <w:rsid w:val="00690599"/>
    <w:rsid w:val="006909AB"/>
    <w:rsid w:val="00690EA9"/>
    <w:rsid w:val="00691CB0"/>
    <w:rsid w:val="00691FFA"/>
    <w:rsid w:val="00692CF6"/>
    <w:rsid w:val="00692E69"/>
    <w:rsid w:val="00693662"/>
    <w:rsid w:val="006939A6"/>
    <w:rsid w:val="00693BF9"/>
    <w:rsid w:val="006949C2"/>
    <w:rsid w:val="006957DB"/>
    <w:rsid w:val="00696828"/>
    <w:rsid w:val="00697051"/>
    <w:rsid w:val="0069734C"/>
    <w:rsid w:val="006976F0"/>
    <w:rsid w:val="006979B6"/>
    <w:rsid w:val="006A02E6"/>
    <w:rsid w:val="006A083A"/>
    <w:rsid w:val="006A0B1C"/>
    <w:rsid w:val="006A1AEB"/>
    <w:rsid w:val="006A1BE1"/>
    <w:rsid w:val="006A1CC9"/>
    <w:rsid w:val="006A1FDB"/>
    <w:rsid w:val="006A37E7"/>
    <w:rsid w:val="006A3C04"/>
    <w:rsid w:val="006A47DF"/>
    <w:rsid w:val="006A48F4"/>
    <w:rsid w:val="006A4BA7"/>
    <w:rsid w:val="006A5B69"/>
    <w:rsid w:val="006A6C03"/>
    <w:rsid w:val="006B022B"/>
    <w:rsid w:val="006B02A8"/>
    <w:rsid w:val="006B0351"/>
    <w:rsid w:val="006B1A1A"/>
    <w:rsid w:val="006B2BA3"/>
    <w:rsid w:val="006B2E6B"/>
    <w:rsid w:val="006B2EE9"/>
    <w:rsid w:val="006B59E9"/>
    <w:rsid w:val="006B62AE"/>
    <w:rsid w:val="006B635D"/>
    <w:rsid w:val="006B6FBE"/>
    <w:rsid w:val="006B7B45"/>
    <w:rsid w:val="006B7B7E"/>
    <w:rsid w:val="006C0160"/>
    <w:rsid w:val="006C01AF"/>
    <w:rsid w:val="006C1A26"/>
    <w:rsid w:val="006C1EEB"/>
    <w:rsid w:val="006C3ACC"/>
    <w:rsid w:val="006C3FD2"/>
    <w:rsid w:val="006C483B"/>
    <w:rsid w:val="006C4841"/>
    <w:rsid w:val="006C4B58"/>
    <w:rsid w:val="006C6024"/>
    <w:rsid w:val="006C6271"/>
    <w:rsid w:val="006C634C"/>
    <w:rsid w:val="006C6A76"/>
    <w:rsid w:val="006C6BEB"/>
    <w:rsid w:val="006C73C9"/>
    <w:rsid w:val="006C7F3C"/>
    <w:rsid w:val="006C7F4F"/>
    <w:rsid w:val="006D0BAF"/>
    <w:rsid w:val="006D0D74"/>
    <w:rsid w:val="006D21B7"/>
    <w:rsid w:val="006D2E88"/>
    <w:rsid w:val="006D3B03"/>
    <w:rsid w:val="006D4211"/>
    <w:rsid w:val="006D4577"/>
    <w:rsid w:val="006D54D3"/>
    <w:rsid w:val="006D57FF"/>
    <w:rsid w:val="006D584E"/>
    <w:rsid w:val="006D5EC2"/>
    <w:rsid w:val="006D6360"/>
    <w:rsid w:val="006D6520"/>
    <w:rsid w:val="006D6E3F"/>
    <w:rsid w:val="006D7877"/>
    <w:rsid w:val="006D7F31"/>
    <w:rsid w:val="006E006B"/>
    <w:rsid w:val="006E1891"/>
    <w:rsid w:val="006E3538"/>
    <w:rsid w:val="006E4A76"/>
    <w:rsid w:val="006E4BAB"/>
    <w:rsid w:val="006E52AE"/>
    <w:rsid w:val="006E5BB7"/>
    <w:rsid w:val="006E5C4F"/>
    <w:rsid w:val="006E6007"/>
    <w:rsid w:val="006E6EAE"/>
    <w:rsid w:val="006E6FF7"/>
    <w:rsid w:val="006E7054"/>
    <w:rsid w:val="006E7956"/>
    <w:rsid w:val="006F0026"/>
    <w:rsid w:val="006F062E"/>
    <w:rsid w:val="006F0CDB"/>
    <w:rsid w:val="006F1B9B"/>
    <w:rsid w:val="006F23E9"/>
    <w:rsid w:val="006F259A"/>
    <w:rsid w:val="006F25E5"/>
    <w:rsid w:val="006F29B7"/>
    <w:rsid w:val="006F31E1"/>
    <w:rsid w:val="006F3497"/>
    <w:rsid w:val="006F41DA"/>
    <w:rsid w:val="006F48EF"/>
    <w:rsid w:val="006F52CB"/>
    <w:rsid w:val="006F572A"/>
    <w:rsid w:val="006F57DE"/>
    <w:rsid w:val="006F614A"/>
    <w:rsid w:val="006F70F7"/>
    <w:rsid w:val="007000A5"/>
    <w:rsid w:val="00700318"/>
    <w:rsid w:val="007003AA"/>
    <w:rsid w:val="0070047A"/>
    <w:rsid w:val="00700833"/>
    <w:rsid w:val="00701DAA"/>
    <w:rsid w:val="00702685"/>
    <w:rsid w:val="00702A32"/>
    <w:rsid w:val="00704F5D"/>
    <w:rsid w:val="00705A48"/>
    <w:rsid w:val="00705BA0"/>
    <w:rsid w:val="00706050"/>
    <w:rsid w:val="007065FB"/>
    <w:rsid w:val="00706850"/>
    <w:rsid w:val="0070721E"/>
    <w:rsid w:val="0070742B"/>
    <w:rsid w:val="00707BA5"/>
    <w:rsid w:val="00710789"/>
    <w:rsid w:val="007107B9"/>
    <w:rsid w:val="00710A58"/>
    <w:rsid w:val="00710DF2"/>
    <w:rsid w:val="007118B8"/>
    <w:rsid w:val="0071206F"/>
    <w:rsid w:val="00712B60"/>
    <w:rsid w:val="0071504F"/>
    <w:rsid w:val="007150FA"/>
    <w:rsid w:val="00715E14"/>
    <w:rsid w:val="00716DA7"/>
    <w:rsid w:val="007171CA"/>
    <w:rsid w:val="00717CC9"/>
    <w:rsid w:val="00720006"/>
    <w:rsid w:val="007206DD"/>
    <w:rsid w:val="0072085F"/>
    <w:rsid w:val="00720909"/>
    <w:rsid w:val="00720C30"/>
    <w:rsid w:val="00721CD1"/>
    <w:rsid w:val="0072312F"/>
    <w:rsid w:val="00723970"/>
    <w:rsid w:val="0072433F"/>
    <w:rsid w:val="007247A6"/>
    <w:rsid w:val="00725203"/>
    <w:rsid w:val="00725817"/>
    <w:rsid w:val="00725BBE"/>
    <w:rsid w:val="00727342"/>
    <w:rsid w:val="00727D0E"/>
    <w:rsid w:val="00727F01"/>
    <w:rsid w:val="007307AA"/>
    <w:rsid w:val="007319CB"/>
    <w:rsid w:val="0073248F"/>
    <w:rsid w:val="007324D4"/>
    <w:rsid w:val="00732911"/>
    <w:rsid w:val="00732BF7"/>
    <w:rsid w:val="00733D53"/>
    <w:rsid w:val="0073450D"/>
    <w:rsid w:val="00734626"/>
    <w:rsid w:val="00735361"/>
    <w:rsid w:val="007354D8"/>
    <w:rsid w:val="00735BA0"/>
    <w:rsid w:val="00735DDF"/>
    <w:rsid w:val="007368C2"/>
    <w:rsid w:val="00736B89"/>
    <w:rsid w:val="00736D7B"/>
    <w:rsid w:val="0073711D"/>
    <w:rsid w:val="00737FD3"/>
    <w:rsid w:val="007411D6"/>
    <w:rsid w:val="00741587"/>
    <w:rsid w:val="00741C6C"/>
    <w:rsid w:val="0074210F"/>
    <w:rsid w:val="007422CF"/>
    <w:rsid w:val="00742705"/>
    <w:rsid w:val="00742BD3"/>
    <w:rsid w:val="00743315"/>
    <w:rsid w:val="00743AD9"/>
    <w:rsid w:val="00743F7B"/>
    <w:rsid w:val="00744335"/>
    <w:rsid w:val="00744A48"/>
    <w:rsid w:val="00745262"/>
    <w:rsid w:val="00745E1D"/>
    <w:rsid w:val="00746798"/>
    <w:rsid w:val="00746FDE"/>
    <w:rsid w:val="007470B9"/>
    <w:rsid w:val="0074758D"/>
    <w:rsid w:val="007476C1"/>
    <w:rsid w:val="00750678"/>
    <w:rsid w:val="00750B45"/>
    <w:rsid w:val="00750F14"/>
    <w:rsid w:val="007511CC"/>
    <w:rsid w:val="00751443"/>
    <w:rsid w:val="00751721"/>
    <w:rsid w:val="00751A55"/>
    <w:rsid w:val="0075207E"/>
    <w:rsid w:val="00752089"/>
    <w:rsid w:val="007531A0"/>
    <w:rsid w:val="00753736"/>
    <w:rsid w:val="00754352"/>
    <w:rsid w:val="00754AA7"/>
    <w:rsid w:val="0075647A"/>
    <w:rsid w:val="007568DC"/>
    <w:rsid w:val="00756C35"/>
    <w:rsid w:val="00757582"/>
    <w:rsid w:val="00761E57"/>
    <w:rsid w:val="00763236"/>
    <w:rsid w:val="00763817"/>
    <w:rsid w:val="00763C39"/>
    <w:rsid w:val="00763EE0"/>
    <w:rsid w:val="007643C0"/>
    <w:rsid w:val="00765A36"/>
    <w:rsid w:val="007661D2"/>
    <w:rsid w:val="00767D58"/>
    <w:rsid w:val="007706FD"/>
    <w:rsid w:val="00770801"/>
    <w:rsid w:val="00771CD0"/>
    <w:rsid w:val="00772337"/>
    <w:rsid w:val="00774621"/>
    <w:rsid w:val="00774690"/>
    <w:rsid w:val="00774805"/>
    <w:rsid w:val="0077654B"/>
    <w:rsid w:val="00776CA7"/>
    <w:rsid w:val="00776E22"/>
    <w:rsid w:val="00781F7D"/>
    <w:rsid w:val="00782073"/>
    <w:rsid w:val="00783530"/>
    <w:rsid w:val="007842BF"/>
    <w:rsid w:val="007844C8"/>
    <w:rsid w:val="0078467D"/>
    <w:rsid w:val="007850DE"/>
    <w:rsid w:val="00787C48"/>
    <w:rsid w:val="0079093A"/>
    <w:rsid w:val="00791133"/>
    <w:rsid w:val="00791143"/>
    <w:rsid w:val="00791EDD"/>
    <w:rsid w:val="00792223"/>
    <w:rsid w:val="00792C03"/>
    <w:rsid w:val="00792D10"/>
    <w:rsid w:val="00793944"/>
    <w:rsid w:val="00793B10"/>
    <w:rsid w:val="007946AF"/>
    <w:rsid w:val="007959B8"/>
    <w:rsid w:val="00795A01"/>
    <w:rsid w:val="00796717"/>
    <w:rsid w:val="00796C3B"/>
    <w:rsid w:val="00797351"/>
    <w:rsid w:val="0079743D"/>
    <w:rsid w:val="00797772"/>
    <w:rsid w:val="00797DA2"/>
    <w:rsid w:val="00797E3D"/>
    <w:rsid w:val="007A1530"/>
    <w:rsid w:val="007A17F1"/>
    <w:rsid w:val="007A1859"/>
    <w:rsid w:val="007A27A6"/>
    <w:rsid w:val="007A2BCD"/>
    <w:rsid w:val="007A38B9"/>
    <w:rsid w:val="007A4FCA"/>
    <w:rsid w:val="007A519B"/>
    <w:rsid w:val="007A5FED"/>
    <w:rsid w:val="007A7CFF"/>
    <w:rsid w:val="007A7D90"/>
    <w:rsid w:val="007B0039"/>
    <w:rsid w:val="007B01CF"/>
    <w:rsid w:val="007B1446"/>
    <w:rsid w:val="007B150C"/>
    <w:rsid w:val="007B39FB"/>
    <w:rsid w:val="007B3CEF"/>
    <w:rsid w:val="007B43E1"/>
    <w:rsid w:val="007B4D5C"/>
    <w:rsid w:val="007B4FFD"/>
    <w:rsid w:val="007B590C"/>
    <w:rsid w:val="007B60BD"/>
    <w:rsid w:val="007B7A92"/>
    <w:rsid w:val="007B7E9F"/>
    <w:rsid w:val="007C09AC"/>
    <w:rsid w:val="007C0C12"/>
    <w:rsid w:val="007C12E8"/>
    <w:rsid w:val="007C2CB2"/>
    <w:rsid w:val="007C2E23"/>
    <w:rsid w:val="007C3139"/>
    <w:rsid w:val="007C3565"/>
    <w:rsid w:val="007C42BB"/>
    <w:rsid w:val="007C45CA"/>
    <w:rsid w:val="007C46A0"/>
    <w:rsid w:val="007C5070"/>
    <w:rsid w:val="007C51B6"/>
    <w:rsid w:val="007C663D"/>
    <w:rsid w:val="007C795D"/>
    <w:rsid w:val="007D008E"/>
    <w:rsid w:val="007D07C4"/>
    <w:rsid w:val="007D0AF0"/>
    <w:rsid w:val="007D224B"/>
    <w:rsid w:val="007D4E85"/>
    <w:rsid w:val="007D50EF"/>
    <w:rsid w:val="007D5C7E"/>
    <w:rsid w:val="007D653A"/>
    <w:rsid w:val="007D69E1"/>
    <w:rsid w:val="007D6A1E"/>
    <w:rsid w:val="007E0064"/>
    <w:rsid w:val="007E04A2"/>
    <w:rsid w:val="007E09E9"/>
    <w:rsid w:val="007E0A8F"/>
    <w:rsid w:val="007E0B3E"/>
    <w:rsid w:val="007E12A2"/>
    <w:rsid w:val="007E12D3"/>
    <w:rsid w:val="007E13EB"/>
    <w:rsid w:val="007E2155"/>
    <w:rsid w:val="007E3446"/>
    <w:rsid w:val="007E3FA7"/>
    <w:rsid w:val="007E4D1E"/>
    <w:rsid w:val="007E4F90"/>
    <w:rsid w:val="007E6464"/>
    <w:rsid w:val="007E66D0"/>
    <w:rsid w:val="007E6835"/>
    <w:rsid w:val="007E6F46"/>
    <w:rsid w:val="007E7E74"/>
    <w:rsid w:val="007F04B2"/>
    <w:rsid w:val="007F095D"/>
    <w:rsid w:val="007F0E02"/>
    <w:rsid w:val="007F1DAE"/>
    <w:rsid w:val="007F24B9"/>
    <w:rsid w:val="007F26C7"/>
    <w:rsid w:val="007F3388"/>
    <w:rsid w:val="007F347D"/>
    <w:rsid w:val="007F3571"/>
    <w:rsid w:val="007F497A"/>
    <w:rsid w:val="007F4D6C"/>
    <w:rsid w:val="007F5CA4"/>
    <w:rsid w:val="007F5CF0"/>
    <w:rsid w:val="007F5DC6"/>
    <w:rsid w:val="007F5EAC"/>
    <w:rsid w:val="007F6251"/>
    <w:rsid w:val="007F6461"/>
    <w:rsid w:val="007F6BAE"/>
    <w:rsid w:val="007F6F77"/>
    <w:rsid w:val="007F7B5C"/>
    <w:rsid w:val="007F7D2F"/>
    <w:rsid w:val="007F7DC1"/>
    <w:rsid w:val="00801B8F"/>
    <w:rsid w:val="0080256F"/>
    <w:rsid w:val="00802BF1"/>
    <w:rsid w:val="00802FF1"/>
    <w:rsid w:val="008034DB"/>
    <w:rsid w:val="008041E6"/>
    <w:rsid w:val="008041FF"/>
    <w:rsid w:val="00805D68"/>
    <w:rsid w:val="00806471"/>
    <w:rsid w:val="00807263"/>
    <w:rsid w:val="0080751A"/>
    <w:rsid w:val="0080752D"/>
    <w:rsid w:val="00807F81"/>
    <w:rsid w:val="0081226D"/>
    <w:rsid w:val="00812349"/>
    <w:rsid w:val="008123CB"/>
    <w:rsid w:val="00812892"/>
    <w:rsid w:val="008129F2"/>
    <w:rsid w:val="008137C4"/>
    <w:rsid w:val="00813B83"/>
    <w:rsid w:val="008150EA"/>
    <w:rsid w:val="0081516B"/>
    <w:rsid w:val="00815355"/>
    <w:rsid w:val="00815C9B"/>
    <w:rsid w:val="00815EF5"/>
    <w:rsid w:val="00816175"/>
    <w:rsid w:val="00816809"/>
    <w:rsid w:val="00817C2F"/>
    <w:rsid w:val="00820059"/>
    <w:rsid w:val="00820AAF"/>
    <w:rsid w:val="00820D3A"/>
    <w:rsid w:val="00821900"/>
    <w:rsid w:val="00821A21"/>
    <w:rsid w:val="00821B0A"/>
    <w:rsid w:val="00821D52"/>
    <w:rsid w:val="0082203A"/>
    <w:rsid w:val="00822140"/>
    <w:rsid w:val="00822285"/>
    <w:rsid w:val="00822350"/>
    <w:rsid w:val="00822352"/>
    <w:rsid w:val="008228D5"/>
    <w:rsid w:val="00823081"/>
    <w:rsid w:val="0082315F"/>
    <w:rsid w:val="00823FFE"/>
    <w:rsid w:val="00824223"/>
    <w:rsid w:val="0082471D"/>
    <w:rsid w:val="00824957"/>
    <w:rsid w:val="00824986"/>
    <w:rsid w:val="00824FA1"/>
    <w:rsid w:val="00825E5A"/>
    <w:rsid w:val="0082623F"/>
    <w:rsid w:val="0082649C"/>
    <w:rsid w:val="00827A57"/>
    <w:rsid w:val="008303E0"/>
    <w:rsid w:val="00830BFA"/>
    <w:rsid w:val="00831827"/>
    <w:rsid w:val="008318D7"/>
    <w:rsid w:val="0083217B"/>
    <w:rsid w:val="00833015"/>
    <w:rsid w:val="0083304A"/>
    <w:rsid w:val="0083382A"/>
    <w:rsid w:val="00834071"/>
    <w:rsid w:val="008342FB"/>
    <w:rsid w:val="00834DBE"/>
    <w:rsid w:val="0083555E"/>
    <w:rsid w:val="00837874"/>
    <w:rsid w:val="008409CC"/>
    <w:rsid w:val="00840BAF"/>
    <w:rsid w:val="008423A6"/>
    <w:rsid w:val="00842B65"/>
    <w:rsid w:val="00842CFE"/>
    <w:rsid w:val="00843259"/>
    <w:rsid w:val="0084352C"/>
    <w:rsid w:val="008441E1"/>
    <w:rsid w:val="00844B24"/>
    <w:rsid w:val="00845105"/>
    <w:rsid w:val="008465BB"/>
    <w:rsid w:val="00847182"/>
    <w:rsid w:val="008472A2"/>
    <w:rsid w:val="0085169E"/>
    <w:rsid w:val="00851C15"/>
    <w:rsid w:val="00852846"/>
    <w:rsid w:val="0085398C"/>
    <w:rsid w:val="00853EF1"/>
    <w:rsid w:val="0085419D"/>
    <w:rsid w:val="008541D3"/>
    <w:rsid w:val="0085445A"/>
    <w:rsid w:val="00854BF1"/>
    <w:rsid w:val="00855207"/>
    <w:rsid w:val="00855270"/>
    <w:rsid w:val="008558F8"/>
    <w:rsid w:val="00855984"/>
    <w:rsid w:val="00857C2E"/>
    <w:rsid w:val="008600F0"/>
    <w:rsid w:val="008601F7"/>
    <w:rsid w:val="00860B35"/>
    <w:rsid w:val="00860EF7"/>
    <w:rsid w:val="00861A9E"/>
    <w:rsid w:val="008626B5"/>
    <w:rsid w:val="00862779"/>
    <w:rsid w:val="00862CE5"/>
    <w:rsid w:val="00862F70"/>
    <w:rsid w:val="00863D5F"/>
    <w:rsid w:val="00863E40"/>
    <w:rsid w:val="00863E6E"/>
    <w:rsid w:val="0086426F"/>
    <w:rsid w:val="008642EA"/>
    <w:rsid w:val="00864396"/>
    <w:rsid w:val="008648B1"/>
    <w:rsid w:val="00864CEE"/>
    <w:rsid w:val="00865929"/>
    <w:rsid w:val="00867467"/>
    <w:rsid w:val="00867A31"/>
    <w:rsid w:val="00870520"/>
    <w:rsid w:val="008707D7"/>
    <w:rsid w:val="00872366"/>
    <w:rsid w:val="008725E4"/>
    <w:rsid w:val="00872FAD"/>
    <w:rsid w:val="008730D2"/>
    <w:rsid w:val="00873286"/>
    <w:rsid w:val="00873657"/>
    <w:rsid w:val="0087400B"/>
    <w:rsid w:val="0087440C"/>
    <w:rsid w:val="00874C19"/>
    <w:rsid w:val="00875114"/>
    <w:rsid w:val="008753AD"/>
    <w:rsid w:val="00875AFE"/>
    <w:rsid w:val="00875F91"/>
    <w:rsid w:val="00876985"/>
    <w:rsid w:val="00876A95"/>
    <w:rsid w:val="00877AA9"/>
    <w:rsid w:val="008801C4"/>
    <w:rsid w:val="0088027D"/>
    <w:rsid w:val="00880770"/>
    <w:rsid w:val="008814F0"/>
    <w:rsid w:val="00881B29"/>
    <w:rsid w:val="00881C9D"/>
    <w:rsid w:val="00881F1B"/>
    <w:rsid w:val="00882498"/>
    <w:rsid w:val="00883438"/>
    <w:rsid w:val="008837C5"/>
    <w:rsid w:val="00883A24"/>
    <w:rsid w:val="008846FC"/>
    <w:rsid w:val="00884D6F"/>
    <w:rsid w:val="00885BE9"/>
    <w:rsid w:val="008868D1"/>
    <w:rsid w:val="008873C5"/>
    <w:rsid w:val="00887437"/>
    <w:rsid w:val="0088749C"/>
    <w:rsid w:val="00887C19"/>
    <w:rsid w:val="00887E81"/>
    <w:rsid w:val="008903B0"/>
    <w:rsid w:val="008907D3"/>
    <w:rsid w:val="008908AD"/>
    <w:rsid w:val="0089115F"/>
    <w:rsid w:val="0089174E"/>
    <w:rsid w:val="00891E6D"/>
    <w:rsid w:val="00891FFC"/>
    <w:rsid w:val="00892127"/>
    <w:rsid w:val="0089443D"/>
    <w:rsid w:val="00894CE2"/>
    <w:rsid w:val="00895BA7"/>
    <w:rsid w:val="00895BCD"/>
    <w:rsid w:val="00895C33"/>
    <w:rsid w:val="00895EAD"/>
    <w:rsid w:val="00895EFD"/>
    <w:rsid w:val="00896D8A"/>
    <w:rsid w:val="0089727F"/>
    <w:rsid w:val="008A0515"/>
    <w:rsid w:val="008A054E"/>
    <w:rsid w:val="008A074C"/>
    <w:rsid w:val="008A1ED6"/>
    <w:rsid w:val="008A2539"/>
    <w:rsid w:val="008A3343"/>
    <w:rsid w:val="008A38AE"/>
    <w:rsid w:val="008A4688"/>
    <w:rsid w:val="008A4969"/>
    <w:rsid w:val="008A4A3C"/>
    <w:rsid w:val="008A5036"/>
    <w:rsid w:val="008A58E0"/>
    <w:rsid w:val="008B07B3"/>
    <w:rsid w:val="008B0BD1"/>
    <w:rsid w:val="008B0E7D"/>
    <w:rsid w:val="008B24CA"/>
    <w:rsid w:val="008B2B82"/>
    <w:rsid w:val="008B3365"/>
    <w:rsid w:val="008B4034"/>
    <w:rsid w:val="008B4602"/>
    <w:rsid w:val="008B4B6A"/>
    <w:rsid w:val="008B4D3C"/>
    <w:rsid w:val="008B5192"/>
    <w:rsid w:val="008B5D53"/>
    <w:rsid w:val="008B60E6"/>
    <w:rsid w:val="008B7036"/>
    <w:rsid w:val="008B7F3D"/>
    <w:rsid w:val="008B7F88"/>
    <w:rsid w:val="008C1539"/>
    <w:rsid w:val="008C1962"/>
    <w:rsid w:val="008C27CF"/>
    <w:rsid w:val="008C284D"/>
    <w:rsid w:val="008C2D32"/>
    <w:rsid w:val="008C3143"/>
    <w:rsid w:val="008C328D"/>
    <w:rsid w:val="008C33E1"/>
    <w:rsid w:val="008C38A8"/>
    <w:rsid w:val="008C3B27"/>
    <w:rsid w:val="008C512F"/>
    <w:rsid w:val="008C5163"/>
    <w:rsid w:val="008C63C3"/>
    <w:rsid w:val="008C6539"/>
    <w:rsid w:val="008C6976"/>
    <w:rsid w:val="008C6DDF"/>
    <w:rsid w:val="008C6F26"/>
    <w:rsid w:val="008C7830"/>
    <w:rsid w:val="008C7B77"/>
    <w:rsid w:val="008D0200"/>
    <w:rsid w:val="008D02BF"/>
    <w:rsid w:val="008D159E"/>
    <w:rsid w:val="008D16E0"/>
    <w:rsid w:val="008D1912"/>
    <w:rsid w:val="008D2189"/>
    <w:rsid w:val="008D2437"/>
    <w:rsid w:val="008D29F2"/>
    <w:rsid w:val="008D3159"/>
    <w:rsid w:val="008D3176"/>
    <w:rsid w:val="008D31C3"/>
    <w:rsid w:val="008D38AC"/>
    <w:rsid w:val="008D40EE"/>
    <w:rsid w:val="008D42DC"/>
    <w:rsid w:val="008D46B0"/>
    <w:rsid w:val="008D550E"/>
    <w:rsid w:val="008D63B1"/>
    <w:rsid w:val="008D66C1"/>
    <w:rsid w:val="008D6A6B"/>
    <w:rsid w:val="008D6D28"/>
    <w:rsid w:val="008D6F01"/>
    <w:rsid w:val="008D7D35"/>
    <w:rsid w:val="008D7E8A"/>
    <w:rsid w:val="008E0053"/>
    <w:rsid w:val="008E0D78"/>
    <w:rsid w:val="008E1411"/>
    <w:rsid w:val="008E1F21"/>
    <w:rsid w:val="008E2322"/>
    <w:rsid w:val="008E2CC2"/>
    <w:rsid w:val="008E395A"/>
    <w:rsid w:val="008E4747"/>
    <w:rsid w:val="008E4909"/>
    <w:rsid w:val="008E4B48"/>
    <w:rsid w:val="008E55B7"/>
    <w:rsid w:val="008E59F5"/>
    <w:rsid w:val="008E642E"/>
    <w:rsid w:val="008E7596"/>
    <w:rsid w:val="008F008F"/>
    <w:rsid w:val="008F08C7"/>
    <w:rsid w:val="008F13B6"/>
    <w:rsid w:val="008F1775"/>
    <w:rsid w:val="008F1BC5"/>
    <w:rsid w:val="008F24C6"/>
    <w:rsid w:val="008F2539"/>
    <w:rsid w:val="008F3021"/>
    <w:rsid w:val="008F3D05"/>
    <w:rsid w:val="008F43D6"/>
    <w:rsid w:val="008F4924"/>
    <w:rsid w:val="008F56E3"/>
    <w:rsid w:val="008F58CE"/>
    <w:rsid w:val="008F598A"/>
    <w:rsid w:val="008F6E59"/>
    <w:rsid w:val="008F774C"/>
    <w:rsid w:val="008F7A5F"/>
    <w:rsid w:val="008F7E41"/>
    <w:rsid w:val="009001EE"/>
    <w:rsid w:val="00901302"/>
    <w:rsid w:val="00901BB6"/>
    <w:rsid w:val="00901F77"/>
    <w:rsid w:val="00902515"/>
    <w:rsid w:val="00902C48"/>
    <w:rsid w:val="00903C62"/>
    <w:rsid w:val="00903F0C"/>
    <w:rsid w:val="00903FCB"/>
    <w:rsid w:val="00904DC6"/>
    <w:rsid w:val="00906BFC"/>
    <w:rsid w:val="00907D56"/>
    <w:rsid w:val="0091188D"/>
    <w:rsid w:val="00911BD4"/>
    <w:rsid w:val="0091365C"/>
    <w:rsid w:val="00913946"/>
    <w:rsid w:val="00913D35"/>
    <w:rsid w:val="00914284"/>
    <w:rsid w:val="009147B8"/>
    <w:rsid w:val="00914895"/>
    <w:rsid w:val="00914D7A"/>
    <w:rsid w:val="009153D2"/>
    <w:rsid w:val="00915406"/>
    <w:rsid w:val="009154B3"/>
    <w:rsid w:val="00915772"/>
    <w:rsid w:val="0091608B"/>
    <w:rsid w:val="0091626F"/>
    <w:rsid w:val="00916AE8"/>
    <w:rsid w:val="0091791E"/>
    <w:rsid w:val="00917EBE"/>
    <w:rsid w:val="00920D1B"/>
    <w:rsid w:val="00921037"/>
    <w:rsid w:val="0092199A"/>
    <w:rsid w:val="0092242C"/>
    <w:rsid w:val="009224AC"/>
    <w:rsid w:val="0092291F"/>
    <w:rsid w:val="00922EDC"/>
    <w:rsid w:val="009244F2"/>
    <w:rsid w:val="009246A5"/>
    <w:rsid w:val="00924E0D"/>
    <w:rsid w:val="00925113"/>
    <w:rsid w:val="009257E0"/>
    <w:rsid w:val="00925D3A"/>
    <w:rsid w:val="00925DE2"/>
    <w:rsid w:val="0092609D"/>
    <w:rsid w:val="00927005"/>
    <w:rsid w:val="00927329"/>
    <w:rsid w:val="00930077"/>
    <w:rsid w:val="009306E5"/>
    <w:rsid w:val="009314D7"/>
    <w:rsid w:val="009316CE"/>
    <w:rsid w:val="00932501"/>
    <w:rsid w:val="00934BDB"/>
    <w:rsid w:val="00934CE9"/>
    <w:rsid w:val="00935BC6"/>
    <w:rsid w:val="00936830"/>
    <w:rsid w:val="00936921"/>
    <w:rsid w:val="00936F6D"/>
    <w:rsid w:val="00937175"/>
    <w:rsid w:val="00937A27"/>
    <w:rsid w:val="00937CF8"/>
    <w:rsid w:val="00940DA0"/>
    <w:rsid w:val="00943C55"/>
    <w:rsid w:val="00943DD3"/>
    <w:rsid w:val="00944989"/>
    <w:rsid w:val="00945865"/>
    <w:rsid w:val="00945E50"/>
    <w:rsid w:val="00946BDA"/>
    <w:rsid w:val="009474FF"/>
    <w:rsid w:val="009477C4"/>
    <w:rsid w:val="00947C1D"/>
    <w:rsid w:val="00950C5D"/>
    <w:rsid w:val="00951836"/>
    <w:rsid w:val="0095190C"/>
    <w:rsid w:val="00953725"/>
    <w:rsid w:val="009538B8"/>
    <w:rsid w:val="00953D0D"/>
    <w:rsid w:val="009550E2"/>
    <w:rsid w:val="009557E1"/>
    <w:rsid w:val="00955BEE"/>
    <w:rsid w:val="00955FC9"/>
    <w:rsid w:val="00956443"/>
    <w:rsid w:val="009603F4"/>
    <w:rsid w:val="009614CE"/>
    <w:rsid w:val="00961987"/>
    <w:rsid w:val="00961AAD"/>
    <w:rsid w:val="00961B39"/>
    <w:rsid w:val="0096267E"/>
    <w:rsid w:val="00963237"/>
    <w:rsid w:val="00963F19"/>
    <w:rsid w:val="00964891"/>
    <w:rsid w:val="009648E8"/>
    <w:rsid w:val="00964D92"/>
    <w:rsid w:val="009652DA"/>
    <w:rsid w:val="00966B08"/>
    <w:rsid w:val="00966C77"/>
    <w:rsid w:val="00966C79"/>
    <w:rsid w:val="00966DE8"/>
    <w:rsid w:val="00967120"/>
    <w:rsid w:val="00967DF4"/>
    <w:rsid w:val="00970377"/>
    <w:rsid w:val="0097107C"/>
    <w:rsid w:val="009711B9"/>
    <w:rsid w:val="00972347"/>
    <w:rsid w:val="00972748"/>
    <w:rsid w:val="00973F76"/>
    <w:rsid w:val="009747A6"/>
    <w:rsid w:val="00974A66"/>
    <w:rsid w:val="00974BF8"/>
    <w:rsid w:val="00974CD2"/>
    <w:rsid w:val="00975C68"/>
    <w:rsid w:val="00975FFC"/>
    <w:rsid w:val="00976DE8"/>
    <w:rsid w:val="0097759E"/>
    <w:rsid w:val="00980BD7"/>
    <w:rsid w:val="00980E55"/>
    <w:rsid w:val="0098108A"/>
    <w:rsid w:val="00981BEF"/>
    <w:rsid w:val="00981F4A"/>
    <w:rsid w:val="009820F0"/>
    <w:rsid w:val="00982614"/>
    <w:rsid w:val="00982969"/>
    <w:rsid w:val="00982A0E"/>
    <w:rsid w:val="00984710"/>
    <w:rsid w:val="00984C7D"/>
    <w:rsid w:val="00985050"/>
    <w:rsid w:val="0098584D"/>
    <w:rsid w:val="00986021"/>
    <w:rsid w:val="0098613A"/>
    <w:rsid w:val="00986DD9"/>
    <w:rsid w:val="00987128"/>
    <w:rsid w:val="009873F6"/>
    <w:rsid w:val="00987995"/>
    <w:rsid w:val="00991C5F"/>
    <w:rsid w:val="00991E6A"/>
    <w:rsid w:val="009926DF"/>
    <w:rsid w:val="00993575"/>
    <w:rsid w:val="00993A20"/>
    <w:rsid w:val="00994662"/>
    <w:rsid w:val="00994677"/>
    <w:rsid w:val="009946D8"/>
    <w:rsid w:val="009952FB"/>
    <w:rsid w:val="00995606"/>
    <w:rsid w:val="0099628B"/>
    <w:rsid w:val="00996F8A"/>
    <w:rsid w:val="009A10AF"/>
    <w:rsid w:val="009A25D6"/>
    <w:rsid w:val="009A297A"/>
    <w:rsid w:val="009A2DC2"/>
    <w:rsid w:val="009A532D"/>
    <w:rsid w:val="009A5414"/>
    <w:rsid w:val="009A5E8A"/>
    <w:rsid w:val="009A6344"/>
    <w:rsid w:val="009A6A30"/>
    <w:rsid w:val="009A79DA"/>
    <w:rsid w:val="009B0854"/>
    <w:rsid w:val="009B08F5"/>
    <w:rsid w:val="009B1CD5"/>
    <w:rsid w:val="009B200B"/>
    <w:rsid w:val="009B24A5"/>
    <w:rsid w:val="009B2560"/>
    <w:rsid w:val="009B29AD"/>
    <w:rsid w:val="009B2EC2"/>
    <w:rsid w:val="009B31DB"/>
    <w:rsid w:val="009B3408"/>
    <w:rsid w:val="009B3D5A"/>
    <w:rsid w:val="009B4301"/>
    <w:rsid w:val="009B5682"/>
    <w:rsid w:val="009B6FCC"/>
    <w:rsid w:val="009B72C6"/>
    <w:rsid w:val="009B730F"/>
    <w:rsid w:val="009B74D5"/>
    <w:rsid w:val="009B7D47"/>
    <w:rsid w:val="009C0034"/>
    <w:rsid w:val="009C0E52"/>
    <w:rsid w:val="009C0ECC"/>
    <w:rsid w:val="009C1BBA"/>
    <w:rsid w:val="009C1F4A"/>
    <w:rsid w:val="009C1FF0"/>
    <w:rsid w:val="009C2232"/>
    <w:rsid w:val="009C3084"/>
    <w:rsid w:val="009C312A"/>
    <w:rsid w:val="009C321A"/>
    <w:rsid w:val="009C4214"/>
    <w:rsid w:val="009C4216"/>
    <w:rsid w:val="009C5060"/>
    <w:rsid w:val="009C54DF"/>
    <w:rsid w:val="009C5B09"/>
    <w:rsid w:val="009C63AB"/>
    <w:rsid w:val="009C6AA8"/>
    <w:rsid w:val="009C74FA"/>
    <w:rsid w:val="009D0258"/>
    <w:rsid w:val="009D0684"/>
    <w:rsid w:val="009D1157"/>
    <w:rsid w:val="009D3294"/>
    <w:rsid w:val="009D364D"/>
    <w:rsid w:val="009D42E7"/>
    <w:rsid w:val="009D49ED"/>
    <w:rsid w:val="009D4A7B"/>
    <w:rsid w:val="009D4F12"/>
    <w:rsid w:val="009D669E"/>
    <w:rsid w:val="009D7296"/>
    <w:rsid w:val="009D75EB"/>
    <w:rsid w:val="009D7725"/>
    <w:rsid w:val="009D78C3"/>
    <w:rsid w:val="009E07DA"/>
    <w:rsid w:val="009E160F"/>
    <w:rsid w:val="009E1BE8"/>
    <w:rsid w:val="009E2166"/>
    <w:rsid w:val="009E235B"/>
    <w:rsid w:val="009E2DD5"/>
    <w:rsid w:val="009E3869"/>
    <w:rsid w:val="009E3A81"/>
    <w:rsid w:val="009E3BFF"/>
    <w:rsid w:val="009E3C7F"/>
    <w:rsid w:val="009E439C"/>
    <w:rsid w:val="009E5AC4"/>
    <w:rsid w:val="009E6096"/>
    <w:rsid w:val="009E6A48"/>
    <w:rsid w:val="009E6A73"/>
    <w:rsid w:val="009E6C36"/>
    <w:rsid w:val="009E7641"/>
    <w:rsid w:val="009F0D9B"/>
    <w:rsid w:val="009F3A36"/>
    <w:rsid w:val="009F3F48"/>
    <w:rsid w:val="009F52FA"/>
    <w:rsid w:val="009F6368"/>
    <w:rsid w:val="009F69B8"/>
    <w:rsid w:val="009F725D"/>
    <w:rsid w:val="009F76A8"/>
    <w:rsid w:val="009F78B1"/>
    <w:rsid w:val="009F7B6E"/>
    <w:rsid w:val="00A00795"/>
    <w:rsid w:val="00A00D80"/>
    <w:rsid w:val="00A010F7"/>
    <w:rsid w:val="00A0177A"/>
    <w:rsid w:val="00A01A75"/>
    <w:rsid w:val="00A01FA8"/>
    <w:rsid w:val="00A04CEC"/>
    <w:rsid w:val="00A04E86"/>
    <w:rsid w:val="00A04F5B"/>
    <w:rsid w:val="00A052F6"/>
    <w:rsid w:val="00A0580B"/>
    <w:rsid w:val="00A070D6"/>
    <w:rsid w:val="00A072A3"/>
    <w:rsid w:val="00A0755D"/>
    <w:rsid w:val="00A0790A"/>
    <w:rsid w:val="00A106DC"/>
    <w:rsid w:val="00A10E92"/>
    <w:rsid w:val="00A10EA0"/>
    <w:rsid w:val="00A1226F"/>
    <w:rsid w:val="00A12484"/>
    <w:rsid w:val="00A12735"/>
    <w:rsid w:val="00A12F3F"/>
    <w:rsid w:val="00A13244"/>
    <w:rsid w:val="00A15C66"/>
    <w:rsid w:val="00A173F4"/>
    <w:rsid w:val="00A17641"/>
    <w:rsid w:val="00A17B6F"/>
    <w:rsid w:val="00A21A30"/>
    <w:rsid w:val="00A21EA6"/>
    <w:rsid w:val="00A22630"/>
    <w:rsid w:val="00A23897"/>
    <w:rsid w:val="00A23A90"/>
    <w:rsid w:val="00A23D8D"/>
    <w:rsid w:val="00A23DF0"/>
    <w:rsid w:val="00A24F48"/>
    <w:rsid w:val="00A25C8C"/>
    <w:rsid w:val="00A25D30"/>
    <w:rsid w:val="00A25FC1"/>
    <w:rsid w:val="00A26356"/>
    <w:rsid w:val="00A2641E"/>
    <w:rsid w:val="00A26661"/>
    <w:rsid w:val="00A26D3E"/>
    <w:rsid w:val="00A304CB"/>
    <w:rsid w:val="00A30A20"/>
    <w:rsid w:val="00A30B55"/>
    <w:rsid w:val="00A31364"/>
    <w:rsid w:val="00A32D1B"/>
    <w:rsid w:val="00A3321C"/>
    <w:rsid w:val="00A334E1"/>
    <w:rsid w:val="00A3371D"/>
    <w:rsid w:val="00A339BC"/>
    <w:rsid w:val="00A346FE"/>
    <w:rsid w:val="00A355C0"/>
    <w:rsid w:val="00A356A1"/>
    <w:rsid w:val="00A356C2"/>
    <w:rsid w:val="00A35A77"/>
    <w:rsid w:val="00A36208"/>
    <w:rsid w:val="00A36DAF"/>
    <w:rsid w:val="00A3726B"/>
    <w:rsid w:val="00A4060F"/>
    <w:rsid w:val="00A40BEE"/>
    <w:rsid w:val="00A41843"/>
    <w:rsid w:val="00A418E0"/>
    <w:rsid w:val="00A41D7B"/>
    <w:rsid w:val="00A41FB8"/>
    <w:rsid w:val="00A4392D"/>
    <w:rsid w:val="00A43ABE"/>
    <w:rsid w:val="00A44B84"/>
    <w:rsid w:val="00A44FB7"/>
    <w:rsid w:val="00A4522B"/>
    <w:rsid w:val="00A45BD0"/>
    <w:rsid w:val="00A460AD"/>
    <w:rsid w:val="00A47004"/>
    <w:rsid w:val="00A47B5E"/>
    <w:rsid w:val="00A47C5A"/>
    <w:rsid w:val="00A47F42"/>
    <w:rsid w:val="00A508EF"/>
    <w:rsid w:val="00A50EF6"/>
    <w:rsid w:val="00A51B6C"/>
    <w:rsid w:val="00A51FEF"/>
    <w:rsid w:val="00A52F9D"/>
    <w:rsid w:val="00A530CC"/>
    <w:rsid w:val="00A53289"/>
    <w:rsid w:val="00A53439"/>
    <w:rsid w:val="00A53FFC"/>
    <w:rsid w:val="00A5404D"/>
    <w:rsid w:val="00A54623"/>
    <w:rsid w:val="00A5472C"/>
    <w:rsid w:val="00A54D59"/>
    <w:rsid w:val="00A55C42"/>
    <w:rsid w:val="00A566A4"/>
    <w:rsid w:val="00A56A4E"/>
    <w:rsid w:val="00A57023"/>
    <w:rsid w:val="00A57417"/>
    <w:rsid w:val="00A57511"/>
    <w:rsid w:val="00A57587"/>
    <w:rsid w:val="00A6032A"/>
    <w:rsid w:val="00A61374"/>
    <w:rsid w:val="00A6144D"/>
    <w:rsid w:val="00A61FED"/>
    <w:rsid w:val="00A62015"/>
    <w:rsid w:val="00A621D8"/>
    <w:rsid w:val="00A62237"/>
    <w:rsid w:val="00A63646"/>
    <w:rsid w:val="00A64B38"/>
    <w:rsid w:val="00A651FE"/>
    <w:rsid w:val="00A7074B"/>
    <w:rsid w:val="00A7089F"/>
    <w:rsid w:val="00A70B44"/>
    <w:rsid w:val="00A741B7"/>
    <w:rsid w:val="00A74457"/>
    <w:rsid w:val="00A746B2"/>
    <w:rsid w:val="00A75596"/>
    <w:rsid w:val="00A75725"/>
    <w:rsid w:val="00A76CE6"/>
    <w:rsid w:val="00A76EF5"/>
    <w:rsid w:val="00A77380"/>
    <w:rsid w:val="00A77492"/>
    <w:rsid w:val="00A77843"/>
    <w:rsid w:val="00A779AA"/>
    <w:rsid w:val="00A779DC"/>
    <w:rsid w:val="00A77F86"/>
    <w:rsid w:val="00A800E4"/>
    <w:rsid w:val="00A80E0A"/>
    <w:rsid w:val="00A811C7"/>
    <w:rsid w:val="00A811F1"/>
    <w:rsid w:val="00A81F12"/>
    <w:rsid w:val="00A828BD"/>
    <w:rsid w:val="00A8295C"/>
    <w:rsid w:val="00A82B61"/>
    <w:rsid w:val="00A83122"/>
    <w:rsid w:val="00A832B2"/>
    <w:rsid w:val="00A83729"/>
    <w:rsid w:val="00A83C57"/>
    <w:rsid w:val="00A84526"/>
    <w:rsid w:val="00A845EF"/>
    <w:rsid w:val="00A846F6"/>
    <w:rsid w:val="00A849C8"/>
    <w:rsid w:val="00A869E0"/>
    <w:rsid w:val="00A86EA4"/>
    <w:rsid w:val="00A87747"/>
    <w:rsid w:val="00A87AAF"/>
    <w:rsid w:val="00A87DC2"/>
    <w:rsid w:val="00A90EC0"/>
    <w:rsid w:val="00A91855"/>
    <w:rsid w:val="00A9208D"/>
    <w:rsid w:val="00A92130"/>
    <w:rsid w:val="00A92D03"/>
    <w:rsid w:val="00A937C1"/>
    <w:rsid w:val="00A9390B"/>
    <w:rsid w:val="00A93C6D"/>
    <w:rsid w:val="00A94AF2"/>
    <w:rsid w:val="00A95A3B"/>
    <w:rsid w:val="00A95EAC"/>
    <w:rsid w:val="00A970CE"/>
    <w:rsid w:val="00AA027A"/>
    <w:rsid w:val="00AA0338"/>
    <w:rsid w:val="00AA1004"/>
    <w:rsid w:val="00AA1F1C"/>
    <w:rsid w:val="00AA22B8"/>
    <w:rsid w:val="00AA2828"/>
    <w:rsid w:val="00AA2E8F"/>
    <w:rsid w:val="00AA3566"/>
    <w:rsid w:val="00AA3A2D"/>
    <w:rsid w:val="00AA4E19"/>
    <w:rsid w:val="00AA4FD5"/>
    <w:rsid w:val="00AA5C95"/>
    <w:rsid w:val="00AA5E71"/>
    <w:rsid w:val="00AA60F6"/>
    <w:rsid w:val="00AA61AE"/>
    <w:rsid w:val="00AA61CC"/>
    <w:rsid w:val="00AA643C"/>
    <w:rsid w:val="00AA66B7"/>
    <w:rsid w:val="00AA6988"/>
    <w:rsid w:val="00AA760A"/>
    <w:rsid w:val="00AB0371"/>
    <w:rsid w:val="00AB0C46"/>
    <w:rsid w:val="00AB123E"/>
    <w:rsid w:val="00AB1712"/>
    <w:rsid w:val="00AB1DD0"/>
    <w:rsid w:val="00AB23EF"/>
    <w:rsid w:val="00AB2672"/>
    <w:rsid w:val="00AB2D89"/>
    <w:rsid w:val="00AB2E39"/>
    <w:rsid w:val="00AB3346"/>
    <w:rsid w:val="00AB3540"/>
    <w:rsid w:val="00AB38B9"/>
    <w:rsid w:val="00AB3E59"/>
    <w:rsid w:val="00AB4E8F"/>
    <w:rsid w:val="00AB656B"/>
    <w:rsid w:val="00AB6995"/>
    <w:rsid w:val="00AB6EA2"/>
    <w:rsid w:val="00AB7C3C"/>
    <w:rsid w:val="00AC14E3"/>
    <w:rsid w:val="00AC169A"/>
    <w:rsid w:val="00AC1D6D"/>
    <w:rsid w:val="00AC2031"/>
    <w:rsid w:val="00AC292E"/>
    <w:rsid w:val="00AC2AC3"/>
    <w:rsid w:val="00AC2C4F"/>
    <w:rsid w:val="00AC2F72"/>
    <w:rsid w:val="00AC3001"/>
    <w:rsid w:val="00AC31FD"/>
    <w:rsid w:val="00AC3A0B"/>
    <w:rsid w:val="00AC4120"/>
    <w:rsid w:val="00AC419E"/>
    <w:rsid w:val="00AC4FBD"/>
    <w:rsid w:val="00AC5849"/>
    <w:rsid w:val="00AC5992"/>
    <w:rsid w:val="00AC7149"/>
    <w:rsid w:val="00AC7A60"/>
    <w:rsid w:val="00AC7BBA"/>
    <w:rsid w:val="00AC7C89"/>
    <w:rsid w:val="00AD0228"/>
    <w:rsid w:val="00AD0759"/>
    <w:rsid w:val="00AD0A53"/>
    <w:rsid w:val="00AD0EB2"/>
    <w:rsid w:val="00AD1747"/>
    <w:rsid w:val="00AD1ED6"/>
    <w:rsid w:val="00AD2603"/>
    <w:rsid w:val="00AD3F86"/>
    <w:rsid w:val="00AD3FEC"/>
    <w:rsid w:val="00AD436B"/>
    <w:rsid w:val="00AD4669"/>
    <w:rsid w:val="00AD48A7"/>
    <w:rsid w:val="00AD49A0"/>
    <w:rsid w:val="00AD4D89"/>
    <w:rsid w:val="00AD4F4A"/>
    <w:rsid w:val="00AD5B41"/>
    <w:rsid w:val="00AD5BE4"/>
    <w:rsid w:val="00AD6007"/>
    <w:rsid w:val="00AD6C79"/>
    <w:rsid w:val="00AD7D74"/>
    <w:rsid w:val="00AD7DAC"/>
    <w:rsid w:val="00AE0069"/>
    <w:rsid w:val="00AE0369"/>
    <w:rsid w:val="00AE0BA4"/>
    <w:rsid w:val="00AE0C02"/>
    <w:rsid w:val="00AE3346"/>
    <w:rsid w:val="00AE3B11"/>
    <w:rsid w:val="00AE3CE8"/>
    <w:rsid w:val="00AE3E87"/>
    <w:rsid w:val="00AE41F0"/>
    <w:rsid w:val="00AE431C"/>
    <w:rsid w:val="00AE4FA1"/>
    <w:rsid w:val="00AE7278"/>
    <w:rsid w:val="00AE75E7"/>
    <w:rsid w:val="00AE7799"/>
    <w:rsid w:val="00AF089B"/>
    <w:rsid w:val="00AF123C"/>
    <w:rsid w:val="00AF2C52"/>
    <w:rsid w:val="00AF3057"/>
    <w:rsid w:val="00AF305A"/>
    <w:rsid w:val="00AF3412"/>
    <w:rsid w:val="00AF34DB"/>
    <w:rsid w:val="00AF3B6C"/>
    <w:rsid w:val="00AF4359"/>
    <w:rsid w:val="00AF520E"/>
    <w:rsid w:val="00AF547D"/>
    <w:rsid w:val="00AF5634"/>
    <w:rsid w:val="00AF56A5"/>
    <w:rsid w:val="00AF5EEE"/>
    <w:rsid w:val="00AF6360"/>
    <w:rsid w:val="00AF758F"/>
    <w:rsid w:val="00AF759D"/>
    <w:rsid w:val="00AF76A5"/>
    <w:rsid w:val="00AF7EBA"/>
    <w:rsid w:val="00B00A4C"/>
    <w:rsid w:val="00B00C7E"/>
    <w:rsid w:val="00B00E48"/>
    <w:rsid w:val="00B00ED2"/>
    <w:rsid w:val="00B019EB"/>
    <w:rsid w:val="00B028C3"/>
    <w:rsid w:val="00B02912"/>
    <w:rsid w:val="00B0311A"/>
    <w:rsid w:val="00B04119"/>
    <w:rsid w:val="00B04963"/>
    <w:rsid w:val="00B049F9"/>
    <w:rsid w:val="00B05B82"/>
    <w:rsid w:val="00B06DDF"/>
    <w:rsid w:val="00B071A8"/>
    <w:rsid w:val="00B07B66"/>
    <w:rsid w:val="00B1056D"/>
    <w:rsid w:val="00B111FC"/>
    <w:rsid w:val="00B114BA"/>
    <w:rsid w:val="00B11C1E"/>
    <w:rsid w:val="00B13A63"/>
    <w:rsid w:val="00B1511C"/>
    <w:rsid w:val="00B15996"/>
    <w:rsid w:val="00B15E54"/>
    <w:rsid w:val="00B17624"/>
    <w:rsid w:val="00B17805"/>
    <w:rsid w:val="00B17943"/>
    <w:rsid w:val="00B17C59"/>
    <w:rsid w:val="00B17FC5"/>
    <w:rsid w:val="00B20693"/>
    <w:rsid w:val="00B20B00"/>
    <w:rsid w:val="00B20F38"/>
    <w:rsid w:val="00B21765"/>
    <w:rsid w:val="00B21963"/>
    <w:rsid w:val="00B21E05"/>
    <w:rsid w:val="00B22802"/>
    <w:rsid w:val="00B231C1"/>
    <w:rsid w:val="00B232FD"/>
    <w:rsid w:val="00B238B4"/>
    <w:rsid w:val="00B23EF1"/>
    <w:rsid w:val="00B2489A"/>
    <w:rsid w:val="00B25213"/>
    <w:rsid w:val="00B25271"/>
    <w:rsid w:val="00B26551"/>
    <w:rsid w:val="00B26CF3"/>
    <w:rsid w:val="00B30017"/>
    <w:rsid w:val="00B3062F"/>
    <w:rsid w:val="00B30F33"/>
    <w:rsid w:val="00B31032"/>
    <w:rsid w:val="00B312DE"/>
    <w:rsid w:val="00B3147B"/>
    <w:rsid w:val="00B315D4"/>
    <w:rsid w:val="00B31BD5"/>
    <w:rsid w:val="00B31CDF"/>
    <w:rsid w:val="00B31EE6"/>
    <w:rsid w:val="00B32FCC"/>
    <w:rsid w:val="00B3322E"/>
    <w:rsid w:val="00B345A5"/>
    <w:rsid w:val="00B345BE"/>
    <w:rsid w:val="00B34F2B"/>
    <w:rsid w:val="00B35E3C"/>
    <w:rsid w:val="00B36595"/>
    <w:rsid w:val="00B368B0"/>
    <w:rsid w:val="00B37861"/>
    <w:rsid w:val="00B37899"/>
    <w:rsid w:val="00B37A71"/>
    <w:rsid w:val="00B37C06"/>
    <w:rsid w:val="00B37C82"/>
    <w:rsid w:val="00B41380"/>
    <w:rsid w:val="00B42778"/>
    <w:rsid w:val="00B42BD7"/>
    <w:rsid w:val="00B42C08"/>
    <w:rsid w:val="00B43442"/>
    <w:rsid w:val="00B463F4"/>
    <w:rsid w:val="00B50428"/>
    <w:rsid w:val="00B50590"/>
    <w:rsid w:val="00B50A07"/>
    <w:rsid w:val="00B51323"/>
    <w:rsid w:val="00B51604"/>
    <w:rsid w:val="00B523A1"/>
    <w:rsid w:val="00B52F90"/>
    <w:rsid w:val="00B530AB"/>
    <w:rsid w:val="00B54080"/>
    <w:rsid w:val="00B557E2"/>
    <w:rsid w:val="00B55C31"/>
    <w:rsid w:val="00B56157"/>
    <w:rsid w:val="00B56CD4"/>
    <w:rsid w:val="00B57B61"/>
    <w:rsid w:val="00B57F91"/>
    <w:rsid w:val="00B601E2"/>
    <w:rsid w:val="00B60370"/>
    <w:rsid w:val="00B6055E"/>
    <w:rsid w:val="00B61B8F"/>
    <w:rsid w:val="00B6281F"/>
    <w:rsid w:val="00B629D8"/>
    <w:rsid w:val="00B631E5"/>
    <w:rsid w:val="00B63389"/>
    <w:rsid w:val="00B634AF"/>
    <w:rsid w:val="00B63D9C"/>
    <w:rsid w:val="00B665BF"/>
    <w:rsid w:val="00B666A1"/>
    <w:rsid w:val="00B67436"/>
    <w:rsid w:val="00B677A4"/>
    <w:rsid w:val="00B67ADE"/>
    <w:rsid w:val="00B70569"/>
    <w:rsid w:val="00B70804"/>
    <w:rsid w:val="00B708AB"/>
    <w:rsid w:val="00B70D04"/>
    <w:rsid w:val="00B70E8E"/>
    <w:rsid w:val="00B71345"/>
    <w:rsid w:val="00B7181C"/>
    <w:rsid w:val="00B73B39"/>
    <w:rsid w:val="00B73B57"/>
    <w:rsid w:val="00B74535"/>
    <w:rsid w:val="00B74DE9"/>
    <w:rsid w:val="00B7529B"/>
    <w:rsid w:val="00B7581A"/>
    <w:rsid w:val="00B758A3"/>
    <w:rsid w:val="00B75A5E"/>
    <w:rsid w:val="00B764CC"/>
    <w:rsid w:val="00B765B7"/>
    <w:rsid w:val="00B765D5"/>
    <w:rsid w:val="00B765E8"/>
    <w:rsid w:val="00B770F3"/>
    <w:rsid w:val="00B77180"/>
    <w:rsid w:val="00B77866"/>
    <w:rsid w:val="00B80485"/>
    <w:rsid w:val="00B809D5"/>
    <w:rsid w:val="00B80AF4"/>
    <w:rsid w:val="00B80C45"/>
    <w:rsid w:val="00B80D42"/>
    <w:rsid w:val="00B81151"/>
    <w:rsid w:val="00B81441"/>
    <w:rsid w:val="00B81A71"/>
    <w:rsid w:val="00B826B7"/>
    <w:rsid w:val="00B8290B"/>
    <w:rsid w:val="00B83089"/>
    <w:rsid w:val="00B83251"/>
    <w:rsid w:val="00B83D53"/>
    <w:rsid w:val="00B8425C"/>
    <w:rsid w:val="00B84CBF"/>
    <w:rsid w:val="00B8531C"/>
    <w:rsid w:val="00B8532E"/>
    <w:rsid w:val="00B863D2"/>
    <w:rsid w:val="00B86AAA"/>
    <w:rsid w:val="00B86E40"/>
    <w:rsid w:val="00B86EAD"/>
    <w:rsid w:val="00B87550"/>
    <w:rsid w:val="00B87808"/>
    <w:rsid w:val="00B87A1E"/>
    <w:rsid w:val="00B87ECD"/>
    <w:rsid w:val="00B90436"/>
    <w:rsid w:val="00B90D93"/>
    <w:rsid w:val="00B90EEF"/>
    <w:rsid w:val="00B92553"/>
    <w:rsid w:val="00B929CF"/>
    <w:rsid w:val="00B929F5"/>
    <w:rsid w:val="00B92E8F"/>
    <w:rsid w:val="00B93B26"/>
    <w:rsid w:val="00B94696"/>
    <w:rsid w:val="00B94E16"/>
    <w:rsid w:val="00B951E3"/>
    <w:rsid w:val="00B97096"/>
    <w:rsid w:val="00B97BEA"/>
    <w:rsid w:val="00B97DAB"/>
    <w:rsid w:val="00B97E15"/>
    <w:rsid w:val="00B97F85"/>
    <w:rsid w:val="00BA068A"/>
    <w:rsid w:val="00BA086C"/>
    <w:rsid w:val="00BA09AF"/>
    <w:rsid w:val="00BA1587"/>
    <w:rsid w:val="00BA29EB"/>
    <w:rsid w:val="00BA2DA8"/>
    <w:rsid w:val="00BA322B"/>
    <w:rsid w:val="00BA378F"/>
    <w:rsid w:val="00BA3B49"/>
    <w:rsid w:val="00BA3F4F"/>
    <w:rsid w:val="00BA4B3E"/>
    <w:rsid w:val="00BA53C7"/>
    <w:rsid w:val="00BA545E"/>
    <w:rsid w:val="00BA589D"/>
    <w:rsid w:val="00BA5D9C"/>
    <w:rsid w:val="00BA6471"/>
    <w:rsid w:val="00BA6589"/>
    <w:rsid w:val="00BA6FE3"/>
    <w:rsid w:val="00BB0511"/>
    <w:rsid w:val="00BB0768"/>
    <w:rsid w:val="00BB0806"/>
    <w:rsid w:val="00BB09B8"/>
    <w:rsid w:val="00BB1356"/>
    <w:rsid w:val="00BB1388"/>
    <w:rsid w:val="00BB1436"/>
    <w:rsid w:val="00BB1443"/>
    <w:rsid w:val="00BB1CED"/>
    <w:rsid w:val="00BB1D2A"/>
    <w:rsid w:val="00BB4665"/>
    <w:rsid w:val="00BB50F2"/>
    <w:rsid w:val="00BB5F5D"/>
    <w:rsid w:val="00BB60BC"/>
    <w:rsid w:val="00BB6346"/>
    <w:rsid w:val="00BB6390"/>
    <w:rsid w:val="00BB7A3E"/>
    <w:rsid w:val="00BC04F8"/>
    <w:rsid w:val="00BC0916"/>
    <w:rsid w:val="00BC0F5C"/>
    <w:rsid w:val="00BC1219"/>
    <w:rsid w:val="00BC128E"/>
    <w:rsid w:val="00BC1F86"/>
    <w:rsid w:val="00BC25EB"/>
    <w:rsid w:val="00BC28BE"/>
    <w:rsid w:val="00BC300B"/>
    <w:rsid w:val="00BC3A9E"/>
    <w:rsid w:val="00BC3AA8"/>
    <w:rsid w:val="00BC431A"/>
    <w:rsid w:val="00BC4F1E"/>
    <w:rsid w:val="00BC639A"/>
    <w:rsid w:val="00BC6713"/>
    <w:rsid w:val="00BC70F0"/>
    <w:rsid w:val="00BC7539"/>
    <w:rsid w:val="00BC75E7"/>
    <w:rsid w:val="00BC78F0"/>
    <w:rsid w:val="00BD070D"/>
    <w:rsid w:val="00BD0843"/>
    <w:rsid w:val="00BD0E25"/>
    <w:rsid w:val="00BD1E32"/>
    <w:rsid w:val="00BD32CA"/>
    <w:rsid w:val="00BD5EDF"/>
    <w:rsid w:val="00BD6265"/>
    <w:rsid w:val="00BD629E"/>
    <w:rsid w:val="00BD6BE8"/>
    <w:rsid w:val="00BD739F"/>
    <w:rsid w:val="00BD7856"/>
    <w:rsid w:val="00BD7C3A"/>
    <w:rsid w:val="00BD7DFC"/>
    <w:rsid w:val="00BE067D"/>
    <w:rsid w:val="00BE0BB1"/>
    <w:rsid w:val="00BE0C13"/>
    <w:rsid w:val="00BE19E0"/>
    <w:rsid w:val="00BE1CB3"/>
    <w:rsid w:val="00BE21F3"/>
    <w:rsid w:val="00BE2888"/>
    <w:rsid w:val="00BE2969"/>
    <w:rsid w:val="00BE2E01"/>
    <w:rsid w:val="00BE2F11"/>
    <w:rsid w:val="00BE42EF"/>
    <w:rsid w:val="00BE49D8"/>
    <w:rsid w:val="00BE4BB7"/>
    <w:rsid w:val="00BE55CF"/>
    <w:rsid w:val="00BE5F1A"/>
    <w:rsid w:val="00BE7421"/>
    <w:rsid w:val="00BE7799"/>
    <w:rsid w:val="00BE7BB3"/>
    <w:rsid w:val="00BF00AF"/>
    <w:rsid w:val="00BF05E2"/>
    <w:rsid w:val="00BF08A6"/>
    <w:rsid w:val="00BF1372"/>
    <w:rsid w:val="00BF1712"/>
    <w:rsid w:val="00BF23A4"/>
    <w:rsid w:val="00BF23F2"/>
    <w:rsid w:val="00BF2BA8"/>
    <w:rsid w:val="00BF308A"/>
    <w:rsid w:val="00BF31DF"/>
    <w:rsid w:val="00BF4506"/>
    <w:rsid w:val="00BF4B04"/>
    <w:rsid w:val="00BF4B1F"/>
    <w:rsid w:val="00BF557A"/>
    <w:rsid w:val="00BF5BC3"/>
    <w:rsid w:val="00BF6AB5"/>
    <w:rsid w:val="00BF7748"/>
    <w:rsid w:val="00C0077A"/>
    <w:rsid w:val="00C01184"/>
    <w:rsid w:val="00C01658"/>
    <w:rsid w:val="00C01EC4"/>
    <w:rsid w:val="00C0211C"/>
    <w:rsid w:val="00C05249"/>
    <w:rsid w:val="00C052C4"/>
    <w:rsid w:val="00C05E67"/>
    <w:rsid w:val="00C0601C"/>
    <w:rsid w:val="00C0620C"/>
    <w:rsid w:val="00C06246"/>
    <w:rsid w:val="00C062C5"/>
    <w:rsid w:val="00C062E7"/>
    <w:rsid w:val="00C069AE"/>
    <w:rsid w:val="00C077CE"/>
    <w:rsid w:val="00C078BC"/>
    <w:rsid w:val="00C07B15"/>
    <w:rsid w:val="00C07C33"/>
    <w:rsid w:val="00C10493"/>
    <w:rsid w:val="00C107FF"/>
    <w:rsid w:val="00C10BEC"/>
    <w:rsid w:val="00C11539"/>
    <w:rsid w:val="00C11E97"/>
    <w:rsid w:val="00C124AE"/>
    <w:rsid w:val="00C1416D"/>
    <w:rsid w:val="00C14202"/>
    <w:rsid w:val="00C144BE"/>
    <w:rsid w:val="00C147B3"/>
    <w:rsid w:val="00C14AF0"/>
    <w:rsid w:val="00C14EE5"/>
    <w:rsid w:val="00C15DBE"/>
    <w:rsid w:val="00C16732"/>
    <w:rsid w:val="00C16DB8"/>
    <w:rsid w:val="00C16EEB"/>
    <w:rsid w:val="00C170DE"/>
    <w:rsid w:val="00C17237"/>
    <w:rsid w:val="00C17379"/>
    <w:rsid w:val="00C176EF"/>
    <w:rsid w:val="00C17AC9"/>
    <w:rsid w:val="00C20E54"/>
    <w:rsid w:val="00C21259"/>
    <w:rsid w:val="00C21FF5"/>
    <w:rsid w:val="00C23AA5"/>
    <w:rsid w:val="00C23C9B"/>
    <w:rsid w:val="00C241C7"/>
    <w:rsid w:val="00C2429C"/>
    <w:rsid w:val="00C24428"/>
    <w:rsid w:val="00C246D4"/>
    <w:rsid w:val="00C24B99"/>
    <w:rsid w:val="00C24F74"/>
    <w:rsid w:val="00C25A3F"/>
    <w:rsid w:val="00C25CF5"/>
    <w:rsid w:val="00C274C1"/>
    <w:rsid w:val="00C275BE"/>
    <w:rsid w:val="00C27901"/>
    <w:rsid w:val="00C300E0"/>
    <w:rsid w:val="00C303FA"/>
    <w:rsid w:val="00C304A0"/>
    <w:rsid w:val="00C30DE8"/>
    <w:rsid w:val="00C31C3C"/>
    <w:rsid w:val="00C3247C"/>
    <w:rsid w:val="00C331A4"/>
    <w:rsid w:val="00C33280"/>
    <w:rsid w:val="00C333DA"/>
    <w:rsid w:val="00C33978"/>
    <w:rsid w:val="00C350EF"/>
    <w:rsid w:val="00C35304"/>
    <w:rsid w:val="00C35491"/>
    <w:rsid w:val="00C35991"/>
    <w:rsid w:val="00C35A86"/>
    <w:rsid w:val="00C35B8A"/>
    <w:rsid w:val="00C35EC7"/>
    <w:rsid w:val="00C368B0"/>
    <w:rsid w:val="00C36BEB"/>
    <w:rsid w:val="00C36C7B"/>
    <w:rsid w:val="00C36E16"/>
    <w:rsid w:val="00C371C4"/>
    <w:rsid w:val="00C40BA6"/>
    <w:rsid w:val="00C40FC9"/>
    <w:rsid w:val="00C41905"/>
    <w:rsid w:val="00C4331B"/>
    <w:rsid w:val="00C434AE"/>
    <w:rsid w:val="00C43FED"/>
    <w:rsid w:val="00C43FF3"/>
    <w:rsid w:val="00C45EBD"/>
    <w:rsid w:val="00C45EC6"/>
    <w:rsid w:val="00C46CA7"/>
    <w:rsid w:val="00C4760F"/>
    <w:rsid w:val="00C504EE"/>
    <w:rsid w:val="00C505F5"/>
    <w:rsid w:val="00C5122F"/>
    <w:rsid w:val="00C51B29"/>
    <w:rsid w:val="00C52B71"/>
    <w:rsid w:val="00C52FB6"/>
    <w:rsid w:val="00C5412F"/>
    <w:rsid w:val="00C544C1"/>
    <w:rsid w:val="00C54DD2"/>
    <w:rsid w:val="00C55031"/>
    <w:rsid w:val="00C55F54"/>
    <w:rsid w:val="00C5637D"/>
    <w:rsid w:val="00C567BD"/>
    <w:rsid w:val="00C569DB"/>
    <w:rsid w:val="00C56D0D"/>
    <w:rsid w:val="00C600E1"/>
    <w:rsid w:val="00C60125"/>
    <w:rsid w:val="00C604F8"/>
    <w:rsid w:val="00C61236"/>
    <w:rsid w:val="00C61DE4"/>
    <w:rsid w:val="00C624A5"/>
    <w:rsid w:val="00C6289B"/>
    <w:rsid w:val="00C635C4"/>
    <w:rsid w:val="00C636A9"/>
    <w:rsid w:val="00C64A3C"/>
    <w:rsid w:val="00C66A80"/>
    <w:rsid w:val="00C67F88"/>
    <w:rsid w:val="00C704DA"/>
    <w:rsid w:val="00C706E5"/>
    <w:rsid w:val="00C7203C"/>
    <w:rsid w:val="00C7215F"/>
    <w:rsid w:val="00C7277B"/>
    <w:rsid w:val="00C72C74"/>
    <w:rsid w:val="00C730FF"/>
    <w:rsid w:val="00C73491"/>
    <w:rsid w:val="00C73F2D"/>
    <w:rsid w:val="00C745E7"/>
    <w:rsid w:val="00C7489D"/>
    <w:rsid w:val="00C7512D"/>
    <w:rsid w:val="00C76DF7"/>
    <w:rsid w:val="00C77D4D"/>
    <w:rsid w:val="00C80501"/>
    <w:rsid w:val="00C806CF"/>
    <w:rsid w:val="00C80B3F"/>
    <w:rsid w:val="00C80C3D"/>
    <w:rsid w:val="00C81CB1"/>
    <w:rsid w:val="00C82C3B"/>
    <w:rsid w:val="00C82C46"/>
    <w:rsid w:val="00C82F37"/>
    <w:rsid w:val="00C83CD5"/>
    <w:rsid w:val="00C849F1"/>
    <w:rsid w:val="00C85DF6"/>
    <w:rsid w:val="00C90106"/>
    <w:rsid w:val="00C902B7"/>
    <w:rsid w:val="00C90950"/>
    <w:rsid w:val="00C9203E"/>
    <w:rsid w:val="00C92A88"/>
    <w:rsid w:val="00C92B94"/>
    <w:rsid w:val="00C92BDE"/>
    <w:rsid w:val="00C92FF1"/>
    <w:rsid w:val="00C937EC"/>
    <w:rsid w:val="00C93838"/>
    <w:rsid w:val="00C9391E"/>
    <w:rsid w:val="00C93CE4"/>
    <w:rsid w:val="00C9438C"/>
    <w:rsid w:val="00C94EFB"/>
    <w:rsid w:val="00C95507"/>
    <w:rsid w:val="00C955C6"/>
    <w:rsid w:val="00C96042"/>
    <w:rsid w:val="00C973A3"/>
    <w:rsid w:val="00CA1671"/>
    <w:rsid w:val="00CA2A74"/>
    <w:rsid w:val="00CA328A"/>
    <w:rsid w:val="00CA3A96"/>
    <w:rsid w:val="00CA3FF2"/>
    <w:rsid w:val="00CA4B22"/>
    <w:rsid w:val="00CA4DD9"/>
    <w:rsid w:val="00CA4DE3"/>
    <w:rsid w:val="00CA4E5D"/>
    <w:rsid w:val="00CA50A8"/>
    <w:rsid w:val="00CA6623"/>
    <w:rsid w:val="00CA6764"/>
    <w:rsid w:val="00CA697F"/>
    <w:rsid w:val="00CA70C1"/>
    <w:rsid w:val="00CA78A0"/>
    <w:rsid w:val="00CB0C59"/>
    <w:rsid w:val="00CB1053"/>
    <w:rsid w:val="00CB12A0"/>
    <w:rsid w:val="00CB2922"/>
    <w:rsid w:val="00CB2D25"/>
    <w:rsid w:val="00CB47D5"/>
    <w:rsid w:val="00CB592E"/>
    <w:rsid w:val="00CB5FD5"/>
    <w:rsid w:val="00CB6A92"/>
    <w:rsid w:val="00CB6A95"/>
    <w:rsid w:val="00CB7F43"/>
    <w:rsid w:val="00CC1861"/>
    <w:rsid w:val="00CC26A1"/>
    <w:rsid w:val="00CC28CC"/>
    <w:rsid w:val="00CC29B1"/>
    <w:rsid w:val="00CC2F3B"/>
    <w:rsid w:val="00CC3B26"/>
    <w:rsid w:val="00CC3F7D"/>
    <w:rsid w:val="00CC544E"/>
    <w:rsid w:val="00CC5563"/>
    <w:rsid w:val="00CC55F8"/>
    <w:rsid w:val="00CC575E"/>
    <w:rsid w:val="00CC69FD"/>
    <w:rsid w:val="00CC6F3B"/>
    <w:rsid w:val="00CD1431"/>
    <w:rsid w:val="00CD189F"/>
    <w:rsid w:val="00CD3530"/>
    <w:rsid w:val="00CD3CE1"/>
    <w:rsid w:val="00CD3E7C"/>
    <w:rsid w:val="00CD4504"/>
    <w:rsid w:val="00CD471F"/>
    <w:rsid w:val="00CD5915"/>
    <w:rsid w:val="00CD5D56"/>
    <w:rsid w:val="00CD7253"/>
    <w:rsid w:val="00CD7527"/>
    <w:rsid w:val="00CD7B0E"/>
    <w:rsid w:val="00CD7E87"/>
    <w:rsid w:val="00CE0420"/>
    <w:rsid w:val="00CE0838"/>
    <w:rsid w:val="00CE2A54"/>
    <w:rsid w:val="00CE3398"/>
    <w:rsid w:val="00CE3BC5"/>
    <w:rsid w:val="00CE454B"/>
    <w:rsid w:val="00CE5719"/>
    <w:rsid w:val="00CE577F"/>
    <w:rsid w:val="00CE5C4C"/>
    <w:rsid w:val="00CE5DA9"/>
    <w:rsid w:val="00CE6F3C"/>
    <w:rsid w:val="00CE7028"/>
    <w:rsid w:val="00CE7193"/>
    <w:rsid w:val="00CE757F"/>
    <w:rsid w:val="00CE7679"/>
    <w:rsid w:val="00CE7CD8"/>
    <w:rsid w:val="00CF02A5"/>
    <w:rsid w:val="00CF1190"/>
    <w:rsid w:val="00CF1804"/>
    <w:rsid w:val="00CF19CF"/>
    <w:rsid w:val="00CF1F90"/>
    <w:rsid w:val="00CF2107"/>
    <w:rsid w:val="00CF2736"/>
    <w:rsid w:val="00CF2B00"/>
    <w:rsid w:val="00CF2F00"/>
    <w:rsid w:val="00CF3A47"/>
    <w:rsid w:val="00CF3B6E"/>
    <w:rsid w:val="00CF4529"/>
    <w:rsid w:val="00CF573F"/>
    <w:rsid w:val="00CF5AA0"/>
    <w:rsid w:val="00CF5E53"/>
    <w:rsid w:val="00CF6022"/>
    <w:rsid w:val="00CF6338"/>
    <w:rsid w:val="00CF6758"/>
    <w:rsid w:val="00CF678F"/>
    <w:rsid w:val="00CF6D64"/>
    <w:rsid w:val="00CF72B5"/>
    <w:rsid w:val="00CF7DF6"/>
    <w:rsid w:val="00CF7DF7"/>
    <w:rsid w:val="00D0032B"/>
    <w:rsid w:val="00D004E0"/>
    <w:rsid w:val="00D008C8"/>
    <w:rsid w:val="00D015F1"/>
    <w:rsid w:val="00D01AB7"/>
    <w:rsid w:val="00D02345"/>
    <w:rsid w:val="00D0246E"/>
    <w:rsid w:val="00D03B9F"/>
    <w:rsid w:val="00D042BC"/>
    <w:rsid w:val="00D04352"/>
    <w:rsid w:val="00D04418"/>
    <w:rsid w:val="00D04AAA"/>
    <w:rsid w:val="00D052FE"/>
    <w:rsid w:val="00D0547C"/>
    <w:rsid w:val="00D054E5"/>
    <w:rsid w:val="00D077A1"/>
    <w:rsid w:val="00D07B92"/>
    <w:rsid w:val="00D07D7A"/>
    <w:rsid w:val="00D102BA"/>
    <w:rsid w:val="00D10F00"/>
    <w:rsid w:val="00D10F3F"/>
    <w:rsid w:val="00D10FFB"/>
    <w:rsid w:val="00D11002"/>
    <w:rsid w:val="00D124F6"/>
    <w:rsid w:val="00D127DF"/>
    <w:rsid w:val="00D128B0"/>
    <w:rsid w:val="00D129AC"/>
    <w:rsid w:val="00D139ED"/>
    <w:rsid w:val="00D13A31"/>
    <w:rsid w:val="00D13FE7"/>
    <w:rsid w:val="00D14B20"/>
    <w:rsid w:val="00D15819"/>
    <w:rsid w:val="00D15A6B"/>
    <w:rsid w:val="00D16505"/>
    <w:rsid w:val="00D1685D"/>
    <w:rsid w:val="00D17454"/>
    <w:rsid w:val="00D20283"/>
    <w:rsid w:val="00D202A4"/>
    <w:rsid w:val="00D203B7"/>
    <w:rsid w:val="00D209B6"/>
    <w:rsid w:val="00D20D3E"/>
    <w:rsid w:val="00D220AC"/>
    <w:rsid w:val="00D22DB2"/>
    <w:rsid w:val="00D23BE1"/>
    <w:rsid w:val="00D23E11"/>
    <w:rsid w:val="00D265A8"/>
    <w:rsid w:val="00D2688D"/>
    <w:rsid w:val="00D26C4A"/>
    <w:rsid w:val="00D27343"/>
    <w:rsid w:val="00D276B6"/>
    <w:rsid w:val="00D27725"/>
    <w:rsid w:val="00D303DB"/>
    <w:rsid w:val="00D31D00"/>
    <w:rsid w:val="00D32C74"/>
    <w:rsid w:val="00D3335A"/>
    <w:rsid w:val="00D33C92"/>
    <w:rsid w:val="00D348A4"/>
    <w:rsid w:val="00D357B1"/>
    <w:rsid w:val="00D367E0"/>
    <w:rsid w:val="00D377BE"/>
    <w:rsid w:val="00D379F6"/>
    <w:rsid w:val="00D401AC"/>
    <w:rsid w:val="00D403D6"/>
    <w:rsid w:val="00D40AE3"/>
    <w:rsid w:val="00D40B30"/>
    <w:rsid w:val="00D416D3"/>
    <w:rsid w:val="00D41922"/>
    <w:rsid w:val="00D423DE"/>
    <w:rsid w:val="00D43E4B"/>
    <w:rsid w:val="00D447E9"/>
    <w:rsid w:val="00D44817"/>
    <w:rsid w:val="00D44F06"/>
    <w:rsid w:val="00D45292"/>
    <w:rsid w:val="00D456F1"/>
    <w:rsid w:val="00D45A56"/>
    <w:rsid w:val="00D46440"/>
    <w:rsid w:val="00D46F1E"/>
    <w:rsid w:val="00D47C35"/>
    <w:rsid w:val="00D50278"/>
    <w:rsid w:val="00D507A7"/>
    <w:rsid w:val="00D5091E"/>
    <w:rsid w:val="00D52CC0"/>
    <w:rsid w:val="00D53ED2"/>
    <w:rsid w:val="00D555AB"/>
    <w:rsid w:val="00D561D7"/>
    <w:rsid w:val="00D569BF"/>
    <w:rsid w:val="00D56C47"/>
    <w:rsid w:val="00D57526"/>
    <w:rsid w:val="00D5796E"/>
    <w:rsid w:val="00D6019D"/>
    <w:rsid w:val="00D602B9"/>
    <w:rsid w:val="00D60AEE"/>
    <w:rsid w:val="00D60E31"/>
    <w:rsid w:val="00D61F81"/>
    <w:rsid w:val="00D62720"/>
    <w:rsid w:val="00D62B02"/>
    <w:rsid w:val="00D62C9E"/>
    <w:rsid w:val="00D63270"/>
    <w:rsid w:val="00D63589"/>
    <w:rsid w:val="00D64F10"/>
    <w:rsid w:val="00D650A9"/>
    <w:rsid w:val="00D656AE"/>
    <w:rsid w:val="00D66099"/>
    <w:rsid w:val="00D66301"/>
    <w:rsid w:val="00D67901"/>
    <w:rsid w:val="00D70186"/>
    <w:rsid w:val="00D717C8"/>
    <w:rsid w:val="00D737D2"/>
    <w:rsid w:val="00D73E4B"/>
    <w:rsid w:val="00D73F0D"/>
    <w:rsid w:val="00D7421C"/>
    <w:rsid w:val="00D745F9"/>
    <w:rsid w:val="00D75320"/>
    <w:rsid w:val="00D75AD9"/>
    <w:rsid w:val="00D764FD"/>
    <w:rsid w:val="00D76B9C"/>
    <w:rsid w:val="00D77E14"/>
    <w:rsid w:val="00D77FFA"/>
    <w:rsid w:val="00D80640"/>
    <w:rsid w:val="00D81DC6"/>
    <w:rsid w:val="00D8248C"/>
    <w:rsid w:val="00D82C9C"/>
    <w:rsid w:val="00D82DF3"/>
    <w:rsid w:val="00D83C94"/>
    <w:rsid w:val="00D8417B"/>
    <w:rsid w:val="00D84CB2"/>
    <w:rsid w:val="00D864BF"/>
    <w:rsid w:val="00D869EE"/>
    <w:rsid w:val="00D8715B"/>
    <w:rsid w:val="00D87AC5"/>
    <w:rsid w:val="00D90FE8"/>
    <w:rsid w:val="00D91432"/>
    <w:rsid w:val="00D9159B"/>
    <w:rsid w:val="00D915BA"/>
    <w:rsid w:val="00D91921"/>
    <w:rsid w:val="00D9194E"/>
    <w:rsid w:val="00D919E6"/>
    <w:rsid w:val="00D91D95"/>
    <w:rsid w:val="00D92AF3"/>
    <w:rsid w:val="00D932C4"/>
    <w:rsid w:val="00D934EA"/>
    <w:rsid w:val="00D936AE"/>
    <w:rsid w:val="00D9385E"/>
    <w:rsid w:val="00D93CAA"/>
    <w:rsid w:val="00D94624"/>
    <w:rsid w:val="00D946BA"/>
    <w:rsid w:val="00D95F17"/>
    <w:rsid w:val="00D962ED"/>
    <w:rsid w:val="00D9636D"/>
    <w:rsid w:val="00D96400"/>
    <w:rsid w:val="00D973D6"/>
    <w:rsid w:val="00D97544"/>
    <w:rsid w:val="00D975DB"/>
    <w:rsid w:val="00D97CDE"/>
    <w:rsid w:val="00DA06E9"/>
    <w:rsid w:val="00DA09E7"/>
    <w:rsid w:val="00DA0BBE"/>
    <w:rsid w:val="00DA0DEC"/>
    <w:rsid w:val="00DA10D4"/>
    <w:rsid w:val="00DA1A01"/>
    <w:rsid w:val="00DA2A6F"/>
    <w:rsid w:val="00DA3F74"/>
    <w:rsid w:val="00DA44B7"/>
    <w:rsid w:val="00DA47DC"/>
    <w:rsid w:val="00DA6C33"/>
    <w:rsid w:val="00DA6FF2"/>
    <w:rsid w:val="00DA7022"/>
    <w:rsid w:val="00DA711C"/>
    <w:rsid w:val="00DA7468"/>
    <w:rsid w:val="00DA75CD"/>
    <w:rsid w:val="00DA7707"/>
    <w:rsid w:val="00DA7BA1"/>
    <w:rsid w:val="00DB0C3F"/>
    <w:rsid w:val="00DB13A5"/>
    <w:rsid w:val="00DB13E9"/>
    <w:rsid w:val="00DB1FA6"/>
    <w:rsid w:val="00DB2864"/>
    <w:rsid w:val="00DB4B7A"/>
    <w:rsid w:val="00DB561A"/>
    <w:rsid w:val="00DB5695"/>
    <w:rsid w:val="00DB5D0D"/>
    <w:rsid w:val="00DB66A0"/>
    <w:rsid w:val="00DB6706"/>
    <w:rsid w:val="00DB6755"/>
    <w:rsid w:val="00DB69A2"/>
    <w:rsid w:val="00DB70A1"/>
    <w:rsid w:val="00DB729E"/>
    <w:rsid w:val="00DB771D"/>
    <w:rsid w:val="00DB7B39"/>
    <w:rsid w:val="00DB7EB4"/>
    <w:rsid w:val="00DC00D6"/>
    <w:rsid w:val="00DC08BA"/>
    <w:rsid w:val="00DC0D80"/>
    <w:rsid w:val="00DC129A"/>
    <w:rsid w:val="00DC1679"/>
    <w:rsid w:val="00DC1C34"/>
    <w:rsid w:val="00DC1C8B"/>
    <w:rsid w:val="00DC23EB"/>
    <w:rsid w:val="00DC3771"/>
    <w:rsid w:val="00DC43C3"/>
    <w:rsid w:val="00DC45A7"/>
    <w:rsid w:val="00DC4CAA"/>
    <w:rsid w:val="00DC5A7F"/>
    <w:rsid w:val="00DC6673"/>
    <w:rsid w:val="00DC7D3B"/>
    <w:rsid w:val="00DD08D3"/>
    <w:rsid w:val="00DD0A45"/>
    <w:rsid w:val="00DD0C07"/>
    <w:rsid w:val="00DD0E7F"/>
    <w:rsid w:val="00DD113F"/>
    <w:rsid w:val="00DD17CD"/>
    <w:rsid w:val="00DD1F53"/>
    <w:rsid w:val="00DD217E"/>
    <w:rsid w:val="00DD2DE4"/>
    <w:rsid w:val="00DD3F82"/>
    <w:rsid w:val="00DD440E"/>
    <w:rsid w:val="00DD4D7F"/>
    <w:rsid w:val="00DD5260"/>
    <w:rsid w:val="00DD5E4A"/>
    <w:rsid w:val="00DD5E99"/>
    <w:rsid w:val="00DD6701"/>
    <w:rsid w:val="00DD6E88"/>
    <w:rsid w:val="00DD7CA4"/>
    <w:rsid w:val="00DE01DE"/>
    <w:rsid w:val="00DE10B5"/>
    <w:rsid w:val="00DE1B89"/>
    <w:rsid w:val="00DE245D"/>
    <w:rsid w:val="00DE37BA"/>
    <w:rsid w:val="00DE39D8"/>
    <w:rsid w:val="00DE44E1"/>
    <w:rsid w:val="00DE4B3E"/>
    <w:rsid w:val="00DE503A"/>
    <w:rsid w:val="00DE5052"/>
    <w:rsid w:val="00DE65E7"/>
    <w:rsid w:val="00DE688A"/>
    <w:rsid w:val="00DE6A4B"/>
    <w:rsid w:val="00DE6BBE"/>
    <w:rsid w:val="00DE6E9C"/>
    <w:rsid w:val="00DF060B"/>
    <w:rsid w:val="00DF097B"/>
    <w:rsid w:val="00DF0CAA"/>
    <w:rsid w:val="00DF1953"/>
    <w:rsid w:val="00DF1F4B"/>
    <w:rsid w:val="00DF22C8"/>
    <w:rsid w:val="00DF3C63"/>
    <w:rsid w:val="00DF3D4A"/>
    <w:rsid w:val="00DF3D56"/>
    <w:rsid w:val="00DF3E92"/>
    <w:rsid w:val="00DF47A0"/>
    <w:rsid w:val="00DF5997"/>
    <w:rsid w:val="00DF5A17"/>
    <w:rsid w:val="00DF5B20"/>
    <w:rsid w:val="00DF5DA2"/>
    <w:rsid w:val="00DF65D5"/>
    <w:rsid w:val="00DF69AA"/>
    <w:rsid w:val="00DF6AC3"/>
    <w:rsid w:val="00DF6C56"/>
    <w:rsid w:val="00DF6E71"/>
    <w:rsid w:val="00DF7887"/>
    <w:rsid w:val="00DF7EA5"/>
    <w:rsid w:val="00E0097F"/>
    <w:rsid w:val="00E034B7"/>
    <w:rsid w:val="00E03BE8"/>
    <w:rsid w:val="00E05854"/>
    <w:rsid w:val="00E05863"/>
    <w:rsid w:val="00E07100"/>
    <w:rsid w:val="00E07C54"/>
    <w:rsid w:val="00E07FEE"/>
    <w:rsid w:val="00E100F7"/>
    <w:rsid w:val="00E10564"/>
    <w:rsid w:val="00E1096F"/>
    <w:rsid w:val="00E128D7"/>
    <w:rsid w:val="00E13F99"/>
    <w:rsid w:val="00E14704"/>
    <w:rsid w:val="00E14D56"/>
    <w:rsid w:val="00E15F47"/>
    <w:rsid w:val="00E15F5C"/>
    <w:rsid w:val="00E1645B"/>
    <w:rsid w:val="00E16BEC"/>
    <w:rsid w:val="00E1766F"/>
    <w:rsid w:val="00E17D8F"/>
    <w:rsid w:val="00E20564"/>
    <w:rsid w:val="00E20683"/>
    <w:rsid w:val="00E212C8"/>
    <w:rsid w:val="00E212EF"/>
    <w:rsid w:val="00E213D0"/>
    <w:rsid w:val="00E21422"/>
    <w:rsid w:val="00E21C85"/>
    <w:rsid w:val="00E2368B"/>
    <w:rsid w:val="00E24E98"/>
    <w:rsid w:val="00E25401"/>
    <w:rsid w:val="00E25C1D"/>
    <w:rsid w:val="00E26016"/>
    <w:rsid w:val="00E26055"/>
    <w:rsid w:val="00E26475"/>
    <w:rsid w:val="00E26653"/>
    <w:rsid w:val="00E26739"/>
    <w:rsid w:val="00E26893"/>
    <w:rsid w:val="00E26A1E"/>
    <w:rsid w:val="00E27166"/>
    <w:rsid w:val="00E274E3"/>
    <w:rsid w:val="00E27861"/>
    <w:rsid w:val="00E27D33"/>
    <w:rsid w:val="00E301C9"/>
    <w:rsid w:val="00E30577"/>
    <w:rsid w:val="00E313CD"/>
    <w:rsid w:val="00E316F1"/>
    <w:rsid w:val="00E320BA"/>
    <w:rsid w:val="00E32671"/>
    <w:rsid w:val="00E32E46"/>
    <w:rsid w:val="00E34DAC"/>
    <w:rsid w:val="00E34E81"/>
    <w:rsid w:val="00E35315"/>
    <w:rsid w:val="00E36566"/>
    <w:rsid w:val="00E367E9"/>
    <w:rsid w:val="00E36F7A"/>
    <w:rsid w:val="00E41C04"/>
    <w:rsid w:val="00E41EE9"/>
    <w:rsid w:val="00E42431"/>
    <w:rsid w:val="00E4245E"/>
    <w:rsid w:val="00E428CA"/>
    <w:rsid w:val="00E4419D"/>
    <w:rsid w:val="00E441B0"/>
    <w:rsid w:val="00E444B4"/>
    <w:rsid w:val="00E44AF4"/>
    <w:rsid w:val="00E4558D"/>
    <w:rsid w:val="00E4727B"/>
    <w:rsid w:val="00E475BD"/>
    <w:rsid w:val="00E47808"/>
    <w:rsid w:val="00E47984"/>
    <w:rsid w:val="00E47DC9"/>
    <w:rsid w:val="00E500AA"/>
    <w:rsid w:val="00E51F72"/>
    <w:rsid w:val="00E5210A"/>
    <w:rsid w:val="00E530FB"/>
    <w:rsid w:val="00E53210"/>
    <w:rsid w:val="00E53211"/>
    <w:rsid w:val="00E533D4"/>
    <w:rsid w:val="00E54246"/>
    <w:rsid w:val="00E54851"/>
    <w:rsid w:val="00E56001"/>
    <w:rsid w:val="00E563A3"/>
    <w:rsid w:val="00E5672C"/>
    <w:rsid w:val="00E5693D"/>
    <w:rsid w:val="00E571DC"/>
    <w:rsid w:val="00E5753D"/>
    <w:rsid w:val="00E576B4"/>
    <w:rsid w:val="00E57F12"/>
    <w:rsid w:val="00E57F78"/>
    <w:rsid w:val="00E60008"/>
    <w:rsid w:val="00E60845"/>
    <w:rsid w:val="00E615BA"/>
    <w:rsid w:val="00E61785"/>
    <w:rsid w:val="00E61E09"/>
    <w:rsid w:val="00E62C58"/>
    <w:rsid w:val="00E6439B"/>
    <w:rsid w:val="00E65031"/>
    <w:rsid w:val="00E661AD"/>
    <w:rsid w:val="00E665E7"/>
    <w:rsid w:val="00E67484"/>
    <w:rsid w:val="00E6785D"/>
    <w:rsid w:val="00E714C0"/>
    <w:rsid w:val="00E73C7C"/>
    <w:rsid w:val="00E73DBC"/>
    <w:rsid w:val="00E73EBB"/>
    <w:rsid w:val="00E74380"/>
    <w:rsid w:val="00E74DC3"/>
    <w:rsid w:val="00E750E3"/>
    <w:rsid w:val="00E75AD3"/>
    <w:rsid w:val="00E75B51"/>
    <w:rsid w:val="00E75DC9"/>
    <w:rsid w:val="00E75ED1"/>
    <w:rsid w:val="00E760B9"/>
    <w:rsid w:val="00E761F6"/>
    <w:rsid w:val="00E76254"/>
    <w:rsid w:val="00E766A8"/>
    <w:rsid w:val="00E768E1"/>
    <w:rsid w:val="00E76A1B"/>
    <w:rsid w:val="00E77925"/>
    <w:rsid w:val="00E77BDE"/>
    <w:rsid w:val="00E77FDE"/>
    <w:rsid w:val="00E803B3"/>
    <w:rsid w:val="00E80C3C"/>
    <w:rsid w:val="00E8154D"/>
    <w:rsid w:val="00E81747"/>
    <w:rsid w:val="00E81D36"/>
    <w:rsid w:val="00E81E0B"/>
    <w:rsid w:val="00E81ED2"/>
    <w:rsid w:val="00E82476"/>
    <w:rsid w:val="00E839DB"/>
    <w:rsid w:val="00E83C77"/>
    <w:rsid w:val="00E840CB"/>
    <w:rsid w:val="00E851A3"/>
    <w:rsid w:val="00E8563F"/>
    <w:rsid w:val="00E85E08"/>
    <w:rsid w:val="00E8615F"/>
    <w:rsid w:val="00E87117"/>
    <w:rsid w:val="00E91661"/>
    <w:rsid w:val="00E91BE6"/>
    <w:rsid w:val="00E92FE1"/>
    <w:rsid w:val="00E9366C"/>
    <w:rsid w:val="00E9387C"/>
    <w:rsid w:val="00E93A47"/>
    <w:rsid w:val="00E94A02"/>
    <w:rsid w:val="00E94E7A"/>
    <w:rsid w:val="00E95ED5"/>
    <w:rsid w:val="00E960CC"/>
    <w:rsid w:val="00E96D9F"/>
    <w:rsid w:val="00E972E3"/>
    <w:rsid w:val="00E9759D"/>
    <w:rsid w:val="00EA015E"/>
    <w:rsid w:val="00EA023C"/>
    <w:rsid w:val="00EA0291"/>
    <w:rsid w:val="00EA1806"/>
    <w:rsid w:val="00EA1B36"/>
    <w:rsid w:val="00EA22AE"/>
    <w:rsid w:val="00EA2602"/>
    <w:rsid w:val="00EA33DE"/>
    <w:rsid w:val="00EA4407"/>
    <w:rsid w:val="00EA4D17"/>
    <w:rsid w:val="00EA73F1"/>
    <w:rsid w:val="00EA73FE"/>
    <w:rsid w:val="00EA7A6D"/>
    <w:rsid w:val="00EA7C87"/>
    <w:rsid w:val="00EB0065"/>
    <w:rsid w:val="00EB04C6"/>
    <w:rsid w:val="00EB083B"/>
    <w:rsid w:val="00EB104F"/>
    <w:rsid w:val="00EB13BF"/>
    <w:rsid w:val="00EB1763"/>
    <w:rsid w:val="00EB1AB4"/>
    <w:rsid w:val="00EB1BEB"/>
    <w:rsid w:val="00EB231D"/>
    <w:rsid w:val="00EB25D6"/>
    <w:rsid w:val="00EB38FF"/>
    <w:rsid w:val="00EB41BD"/>
    <w:rsid w:val="00EB44C7"/>
    <w:rsid w:val="00EB5061"/>
    <w:rsid w:val="00EB518E"/>
    <w:rsid w:val="00EB57AE"/>
    <w:rsid w:val="00EB5993"/>
    <w:rsid w:val="00EB632F"/>
    <w:rsid w:val="00EB65CA"/>
    <w:rsid w:val="00EB6F9B"/>
    <w:rsid w:val="00EC0302"/>
    <w:rsid w:val="00EC0948"/>
    <w:rsid w:val="00EC0C27"/>
    <w:rsid w:val="00EC0DD0"/>
    <w:rsid w:val="00EC1C1D"/>
    <w:rsid w:val="00EC1DD2"/>
    <w:rsid w:val="00EC2555"/>
    <w:rsid w:val="00EC25BC"/>
    <w:rsid w:val="00EC2E8E"/>
    <w:rsid w:val="00EC40FD"/>
    <w:rsid w:val="00EC4426"/>
    <w:rsid w:val="00EC4887"/>
    <w:rsid w:val="00EC4FDD"/>
    <w:rsid w:val="00EC6156"/>
    <w:rsid w:val="00EC7035"/>
    <w:rsid w:val="00ED0B97"/>
    <w:rsid w:val="00ED1781"/>
    <w:rsid w:val="00ED2888"/>
    <w:rsid w:val="00ED2F5D"/>
    <w:rsid w:val="00ED37D2"/>
    <w:rsid w:val="00ED41E7"/>
    <w:rsid w:val="00ED4B07"/>
    <w:rsid w:val="00ED4EAF"/>
    <w:rsid w:val="00ED4F15"/>
    <w:rsid w:val="00ED521B"/>
    <w:rsid w:val="00ED5417"/>
    <w:rsid w:val="00ED6E7D"/>
    <w:rsid w:val="00ED7459"/>
    <w:rsid w:val="00EE06AC"/>
    <w:rsid w:val="00EE0931"/>
    <w:rsid w:val="00EE19A4"/>
    <w:rsid w:val="00EE19DC"/>
    <w:rsid w:val="00EE1FC1"/>
    <w:rsid w:val="00EE2960"/>
    <w:rsid w:val="00EE31DA"/>
    <w:rsid w:val="00EE3200"/>
    <w:rsid w:val="00EE33FB"/>
    <w:rsid w:val="00EE4637"/>
    <w:rsid w:val="00EE586B"/>
    <w:rsid w:val="00EE5FB7"/>
    <w:rsid w:val="00EE6519"/>
    <w:rsid w:val="00EE6807"/>
    <w:rsid w:val="00EE6D8C"/>
    <w:rsid w:val="00EE6E80"/>
    <w:rsid w:val="00EE7410"/>
    <w:rsid w:val="00EE7DB0"/>
    <w:rsid w:val="00EF076A"/>
    <w:rsid w:val="00EF128E"/>
    <w:rsid w:val="00EF26E1"/>
    <w:rsid w:val="00EF3CFA"/>
    <w:rsid w:val="00EF3D6D"/>
    <w:rsid w:val="00EF4351"/>
    <w:rsid w:val="00EF4F10"/>
    <w:rsid w:val="00EF5155"/>
    <w:rsid w:val="00EF7902"/>
    <w:rsid w:val="00EF7C40"/>
    <w:rsid w:val="00EF7EB1"/>
    <w:rsid w:val="00F00631"/>
    <w:rsid w:val="00F010D7"/>
    <w:rsid w:val="00F0153A"/>
    <w:rsid w:val="00F01590"/>
    <w:rsid w:val="00F01DD7"/>
    <w:rsid w:val="00F02919"/>
    <w:rsid w:val="00F033E7"/>
    <w:rsid w:val="00F035A7"/>
    <w:rsid w:val="00F03EB4"/>
    <w:rsid w:val="00F049DD"/>
    <w:rsid w:val="00F049E8"/>
    <w:rsid w:val="00F066AD"/>
    <w:rsid w:val="00F06827"/>
    <w:rsid w:val="00F06C57"/>
    <w:rsid w:val="00F075EF"/>
    <w:rsid w:val="00F0762A"/>
    <w:rsid w:val="00F07CAD"/>
    <w:rsid w:val="00F07E0D"/>
    <w:rsid w:val="00F1084E"/>
    <w:rsid w:val="00F10F21"/>
    <w:rsid w:val="00F11743"/>
    <w:rsid w:val="00F11D81"/>
    <w:rsid w:val="00F13F74"/>
    <w:rsid w:val="00F1407D"/>
    <w:rsid w:val="00F146C8"/>
    <w:rsid w:val="00F14B5B"/>
    <w:rsid w:val="00F14D5A"/>
    <w:rsid w:val="00F15F31"/>
    <w:rsid w:val="00F15FA0"/>
    <w:rsid w:val="00F1601E"/>
    <w:rsid w:val="00F20760"/>
    <w:rsid w:val="00F208E8"/>
    <w:rsid w:val="00F20BBF"/>
    <w:rsid w:val="00F2137C"/>
    <w:rsid w:val="00F21A59"/>
    <w:rsid w:val="00F21B1C"/>
    <w:rsid w:val="00F21E58"/>
    <w:rsid w:val="00F22675"/>
    <w:rsid w:val="00F22FF6"/>
    <w:rsid w:val="00F23342"/>
    <w:rsid w:val="00F249D0"/>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742"/>
    <w:rsid w:val="00F3088A"/>
    <w:rsid w:val="00F309D7"/>
    <w:rsid w:val="00F30B12"/>
    <w:rsid w:val="00F31BE5"/>
    <w:rsid w:val="00F31FC4"/>
    <w:rsid w:val="00F3464E"/>
    <w:rsid w:val="00F34AC3"/>
    <w:rsid w:val="00F35902"/>
    <w:rsid w:val="00F35FC0"/>
    <w:rsid w:val="00F36535"/>
    <w:rsid w:val="00F369B7"/>
    <w:rsid w:val="00F36AE0"/>
    <w:rsid w:val="00F41D68"/>
    <w:rsid w:val="00F423ED"/>
    <w:rsid w:val="00F42D04"/>
    <w:rsid w:val="00F43271"/>
    <w:rsid w:val="00F4328D"/>
    <w:rsid w:val="00F444DB"/>
    <w:rsid w:val="00F44615"/>
    <w:rsid w:val="00F447DD"/>
    <w:rsid w:val="00F44E03"/>
    <w:rsid w:val="00F45006"/>
    <w:rsid w:val="00F45108"/>
    <w:rsid w:val="00F45A27"/>
    <w:rsid w:val="00F46971"/>
    <w:rsid w:val="00F47983"/>
    <w:rsid w:val="00F47B3A"/>
    <w:rsid w:val="00F47C99"/>
    <w:rsid w:val="00F503B1"/>
    <w:rsid w:val="00F50675"/>
    <w:rsid w:val="00F50D73"/>
    <w:rsid w:val="00F51052"/>
    <w:rsid w:val="00F51215"/>
    <w:rsid w:val="00F51C01"/>
    <w:rsid w:val="00F5251E"/>
    <w:rsid w:val="00F5317E"/>
    <w:rsid w:val="00F5322F"/>
    <w:rsid w:val="00F5368A"/>
    <w:rsid w:val="00F545A9"/>
    <w:rsid w:val="00F54A3F"/>
    <w:rsid w:val="00F54DD2"/>
    <w:rsid w:val="00F5602B"/>
    <w:rsid w:val="00F560C7"/>
    <w:rsid w:val="00F5615F"/>
    <w:rsid w:val="00F56E65"/>
    <w:rsid w:val="00F572D4"/>
    <w:rsid w:val="00F5762E"/>
    <w:rsid w:val="00F5779A"/>
    <w:rsid w:val="00F57E81"/>
    <w:rsid w:val="00F60421"/>
    <w:rsid w:val="00F60DEE"/>
    <w:rsid w:val="00F613CA"/>
    <w:rsid w:val="00F61ACD"/>
    <w:rsid w:val="00F61D98"/>
    <w:rsid w:val="00F621FD"/>
    <w:rsid w:val="00F622FB"/>
    <w:rsid w:val="00F629E2"/>
    <w:rsid w:val="00F636F4"/>
    <w:rsid w:val="00F63D72"/>
    <w:rsid w:val="00F64534"/>
    <w:rsid w:val="00F653FE"/>
    <w:rsid w:val="00F65BF4"/>
    <w:rsid w:val="00F66E30"/>
    <w:rsid w:val="00F700CD"/>
    <w:rsid w:val="00F709A1"/>
    <w:rsid w:val="00F70C70"/>
    <w:rsid w:val="00F71265"/>
    <w:rsid w:val="00F714F0"/>
    <w:rsid w:val="00F71BC9"/>
    <w:rsid w:val="00F71F1F"/>
    <w:rsid w:val="00F72703"/>
    <w:rsid w:val="00F73027"/>
    <w:rsid w:val="00F7343C"/>
    <w:rsid w:val="00F734EF"/>
    <w:rsid w:val="00F736CA"/>
    <w:rsid w:val="00F73C14"/>
    <w:rsid w:val="00F73D19"/>
    <w:rsid w:val="00F73D93"/>
    <w:rsid w:val="00F74133"/>
    <w:rsid w:val="00F74775"/>
    <w:rsid w:val="00F75446"/>
    <w:rsid w:val="00F7548D"/>
    <w:rsid w:val="00F7576B"/>
    <w:rsid w:val="00F75F9C"/>
    <w:rsid w:val="00F763DB"/>
    <w:rsid w:val="00F76C87"/>
    <w:rsid w:val="00F76E25"/>
    <w:rsid w:val="00F77B03"/>
    <w:rsid w:val="00F807B8"/>
    <w:rsid w:val="00F81243"/>
    <w:rsid w:val="00F8160A"/>
    <w:rsid w:val="00F81BB9"/>
    <w:rsid w:val="00F81ECF"/>
    <w:rsid w:val="00F82120"/>
    <w:rsid w:val="00F82141"/>
    <w:rsid w:val="00F82414"/>
    <w:rsid w:val="00F83561"/>
    <w:rsid w:val="00F83991"/>
    <w:rsid w:val="00F83DC5"/>
    <w:rsid w:val="00F83F75"/>
    <w:rsid w:val="00F84122"/>
    <w:rsid w:val="00F850AC"/>
    <w:rsid w:val="00F8541C"/>
    <w:rsid w:val="00F85DA2"/>
    <w:rsid w:val="00F85F85"/>
    <w:rsid w:val="00F86D4F"/>
    <w:rsid w:val="00F8722F"/>
    <w:rsid w:val="00F87587"/>
    <w:rsid w:val="00F87822"/>
    <w:rsid w:val="00F87C07"/>
    <w:rsid w:val="00F90787"/>
    <w:rsid w:val="00F91230"/>
    <w:rsid w:val="00F9159F"/>
    <w:rsid w:val="00F91AB9"/>
    <w:rsid w:val="00F922A1"/>
    <w:rsid w:val="00F93452"/>
    <w:rsid w:val="00F934A0"/>
    <w:rsid w:val="00F944B4"/>
    <w:rsid w:val="00F95E6B"/>
    <w:rsid w:val="00F95E91"/>
    <w:rsid w:val="00F96058"/>
    <w:rsid w:val="00F9612E"/>
    <w:rsid w:val="00F966A4"/>
    <w:rsid w:val="00F9671A"/>
    <w:rsid w:val="00F96C3D"/>
    <w:rsid w:val="00F96CB7"/>
    <w:rsid w:val="00F97575"/>
    <w:rsid w:val="00FA0AAB"/>
    <w:rsid w:val="00FA1220"/>
    <w:rsid w:val="00FA15C5"/>
    <w:rsid w:val="00FA173A"/>
    <w:rsid w:val="00FA190E"/>
    <w:rsid w:val="00FA19AF"/>
    <w:rsid w:val="00FA20A3"/>
    <w:rsid w:val="00FA20DD"/>
    <w:rsid w:val="00FA26FF"/>
    <w:rsid w:val="00FA2944"/>
    <w:rsid w:val="00FA2C4C"/>
    <w:rsid w:val="00FA3211"/>
    <w:rsid w:val="00FA3975"/>
    <w:rsid w:val="00FA4ACE"/>
    <w:rsid w:val="00FA5CE3"/>
    <w:rsid w:val="00FA6DC5"/>
    <w:rsid w:val="00FA723B"/>
    <w:rsid w:val="00FB0456"/>
    <w:rsid w:val="00FB05D9"/>
    <w:rsid w:val="00FB0C47"/>
    <w:rsid w:val="00FB23BE"/>
    <w:rsid w:val="00FB2446"/>
    <w:rsid w:val="00FB2669"/>
    <w:rsid w:val="00FB291A"/>
    <w:rsid w:val="00FB2F10"/>
    <w:rsid w:val="00FB383B"/>
    <w:rsid w:val="00FB3AD7"/>
    <w:rsid w:val="00FB3B8C"/>
    <w:rsid w:val="00FB3BBE"/>
    <w:rsid w:val="00FB40AD"/>
    <w:rsid w:val="00FB4C1D"/>
    <w:rsid w:val="00FB55D4"/>
    <w:rsid w:val="00FB637C"/>
    <w:rsid w:val="00FB6806"/>
    <w:rsid w:val="00FB6907"/>
    <w:rsid w:val="00FC19B4"/>
    <w:rsid w:val="00FC1FE0"/>
    <w:rsid w:val="00FC2260"/>
    <w:rsid w:val="00FC244D"/>
    <w:rsid w:val="00FC27BE"/>
    <w:rsid w:val="00FC2DA3"/>
    <w:rsid w:val="00FC33D0"/>
    <w:rsid w:val="00FC356E"/>
    <w:rsid w:val="00FC3A5B"/>
    <w:rsid w:val="00FC3E64"/>
    <w:rsid w:val="00FC448E"/>
    <w:rsid w:val="00FC4864"/>
    <w:rsid w:val="00FC4CC2"/>
    <w:rsid w:val="00FC4FD5"/>
    <w:rsid w:val="00FC6096"/>
    <w:rsid w:val="00FC6EDC"/>
    <w:rsid w:val="00FC71A4"/>
    <w:rsid w:val="00FC7BB4"/>
    <w:rsid w:val="00FC7F7D"/>
    <w:rsid w:val="00FD0070"/>
    <w:rsid w:val="00FD0073"/>
    <w:rsid w:val="00FD0155"/>
    <w:rsid w:val="00FD1485"/>
    <w:rsid w:val="00FD2E92"/>
    <w:rsid w:val="00FD349A"/>
    <w:rsid w:val="00FD394C"/>
    <w:rsid w:val="00FD3E41"/>
    <w:rsid w:val="00FD4626"/>
    <w:rsid w:val="00FD4850"/>
    <w:rsid w:val="00FD59B8"/>
    <w:rsid w:val="00FD5EED"/>
    <w:rsid w:val="00FE039E"/>
    <w:rsid w:val="00FE0756"/>
    <w:rsid w:val="00FE07B9"/>
    <w:rsid w:val="00FE0A7D"/>
    <w:rsid w:val="00FE22E4"/>
    <w:rsid w:val="00FE239C"/>
    <w:rsid w:val="00FE269B"/>
    <w:rsid w:val="00FE272F"/>
    <w:rsid w:val="00FE2AAE"/>
    <w:rsid w:val="00FE3F2E"/>
    <w:rsid w:val="00FE42B6"/>
    <w:rsid w:val="00FE4BB8"/>
    <w:rsid w:val="00FE51BB"/>
    <w:rsid w:val="00FE563B"/>
    <w:rsid w:val="00FE5E4B"/>
    <w:rsid w:val="00FE63FA"/>
    <w:rsid w:val="00FE7089"/>
    <w:rsid w:val="00FE72A3"/>
    <w:rsid w:val="00FE7776"/>
    <w:rsid w:val="00FE7DCB"/>
    <w:rsid w:val="00FE7E7E"/>
    <w:rsid w:val="00FF05F5"/>
    <w:rsid w:val="00FF0C94"/>
    <w:rsid w:val="00FF0DA1"/>
    <w:rsid w:val="00FF0FDA"/>
    <w:rsid w:val="00FF199B"/>
    <w:rsid w:val="00FF23DC"/>
    <w:rsid w:val="00FF24A2"/>
    <w:rsid w:val="00FF2915"/>
    <w:rsid w:val="00FF3335"/>
    <w:rsid w:val="00FF336F"/>
    <w:rsid w:val="00FF33FC"/>
    <w:rsid w:val="00FF4099"/>
    <w:rsid w:val="00FF4221"/>
    <w:rsid w:val="00FF450E"/>
    <w:rsid w:val="00FF4C81"/>
    <w:rsid w:val="00FF5245"/>
    <w:rsid w:val="00FF6146"/>
    <w:rsid w:val="00FF61D8"/>
    <w:rsid w:val="00FF6681"/>
    <w:rsid w:val="00FF7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44"/>
      </w:numPr>
      <w:adjustRightInd/>
      <w:spacing w:line="240" w:lineRule="auto"/>
      <w:contextualSpacing/>
      <w:textAlignment w:val="auto"/>
    </w:pPr>
    <w:rPr>
      <w:rFonts w:eastAsia="新細明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44"/>
      </w:numPr>
      <w:adjustRightInd/>
      <w:spacing w:line="240" w:lineRule="auto"/>
      <w:contextualSpacing/>
      <w:textAlignment w:val="auto"/>
    </w:pPr>
    <w:rPr>
      <w:rFonts w:eastAsia="新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_&#22283;&#20839;&#31185;_&#31185;&#21209;\0_&#26032;&#32862;&#31295;\0_108Q1\&#38468;&#22294;1_&#21517;&#30446;&#27542;&#21033;&#2957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79859332897659E-2"/>
          <c:y val="8.9332503151801648E-2"/>
          <c:w val="0.83340476190476187"/>
          <c:h val="0.76804277777777774"/>
        </c:manualLayout>
      </c:layout>
      <c:lineChart>
        <c:grouping val="standard"/>
        <c:varyColors val="0"/>
        <c:ser>
          <c:idx val="1"/>
          <c:order val="0"/>
          <c:tx>
            <c:strRef>
              <c:f>工作表1!$B$1</c:f>
              <c:strCache>
                <c:ptCount val="1"/>
                <c:pt idx="0">
                  <c:v>德國</c:v>
                </c:pt>
              </c:strCache>
            </c:strRef>
          </c:tx>
          <c:spPr>
            <a:ln w="22225">
              <a:solidFill>
                <a:schemeClr val="accent6">
                  <a:lumMod val="50000"/>
                </a:schemeClr>
              </a:solidFill>
              <a:prstDash val="solid"/>
            </a:ln>
          </c:spPr>
          <c:marker>
            <c:symbol val="x"/>
            <c:size val="5"/>
            <c:spPr>
              <a:solidFill>
                <a:schemeClr val="accent6">
                  <a:lumMod val="50000"/>
                </a:schemeClr>
              </a:solidFill>
              <a:ln>
                <a:noFill/>
                <a:prstDash val="solid"/>
              </a:ln>
            </c:spPr>
          </c:marker>
          <c:dLbls>
            <c:dLbl>
              <c:idx val="0"/>
              <c:layout>
                <c:manualLayout>
                  <c:x val="-8.2813534422338339E-2"/>
                  <c:y val="1.4474443372014688E-4"/>
                </c:manualLayout>
              </c:layout>
              <c:showLegendKey val="0"/>
              <c:showVal val="1"/>
              <c:showCatName val="0"/>
              <c:showSerName val="0"/>
              <c:showPercent val="0"/>
              <c:showBubbleSize val="0"/>
            </c:dLbl>
            <c:dLbl>
              <c:idx val="1"/>
              <c:layout>
                <c:manualLayout>
                  <c:x val="-4.1397248865031704E-2"/>
                  <c:y val="2.2566091088654906E-2"/>
                </c:manualLayout>
              </c:layout>
              <c:showLegendKey val="0"/>
              <c:showVal val="1"/>
              <c:showCatName val="0"/>
              <c:showSerName val="0"/>
              <c:showPercent val="0"/>
              <c:showBubbleSize val="0"/>
            </c:dLbl>
            <c:dLbl>
              <c:idx val="2"/>
              <c:layout>
                <c:manualLayout>
                  <c:x val="-4.0812859038144231E-2"/>
                  <c:y val="-4.5675340520249255E-2"/>
                </c:manualLayout>
              </c:layout>
              <c:showLegendKey val="0"/>
              <c:showVal val="1"/>
              <c:showCatName val="0"/>
              <c:showSerName val="0"/>
              <c:showPercent val="0"/>
              <c:showBubbleSize val="0"/>
            </c:dLbl>
            <c:dLbl>
              <c:idx val="3"/>
              <c:layout>
                <c:manualLayout>
                  <c:x val="-4.103530183727034E-2"/>
                  <c:y val="-2.3109326099338252E-2"/>
                </c:manualLayout>
              </c:layout>
              <c:showLegendKey val="0"/>
              <c:showVal val="1"/>
              <c:showCatName val="0"/>
              <c:showSerName val="0"/>
              <c:showPercent val="0"/>
              <c:showBubbleSize val="0"/>
            </c:dLbl>
            <c:dLbl>
              <c:idx val="4"/>
              <c:layout>
                <c:manualLayout>
                  <c:x val="-3.8677409692383979E-2"/>
                  <c:y val="-3.8385820821839417E-2"/>
                </c:manualLayout>
              </c:layout>
              <c:showLegendKey val="0"/>
              <c:showVal val="1"/>
              <c:showCatName val="0"/>
              <c:showSerName val="0"/>
              <c:showPercent val="0"/>
              <c:showBubbleSize val="0"/>
            </c:dLbl>
            <c:dLbl>
              <c:idx val="5"/>
              <c:layout>
                <c:manualLayout>
                  <c:x val="-2.5198412698412696E-3"/>
                  <c:y val="-3.5277777777777776E-2"/>
                </c:manualLayout>
              </c:layout>
              <c:showLegendKey val="0"/>
              <c:showVal val="1"/>
              <c:showCatName val="0"/>
              <c:showSerName val="0"/>
              <c:showPercent val="0"/>
              <c:showBubbleSize val="0"/>
            </c:dLbl>
            <c:spPr>
              <a:noFill/>
            </c:spPr>
            <c:txPr>
              <a:bodyPr/>
              <a:lstStyle/>
              <a:p>
                <a:pPr>
                  <a:defRPr sz="1400" b="1">
                    <a:solidFill>
                      <a:schemeClr val="accent6">
                        <a:lumMod val="50000"/>
                      </a:schemeClr>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dLbls>
          <c:cat>
            <c:strRef>
              <c:f>工作表1!$A$3:$A$13</c:f>
              <c:strCache>
                <c:ptCount val="4"/>
                <c:pt idx="0">
                  <c:v>2年期</c:v>
                </c:pt>
                <c:pt idx="1">
                  <c:v>5年期</c:v>
                </c:pt>
                <c:pt idx="2">
                  <c:v>10年期</c:v>
                </c:pt>
                <c:pt idx="3">
                  <c:v>30年期</c:v>
                </c:pt>
              </c:strCache>
            </c:strRef>
          </c:cat>
          <c:val>
            <c:numRef>
              <c:f>工作表1!$B$2:$B$13</c:f>
              <c:numCache>
                <c:formatCode>#,##0.00_ </c:formatCode>
                <c:ptCount val="4"/>
                <c:pt idx="0">
                  <c:v>-0.53100000000000003</c:v>
                </c:pt>
                <c:pt idx="1">
                  <c:v>-0.32900000000000001</c:v>
                </c:pt>
                <c:pt idx="2">
                  <c:v>8.4000000000000005E-2</c:v>
                </c:pt>
                <c:pt idx="3">
                  <c:v>0.73699999999999999</c:v>
                </c:pt>
              </c:numCache>
            </c:numRef>
          </c:val>
          <c:smooth val="0"/>
        </c:ser>
        <c:ser>
          <c:idx val="3"/>
          <c:order val="1"/>
          <c:tx>
            <c:strRef>
              <c:f>工作表1!$C$1</c:f>
              <c:strCache>
                <c:ptCount val="1"/>
              </c:strCache>
            </c:strRef>
          </c:tx>
          <c:spPr>
            <a:ln w="19050">
              <a:solidFill>
                <a:srgbClr val="FF0000"/>
              </a:solidFill>
              <a:prstDash val="solid"/>
            </a:ln>
          </c:spPr>
          <c:marker>
            <c:symbol val="diamond"/>
            <c:size val="5"/>
            <c:spPr>
              <a:solidFill>
                <a:srgbClr val="FF0000"/>
              </a:solidFill>
              <a:ln>
                <a:solidFill>
                  <a:srgbClr val="FF0000"/>
                </a:solidFill>
                <a:prstDash val="solid"/>
              </a:ln>
            </c:spPr>
          </c:marker>
          <c:dLbls>
            <c:dLbl>
              <c:idx val="0"/>
              <c:layout>
                <c:manualLayout>
                  <c:x val="-7.2553769841269836E-2"/>
                  <c:y val="-6.9722222222222225E-3"/>
                </c:manualLayout>
              </c:layout>
              <c:dLblPos val="r"/>
              <c:showLegendKey val="0"/>
              <c:showVal val="1"/>
              <c:showCatName val="0"/>
              <c:showSerName val="0"/>
              <c:showPercent val="0"/>
              <c:showBubbleSize val="0"/>
            </c:dLbl>
            <c:dLbl>
              <c:idx val="1"/>
              <c:layout>
                <c:manualLayout>
                  <c:x val="-4.5830357142857145E-2"/>
                  <c:y val="3.1763194444444441E-2"/>
                </c:manualLayout>
              </c:layout>
              <c:dLblPos val="r"/>
              <c:showLegendKey val="0"/>
              <c:showVal val="1"/>
              <c:showCatName val="0"/>
              <c:showSerName val="0"/>
              <c:showPercent val="0"/>
              <c:showBubbleSize val="0"/>
            </c:dLbl>
            <c:dLbl>
              <c:idx val="2"/>
              <c:layout>
                <c:manualLayout>
                  <c:x val="-4.4520039682539682E-2"/>
                  <c:y val="-4.4056597222222223E-2"/>
                </c:manualLayout>
              </c:layout>
              <c:dLblPos val="r"/>
              <c:showLegendKey val="0"/>
              <c:showVal val="1"/>
              <c:showCatName val="0"/>
              <c:showSerName val="0"/>
              <c:showPercent val="0"/>
              <c:showBubbleSize val="0"/>
            </c:dLbl>
            <c:dLbl>
              <c:idx val="3"/>
              <c:layout>
                <c:manualLayout>
                  <c:x val="-4.3021825396825399E-2"/>
                  <c:y val="-4.4717361111111111E-2"/>
                </c:manualLayout>
              </c:layout>
              <c:dLblPos val="r"/>
              <c:showLegendKey val="0"/>
              <c:showVal val="1"/>
              <c:showCatName val="0"/>
              <c:showSerName val="0"/>
              <c:showPercent val="0"/>
              <c:showBubbleSize val="0"/>
            </c:dLbl>
            <c:dLbl>
              <c:idx val="4"/>
              <c:layout>
                <c:manualLayout>
                  <c:x val="-4.4203769841269842E-2"/>
                  <c:y val="-4.7817013888888892E-2"/>
                </c:manualLayout>
              </c:layout>
              <c:dLblPos val="r"/>
              <c:showLegendKey val="0"/>
              <c:showVal val="1"/>
              <c:showCatName val="0"/>
              <c:showSerName val="0"/>
              <c:showPercent val="0"/>
              <c:showBubbleSize val="0"/>
            </c:dLbl>
            <c:dLbl>
              <c:idx val="5"/>
              <c:layout>
                <c:manualLayout>
                  <c:x val="-4.0947420634920635E-2"/>
                  <c:y val="-3.5277777777777776E-2"/>
                </c:manualLayout>
              </c:layout>
              <c:dLblPos val="r"/>
              <c:showLegendKey val="0"/>
              <c:showVal val="1"/>
              <c:showCatName val="0"/>
              <c:showSerName val="0"/>
              <c:showPercent val="0"/>
              <c:showBubbleSize val="0"/>
            </c:dLbl>
            <c:dLbl>
              <c:idx val="6"/>
              <c:dLblPos val="r"/>
              <c:showLegendKey val="0"/>
              <c:showVal val="1"/>
              <c:showCatName val="0"/>
              <c:showSerName val="0"/>
              <c:showPercent val="0"/>
              <c:showBubbleSize val="0"/>
            </c:dLbl>
            <c:numFmt formatCode="0.00_ " sourceLinked="0"/>
            <c:spPr>
              <a:noFill/>
              <a:ln w="25400">
                <a:noFill/>
              </a:ln>
            </c:spPr>
            <c:txPr>
              <a:bodyPr/>
              <a:lstStyle/>
              <a:p>
                <a:pPr>
                  <a:defRPr sz="1000" b="0" i="0" u="none" strike="noStrike" baseline="0">
                    <a:solidFill>
                      <a:srgbClr val="FF0000"/>
                    </a:solidFill>
                    <a:latin typeface="Times New Roman" panose="02020603050405020304" pitchFamily="18" charset="0"/>
                    <a:ea typeface="Century Gothic"/>
                    <a:cs typeface="Times New Roman" panose="02020603050405020304" pitchFamily="18" charset="0"/>
                  </a:defRPr>
                </a:pPr>
                <a:endParaRPr lang="zh-TW"/>
              </a:p>
            </c:txPr>
            <c:dLblPos val="b"/>
            <c:showLegendKey val="0"/>
            <c:showVal val="1"/>
            <c:showCatName val="0"/>
            <c:showSerName val="0"/>
            <c:showPercent val="0"/>
            <c:showBubbleSize val="0"/>
            <c:showLeaderLines val="0"/>
          </c:dLbls>
          <c:cat>
            <c:strRef>
              <c:f>工作表1!$A$3:$A$13</c:f>
              <c:strCache>
                <c:ptCount val="4"/>
                <c:pt idx="0">
                  <c:v>2年期</c:v>
                </c:pt>
                <c:pt idx="1">
                  <c:v>5年期</c:v>
                </c:pt>
                <c:pt idx="2">
                  <c:v>10年期</c:v>
                </c:pt>
                <c:pt idx="3">
                  <c:v>30年期</c:v>
                </c:pt>
              </c:strCache>
            </c:strRef>
          </c:cat>
          <c:val>
            <c:numRef>
              <c:f>工作表1!$C$2:$C$13</c:f>
            </c:numRef>
          </c:val>
          <c:smooth val="0"/>
        </c:ser>
        <c:ser>
          <c:idx val="0"/>
          <c:order val="2"/>
          <c:tx>
            <c:strRef>
              <c:f>工作表1!$D$1</c:f>
              <c:strCache>
                <c:ptCount val="1"/>
                <c:pt idx="0">
                  <c:v>日本</c:v>
                </c:pt>
              </c:strCache>
            </c:strRef>
          </c:tx>
          <c:spPr>
            <a:ln w="22225">
              <a:solidFill>
                <a:srgbClr val="FF00FF"/>
              </a:solidFill>
              <a:prstDash val="solid"/>
            </a:ln>
          </c:spPr>
          <c:marker>
            <c:symbol val="x"/>
            <c:size val="5"/>
            <c:spPr>
              <a:noFill/>
              <a:ln>
                <a:solidFill>
                  <a:srgbClr val="FF00FF"/>
                </a:solidFill>
              </a:ln>
            </c:spPr>
          </c:marker>
          <c:dLbls>
            <c:dLbl>
              <c:idx val="0"/>
              <c:layout>
                <c:manualLayout>
                  <c:x val="-8.4471653543307088E-2"/>
                  <c:y val="8.2059801288608715E-3"/>
                </c:manualLayout>
              </c:layout>
              <c:dLblPos val="r"/>
              <c:showLegendKey val="0"/>
              <c:showVal val="1"/>
              <c:showCatName val="0"/>
              <c:showSerName val="0"/>
              <c:showPercent val="0"/>
              <c:showBubbleSize val="0"/>
            </c:dLbl>
            <c:dLbl>
              <c:idx val="1"/>
              <c:layout>
                <c:manualLayout>
                  <c:x val="-4.434414146768987E-2"/>
                  <c:y val="-2.5041995450328609E-2"/>
                </c:manualLayout>
              </c:layout>
              <c:dLblPos val="r"/>
              <c:showLegendKey val="0"/>
              <c:showVal val="1"/>
              <c:showCatName val="0"/>
              <c:showSerName val="0"/>
              <c:showPercent val="0"/>
              <c:showBubbleSize val="0"/>
            </c:dLbl>
            <c:dLbl>
              <c:idx val="2"/>
              <c:layout>
                <c:manualLayout>
                  <c:x val="-5.0998540483167938E-2"/>
                  <c:y val="1.6084280221181597E-2"/>
                </c:manualLayout>
              </c:layout>
              <c:dLblPos val="r"/>
              <c:showLegendKey val="0"/>
              <c:showVal val="1"/>
              <c:showCatName val="0"/>
              <c:showSerName val="0"/>
              <c:showPercent val="0"/>
              <c:showBubbleSize val="0"/>
            </c:dLbl>
            <c:dLbl>
              <c:idx val="3"/>
              <c:layout>
                <c:manualLayout>
                  <c:x val="-4.5337506991054849E-2"/>
                  <c:y val="3.149014323792125E-2"/>
                </c:manualLayout>
              </c:layout>
              <c:dLblPos val="r"/>
              <c:showLegendKey val="0"/>
              <c:showVal val="1"/>
              <c:showCatName val="0"/>
              <c:showSerName val="0"/>
              <c:showPercent val="0"/>
              <c:showBubbleSize val="0"/>
            </c:dLbl>
            <c:dLbl>
              <c:idx val="4"/>
              <c:layout>
                <c:manualLayout>
                  <c:x val="-4.2579310105781358E-2"/>
                  <c:y val="2.0917206716481958E-2"/>
                </c:manualLayout>
              </c:layout>
              <c:dLblPos val="r"/>
              <c:showLegendKey val="0"/>
              <c:showVal val="1"/>
              <c:showCatName val="0"/>
              <c:showSerName val="0"/>
              <c:showPercent val="0"/>
              <c:showBubbleSize val="0"/>
            </c:dLbl>
            <c:dLbl>
              <c:idx val="5"/>
              <c:layout>
                <c:manualLayout>
                  <c:x val="-2.6429418488051544E-3"/>
                  <c:y val="5.6406670736974173E-3"/>
                </c:manualLayout>
              </c:layout>
              <c:dLblPos val="r"/>
              <c:showLegendKey val="0"/>
              <c:showVal val="1"/>
              <c:showCatName val="0"/>
              <c:showSerName val="0"/>
              <c:showPercent val="0"/>
              <c:showBubbleSize val="0"/>
            </c:dLbl>
            <c:txPr>
              <a:bodyPr/>
              <a:lstStyle/>
              <a:p>
                <a:pPr>
                  <a:defRPr sz="1400" b="1">
                    <a:solidFill>
                      <a:srgbClr val="FF00FF"/>
                    </a:solidFill>
                    <a:latin typeface="Times New Roman" panose="02020603050405020304" pitchFamily="18" charset="0"/>
                    <a:cs typeface="Times New Roman" panose="02020603050405020304" pitchFamily="18" charset="0"/>
                  </a:defRPr>
                </a:pPr>
                <a:endParaRPr lang="zh-TW"/>
              </a:p>
            </c:txPr>
            <c:dLblPos val="b"/>
            <c:showLegendKey val="0"/>
            <c:showVal val="1"/>
            <c:showCatName val="0"/>
            <c:showSerName val="0"/>
            <c:showPercent val="0"/>
            <c:showBubbleSize val="0"/>
            <c:showLeaderLines val="0"/>
          </c:dLbls>
          <c:cat>
            <c:strRef>
              <c:f>工作表1!$A$3:$A$13</c:f>
              <c:strCache>
                <c:ptCount val="4"/>
                <c:pt idx="0">
                  <c:v>2年期</c:v>
                </c:pt>
                <c:pt idx="1">
                  <c:v>5年期</c:v>
                </c:pt>
                <c:pt idx="2">
                  <c:v>10年期</c:v>
                </c:pt>
                <c:pt idx="3">
                  <c:v>30年期</c:v>
                </c:pt>
              </c:strCache>
            </c:strRef>
          </c:cat>
          <c:val>
            <c:numRef>
              <c:f>工作表1!$D$2:$D$13</c:f>
              <c:numCache>
                <c:formatCode>#,##0.00_ </c:formatCode>
                <c:ptCount val="4"/>
                <c:pt idx="0">
                  <c:v>-0.157</c:v>
                </c:pt>
                <c:pt idx="1">
                  <c:v>-0.16200000000000001</c:v>
                </c:pt>
                <c:pt idx="2">
                  <c:v>-3.5999999999999997E-2</c:v>
                </c:pt>
                <c:pt idx="3">
                  <c:v>0.57299999999999995</c:v>
                </c:pt>
              </c:numCache>
            </c:numRef>
          </c:val>
          <c:smooth val="0"/>
        </c:ser>
        <c:ser>
          <c:idx val="2"/>
          <c:order val="3"/>
          <c:tx>
            <c:strRef>
              <c:f>工作表1!$E$1</c:f>
              <c:strCache>
                <c:ptCount val="1"/>
              </c:strCache>
            </c:strRef>
          </c:tx>
          <c:spPr>
            <a:ln w="19050">
              <a:solidFill>
                <a:srgbClr val="800000"/>
              </a:solidFill>
              <a:prstDash val="solid"/>
            </a:ln>
          </c:spPr>
          <c:marker>
            <c:symbol val="diamond"/>
            <c:size val="5"/>
            <c:spPr>
              <a:solidFill>
                <a:srgbClr val="800000"/>
              </a:solidFill>
              <a:ln>
                <a:solidFill>
                  <a:srgbClr val="800000"/>
                </a:solidFill>
                <a:prstDash val="solid"/>
              </a:ln>
            </c:spPr>
          </c:marker>
          <c:dLbls>
            <c:dLbl>
              <c:idx val="0"/>
              <c:layout>
                <c:manualLayout>
                  <c:x val="-7.9906746031746037E-2"/>
                  <c:y val="3.0125E-3"/>
                </c:manualLayout>
              </c:layout>
              <c:dLblPos val="r"/>
              <c:showLegendKey val="0"/>
              <c:showVal val="1"/>
              <c:showCatName val="0"/>
              <c:showSerName val="0"/>
              <c:showPercent val="0"/>
              <c:showBubbleSize val="0"/>
            </c:dLbl>
            <c:dLbl>
              <c:idx val="1"/>
              <c:layout>
                <c:manualLayout>
                  <c:x val="-5.308293650793651E-2"/>
                  <c:y val="3.0993402777777779E-2"/>
                </c:manualLayout>
              </c:layout>
              <c:dLblPos val="r"/>
              <c:showLegendKey val="0"/>
              <c:showVal val="1"/>
              <c:showCatName val="0"/>
              <c:showSerName val="0"/>
              <c:showPercent val="0"/>
              <c:showBubbleSize val="0"/>
            </c:dLbl>
            <c:dLbl>
              <c:idx val="2"/>
              <c:layout>
                <c:manualLayout>
                  <c:x val="-8.8820833333333335E-2"/>
                  <c:y val="1.4892013888888889E-2"/>
                </c:manualLayout>
              </c:layout>
              <c:numFmt formatCode="0.00_ " sourceLinked="0"/>
              <c:spPr>
                <a:noFill/>
                <a:ln w="25400">
                  <a:noFill/>
                </a:ln>
              </c:spPr>
              <c:txPr>
                <a:bodyPr/>
                <a:lstStyle/>
                <a:p>
                  <a:pPr>
                    <a:defRPr sz="1000" b="0" i="0" u="none" strike="noStrike" baseline="0">
                      <a:solidFill>
                        <a:srgbClr val="800000"/>
                      </a:solidFill>
                      <a:latin typeface="Times New Roman" panose="02020603050405020304" pitchFamily="18" charset="0"/>
                      <a:ea typeface="Century Gothic"/>
                      <a:cs typeface="Times New Roman" panose="02020603050405020304" pitchFamily="18" charset="0"/>
                    </a:defRPr>
                  </a:pPr>
                  <a:endParaRPr lang="zh-TW"/>
                </a:p>
              </c:txPr>
              <c:dLblPos val="r"/>
              <c:showLegendKey val="0"/>
              <c:showVal val="1"/>
              <c:showCatName val="0"/>
              <c:showSerName val="0"/>
              <c:showPercent val="0"/>
              <c:showBubbleSize val="0"/>
            </c:dLbl>
            <c:dLbl>
              <c:idx val="3"/>
              <c:layout>
                <c:manualLayout>
                  <c:x val="-8.5424603174603167E-3"/>
                  <c:y val="-1.6534722222222222E-3"/>
                </c:manualLayout>
              </c:layout>
              <c:dLblPos val="r"/>
              <c:showLegendKey val="0"/>
              <c:showVal val="1"/>
              <c:showCatName val="0"/>
              <c:showSerName val="0"/>
              <c:showPercent val="0"/>
              <c:showBubbleSize val="0"/>
            </c:dLbl>
            <c:dLbl>
              <c:idx val="4"/>
              <c:layout>
                <c:manualLayout>
                  <c:x val="-4.559365079365079E-2"/>
                  <c:y val="-3.297152777777778E-2"/>
                </c:manualLayout>
              </c:layout>
              <c:dLblPos val="r"/>
              <c:showLegendKey val="0"/>
              <c:showVal val="1"/>
              <c:showCatName val="0"/>
              <c:showSerName val="0"/>
              <c:showPercent val="0"/>
              <c:showBubbleSize val="0"/>
            </c:dLbl>
            <c:dLbl>
              <c:idx val="5"/>
              <c:layout>
                <c:manualLayout>
                  <c:x val="-4.2837301587301591E-2"/>
                  <c:y val="-2.6458333333333334E-2"/>
                </c:manualLayout>
              </c:layout>
              <c:dLblPos val="r"/>
              <c:showLegendKey val="0"/>
              <c:showVal val="1"/>
              <c:showCatName val="0"/>
              <c:showSerName val="0"/>
              <c:showPercent val="0"/>
              <c:showBubbleSize val="0"/>
            </c:dLbl>
            <c:dLbl>
              <c:idx val="6"/>
              <c:dLblPos val="r"/>
              <c:showLegendKey val="0"/>
              <c:showVal val="1"/>
              <c:showCatName val="0"/>
              <c:showSerName val="0"/>
              <c:showPercent val="0"/>
              <c:showBubbleSize val="0"/>
            </c:dLbl>
            <c:dLbl>
              <c:idx val="7"/>
              <c:delete val="1"/>
            </c:dLbl>
            <c:numFmt formatCode="#,##0.00_ " sourceLinked="0"/>
            <c:spPr>
              <a:noFill/>
              <a:ln w="25400">
                <a:noFill/>
              </a:ln>
            </c:spPr>
            <c:txPr>
              <a:bodyPr/>
              <a:lstStyle/>
              <a:p>
                <a:pPr>
                  <a:defRPr sz="1000" b="0" i="0" u="none" strike="noStrike" baseline="0">
                    <a:solidFill>
                      <a:srgbClr val="800000"/>
                    </a:solidFill>
                    <a:latin typeface="Times New Roman" panose="02020603050405020304" pitchFamily="18" charset="0"/>
                    <a:ea typeface="Century Gothic"/>
                    <a:cs typeface="Times New Roman" panose="02020603050405020304" pitchFamily="18" charset="0"/>
                  </a:defRPr>
                </a:pPr>
                <a:endParaRPr lang="zh-TW"/>
              </a:p>
            </c:txPr>
            <c:dLblPos val="b"/>
            <c:showLegendKey val="0"/>
            <c:showVal val="1"/>
            <c:showCatName val="0"/>
            <c:showSerName val="0"/>
            <c:showPercent val="0"/>
            <c:showBubbleSize val="0"/>
            <c:showLeaderLines val="0"/>
          </c:dLbls>
          <c:cat>
            <c:strRef>
              <c:f>工作表1!$A$3:$A$13</c:f>
              <c:strCache>
                <c:ptCount val="4"/>
                <c:pt idx="0">
                  <c:v>2年期</c:v>
                </c:pt>
                <c:pt idx="1">
                  <c:v>5年期</c:v>
                </c:pt>
                <c:pt idx="2">
                  <c:v>10年期</c:v>
                </c:pt>
                <c:pt idx="3">
                  <c:v>30年期</c:v>
                </c:pt>
              </c:strCache>
            </c:strRef>
          </c:cat>
          <c:val>
            <c:numRef>
              <c:f>工作表1!$E$2:$E$13</c:f>
            </c:numRef>
          </c:val>
          <c:smooth val="0"/>
        </c:ser>
        <c:ser>
          <c:idx val="4"/>
          <c:order val="4"/>
          <c:tx>
            <c:strRef>
              <c:f>工作表1!$F$1</c:f>
              <c:strCache>
                <c:ptCount val="1"/>
                <c:pt idx="0">
                  <c:v>美國</c:v>
                </c:pt>
              </c:strCache>
            </c:strRef>
          </c:tx>
          <c:spPr>
            <a:ln w="22225">
              <a:solidFill>
                <a:schemeClr val="tx2">
                  <a:lumMod val="60000"/>
                  <a:lumOff val="40000"/>
                </a:schemeClr>
              </a:solidFill>
              <a:prstDash val="solid"/>
            </a:ln>
          </c:spPr>
          <c:marker>
            <c:symbol val="diamond"/>
            <c:size val="5"/>
            <c:spPr>
              <a:solidFill>
                <a:schemeClr val="tx2">
                  <a:lumMod val="60000"/>
                  <a:lumOff val="40000"/>
                </a:schemeClr>
              </a:solidFill>
            </c:spPr>
          </c:marker>
          <c:dLbls>
            <c:dLbl>
              <c:idx val="0"/>
              <c:layout>
                <c:manualLayout>
                  <c:x val="-7.3007142857142854E-2"/>
                  <c:y val="-5.4729166666666667E-3"/>
                </c:manualLayout>
              </c:layout>
              <c:dLblPos val="r"/>
              <c:showLegendKey val="0"/>
              <c:showVal val="1"/>
              <c:showCatName val="0"/>
              <c:showSerName val="0"/>
              <c:showPercent val="0"/>
              <c:showBubbleSize val="0"/>
            </c:dLbl>
            <c:dLbl>
              <c:idx val="1"/>
              <c:layout>
                <c:manualLayout>
                  <c:x val="-4.3614682539682537E-2"/>
                  <c:y val="-4.1812500000000002E-2"/>
                </c:manualLayout>
              </c:layout>
              <c:dLblPos val="r"/>
              <c:showLegendKey val="0"/>
              <c:showVal val="1"/>
              <c:showCatName val="0"/>
              <c:showSerName val="0"/>
              <c:showPercent val="0"/>
              <c:showBubbleSize val="0"/>
            </c:dLbl>
            <c:dLbl>
              <c:idx val="2"/>
              <c:layout>
                <c:manualLayout>
                  <c:x val="-4.2857738095238095E-2"/>
                  <c:y val="-3.5172222222222181E-2"/>
                </c:manualLayout>
              </c:layout>
              <c:dLblPos val="r"/>
              <c:showLegendKey val="0"/>
              <c:showVal val="1"/>
              <c:showCatName val="0"/>
              <c:showSerName val="0"/>
              <c:showPercent val="0"/>
              <c:showBubbleSize val="0"/>
            </c:dLbl>
            <c:dLbl>
              <c:idx val="3"/>
              <c:layout>
                <c:manualLayout>
                  <c:x val="-4.4504563492063491E-2"/>
                  <c:y val="-3.3195833333333334E-2"/>
                </c:manualLayout>
              </c:layout>
              <c:dLblPos val="r"/>
              <c:showLegendKey val="0"/>
              <c:showVal val="1"/>
              <c:showCatName val="0"/>
              <c:showSerName val="0"/>
              <c:showPercent val="0"/>
              <c:showBubbleSize val="0"/>
            </c:dLbl>
            <c:dLbl>
              <c:idx val="4"/>
              <c:layout>
                <c:manualLayout>
                  <c:x val="-4.4448015873015875E-2"/>
                  <c:y val="-3.8466319444444445E-2"/>
                </c:manualLayout>
              </c:layout>
              <c:dLblPos val="r"/>
              <c:showLegendKey val="0"/>
              <c:showVal val="1"/>
              <c:showCatName val="0"/>
              <c:showSerName val="0"/>
              <c:showPercent val="0"/>
              <c:showBubbleSize val="0"/>
            </c:dLbl>
            <c:dLbl>
              <c:idx val="5"/>
              <c:layout>
                <c:manualLayout>
                  <c:x val="-6.9952499927396789E-3"/>
                  <c:y val="-1.6536463843109125E-2"/>
                </c:manualLayout>
              </c:layout>
              <c:dLblPos val="r"/>
              <c:showLegendKey val="0"/>
              <c:showVal val="1"/>
              <c:showCatName val="0"/>
              <c:showSerName val="0"/>
              <c:showPercent val="0"/>
              <c:showBubbleSize val="0"/>
              <c:separator>
</c:separator>
            </c:dLbl>
            <c:dLbl>
              <c:idx val="7"/>
              <c:showLegendKey val="0"/>
              <c:showVal val="1"/>
              <c:showCatName val="0"/>
              <c:showSerName val="0"/>
              <c:showPercent val="0"/>
              <c:showBubbleSize val="0"/>
            </c:dLbl>
            <c:numFmt formatCode="#,##0.00_ ;[Red]\-#,##0.00\ " sourceLinked="0"/>
            <c:spPr>
              <a:noFill/>
              <a:ln w="25400">
                <a:noFill/>
              </a:ln>
            </c:spPr>
            <c:txPr>
              <a:bodyPr/>
              <a:lstStyle/>
              <a:p>
                <a:pPr>
                  <a:defRPr sz="1400" b="1" i="0" u="none" strike="noStrike" baseline="0">
                    <a:solidFill>
                      <a:srgbClr val="0070C0"/>
                    </a:solidFill>
                    <a:latin typeface="Times New Roman" panose="02020603050405020304" pitchFamily="18" charset="0"/>
                    <a:ea typeface="Century Gothic"/>
                    <a:cs typeface="Times New Roman" panose="02020603050405020304" pitchFamily="18" charset="0"/>
                  </a:defRPr>
                </a:pPr>
                <a:endParaRPr lang="zh-TW"/>
              </a:p>
            </c:txPr>
            <c:dLblPos val="b"/>
            <c:showLegendKey val="0"/>
            <c:showVal val="1"/>
            <c:showCatName val="0"/>
            <c:showSerName val="0"/>
            <c:showPercent val="0"/>
            <c:showBubbleSize val="0"/>
            <c:showLeaderLines val="0"/>
          </c:dLbls>
          <c:cat>
            <c:strRef>
              <c:f>工作表1!$A$3:$A$13</c:f>
              <c:strCache>
                <c:ptCount val="4"/>
                <c:pt idx="0">
                  <c:v>2年期</c:v>
                </c:pt>
                <c:pt idx="1">
                  <c:v>5年期</c:v>
                </c:pt>
                <c:pt idx="2">
                  <c:v>10年期</c:v>
                </c:pt>
                <c:pt idx="3">
                  <c:v>30年期</c:v>
                </c:pt>
              </c:strCache>
            </c:strRef>
          </c:cat>
          <c:val>
            <c:numRef>
              <c:f>工作表1!$F$2:$F$13</c:f>
              <c:numCache>
                <c:formatCode>#,##0.00_ </c:formatCode>
                <c:ptCount val="4"/>
                <c:pt idx="0">
                  <c:v>2.4</c:v>
                </c:pt>
                <c:pt idx="1">
                  <c:v>2.34</c:v>
                </c:pt>
                <c:pt idx="2">
                  <c:v>2.54</c:v>
                </c:pt>
                <c:pt idx="3">
                  <c:v>2.98</c:v>
                </c:pt>
              </c:numCache>
            </c:numRef>
          </c:val>
          <c:smooth val="0"/>
        </c:ser>
        <c:ser>
          <c:idx val="12"/>
          <c:order val="5"/>
          <c:tx>
            <c:strRef>
              <c:f>工作表1!$G$1</c:f>
              <c:strCache>
                <c:ptCount val="1"/>
              </c:strCache>
            </c:strRef>
          </c:tx>
          <c:spPr>
            <a:ln w="19050">
              <a:solidFill>
                <a:srgbClr val="00B0F0"/>
              </a:solidFill>
            </a:ln>
          </c:spPr>
          <c:marker>
            <c:symbol val="diamond"/>
            <c:size val="5"/>
            <c:spPr>
              <a:solidFill>
                <a:srgbClr val="00B0F0"/>
              </a:solidFill>
              <a:ln>
                <a:solidFill>
                  <a:srgbClr val="00B0F0"/>
                </a:solidFill>
              </a:ln>
            </c:spPr>
          </c:marker>
          <c:dLbls>
            <c:dLbl>
              <c:idx val="0"/>
              <c:layout>
                <c:manualLayout>
                  <c:x val="-8.0351984126984133E-2"/>
                  <c:y val="-1.1923611111111111E-3"/>
                </c:manualLayout>
              </c:layout>
              <c:showLegendKey val="0"/>
              <c:showVal val="1"/>
              <c:showCatName val="0"/>
              <c:showSerName val="0"/>
              <c:showPercent val="0"/>
              <c:showBubbleSize val="0"/>
            </c:dLbl>
            <c:dLbl>
              <c:idx val="1"/>
              <c:layout>
                <c:manualLayout>
                  <c:x val="-4.0793055555555555E-2"/>
                  <c:y val="-4.5446874999999998E-2"/>
                </c:manualLayout>
              </c:layout>
              <c:showLegendKey val="0"/>
              <c:showVal val="1"/>
              <c:showCatName val="0"/>
              <c:showSerName val="0"/>
              <c:showPercent val="0"/>
              <c:showBubbleSize val="0"/>
            </c:dLbl>
            <c:dLbl>
              <c:idx val="2"/>
              <c:layout>
                <c:manualLayout>
                  <c:x val="-4.7732341269841272E-2"/>
                  <c:y val="3.9317361111111108E-2"/>
                </c:manualLayout>
              </c:layout>
              <c:showLegendKey val="0"/>
              <c:showVal val="1"/>
              <c:showCatName val="0"/>
              <c:showSerName val="0"/>
              <c:showPercent val="0"/>
              <c:showBubbleSize val="0"/>
            </c:dLbl>
            <c:dLbl>
              <c:idx val="3"/>
              <c:layout>
                <c:manualLayout>
                  <c:x val="-5.1398214285714283E-2"/>
                  <c:y val="3.8255902777777781E-2"/>
                </c:manualLayout>
              </c:layout>
              <c:showLegendKey val="0"/>
              <c:showVal val="1"/>
              <c:showCatName val="0"/>
              <c:showSerName val="0"/>
              <c:showPercent val="0"/>
              <c:showBubbleSize val="0"/>
            </c:dLbl>
            <c:dLbl>
              <c:idx val="4"/>
              <c:layout>
                <c:manualLayout>
                  <c:x val="-4.7497619047619045E-2"/>
                  <c:y val="3.050763888888889E-2"/>
                </c:manualLayout>
              </c:layout>
              <c:showLegendKey val="0"/>
              <c:showVal val="1"/>
              <c:showCatName val="0"/>
              <c:showSerName val="0"/>
              <c:showPercent val="0"/>
              <c:showBubbleSize val="0"/>
            </c:dLbl>
            <c:dLbl>
              <c:idx val="5"/>
              <c:layout>
                <c:manualLayout>
                  <c:x val="-4.7876984126984129E-2"/>
                  <c:y val="4.5861111111111109E-2"/>
                </c:manualLayout>
              </c:layout>
              <c:showLegendKey val="0"/>
              <c:showVal val="1"/>
              <c:showCatName val="0"/>
              <c:showSerName val="0"/>
              <c:showPercent val="0"/>
              <c:showBubbleSize val="0"/>
            </c:dLbl>
            <c:numFmt formatCode="#,##0.00_ " sourceLinked="0"/>
            <c:txPr>
              <a:bodyPr/>
              <a:lstStyle/>
              <a:p>
                <a:pPr>
                  <a:defRPr sz="1000">
                    <a:solidFill>
                      <a:srgbClr val="00B0F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dLbls>
          <c:cat>
            <c:strRef>
              <c:f>工作表1!$A$3:$A$13</c:f>
              <c:strCache>
                <c:ptCount val="4"/>
                <c:pt idx="0">
                  <c:v>2年期</c:v>
                </c:pt>
                <c:pt idx="1">
                  <c:v>5年期</c:v>
                </c:pt>
                <c:pt idx="2">
                  <c:v>10年期</c:v>
                </c:pt>
                <c:pt idx="3">
                  <c:v>30年期</c:v>
                </c:pt>
              </c:strCache>
            </c:strRef>
          </c:cat>
          <c:val>
            <c:numRef>
              <c:f>工作表1!$G$2:$G$13</c:f>
            </c:numRef>
          </c:val>
          <c:smooth val="0"/>
        </c:ser>
        <c:ser>
          <c:idx val="5"/>
          <c:order val="6"/>
          <c:tx>
            <c:strRef>
              <c:f>工作表1!$H$1</c:f>
              <c:strCache>
                <c:ptCount val="1"/>
                <c:pt idx="0">
                  <c:v>台灣</c:v>
                </c:pt>
              </c:strCache>
            </c:strRef>
          </c:tx>
          <c:spPr>
            <a:ln w="22225">
              <a:solidFill>
                <a:srgbClr val="00B050"/>
              </a:solidFill>
            </a:ln>
          </c:spPr>
          <c:marker>
            <c:symbol val="triangle"/>
            <c:size val="7"/>
            <c:spPr>
              <a:solidFill>
                <a:srgbClr val="00B050"/>
              </a:solidFill>
              <a:ln>
                <a:noFill/>
              </a:ln>
            </c:spPr>
          </c:marker>
          <c:dLbls>
            <c:dLbl>
              <c:idx val="0"/>
              <c:layout>
                <c:manualLayout>
                  <c:x val="-8.0466470835504345E-2"/>
                  <c:y val="-1.9639905402292133E-2"/>
                </c:manualLayout>
              </c:layout>
              <c:dLblPos val="r"/>
              <c:showLegendKey val="0"/>
              <c:showVal val="1"/>
              <c:showCatName val="0"/>
              <c:showSerName val="0"/>
              <c:showPercent val="0"/>
              <c:showBubbleSize val="0"/>
            </c:dLbl>
            <c:dLbl>
              <c:idx val="1"/>
              <c:layout>
                <c:manualLayout>
                  <c:x val="-4.5620631552418293E-2"/>
                  <c:y val="-3.3696136418569771E-2"/>
                </c:manualLayout>
              </c:layout>
              <c:dLblPos val="r"/>
              <c:showLegendKey val="0"/>
              <c:showVal val="1"/>
              <c:showCatName val="0"/>
              <c:showSerName val="0"/>
              <c:showPercent val="0"/>
              <c:showBubbleSize val="0"/>
            </c:dLbl>
            <c:dLbl>
              <c:idx val="2"/>
              <c:layout>
                <c:manualLayout>
                  <c:x val="-4.0758388479019469E-2"/>
                  <c:y val="-4.4026487895536835E-2"/>
                </c:manualLayout>
              </c:layout>
              <c:dLblPos val="r"/>
              <c:showLegendKey val="0"/>
              <c:showVal val="1"/>
              <c:showCatName val="0"/>
              <c:showSerName val="0"/>
              <c:showPercent val="0"/>
              <c:showBubbleSize val="0"/>
            </c:dLbl>
            <c:dLbl>
              <c:idx val="3"/>
              <c:layout>
                <c:manualLayout>
                  <c:x val="-4.4091732283464566E-2"/>
                  <c:y val="-3.934422610677285E-2"/>
                </c:manualLayout>
              </c:layout>
              <c:dLblPos val="r"/>
              <c:showLegendKey val="0"/>
              <c:showVal val="1"/>
              <c:showCatName val="0"/>
              <c:showSerName val="0"/>
              <c:showPercent val="0"/>
              <c:showBubbleSize val="0"/>
            </c:dLbl>
            <c:dLbl>
              <c:idx val="4"/>
              <c:layout>
                <c:manualLayout>
                  <c:x val="-4.0758388479019469E-2"/>
                  <c:y val="-3.9761396693110233E-2"/>
                </c:manualLayout>
              </c:layout>
              <c:dLblPos val="r"/>
              <c:showLegendKey val="0"/>
              <c:showVal val="1"/>
              <c:showCatName val="0"/>
              <c:showSerName val="0"/>
              <c:showPercent val="0"/>
              <c:showBubbleSize val="0"/>
            </c:dLbl>
            <c:dLbl>
              <c:idx val="5"/>
              <c:layout>
                <c:manualLayout>
                  <c:x val="-6.1321835174599337E-3"/>
                  <c:y val="-1.9061263501364493E-2"/>
                </c:manualLayout>
              </c:layout>
              <c:dLblPos val="r"/>
              <c:showLegendKey val="0"/>
              <c:showVal val="1"/>
              <c:showCatName val="0"/>
              <c:showSerName val="0"/>
              <c:showPercent val="0"/>
              <c:showBubbleSize val="0"/>
            </c:dLbl>
            <c:txPr>
              <a:bodyPr/>
              <a:lstStyle/>
              <a:p>
                <a:pPr>
                  <a:defRPr sz="1400" b="1">
                    <a:solidFill>
                      <a:srgbClr val="00B050"/>
                    </a:solidFill>
                    <a:latin typeface="Times New Roman" panose="02020603050405020304" pitchFamily="18" charset="0"/>
                    <a:cs typeface="Times New Roman" panose="02020603050405020304" pitchFamily="18" charset="0"/>
                  </a:defRPr>
                </a:pPr>
                <a:endParaRPr lang="zh-TW"/>
              </a:p>
            </c:txPr>
            <c:dLblPos val="t"/>
            <c:showLegendKey val="0"/>
            <c:showVal val="1"/>
            <c:showCatName val="0"/>
            <c:showSerName val="0"/>
            <c:showPercent val="0"/>
            <c:showBubbleSize val="0"/>
            <c:showLeaderLines val="0"/>
          </c:dLbls>
          <c:cat>
            <c:strRef>
              <c:f>工作表1!$A$3:$A$13</c:f>
              <c:strCache>
                <c:ptCount val="4"/>
                <c:pt idx="0">
                  <c:v>2年期</c:v>
                </c:pt>
                <c:pt idx="1">
                  <c:v>5年期</c:v>
                </c:pt>
                <c:pt idx="2">
                  <c:v>10年期</c:v>
                </c:pt>
                <c:pt idx="3">
                  <c:v>30年期</c:v>
                </c:pt>
              </c:strCache>
            </c:strRef>
          </c:cat>
          <c:val>
            <c:numRef>
              <c:f>工作表1!$H$2:$H$13</c:f>
              <c:numCache>
                <c:formatCode>#,##0.00_ </c:formatCode>
                <c:ptCount val="4"/>
                <c:pt idx="0">
                  <c:v>0.52400000000000002</c:v>
                </c:pt>
                <c:pt idx="1">
                  <c:v>0.66300000000000003</c:v>
                </c:pt>
                <c:pt idx="2">
                  <c:v>0.80700000000000005</c:v>
                </c:pt>
                <c:pt idx="3">
                  <c:v>1.3280000000000001</c:v>
                </c:pt>
              </c:numCache>
            </c:numRef>
          </c:val>
          <c:smooth val="0"/>
        </c:ser>
        <c:ser>
          <c:idx val="6"/>
          <c:order val="7"/>
          <c:tx>
            <c:strRef>
              <c:f>工作表1!$I$1</c:f>
              <c:strCache>
                <c:ptCount val="1"/>
              </c:strCache>
            </c:strRef>
          </c:tx>
          <c:cat>
            <c:strRef>
              <c:f>工作表1!$A$3:$A$13</c:f>
              <c:strCache>
                <c:ptCount val="4"/>
                <c:pt idx="0">
                  <c:v>2年期</c:v>
                </c:pt>
                <c:pt idx="1">
                  <c:v>5年期</c:v>
                </c:pt>
                <c:pt idx="2">
                  <c:v>10年期</c:v>
                </c:pt>
                <c:pt idx="3">
                  <c:v>30年期</c:v>
                </c:pt>
              </c:strCache>
            </c:strRef>
          </c:cat>
          <c:val>
            <c:numRef>
              <c:f>工作表1!$I$2:$I$13</c:f>
            </c:numRef>
          </c:val>
          <c:smooth val="0"/>
        </c:ser>
        <c:ser>
          <c:idx val="7"/>
          <c:order val="8"/>
          <c:tx>
            <c:strRef>
              <c:f>工作表1!$J$1</c:f>
              <c:strCache>
                <c:ptCount val="1"/>
                <c:pt idx="0">
                  <c:v>南韓</c:v>
                </c:pt>
              </c:strCache>
            </c:strRef>
          </c:tx>
          <c:spPr>
            <a:ln w="22225">
              <a:solidFill>
                <a:schemeClr val="bg2">
                  <a:lumMod val="25000"/>
                </a:schemeClr>
              </a:solidFill>
            </a:ln>
          </c:spPr>
          <c:marker>
            <c:symbol val="circle"/>
            <c:size val="5"/>
            <c:spPr>
              <a:solidFill>
                <a:schemeClr val="bg2">
                  <a:lumMod val="25000"/>
                </a:schemeClr>
              </a:solidFill>
              <a:ln>
                <a:noFill/>
              </a:ln>
            </c:spPr>
          </c:marker>
          <c:dLbls>
            <c:dLbl>
              <c:idx val="0"/>
              <c:layout>
                <c:manualLayout>
                  <c:x val="-7.5280357142857149E-2"/>
                  <c:y val="-5.8319444444444443E-3"/>
                </c:manualLayout>
              </c:layout>
              <c:dLblPos val="r"/>
              <c:showLegendKey val="0"/>
              <c:showVal val="1"/>
              <c:showCatName val="0"/>
              <c:showSerName val="0"/>
              <c:showPercent val="0"/>
              <c:showBubbleSize val="0"/>
            </c:dLbl>
            <c:dLbl>
              <c:idx val="1"/>
              <c:layout>
                <c:manualLayout>
                  <c:x val="-4.4746638341252885E-2"/>
                  <c:y val="-3.8374394709013E-2"/>
                </c:manualLayout>
              </c:layout>
              <c:dLblPos val="r"/>
              <c:showLegendKey val="0"/>
              <c:showVal val="1"/>
              <c:showCatName val="0"/>
              <c:showSerName val="0"/>
              <c:showPercent val="0"/>
              <c:showBubbleSize val="0"/>
            </c:dLbl>
            <c:dLbl>
              <c:idx val="2"/>
              <c:layout>
                <c:manualLayout>
                  <c:x val="-3.9083499231692666E-2"/>
                  <c:y val="-3.042717841826589E-2"/>
                </c:manualLayout>
              </c:layout>
              <c:dLblPos val="r"/>
              <c:showLegendKey val="0"/>
              <c:showVal val="1"/>
              <c:showCatName val="0"/>
              <c:showSerName val="0"/>
              <c:showPercent val="0"/>
              <c:showBubbleSize val="0"/>
            </c:dLbl>
            <c:dLbl>
              <c:idx val="3"/>
              <c:layout>
                <c:manualLayout>
                  <c:x val="-4.2916666666666665E-2"/>
                  <c:y val="-4.488595747159152E-2"/>
                </c:manualLayout>
              </c:layout>
              <c:dLblPos val="r"/>
              <c:showLegendKey val="0"/>
              <c:showVal val="1"/>
              <c:showCatName val="0"/>
              <c:showSerName val="0"/>
              <c:showPercent val="0"/>
              <c:showBubbleSize val="0"/>
            </c:dLbl>
            <c:dLbl>
              <c:idx val="4"/>
              <c:layout>
                <c:manualLayout>
                  <c:x val="-4.3197551782397148E-2"/>
                  <c:y val="-4.5833344705995455E-2"/>
                </c:manualLayout>
              </c:layout>
              <c:dLblPos val="r"/>
              <c:showLegendKey val="0"/>
              <c:showVal val="1"/>
              <c:showCatName val="0"/>
              <c:showSerName val="0"/>
              <c:showPercent val="0"/>
              <c:showBubbleSize val="0"/>
            </c:dLbl>
            <c:dLbl>
              <c:idx val="5"/>
              <c:layout>
                <c:manualLayout>
                  <c:x val="6.5008562369372471E-4"/>
                  <c:y val="-2.3470763303558295E-2"/>
                </c:manualLayout>
              </c:layout>
              <c:dLblPos val="r"/>
              <c:showLegendKey val="0"/>
              <c:showVal val="1"/>
              <c:showCatName val="0"/>
              <c:showSerName val="0"/>
              <c:showPercent val="0"/>
              <c:showBubbleSize val="0"/>
            </c:dLbl>
            <c:txPr>
              <a:bodyPr/>
              <a:lstStyle/>
              <a:p>
                <a:pPr>
                  <a:defRPr sz="1400" b="1">
                    <a:latin typeface="Times New Roman" panose="02020603050405020304" pitchFamily="18" charset="0"/>
                    <a:cs typeface="Times New Roman" panose="02020603050405020304" pitchFamily="18" charset="0"/>
                  </a:defRPr>
                </a:pPr>
                <a:endParaRPr lang="zh-TW"/>
              </a:p>
            </c:txPr>
            <c:dLblPos val="t"/>
            <c:showLegendKey val="0"/>
            <c:showVal val="1"/>
            <c:showCatName val="0"/>
            <c:showSerName val="0"/>
            <c:showPercent val="0"/>
            <c:showBubbleSize val="0"/>
            <c:showLeaderLines val="0"/>
          </c:dLbls>
          <c:cat>
            <c:strRef>
              <c:f>工作表1!$A$3:$A$13</c:f>
              <c:strCache>
                <c:ptCount val="4"/>
                <c:pt idx="0">
                  <c:v>2年期</c:v>
                </c:pt>
                <c:pt idx="1">
                  <c:v>5年期</c:v>
                </c:pt>
                <c:pt idx="2">
                  <c:v>10年期</c:v>
                </c:pt>
                <c:pt idx="3">
                  <c:v>30年期</c:v>
                </c:pt>
              </c:strCache>
            </c:strRef>
          </c:cat>
          <c:val>
            <c:numRef>
              <c:f>工作表1!$J$2:$J$13</c:f>
              <c:numCache>
                <c:formatCode>#,##0.00_ </c:formatCode>
                <c:ptCount val="4"/>
                <c:pt idx="0">
                  <c:v>1.839</c:v>
                </c:pt>
                <c:pt idx="1">
                  <c:v>1.87</c:v>
                </c:pt>
                <c:pt idx="2">
                  <c:v>1.9870000000000001</c:v>
                </c:pt>
                <c:pt idx="3">
                  <c:v>2.008</c:v>
                </c:pt>
              </c:numCache>
            </c:numRef>
          </c:val>
          <c:smooth val="0"/>
        </c:ser>
        <c:ser>
          <c:idx val="8"/>
          <c:order val="9"/>
          <c:tx>
            <c:strRef>
              <c:f>工作表1!$K$1</c:f>
              <c:strCache>
                <c:ptCount val="1"/>
              </c:strCache>
            </c:strRef>
          </c:tx>
          <c:cat>
            <c:strRef>
              <c:f>工作表1!$A$3:$A$13</c:f>
              <c:strCache>
                <c:ptCount val="4"/>
                <c:pt idx="0">
                  <c:v>2年期</c:v>
                </c:pt>
                <c:pt idx="1">
                  <c:v>5年期</c:v>
                </c:pt>
                <c:pt idx="2">
                  <c:v>10年期</c:v>
                </c:pt>
                <c:pt idx="3">
                  <c:v>30年期</c:v>
                </c:pt>
              </c:strCache>
            </c:strRef>
          </c:cat>
          <c:val>
            <c:numRef>
              <c:f>工作表1!$K$2:$K$13</c:f>
            </c:numRef>
          </c:val>
          <c:smooth val="0"/>
        </c:ser>
        <c:ser>
          <c:idx val="9"/>
          <c:order val="10"/>
          <c:tx>
            <c:strRef>
              <c:f>工作表1!$L$1</c:f>
              <c:strCache>
                <c:ptCount val="1"/>
                <c:pt idx="0">
                  <c:v>中國大陸</c:v>
                </c:pt>
              </c:strCache>
            </c:strRef>
          </c:tx>
          <c:cat>
            <c:strRef>
              <c:f>工作表1!$A$3:$A$13</c:f>
              <c:strCache>
                <c:ptCount val="4"/>
                <c:pt idx="0">
                  <c:v>2年期</c:v>
                </c:pt>
                <c:pt idx="1">
                  <c:v>5年期</c:v>
                </c:pt>
                <c:pt idx="2">
                  <c:v>10年期</c:v>
                </c:pt>
                <c:pt idx="3">
                  <c:v>30年期</c:v>
                </c:pt>
              </c:strCache>
            </c:strRef>
          </c:cat>
          <c:val>
            <c:numRef>
              <c:f>工作表1!$L$2:$L$13</c:f>
            </c:numRef>
          </c:val>
          <c:smooth val="0"/>
        </c:ser>
        <c:ser>
          <c:idx val="10"/>
          <c:order val="11"/>
          <c:tx>
            <c:strRef>
              <c:f>工作表1!$M$1</c:f>
              <c:strCache>
                <c:ptCount val="1"/>
              </c:strCache>
            </c:strRef>
          </c:tx>
          <c:cat>
            <c:strRef>
              <c:f>工作表1!$A$3:$A$13</c:f>
              <c:strCache>
                <c:ptCount val="4"/>
                <c:pt idx="0">
                  <c:v>2年期</c:v>
                </c:pt>
                <c:pt idx="1">
                  <c:v>5年期</c:v>
                </c:pt>
                <c:pt idx="2">
                  <c:v>10年期</c:v>
                </c:pt>
                <c:pt idx="3">
                  <c:v>30年期</c:v>
                </c:pt>
              </c:strCache>
            </c:strRef>
          </c:cat>
          <c:val>
            <c:numRef>
              <c:f>工作表1!$M$2:$M$13</c:f>
            </c:numRef>
          </c:val>
          <c:smooth val="0"/>
        </c:ser>
        <c:ser>
          <c:idx val="11"/>
          <c:order val="12"/>
          <c:tx>
            <c:strRef>
              <c:f>工作表1!$N$1</c:f>
              <c:strCache>
                <c:ptCount val="1"/>
                <c:pt idx="0">
                  <c:v>義大利</c:v>
                </c:pt>
              </c:strCache>
            </c:strRef>
          </c:tx>
          <c:cat>
            <c:strRef>
              <c:f>工作表1!$A$3:$A$13</c:f>
              <c:strCache>
                <c:ptCount val="4"/>
                <c:pt idx="0">
                  <c:v>2年期</c:v>
                </c:pt>
                <c:pt idx="1">
                  <c:v>5年期</c:v>
                </c:pt>
                <c:pt idx="2">
                  <c:v>10年期</c:v>
                </c:pt>
                <c:pt idx="3">
                  <c:v>30年期</c:v>
                </c:pt>
              </c:strCache>
            </c:strRef>
          </c:cat>
          <c:val>
            <c:numRef>
              <c:f>工作表1!$N$2:$N$13</c:f>
            </c:numRef>
          </c:val>
          <c:smooth val="0"/>
        </c:ser>
        <c:ser>
          <c:idx val="13"/>
          <c:order val="13"/>
          <c:tx>
            <c:strRef>
              <c:f>工作表1!$O$1</c:f>
              <c:strCache>
                <c:ptCount val="1"/>
              </c:strCache>
            </c:strRef>
          </c:tx>
          <c:cat>
            <c:strRef>
              <c:f>工作表1!$A$3:$A$13</c:f>
              <c:strCache>
                <c:ptCount val="4"/>
                <c:pt idx="0">
                  <c:v>2年期</c:v>
                </c:pt>
                <c:pt idx="1">
                  <c:v>5年期</c:v>
                </c:pt>
                <c:pt idx="2">
                  <c:v>10年期</c:v>
                </c:pt>
                <c:pt idx="3">
                  <c:v>30年期</c:v>
                </c:pt>
              </c:strCache>
            </c:strRef>
          </c:cat>
          <c:val>
            <c:numRef>
              <c:f>工作表1!$O$2:$O$13</c:f>
            </c:numRef>
          </c:val>
          <c:smooth val="0"/>
        </c:ser>
        <c:ser>
          <c:idx val="14"/>
          <c:order val="14"/>
          <c:tx>
            <c:strRef>
              <c:f>工作表1!$P$1</c:f>
              <c:strCache>
                <c:ptCount val="1"/>
                <c:pt idx="0">
                  <c:v>瑞士</c:v>
                </c:pt>
              </c:strCache>
            </c:strRef>
          </c:tx>
          <c:spPr>
            <a:ln w="22225">
              <a:solidFill>
                <a:srgbClr val="00B0F0"/>
              </a:solidFill>
            </a:ln>
          </c:spPr>
          <c:marker>
            <c:symbol val="plus"/>
            <c:size val="7"/>
            <c:spPr>
              <a:noFill/>
              <a:ln>
                <a:solidFill>
                  <a:srgbClr val="00B0F0"/>
                </a:solidFill>
              </a:ln>
            </c:spPr>
          </c:marker>
          <c:dLbls>
            <c:dLbl>
              <c:idx val="0"/>
              <c:layout>
                <c:manualLayout>
                  <c:x val="-8.4471662273170461E-2"/>
                  <c:y val="2.2701031883403826E-2"/>
                </c:manualLayout>
              </c:layout>
              <c:dLblPos val="r"/>
              <c:showLegendKey val="0"/>
              <c:showVal val="1"/>
              <c:showCatName val="0"/>
              <c:showSerName val="0"/>
              <c:showPercent val="0"/>
              <c:showBubbleSize val="0"/>
            </c:dLbl>
            <c:dLbl>
              <c:idx val="1"/>
              <c:layout>
                <c:manualLayout>
                  <c:x val="-4.1983096427074935E-2"/>
                  <c:y val="3.4126174682270569E-2"/>
                </c:manualLayout>
              </c:layout>
              <c:dLblPos val="r"/>
              <c:showLegendKey val="0"/>
              <c:showVal val="1"/>
              <c:showCatName val="0"/>
              <c:showSerName val="0"/>
              <c:showPercent val="0"/>
              <c:showBubbleSize val="0"/>
            </c:dLbl>
            <c:dLbl>
              <c:idx val="2"/>
              <c:layout>
                <c:manualLayout>
                  <c:x val="-4.9233485821656549E-2"/>
                  <c:y val="3.123121428825703E-2"/>
                </c:manualLayout>
              </c:layout>
              <c:dLblPos val="r"/>
              <c:showLegendKey val="0"/>
              <c:showVal val="1"/>
              <c:showCatName val="0"/>
              <c:showSerName val="0"/>
              <c:showPercent val="0"/>
              <c:showBubbleSize val="0"/>
            </c:dLbl>
            <c:dLbl>
              <c:idx val="3"/>
              <c:layout>
                <c:manualLayout>
                  <c:x val="-4.511955380577428E-2"/>
                  <c:y val="2.5191770511272884E-2"/>
                </c:manualLayout>
              </c:layout>
              <c:dLblPos val="r"/>
              <c:showLegendKey val="0"/>
              <c:showVal val="1"/>
              <c:showCatName val="0"/>
              <c:showSerName val="0"/>
              <c:showPercent val="0"/>
              <c:showBubbleSize val="0"/>
            </c:dLbl>
            <c:dLbl>
              <c:idx val="4"/>
              <c:layout>
                <c:manualLayout>
                  <c:x val="-4.2579310105781358E-2"/>
                  <c:y val="3.2342334719585031E-2"/>
                </c:manualLayout>
              </c:layout>
              <c:dLblPos val="r"/>
              <c:showLegendKey val="0"/>
              <c:showVal val="1"/>
              <c:showCatName val="0"/>
              <c:showSerName val="0"/>
              <c:showPercent val="0"/>
              <c:showBubbleSize val="0"/>
            </c:dLbl>
            <c:dLbl>
              <c:idx val="5"/>
              <c:layout>
                <c:manualLayout>
                  <c:x val="-4.9921412804838682E-3"/>
                  <c:y val="2.6966123085830504E-2"/>
                </c:manualLayout>
              </c:layout>
              <c:dLblPos val="r"/>
              <c:showLegendKey val="0"/>
              <c:showVal val="1"/>
              <c:showCatName val="0"/>
              <c:showSerName val="0"/>
              <c:showPercent val="0"/>
              <c:showBubbleSize val="0"/>
            </c:dLbl>
            <c:txPr>
              <a:bodyPr/>
              <a:lstStyle/>
              <a:p>
                <a:pPr>
                  <a:defRPr sz="1400" b="1">
                    <a:solidFill>
                      <a:srgbClr val="00B0F0"/>
                    </a:solidFill>
                    <a:latin typeface="Times New Roman" panose="02020603050405020304" pitchFamily="18" charset="0"/>
                    <a:cs typeface="Times New Roman" panose="02020603050405020304" pitchFamily="18" charset="0"/>
                  </a:defRPr>
                </a:pPr>
                <a:endParaRPr lang="zh-TW"/>
              </a:p>
            </c:txPr>
            <c:dLblPos val="b"/>
            <c:showLegendKey val="0"/>
            <c:showVal val="1"/>
            <c:showCatName val="0"/>
            <c:showSerName val="0"/>
            <c:showPercent val="0"/>
            <c:showBubbleSize val="0"/>
            <c:showLeaderLines val="0"/>
          </c:dLbls>
          <c:cat>
            <c:strRef>
              <c:f>工作表1!$A$3:$A$13</c:f>
              <c:strCache>
                <c:ptCount val="4"/>
                <c:pt idx="0">
                  <c:v>2年期</c:v>
                </c:pt>
                <c:pt idx="1">
                  <c:v>5年期</c:v>
                </c:pt>
                <c:pt idx="2">
                  <c:v>10年期</c:v>
                </c:pt>
                <c:pt idx="3">
                  <c:v>30年期</c:v>
                </c:pt>
              </c:strCache>
            </c:strRef>
          </c:cat>
          <c:val>
            <c:numRef>
              <c:f>工作表1!$P$2:$P$13</c:f>
              <c:numCache>
                <c:formatCode>#,##0.00_ </c:formatCode>
                <c:ptCount val="4"/>
                <c:pt idx="0">
                  <c:v>-0.76300000000000001</c:v>
                </c:pt>
                <c:pt idx="1">
                  <c:v>-0.63600000000000001</c:v>
                </c:pt>
                <c:pt idx="2">
                  <c:v>-0.32900000000000001</c:v>
                </c:pt>
                <c:pt idx="3">
                  <c:v>0.23699999999999999</c:v>
                </c:pt>
              </c:numCache>
            </c:numRef>
          </c:val>
          <c:smooth val="0"/>
        </c:ser>
        <c:dLbls>
          <c:showLegendKey val="0"/>
          <c:showVal val="0"/>
          <c:showCatName val="0"/>
          <c:showSerName val="0"/>
          <c:showPercent val="0"/>
          <c:showBubbleSize val="0"/>
        </c:dLbls>
        <c:marker val="1"/>
        <c:smooth val="0"/>
        <c:axId val="99840000"/>
        <c:axId val="99841536"/>
      </c:lineChart>
      <c:catAx>
        <c:axId val="99840000"/>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Times New Roman" panose="02020603050405020304" pitchFamily="18" charset="0"/>
                <a:ea typeface="標楷體"/>
                <a:cs typeface="標楷體"/>
              </a:defRPr>
            </a:pPr>
            <a:endParaRPr lang="zh-TW"/>
          </a:p>
        </c:txPr>
        <c:crossAx val="99841536"/>
        <c:crossesAt val="0"/>
        <c:auto val="1"/>
        <c:lblAlgn val="ctr"/>
        <c:lblOffset val="100"/>
        <c:tickLblSkip val="1"/>
        <c:tickMarkSkip val="1"/>
        <c:noMultiLvlLbl val="0"/>
      </c:catAx>
      <c:valAx>
        <c:axId val="99841536"/>
        <c:scaling>
          <c:orientation val="minMax"/>
          <c:max val="3.5"/>
        </c:scaling>
        <c:delete val="0"/>
        <c:axPos val="l"/>
        <c:numFmt formatCode="0.0_ " sourceLinked="0"/>
        <c:majorTickMark val="in"/>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panose="02020603050405020304" pitchFamily="18" charset="0"/>
                <a:ea typeface="Century Gothic"/>
                <a:cs typeface="Times New Roman" panose="02020603050405020304" pitchFamily="18" charset="0"/>
              </a:defRPr>
            </a:pPr>
            <a:endParaRPr lang="zh-TW"/>
          </a:p>
        </c:txPr>
        <c:crossAx val="99840000"/>
        <c:crosses val="autoZero"/>
        <c:crossBetween val="between"/>
        <c:minorUnit val="0.2"/>
      </c:valAx>
      <c:spPr>
        <a:noFill/>
        <a:ln>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標楷體"/>
          <a:ea typeface="標楷體"/>
          <a:cs typeface="標楷體"/>
        </a:defRPr>
      </a:pPr>
      <a:endParaRPr lang="zh-TW"/>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0.02013</cdr:x>
      <cdr:y>0.01263</cdr:y>
    </cdr:from>
    <cdr:to>
      <cdr:x>0.06588</cdr:x>
      <cdr:y>0.0846</cdr:y>
    </cdr:to>
    <cdr:sp macro="" textlink="">
      <cdr:nvSpPr>
        <cdr:cNvPr id="3" name="Text Box 1"/>
        <cdr:cNvSpPr txBox="1">
          <a:spLocks xmlns:a="http://schemas.openxmlformats.org/drawingml/2006/main" noChangeArrowheads="1"/>
        </cdr:cNvSpPr>
      </cdr:nvSpPr>
      <cdr:spPr bwMode="auto">
        <a:xfrm xmlns:a="http://schemas.openxmlformats.org/drawingml/2006/main">
          <a:off x="153408" y="53789"/>
          <a:ext cx="348615" cy="30642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36576" tIns="32004" rIns="36576" bIns="0" anchor="t" upright="1"/>
        <a:lstStyle xmlns:a="http://schemas.openxmlformats.org/drawingml/2006/main"/>
        <a:p xmlns:a="http://schemas.openxmlformats.org/drawingml/2006/main">
          <a:pPr algn="ctr" rtl="0">
            <a:defRPr sz="1000"/>
          </a:pPr>
          <a:r>
            <a:rPr lang="en-US" altLang="zh-TW" sz="1200" b="0" i="0" u="none" strike="noStrike" baseline="0">
              <a:solidFill>
                <a:srgbClr val="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200" baseline="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0.90412</cdr:x>
      <cdr:y>0.55371</cdr:y>
    </cdr:from>
    <cdr:to>
      <cdr:x>1</cdr:x>
      <cdr:y>0.61156</cdr:y>
    </cdr:to>
    <cdr:sp macro="" textlink="">
      <cdr:nvSpPr>
        <cdr:cNvPr id="12" name="文字方塊 1"/>
        <cdr:cNvSpPr txBox="1"/>
      </cdr:nvSpPr>
      <cdr:spPr>
        <a:xfrm xmlns:a="http://schemas.openxmlformats.org/drawingml/2006/main">
          <a:off x="4556765" y="1594672"/>
          <a:ext cx="483235" cy="166608"/>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fld id="{E85BC550-3672-4274-95FA-B878EABA6DEA}" type="TxLink">
            <a:rPr lang="zh-TW" altLang="en-US" sz="1200" b="0" i="0" u="none" strike="noStrike" kern="1200" baseline="0">
              <a:solidFill>
                <a:srgbClr val="00B0F0"/>
              </a:solidFill>
              <a:latin typeface="標楷體"/>
              <a:ea typeface="標楷體"/>
              <a:cs typeface="Times New Roman" panose="02020603050405020304" pitchFamily="18" charset="0"/>
            </a:rPr>
            <a:pPr algn="r"/>
            <a:t> </a:t>
          </a:fld>
          <a:endParaRPr lang="zh-TW" altLang="en-US" sz="1100" b="0" i="0" u="none" strike="noStrike" kern="1200" baseline="0">
            <a:solidFill>
              <a:srgbClr val="00B0F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0.86113</cdr:x>
      <cdr:y>0.12018</cdr:y>
    </cdr:from>
    <cdr:to>
      <cdr:x>0.93855</cdr:x>
      <cdr:y>0.19869</cdr:y>
    </cdr:to>
    <cdr:sp macro="" textlink="">
      <cdr:nvSpPr>
        <cdr:cNvPr id="14" name="文字方塊 1"/>
        <cdr:cNvSpPr txBox="1"/>
      </cdr:nvSpPr>
      <cdr:spPr>
        <a:xfrm xmlns:a="http://schemas.openxmlformats.org/drawingml/2006/main">
          <a:off x="6561802" y="511697"/>
          <a:ext cx="589941" cy="334270"/>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200" b="1" i="0" u="none" strike="noStrike" kern="1200" baseline="0" dirty="0">
              <a:solidFill>
                <a:schemeClr val="accent1"/>
              </a:solidFill>
              <a:latin typeface="Times New Roman" panose="02020603050405020304" pitchFamily="18" charset="0"/>
              <a:ea typeface="標楷體" panose="03000509000000000000" pitchFamily="65" charset="-120"/>
              <a:cs typeface="Times New Roman" panose="02020603050405020304" pitchFamily="18" charset="0"/>
            </a:rPr>
            <a:t>US</a:t>
          </a:r>
          <a:endParaRPr lang="zh-TW" altLang="en-US" sz="1200" b="1" i="0" u="none" strike="noStrike" kern="1200" baseline="0" dirty="0">
            <a:solidFill>
              <a:schemeClr val="accent1"/>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0.84536</cdr:x>
      <cdr:y>0.27576</cdr:y>
    </cdr:from>
    <cdr:to>
      <cdr:x>0.92317</cdr:x>
      <cdr:y>0.3648</cdr:y>
    </cdr:to>
    <cdr:sp macro="" textlink="">
      <cdr:nvSpPr>
        <cdr:cNvPr id="15" name="文字方塊 1"/>
        <cdr:cNvSpPr txBox="1"/>
      </cdr:nvSpPr>
      <cdr:spPr>
        <a:xfrm xmlns:a="http://schemas.openxmlformats.org/drawingml/2006/main">
          <a:off x="6441643" y="1174103"/>
          <a:ext cx="592912" cy="379103"/>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200" b="1" i="0" u="none" strike="noStrike" kern="1200" baseline="0" dirty="0" smtClean="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rPr>
            <a:t>South Korea</a:t>
          </a:r>
          <a:endParaRPr lang="zh-TW" altLang="en-US" sz="1200" b="1" i="0" u="none" strike="noStrike" kern="1200" baseline="0" dirty="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0.84267</cdr:x>
      <cdr:y>0.404</cdr:y>
    </cdr:from>
    <cdr:to>
      <cdr:x>0.92581</cdr:x>
      <cdr:y>0.46624</cdr:y>
    </cdr:to>
    <cdr:sp macro="" textlink="">
      <cdr:nvSpPr>
        <cdr:cNvPr id="16" name="文字方塊 1"/>
        <cdr:cNvSpPr txBox="1"/>
      </cdr:nvSpPr>
      <cdr:spPr>
        <a:xfrm xmlns:a="http://schemas.openxmlformats.org/drawingml/2006/main">
          <a:off x="6421118" y="1720090"/>
          <a:ext cx="633527" cy="264998"/>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200" b="1" i="0" u="none" strike="noStrike" kern="1200" baseline="0" dirty="0">
              <a:solidFill>
                <a:srgbClr val="009900"/>
              </a:solidFill>
              <a:latin typeface="Times New Roman" panose="02020603050405020304" pitchFamily="18" charset="0"/>
              <a:ea typeface="標楷體" panose="03000509000000000000" pitchFamily="65" charset="-120"/>
              <a:cs typeface="Times New Roman" panose="02020603050405020304" pitchFamily="18" charset="0"/>
            </a:rPr>
            <a:t>Taiwan</a:t>
          </a:r>
          <a:endParaRPr lang="zh-TW" altLang="en-US" sz="1200" b="1" i="0" u="none" strike="noStrike" kern="1200" baseline="0" dirty="0">
            <a:solidFill>
              <a:srgbClr val="00990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0.84704</cdr:x>
      <cdr:y>0.50035</cdr:y>
    </cdr:from>
    <cdr:to>
      <cdr:x>0.93053</cdr:x>
      <cdr:y>0.57762</cdr:y>
    </cdr:to>
    <cdr:sp macro="" textlink="">
      <cdr:nvSpPr>
        <cdr:cNvPr id="17" name="文字方塊 1"/>
        <cdr:cNvSpPr txBox="1"/>
      </cdr:nvSpPr>
      <cdr:spPr>
        <a:xfrm xmlns:a="http://schemas.openxmlformats.org/drawingml/2006/main">
          <a:off x="6454445" y="2130339"/>
          <a:ext cx="636194" cy="328991"/>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100" b="1" i="0" u="none" strike="noStrike" kern="1200" baseline="0" dirty="0">
              <a:solidFill>
                <a:schemeClr val="accent2">
                  <a:lumMod val="75000"/>
                </a:schemeClr>
              </a:solidFill>
              <a:latin typeface="Times New Roman" panose="02020603050405020304" pitchFamily="18" charset="0"/>
              <a:ea typeface="標楷體" panose="03000509000000000000" pitchFamily="65" charset="-120"/>
              <a:cs typeface="Times New Roman" panose="02020603050405020304" pitchFamily="18" charset="0"/>
            </a:rPr>
            <a:t>Germany</a:t>
          </a:r>
          <a:endParaRPr lang="zh-TW" altLang="en-US" sz="1200" b="1" i="0" u="none" strike="noStrike" kern="1200" baseline="0" dirty="0">
            <a:solidFill>
              <a:schemeClr val="accent2">
                <a:lumMod val="75000"/>
              </a:schemeClr>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0.83105</cdr:x>
      <cdr:y>0.55095</cdr:y>
    </cdr:from>
    <cdr:to>
      <cdr:x>0.9373</cdr:x>
      <cdr:y>0.63165</cdr:y>
    </cdr:to>
    <cdr:sp macro="" textlink="">
      <cdr:nvSpPr>
        <cdr:cNvPr id="18" name="文字方塊 1"/>
        <cdr:cNvSpPr txBox="1"/>
      </cdr:nvSpPr>
      <cdr:spPr>
        <a:xfrm xmlns:a="http://schemas.openxmlformats.org/drawingml/2006/main">
          <a:off x="6332601" y="2345766"/>
          <a:ext cx="809625" cy="343594"/>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200" b="1" i="0" u="none" strike="noStrike" kern="1200" baseline="0" dirty="0">
              <a:solidFill>
                <a:srgbClr val="FF00FF"/>
              </a:solidFill>
              <a:latin typeface="Times New Roman" panose="02020603050405020304" pitchFamily="18" charset="0"/>
              <a:ea typeface="標楷體" panose="03000509000000000000" pitchFamily="65" charset="-120"/>
              <a:cs typeface="Times New Roman" panose="02020603050405020304" pitchFamily="18" charset="0"/>
            </a:rPr>
            <a:t>Japan</a:t>
          </a:r>
          <a:endParaRPr lang="zh-TW" altLang="en-US" sz="1400" b="1" i="0" u="none" strike="noStrike" kern="1200" baseline="0" dirty="0">
            <a:solidFill>
              <a:srgbClr val="FF00FF"/>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0.83742</cdr:x>
      <cdr:y>0.61535</cdr:y>
    </cdr:from>
    <cdr:to>
      <cdr:x>0.9373</cdr:x>
      <cdr:y>0.68984</cdr:y>
    </cdr:to>
    <cdr:sp macro="" textlink="">
      <cdr:nvSpPr>
        <cdr:cNvPr id="19" name="文字方塊 1"/>
        <cdr:cNvSpPr txBox="1"/>
      </cdr:nvSpPr>
      <cdr:spPr>
        <a:xfrm xmlns:a="http://schemas.openxmlformats.org/drawingml/2006/main">
          <a:off x="6381140" y="2619942"/>
          <a:ext cx="761086" cy="317154"/>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100" b="1" i="0" u="none" strike="noStrike" kern="1200" baseline="0" dirty="0">
              <a:solidFill>
                <a:srgbClr val="00B0F0"/>
              </a:solidFill>
              <a:latin typeface="Times New Roman" panose="02020603050405020304" pitchFamily="18" charset="0"/>
              <a:ea typeface="標楷體" panose="03000509000000000000" pitchFamily="65" charset="-120"/>
              <a:cs typeface="Times New Roman" panose="02020603050405020304" pitchFamily="18" charset="0"/>
            </a:rPr>
            <a:t>Switzerland</a:t>
          </a:r>
          <a:endParaRPr lang="zh-TW" altLang="en-US" sz="1100" b="1" i="0" u="none" strike="noStrike" kern="1200" baseline="0" dirty="0">
            <a:solidFill>
              <a:srgbClr val="00B0F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0.10668</cdr:x>
      <cdr:y>0.88277</cdr:y>
    </cdr:from>
    <cdr:to>
      <cdr:x>0.25833</cdr:x>
      <cdr:y>0.96868</cdr:y>
    </cdr:to>
    <cdr:sp macro="" textlink="">
      <cdr:nvSpPr>
        <cdr:cNvPr id="10" name="文字方塊 2"/>
        <cdr:cNvSpPr txBox="1">
          <a:spLocks xmlns:a="http://schemas.openxmlformats.org/drawingml/2006/main" noChangeArrowheads="1"/>
        </cdr:cNvSpPr>
      </cdr:nvSpPr>
      <cdr:spPr bwMode="auto">
        <a:xfrm xmlns:a="http://schemas.openxmlformats.org/drawingml/2006/main">
          <a:off x="781050" y="3587577"/>
          <a:ext cx="1110326" cy="34913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r>
            <a:rPr lang="en-US" altLang="zh-TW" b="1">
              <a:latin typeface="Times New Roman" panose="02020603050405020304" pitchFamily="18" charset="0"/>
              <a:cs typeface="Times New Roman" panose="02020603050405020304" pitchFamily="18" charset="0"/>
            </a:rPr>
            <a:t>2-year</a:t>
          </a:r>
          <a:r>
            <a:rPr lang="en-US" altLang="zh-TW" b="1" baseline="0">
              <a:latin typeface="Times New Roman" panose="02020603050405020304" pitchFamily="18" charset="0"/>
              <a:cs typeface="Times New Roman" panose="02020603050405020304" pitchFamily="18" charset="0"/>
            </a:rPr>
            <a:t> bonds</a:t>
          </a:r>
          <a:endParaRPr lang="zh-TW" altLang="en-US"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0.34275</cdr:x>
      <cdr:y>0.88277</cdr:y>
    </cdr:from>
    <cdr:to>
      <cdr:x>0.46487</cdr:x>
      <cdr:y>0.96868</cdr:y>
    </cdr:to>
    <cdr:sp macro="" textlink="">
      <cdr:nvSpPr>
        <cdr:cNvPr id="11" name="文字方塊 2"/>
        <cdr:cNvSpPr txBox="1">
          <a:spLocks xmlns:a="http://schemas.openxmlformats.org/drawingml/2006/main" noChangeArrowheads="1"/>
        </cdr:cNvSpPr>
      </cdr:nvSpPr>
      <cdr:spPr bwMode="auto">
        <a:xfrm xmlns:a="http://schemas.openxmlformats.org/drawingml/2006/main">
          <a:off x="2509461" y="3587577"/>
          <a:ext cx="894139" cy="34913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r>
            <a:rPr lang="en-US" altLang="zh-TW" b="1">
              <a:latin typeface="Times New Roman" panose="02020603050405020304" pitchFamily="18" charset="0"/>
              <a:cs typeface="Times New Roman" panose="02020603050405020304" pitchFamily="18" charset="0"/>
            </a:rPr>
            <a:t>5-year</a:t>
          </a:r>
          <a:r>
            <a:rPr lang="en-US" altLang="zh-TW" b="1" baseline="0">
              <a:latin typeface="Times New Roman" panose="02020603050405020304" pitchFamily="18" charset="0"/>
              <a:cs typeface="Times New Roman" panose="02020603050405020304" pitchFamily="18" charset="0"/>
            </a:rPr>
            <a:t> bonds</a:t>
          </a:r>
          <a:endParaRPr lang="zh-TW" altLang="en-US"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F44FC-5077-49AF-AC15-A5BF7F46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5715</Words>
  <Characters>32582</Characters>
  <Application>Microsoft Office Word</Application>
  <DocSecurity>0</DocSecurity>
  <Lines>271</Lines>
  <Paragraphs>76</Paragraphs>
  <ScaleCrop>false</ScaleCrop>
  <Company>cbc</Company>
  <LinksUpToDate>false</LinksUpToDate>
  <CharactersWithSpaces>38221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人事評審會提案</dc:title>
  <dc:creator>秘書處長秘書室</dc:creator>
  <cp:lastModifiedBy>ssl</cp:lastModifiedBy>
  <cp:revision>12</cp:revision>
  <cp:lastPrinted>2019-04-29T05:51:00Z</cp:lastPrinted>
  <dcterms:created xsi:type="dcterms:W3CDTF">2019-05-02T03:23:00Z</dcterms:created>
  <dcterms:modified xsi:type="dcterms:W3CDTF">2019-05-02T03:46:00Z</dcterms:modified>
</cp:coreProperties>
</file>