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C46" w:rsidRDefault="00C82C46" w:rsidP="00D052FE">
      <w:pPr>
        <w:tabs>
          <w:tab w:val="left" w:pos="8609"/>
        </w:tabs>
        <w:spacing w:before="100" w:line="640" w:lineRule="exact"/>
        <w:ind w:leftChars="21" w:left="42" w:rightChars="196" w:right="392"/>
        <w:jc w:val="both"/>
        <w:textDirection w:val="lrTbV"/>
        <w:rPr>
          <w:rFonts w:eastAsia="標楷體"/>
          <w:b/>
          <w:spacing w:val="-24"/>
          <w:sz w:val="34"/>
          <w:szCs w:val="34"/>
        </w:rPr>
      </w:pPr>
    </w:p>
    <w:p w:rsidR="00C82C46" w:rsidRDefault="00C82C46" w:rsidP="00D052FE">
      <w:pPr>
        <w:tabs>
          <w:tab w:val="left" w:pos="8609"/>
        </w:tabs>
        <w:spacing w:before="100" w:line="640" w:lineRule="exact"/>
        <w:ind w:leftChars="21" w:left="42" w:rightChars="196" w:right="392"/>
        <w:jc w:val="both"/>
        <w:textDirection w:val="lrTbV"/>
        <w:rPr>
          <w:rFonts w:eastAsia="標楷體"/>
          <w:b/>
          <w:spacing w:val="-24"/>
          <w:sz w:val="34"/>
          <w:szCs w:val="34"/>
        </w:rPr>
      </w:pPr>
    </w:p>
    <w:p w:rsidR="00C82C46" w:rsidRDefault="00C82C46" w:rsidP="00D052FE">
      <w:pPr>
        <w:tabs>
          <w:tab w:val="left" w:pos="8609"/>
        </w:tabs>
        <w:spacing w:before="100" w:line="640" w:lineRule="exact"/>
        <w:ind w:leftChars="21" w:left="42" w:rightChars="196" w:right="392"/>
        <w:jc w:val="both"/>
        <w:textDirection w:val="lrTbV"/>
        <w:rPr>
          <w:rFonts w:eastAsia="標楷體"/>
          <w:b/>
          <w:spacing w:val="-24"/>
          <w:sz w:val="34"/>
          <w:szCs w:val="34"/>
        </w:rPr>
      </w:pPr>
    </w:p>
    <w:p w:rsidR="00C82C46" w:rsidRDefault="00C82C46" w:rsidP="00D052FE">
      <w:pPr>
        <w:spacing w:before="100" w:line="640" w:lineRule="exact"/>
        <w:ind w:leftChars="252" w:left="504" w:rightChars="231" w:right="462"/>
        <w:jc w:val="both"/>
        <w:textDirection w:val="lrTbV"/>
        <w:rPr>
          <w:rFonts w:eastAsia="標楷體"/>
          <w:b/>
          <w:spacing w:val="-24"/>
          <w:sz w:val="34"/>
          <w:szCs w:val="34"/>
        </w:rPr>
      </w:pPr>
    </w:p>
    <w:p w:rsidR="00C82C46" w:rsidRDefault="00C82C46" w:rsidP="00D052FE">
      <w:pPr>
        <w:pBdr>
          <w:top w:val="single" w:sz="48" w:space="1" w:color="auto"/>
          <w:bottom w:val="single" w:sz="48" w:space="1" w:color="auto"/>
        </w:pBdr>
        <w:spacing w:before="100" w:line="200" w:lineRule="exact"/>
        <w:ind w:leftChars="252" w:left="504" w:rightChars="231" w:right="462"/>
        <w:jc w:val="both"/>
        <w:textDirection w:val="lrTbV"/>
        <w:rPr>
          <w:rFonts w:eastAsia="標楷體"/>
          <w:b/>
          <w:sz w:val="64"/>
          <w:szCs w:val="64"/>
        </w:rPr>
      </w:pPr>
    </w:p>
    <w:p w:rsidR="00181D76" w:rsidRPr="007F6F77" w:rsidRDefault="00181D76" w:rsidP="00181D76">
      <w:pPr>
        <w:pBdr>
          <w:top w:val="single" w:sz="48" w:space="1" w:color="auto"/>
          <w:bottom w:val="single" w:sz="48" w:space="1" w:color="auto"/>
        </w:pBdr>
        <w:spacing w:before="100" w:line="840" w:lineRule="exact"/>
        <w:ind w:leftChars="252" w:left="504" w:rightChars="231" w:right="462"/>
        <w:jc w:val="center"/>
        <w:textDirection w:val="lrTbV"/>
        <w:rPr>
          <w:rFonts w:eastAsia="標楷體"/>
          <w:b/>
          <w:sz w:val="52"/>
          <w:szCs w:val="64"/>
        </w:rPr>
      </w:pPr>
      <w:r w:rsidRPr="007F6F77">
        <w:rPr>
          <w:rFonts w:eastAsia="標楷體"/>
          <w:b/>
          <w:sz w:val="52"/>
          <w:szCs w:val="64"/>
        </w:rPr>
        <w:t xml:space="preserve">Minutes of the </w:t>
      </w:r>
      <w:r w:rsidRPr="007F6F77">
        <w:rPr>
          <w:rFonts w:eastAsia="標楷體" w:hint="eastAsia"/>
          <w:b/>
          <w:sz w:val="52"/>
          <w:szCs w:val="64"/>
        </w:rPr>
        <w:t xml:space="preserve">Monetary Policy </w:t>
      </w:r>
      <w:r w:rsidRPr="007F6F77">
        <w:rPr>
          <w:rFonts w:eastAsia="標楷體"/>
          <w:b/>
          <w:sz w:val="52"/>
          <w:szCs w:val="64"/>
        </w:rPr>
        <w:t>Meeting</w:t>
      </w:r>
    </w:p>
    <w:p w:rsidR="00181D76" w:rsidRPr="007F6F77" w:rsidRDefault="00181D76" w:rsidP="00FA173A">
      <w:pPr>
        <w:pBdr>
          <w:top w:val="single" w:sz="48" w:space="1" w:color="auto"/>
          <w:bottom w:val="single" w:sz="48" w:space="1" w:color="auto"/>
        </w:pBdr>
        <w:spacing w:before="100" w:line="840" w:lineRule="exact"/>
        <w:ind w:leftChars="252" w:left="504" w:rightChars="231" w:right="462"/>
        <w:jc w:val="center"/>
        <w:textDirection w:val="lrTbV"/>
        <w:rPr>
          <w:rFonts w:eastAsia="標楷體"/>
          <w:b/>
          <w:sz w:val="52"/>
          <w:szCs w:val="64"/>
        </w:rPr>
      </w:pPr>
    </w:p>
    <w:p w:rsidR="00181D76" w:rsidRPr="007F6F77" w:rsidRDefault="001F7BDB" w:rsidP="00181D76">
      <w:pPr>
        <w:pBdr>
          <w:top w:val="single" w:sz="48" w:space="1" w:color="auto"/>
          <w:bottom w:val="single" w:sz="48" w:space="1" w:color="auto"/>
        </w:pBdr>
        <w:spacing w:before="240" w:line="640" w:lineRule="exact"/>
        <w:ind w:leftChars="252" w:left="504" w:rightChars="231" w:right="462"/>
        <w:jc w:val="center"/>
        <w:textDirection w:val="lrTbV"/>
        <w:rPr>
          <w:rFonts w:eastAsia="標楷體"/>
          <w:spacing w:val="-24"/>
          <w:sz w:val="40"/>
          <w:szCs w:val="48"/>
        </w:rPr>
      </w:pPr>
      <w:r w:rsidRPr="007F6F77">
        <w:rPr>
          <w:rFonts w:eastAsia="標楷體" w:hint="eastAsia"/>
          <w:spacing w:val="-24"/>
          <w:sz w:val="40"/>
          <w:szCs w:val="48"/>
        </w:rPr>
        <w:t>Dec</w:t>
      </w:r>
      <w:r w:rsidR="00181D76" w:rsidRPr="007F6F77">
        <w:rPr>
          <w:rFonts w:eastAsia="標楷體"/>
          <w:spacing w:val="-24"/>
          <w:sz w:val="40"/>
          <w:szCs w:val="48"/>
        </w:rPr>
        <w:t>ember</w:t>
      </w:r>
      <w:r w:rsidR="00181D76" w:rsidRPr="007F6F77">
        <w:rPr>
          <w:rFonts w:eastAsia="標楷體" w:hint="eastAsia"/>
          <w:spacing w:val="-24"/>
          <w:sz w:val="40"/>
          <w:szCs w:val="48"/>
        </w:rPr>
        <w:t xml:space="preserve"> 2</w:t>
      </w:r>
      <w:r w:rsidR="008C284D" w:rsidRPr="007F6F77">
        <w:rPr>
          <w:rFonts w:eastAsia="標楷體" w:hint="eastAsia"/>
          <w:spacing w:val="-24"/>
          <w:sz w:val="40"/>
          <w:szCs w:val="48"/>
        </w:rPr>
        <w:t>0, 2018</w:t>
      </w:r>
    </w:p>
    <w:p w:rsidR="00C82C46" w:rsidRPr="007F6F77" w:rsidRDefault="00C82C46" w:rsidP="00506CDC">
      <w:pPr>
        <w:pBdr>
          <w:top w:val="single" w:sz="48" w:space="1" w:color="auto"/>
          <w:bottom w:val="single" w:sz="48" w:space="1" w:color="auto"/>
        </w:pBdr>
        <w:spacing w:before="240" w:line="20" w:lineRule="exact"/>
        <w:ind w:leftChars="252" w:left="504" w:rightChars="231" w:right="462"/>
        <w:jc w:val="center"/>
        <w:textDirection w:val="lrTbV"/>
        <w:rPr>
          <w:rFonts w:eastAsia="標楷體"/>
          <w:sz w:val="48"/>
          <w:szCs w:val="48"/>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181D76" w:rsidRPr="007F6F77" w:rsidRDefault="00181D76" w:rsidP="00181D76">
      <w:pPr>
        <w:spacing w:before="100" w:line="640" w:lineRule="exact"/>
        <w:ind w:leftChars="252" w:left="504" w:rightChars="231" w:right="462"/>
        <w:jc w:val="center"/>
        <w:textDirection w:val="lrTbV"/>
        <w:rPr>
          <w:rFonts w:eastAsia="標楷體"/>
          <w:b/>
          <w:spacing w:val="-24"/>
          <w:sz w:val="44"/>
          <w:szCs w:val="52"/>
        </w:rPr>
      </w:pPr>
      <w:r w:rsidRPr="007F6F77">
        <w:rPr>
          <w:rFonts w:eastAsia="標楷體" w:hint="eastAsia"/>
          <w:sz w:val="44"/>
          <w:szCs w:val="52"/>
        </w:rPr>
        <w:t>Central Bank of the R.O.C. (Taiwan)</w:t>
      </w:r>
    </w:p>
    <w:p w:rsidR="00C82C46" w:rsidRPr="007F6F77" w:rsidRDefault="00C82C46" w:rsidP="00D052FE">
      <w:pPr>
        <w:spacing w:before="100" w:line="640" w:lineRule="exact"/>
        <w:ind w:leftChars="252" w:left="504" w:rightChars="231" w:right="462"/>
        <w:jc w:val="both"/>
        <w:textDirection w:val="lrTbV"/>
        <w:rPr>
          <w:rFonts w:eastAsia="標楷體"/>
          <w:sz w:val="52"/>
          <w:szCs w:val="52"/>
        </w:rPr>
        <w:sectPr w:rsidR="00C82C46" w:rsidRPr="007F6F77" w:rsidSect="00F714F0">
          <w:headerReference w:type="default" r:id="rId9"/>
          <w:footerReference w:type="even" r:id="rId10"/>
          <w:footerReference w:type="first" r:id="rId11"/>
          <w:pgSz w:w="11907" w:h="16840" w:code="9"/>
          <w:pgMar w:top="1134" w:right="1418" w:bottom="851" w:left="1418" w:header="0" w:footer="510" w:gutter="0"/>
          <w:paperSrc w:first="15" w:other="15"/>
          <w:pgNumType w:start="0"/>
          <w:cols w:space="425"/>
          <w:titlePg/>
          <w:docGrid w:linePitch="272"/>
        </w:sectPr>
      </w:pPr>
      <w:r w:rsidRPr="007F6F77">
        <w:rPr>
          <w:rFonts w:eastAsia="標楷體"/>
          <w:spacing w:val="-24"/>
          <w:sz w:val="44"/>
          <w:szCs w:val="44"/>
        </w:rPr>
        <w:br w:type="page"/>
      </w:r>
    </w:p>
    <w:p w:rsidR="00363599" w:rsidRPr="007F6F77" w:rsidRDefault="00363599" w:rsidP="00642463">
      <w:pPr>
        <w:spacing w:line="440" w:lineRule="exact"/>
        <w:jc w:val="center"/>
        <w:textDirection w:val="lrTbV"/>
        <w:rPr>
          <w:rFonts w:eastAsia="標楷體"/>
          <w:b/>
          <w:sz w:val="28"/>
          <w:szCs w:val="28"/>
        </w:rPr>
      </w:pPr>
      <w:r w:rsidRPr="007F6F77">
        <w:rPr>
          <w:rFonts w:eastAsia="標楷體"/>
          <w:b/>
          <w:sz w:val="28"/>
          <w:szCs w:val="28"/>
        </w:rPr>
        <w:lastRenderedPageBreak/>
        <w:t>Minutes</w:t>
      </w:r>
      <w:r w:rsidRPr="007F6F77">
        <w:rPr>
          <w:rStyle w:val="afe"/>
          <w:rFonts w:eastAsia="標楷體"/>
          <w:b/>
          <w:sz w:val="28"/>
          <w:szCs w:val="28"/>
        </w:rPr>
        <w:footnoteReference w:id="1"/>
      </w:r>
      <w:r w:rsidRPr="007F6F77">
        <w:rPr>
          <w:rFonts w:eastAsia="標楷體"/>
          <w:b/>
          <w:sz w:val="28"/>
          <w:szCs w:val="28"/>
        </w:rPr>
        <w:t xml:space="preserve"> of the Joint Meeting of the Board of Directors and </w:t>
      </w:r>
    </w:p>
    <w:p w:rsidR="00363599" w:rsidRPr="007F6F77" w:rsidRDefault="00363599" w:rsidP="00642463">
      <w:pPr>
        <w:spacing w:line="440" w:lineRule="exact"/>
        <w:jc w:val="center"/>
        <w:textDirection w:val="lrTbV"/>
        <w:rPr>
          <w:rFonts w:eastAsia="標楷體"/>
          <w:b/>
          <w:sz w:val="28"/>
          <w:szCs w:val="28"/>
        </w:rPr>
      </w:pPr>
      <w:proofErr w:type="gramStart"/>
      <w:r w:rsidRPr="007F6F77">
        <w:rPr>
          <w:rFonts w:eastAsia="標楷體"/>
          <w:b/>
          <w:sz w:val="28"/>
          <w:szCs w:val="28"/>
        </w:rPr>
        <w:t>the</w:t>
      </w:r>
      <w:proofErr w:type="gramEnd"/>
      <w:r w:rsidRPr="007F6F77">
        <w:rPr>
          <w:rFonts w:eastAsia="標楷體"/>
          <w:b/>
          <w:sz w:val="28"/>
          <w:szCs w:val="28"/>
        </w:rPr>
        <w:t xml:space="preserve"> Board of Supervisors on</w:t>
      </w:r>
      <w:r w:rsidR="00C41905" w:rsidRPr="007F6F77">
        <w:rPr>
          <w:rFonts w:eastAsia="標楷體" w:hint="eastAsia"/>
          <w:b/>
          <w:sz w:val="28"/>
          <w:szCs w:val="28"/>
        </w:rPr>
        <w:t xml:space="preserve"> </w:t>
      </w:r>
      <w:r w:rsidR="001F7BDB" w:rsidRPr="007F6F77">
        <w:rPr>
          <w:rFonts w:eastAsia="標楷體" w:hint="eastAsia"/>
          <w:b/>
          <w:sz w:val="28"/>
          <w:szCs w:val="28"/>
        </w:rPr>
        <w:t>Dec</w:t>
      </w:r>
      <w:r w:rsidR="008C284D" w:rsidRPr="007F6F77">
        <w:rPr>
          <w:rFonts w:eastAsia="標楷體" w:hint="eastAsia"/>
          <w:b/>
          <w:sz w:val="28"/>
          <w:szCs w:val="28"/>
        </w:rPr>
        <w:t>e</w:t>
      </w:r>
      <w:r w:rsidRPr="007F6F77">
        <w:rPr>
          <w:rFonts w:eastAsia="標楷體"/>
          <w:b/>
          <w:sz w:val="28"/>
          <w:szCs w:val="28"/>
        </w:rPr>
        <w:t>mber 2</w:t>
      </w:r>
      <w:r w:rsidR="008C284D" w:rsidRPr="007F6F77">
        <w:rPr>
          <w:rFonts w:eastAsia="標楷體" w:hint="eastAsia"/>
          <w:b/>
          <w:sz w:val="28"/>
          <w:szCs w:val="28"/>
        </w:rPr>
        <w:t>0</w:t>
      </w:r>
      <w:r w:rsidR="008C284D" w:rsidRPr="007F6F77">
        <w:rPr>
          <w:rFonts w:eastAsia="標楷體"/>
          <w:b/>
          <w:sz w:val="28"/>
          <w:szCs w:val="28"/>
        </w:rPr>
        <w:t>, 201</w:t>
      </w:r>
      <w:r w:rsidR="008C284D" w:rsidRPr="007F6F77">
        <w:rPr>
          <w:rFonts w:eastAsia="標楷體" w:hint="eastAsia"/>
          <w:b/>
          <w:sz w:val="28"/>
          <w:szCs w:val="28"/>
        </w:rPr>
        <w:t>8</w:t>
      </w:r>
    </w:p>
    <w:p w:rsidR="00363599" w:rsidRPr="007F6F77" w:rsidRDefault="00363599" w:rsidP="00642463">
      <w:pPr>
        <w:spacing w:line="440" w:lineRule="exact"/>
        <w:jc w:val="both"/>
        <w:textDirection w:val="lrTbV"/>
        <w:rPr>
          <w:rFonts w:eastAsia="標楷體"/>
          <w:sz w:val="24"/>
          <w:szCs w:val="24"/>
        </w:rPr>
      </w:pPr>
      <w:r w:rsidRPr="007F6F77">
        <w:rPr>
          <w:rFonts w:eastAsia="標楷體" w:hint="eastAsia"/>
          <w:b/>
          <w:sz w:val="24"/>
          <w:szCs w:val="24"/>
        </w:rPr>
        <w:t>Date and Time</w:t>
      </w:r>
      <w:r w:rsidRPr="007F6F77">
        <w:rPr>
          <w:rFonts w:eastAsia="標楷體" w:hint="eastAsia"/>
          <w:sz w:val="24"/>
          <w:szCs w:val="24"/>
        </w:rPr>
        <w:t xml:space="preserve">: </w:t>
      </w:r>
      <w:r w:rsidR="001F7BDB" w:rsidRPr="007F6F77">
        <w:rPr>
          <w:rFonts w:eastAsia="標楷體" w:hint="eastAsia"/>
          <w:sz w:val="24"/>
          <w:szCs w:val="24"/>
        </w:rPr>
        <w:t>Dec</w:t>
      </w:r>
      <w:r w:rsidRPr="007F6F77">
        <w:rPr>
          <w:rFonts w:eastAsia="標楷體"/>
          <w:sz w:val="24"/>
          <w:szCs w:val="24"/>
        </w:rPr>
        <w:t>ember</w:t>
      </w:r>
      <w:r w:rsidRPr="007F6F77">
        <w:rPr>
          <w:rFonts w:eastAsia="標楷體" w:hint="eastAsia"/>
          <w:sz w:val="24"/>
          <w:szCs w:val="24"/>
        </w:rPr>
        <w:t xml:space="preserve"> 2</w:t>
      </w:r>
      <w:r w:rsidR="008C284D" w:rsidRPr="007F6F77">
        <w:rPr>
          <w:rFonts w:eastAsia="標楷體" w:hint="eastAsia"/>
          <w:sz w:val="24"/>
          <w:szCs w:val="24"/>
        </w:rPr>
        <w:t>0</w:t>
      </w:r>
      <w:r w:rsidRPr="007F6F77">
        <w:rPr>
          <w:rFonts w:eastAsia="標楷體" w:hint="eastAsia"/>
          <w:sz w:val="24"/>
          <w:szCs w:val="24"/>
        </w:rPr>
        <w:t>, 201</w:t>
      </w:r>
      <w:r w:rsidR="008C284D" w:rsidRPr="007F6F77">
        <w:rPr>
          <w:rFonts w:eastAsia="標楷體" w:hint="eastAsia"/>
          <w:sz w:val="24"/>
          <w:szCs w:val="24"/>
        </w:rPr>
        <w:t>8</w:t>
      </w:r>
      <w:r w:rsidRPr="007F6F77">
        <w:rPr>
          <w:rFonts w:eastAsia="標楷體" w:hint="eastAsia"/>
          <w:sz w:val="24"/>
          <w:szCs w:val="24"/>
        </w:rPr>
        <w:t xml:space="preserve">, at </w:t>
      </w:r>
      <w:r w:rsidR="008C284D" w:rsidRPr="007F6F77">
        <w:rPr>
          <w:rFonts w:eastAsia="標楷體" w:hint="eastAsia"/>
          <w:sz w:val="24"/>
          <w:szCs w:val="24"/>
        </w:rPr>
        <w:t>2</w:t>
      </w:r>
      <w:r w:rsidR="001F7BDB" w:rsidRPr="007F6F77">
        <w:rPr>
          <w:rFonts w:eastAsia="標楷體" w:hint="eastAsia"/>
          <w:sz w:val="24"/>
          <w:szCs w:val="24"/>
        </w:rPr>
        <w:t>:</w:t>
      </w:r>
      <w:r w:rsidR="008C284D" w:rsidRPr="007F6F77">
        <w:rPr>
          <w:rFonts w:eastAsia="標楷體" w:hint="eastAsia"/>
          <w:sz w:val="24"/>
          <w:szCs w:val="24"/>
        </w:rPr>
        <w:t>0</w:t>
      </w:r>
      <w:r w:rsidR="001F7BDB" w:rsidRPr="007F6F77">
        <w:rPr>
          <w:rFonts w:eastAsia="標楷體" w:hint="eastAsia"/>
          <w:sz w:val="24"/>
          <w:szCs w:val="24"/>
        </w:rPr>
        <w:t>0</w:t>
      </w:r>
      <w:r w:rsidRPr="007F6F77">
        <w:rPr>
          <w:rFonts w:eastAsia="標楷體" w:hint="eastAsia"/>
          <w:sz w:val="24"/>
          <w:szCs w:val="24"/>
        </w:rPr>
        <w:t xml:space="preserve"> p.m.</w:t>
      </w:r>
    </w:p>
    <w:p w:rsidR="00363599" w:rsidRPr="007F6F77" w:rsidRDefault="00363599" w:rsidP="00642463">
      <w:pPr>
        <w:spacing w:line="440" w:lineRule="exact"/>
        <w:ind w:left="745" w:hangingChars="310" w:hanging="745"/>
        <w:jc w:val="both"/>
        <w:textDirection w:val="lrTbV"/>
        <w:rPr>
          <w:rFonts w:eastAsia="標楷體"/>
          <w:sz w:val="24"/>
          <w:szCs w:val="24"/>
        </w:rPr>
      </w:pPr>
      <w:r w:rsidRPr="007F6F77">
        <w:rPr>
          <w:rFonts w:eastAsia="標楷體" w:hint="eastAsia"/>
          <w:b/>
          <w:sz w:val="24"/>
          <w:szCs w:val="24"/>
        </w:rPr>
        <w:t>Location:</w:t>
      </w:r>
      <w:r w:rsidRPr="007F6F77">
        <w:rPr>
          <w:rFonts w:eastAsia="標楷體" w:hint="eastAsia"/>
          <w:sz w:val="24"/>
          <w:szCs w:val="24"/>
        </w:rPr>
        <w:t xml:space="preserve"> Room A606, Main Building, </w:t>
      </w:r>
      <w:r w:rsidRPr="007F6F77">
        <w:rPr>
          <w:rFonts w:eastAsia="標楷體"/>
          <w:sz w:val="24"/>
          <w:szCs w:val="24"/>
        </w:rPr>
        <w:t>Central Bank of the R.O.C. (Taiwan)</w:t>
      </w:r>
    </w:p>
    <w:p w:rsidR="00363599" w:rsidRPr="007F6F77" w:rsidRDefault="00363599" w:rsidP="00642463">
      <w:pPr>
        <w:pStyle w:val="31"/>
        <w:spacing w:line="440" w:lineRule="exact"/>
        <w:textDirection w:val="lrTbV"/>
        <w:rPr>
          <w:rFonts w:eastAsia="標楷體"/>
          <w:sz w:val="24"/>
          <w:szCs w:val="24"/>
        </w:rPr>
      </w:pPr>
      <w:r w:rsidRPr="007F6F77">
        <w:rPr>
          <w:rFonts w:eastAsia="標楷體" w:hint="eastAsia"/>
          <w:b/>
          <w:sz w:val="24"/>
          <w:szCs w:val="24"/>
        </w:rPr>
        <w:t>Members Present:</w:t>
      </w:r>
      <w:r w:rsidRPr="007F6F77">
        <w:rPr>
          <w:rFonts w:eastAsia="標楷體" w:hint="eastAsia"/>
          <w:sz w:val="24"/>
          <w:szCs w:val="24"/>
        </w:rPr>
        <w:t xml:space="preserve"> </w:t>
      </w:r>
    </w:p>
    <w:p w:rsidR="00363599" w:rsidRPr="007F6F77" w:rsidRDefault="00363599" w:rsidP="00642463">
      <w:pPr>
        <w:pStyle w:val="31"/>
        <w:spacing w:line="440" w:lineRule="exact"/>
        <w:ind w:leftChars="200" w:left="400"/>
        <w:textDirection w:val="lrTbV"/>
        <w:rPr>
          <w:rFonts w:eastAsia="標楷體"/>
          <w:sz w:val="24"/>
          <w:szCs w:val="24"/>
        </w:rPr>
      </w:pPr>
      <w:r w:rsidRPr="007F6F77">
        <w:rPr>
          <w:rFonts w:eastAsia="標楷體" w:hint="eastAsia"/>
          <w:b/>
          <w:sz w:val="24"/>
          <w:szCs w:val="24"/>
        </w:rPr>
        <w:t>Chairman, Board of Directors</w:t>
      </w:r>
      <w:r w:rsidRPr="007F6F77">
        <w:rPr>
          <w:rFonts w:eastAsia="標楷體" w:hint="eastAsia"/>
          <w:sz w:val="24"/>
          <w:szCs w:val="24"/>
        </w:rPr>
        <w:t xml:space="preserve">: </w:t>
      </w:r>
      <w:r w:rsidR="008C284D" w:rsidRPr="007F6F77">
        <w:rPr>
          <w:rFonts w:eastAsia="標楷體"/>
          <w:sz w:val="24"/>
          <w:szCs w:val="24"/>
        </w:rPr>
        <w:t>Chin-long Yang</w:t>
      </w:r>
    </w:p>
    <w:p w:rsidR="008C284D" w:rsidRPr="007F6F77" w:rsidRDefault="008C284D" w:rsidP="00642463">
      <w:pPr>
        <w:pStyle w:val="31"/>
        <w:spacing w:line="440" w:lineRule="exact"/>
        <w:ind w:leftChars="200" w:left="400"/>
        <w:textDirection w:val="lrTbV"/>
        <w:rPr>
          <w:rFonts w:eastAsia="標楷體"/>
          <w:sz w:val="24"/>
          <w:szCs w:val="24"/>
        </w:rPr>
      </w:pPr>
      <w:r w:rsidRPr="007F6F77">
        <w:rPr>
          <w:rFonts w:eastAsia="標楷體" w:hint="eastAsia"/>
          <w:b/>
          <w:sz w:val="24"/>
          <w:szCs w:val="24"/>
        </w:rPr>
        <w:t>Executive Directors</w:t>
      </w:r>
      <w:r w:rsidRPr="007F6F77">
        <w:rPr>
          <w:rFonts w:eastAsia="標楷體" w:hint="eastAsia"/>
          <w:sz w:val="24"/>
          <w:szCs w:val="24"/>
        </w:rPr>
        <w:t xml:space="preserve">: </w:t>
      </w:r>
    </w:p>
    <w:p w:rsidR="008C284D" w:rsidRPr="007F6F77" w:rsidRDefault="008C284D" w:rsidP="00642463">
      <w:pPr>
        <w:pStyle w:val="31"/>
        <w:spacing w:line="440" w:lineRule="exact"/>
        <w:ind w:leftChars="200" w:left="400"/>
        <w:textDirection w:val="lrTbV"/>
        <w:rPr>
          <w:rFonts w:eastAsia="標楷體"/>
          <w:sz w:val="24"/>
          <w:szCs w:val="24"/>
        </w:rPr>
      </w:pPr>
      <w:r w:rsidRPr="007F6F77">
        <w:rPr>
          <w:rFonts w:eastAsia="標楷體"/>
          <w:sz w:val="24"/>
          <w:szCs w:val="24"/>
        </w:rPr>
        <w:t>Jain-</w:t>
      </w:r>
      <w:proofErr w:type="spellStart"/>
      <w:r w:rsidRPr="007F6F77">
        <w:rPr>
          <w:rFonts w:eastAsia="標楷體"/>
          <w:sz w:val="24"/>
          <w:szCs w:val="24"/>
        </w:rPr>
        <w:t>Rong</w:t>
      </w:r>
      <w:proofErr w:type="spellEnd"/>
      <w:r w:rsidRPr="007F6F77">
        <w:rPr>
          <w:rFonts w:eastAsia="標楷體"/>
          <w:sz w:val="24"/>
          <w:szCs w:val="24"/>
        </w:rPr>
        <w:t xml:space="preserve"> Su</w:t>
      </w:r>
      <w:r w:rsidR="00A32D1B" w:rsidRPr="007F6F77">
        <w:rPr>
          <w:rFonts w:eastAsia="標楷體" w:hint="eastAsia"/>
          <w:sz w:val="24"/>
          <w:szCs w:val="24"/>
        </w:rPr>
        <w:t xml:space="preserve"> </w:t>
      </w:r>
      <w:r w:rsidR="00A32D1B" w:rsidRPr="007F6F77">
        <w:rPr>
          <w:rFonts w:eastAsia="標楷體"/>
          <w:sz w:val="24"/>
          <w:szCs w:val="24"/>
        </w:rPr>
        <w:t xml:space="preserve">(excused, appointing </w:t>
      </w:r>
      <w:proofErr w:type="spellStart"/>
      <w:r w:rsidR="00A32D1B" w:rsidRPr="007F6F77">
        <w:rPr>
          <w:rFonts w:eastAsia="標楷體"/>
          <w:sz w:val="24"/>
          <w:szCs w:val="24"/>
        </w:rPr>
        <w:t>T</w:t>
      </w:r>
      <w:r w:rsidR="00A32D1B" w:rsidRPr="007F6F77">
        <w:rPr>
          <w:rFonts w:eastAsia="標楷體" w:hint="eastAsia"/>
          <w:sz w:val="24"/>
          <w:szCs w:val="24"/>
        </w:rPr>
        <w:t>z</w:t>
      </w:r>
      <w:r w:rsidR="00A32D1B" w:rsidRPr="007F6F77">
        <w:rPr>
          <w:rFonts w:eastAsia="標楷體"/>
          <w:sz w:val="24"/>
          <w:szCs w:val="24"/>
        </w:rPr>
        <w:t>ung</w:t>
      </w:r>
      <w:proofErr w:type="spellEnd"/>
      <w:r w:rsidR="00A32D1B" w:rsidRPr="007F6F77">
        <w:rPr>
          <w:rFonts w:eastAsia="標楷體"/>
          <w:sz w:val="24"/>
          <w:szCs w:val="24"/>
        </w:rPr>
        <w:t>-ta Yen as proxy)</w:t>
      </w:r>
      <w:r w:rsidRPr="007F6F77">
        <w:rPr>
          <w:rFonts w:eastAsia="標楷體"/>
          <w:sz w:val="24"/>
          <w:szCs w:val="24"/>
        </w:rPr>
        <w:t>,</w:t>
      </w:r>
      <w:r w:rsidRPr="007F6F77">
        <w:rPr>
          <w:rFonts w:eastAsia="標楷體" w:hint="eastAsia"/>
          <w:sz w:val="24"/>
          <w:szCs w:val="24"/>
        </w:rPr>
        <w:t xml:space="preserve"> </w:t>
      </w:r>
      <w:r w:rsidRPr="007F6F77">
        <w:rPr>
          <w:rFonts w:eastAsia="標楷體"/>
          <w:sz w:val="24"/>
          <w:szCs w:val="24"/>
        </w:rPr>
        <w:t>Jong-</w:t>
      </w:r>
      <w:r w:rsidRPr="007F6F77">
        <w:rPr>
          <w:rFonts w:eastAsia="標楷體" w:hint="eastAsia"/>
          <w:sz w:val="24"/>
          <w:szCs w:val="24"/>
        </w:rPr>
        <w:t>c</w:t>
      </w:r>
      <w:r w:rsidRPr="007F6F77">
        <w:rPr>
          <w:rFonts w:eastAsia="標楷體"/>
          <w:sz w:val="24"/>
          <w:szCs w:val="24"/>
        </w:rPr>
        <w:t>hin Shen</w:t>
      </w:r>
      <w:r w:rsidRPr="007F6F77">
        <w:rPr>
          <w:rFonts w:eastAsia="標楷體" w:hint="eastAsia"/>
          <w:sz w:val="24"/>
          <w:szCs w:val="24"/>
        </w:rPr>
        <w:t xml:space="preserve">, </w:t>
      </w:r>
      <w:proofErr w:type="spellStart"/>
      <w:r w:rsidRPr="007F6F77">
        <w:rPr>
          <w:rFonts w:eastAsia="標楷體" w:hint="eastAsia"/>
          <w:sz w:val="24"/>
          <w:szCs w:val="24"/>
        </w:rPr>
        <w:t>Tzung</w:t>
      </w:r>
      <w:proofErr w:type="spellEnd"/>
      <w:r w:rsidRPr="007F6F77">
        <w:rPr>
          <w:rFonts w:eastAsia="標楷體" w:hint="eastAsia"/>
          <w:sz w:val="24"/>
          <w:szCs w:val="24"/>
        </w:rPr>
        <w:t>-ta Yen, Nan-</w:t>
      </w:r>
      <w:proofErr w:type="spellStart"/>
      <w:r w:rsidRPr="007F6F77">
        <w:rPr>
          <w:rFonts w:eastAsia="標楷體" w:hint="eastAsia"/>
          <w:sz w:val="24"/>
          <w:szCs w:val="24"/>
        </w:rPr>
        <w:t>kuang</w:t>
      </w:r>
      <w:proofErr w:type="spellEnd"/>
      <w:r w:rsidRPr="007F6F77">
        <w:rPr>
          <w:rFonts w:eastAsia="標楷體" w:hint="eastAsia"/>
          <w:sz w:val="24"/>
          <w:szCs w:val="24"/>
        </w:rPr>
        <w:t xml:space="preserve"> Chen, Ming-</w:t>
      </w:r>
      <w:proofErr w:type="spellStart"/>
      <w:r w:rsidRPr="007F6F77">
        <w:rPr>
          <w:rFonts w:eastAsia="標楷體" w:hint="eastAsia"/>
          <w:sz w:val="24"/>
          <w:szCs w:val="24"/>
        </w:rPr>
        <w:t>yih</w:t>
      </w:r>
      <w:proofErr w:type="spellEnd"/>
      <w:r w:rsidRPr="007F6F77">
        <w:rPr>
          <w:rFonts w:eastAsia="標楷體" w:hint="eastAsia"/>
          <w:sz w:val="24"/>
          <w:szCs w:val="24"/>
        </w:rPr>
        <w:t xml:space="preserve"> Liang </w:t>
      </w:r>
    </w:p>
    <w:p w:rsidR="008C284D" w:rsidRPr="007F6F77" w:rsidRDefault="008C284D" w:rsidP="00642463">
      <w:pPr>
        <w:spacing w:line="440" w:lineRule="exact"/>
        <w:ind w:leftChars="200" w:left="400" w:rightChars="5" w:right="10"/>
        <w:textDirection w:val="lrTbV"/>
        <w:rPr>
          <w:rFonts w:eastAsia="標楷體"/>
          <w:sz w:val="24"/>
          <w:szCs w:val="24"/>
        </w:rPr>
      </w:pPr>
      <w:r w:rsidRPr="007F6F77">
        <w:rPr>
          <w:rFonts w:eastAsia="標楷體" w:hint="eastAsia"/>
          <w:b/>
          <w:sz w:val="24"/>
          <w:szCs w:val="24"/>
        </w:rPr>
        <w:t>Directors</w:t>
      </w:r>
      <w:r w:rsidRPr="007F6F77">
        <w:rPr>
          <w:rFonts w:eastAsia="標楷體" w:hint="eastAsia"/>
          <w:sz w:val="24"/>
          <w:szCs w:val="24"/>
        </w:rPr>
        <w:t xml:space="preserve">: </w:t>
      </w:r>
    </w:p>
    <w:p w:rsidR="008C284D" w:rsidRPr="007F6F77" w:rsidRDefault="008C284D" w:rsidP="00642463">
      <w:pPr>
        <w:spacing w:line="440" w:lineRule="exact"/>
        <w:ind w:leftChars="200" w:left="400" w:rightChars="5" w:right="10"/>
        <w:textDirection w:val="lrTbV"/>
        <w:rPr>
          <w:rFonts w:eastAsia="標楷體"/>
          <w:sz w:val="24"/>
          <w:szCs w:val="24"/>
        </w:rPr>
      </w:pPr>
      <w:proofErr w:type="spellStart"/>
      <w:r w:rsidRPr="007F6F77">
        <w:rPr>
          <w:rFonts w:eastAsia="標楷體" w:hint="eastAsia"/>
          <w:sz w:val="24"/>
          <w:szCs w:val="24"/>
        </w:rPr>
        <w:t>Tsung-hsien</w:t>
      </w:r>
      <w:proofErr w:type="spellEnd"/>
      <w:r w:rsidRPr="007F6F77">
        <w:rPr>
          <w:rFonts w:eastAsia="標楷體" w:hint="eastAsia"/>
          <w:sz w:val="24"/>
          <w:szCs w:val="24"/>
        </w:rPr>
        <w:t xml:space="preserve"> Lin, Chen-chia Lee, </w:t>
      </w:r>
      <w:r w:rsidRPr="007F6F77">
        <w:rPr>
          <w:rFonts w:eastAsia="標楷體"/>
          <w:sz w:val="24"/>
          <w:szCs w:val="24"/>
        </w:rPr>
        <w:t>Chung-</w:t>
      </w:r>
      <w:proofErr w:type="spellStart"/>
      <w:r w:rsidRPr="007F6F77">
        <w:rPr>
          <w:rFonts w:eastAsia="標楷體" w:hint="eastAsia"/>
          <w:sz w:val="24"/>
          <w:szCs w:val="24"/>
        </w:rPr>
        <w:t>d</w:t>
      </w:r>
      <w:r w:rsidRPr="007F6F77">
        <w:rPr>
          <w:rFonts w:eastAsia="標楷體"/>
          <w:sz w:val="24"/>
          <w:szCs w:val="24"/>
        </w:rPr>
        <w:t>ar</w:t>
      </w:r>
      <w:proofErr w:type="spellEnd"/>
      <w:r w:rsidRPr="007F6F77">
        <w:rPr>
          <w:rFonts w:eastAsia="標楷體"/>
          <w:sz w:val="24"/>
          <w:szCs w:val="24"/>
        </w:rPr>
        <w:t xml:space="preserve"> Lei</w:t>
      </w:r>
      <w:r w:rsidRPr="007F6F77">
        <w:rPr>
          <w:rFonts w:eastAsia="標楷體" w:hint="eastAsia"/>
          <w:sz w:val="24"/>
          <w:szCs w:val="24"/>
        </w:rPr>
        <w:t xml:space="preserve">, </w:t>
      </w:r>
      <w:proofErr w:type="spellStart"/>
      <w:r w:rsidRPr="007F6F77">
        <w:rPr>
          <w:rFonts w:eastAsia="標楷體" w:hint="eastAsia"/>
          <w:sz w:val="24"/>
          <w:szCs w:val="24"/>
        </w:rPr>
        <w:t>Jin</w:t>
      </w:r>
      <w:proofErr w:type="spellEnd"/>
      <w:r w:rsidRPr="007F6F77">
        <w:rPr>
          <w:rFonts w:eastAsia="標楷體" w:hint="eastAsia"/>
          <w:sz w:val="24"/>
          <w:szCs w:val="24"/>
        </w:rPr>
        <w:t>-lung Lin, Mei-lie Chu, Chao-</w:t>
      </w:r>
      <w:proofErr w:type="spellStart"/>
      <w:r w:rsidRPr="007F6F77">
        <w:rPr>
          <w:rFonts w:eastAsia="標楷體" w:hint="eastAsia"/>
          <w:sz w:val="24"/>
          <w:szCs w:val="24"/>
        </w:rPr>
        <w:t>h</w:t>
      </w:r>
      <w:r w:rsidRPr="007F6F77">
        <w:rPr>
          <w:rFonts w:eastAsia="標楷體"/>
          <w:sz w:val="24"/>
          <w:szCs w:val="24"/>
        </w:rPr>
        <w:t>s</w:t>
      </w:r>
      <w:r w:rsidRPr="007F6F77">
        <w:rPr>
          <w:rFonts w:eastAsia="標楷體" w:hint="eastAsia"/>
          <w:sz w:val="24"/>
          <w:szCs w:val="24"/>
        </w:rPr>
        <w:t>i</w:t>
      </w:r>
      <w:proofErr w:type="spellEnd"/>
      <w:r w:rsidRPr="007F6F77">
        <w:rPr>
          <w:rFonts w:eastAsia="標楷體" w:hint="eastAsia"/>
          <w:sz w:val="24"/>
          <w:szCs w:val="24"/>
        </w:rPr>
        <w:t xml:space="preserve"> Huang, </w:t>
      </w:r>
      <w:proofErr w:type="spellStart"/>
      <w:r w:rsidRPr="007F6F77">
        <w:rPr>
          <w:rFonts w:eastAsia="標楷體" w:hint="eastAsia"/>
          <w:sz w:val="24"/>
          <w:szCs w:val="24"/>
        </w:rPr>
        <w:t>Bih</w:t>
      </w:r>
      <w:proofErr w:type="spellEnd"/>
      <w:r w:rsidRPr="007F6F77">
        <w:rPr>
          <w:rFonts w:eastAsia="標楷體" w:hint="eastAsia"/>
          <w:sz w:val="24"/>
          <w:szCs w:val="24"/>
        </w:rPr>
        <w:t xml:space="preserve">-jane Liu, </w:t>
      </w:r>
      <w:proofErr w:type="spellStart"/>
      <w:r w:rsidRPr="007F6F77">
        <w:rPr>
          <w:rFonts w:eastAsia="標楷體"/>
          <w:sz w:val="24"/>
          <w:szCs w:val="24"/>
        </w:rPr>
        <w:t>Shiu</w:t>
      </w:r>
      <w:proofErr w:type="spellEnd"/>
      <w:r w:rsidRPr="007F6F77">
        <w:rPr>
          <w:rFonts w:eastAsia="標楷體"/>
          <w:sz w:val="24"/>
          <w:szCs w:val="24"/>
        </w:rPr>
        <w:t>-</w:t>
      </w:r>
      <w:r w:rsidRPr="007F6F77">
        <w:rPr>
          <w:rFonts w:eastAsia="標楷體" w:hint="eastAsia"/>
          <w:sz w:val="24"/>
          <w:szCs w:val="24"/>
        </w:rPr>
        <w:t>s</w:t>
      </w:r>
      <w:r w:rsidRPr="007F6F77">
        <w:rPr>
          <w:rFonts w:eastAsia="標楷體"/>
          <w:sz w:val="24"/>
          <w:szCs w:val="24"/>
        </w:rPr>
        <w:t>heng Chen</w:t>
      </w:r>
      <w:r w:rsidRPr="007F6F77">
        <w:rPr>
          <w:rFonts w:eastAsia="標楷體" w:hint="eastAsia"/>
          <w:sz w:val="24"/>
          <w:szCs w:val="24"/>
        </w:rPr>
        <w:t xml:space="preserve">, </w:t>
      </w:r>
      <w:proofErr w:type="spellStart"/>
      <w:r w:rsidRPr="007F6F77">
        <w:rPr>
          <w:rFonts w:eastAsia="標楷體"/>
          <w:sz w:val="24"/>
          <w:szCs w:val="24"/>
        </w:rPr>
        <w:t>Hsin-</w:t>
      </w:r>
      <w:r w:rsidR="000060B5" w:rsidRPr="007F6F77">
        <w:rPr>
          <w:rFonts w:eastAsia="標楷體" w:hint="eastAsia"/>
          <w:sz w:val="24"/>
          <w:szCs w:val="24"/>
        </w:rPr>
        <w:t>h</w:t>
      </w:r>
      <w:r w:rsidRPr="007F6F77">
        <w:rPr>
          <w:rFonts w:eastAsia="標楷體"/>
          <w:sz w:val="24"/>
          <w:szCs w:val="24"/>
        </w:rPr>
        <w:t>ong</w:t>
      </w:r>
      <w:proofErr w:type="spellEnd"/>
      <w:r w:rsidRPr="007F6F77">
        <w:rPr>
          <w:rFonts w:eastAsia="標楷體"/>
          <w:sz w:val="24"/>
          <w:szCs w:val="24"/>
        </w:rPr>
        <w:t xml:space="preserve"> Kang</w:t>
      </w:r>
      <w:r w:rsidRPr="007F6F77">
        <w:rPr>
          <w:rFonts w:eastAsia="標楷體" w:hint="eastAsia"/>
          <w:sz w:val="24"/>
          <w:szCs w:val="24"/>
        </w:rPr>
        <w:t xml:space="preserve">  </w:t>
      </w:r>
    </w:p>
    <w:p w:rsidR="008C284D" w:rsidRPr="007F6F77" w:rsidRDefault="008C284D" w:rsidP="00642463">
      <w:pPr>
        <w:spacing w:line="440" w:lineRule="exact"/>
        <w:ind w:leftChars="200" w:left="400" w:rightChars="5" w:right="10"/>
        <w:textDirection w:val="lrTbV"/>
        <w:rPr>
          <w:rFonts w:eastAsia="標楷體"/>
          <w:sz w:val="24"/>
          <w:szCs w:val="24"/>
        </w:rPr>
      </w:pPr>
      <w:r w:rsidRPr="007F6F77">
        <w:rPr>
          <w:rFonts w:eastAsia="標楷體" w:hint="eastAsia"/>
          <w:b/>
          <w:sz w:val="24"/>
          <w:szCs w:val="24"/>
        </w:rPr>
        <w:t>Chairman, Board of Supervisors</w:t>
      </w:r>
      <w:r w:rsidRPr="007F6F77">
        <w:rPr>
          <w:rFonts w:eastAsia="標楷體" w:hint="eastAsia"/>
          <w:sz w:val="24"/>
          <w:szCs w:val="24"/>
        </w:rPr>
        <w:t xml:space="preserve">: </w:t>
      </w:r>
      <w:proofErr w:type="spellStart"/>
      <w:r w:rsidRPr="007F6F77">
        <w:rPr>
          <w:rFonts w:eastAsia="標楷體" w:hint="eastAsia"/>
          <w:sz w:val="24"/>
          <w:szCs w:val="24"/>
        </w:rPr>
        <w:t>Tzer-ming</w:t>
      </w:r>
      <w:proofErr w:type="spellEnd"/>
      <w:r w:rsidRPr="007F6F77">
        <w:rPr>
          <w:rFonts w:eastAsia="標楷體" w:hint="eastAsia"/>
          <w:sz w:val="24"/>
          <w:szCs w:val="24"/>
        </w:rPr>
        <w:t xml:space="preserve"> Chu</w:t>
      </w:r>
      <w:r w:rsidR="00A32D1B" w:rsidRPr="007F6F77">
        <w:rPr>
          <w:rFonts w:eastAsia="標楷體" w:hint="eastAsia"/>
          <w:sz w:val="24"/>
          <w:szCs w:val="24"/>
        </w:rPr>
        <w:t xml:space="preserve"> (excused)</w:t>
      </w:r>
    </w:p>
    <w:p w:rsidR="008C284D" w:rsidRPr="007F6F77" w:rsidRDefault="008C284D" w:rsidP="00642463">
      <w:pPr>
        <w:spacing w:line="440" w:lineRule="exact"/>
        <w:ind w:leftChars="200" w:left="400" w:rightChars="5" w:right="10"/>
        <w:jc w:val="both"/>
        <w:textDirection w:val="lrTbV"/>
        <w:rPr>
          <w:rFonts w:eastAsia="標楷體"/>
          <w:sz w:val="24"/>
          <w:szCs w:val="24"/>
        </w:rPr>
      </w:pPr>
      <w:r w:rsidRPr="007F6F77">
        <w:rPr>
          <w:rFonts w:eastAsia="標楷體" w:hint="eastAsia"/>
          <w:b/>
          <w:sz w:val="24"/>
          <w:szCs w:val="24"/>
        </w:rPr>
        <w:t>Supervisors</w:t>
      </w:r>
      <w:r w:rsidRPr="007F6F77">
        <w:rPr>
          <w:rFonts w:eastAsia="標楷體" w:hint="eastAsia"/>
          <w:sz w:val="24"/>
          <w:szCs w:val="24"/>
        </w:rPr>
        <w:t xml:space="preserve">: </w:t>
      </w:r>
    </w:p>
    <w:p w:rsidR="008C284D" w:rsidRPr="007F6F77" w:rsidRDefault="008C284D" w:rsidP="00642463">
      <w:pPr>
        <w:spacing w:line="440" w:lineRule="exact"/>
        <w:ind w:leftChars="200" w:left="400" w:rightChars="5" w:right="10"/>
        <w:jc w:val="both"/>
        <w:textDirection w:val="lrTbV"/>
        <w:rPr>
          <w:rFonts w:eastAsia="標楷體"/>
          <w:color w:val="FF0000"/>
          <w:sz w:val="24"/>
          <w:szCs w:val="24"/>
        </w:rPr>
      </w:pPr>
      <w:r w:rsidRPr="007F6F77">
        <w:rPr>
          <w:rFonts w:eastAsia="標楷體" w:hint="eastAsia"/>
          <w:sz w:val="24"/>
          <w:szCs w:val="24"/>
        </w:rPr>
        <w:t xml:space="preserve">Chi-yuan Liang, </w:t>
      </w:r>
      <w:proofErr w:type="spellStart"/>
      <w:r w:rsidRPr="007F6F77">
        <w:rPr>
          <w:rFonts w:eastAsia="標楷體" w:hint="eastAsia"/>
          <w:sz w:val="24"/>
          <w:szCs w:val="24"/>
        </w:rPr>
        <w:t>Tsung-jung</w:t>
      </w:r>
      <w:proofErr w:type="spellEnd"/>
      <w:r w:rsidRPr="007F6F77">
        <w:rPr>
          <w:rFonts w:eastAsia="標楷體" w:hint="eastAsia"/>
          <w:sz w:val="24"/>
          <w:szCs w:val="24"/>
        </w:rPr>
        <w:t xml:space="preserve"> Liu, Ching-fan Chung, </w:t>
      </w:r>
      <w:r w:rsidR="00A32D1B" w:rsidRPr="007F6F77">
        <w:rPr>
          <w:rFonts w:eastAsia="標楷體" w:hint="eastAsia"/>
          <w:sz w:val="24"/>
          <w:szCs w:val="24"/>
        </w:rPr>
        <w:t>Sheng-</w:t>
      </w:r>
      <w:proofErr w:type="spellStart"/>
      <w:r w:rsidR="00A32D1B" w:rsidRPr="007F6F77">
        <w:rPr>
          <w:rFonts w:eastAsia="標楷體" w:hint="eastAsia"/>
          <w:sz w:val="24"/>
          <w:szCs w:val="24"/>
        </w:rPr>
        <w:t>yao</w:t>
      </w:r>
      <w:proofErr w:type="spellEnd"/>
      <w:r w:rsidR="00A32D1B" w:rsidRPr="007F6F77">
        <w:rPr>
          <w:rFonts w:eastAsia="標楷體" w:hint="eastAsia"/>
          <w:sz w:val="24"/>
          <w:szCs w:val="24"/>
        </w:rPr>
        <w:t xml:space="preserve"> Lin</w:t>
      </w:r>
      <w:r w:rsidRPr="007F6F77">
        <w:rPr>
          <w:rFonts w:eastAsia="標楷體" w:hint="eastAsia"/>
          <w:sz w:val="24"/>
          <w:szCs w:val="24"/>
        </w:rPr>
        <w:t xml:space="preserve"> </w:t>
      </w:r>
    </w:p>
    <w:p w:rsidR="00363599" w:rsidRPr="007F6F77" w:rsidRDefault="00363599" w:rsidP="00642463">
      <w:pPr>
        <w:pStyle w:val="31"/>
        <w:spacing w:line="440" w:lineRule="exact"/>
        <w:textDirection w:val="lrTbV"/>
        <w:rPr>
          <w:rFonts w:eastAsia="標楷體"/>
          <w:sz w:val="24"/>
          <w:szCs w:val="24"/>
        </w:rPr>
      </w:pPr>
      <w:r w:rsidRPr="007F6F77">
        <w:rPr>
          <w:rFonts w:eastAsia="標楷體" w:hint="eastAsia"/>
          <w:b/>
          <w:sz w:val="24"/>
          <w:szCs w:val="24"/>
        </w:rPr>
        <w:t xml:space="preserve">Staff Present: </w:t>
      </w:r>
    </w:p>
    <w:p w:rsidR="00363599" w:rsidRPr="007F6F77" w:rsidRDefault="00363599" w:rsidP="00642463">
      <w:pPr>
        <w:pStyle w:val="31"/>
        <w:spacing w:line="440" w:lineRule="exact"/>
        <w:ind w:leftChars="200" w:left="400"/>
        <w:textDirection w:val="lrTbV"/>
        <w:rPr>
          <w:rFonts w:eastAsia="標楷體"/>
          <w:sz w:val="24"/>
          <w:szCs w:val="24"/>
        </w:rPr>
      </w:pPr>
      <w:r w:rsidRPr="007F6F77">
        <w:rPr>
          <w:rFonts w:eastAsia="標楷體"/>
          <w:sz w:val="24"/>
          <w:szCs w:val="24"/>
        </w:rPr>
        <w:t>E-</w:t>
      </w:r>
      <w:r w:rsidRPr="007F6F77">
        <w:rPr>
          <w:rFonts w:eastAsia="標楷體" w:hint="eastAsia"/>
          <w:sz w:val="24"/>
          <w:szCs w:val="24"/>
        </w:rPr>
        <w:t>d</w:t>
      </w:r>
      <w:r w:rsidRPr="007F6F77">
        <w:rPr>
          <w:rFonts w:eastAsia="標楷體"/>
          <w:sz w:val="24"/>
          <w:szCs w:val="24"/>
        </w:rPr>
        <w:t>awn Chen</w:t>
      </w:r>
      <w:r w:rsidRPr="007F6F77">
        <w:rPr>
          <w:rFonts w:eastAsia="標楷體" w:hint="eastAsia"/>
          <w:sz w:val="24"/>
          <w:szCs w:val="24"/>
        </w:rPr>
        <w:t>,</w:t>
      </w:r>
      <w:r w:rsidRPr="007F6F77">
        <w:rPr>
          <w:rFonts w:eastAsia="標楷體"/>
          <w:sz w:val="24"/>
          <w:szCs w:val="24"/>
        </w:rPr>
        <w:t xml:space="preserve"> Director General</w:t>
      </w:r>
      <w:r w:rsidRPr="007F6F77">
        <w:rPr>
          <w:rFonts w:eastAsia="標楷體" w:hint="eastAsia"/>
          <w:sz w:val="24"/>
          <w:szCs w:val="24"/>
        </w:rPr>
        <w:t>,</w:t>
      </w:r>
      <w:r w:rsidRPr="007F6F77">
        <w:rPr>
          <w:rFonts w:eastAsia="標楷體"/>
          <w:sz w:val="24"/>
          <w:szCs w:val="24"/>
        </w:rPr>
        <w:t xml:space="preserve"> Department of Banking</w:t>
      </w:r>
    </w:p>
    <w:p w:rsidR="00363599" w:rsidRPr="007F6F77" w:rsidRDefault="00363599" w:rsidP="00642463">
      <w:pPr>
        <w:pStyle w:val="31"/>
        <w:spacing w:line="440" w:lineRule="exact"/>
        <w:ind w:leftChars="200" w:left="400"/>
        <w:textDirection w:val="lrTbV"/>
        <w:rPr>
          <w:rFonts w:eastAsia="標楷體"/>
          <w:sz w:val="24"/>
          <w:szCs w:val="24"/>
        </w:rPr>
      </w:pPr>
      <w:r w:rsidRPr="007F6F77">
        <w:rPr>
          <w:rFonts w:eastAsia="標楷體"/>
          <w:sz w:val="24"/>
          <w:szCs w:val="24"/>
        </w:rPr>
        <w:t>James T.H. Shih</w:t>
      </w:r>
      <w:r w:rsidRPr="007F6F77">
        <w:rPr>
          <w:rFonts w:eastAsia="標楷體" w:hint="eastAsia"/>
          <w:sz w:val="24"/>
          <w:szCs w:val="24"/>
        </w:rPr>
        <w:t xml:space="preserve">, </w:t>
      </w:r>
      <w:r w:rsidRPr="007F6F77">
        <w:rPr>
          <w:rFonts w:eastAsia="標楷體"/>
          <w:sz w:val="24"/>
          <w:szCs w:val="24"/>
        </w:rPr>
        <w:t>Director General</w:t>
      </w:r>
      <w:r w:rsidRPr="007F6F77">
        <w:rPr>
          <w:rFonts w:eastAsia="標楷體" w:hint="eastAsia"/>
          <w:sz w:val="24"/>
          <w:szCs w:val="24"/>
        </w:rPr>
        <w:t>,</w:t>
      </w:r>
      <w:r w:rsidR="006F25E5" w:rsidRPr="007F6F77">
        <w:rPr>
          <w:rFonts w:eastAsia="標楷體" w:hint="eastAsia"/>
          <w:sz w:val="24"/>
          <w:szCs w:val="24"/>
        </w:rPr>
        <w:t xml:space="preserve"> </w:t>
      </w:r>
      <w:r w:rsidRPr="007F6F77">
        <w:rPr>
          <w:rFonts w:eastAsia="標楷體"/>
          <w:sz w:val="24"/>
          <w:szCs w:val="24"/>
        </w:rPr>
        <w:t xml:space="preserve">Department of Issuing </w:t>
      </w:r>
    </w:p>
    <w:p w:rsidR="00363599" w:rsidRPr="007F6F77" w:rsidRDefault="00363599" w:rsidP="00642463">
      <w:pPr>
        <w:pStyle w:val="31"/>
        <w:spacing w:line="440" w:lineRule="exact"/>
        <w:ind w:leftChars="200" w:left="400"/>
        <w:textDirection w:val="lrTbV"/>
        <w:rPr>
          <w:rFonts w:eastAsia="標楷體"/>
          <w:sz w:val="24"/>
          <w:szCs w:val="24"/>
        </w:rPr>
      </w:pPr>
      <w:r w:rsidRPr="007F6F77">
        <w:rPr>
          <w:rFonts w:eastAsia="標楷體"/>
          <w:sz w:val="24"/>
          <w:szCs w:val="24"/>
        </w:rPr>
        <w:t>Hui-</w:t>
      </w:r>
      <w:proofErr w:type="spellStart"/>
      <w:r w:rsidRPr="007F6F77">
        <w:rPr>
          <w:rFonts w:eastAsia="標楷體" w:hint="eastAsia"/>
          <w:sz w:val="24"/>
          <w:szCs w:val="24"/>
        </w:rPr>
        <w:t>h</w:t>
      </w:r>
      <w:r w:rsidRPr="007F6F77">
        <w:rPr>
          <w:rFonts w:eastAsia="標楷體"/>
          <w:sz w:val="24"/>
          <w:szCs w:val="24"/>
        </w:rPr>
        <w:t>uang</w:t>
      </w:r>
      <w:proofErr w:type="spellEnd"/>
      <w:r w:rsidRPr="007F6F77">
        <w:rPr>
          <w:rFonts w:eastAsia="標楷體"/>
          <w:sz w:val="24"/>
          <w:szCs w:val="24"/>
        </w:rPr>
        <w:t xml:space="preserve"> Yen</w:t>
      </w:r>
      <w:r w:rsidRPr="007F6F77">
        <w:rPr>
          <w:rFonts w:eastAsia="標楷體" w:hint="eastAsia"/>
          <w:sz w:val="24"/>
          <w:szCs w:val="24"/>
        </w:rPr>
        <w:t xml:space="preserve">, </w:t>
      </w:r>
      <w:r w:rsidRPr="007F6F77">
        <w:rPr>
          <w:rFonts w:eastAsia="標楷體"/>
          <w:sz w:val="24"/>
          <w:szCs w:val="24"/>
        </w:rPr>
        <w:t>Director General</w:t>
      </w:r>
      <w:r w:rsidRPr="007F6F77">
        <w:rPr>
          <w:rFonts w:eastAsia="標楷體" w:hint="eastAsia"/>
          <w:sz w:val="24"/>
          <w:szCs w:val="24"/>
        </w:rPr>
        <w:t>,</w:t>
      </w:r>
      <w:r w:rsidRPr="007F6F77">
        <w:rPr>
          <w:rFonts w:eastAsia="標楷體"/>
          <w:sz w:val="24"/>
          <w:szCs w:val="24"/>
        </w:rPr>
        <w:t xml:space="preserve"> Department of Foreign</w:t>
      </w:r>
      <w:r w:rsidRPr="007F6F77">
        <w:rPr>
          <w:rFonts w:eastAsia="標楷體" w:hint="eastAsia"/>
          <w:sz w:val="24"/>
          <w:szCs w:val="24"/>
        </w:rPr>
        <w:t xml:space="preserve"> </w:t>
      </w:r>
      <w:r w:rsidRPr="007F6F77">
        <w:rPr>
          <w:rFonts w:eastAsia="標楷體"/>
          <w:sz w:val="24"/>
          <w:szCs w:val="24"/>
        </w:rPr>
        <w:t>Exchange</w:t>
      </w:r>
    </w:p>
    <w:p w:rsidR="00363599" w:rsidRPr="007F6F77" w:rsidRDefault="0017066F" w:rsidP="00A32D1B">
      <w:pPr>
        <w:pStyle w:val="31"/>
        <w:spacing w:line="440" w:lineRule="exact"/>
        <w:ind w:leftChars="200" w:left="400"/>
        <w:textDirection w:val="lrTbV"/>
        <w:rPr>
          <w:rFonts w:eastAsia="標楷體"/>
          <w:sz w:val="24"/>
          <w:szCs w:val="24"/>
        </w:rPr>
      </w:pPr>
      <w:r w:rsidRPr="007F6F77">
        <w:rPr>
          <w:rFonts w:eastAsia="標楷體"/>
          <w:sz w:val="24"/>
          <w:szCs w:val="24"/>
        </w:rPr>
        <w:t>Ling-</w:t>
      </w:r>
      <w:proofErr w:type="spellStart"/>
      <w:r w:rsidRPr="007F6F77">
        <w:rPr>
          <w:rFonts w:eastAsia="標楷體"/>
          <w:sz w:val="24"/>
          <w:szCs w:val="24"/>
        </w:rPr>
        <w:t>chyun</w:t>
      </w:r>
      <w:proofErr w:type="spellEnd"/>
      <w:r w:rsidRPr="007F6F77">
        <w:rPr>
          <w:rFonts w:eastAsia="標楷體"/>
          <w:sz w:val="24"/>
          <w:szCs w:val="24"/>
        </w:rPr>
        <w:t xml:space="preserve"> </w:t>
      </w:r>
      <w:proofErr w:type="spellStart"/>
      <w:proofErr w:type="gramStart"/>
      <w:r w:rsidRPr="007F6F77">
        <w:rPr>
          <w:rFonts w:eastAsia="標楷體"/>
          <w:sz w:val="24"/>
          <w:szCs w:val="24"/>
        </w:rPr>
        <w:t>Ko</w:t>
      </w:r>
      <w:proofErr w:type="spellEnd"/>
      <w:proofErr w:type="gramEnd"/>
      <w:r w:rsidR="00A32D1B" w:rsidRPr="007F6F77">
        <w:rPr>
          <w:rFonts w:eastAsia="標楷體" w:hint="eastAsia"/>
          <w:sz w:val="24"/>
          <w:szCs w:val="24"/>
        </w:rPr>
        <w:t xml:space="preserve">, Deputy Director General, </w:t>
      </w:r>
      <w:r w:rsidR="00363599" w:rsidRPr="007F6F77">
        <w:rPr>
          <w:rFonts w:eastAsia="標楷體"/>
          <w:sz w:val="24"/>
          <w:szCs w:val="24"/>
        </w:rPr>
        <w:t>Department of the Treasury</w:t>
      </w:r>
    </w:p>
    <w:p w:rsidR="00363599" w:rsidRPr="007F6F77" w:rsidRDefault="00363599" w:rsidP="00642463">
      <w:pPr>
        <w:pStyle w:val="31"/>
        <w:spacing w:line="440" w:lineRule="exact"/>
        <w:ind w:leftChars="200" w:left="400"/>
        <w:textDirection w:val="lrTbV"/>
        <w:rPr>
          <w:rFonts w:eastAsia="標楷體"/>
          <w:sz w:val="24"/>
          <w:szCs w:val="24"/>
        </w:rPr>
      </w:pPr>
      <w:proofErr w:type="spellStart"/>
      <w:r w:rsidRPr="007F6F77">
        <w:rPr>
          <w:rFonts w:eastAsia="標楷體"/>
          <w:sz w:val="24"/>
          <w:szCs w:val="24"/>
        </w:rPr>
        <w:t>Tsuey</w:t>
      </w:r>
      <w:proofErr w:type="spellEnd"/>
      <w:r w:rsidRPr="007F6F77">
        <w:rPr>
          <w:rFonts w:eastAsia="標楷體"/>
          <w:sz w:val="24"/>
          <w:szCs w:val="24"/>
        </w:rPr>
        <w:t>-</w:t>
      </w:r>
      <w:r w:rsidRPr="007F6F77">
        <w:rPr>
          <w:rFonts w:eastAsia="標楷體" w:hint="eastAsia"/>
          <w:sz w:val="24"/>
          <w:szCs w:val="24"/>
        </w:rPr>
        <w:t>l</w:t>
      </w:r>
      <w:r w:rsidRPr="007F6F77">
        <w:rPr>
          <w:rFonts w:eastAsia="標楷體"/>
          <w:sz w:val="24"/>
          <w:szCs w:val="24"/>
        </w:rPr>
        <w:t>ing Hsiao</w:t>
      </w:r>
      <w:r w:rsidRPr="007F6F77">
        <w:rPr>
          <w:rFonts w:eastAsia="標楷體" w:hint="eastAsia"/>
          <w:sz w:val="24"/>
          <w:szCs w:val="24"/>
        </w:rPr>
        <w:t xml:space="preserve">, </w:t>
      </w:r>
      <w:r w:rsidRPr="007F6F77">
        <w:rPr>
          <w:rFonts w:eastAsia="標楷體"/>
          <w:sz w:val="24"/>
          <w:szCs w:val="24"/>
        </w:rPr>
        <w:t>Director General</w:t>
      </w:r>
      <w:r w:rsidRPr="007F6F77">
        <w:rPr>
          <w:rFonts w:eastAsia="標楷體" w:hint="eastAsia"/>
          <w:sz w:val="24"/>
          <w:szCs w:val="24"/>
        </w:rPr>
        <w:t>, D</w:t>
      </w:r>
      <w:r w:rsidRPr="007F6F77">
        <w:rPr>
          <w:rFonts w:eastAsia="標楷體"/>
          <w:sz w:val="24"/>
          <w:szCs w:val="24"/>
        </w:rPr>
        <w:t>epartment of Financial</w:t>
      </w:r>
      <w:r w:rsidRPr="007F6F77">
        <w:rPr>
          <w:rFonts w:eastAsia="標楷體" w:hint="eastAsia"/>
          <w:sz w:val="24"/>
          <w:szCs w:val="24"/>
        </w:rPr>
        <w:t xml:space="preserve"> </w:t>
      </w:r>
      <w:r w:rsidRPr="007F6F77">
        <w:rPr>
          <w:rFonts w:eastAsia="標楷體"/>
          <w:sz w:val="24"/>
          <w:szCs w:val="24"/>
        </w:rPr>
        <w:t>Inspection</w:t>
      </w:r>
      <w:r w:rsidRPr="007F6F77">
        <w:rPr>
          <w:rFonts w:eastAsia="標楷體" w:hint="eastAsia"/>
          <w:sz w:val="24"/>
          <w:szCs w:val="24"/>
        </w:rPr>
        <w:t xml:space="preserve"> </w:t>
      </w:r>
    </w:p>
    <w:p w:rsidR="00363599" w:rsidRPr="007F6F77" w:rsidRDefault="00363599" w:rsidP="00642463">
      <w:pPr>
        <w:pStyle w:val="31"/>
        <w:spacing w:line="440" w:lineRule="exact"/>
        <w:ind w:leftChars="200" w:left="400"/>
        <w:textDirection w:val="lrTbV"/>
        <w:rPr>
          <w:rFonts w:eastAsia="標楷體"/>
          <w:sz w:val="24"/>
          <w:szCs w:val="24"/>
        </w:rPr>
      </w:pPr>
      <w:proofErr w:type="spellStart"/>
      <w:r w:rsidRPr="007F6F77">
        <w:rPr>
          <w:rFonts w:eastAsia="標楷體"/>
          <w:sz w:val="24"/>
          <w:szCs w:val="24"/>
        </w:rPr>
        <w:t>Tzong-</w:t>
      </w:r>
      <w:r w:rsidRPr="007F6F77">
        <w:rPr>
          <w:rFonts w:eastAsia="標楷體" w:hint="eastAsia"/>
          <w:sz w:val="24"/>
          <w:szCs w:val="24"/>
        </w:rPr>
        <w:t>y</w:t>
      </w:r>
      <w:r w:rsidRPr="007F6F77">
        <w:rPr>
          <w:rFonts w:eastAsia="標楷體"/>
          <w:sz w:val="24"/>
          <w:szCs w:val="24"/>
        </w:rPr>
        <w:t>au</w:t>
      </w:r>
      <w:proofErr w:type="spellEnd"/>
      <w:r w:rsidRPr="007F6F77">
        <w:rPr>
          <w:rFonts w:eastAsia="標楷體"/>
          <w:sz w:val="24"/>
          <w:szCs w:val="24"/>
        </w:rPr>
        <w:t xml:space="preserve"> Lin</w:t>
      </w:r>
      <w:r w:rsidRPr="007F6F77">
        <w:rPr>
          <w:rFonts w:eastAsia="標楷體" w:hint="eastAsia"/>
          <w:sz w:val="24"/>
          <w:szCs w:val="24"/>
        </w:rPr>
        <w:t>,</w:t>
      </w:r>
      <w:r w:rsidRPr="007F6F77">
        <w:rPr>
          <w:rFonts w:eastAsia="標楷體"/>
          <w:sz w:val="24"/>
          <w:szCs w:val="24"/>
        </w:rPr>
        <w:t xml:space="preserve"> Director General</w:t>
      </w:r>
      <w:r w:rsidRPr="007F6F77">
        <w:rPr>
          <w:rFonts w:eastAsia="標楷體" w:hint="eastAsia"/>
          <w:sz w:val="24"/>
          <w:szCs w:val="24"/>
        </w:rPr>
        <w:t xml:space="preserve">, </w:t>
      </w:r>
      <w:r w:rsidRPr="007F6F77">
        <w:rPr>
          <w:rFonts w:eastAsia="標楷體"/>
          <w:sz w:val="24"/>
          <w:szCs w:val="24"/>
        </w:rPr>
        <w:t>Department of Economic Research</w:t>
      </w:r>
      <w:r w:rsidRPr="007F6F77">
        <w:rPr>
          <w:rFonts w:eastAsia="標楷體" w:hint="eastAsia"/>
          <w:sz w:val="24"/>
          <w:szCs w:val="24"/>
        </w:rPr>
        <w:t xml:space="preserve"> </w:t>
      </w:r>
    </w:p>
    <w:p w:rsidR="00363599" w:rsidRPr="007F6F77" w:rsidRDefault="00363599" w:rsidP="00642463">
      <w:pPr>
        <w:pStyle w:val="31"/>
        <w:spacing w:line="440" w:lineRule="exact"/>
        <w:ind w:leftChars="200" w:left="400"/>
        <w:textDirection w:val="lrTbV"/>
        <w:rPr>
          <w:rFonts w:eastAsia="標楷體"/>
          <w:sz w:val="24"/>
          <w:szCs w:val="24"/>
        </w:rPr>
      </w:pPr>
      <w:proofErr w:type="spellStart"/>
      <w:r w:rsidRPr="007F6F77">
        <w:rPr>
          <w:rFonts w:eastAsia="標楷體"/>
          <w:sz w:val="24"/>
          <w:szCs w:val="24"/>
        </w:rPr>
        <w:t>Chien-</w:t>
      </w:r>
      <w:r w:rsidRPr="007F6F77">
        <w:rPr>
          <w:rFonts w:eastAsia="標楷體" w:hint="eastAsia"/>
          <w:sz w:val="24"/>
          <w:szCs w:val="24"/>
        </w:rPr>
        <w:t>c</w:t>
      </w:r>
      <w:r w:rsidRPr="007F6F77">
        <w:rPr>
          <w:rFonts w:eastAsia="標楷體"/>
          <w:sz w:val="24"/>
          <w:szCs w:val="24"/>
        </w:rPr>
        <w:t>hing</w:t>
      </w:r>
      <w:proofErr w:type="spellEnd"/>
      <w:r w:rsidRPr="007F6F77">
        <w:rPr>
          <w:rFonts w:eastAsia="標楷體"/>
          <w:sz w:val="24"/>
          <w:szCs w:val="24"/>
        </w:rPr>
        <w:t xml:space="preserve"> Liang</w:t>
      </w:r>
      <w:r w:rsidRPr="007F6F77">
        <w:rPr>
          <w:rFonts w:eastAsia="標楷體" w:hint="eastAsia"/>
          <w:sz w:val="24"/>
          <w:szCs w:val="24"/>
        </w:rPr>
        <w:t xml:space="preserve">, </w:t>
      </w:r>
      <w:r w:rsidRPr="007F6F77">
        <w:rPr>
          <w:rFonts w:eastAsia="標楷體"/>
          <w:sz w:val="24"/>
          <w:szCs w:val="24"/>
        </w:rPr>
        <w:t>Director General</w:t>
      </w:r>
      <w:r w:rsidRPr="007F6F77">
        <w:rPr>
          <w:rFonts w:eastAsia="標楷體" w:hint="eastAsia"/>
          <w:sz w:val="24"/>
          <w:szCs w:val="24"/>
        </w:rPr>
        <w:t>,</w:t>
      </w:r>
      <w:r w:rsidRPr="007F6F77">
        <w:rPr>
          <w:rFonts w:eastAsia="標楷體"/>
          <w:sz w:val="24"/>
          <w:szCs w:val="24"/>
        </w:rPr>
        <w:t xml:space="preserve"> Secretariat</w:t>
      </w:r>
    </w:p>
    <w:p w:rsidR="00363599" w:rsidRPr="007F6F77" w:rsidRDefault="00363599" w:rsidP="00642463">
      <w:pPr>
        <w:pStyle w:val="31"/>
        <w:spacing w:line="440" w:lineRule="exact"/>
        <w:ind w:leftChars="200" w:left="400"/>
        <w:textDirection w:val="lrTbV"/>
        <w:rPr>
          <w:rFonts w:eastAsia="標楷體"/>
          <w:sz w:val="24"/>
          <w:szCs w:val="24"/>
        </w:rPr>
      </w:pPr>
      <w:proofErr w:type="spellStart"/>
      <w:r w:rsidRPr="007F6F77">
        <w:rPr>
          <w:rFonts w:eastAsia="標楷體"/>
          <w:sz w:val="24"/>
          <w:szCs w:val="24"/>
        </w:rPr>
        <w:t>Kuei-</w:t>
      </w:r>
      <w:r w:rsidRPr="007F6F77">
        <w:rPr>
          <w:rFonts w:eastAsia="標楷體" w:hint="eastAsia"/>
          <w:sz w:val="24"/>
          <w:szCs w:val="24"/>
        </w:rPr>
        <w:t>c</w:t>
      </w:r>
      <w:r w:rsidRPr="007F6F77">
        <w:rPr>
          <w:rFonts w:eastAsia="標楷體"/>
          <w:sz w:val="24"/>
          <w:szCs w:val="24"/>
        </w:rPr>
        <w:t>hou</w:t>
      </w:r>
      <w:proofErr w:type="spellEnd"/>
      <w:r w:rsidRPr="007F6F77">
        <w:rPr>
          <w:rFonts w:eastAsia="標楷體"/>
          <w:sz w:val="24"/>
          <w:szCs w:val="24"/>
        </w:rPr>
        <w:t xml:space="preserve"> Huang</w:t>
      </w:r>
      <w:r w:rsidRPr="007F6F77">
        <w:rPr>
          <w:rFonts w:eastAsia="標楷體" w:hint="eastAsia"/>
          <w:sz w:val="24"/>
          <w:szCs w:val="24"/>
        </w:rPr>
        <w:t xml:space="preserve">, </w:t>
      </w:r>
      <w:r w:rsidRPr="007F6F77">
        <w:rPr>
          <w:rFonts w:eastAsia="標楷體"/>
          <w:sz w:val="24"/>
          <w:szCs w:val="24"/>
        </w:rPr>
        <w:t>Director General</w:t>
      </w:r>
      <w:r w:rsidRPr="007F6F77">
        <w:rPr>
          <w:rFonts w:eastAsia="標楷體" w:hint="eastAsia"/>
          <w:sz w:val="24"/>
          <w:szCs w:val="24"/>
        </w:rPr>
        <w:t>,</w:t>
      </w:r>
      <w:r w:rsidRPr="007F6F77">
        <w:rPr>
          <w:rFonts w:eastAsia="標楷體"/>
          <w:sz w:val="24"/>
          <w:szCs w:val="24"/>
        </w:rPr>
        <w:t xml:space="preserve"> Department of Accounting</w:t>
      </w:r>
    </w:p>
    <w:p w:rsidR="00363599" w:rsidRPr="007F6F77" w:rsidRDefault="00363599" w:rsidP="00642463">
      <w:pPr>
        <w:pStyle w:val="31"/>
        <w:spacing w:line="440" w:lineRule="exact"/>
        <w:ind w:leftChars="200" w:left="400"/>
        <w:textDirection w:val="lrTbV"/>
        <w:rPr>
          <w:rFonts w:eastAsia="標楷體"/>
          <w:sz w:val="24"/>
          <w:szCs w:val="24"/>
        </w:rPr>
      </w:pPr>
      <w:proofErr w:type="spellStart"/>
      <w:r w:rsidRPr="007F6F77">
        <w:rPr>
          <w:rFonts w:eastAsia="標楷體"/>
          <w:sz w:val="24"/>
          <w:szCs w:val="24"/>
        </w:rPr>
        <w:t>Jhih-</w:t>
      </w:r>
      <w:r w:rsidRPr="007F6F77">
        <w:rPr>
          <w:rFonts w:eastAsia="標楷體" w:hint="eastAsia"/>
          <w:sz w:val="24"/>
          <w:szCs w:val="24"/>
        </w:rPr>
        <w:t>c</w:t>
      </w:r>
      <w:r w:rsidRPr="007F6F77">
        <w:rPr>
          <w:rFonts w:eastAsia="標楷體"/>
          <w:sz w:val="24"/>
          <w:szCs w:val="24"/>
        </w:rPr>
        <w:t>heng</w:t>
      </w:r>
      <w:proofErr w:type="spellEnd"/>
      <w:r w:rsidRPr="007F6F77">
        <w:rPr>
          <w:rFonts w:eastAsia="標楷體"/>
          <w:sz w:val="24"/>
          <w:szCs w:val="24"/>
        </w:rPr>
        <w:t xml:space="preserve"> Hong</w:t>
      </w:r>
      <w:r w:rsidRPr="007F6F77">
        <w:rPr>
          <w:rFonts w:eastAsia="標楷體" w:hint="eastAsia"/>
          <w:sz w:val="24"/>
          <w:szCs w:val="24"/>
        </w:rPr>
        <w:t xml:space="preserve">, </w:t>
      </w:r>
      <w:r w:rsidRPr="007F6F77">
        <w:rPr>
          <w:rFonts w:eastAsia="標楷體"/>
          <w:sz w:val="24"/>
          <w:szCs w:val="24"/>
        </w:rPr>
        <w:t>Director</w:t>
      </w:r>
      <w:r w:rsidRPr="007F6F77">
        <w:rPr>
          <w:rFonts w:eastAsia="標楷體" w:hint="eastAsia"/>
          <w:sz w:val="24"/>
          <w:szCs w:val="24"/>
        </w:rPr>
        <w:t>,</w:t>
      </w:r>
      <w:r w:rsidRPr="007F6F77">
        <w:rPr>
          <w:rFonts w:eastAsia="標楷體"/>
          <w:sz w:val="24"/>
          <w:szCs w:val="24"/>
        </w:rPr>
        <w:t xml:space="preserve"> Personnel Office</w:t>
      </w:r>
    </w:p>
    <w:p w:rsidR="00363599" w:rsidRPr="007F6F77" w:rsidRDefault="00363599" w:rsidP="00642463">
      <w:pPr>
        <w:pStyle w:val="31"/>
        <w:spacing w:line="440" w:lineRule="exact"/>
        <w:ind w:leftChars="200" w:left="400"/>
        <w:textDirection w:val="lrTbV"/>
        <w:rPr>
          <w:rFonts w:eastAsia="標楷體"/>
          <w:sz w:val="24"/>
          <w:szCs w:val="24"/>
        </w:rPr>
      </w:pPr>
      <w:r w:rsidRPr="007F6F77">
        <w:rPr>
          <w:rFonts w:eastAsia="標楷體"/>
          <w:sz w:val="24"/>
          <w:szCs w:val="24"/>
        </w:rPr>
        <w:t>Kun-</w:t>
      </w:r>
      <w:proofErr w:type="spellStart"/>
      <w:r w:rsidRPr="007F6F77">
        <w:rPr>
          <w:rFonts w:eastAsia="標楷體" w:hint="eastAsia"/>
          <w:sz w:val="24"/>
          <w:szCs w:val="24"/>
        </w:rPr>
        <w:t>s</w:t>
      </w:r>
      <w:r w:rsidRPr="007F6F77">
        <w:rPr>
          <w:rFonts w:eastAsia="標楷體"/>
          <w:sz w:val="24"/>
          <w:szCs w:val="24"/>
        </w:rPr>
        <w:t>han</w:t>
      </w:r>
      <w:proofErr w:type="spellEnd"/>
      <w:r w:rsidRPr="007F6F77">
        <w:rPr>
          <w:rFonts w:eastAsia="標楷體"/>
          <w:sz w:val="24"/>
          <w:szCs w:val="24"/>
        </w:rPr>
        <w:t xml:space="preserve"> Wu</w:t>
      </w:r>
      <w:r w:rsidRPr="007F6F77">
        <w:rPr>
          <w:rFonts w:eastAsia="標楷體" w:hint="eastAsia"/>
          <w:sz w:val="24"/>
          <w:szCs w:val="24"/>
        </w:rPr>
        <w:t>,</w:t>
      </w:r>
      <w:r w:rsidRPr="007F6F77">
        <w:rPr>
          <w:rFonts w:eastAsia="標楷體"/>
          <w:sz w:val="24"/>
          <w:szCs w:val="24"/>
        </w:rPr>
        <w:t xml:space="preserve"> Director</w:t>
      </w:r>
      <w:r w:rsidRPr="007F6F77">
        <w:rPr>
          <w:rFonts w:eastAsia="標楷體" w:hint="eastAsia"/>
          <w:sz w:val="24"/>
          <w:szCs w:val="24"/>
        </w:rPr>
        <w:t>,</w:t>
      </w:r>
      <w:r w:rsidRPr="007F6F77">
        <w:rPr>
          <w:rFonts w:eastAsia="標楷體"/>
          <w:sz w:val="24"/>
          <w:szCs w:val="24"/>
        </w:rPr>
        <w:t xml:space="preserve"> Legal Affairs Office </w:t>
      </w:r>
    </w:p>
    <w:p w:rsidR="00363599" w:rsidRPr="007F6F77" w:rsidRDefault="00363599" w:rsidP="00642463">
      <w:pPr>
        <w:pStyle w:val="31"/>
        <w:spacing w:line="440" w:lineRule="exact"/>
        <w:ind w:leftChars="200" w:left="400"/>
        <w:textDirection w:val="lrTbV"/>
        <w:rPr>
          <w:rFonts w:eastAsia="標楷體"/>
          <w:sz w:val="24"/>
          <w:szCs w:val="24"/>
        </w:rPr>
      </w:pPr>
      <w:proofErr w:type="spellStart"/>
      <w:r w:rsidRPr="007F6F77">
        <w:rPr>
          <w:rFonts w:eastAsia="標楷體" w:hint="eastAsia"/>
          <w:sz w:val="24"/>
          <w:szCs w:val="24"/>
        </w:rPr>
        <w:t>Chih-cheng</w:t>
      </w:r>
      <w:proofErr w:type="spellEnd"/>
      <w:r w:rsidRPr="007F6F77">
        <w:rPr>
          <w:rFonts w:eastAsia="標楷體" w:hint="eastAsia"/>
          <w:sz w:val="24"/>
          <w:szCs w:val="24"/>
        </w:rPr>
        <w:t xml:space="preserve"> Hu, Secretary, Board of Directors</w:t>
      </w:r>
    </w:p>
    <w:p w:rsidR="00EB5061" w:rsidRPr="007F6F77" w:rsidRDefault="00EB5061" w:rsidP="00EB5061">
      <w:pPr>
        <w:pStyle w:val="31"/>
        <w:spacing w:line="440" w:lineRule="exact"/>
        <w:ind w:leftChars="200" w:left="400"/>
        <w:textDirection w:val="lrTbV"/>
        <w:rPr>
          <w:rFonts w:eastAsia="標楷體"/>
          <w:sz w:val="24"/>
          <w:szCs w:val="24"/>
        </w:rPr>
      </w:pPr>
      <w:r w:rsidRPr="007F6F77">
        <w:rPr>
          <w:rFonts w:eastAsia="標楷體" w:hint="eastAsia"/>
          <w:sz w:val="24"/>
          <w:szCs w:val="24"/>
        </w:rPr>
        <w:t>Yu-</w:t>
      </w:r>
      <w:proofErr w:type="spellStart"/>
      <w:r w:rsidRPr="007F6F77">
        <w:rPr>
          <w:rFonts w:eastAsia="標楷體" w:hint="eastAsia"/>
          <w:sz w:val="24"/>
          <w:szCs w:val="24"/>
        </w:rPr>
        <w:t>min</w:t>
      </w:r>
      <w:r w:rsidR="0017066F" w:rsidRPr="007F6F77">
        <w:rPr>
          <w:rFonts w:eastAsia="標楷體" w:hint="eastAsia"/>
          <w:sz w:val="24"/>
          <w:szCs w:val="24"/>
        </w:rPr>
        <w:t>g</w:t>
      </w:r>
      <w:proofErr w:type="spellEnd"/>
      <w:r w:rsidRPr="007F6F77">
        <w:rPr>
          <w:rFonts w:eastAsia="標楷體" w:hint="eastAsia"/>
          <w:sz w:val="24"/>
          <w:szCs w:val="24"/>
        </w:rPr>
        <w:t xml:space="preserve"> Chang, Secretary, Board of Supervisors</w:t>
      </w:r>
    </w:p>
    <w:p w:rsidR="005E27CD" w:rsidRPr="007F6F77" w:rsidRDefault="00363599" w:rsidP="00642463">
      <w:pPr>
        <w:spacing w:line="440" w:lineRule="exact"/>
        <w:textDirection w:val="lrTbV"/>
        <w:rPr>
          <w:rFonts w:eastAsia="標楷體"/>
          <w:sz w:val="32"/>
          <w:szCs w:val="32"/>
        </w:rPr>
      </w:pPr>
      <w:r w:rsidRPr="007F6F77">
        <w:rPr>
          <w:rFonts w:eastAsia="標楷體" w:hint="eastAsia"/>
          <w:b/>
          <w:sz w:val="24"/>
          <w:szCs w:val="24"/>
        </w:rPr>
        <w:t>Presiding:</w:t>
      </w:r>
      <w:r w:rsidRPr="007F6F77">
        <w:rPr>
          <w:rFonts w:eastAsia="標楷體" w:hint="eastAsia"/>
          <w:sz w:val="24"/>
          <w:szCs w:val="24"/>
        </w:rPr>
        <w:t xml:space="preserve"> </w:t>
      </w:r>
      <w:r w:rsidR="00642463" w:rsidRPr="007F6F77">
        <w:rPr>
          <w:rFonts w:eastAsia="標楷體"/>
          <w:sz w:val="24"/>
          <w:szCs w:val="24"/>
        </w:rPr>
        <w:t>Chin-long Yang</w:t>
      </w:r>
      <w:r w:rsidRPr="007F6F77">
        <w:rPr>
          <w:rFonts w:eastAsia="標楷體" w:hint="eastAsia"/>
          <w:sz w:val="24"/>
          <w:szCs w:val="24"/>
        </w:rPr>
        <w:t xml:space="preserve">　　　　</w:t>
      </w:r>
      <w:r w:rsidR="005E27CD" w:rsidRPr="007F6F77">
        <w:rPr>
          <w:rFonts w:eastAsia="標楷體"/>
          <w:sz w:val="32"/>
          <w:szCs w:val="32"/>
        </w:rPr>
        <w:br w:type="page"/>
      </w:r>
    </w:p>
    <w:p w:rsidR="005E27CD" w:rsidRPr="007F6F77" w:rsidRDefault="008F7E41" w:rsidP="00FA173A">
      <w:pPr>
        <w:adjustRightInd/>
        <w:snapToGrid w:val="0"/>
        <w:spacing w:before="120" w:line="440" w:lineRule="exact"/>
        <w:jc w:val="both"/>
        <w:textDirection w:val="lrTbV"/>
        <w:rPr>
          <w:rFonts w:eastAsia="標楷體"/>
          <w:b/>
          <w:sz w:val="28"/>
          <w:szCs w:val="28"/>
        </w:rPr>
      </w:pPr>
      <w:r w:rsidRPr="007F6F77">
        <w:rPr>
          <w:rFonts w:eastAsia="標楷體"/>
          <w:b/>
          <w:sz w:val="28"/>
          <w:szCs w:val="28"/>
        </w:rPr>
        <w:lastRenderedPageBreak/>
        <w:t xml:space="preserve">AGENDA ITEM 1: SETTING M2 GROWTH TARGET RANGE AT 2.5%-6.5% FOR YEAR 2019 </w:t>
      </w:r>
    </w:p>
    <w:p w:rsidR="005E27CD" w:rsidRPr="007F6F77" w:rsidRDefault="008F7E41" w:rsidP="00FA173A">
      <w:pPr>
        <w:adjustRightInd/>
        <w:snapToGrid w:val="0"/>
        <w:spacing w:before="120" w:line="440" w:lineRule="exact"/>
        <w:jc w:val="both"/>
        <w:textDirection w:val="lrTbV"/>
        <w:rPr>
          <w:rFonts w:eastAsia="標楷體"/>
          <w:b/>
          <w:sz w:val="28"/>
          <w:szCs w:val="28"/>
        </w:rPr>
      </w:pPr>
      <w:r w:rsidRPr="007F6F77">
        <w:rPr>
          <w:rFonts w:eastAsia="標楷體"/>
          <w:b/>
          <w:sz w:val="28"/>
          <w:szCs w:val="28"/>
        </w:rPr>
        <w:t>I. Background i</w:t>
      </w:r>
      <w:r w:rsidR="0043506F" w:rsidRPr="007F6F77">
        <w:rPr>
          <w:rFonts w:eastAsia="標楷體" w:hint="eastAsia"/>
          <w:b/>
          <w:sz w:val="28"/>
          <w:szCs w:val="28"/>
        </w:rPr>
        <w:t xml:space="preserve">nformation </w:t>
      </w:r>
      <w:r w:rsidR="00174F35" w:rsidRPr="007F6F77">
        <w:rPr>
          <w:rFonts w:eastAsia="標楷體" w:hint="eastAsia"/>
          <w:b/>
          <w:sz w:val="28"/>
          <w:szCs w:val="28"/>
        </w:rPr>
        <w:t>o</w:t>
      </w:r>
      <w:r w:rsidR="00174F35" w:rsidRPr="007F6F77">
        <w:rPr>
          <w:rFonts w:eastAsia="標楷體"/>
          <w:b/>
          <w:sz w:val="28"/>
          <w:szCs w:val="28"/>
        </w:rPr>
        <w:t xml:space="preserve">n </w:t>
      </w:r>
      <w:r w:rsidR="00174F35" w:rsidRPr="007F6F77">
        <w:rPr>
          <w:rFonts w:eastAsia="標楷體" w:hint="eastAsia"/>
          <w:b/>
          <w:sz w:val="28"/>
          <w:szCs w:val="28"/>
        </w:rPr>
        <w:t>t</w:t>
      </w:r>
      <w:r w:rsidR="00174F35" w:rsidRPr="007F6F77">
        <w:rPr>
          <w:rFonts w:eastAsia="標楷體"/>
          <w:b/>
          <w:sz w:val="28"/>
          <w:szCs w:val="28"/>
        </w:rPr>
        <w:t>he 201</w:t>
      </w:r>
      <w:r w:rsidR="00174F35" w:rsidRPr="007F6F77">
        <w:rPr>
          <w:rFonts w:eastAsia="標楷體" w:hint="eastAsia"/>
          <w:b/>
          <w:sz w:val="28"/>
          <w:szCs w:val="28"/>
        </w:rPr>
        <w:t>9</w:t>
      </w:r>
      <w:r w:rsidR="00030FC7" w:rsidRPr="007F6F77">
        <w:rPr>
          <w:rFonts w:eastAsia="標楷體"/>
          <w:b/>
          <w:sz w:val="28"/>
          <w:szCs w:val="28"/>
        </w:rPr>
        <w:t xml:space="preserve"> </w:t>
      </w:r>
      <w:r w:rsidR="00030FC7" w:rsidRPr="007F6F77">
        <w:rPr>
          <w:rFonts w:eastAsia="標楷體" w:hint="eastAsia"/>
          <w:b/>
          <w:sz w:val="28"/>
          <w:szCs w:val="28"/>
        </w:rPr>
        <w:t>M</w:t>
      </w:r>
      <w:r w:rsidRPr="007F6F77">
        <w:rPr>
          <w:rFonts w:eastAsia="標楷體"/>
          <w:b/>
          <w:sz w:val="28"/>
          <w:szCs w:val="28"/>
        </w:rPr>
        <w:t>2 growth target range</w:t>
      </w:r>
    </w:p>
    <w:p w:rsidR="0043506F" w:rsidRPr="007F6F77" w:rsidRDefault="0043506F" w:rsidP="00FA173A">
      <w:pPr>
        <w:adjustRightInd/>
        <w:snapToGrid w:val="0"/>
        <w:spacing w:before="120" w:line="440" w:lineRule="exact"/>
        <w:jc w:val="both"/>
        <w:textDirection w:val="lrTbV"/>
        <w:rPr>
          <w:rFonts w:eastAsia="標楷體"/>
          <w:sz w:val="24"/>
          <w:szCs w:val="28"/>
        </w:rPr>
      </w:pPr>
      <w:r w:rsidRPr="007F6F77">
        <w:rPr>
          <w:rFonts w:eastAsia="標楷體" w:hint="eastAsia"/>
          <w:sz w:val="24"/>
          <w:szCs w:val="28"/>
        </w:rPr>
        <w:t xml:space="preserve">The Department of Economic Research </w:t>
      </w:r>
      <w:r w:rsidR="00653A10" w:rsidRPr="007F6F77">
        <w:rPr>
          <w:rFonts w:eastAsia="標楷體" w:hint="eastAsia"/>
          <w:sz w:val="24"/>
          <w:szCs w:val="28"/>
        </w:rPr>
        <w:t>provided</w:t>
      </w:r>
      <w:r w:rsidRPr="007F6F77">
        <w:rPr>
          <w:rFonts w:eastAsia="標楷體" w:hint="eastAsia"/>
          <w:sz w:val="24"/>
          <w:szCs w:val="28"/>
        </w:rPr>
        <w:t xml:space="preserve"> the following </w:t>
      </w:r>
      <w:r w:rsidR="00653A10" w:rsidRPr="007F6F77">
        <w:rPr>
          <w:rFonts w:eastAsia="標楷體" w:hint="eastAsia"/>
          <w:sz w:val="24"/>
          <w:szCs w:val="28"/>
        </w:rPr>
        <w:t>information</w:t>
      </w:r>
      <w:r w:rsidRPr="007F6F77">
        <w:rPr>
          <w:rFonts w:eastAsia="標楷體" w:hint="eastAsia"/>
          <w:sz w:val="24"/>
          <w:szCs w:val="28"/>
        </w:rPr>
        <w:t xml:space="preserve">: </w:t>
      </w:r>
    </w:p>
    <w:p w:rsidR="003E3E35" w:rsidRPr="007F6F77" w:rsidRDefault="003E3E35" w:rsidP="00A010F7">
      <w:pPr>
        <w:numPr>
          <w:ilvl w:val="0"/>
          <w:numId w:val="4"/>
        </w:numPr>
        <w:overflowPunct w:val="0"/>
        <w:autoSpaceDE w:val="0"/>
        <w:autoSpaceDN w:val="0"/>
        <w:snapToGrid w:val="0"/>
        <w:spacing w:before="120" w:line="440" w:lineRule="exact"/>
        <w:ind w:left="284" w:hanging="284"/>
        <w:jc w:val="both"/>
        <w:rPr>
          <w:rFonts w:eastAsia="標楷體"/>
          <w:b/>
          <w:spacing w:val="-2"/>
          <w:sz w:val="24"/>
          <w:szCs w:val="28"/>
        </w:rPr>
      </w:pPr>
      <w:r w:rsidRPr="007F6F77">
        <w:rPr>
          <w:rFonts w:eastAsia="標楷體" w:hint="eastAsia"/>
          <w:b/>
          <w:spacing w:val="-2"/>
          <w:sz w:val="24"/>
          <w:szCs w:val="28"/>
        </w:rPr>
        <w:t>The CBC</w:t>
      </w:r>
      <w:r w:rsidRPr="007F6F77">
        <w:rPr>
          <w:rFonts w:eastAsia="標楷體"/>
          <w:b/>
          <w:spacing w:val="-2"/>
          <w:sz w:val="24"/>
          <w:szCs w:val="28"/>
        </w:rPr>
        <w:t>’</w:t>
      </w:r>
      <w:r w:rsidRPr="007F6F77">
        <w:rPr>
          <w:rFonts w:eastAsia="標楷體" w:hint="eastAsia"/>
          <w:b/>
          <w:spacing w:val="-2"/>
          <w:sz w:val="24"/>
          <w:szCs w:val="28"/>
        </w:rPr>
        <w:t xml:space="preserve">s monetary (M2) targeting regime  </w:t>
      </w:r>
    </w:p>
    <w:p w:rsidR="003E3E35" w:rsidRPr="007F6F77" w:rsidRDefault="00805D68" w:rsidP="00A010F7">
      <w:pPr>
        <w:pStyle w:val="6"/>
        <w:numPr>
          <w:ilvl w:val="0"/>
          <w:numId w:val="38"/>
        </w:numPr>
        <w:overflowPunct w:val="0"/>
        <w:snapToGrid w:val="0"/>
        <w:spacing w:after="0" w:line="440" w:lineRule="exact"/>
        <w:rPr>
          <w:rFonts w:ascii="Times New Roman" w:eastAsia="標楷體"/>
          <w:spacing w:val="-2"/>
          <w:sz w:val="24"/>
          <w:szCs w:val="28"/>
        </w:rPr>
      </w:pPr>
      <w:r w:rsidRPr="007F6F77">
        <w:rPr>
          <w:rFonts w:ascii="Times New Roman" w:eastAsia="標楷體" w:hint="eastAsia"/>
          <w:spacing w:val="-2"/>
          <w:sz w:val="24"/>
          <w:szCs w:val="28"/>
        </w:rPr>
        <w:t xml:space="preserve">The CBC adopted a monetary targeting regime in 1992, managing reserve money with the monetary aggregate M2 as the intermediate target so as to fulfill the mandate stipulated by </w:t>
      </w:r>
      <w:r w:rsidR="00166E22" w:rsidRPr="007F6F77">
        <w:rPr>
          <w:rFonts w:ascii="Times New Roman" w:eastAsia="標楷體" w:hint="eastAsia"/>
          <w:i/>
          <w:spacing w:val="-2"/>
          <w:sz w:val="24"/>
          <w:szCs w:val="28"/>
        </w:rPr>
        <w:t>T</w:t>
      </w:r>
      <w:r w:rsidRPr="007F6F77">
        <w:rPr>
          <w:rFonts w:ascii="Times New Roman" w:eastAsia="標楷體" w:hint="eastAsia"/>
          <w:i/>
          <w:spacing w:val="-2"/>
          <w:sz w:val="24"/>
          <w:szCs w:val="28"/>
        </w:rPr>
        <w:t>he Central Bank of the Republic of China (Taiwan) Act</w:t>
      </w:r>
      <w:r w:rsidRPr="007F6F77">
        <w:rPr>
          <w:rFonts w:ascii="Times New Roman" w:eastAsia="標楷體" w:hint="eastAsia"/>
          <w:spacing w:val="-2"/>
          <w:sz w:val="24"/>
          <w:szCs w:val="28"/>
        </w:rPr>
        <w:t xml:space="preserve">. </w:t>
      </w:r>
      <w:r w:rsidR="00824223" w:rsidRPr="007F6F77">
        <w:rPr>
          <w:rFonts w:ascii="Times New Roman" w:eastAsia="標楷體" w:hint="eastAsia"/>
          <w:spacing w:val="-2"/>
          <w:sz w:val="24"/>
          <w:szCs w:val="28"/>
        </w:rPr>
        <w:t>W</w:t>
      </w:r>
      <w:r w:rsidR="00B8425C" w:rsidRPr="007F6F77">
        <w:rPr>
          <w:rFonts w:ascii="Times New Roman" w:eastAsia="標楷體" w:hint="eastAsia"/>
          <w:spacing w:val="-2"/>
          <w:sz w:val="24"/>
          <w:szCs w:val="28"/>
        </w:rPr>
        <w:t xml:space="preserve">hile following the monetary targeting framework, </w:t>
      </w:r>
      <w:r w:rsidR="00824223" w:rsidRPr="007F6F77">
        <w:rPr>
          <w:rFonts w:ascii="Times New Roman" w:eastAsia="標楷體" w:hint="eastAsia"/>
          <w:spacing w:val="-2"/>
          <w:sz w:val="24"/>
          <w:szCs w:val="28"/>
        </w:rPr>
        <w:t xml:space="preserve">the CBC also monitors and considers important </w:t>
      </w:r>
      <w:r w:rsidR="00824223" w:rsidRPr="007F6F77">
        <w:rPr>
          <w:rFonts w:ascii="Times New Roman" w:eastAsia="標楷體"/>
          <w:spacing w:val="-2"/>
          <w:sz w:val="24"/>
          <w:szCs w:val="28"/>
        </w:rPr>
        <w:t>economic</w:t>
      </w:r>
      <w:r w:rsidR="00824223" w:rsidRPr="007F6F77">
        <w:rPr>
          <w:rFonts w:ascii="Times New Roman" w:eastAsia="標楷體" w:hint="eastAsia"/>
          <w:spacing w:val="-2"/>
          <w:sz w:val="24"/>
          <w:szCs w:val="28"/>
        </w:rPr>
        <w:t xml:space="preserve"> and financial indicators including inflation expectations, exchange rate movements, credit conditions, asset prices, and output gap, constituting, in practice, a flexible or eclectic monetary targeting regime. </w:t>
      </w:r>
    </w:p>
    <w:p w:rsidR="00A010F7" w:rsidRPr="007F6F77" w:rsidRDefault="00A010F7" w:rsidP="00A010F7">
      <w:pPr>
        <w:pStyle w:val="6"/>
        <w:numPr>
          <w:ilvl w:val="0"/>
          <w:numId w:val="38"/>
        </w:numPr>
        <w:overflowPunct w:val="0"/>
        <w:snapToGrid w:val="0"/>
        <w:spacing w:after="0" w:line="440" w:lineRule="exact"/>
        <w:rPr>
          <w:rFonts w:ascii="Times New Roman" w:eastAsia="標楷體"/>
          <w:spacing w:val="-2"/>
          <w:sz w:val="24"/>
          <w:szCs w:val="28"/>
        </w:rPr>
      </w:pPr>
      <w:r w:rsidRPr="007F6F77">
        <w:rPr>
          <w:rFonts w:ascii="Times New Roman" w:eastAsia="標楷體" w:hint="eastAsia"/>
          <w:spacing w:val="-2"/>
          <w:sz w:val="24"/>
          <w:szCs w:val="28"/>
        </w:rPr>
        <w:t xml:space="preserve">The primary objective for M2 growth target setting is to </w:t>
      </w:r>
      <w:r w:rsidRPr="007F6F77">
        <w:rPr>
          <w:rFonts w:ascii="Times New Roman" w:eastAsia="標楷體"/>
          <w:spacing w:val="-2"/>
          <w:sz w:val="24"/>
          <w:szCs w:val="28"/>
        </w:rPr>
        <w:t>maintain</w:t>
      </w:r>
      <w:r w:rsidRPr="007F6F77">
        <w:rPr>
          <w:rFonts w:ascii="Times New Roman" w:eastAsia="標楷體" w:hint="eastAsia"/>
          <w:spacing w:val="-2"/>
          <w:sz w:val="24"/>
          <w:szCs w:val="28"/>
        </w:rPr>
        <w:t xml:space="preserve"> </w:t>
      </w:r>
      <w:r w:rsidRPr="007F6F77">
        <w:rPr>
          <w:rFonts w:ascii="Times New Roman" w:eastAsia="標楷體"/>
          <w:spacing w:val="-2"/>
          <w:sz w:val="24"/>
          <w:szCs w:val="28"/>
        </w:rPr>
        <w:t>appropriate</w:t>
      </w:r>
      <w:r w:rsidRPr="007F6F77">
        <w:rPr>
          <w:rFonts w:ascii="Times New Roman" w:eastAsia="標楷體" w:hint="eastAsia"/>
          <w:spacing w:val="-2"/>
          <w:sz w:val="24"/>
          <w:szCs w:val="28"/>
        </w:rPr>
        <w:t xml:space="preserve"> growth in bank credit, price stability, and financial stability. </w:t>
      </w:r>
      <w:r w:rsidR="00F249D0" w:rsidRPr="007F6F77">
        <w:rPr>
          <w:rFonts w:ascii="Times New Roman" w:eastAsia="標楷體" w:hint="eastAsia"/>
          <w:spacing w:val="-2"/>
          <w:sz w:val="24"/>
          <w:szCs w:val="28"/>
        </w:rPr>
        <w:t>For the long term, t</w:t>
      </w:r>
      <w:r w:rsidR="0004487E" w:rsidRPr="007F6F77">
        <w:rPr>
          <w:rFonts w:ascii="Times New Roman" w:eastAsia="標楷體" w:hint="eastAsia"/>
          <w:spacing w:val="-2"/>
          <w:sz w:val="24"/>
          <w:szCs w:val="28"/>
        </w:rPr>
        <w:t xml:space="preserve">he correlation coefficient between the annual growth rates of M2 and CPI and that between M2 and core CPI have been above 0.8. </w:t>
      </w:r>
    </w:p>
    <w:p w:rsidR="00174F35" w:rsidRPr="007F6F77" w:rsidRDefault="00174F35" w:rsidP="00A010F7">
      <w:pPr>
        <w:pStyle w:val="6"/>
        <w:numPr>
          <w:ilvl w:val="0"/>
          <w:numId w:val="38"/>
        </w:numPr>
        <w:overflowPunct w:val="0"/>
        <w:snapToGrid w:val="0"/>
        <w:spacing w:after="0" w:line="440" w:lineRule="exact"/>
        <w:rPr>
          <w:rFonts w:ascii="Times New Roman" w:eastAsia="標楷體"/>
          <w:spacing w:val="-2"/>
          <w:sz w:val="24"/>
          <w:szCs w:val="28"/>
        </w:rPr>
      </w:pPr>
      <w:r w:rsidRPr="007F6F77">
        <w:rPr>
          <w:rFonts w:ascii="Times New Roman" w:eastAsia="標楷體" w:hint="eastAsia"/>
          <w:spacing w:val="-2"/>
          <w:sz w:val="24"/>
          <w:szCs w:val="28"/>
        </w:rPr>
        <w:t>Since the adoption of monetary targeting, the</w:t>
      </w:r>
      <w:r w:rsidR="00F249D0" w:rsidRPr="007F6F77">
        <w:rPr>
          <w:rFonts w:ascii="Times New Roman" w:eastAsia="標楷體" w:hint="eastAsia"/>
          <w:spacing w:val="-2"/>
          <w:sz w:val="24"/>
          <w:szCs w:val="28"/>
        </w:rPr>
        <w:t xml:space="preserve"> realized</w:t>
      </w:r>
      <w:r w:rsidRPr="007F6F77">
        <w:rPr>
          <w:rFonts w:ascii="Times New Roman" w:eastAsia="標楷體" w:hint="eastAsia"/>
          <w:spacing w:val="-2"/>
          <w:sz w:val="24"/>
          <w:szCs w:val="28"/>
        </w:rPr>
        <w:t xml:space="preserve"> M2 growth </w:t>
      </w:r>
      <w:proofErr w:type="gramStart"/>
      <w:r w:rsidRPr="007F6F77">
        <w:rPr>
          <w:rFonts w:ascii="Times New Roman" w:eastAsia="標楷體" w:hint="eastAsia"/>
          <w:spacing w:val="-2"/>
          <w:sz w:val="24"/>
          <w:szCs w:val="28"/>
        </w:rPr>
        <w:t>rate have</w:t>
      </w:r>
      <w:proofErr w:type="gramEnd"/>
      <w:r w:rsidRPr="007F6F77">
        <w:rPr>
          <w:rFonts w:ascii="Times New Roman" w:eastAsia="標楷體" w:hint="eastAsia"/>
          <w:spacing w:val="-2"/>
          <w:sz w:val="24"/>
          <w:szCs w:val="28"/>
        </w:rPr>
        <w:t xml:space="preserve"> mostly fallen within the target range (including </w:t>
      </w:r>
      <w:r w:rsidRPr="007F6F77">
        <w:rPr>
          <w:rFonts w:ascii="Times New Roman" w:eastAsia="標楷體"/>
          <w:spacing w:val="-2"/>
          <w:sz w:val="24"/>
          <w:szCs w:val="28"/>
        </w:rPr>
        <w:t>in the past decade</w:t>
      </w:r>
      <w:r w:rsidRPr="007F6F77">
        <w:rPr>
          <w:rFonts w:ascii="Times New Roman" w:eastAsia="標楷體" w:hint="eastAsia"/>
          <w:spacing w:val="-2"/>
          <w:sz w:val="24"/>
          <w:szCs w:val="28"/>
        </w:rPr>
        <w:t xml:space="preserve">, except for 2009). </w:t>
      </w:r>
    </w:p>
    <w:p w:rsidR="00F87587" w:rsidRPr="007F6F77" w:rsidRDefault="00174F35" w:rsidP="00A010F7">
      <w:pPr>
        <w:pStyle w:val="6"/>
        <w:numPr>
          <w:ilvl w:val="0"/>
          <w:numId w:val="38"/>
        </w:numPr>
        <w:overflowPunct w:val="0"/>
        <w:snapToGrid w:val="0"/>
        <w:spacing w:after="0" w:line="440" w:lineRule="exact"/>
        <w:rPr>
          <w:rFonts w:ascii="Times New Roman" w:eastAsia="標楷體"/>
          <w:spacing w:val="-2"/>
          <w:sz w:val="24"/>
          <w:szCs w:val="28"/>
        </w:rPr>
      </w:pPr>
      <w:r w:rsidRPr="007F6F77">
        <w:rPr>
          <w:rFonts w:ascii="Times New Roman" w:eastAsia="標楷體" w:hint="eastAsia"/>
          <w:spacing w:val="-2"/>
          <w:sz w:val="24"/>
          <w:szCs w:val="28"/>
        </w:rPr>
        <w:t xml:space="preserve">The key factors taken into account for the setting of M2 growth target range are twofold: </w:t>
      </w:r>
      <w:r w:rsidR="00F249D0" w:rsidRPr="007F6F77">
        <w:rPr>
          <w:rFonts w:ascii="Times New Roman" w:eastAsia="標楷體" w:hint="eastAsia"/>
          <w:spacing w:val="-2"/>
          <w:sz w:val="24"/>
          <w:szCs w:val="28"/>
        </w:rPr>
        <w:t xml:space="preserve">the </w:t>
      </w:r>
      <w:r w:rsidR="00270B32" w:rsidRPr="007F6F77">
        <w:rPr>
          <w:rFonts w:ascii="Times New Roman" w:eastAsia="標楷體" w:hint="eastAsia"/>
          <w:spacing w:val="-2"/>
          <w:sz w:val="24"/>
          <w:szCs w:val="28"/>
        </w:rPr>
        <w:t xml:space="preserve">projected growth rate of </w:t>
      </w:r>
      <w:r w:rsidR="00F249D0" w:rsidRPr="007F6F77">
        <w:rPr>
          <w:rFonts w:ascii="Times New Roman" w:eastAsia="標楷體" w:hint="eastAsia"/>
          <w:spacing w:val="-2"/>
          <w:sz w:val="24"/>
          <w:szCs w:val="28"/>
        </w:rPr>
        <w:t xml:space="preserve">money </w:t>
      </w:r>
      <w:r w:rsidRPr="007F6F77">
        <w:rPr>
          <w:rFonts w:ascii="Times New Roman" w:eastAsia="標楷體" w:hint="eastAsia"/>
          <w:spacing w:val="-2"/>
          <w:sz w:val="24"/>
          <w:szCs w:val="28"/>
        </w:rPr>
        <w:t>demand</w:t>
      </w:r>
      <w:r w:rsidR="00270B32" w:rsidRPr="007F6F77">
        <w:rPr>
          <w:rFonts w:ascii="Times New Roman" w:eastAsia="標楷體" w:hint="eastAsia"/>
          <w:spacing w:val="-2"/>
          <w:sz w:val="24"/>
          <w:szCs w:val="28"/>
        </w:rPr>
        <w:t xml:space="preserve"> in the </w:t>
      </w:r>
      <w:r w:rsidR="003912A4" w:rsidRPr="007F6F77">
        <w:rPr>
          <w:rFonts w:ascii="Times New Roman" w:eastAsia="標楷體" w:hint="eastAsia"/>
          <w:spacing w:val="-2"/>
          <w:sz w:val="24"/>
          <w:szCs w:val="28"/>
        </w:rPr>
        <w:t xml:space="preserve">following </w:t>
      </w:r>
      <w:r w:rsidR="00270B32" w:rsidRPr="007F6F77">
        <w:rPr>
          <w:rFonts w:ascii="Times New Roman" w:eastAsia="標楷體" w:hint="eastAsia"/>
          <w:spacing w:val="-2"/>
          <w:sz w:val="24"/>
          <w:szCs w:val="28"/>
        </w:rPr>
        <w:t>year</w:t>
      </w:r>
      <w:r w:rsidRPr="007F6F77">
        <w:rPr>
          <w:rFonts w:ascii="Times New Roman" w:eastAsia="標楷體" w:hint="eastAsia"/>
          <w:spacing w:val="-2"/>
          <w:sz w:val="24"/>
          <w:szCs w:val="28"/>
        </w:rPr>
        <w:t xml:space="preserve">, and future </w:t>
      </w:r>
      <w:r w:rsidRPr="007F6F77">
        <w:rPr>
          <w:rFonts w:ascii="Times New Roman" w:eastAsia="標楷體"/>
          <w:spacing w:val="-2"/>
          <w:sz w:val="24"/>
          <w:szCs w:val="28"/>
        </w:rPr>
        <w:t>uncertainties</w:t>
      </w:r>
      <w:r w:rsidR="003912A4" w:rsidRPr="007F6F77">
        <w:rPr>
          <w:rFonts w:ascii="Times New Roman" w:eastAsia="標楷體" w:hint="eastAsia"/>
          <w:spacing w:val="-2"/>
          <w:sz w:val="24"/>
          <w:szCs w:val="28"/>
        </w:rPr>
        <w:t xml:space="preserve"> that could affect M2 growth</w:t>
      </w:r>
      <w:r w:rsidRPr="007F6F77">
        <w:rPr>
          <w:rFonts w:ascii="Times New Roman" w:eastAsia="標楷體" w:hint="eastAsia"/>
          <w:spacing w:val="-2"/>
          <w:sz w:val="24"/>
          <w:szCs w:val="28"/>
        </w:rPr>
        <w:t>.</w:t>
      </w:r>
    </w:p>
    <w:p w:rsidR="0043506F" w:rsidRPr="007F6F77" w:rsidRDefault="00174F35" w:rsidP="00A010F7">
      <w:pPr>
        <w:numPr>
          <w:ilvl w:val="0"/>
          <w:numId w:val="4"/>
        </w:numPr>
        <w:overflowPunct w:val="0"/>
        <w:autoSpaceDE w:val="0"/>
        <w:autoSpaceDN w:val="0"/>
        <w:snapToGrid w:val="0"/>
        <w:spacing w:before="120" w:line="440" w:lineRule="exact"/>
        <w:ind w:left="284" w:hanging="284"/>
        <w:jc w:val="both"/>
        <w:rPr>
          <w:rFonts w:eastAsia="標楷體"/>
          <w:b/>
          <w:spacing w:val="-2"/>
          <w:sz w:val="24"/>
          <w:szCs w:val="28"/>
        </w:rPr>
      </w:pPr>
      <w:r w:rsidRPr="007F6F77">
        <w:rPr>
          <w:rFonts w:eastAsia="標楷體" w:hint="eastAsia"/>
          <w:b/>
          <w:spacing w:val="-2"/>
          <w:sz w:val="24"/>
          <w:szCs w:val="28"/>
        </w:rPr>
        <w:t xml:space="preserve">Review </w:t>
      </w:r>
      <w:r w:rsidR="00270B32" w:rsidRPr="007F6F77">
        <w:rPr>
          <w:rFonts w:eastAsia="標楷體" w:hint="eastAsia"/>
          <w:b/>
          <w:spacing w:val="-2"/>
          <w:sz w:val="24"/>
          <w:szCs w:val="28"/>
        </w:rPr>
        <w:t xml:space="preserve">of the 2018 </w:t>
      </w:r>
      <w:r w:rsidR="00653A10" w:rsidRPr="007F6F77">
        <w:rPr>
          <w:rFonts w:eastAsia="標楷體" w:hint="eastAsia"/>
          <w:b/>
          <w:spacing w:val="-2"/>
          <w:sz w:val="24"/>
          <w:szCs w:val="28"/>
        </w:rPr>
        <w:t>M2</w:t>
      </w:r>
      <w:r w:rsidR="00A010F7" w:rsidRPr="007F6F77">
        <w:rPr>
          <w:rFonts w:eastAsia="標楷體" w:hint="eastAsia"/>
          <w:b/>
          <w:spacing w:val="-2"/>
          <w:sz w:val="24"/>
          <w:szCs w:val="28"/>
        </w:rPr>
        <w:t xml:space="preserve"> growth</w:t>
      </w:r>
      <w:r w:rsidR="00653A10" w:rsidRPr="007F6F77">
        <w:rPr>
          <w:rFonts w:eastAsia="標楷體" w:hint="eastAsia"/>
          <w:b/>
          <w:spacing w:val="-2"/>
          <w:sz w:val="24"/>
          <w:szCs w:val="28"/>
        </w:rPr>
        <w:t xml:space="preserve"> </w:t>
      </w:r>
      <w:r w:rsidR="006B2E6B" w:rsidRPr="007F6F77">
        <w:rPr>
          <w:rFonts w:eastAsia="標楷體" w:hint="eastAsia"/>
          <w:b/>
          <w:spacing w:val="-2"/>
          <w:sz w:val="24"/>
          <w:szCs w:val="28"/>
        </w:rPr>
        <w:t>t</w:t>
      </w:r>
      <w:r w:rsidR="00653A10" w:rsidRPr="007F6F77">
        <w:rPr>
          <w:rFonts w:eastAsia="標楷體" w:hint="eastAsia"/>
          <w:b/>
          <w:spacing w:val="-2"/>
          <w:sz w:val="24"/>
          <w:szCs w:val="28"/>
        </w:rPr>
        <w:t xml:space="preserve">arget </w:t>
      </w:r>
      <w:r w:rsidR="00270B32" w:rsidRPr="007F6F77">
        <w:rPr>
          <w:rFonts w:eastAsia="標楷體" w:hint="eastAsia"/>
          <w:b/>
          <w:spacing w:val="-2"/>
          <w:sz w:val="24"/>
          <w:szCs w:val="28"/>
        </w:rPr>
        <w:t>range</w:t>
      </w:r>
    </w:p>
    <w:p w:rsidR="00653A10" w:rsidRPr="007F6F77" w:rsidRDefault="003912A4" w:rsidP="003912A4">
      <w:pPr>
        <w:pStyle w:val="6"/>
        <w:numPr>
          <w:ilvl w:val="0"/>
          <w:numId w:val="40"/>
        </w:numPr>
        <w:overflowPunct w:val="0"/>
        <w:snapToGrid w:val="0"/>
        <w:spacing w:after="0" w:line="440" w:lineRule="exact"/>
        <w:rPr>
          <w:rFonts w:ascii="Times New Roman" w:eastAsia="標楷體"/>
          <w:spacing w:val="-2"/>
          <w:sz w:val="24"/>
          <w:szCs w:val="28"/>
        </w:rPr>
      </w:pPr>
      <w:r w:rsidRPr="007F6F77">
        <w:rPr>
          <w:rFonts w:ascii="Times New Roman" w:eastAsia="標楷體" w:hint="eastAsia"/>
          <w:spacing w:val="-2"/>
          <w:sz w:val="24"/>
          <w:szCs w:val="28"/>
        </w:rPr>
        <w:t>The money demand function</w:t>
      </w:r>
      <w:r w:rsidR="00F249D0" w:rsidRPr="007F6F77">
        <w:rPr>
          <w:rFonts w:ascii="Times New Roman" w:eastAsia="標楷體" w:hint="eastAsia"/>
          <w:spacing w:val="-2"/>
          <w:sz w:val="24"/>
          <w:szCs w:val="28"/>
        </w:rPr>
        <w:t xml:space="preserve"> produced stable results</w:t>
      </w:r>
      <w:r w:rsidRPr="007F6F77">
        <w:rPr>
          <w:rFonts w:ascii="Times New Roman" w:eastAsia="標楷體" w:hint="eastAsia"/>
          <w:spacing w:val="-2"/>
          <w:sz w:val="24"/>
          <w:szCs w:val="28"/>
        </w:rPr>
        <w:t>: The 2018 target range was set at 2.5%-6.5% in the December 2017 Board Meeting, based on the estimation results</w:t>
      </w:r>
      <w:r w:rsidR="00FB2669" w:rsidRPr="007F6F77">
        <w:rPr>
          <w:rFonts w:ascii="Times New Roman" w:eastAsia="標楷體" w:hint="eastAsia"/>
          <w:spacing w:val="-2"/>
          <w:sz w:val="24"/>
          <w:szCs w:val="28"/>
        </w:rPr>
        <w:t xml:space="preserve"> of the money demand function using the 1991Q1-2017Q3 data. When re-estimated using data updated to 2018Q3, the results showed insignificant difference from the previous estimation. </w:t>
      </w:r>
    </w:p>
    <w:p w:rsidR="00FB2669" w:rsidRPr="007F6F77" w:rsidRDefault="002914DC" w:rsidP="003912A4">
      <w:pPr>
        <w:pStyle w:val="6"/>
        <w:numPr>
          <w:ilvl w:val="0"/>
          <w:numId w:val="40"/>
        </w:numPr>
        <w:overflowPunct w:val="0"/>
        <w:snapToGrid w:val="0"/>
        <w:spacing w:after="0" w:line="440" w:lineRule="exact"/>
        <w:rPr>
          <w:rFonts w:ascii="Times New Roman" w:eastAsia="標楷體"/>
          <w:spacing w:val="-2"/>
          <w:sz w:val="24"/>
          <w:szCs w:val="28"/>
        </w:rPr>
      </w:pPr>
      <w:r w:rsidRPr="007F6F77">
        <w:rPr>
          <w:rFonts w:ascii="Times New Roman" w:eastAsia="標楷體" w:hint="eastAsia"/>
          <w:spacing w:val="-2"/>
          <w:sz w:val="24"/>
          <w:szCs w:val="28"/>
        </w:rPr>
        <w:t xml:space="preserve">For the first eleven months of the year, the average M2 annual growth rate was 3.56%, marginally lower than the 3.76% of the same period of the previous year and within the </w:t>
      </w:r>
      <w:r w:rsidRPr="007F6F77">
        <w:rPr>
          <w:rFonts w:ascii="Times New Roman" w:eastAsia="標楷體" w:hint="eastAsia"/>
          <w:spacing w:val="-2"/>
          <w:sz w:val="24"/>
          <w:szCs w:val="28"/>
        </w:rPr>
        <w:lastRenderedPageBreak/>
        <w:t xml:space="preserve">target range. The slower growth was mainly due to the following reasons: </w:t>
      </w:r>
    </w:p>
    <w:p w:rsidR="002914DC" w:rsidRPr="007F6F77" w:rsidRDefault="004B235F" w:rsidP="003A1FB6">
      <w:pPr>
        <w:pStyle w:val="6"/>
        <w:numPr>
          <w:ilvl w:val="1"/>
          <w:numId w:val="40"/>
        </w:numPr>
        <w:overflowPunct w:val="0"/>
        <w:snapToGrid w:val="0"/>
        <w:spacing w:after="0" w:line="440" w:lineRule="exact"/>
        <w:ind w:left="851" w:hanging="371"/>
        <w:rPr>
          <w:rFonts w:ascii="Times New Roman" w:eastAsia="標楷體"/>
          <w:spacing w:val="-2"/>
          <w:sz w:val="24"/>
          <w:szCs w:val="28"/>
        </w:rPr>
      </w:pPr>
      <w:r w:rsidRPr="007F6F77">
        <w:rPr>
          <w:rFonts w:ascii="Times New Roman" w:eastAsia="標楷體" w:hint="eastAsia"/>
          <w:spacing w:val="-2"/>
          <w:sz w:val="24"/>
          <w:szCs w:val="28"/>
        </w:rPr>
        <w:t>N</w:t>
      </w:r>
      <w:r w:rsidR="00C806CF" w:rsidRPr="007F6F77">
        <w:rPr>
          <w:rFonts w:ascii="Times New Roman" w:eastAsia="標楷體" w:hint="eastAsia"/>
          <w:spacing w:val="-2"/>
          <w:sz w:val="24"/>
          <w:szCs w:val="28"/>
        </w:rPr>
        <w:t>et foreign capital outflows: During</w:t>
      </w:r>
      <w:r w:rsidRPr="007F6F77">
        <w:rPr>
          <w:rFonts w:ascii="Times New Roman" w:eastAsia="標楷體" w:hint="eastAsia"/>
          <w:spacing w:val="-2"/>
          <w:sz w:val="24"/>
          <w:szCs w:val="28"/>
        </w:rPr>
        <w:t xml:space="preserve"> </w:t>
      </w:r>
      <w:r w:rsidR="00C806CF" w:rsidRPr="007F6F77">
        <w:rPr>
          <w:rFonts w:ascii="Times New Roman" w:eastAsia="標楷體" w:hint="eastAsia"/>
          <w:spacing w:val="-2"/>
          <w:sz w:val="24"/>
          <w:szCs w:val="28"/>
        </w:rPr>
        <w:t>the Jan.-Nov. period</w:t>
      </w:r>
      <w:r w:rsidRPr="007F6F77">
        <w:rPr>
          <w:rFonts w:ascii="Times New Roman" w:eastAsia="標楷體" w:hint="eastAsia"/>
          <w:spacing w:val="-2"/>
          <w:sz w:val="24"/>
          <w:szCs w:val="28"/>
        </w:rPr>
        <w:t>, net foreign capital outflows amount</w:t>
      </w:r>
      <w:r w:rsidR="00B25213" w:rsidRPr="007F6F77">
        <w:rPr>
          <w:rFonts w:ascii="Times New Roman" w:eastAsia="標楷體" w:hint="eastAsia"/>
          <w:spacing w:val="-2"/>
          <w:sz w:val="24"/>
          <w:szCs w:val="28"/>
        </w:rPr>
        <w:t>ed</w:t>
      </w:r>
      <w:r w:rsidRPr="007F6F77">
        <w:rPr>
          <w:rFonts w:ascii="Times New Roman" w:eastAsia="標楷體" w:hint="eastAsia"/>
          <w:spacing w:val="-2"/>
          <w:sz w:val="24"/>
          <w:szCs w:val="28"/>
        </w:rPr>
        <w:t xml:space="preserve"> to US$8.7 billion</w:t>
      </w:r>
      <w:r w:rsidR="00C806CF" w:rsidRPr="007F6F77">
        <w:rPr>
          <w:rFonts w:ascii="Times New Roman" w:eastAsia="標楷體" w:hint="eastAsia"/>
          <w:spacing w:val="-2"/>
          <w:sz w:val="24"/>
          <w:szCs w:val="28"/>
        </w:rPr>
        <w:t>, whereas the same period of the previous year recorded net foreign capital inflows of US$9.8 billion.</w:t>
      </w:r>
    </w:p>
    <w:p w:rsidR="008D6D28" w:rsidRPr="007F6F77" w:rsidRDefault="00C806CF" w:rsidP="003A1FB6">
      <w:pPr>
        <w:pStyle w:val="6"/>
        <w:numPr>
          <w:ilvl w:val="1"/>
          <w:numId w:val="40"/>
        </w:numPr>
        <w:overflowPunct w:val="0"/>
        <w:snapToGrid w:val="0"/>
        <w:spacing w:after="0" w:line="440" w:lineRule="exact"/>
        <w:ind w:left="851" w:hanging="371"/>
        <w:rPr>
          <w:rFonts w:ascii="Times New Roman" w:eastAsia="標楷體"/>
          <w:spacing w:val="-2"/>
          <w:sz w:val="24"/>
          <w:szCs w:val="28"/>
        </w:rPr>
      </w:pPr>
      <w:r w:rsidRPr="007F6F77">
        <w:rPr>
          <w:rFonts w:ascii="Times New Roman" w:eastAsia="標楷體" w:hint="eastAsia"/>
          <w:spacing w:val="-2"/>
          <w:sz w:val="24"/>
          <w:szCs w:val="28"/>
        </w:rPr>
        <w:t>Shifts in residents</w:t>
      </w:r>
      <w:r w:rsidRPr="007F6F77">
        <w:rPr>
          <w:rFonts w:ascii="Times New Roman" w:eastAsia="標楷體"/>
          <w:spacing w:val="-2"/>
          <w:sz w:val="24"/>
          <w:szCs w:val="28"/>
        </w:rPr>
        <w:t>’</w:t>
      </w:r>
      <w:r w:rsidRPr="007F6F77">
        <w:rPr>
          <w:rFonts w:ascii="Times New Roman" w:eastAsia="標楷體" w:hint="eastAsia"/>
          <w:spacing w:val="-2"/>
          <w:sz w:val="24"/>
          <w:szCs w:val="28"/>
        </w:rPr>
        <w:t xml:space="preserve"> asset location strategy: </w:t>
      </w:r>
      <w:r w:rsidR="00936921" w:rsidRPr="007F6F77">
        <w:rPr>
          <w:rFonts w:ascii="Times New Roman" w:eastAsia="標楷體" w:hint="eastAsia"/>
          <w:spacing w:val="-2"/>
          <w:sz w:val="24"/>
          <w:szCs w:val="28"/>
        </w:rPr>
        <w:t xml:space="preserve">Residents increased investments in </w:t>
      </w:r>
      <w:r w:rsidR="00BF1712" w:rsidRPr="007F6F77">
        <w:rPr>
          <w:rFonts w:ascii="Times New Roman" w:eastAsia="標楷體" w:hint="eastAsia"/>
          <w:spacing w:val="-2"/>
          <w:sz w:val="24"/>
          <w:szCs w:val="28"/>
        </w:rPr>
        <w:t>insurance products denominated in foreign currenc</w:t>
      </w:r>
      <w:r w:rsidR="00F010D7" w:rsidRPr="007F6F77">
        <w:rPr>
          <w:rFonts w:ascii="Times New Roman" w:eastAsia="標楷體" w:hint="eastAsia"/>
          <w:spacing w:val="-2"/>
          <w:sz w:val="24"/>
          <w:szCs w:val="28"/>
        </w:rPr>
        <w:t>ies</w:t>
      </w:r>
      <w:r w:rsidR="00BF1712" w:rsidRPr="007F6F77">
        <w:rPr>
          <w:rFonts w:ascii="Times New Roman" w:eastAsia="標楷體" w:hint="eastAsia"/>
          <w:spacing w:val="-2"/>
          <w:sz w:val="24"/>
          <w:szCs w:val="28"/>
        </w:rPr>
        <w:t xml:space="preserve"> and products linked to overseas Exchange-Traded Funds, </w:t>
      </w:r>
      <w:r w:rsidR="00936921" w:rsidRPr="007F6F77">
        <w:rPr>
          <w:rFonts w:ascii="Times New Roman" w:eastAsia="標楷體" w:hint="eastAsia"/>
          <w:spacing w:val="-2"/>
          <w:sz w:val="24"/>
          <w:szCs w:val="28"/>
        </w:rPr>
        <w:t xml:space="preserve">which were not included in M2. </w:t>
      </w:r>
      <w:r w:rsidR="008D6D28" w:rsidRPr="007F6F77">
        <w:rPr>
          <w:rFonts w:ascii="Times New Roman" w:eastAsia="標楷體" w:hint="eastAsia"/>
          <w:spacing w:val="-2"/>
          <w:sz w:val="24"/>
          <w:szCs w:val="28"/>
        </w:rPr>
        <w:t>Nevertheless</w:t>
      </w:r>
      <w:r w:rsidR="00936921" w:rsidRPr="007F6F77">
        <w:rPr>
          <w:rFonts w:ascii="Times New Roman" w:eastAsia="標楷體" w:hint="eastAsia"/>
          <w:spacing w:val="-2"/>
          <w:sz w:val="24"/>
          <w:szCs w:val="28"/>
        </w:rPr>
        <w:t>, the increase did not affect the overall asset size of financial instit</w:t>
      </w:r>
      <w:r w:rsidR="008D6D28" w:rsidRPr="007F6F77">
        <w:rPr>
          <w:rFonts w:ascii="Times New Roman" w:eastAsia="標楷體" w:hint="eastAsia"/>
          <w:spacing w:val="-2"/>
          <w:sz w:val="24"/>
          <w:szCs w:val="28"/>
        </w:rPr>
        <w:t>ut</w:t>
      </w:r>
      <w:r w:rsidR="00936921" w:rsidRPr="007F6F77">
        <w:rPr>
          <w:rFonts w:ascii="Times New Roman" w:eastAsia="標楷體" w:hint="eastAsia"/>
          <w:spacing w:val="-2"/>
          <w:sz w:val="24"/>
          <w:szCs w:val="28"/>
        </w:rPr>
        <w:t xml:space="preserve">ions. </w:t>
      </w:r>
    </w:p>
    <w:p w:rsidR="002914DC" w:rsidRPr="007F6F77" w:rsidRDefault="00C806CF" w:rsidP="007D5C7E">
      <w:pPr>
        <w:pStyle w:val="6"/>
        <w:numPr>
          <w:ilvl w:val="0"/>
          <w:numId w:val="40"/>
        </w:numPr>
        <w:overflowPunct w:val="0"/>
        <w:snapToGrid w:val="0"/>
        <w:spacing w:after="0" w:line="440" w:lineRule="exact"/>
        <w:rPr>
          <w:rFonts w:ascii="Times New Roman" w:eastAsia="標楷體"/>
          <w:spacing w:val="-2"/>
          <w:sz w:val="24"/>
          <w:szCs w:val="28"/>
        </w:rPr>
      </w:pPr>
      <w:r w:rsidRPr="007F6F77">
        <w:rPr>
          <w:rFonts w:ascii="Times New Roman" w:eastAsia="標楷體" w:hint="eastAsia"/>
          <w:spacing w:val="-2"/>
          <w:sz w:val="24"/>
          <w:szCs w:val="28"/>
        </w:rPr>
        <w:t xml:space="preserve">For the first eleven months of the year, </w:t>
      </w:r>
      <w:r w:rsidR="008D6D28" w:rsidRPr="007F6F77">
        <w:rPr>
          <w:rFonts w:ascii="Times New Roman" w:eastAsia="標楷體" w:hint="eastAsia"/>
          <w:spacing w:val="-2"/>
          <w:sz w:val="24"/>
          <w:szCs w:val="28"/>
        </w:rPr>
        <w:t xml:space="preserve">M2 growth slowed but bank loans and investments increased faster, posting an average </w:t>
      </w:r>
      <w:r w:rsidR="008D6D28" w:rsidRPr="007F6F77">
        <w:rPr>
          <w:rFonts w:ascii="Times New Roman" w:eastAsia="標楷體"/>
          <w:spacing w:val="-2"/>
          <w:sz w:val="24"/>
          <w:szCs w:val="28"/>
        </w:rPr>
        <w:t>annual</w:t>
      </w:r>
      <w:r w:rsidR="008D6D28" w:rsidRPr="007F6F77">
        <w:rPr>
          <w:rFonts w:ascii="Times New Roman" w:eastAsia="標楷體" w:hint="eastAsia"/>
          <w:spacing w:val="-2"/>
          <w:sz w:val="24"/>
          <w:szCs w:val="28"/>
        </w:rPr>
        <w:t xml:space="preserve"> growth rate of 5.24% compared to the previous year</w:t>
      </w:r>
      <w:r w:rsidR="008D6D28" w:rsidRPr="007F6F77">
        <w:rPr>
          <w:rFonts w:ascii="Times New Roman" w:eastAsia="標楷體"/>
          <w:spacing w:val="-2"/>
          <w:sz w:val="24"/>
          <w:szCs w:val="28"/>
        </w:rPr>
        <w:t>’</w:t>
      </w:r>
      <w:r w:rsidR="008D6D28" w:rsidRPr="007F6F77">
        <w:rPr>
          <w:rFonts w:ascii="Times New Roman" w:eastAsia="標楷體" w:hint="eastAsia"/>
          <w:spacing w:val="-2"/>
          <w:sz w:val="24"/>
          <w:szCs w:val="28"/>
        </w:rPr>
        <w:t xml:space="preserve">s 4.79%. This indicates domestic bank credit growth </w:t>
      </w:r>
      <w:r w:rsidR="00F249D0" w:rsidRPr="007F6F77">
        <w:rPr>
          <w:rFonts w:ascii="Times New Roman" w:eastAsia="標楷體" w:hint="eastAsia"/>
          <w:spacing w:val="-2"/>
          <w:sz w:val="24"/>
          <w:szCs w:val="28"/>
        </w:rPr>
        <w:t>was adequate</w:t>
      </w:r>
      <w:r w:rsidR="008D6D28" w:rsidRPr="007F6F77">
        <w:rPr>
          <w:rFonts w:ascii="Times New Roman" w:eastAsia="標楷體" w:hint="eastAsia"/>
          <w:spacing w:val="-2"/>
          <w:sz w:val="24"/>
          <w:szCs w:val="28"/>
        </w:rPr>
        <w:t xml:space="preserve">. </w:t>
      </w:r>
    </w:p>
    <w:p w:rsidR="00653A10" w:rsidRPr="007F6F77" w:rsidRDefault="00B530AB" w:rsidP="00A010F7">
      <w:pPr>
        <w:numPr>
          <w:ilvl w:val="0"/>
          <w:numId w:val="4"/>
        </w:numPr>
        <w:overflowPunct w:val="0"/>
        <w:autoSpaceDE w:val="0"/>
        <w:autoSpaceDN w:val="0"/>
        <w:snapToGrid w:val="0"/>
        <w:spacing w:before="120" w:line="440" w:lineRule="exact"/>
        <w:ind w:left="284" w:hanging="284"/>
        <w:jc w:val="both"/>
        <w:rPr>
          <w:rFonts w:eastAsia="標楷體"/>
          <w:b/>
          <w:spacing w:val="-2"/>
          <w:sz w:val="24"/>
          <w:szCs w:val="28"/>
        </w:rPr>
      </w:pPr>
      <w:r w:rsidRPr="007F6F77">
        <w:rPr>
          <w:rFonts w:eastAsia="標楷體" w:hint="eastAsia"/>
          <w:b/>
          <w:spacing w:val="-2"/>
          <w:sz w:val="24"/>
          <w:szCs w:val="28"/>
        </w:rPr>
        <w:t xml:space="preserve">Preliminary </w:t>
      </w:r>
      <w:r w:rsidR="006B2E6B" w:rsidRPr="007F6F77">
        <w:rPr>
          <w:rFonts w:eastAsia="標楷體" w:hint="eastAsia"/>
          <w:b/>
          <w:spacing w:val="-2"/>
          <w:sz w:val="24"/>
          <w:szCs w:val="28"/>
        </w:rPr>
        <w:t>e</w:t>
      </w:r>
      <w:r w:rsidRPr="007F6F77">
        <w:rPr>
          <w:rFonts w:eastAsia="標楷體" w:hint="eastAsia"/>
          <w:b/>
          <w:spacing w:val="-2"/>
          <w:sz w:val="24"/>
          <w:szCs w:val="28"/>
        </w:rPr>
        <w:t xml:space="preserve">stimation </w:t>
      </w:r>
      <w:r w:rsidR="00F81243" w:rsidRPr="007F6F77">
        <w:rPr>
          <w:rFonts w:eastAsia="標楷體" w:hint="eastAsia"/>
          <w:b/>
          <w:spacing w:val="-2"/>
          <w:sz w:val="24"/>
          <w:szCs w:val="28"/>
        </w:rPr>
        <w:t xml:space="preserve">of </w:t>
      </w:r>
      <w:r w:rsidRPr="007F6F77">
        <w:rPr>
          <w:rFonts w:eastAsia="標楷體" w:hint="eastAsia"/>
          <w:b/>
          <w:spacing w:val="-2"/>
          <w:sz w:val="24"/>
          <w:szCs w:val="28"/>
        </w:rPr>
        <w:t xml:space="preserve">money </w:t>
      </w:r>
      <w:r w:rsidR="00F249D0" w:rsidRPr="007F6F77">
        <w:rPr>
          <w:rFonts w:eastAsia="標楷體" w:hint="eastAsia"/>
          <w:b/>
          <w:spacing w:val="-2"/>
          <w:sz w:val="24"/>
          <w:szCs w:val="28"/>
        </w:rPr>
        <w:t xml:space="preserve">demand </w:t>
      </w:r>
      <w:r w:rsidR="00F81243" w:rsidRPr="007F6F77">
        <w:rPr>
          <w:rFonts w:eastAsia="標楷體" w:hint="eastAsia"/>
          <w:b/>
          <w:spacing w:val="-2"/>
          <w:sz w:val="24"/>
          <w:szCs w:val="28"/>
        </w:rPr>
        <w:t>for 201</w:t>
      </w:r>
      <w:r w:rsidR="005966A7" w:rsidRPr="007F6F77">
        <w:rPr>
          <w:rFonts w:eastAsia="標楷體" w:hint="eastAsia"/>
          <w:b/>
          <w:spacing w:val="-2"/>
          <w:sz w:val="24"/>
          <w:szCs w:val="28"/>
        </w:rPr>
        <w:t>9</w:t>
      </w:r>
    </w:p>
    <w:p w:rsidR="00045E43" w:rsidRPr="007F6F77" w:rsidRDefault="008707D7" w:rsidP="00FA173A">
      <w:pPr>
        <w:pStyle w:val="6"/>
        <w:overflowPunct w:val="0"/>
        <w:snapToGrid w:val="0"/>
        <w:spacing w:after="0" w:line="440" w:lineRule="exact"/>
        <w:ind w:left="0" w:firstLineChars="200" w:firstLine="472"/>
        <w:rPr>
          <w:rFonts w:ascii="Times New Roman" w:eastAsia="標楷體"/>
          <w:spacing w:val="-2"/>
          <w:sz w:val="24"/>
          <w:szCs w:val="28"/>
        </w:rPr>
      </w:pPr>
      <w:r w:rsidRPr="007F6F77">
        <w:rPr>
          <w:rFonts w:ascii="Times New Roman" w:eastAsia="標楷體" w:hint="eastAsia"/>
          <w:spacing w:val="-2"/>
          <w:sz w:val="24"/>
          <w:szCs w:val="28"/>
        </w:rPr>
        <w:t>Based on the coefficient estimate</w:t>
      </w:r>
      <w:r w:rsidR="00F81243" w:rsidRPr="007F6F77">
        <w:rPr>
          <w:rFonts w:ascii="Times New Roman" w:eastAsia="標楷體" w:hint="eastAsia"/>
          <w:spacing w:val="-2"/>
          <w:sz w:val="24"/>
          <w:szCs w:val="28"/>
        </w:rPr>
        <w:t>s</w:t>
      </w:r>
      <w:r w:rsidRPr="007F6F77">
        <w:rPr>
          <w:rFonts w:ascii="Times New Roman" w:eastAsia="標楷體" w:hint="eastAsia"/>
          <w:spacing w:val="-2"/>
          <w:sz w:val="24"/>
          <w:szCs w:val="28"/>
        </w:rPr>
        <w:t xml:space="preserve"> of the money demand function</w:t>
      </w:r>
      <w:r w:rsidR="00B530AB" w:rsidRPr="007F6F77">
        <w:rPr>
          <w:rFonts w:ascii="Times New Roman" w:eastAsia="標楷體" w:hint="eastAsia"/>
          <w:spacing w:val="-2"/>
          <w:sz w:val="24"/>
          <w:szCs w:val="28"/>
        </w:rPr>
        <w:t>, and the CBC</w:t>
      </w:r>
      <w:r w:rsidR="00B530AB" w:rsidRPr="007F6F77">
        <w:rPr>
          <w:rFonts w:ascii="Times New Roman" w:eastAsia="標楷體"/>
          <w:spacing w:val="-2"/>
          <w:sz w:val="24"/>
          <w:szCs w:val="28"/>
        </w:rPr>
        <w:t>’</w:t>
      </w:r>
      <w:r w:rsidR="00B530AB" w:rsidRPr="007F6F77">
        <w:rPr>
          <w:rFonts w:ascii="Times New Roman" w:eastAsia="標楷體" w:hint="eastAsia"/>
          <w:spacing w:val="-2"/>
          <w:sz w:val="24"/>
          <w:szCs w:val="28"/>
        </w:rPr>
        <w:t>s own forecasts for the 201</w:t>
      </w:r>
      <w:r w:rsidR="005966A7" w:rsidRPr="007F6F77">
        <w:rPr>
          <w:rFonts w:ascii="Times New Roman" w:eastAsia="標楷體" w:hint="eastAsia"/>
          <w:spacing w:val="-2"/>
          <w:sz w:val="24"/>
          <w:szCs w:val="28"/>
        </w:rPr>
        <w:t>9</w:t>
      </w:r>
      <w:r w:rsidR="00B530AB" w:rsidRPr="007F6F77">
        <w:rPr>
          <w:rFonts w:ascii="Times New Roman" w:eastAsia="標楷體" w:hint="eastAsia"/>
          <w:spacing w:val="-2"/>
          <w:sz w:val="24"/>
          <w:szCs w:val="28"/>
        </w:rPr>
        <w:t xml:space="preserve"> GDP growth rate (2.3</w:t>
      </w:r>
      <w:r w:rsidR="005966A7" w:rsidRPr="007F6F77">
        <w:rPr>
          <w:rFonts w:ascii="Times New Roman" w:eastAsia="標楷體" w:hint="eastAsia"/>
          <w:spacing w:val="-2"/>
          <w:sz w:val="24"/>
          <w:szCs w:val="28"/>
        </w:rPr>
        <w:t>3</w:t>
      </w:r>
      <w:r w:rsidR="00B530AB" w:rsidRPr="007F6F77">
        <w:rPr>
          <w:rFonts w:ascii="Times New Roman" w:eastAsia="標楷體" w:hint="eastAsia"/>
          <w:spacing w:val="-2"/>
          <w:sz w:val="24"/>
          <w:szCs w:val="28"/>
        </w:rPr>
        <w:t>%) and CPI growth rate (1.</w:t>
      </w:r>
      <w:r w:rsidR="005966A7" w:rsidRPr="007F6F77">
        <w:rPr>
          <w:rFonts w:ascii="Times New Roman" w:eastAsia="標楷體" w:hint="eastAsia"/>
          <w:spacing w:val="-2"/>
          <w:sz w:val="24"/>
          <w:szCs w:val="28"/>
        </w:rPr>
        <w:t>05</w:t>
      </w:r>
      <w:r w:rsidR="00B530AB" w:rsidRPr="007F6F77">
        <w:rPr>
          <w:rFonts w:ascii="Times New Roman" w:eastAsia="標楷體" w:hint="eastAsia"/>
          <w:spacing w:val="-2"/>
          <w:sz w:val="24"/>
          <w:szCs w:val="28"/>
        </w:rPr>
        <w:t xml:space="preserve">%), the preliminary </w:t>
      </w:r>
      <w:r w:rsidR="002C4A72" w:rsidRPr="007F6F77">
        <w:rPr>
          <w:rFonts w:ascii="Times New Roman" w:eastAsia="標楷體" w:hint="eastAsia"/>
          <w:spacing w:val="-2"/>
          <w:sz w:val="24"/>
          <w:szCs w:val="28"/>
        </w:rPr>
        <w:t>estimation</w:t>
      </w:r>
      <w:r w:rsidR="00B530AB" w:rsidRPr="007F6F77">
        <w:rPr>
          <w:rFonts w:ascii="Times New Roman" w:eastAsia="標楷體" w:hint="eastAsia"/>
          <w:spacing w:val="-2"/>
          <w:sz w:val="24"/>
          <w:szCs w:val="28"/>
        </w:rPr>
        <w:t xml:space="preserve"> of the annual growth rate of demand for M2</w:t>
      </w:r>
      <w:r w:rsidR="006B2E6B" w:rsidRPr="007F6F77">
        <w:rPr>
          <w:rFonts w:ascii="Times New Roman" w:eastAsia="標楷體" w:hint="eastAsia"/>
          <w:spacing w:val="-2"/>
          <w:sz w:val="24"/>
          <w:szCs w:val="28"/>
        </w:rPr>
        <w:t xml:space="preserve"> is around </w:t>
      </w:r>
      <w:r w:rsidR="005966A7" w:rsidRPr="007F6F77">
        <w:rPr>
          <w:rFonts w:ascii="Times New Roman" w:eastAsia="標楷體" w:hint="eastAsia"/>
          <w:spacing w:val="-2"/>
          <w:sz w:val="24"/>
          <w:szCs w:val="28"/>
        </w:rPr>
        <w:t>2</w:t>
      </w:r>
      <w:r w:rsidR="006B2E6B" w:rsidRPr="007F6F77">
        <w:rPr>
          <w:rFonts w:ascii="Times New Roman" w:eastAsia="標楷體" w:hint="eastAsia"/>
          <w:spacing w:val="-2"/>
          <w:sz w:val="24"/>
          <w:szCs w:val="28"/>
        </w:rPr>
        <w:t>.</w:t>
      </w:r>
      <w:r w:rsidR="005966A7" w:rsidRPr="007F6F77">
        <w:rPr>
          <w:rFonts w:ascii="Times New Roman" w:eastAsia="標楷體" w:hint="eastAsia"/>
          <w:spacing w:val="-2"/>
          <w:sz w:val="24"/>
          <w:szCs w:val="28"/>
        </w:rPr>
        <w:t>84</w:t>
      </w:r>
      <w:r w:rsidR="006B2E6B" w:rsidRPr="007F6F77">
        <w:rPr>
          <w:rFonts w:ascii="Times New Roman" w:eastAsia="標楷體" w:hint="eastAsia"/>
          <w:spacing w:val="-2"/>
          <w:sz w:val="24"/>
          <w:szCs w:val="28"/>
        </w:rPr>
        <w:t>%.</w:t>
      </w:r>
    </w:p>
    <w:p w:rsidR="00AA6988" w:rsidRPr="007F6F77" w:rsidRDefault="002254DA" w:rsidP="00A010F7">
      <w:pPr>
        <w:numPr>
          <w:ilvl w:val="0"/>
          <w:numId w:val="4"/>
        </w:numPr>
        <w:overflowPunct w:val="0"/>
        <w:autoSpaceDE w:val="0"/>
        <w:autoSpaceDN w:val="0"/>
        <w:snapToGrid w:val="0"/>
        <w:spacing w:before="120" w:line="440" w:lineRule="exact"/>
        <w:ind w:left="284" w:hanging="284"/>
        <w:jc w:val="both"/>
        <w:rPr>
          <w:rFonts w:eastAsia="標楷體"/>
          <w:b/>
          <w:spacing w:val="-2"/>
          <w:sz w:val="24"/>
          <w:szCs w:val="28"/>
        </w:rPr>
      </w:pPr>
      <w:r w:rsidRPr="007F6F77">
        <w:rPr>
          <w:rFonts w:eastAsia="標楷體" w:hint="eastAsia"/>
          <w:b/>
          <w:spacing w:val="-2"/>
          <w:sz w:val="24"/>
          <w:szCs w:val="28"/>
        </w:rPr>
        <w:t>Proposition to set the 2019</w:t>
      </w:r>
      <w:r w:rsidR="00AA6988" w:rsidRPr="007F6F77">
        <w:rPr>
          <w:rFonts w:eastAsia="標楷體" w:hint="eastAsia"/>
          <w:b/>
          <w:spacing w:val="-2"/>
          <w:sz w:val="24"/>
          <w:szCs w:val="28"/>
        </w:rPr>
        <w:t xml:space="preserve"> M2 target at a range of 2.5% to 6.5%      </w:t>
      </w:r>
    </w:p>
    <w:p w:rsidR="00AA6988" w:rsidRPr="007F6F77" w:rsidRDefault="00AA6988" w:rsidP="007D5C7E">
      <w:pPr>
        <w:pStyle w:val="6"/>
        <w:numPr>
          <w:ilvl w:val="0"/>
          <w:numId w:val="41"/>
        </w:numPr>
        <w:overflowPunct w:val="0"/>
        <w:snapToGrid w:val="0"/>
        <w:spacing w:after="0" w:line="440" w:lineRule="exact"/>
        <w:rPr>
          <w:rFonts w:ascii="Times New Roman" w:eastAsia="標楷體"/>
          <w:spacing w:val="-2"/>
          <w:sz w:val="24"/>
          <w:szCs w:val="28"/>
        </w:rPr>
      </w:pPr>
      <w:r w:rsidRPr="007F6F77">
        <w:rPr>
          <w:rFonts w:ascii="Times New Roman" w:eastAsia="標楷體" w:hint="eastAsia"/>
          <w:spacing w:val="-2"/>
          <w:sz w:val="24"/>
          <w:szCs w:val="28"/>
        </w:rPr>
        <w:t>The CBC</w:t>
      </w:r>
      <w:r w:rsidRPr="007F6F77">
        <w:rPr>
          <w:rFonts w:ascii="Times New Roman" w:eastAsia="標楷體"/>
          <w:spacing w:val="-2"/>
          <w:sz w:val="24"/>
          <w:szCs w:val="28"/>
        </w:rPr>
        <w:t>’</w:t>
      </w:r>
      <w:r w:rsidRPr="007F6F77">
        <w:rPr>
          <w:rFonts w:ascii="Times New Roman" w:eastAsia="標楷體" w:hint="eastAsia"/>
          <w:spacing w:val="-2"/>
          <w:sz w:val="24"/>
          <w:szCs w:val="28"/>
        </w:rPr>
        <w:t xml:space="preserve">s preliminary </w:t>
      </w:r>
      <w:r w:rsidR="002254DA" w:rsidRPr="007F6F77">
        <w:rPr>
          <w:rFonts w:ascii="Times New Roman" w:eastAsia="標楷體" w:hint="eastAsia"/>
          <w:spacing w:val="-2"/>
          <w:sz w:val="24"/>
          <w:szCs w:val="28"/>
        </w:rPr>
        <w:t>estimation</w:t>
      </w:r>
      <w:r w:rsidRPr="007F6F77">
        <w:rPr>
          <w:rFonts w:ascii="Times New Roman" w:eastAsia="標楷體" w:hint="eastAsia"/>
          <w:spacing w:val="-2"/>
          <w:sz w:val="24"/>
          <w:szCs w:val="28"/>
        </w:rPr>
        <w:t xml:space="preserve"> of the annual growth rate of demand for M2 is around </w:t>
      </w:r>
      <w:r w:rsidR="002254DA" w:rsidRPr="007F6F77">
        <w:rPr>
          <w:rFonts w:ascii="Times New Roman" w:eastAsia="標楷體" w:hint="eastAsia"/>
          <w:spacing w:val="-2"/>
          <w:sz w:val="24"/>
          <w:szCs w:val="28"/>
        </w:rPr>
        <w:t>2</w:t>
      </w:r>
      <w:r w:rsidRPr="007F6F77">
        <w:rPr>
          <w:rFonts w:ascii="Times New Roman" w:eastAsia="標楷體" w:hint="eastAsia"/>
          <w:spacing w:val="-2"/>
          <w:sz w:val="24"/>
          <w:szCs w:val="28"/>
        </w:rPr>
        <w:t>.</w:t>
      </w:r>
      <w:r w:rsidR="002254DA" w:rsidRPr="007F6F77">
        <w:rPr>
          <w:rFonts w:ascii="Times New Roman" w:eastAsia="標楷體" w:hint="eastAsia"/>
          <w:spacing w:val="-2"/>
          <w:sz w:val="24"/>
          <w:szCs w:val="28"/>
        </w:rPr>
        <w:t>84</w:t>
      </w:r>
      <w:r w:rsidRPr="007F6F77">
        <w:rPr>
          <w:rFonts w:ascii="Times New Roman" w:eastAsia="標楷體" w:hint="eastAsia"/>
          <w:spacing w:val="-2"/>
          <w:sz w:val="24"/>
          <w:szCs w:val="28"/>
        </w:rPr>
        <w:t xml:space="preserve">%. </w:t>
      </w:r>
      <w:r w:rsidR="003A32E1" w:rsidRPr="007F6F77">
        <w:rPr>
          <w:rFonts w:ascii="Times New Roman" w:eastAsia="標楷體" w:hint="eastAsia"/>
          <w:spacing w:val="-2"/>
          <w:sz w:val="24"/>
          <w:szCs w:val="28"/>
        </w:rPr>
        <w:t>In addition to</w:t>
      </w:r>
      <w:r w:rsidRPr="007F6F77">
        <w:rPr>
          <w:rFonts w:ascii="Times New Roman" w:eastAsia="標楷體" w:hint="eastAsia"/>
          <w:spacing w:val="-2"/>
          <w:sz w:val="24"/>
          <w:szCs w:val="28"/>
        </w:rPr>
        <w:t xml:space="preserve"> past model forecast</w:t>
      </w:r>
      <w:r w:rsidR="00A47B5E" w:rsidRPr="007F6F77">
        <w:rPr>
          <w:rFonts w:ascii="Times New Roman" w:eastAsia="標楷體" w:hint="eastAsia"/>
          <w:spacing w:val="-2"/>
          <w:sz w:val="24"/>
          <w:szCs w:val="28"/>
        </w:rPr>
        <w:t>ing</w:t>
      </w:r>
      <w:r w:rsidR="00D81DC6" w:rsidRPr="007F6F77">
        <w:rPr>
          <w:rFonts w:ascii="Times New Roman" w:eastAsia="標楷體" w:hint="eastAsia"/>
          <w:spacing w:val="-2"/>
          <w:sz w:val="24"/>
          <w:szCs w:val="28"/>
        </w:rPr>
        <w:t xml:space="preserve"> </w:t>
      </w:r>
      <w:r w:rsidR="002254DA" w:rsidRPr="007F6F77">
        <w:rPr>
          <w:rFonts w:ascii="Times New Roman" w:eastAsia="標楷體" w:hint="eastAsia"/>
          <w:spacing w:val="-2"/>
          <w:sz w:val="24"/>
          <w:szCs w:val="28"/>
        </w:rPr>
        <w:t>biase</w:t>
      </w:r>
      <w:r w:rsidR="00D81DC6" w:rsidRPr="007F6F77">
        <w:rPr>
          <w:rFonts w:ascii="Times New Roman" w:eastAsia="標楷體" w:hint="eastAsia"/>
          <w:spacing w:val="-2"/>
          <w:sz w:val="24"/>
          <w:szCs w:val="28"/>
        </w:rPr>
        <w:t xml:space="preserve">s, </w:t>
      </w:r>
      <w:r w:rsidR="002254DA" w:rsidRPr="007F6F77">
        <w:rPr>
          <w:rFonts w:ascii="Times New Roman" w:eastAsia="標楷體" w:hint="eastAsia"/>
          <w:spacing w:val="-2"/>
          <w:sz w:val="24"/>
          <w:szCs w:val="28"/>
        </w:rPr>
        <w:t>other factors with potential effects on M2 growth</w:t>
      </w:r>
      <w:r w:rsidR="003A32E1" w:rsidRPr="007F6F77">
        <w:rPr>
          <w:rFonts w:ascii="Times New Roman" w:eastAsia="標楷體" w:hint="eastAsia"/>
          <w:spacing w:val="-2"/>
          <w:sz w:val="24"/>
          <w:szCs w:val="28"/>
        </w:rPr>
        <w:t xml:space="preserve"> were also taken into account; these factors </w:t>
      </w:r>
      <w:r w:rsidR="002254DA" w:rsidRPr="007F6F77">
        <w:rPr>
          <w:rFonts w:ascii="Times New Roman" w:eastAsia="標楷體" w:hint="eastAsia"/>
          <w:spacing w:val="-2"/>
          <w:sz w:val="24"/>
          <w:szCs w:val="28"/>
        </w:rPr>
        <w:t>incl</w:t>
      </w:r>
      <w:r w:rsidR="003A32E1" w:rsidRPr="007F6F77">
        <w:rPr>
          <w:rFonts w:ascii="Times New Roman" w:eastAsia="標楷體" w:hint="eastAsia"/>
          <w:spacing w:val="-2"/>
          <w:sz w:val="24"/>
          <w:szCs w:val="28"/>
        </w:rPr>
        <w:t>ude</w:t>
      </w:r>
      <w:r w:rsidR="002C4A72" w:rsidRPr="007F6F77">
        <w:rPr>
          <w:rFonts w:ascii="Times New Roman" w:eastAsia="標楷體" w:hint="eastAsia"/>
          <w:spacing w:val="-2"/>
          <w:sz w:val="24"/>
          <w:szCs w:val="28"/>
        </w:rPr>
        <w:t>d</w:t>
      </w:r>
      <w:r w:rsidR="003A32E1" w:rsidRPr="007F6F77">
        <w:rPr>
          <w:rFonts w:ascii="Times New Roman" w:eastAsia="標楷體"/>
          <w:spacing w:val="-2"/>
          <w:sz w:val="24"/>
          <w:szCs w:val="28"/>
        </w:rPr>
        <w:t xml:space="preserve">: </w:t>
      </w:r>
      <w:r w:rsidR="00D75320" w:rsidRPr="007F6F77">
        <w:rPr>
          <w:rFonts w:ascii="Times New Roman" w:eastAsia="標楷體" w:hint="eastAsia"/>
          <w:spacing w:val="-2"/>
          <w:sz w:val="24"/>
          <w:szCs w:val="28"/>
        </w:rPr>
        <w:t xml:space="preserve">the US-China trade friction, international </w:t>
      </w:r>
      <w:r w:rsidR="00D75320" w:rsidRPr="007F6F77">
        <w:rPr>
          <w:rFonts w:ascii="Times New Roman" w:eastAsia="標楷體"/>
          <w:spacing w:val="-2"/>
          <w:sz w:val="24"/>
          <w:szCs w:val="28"/>
        </w:rPr>
        <w:t>economic</w:t>
      </w:r>
      <w:r w:rsidR="00D75320" w:rsidRPr="007F6F77">
        <w:rPr>
          <w:rFonts w:ascii="Times New Roman" w:eastAsia="標楷體" w:hint="eastAsia"/>
          <w:spacing w:val="-2"/>
          <w:sz w:val="24"/>
          <w:szCs w:val="28"/>
        </w:rPr>
        <w:t xml:space="preserve"> and financial uncertainties such as monetary policy of advance economies, and external shocks that could affect domestic </w:t>
      </w:r>
      <w:r w:rsidR="00D75320" w:rsidRPr="007F6F77">
        <w:rPr>
          <w:rFonts w:ascii="Times New Roman" w:eastAsia="標楷體"/>
          <w:spacing w:val="-2"/>
          <w:sz w:val="24"/>
          <w:szCs w:val="28"/>
        </w:rPr>
        <w:t>economic</w:t>
      </w:r>
      <w:r w:rsidR="00D75320" w:rsidRPr="007F6F77">
        <w:rPr>
          <w:rFonts w:ascii="Times New Roman" w:eastAsia="標楷體" w:hint="eastAsia"/>
          <w:spacing w:val="-2"/>
          <w:sz w:val="24"/>
          <w:szCs w:val="28"/>
        </w:rPr>
        <w:t xml:space="preserve"> and money growth momentum. </w:t>
      </w:r>
      <w:r w:rsidR="003A32E1" w:rsidRPr="007F6F77">
        <w:rPr>
          <w:rFonts w:ascii="Times New Roman" w:eastAsia="標楷體" w:hint="eastAsia"/>
          <w:spacing w:val="-2"/>
          <w:sz w:val="24"/>
          <w:szCs w:val="28"/>
        </w:rPr>
        <w:t>Therefore</w:t>
      </w:r>
      <w:r w:rsidR="000A5575" w:rsidRPr="007F6F77">
        <w:rPr>
          <w:rFonts w:ascii="Times New Roman" w:eastAsia="標楷體" w:hint="eastAsia"/>
          <w:spacing w:val="-2"/>
          <w:sz w:val="24"/>
          <w:szCs w:val="28"/>
        </w:rPr>
        <w:t>, it is proposed that the 201</w:t>
      </w:r>
      <w:r w:rsidR="002C4A72" w:rsidRPr="007F6F77">
        <w:rPr>
          <w:rFonts w:ascii="Times New Roman" w:eastAsia="標楷體" w:hint="eastAsia"/>
          <w:spacing w:val="-2"/>
          <w:sz w:val="24"/>
          <w:szCs w:val="28"/>
        </w:rPr>
        <w:t>9</w:t>
      </w:r>
      <w:r w:rsidR="000A5575" w:rsidRPr="007F6F77">
        <w:rPr>
          <w:rFonts w:ascii="Times New Roman" w:eastAsia="標楷體" w:hint="eastAsia"/>
          <w:spacing w:val="-2"/>
          <w:sz w:val="24"/>
          <w:szCs w:val="28"/>
        </w:rPr>
        <w:t xml:space="preserve"> M2 growth target range be </w:t>
      </w:r>
      <w:r w:rsidR="00D75320" w:rsidRPr="007F6F77">
        <w:rPr>
          <w:rFonts w:ascii="Times New Roman" w:eastAsia="標楷體" w:hint="eastAsia"/>
          <w:spacing w:val="-2"/>
          <w:sz w:val="24"/>
          <w:szCs w:val="28"/>
        </w:rPr>
        <w:t>maintained</w:t>
      </w:r>
      <w:r w:rsidR="000A5575" w:rsidRPr="007F6F77">
        <w:rPr>
          <w:rFonts w:ascii="Times New Roman" w:eastAsia="標楷體" w:hint="eastAsia"/>
          <w:spacing w:val="-2"/>
          <w:sz w:val="24"/>
          <w:szCs w:val="28"/>
        </w:rPr>
        <w:t xml:space="preserve"> at 2.5%-6.5%,</w:t>
      </w:r>
      <w:r w:rsidR="00D75320" w:rsidRPr="007F6F77">
        <w:rPr>
          <w:rFonts w:ascii="Times New Roman" w:eastAsia="標楷體" w:hint="eastAsia"/>
          <w:spacing w:val="-2"/>
          <w:sz w:val="24"/>
          <w:szCs w:val="28"/>
        </w:rPr>
        <w:t xml:space="preserve"> consistent with the CBC</w:t>
      </w:r>
      <w:r w:rsidR="00D75320" w:rsidRPr="007F6F77">
        <w:rPr>
          <w:rFonts w:ascii="Times New Roman" w:eastAsia="標楷體"/>
          <w:spacing w:val="-2"/>
          <w:sz w:val="24"/>
          <w:szCs w:val="28"/>
        </w:rPr>
        <w:t>’</w:t>
      </w:r>
      <w:r w:rsidR="00D75320" w:rsidRPr="007F6F77">
        <w:rPr>
          <w:rFonts w:ascii="Times New Roman" w:eastAsia="標楷體" w:hint="eastAsia"/>
          <w:spacing w:val="-2"/>
          <w:sz w:val="24"/>
          <w:szCs w:val="28"/>
        </w:rPr>
        <w:t xml:space="preserve">s </w:t>
      </w:r>
      <w:r w:rsidR="00170866" w:rsidRPr="007F6F77">
        <w:rPr>
          <w:rFonts w:ascii="Times New Roman" w:eastAsia="標楷體" w:hint="eastAsia"/>
          <w:spacing w:val="-2"/>
          <w:sz w:val="24"/>
          <w:szCs w:val="28"/>
        </w:rPr>
        <w:t xml:space="preserve">determined efforts to foster economic growth </w:t>
      </w:r>
      <w:r w:rsidR="002C4A72" w:rsidRPr="007F6F77">
        <w:rPr>
          <w:rFonts w:ascii="Times New Roman" w:eastAsia="標楷體" w:hint="eastAsia"/>
          <w:spacing w:val="-2"/>
          <w:sz w:val="24"/>
          <w:szCs w:val="28"/>
        </w:rPr>
        <w:t>through</w:t>
      </w:r>
      <w:r w:rsidR="00170866" w:rsidRPr="007F6F77">
        <w:rPr>
          <w:rFonts w:ascii="Times New Roman" w:eastAsia="標楷體" w:hint="eastAsia"/>
          <w:spacing w:val="-2"/>
          <w:sz w:val="24"/>
          <w:szCs w:val="28"/>
        </w:rPr>
        <w:t xml:space="preserve"> appropriate and accommodative monetary policy to sufficiently support private sector demand for funds. </w:t>
      </w:r>
      <w:r w:rsidR="003A32E1" w:rsidRPr="007F6F77">
        <w:rPr>
          <w:rFonts w:ascii="Times New Roman" w:eastAsia="標楷體" w:hint="eastAsia"/>
          <w:spacing w:val="-2"/>
          <w:sz w:val="24"/>
          <w:szCs w:val="28"/>
        </w:rPr>
        <w:t xml:space="preserve"> </w:t>
      </w:r>
    </w:p>
    <w:p w:rsidR="002750E3" w:rsidRPr="007F6F77" w:rsidRDefault="00243EFC" w:rsidP="003B5D04">
      <w:pPr>
        <w:pStyle w:val="6"/>
        <w:numPr>
          <w:ilvl w:val="0"/>
          <w:numId w:val="41"/>
        </w:numPr>
        <w:overflowPunct w:val="0"/>
        <w:snapToGrid w:val="0"/>
        <w:spacing w:after="0" w:line="440" w:lineRule="exact"/>
        <w:rPr>
          <w:rFonts w:ascii="Times New Roman" w:eastAsia="標楷體"/>
          <w:spacing w:val="-2"/>
          <w:sz w:val="24"/>
          <w:szCs w:val="28"/>
        </w:rPr>
      </w:pPr>
      <w:r w:rsidRPr="007F6F77">
        <w:rPr>
          <w:rFonts w:ascii="Times New Roman" w:eastAsia="標楷體" w:hint="eastAsia"/>
          <w:spacing w:val="-2"/>
          <w:sz w:val="24"/>
          <w:szCs w:val="28"/>
        </w:rPr>
        <w:t xml:space="preserve">In a </w:t>
      </w:r>
      <w:r w:rsidRPr="007F6F77">
        <w:rPr>
          <w:rFonts w:ascii="Times New Roman" w:eastAsia="標楷體"/>
          <w:spacing w:val="-2"/>
          <w:sz w:val="24"/>
          <w:szCs w:val="28"/>
        </w:rPr>
        <w:t>symposium</w:t>
      </w:r>
      <w:r w:rsidRPr="007F6F77">
        <w:rPr>
          <w:rFonts w:ascii="Times New Roman" w:eastAsia="標楷體" w:hint="eastAsia"/>
          <w:spacing w:val="-2"/>
          <w:sz w:val="24"/>
          <w:szCs w:val="28"/>
        </w:rPr>
        <w:t xml:space="preserve"> on the preliminary estimation of the 2019 M2 target range,</w:t>
      </w:r>
      <w:r w:rsidR="00DB69A2" w:rsidRPr="007F6F77">
        <w:rPr>
          <w:rFonts w:ascii="Times New Roman" w:eastAsia="標楷體"/>
          <w:spacing w:val="-2"/>
          <w:sz w:val="24"/>
          <w:szCs w:val="28"/>
        </w:rPr>
        <w:t xml:space="preserve"> held </w:t>
      </w:r>
      <w:r w:rsidRPr="007F6F77">
        <w:rPr>
          <w:rFonts w:ascii="Times New Roman" w:eastAsia="標楷體" w:hint="eastAsia"/>
          <w:spacing w:val="-2"/>
          <w:sz w:val="24"/>
          <w:szCs w:val="28"/>
        </w:rPr>
        <w:t>at</w:t>
      </w:r>
      <w:r w:rsidR="00DB69A2" w:rsidRPr="007F6F77">
        <w:rPr>
          <w:rFonts w:ascii="Times New Roman" w:eastAsia="標楷體"/>
          <w:spacing w:val="-2"/>
          <w:sz w:val="24"/>
          <w:szCs w:val="28"/>
        </w:rPr>
        <w:t xml:space="preserve"> the </w:t>
      </w:r>
      <w:r w:rsidR="002750E3" w:rsidRPr="007F6F77">
        <w:rPr>
          <w:rFonts w:ascii="Times New Roman" w:eastAsia="標楷體" w:hint="eastAsia"/>
          <w:spacing w:val="-2"/>
          <w:sz w:val="24"/>
          <w:szCs w:val="28"/>
        </w:rPr>
        <w:t>CBC</w:t>
      </w:r>
      <w:r w:rsidR="00DB69A2" w:rsidRPr="007F6F77">
        <w:rPr>
          <w:rFonts w:ascii="Times New Roman" w:eastAsia="標楷體"/>
          <w:spacing w:val="-2"/>
          <w:sz w:val="24"/>
          <w:szCs w:val="28"/>
        </w:rPr>
        <w:t xml:space="preserve"> </w:t>
      </w:r>
      <w:r w:rsidRPr="007F6F77">
        <w:rPr>
          <w:rFonts w:ascii="Times New Roman" w:eastAsia="標楷體" w:hint="eastAsia"/>
          <w:spacing w:val="-2"/>
          <w:sz w:val="24"/>
          <w:szCs w:val="28"/>
        </w:rPr>
        <w:t>on</w:t>
      </w:r>
      <w:r w:rsidR="00DB69A2" w:rsidRPr="007F6F77">
        <w:rPr>
          <w:rFonts w:ascii="Times New Roman" w:eastAsia="標楷體"/>
          <w:spacing w:val="-2"/>
          <w:sz w:val="24"/>
          <w:szCs w:val="28"/>
        </w:rPr>
        <w:t xml:space="preserve"> December </w:t>
      </w:r>
      <w:r w:rsidR="002750E3" w:rsidRPr="007F6F77">
        <w:rPr>
          <w:rFonts w:ascii="Times New Roman" w:eastAsia="標楷體" w:hint="eastAsia"/>
          <w:spacing w:val="-2"/>
          <w:sz w:val="24"/>
          <w:szCs w:val="28"/>
        </w:rPr>
        <w:t xml:space="preserve">7, </w:t>
      </w:r>
      <w:r w:rsidR="00DB69A2" w:rsidRPr="007F6F77">
        <w:rPr>
          <w:rFonts w:ascii="Times New Roman" w:eastAsia="標楷體"/>
          <w:spacing w:val="-2"/>
          <w:sz w:val="24"/>
          <w:szCs w:val="28"/>
        </w:rPr>
        <w:t>201</w:t>
      </w:r>
      <w:r w:rsidR="002750E3" w:rsidRPr="007F6F77">
        <w:rPr>
          <w:rFonts w:ascii="Times New Roman" w:eastAsia="標楷體" w:hint="eastAsia"/>
          <w:spacing w:val="-2"/>
          <w:sz w:val="24"/>
          <w:szCs w:val="28"/>
        </w:rPr>
        <w:t xml:space="preserve">8, </w:t>
      </w:r>
      <w:r w:rsidR="00984C7D" w:rsidRPr="007F6F77">
        <w:rPr>
          <w:rFonts w:ascii="Times New Roman" w:eastAsia="標楷體" w:hint="eastAsia"/>
          <w:spacing w:val="-2"/>
          <w:sz w:val="24"/>
          <w:szCs w:val="28"/>
        </w:rPr>
        <w:t xml:space="preserve">the </w:t>
      </w:r>
      <w:r w:rsidR="00984C7D" w:rsidRPr="007F6F77">
        <w:rPr>
          <w:rFonts w:ascii="Times New Roman" w:eastAsia="標楷體"/>
          <w:spacing w:val="-2"/>
          <w:sz w:val="24"/>
          <w:szCs w:val="28"/>
        </w:rPr>
        <w:t>participat</w:t>
      </w:r>
      <w:r w:rsidR="00984C7D" w:rsidRPr="007F6F77">
        <w:rPr>
          <w:rFonts w:ascii="Times New Roman" w:eastAsia="標楷體" w:hint="eastAsia"/>
          <w:spacing w:val="-2"/>
          <w:sz w:val="24"/>
          <w:szCs w:val="28"/>
        </w:rPr>
        <w:t>ing</w:t>
      </w:r>
      <w:r w:rsidR="00984C7D" w:rsidRPr="007F6F77">
        <w:rPr>
          <w:rFonts w:ascii="Times New Roman" w:eastAsia="標楷體"/>
          <w:spacing w:val="-2"/>
          <w:sz w:val="24"/>
          <w:szCs w:val="28"/>
        </w:rPr>
        <w:t xml:space="preserve"> academics and experts</w:t>
      </w:r>
      <w:r w:rsidR="002750E3" w:rsidRPr="007F6F77">
        <w:rPr>
          <w:rFonts w:ascii="Times New Roman" w:eastAsia="標楷體" w:hint="eastAsia"/>
          <w:spacing w:val="-2"/>
          <w:sz w:val="24"/>
          <w:szCs w:val="28"/>
        </w:rPr>
        <w:t xml:space="preserve"> </w:t>
      </w:r>
      <w:r w:rsidR="00BA6FE3" w:rsidRPr="007F6F77">
        <w:rPr>
          <w:rFonts w:ascii="Times New Roman" w:eastAsia="標楷體" w:hint="eastAsia"/>
          <w:spacing w:val="-2"/>
          <w:sz w:val="24"/>
          <w:szCs w:val="28"/>
        </w:rPr>
        <w:t>gave the opinion</w:t>
      </w:r>
      <w:r w:rsidR="002750E3" w:rsidRPr="007F6F77">
        <w:rPr>
          <w:rFonts w:ascii="Times New Roman" w:eastAsia="標楷體" w:hint="eastAsia"/>
          <w:spacing w:val="-2"/>
          <w:sz w:val="24"/>
          <w:szCs w:val="28"/>
        </w:rPr>
        <w:t xml:space="preserve"> that, in view of </w:t>
      </w:r>
      <w:r w:rsidR="003B5D04" w:rsidRPr="007F6F77">
        <w:rPr>
          <w:rFonts w:ascii="Times New Roman" w:eastAsia="標楷體" w:hint="eastAsia"/>
          <w:spacing w:val="-2"/>
          <w:sz w:val="24"/>
          <w:szCs w:val="28"/>
        </w:rPr>
        <w:t xml:space="preserve">the downward revision of </w:t>
      </w:r>
      <w:r w:rsidR="002750E3" w:rsidRPr="007F6F77">
        <w:rPr>
          <w:rFonts w:ascii="Times New Roman" w:eastAsia="標楷體" w:hint="eastAsia"/>
          <w:spacing w:val="-2"/>
          <w:sz w:val="24"/>
          <w:szCs w:val="28"/>
        </w:rPr>
        <w:t xml:space="preserve">the </w:t>
      </w:r>
      <w:r w:rsidR="003B5D04" w:rsidRPr="007F6F77">
        <w:rPr>
          <w:rFonts w:ascii="Times New Roman" w:eastAsia="標楷體" w:hint="eastAsia"/>
          <w:spacing w:val="-2"/>
          <w:sz w:val="24"/>
          <w:szCs w:val="28"/>
        </w:rPr>
        <w:t>projections</w:t>
      </w:r>
      <w:r w:rsidR="002750E3" w:rsidRPr="007F6F77">
        <w:rPr>
          <w:rFonts w:ascii="Times New Roman" w:eastAsia="標楷體" w:hint="eastAsia"/>
          <w:spacing w:val="-2"/>
          <w:sz w:val="24"/>
          <w:szCs w:val="28"/>
        </w:rPr>
        <w:t xml:space="preserve"> </w:t>
      </w:r>
      <w:r w:rsidR="003B5D04" w:rsidRPr="007F6F77">
        <w:rPr>
          <w:rFonts w:ascii="Times New Roman" w:eastAsia="標楷體" w:hint="eastAsia"/>
          <w:spacing w:val="-2"/>
          <w:sz w:val="24"/>
          <w:szCs w:val="28"/>
        </w:rPr>
        <w:t>for</w:t>
      </w:r>
      <w:r w:rsidR="002750E3" w:rsidRPr="007F6F77">
        <w:rPr>
          <w:rFonts w:ascii="Times New Roman" w:eastAsia="標楷體" w:hint="eastAsia"/>
          <w:spacing w:val="-2"/>
          <w:sz w:val="24"/>
          <w:szCs w:val="28"/>
        </w:rPr>
        <w:t xml:space="preserve"> the 2019 dom</w:t>
      </w:r>
      <w:r w:rsidR="003B5D04" w:rsidRPr="007F6F77">
        <w:rPr>
          <w:rFonts w:ascii="Times New Roman" w:eastAsia="標楷體" w:hint="eastAsia"/>
          <w:spacing w:val="-2"/>
          <w:sz w:val="24"/>
          <w:szCs w:val="28"/>
        </w:rPr>
        <w:t xml:space="preserve">estic economic growth rate by most forecasting institutions at home and abroad, it </w:t>
      </w:r>
      <w:r w:rsidRPr="007F6F77">
        <w:rPr>
          <w:rFonts w:ascii="Times New Roman" w:eastAsia="標楷體" w:hint="eastAsia"/>
          <w:spacing w:val="-2"/>
          <w:sz w:val="24"/>
          <w:szCs w:val="28"/>
        </w:rPr>
        <w:t>would be</w:t>
      </w:r>
      <w:r w:rsidR="003B5D04" w:rsidRPr="007F6F77">
        <w:rPr>
          <w:rFonts w:ascii="Times New Roman" w:eastAsia="標楷體" w:hint="eastAsia"/>
          <w:spacing w:val="-2"/>
          <w:sz w:val="24"/>
          <w:szCs w:val="28"/>
        </w:rPr>
        <w:t xml:space="preserve"> </w:t>
      </w:r>
      <w:r w:rsidR="003B5D04" w:rsidRPr="007F6F77">
        <w:rPr>
          <w:rFonts w:ascii="Times New Roman" w:eastAsia="標楷體"/>
          <w:spacing w:val="-2"/>
          <w:sz w:val="24"/>
          <w:szCs w:val="28"/>
        </w:rPr>
        <w:t>appropriate</w:t>
      </w:r>
      <w:r w:rsidR="003B5D04" w:rsidRPr="007F6F77">
        <w:rPr>
          <w:rFonts w:ascii="Times New Roman" w:eastAsia="標楷體" w:hint="eastAsia"/>
          <w:spacing w:val="-2"/>
          <w:sz w:val="24"/>
          <w:szCs w:val="28"/>
        </w:rPr>
        <w:t xml:space="preserve"> to </w:t>
      </w:r>
      <w:r w:rsidR="003B5D04" w:rsidRPr="007F6F77">
        <w:rPr>
          <w:rFonts w:ascii="Times New Roman" w:eastAsia="標楷體" w:hint="eastAsia"/>
          <w:spacing w:val="-2"/>
          <w:sz w:val="24"/>
          <w:szCs w:val="28"/>
        </w:rPr>
        <w:lastRenderedPageBreak/>
        <w:t xml:space="preserve">set the 2019 M2 growth target range at 2.5%-6.5%. </w:t>
      </w:r>
    </w:p>
    <w:p w:rsidR="003B5D04" w:rsidRPr="007F6F77" w:rsidRDefault="003B5D04" w:rsidP="003B5D04">
      <w:pPr>
        <w:pStyle w:val="6"/>
        <w:numPr>
          <w:ilvl w:val="0"/>
          <w:numId w:val="41"/>
        </w:numPr>
        <w:overflowPunct w:val="0"/>
        <w:snapToGrid w:val="0"/>
        <w:spacing w:after="0" w:line="440" w:lineRule="exact"/>
        <w:rPr>
          <w:rFonts w:ascii="Times New Roman" w:eastAsia="標楷體"/>
          <w:spacing w:val="-2"/>
          <w:sz w:val="24"/>
          <w:szCs w:val="28"/>
        </w:rPr>
      </w:pPr>
      <w:r w:rsidRPr="007F6F77">
        <w:rPr>
          <w:rFonts w:ascii="Times New Roman" w:eastAsia="標楷體" w:hint="eastAsia"/>
          <w:spacing w:val="-2"/>
          <w:sz w:val="24"/>
          <w:szCs w:val="28"/>
        </w:rPr>
        <w:t xml:space="preserve">Primary considerations for maintaining the M2 growth target range at 2.5%-6.5% in 2019: </w:t>
      </w:r>
    </w:p>
    <w:p w:rsidR="00D84CB2" w:rsidRPr="007F6F77" w:rsidRDefault="00D84CB2" w:rsidP="003B5D04">
      <w:pPr>
        <w:pStyle w:val="6"/>
        <w:numPr>
          <w:ilvl w:val="1"/>
          <w:numId w:val="40"/>
        </w:numPr>
        <w:overflowPunct w:val="0"/>
        <w:snapToGrid w:val="0"/>
        <w:spacing w:after="0" w:line="440" w:lineRule="exact"/>
        <w:ind w:left="851" w:hanging="371"/>
        <w:rPr>
          <w:rFonts w:ascii="Times New Roman" w:eastAsia="標楷體"/>
          <w:spacing w:val="-2"/>
          <w:sz w:val="24"/>
          <w:szCs w:val="28"/>
        </w:rPr>
      </w:pPr>
      <w:r w:rsidRPr="007F6F77">
        <w:rPr>
          <w:rFonts w:ascii="Times New Roman" w:eastAsia="標楷體" w:hint="eastAsia"/>
          <w:spacing w:val="-2"/>
          <w:sz w:val="24"/>
          <w:szCs w:val="28"/>
        </w:rPr>
        <w:t xml:space="preserve">The recent reading according to the financial conditions index compiled by the CBC indicated tightened conditions.  </w:t>
      </w:r>
    </w:p>
    <w:p w:rsidR="00D84CB2" w:rsidRPr="007F6F77" w:rsidRDefault="009A6A30" w:rsidP="003B5D04">
      <w:pPr>
        <w:pStyle w:val="6"/>
        <w:numPr>
          <w:ilvl w:val="1"/>
          <w:numId w:val="40"/>
        </w:numPr>
        <w:overflowPunct w:val="0"/>
        <w:snapToGrid w:val="0"/>
        <w:spacing w:after="0" w:line="440" w:lineRule="exact"/>
        <w:ind w:left="851" w:hanging="371"/>
        <w:rPr>
          <w:rFonts w:ascii="Times New Roman" w:eastAsia="標楷體"/>
          <w:spacing w:val="-2"/>
          <w:sz w:val="24"/>
          <w:szCs w:val="28"/>
        </w:rPr>
      </w:pPr>
      <w:r w:rsidRPr="007F6F77">
        <w:rPr>
          <w:rFonts w:ascii="Times New Roman" w:eastAsia="標楷體" w:hint="eastAsia"/>
          <w:spacing w:val="-2"/>
          <w:sz w:val="24"/>
          <w:szCs w:val="28"/>
        </w:rPr>
        <w:t xml:space="preserve">It is expected that the domestic economic and inflation growth rates next year would both register lower than this year. </w:t>
      </w:r>
    </w:p>
    <w:p w:rsidR="009A6A30" w:rsidRPr="007F6F77" w:rsidRDefault="009A6A30" w:rsidP="003B5D04">
      <w:pPr>
        <w:pStyle w:val="6"/>
        <w:numPr>
          <w:ilvl w:val="1"/>
          <w:numId w:val="40"/>
        </w:numPr>
        <w:overflowPunct w:val="0"/>
        <w:snapToGrid w:val="0"/>
        <w:spacing w:after="0" w:line="440" w:lineRule="exact"/>
        <w:ind w:left="851" w:hanging="371"/>
        <w:rPr>
          <w:rFonts w:ascii="Times New Roman" w:eastAsia="標楷體"/>
          <w:spacing w:val="-2"/>
          <w:sz w:val="24"/>
          <w:szCs w:val="28"/>
        </w:rPr>
      </w:pPr>
      <w:r w:rsidRPr="007F6F77">
        <w:rPr>
          <w:rFonts w:ascii="Times New Roman" w:eastAsia="標楷體" w:hint="eastAsia"/>
          <w:spacing w:val="-2"/>
          <w:sz w:val="24"/>
          <w:szCs w:val="28"/>
        </w:rPr>
        <w:t>Headwinds to the global economy from US-China trade conflicts could dampen Taiwan</w:t>
      </w:r>
      <w:r w:rsidRPr="007F6F77">
        <w:rPr>
          <w:rFonts w:ascii="Times New Roman" w:eastAsia="標楷體"/>
          <w:spacing w:val="-2"/>
          <w:sz w:val="24"/>
          <w:szCs w:val="28"/>
        </w:rPr>
        <w:t>’</w:t>
      </w:r>
      <w:r w:rsidRPr="007F6F77">
        <w:rPr>
          <w:rFonts w:ascii="Times New Roman" w:eastAsia="標楷體" w:hint="eastAsia"/>
          <w:spacing w:val="-2"/>
          <w:sz w:val="24"/>
          <w:szCs w:val="28"/>
        </w:rPr>
        <w:t xml:space="preserve">s export performance and weigh on corporate investment and consumer confidence, which would combine to </w:t>
      </w:r>
      <w:r w:rsidR="008D3176" w:rsidRPr="007F6F77">
        <w:rPr>
          <w:rFonts w:ascii="Times New Roman" w:eastAsia="標楷體" w:hint="eastAsia"/>
          <w:spacing w:val="-2"/>
          <w:sz w:val="24"/>
          <w:szCs w:val="28"/>
        </w:rPr>
        <w:t>disrupt</w:t>
      </w:r>
      <w:r w:rsidRPr="007F6F77">
        <w:rPr>
          <w:rFonts w:ascii="Times New Roman" w:eastAsia="標楷體" w:hint="eastAsia"/>
          <w:spacing w:val="-2"/>
          <w:sz w:val="24"/>
          <w:szCs w:val="28"/>
        </w:rPr>
        <w:t xml:space="preserve"> domestic economic growth momentum.  </w:t>
      </w:r>
    </w:p>
    <w:p w:rsidR="00ED4B07" w:rsidRPr="007F6F77" w:rsidRDefault="009A6A30" w:rsidP="00277079">
      <w:pPr>
        <w:pStyle w:val="6"/>
        <w:numPr>
          <w:ilvl w:val="1"/>
          <w:numId w:val="40"/>
        </w:numPr>
        <w:overflowPunct w:val="0"/>
        <w:snapToGrid w:val="0"/>
        <w:spacing w:after="0" w:line="440" w:lineRule="exact"/>
        <w:ind w:left="851" w:hanging="371"/>
        <w:rPr>
          <w:rFonts w:ascii="Times New Roman" w:eastAsia="標楷體"/>
          <w:spacing w:val="-2"/>
          <w:sz w:val="24"/>
          <w:szCs w:val="28"/>
        </w:rPr>
      </w:pPr>
      <w:r w:rsidRPr="007F6F77">
        <w:rPr>
          <w:rFonts w:ascii="Times New Roman" w:eastAsia="標楷體" w:hint="eastAsia"/>
          <w:spacing w:val="-2"/>
          <w:sz w:val="24"/>
          <w:szCs w:val="28"/>
        </w:rPr>
        <w:t xml:space="preserve">Continued divergence in monetary policy among major economies could lead to frequent </w:t>
      </w:r>
      <w:r w:rsidR="00277079" w:rsidRPr="007F6F77">
        <w:rPr>
          <w:rFonts w:ascii="Times New Roman" w:eastAsia="標楷體" w:hint="eastAsia"/>
          <w:spacing w:val="-2"/>
          <w:sz w:val="24"/>
          <w:szCs w:val="28"/>
        </w:rPr>
        <w:t xml:space="preserve">cross-border capital flows, accompanied by </w:t>
      </w:r>
      <w:r w:rsidR="00332515" w:rsidRPr="007F6F77">
        <w:rPr>
          <w:rFonts w:ascii="Times New Roman" w:eastAsia="標楷體" w:hint="eastAsia"/>
          <w:spacing w:val="-2"/>
          <w:sz w:val="24"/>
          <w:szCs w:val="28"/>
        </w:rPr>
        <w:t xml:space="preserve">an </w:t>
      </w:r>
      <w:r w:rsidR="00277079" w:rsidRPr="007F6F77">
        <w:rPr>
          <w:rFonts w:ascii="Times New Roman" w:eastAsia="標楷體" w:hint="eastAsia"/>
          <w:spacing w:val="-2"/>
          <w:sz w:val="24"/>
          <w:szCs w:val="28"/>
        </w:rPr>
        <w:t xml:space="preserve">apparent </w:t>
      </w:r>
      <w:r w:rsidR="00332515" w:rsidRPr="007F6F77">
        <w:rPr>
          <w:rFonts w:ascii="Times New Roman" w:eastAsia="標楷體" w:hint="eastAsia"/>
          <w:spacing w:val="-2"/>
          <w:sz w:val="24"/>
          <w:szCs w:val="28"/>
        </w:rPr>
        <w:t>impact</w:t>
      </w:r>
      <w:r w:rsidR="00277079" w:rsidRPr="007F6F77">
        <w:rPr>
          <w:rFonts w:ascii="Times New Roman" w:eastAsia="標楷體" w:hint="eastAsia"/>
          <w:spacing w:val="-2"/>
          <w:sz w:val="24"/>
          <w:szCs w:val="28"/>
        </w:rPr>
        <w:t xml:space="preserve"> on domestic M2 growth.</w:t>
      </w:r>
      <w:r w:rsidR="00246C14" w:rsidRPr="007F6F77">
        <w:rPr>
          <w:rFonts w:ascii="Times New Roman" w:eastAsia="標楷體" w:hint="eastAsia"/>
          <w:spacing w:val="-2"/>
          <w:sz w:val="24"/>
          <w:szCs w:val="28"/>
        </w:rPr>
        <w:t xml:space="preserve"> </w:t>
      </w:r>
    </w:p>
    <w:p w:rsidR="00F82120" w:rsidRPr="007F6F77" w:rsidRDefault="009B2560" w:rsidP="00277079">
      <w:pPr>
        <w:numPr>
          <w:ilvl w:val="0"/>
          <w:numId w:val="4"/>
        </w:numPr>
        <w:overflowPunct w:val="0"/>
        <w:autoSpaceDE w:val="0"/>
        <w:autoSpaceDN w:val="0"/>
        <w:snapToGrid w:val="0"/>
        <w:spacing w:before="120" w:line="440" w:lineRule="exact"/>
        <w:ind w:left="426" w:hanging="284"/>
        <w:jc w:val="both"/>
        <w:textDirection w:val="lrTbV"/>
        <w:rPr>
          <w:rFonts w:eastAsia="標楷體"/>
          <w:spacing w:val="-2"/>
          <w:sz w:val="24"/>
          <w:szCs w:val="28"/>
        </w:rPr>
      </w:pPr>
      <w:r w:rsidRPr="007F6F77">
        <w:rPr>
          <w:rFonts w:eastAsia="標楷體" w:hint="eastAsia"/>
          <w:spacing w:val="-2"/>
          <w:sz w:val="24"/>
          <w:szCs w:val="28"/>
        </w:rPr>
        <w:t>In view of</w:t>
      </w:r>
      <w:r w:rsidR="00277079" w:rsidRPr="007F6F77">
        <w:rPr>
          <w:rFonts w:eastAsia="標楷體" w:hint="eastAsia"/>
          <w:spacing w:val="-2"/>
          <w:sz w:val="24"/>
          <w:szCs w:val="28"/>
        </w:rPr>
        <w:t xml:space="preserve"> persisting</w:t>
      </w:r>
      <w:r w:rsidRPr="007F6F77">
        <w:rPr>
          <w:rFonts w:eastAsia="標楷體" w:hint="eastAsia"/>
          <w:spacing w:val="-2"/>
          <w:sz w:val="24"/>
          <w:szCs w:val="28"/>
        </w:rPr>
        <w:t xml:space="preserve"> uncertainties over the economic and financial conditions at home and abroad next year, the </w:t>
      </w:r>
      <w:r w:rsidR="00277079" w:rsidRPr="007F6F77">
        <w:rPr>
          <w:rFonts w:eastAsia="標楷體" w:hint="eastAsia"/>
          <w:spacing w:val="-2"/>
          <w:sz w:val="24"/>
          <w:szCs w:val="28"/>
        </w:rPr>
        <w:t>CBC</w:t>
      </w:r>
      <w:r w:rsidRPr="007F6F77">
        <w:rPr>
          <w:rFonts w:eastAsia="標楷體" w:hint="eastAsia"/>
          <w:spacing w:val="-2"/>
          <w:sz w:val="24"/>
          <w:szCs w:val="28"/>
        </w:rPr>
        <w:t xml:space="preserve"> will, as usual, </w:t>
      </w:r>
      <w:r w:rsidR="008D3176" w:rsidRPr="007F6F77">
        <w:rPr>
          <w:rFonts w:eastAsia="標楷體" w:hint="eastAsia"/>
          <w:spacing w:val="-2"/>
          <w:sz w:val="24"/>
          <w:szCs w:val="28"/>
        </w:rPr>
        <w:t xml:space="preserve">give a mid-year </w:t>
      </w:r>
      <w:r w:rsidR="00F82120" w:rsidRPr="007F6F77">
        <w:rPr>
          <w:rFonts w:eastAsia="標楷體"/>
          <w:spacing w:val="-2"/>
          <w:sz w:val="24"/>
          <w:szCs w:val="28"/>
        </w:rPr>
        <w:t>review and assess</w:t>
      </w:r>
      <w:r w:rsidR="008D3176" w:rsidRPr="007F6F77">
        <w:rPr>
          <w:rFonts w:eastAsia="標楷體" w:hint="eastAsia"/>
          <w:spacing w:val="-2"/>
          <w:sz w:val="24"/>
          <w:szCs w:val="28"/>
        </w:rPr>
        <w:t>ment of</w:t>
      </w:r>
      <w:r w:rsidR="00F82120" w:rsidRPr="007F6F77">
        <w:rPr>
          <w:rFonts w:eastAsia="標楷體"/>
          <w:spacing w:val="-2"/>
          <w:sz w:val="24"/>
          <w:szCs w:val="28"/>
        </w:rPr>
        <w:t xml:space="preserve"> the M2 growth target </w:t>
      </w:r>
      <w:r w:rsidR="008D3176" w:rsidRPr="007F6F77">
        <w:rPr>
          <w:rFonts w:eastAsia="標楷體" w:hint="eastAsia"/>
          <w:spacing w:val="-2"/>
          <w:sz w:val="24"/>
          <w:szCs w:val="28"/>
        </w:rPr>
        <w:t>while</w:t>
      </w:r>
      <w:r w:rsidR="00D602B9" w:rsidRPr="007F6F77">
        <w:rPr>
          <w:rFonts w:eastAsia="標楷體" w:hint="eastAsia"/>
          <w:spacing w:val="-2"/>
          <w:sz w:val="24"/>
          <w:szCs w:val="28"/>
        </w:rPr>
        <w:t xml:space="preserve"> continu</w:t>
      </w:r>
      <w:r w:rsidR="008D3176" w:rsidRPr="007F6F77">
        <w:rPr>
          <w:rFonts w:eastAsia="標楷體" w:hint="eastAsia"/>
          <w:spacing w:val="-2"/>
          <w:sz w:val="24"/>
          <w:szCs w:val="28"/>
        </w:rPr>
        <w:t>ing</w:t>
      </w:r>
      <w:r w:rsidR="00D602B9" w:rsidRPr="007F6F77">
        <w:rPr>
          <w:rFonts w:eastAsia="標楷體" w:hint="eastAsia"/>
          <w:spacing w:val="-2"/>
          <w:sz w:val="24"/>
          <w:szCs w:val="28"/>
        </w:rPr>
        <w:t xml:space="preserve"> </w:t>
      </w:r>
      <w:r w:rsidR="00277079" w:rsidRPr="007F6F77">
        <w:rPr>
          <w:rFonts w:eastAsia="標楷體" w:hint="eastAsia"/>
          <w:spacing w:val="-2"/>
          <w:sz w:val="24"/>
          <w:szCs w:val="28"/>
        </w:rPr>
        <w:t xml:space="preserve">with attention </w:t>
      </w:r>
      <w:r w:rsidR="00B70D04" w:rsidRPr="007F6F77">
        <w:rPr>
          <w:rFonts w:eastAsia="標楷體" w:hint="eastAsia"/>
          <w:spacing w:val="-2"/>
          <w:sz w:val="24"/>
          <w:szCs w:val="28"/>
        </w:rPr>
        <w:t xml:space="preserve">to </w:t>
      </w:r>
      <w:r w:rsidR="00277079" w:rsidRPr="007F6F77">
        <w:rPr>
          <w:rFonts w:eastAsia="標楷體" w:hint="eastAsia"/>
          <w:spacing w:val="-2"/>
          <w:sz w:val="24"/>
          <w:szCs w:val="28"/>
        </w:rPr>
        <w:t xml:space="preserve">and </w:t>
      </w:r>
      <w:r w:rsidR="008D3176" w:rsidRPr="007F6F77">
        <w:rPr>
          <w:rFonts w:eastAsia="標楷體" w:hint="eastAsia"/>
          <w:spacing w:val="-2"/>
          <w:sz w:val="24"/>
          <w:szCs w:val="28"/>
        </w:rPr>
        <w:t>research</w:t>
      </w:r>
      <w:r w:rsidR="00D602B9" w:rsidRPr="007F6F77">
        <w:rPr>
          <w:rFonts w:eastAsia="標楷體" w:hint="eastAsia"/>
          <w:spacing w:val="-2"/>
          <w:sz w:val="24"/>
          <w:szCs w:val="28"/>
        </w:rPr>
        <w:t xml:space="preserve"> on improving</w:t>
      </w:r>
      <w:r w:rsidR="00B70D04" w:rsidRPr="007F6F77">
        <w:rPr>
          <w:rFonts w:eastAsia="標楷體" w:hint="eastAsia"/>
          <w:spacing w:val="-2"/>
          <w:sz w:val="24"/>
          <w:szCs w:val="28"/>
        </w:rPr>
        <w:t xml:space="preserve"> </w:t>
      </w:r>
      <w:r w:rsidR="008D3176" w:rsidRPr="007F6F77">
        <w:rPr>
          <w:rFonts w:eastAsia="標楷體" w:hint="eastAsia"/>
          <w:spacing w:val="-2"/>
          <w:sz w:val="24"/>
          <w:szCs w:val="28"/>
        </w:rPr>
        <w:t xml:space="preserve">the </w:t>
      </w:r>
      <w:r w:rsidR="00B70D04" w:rsidRPr="007F6F77">
        <w:rPr>
          <w:rFonts w:eastAsia="標楷體" w:hint="eastAsia"/>
          <w:spacing w:val="-2"/>
          <w:sz w:val="24"/>
          <w:szCs w:val="28"/>
        </w:rPr>
        <w:t>money demand function</w:t>
      </w:r>
      <w:r w:rsidR="00872FAD" w:rsidRPr="007F6F77">
        <w:rPr>
          <w:rFonts w:eastAsia="標楷體" w:hint="eastAsia"/>
          <w:spacing w:val="-2"/>
          <w:sz w:val="24"/>
          <w:szCs w:val="28"/>
        </w:rPr>
        <w:t xml:space="preserve"> estimation and related issues</w:t>
      </w:r>
      <w:r w:rsidR="00B70D04" w:rsidRPr="007F6F77">
        <w:rPr>
          <w:rFonts w:eastAsia="標楷體" w:hint="eastAsia"/>
          <w:spacing w:val="-2"/>
          <w:sz w:val="24"/>
          <w:szCs w:val="28"/>
        </w:rPr>
        <w:t xml:space="preserve">. </w:t>
      </w:r>
    </w:p>
    <w:p w:rsidR="00AA6988" w:rsidRPr="007F6F77" w:rsidRDefault="008F7E41" w:rsidP="00FA173A">
      <w:pPr>
        <w:adjustRightInd/>
        <w:snapToGrid w:val="0"/>
        <w:spacing w:before="120" w:line="440" w:lineRule="exact"/>
        <w:jc w:val="both"/>
        <w:textDirection w:val="lrTbV"/>
        <w:rPr>
          <w:rFonts w:eastAsia="標楷體"/>
          <w:sz w:val="28"/>
          <w:szCs w:val="28"/>
        </w:rPr>
      </w:pPr>
      <w:bookmarkStart w:id="0" w:name="_Hlk503738431"/>
      <w:r w:rsidRPr="007F6F77">
        <w:rPr>
          <w:rFonts w:eastAsia="標楷體"/>
          <w:b/>
          <w:sz w:val="28"/>
          <w:szCs w:val="28"/>
        </w:rPr>
        <w:t>I</w:t>
      </w:r>
      <w:r w:rsidR="001D5621" w:rsidRPr="007F6F77">
        <w:rPr>
          <w:rFonts w:eastAsia="標楷體" w:hint="eastAsia"/>
          <w:b/>
          <w:sz w:val="28"/>
          <w:szCs w:val="28"/>
        </w:rPr>
        <w:t>I</w:t>
      </w:r>
      <w:r w:rsidRPr="007F6F77">
        <w:rPr>
          <w:rFonts w:eastAsia="標楷體"/>
          <w:b/>
          <w:sz w:val="28"/>
          <w:szCs w:val="28"/>
        </w:rPr>
        <w:t xml:space="preserve">. </w:t>
      </w:r>
      <w:r w:rsidR="00F82120" w:rsidRPr="007F6F77">
        <w:rPr>
          <w:rFonts w:eastAsia="標楷體" w:hint="eastAsia"/>
          <w:b/>
          <w:sz w:val="28"/>
          <w:szCs w:val="28"/>
        </w:rPr>
        <w:t>Di</w:t>
      </w:r>
      <w:r w:rsidR="0067400B" w:rsidRPr="007F6F77">
        <w:rPr>
          <w:rFonts w:eastAsia="標楷體"/>
          <w:b/>
          <w:sz w:val="28"/>
          <w:szCs w:val="28"/>
        </w:rPr>
        <w:t xml:space="preserve">scussion </w:t>
      </w:r>
      <w:r w:rsidR="0067400B" w:rsidRPr="007F6F77">
        <w:rPr>
          <w:rFonts w:eastAsia="標楷體" w:hint="eastAsia"/>
          <w:b/>
          <w:sz w:val="28"/>
          <w:szCs w:val="28"/>
        </w:rPr>
        <w:t>a</w:t>
      </w:r>
      <w:r w:rsidRPr="007F6F77">
        <w:rPr>
          <w:rFonts w:eastAsia="標楷體"/>
          <w:b/>
          <w:sz w:val="28"/>
          <w:szCs w:val="28"/>
        </w:rPr>
        <w:t xml:space="preserve">nd decision </w:t>
      </w:r>
      <w:r w:rsidR="0067400B" w:rsidRPr="007F6F77">
        <w:rPr>
          <w:rFonts w:eastAsia="標楷體" w:hint="eastAsia"/>
          <w:b/>
          <w:sz w:val="28"/>
          <w:szCs w:val="28"/>
        </w:rPr>
        <w:t>o</w:t>
      </w:r>
      <w:r w:rsidR="0067400B" w:rsidRPr="007F6F77">
        <w:rPr>
          <w:rFonts w:eastAsia="標楷體"/>
          <w:b/>
          <w:sz w:val="28"/>
          <w:szCs w:val="28"/>
        </w:rPr>
        <w:t xml:space="preserve">n </w:t>
      </w:r>
      <w:r w:rsidR="0067400B" w:rsidRPr="007F6F77">
        <w:rPr>
          <w:rFonts w:eastAsia="標楷體" w:hint="eastAsia"/>
          <w:b/>
          <w:sz w:val="28"/>
          <w:szCs w:val="28"/>
        </w:rPr>
        <w:t>t</w:t>
      </w:r>
      <w:r w:rsidR="0067400B" w:rsidRPr="007F6F77">
        <w:rPr>
          <w:rFonts w:eastAsia="標楷體"/>
          <w:b/>
          <w:sz w:val="28"/>
          <w:szCs w:val="28"/>
        </w:rPr>
        <w:t>he 201</w:t>
      </w:r>
      <w:r w:rsidR="00822352" w:rsidRPr="007F6F77">
        <w:rPr>
          <w:rFonts w:eastAsia="標楷體" w:hint="eastAsia"/>
          <w:b/>
          <w:sz w:val="28"/>
          <w:szCs w:val="28"/>
        </w:rPr>
        <w:t>9</w:t>
      </w:r>
      <w:r w:rsidRPr="007F6F77">
        <w:rPr>
          <w:rFonts w:eastAsia="標楷體"/>
          <w:b/>
          <w:sz w:val="28"/>
          <w:szCs w:val="28"/>
        </w:rPr>
        <w:t xml:space="preserve"> </w:t>
      </w:r>
      <w:r w:rsidR="002E5EFF" w:rsidRPr="007F6F77">
        <w:rPr>
          <w:rFonts w:eastAsia="標楷體" w:hint="eastAsia"/>
          <w:b/>
          <w:sz w:val="28"/>
          <w:szCs w:val="28"/>
        </w:rPr>
        <w:t>M</w:t>
      </w:r>
      <w:r w:rsidRPr="007F6F77">
        <w:rPr>
          <w:rFonts w:eastAsia="標楷體"/>
          <w:b/>
          <w:sz w:val="28"/>
          <w:szCs w:val="28"/>
        </w:rPr>
        <w:t>2 growth target range</w:t>
      </w:r>
    </w:p>
    <w:p w:rsidR="006979B6" w:rsidRPr="007F6F77" w:rsidRDefault="00F82120" w:rsidP="00FA173A">
      <w:pPr>
        <w:numPr>
          <w:ilvl w:val="0"/>
          <w:numId w:val="35"/>
        </w:numPr>
        <w:overflowPunct w:val="0"/>
        <w:autoSpaceDE w:val="0"/>
        <w:autoSpaceDN w:val="0"/>
        <w:snapToGrid w:val="0"/>
        <w:spacing w:before="120" w:line="440" w:lineRule="exact"/>
        <w:ind w:left="426" w:hanging="426"/>
        <w:jc w:val="both"/>
        <w:textDirection w:val="lrTbV"/>
        <w:rPr>
          <w:rFonts w:eastAsia="標楷體"/>
          <w:spacing w:val="-2"/>
          <w:sz w:val="24"/>
          <w:szCs w:val="24"/>
        </w:rPr>
      </w:pPr>
      <w:r w:rsidRPr="007F6F77">
        <w:rPr>
          <w:rFonts w:eastAsia="標楷體" w:hint="eastAsia"/>
          <w:spacing w:val="-2"/>
          <w:sz w:val="24"/>
          <w:szCs w:val="24"/>
        </w:rPr>
        <w:t xml:space="preserve">All </w:t>
      </w:r>
      <w:r w:rsidR="00CC3F7D" w:rsidRPr="007F6F77">
        <w:rPr>
          <w:rFonts w:eastAsia="標楷體" w:hint="eastAsia"/>
          <w:spacing w:val="-2"/>
          <w:sz w:val="24"/>
          <w:szCs w:val="24"/>
        </w:rPr>
        <w:t>d</w:t>
      </w:r>
      <w:r w:rsidRPr="007F6F77">
        <w:rPr>
          <w:rFonts w:eastAsia="標楷體" w:hint="eastAsia"/>
          <w:spacing w:val="-2"/>
          <w:sz w:val="24"/>
          <w:szCs w:val="24"/>
        </w:rPr>
        <w:t xml:space="preserve">irectors </w:t>
      </w:r>
      <w:r w:rsidR="00D602B9" w:rsidRPr="007F6F77">
        <w:rPr>
          <w:rFonts w:eastAsia="標楷體" w:hint="eastAsia"/>
          <w:spacing w:val="-2"/>
          <w:sz w:val="24"/>
          <w:szCs w:val="24"/>
        </w:rPr>
        <w:t xml:space="preserve">approved the proposition </w:t>
      </w:r>
      <w:r w:rsidRPr="007F6F77">
        <w:rPr>
          <w:rFonts w:eastAsia="標楷體" w:hint="eastAsia"/>
          <w:spacing w:val="-2"/>
          <w:sz w:val="24"/>
          <w:szCs w:val="24"/>
        </w:rPr>
        <w:t xml:space="preserve">of keeping the M2 growth target range unchanged. Their views are </w:t>
      </w:r>
      <w:r w:rsidRPr="007F6F77">
        <w:rPr>
          <w:rFonts w:eastAsia="標楷體"/>
          <w:spacing w:val="-2"/>
          <w:sz w:val="24"/>
          <w:szCs w:val="24"/>
        </w:rPr>
        <w:t>summarized</w:t>
      </w:r>
      <w:r w:rsidRPr="007F6F77">
        <w:rPr>
          <w:rFonts w:eastAsia="標楷體" w:hint="eastAsia"/>
          <w:spacing w:val="-2"/>
          <w:sz w:val="24"/>
          <w:szCs w:val="24"/>
        </w:rPr>
        <w:t xml:space="preserve"> as below. </w:t>
      </w:r>
      <w:bookmarkEnd w:id="0"/>
    </w:p>
    <w:p w:rsidR="00D602B9" w:rsidRPr="007F6F77" w:rsidRDefault="002E5EFF" w:rsidP="002E5EFF">
      <w:pPr>
        <w:pStyle w:val="6"/>
        <w:numPr>
          <w:ilvl w:val="0"/>
          <w:numId w:val="42"/>
        </w:numPr>
        <w:overflowPunct w:val="0"/>
        <w:snapToGrid w:val="0"/>
        <w:spacing w:after="0" w:line="440" w:lineRule="exact"/>
        <w:textDirection w:val="lrTbV"/>
        <w:rPr>
          <w:rFonts w:ascii="Times New Roman" w:eastAsia="標楷體"/>
          <w:spacing w:val="-2"/>
          <w:sz w:val="24"/>
          <w:szCs w:val="28"/>
        </w:rPr>
      </w:pPr>
      <w:r w:rsidRPr="007F6F77">
        <w:rPr>
          <w:rFonts w:ascii="Times New Roman" w:eastAsia="標楷體" w:hint="eastAsia"/>
          <w:spacing w:val="-2"/>
          <w:sz w:val="24"/>
          <w:szCs w:val="28"/>
        </w:rPr>
        <w:t xml:space="preserve">Discussion on </w:t>
      </w:r>
      <w:r w:rsidRPr="007F6F77">
        <w:rPr>
          <w:rFonts w:ascii="Times New Roman" w:eastAsia="標楷體"/>
          <w:spacing w:val="-2"/>
          <w:sz w:val="24"/>
          <w:szCs w:val="28"/>
        </w:rPr>
        <w:t>the M2 growth target range</w:t>
      </w:r>
    </w:p>
    <w:p w:rsidR="002E5EFF" w:rsidRPr="007F6F77" w:rsidRDefault="006979B6" w:rsidP="00FA173A">
      <w:pPr>
        <w:pStyle w:val="6"/>
        <w:overflowPunct w:val="0"/>
        <w:snapToGrid w:val="0"/>
        <w:spacing w:after="0" w:line="440" w:lineRule="exact"/>
        <w:ind w:left="0" w:firstLineChars="200" w:firstLine="472"/>
        <w:textDirection w:val="lrTbV"/>
        <w:rPr>
          <w:rFonts w:ascii="Times New Roman" w:eastAsia="標楷體"/>
          <w:spacing w:val="-2"/>
          <w:sz w:val="24"/>
          <w:szCs w:val="24"/>
        </w:rPr>
      </w:pPr>
      <w:r w:rsidRPr="007F6F77">
        <w:rPr>
          <w:rFonts w:ascii="Times New Roman" w:eastAsia="標楷體" w:hint="eastAsia"/>
          <w:spacing w:val="-2"/>
          <w:sz w:val="24"/>
          <w:szCs w:val="24"/>
        </w:rPr>
        <w:t xml:space="preserve">One </w:t>
      </w:r>
      <w:r w:rsidR="002E5EFF" w:rsidRPr="007F6F77">
        <w:rPr>
          <w:rFonts w:ascii="Times New Roman" w:eastAsia="標楷體" w:hint="eastAsia"/>
          <w:spacing w:val="-2"/>
          <w:sz w:val="24"/>
          <w:szCs w:val="24"/>
        </w:rPr>
        <w:t xml:space="preserve">board </w:t>
      </w:r>
      <w:r w:rsidR="00CC3F7D" w:rsidRPr="007F6F77">
        <w:rPr>
          <w:rFonts w:ascii="Times New Roman" w:eastAsia="標楷體" w:hint="eastAsia"/>
          <w:spacing w:val="-2"/>
          <w:sz w:val="24"/>
          <w:szCs w:val="24"/>
        </w:rPr>
        <w:t>d</w:t>
      </w:r>
      <w:r w:rsidRPr="007F6F77">
        <w:rPr>
          <w:rFonts w:ascii="Times New Roman" w:eastAsia="標楷體" w:hint="eastAsia"/>
          <w:spacing w:val="-2"/>
          <w:sz w:val="24"/>
          <w:szCs w:val="24"/>
        </w:rPr>
        <w:t xml:space="preserve">irector </w:t>
      </w:r>
      <w:r w:rsidR="00CC3F7D" w:rsidRPr="007F6F77">
        <w:rPr>
          <w:rFonts w:ascii="Times New Roman" w:eastAsia="標楷體" w:hint="eastAsia"/>
          <w:spacing w:val="-2"/>
          <w:sz w:val="24"/>
          <w:szCs w:val="24"/>
        </w:rPr>
        <w:t xml:space="preserve">noted that </w:t>
      </w:r>
      <w:r w:rsidR="002E5EFF" w:rsidRPr="007F6F77">
        <w:rPr>
          <w:rFonts w:ascii="Times New Roman" w:eastAsia="標楷體" w:hint="eastAsia"/>
          <w:spacing w:val="-2"/>
          <w:sz w:val="24"/>
          <w:szCs w:val="24"/>
        </w:rPr>
        <w:t xml:space="preserve">a change in the target range could send the following messages to the market: a downward adjustment implies concerns about the </w:t>
      </w:r>
      <w:r w:rsidR="002E5EFF" w:rsidRPr="007F6F77">
        <w:rPr>
          <w:rFonts w:ascii="Times New Roman" w:eastAsia="標楷體"/>
          <w:spacing w:val="-2"/>
          <w:sz w:val="24"/>
          <w:szCs w:val="24"/>
        </w:rPr>
        <w:t>economy</w:t>
      </w:r>
      <w:r w:rsidR="002E5EFF" w:rsidRPr="007F6F77">
        <w:rPr>
          <w:rFonts w:ascii="Times New Roman" w:eastAsia="標楷體" w:hint="eastAsia"/>
          <w:spacing w:val="-2"/>
          <w:sz w:val="24"/>
          <w:szCs w:val="24"/>
        </w:rPr>
        <w:t xml:space="preserve"> overheating while an upward adjustment implies a less favorable outlook for the economy. Considering that the </w:t>
      </w:r>
      <w:r w:rsidR="002E5EFF" w:rsidRPr="007F6F77">
        <w:rPr>
          <w:rFonts w:ascii="Times New Roman" w:eastAsia="標楷體"/>
          <w:spacing w:val="-2"/>
          <w:sz w:val="24"/>
          <w:szCs w:val="24"/>
        </w:rPr>
        <w:t>economic</w:t>
      </w:r>
      <w:r w:rsidR="002E5EFF" w:rsidRPr="007F6F77">
        <w:rPr>
          <w:rFonts w:ascii="Times New Roman" w:eastAsia="標楷體" w:hint="eastAsia"/>
          <w:spacing w:val="-2"/>
          <w:sz w:val="24"/>
          <w:szCs w:val="24"/>
        </w:rPr>
        <w:t xml:space="preserve"> prospects are not particularly bleak, </w:t>
      </w:r>
      <w:r w:rsidR="00A26661" w:rsidRPr="007F6F77">
        <w:rPr>
          <w:rFonts w:ascii="Times New Roman" w:eastAsia="標楷體" w:hint="eastAsia"/>
          <w:spacing w:val="-2"/>
          <w:sz w:val="24"/>
          <w:szCs w:val="24"/>
        </w:rPr>
        <w:t xml:space="preserve">it would be appropriate to </w:t>
      </w:r>
      <w:r w:rsidR="00096651" w:rsidRPr="007F6F77">
        <w:rPr>
          <w:rFonts w:ascii="Times New Roman" w:eastAsia="標楷體" w:hint="eastAsia"/>
          <w:spacing w:val="-2"/>
          <w:sz w:val="24"/>
          <w:szCs w:val="24"/>
        </w:rPr>
        <w:t xml:space="preserve">tread a </w:t>
      </w:r>
      <w:r w:rsidR="00A26661" w:rsidRPr="007F6F77">
        <w:rPr>
          <w:rFonts w:ascii="Times New Roman" w:eastAsia="標楷體" w:hint="eastAsia"/>
          <w:spacing w:val="-2"/>
          <w:sz w:val="24"/>
          <w:szCs w:val="24"/>
        </w:rPr>
        <w:t xml:space="preserve">balanced </w:t>
      </w:r>
      <w:r w:rsidR="00096651" w:rsidRPr="007F6F77">
        <w:rPr>
          <w:rFonts w:ascii="Times New Roman" w:eastAsia="標楷體" w:hint="eastAsia"/>
          <w:spacing w:val="-2"/>
          <w:sz w:val="24"/>
          <w:szCs w:val="24"/>
        </w:rPr>
        <w:t>path</w:t>
      </w:r>
      <w:r w:rsidR="00A26661" w:rsidRPr="007F6F77">
        <w:rPr>
          <w:rFonts w:ascii="Times New Roman" w:eastAsia="標楷體" w:hint="eastAsia"/>
          <w:spacing w:val="-2"/>
          <w:sz w:val="24"/>
          <w:szCs w:val="24"/>
        </w:rPr>
        <w:t xml:space="preserve"> and keep the M2 growth target range unchanged. </w:t>
      </w:r>
    </w:p>
    <w:p w:rsidR="00096651" w:rsidRPr="007F6F77" w:rsidRDefault="00CC3F7D" w:rsidP="001C52CC">
      <w:pPr>
        <w:pStyle w:val="6"/>
        <w:overflowPunct w:val="0"/>
        <w:snapToGrid w:val="0"/>
        <w:spacing w:after="0" w:line="440" w:lineRule="exact"/>
        <w:ind w:left="0" w:firstLineChars="200" w:firstLine="472"/>
        <w:textDirection w:val="lrTbV"/>
        <w:rPr>
          <w:rFonts w:ascii="Times New Roman" w:eastAsia="標楷體"/>
          <w:spacing w:val="-2"/>
          <w:sz w:val="24"/>
          <w:szCs w:val="24"/>
        </w:rPr>
      </w:pPr>
      <w:r w:rsidRPr="007F6F77">
        <w:rPr>
          <w:rFonts w:ascii="Times New Roman" w:eastAsia="標楷體" w:hint="eastAsia"/>
          <w:spacing w:val="-2"/>
          <w:sz w:val="24"/>
          <w:szCs w:val="24"/>
        </w:rPr>
        <w:t>An</w:t>
      </w:r>
      <w:r w:rsidR="008F4924" w:rsidRPr="007F6F77">
        <w:rPr>
          <w:rFonts w:ascii="Times New Roman" w:eastAsia="標楷體" w:hint="eastAsia"/>
          <w:spacing w:val="-2"/>
          <w:sz w:val="24"/>
          <w:szCs w:val="24"/>
        </w:rPr>
        <w:t xml:space="preserve">other </w:t>
      </w:r>
      <w:r w:rsidR="00A26661" w:rsidRPr="007F6F77">
        <w:rPr>
          <w:rFonts w:ascii="Times New Roman" w:eastAsia="標楷體" w:hint="eastAsia"/>
          <w:spacing w:val="-2"/>
          <w:sz w:val="24"/>
          <w:szCs w:val="24"/>
        </w:rPr>
        <w:t xml:space="preserve">board </w:t>
      </w:r>
      <w:r w:rsidR="008F4924" w:rsidRPr="007F6F77">
        <w:rPr>
          <w:rFonts w:ascii="Times New Roman" w:eastAsia="標楷體" w:hint="eastAsia"/>
          <w:spacing w:val="-2"/>
          <w:sz w:val="24"/>
          <w:szCs w:val="24"/>
        </w:rPr>
        <w:t xml:space="preserve">director </w:t>
      </w:r>
      <w:r w:rsidR="00096651" w:rsidRPr="007F6F77">
        <w:rPr>
          <w:rFonts w:ascii="Times New Roman" w:eastAsia="標楷體" w:hint="eastAsia"/>
          <w:spacing w:val="-2"/>
          <w:sz w:val="24"/>
          <w:szCs w:val="24"/>
        </w:rPr>
        <w:t xml:space="preserve">stated that the M2 growth target has been set with </w:t>
      </w:r>
      <w:r w:rsidR="001D5621" w:rsidRPr="007F6F77">
        <w:rPr>
          <w:rFonts w:ascii="Times New Roman" w:eastAsia="標楷體" w:hint="eastAsia"/>
          <w:spacing w:val="-2"/>
          <w:sz w:val="24"/>
          <w:szCs w:val="24"/>
        </w:rPr>
        <w:t>a</w:t>
      </w:r>
      <w:r w:rsidR="00096651" w:rsidRPr="007F6F77">
        <w:rPr>
          <w:rFonts w:ascii="Times New Roman" w:eastAsia="標楷體" w:hint="eastAsia"/>
          <w:spacing w:val="-2"/>
          <w:sz w:val="24"/>
          <w:szCs w:val="24"/>
        </w:rPr>
        <w:t xml:space="preserve"> 4% </w:t>
      </w:r>
      <w:r w:rsidR="001D5621" w:rsidRPr="007F6F77">
        <w:rPr>
          <w:rFonts w:ascii="Times New Roman" w:eastAsia="標楷體" w:hint="eastAsia"/>
          <w:spacing w:val="-2"/>
          <w:sz w:val="24"/>
          <w:szCs w:val="24"/>
        </w:rPr>
        <w:t xml:space="preserve">difference between the upper/lower limits </w:t>
      </w:r>
      <w:r w:rsidR="00096651" w:rsidRPr="007F6F77">
        <w:rPr>
          <w:rFonts w:ascii="Times New Roman" w:eastAsia="標楷體" w:hint="eastAsia"/>
          <w:spacing w:val="-2"/>
          <w:sz w:val="24"/>
          <w:szCs w:val="24"/>
        </w:rPr>
        <w:t xml:space="preserve">(such as a range between 2.5% and 6.5%), an approach adopted for many years with proven effectiveness. In the past decade, the annual M2 growth rate has been within the target range except for the year of 2009 when the global financial crisis broke </w:t>
      </w:r>
      <w:r w:rsidR="00096651" w:rsidRPr="007F6F77">
        <w:rPr>
          <w:rFonts w:ascii="Times New Roman" w:eastAsia="標楷體" w:hint="eastAsia"/>
          <w:spacing w:val="-2"/>
          <w:sz w:val="24"/>
          <w:szCs w:val="24"/>
        </w:rPr>
        <w:lastRenderedPageBreak/>
        <w:t>out.</w:t>
      </w:r>
      <w:r w:rsidR="001C52CC" w:rsidRPr="007F6F77">
        <w:rPr>
          <w:rFonts w:ascii="Times New Roman" w:eastAsia="標楷體" w:hint="eastAsia"/>
          <w:spacing w:val="-2"/>
          <w:sz w:val="24"/>
          <w:szCs w:val="24"/>
        </w:rPr>
        <w:t xml:space="preserve"> In addition to </w:t>
      </w:r>
      <w:r w:rsidR="001C52CC" w:rsidRPr="007F6F77">
        <w:rPr>
          <w:rFonts w:ascii="Times New Roman" w:eastAsia="標楷體"/>
          <w:spacing w:val="-2"/>
          <w:sz w:val="24"/>
          <w:szCs w:val="24"/>
        </w:rPr>
        <w:t>influencing</w:t>
      </w:r>
      <w:r w:rsidR="001C52CC" w:rsidRPr="007F6F77">
        <w:rPr>
          <w:rFonts w:ascii="Times New Roman" w:eastAsia="標楷體" w:hint="eastAsia"/>
          <w:spacing w:val="-2"/>
          <w:sz w:val="24"/>
          <w:szCs w:val="24"/>
        </w:rPr>
        <w:t xml:space="preserve"> interest rates </w:t>
      </w:r>
      <w:r w:rsidR="00333F7E" w:rsidRPr="007F6F77">
        <w:rPr>
          <w:rFonts w:ascii="Times New Roman" w:eastAsia="標楷體" w:hint="eastAsia"/>
          <w:spacing w:val="-2"/>
          <w:sz w:val="24"/>
          <w:szCs w:val="24"/>
        </w:rPr>
        <w:t>for</w:t>
      </w:r>
      <w:r w:rsidR="001C52CC" w:rsidRPr="007F6F77">
        <w:rPr>
          <w:rFonts w:ascii="Times New Roman" w:eastAsia="標楷體" w:hint="eastAsia"/>
          <w:spacing w:val="-2"/>
          <w:sz w:val="24"/>
          <w:szCs w:val="24"/>
        </w:rPr>
        <w:t xml:space="preserve"> the short</w:t>
      </w:r>
      <w:r w:rsidR="00333F7E" w:rsidRPr="007F6F77">
        <w:rPr>
          <w:rFonts w:ascii="Times New Roman" w:eastAsia="標楷體" w:hint="eastAsia"/>
          <w:spacing w:val="-2"/>
          <w:sz w:val="24"/>
          <w:szCs w:val="24"/>
        </w:rPr>
        <w:t xml:space="preserve"> </w:t>
      </w:r>
      <w:r w:rsidR="001C52CC" w:rsidRPr="007F6F77">
        <w:rPr>
          <w:rFonts w:ascii="Times New Roman" w:eastAsia="標楷體" w:hint="eastAsia"/>
          <w:spacing w:val="-2"/>
          <w:sz w:val="24"/>
          <w:szCs w:val="24"/>
        </w:rPr>
        <w:t xml:space="preserve">term, conducted by the CBC through policy rate decisions made in </w:t>
      </w:r>
      <w:r w:rsidR="001C52CC" w:rsidRPr="007F6F77">
        <w:rPr>
          <w:rFonts w:ascii="Times New Roman" w:eastAsia="標楷體"/>
          <w:spacing w:val="-2"/>
          <w:sz w:val="24"/>
          <w:szCs w:val="24"/>
        </w:rPr>
        <w:t>quarterly</w:t>
      </w:r>
      <w:r w:rsidR="001C52CC" w:rsidRPr="007F6F77">
        <w:rPr>
          <w:rFonts w:ascii="Times New Roman" w:eastAsia="標楷體" w:hint="eastAsia"/>
          <w:spacing w:val="-2"/>
          <w:sz w:val="24"/>
          <w:szCs w:val="24"/>
        </w:rPr>
        <w:t xml:space="preserve"> Board Meetings, </w:t>
      </w:r>
      <w:r w:rsidR="004A62D0" w:rsidRPr="007F6F77">
        <w:rPr>
          <w:rFonts w:ascii="Times New Roman" w:eastAsia="標楷體" w:hint="eastAsia"/>
          <w:spacing w:val="-2"/>
          <w:sz w:val="24"/>
          <w:szCs w:val="24"/>
        </w:rPr>
        <w:t xml:space="preserve">setting the target range of monetary growth makes up another major part of monetary policy, </w:t>
      </w:r>
      <w:r w:rsidR="00D656AE" w:rsidRPr="007F6F77">
        <w:rPr>
          <w:rFonts w:ascii="Times New Roman" w:eastAsia="標楷體" w:hint="eastAsia"/>
          <w:spacing w:val="-2"/>
          <w:sz w:val="24"/>
          <w:szCs w:val="24"/>
        </w:rPr>
        <w:t>via influencing the</w:t>
      </w:r>
      <w:r w:rsidR="004A62D0" w:rsidRPr="007F6F77">
        <w:rPr>
          <w:rFonts w:ascii="Times New Roman" w:eastAsia="標楷體" w:hint="eastAsia"/>
          <w:spacing w:val="-2"/>
          <w:sz w:val="24"/>
          <w:szCs w:val="24"/>
        </w:rPr>
        <w:t xml:space="preserve"> quantity</w:t>
      </w:r>
      <w:r w:rsidR="00D656AE" w:rsidRPr="007F6F77">
        <w:rPr>
          <w:rFonts w:ascii="Times New Roman" w:eastAsia="標楷體" w:hint="eastAsia"/>
          <w:spacing w:val="-2"/>
          <w:sz w:val="24"/>
          <w:szCs w:val="24"/>
        </w:rPr>
        <w:t xml:space="preserve"> of money</w:t>
      </w:r>
      <w:r w:rsidR="004A62D0" w:rsidRPr="007F6F77">
        <w:rPr>
          <w:rFonts w:ascii="Times New Roman" w:eastAsia="標楷體" w:hint="eastAsia"/>
          <w:spacing w:val="-2"/>
          <w:sz w:val="24"/>
          <w:szCs w:val="24"/>
        </w:rPr>
        <w:t xml:space="preserve">. </w:t>
      </w:r>
      <w:r w:rsidR="00DB7EB4" w:rsidRPr="007F6F77">
        <w:rPr>
          <w:rFonts w:ascii="Times New Roman" w:eastAsia="標楷體" w:hint="eastAsia"/>
          <w:spacing w:val="-2"/>
          <w:sz w:val="24"/>
          <w:szCs w:val="24"/>
        </w:rPr>
        <w:t xml:space="preserve">The target range of M2 growth serves as a guide to the implementation of open market operations and the observation of interest rate changes. </w:t>
      </w:r>
    </w:p>
    <w:p w:rsidR="00C05E67" w:rsidRPr="007F6F77" w:rsidRDefault="00C05E67" w:rsidP="00C05E67">
      <w:pPr>
        <w:pStyle w:val="6"/>
        <w:numPr>
          <w:ilvl w:val="0"/>
          <w:numId w:val="42"/>
        </w:numPr>
        <w:overflowPunct w:val="0"/>
        <w:snapToGrid w:val="0"/>
        <w:spacing w:after="0" w:line="440" w:lineRule="exact"/>
        <w:textDirection w:val="lrTbV"/>
        <w:rPr>
          <w:rFonts w:ascii="Times New Roman" w:eastAsia="標楷體"/>
          <w:spacing w:val="-2"/>
          <w:sz w:val="24"/>
          <w:szCs w:val="28"/>
        </w:rPr>
      </w:pPr>
      <w:r w:rsidRPr="007F6F77">
        <w:rPr>
          <w:rFonts w:ascii="Times New Roman" w:eastAsia="標楷體" w:hint="eastAsia"/>
          <w:spacing w:val="-2"/>
          <w:sz w:val="24"/>
          <w:szCs w:val="28"/>
        </w:rPr>
        <w:t xml:space="preserve">Discussion on </w:t>
      </w:r>
      <w:r w:rsidRPr="007F6F77">
        <w:rPr>
          <w:rFonts w:ascii="Times New Roman" w:eastAsia="標楷體"/>
          <w:spacing w:val="-2"/>
          <w:sz w:val="24"/>
          <w:szCs w:val="28"/>
        </w:rPr>
        <w:t xml:space="preserve">the </w:t>
      </w:r>
      <w:r w:rsidRPr="007F6F77">
        <w:rPr>
          <w:rFonts w:ascii="Times New Roman" w:eastAsia="標楷體" w:hint="eastAsia"/>
          <w:spacing w:val="-2"/>
          <w:sz w:val="24"/>
          <w:szCs w:val="28"/>
        </w:rPr>
        <w:t xml:space="preserve">implications of the </w:t>
      </w:r>
      <w:r w:rsidRPr="007F6F77">
        <w:rPr>
          <w:rFonts w:ascii="Times New Roman" w:eastAsia="標楷體"/>
          <w:spacing w:val="-2"/>
          <w:sz w:val="24"/>
          <w:szCs w:val="28"/>
        </w:rPr>
        <w:t>M2 growth target range</w:t>
      </w:r>
    </w:p>
    <w:p w:rsidR="00C05E67" w:rsidRPr="007F6F77" w:rsidRDefault="00020E28" w:rsidP="00684D17">
      <w:pPr>
        <w:pStyle w:val="6"/>
        <w:overflowPunct w:val="0"/>
        <w:snapToGrid w:val="0"/>
        <w:spacing w:after="0" w:line="440" w:lineRule="exact"/>
        <w:ind w:left="0" w:firstLineChars="200" w:firstLine="480"/>
        <w:textDirection w:val="lrTbV"/>
        <w:rPr>
          <w:rFonts w:ascii="Times New Roman" w:eastAsia="標楷體"/>
          <w:spacing w:val="0"/>
          <w:sz w:val="24"/>
          <w:szCs w:val="24"/>
        </w:rPr>
      </w:pPr>
      <w:r w:rsidRPr="007F6F77">
        <w:rPr>
          <w:rFonts w:ascii="Times New Roman" w:eastAsia="標楷體" w:hint="eastAsia"/>
          <w:spacing w:val="0"/>
          <w:sz w:val="24"/>
          <w:szCs w:val="24"/>
        </w:rPr>
        <w:t>One board director gave the opinion that</w:t>
      </w:r>
      <w:r w:rsidR="004A1FCB" w:rsidRPr="007F6F77">
        <w:rPr>
          <w:rFonts w:ascii="Times New Roman" w:eastAsia="標楷體" w:hint="eastAsia"/>
          <w:spacing w:val="0"/>
          <w:sz w:val="24"/>
          <w:szCs w:val="24"/>
        </w:rPr>
        <w:t xml:space="preserve"> there is a certain </w:t>
      </w:r>
      <w:r w:rsidR="004A1FCB" w:rsidRPr="007F6F77">
        <w:rPr>
          <w:rFonts w:ascii="Times New Roman" w:eastAsia="標楷體"/>
          <w:spacing w:val="0"/>
          <w:sz w:val="24"/>
          <w:szCs w:val="24"/>
        </w:rPr>
        <w:t>interactive</w:t>
      </w:r>
      <w:r w:rsidR="004A1FCB" w:rsidRPr="007F6F77">
        <w:rPr>
          <w:rFonts w:ascii="Times New Roman" w:eastAsia="標楷體" w:hint="eastAsia"/>
          <w:spacing w:val="0"/>
          <w:sz w:val="24"/>
          <w:szCs w:val="24"/>
        </w:rPr>
        <w:t xml:space="preserve"> relationship between the monetary growth target range and policy interest rates; therefore, it would be </w:t>
      </w:r>
      <w:r w:rsidR="004A1FCB" w:rsidRPr="007F6F77">
        <w:rPr>
          <w:rFonts w:ascii="Times New Roman" w:eastAsia="標楷體"/>
          <w:spacing w:val="0"/>
          <w:sz w:val="24"/>
          <w:szCs w:val="24"/>
        </w:rPr>
        <w:t>appropriate</w:t>
      </w:r>
      <w:r w:rsidR="004A1FCB" w:rsidRPr="007F6F77">
        <w:rPr>
          <w:rFonts w:ascii="Times New Roman" w:eastAsia="標楷體" w:hint="eastAsia"/>
          <w:spacing w:val="0"/>
          <w:sz w:val="24"/>
          <w:szCs w:val="24"/>
        </w:rPr>
        <w:t xml:space="preserve"> to increase the frequency of discussing the review of or adjustment to the monetary growth target range in the quarterly Board Meetings. </w:t>
      </w:r>
      <w:r w:rsidR="00C94EFB" w:rsidRPr="007F6F77">
        <w:rPr>
          <w:rFonts w:ascii="Times New Roman" w:eastAsia="標楷體" w:hint="eastAsia"/>
          <w:spacing w:val="0"/>
          <w:sz w:val="24"/>
          <w:szCs w:val="24"/>
        </w:rPr>
        <w:t>One board director expressed the view that the CBC conduct</w:t>
      </w:r>
      <w:r w:rsidR="003A2F46" w:rsidRPr="007F6F77">
        <w:rPr>
          <w:rFonts w:ascii="Times New Roman" w:eastAsia="標楷體" w:hint="eastAsia"/>
          <w:spacing w:val="0"/>
          <w:sz w:val="24"/>
          <w:szCs w:val="24"/>
        </w:rPr>
        <w:t xml:space="preserve">s monetary policy </w:t>
      </w:r>
      <w:r w:rsidR="00E60845" w:rsidRPr="007F6F77">
        <w:rPr>
          <w:rFonts w:ascii="Times New Roman" w:eastAsia="標楷體" w:hint="eastAsia"/>
          <w:spacing w:val="0"/>
          <w:sz w:val="24"/>
          <w:szCs w:val="24"/>
        </w:rPr>
        <w:t xml:space="preserve">via </w:t>
      </w:r>
      <w:r w:rsidR="003A2F46" w:rsidRPr="007F6F77">
        <w:rPr>
          <w:rFonts w:ascii="Times New Roman" w:eastAsia="標楷體" w:hint="eastAsia"/>
          <w:spacing w:val="0"/>
          <w:sz w:val="24"/>
          <w:szCs w:val="24"/>
        </w:rPr>
        <w:t>interest rate setting</w:t>
      </w:r>
      <w:r w:rsidR="00504DB1" w:rsidRPr="007F6F77">
        <w:rPr>
          <w:rFonts w:ascii="Times New Roman" w:eastAsia="標楷體" w:hint="eastAsia"/>
          <w:spacing w:val="0"/>
          <w:sz w:val="24"/>
          <w:szCs w:val="24"/>
        </w:rPr>
        <w:t xml:space="preserve">, </w:t>
      </w:r>
      <w:r w:rsidR="00E60845" w:rsidRPr="007F6F77">
        <w:rPr>
          <w:rFonts w:ascii="Times New Roman" w:eastAsia="標楷體" w:hint="eastAsia"/>
          <w:spacing w:val="0"/>
          <w:sz w:val="24"/>
          <w:szCs w:val="24"/>
        </w:rPr>
        <w:t>while</w:t>
      </w:r>
      <w:r w:rsidR="00504DB1" w:rsidRPr="007F6F77">
        <w:rPr>
          <w:rFonts w:ascii="Times New Roman" w:eastAsia="標楷體" w:hint="eastAsia"/>
          <w:spacing w:val="0"/>
          <w:sz w:val="24"/>
          <w:szCs w:val="24"/>
        </w:rPr>
        <w:t xml:space="preserve"> </w:t>
      </w:r>
      <w:r w:rsidR="00E60845" w:rsidRPr="007F6F77">
        <w:rPr>
          <w:rFonts w:ascii="Times New Roman" w:eastAsia="標楷體" w:hint="eastAsia"/>
          <w:spacing w:val="0"/>
          <w:sz w:val="24"/>
          <w:szCs w:val="24"/>
        </w:rPr>
        <w:t xml:space="preserve">the monetary growth target range </w:t>
      </w:r>
      <w:r w:rsidR="00504DB1" w:rsidRPr="007F6F77">
        <w:rPr>
          <w:rFonts w:ascii="Times New Roman" w:eastAsia="標楷體" w:hint="eastAsia"/>
          <w:spacing w:val="0"/>
          <w:sz w:val="24"/>
          <w:szCs w:val="24"/>
        </w:rPr>
        <w:t>is determined at the year-end Board Meeting and reviewed</w:t>
      </w:r>
      <w:r w:rsidR="00855270" w:rsidRPr="007F6F77">
        <w:rPr>
          <w:rFonts w:ascii="Times New Roman" w:eastAsia="標楷體" w:hint="eastAsia"/>
          <w:spacing w:val="0"/>
          <w:sz w:val="24"/>
          <w:szCs w:val="24"/>
        </w:rPr>
        <w:t>, if needed,</w:t>
      </w:r>
      <w:r w:rsidR="00504DB1" w:rsidRPr="007F6F77">
        <w:rPr>
          <w:rFonts w:ascii="Times New Roman" w:eastAsia="標楷體" w:hint="eastAsia"/>
          <w:spacing w:val="0"/>
          <w:sz w:val="24"/>
          <w:szCs w:val="24"/>
        </w:rPr>
        <w:t xml:space="preserve"> at mid-year</w:t>
      </w:r>
      <w:r w:rsidR="00855270" w:rsidRPr="007F6F77">
        <w:rPr>
          <w:rFonts w:ascii="Times New Roman" w:eastAsia="標楷體" w:hint="eastAsia"/>
          <w:spacing w:val="0"/>
          <w:sz w:val="24"/>
          <w:szCs w:val="24"/>
        </w:rPr>
        <w:t xml:space="preserve">, </w:t>
      </w:r>
      <w:r w:rsidR="00291300" w:rsidRPr="007F6F77">
        <w:rPr>
          <w:rFonts w:ascii="Times New Roman" w:eastAsia="標楷體" w:hint="eastAsia"/>
          <w:spacing w:val="0"/>
          <w:sz w:val="24"/>
          <w:szCs w:val="24"/>
        </w:rPr>
        <w:t>an</w:t>
      </w:r>
      <w:r w:rsidR="00855270" w:rsidRPr="007F6F77">
        <w:rPr>
          <w:rFonts w:ascii="Times New Roman" w:eastAsia="標楷體" w:hint="eastAsia"/>
          <w:spacing w:val="0"/>
          <w:sz w:val="24"/>
          <w:szCs w:val="24"/>
        </w:rPr>
        <w:t xml:space="preserve"> approach that has been in place for years and effective. </w:t>
      </w:r>
      <w:r w:rsidR="00100DA1" w:rsidRPr="007F6F77">
        <w:rPr>
          <w:rFonts w:ascii="Times New Roman" w:eastAsia="標楷體" w:hint="eastAsia"/>
          <w:spacing w:val="0"/>
          <w:sz w:val="24"/>
          <w:szCs w:val="24"/>
        </w:rPr>
        <w:t>Another board director</w:t>
      </w:r>
      <w:r w:rsidR="00372F0D" w:rsidRPr="007F6F77">
        <w:rPr>
          <w:rFonts w:ascii="Times New Roman" w:eastAsia="標楷體" w:hint="eastAsia"/>
          <w:spacing w:val="0"/>
          <w:sz w:val="24"/>
          <w:szCs w:val="24"/>
        </w:rPr>
        <w:t xml:space="preserve"> </w:t>
      </w:r>
      <w:r w:rsidR="00684D17" w:rsidRPr="007F6F77">
        <w:rPr>
          <w:rFonts w:ascii="Times New Roman" w:eastAsia="標楷體" w:hint="eastAsia"/>
          <w:spacing w:val="0"/>
          <w:sz w:val="24"/>
          <w:szCs w:val="24"/>
        </w:rPr>
        <w:t xml:space="preserve">commented that it is impossible to conduct monetary policy </w:t>
      </w:r>
      <w:r w:rsidR="00915406" w:rsidRPr="007F6F77">
        <w:rPr>
          <w:rFonts w:ascii="Times New Roman" w:eastAsia="標楷體" w:hint="eastAsia"/>
          <w:spacing w:val="0"/>
          <w:sz w:val="24"/>
          <w:szCs w:val="24"/>
        </w:rPr>
        <w:t>by influencing interest rates</w:t>
      </w:r>
      <w:r w:rsidR="00684D17" w:rsidRPr="007F6F77">
        <w:rPr>
          <w:rFonts w:ascii="Times New Roman" w:eastAsia="標楷體" w:hint="eastAsia"/>
          <w:spacing w:val="0"/>
          <w:sz w:val="24"/>
          <w:szCs w:val="24"/>
        </w:rPr>
        <w:t xml:space="preserve"> and money supply </w:t>
      </w:r>
      <w:r w:rsidR="00C371C4" w:rsidRPr="007F6F77">
        <w:rPr>
          <w:rFonts w:ascii="Times New Roman" w:eastAsia="標楷體" w:hint="eastAsia"/>
          <w:spacing w:val="0"/>
          <w:sz w:val="24"/>
          <w:szCs w:val="24"/>
        </w:rPr>
        <w:t>at the same time</w:t>
      </w:r>
      <w:r w:rsidR="00684D17" w:rsidRPr="007F6F77">
        <w:rPr>
          <w:rFonts w:ascii="Times New Roman" w:eastAsia="標楷體" w:hint="eastAsia"/>
          <w:spacing w:val="0"/>
          <w:sz w:val="24"/>
          <w:szCs w:val="24"/>
        </w:rPr>
        <w:t xml:space="preserve">, and therefore the board only discusses the M2 growth target range at the year-end Board Meetings </w:t>
      </w:r>
      <w:r w:rsidR="00C371C4" w:rsidRPr="007F6F77">
        <w:rPr>
          <w:rFonts w:ascii="Times New Roman" w:eastAsia="標楷體" w:hint="eastAsia"/>
          <w:spacing w:val="0"/>
          <w:sz w:val="24"/>
          <w:szCs w:val="24"/>
        </w:rPr>
        <w:t>as it determines</w:t>
      </w:r>
      <w:r w:rsidR="00684D17" w:rsidRPr="007F6F77">
        <w:rPr>
          <w:rFonts w:ascii="Times New Roman" w:eastAsia="標楷體" w:hint="eastAsia"/>
          <w:spacing w:val="0"/>
          <w:sz w:val="24"/>
          <w:szCs w:val="24"/>
        </w:rPr>
        <w:t xml:space="preserve"> the following year</w:t>
      </w:r>
      <w:r w:rsidR="00684D17" w:rsidRPr="007F6F77">
        <w:rPr>
          <w:rFonts w:ascii="Times New Roman" w:eastAsia="標楷體"/>
          <w:spacing w:val="0"/>
          <w:sz w:val="24"/>
          <w:szCs w:val="24"/>
        </w:rPr>
        <w:t>’</w:t>
      </w:r>
      <w:r w:rsidR="00684D17" w:rsidRPr="007F6F77">
        <w:rPr>
          <w:rFonts w:ascii="Times New Roman" w:eastAsia="標楷體" w:hint="eastAsia"/>
          <w:spacing w:val="0"/>
          <w:sz w:val="24"/>
          <w:szCs w:val="24"/>
        </w:rPr>
        <w:t>s target range, instead of reviewing it</w:t>
      </w:r>
      <w:r w:rsidR="00C371C4" w:rsidRPr="007F6F77">
        <w:rPr>
          <w:rFonts w:ascii="Times New Roman" w:eastAsia="標楷體" w:hint="eastAsia"/>
          <w:spacing w:val="0"/>
          <w:sz w:val="24"/>
          <w:szCs w:val="24"/>
        </w:rPr>
        <w:t xml:space="preserve"> every quarter</w:t>
      </w:r>
      <w:r w:rsidR="00684D17" w:rsidRPr="007F6F77">
        <w:rPr>
          <w:rFonts w:ascii="Times New Roman" w:eastAsia="標楷體" w:hint="eastAsia"/>
          <w:spacing w:val="0"/>
          <w:sz w:val="24"/>
          <w:szCs w:val="24"/>
        </w:rPr>
        <w:t xml:space="preserve">. </w:t>
      </w:r>
      <w:r w:rsidR="00C371C4" w:rsidRPr="007F6F77">
        <w:rPr>
          <w:rFonts w:ascii="Times New Roman" w:eastAsia="標楷體" w:hint="eastAsia"/>
          <w:spacing w:val="0"/>
          <w:sz w:val="24"/>
          <w:szCs w:val="24"/>
        </w:rPr>
        <w:t xml:space="preserve">However, when the board convenes quarterly to decide policy rate adjustments, there exists a predetermined target range of monetary growth. </w:t>
      </w:r>
      <w:r w:rsidR="00473C3B" w:rsidRPr="007F6F77">
        <w:rPr>
          <w:rFonts w:ascii="Times New Roman" w:eastAsia="標楷體" w:hint="eastAsia"/>
          <w:spacing w:val="0"/>
          <w:sz w:val="24"/>
          <w:szCs w:val="24"/>
        </w:rPr>
        <w:t xml:space="preserve">Taking the long view, it would be important to </w:t>
      </w:r>
      <w:r w:rsidR="00553F03" w:rsidRPr="007F6F77">
        <w:rPr>
          <w:rFonts w:ascii="Times New Roman" w:eastAsia="標楷體" w:hint="eastAsia"/>
          <w:spacing w:val="0"/>
          <w:sz w:val="24"/>
          <w:szCs w:val="24"/>
        </w:rPr>
        <w:t xml:space="preserve">reexamine the monetary policy framework. </w:t>
      </w:r>
    </w:p>
    <w:p w:rsidR="00291300" w:rsidRPr="007F6F77" w:rsidRDefault="0064764F" w:rsidP="000571DE">
      <w:pPr>
        <w:pStyle w:val="6"/>
        <w:overflowPunct w:val="0"/>
        <w:snapToGrid w:val="0"/>
        <w:spacing w:after="0" w:line="440" w:lineRule="exact"/>
        <w:ind w:left="0" w:firstLineChars="200" w:firstLine="480"/>
        <w:textDirection w:val="lrTbV"/>
        <w:rPr>
          <w:rFonts w:ascii="Times New Roman" w:eastAsia="標楷體"/>
          <w:spacing w:val="0"/>
          <w:sz w:val="24"/>
          <w:szCs w:val="24"/>
        </w:rPr>
      </w:pPr>
      <w:r w:rsidRPr="007F6F77">
        <w:rPr>
          <w:rFonts w:ascii="Times New Roman" w:eastAsia="標楷體" w:hint="eastAsia"/>
          <w:spacing w:val="0"/>
          <w:sz w:val="24"/>
          <w:szCs w:val="24"/>
        </w:rPr>
        <w:t xml:space="preserve">One board director noted that though the Board Meetings in the first three quarters of </w:t>
      </w:r>
      <w:r w:rsidR="00391483" w:rsidRPr="007F6F77">
        <w:rPr>
          <w:rFonts w:ascii="Times New Roman" w:eastAsia="標楷體" w:hint="eastAsia"/>
          <w:spacing w:val="0"/>
          <w:sz w:val="24"/>
          <w:szCs w:val="24"/>
        </w:rPr>
        <w:t xml:space="preserve">the </w:t>
      </w:r>
      <w:r w:rsidRPr="007F6F77">
        <w:rPr>
          <w:rFonts w:ascii="Times New Roman" w:eastAsia="標楷體" w:hint="eastAsia"/>
          <w:spacing w:val="0"/>
          <w:sz w:val="24"/>
          <w:szCs w:val="24"/>
        </w:rPr>
        <w:t xml:space="preserve">year do not include discussions on </w:t>
      </w:r>
      <w:r w:rsidRPr="007F6F77">
        <w:rPr>
          <w:rFonts w:ascii="Times New Roman" w:eastAsia="標楷體"/>
          <w:spacing w:val="0"/>
          <w:sz w:val="24"/>
          <w:szCs w:val="24"/>
        </w:rPr>
        <w:t>the quantity of money</w:t>
      </w:r>
      <w:r w:rsidRPr="007F6F77">
        <w:rPr>
          <w:rFonts w:ascii="Times New Roman" w:eastAsia="標楷體" w:hint="eastAsia"/>
          <w:spacing w:val="0"/>
          <w:sz w:val="24"/>
          <w:szCs w:val="24"/>
        </w:rPr>
        <w:t xml:space="preserve">, the CBC regularly monitors the relevant readings every month. Another board director </w:t>
      </w:r>
      <w:r w:rsidR="00391483" w:rsidRPr="007F6F77">
        <w:rPr>
          <w:rFonts w:ascii="Times New Roman" w:eastAsia="標楷體" w:hint="eastAsia"/>
          <w:spacing w:val="0"/>
          <w:sz w:val="24"/>
          <w:szCs w:val="24"/>
        </w:rPr>
        <w:t xml:space="preserve">pointed out </w:t>
      </w:r>
      <w:r w:rsidR="005E615B" w:rsidRPr="007F6F77">
        <w:rPr>
          <w:rFonts w:ascii="Times New Roman" w:eastAsia="標楷體" w:hint="eastAsia"/>
          <w:spacing w:val="0"/>
          <w:sz w:val="24"/>
          <w:szCs w:val="24"/>
        </w:rPr>
        <w:t xml:space="preserve">in </w:t>
      </w:r>
      <w:r w:rsidR="005E615B" w:rsidRPr="007F6F77">
        <w:rPr>
          <w:rFonts w:ascii="Times New Roman" w:eastAsia="標楷體"/>
          <w:spacing w:val="0"/>
          <w:sz w:val="24"/>
          <w:szCs w:val="24"/>
        </w:rPr>
        <w:t>particular</w:t>
      </w:r>
      <w:r w:rsidR="005E615B" w:rsidRPr="007F6F77">
        <w:rPr>
          <w:rFonts w:ascii="Times New Roman" w:eastAsia="標楷體" w:hint="eastAsia"/>
          <w:spacing w:val="0"/>
          <w:sz w:val="24"/>
          <w:szCs w:val="24"/>
        </w:rPr>
        <w:t xml:space="preserve"> </w:t>
      </w:r>
      <w:r w:rsidR="00391483" w:rsidRPr="007F6F77">
        <w:rPr>
          <w:rFonts w:ascii="Times New Roman" w:eastAsia="標楷體" w:hint="eastAsia"/>
          <w:spacing w:val="0"/>
          <w:sz w:val="24"/>
          <w:szCs w:val="24"/>
        </w:rPr>
        <w:t xml:space="preserve">that while the setting of M2 growth target range is on the agenda of the Board Meeting only in the fourth quarter of the year, the CBC would give a monthly assessment of the amount of reserve money at the beginning of the month, keeping </w:t>
      </w:r>
      <w:r w:rsidR="005E615B" w:rsidRPr="007F6F77">
        <w:rPr>
          <w:rFonts w:ascii="Times New Roman" w:eastAsia="標楷體" w:hint="eastAsia"/>
          <w:spacing w:val="0"/>
          <w:sz w:val="24"/>
          <w:szCs w:val="24"/>
        </w:rPr>
        <w:t xml:space="preserve">watch of the growth trend of M2 and assessing the readings against the target range. </w:t>
      </w:r>
    </w:p>
    <w:p w:rsidR="00591A23" w:rsidRPr="007F6F77" w:rsidRDefault="005E615B" w:rsidP="000571DE">
      <w:pPr>
        <w:pStyle w:val="6"/>
        <w:overflowPunct w:val="0"/>
        <w:snapToGrid w:val="0"/>
        <w:spacing w:after="0" w:line="440" w:lineRule="exact"/>
        <w:ind w:left="0" w:firstLineChars="200" w:firstLine="480"/>
        <w:textDirection w:val="lrTbV"/>
        <w:rPr>
          <w:rFonts w:ascii="Times New Roman" w:eastAsia="標楷體"/>
          <w:spacing w:val="0"/>
          <w:sz w:val="24"/>
          <w:szCs w:val="24"/>
        </w:rPr>
      </w:pPr>
      <w:r w:rsidRPr="007F6F77">
        <w:rPr>
          <w:rFonts w:ascii="Times New Roman" w:eastAsia="標楷體" w:hint="eastAsia"/>
          <w:spacing w:val="0"/>
          <w:sz w:val="24"/>
          <w:szCs w:val="24"/>
        </w:rPr>
        <w:t>Another board director explained further that the CBC</w:t>
      </w:r>
      <w:r w:rsidRPr="007F6F77">
        <w:rPr>
          <w:rFonts w:ascii="Times New Roman" w:eastAsia="標楷體"/>
          <w:spacing w:val="0"/>
          <w:sz w:val="24"/>
          <w:szCs w:val="24"/>
        </w:rPr>
        <w:t>’</w:t>
      </w:r>
      <w:r w:rsidRPr="007F6F77">
        <w:rPr>
          <w:rFonts w:ascii="Times New Roman" w:eastAsia="標楷體" w:hint="eastAsia"/>
          <w:spacing w:val="0"/>
          <w:sz w:val="24"/>
          <w:szCs w:val="24"/>
        </w:rPr>
        <w:t xml:space="preserve">s monetary policy is one with a balanced focus on both interest rates and the quantity of money and </w:t>
      </w:r>
      <w:r w:rsidR="00680CC4" w:rsidRPr="007F6F77">
        <w:rPr>
          <w:rFonts w:ascii="Times New Roman" w:eastAsia="標楷體" w:hint="eastAsia"/>
          <w:spacing w:val="0"/>
          <w:sz w:val="24"/>
          <w:szCs w:val="24"/>
        </w:rPr>
        <w:t xml:space="preserve">has </w:t>
      </w:r>
      <w:r w:rsidRPr="007F6F77">
        <w:rPr>
          <w:rFonts w:ascii="Times New Roman" w:eastAsia="標楷體" w:hint="eastAsia"/>
          <w:spacing w:val="0"/>
          <w:sz w:val="24"/>
          <w:szCs w:val="24"/>
        </w:rPr>
        <w:t xml:space="preserve">the ability to estimate and construct </w:t>
      </w:r>
      <w:r w:rsidR="00F010D7" w:rsidRPr="007F6F77">
        <w:rPr>
          <w:rFonts w:ascii="Times New Roman" w:eastAsia="標楷體" w:hint="eastAsia"/>
          <w:spacing w:val="0"/>
          <w:sz w:val="24"/>
          <w:szCs w:val="24"/>
        </w:rPr>
        <w:t xml:space="preserve">monetary quantity equations </w:t>
      </w:r>
      <w:r w:rsidR="008C3143">
        <w:rPr>
          <w:rFonts w:ascii="Times New Roman" w:eastAsia="標楷體" w:hint="eastAsia"/>
          <w:spacing w:val="0"/>
          <w:sz w:val="24"/>
          <w:szCs w:val="24"/>
        </w:rPr>
        <w:t>of</w:t>
      </w:r>
      <w:r w:rsidR="00F010D7" w:rsidRPr="007F6F77">
        <w:rPr>
          <w:rFonts w:ascii="Times New Roman" w:eastAsia="標楷體" w:hint="eastAsia"/>
          <w:spacing w:val="0"/>
          <w:sz w:val="24"/>
          <w:szCs w:val="24"/>
        </w:rPr>
        <w:t xml:space="preserve"> </w:t>
      </w:r>
      <w:r w:rsidR="008C3143">
        <w:rPr>
          <w:rFonts w:ascii="Times New Roman" w:eastAsia="標楷體" w:hint="eastAsia"/>
          <w:spacing w:val="0"/>
          <w:sz w:val="24"/>
          <w:szCs w:val="24"/>
        </w:rPr>
        <w:t xml:space="preserve">statistical </w:t>
      </w:r>
      <w:r w:rsidR="00F010D7" w:rsidRPr="007F6F77">
        <w:rPr>
          <w:rFonts w:ascii="Times New Roman" w:eastAsia="標楷體" w:hint="eastAsia"/>
          <w:spacing w:val="0"/>
          <w:sz w:val="24"/>
          <w:szCs w:val="24"/>
        </w:rPr>
        <w:t>significance</w:t>
      </w:r>
      <w:r w:rsidRPr="007F6F77">
        <w:rPr>
          <w:rFonts w:ascii="Times New Roman" w:eastAsia="標楷體" w:hint="eastAsia"/>
          <w:spacing w:val="0"/>
          <w:sz w:val="24"/>
          <w:szCs w:val="24"/>
        </w:rPr>
        <w:t xml:space="preserve">. In </w:t>
      </w:r>
      <w:r w:rsidRPr="007F6F77">
        <w:rPr>
          <w:rFonts w:ascii="Times New Roman" w:eastAsia="標楷體"/>
          <w:spacing w:val="0"/>
          <w:sz w:val="24"/>
          <w:szCs w:val="24"/>
        </w:rPr>
        <w:t>theory</w:t>
      </w:r>
      <w:r w:rsidRPr="007F6F77">
        <w:rPr>
          <w:rFonts w:ascii="Times New Roman" w:eastAsia="標楷體" w:hint="eastAsia"/>
          <w:spacing w:val="0"/>
          <w:sz w:val="24"/>
          <w:szCs w:val="24"/>
        </w:rPr>
        <w:t xml:space="preserve">, the quantity of money </w:t>
      </w:r>
      <w:r w:rsidR="003722AF" w:rsidRPr="007F6F77">
        <w:rPr>
          <w:rFonts w:ascii="Times New Roman" w:eastAsia="標楷體" w:hint="eastAsia"/>
          <w:spacing w:val="0"/>
          <w:sz w:val="24"/>
          <w:szCs w:val="24"/>
        </w:rPr>
        <w:t xml:space="preserve">is based on </w:t>
      </w:r>
      <w:r w:rsidR="00591A23" w:rsidRPr="007F6F77">
        <w:rPr>
          <w:rFonts w:ascii="Times New Roman" w:eastAsia="標楷體" w:hint="eastAsia"/>
          <w:spacing w:val="0"/>
          <w:sz w:val="24"/>
          <w:szCs w:val="24"/>
        </w:rPr>
        <w:t xml:space="preserve">mid- to </w:t>
      </w:r>
      <w:r w:rsidR="003722AF" w:rsidRPr="007F6F77">
        <w:rPr>
          <w:rFonts w:ascii="Times New Roman" w:eastAsia="標楷體" w:hint="eastAsia"/>
          <w:spacing w:val="0"/>
          <w:sz w:val="24"/>
          <w:szCs w:val="24"/>
        </w:rPr>
        <w:t>long-term observation, as Milton Friedman</w:t>
      </w:r>
      <w:r w:rsidR="003722AF" w:rsidRPr="007F6F77">
        <w:rPr>
          <w:rFonts w:ascii="Times New Roman" w:eastAsia="標楷體"/>
          <w:spacing w:val="0"/>
          <w:sz w:val="24"/>
          <w:szCs w:val="24"/>
        </w:rPr>
        <w:t>’</w:t>
      </w:r>
      <w:r w:rsidR="003722AF" w:rsidRPr="007F6F77">
        <w:rPr>
          <w:rFonts w:ascii="Times New Roman" w:eastAsia="標楷體" w:hint="eastAsia"/>
          <w:spacing w:val="0"/>
          <w:sz w:val="24"/>
          <w:szCs w:val="24"/>
        </w:rPr>
        <w:t xml:space="preserve">s constant growth rate </w:t>
      </w:r>
      <w:r w:rsidR="003722AF" w:rsidRPr="007F6F77">
        <w:rPr>
          <w:rFonts w:ascii="Times New Roman" w:eastAsia="標楷體" w:hint="eastAsia"/>
          <w:spacing w:val="0"/>
          <w:sz w:val="24"/>
          <w:szCs w:val="24"/>
        </w:rPr>
        <w:lastRenderedPageBreak/>
        <w:t xml:space="preserve">rule for money supply in the 1960s asserts that the quantity of money should increase </w:t>
      </w:r>
      <w:r w:rsidR="003722AF" w:rsidRPr="007F6F77">
        <w:rPr>
          <w:rFonts w:ascii="Times New Roman" w:eastAsia="標楷體"/>
          <w:spacing w:val="0"/>
          <w:sz w:val="24"/>
          <w:szCs w:val="24"/>
        </w:rPr>
        <w:t>by a constant percentage every year</w:t>
      </w:r>
      <w:r w:rsidR="003722AF" w:rsidRPr="007F6F77">
        <w:rPr>
          <w:rFonts w:ascii="Times New Roman" w:eastAsia="標楷體" w:hint="eastAsia"/>
          <w:spacing w:val="0"/>
          <w:sz w:val="24"/>
          <w:szCs w:val="24"/>
        </w:rPr>
        <w:t xml:space="preserve">. </w:t>
      </w:r>
      <w:r w:rsidR="00591A23" w:rsidRPr="007F6F77">
        <w:rPr>
          <w:rFonts w:ascii="Times New Roman" w:eastAsia="標楷體" w:hint="eastAsia"/>
          <w:spacing w:val="0"/>
          <w:sz w:val="24"/>
          <w:szCs w:val="24"/>
        </w:rPr>
        <w:t>Considering the longer-term observation span for money supply, the CBC</w:t>
      </w:r>
      <w:r w:rsidR="00591A23" w:rsidRPr="007F6F77">
        <w:rPr>
          <w:rFonts w:ascii="Times New Roman" w:eastAsia="標楷體"/>
          <w:spacing w:val="0"/>
          <w:sz w:val="24"/>
          <w:szCs w:val="24"/>
        </w:rPr>
        <w:t>’</w:t>
      </w:r>
      <w:r w:rsidR="00591A23" w:rsidRPr="007F6F77">
        <w:rPr>
          <w:rFonts w:ascii="Times New Roman" w:eastAsia="標楷體" w:hint="eastAsia"/>
          <w:spacing w:val="0"/>
          <w:sz w:val="24"/>
          <w:szCs w:val="24"/>
        </w:rPr>
        <w:t>s approach of setting the following yea</w:t>
      </w:r>
      <w:r w:rsidR="00591A23" w:rsidRPr="007F6F77">
        <w:rPr>
          <w:rFonts w:ascii="Times New Roman" w:eastAsia="標楷體"/>
          <w:spacing w:val="0"/>
          <w:sz w:val="24"/>
          <w:szCs w:val="24"/>
        </w:rPr>
        <w:t>r’</w:t>
      </w:r>
      <w:r w:rsidR="00591A23" w:rsidRPr="007F6F77">
        <w:rPr>
          <w:rFonts w:ascii="Times New Roman" w:eastAsia="標楷體" w:hint="eastAsia"/>
          <w:spacing w:val="0"/>
          <w:sz w:val="24"/>
          <w:szCs w:val="24"/>
        </w:rPr>
        <w:t xml:space="preserve">s M2 growth target range at the end of </w:t>
      </w:r>
      <w:r w:rsidR="00680CC4" w:rsidRPr="007F6F77">
        <w:rPr>
          <w:rFonts w:ascii="Times New Roman" w:eastAsia="標楷體" w:hint="eastAsia"/>
          <w:spacing w:val="0"/>
          <w:sz w:val="24"/>
          <w:szCs w:val="24"/>
        </w:rPr>
        <w:t xml:space="preserve">the </w:t>
      </w:r>
      <w:r w:rsidR="00591A23" w:rsidRPr="007F6F77">
        <w:rPr>
          <w:rFonts w:ascii="Times New Roman" w:eastAsia="標楷體" w:hint="eastAsia"/>
          <w:spacing w:val="0"/>
          <w:sz w:val="24"/>
          <w:szCs w:val="24"/>
        </w:rPr>
        <w:t>year is</w:t>
      </w:r>
      <w:r w:rsidR="007065FB" w:rsidRPr="007F6F77">
        <w:rPr>
          <w:rFonts w:ascii="Times New Roman" w:eastAsia="標楷體" w:hint="eastAsia"/>
          <w:spacing w:val="0"/>
          <w:sz w:val="24"/>
          <w:szCs w:val="24"/>
        </w:rPr>
        <w:t xml:space="preserve"> adequate</w:t>
      </w:r>
      <w:r w:rsidR="00591A23" w:rsidRPr="007F6F77">
        <w:rPr>
          <w:rFonts w:ascii="Times New Roman" w:eastAsia="標楷體" w:hint="eastAsia"/>
          <w:spacing w:val="0"/>
          <w:sz w:val="24"/>
          <w:szCs w:val="24"/>
        </w:rPr>
        <w:t xml:space="preserve">. </w:t>
      </w:r>
    </w:p>
    <w:p w:rsidR="00591A23" w:rsidRPr="007F6F77" w:rsidRDefault="00591A23" w:rsidP="000571DE">
      <w:pPr>
        <w:pStyle w:val="6"/>
        <w:overflowPunct w:val="0"/>
        <w:snapToGrid w:val="0"/>
        <w:spacing w:after="0" w:line="440" w:lineRule="exact"/>
        <w:ind w:left="0" w:firstLineChars="200" w:firstLine="480"/>
        <w:textDirection w:val="lrTbV"/>
        <w:rPr>
          <w:rFonts w:ascii="Times New Roman" w:eastAsia="標楷體"/>
          <w:spacing w:val="0"/>
          <w:sz w:val="24"/>
          <w:szCs w:val="24"/>
        </w:rPr>
      </w:pPr>
      <w:r w:rsidRPr="007F6F77">
        <w:rPr>
          <w:rFonts w:ascii="Times New Roman" w:eastAsia="標楷體" w:hint="eastAsia"/>
          <w:spacing w:val="0"/>
          <w:sz w:val="24"/>
          <w:szCs w:val="24"/>
        </w:rPr>
        <w:t>One board director presented the view that M2 growth</w:t>
      </w:r>
      <w:r w:rsidR="00087E2C" w:rsidRPr="007F6F77">
        <w:rPr>
          <w:rFonts w:ascii="Times New Roman" w:eastAsia="標楷體" w:hint="eastAsia"/>
          <w:spacing w:val="0"/>
          <w:sz w:val="24"/>
          <w:szCs w:val="24"/>
        </w:rPr>
        <w:t xml:space="preserve"> target range is watched over the long term. When M2 growth is close to the upper or lower limit of the target range, special attention is warranted. When M2 growth is within the target range, this suggests the amount of credit is neither too high nor too low; furthermore, in the long run, given M2</w:t>
      </w:r>
      <w:r w:rsidR="00087E2C" w:rsidRPr="007F6F77">
        <w:rPr>
          <w:rFonts w:ascii="Times New Roman" w:eastAsia="標楷體"/>
          <w:spacing w:val="0"/>
          <w:sz w:val="24"/>
          <w:szCs w:val="24"/>
        </w:rPr>
        <w:t>’</w:t>
      </w:r>
      <w:r w:rsidR="00087E2C" w:rsidRPr="007F6F77">
        <w:rPr>
          <w:rFonts w:ascii="Times New Roman" w:eastAsia="標楷體" w:hint="eastAsia"/>
          <w:spacing w:val="0"/>
          <w:sz w:val="24"/>
          <w:szCs w:val="24"/>
        </w:rPr>
        <w:t>s correlation with inflation, its within-target</w:t>
      </w:r>
      <w:r w:rsidR="00F010D7" w:rsidRPr="007F6F77">
        <w:rPr>
          <w:rFonts w:ascii="Times New Roman" w:eastAsia="標楷體" w:hint="eastAsia"/>
          <w:spacing w:val="0"/>
          <w:sz w:val="24"/>
          <w:szCs w:val="24"/>
        </w:rPr>
        <w:t>-range</w:t>
      </w:r>
      <w:r w:rsidR="00087E2C" w:rsidRPr="007F6F77">
        <w:rPr>
          <w:rFonts w:ascii="Times New Roman" w:eastAsia="標楷體" w:hint="eastAsia"/>
          <w:spacing w:val="0"/>
          <w:sz w:val="24"/>
          <w:szCs w:val="24"/>
        </w:rPr>
        <w:t xml:space="preserve"> growth </w:t>
      </w:r>
      <w:r w:rsidR="00421B51" w:rsidRPr="007F6F77">
        <w:rPr>
          <w:rFonts w:ascii="Times New Roman" w:eastAsia="標楷體" w:hint="eastAsia"/>
          <w:spacing w:val="0"/>
          <w:sz w:val="24"/>
          <w:szCs w:val="24"/>
        </w:rPr>
        <w:t>signifies</w:t>
      </w:r>
      <w:r w:rsidR="00087E2C" w:rsidRPr="007F6F77">
        <w:rPr>
          <w:rFonts w:ascii="Times New Roman" w:eastAsia="標楷體" w:hint="eastAsia"/>
          <w:spacing w:val="0"/>
          <w:sz w:val="24"/>
          <w:szCs w:val="24"/>
        </w:rPr>
        <w:t xml:space="preserve"> that inflat</w:t>
      </w:r>
      <w:r w:rsidR="00421B51" w:rsidRPr="007F6F77">
        <w:rPr>
          <w:rFonts w:ascii="Times New Roman" w:eastAsia="標楷體" w:hint="eastAsia"/>
          <w:spacing w:val="0"/>
          <w:sz w:val="24"/>
          <w:szCs w:val="24"/>
        </w:rPr>
        <w:t xml:space="preserve">ion is within control, which also suggests </w:t>
      </w:r>
      <w:r w:rsidR="00087E2C" w:rsidRPr="007F6F77">
        <w:rPr>
          <w:rFonts w:ascii="Times New Roman" w:eastAsia="標楷體" w:hint="eastAsia"/>
          <w:spacing w:val="0"/>
          <w:sz w:val="24"/>
          <w:szCs w:val="24"/>
        </w:rPr>
        <w:t xml:space="preserve">financial stability. </w:t>
      </w:r>
    </w:p>
    <w:p w:rsidR="00421B51" w:rsidRPr="007F6F77" w:rsidRDefault="00C66A80" w:rsidP="00EA1806">
      <w:pPr>
        <w:pStyle w:val="6"/>
        <w:overflowPunct w:val="0"/>
        <w:snapToGrid w:val="0"/>
        <w:spacing w:after="0" w:line="440" w:lineRule="exact"/>
        <w:ind w:left="0" w:firstLineChars="200" w:firstLine="480"/>
        <w:textDirection w:val="lrTbV"/>
        <w:rPr>
          <w:rFonts w:ascii="Times New Roman" w:eastAsia="標楷體"/>
          <w:spacing w:val="0"/>
          <w:sz w:val="24"/>
          <w:szCs w:val="24"/>
        </w:rPr>
      </w:pPr>
      <w:r w:rsidRPr="007F6F77">
        <w:rPr>
          <w:rFonts w:ascii="Times New Roman" w:eastAsia="標楷體" w:hint="eastAsia"/>
          <w:spacing w:val="0"/>
          <w:sz w:val="24"/>
          <w:szCs w:val="24"/>
        </w:rPr>
        <w:t xml:space="preserve">Another board director pointed out that some central banks in the world have adopted an inflation targeting regime. </w:t>
      </w:r>
      <w:r w:rsidR="00692E69" w:rsidRPr="007F6F77">
        <w:rPr>
          <w:rFonts w:ascii="Times New Roman" w:eastAsia="標楷體" w:hint="eastAsia"/>
          <w:spacing w:val="0"/>
          <w:sz w:val="24"/>
          <w:szCs w:val="24"/>
        </w:rPr>
        <w:t>One</w:t>
      </w:r>
      <w:r w:rsidR="00421B51" w:rsidRPr="007F6F77">
        <w:rPr>
          <w:rFonts w:ascii="Times New Roman" w:eastAsia="標楷體" w:hint="eastAsia"/>
          <w:spacing w:val="0"/>
          <w:sz w:val="24"/>
          <w:szCs w:val="24"/>
        </w:rPr>
        <w:t xml:space="preserve"> board director state</w:t>
      </w:r>
      <w:r w:rsidR="00692E69" w:rsidRPr="007F6F77">
        <w:rPr>
          <w:rFonts w:ascii="Times New Roman" w:eastAsia="標楷體" w:hint="eastAsia"/>
          <w:spacing w:val="0"/>
          <w:sz w:val="24"/>
          <w:szCs w:val="24"/>
        </w:rPr>
        <w:t>d</w:t>
      </w:r>
      <w:r w:rsidR="00421B51" w:rsidRPr="007F6F77">
        <w:rPr>
          <w:rFonts w:ascii="Times New Roman" w:eastAsia="標楷體" w:hint="eastAsia"/>
          <w:spacing w:val="0"/>
          <w:sz w:val="24"/>
          <w:szCs w:val="24"/>
        </w:rPr>
        <w:t xml:space="preserve"> that </w:t>
      </w:r>
      <w:r w:rsidR="0073450D" w:rsidRPr="007F6F77">
        <w:rPr>
          <w:rFonts w:ascii="Times New Roman" w:eastAsia="標楷體" w:hint="eastAsia"/>
          <w:spacing w:val="0"/>
          <w:sz w:val="24"/>
          <w:szCs w:val="24"/>
        </w:rPr>
        <w:t xml:space="preserve">few economies adopt a narrowly-defined inflation targeting regime (using inflation rate as the sole target); for instance, the US monetary policy regime is not inflation-targeting since the Federal Reserve has an inflation target but also pursues full employment. In the past, inflation-targeting economies were mostly those with high inflation and used nominal anchors to contain inflation expectations to sustain </w:t>
      </w:r>
      <w:r w:rsidR="0073450D" w:rsidRPr="007F6F77">
        <w:rPr>
          <w:rFonts w:ascii="Times New Roman" w:eastAsia="標楷體"/>
          <w:spacing w:val="0"/>
          <w:sz w:val="24"/>
          <w:szCs w:val="24"/>
        </w:rPr>
        <w:t>economic</w:t>
      </w:r>
      <w:r w:rsidR="0073450D" w:rsidRPr="007F6F77">
        <w:rPr>
          <w:rFonts w:ascii="Times New Roman" w:eastAsia="標楷體" w:hint="eastAsia"/>
          <w:spacing w:val="0"/>
          <w:sz w:val="24"/>
          <w:szCs w:val="24"/>
        </w:rPr>
        <w:t xml:space="preserve"> </w:t>
      </w:r>
      <w:r w:rsidR="00F63D72" w:rsidRPr="007F6F77">
        <w:rPr>
          <w:rFonts w:ascii="Times New Roman" w:eastAsia="標楷體"/>
          <w:spacing w:val="0"/>
          <w:sz w:val="24"/>
          <w:szCs w:val="24"/>
        </w:rPr>
        <w:t>stability</w:t>
      </w:r>
      <w:r w:rsidR="00F63D72" w:rsidRPr="007F6F77">
        <w:rPr>
          <w:rFonts w:ascii="Times New Roman" w:eastAsia="標楷體" w:hint="eastAsia"/>
          <w:spacing w:val="0"/>
          <w:sz w:val="24"/>
          <w:szCs w:val="24"/>
        </w:rPr>
        <w:t xml:space="preserve">. However, even </w:t>
      </w:r>
      <w:r w:rsidR="00F63D72" w:rsidRPr="007F6F77">
        <w:rPr>
          <w:rFonts w:ascii="Times New Roman" w:eastAsia="標楷體"/>
          <w:spacing w:val="0"/>
          <w:sz w:val="24"/>
          <w:szCs w:val="24"/>
        </w:rPr>
        <w:t>the world’s first inflation-targeting economy, New Zealand</w:t>
      </w:r>
      <w:r w:rsidR="00F63D72" w:rsidRPr="007F6F77">
        <w:rPr>
          <w:rFonts w:ascii="Times New Roman" w:eastAsia="標楷體" w:hint="eastAsia"/>
          <w:spacing w:val="0"/>
          <w:sz w:val="24"/>
          <w:szCs w:val="24"/>
        </w:rPr>
        <w:t xml:space="preserve">, puts an emphasis on </w:t>
      </w:r>
      <w:r w:rsidR="00F63D72" w:rsidRPr="007F6F77">
        <w:rPr>
          <w:rFonts w:ascii="Times New Roman" w:eastAsia="標楷體"/>
          <w:spacing w:val="0"/>
          <w:sz w:val="24"/>
          <w:szCs w:val="24"/>
        </w:rPr>
        <w:t>full employment</w:t>
      </w:r>
      <w:r w:rsidR="00F63D72" w:rsidRPr="007F6F77">
        <w:rPr>
          <w:rFonts w:ascii="Times New Roman" w:eastAsia="標楷體" w:hint="eastAsia"/>
          <w:spacing w:val="0"/>
          <w:sz w:val="24"/>
          <w:szCs w:val="24"/>
        </w:rPr>
        <w:t xml:space="preserve"> nowadays</w:t>
      </w:r>
      <w:r w:rsidR="00F63D72" w:rsidRPr="007F6F77">
        <w:rPr>
          <w:rFonts w:ascii="Times New Roman" w:eastAsia="標楷體"/>
          <w:spacing w:val="0"/>
          <w:sz w:val="24"/>
          <w:szCs w:val="24"/>
        </w:rPr>
        <w:t>.</w:t>
      </w:r>
      <w:r w:rsidR="00F63D72" w:rsidRPr="007F6F77">
        <w:rPr>
          <w:rFonts w:ascii="Times New Roman" w:eastAsia="標楷體" w:hint="eastAsia"/>
          <w:spacing w:val="0"/>
          <w:sz w:val="24"/>
          <w:szCs w:val="24"/>
        </w:rPr>
        <w:t xml:space="preserve"> While inflation-targeting proved effective in some economies, it should be noted that the result </w:t>
      </w:r>
      <w:r w:rsidR="00943C55" w:rsidRPr="007F6F77">
        <w:rPr>
          <w:rFonts w:ascii="Times New Roman" w:eastAsia="標楷體" w:hint="eastAsia"/>
          <w:spacing w:val="0"/>
          <w:sz w:val="24"/>
          <w:szCs w:val="24"/>
        </w:rPr>
        <w:t>was</w:t>
      </w:r>
      <w:r w:rsidR="00F63D72" w:rsidRPr="007F6F77">
        <w:rPr>
          <w:rFonts w:ascii="Times New Roman" w:eastAsia="標楷體" w:hint="eastAsia"/>
          <w:spacing w:val="0"/>
          <w:sz w:val="24"/>
          <w:szCs w:val="24"/>
        </w:rPr>
        <w:t xml:space="preserve"> partly achieved owing to a high comparison base in the past, as well as a sharp decline of inflation </w:t>
      </w:r>
      <w:r w:rsidR="00943C55" w:rsidRPr="007F6F77">
        <w:rPr>
          <w:rFonts w:ascii="Times New Roman" w:eastAsia="標楷體" w:hint="eastAsia"/>
          <w:spacing w:val="0"/>
          <w:sz w:val="24"/>
          <w:szCs w:val="24"/>
        </w:rPr>
        <w:t xml:space="preserve">rates </w:t>
      </w:r>
      <w:r w:rsidR="00F63D72" w:rsidRPr="007F6F77">
        <w:rPr>
          <w:rFonts w:ascii="Times New Roman" w:eastAsia="標楷體" w:hint="eastAsia"/>
          <w:spacing w:val="0"/>
          <w:sz w:val="24"/>
          <w:szCs w:val="24"/>
        </w:rPr>
        <w:t xml:space="preserve">after the world became increasingly globalized from the 1980s onwards. </w:t>
      </w:r>
      <w:r w:rsidR="00943C55" w:rsidRPr="007F6F77">
        <w:rPr>
          <w:rFonts w:ascii="Times New Roman" w:eastAsia="標楷體" w:hint="eastAsia"/>
          <w:spacing w:val="0"/>
          <w:sz w:val="24"/>
          <w:szCs w:val="24"/>
        </w:rPr>
        <w:t xml:space="preserve">Moreover, after the global financial crisis, some economists argued that inflation-targeting might not be the appropriate regime, </w:t>
      </w:r>
      <w:r w:rsidR="00EA1806" w:rsidRPr="007F6F77">
        <w:rPr>
          <w:rFonts w:ascii="Times New Roman" w:eastAsia="標楷體" w:hint="eastAsia"/>
          <w:spacing w:val="0"/>
          <w:sz w:val="24"/>
          <w:szCs w:val="24"/>
        </w:rPr>
        <w:t xml:space="preserve">and the number of </w:t>
      </w:r>
      <w:r w:rsidR="00943C55" w:rsidRPr="007F6F77">
        <w:rPr>
          <w:rFonts w:ascii="Times New Roman" w:eastAsia="標楷體" w:hint="eastAsia"/>
          <w:spacing w:val="0"/>
          <w:sz w:val="24"/>
          <w:szCs w:val="24"/>
        </w:rPr>
        <w:t>inflation-targeting economies</w:t>
      </w:r>
      <w:r w:rsidR="00EA1806" w:rsidRPr="007F6F77">
        <w:rPr>
          <w:rFonts w:ascii="Times New Roman" w:eastAsia="標楷體" w:hint="eastAsia"/>
          <w:spacing w:val="0"/>
          <w:sz w:val="24"/>
          <w:szCs w:val="24"/>
        </w:rPr>
        <w:t xml:space="preserve"> was small</w:t>
      </w:r>
      <w:r w:rsidR="00943C55" w:rsidRPr="007F6F77">
        <w:rPr>
          <w:rFonts w:ascii="Times New Roman" w:eastAsia="標楷體" w:hint="eastAsia"/>
          <w:spacing w:val="0"/>
          <w:sz w:val="24"/>
          <w:szCs w:val="24"/>
        </w:rPr>
        <w:t>. In this view, it seems that, other than continued attention to the development of inflation-targeting, there is currently no need for the CBC to consider adopting this regime as the existing monetary-targeting</w:t>
      </w:r>
      <w:r w:rsidR="001770DA" w:rsidRPr="007F6F77">
        <w:rPr>
          <w:rFonts w:ascii="Times New Roman" w:eastAsia="標楷體" w:hint="eastAsia"/>
          <w:spacing w:val="0"/>
          <w:sz w:val="24"/>
          <w:szCs w:val="24"/>
        </w:rPr>
        <w:t xml:space="preserve"> framework is functioning well</w:t>
      </w:r>
      <w:r w:rsidR="00943C55" w:rsidRPr="007F6F77">
        <w:rPr>
          <w:rFonts w:ascii="Times New Roman" w:eastAsia="標楷體" w:hint="eastAsia"/>
          <w:spacing w:val="0"/>
          <w:sz w:val="24"/>
          <w:szCs w:val="24"/>
        </w:rPr>
        <w:t xml:space="preserve">.  </w:t>
      </w:r>
    </w:p>
    <w:p w:rsidR="00C66A80" w:rsidRPr="007F6F77" w:rsidRDefault="00C66A80" w:rsidP="000571DE">
      <w:pPr>
        <w:pStyle w:val="6"/>
        <w:overflowPunct w:val="0"/>
        <w:snapToGrid w:val="0"/>
        <w:spacing w:after="0" w:line="440" w:lineRule="exact"/>
        <w:ind w:left="0" w:firstLineChars="200" w:firstLine="480"/>
        <w:textDirection w:val="lrTbV"/>
        <w:rPr>
          <w:rFonts w:ascii="Times New Roman" w:eastAsia="標楷體"/>
          <w:spacing w:val="0"/>
          <w:sz w:val="24"/>
          <w:szCs w:val="24"/>
        </w:rPr>
      </w:pPr>
      <w:r w:rsidRPr="007F6F77">
        <w:rPr>
          <w:rFonts w:ascii="Times New Roman" w:eastAsia="標楷體" w:hint="eastAsia"/>
          <w:spacing w:val="0"/>
          <w:sz w:val="24"/>
          <w:szCs w:val="24"/>
        </w:rPr>
        <w:t>Another board director added that, as opposed to inflation-targeting countries where inflation presents a major challenge, Taiwan</w:t>
      </w:r>
      <w:r w:rsidRPr="007F6F77">
        <w:rPr>
          <w:rFonts w:ascii="Times New Roman" w:eastAsia="標楷體"/>
          <w:spacing w:val="0"/>
          <w:sz w:val="24"/>
          <w:szCs w:val="24"/>
        </w:rPr>
        <w:t>’</w:t>
      </w:r>
      <w:r w:rsidRPr="007F6F77">
        <w:rPr>
          <w:rFonts w:ascii="Times New Roman" w:eastAsia="標楷體" w:hint="eastAsia"/>
          <w:spacing w:val="0"/>
          <w:sz w:val="24"/>
          <w:szCs w:val="24"/>
        </w:rPr>
        <w:t xml:space="preserve">s inflation is not a cause for concern, hence a non-issue for adopting an inflation-targeting regime. </w:t>
      </w:r>
    </w:p>
    <w:p w:rsidR="00D367E0" w:rsidRPr="007F6F77" w:rsidRDefault="006B62AE" w:rsidP="00FA173A">
      <w:pPr>
        <w:numPr>
          <w:ilvl w:val="0"/>
          <w:numId w:val="35"/>
        </w:numPr>
        <w:overflowPunct w:val="0"/>
        <w:autoSpaceDE w:val="0"/>
        <w:autoSpaceDN w:val="0"/>
        <w:snapToGrid w:val="0"/>
        <w:spacing w:before="120" w:line="440" w:lineRule="exact"/>
        <w:ind w:left="426" w:hanging="426"/>
        <w:jc w:val="both"/>
        <w:textDirection w:val="lrTbV"/>
        <w:rPr>
          <w:rFonts w:eastAsia="標楷體"/>
          <w:b/>
          <w:spacing w:val="-2"/>
          <w:sz w:val="24"/>
          <w:szCs w:val="24"/>
        </w:rPr>
      </w:pPr>
      <w:r w:rsidRPr="007F6F77">
        <w:rPr>
          <w:rFonts w:eastAsia="標楷體" w:hint="eastAsia"/>
          <w:b/>
          <w:spacing w:val="-2"/>
          <w:sz w:val="24"/>
          <w:szCs w:val="24"/>
        </w:rPr>
        <w:t>Decision on the 201</w:t>
      </w:r>
      <w:r w:rsidR="00860EF7" w:rsidRPr="007F6F77">
        <w:rPr>
          <w:rFonts w:eastAsia="標楷體" w:hint="eastAsia"/>
          <w:b/>
          <w:spacing w:val="-2"/>
          <w:sz w:val="24"/>
          <w:szCs w:val="24"/>
        </w:rPr>
        <w:t>9</w:t>
      </w:r>
      <w:r w:rsidRPr="007F6F77">
        <w:rPr>
          <w:rFonts w:eastAsia="標楷體" w:hint="eastAsia"/>
          <w:b/>
          <w:spacing w:val="-2"/>
          <w:sz w:val="24"/>
          <w:szCs w:val="24"/>
        </w:rPr>
        <w:t xml:space="preserve"> M2 growth target range </w:t>
      </w:r>
    </w:p>
    <w:p w:rsidR="006B62AE" w:rsidRPr="007F6F77" w:rsidRDefault="006B62AE" w:rsidP="00FA173A">
      <w:pPr>
        <w:overflowPunct w:val="0"/>
        <w:autoSpaceDE w:val="0"/>
        <w:autoSpaceDN w:val="0"/>
        <w:snapToGrid w:val="0"/>
        <w:spacing w:before="120" w:line="440" w:lineRule="exact"/>
        <w:ind w:left="426"/>
        <w:jc w:val="both"/>
        <w:textDirection w:val="lrTbV"/>
        <w:rPr>
          <w:rFonts w:eastAsia="標楷體"/>
          <w:b/>
          <w:spacing w:val="-2"/>
          <w:sz w:val="24"/>
          <w:szCs w:val="24"/>
        </w:rPr>
      </w:pPr>
      <w:r w:rsidRPr="007F6F77">
        <w:rPr>
          <w:rFonts w:eastAsia="標楷體" w:hint="eastAsia"/>
          <w:b/>
          <w:spacing w:val="-2"/>
          <w:sz w:val="24"/>
          <w:szCs w:val="24"/>
        </w:rPr>
        <w:lastRenderedPageBreak/>
        <w:t xml:space="preserve">The </w:t>
      </w:r>
      <w:r w:rsidR="00C05E67" w:rsidRPr="007F6F77">
        <w:rPr>
          <w:rFonts w:eastAsia="標楷體" w:hint="eastAsia"/>
          <w:b/>
          <w:spacing w:val="-2"/>
          <w:sz w:val="24"/>
          <w:szCs w:val="24"/>
        </w:rPr>
        <w:t xml:space="preserve">board </w:t>
      </w:r>
      <w:r w:rsidRPr="007F6F77">
        <w:rPr>
          <w:rFonts w:eastAsia="標楷體" w:hint="eastAsia"/>
          <w:b/>
          <w:spacing w:val="-2"/>
          <w:sz w:val="24"/>
          <w:szCs w:val="24"/>
        </w:rPr>
        <w:t>directors reached a unanimous decision to set the 201</w:t>
      </w:r>
      <w:r w:rsidR="00860EF7" w:rsidRPr="007F6F77">
        <w:rPr>
          <w:rFonts w:eastAsia="標楷體" w:hint="eastAsia"/>
          <w:b/>
          <w:spacing w:val="-2"/>
          <w:sz w:val="24"/>
          <w:szCs w:val="24"/>
        </w:rPr>
        <w:t>9</w:t>
      </w:r>
      <w:r w:rsidRPr="007F6F77">
        <w:rPr>
          <w:rFonts w:eastAsia="標楷體" w:hint="eastAsia"/>
          <w:b/>
          <w:spacing w:val="-2"/>
          <w:sz w:val="24"/>
          <w:szCs w:val="24"/>
        </w:rPr>
        <w:t xml:space="preserve"> M2 growth target range at 2.5% to 6.5%. </w:t>
      </w:r>
    </w:p>
    <w:p w:rsidR="00AA6988" w:rsidRPr="007F6F77" w:rsidRDefault="00AA6988" w:rsidP="00FA173A">
      <w:pPr>
        <w:snapToGrid w:val="0"/>
        <w:spacing w:before="120" w:line="440" w:lineRule="exact"/>
        <w:ind w:left="961" w:hangingChars="400" w:hanging="961"/>
        <w:jc w:val="both"/>
        <w:textDirection w:val="lrTbV"/>
        <w:rPr>
          <w:rFonts w:eastAsia="標楷體"/>
          <w:b/>
          <w:sz w:val="24"/>
          <w:szCs w:val="24"/>
        </w:rPr>
      </w:pPr>
      <w:r w:rsidRPr="007F6F77">
        <w:rPr>
          <w:rFonts w:eastAsia="標楷體" w:hint="eastAsia"/>
          <w:b/>
          <w:sz w:val="24"/>
          <w:szCs w:val="24"/>
        </w:rPr>
        <w:t xml:space="preserve">Voting for the proposition: </w:t>
      </w:r>
    </w:p>
    <w:p w:rsidR="00AA6988" w:rsidRPr="007F6F77" w:rsidRDefault="00FA173A" w:rsidP="00FA173A">
      <w:pPr>
        <w:adjustRightInd/>
        <w:snapToGrid w:val="0"/>
        <w:spacing w:before="120" w:afterLines="50" w:after="120" w:line="440" w:lineRule="exact"/>
        <w:jc w:val="both"/>
        <w:textDirection w:val="lrTbV"/>
        <w:rPr>
          <w:rFonts w:eastAsia="標楷體"/>
          <w:sz w:val="24"/>
          <w:szCs w:val="24"/>
        </w:rPr>
      </w:pPr>
      <w:r w:rsidRPr="007F6F77">
        <w:rPr>
          <w:rFonts w:eastAsia="標楷體"/>
          <w:sz w:val="24"/>
          <w:szCs w:val="24"/>
        </w:rPr>
        <w:t>Chin-long Yang</w:t>
      </w:r>
      <w:r w:rsidRPr="007F6F77">
        <w:rPr>
          <w:rFonts w:eastAsia="標楷體" w:hint="eastAsia"/>
          <w:sz w:val="24"/>
          <w:szCs w:val="24"/>
        </w:rPr>
        <w:t>,</w:t>
      </w:r>
      <w:r w:rsidRPr="007F6F77">
        <w:rPr>
          <w:rFonts w:eastAsia="標楷體"/>
          <w:sz w:val="24"/>
          <w:szCs w:val="24"/>
        </w:rPr>
        <w:t xml:space="preserve"> Jain-</w:t>
      </w:r>
      <w:proofErr w:type="spellStart"/>
      <w:r w:rsidRPr="007F6F77">
        <w:rPr>
          <w:rFonts w:eastAsia="標楷體"/>
          <w:sz w:val="24"/>
          <w:szCs w:val="24"/>
        </w:rPr>
        <w:t>Rong</w:t>
      </w:r>
      <w:proofErr w:type="spellEnd"/>
      <w:r w:rsidRPr="007F6F77">
        <w:rPr>
          <w:rFonts w:eastAsia="標楷體" w:hint="eastAsia"/>
          <w:sz w:val="24"/>
          <w:szCs w:val="24"/>
        </w:rPr>
        <w:t xml:space="preserve"> Su</w:t>
      </w:r>
      <w:r w:rsidR="00860EF7" w:rsidRPr="007F6F77">
        <w:rPr>
          <w:rFonts w:eastAsia="標楷體"/>
          <w:sz w:val="24"/>
          <w:szCs w:val="24"/>
        </w:rPr>
        <w:t xml:space="preserve"> (</w:t>
      </w:r>
      <w:r w:rsidR="00860EF7" w:rsidRPr="007F6F77">
        <w:rPr>
          <w:rFonts w:eastAsia="標楷體" w:hint="eastAsia"/>
          <w:sz w:val="24"/>
          <w:szCs w:val="24"/>
        </w:rPr>
        <w:t>voting by proxy</w:t>
      </w:r>
      <w:r w:rsidR="00860EF7" w:rsidRPr="007F6F77">
        <w:rPr>
          <w:rFonts w:eastAsia="標楷體"/>
          <w:sz w:val="24"/>
          <w:szCs w:val="24"/>
        </w:rPr>
        <w:t>)</w:t>
      </w:r>
      <w:r w:rsidRPr="007F6F77">
        <w:rPr>
          <w:rFonts w:eastAsia="標楷體" w:hint="eastAsia"/>
          <w:sz w:val="24"/>
          <w:szCs w:val="24"/>
        </w:rPr>
        <w:t xml:space="preserve">, </w:t>
      </w:r>
      <w:r w:rsidRPr="007F6F77">
        <w:rPr>
          <w:rFonts w:eastAsia="標楷體"/>
          <w:sz w:val="24"/>
          <w:szCs w:val="24"/>
        </w:rPr>
        <w:t>Jong-</w:t>
      </w:r>
      <w:r w:rsidRPr="007F6F77">
        <w:rPr>
          <w:rFonts w:eastAsia="標楷體" w:hint="eastAsia"/>
          <w:sz w:val="24"/>
          <w:szCs w:val="24"/>
        </w:rPr>
        <w:t>c</w:t>
      </w:r>
      <w:r w:rsidRPr="007F6F77">
        <w:rPr>
          <w:rFonts w:eastAsia="標楷體"/>
          <w:sz w:val="24"/>
          <w:szCs w:val="24"/>
        </w:rPr>
        <w:t xml:space="preserve">hin Shen, </w:t>
      </w:r>
      <w:proofErr w:type="spellStart"/>
      <w:r w:rsidRPr="007F6F77">
        <w:rPr>
          <w:rFonts w:eastAsia="標楷體"/>
          <w:sz w:val="24"/>
          <w:szCs w:val="24"/>
        </w:rPr>
        <w:t>Tzung</w:t>
      </w:r>
      <w:proofErr w:type="spellEnd"/>
      <w:r w:rsidRPr="007F6F77">
        <w:rPr>
          <w:rFonts w:eastAsia="標楷體"/>
          <w:sz w:val="24"/>
          <w:szCs w:val="24"/>
        </w:rPr>
        <w:t>-ta Yen, Nan-</w:t>
      </w:r>
      <w:proofErr w:type="spellStart"/>
      <w:r w:rsidRPr="007F6F77">
        <w:rPr>
          <w:rFonts w:eastAsia="標楷體"/>
          <w:sz w:val="24"/>
          <w:szCs w:val="24"/>
        </w:rPr>
        <w:t>kuang</w:t>
      </w:r>
      <w:proofErr w:type="spellEnd"/>
      <w:r w:rsidRPr="007F6F77">
        <w:rPr>
          <w:rFonts w:eastAsia="標楷體"/>
          <w:sz w:val="24"/>
          <w:szCs w:val="24"/>
        </w:rPr>
        <w:t xml:space="preserve"> Chen, Ming-</w:t>
      </w:r>
      <w:proofErr w:type="spellStart"/>
      <w:r w:rsidRPr="007F6F77">
        <w:rPr>
          <w:rFonts w:eastAsia="標楷體"/>
          <w:sz w:val="24"/>
          <w:szCs w:val="24"/>
        </w:rPr>
        <w:t>yih</w:t>
      </w:r>
      <w:proofErr w:type="spellEnd"/>
      <w:r w:rsidRPr="007F6F77">
        <w:rPr>
          <w:rFonts w:eastAsia="標楷體"/>
          <w:sz w:val="24"/>
          <w:szCs w:val="24"/>
        </w:rPr>
        <w:t xml:space="preserve"> Liang, </w:t>
      </w:r>
      <w:proofErr w:type="spellStart"/>
      <w:r w:rsidRPr="007F6F77">
        <w:rPr>
          <w:rFonts w:eastAsia="標楷體"/>
          <w:sz w:val="24"/>
          <w:szCs w:val="24"/>
        </w:rPr>
        <w:t>Tsung-hsien</w:t>
      </w:r>
      <w:proofErr w:type="spellEnd"/>
      <w:r w:rsidRPr="007F6F77">
        <w:rPr>
          <w:rFonts w:eastAsia="標楷體"/>
          <w:sz w:val="24"/>
          <w:szCs w:val="24"/>
        </w:rPr>
        <w:t xml:space="preserve"> Lin, Chen-chia Lee, Chung-</w:t>
      </w:r>
      <w:proofErr w:type="spellStart"/>
      <w:r w:rsidRPr="007F6F77">
        <w:rPr>
          <w:rFonts w:eastAsia="標楷體"/>
          <w:sz w:val="24"/>
          <w:szCs w:val="24"/>
        </w:rPr>
        <w:t>dar</w:t>
      </w:r>
      <w:proofErr w:type="spellEnd"/>
      <w:r w:rsidRPr="007F6F77">
        <w:rPr>
          <w:rFonts w:eastAsia="標楷體"/>
          <w:sz w:val="24"/>
          <w:szCs w:val="24"/>
        </w:rPr>
        <w:t xml:space="preserve"> Lei, </w:t>
      </w:r>
      <w:proofErr w:type="spellStart"/>
      <w:r w:rsidRPr="007F6F77">
        <w:rPr>
          <w:rFonts w:eastAsia="標楷體"/>
          <w:sz w:val="24"/>
          <w:szCs w:val="24"/>
        </w:rPr>
        <w:t>Jin</w:t>
      </w:r>
      <w:proofErr w:type="spellEnd"/>
      <w:r w:rsidRPr="007F6F77">
        <w:rPr>
          <w:rFonts w:eastAsia="標楷體"/>
          <w:sz w:val="24"/>
          <w:szCs w:val="24"/>
        </w:rPr>
        <w:t>-lung Lin, Mei-lie Chu, Chao-</w:t>
      </w:r>
      <w:proofErr w:type="spellStart"/>
      <w:r w:rsidRPr="007F6F77">
        <w:rPr>
          <w:rFonts w:eastAsia="標楷體"/>
          <w:sz w:val="24"/>
          <w:szCs w:val="24"/>
        </w:rPr>
        <w:t>hsi</w:t>
      </w:r>
      <w:proofErr w:type="spellEnd"/>
      <w:r w:rsidRPr="007F6F77">
        <w:rPr>
          <w:rFonts w:eastAsia="標楷體"/>
          <w:sz w:val="24"/>
          <w:szCs w:val="24"/>
        </w:rPr>
        <w:t xml:space="preserve"> Huang, </w:t>
      </w:r>
      <w:proofErr w:type="spellStart"/>
      <w:r w:rsidRPr="007F6F77">
        <w:rPr>
          <w:rFonts w:eastAsia="標楷體"/>
          <w:sz w:val="24"/>
          <w:szCs w:val="24"/>
        </w:rPr>
        <w:t>Bih</w:t>
      </w:r>
      <w:proofErr w:type="spellEnd"/>
      <w:r w:rsidRPr="007F6F77">
        <w:rPr>
          <w:rFonts w:eastAsia="標楷體"/>
          <w:sz w:val="24"/>
          <w:szCs w:val="24"/>
        </w:rPr>
        <w:t xml:space="preserve">-jane Liu, </w:t>
      </w:r>
      <w:proofErr w:type="spellStart"/>
      <w:r w:rsidRPr="007F6F77">
        <w:rPr>
          <w:rFonts w:eastAsia="標楷體"/>
          <w:sz w:val="24"/>
          <w:szCs w:val="24"/>
        </w:rPr>
        <w:t>Shiu</w:t>
      </w:r>
      <w:proofErr w:type="spellEnd"/>
      <w:r w:rsidRPr="007F6F77">
        <w:rPr>
          <w:rFonts w:eastAsia="標楷體"/>
          <w:sz w:val="24"/>
          <w:szCs w:val="24"/>
        </w:rPr>
        <w:t>-sheng Chen</w:t>
      </w:r>
      <w:r w:rsidRPr="007F6F77">
        <w:rPr>
          <w:rFonts w:eastAsia="標楷體" w:hint="eastAsia"/>
          <w:sz w:val="24"/>
          <w:szCs w:val="24"/>
        </w:rPr>
        <w:t xml:space="preserve">, </w:t>
      </w:r>
      <w:proofErr w:type="spellStart"/>
      <w:r w:rsidR="000060B5" w:rsidRPr="007F6F77">
        <w:rPr>
          <w:rFonts w:eastAsia="標楷體"/>
          <w:sz w:val="24"/>
          <w:szCs w:val="24"/>
        </w:rPr>
        <w:t>Hsin-</w:t>
      </w:r>
      <w:r w:rsidR="000060B5" w:rsidRPr="007F6F77">
        <w:rPr>
          <w:rFonts w:eastAsia="標楷體" w:hint="eastAsia"/>
          <w:sz w:val="24"/>
          <w:szCs w:val="24"/>
        </w:rPr>
        <w:t>h</w:t>
      </w:r>
      <w:r w:rsidRPr="007F6F77">
        <w:rPr>
          <w:rFonts w:eastAsia="標楷體"/>
          <w:sz w:val="24"/>
          <w:szCs w:val="24"/>
        </w:rPr>
        <w:t>ong</w:t>
      </w:r>
      <w:proofErr w:type="spellEnd"/>
      <w:r w:rsidRPr="007F6F77">
        <w:rPr>
          <w:rFonts w:eastAsia="標楷體"/>
          <w:sz w:val="24"/>
          <w:szCs w:val="24"/>
        </w:rPr>
        <w:t xml:space="preserve"> Kang </w:t>
      </w:r>
    </w:p>
    <w:p w:rsidR="00AA6988" w:rsidRPr="007F6F77" w:rsidRDefault="00AA6988" w:rsidP="00FA173A">
      <w:pPr>
        <w:snapToGrid w:val="0"/>
        <w:spacing w:before="120" w:line="440" w:lineRule="exact"/>
        <w:ind w:left="985" w:hangingChars="410" w:hanging="985"/>
        <w:textDirection w:val="lrTbV"/>
        <w:rPr>
          <w:rFonts w:eastAsia="標楷體"/>
          <w:sz w:val="24"/>
          <w:szCs w:val="24"/>
        </w:rPr>
      </w:pPr>
      <w:proofErr w:type="gramStart"/>
      <w:r w:rsidRPr="007F6F77">
        <w:rPr>
          <w:rFonts w:eastAsia="標楷體" w:hint="eastAsia"/>
          <w:b/>
          <w:sz w:val="24"/>
          <w:szCs w:val="24"/>
        </w:rPr>
        <w:t xml:space="preserve">Voting against the proposition: </w:t>
      </w:r>
      <w:r w:rsidRPr="007F6F77">
        <w:rPr>
          <w:rFonts w:eastAsia="標楷體" w:hint="eastAsia"/>
          <w:sz w:val="24"/>
          <w:szCs w:val="24"/>
        </w:rPr>
        <w:t>None.</w:t>
      </w:r>
      <w:proofErr w:type="gramEnd"/>
      <w:r w:rsidRPr="007F6F77">
        <w:rPr>
          <w:rFonts w:eastAsia="標楷體" w:hint="eastAsia"/>
          <w:sz w:val="24"/>
          <w:szCs w:val="24"/>
        </w:rPr>
        <w:t xml:space="preserve"> </w:t>
      </w:r>
    </w:p>
    <w:p w:rsidR="00AA6988" w:rsidRPr="007F6F77" w:rsidRDefault="00AA6988" w:rsidP="00FA173A">
      <w:pPr>
        <w:snapToGrid w:val="0"/>
        <w:spacing w:before="120" w:line="440" w:lineRule="exact"/>
        <w:ind w:left="985" w:hangingChars="410" w:hanging="985"/>
        <w:textDirection w:val="lrTbV"/>
        <w:rPr>
          <w:rFonts w:eastAsia="標楷體"/>
          <w:b/>
          <w:sz w:val="24"/>
          <w:szCs w:val="24"/>
        </w:rPr>
      </w:pPr>
    </w:p>
    <w:p w:rsidR="005E27CD" w:rsidRPr="007F6F77" w:rsidRDefault="00AA6988" w:rsidP="00FA173A">
      <w:pPr>
        <w:adjustRightInd/>
        <w:snapToGrid w:val="0"/>
        <w:spacing w:before="120" w:line="440" w:lineRule="exact"/>
        <w:ind w:left="1302" w:hanging="1302"/>
        <w:jc w:val="both"/>
        <w:textDirection w:val="lrTbV"/>
        <w:rPr>
          <w:rFonts w:eastAsia="標楷體"/>
          <w:b/>
          <w:sz w:val="24"/>
          <w:szCs w:val="24"/>
        </w:rPr>
      </w:pPr>
      <w:r w:rsidRPr="007F6F77">
        <w:rPr>
          <w:rFonts w:eastAsia="標楷體"/>
          <w:b/>
          <w:sz w:val="24"/>
          <w:szCs w:val="24"/>
        </w:rPr>
        <w:br w:type="page"/>
      </w:r>
    </w:p>
    <w:p w:rsidR="002570BA" w:rsidRPr="007F6F77" w:rsidRDefault="008F7E41" w:rsidP="00FA173A">
      <w:pPr>
        <w:adjustRightInd/>
        <w:snapToGrid w:val="0"/>
        <w:spacing w:before="120" w:line="440" w:lineRule="exact"/>
        <w:jc w:val="both"/>
        <w:textDirection w:val="lrTbV"/>
        <w:rPr>
          <w:rFonts w:eastAsia="標楷體"/>
          <w:sz w:val="28"/>
          <w:szCs w:val="28"/>
        </w:rPr>
      </w:pPr>
      <w:r w:rsidRPr="007F6F77">
        <w:rPr>
          <w:rFonts w:eastAsia="標楷體"/>
          <w:b/>
          <w:sz w:val="28"/>
          <w:szCs w:val="28"/>
        </w:rPr>
        <w:lastRenderedPageBreak/>
        <w:t>AGENDA ITEM 2: ECONOMIC AND FINANCIAL CONDITIONS AND MONETARY POLICY DECISION</w:t>
      </w:r>
    </w:p>
    <w:p w:rsidR="002570BA" w:rsidRPr="007F6F77" w:rsidRDefault="00EB1763" w:rsidP="00FA173A">
      <w:pPr>
        <w:adjustRightInd/>
        <w:snapToGrid w:val="0"/>
        <w:spacing w:before="120" w:line="440" w:lineRule="exact"/>
        <w:jc w:val="both"/>
        <w:rPr>
          <w:rFonts w:eastAsia="標楷體"/>
          <w:b/>
          <w:sz w:val="28"/>
          <w:szCs w:val="28"/>
        </w:rPr>
      </w:pPr>
      <w:r w:rsidRPr="007F6F77">
        <w:rPr>
          <w:rFonts w:eastAsia="標楷體" w:hint="eastAsia"/>
          <w:b/>
          <w:sz w:val="28"/>
          <w:szCs w:val="28"/>
        </w:rPr>
        <w:t xml:space="preserve">I. </w:t>
      </w:r>
      <w:r w:rsidR="00653A10" w:rsidRPr="007F6F77">
        <w:rPr>
          <w:rFonts w:eastAsia="標楷體" w:hint="eastAsia"/>
          <w:b/>
          <w:sz w:val="28"/>
          <w:szCs w:val="28"/>
        </w:rPr>
        <w:t xml:space="preserve">Review of </w:t>
      </w:r>
      <w:r w:rsidR="008F7E41" w:rsidRPr="007F6F77">
        <w:rPr>
          <w:rFonts w:eastAsia="標楷體"/>
          <w:b/>
          <w:sz w:val="28"/>
          <w:szCs w:val="28"/>
        </w:rPr>
        <w:t xml:space="preserve">economic </w:t>
      </w:r>
      <w:r w:rsidR="002570BA" w:rsidRPr="007F6F77">
        <w:rPr>
          <w:rFonts w:eastAsia="標楷體" w:hint="eastAsia"/>
          <w:b/>
          <w:sz w:val="28"/>
          <w:szCs w:val="28"/>
        </w:rPr>
        <w:t>a</w:t>
      </w:r>
      <w:r w:rsidR="008F7E41" w:rsidRPr="007F6F77">
        <w:rPr>
          <w:rFonts w:eastAsia="標楷體"/>
          <w:b/>
          <w:sz w:val="28"/>
          <w:szCs w:val="28"/>
        </w:rPr>
        <w:t xml:space="preserve">nd financial conditions </w:t>
      </w:r>
    </w:p>
    <w:p w:rsidR="00EB1763" w:rsidRPr="007F6F77" w:rsidRDefault="0043506F" w:rsidP="00FA173A">
      <w:pPr>
        <w:adjustRightInd/>
        <w:snapToGrid w:val="0"/>
        <w:spacing w:before="120" w:line="440" w:lineRule="exact"/>
        <w:jc w:val="both"/>
        <w:textDirection w:val="lrTbV"/>
        <w:rPr>
          <w:rFonts w:eastAsia="標楷體"/>
          <w:sz w:val="24"/>
          <w:szCs w:val="28"/>
        </w:rPr>
      </w:pPr>
      <w:r w:rsidRPr="007F6F77">
        <w:rPr>
          <w:rFonts w:eastAsia="標楷體" w:hint="eastAsia"/>
          <w:sz w:val="24"/>
          <w:szCs w:val="28"/>
        </w:rPr>
        <w:t xml:space="preserve">The </w:t>
      </w:r>
      <w:r w:rsidR="00EB1763" w:rsidRPr="007F6F77">
        <w:rPr>
          <w:rFonts w:eastAsia="標楷體" w:hint="eastAsia"/>
          <w:sz w:val="24"/>
          <w:szCs w:val="28"/>
        </w:rPr>
        <w:t xml:space="preserve">Department of Economic Research </w:t>
      </w:r>
      <w:r w:rsidR="00653A10" w:rsidRPr="007F6F77">
        <w:rPr>
          <w:rFonts w:eastAsia="標楷體" w:hint="eastAsia"/>
          <w:sz w:val="24"/>
          <w:szCs w:val="28"/>
        </w:rPr>
        <w:t xml:space="preserve">presented </w:t>
      </w:r>
      <w:r w:rsidRPr="007F6F77">
        <w:rPr>
          <w:rFonts w:eastAsia="標楷體" w:hint="eastAsia"/>
          <w:sz w:val="24"/>
          <w:szCs w:val="28"/>
        </w:rPr>
        <w:t>the following review</w:t>
      </w:r>
      <w:r w:rsidR="00653A10" w:rsidRPr="007F6F77">
        <w:rPr>
          <w:rFonts w:eastAsia="標楷體" w:hint="eastAsia"/>
          <w:sz w:val="24"/>
          <w:szCs w:val="28"/>
        </w:rPr>
        <w:t>:</w:t>
      </w:r>
      <w:r w:rsidRPr="007F6F77">
        <w:rPr>
          <w:rFonts w:eastAsia="標楷體" w:hint="eastAsia"/>
          <w:sz w:val="24"/>
          <w:szCs w:val="28"/>
        </w:rPr>
        <w:t xml:space="preserve"> </w:t>
      </w:r>
    </w:p>
    <w:p w:rsidR="00EB1763" w:rsidRPr="007F6F77" w:rsidRDefault="00EB1763" w:rsidP="00FA173A">
      <w:pPr>
        <w:numPr>
          <w:ilvl w:val="0"/>
          <w:numId w:val="30"/>
        </w:numPr>
        <w:overflowPunct w:val="0"/>
        <w:autoSpaceDE w:val="0"/>
        <w:autoSpaceDN w:val="0"/>
        <w:snapToGrid w:val="0"/>
        <w:spacing w:before="120" w:line="440" w:lineRule="exact"/>
        <w:ind w:left="426" w:hanging="426"/>
        <w:jc w:val="both"/>
        <w:rPr>
          <w:rFonts w:eastAsia="標楷體"/>
          <w:b/>
          <w:spacing w:val="-2"/>
          <w:sz w:val="24"/>
          <w:szCs w:val="28"/>
        </w:rPr>
      </w:pPr>
      <w:r w:rsidRPr="007F6F77">
        <w:rPr>
          <w:rFonts w:eastAsia="標楷體" w:hint="eastAsia"/>
          <w:b/>
          <w:spacing w:val="-2"/>
          <w:sz w:val="24"/>
          <w:szCs w:val="28"/>
        </w:rPr>
        <w:t xml:space="preserve">International </w:t>
      </w:r>
      <w:r w:rsidRPr="007F6F77">
        <w:rPr>
          <w:rFonts w:eastAsia="標楷體"/>
          <w:b/>
          <w:spacing w:val="-2"/>
          <w:sz w:val="24"/>
          <w:szCs w:val="28"/>
        </w:rPr>
        <w:t xml:space="preserve">Economic </w:t>
      </w:r>
      <w:r w:rsidRPr="007F6F77">
        <w:rPr>
          <w:rFonts w:eastAsia="標楷體" w:hint="eastAsia"/>
          <w:b/>
          <w:spacing w:val="-2"/>
          <w:sz w:val="24"/>
          <w:szCs w:val="28"/>
        </w:rPr>
        <w:t>a</w:t>
      </w:r>
      <w:r w:rsidRPr="007F6F77">
        <w:rPr>
          <w:rFonts w:eastAsia="標楷體"/>
          <w:b/>
          <w:spacing w:val="-2"/>
          <w:sz w:val="24"/>
          <w:szCs w:val="28"/>
        </w:rPr>
        <w:t>nd Financial Conditions</w:t>
      </w:r>
    </w:p>
    <w:p w:rsidR="00D203B7" w:rsidRPr="007F6F77" w:rsidRDefault="00D91D95" w:rsidP="007E3FA7">
      <w:pPr>
        <w:pStyle w:val="6"/>
        <w:overflowPunct w:val="0"/>
        <w:snapToGrid w:val="0"/>
        <w:spacing w:after="0" w:line="440" w:lineRule="exact"/>
        <w:ind w:left="0" w:firstLineChars="200" w:firstLine="480"/>
        <w:rPr>
          <w:rFonts w:ascii="Times New Roman" w:eastAsia="標楷體"/>
          <w:spacing w:val="0"/>
          <w:sz w:val="24"/>
          <w:szCs w:val="24"/>
        </w:rPr>
      </w:pPr>
      <w:r w:rsidRPr="007F6F77">
        <w:rPr>
          <w:rFonts w:ascii="Times New Roman" w:eastAsia="標楷體" w:hint="eastAsia"/>
          <w:spacing w:val="0"/>
          <w:sz w:val="24"/>
          <w:szCs w:val="24"/>
        </w:rPr>
        <w:t>S</w:t>
      </w:r>
      <w:r w:rsidR="00D9159B" w:rsidRPr="007F6F77">
        <w:rPr>
          <w:rFonts w:ascii="Times New Roman" w:eastAsia="標楷體" w:hint="eastAsia"/>
          <w:spacing w:val="0"/>
          <w:sz w:val="24"/>
          <w:szCs w:val="24"/>
        </w:rPr>
        <w:t xml:space="preserve">ince the </w:t>
      </w:r>
      <w:r w:rsidR="00062DAF" w:rsidRPr="007F6F77">
        <w:rPr>
          <w:rFonts w:ascii="Times New Roman" w:eastAsia="標楷體" w:hint="eastAsia"/>
          <w:spacing w:val="0"/>
          <w:sz w:val="24"/>
          <w:szCs w:val="24"/>
        </w:rPr>
        <w:t>September</w:t>
      </w:r>
      <w:r w:rsidR="00D9159B" w:rsidRPr="007F6F77">
        <w:rPr>
          <w:rFonts w:ascii="Times New Roman" w:eastAsia="標楷體" w:hint="eastAsia"/>
          <w:spacing w:val="0"/>
          <w:sz w:val="24"/>
          <w:szCs w:val="24"/>
        </w:rPr>
        <w:t xml:space="preserve"> </w:t>
      </w:r>
      <w:r w:rsidR="00062DAF" w:rsidRPr="007F6F77">
        <w:rPr>
          <w:rFonts w:ascii="Times New Roman" w:eastAsia="標楷體" w:hint="eastAsia"/>
          <w:spacing w:val="0"/>
          <w:sz w:val="24"/>
          <w:szCs w:val="24"/>
        </w:rPr>
        <w:t>B</w:t>
      </w:r>
      <w:r w:rsidR="00D9159B" w:rsidRPr="007F6F77">
        <w:rPr>
          <w:rFonts w:ascii="Times New Roman" w:eastAsia="標楷體" w:hint="eastAsia"/>
          <w:spacing w:val="0"/>
          <w:sz w:val="24"/>
          <w:szCs w:val="24"/>
        </w:rPr>
        <w:t xml:space="preserve">oard </w:t>
      </w:r>
      <w:r w:rsidR="00062DAF" w:rsidRPr="007F6F77">
        <w:rPr>
          <w:rFonts w:ascii="Times New Roman" w:eastAsia="標楷體" w:hint="eastAsia"/>
          <w:spacing w:val="0"/>
          <w:sz w:val="24"/>
          <w:szCs w:val="24"/>
        </w:rPr>
        <w:t>M</w:t>
      </w:r>
      <w:r w:rsidR="00D9159B" w:rsidRPr="007F6F77">
        <w:rPr>
          <w:rFonts w:ascii="Times New Roman" w:eastAsia="標楷體" w:hint="eastAsia"/>
          <w:spacing w:val="0"/>
          <w:sz w:val="24"/>
          <w:szCs w:val="24"/>
        </w:rPr>
        <w:t>eeting</w:t>
      </w:r>
      <w:r w:rsidR="00EA2602" w:rsidRPr="007F6F77">
        <w:rPr>
          <w:rFonts w:ascii="Times New Roman" w:eastAsia="標楷體" w:hint="eastAsia"/>
          <w:spacing w:val="0"/>
          <w:sz w:val="24"/>
          <w:szCs w:val="24"/>
        </w:rPr>
        <w:t>, the global econom</w:t>
      </w:r>
      <w:r w:rsidR="00E766A8" w:rsidRPr="007F6F77">
        <w:rPr>
          <w:rFonts w:ascii="Times New Roman" w:eastAsia="標楷體" w:hint="eastAsia"/>
          <w:spacing w:val="0"/>
          <w:sz w:val="24"/>
          <w:szCs w:val="24"/>
        </w:rPr>
        <w:t>y expanded</w:t>
      </w:r>
      <w:r w:rsidR="00EA2602" w:rsidRPr="007F6F77">
        <w:rPr>
          <w:rFonts w:ascii="Times New Roman" w:eastAsia="標楷體" w:hint="eastAsia"/>
          <w:spacing w:val="0"/>
          <w:sz w:val="24"/>
          <w:szCs w:val="24"/>
        </w:rPr>
        <w:t xml:space="preserve"> at a slower pace, owing mainly to </w:t>
      </w:r>
      <w:r w:rsidR="00E766A8" w:rsidRPr="007F6F77">
        <w:rPr>
          <w:rFonts w:ascii="Times New Roman" w:eastAsia="標楷體" w:hint="eastAsia"/>
          <w:spacing w:val="0"/>
          <w:sz w:val="24"/>
          <w:szCs w:val="24"/>
        </w:rPr>
        <w:t>ongoing</w:t>
      </w:r>
      <w:r w:rsidR="00EA2602" w:rsidRPr="007F6F77">
        <w:rPr>
          <w:rFonts w:ascii="Times New Roman" w:eastAsia="標楷體" w:hint="eastAsia"/>
          <w:spacing w:val="0"/>
          <w:sz w:val="24"/>
          <w:szCs w:val="24"/>
        </w:rPr>
        <w:t xml:space="preserve"> trade friction between the US and China, </w:t>
      </w:r>
      <w:r w:rsidR="00EA2602" w:rsidRPr="007F6F77">
        <w:rPr>
          <w:rFonts w:ascii="Times New Roman" w:eastAsia="標楷體"/>
          <w:spacing w:val="0"/>
          <w:sz w:val="24"/>
          <w:szCs w:val="24"/>
        </w:rPr>
        <w:t>economic</w:t>
      </w:r>
      <w:r w:rsidR="00EA2602" w:rsidRPr="007F6F77">
        <w:rPr>
          <w:rFonts w:ascii="Times New Roman" w:eastAsia="標楷體" w:hint="eastAsia"/>
          <w:spacing w:val="0"/>
          <w:sz w:val="24"/>
          <w:szCs w:val="24"/>
        </w:rPr>
        <w:t xml:space="preserve"> slowdown in China, and uncertainty </w:t>
      </w:r>
      <w:r w:rsidR="00E766A8" w:rsidRPr="007F6F77">
        <w:rPr>
          <w:rFonts w:ascii="Times New Roman" w:eastAsia="標楷體" w:hint="eastAsia"/>
          <w:spacing w:val="0"/>
          <w:sz w:val="24"/>
          <w:szCs w:val="24"/>
        </w:rPr>
        <w:t>about</w:t>
      </w:r>
      <w:r w:rsidR="00EA2602" w:rsidRPr="007F6F77">
        <w:rPr>
          <w:rFonts w:ascii="Times New Roman" w:eastAsia="標楷體" w:hint="eastAsia"/>
          <w:spacing w:val="0"/>
          <w:sz w:val="24"/>
          <w:szCs w:val="24"/>
        </w:rPr>
        <w:t xml:space="preserve"> monetary policy path</w:t>
      </w:r>
      <w:r w:rsidR="00E766A8" w:rsidRPr="007F6F77">
        <w:rPr>
          <w:rFonts w:ascii="Times New Roman" w:eastAsia="標楷體" w:hint="eastAsia"/>
          <w:spacing w:val="0"/>
          <w:sz w:val="24"/>
          <w:szCs w:val="24"/>
        </w:rPr>
        <w:t xml:space="preserve">s among major economies. For the year as a whole, the US economy is </w:t>
      </w:r>
      <w:r w:rsidR="00A00795" w:rsidRPr="007F6F77">
        <w:rPr>
          <w:rFonts w:ascii="Times New Roman" w:eastAsia="標楷體" w:hint="eastAsia"/>
          <w:spacing w:val="0"/>
          <w:sz w:val="24"/>
          <w:szCs w:val="24"/>
        </w:rPr>
        <w:t xml:space="preserve">expected </w:t>
      </w:r>
      <w:r w:rsidR="00E766A8" w:rsidRPr="007F6F77">
        <w:rPr>
          <w:rFonts w:ascii="Times New Roman" w:eastAsia="標楷體" w:hint="eastAsia"/>
          <w:spacing w:val="0"/>
          <w:sz w:val="24"/>
          <w:szCs w:val="24"/>
        </w:rPr>
        <w:t xml:space="preserve">to </w:t>
      </w:r>
      <w:r w:rsidR="00891FFC" w:rsidRPr="007F6F77">
        <w:rPr>
          <w:rFonts w:ascii="Times New Roman" w:eastAsia="標楷體" w:hint="eastAsia"/>
          <w:spacing w:val="0"/>
          <w:sz w:val="24"/>
          <w:szCs w:val="24"/>
        </w:rPr>
        <w:t>grow faster whereas the euro area</w:t>
      </w:r>
      <w:r w:rsidR="00E766A8" w:rsidRPr="007F6F77">
        <w:rPr>
          <w:rFonts w:ascii="Times New Roman" w:eastAsia="標楷體" w:hint="eastAsia"/>
          <w:spacing w:val="0"/>
          <w:sz w:val="24"/>
          <w:szCs w:val="24"/>
        </w:rPr>
        <w:t xml:space="preserve"> </w:t>
      </w:r>
      <w:r w:rsidR="00891FFC" w:rsidRPr="007F6F77">
        <w:rPr>
          <w:rFonts w:ascii="Times New Roman" w:eastAsia="標楷體" w:hint="eastAsia"/>
          <w:spacing w:val="0"/>
          <w:sz w:val="24"/>
          <w:szCs w:val="24"/>
        </w:rPr>
        <w:t>and Japan are to</w:t>
      </w:r>
      <w:r w:rsidR="007E3FA7" w:rsidRPr="007F6F77">
        <w:rPr>
          <w:rFonts w:ascii="Times New Roman" w:eastAsia="標楷體" w:hint="eastAsia"/>
          <w:spacing w:val="0"/>
          <w:sz w:val="24"/>
          <w:szCs w:val="24"/>
        </w:rPr>
        <w:t xml:space="preserve"> experience </w:t>
      </w:r>
      <w:r w:rsidR="00891FFC" w:rsidRPr="007F6F77">
        <w:rPr>
          <w:rFonts w:ascii="Times New Roman" w:eastAsia="標楷體" w:hint="eastAsia"/>
          <w:spacing w:val="0"/>
          <w:sz w:val="24"/>
          <w:szCs w:val="24"/>
        </w:rPr>
        <w:t xml:space="preserve">some moderation. </w:t>
      </w:r>
      <w:r w:rsidR="000E2E4A" w:rsidRPr="007F6F77">
        <w:rPr>
          <w:rFonts w:ascii="Times New Roman" w:eastAsia="標楷體" w:hint="eastAsia"/>
          <w:spacing w:val="0"/>
          <w:sz w:val="24"/>
          <w:szCs w:val="24"/>
        </w:rPr>
        <w:t xml:space="preserve">As for emerging market economies, </w:t>
      </w:r>
      <w:r w:rsidR="00F010D7" w:rsidRPr="007F6F77">
        <w:rPr>
          <w:rFonts w:ascii="Times New Roman" w:eastAsia="標楷體" w:hint="eastAsia"/>
          <w:spacing w:val="0"/>
          <w:sz w:val="24"/>
          <w:szCs w:val="24"/>
        </w:rPr>
        <w:t>the</w:t>
      </w:r>
      <w:r w:rsidR="000E2E4A" w:rsidRPr="007F6F77">
        <w:rPr>
          <w:rFonts w:ascii="Times New Roman" w:eastAsia="標楷體" w:hint="eastAsia"/>
          <w:spacing w:val="0"/>
          <w:sz w:val="24"/>
          <w:szCs w:val="24"/>
        </w:rPr>
        <w:t xml:space="preserve"> majority </w:t>
      </w:r>
      <w:r w:rsidR="00D203B7" w:rsidRPr="007F6F77">
        <w:rPr>
          <w:rFonts w:ascii="Times New Roman" w:eastAsia="標楷體" w:hint="eastAsia"/>
          <w:spacing w:val="0"/>
          <w:sz w:val="24"/>
          <w:szCs w:val="24"/>
        </w:rPr>
        <w:t xml:space="preserve">of them would see </w:t>
      </w:r>
      <w:r w:rsidR="007E3FA7" w:rsidRPr="007F6F77">
        <w:rPr>
          <w:rFonts w:ascii="Times New Roman" w:eastAsia="標楷體" w:hint="eastAsia"/>
          <w:spacing w:val="0"/>
          <w:sz w:val="24"/>
          <w:szCs w:val="24"/>
        </w:rPr>
        <w:t>slight downturn compared to the previous year</w:t>
      </w:r>
      <w:r w:rsidR="00D203B7" w:rsidRPr="007F6F77">
        <w:rPr>
          <w:rFonts w:ascii="Times New Roman" w:eastAsia="標楷體" w:hint="eastAsia"/>
          <w:spacing w:val="0"/>
          <w:sz w:val="24"/>
          <w:szCs w:val="24"/>
        </w:rPr>
        <w:t xml:space="preserve">. </w:t>
      </w:r>
      <w:r w:rsidR="004F1312" w:rsidRPr="007F6F77">
        <w:rPr>
          <w:rFonts w:ascii="Times New Roman" w:eastAsia="標楷體" w:hint="eastAsia"/>
          <w:spacing w:val="0"/>
          <w:sz w:val="24"/>
          <w:szCs w:val="24"/>
        </w:rPr>
        <w:t>In terms of the 2019 outlook, international forecasting institutions project</w:t>
      </w:r>
      <w:r w:rsidR="00A54623" w:rsidRPr="007F6F77">
        <w:rPr>
          <w:rFonts w:ascii="Times New Roman" w:eastAsia="標楷體" w:hint="eastAsia"/>
          <w:spacing w:val="0"/>
          <w:sz w:val="24"/>
          <w:szCs w:val="24"/>
        </w:rPr>
        <w:t>ed</w:t>
      </w:r>
      <w:r w:rsidR="004F1312" w:rsidRPr="007F6F77">
        <w:rPr>
          <w:rFonts w:ascii="Times New Roman" w:eastAsia="標楷體" w:hint="eastAsia"/>
          <w:spacing w:val="0"/>
          <w:sz w:val="24"/>
          <w:szCs w:val="24"/>
        </w:rPr>
        <w:t xml:space="preserve"> that growth mom</w:t>
      </w:r>
      <w:r w:rsidR="00F010D7" w:rsidRPr="007F6F77">
        <w:rPr>
          <w:rFonts w:ascii="Times New Roman" w:eastAsia="標楷體" w:hint="eastAsia"/>
          <w:spacing w:val="0"/>
          <w:sz w:val="24"/>
          <w:szCs w:val="24"/>
        </w:rPr>
        <w:t>entum would generally weaken for</w:t>
      </w:r>
      <w:r w:rsidR="004F1312" w:rsidRPr="007F6F77">
        <w:rPr>
          <w:rFonts w:ascii="Times New Roman" w:eastAsia="標楷體" w:hint="eastAsia"/>
          <w:spacing w:val="0"/>
          <w:sz w:val="24"/>
          <w:szCs w:val="24"/>
        </w:rPr>
        <w:t xml:space="preserve"> the world </w:t>
      </w:r>
      <w:r w:rsidR="00F010D7" w:rsidRPr="007F6F77">
        <w:rPr>
          <w:rFonts w:ascii="Times New Roman" w:eastAsia="標楷體" w:hint="eastAsia"/>
          <w:spacing w:val="0"/>
          <w:sz w:val="24"/>
          <w:szCs w:val="24"/>
        </w:rPr>
        <w:t xml:space="preserve">economy </w:t>
      </w:r>
      <w:r w:rsidR="004F1312" w:rsidRPr="007F6F77">
        <w:rPr>
          <w:rFonts w:ascii="Times New Roman" w:eastAsia="標楷體" w:hint="eastAsia"/>
          <w:spacing w:val="0"/>
          <w:sz w:val="24"/>
          <w:szCs w:val="24"/>
        </w:rPr>
        <w:t xml:space="preserve">as well as </w:t>
      </w:r>
      <w:r w:rsidR="00F010D7" w:rsidRPr="007F6F77">
        <w:rPr>
          <w:rFonts w:ascii="Times New Roman" w:eastAsia="標楷體" w:hint="eastAsia"/>
          <w:spacing w:val="0"/>
          <w:sz w:val="24"/>
          <w:szCs w:val="24"/>
        </w:rPr>
        <w:t xml:space="preserve">in </w:t>
      </w:r>
      <w:r w:rsidR="004F1312" w:rsidRPr="007F6F77">
        <w:rPr>
          <w:rFonts w:ascii="Times New Roman" w:eastAsia="標楷體" w:hint="eastAsia"/>
          <w:spacing w:val="0"/>
          <w:sz w:val="24"/>
          <w:szCs w:val="24"/>
        </w:rPr>
        <w:t xml:space="preserve">major economies. </w:t>
      </w:r>
    </w:p>
    <w:p w:rsidR="00A54623" w:rsidRPr="007F6F77" w:rsidRDefault="00867467" w:rsidP="00FA173A">
      <w:pPr>
        <w:pStyle w:val="6"/>
        <w:overflowPunct w:val="0"/>
        <w:snapToGrid w:val="0"/>
        <w:spacing w:after="0" w:line="440" w:lineRule="exact"/>
        <w:ind w:left="0" w:firstLineChars="200" w:firstLine="480"/>
        <w:rPr>
          <w:rFonts w:ascii="Times New Roman" w:eastAsia="標楷體"/>
          <w:spacing w:val="0"/>
          <w:sz w:val="24"/>
          <w:szCs w:val="24"/>
        </w:rPr>
      </w:pPr>
      <w:r w:rsidRPr="007F6F77">
        <w:rPr>
          <w:rFonts w:ascii="Times New Roman" w:eastAsia="標楷體" w:hint="eastAsia"/>
          <w:spacing w:val="0"/>
          <w:sz w:val="24"/>
          <w:szCs w:val="24"/>
        </w:rPr>
        <w:t>Reflecting escalating global trade conflicts, readings on global trade prospect</w:t>
      </w:r>
      <w:r w:rsidR="007C51B6" w:rsidRPr="007F6F77">
        <w:rPr>
          <w:rFonts w:ascii="Times New Roman" w:eastAsia="標楷體" w:hint="eastAsia"/>
          <w:spacing w:val="0"/>
          <w:sz w:val="24"/>
          <w:szCs w:val="24"/>
        </w:rPr>
        <w:t>s</w:t>
      </w:r>
      <w:r w:rsidRPr="007F6F77">
        <w:rPr>
          <w:rFonts w:ascii="Times New Roman" w:eastAsia="標楷體" w:hint="eastAsia"/>
          <w:spacing w:val="0"/>
          <w:sz w:val="24"/>
          <w:szCs w:val="24"/>
        </w:rPr>
        <w:t xml:space="preserve"> trended down recently</w:t>
      </w:r>
      <w:r w:rsidR="00A54623" w:rsidRPr="007F6F77">
        <w:rPr>
          <w:rFonts w:ascii="Times New Roman" w:eastAsia="標楷體" w:hint="eastAsia"/>
          <w:spacing w:val="0"/>
          <w:sz w:val="24"/>
          <w:szCs w:val="24"/>
        </w:rPr>
        <w:t>; in this connection,</w:t>
      </w:r>
      <w:r w:rsidRPr="007F6F77">
        <w:rPr>
          <w:rFonts w:ascii="Times New Roman" w:eastAsia="標楷體" w:hint="eastAsia"/>
          <w:spacing w:val="0"/>
          <w:sz w:val="24"/>
          <w:szCs w:val="24"/>
        </w:rPr>
        <w:t xml:space="preserve"> </w:t>
      </w:r>
      <w:r w:rsidR="007C51B6" w:rsidRPr="007F6F77">
        <w:rPr>
          <w:rFonts w:ascii="Times New Roman" w:eastAsia="標楷體" w:hint="eastAsia"/>
          <w:spacing w:val="0"/>
          <w:sz w:val="24"/>
          <w:szCs w:val="24"/>
        </w:rPr>
        <w:t xml:space="preserve">international institutions trimmed their </w:t>
      </w:r>
      <w:r w:rsidR="00A54623" w:rsidRPr="007F6F77">
        <w:rPr>
          <w:rFonts w:ascii="Times New Roman" w:eastAsia="標楷體" w:hint="eastAsia"/>
          <w:spacing w:val="0"/>
          <w:sz w:val="24"/>
          <w:szCs w:val="24"/>
        </w:rPr>
        <w:t xml:space="preserve">2018-2019 </w:t>
      </w:r>
      <w:r w:rsidR="007C51B6" w:rsidRPr="007F6F77">
        <w:rPr>
          <w:rFonts w:ascii="Times New Roman" w:eastAsia="標楷體" w:hint="eastAsia"/>
          <w:spacing w:val="0"/>
          <w:sz w:val="24"/>
          <w:szCs w:val="24"/>
        </w:rPr>
        <w:t xml:space="preserve">growth forecasts for the global trade volume. </w:t>
      </w:r>
      <w:r w:rsidR="00A54623" w:rsidRPr="007F6F77">
        <w:rPr>
          <w:rFonts w:ascii="Times New Roman" w:eastAsia="標楷體" w:hint="eastAsia"/>
          <w:spacing w:val="0"/>
          <w:sz w:val="24"/>
          <w:szCs w:val="24"/>
        </w:rPr>
        <w:t xml:space="preserve">They also forecast that global inflation will pick up in both 2018 and 2019, citing continued global </w:t>
      </w:r>
      <w:r w:rsidR="00A54623" w:rsidRPr="007F6F77">
        <w:rPr>
          <w:rFonts w:ascii="Times New Roman" w:eastAsia="標楷體"/>
          <w:spacing w:val="0"/>
          <w:sz w:val="24"/>
          <w:szCs w:val="24"/>
        </w:rPr>
        <w:t>economic</w:t>
      </w:r>
      <w:r w:rsidR="00A54623" w:rsidRPr="007F6F77">
        <w:rPr>
          <w:rFonts w:ascii="Times New Roman" w:eastAsia="標楷體" w:hint="eastAsia"/>
          <w:spacing w:val="0"/>
          <w:sz w:val="24"/>
          <w:szCs w:val="24"/>
        </w:rPr>
        <w:t xml:space="preserve"> expansion and </w:t>
      </w:r>
      <w:r w:rsidR="0075207E" w:rsidRPr="007F6F77">
        <w:rPr>
          <w:rFonts w:ascii="Times New Roman" w:eastAsia="標楷體" w:hint="eastAsia"/>
          <w:spacing w:val="0"/>
          <w:sz w:val="24"/>
          <w:szCs w:val="24"/>
        </w:rPr>
        <w:t xml:space="preserve">tightening labor market conditions in several advanced economies. </w:t>
      </w:r>
    </w:p>
    <w:p w:rsidR="00891FFC" w:rsidRPr="007F6F77" w:rsidRDefault="0075207E" w:rsidP="00046AB9">
      <w:pPr>
        <w:pStyle w:val="6"/>
        <w:overflowPunct w:val="0"/>
        <w:snapToGrid w:val="0"/>
        <w:spacing w:after="0" w:line="440" w:lineRule="exact"/>
        <w:ind w:left="0" w:firstLineChars="200" w:firstLine="480"/>
        <w:rPr>
          <w:rFonts w:ascii="Times New Roman" w:eastAsia="標楷體"/>
          <w:spacing w:val="0"/>
          <w:sz w:val="24"/>
          <w:szCs w:val="24"/>
        </w:rPr>
      </w:pPr>
      <w:r w:rsidRPr="007F6F77">
        <w:rPr>
          <w:rFonts w:ascii="Times New Roman" w:eastAsia="標楷體" w:hint="eastAsia"/>
          <w:spacing w:val="0"/>
          <w:sz w:val="24"/>
          <w:szCs w:val="24"/>
        </w:rPr>
        <w:t xml:space="preserve">Meanwhile, </w:t>
      </w:r>
      <w:r w:rsidR="00FE5E4B" w:rsidRPr="007F6F77">
        <w:rPr>
          <w:rFonts w:ascii="Times New Roman" w:eastAsia="標楷體" w:hint="eastAsia"/>
          <w:spacing w:val="0"/>
          <w:sz w:val="24"/>
          <w:szCs w:val="24"/>
        </w:rPr>
        <w:t xml:space="preserve">not all </w:t>
      </w:r>
      <w:r w:rsidRPr="007F6F77">
        <w:rPr>
          <w:rFonts w:ascii="Times New Roman" w:eastAsia="標楷體" w:hint="eastAsia"/>
          <w:spacing w:val="0"/>
          <w:sz w:val="24"/>
          <w:szCs w:val="24"/>
        </w:rPr>
        <w:t xml:space="preserve">advanced economies </w:t>
      </w:r>
      <w:r w:rsidR="00FE5E4B" w:rsidRPr="007F6F77">
        <w:rPr>
          <w:rFonts w:ascii="Times New Roman" w:eastAsia="標楷體" w:hint="eastAsia"/>
          <w:spacing w:val="0"/>
          <w:sz w:val="24"/>
          <w:szCs w:val="24"/>
        </w:rPr>
        <w:t xml:space="preserve">were in step towards </w:t>
      </w:r>
      <w:r w:rsidRPr="007F6F77">
        <w:rPr>
          <w:rFonts w:ascii="Times New Roman" w:eastAsia="標楷體" w:hint="eastAsia"/>
          <w:spacing w:val="0"/>
          <w:sz w:val="24"/>
          <w:szCs w:val="24"/>
        </w:rPr>
        <w:t>monetary policy normalization</w:t>
      </w:r>
      <w:r w:rsidR="00FE5E4B" w:rsidRPr="007F6F77">
        <w:rPr>
          <w:rFonts w:ascii="Times New Roman" w:eastAsia="標楷體" w:hint="eastAsia"/>
          <w:spacing w:val="0"/>
          <w:sz w:val="24"/>
          <w:szCs w:val="24"/>
        </w:rPr>
        <w:t xml:space="preserve">. </w:t>
      </w:r>
      <w:r w:rsidR="00046AB9" w:rsidRPr="007F6F77">
        <w:rPr>
          <w:rFonts w:ascii="Times New Roman" w:eastAsia="標楷體" w:hint="eastAsia"/>
          <w:spacing w:val="0"/>
          <w:sz w:val="24"/>
          <w:szCs w:val="24"/>
        </w:rPr>
        <w:t>The Federal Reserve</w:t>
      </w:r>
      <w:r w:rsidR="00046AB9" w:rsidRPr="007F6F77">
        <w:rPr>
          <w:rFonts w:ascii="Times New Roman" w:eastAsia="標楷體"/>
          <w:spacing w:val="0"/>
          <w:sz w:val="24"/>
          <w:szCs w:val="24"/>
        </w:rPr>
        <w:t>’</w:t>
      </w:r>
      <w:r w:rsidR="00046AB9" w:rsidRPr="007F6F77">
        <w:rPr>
          <w:rFonts w:ascii="Times New Roman" w:eastAsia="標楷體" w:hint="eastAsia"/>
          <w:spacing w:val="0"/>
          <w:sz w:val="24"/>
          <w:szCs w:val="24"/>
        </w:rPr>
        <w:t>s quarter-point rate hike in December is likely to be followed by a slower pace in lifting rates next year, t</w:t>
      </w:r>
      <w:r w:rsidR="00FE5E4B" w:rsidRPr="007F6F77">
        <w:rPr>
          <w:rFonts w:ascii="Times New Roman" w:eastAsia="標楷體" w:hint="eastAsia"/>
          <w:spacing w:val="0"/>
          <w:sz w:val="24"/>
          <w:szCs w:val="24"/>
        </w:rPr>
        <w:t>he European Central Bank</w:t>
      </w:r>
      <w:r w:rsidR="00FE5E4B" w:rsidRPr="007F6F77">
        <w:rPr>
          <w:rFonts w:ascii="Times New Roman" w:eastAsia="標楷體"/>
          <w:spacing w:val="0"/>
          <w:sz w:val="24"/>
          <w:szCs w:val="24"/>
        </w:rPr>
        <w:t>’</w:t>
      </w:r>
      <w:r w:rsidR="00FE5E4B" w:rsidRPr="007F6F77">
        <w:rPr>
          <w:rFonts w:ascii="Times New Roman" w:eastAsia="標楷體" w:hint="eastAsia"/>
          <w:spacing w:val="0"/>
          <w:sz w:val="24"/>
          <w:szCs w:val="24"/>
        </w:rPr>
        <w:t>s asset purchases will draw to a close by the end of 2018</w:t>
      </w:r>
      <w:r w:rsidR="00046AB9" w:rsidRPr="007F6F77">
        <w:rPr>
          <w:rFonts w:ascii="Times New Roman" w:eastAsia="標楷體" w:hint="eastAsia"/>
          <w:spacing w:val="0"/>
          <w:sz w:val="24"/>
          <w:szCs w:val="24"/>
        </w:rPr>
        <w:t xml:space="preserve"> </w:t>
      </w:r>
      <w:r w:rsidR="00FE5E4B" w:rsidRPr="007F6F77">
        <w:rPr>
          <w:rFonts w:ascii="Times New Roman" w:eastAsia="標楷體" w:hint="eastAsia"/>
          <w:spacing w:val="0"/>
          <w:sz w:val="24"/>
          <w:szCs w:val="24"/>
        </w:rPr>
        <w:t xml:space="preserve">with the policy rate </w:t>
      </w:r>
      <w:r w:rsidR="00A90EC0" w:rsidRPr="007F6F77">
        <w:rPr>
          <w:rFonts w:ascii="Times New Roman" w:eastAsia="標楷體" w:hint="eastAsia"/>
          <w:spacing w:val="0"/>
          <w:sz w:val="24"/>
          <w:szCs w:val="24"/>
        </w:rPr>
        <w:t>on hold</w:t>
      </w:r>
      <w:r w:rsidR="00046AB9" w:rsidRPr="007F6F77">
        <w:rPr>
          <w:rFonts w:ascii="Times New Roman" w:eastAsia="標楷體" w:hint="eastAsia"/>
          <w:spacing w:val="0"/>
          <w:sz w:val="24"/>
          <w:szCs w:val="24"/>
        </w:rPr>
        <w:t xml:space="preserve"> </w:t>
      </w:r>
      <w:r w:rsidR="00FE5E4B" w:rsidRPr="007F6F77">
        <w:rPr>
          <w:rFonts w:ascii="Times New Roman" w:eastAsia="標楷體" w:hint="eastAsia"/>
          <w:spacing w:val="0"/>
          <w:sz w:val="24"/>
          <w:szCs w:val="24"/>
        </w:rPr>
        <w:t>till at least next summer</w:t>
      </w:r>
      <w:r w:rsidR="00046AB9" w:rsidRPr="007F6F77">
        <w:rPr>
          <w:rFonts w:ascii="Times New Roman" w:eastAsia="標楷體" w:hint="eastAsia"/>
          <w:spacing w:val="0"/>
          <w:sz w:val="24"/>
          <w:szCs w:val="24"/>
        </w:rPr>
        <w:t>, while</w:t>
      </w:r>
      <w:r w:rsidR="00FE5E4B" w:rsidRPr="007F6F77">
        <w:rPr>
          <w:rFonts w:ascii="Times New Roman" w:eastAsia="標楷體" w:hint="eastAsia"/>
          <w:spacing w:val="0"/>
          <w:sz w:val="24"/>
          <w:szCs w:val="24"/>
        </w:rPr>
        <w:t xml:space="preserve"> </w:t>
      </w:r>
      <w:r w:rsidR="00046AB9" w:rsidRPr="007F6F77">
        <w:rPr>
          <w:rFonts w:ascii="Times New Roman" w:eastAsia="標楷體" w:hint="eastAsia"/>
          <w:spacing w:val="0"/>
          <w:sz w:val="24"/>
          <w:szCs w:val="24"/>
        </w:rPr>
        <w:t xml:space="preserve">the Bank of Japan </w:t>
      </w:r>
      <w:r w:rsidR="00F010D7" w:rsidRPr="007F6F77">
        <w:rPr>
          <w:rFonts w:ascii="Times New Roman" w:eastAsia="標楷體" w:hint="eastAsia"/>
          <w:spacing w:val="0"/>
          <w:sz w:val="24"/>
          <w:szCs w:val="24"/>
        </w:rPr>
        <w:t xml:space="preserve">has </w:t>
      </w:r>
      <w:r w:rsidR="00046AB9" w:rsidRPr="007F6F77">
        <w:rPr>
          <w:rFonts w:ascii="Times New Roman" w:eastAsia="標楷體" w:hint="eastAsia"/>
          <w:spacing w:val="0"/>
          <w:sz w:val="24"/>
          <w:szCs w:val="24"/>
        </w:rPr>
        <w:t>maintained its accommodative stance. Although some emerging market economies raised policy rates in response to capital outflows or higher inflation, China</w:t>
      </w:r>
      <w:r w:rsidR="00046AB9" w:rsidRPr="007F6F77">
        <w:rPr>
          <w:rFonts w:ascii="Times New Roman" w:eastAsia="標楷體"/>
          <w:spacing w:val="0"/>
          <w:sz w:val="24"/>
          <w:szCs w:val="24"/>
        </w:rPr>
        <w:t>’</w:t>
      </w:r>
      <w:r w:rsidR="00046AB9" w:rsidRPr="007F6F77">
        <w:rPr>
          <w:rFonts w:ascii="Times New Roman" w:eastAsia="標楷體" w:hint="eastAsia"/>
          <w:spacing w:val="0"/>
          <w:sz w:val="24"/>
          <w:szCs w:val="24"/>
        </w:rPr>
        <w:t xml:space="preserve">s central bank </w:t>
      </w:r>
      <w:r w:rsidR="00F010D7" w:rsidRPr="007F6F77">
        <w:rPr>
          <w:rFonts w:ascii="Times New Roman" w:eastAsia="標楷體" w:hint="eastAsia"/>
          <w:spacing w:val="0"/>
          <w:sz w:val="24"/>
          <w:szCs w:val="24"/>
        </w:rPr>
        <w:t>held</w:t>
      </w:r>
      <w:r w:rsidR="00046AB9" w:rsidRPr="007F6F77">
        <w:rPr>
          <w:rFonts w:ascii="Times New Roman" w:eastAsia="標楷體" w:hint="eastAsia"/>
          <w:spacing w:val="0"/>
          <w:sz w:val="24"/>
          <w:szCs w:val="24"/>
        </w:rPr>
        <w:t xml:space="preserve"> a steady, neutral stance</w:t>
      </w:r>
      <w:r w:rsidR="00A90EC0" w:rsidRPr="007F6F77">
        <w:rPr>
          <w:rFonts w:ascii="Times New Roman" w:eastAsia="標楷體" w:hint="eastAsia"/>
          <w:spacing w:val="0"/>
          <w:sz w:val="24"/>
          <w:szCs w:val="24"/>
        </w:rPr>
        <w:t xml:space="preserve"> and kept the policy rate unchanged. </w:t>
      </w:r>
    </w:p>
    <w:p w:rsidR="006078CD" w:rsidRPr="007F6F77" w:rsidRDefault="006078CD" w:rsidP="00776CA7">
      <w:pPr>
        <w:pStyle w:val="6"/>
        <w:overflowPunct w:val="0"/>
        <w:snapToGrid w:val="0"/>
        <w:spacing w:after="0" w:line="440" w:lineRule="exact"/>
        <w:ind w:left="0" w:firstLineChars="200" w:firstLine="480"/>
        <w:rPr>
          <w:rFonts w:ascii="Times New Roman" w:eastAsia="標楷體"/>
          <w:spacing w:val="0"/>
          <w:sz w:val="24"/>
          <w:szCs w:val="24"/>
        </w:rPr>
      </w:pPr>
      <w:r w:rsidRPr="007F6F77">
        <w:rPr>
          <w:rFonts w:ascii="Times New Roman" w:eastAsia="標楷體" w:hint="eastAsia"/>
          <w:spacing w:val="0"/>
          <w:sz w:val="24"/>
          <w:szCs w:val="24"/>
        </w:rPr>
        <w:t>The i</w:t>
      </w:r>
      <w:r w:rsidR="006C483B" w:rsidRPr="007F6F77">
        <w:rPr>
          <w:rFonts w:ascii="Times New Roman" w:eastAsia="標楷體"/>
          <w:spacing w:val="0"/>
          <w:sz w:val="24"/>
          <w:szCs w:val="24"/>
        </w:rPr>
        <w:t>nternational</w:t>
      </w:r>
      <w:r w:rsidR="006C483B" w:rsidRPr="007F6F77">
        <w:rPr>
          <w:rFonts w:ascii="Times New Roman" w:eastAsia="標楷體" w:hint="eastAsia"/>
          <w:spacing w:val="0"/>
          <w:sz w:val="24"/>
          <w:szCs w:val="24"/>
        </w:rPr>
        <w:t xml:space="preserve"> </w:t>
      </w:r>
      <w:r w:rsidR="006C483B" w:rsidRPr="007F6F77">
        <w:rPr>
          <w:rFonts w:ascii="Times New Roman" w:eastAsia="標楷體"/>
          <w:spacing w:val="0"/>
          <w:sz w:val="24"/>
          <w:szCs w:val="24"/>
        </w:rPr>
        <w:t>financial</w:t>
      </w:r>
      <w:r w:rsidR="006C483B" w:rsidRPr="007F6F77">
        <w:rPr>
          <w:rFonts w:ascii="Times New Roman" w:eastAsia="標楷體" w:hint="eastAsia"/>
          <w:spacing w:val="0"/>
          <w:sz w:val="24"/>
          <w:szCs w:val="24"/>
        </w:rPr>
        <w:t xml:space="preserve"> market</w:t>
      </w:r>
      <w:r w:rsidR="007118B8" w:rsidRPr="007F6F77">
        <w:rPr>
          <w:rFonts w:ascii="Times New Roman" w:eastAsia="標楷體" w:hint="eastAsia"/>
          <w:spacing w:val="0"/>
          <w:sz w:val="24"/>
          <w:szCs w:val="24"/>
        </w:rPr>
        <w:t>s</w:t>
      </w:r>
      <w:r w:rsidRPr="007F6F77">
        <w:rPr>
          <w:rFonts w:ascii="Times New Roman" w:eastAsia="標楷體" w:hint="eastAsia"/>
          <w:spacing w:val="0"/>
          <w:sz w:val="24"/>
          <w:szCs w:val="24"/>
        </w:rPr>
        <w:t xml:space="preserve"> have been highly volatile since October. As American technology shares were hit </w:t>
      </w:r>
      <w:r w:rsidR="00EC4426" w:rsidRPr="007F6F77">
        <w:rPr>
          <w:rFonts w:ascii="Times New Roman" w:eastAsia="標楷體" w:hint="eastAsia"/>
          <w:spacing w:val="0"/>
          <w:sz w:val="24"/>
          <w:szCs w:val="24"/>
        </w:rPr>
        <w:t xml:space="preserve">hard </w:t>
      </w:r>
      <w:r w:rsidRPr="007F6F77">
        <w:rPr>
          <w:rFonts w:ascii="Times New Roman" w:eastAsia="標楷體" w:hint="eastAsia"/>
          <w:spacing w:val="0"/>
          <w:sz w:val="24"/>
          <w:szCs w:val="24"/>
        </w:rPr>
        <w:t xml:space="preserve">by concerns over escalating US-China trade spat and slower global economic growth, global stock markets took a tumble. </w:t>
      </w:r>
      <w:r w:rsidR="002E1D55" w:rsidRPr="007F6F77">
        <w:rPr>
          <w:rFonts w:ascii="Times New Roman" w:eastAsia="標楷體" w:hint="eastAsia"/>
          <w:spacing w:val="0"/>
          <w:sz w:val="24"/>
          <w:szCs w:val="24"/>
        </w:rPr>
        <w:t xml:space="preserve">The US dollar index rose on a robust US </w:t>
      </w:r>
      <w:r w:rsidR="002E1D55" w:rsidRPr="007F6F77">
        <w:rPr>
          <w:rFonts w:ascii="Times New Roman" w:eastAsia="標楷體"/>
          <w:spacing w:val="0"/>
          <w:sz w:val="24"/>
          <w:szCs w:val="24"/>
        </w:rPr>
        <w:t>economy</w:t>
      </w:r>
      <w:r w:rsidR="002E1D55" w:rsidRPr="007F6F77">
        <w:rPr>
          <w:rFonts w:ascii="Times New Roman" w:eastAsia="標楷體" w:hint="eastAsia"/>
          <w:spacing w:val="0"/>
          <w:sz w:val="24"/>
          <w:szCs w:val="24"/>
        </w:rPr>
        <w:t xml:space="preserve">, but 10-year bond yields of major economies trended down as a </w:t>
      </w:r>
      <w:r w:rsidR="002E1D55" w:rsidRPr="007F6F77">
        <w:rPr>
          <w:rFonts w:ascii="Times New Roman" w:eastAsia="標楷體" w:hint="eastAsia"/>
          <w:spacing w:val="0"/>
          <w:sz w:val="24"/>
          <w:szCs w:val="24"/>
        </w:rPr>
        <w:lastRenderedPageBreak/>
        <w:t xml:space="preserve">result of increased hedging demand amid </w:t>
      </w:r>
      <w:r w:rsidR="00776CA7" w:rsidRPr="007F6F77">
        <w:rPr>
          <w:rFonts w:ascii="Times New Roman" w:eastAsia="標楷體" w:hint="eastAsia"/>
          <w:spacing w:val="0"/>
          <w:sz w:val="24"/>
          <w:szCs w:val="24"/>
        </w:rPr>
        <w:t xml:space="preserve">sharp </w:t>
      </w:r>
      <w:r w:rsidR="002E1D55" w:rsidRPr="007F6F77">
        <w:rPr>
          <w:rFonts w:ascii="Times New Roman" w:eastAsia="標楷體" w:hint="eastAsia"/>
          <w:spacing w:val="0"/>
          <w:sz w:val="24"/>
          <w:szCs w:val="24"/>
        </w:rPr>
        <w:t xml:space="preserve">price </w:t>
      </w:r>
      <w:r w:rsidR="002E1D55" w:rsidRPr="007F6F77">
        <w:rPr>
          <w:rFonts w:ascii="Times New Roman" w:eastAsia="標楷體"/>
          <w:spacing w:val="0"/>
          <w:sz w:val="24"/>
          <w:szCs w:val="24"/>
        </w:rPr>
        <w:t>volatility</w:t>
      </w:r>
      <w:r w:rsidR="00776CA7" w:rsidRPr="007F6F77">
        <w:rPr>
          <w:rFonts w:ascii="Times New Roman" w:eastAsia="標楷體" w:hint="eastAsia"/>
          <w:spacing w:val="0"/>
          <w:sz w:val="24"/>
          <w:szCs w:val="24"/>
        </w:rPr>
        <w:t xml:space="preserve"> of</w:t>
      </w:r>
      <w:r w:rsidR="002E1D55" w:rsidRPr="007F6F77">
        <w:rPr>
          <w:rFonts w:ascii="Times New Roman" w:eastAsia="標楷體" w:hint="eastAsia"/>
          <w:spacing w:val="0"/>
          <w:sz w:val="24"/>
          <w:szCs w:val="24"/>
        </w:rPr>
        <w:t xml:space="preserve"> </w:t>
      </w:r>
      <w:r w:rsidR="00F010D7" w:rsidRPr="007F6F77">
        <w:rPr>
          <w:rFonts w:ascii="Times New Roman" w:eastAsia="標楷體" w:hint="eastAsia"/>
          <w:spacing w:val="0"/>
          <w:sz w:val="24"/>
          <w:szCs w:val="24"/>
        </w:rPr>
        <w:t>lower-rated</w:t>
      </w:r>
      <w:r w:rsidR="002E1D55" w:rsidRPr="007F6F77">
        <w:rPr>
          <w:rFonts w:ascii="Times New Roman" w:eastAsia="標楷體" w:hint="eastAsia"/>
          <w:spacing w:val="0"/>
          <w:sz w:val="24"/>
          <w:szCs w:val="24"/>
        </w:rPr>
        <w:t xml:space="preserve"> investment products</w:t>
      </w:r>
      <w:r w:rsidR="00776CA7" w:rsidRPr="007F6F77">
        <w:rPr>
          <w:rFonts w:ascii="Times New Roman" w:eastAsia="標楷體" w:hint="eastAsia"/>
          <w:spacing w:val="0"/>
          <w:sz w:val="24"/>
          <w:szCs w:val="24"/>
        </w:rPr>
        <w:t xml:space="preserve">. </w:t>
      </w:r>
    </w:p>
    <w:p w:rsidR="0081226D" w:rsidRPr="007F6F77" w:rsidRDefault="006D6E3F" w:rsidP="0081226D">
      <w:pPr>
        <w:pStyle w:val="6"/>
        <w:overflowPunct w:val="0"/>
        <w:snapToGrid w:val="0"/>
        <w:spacing w:after="0" w:line="440" w:lineRule="exact"/>
        <w:ind w:left="0" w:firstLineChars="200" w:firstLine="480"/>
        <w:rPr>
          <w:rFonts w:ascii="Times New Roman" w:eastAsia="標楷體"/>
          <w:spacing w:val="0"/>
          <w:sz w:val="24"/>
          <w:szCs w:val="24"/>
        </w:rPr>
      </w:pPr>
      <w:r w:rsidRPr="007F6F77">
        <w:rPr>
          <w:rFonts w:ascii="Times New Roman" w:eastAsia="標楷體" w:hint="eastAsia"/>
          <w:spacing w:val="0"/>
          <w:sz w:val="24"/>
          <w:szCs w:val="24"/>
        </w:rPr>
        <w:t>Key</w:t>
      </w:r>
      <w:r w:rsidR="000015F2" w:rsidRPr="007F6F77">
        <w:rPr>
          <w:rFonts w:ascii="Times New Roman" w:eastAsia="標楷體" w:hint="eastAsia"/>
          <w:spacing w:val="0"/>
          <w:sz w:val="24"/>
          <w:szCs w:val="24"/>
        </w:rPr>
        <w:t xml:space="preserve"> risks </w:t>
      </w:r>
      <w:r w:rsidR="008A58E0" w:rsidRPr="007F6F77">
        <w:rPr>
          <w:rFonts w:ascii="Times New Roman" w:eastAsia="標楷體" w:hint="eastAsia"/>
          <w:spacing w:val="0"/>
          <w:sz w:val="24"/>
          <w:szCs w:val="24"/>
        </w:rPr>
        <w:t>to</w:t>
      </w:r>
      <w:r w:rsidR="000015F2" w:rsidRPr="007F6F77">
        <w:rPr>
          <w:rFonts w:ascii="Times New Roman" w:eastAsia="標楷體" w:hint="eastAsia"/>
          <w:spacing w:val="0"/>
          <w:sz w:val="24"/>
          <w:szCs w:val="24"/>
        </w:rPr>
        <w:t xml:space="preserve"> the global </w:t>
      </w:r>
      <w:r w:rsidR="000015F2" w:rsidRPr="007F6F77">
        <w:rPr>
          <w:rFonts w:ascii="Times New Roman" w:eastAsia="標楷體"/>
          <w:spacing w:val="0"/>
          <w:sz w:val="24"/>
          <w:szCs w:val="24"/>
        </w:rPr>
        <w:t>econom</w:t>
      </w:r>
      <w:r w:rsidR="008A58E0" w:rsidRPr="007F6F77">
        <w:rPr>
          <w:rFonts w:ascii="Times New Roman" w:eastAsia="標楷體" w:hint="eastAsia"/>
          <w:spacing w:val="0"/>
          <w:sz w:val="24"/>
          <w:szCs w:val="24"/>
        </w:rPr>
        <w:t xml:space="preserve">ic outlook include </w:t>
      </w:r>
      <w:r w:rsidR="00C30DE8" w:rsidRPr="007F6F77">
        <w:rPr>
          <w:rFonts w:ascii="Times New Roman" w:eastAsia="標楷體" w:hint="eastAsia"/>
          <w:spacing w:val="0"/>
          <w:sz w:val="24"/>
          <w:szCs w:val="24"/>
        </w:rPr>
        <w:t>the following</w:t>
      </w:r>
      <w:r w:rsidR="004435A0" w:rsidRPr="007F6F77">
        <w:rPr>
          <w:rFonts w:ascii="Times New Roman" w:eastAsia="標楷體" w:hint="eastAsia"/>
          <w:spacing w:val="0"/>
          <w:sz w:val="24"/>
          <w:szCs w:val="24"/>
        </w:rPr>
        <w:t>:</w:t>
      </w:r>
      <w:r w:rsidR="000015F2" w:rsidRPr="007F6F77">
        <w:rPr>
          <w:rFonts w:ascii="Times New Roman" w:eastAsia="標楷體" w:hint="eastAsia"/>
          <w:spacing w:val="0"/>
          <w:sz w:val="24"/>
          <w:szCs w:val="24"/>
        </w:rPr>
        <w:t xml:space="preserve"> (1) </w:t>
      </w:r>
      <w:r w:rsidR="005737BB" w:rsidRPr="007F6F77">
        <w:rPr>
          <w:rFonts w:ascii="Times New Roman" w:eastAsia="標楷體" w:hint="eastAsia"/>
          <w:spacing w:val="0"/>
          <w:sz w:val="24"/>
          <w:szCs w:val="24"/>
        </w:rPr>
        <w:t xml:space="preserve">US trade policy uncertainty: Although the US </w:t>
      </w:r>
      <w:r w:rsidR="008A58E0" w:rsidRPr="007F6F77">
        <w:rPr>
          <w:rFonts w:ascii="Times New Roman" w:eastAsia="標楷體" w:hint="eastAsia"/>
          <w:spacing w:val="0"/>
          <w:sz w:val="24"/>
          <w:szCs w:val="24"/>
        </w:rPr>
        <w:t xml:space="preserve">suspended tariff hikes on Chinese exports, </w:t>
      </w:r>
      <w:r w:rsidR="00F46971" w:rsidRPr="007F6F77">
        <w:rPr>
          <w:rFonts w:ascii="Times New Roman" w:eastAsia="標楷體" w:hint="eastAsia"/>
          <w:spacing w:val="0"/>
          <w:sz w:val="24"/>
          <w:szCs w:val="24"/>
        </w:rPr>
        <w:t xml:space="preserve">it is still unclear whether </w:t>
      </w:r>
      <w:r w:rsidR="00F010D7" w:rsidRPr="007F6F77">
        <w:rPr>
          <w:rFonts w:ascii="Times New Roman" w:eastAsia="標楷體" w:hint="eastAsia"/>
          <w:spacing w:val="0"/>
          <w:sz w:val="24"/>
          <w:szCs w:val="24"/>
        </w:rPr>
        <w:t>the two</w:t>
      </w:r>
      <w:r w:rsidR="00F46971" w:rsidRPr="007F6F77">
        <w:rPr>
          <w:rFonts w:ascii="Times New Roman" w:eastAsia="標楷體" w:hint="eastAsia"/>
          <w:spacing w:val="0"/>
          <w:sz w:val="24"/>
          <w:szCs w:val="24"/>
        </w:rPr>
        <w:t xml:space="preserve"> sides would reach a trade deal </w:t>
      </w:r>
      <w:r w:rsidR="00F46971" w:rsidRPr="007F6F77">
        <w:rPr>
          <w:rFonts w:ascii="Times New Roman" w:eastAsia="標楷體"/>
          <w:spacing w:val="0"/>
          <w:sz w:val="24"/>
          <w:szCs w:val="24"/>
        </w:rPr>
        <w:t>before the expiry of the 90-day truce</w:t>
      </w:r>
      <w:r w:rsidR="001030C5" w:rsidRPr="007F6F77">
        <w:rPr>
          <w:rFonts w:ascii="Times New Roman" w:eastAsia="標楷體" w:hint="eastAsia"/>
          <w:spacing w:val="0"/>
          <w:sz w:val="24"/>
          <w:szCs w:val="24"/>
        </w:rPr>
        <w:t xml:space="preserve">; (2) </w:t>
      </w:r>
      <w:r w:rsidR="00AB123E" w:rsidRPr="007F6F77">
        <w:rPr>
          <w:rFonts w:ascii="Times New Roman" w:eastAsia="標楷體" w:hint="eastAsia"/>
          <w:spacing w:val="0"/>
          <w:sz w:val="24"/>
          <w:szCs w:val="24"/>
        </w:rPr>
        <w:t xml:space="preserve">A sputtering Chinese economy: </w:t>
      </w:r>
      <w:r w:rsidR="00481341" w:rsidRPr="007F6F77">
        <w:rPr>
          <w:rFonts w:ascii="Times New Roman" w:eastAsia="標楷體" w:hint="eastAsia"/>
          <w:spacing w:val="0"/>
          <w:sz w:val="24"/>
          <w:szCs w:val="24"/>
        </w:rPr>
        <w:t>With the negative trade impacts of US tariffs gradually emerging and China</w:t>
      </w:r>
      <w:r w:rsidR="00481341" w:rsidRPr="007F6F77">
        <w:rPr>
          <w:rFonts w:ascii="Times New Roman" w:eastAsia="標楷體"/>
          <w:spacing w:val="0"/>
          <w:sz w:val="24"/>
          <w:szCs w:val="24"/>
        </w:rPr>
        <w:t>’</w:t>
      </w:r>
      <w:r w:rsidR="00481341" w:rsidRPr="007F6F77">
        <w:rPr>
          <w:rFonts w:ascii="Times New Roman" w:eastAsia="標楷體" w:hint="eastAsia"/>
          <w:spacing w:val="0"/>
          <w:sz w:val="24"/>
          <w:szCs w:val="24"/>
        </w:rPr>
        <w:t xml:space="preserve">s manufacturing, property market, and consumption likely weakening, as well as mounting debt in the non-financial sector, downside risks </w:t>
      </w:r>
      <w:r w:rsidR="00ED0B97" w:rsidRPr="007F6F77">
        <w:rPr>
          <w:rFonts w:ascii="Times New Roman" w:eastAsia="標楷體" w:hint="eastAsia"/>
          <w:spacing w:val="0"/>
          <w:sz w:val="24"/>
          <w:szCs w:val="24"/>
        </w:rPr>
        <w:t xml:space="preserve">to the Chinese </w:t>
      </w:r>
      <w:r w:rsidR="00ED0B97" w:rsidRPr="007F6F77">
        <w:rPr>
          <w:rFonts w:ascii="Times New Roman" w:eastAsia="標楷體"/>
          <w:spacing w:val="0"/>
          <w:sz w:val="24"/>
          <w:szCs w:val="24"/>
        </w:rPr>
        <w:t>economy</w:t>
      </w:r>
      <w:r w:rsidR="00ED0B97" w:rsidRPr="007F6F77">
        <w:rPr>
          <w:rFonts w:ascii="Times New Roman" w:eastAsia="標楷體" w:hint="eastAsia"/>
          <w:spacing w:val="0"/>
          <w:sz w:val="24"/>
          <w:szCs w:val="24"/>
        </w:rPr>
        <w:t xml:space="preserve"> </w:t>
      </w:r>
      <w:r w:rsidR="00481341" w:rsidRPr="007F6F77">
        <w:rPr>
          <w:rFonts w:ascii="Times New Roman" w:eastAsia="標楷體" w:hint="eastAsia"/>
          <w:spacing w:val="0"/>
          <w:sz w:val="24"/>
          <w:szCs w:val="24"/>
        </w:rPr>
        <w:t>increased considerably</w:t>
      </w:r>
      <w:r w:rsidR="00ED0B97" w:rsidRPr="007F6F77">
        <w:rPr>
          <w:rFonts w:ascii="Times New Roman" w:eastAsia="標楷體" w:hint="eastAsia"/>
          <w:spacing w:val="0"/>
          <w:sz w:val="24"/>
          <w:szCs w:val="24"/>
        </w:rPr>
        <w:t xml:space="preserve">, carrying possible spillover effects that could weigh heavily on global </w:t>
      </w:r>
      <w:r w:rsidR="00ED0B97" w:rsidRPr="007F6F77">
        <w:rPr>
          <w:rFonts w:ascii="Times New Roman" w:eastAsia="標楷體"/>
          <w:spacing w:val="0"/>
          <w:sz w:val="24"/>
          <w:szCs w:val="24"/>
        </w:rPr>
        <w:t>economic</w:t>
      </w:r>
      <w:r w:rsidR="00ED0B97" w:rsidRPr="007F6F77">
        <w:rPr>
          <w:rFonts w:ascii="Times New Roman" w:eastAsia="標楷體" w:hint="eastAsia"/>
          <w:spacing w:val="0"/>
          <w:sz w:val="24"/>
          <w:szCs w:val="24"/>
        </w:rPr>
        <w:t xml:space="preserve"> growth; (3) </w:t>
      </w:r>
      <w:r w:rsidR="00F14B5B" w:rsidRPr="007F6F77">
        <w:rPr>
          <w:rFonts w:ascii="Times New Roman" w:eastAsia="標楷體" w:hint="eastAsia"/>
          <w:spacing w:val="0"/>
          <w:sz w:val="24"/>
          <w:szCs w:val="24"/>
        </w:rPr>
        <w:t>uncertainty over major economies</w:t>
      </w:r>
      <w:r w:rsidR="00F14B5B" w:rsidRPr="007F6F77">
        <w:rPr>
          <w:rFonts w:ascii="Times New Roman" w:eastAsia="標楷體"/>
          <w:spacing w:val="0"/>
          <w:sz w:val="24"/>
          <w:szCs w:val="24"/>
        </w:rPr>
        <w:t>’</w:t>
      </w:r>
      <w:r w:rsidR="00F14B5B" w:rsidRPr="007F6F77">
        <w:rPr>
          <w:rFonts w:ascii="Times New Roman" w:eastAsia="標楷體" w:hint="eastAsia"/>
          <w:spacing w:val="0"/>
          <w:sz w:val="24"/>
          <w:szCs w:val="24"/>
        </w:rPr>
        <w:t xml:space="preserve"> monetary policy paths, which could induce rapid cross-border capital movements and heightened volatility in foreign exchange markets; (4) political and economic unrest in Europe: </w:t>
      </w:r>
      <w:r w:rsidR="00BE2969" w:rsidRPr="007F6F77">
        <w:rPr>
          <w:rFonts w:ascii="Times New Roman" w:eastAsia="標楷體" w:hint="eastAsia"/>
          <w:spacing w:val="0"/>
          <w:sz w:val="24"/>
          <w:szCs w:val="24"/>
        </w:rPr>
        <w:t xml:space="preserve">Market apprehension over a no-deal Brexit and </w:t>
      </w:r>
      <w:r w:rsidR="00BE2969" w:rsidRPr="007F6F77">
        <w:rPr>
          <w:rFonts w:ascii="Times New Roman" w:eastAsia="標楷體"/>
          <w:spacing w:val="0"/>
          <w:sz w:val="24"/>
          <w:szCs w:val="24"/>
        </w:rPr>
        <w:t>a deterioration in Italian fiscal discipline</w:t>
      </w:r>
      <w:r w:rsidR="00575A67" w:rsidRPr="007F6F77">
        <w:rPr>
          <w:rFonts w:ascii="Times New Roman" w:eastAsia="標楷體" w:hint="eastAsia"/>
          <w:spacing w:val="0"/>
          <w:sz w:val="24"/>
          <w:szCs w:val="24"/>
        </w:rPr>
        <w:t xml:space="preserve"> </w:t>
      </w:r>
      <w:r w:rsidR="0081226D" w:rsidRPr="007F6F77">
        <w:rPr>
          <w:rFonts w:ascii="Times New Roman" w:eastAsia="標楷體" w:hint="eastAsia"/>
          <w:spacing w:val="0"/>
          <w:sz w:val="24"/>
          <w:szCs w:val="24"/>
        </w:rPr>
        <w:t>ha</w:t>
      </w:r>
      <w:r w:rsidR="00F010D7" w:rsidRPr="007F6F77">
        <w:rPr>
          <w:rFonts w:ascii="Times New Roman" w:eastAsia="標楷體" w:hint="eastAsia"/>
          <w:spacing w:val="0"/>
          <w:sz w:val="24"/>
          <w:szCs w:val="24"/>
        </w:rPr>
        <w:t>ve</w:t>
      </w:r>
      <w:r w:rsidR="0081226D" w:rsidRPr="007F6F77">
        <w:rPr>
          <w:rFonts w:ascii="Times New Roman" w:eastAsia="標楷體" w:hint="eastAsia"/>
          <w:spacing w:val="0"/>
          <w:sz w:val="24"/>
          <w:szCs w:val="24"/>
        </w:rPr>
        <w:t xml:space="preserve"> negative implications for European </w:t>
      </w:r>
      <w:r w:rsidR="0081226D" w:rsidRPr="007F6F77">
        <w:rPr>
          <w:rFonts w:ascii="Times New Roman" w:eastAsia="標楷體"/>
          <w:spacing w:val="0"/>
          <w:sz w:val="24"/>
          <w:szCs w:val="24"/>
        </w:rPr>
        <w:t>economy</w:t>
      </w:r>
      <w:r w:rsidR="0081226D" w:rsidRPr="007F6F77">
        <w:rPr>
          <w:rFonts w:ascii="Times New Roman" w:eastAsia="標楷體" w:hint="eastAsia"/>
          <w:spacing w:val="0"/>
          <w:sz w:val="24"/>
          <w:szCs w:val="24"/>
        </w:rPr>
        <w:t xml:space="preserve">, adding to downside risks to the global </w:t>
      </w:r>
      <w:r w:rsidR="0081226D" w:rsidRPr="007F6F77">
        <w:rPr>
          <w:rFonts w:ascii="Times New Roman" w:eastAsia="標楷體"/>
          <w:spacing w:val="0"/>
          <w:sz w:val="24"/>
          <w:szCs w:val="24"/>
        </w:rPr>
        <w:t>economic</w:t>
      </w:r>
      <w:r w:rsidR="0081226D" w:rsidRPr="007F6F77">
        <w:rPr>
          <w:rFonts w:ascii="Times New Roman" w:eastAsia="標楷體" w:hint="eastAsia"/>
          <w:spacing w:val="0"/>
          <w:sz w:val="24"/>
          <w:szCs w:val="24"/>
        </w:rPr>
        <w:t xml:space="preserve"> prospects.  </w:t>
      </w:r>
    </w:p>
    <w:p w:rsidR="00D46F1E" w:rsidRPr="007F6F77" w:rsidRDefault="00D46F1E" w:rsidP="00FA173A">
      <w:pPr>
        <w:numPr>
          <w:ilvl w:val="0"/>
          <w:numId w:val="30"/>
        </w:numPr>
        <w:overflowPunct w:val="0"/>
        <w:autoSpaceDE w:val="0"/>
        <w:autoSpaceDN w:val="0"/>
        <w:snapToGrid w:val="0"/>
        <w:spacing w:before="120" w:line="440" w:lineRule="exact"/>
        <w:ind w:left="426" w:hanging="426"/>
        <w:rPr>
          <w:rFonts w:eastAsia="標楷體"/>
          <w:b/>
          <w:spacing w:val="-2"/>
          <w:sz w:val="24"/>
          <w:szCs w:val="28"/>
        </w:rPr>
      </w:pPr>
      <w:r w:rsidRPr="007F6F77">
        <w:rPr>
          <w:rFonts w:eastAsia="標楷體" w:hint="eastAsia"/>
          <w:b/>
          <w:spacing w:val="-2"/>
          <w:sz w:val="24"/>
          <w:szCs w:val="28"/>
        </w:rPr>
        <w:t>Domestic</w:t>
      </w:r>
      <w:r w:rsidRPr="007F6F77">
        <w:rPr>
          <w:rFonts w:eastAsia="標楷體"/>
          <w:b/>
          <w:spacing w:val="-2"/>
          <w:sz w:val="24"/>
          <w:szCs w:val="28"/>
        </w:rPr>
        <w:t xml:space="preserve"> Economic </w:t>
      </w:r>
      <w:r w:rsidRPr="007F6F77">
        <w:rPr>
          <w:rFonts w:eastAsia="標楷體" w:hint="eastAsia"/>
          <w:b/>
          <w:spacing w:val="-2"/>
          <w:sz w:val="24"/>
          <w:szCs w:val="28"/>
        </w:rPr>
        <w:t>a</w:t>
      </w:r>
      <w:r w:rsidRPr="007F6F77">
        <w:rPr>
          <w:rFonts w:eastAsia="標楷體"/>
          <w:b/>
          <w:spacing w:val="-2"/>
          <w:sz w:val="24"/>
          <w:szCs w:val="28"/>
        </w:rPr>
        <w:t>nd Financial Conditions</w:t>
      </w:r>
    </w:p>
    <w:p w:rsidR="00D46F1E" w:rsidRPr="007F6F77" w:rsidRDefault="00D46F1E" w:rsidP="00FA173A">
      <w:pPr>
        <w:adjustRightInd/>
        <w:spacing w:before="120" w:line="440" w:lineRule="exact"/>
        <w:textAlignment w:val="auto"/>
        <w:rPr>
          <w:rFonts w:eastAsia="標楷體"/>
          <w:spacing w:val="-2"/>
          <w:kern w:val="2"/>
          <w:sz w:val="24"/>
          <w:szCs w:val="28"/>
        </w:rPr>
      </w:pPr>
      <w:r w:rsidRPr="007F6F77">
        <w:rPr>
          <w:rFonts w:eastAsia="標楷體"/>
          <w:spacing w:val="-2"/>
          <w:kern w:val="2"/>
          <w:sz w:val="24"/>
          <w:szCs w:val="28"/>
        </w:rPr>
        <w:t>(</w:t>
      </w:r>
      <w:r w:rsidRPr="007F6F77">
        <w:rPr>
          <w:rFonts w:eastAsia="標楷體" w:hint="eastAsia"/>
          <w:spacing w:val="-2"/>
          <w:kern w:val="2"/>
          <w:sz w:val="24"/>
          <w:szCs w:val="28"/>
        </w:rPr>
        <w:t>1</w:t>
      </w:r>
      <w:r w:rsidRPr="007F6F77">
        <w:rPr>
          <w:rFonts w:eastAsia="標楷體"/>
          <w:spacing w:val="-2"/>
          <w:kern w:val="2"/>
          <w:sz w:val="24"/>
          <w:szCs w:val="28"/>
        </w:rPr>
        <w:t>)</w:t>
      </w:r>
      <w:r w:rsidRPr="007F6F77">
        <w:rPr>
          <w:rFonts w:eastAsia="標楷體" w:hint="eastAsia"/>
          <w:spacing w:val="-2"/>
          <w:kern w:val="2"/>
          <w:sz w:val="24"/>
          <w:szCs w:val="28"/>
        </w:rPr>
        <w:t xml:space="preserve"> Economic situation </w:t>
      </w:r>
    </w:p>
    <w:p w:rsidR="000208F9" w:rsidRPr="007F6F77" w:rsidRDefault="000208F9" w:rsidP="00FA173A">
      <w:pPr>
        <w:pStyle w:val="6"/>
        <w:overflowPunct w:val="0"/>
        <w:snapToGrid w:val="0"/>
        <w:spacing w:after="0" w:line="440" w:lineRule="exact"/>
        <w:ind w:left="0" w:firstLineChars="200" w:firstLine="480"/>
        <w:rPr>
          <w:rFonts w:ascii="Times New Roman" w:eastAsia="標楷體"/>
          <w:spacing w:val="0"/>
          <w:sz w:val="24"/>
          <w:szCs w:val="24"/>
        </w:rPr>
      </w:pPr>
      <w:r w:rsidRPr="007F6F77">
        <w:rPr>
          <w:rFonts w:ascii="Times New Roman" w:eastAsia="標楷體" w:hint="eastAsia"/>
          <w:spacing w:val="0"/>
          <w:sz w:val="24"/>
          <w:szCs w:val="24"/>
        </w:rPr>
        <w:t xml:space="preserve">According to relevant readings in October, the business climate monitor flashed a </w:t>
      </w:r>
      <w:r w:rsidRPr="007F6F77">
        <w:rPr>
          <w:rFonts w:ascii="Times New Roman" w:eastAsia="標楷體"/>
          <w:spacing w:val="0"/>
          <w:sz w:val="24"/>
          <w:szCs w:val="24"/>
        </w:rPr>
        <w:t>“</w:t>
      </w:r>
      <w:r w:rsidRPr="007F6F77">
        <w:rPr>
          <w:rFonts w:ascii="Times New Roman" w:eastAsia="標楷體" w:hint="eastAsia"/>
          <w:spacing w:val="0"/>
          <w:sz w:val="24"/>
          <w:szCs w:val="24"/>
        </w:rPr>
        <w:t>yellow-blue</w:t>
      </w:r>
      <w:r w:rsidRPr="007F6F77">
        <w:rPr>
          <w:rFonts w:ascii="Times New Roman" w:eastAsia="標楷體"/>
          <w:spacing w:val="0"/>
          <w:sz w:val="24"/>
          <w:szCs w:val="24"/>
        </w:rPr>
        <w:t>”</w:t>
      </w:r>
      <w:r w:rsidRPr="007F6F77">
        <w:rPr>
          <w:rFonts w:ascii="Times New Roman" w:eastAsia="標楷體" w:hint="eastAsia"/>
          <w:spacing w:val="0"/>
          <w:sz w:val="24"/>
          <w:szCs w:val="24"/>
        </w:rPr>
        <w:t xml:space="preserve"> (a transitional light) for the second consecutive month and both leading and </w:t>
      </w:r>
      <w:r w:rsidR="00092585" w:rsidRPr="007F6F77">
        <w:rPr>
          <w:rFonts w:ascii="Times New Roman" w:eastAsia="標楷體" w:hint="eastAsia"/>
          <w:spacing w:val="0"/>
          <w:sz w:val="24"/>
          <w:szCs w:val="24"/>
        </w:rPr>
        <w:t>coincident indicators</w:t>
      </w:r>
      <w:r w:rsidR="00641684" w:rsidRPr="007F6F77">
        <w:rPr>
          <w:rFonts w:ascii="Times New Roman" w:eastAsia="標楷體" w:hint="eastAsia"/>
          <w:spacing w:val="0"/>
          <w:sz w:val="24"/>
          <w:szCs w:val="24"/>
        </w:rPr>
        <w:t xml:space="preserve"> continued to point downwards, indicating softer momentum for domestic economic expansion. The GDP growth rate of the last quarter this year is expected to run lower than the third quarter</w:t>
      </w:r>
      <w:r w:rsidR="00363DC7" w:rsidRPr="007F6F77">
        <w:rPr>
          <w:rFonts w:ascii="Times New Roman" w:eastAsia="標楷體" w:hint="eastAsia"/>
          <w:spacing w:val="0"/>
          <w:sz w:val="24"/>
          <w:szCs w:val="24"/>
        </w:rPr>
        <w:t xml:space="preserve"> </w:t>
      </w:r>
      <w:r w:rsidR="00D401AC" w:rsidRPr="007F6F77">
        <w:rPr>
          <w:rFonts w:ascii="Times New Roman" w:eastAsia="標楷體" w:hint="eastAsia"/>
          <w:spacing w:val="0"/>
          <w:sz w:val="24"/>
          <w:szCs w:val="24"/>
        </w:rPr>
        <w:t xml:space="preserve">while also </w:t>
      </w:r>
      <w:r w:rsidR="00363DC7" w:rsidRPr="007F6F77">
        <w:rPr>
          <w:rFonts w:ascii="Times New Roman" w:eastAsia="標楷體" w:hint="eastAsia"/>
          <w:spacing w:val="0"/>
          <w:sz w:val="24"/>
          <w:szCs w:val="24"/>
        </w:rPr>
        <w:t>significantly outpaced by the rate in the first half of 2018.</w:t>
      </w:r>
      <w:r w:rsidR="00641684" w:rsidRPr="007F6F77">
        <w:rPr>
          <w:rFonts w:ascii="Times New Roman" w:eastAsia="標楷體" w:hint="eastAsia"/>
          <w:spacing w:val="0"/>
          <w:sz w:val="24"/>
          <w:szCs w:val="24"/>
        </w:rPr>
        <w:t xml:space="preserve"> </w:t>
      </w:r>
    </w:p>
    <w:p w:rsidR="00D401AC" w:rsidRPr="007F6F77" w:rsidRDefault="00D401AC" w:rsidP="001F2208">
      <w:pPr>
        <w:pStyle w:val="6"/>
        <w:overflowPunct w:val="0"/>
        <w:snapToGrid w:val="0"/>
        <w:spacing w:after="0" w:line="440" w:lineRule="exact"/>
        <w:ind w:left="0" w:firstLineChars="200" w:firstLine="480"/>
        <w:rPr>
          <w:rFonts w:ascii="Times New Roman" w:eastAsia="標楷體"/>
          <w:spacing w:val="0"/>
          <w:sz w:val="24"/>
          <w:szCs w:val="24"/>
        </w:rPr>
      </w:pPr>
      <w:r w:rsidRPr="007F6F77">
        <w:rPr>
          <w:rFonts w:ascii="Times New Roman" w:eastAsia="標楷體" w:hint="eastAsia"/>
          <w:spacing w:val="0"/>
          <w:sz w:val="24"/>
          <w:szCs w:val="24"/>
        </w:rPr>
        <w:t xml:space="preserve">For the year as a whole, GDP growth </w:t>
      </w:r>
      <w:r w:rsidR="00B17624" w:rsidRPr="007F6F77">
        <w:rPr>
          <w:rFonts w:ascii="Times New Roman" w:eastAsia="標楷體" w:hint="eastAsia"/>
          <w:spacing w:val="0"/>
          <w:sz w:val="24"/>
          <w:szCs w:val="24"/>
        </w:rPr>
        <w:t>would be</w:t>
      </w:r>
      <w:r w:rsidRPr="007F6F77">
        <w:rPr>
          <w:rFonts w:ascii="Times New Roman" w:eastAsia="標楷體" w:hint="eastAsia"/>
          <w:spacing w:val="0"/>
          <w:sz w:val="24"/>
          <w:szCs w:val="24"/>
        </w:rPr>
        <w:t xml:space="preserve"> chiefly driven by domestic demand, given that </w:t>
      </w:r>
      <w:r w:rsidR="004F21CA" w:rsidRPr="007F6F77">
        <w:rPr>
          <w:rFonts w:ascii="Times New Roman" w:eastAsia="標楷體" w:hint="eastAsia"/>
          <w:spacing w:val="0"/>
          <w:sz w:val="24"/>
          <w:szCs w:val="24"/>
        </w:rPr>
        <w:t xml:space="preserve">export </w:t>
      </w:r>
      <w:r w:rsidR="00B17624" w:rsidRPr="007F6F77">
        <w:rPr>
          <w:rFonts w:ascii="Times New Roman" w:eastAsia="標楷體" w:hint="eastAsia"/>
          <w:spacing w:val="0"/>
          <w:sz w:val="24"/>
          <w:szCs w:val="24"/>
        </w:rPr>
        <w:t xml:space="preserve">performance could be bogged down by external uncertainties such as a weaker global </w:t>
      </w:r>
      <w:r w:rsidR="00B17624" w:rsidRPr="007F6F77">
        <w:rPr>
          <w:rFonts w:ascii="Times New Roman" w:eastAsia="標楷體"/>
          <w:spacing w:val="0"/>
          <w:sz w:val="24"/>
          <w:szCs w:val="24"/>
        </w:rPr>
        <w:t>econom</w:t>
      </w:r>
      <w:r w:rsidR="00B17624" w:rsidRPr="007F6F77">
        <w:rPr>
          <w:rFonts w:ascii="Times New Roman" w:eastAsia="標楷體" w:hint="eastAsia"/>
          <w:spacing w:val="0"/>
          <w:sz w:val="24"/>
          <w:szCs w:val="24"/>
        </w:rPr>
        <w:t>y</w:t>
      </w:r>
      <w:r w:rsidR="00D02345" w:rsidRPr="007F6F77">
        <w:rPr>
          <w:rFonts w:ascii="Times New Roman" w:eastAsia="標楷體" w:hint="eastAsia"/>
          <w:spacing w:val="0"/>
          <w:sz w:val="24"/>
          <w:szCs w:val="24"/>
        </w:rPr>
        <w:t xml:space="preserve"> and persistent US-China trade friction. </w:t>
      </w:r>
      <w:r w:rsidR="00D139ED" w:rsidRPr="007F6F77">
        <w:rPr>
          <w:rFonts w:ascii="Times New Roman" w:eastAsia="標楷體" w:hint="eastAsia"/>
          <w:spacing w:val="0"/>
          <w:sz w:val="24"/>
          <w:szCs w:val="24"/>
        </w:rPr>
        <w:t>Despite</w:t>
      </w:r>
      <w:r w:rsidR="00D02345" w:rsidRPr="007F6F77">
        <w:rPr>
          <w:rFonts w:ascii="Times New Roman" w:eastAsia="標楷體" w:hint="eastAsia"/>
          <w:spacing w:val="0"/>
          <w:sz w:val="24"/>
          <w:szCs w:val="24"/>
        </w:rPr>
        <w:t xml:space="preserve"> a softer outlook</w:t>
      </w:r>
      <w:r w:rsidR="00D139ED" w:rsidRPr="007F6F77">
        <w:rPr>
          <w:rFonts w:ascii="Times New Roman" w:eastAsia="標楷體" w:hint="eastAsia"/>
          <w:spacing w:val="0"/>
          <w:sz w:val="24"/>
          <w:szCs w:val="24"/>
        </w:rPr>
        <w:t>, the economy will continue to gain support from domestic demand</w:t>
      </w:r>
      <w:r w:rsidR="006844F1" w:rsidRPr="007F6F77">
        <w:rPr>
          <w:rFonts w:ascii="Times New Roman" w:eastAsia="標楷體" w:hint="eastAsia"/>
          <w:spacing w:val="0"/>
          <w:sz w:val="24"/>
          <w:szCs w:val="24"/>
        </w:rPr>
        <w:t xml:space="preserve"> next year</w:t>
      </w:r>
      <w:r w:rsidR="00D139ED" w:rsidRPr="007F6F77">
        <w:rPr>
          <w:rFonts w:ascii="Times New Roman" w:eastAsia="標楷體" w:hint="eastAsia"/>
          <w:spacing w:val="0"/>
          <w:sz w:val="24"/>
          <w:szCs w:val="24"/>
        </w:rPr>
        <w:t xml:space="preserve">. </w:t>
      </w:r>
      <w:r w:rsidR="00B92553" w:rsidRPr="00D8715B">
        <w:rPr>
          <w:rFonts w:ascii="Times New Roman" w:eastAsia="標楷體" w:hint="eastAsia"/>
          <w:spacing w:val="0"/>
          <w:sz w:val="24"/>
          <w:szCs w:val="24"/>
        </w:rPr>
        <w:t>T</w:t>
      </w:r>
      <w:r w:rsidR="00B42778" w:rsidRPr="00D8715B">
        <w:rPr>
          <w:rFonts w:ascii="Times New Roman" w:eastAsia="標楷體" w:hint="eastAsia"/>
          <w:spacing w:val="0"/>
          <w:sz w:val="24"/>
          <w:szCs w:val="24"/>
        </w:rPr>
        <w:t>he CBC forecast</w:t>
      </w:r>
      <w:r w:rsidR="00D8715B" w:rsidRPr="00D8715B">
        <w:rPr>
          <w:rFonts w:ascii="Times New Roman" w:eastAsia="標楷體" w:hint="eastAsia"/>
          <w:spacing w:val="0"/>
          <w:sz w:val="24"/>
          <w:szCs w:val="24"/>
        </w:rPr>
        <w:t>s</w:t>
      </w:r>
      <w:r w:rsidR="00B42778" w:rsidRPr="007F6F77">
        <w:rPr>
          <w:rFonts w:ascii="Times New Roman" w:eastAsia="標楷體" w:hint="eastAsia"/>
          <w:spacing w:val="0"/>
          <w:sz w:val="24"/>
          <w:szCs w:val="24"/>
        </w:rPr>
        <w:t xml:space="preserve"> Taiwan</w:t>
      </w:r>
      <w:r w:rsidR="00B42778" w:rsidRPr="007F6F77">
        <w:rPr>
          <w:rFonts w:ascii="Times New Roman" w:eastAsia="標楷體"/>
          <w:spacing w:val="0"/>
          <w:sz w:val="24"/>
          <w:szCs w:val="24"/>
        </w:rPr>
        <w:t>’</w:t>
      </w:r>
      <w:r w:rsidR="00B42778" w:rsidRPr="007F6F77">
        <w:rPr>
          <w:rFonts w:ascii="Times New Roman" w:eastAsia="標楷體" w:hint="eastAsia"/>
          <w:spacing w:val="0"/>
          <w:sz w:val="24"/>
          <w:szCs w:val="24"/>
        </w:rPr>
        <w:t xml:space="preserve">s economy to grow by 2.68% and 2.33% in 2018 and 2019, respectively, while the projections of major forecasting institutions </w:t>
      </w:r>
      <w:r w:rsidR="00E26475" w:rsidRPr="007F6F77">
        <w:rPr>
          <w:rFonts w:ascii="Times New Roman" w:eastAsia="標楷體" w:hint="eastAsia"/>
          <w:spacing w:val="0"/>
          <w:sz w:val="24"/>
          <w:szCs w:val="24"/>
        </w:rPr>
        <w:t xml:space="preserve">fall in a range of </w:t>
      </w:r>
      <w:r w:rsidR="00B42778" w:rsidRPr="007F6F77">
        <w:rPr>
          <w:rFonts w:ascii="Times New Roman" w:eastAsia="標楷體" w:hint="eastAsia"/>
          <w:spacing w:val="0"/>
          <w:sz w:val="24"/>
          <w:szCs w:val="24"/>
        </w:rPr>
        <w:t xml:space="preserve">2.57%-2.68% </w:t>
      </w:r>
      <w:r w:rsidR="00E26475" w:rsidRPr="007F6F77">
        <w:rPr>
          <w:rFonts w:ascii="Times New Roman" w:eastAsia="標楷體" w:hint="eastAsia"/>
          <w:spacing w:val="0"/>
          <w:sz w:val="24"/>
          <w:szCs w:val="24"/>
        </w:rPr>
        <w:t xml:space="preserve">for 2018, and slightly slowing to 2.15%-2.45% for 2019. </w:t>
      </w:r>
    </w:p>
    <w:p w:rsidR="001F2208" w:rsidRPr="007F6F77" w:rsidRDefault="00C331A4" w:rsidP="00B80D42">
      <w:pPr>
        <w:pStyle w:val="6"/>
        <w:overflowPunct w:val="0"/>
        <w:snapToGrid w:val="0"/>
        <w:spacing w:after="0" w:line="440" w:lineRule="exact"/>
        <w:ind w:left="0" w:firstLineChars="200" w:firstLine="480"/>
        <w:rPr>
          <w:rFonts w:ascii="Times New Roman" w:eastAsia="標楷體"/>
          <w:spacing w:val="0"/>
          <w:sz w:val="24"/>
          <w:szCs w:val="24"/>
        </w:rPr>
      </w:pPr>
      <w:r w:rsidRPr="007F6F77">
        <w:rPr>
          <w:rFonts w:ascii="Times New Roman" w:eastAsia="標楷體" w:hint="eastAsia"/>
          <w:spacing w:val="0"/>
          <w:sz w:val="24"/>
          <w:szCs w:val="24"/>
        </w:rPr>
        <w:t>In terms of external demand,</w:t>
      </w:r>
      <w:r w:rsidR="00A25C8C" w:rsidRPr="007F6F77">
        <w:rPr>
          <w:rFonts w:ascii="Times New Roman" w:eastAsia="標楷體" w:hint="eastAsia"/>
          <w:spacing w:val="0"/>
          <w:sz w:val="24"/>
          <w:szCs w:val="24"/>
        </w:rPr>
        <w:t xml:space="preserve"> </w:t>
      </w:r>
      <w:r w:rsidR="001F2208" w:rsidRPr="007F6F77">
        <w:rPr>
          <w:rFonts w:ascii="Times New Roman" w:eastAsia="標楷體" w:hint="eastAsia"/>
          <w:spacing w:val="0"/>
          <w:sz w:val="24"/>
          <w:szCs w:val="24"/>
        </w:rPr>
        <w:t xml:space="preserve">moderate global </w:t>
      </w:r>
      <w:r w:rsidR="001F2208" w:rsidRPr="007F6F77">
        <w:rPr>
          <w:rFonts w:ascii="Times New Roman" w:eastAsia="標楷體"/>
          <w:spacing w:val="0"/>
          <w:sz w:val="24"/>
          <w:szCs w:val="24"/>
        </w:rPr>
        <w:t>economic</w:t>
      </w:r>
      <w:r w:rsidR="001F2208" w:rsidRPr="007F6F77">
        <w:rPr>
          <w:rFonts w:ascii="Times New Roman" w:eastAsia="標楷體" w:hint="eastAsia"/>
          <w:spacing w:val="0"/>
          <w:sz w:val="24"/>
          <w:szCs w:val="24"/>
        </w:rPr>
        <w:t xml:space="preserve"> expansion and rising </w:t>
      </w:r>
      <w:r w:rsidR="001F2208" w:rsidRPr="007F6F77">
        <w:rPr>
          <w:rFonts w:ascii="Times New Roman" w:eastAsia="標楷體" w:hint="eastAsia"/>
          <w:spacing w:val="0"/>
          <w:sz w:val="24"/>
          <w:szCs w:val="24"/>
        </w:rPr>
        <w:lastRenderedPageBreak/>
        <w:t xml:space="preserve">international raw material prices led exports of major Asian economies to </w:t>
      </w:r>
      <w:r w:rsidR="001F2208" w:rsidRPr="007F6F77">
        <w:rPr>
          <w:rFonts w:ascii="Times New Roman" w:eastAsia="標楷體"/>
          <w:spacing w:val="0"/>
          <w:sz w:val="24"/>
          <w:szCs w:val="24"/>
        </w:rPr>
        <w:t>grow</w:t>
      </w:r>
      <w:r w:rsidR="001F2208" w:rsidRPr="007F6F77">
        <w:rPr>
          <w:rFonts w:ascii="Times New Roman" w:eastAsia="標楷體" w:hint="eastAsia"/>
          <w:spacing w:val="0"/>
          <w:sz w:val="24"/>
          <w:szCs w:val="24"/>
        </w:rPr>
        <w:t xml:space="preserve"> </w:t>
      </w:r>
      <w:r w:rsidR="001F2208" w:rsidRPr="007F6F77">
        <w:rPr>
          <w:rFonts w:ascii="Times New Roman" w:eastAsia="標楷體"/>
          <w:spacing w:val="0"/>
          <w:sz w:val="24"/>
          <w:szCs w:val="24"/>
        </w:rPr>
        <w:t>further</w:t>
      </w:r>
      <w:r w:rsidR="001F2208" w:rsidRPr="007F6F77">
        <w:rPr>
          <w:rFonts w:ascii="Times New Roman" w:eastAsia="標楷體" w:hint="eastAsia"/>
          <w:spacing w:val="0"/>
          <w:sz w:val="24"/>
          <w:szCs w:val="24"/>
        </w:rPr>
        <w:t xml:space="preserve"> for the first eleven months of the year. During the same period, Taiwan</w:t>
      </w:r>
      <w:r w:rsidR="001F2208" w:rsidRPr="007F6F77">
        <w:rPr>
          <w:rFonts w:ascii="Times New Roman" w:eastAsia="標楷體"/>
          <w:spacing w:val="0"/>
          <w:sz w:val="24"/>
          <w:szCs w:val="24"/>
        </w:rPr>
        <w:t>’</w:t>
      </w:r>
      <w:r w:rsidR="001F2208" w:rsidRPr="007F6F77">
        <w:rPr>
          <w:rFonts w:ascii="Times New Roman" w:eastAsia="標楷體" w:hint="eastAsia"/>
          <w:spacing w:val="0"/>
          <w:sz w:val="24"/>
          <w:szCs w:val="24"/>
        </w:rPr>
        <w:t xml:space="preserve">s export increased by 6.9% in total value terms, with export prices rising by 2.9% and export volume rising by 3.8%. However, </w:t>
      </w:r>
      <w:r w:rsidR="00F61ACD" w:rsidRPr="007F6F77">
        <w:rPr>
          <w:rFonts w:ascii="Times New Roman" w:eastAsia="標楷體" w:hint="eastAsia"/>
          <w:spacing w:val="0"/>
          <w:sz w:val="24"/>
          <w:szCs w:val="24"/>
        </w:rPr>
        <w:t xml:space="preserve">goods </w:t>
      </w:r>
      <w:r w:rsidR="001F2208" w:rsidRPr="007F6F77">
        <w:rPr>
          <w:rFonts w:ascii="Times New Roman" w:eastAsia="標楷體" w:hint="eastAsia"/>
          <w:spacing w:val="0"/>
          <w:sz w:val="24"/>
          <w:szCs w:val="24"/>
        </w:rPr>
        <w:t xml:space="preserve">export growth contracted in November owing to lower-than-expected mobile set sales </w:t>
      </w:r>
      <w:r w:rsidR="0072312F" w:rsidRPr="007F6F77">
        <w:rPr>
          <w:rFonts w:ascii="Times New Roman" w:eastAsia="標楷體" w:hint="eastAsia"/>
          <w:spacing w:val="0"/>
          <w:sz w:val="24"/>
          <w:szCs w:val="24"/>
        </w:rPr>
        <w:t>and sl</w:t>
      </w:r>
      <w:r w:rsidR="00EA1806" w:rsidRPr="007F6F77">
        <w:rPr>
          <w:rFonts w:ascii="Times New Roman" w:eastAsia="標楷體" w:hint="eastAsia"/>
          <w:spacing w:val="0"/>
          <w:sz w:val="24"/>
          <w:szCs w:val="24"/>
        </w:rPr>
        <w:t>uggish overseas machinery</w:t>
      </w:r>
      <w:r w:rsidR="0072312F" w:rsidRPr="007F6F77">
        <w:rPr>
          <w:rFonts w:ascii="Times New Roman" w:eastAsia="標楷體" w:hint="eastAsia"/>
          <w:spacing w:val="0"/>
          <w:sz w:val="24"/>
          <w:szCs w:val="24"/>
        </w:rPr>
        <w:t xml:space="preserve"> investment, while </w:t>
      </w:r>
      <w:r w:rsidR="00F61ACD" w:rsidRPr="007F6F77">
        <w:rPr>
          <w:rFonts w:ascii="Times New Roman" w:eastAsia="標楷體" w:hint="eastAsia"/>
          <w:spacing w:val="0"/>
          <w:sz w:val="24"/>
          <w:szCs w:val="24"/>
        </w:rPr>
        <w:t xml:space="preserve">goods </w:t>
      </w:r>
      <w:r w:rsidR="0072312F" w:rsidRPr="007F6F77">
        <w:rPr>
          <w:rFonts w:ascii="Times New Roman" w:eastAsia="標楷體" w:hint="eastAsia"/>
          <w:spacing w:val="0"/>
          <w:sz w:val="24"/>
          <w:szCs w:val="24"/>
        </w:rPr>
        <w:t xml:space="preserve">import growth </w:t>
      </w:r>
      <w:r w:rsidR="004751D2" w:rsidRPr="007F6F77">
        <w:rPr>
          <w:rFonts w:ascii="Times New Roman" w:eastAsia="標楷體" w:hint="eastAsia"/>
          <w:spacing w:val="0"/>
          <w:sz w:val="24"/>
          <w:szCs w:val="24"/>
        </w:rPr>
        <w:t>was eroded by</w:t>
      </w:r>
      <w:r w:rsidR="00D8417B" w:rsidRPr="007F6F77">
        <w:rPr>
          <w:rFonts w:ascii="Times New Roman" w:eastAsia="標楷體" w:hint="eastAsia"/>
          <w:spacing w:val="0"/>
          <w:sz w:val="24"/>
          <w:szCs w:val="24"/>
        </w:rPr>
        <w:t xml:space="preserve"> </w:t>
      </w:r>
      <w:r w:rsidR="0072312F" w:rsidRPr="007F6F77">
        <w:rPr>
          <w:rFonts w:ascii="Times New Roman" w:eastAsia="標楷體" w:hint="eastAsia"/>
          <w:spacing w:val="0"/>
          <w:sz w:val="24"/>
          <w:szCs w:val="24"/>
        </w:rPr>
        <w:t>a slump in capital equipment</w:t>
      </w:r>
      <w:r w:rsidR="00A23DF0" w:rsidRPr="007F6F77">
        <w:rPr>
          <w:rFonts w:ascii="Times New Roman" w:eastAsia="標楷體" w:hint="eastAsia"/>
          <w:spacing w:val="0"/>
          <w:sz w:val="24"/>
          <w:szCs w:val="24"/>
        </w:rPr>
        <w:t xml:space="preserve"> imports. </w:t>
      </w:r>
      <w:r w:rsidR="00972347" w:rsidRPr="007F6F77">
        <w:rPr>
          <w:rFonts w:ascii="Times New Roman" w:eastAsia="標楷體" w:hint="eastAsia"/>
          <w:spacing w:val="0"/>
          <w:sz w:val="24"/>
          <w:szCs w:val="24"/>
        </w:rPr>
        <w:t>The</w:t>
      </w:r>
      <w:r w:rsidR="002F1E58" w:rsidRPr="007F6F77">
        <w:rPr>
          <w:rFonts w:ascii="Times New Roman" w:eastAsia="標楷體" w:hint="eastAsia"/>
          <w:spacing w:val="0"/>
          <w:sz w:val="24"/>
          <w:szCs w:val="24"/>
        </w:rPr>
        <w:t>se</w:t>
      </w:r>
      <w:r w:rsidR="00972347" w:rsidRPr="007F6F77">
        <w:rPr>
          <w:rFonts w:ascii="Times New Roman" w:eastAsia="標楷體" w:hint="eastAsia"/>
          <w:spacing w:val="0"/>
          <w:sz w:val="24"/>
          <w:szCs w:val="24"/>
        </w:rPr>
        <w:t xml:space="preserve"> developments could likely become a drag on </w:t>
      </w:r>
      <w:r w:rsidR="00972347" w:rsidRPr="007F6F77">
        <w:rPr>
          <w:rFonts w:ascii="Times New Roman" w:eastAsia="標楷體"/>
          <w:spacing w:val="0"/>
          <w:sz w:val="24"/>
          <w:szCs w:val="24"/>
        </w:rPr>
        <w:t>export</w:t>
      </w:r>
      <w:r w:rsidR="00972347" w:rsidRPr="007F6F77">
        <w:rPr>
          <w:rFonts w:ascii="Times New Roman" w:eastAsia="標楷體" w:hint="eastAsia"/>
          <w:spacing w:val="0"/>
          <w:sz w:val="24"/>
          <w:szCs w:val="24"/>
        </w:rPr>
        <w:t xml:space="preserve"> growth for the rest of the year. </w:t>
      </w:r>
      <w:r w:rsidR="00B80D42" w:rsidRPr="007F6F77">
        <w:rPr>
          <w:rFonts w:ascii="Times New Roman" w:eastAsia="標楷體" w:hint="eastAsia"/>
          <w:spacing w:val="0"/>
          <w:sz w:val="24"/>
          <w:szCs w:val="24"/>
        </w:rPr>
        <w:t xml:space="preserve">Exports will likely expand </w:t>
      </w:r>
      <w:r w:rsidR="00B80D42" w:rsidRPr="007F6F77">
        <w:rPr>
          <w:rFonts w:ascii="Times New Roman" w:eastAsia="標楷體"/>
          <w:spacing w:val="0"/>
          <w:sz w:val="24"/>
          <w:szCs w:val="24"/>
        </w:rPr>
        <w:t>slower</w:t>
      </w:r>
      <w:r w:rsidR="00B80D42" w:rsidRPr="007F6F77">
        <w:rPr>
          <w:rFonts w:ascii="Times New Roman" w:eastAsia="標楷體" w:hint="eastAsia"/>
          <w:spacing w:val="0"/>
          <w:sz w:val="24"/>
          <w:szCs w:val="24"/>
        </w:rPr>
        <w:t xml:space="preserve"> next year according to the CBC</w:t>
      </w:r>
      <w:r w:rsidR="00B80D42" w:rsidRPr="007F6F77">
        <w:rPr>
          <w:rFonts w:ascii="Times New Roman" w:eastAsia="標楷體"/>
          <w:spacing w:val="0"/>
          <w:sz w:val="24"/>
          <w:szCs w:val="24"/>
        </w:rPr>
        <w:t>’</w:t>
      </w:r>
      <w:r w:rsidR="00B80D42" w:rsidRPr="007F6F77">
        <w:rPr>
          <w:rFonts w:ascii="Times New Roman" w:eastAsia="標楷體" w:hint="eastAsia"/>
          <w:spacing w:val="0"/>
          <w:sz w:val="24"/>
          <w:szCs w:val="24"/>
        </w:rPr>
        <w:t xml:space="preserve">s own projections, </w:t>
      </w:r>
      <w:r w:rsidR="002F1E58" w:rsidRPr="007F6F77">
        <w:rPr>
          <w:rFonts w:ascii="Times New Roman" w:eastAsia="標楷體" w:hint="eastAsia"/>
          <w:spacing w:val="0"/>
          <w:sz w:val="24"/>
          <w:szCs w:val="24"/>
        </w:rPr>
        <w:t>as</w:t>
      </w:r>
      <w:r w:rsidR="003A5C14" w:rsidRPr="007F6F77">
        <w:rPr>
          <w:rFonts w:ascii="Times New Roman" w:eastAsia="標楷體" w:hint="eastAsia"/>
          <w:spacing w:val="0"/>
          <w:sz w:val="24"/>
          <w:szCs w:val="24"/>
        </w:rPr>
        <w:t xml:space="preserve"> US-China trade friction remain</w:t>
      </w:r>
      <w:r w:rsidR="002F1E58" w:rsidRPr="007F6F77">
        <w:rPr>
          <w:rFonts w:ascii="Times New Roman" w:eastAsia="標楷體" w:hint="eastAsia"/>
          <w:spacing w:val="0"/>
          <w:sz w:val="24"/>
          <w:szCs w:val="24"/>
        </w:rPr>
        <w:t>s</w:t>
      </w:r>
      <w:r w:rsidR="003A5C14" w:rsidRPr="007F6F77">
        <w:rPr>
          <w:rFonts w:ascii="Times New Roman" w:eastAsia="標楷體" w:hint="eastAsia"/>
          <w:spacing w:val="0"/>
          <w:sz w:val="24"/>
          <w:szCs w:val="24"/>
        </w:rPr>
        <w:t xml:space="preserve"> on the horizon and global </w:t>
      </w:r>
      <w:r w:rsidR="003A5C14" w:rsidRPr="007F6F77">
        <w:rPr>
          <w:rFonts w:ascii="Times New Roman" w:eastAsia="標楷體"/>
          <w:spacing w:val="0"/>
          <w:sz w:val="24"/>
          <w:szCs w:val="24"/>
        </w:rPr>
        <w:t>economi</w:t>
      </w:r>
      <w:r w:rsidR="00B80D42" w:rsidRPr="007F6F77">
        <w:rPr>
          <w:rFonts w:ascii="Times New Roman" w:eastAsia="標楷體"/>
          <w:spacing w:val="0"/>
          <w:sz w:val="24"/>
          <w:szCs w:val="24"/>
        </w:rPr>
        <w:t>c and trade growth would moderate</w:t>
      </w:r>
      <w:r w:rsidR="00B80D42" w:rsidRPr="007F6F77">
        <w:rPr>
          <w:rFonts w:ascii="Times New Roman" w:eastAsia="標楷體" w:hint="eastAsia"/>
          <w:spacing w:val="0"/>
          <w:sz w:val="24"/>
          <w:szCs w:val="24"/>
        </w:rPr>
        <w:t xml:space="preserve">, outweighing the boost from increased demand for emerging technology applications. </w:t>
      </w:r>
    </w:p>
    <w:p w:rsidR="00AD48A7" w:rsidRPr="007F6F77" w:rsidRDefault="00C331A4" w:rsidP="00607438">
      <w:pPr>
        <w:pStyle w:val="6"/>
        <w:overflowPunct w:val="0"/>
        <w:snapToGrid w:val="0"/>
        <w:spacing w:after="0" w:line="440" w:lineRule="exact"/>
        <w:ind w:left="0" w:firstLineChars="200" w:firstLine="480"/>
        <w:rPr>
          <w:rFonts w:ascii="Times New Roman" w:eastAsia="標楷體"/>
          <w:spacing w:val="0"/>
          <w:sz w:val="24"/>
          <w:szCs w:val="24"/>
        </w:rPr>
      </w:pPr>
      <w:r w:rsidRPr="007F6F77">
        <w:rPr>
          <w:rFonts w:ascii="Times New Roman" w:eastAsia="標楷體" w:hint="eastAsia"/>
          <w:spacing w:val="0"/>
          <w:sz w:val="24"/>
          <w:szCs w:val="24"/>
        </w:rPr>
        <w:t xml:space="preserve">With respect to domestic demand, </w:t>
      </w:r>
      <w:r w:rsidR="00AD48A7" w:rsidRPr="007F6F77">
        <w:rPr>
          <w:rFonts w:ascii="Times New Roman" w:eastAsia="標楷體" w:hint="eastAsia"/>
          <w:spacing w:val="0"/>
          <w:sz w:val="24"/>
          <w:szCs w:val="24"/>
        </w:rPr>
        <w:t>labor market conditions were stable. For the first ten months of the year, the unemployment rate ran lower year on year, while average and regular earnings both increase</w:t>
      </w:r>
      <w:r w:rsidR="00EC2E8E" w:rsidRPr="007F6F77">
        <w:rPr>
          <w:rFonts w:ascii="Times New Roman" w:eastAsia="標楷體" w:hint="eastAsia"/>
          <w:spacing w:val="0"/>
          <w:sz w:val="24"/>
          <w:szCs w:val="24"/>
        </w:rPr>
        <w:t xml:space="preserve">d further. </w:t>
      </w:r>
      <w:r w:rsidR="00607438" w:rsidRPr="007F6F77">
        <w:rPr>
          <w:rFonts w:ascii="Times New Roman" w:eastAsia="標楷體" w:hint="eastAsia"/>
          <w:spacing w:val="0"/>
          <w:sz w:val="24"/>
          <w:szCs w:val="24"/>
        </w:rPr>
        <w:t>T</w:t>
      </w:r>
      <w:r w:rsidR="00EC2E8E" w:rsidRPr="007F6F77">
        <w:rPr>
          <w:rFonts w:ascii="Times New Roman" w:eastAsia="標楷體" w:hint="eastAsia"/>
          <w:spacing w:val="0"/>
          <w:sz w:val="24"/>
          <w:szCs w:val="24"/>
        </w:rPr>
        <w:t>he continued grow</w:t>
      </w:r>
      <w:r w:rsidR="00607438" w:rsidRPr="007F6F77">
        <w:rPr>
          <w:rFonts w:ascii="Times New Roman" w:eastAsia="標楷體" w:hint="eastAsia"/>
          <w:spacing w:val="0"/>
          <w:sz w:val="24"/>
          <w:szCs w:val="24"/>
        </w:rPr>
        <w:t xml:space="preserve">th in corporate profits, which would be conducive to </w:t>
      </w:r>
      <w:r w:rsidR="00EC2E8E" w:rsidRPr="007F6F77">
        <w:rPr>
          <w:rFonts w:ascii="Times New Roman" w:eastAsia="標楷體" w:hint="eastAsia"/>
          <w:spacing w:val="0"/>
          <w:sz w:val="24"/>
          <w:szCs w:val="24"/>
        </w:rPr>
        <w:t xml:space="preserve">cash dividends and </w:t>
      </w:r>
      <w:r w:rsidR="00607438" w:rsidRPr="007F6F77">
        <w:rPr>
          <w:rFonts w:ascii="Times New Roman" w:eastAsia="標楷體" w:hint="eastAsia"/>
          <w:spacing w:val="0"/>
          <w:sz w:val="24"/>
          <w:szCs w:val="24"/>
        </w:rPr>
        <w:t xml:space="preserve">wage adjustments next year, and </w:t>
      </w:r>
      <w:r w:rsidR="00EC2E8E" w:rsidRPr="007F6F77">
        <w:rPr>
          <w:rFonts w:ascii="Times New Roman" w:eastAsia="標楷體" w:hint="eastAsia"/>
          <w:spacing w:val="0"/>
          <w:sz w:val="24"/>
          <w:szCs w:val="24"/>
        </w:rPr>
        <w:t>minimum wage hikes</w:t>
      </w:r>
      <w:r w:rsidR="00607438" w:rsidRPr="007F6F77">
        <w:rPr>
          <w:rFonts w:ascii="Times New Roman" w:eastAsia="標楷體" w:hint="eastAsia"/>
          <w:spacing w:val="0"/>
          <w:sz w:val="24"/>
          <w:szCs w:val="24"/>
        </w:rPr>
        <w:t xml:space="preserve"> would help sustain consumption growth, whereas consumer confidence might weaken. </w:t>
      </w:r>
      <w:r w:rsidR="00D04418" w:rsidRPr="007F6F77">
        <w:rPr>
          <w:rFonts w:ascii="Times New Roman" w:eastAsia="標楷體" w:hint="eastAsia"/>
          <w:spacing w:val="0"/>
          <w:sz w:val="24"/>
          <w:szCs w:val="24"/>
        </w:rPr>
        <w:t>In this view, the CBC expect</w:t>
      </w:r>
      <w:r w:rsidR="00D8715B">
        <w:rPr>
          <w:rFonts w:ascii="Times New Roman" w:eastAsia="標楷體" w:hint="eastAsia"/>
          <w:spacing w:val="0"/>
          <w:sz w:val="24"/>
          <w:szCs w:val="24"/>
        </w:rPr>
        <w:t>s</w:t>
      </w:r>
      <w:r w:rsidR="00D04418" w:rsidRPr="007F6F77">
        <w:rPr>
          <w:rFonts w:ascii="Times New Roman" w:eastAsia="標楷體" w:hint="eastAsia"/>
          <w:spacing w:val="0"/>
          <w:sz w:val="24"/>
          <w:szCs w:val="24"/>
        </w:rPr>
        <w:t xml:space="preserve"> next year</w:t>
      </w:r>
      <w:r w:rsidR="00D04418" w:rsidRPr="007F6F77">
        <w:rPr>
          <w:rFonts w:ascii="Times New Roman" w:eastAsia="標楷體"/>
          <w:spacing w:val="0"/>
          <w:sz w:val="24"/>
          <w:szCs w:val="24"/>
        </w:rPr>
        <w:t>’</w:t>
      </w:r>
      <w:r w:rsidR="00D04418" w:rsidRPr="007F6F77">
        <w:rPr>
          <w:rFonts w:ascii="Times New Roman" w:eastAsia="標楷體" w:hint="eastAsia"/>
          <w:spacing w:val="0"/>
          <w:sz w:val="24"/>
          <w:szCs w:val="24"/>
        </w:rPr>
        <w:t xml:space="preserve">s private consumption to post </w:t>
      </w:r>
      <w:r w:rsidR="00B67436" w:rsidRPr="007F6F77">
        <w:rPr>
          <w:rFonts w:ascii="Times New Roman" w:eastAsia="標楷體" w:hint="eastAsia"/>
          <w:spacing w:val="0"/>
          <w:sz w:val="24"/>
          <w:szCs w:val="24"/>
        </w:rPr>
        <w:t>gentle</w:t>
      </w:r>
      <w:r w:rsidR="00D04418" w:rsidRPr="007F6F77">
        <w:rPr>
          <w:rFonts w:ascii="Times New Roman" w:eastAsia="標楷體" w:hint="eastAsia"/>
          <w:spacing w:val="0"/>
          <w:sz w:val="24"/>
          <w:szCs w:val="24"/>
        </w:rPr>
        <w:t xml:space="preserve"> growth. </w:t>
      </w:r>
    </w:p>
    <w:p w:rsidR="00B67436" w:rsidRPr="007F6F77" w:rsidRDefault="00F93452" w:rsidP="00F93452">
      <w:pPr>
        <w:pStyle w:val="6"/>
        <w:overflowPunct w:val="0"/>
        <w:snapToGrid w:val="0"/>
        <w:spacing w:after="0" w:line="440" w:lineRule="exact"/>
        <w:ind w:left="0" w:firstLineChars="200" w:firstLine="480"/>
        <w:rPr>
          <w:rFonts w:ascii="Times New Roman" w:eastAsia="標楷體"/>
          <w:spacing w:val="0"/>
          <w:sz w:val="24"/>
          <w:szCs w:val="24"/>
        </w:rPr>
      </w:pPr>
      <w:r w:rsidRPr="007F6F77">
        <w:rPr>
          <w:rFonts w:ascii="Times New Roman" w:eastAsia="標楷體" w:hint="eastAsia"/>
          <w:spacing w:val="0"/>
          <w:sz w:val="24"/>
          <w:szCs w:val="24"/>
        </w:rPr>
        <w:t>Private investment</w:t>
      </w:r>
      <w:r w:rsidR="00D8715B">
        <w:rPr>
          <w:rFonts w:ascii="Times New Roman" w:eastAsia="標楷體" w:hint="eastAsia"/>
          <w:spacing w:val="0"/>
          <w:sz w:val="24"/>
          <w:szCs w:val="24"/>
        </w:rPr>
        <w:t xml:space="preserve"> i</w:t>
      </w:r>
      <w:r w:rsidRPr="007F6F77">
        <w:rPr>
          <w:rFonts w:ascii="Times New Roman" w:eastAsia="標楷體" w:hint="eastAsia"/>
          <w:spacing w:val="0"/>
          <w:sz w:val="24"/>
          <w:szCs w:val="24"/>
        </w:rPr>
        <w:t xml:space="preserve">s forecast by the CBC to grow faster next year, bolstered by higher construction investment and continuous investment in </w:t>
      </w:r>
      <w:r w:rsidRPr="007F6F77">
        <w:rPr>
          <w:rFonts w:ascii="Times New Roman" w:eastAsia="標楷體"/>
          <w:spacing w:val="0"/>
          <w:sz w:val="24"/>
          <w:szCs w:val="24"/>
        </w:rPr>
        <w:t>machinery</w:t>
      </w:r>
      <w:r w:rsidRPr="007F6F77">
        <w:rPr>
          <w:rFonts w:ascii="Times New Roman" w:eastAsia="標楷體" w:hint="eastAsia"/>
          <w:spacing w:val="0"/>
          <w:sz w:val="24"/>
          <w:szCs w:val="24"/>
        </w:rPr>
        <w:t xml:space="preserve"> equipment and R&amp;D by the semiconductor sector and related manufacturers along the supply-chain. </w:t>
      </w:r>
    </w:p>
    <w:p w:rsidR="00750B45" w:rsidRPr="007F6F77" w:rsidRDefault="00D46F1E" w:rsidP="00FA173A">
      <w:pPr>
        <w:adjustRightInd/>
        <w:spacing w:before="120" w:line="440" w:lineRule="exact"/>
        <w:textAlignment w:val="auto"/>
        <w:rPr>
          <w:rFonts w:eastAsia="標楷體"/>
          <w:spacing w:val="-2"/>
          <w:sz w:val="28"/>
          <w:szCs w:val="24"/>
        </w:rPr>
      </w:pPr>
      <w:r w:rsidRPr="007F6F77">
        <w:rPr>
          <w:rFonts w:eastAsia="標楷體" w:hint="eastAsia"/>
          <w:spacing w:val="-2"/>
          <w:sz w:val="24"/>
          <w:szCs w:val="28"/>
        </w:rPr>
        <w:t>(2) Financial conditions</w:t>
      </w:r>
      <w:r w:rsidR="00590406" w:rsidRPr="007F6F77">
        <w:rPr>
          <w:rFonts w:eastAsia="標楷體"/>
          <w:spacing w:val="-2"/>
          <w:sz w:val="28"/>
          <w:szCs w:val="24"/>
        </w:rPr>
        <w:t xml:space="preserve"> </w:t>
      </w:r>
    </w:p>
    <w:p w:rsidR="006052F1" w:rsidRPr="007F6F77" w:rsidRDefault="00506B7E" w:rsidP="006052F1">
      <w:pPr>
        <w:pStyle w:val="6"/>
        <w:overflowPunct w:val="0"/>
        <w:snapToGrid w:val="0"/>
        <w:spacing w:after="0" w:line="440" w:lineRule="exact"/>
        <w:ind w:left="0" w:firstLineChars="200" w:firstLine="480"/>
        <w:rPr>
          <w:rFonts w:ascii="Times New Roman" w:eastAsia="標楷體"/>
          <w:spacing w:val="0"/>
          <w:sz w:val="24"/>
          <w:szCs w:val="24"/>
        </w:rPr>
      </w:pPr>
      <w:r w:rsidRPr="007F6F77">
        <w:rPr>
          <w:rFonts w:ascii="Times New Roman" w:eastAsia="標楷體" w:hint="eastAsia"/>
          <w:spacing w:val="0"/>
          <w:sz w:val="24"/>
          <w:szCs w:val="24"/>
        </w:rPr>
        <w:t xml:space="preserve">In recent months, </w:t>
      </w:r>
      <w:r w:rsidR="00A21A30" w:rsidRPr="007F6F77">
        <w:rPr>
          <w:rFonts w:ascii="Times New Roman" w:eastAsia="標楷體" w:hint="eastAsia"/>
          <w:spacing w:val="0"/>
          <w:sz w:val="24"/>
          <w:szCs w:val="24"/>
        </w:rPr>
        <w:t>bank</w:t>
      </w:r>
      <w:r w:rsidR="00A21A30" w:rsidRPr="007F6F77">
        <w:rPr>
          <w:rFonts w:ascii="Times New Roman" w:eastAsia="標楷體"/>
          <w:spacing w:val="0"/>
          <w:sz w:val="24"/>
          <w:szCs w:val="24"/>
        </w:rPr>
        <w:t>s</w:t>
      </w:r>
      <w:r w:rsidR="00A21A30" w:rsidRPr="007F6F77">
        <w:rPr>
          <w:rFonts w:ascii="Times New Roman" w:eastAsia="標楷體" w:hint="eastAsia"/>
          <w:spacing w:val="0"/>
          <w:sz w:val="24"/>
          <w:szCs w:val="24"/>
        </w:rPr>
        <w:t xml:space="preserve"> took a more cautious liquidity management strategy in light of continued US-China trade battle and heightened volatility in international financial markets, leading the interbank rates to rise slightly. Short-term market rates ha</w:t>
      </w:r>
      <w:r w:rsidR="00EA1806" w:rsidRPr="007F6F77">
        <w:rPr>
          <w:rFonts w:ascii="Times New Roman" w:eastAsia="標楷體" w:hint="eastAsia"/>
          <w:spacing w:val="0"/>
          <w:sz w:val="24"/>
          <w:szCs w:val="24"/>
        </w:rPr>
        <w:t>ve</w:t>
      </w:r>
      <w:r w:rsidR="00A21A30" w:rsidRPr="007F6F77">
        <w:rPr>
          <w:rFonts w:ascii="Times New Roman" w:eastAsia="標楷體" w:hint="eastAsia"/>
          <w:spacing w:val="0"/>
          <w:sz w:val="24"/>
          <w:szCs w:val="24"/>
        </w:rPr>
        <w:t xml:space="preserve"> moved up modestly since the middle of the year</w:t>
      </w:r>
      <w:r w:rsidR="00D77FFA" w:rsidRPr="007F6F77">
        <w:rPr>
          <w:rFonts w:ascii="Times New Roman" w:eastAsia="標楷體" w:hint="eastAsia"/>
          <w:spacing w:val="0"/>
          <w:sz w:val="24"/>
          <w:szCs w:val="24"/>
        </w:rPr>
        <w:t xml:space="preserve"> owing to </w:t>
      </w:r>
      <w:r w:rsidR="00EA1806" w:rsidRPr="007F6F77">
        <w:rPr>
          <w:rFonts w:ascii="Times New Roman" w:eastAsia="標楷體" w:hint="eastAsia"/>
          <w:spacing w:val="0"/>
          <w:sz w:val="24"/>
          <w:szCs w:val="24"/>
        </w:rPr>
        <w:t xml:space="preserve">an </w:t>
      </w:r>
      <w:r w:rsidR="00D77FFA" w:rsidRPr="007F6F77">
        <w:rPr>
          <w:rFonts w:ascii="Times New Roman" w:eastAsia="標楷體" w:hint="eastAsia"/>
          <w:spacing w:val="0"/>
          <w:sz w:val="24"/>
          <w:szCs w:val="24"/>
        </w:rPr>
        <w:t xml:space="preserve">increasing </w:t>
      </w:r>
      <w:r w:rsidR="00EA1806" w:rsidRPr="007F6F77">
        <w:rPr>
          <w:rFonts w:ascii="Times New Roman" w:eastAsia="標楷體" w:hint="eastAsia"/>
          <w:spacing w:val="0"/>
          <w:sz w:val="24"/>
          <w:szCs w:val="24"/>
        </w:rPr>
        <w:t xml:space="preserve">amount of </w:t>
      </w:r>
      <w:r w:rsidR="00185512" w:rsidRPr="007F6F77">
        <w:rPr>
          <w:rFonts w:ascii="Times New Roman" w:eastAsia="標楷體" w:hint="eastAsia"/>
          <w:spacing w:val="0"/>
          <w:sz w:val="24"/>
          <w:szCs w:val="24"/>
        </w:rPr>
        <w:t xml:space="preserve">the national treasury </w:t>
      </w:r>
      <w:r w:rsidR="00D77FFA" w:rsidRPr="007F6F77">
        <w:rPr>
          <w:rFonts w:ascii="Times New Roman" w:eastAsia="標楷體" w:hint="eastAsia"/>
          <w:spacing w:val="0"/>
          <w:sz w:val="24"/>
          <w:szCs w:val="24"/>
        </w:rPr>
        <w:t xml:space="preserve">deposits and outflows of foreign capital, along with a more recent effect from higher </w:t>
      </w:r>
      <w:r w:rsidR="00887E81" w:rsidRPr="007F6F77">
        <w:rPr>
          <w:rFonts w:ascii="Times New Roman" w:eastAsia="標楷體" w:hint="eastAsia"/>
          <w:spacing w:val="0"/>
          <w:sz w:val="24"/>
          <w:szCs w:val="24"/>
        </w:rPr>
        <w:t xml:space="preserve">year-end </w:t>
      </w:r>
      <w:r w:rsidR="00D77FFA" w:rsidRPr="007F6F77">
        <w:rPr>
          <w:rFonts w:ascii="Times New Roman" w:eastAsia="標楷體" w:hint="eastAsia"/>
          <w:spacing w:val="0"/>
          <w:sz w:val="24"/>
          <w:szCs w:val="24"/>
        </w:rPr>
        <w:t xml:space="preserve">demand for funds. </w:t>
      </w:r>
      <w:r w:rsidR="006052F1" w:rsidRPr="007F6F77">
        <w:rPr>
          <w:rFonts w:ascii="Times New Roman" w:eastAsia="標楷體" w:hint="eastAsia"/>
          <w:spacing w:val="0"/>
          <w:sz w:val="24"/>
          <w:szCs w:val="24"/>
        </w:rPr>
        <w:t>Compared to several key economies, Taiwan</w:t>
      </w:r>
      <w:r w:rsidR="006052F1" w:rsidRPr="007F6F77">
        <w:rPr>
          <w:rFonts w:ascii="Times New Roman" w:eastAsia="標楷體"/>
          <w:spacing w:val="0"/>
          <w:sz w:val="24"/>
          <w:szCs w:val="24"/>
        </w:rPr>
        <w:t>’</w:t>
      </w:r>
      <w:r w:rsidR="006052F1" w:rsidRPr="007F6F77">
        <w:rPr>
          <w:rFonts w:ascii="Times New Roman" w:eastAsia="標楷體" w:hint="eastAsia"/>
          <w:spacing w:val="0"/>
          <w:sz w:val="24"/>
          <w:szCs w:val="24"/>
        </w:rPr>
        <w:t xml:space="preserve">s real interest rate (adjusted for inflation) </w:t>
      </w:r>
      <w:r w:rsidR="00336E96" w:rsidRPr="007F6F77">
        <w:rPr>
          <w:rFonts w:ascii="Times New Roman" w:eastAsia="標楷體" w:hint="eastAsia"/>
          <w:spacing w:val="0"/>
          <w:sz w:val="24"/>
          <w:szCs w:val="24"/>
        </w:rPr>
        <w:t xml:space="preserve">stands around the middle </w:t>
      </w:r>
      <w:r w:rsidR="00F30742" w:rsidRPr="007F6F77">
        <w:rPr>
          <w:rFonts w:ascii="Times New Roman" w:eastAsia="標楷體" w:hint="eastAsia"/>
          <w:spacing w:val="0"/>
          <w:sz w:val="24"/>
          <w:szCs w:val="24"/>
        </w:rPr>
        <w:t xml:space="preserve">of the </w:t>
      </w:r>
      <w:r w:rsidR="00336E96" w:rsidRPr="007F6F77">
        <w:rPr>
          <w:rFonts w:ascii="Times New Roman" w:eastAsia="標楷體" w:hint="eastAsia"/>
          <w:spacing w:val="0"/>
          <w:sz w:val="24"/>
          <w:szCs w:val="24"/>
        </w:rPr>
        <w:t xml:space="preserve">range. </w:t>
      </w:r>
    </w:p>
    <w:p w:rsidR="00336E96" w:rsidRPr="007F6F77" w:rsidRDefault="00336E96" w:rsidP="00FA173A">
      <w:pPr>
        <w:pStyle w:val="6"/>
        <w:overflowPunct w:val="0"/>
        <w:snapToGrid w:val="0"/>
        <w:spacing w:after="0" w:line="440" w:lineRule="exact"/>
        <w:ind w:left="0" w:firstLineChars="200" w:firstLine="480"/>
        <w:rPr>
          <w:rFonts w:ascii="Times New Roman" w:eastAsia="標楷體"/>
          <w:spacing w:val="0"/>
          <w:sz w:val="24"/>
          <w:szCs w:val="24"/>
        </w:rPr>
      </w:pPr>
      <w:r w:rsidRPr="007F6F77">
        <w:rPr>
          <w:rFonts w:ascii="Times New Roman" w:eastAsia="標楷體" w:hint="eastAsia"/>
          <w:spacing w:val="0"/>
          <w:sz w:val="24"/>
          <w:szCs w:val="24"/>
        </w:rPr>
        <w:t xml:space="preserve">M2 growth averaged at 3.56% for the first eleven </w:t>
      </w:r>
      <w:r w:rsidR="00F5322F" w:rsidRPr="007F6F77">
        <w:rPr>
          <w:rFonts w:ascii="Times New Roman" w:eastAsia="標楷體" w:hint="eastAsia"/>
          <w:spacing w:val="0"/>
          <w:sz w:val="24"/>
          <w:szCs w:val="24"/>
        </w:rPr>
        <w:t xml:space="preserve">months of year, within the target range. Despite the slightly slower M2 growth, bank lending to the private sector remained on the rise thanks to moderate </w:t>
      </w:r>
      <w:r w:rsidR="00F5322F" w:rsidRPr="007F6F77">
        <w:rPr>
          <w:rFonts w:ascii="Times New Roman" w:eastAsia="標楷體"/>
          <w:spacing w:val="0"/>
          <w:sz w:val="24"/>
          <w:szCs w:val="24"/>
        </w:rPr>
        <w:t>economic</w:t>
      </w:r>
      <w:r w:rsidR="00F5322F" w:rsidRPr="007F6F77">
        <w:rPr>
          <w:rFonts w:ascii="Times New Roman" w:eastAsia="標楷體" w:hint="eastAsia"/>
          <w:spacing w:val="0"/>
          <w:sz w:val="24"/>
          <w:szCs w:val="24"/>
        </w:rPr>
        <w:t xml:space="preserve"> expansion, with the growth rate of bank loans and investments </w:t>
      </w:r>
      <w:r w:rsidR="00F5322F" w:rsidRPr="007F6F77">
        <w:rPr>
          <w:rFonts w:ascii="Times New Roman" w:eastAsia="標楷體" w:hint="eastAsia"/>
          <w:spacing w:val="0"/>
          <w:sz w:val="24"/>
          <w:szCs w:val="24"/>
        </w:rPr>
        <w:lastRenderedPageBreak/>
        <w:t xml:space="preserve">averaging 5.24% year on year for the Jan.-Nov. period. It suggested ample liquidity in the credit market to support real </w:t>
      </w:r>
      <w:r w:rsidR="00F5322F" w:rsidRPr="007F6F77">
        <w:rPr>
          <w:rFonts w:ascii="Times New Roman" w:eastAsia="標楷體"/>
          <w:spacing w:val="0"/>
          <w:sz w:val="24"/>
          <w:szCs w:val="24"/>
        </w:rPr>
        <w:t>economic</w:t>
      </w:r>
      <w:r w:rsidR="00F5322F" w:rsidRPr="007F6F77">
        <w:rPr>
          <w:rFonts w:ascii="Times New Roman" w:eastAsia="標楷體" w:hint="eastAsia"/>
          <w:spacing w:val="0"/>
          <w:sz w:val="24"/>
          <w:szCs w:val="24"/>
        </w:rPr>
        <w:t xml:space="preserve"> activity and inflation</w:t>
      </w:r>
      <w:r w:rsidR="00831827" w:rsidRPr="007F6F77">
        <w:rPr>
          <w:rFonts w:ascii="Times New Roman" w:eastAsia="標楷體" w:hint="eastAsia"/>
          <w:spacing w:val="0"/>
          <w:sz w:val="24"/>
          <w:szCs w:val="24"/>
        </w:rPr>
        <w:t>ary</w:t>
      </w:r>
      <w:r w:rsidR="00F5322F" w:rsidRPr="007F6F77">
        <w:rPr>
          <w:rFonts w:ascii="Times New Roman" w:eastAsia="標楷體" w:hint="eastAsia"/>
          <w:spacing w:val="0"/>
          <w:sz w:val="24"/>
          <w:szCs w:val="24"/>
        </w:rPr>
        <w:t xml:space="preserve"> pressures were muted. </w:t>
      </w:r>
    </w:p>
    <w:p w:rsidR="005F7D93" w:rsidRPr="007F6F77" w:rsidRDefault="00514FFB" w:rsidP="00590F25">
      <w:pPr>
        <w:pStyle w:val="6"/>
        <w:overflowPunct w:val="0"/>
        <w:snapToGrid w:val="0"/>
        <w:spacing w:after="0" w:line="440" w:lineRule="exact"/>
        <w:ind w:left="0" w:firstLineChars="200" w:firstLine="480"/>
        <w:rPr>
          <w:rFonts w:ascii="Times New Roman" w:eastAsia="標楷體"/>
          <w:spacing w:val="0"/>
          <w:sz w:val="24"/>
          <w:szCs w:val="24"/>
        </w:rPr>
      </w:pPr>
      <w:r w:rsidRPr="007F6F77">
        <w:rPr>
          <w:rFonts w:ascii="Times New Roman" w:eastAsia="標楷體" w:hint="eastAsia"/>
          <w:spacing w:val="0"/>
          <w:sz w:val="24"/>
          <w:szCs w:val="24"/>
        </w:rPr>
        <w:t xml:space="preserve">Despite steady market interest rates, overall </w:t>
      </w:r>
      <w:r w:rsidRPr="007F6F77">
        <w:rPr>
          <w:rFonts w:ascii="Times New Roman" w:eastAsia="標楷體"/>
          <w:spacing w:val="0"/>
          <w:sz w:val="24"/>
          <w:szCs w:val="24"/>
        </w:rPr>
        <w:t>financial</w:t>
      </w:r>
      <w:r w:rsidRPr="007F6F77">
        <w:rPr>
          <w:rFonts w:ascii="Times New Roman" w:eastAsia="標楷體" w:hint="eastAsia"/>
          <w:spacing w:val="0"/>
          <w:sz w:val="24"/>
          <w:szCs w:val="24"/>
        </w:rPr>
        <w:t xml:space="preserve"> conditions have tightened since October</w:t>
      </w:r>
      <w:r w:rsidR="00166FF7" w:rsidRPr="007F6F77">
        <w:rPr>
          <w:rFonts w:ascii="Times New Roman" w:eastAsia="標楷體" w:hint="eastAsia"/>
          <w:spacing w:val="0"/>
          <w:sz w:val="24"/>
          <w:szCs w:val="24"/>
        </w:rPr>
        <w:t xml:space="preserve">. In the interim, </w:t>
      </w:r>
      <w:r w:rsidRPr="007F6F77">
        <w:rPr>
          <w:rFonts w:ascii="Times New Roman" w:eastAsia="標楷體" w:hint="eastAsia"/>
          <w:spacing w:val="0"/>
          <w:sz w:val="24"/>
          <w:szCs w:val="24"/>
        </w:rPr>
        <w:t xml:space="preserve">the domestic stock market swung lower </w:t>
      </w:r>
      <w:r w:rsidR="00166FF7" w:rsidRPr="007F6F77">
        <w:rPr>
          <w:rFonts w:ascii="Times New Roman" w:eastAsia="標楷體" w:hint="eastAsia"/>
          <w:spacing w:val="0"/>
          <w:sz w:val="24"/>
          <w:szCs w:val="24"/>
        </w:rPr>
        <w:t>on a steep US high-tech stock sell-off and net foreign selling of local shares, and t</w:t>
      </w:r>
      <w:r w:rsidR="004275D1" w:rsidRPr="007F6F77">
        <w:rPr>
          <w:rFonts w:ascii="Times New Roman" w:eastAsia="標楷體"/>
          <w:spacing w:val="0"/>
          <w:sz w:val="24"/>
          <w:szCs w:val="24"/>
        </w:rPr>
        <w:t xml:space="preserve">he NT dollar </w:t>
      </w:r>
      <w:r w:rsidR="00590F25" w:rsidRPr="007F6F77">
        <w:rPr>
          <w:rFonts w:ascii="Times New Roman" w:eastAsia="標楷體" w:hint="eastAsia"/>
          <w:spacing w:val="0"/>
          <w:sz w:val="24"/>
          <w:szCs w:val="24"/>
        </w:rPr>
        <w:t xml:space="preserve">real effective exchange rate showed a modest appreciation over the previous year. </w:t>
      </w:r>
    </w:p>
    <w:p w:rsidR="002175A7" w:rsidRPr="007F6F77" w:rsidRDefault="004751D2" w:rsidP="00FA173A">
      <w:pPr>
        <w:pStyle w:val="6"/>
        <w:overflowPunct w:val="0"/>
        <w:snapToGrid w:val="0"/>
        <w:spacing w:after="0" w:line="440" w:lineRule="exact"/>
        <w:ind w:left="0" w:firstLineChars="200" w:firstLine="480"/>
        <w:rPr>
          <w:rFonts w:ascii="Times New Roman" w:eastAsia="標楷體"/>
          <w:spacing w:val="0"/>
          <w:sz w:val="24"/>
          <w:szCs w:val="24"/>
        </w:rPr>
      </w:pPr>
      <w:r w:rsidRPr="007F6F77">
        <w:rPr>
          <w:rFonts w:ascii="Times New Roman" w:eastAsia="標楷體" w:hint="eastAsia"/>
          <w:spacing w:val="0"/>
          <w:sz w:val="24"/>
          <w:szCs w:val="24"/>
        </w:rPr>
        <w:t xml:space="preserve">Looking ahead, it is anticipated that the global economy and international financial markets could suffer from </w:t>
      </w:r>
      <w:r w:rsidR="00247A9F" w:rsidRPr="007F6F77">
        <w:rPr>
          <w:rFonts w:ascii="Times New Roman" w:eastAsia="標楷體" w:hint="eastAsia"/>
          <w:spacing w:val="0"/>
          <w:sz w:val="24"/>
          <w:szCs w:val="24"/>
        </w:rPr>
        <w:t xml:space="preserve">uncertainties over the US-China trade conflicts and </w:t>
      </w:r>
      <w:r w:rsidR="00557EA0" w:rsidRPr="007F6F77">
        <w:rPr>
          <w:rFonts w:ascii="Times New Roman" w:eastAsia="標楷體" w:hint="eastAsia"/>
          <w:spacing w:val="0"/>
          <w:sz w:val="24"/>
          <w:szCs w:val="24"/>
        </w:rPr>
        <w:t xml:space="preserve">divergence in the pace and stance for </w:t>
      </w:r>
      <w:r w:rsidR="00247A9F" w:rsidRPr="007F6F77">
        <w:rPr>
          <w:rFonts w:ascii="Times New Roman" w:eastAsia="標楷體" w:hint="eastAsia"/>
          <w:spacing w:val="0"/>
          <w:sz w:val="24"/>
          <w:szCs w:val="24"/>
        </w:rPr>
        <w:t xml:space="preserve">monetary policy normalization </w:t>
      </w:r>
      <w:r w:rsidR="00557EA0" w:rsidRPr="007F6F77">
        <w:rPr>
          <w:rFonts w:ascii="Times New Roman" w:eastAsia="標楷體" w:hint="eastAsia"/>
          <w:spacing w:val="0"/>
          <w:sz w:val="24"/>
          <w:szCs w:val="24"/>
        </w:rPr>
        <w:t>among</w:t>
      </w:r>
      <w:r w:rsidR="00247A9F" w:rsidRPr="007F6F77">
        <w:rPr>
          <w:rFonts w:ascii="Times New Roman" w:eastAsia="標楷體" w:hint="eastAsia"/>
          <w:spacing w:val="0"/>
          <w:sz w:val="24"/>
          <w:szCs w:val="24"/>
        </w:rPr>
        <w:t xml:space="preserve"> advanced economies. In addition to these external factors, the </w:t>
      </w:r>
      <w:r w:rsidR="00247A9F" w:rsidRPr="007F6F77">
        <w:rPr>
          <w:rFonts w:ascii="Times New Roman" w:eastAsia="標楷體"/>
          <w:spacing w:val="0"/>
          <w:sz w:val="24"/>
          <w:szCs w:val="24"/>
        </w:rPr>
        <w:t>government’</w:t>
      </w:r>
      <w:r w:rsidR="00247A9F" w:rsidRPr="007F6F77">
        <w:rPr>
          <w:rFonts w:ascii="Times New Roman" w:eastAsia="標楷體" w:hint="eastAsia"/>
          <w:spacing w:val="0"/>
          <w:sz w:val="24"/>
          <w:szCs w:val="24"/>
        </w:rPr>
        <w:t>s policy to encourage capital expatriation by Taiwan</w:t>
      </w:r>
      <w:r w:rsidR="00247A9F" w:rsidRPr="007F6F77">
        <w:rPr>
          <w:rFonts w:ascii="Times New Roman" w:eastAsia="標楷體"/>
          <w:spacing w:val="0"/>
          <w:sz w:val="24"/>
          <w:szCs w:val="24"/>
        </w:rPr>
        <w:t>ese firms</w:t>
      </w:r>
      <w:r w:rsidR="00247A9F" w:rsidRPr="007F6F77">
        <w:rPr>
          <w:rFonts w:ascii="Times New Roman" w:eastAsia="標楷體" w:hint="eastAsia"/>
          <w:spacing w:val="0"/>
          <w:sz w:val="24"/>
          <w:szCs w:val="24"/>
        </w:rPr>
        <w:t xml:space="preserve"> would also </w:t>
      </w:r>
      <w:r w:rsidR="002175A7" w:rsidRPr="007F6F77">
        <w:rPr>
          <w:rFonts w:ascii="Times New Roman" w:eastAsia="標楷體" w:hint="eastAsia"/>
          <w:spacing w:val="0"/>
          <w:sz w:val="24"/>
          <w:szCs w:val="24"/>
        </w:rPr>
        <w:t xml:space="preserve">affect capital flows and, in turn, </w:t>
      </w:r>
      <w:r w:rsidR="00247A9F" w:rsidRPr="007F6F77">
        <w:rPr>
          <w:rFonts w:ascii="Times New Roman" w:eastAsia="標楷體" w:hint="eastAsia"/>
          <w:spacing w:val="0"/>
          <w:sz w:val="24"/>
          <w:szCs w:val="24"/>
        </w:rPr>
        <w:t>domestic money growth</w:t>
      </w:r>
      <w:r w:rsidR="002175A7" w:rsidRPr="007F6F77">
        <w:rPr>
          <w:rFonts w:ascii="Times New Roman" w:eastAsia="標楷體" w:hint="eastAsia"/>
          <w:spacing w:val="0"/>
          <w:sz w:val="24"/>
          <w:szCs w:val="24"/>
        </w:rPr>
        <w:t xml:space="preserve">. Bank loans and investments might register limited growth next year, given domestic economic moderation and a multitude of uncertainties over the </w:t>
      </w:r>
      <w:r w:rsidR="002175A7" w:rsidRPr="007F6F77">
        <w:rPr>
          <w:rFonts w:ascii="Times New Roman" w:eastAsia="標楷體"/>
          <w:spacing w:val="0"/>
          <w:sz w:val="24"/>
          <w:szCs w:val="24"/>
        </w:rPr>
        <w:t>economy</w:t>
      </w:r>
      <w:r w:rsidR="002175A7" w:rsidRPr="007F6F77">
        <w:rPr>
          <w:rFonts w:ascii="Times New Roman" w:eastAsia="標楷體" w:hint="eastAsia"/>
          <w:spacing w:val="0"/>
          <w:sz w:val="24"/>
          <w:szCs w:val="24"/>
        </w:rPr>
        <w:t xml:space="preserve">. </w:t>
      </w:r>
    </w:p>
    <w:p w:rsidR="00750B45" w:rsidRPr="007F6F77" w:rsidRDefault="00557EA0" w:rsidP="00FA173A">
      <w:pPr>
        <w:adjustRightInd/>
        <w:spacing w:before="120" w:line="440" w:lineRule="exact"/>
        <w:textAlignment w:val="auto"/>
        <w:rPr>
          <w:rFonts w:eastAsia="標楷體"/>
          <w:spacing w:val="-2"/>
          <w:sz w:val="24"/>
          <w:szCs w:val="28"/>
        </w:rPr>
      </w:pPr>
      <w:r w:rsidRPr="007F6F77">
        <w:rPr>
          <w:rFonts w:eastAsia="標楷體" w:hint="eastAsia"/>
          <w:spacing w:val="-2"/>
          <w:sz w:val="24"/>
          <w:szCs w:val="28"/>
        </w:rPr>
        <w:t xml:space="preserve"> </w:t>
      </w:r>
      <w:r w:rsidR="001320BE" w:rsidRPr="007F6F77">
        <w:rPr>
          <w:rFonts w:eastAsia="標楷體" w:hint="eastAsia"/>
          <w:spacing w:val="-2"/>
          <w:sz w:val="24"/>
          <w:szCs w:val="28"/>
        </w:rPr>
        <w:t>(3) Price t</w:t>
      </w:r>
      <w:r w:rsidR="00D46F1E" w:rsidRPr="007F6F77">
        <w:rPr>
          <w:rFonts w:eastAsia="標楷體" w:hint="eastAsia"/>
          <w:spacing w:val="-2"/>
          <w:sz w:val="24"/>
          <w:szCs w:val="28"/>
        </w:rPr>
        <w:t xml:space="preserve">rends </w:t>
      </w:r>
    </w:p>
    <w:p w:rsidR="00F50D73" w:rsidRPr="007F6F77" w:rsidRDefault="00557EA0" w:rsidP="00C9438C">
      <w:pPr>
        <w:pStyle w:val="6"/>
        <w:overflowPunct w:val="0"/>
        <w:snapToGrid w:val="0"/>
        <w:spacing w:after="0" w:line="440" w:lineRule="exact"/>
        <w:ind w:left="0" w:firstLineChars="200" w:firstLine="480"/>
        <w:rPr>
          <w:rFonts w:ascii="Times New Roman" w:eastAsia="標楷體"/>
          <w:spacing w:val="0"/>
          <w:sz w:val="24"/>
          <w:szCs w:val="24"/>
        </w:rPr>
      </w:pPr>
      <w:r w:rsidRPr="007F6F77">
        <w:rPr>
          <w:rFonts w:ascii="Times New Roman" w:eastAsia="標楷體" w:hint="eastAsia"/>
          <w:spacing w:val="0"/>
          <w:sz w:val="24"/>
          <w:szCs w:val="24"/>
        </w:rPr>
        <w:t xml:space="preserve">International oil prices have plunged since October owing to increased production by the US, Russia, and members of </w:t>
      </w:r>
      <w:r w:rsidR="00A82B61">
        <w:rPr>
          <w:rFonts w:ascii="Times New Roman" w:eastAsia="標楷體" w:hint="eastAsia"/>
          <w:spacing w:val="0"/>
          <w:sz w:val="24"/>
          <w:szCs w:val="24"/>
        </w:rPr>
        <w:t xml:space="preserve">the </w:t>
      </w:r>
      <w:r w:rsidRPr="007F6F77">
        <w:rPr>
          <w:rFonts w:ascii="Times New Roman" w:eastAsia="標楷體"/>
          <w:spacing w:val="0"/>
          <w:sz w:val="24"/>
          <w:szCs w:val="24"/>
        </w:rPr>
        <w:t>Organization of the Petroleum Exporting Countries</w:t>
      </w:r>
      <w:r w:rsidR="00A0790A" w:rsidRPr="007F6F77">
        <w:rPr>
          <w:rFonts w:ascii="Times New Roman" w:eastAsia="標楷體" w:hint="eastAsia"/>
          <w:spacing w:val="0"/>
          <w:sz w:val="24"/>
          <w:szCs w:val="24"/>
        </w:rPr>
        <w:t xml:space="preserve"> (OPEC)</w:t>
      </w:r>
      <w:r w:rsidRPr="007F6F77">
        <w:rPr>
          <w:rFonts w:ascii="Times New Roman" w:eastAsia="標楷體" w:hint="eastAsia"/>
          <w:spacing w:val="0"/>
          <w:sz w:val="24"/>
          <w:szCs w:val="24"/>
        </w:rPr>
        <w:t xml:space="preserve">, as well as the trade spat between the US and China. Though </w:t>
      </w:r>
      <w:r w:rsidRPr="007F6F77">
        <w:rPr>
          <w:rFonts w:ascii="Times New Roman" w:eastAsia="標楷體"/>
          <w:spacing w:val="0"/>
          <w:sz w:val="24"/>
          <w:szCs w:val="24"/>
        </w:rPr>
        <w:t>stabiliz</w:t>
      </w:r>
      <w:r w:rsidRPr="007F6F77">
        <w:rPr>
          <w:rFonts w:ascii="Times New Roman" w:eastAsia="標楷體" w:hint="eastAsia"/>
          <w:spacing w:val="0"/>
          <w:sz w:val="24"/>
          <w:szCs w:val="24"/>
        </w:rPr>
        <w:t xml:space="preserve">ing around early December, oil prices could still trend lower </w:t>
      </w:r>
      <w:r w:rsidR="00831827" w:rsidRPr="007F6F77">
        <w:rPr>
          <w:rFonts w:ascii="Times New Roman" w:eastAsia="標楷體" w:hint="eastAsia"/>
          <w:spacing w:val="0"/>
          <w:sz w:val="24"/>
          <w:szCs w:val="24"/>
        </w:rPr>
        <w:t xml:space="preserve">next year </w:t>
      </w:r>
      <w:r w:rsidRPr="007F6F77">
        <w:rPr>
          <w:rFonts w:ascii="Times New Roman" w:eastAsia="標楷體" w:hint="eastAsia"/>
          <w:spacing w:val="0"/>
          <w:sz w:val="24"/>
          <w:szCs w:val="24"/>
        </w:rPr>
        <w:t xml:space="preserve">than this year. </w:t>
      </w:r>
      <w:r w:rsidR="00C9438C" w:rsidRPr="007F6F77">
        <w:rPr>
          <w:rFonts w:ascii="Times New Roman" w:eastAsia="標楷體" w:hint="eastAsia"/>
          <w:spacing w:val="0"/>
          <w:sz w:val="24"/>
          <w:szCs w:val="24"/>
        </w:rPr>
        <w:t>Meanwhile, g</w:t>
      </w:r>
      <w:r w:rsidR="00771CD0" w:rsidRPr="007F6F77">
        <w:rPr>
          <w:rFonts w:ascii="Times New Roman" w:eastAsia="標楷體"/>
          <w:spacing w:val="0"/>
          <w:sz w:val="24"/>
          <w:szCs w:val="24"/>
        </w:rPr>
        <w:t xml:space="preserve">lobal grain prices </w:t>
      </w:r>
      <w:r w:rsidR="00C9438C" w:rsidRPr="007F6F77">
        <w:rPr>
          <w:rFonts w:ascii="Times New Roman" w:eastAsia="標楷體" w:hint="eastAsia"/>
          <w:spacing w:val="0"/>
          <w:sz w:val="24"/>
          <w:szCs w:val="24"/>
        </w:rPr>
        <w:t xml:space="preserve">fluctuated upwards. </w:t>
      </w:r>
    </w:p>
    <w:p w:rsidR="00831827" w:rsidRPr="007F6F77" w:rsidRDefault="00CD7B0E" w:rsidP="00485E82">
      <w:pPr>
        <w:pStyle w:val="6"/>
        <w:overflowPunct w:val="0"/>
        <w:snapToGrid w:val="0"/>
        <w:spacing w:after="0" w:line="440" w:lineRule="exact"/>
        <w:ind w:left="0" w:firstLineChars="200" w:firstLine="480"/>
        <w:rPr>
          <w:rFonts w:ascii="Times New Roman" w:eastAsia="標楷體"/>
          <w:spacing w:val="0"/>
          <w:sz w:val="24"/>
          <w:szCs w:val="24"/>
        </w:rPr>
      </w:pPr>
      <w:r w:rsidRPr="007F6F77">
        <w:rPr>
          <w:rFonts w:ascii="Times New Roman" w:eastAsia="標楷體" w:hint="eastAsia"/>
          <w:spacing w:val="0"/>
          <w:sz w:val="24"/>
          <w:szCs w:val="24"/>
        </w:rPr>
        <w:t xml:space="preserve">In terms of </w:t>
      </w:r>
      <w:r w:rsidR="00F30742" w:rsidRPr="007F6F77">
        <w:rPr>
          <w:rFonts w:ascii="Times New Roman" w:eastAsia="標楷體" w:hint="eastAsia"/>
          <w:spacing w:val="0"/>
          <w:sz w:val="24"/>
          <w:szCs w:val="24"/>
        </w:rPr>
        <w:t xml:space="preserve">the </w:t>
      </w:r>
      <w:r w:rsidRPr="007F6F77">
        <w:rPr>
          <w:rFonts w:ascii="Times New Roman" w:eastAsia="標楷體" w:hint="eastAsia"/>
          <w:spacing w:val="0"/>
          <w:sz w:val="24"/>
          <w:szCs w:val="24"/>
        </w:rPr>
        <w:t xml:space="preserve">factors behind </w:t>
      </w:r>
      <w:r w:rsidR="00F30742" w:rsidRPr="007F6F77">
        <w:rPr>
          <w:rFonts w:ascii="Times New Roman" w:eastAsia="標楷體" w:hint="eastAsia"/>
          <w:spacing w:val="0"/>
          <w:sz w:val="24"/>
          <w:szCs w:val="24"/>
        </w:rPr>
        <w:t xml:space="preserve">the </w:t>
      </w:r>
      <w:r w:rsidRPr="007F6F77">
        <w:rPr>
          <w:rFonts w:ascii="Times New Roman" w:eastAsia="標楷體" w:hint="eastAsia"/>
          <w:spacing w:val="0"/>
          <w:sz w:val="24"/>
          <w:szCs w:val="24"/>
        </w:rPr>
        <w:t>recent domestic price trends, in addition to t</w:t>
      </w:r>
      <w:r w:rsidR="00831827" w:rsidRPr="007F6F77">
        <w:rPr>
          <w:rFonts w:ascii="Times New Roman" w:eastAsia="標楷體" w:hint="eastAsia"/>
          <w:spacing w:val="0"/>
          <w:sz w:val="24"/>
          <w:szCs w:val="24"/>
        </w:rPr>
        <w:t xml:space="preserve">he international oil price slump </w:t>
      </w:r>
      <w:r w:rsidRPr="007F6F77">
        <w:rPr>
          <w:rFonts w:ascii="Times New Roman" w:eastAsia="標楷體" w:hint="eastAsia"/>
          <w:spacing w:val="0"/>
          <w:sz w:val="24"/>
          <w:szCs w:val="24"/>
        </w:rPr>
        <w:t xml:space="preserve">since October, </w:t>
      </w:r>
      <w:r w:rsidR="00831827" w:rsidRPr="007F6F77">
        <w:rPr>
          <w:rFonts w:ascii="Times New Roman" w:eastAsia="標楷體" w:hint="eastAsia"/>
          <w:spacing w:val="0"/>
          <w:sz w:val="24"/>
          <w:szCs w:val="24"/>
        </w:rPr>
        <w:t>vegetable price</w:t>
      </w:r>
      <w:r w:rsidRPr="007F6F77">
        <w:rPr>
          <w:rFonts w:ascii="Times New Roman" w:eastAsia="標楷體" w:hint="eastAsia"/>
          <w:spacing w:val="0"/>
          <w:sz w:val="24"/>
          <w:szCs w:val="24"/>
        </w:rPr>
        <w:t>s have dropped further in the meantime</w:t>
      </w:r>
      <w:r w:rsidR="00831827" w:rsidRPr="007F6F77">
        <w:rPr>
          <w:rFonts w:ascii="Times New Roman" w:eastAsia="標楷體" w:hint="eastAsia"/>
          <w:spacing w:val="0"/>
          <w:sz w:val="24"/>
          <w:szCs w:val="24"/>
        </w:rPr>
        <w:t xml:space="preserve"> amid favorable weather conditions, and the effect of a previous tobacco tax hike has also receded. A</w:t>
      </w:r>
      <w:r w:rsidR="00831827" w:rsidRPr="007F6F77">
        <w:rPr>
          <w:rFonts w:ascii="Times New Roman" w:eastAsia="標楷體"/>
          <w:spacing w:val="0"/>
          <w:sz w:val="24"/>
          <w:szCs w:val="24"/>
        </w:rPr>
        <w:t>g</w:t>
      </w:r>
      <w:r w:rsidR="00831827" w:rsidRPr="007F6F77">
        <w:rPr>
          <w:rFonts w:ascii="Times New Roman" w:eastAsia="標楷體" w:hint="eastAsia"/>
          <w:spacing w:val="0"/>
          <w:sz w:val="24"/>
          <w:szCs w:val="24"/>
        </w:rPr>
        <w:t xml:space="preserve">ainst this backdrop, the CPI annual growth rate has declined since October; the rate averaged 1.48% for the first eleven months of the year, mainly </w:t>
      </w:r>
      <w:r w:rsidR="00BF23A4" w:rsidRPr="007F6F77">
        <w:rPr>
          <w:rFonts w:ascii="Times New Roman" w:eastAsia="標楷體" w:hint="eastAsia"/>
          <w:spacing w:val="0"/>
          <w:sz w:val="24"/>
          <w:szCs w:val="24"/>
        </w:rPr>
        <w:t>reflecting</w:t>
      </w:r>
      <w:r w:rsidR="00831827" w:rsidRPr="007F6F77">
        <w:rPr>
          <w:rFonts w:ascii="Times New Roman" w:eastAsia="標楷體" w:hint="eastAsia"/>
          <w:spacing w:val="0"/>
          <w:sz w:val="24"/>
          <w:szCs w:val="24"/>
        </w:rPr>
        <w:t xml:space="preserve"> </w:t>
      </w:r>
      <w:r w:rsidR="00BF23A4" w:rsidRPr="007F6F77">
        <w:rPr>
          <w:rFonts w:ascii="Times New Roman" w:eastAsia="標楷體" w:hint="eastAsia"/>
          <w:spacing w:val="0"/>
          <w:sz w:val="24"/>
          <w:szCs w:val="24"/>
        </w:rPr>
        <w:t xml:space="preserve">price rises in fuel, tobacco, and </w:t>
      </w:r>
      <w:r w:rsidR="00D60AEE" w:rsidRPr="007F6F77">
        <w:rPr>
          <w:rFonts w:ascii="Times New Roman" w:eastAsia="標楷體" w:hint="eastAsia"/>
          <w:spacing w:val="0"/>
          <w:sz w:val="24"/>
          <w:szCs w:val="24"/>
        </w:rPr>
        <w:t>foods away-from-home</w:t>
      </w:r>
      <w:r w:rsidR="00BF23A4" w:rsidRPr="007F6F77">
        <w:rPr>
          <w:rFonts w:ascii="Times New Roman" w:eastAsia="標楷體" w:hint="eastAsia"/>
          <w:spacing w:val="0"/>
          <w:sz w:val="24"/>
          <w:szCs w:val="24"/>
        </w:rPr>
        <w:t>.</w:t>
      </w:r>
      <w:r w:rsidR="00F30742" w:rsidRPr="007F6F77">
        <w:rPr>
          <w:rFonts w:ascii="Times New Roman" w:eastAsia="標楷體" w:hint="eastAsia"/>
          <w:spacing w:val="0"/>
          <w:sz w:val="24"/>
          <w:szCs w:val="24"/>
        </w:rPr>
        <w:t xml:space="preserve"> Thereafter</w:t>
      </w:r>
      <w:r w:rsidR="00BF23A4" w:rsidRPr="007F6F77">
        <w:rPr>
          <w:rFonts w:ascii="Times New Roman" w:eastAsia="標楷體" w:hint="eastAsia"/>
          <w:spacing w:val="0"/>
          <w:sz w:val="24"/>
          <w:szCs w:val="24"/>
        </w:rPr>
        <w:t>, as pressures of imported inflation abated on falling international oil prices, the annual growth rate of import prices</w:t>
      </w:r>
      <w:r w:rsidR="00746798" w:rsidRPr="007F6F77">
        <w:rPr>
          <w:rFonts w:ascii="Times New Roman" w:eastAsia="標楷體" w:hint="eastAsia"/>
          <w:spacing w:val="0"/>
          <w:sz w:val="24"/>
          <w:szCs w:val="24"/>
        </w:rPr>
        <w:t xml:space="preserve"> dropped significantly</w:t>
      </w:r>
      <w:r w:rsidR="00181EC8" w:rsidRPr="007F6F77">
        <w:rPr>
          <w:rFonts w:ascii="Times New Roman" w:eastAsia="標楷體" w:hint="eastAsia"/>
          <w:spacing w:val="0"/>
          <w:sz w:val="24"/>
          <w:szCs w:val="24"/>
        </w:rPr>
        <w:t xml:space="preserve"> and</w:t>
      </w:r>
      <w:r w:rsidR="000B67BB" w:rsidRPr="007F6F77">
        <w:rPr>
          <w:rFonts w:ascii="Times New Roman" w:eastAsia="標楷體" w:hint="eastAsia"/>
          <w:spacing w:val="0"/>
          <w:sz w:val="24"/>
          <w:szCs w:val="24"/>
        </w:rPr>
        <w:t xml:space="preserve"> consequently the WPI annual growth rate slid to 3.25%, </w:t>
      </w:r>
      <w:r w:rsidR="00485E82" w:rsidRPr="007F6F77">
        <w:rPr>
          <w:rFonts w:ascii="Times New Roman" w:eastAsia="標楷體" w:hint="eastAsia"/>
          <w:spacing w:val="0"/>
          <w:sz w:val="24"/>
          <w:szCs w:val="24"/>
        </w:rPr>
        <w:t xml:space="preserve">below the previous yearly low in May. </w:t>
      </w:r>
      <w:r w:rsidR="006350D2" w:rsidRPr="007F6F77">
        <w:rPr>
          <w:rFonts w:ascii="Times New Roman" w:eastAsia="標楷體" w:hint="eastAsia"/>
          <w:spacing w:val="0"/>
          <w:sz w:val="24"/>
          <w:szCs w:val="24"/>
        </w:rPr>
        <w:t>Reflecting moderate domestic demand</w:t>
      </w:r>
      <w:r w:rsidR="00A01A75" w:rsidRPr="007F6F77">
        <w:rPr>
          <w:rFonts w:ascii="Times New Roman" w:eastAsia="標楷體" w:hint="eastAsia"/>
          <w:spacing w:val="0"/>
          <w:sz w:val="24"/>
          <w:szCs w:val="24"/>
        </w:rPr>
        <w:t>, the</w:t>
      </w:r>
      <w:r w:rsidR="00A24F48" w:rsidRPr="007F6F77">
        <w:rPr>
          <w:rFonts w:ascii="Times New Roman" w:eastAsia="標楷體" w:hint="eastAsia"/>
          <w:spacing w:val="0"/>
          <w:sz w:val="24"/>
          <w:szCs w:val="24"/>
        </w:rPr>
        <w:t xml:space="preserve"> output gap, a key factor of inflationary pressures,</w:t>
      </w:r>
      <w:r w:rsidR="00607132" w:rsidRPr="007F6F77">
        <w:rPr>
          <w:rFonts w:ascii="Times New Roman" w:eastAsia="標楷體" w:hint="eastAsia"/>
          <w:spacing w:val="0"/>
          <w:sz w:val="24"/>
          <w:szCs w:val="24"/>
        </w:rPr>
        <w:t xml:space="preserve"> </w:t>
      </w:r>
      <w:r w:rsidR="00A01A75" w:rsidRPr="007F6F77">
        <w:rPr>
          <w:rFonts w:ascii="Times New Roman" w:eastAsia="標楷體" w:hint="eastAsia"/>
          <w:spacing w:val="0"/>
          <w:sz w:val="24"/>
          <w:szCs w:val="24"/>
        </w:rPr>
        <w:t xml:space="preserve">is expected to remain negative in both 2018 and 2019, with the gap widening slightly next year. </w:t>
      </w:r>
    </w:p>
    <w:p w:rsidR="004B0C53" w:rsidRPr="007F6F77" w:rsidRDefault="00A01A75" w:rsidP="008342FB">
      <w:pPr>
        <w:pStyle w:val="6"/>
        <w:overflowPunct w:val="0"/>
        <w:snapToGrid w:val="0"/>
        <w:spacing w:after="0" w:line="440" w:lineRule="exact"/>
        <w:ind w:left="0" w:firstLineChars="200" w:firstLine="480"/>
        <w:rPr>
          <w:rFonts w:ascii="Times New Roman" w:eastAsia="標楷體"/>
          <w:spacing w:val="-2"/>
          <w:sz w:val="24"/>
          <w:szCs w:val="28"/>
        </w:rPr>
      </w:pPr>
      <w:r w:rsidRPr="007F6F77">
        <w:rPr>
          <w:rFonts w:ascii="Times New Roman" w:eastAsia="標楷體" w:hint="eastAsia"/>
          <w:spacing w:val="0"/>
          <w:sz w:val="24"/>
          <w:szCs w:val="24"/>
        </w:rPr>
        <w:lastRenderedPageBreak/>
        <w:t>In terms of next year</w:t>
      </w:r>
      <w:r w:rsidRPr="007F6F77">
        <w:rPr>
          <w:rFonts w:ascii="Times New Roman" w:eastAsia="標楷體"/>
          <w:spacing w:val="0"/>
          <w:sz w:val="24"/>
          <w:szCs w:val="24"/>
        </w:rPr>
        <w:t>’</w:t>
      </w:r>
      <w:r w:rsidRPr="007F6F77">
        <w:rPr>
          <w:rFonts w:ascii="Times New Roman" w:eastAsia="標楷體" w:hint="eastAsia"/>
          <w:spacing w:val="0"/>
          <w:sz w:val="24"/>
          <w:szCs w:val="24"/>
        </w:rPr>
        <w:t>s price trends, the CPI and core CPI annual growth ra</w:t>
      </w:r>
      <w:r w:rsidR="006350D2" w:rsidRPr="007F6F77">
        <w:rPr>
          <w:rFonts w:ascii="Times New Roman" w:eastAsia="標楷體" w:hint="eastAsia"/>
          <w:spacing w:val="0"/>
          <w:sz w:val="24"/>
          <w:szCs w:val="24"/>
        </w:rPr>
        <w:t>tes are projected to be 1.05% and 0.93% according to the CBC</w:t>
      </w:r>
      <w:r w:rsidR="006350D2" w:rsidRPr="007F6F77">
        <w:rPr>
          <w:rFonts w:ascii="Times New Roman" w:eastAsia="標楷體"/>
          <w:spacing w:val="0"/>
          <w:sz w:val="24"/>
          <w:szCs w:val="24"/>
        </w:rPr>
        <w:t>’</w:t>
      </w:r>
      <w:r w:rsidR="006350D2" w:rsidRPr="007F6F77">
        <w:rPr>
          <w:rFonts w:ascii="Times New Roman" w:eastAsia="標楷體" w:hint="eastAsia"/>
          <w:spacing w:val="0"/>
          <w:sz w:val="24"/>
          <w:szCs w:val="24"/>
        </w:rPr>
        <w:t>s forecasts, lower than this year</w:t>
      </w:r>
      <w:r w:rsidR="006350D2" w:rsidRPr="007F6F77">
        <w:rPr>
          <w:rFonts w:ascii="Times New Roman" w:eastAsia="標楷體"/>
          <w:spacing w:val="0"/>
          <w:sz w:val="24"/>
          <w:szCs w:val="24"/>
        </w:rPr>
        <w:t>’</w:t>
      </w:r>
      <w:r w:rsidR="006350D2" w:rsidRPr="007F6F77">
        <w:rPr>
          <w:rFonts w:ascii="Times New Roman" w:eastAsia="標楷體" w:hint="eastAsia"/>
          <w:spacing w:val="0"/>
          <w:sz w:val="24"/>
          <w:szCs w:val="24"/>
        </w:rPr>
        <w:t>s 1.38% and 1.21%</w:t>
      </w:r>
      <w:r w:rsidR="00250748" w:rsidRPr="007F6F77">
        <w:rPr>
          <w:rFonts w:ascii="Times New Roman" w:eastAsia="標楷體" w:hint="eastAsia"/>
          <w:spacing w:val="0"/>
          <w:sz w:val="24"/>
          <w:szCs w:val="24"/>
        </w:rPr>
        <w:t xml:space="preserve"> given that international oil prices would trend slightly lower than this year, domestic demand is moderate, and the tobacco tax hike effect dissipates.</w:t>
      </w:r>
      <w:r w:rsidR="008342FB" w:rsidRPr="007F6F77">
        <w:rPr>
          <w:rFonts w:ascii="Times New Roman" w:eastAsia="標楷體" w:hint="eastAsia"/>
          <w:spacing w:val="0"/>
          <w:sz w:val="24"/>
          <w:szCs w:val="24"/>
        </w:rPr>
        <w:t xml:space="preserve"> </w:t>
      </w:r>
      <w:r w:rsidR="004B0C53" w:rsidRPr="007F6F77">
        <w:rPr>
          <w:rFonts w:ascii="Times New Roman" w:eastAsia="標楷體" w:hint="eastAsia"/>
          <w:spacing w:val="-2"/>
          <w:sz w:val="24"/>
          <w:szCs w:val="28"/>
        </w:rPr>
        <w:t xml:space="preserve">The medians of </w:t>
      </w:r>
      <w:r w:rsidR="008342FB" w:rsidRPr="007F6F77">
        <w:rPr>
          <w:rFonts w:ascii="Times New Roman" w:eastAsia="標楷體" w:hint="eastAsia"/>
          <w:spacing w:val="-2"/>
          <w:sz w:val="24"/>
          <w:szCs w:val="28"/>
        </w:rPr>
        <w:t>domestic and international</w:t>
      </w:r>
      <w:r w:rsidR="004B0C53" w:rsidRPr="007F6F77">
        <w:rPr>
          <w:rFonts w:ascii="Times New Roman" w:eastAsia="標楷體" w:hint="eastAsia"/>
          <w:spacing w:val="-2"/>
          <w:sz w:val="24"/>
          <w:szCs w:val="28"/>
        </w:rPr>
        <w:t xml:space="preserve"> institutions</w:t>
      </w:r>
      <w:r w:rsidR="004B0C53" w:rsidRPr="007F6F77">
        <w:rPr>
          <w:rFonts w:ascii="Times New Roman" w:eastAsia="標楷體"/>
          <w:spacing w:val="-2"/>
          <w:sz w:val="24"/>
          <w:szCs w:val="28"/>
        </w:rPr>
        <w:t>’</w:t>
      </w:r>
      <w:r w:rsidR="004B0C53" w:rsidRPr="007F6F77">
        <w:rPr>
          <w:rFonts w:ascii="Times New Roman" w:eastAsia="標楷體" w:hint="eastAsia"/>
          <w:spacing w:val="-2"/>
          <w:sz w:val="24"/>
          <w:szCs w:val="28"/>
        </w:rPr>
        <w:t xml:space="preserve"> </w:t>
      </w:r>
      <w:r w:rsidR="00932501" w:rsidRPr="007F6F77">
        <w:rPr>
          <w:rFonts w:ascii="Times New Roman" w:eastAsia="標楷體" w:hint="eastAsia"/>
          <w:spacing w:val="-2"/>
          <w:sz w:val="24"/>
          <w:szCs w:val="28"/>
        </w:rPr>
        <w:t xml:space="preserve">2019 </w:t>
      </w:r>
      <w:r w:rsidR="008342FB" w:rsidRPr="007F6F77">
        <w:rPr>
          <w:rFonts w:ascii="Times New Roman" w:eastAsia="標楷體" w:hint="eastAsia"/>
          <w:spacing w:val="-2"/>
          <w:sz w:val="24"/>
          <w:szCs w:val="28"/>
        </w:rPr>
        <w:t xml:space="preserve">inflation </w:t>
      </w:r>
      <w:r w:rsidR="004B0C53" w:rsidRPr="007F6F77">
        <w:rPr>
          <w:rFonts w:ascii="Times New Roman" w:eastAsia="標楷體" w:hint="eastAsia"/>
          <w:spacing w:val="-2"/>
          <w:sz w:val="24"/>
          <w:szCs w:val="28"/>
        </w:rPr>
        <w:t xml:space="preserve">forecasts are </w:t>
      </w:r>
      <w:r w:rsidR="008342FB" w:rsidRPr="007F6F77">
        <w:rPr>
          <w:rFonts w:ascii="Times New Roman" w:eastAsia="標楷體" w:hint="eastAsia"/>
          <w:spacing w:val="-2"/>
          <w:sz w:val="24"/>
          <w:szCs w:val="28"/>
        </w:rPr>
        <w:t>1.07</w:t>
      </w:r>
      <w:r w:rsidR="004B0C53" w:rsidRPr="007F6F77">
        <w:rPr>
          <w:rFonts w:ascii="Times New Roman" w:eastAsia="標楷體" w:hint="eastAsia"/>
          <w:spacing w:val="-2"/>
          <w:sz w:val="24"/>
          <w:szCs w:val="28"/>
        </w:rPr>
        <w:t xml:space="preserve">% and </w:t>
      </w:r>
      <w:r w:rsidR="008342FB" w:rsidRPr="007F6F77">
        <w:rPr>
          <w:rFonts w:ascii="Times New Roman" w:eastAsia="標楷體" w:hint="eastAsia"/>
          <w:spacing w:val="-2"/>
          <w:sz w:val="24"/>
          <w:szCs w:val="28"/>
        </w:rPr>
        <w:t>1.24</w:t>
      </w:r>
      <w:r w:rsidR="004B0C53" w:rsidRPr="007F6F77">
        <w:rPr>
          <w:rFonts w:ascii="Times New Roman" w:eastAsia="標楷體" w:hint="eastAsia"/>
          <w:spacing w:val="-2"/>
          <w:sz w:val="24"/>
          <w:szCs w:val="28"/>
        </w:rPr>
        <w:t>%, respectively</w:t>
      </w:r>
      <w:r w:rsidR="008342FB" w:rsidRPr="007F6F77">
        <w:rPr>
          <w:rFonts w:ascii="Times New Roman" w:eastAsia="標楷體" w:hint="eastAsia"/>
          <w:spacing w:val="-2"/>
          <w:sz w:val="24"/>
          <w:szCs w:val="28"/>
        </w:rPr>
        <w:t xml:space="preserve">. </w:t>
      </w:r>
    </w:p>
    <w:p w:rsidR="00471F4F" w:rsidRPr="007F6F77" w:rsidRDefault="00932501" w:rsidP="00812349">
      <w:pPr>
        <w:pStyle w:val="6"/>
        <w:overflowPunct w:val="0"/>
        <w:snapToGrid w:val="0"/>
        <w:spacing w:after="0" w:line="440" w:lineRule="exact"/>
        <w:ind w:left="0" w:firstLineChars="200" w:firstLine="480"/>
        <w:rPr>
          <w:rFonts w:ascii="Times New Roman" w:eastAsia="標楷體"/>
          <w:spacing w:val="0"/>
          <w:sz w:val="24"/>
          <w:szCs w:val="24"/>
        </w:rPr>
      </w:pPr>
      <w:r w:rsidRPr="007F6F77">
        <w:rPr>
          <w:rFonts w:ascii="Times New Roman" w:eastAsia="標楷體" w:hint="eastAsia"/>
          <w:spacing w:val="0"/>
          <w:sz w:val="24"/>
          <w:szCs w:val="24"/>
        </w:rPr>
        <w:t xml:space="preserve">As for the </w:t>
      </w:r>
      <w:r w:rsidR="00A746B2" w:rsidRPr="007F6F77">
        <w:rPr>
          <w:rFonts w:ascii="Times New Roman" w:eastAsia="標楷體" w:hint="eastAsia"/>
          <w:spacing w:val="0"/>
          <w:sz w:val="24"/>
          <w:szCs w:val="24"/>
        </w:rPr>
        <w:t>key</w:t>
      </w:r>
      <w:r w:rsidR="004D09F6" w:rsidRPr="007F6F77">
        <w:rPr>
          <w:rFonts w:ascii="Times New Roman" w:eastAsia="標楷體" w:hint="eastAsia"/>
          <w:spacing w:val="0"/>
          <w:sz w:val="24"/>
          <w:szCs w:val="24"/>
        </w:rPr>
        <w:t xml:space="preserve"> determinants of </w:t>
      </w:r>
      <w:r w:rsidRPr="007F6F77">
        <w:rPr>
          <w:rFonts w:ascii="Times New Roman" w:eastAsia="標楷體" w:hint="eastAsia"/>
          <w:spacing w:val="0"/>
          <w:sz w:val="24"/>
          <w:szCs w:val="24"/>
        </w:rPr>
        <w:t xml:space="preserve">future </w:t>
      </w:r>
      <w:r w:rsidR="004D09F6" w:rsidRPr="007F6F77">
        <w:rPr>
          <w:rFonts w:ascii="Times New Roman" w:eastAsia="標楷體" w:hint="eastAsia"/>
          <w:spacing w:val="0"/>
          <w:sz w:val="24"/>
          <w:szCs w:val="24"/>
        </w:rPr>
        <w:t>price trends</w:t>
      </w:r>
      <w:r w:rsidR="00A779AA" w:rsidRPr="007F6F77">
        <w:rPr>
          <w:rFonts w:ascii="Times New Roman" w:eastAsia="標楷體" w:hint="eastAsia"/>
          <w:spacing w:val="0"/>
          <w:sz w:val="24"/>
          <w:szCs w:val="24"/>
        </w:rPr>
        <w:t xml:space="preserve">, </w:t>
      </w:r>
      <w:r w:rsidR="00F96CB7" w:rsidRPr="007F6F77">
        <w:rPr>
          <w:rFonts w:ascii="Times New Roman" w:eastAsia="標楷體" w:hint="eastAsia"/>
          <w:spacing w:val="0"/>
          <w:sz w:val="24"/>
          <w:szCs w:val="24"/>
        </w:rPr>
        <w:t>the minimum wage hike next year, which may prompt the private sector to raise employee pay,</w:t>
      </w:r>
      <w:r w:rsidR="008C6F26" w:rsidRPr="007F6F77">
        <w:rPr>
          <w:rFonts w:ascii="Times New Roman" w:eastAsia="標楷體" w:hint="eastAsia"/>
          <w:spacing w:val="0"/>
          <w:sz w:val="24"/>
          <w:szCs w:val="24"/>
        </w:rPr>
        <w:t xml:space="preserve"> would add</w:t>
      </w:r>
      <w:r w:rsidR="00F96CB7" w:rsidRPr="007F6F77">
        <w:rPr>
          <w:rFonts w:ascii="Times New Roman" w:eastAsia="標楷體" w:hint="eastAsia"/>
          <w:spacing w:val="0"/>
          <w:sz w:val="24"/>
          <w:szCs w:val="24"/>
        </w:rPr>
        <w:t xml:space="preserve"> to inflationary pressures</w:t>
      </w:r>
      <w:r w:rsidR="00A779AA" w:rsidRPr="007F6F77">
        <w:rPr>
          <w:rFonts w:ascii="Times New Roman" w:eastAsia="標楷體" w:hint="eastAsia"/>
          <w:spacing w:val="0"/>
          <w:sz w:val="24"/>
          <w:szCs w:val="24"/>
        </w:rPr>
        <w:t xml:space="preserve">, while </w:t>
      </w:r>
      <w:r w:rsidR="00C0211C" w:rsidRPr="007F6F77">
        <w:rPr>
          <w:rFonts w:ascii="Times New Roman" w:eastAsia="標楷體" w:hint="eastAsia"/>
          <w:spacing w:val="0"/>
          <w:sz w:val="24"/>
          <w:szCs w:val="24"/>
        </w:rPr>
        <w:t>fruit and vegetable prices would face upside pressures owing to a lower comparison base as high crop yield</w:t>
      </w:r>
      <w:r w:rsidR="00812349" w:rsidRPr="007F6F77">
        <w:rPr>
          <w:rFonts w:ascii="Times New Roman" w:eastAsia="標楷體" w:hint="eastAsia"/>
          <w:spacing w:val="0"/>
          <w:sz w:val="24"/>
          <w:szCs w:val="24"/>
        </w:rPr>
        <w:t>s</w:t>
      </w:r>
      <w:r w:rsidR="00C0211C" w:rsidRPr="007F6F77">
        <w:rPr>
          <w:rFonts w:ascii="Times New Roman" w:eastAsia="標楷體" w:hint="eastAsia"/>
          <w:spacing w:val="0"/>
          <w:sz w:val="24"/>
          <w:szCs w:val="24"/>
        </w:rPr>
        <w:t xml:space="preserve"> suppressed prices this year. </w:t>
      </w:r>
      <w:r w:rsidR="00812349" w:rsidRPr="007F6F77">
        <w:rPr>
          <w:rFonts w:ascii="Times New Roman" w:eastAsia="標楷體" w:hint="eastAsia"/>
          <w:spacing w:val="0"/>
          <w:sz w:val="24"/>
          <w:szCs w:val="24"/>
        </w:rPr>
        <w:t>On the other hand, a projected downtrend in international oil prices compared to this year, lower communication rates, and a still negative output gap may bring about down</w:t>
      </w:r>
      <w:r w:rsidR="008C6F26" w:rsidRPr="007F6F77">
        <w:rPr>
          <w:rFonts w:ascii="Times New Roman" w:eastAsia="標楷體" w:hint="eastAsia"/>
          <w:spacing w:val="0"/>
          <w:sz w:val="24"/>
          <w:szCs w:val="24"/>
        </w:rPr>
        <w:t xml:space="preserve">ward </w:t>
      </w:r>
      <w:r w:rsidR="00812349" w:rsidRPr="007F6F77">
        <w:rPr>
          <w:rFonts w:ascii="Times New Roman" w:eastAsia="標楷體" w:hint="eastAsia"/>
          <w:spacing w:val="0"/>
          <w:sz w:val="24"/>
          <w:szCs w:val="24"/>
        </w:rPr>
        <w:t xml:space="preserve">pressures on inflation. </w:t>
      </w:r>
    </w:p>
    <w:p w:rsidR="00D46F1E" w:rsidRPr="007F6F77" w:rsidRDefault="00D46F1E" w:rsidP="00FA173A">
      <w:pPr>
        <w:numPr>
          <w:ilvl w:val="0"/>
          <w:numId w:val="30"/>
        </w:numPr>
        <w:overflowPunct w:val="0"/>
        <w:autoSpaceDE w:val="0"/>
        <w:autoSpaceDN w:val="0"/>
        <w:snapToGrid w:val="0"/>
        <w:spacing w:before="120" w:line="440" w:lineRule="exact"/>
        <w:ind w:left="426" w:hanging="426"/>
        <w:rPr>
          <w:rFonts w:eastAsia="標楷體"/>
          <w:b/>
          <w:spacing w:val="-2"/>
          <w:sz w:val="24"/>
          <w:szCs w:val="28"/>
        </w:rPr>
      </w:pPr>
      <w:r w:rsidRPr="007F6F77">
        <w:rPr>
          <w:rFonts w:eastAsia="標楷體" w:hint="eastAsia"/>
          <w:b/>
          <w:spacing w:val="-2"/>
          <w:sz w:val="24"/>
          <w:szCs w:val="28"/>
        </w:rPr>
        <w:t>Considerations for Monetary Policy</w:t>
      </w:r>
    </w:p>
    <w:p w:rsidR="007F095D" w:rsidRPr="007F6F77" w:rsidRDefault="00CF3A47" w:rsidP="00CD7B0E">
      <w:pPr>
        <w:adjustRightInd/>
        <w:spacing w:before="120" w:line="440" w:lineRule="exact"/>
        <w:ind w:left="363" w:hangingChars="154" w:hanging="363"/>
        <w:textAlignment w:val="auto"/>
        <w:rPr>
          <w:rFonts w:eastAsia="標楷體"/>
          <w:spacing w:val="-2"/>
          <w:kern w:val="2"/>
          <w:sz w:val="24"/>
          <w:szCs w:val="28"/>
        </w:rPr>
      </w:pPr>
      <w:r w:rsidRPr="007F6F77">
        <w:rPr>
          <w:rFonts w:eastAsia="標楷體" w:hint="eastAsia"/>
          <w:spacing w:val="-2"/>
          <w:kern w:val="2"/>
          <w:sz w:val="24"/>
          <w:szCs w:val="28"/>
        </w:rPr>
        <w:t xml:space="preserve">(1) </w:t>
      </w:r>
      <w:r w:rsidR="007F095D" w:rsidRPr="007F6F77">
        <w:rPr>
          <w:rFonts w:eastAsia="標楷體" w:hint="eastAsia"/>
          <w:spacing w:val="-2"/>
          <w:kern w:val="2"/>
          <w:sz w:val="24"/>
          <w:szCs w:val="28"/>
        </w:rPr>
        <w:t xml:space="preserve">External factors </w:t>
      </w:r>
    </w:p>
    <w:p w:rsidR="007F095D" w:rsidRPr="007F6F77" w:rsidRDefault="007F095D" w:rsidP="00CD7B0E">
      <w:pPr>
        <w:pStyle w:val="afff6"/>
        <w:numPr>
          <w:ilvl w:val="1"/>
          <w:numId w:val="46"/>
        </w:numPr>
        <w:adjustRightInd/>
        <w:spacing w:before="120" w:after="0" w:line="440" w:lineRule="exact"/>
        <w:ind w:leftChars="0" w:left="851" w:hanging="425"/>
        <w:textAlignment w:val="auto"/>
        <w:rPr>
          <w:rFonts w:ascii="Times New Roman" w:eastAsia="標楷體"/>
          <w:spacing w:val="-2"/>
          <w:kern w:val="2"/>
          <w:sz w:val="24"/>
          <w:szCs w:val="28"/>
        </w:rPr>
      </w:pPr>
      <w:r w:rsidRPr="007F6F77">
        <w:rPr>
          <w:rFonts w:ascii="Times New Roman" w:eastAsia="標楷體"/>
          <w:spacing w:val="-2"/>
          <w:kern w:val="2"/>
          <w:sz w:val="24"/>
          <w:szCs w:val="28"/>
        </w:rPr>
        <w:t xml:space="preserve">The global economy and world trade volume are expected to expand at a slower pace owing to US-China trade friction. </w:t>
      </w:r>
    </w:p>
    <w:p w:rsidR="007F095D" w:rsidRPr="007F6F77" w:rsidRDefault="007F095D" w:rsidP="00CD7B0E">
      <w:pPr>
        <w:pStyle w:val="afff6"/>
        <w:numPr>
          <w:ilvl w:val="1"/>
          <w:numId w:val="46"/>
        </w:numPr>
        <w:adjustRightInd/>
        <w:spacing w:before="120" w:after="0" w:line="440" w:lineRule="exact"/>
        <w:ind w:leftChars="0" w:left="851" w:hanging="425"/>
        <w:textAlignment w:val="auto"/>
        <w:rPr>
          <w:rFonts w:ascii="Times New Roman" w:eastAsia="標楷體"/>
          <w:spacing w:val="-2"/>
          <w:kern w:val="2"/>
          <w:sz w:val="24"/>
          <w:szCs w:val="28"/>
        </w:rPr>
      </w:pPr>
      <w:r w:rsidRPr="007F6F77">
        <w:rPr>
          <w:rFonts w:ascii="Times New Roman" w:eastAsia="標楷體"/>
          <w:spacing w:val="-2"/>
          <w:kern w:val="2"/>
          <w:sz w:val="24"/>
          <w:szCs w:val="28"/>
        </w:rPr>
        <w:t xml:space="preserve">The policy stance of major central banks except the US Federal Reserve is mostly accommodative. </w:t>
      </w:r>
    </w:p>
    <w:p w:rsidR="007F095D" w:rsidRPr="007F6F77" w:rsidRDefault="005A142D" w:rsidP="00CD7B0E">
      <w:pPr>
        <w:pStyle w:val="afff6"/>
        <w:numPr>
          <w:ilvl w:val="1"/>
          <w:numId w:val="46"/>
        </w:numPr>
        <w:adjustRightInd/>
        <w:spacing w:before="120" w:after="0" w:line="440" w:lineRule="exact"/>
        <w:ind w:leftChars="0" w:left="851" w:hanging="425"/>
        <w:textAlignment w:val="auto"/>
        <w:rPr>
          <w:rFonts w:ascii="Times New Roman" w:eastAsia="標楷體"/>
          <w:spacing w:val="-2"/>
          <w:kern w:val="2"/>
          <w:sz w:val="24"/>
          <w:szCs w:val="28"/>
        </w:rPr>
      </w:pPr>
      <w:r w:rsidRPr="007F6F77">
        <w:rPr>
          <w:rFonts w:ascii="Times New Roman" w:eastAsia="標楷體"/>
          <w:spacing w:val="-2"/>
          <w:kern w:val="2"/>
          <w:sz w:val="24"/>
          <w:szCs w:val="28"/>
        </w:rPr>
        <w:t xml:space="preserve">The economic and financial outlook is clouded by many uncertainties, including policy uncertainty over the US-China trade issue, a Chinese economic slowdown, </w:t>
      </w:r>
      <w:r w:rsidR="00CF3A47" w:rsidRPr="007F6F77">
        <w:rPr>
          <w:rFonts w:ascii="Times New Roman" w:eastAsia="標楷體"/>
          <w:spacing w:val="-2"/>
          <w:kern w:val="2"/>
          <w:sz w:val="24"/>
          <w:szCs w:val="28"/>
        </w:rPr>
        <w:t xml:space="preserve">uncertainty over monetary policy paths of major economies, and political and economic unrest in Europe. </w:t>
      </w:r>
    </w:p>
    <w:p w:rsidR="00CF3A47" w:rsidRPr="007F6F77" w:rsidRDefault="00CF3A47" w:rsidP="00CD7B0E">
      <w:pPr>
        <w:adjustRightInd/>
        <w:spacing w:before="120" w:line="440" w:lineRule="exact"/>
        <w:ind w:left="363" w:hangingChars="154" w:hanging="363"/>
        <w:textAlignment w:val="auto"/>
        <w:rPr>
          <w:rFonts w:eastAsia="標楷體"/>
          <w:spacing w:val="-2"/>
          <w:kern w:val="2"/>
          <w:sz w:val="24"/>
          <w:szCs w:val="28"/>
        </w:rPr>
      </w:pPr>
      <w:r w:rsidRPr="007F6F77">
        <w:rPr>
          <w:rFonts w:eastAsia="標楷體" w:hint="eastAsia"/>
          <w:spacing w:val="-2"/>
          <w:kern w:val="2"/>
          <w:sz w:val="24"/>
          <w:szCs w:val="28"/>
        </w:rPr>
        <w:t xml:space="preserve">(2) Domestic factors </w:t>
      </w:r>
    </w:p>
    <w:p w:rsidR="00CF3A47" w:rsidRPr="007F6F77" w:rsidRDefault="00CF3A47" w:rsidP="00CD7B0E">
      <w:pPr>
        <w:pStyle w:val="afff6"/>
        <w:numPr>
          <w:ilvl w:val="0"/>
          <w:numId w:val="49"/>
        </w:numPr>
        <w:adjustRightInd/>
        <w:spacing w:before="120" w:after="0" w:line="440" w:lineRule="exact"/>
        <w:ind w:leftChars="0"/>
        <w:textAlignment w:val="auto"/>
        <w:rPr>
          <w:rFonts w:ascii="Times New Roman" w:eastAsia="標楷體"/>
          <w:spacing w:val="-2"/>
          <w:kern w:val="2"/>
          <w:sz w:val="24"/>
          <w:szCs w:val="28"/>
        </w:rPr>
      </w:pPr>
      <w:r w:rsidRPr="007F6F77">
        <w:rPr>
          <w:rFonts w:ascii="Times New Roman" w:eastAsia="標楷體" w:hint="eastAsia"/>
          <w:spacing w:val="-2"/>
          <w:kern w:val="2"/>
          <w:sz w:val="24"/>
          <w:szCs w:val="28"/>
        </w:rPr>
        <w:t>Both the economic growth rate and inflation rate are projected to register lower next year than this year</w:t>
      </w:r>
      <w:r w:rsidR="00434069" w:rsidRPr="007F6F77">
        <w:rPr>
          <w:rFonts w:ascii="Times New Roman" w:eastAsia="標楷體" w:hint="eastAsia"/>
          <w:spacing w:val="-2"/>
          <w:kern w:val="2"/>
          <w:sz w:val="24"/>
          <w:szCs w:val="28"/>
        </w:rPr>
        <w:t>, decelerating from this year</w:t>
      </w:r>
      <w:r w:rsidR="00434069" w:rsidRPr="007F6F77">
        <w:rPr>
          <w:rFonts w:ascii="Times New Roman" w:eastAsia="標楷體"/>
          <w:spacing w:val="-2"/>
          <w:kern w:val="2"/>
          <w:sz w:val="24"/>
          <w:szCs w:val="28"/>
        </w:rPr>
        <w:t>’</w:t>
      </w:r>
      <w:r w:rsidR="00434069" w:rsidRPr="007F6F77">
        <w:rPr>
          <w:rFonts w:ascii="Times New Roman" w:eastAsia="標楷體" w:hint="eastAsia"/>
          <w:spacing w:val="-2"/>
          <w:kern w:val="2"/>
          <w:sz w:val="24"/>
          <w:szCs w:val="28"/>
        </w:rPr>
        <w:t>s 2.68% and 1.38% to 2.33% and 1.05%, respectively, based on the CBC</w:t>
      </w:r>
      <w:r w:rsidR="00434069" w:rsidRPr="007F6F77">
        <w:rPr>
          <w:rFonts w:ascii="Times New Roman" w:eastAsia="標楷體"/>
          <w:spacing w:val="-2"/>
          <w:kern w:val="2"/>
          <w:sz w:val="24"/>
          <w:szCs w:val="28"/>
        </w:rPr>
        <w:t>’</w:t>
      </w:r>
      <w:r w:rsidR="00434069" w:rsidRPr="007F6F77">
        <w:rPr>
          <w:rFonts w:ascii="Times New Roman" w:eastAsia="標楷體" w:hint="eastAsia"/>
          <w:spacing w:val="-2"/>
          <w:kern w:val="2"/>
          <w:sz w:val="24"/>
          <w:szCs w:val="28"/>
        </w:rPr>
        <w:t xml:space="preserve">s estimation and projection. </w:t>
      </w:r>
    </w:p>
    <w:p w:rsidR="00434069" w:rsidRPr="007F6F77" w:rsidRDefault="00BC70F0" w:rsidP="00CD7B0E">
      <w:pPr>
        <w:pStyle w:val="afff6"/>
        <w:numPr>
          <w:ilvl w:val="0"/>
          <w:numId w:val="49"/>
        </w:numPr>
        <w:adjustRightInd/>
        <w:spacing w:before="120" w:after="0" w:line="440" w:lineRule="exact"/>
        <w:ind w:leftChars="0"/>
        <w:textAlignment w:val="auto"/>
        <w:rPr>
          <w:rFonts w:ascii="Times New Roman" w:eastAsia="標楷體"/>
          <w:spacing w:val="-2"/>
          <w:kern w:val="2"/>
          <w:sz w:val="24"/>
          <w:szCs w:val="28"/>
        </w:rPr>
      </w:pPr>
      <w:r w:rsidRPr="007F6F77">
        <w:rPr>
          <w:rFonts w:ascii="Times New Roman" w:eastAsia="標楷體" w:hint="eastAsia"/>
          <w:spacing w:val="-2"/>
          <w:kern w:val="2"/>
          <w:sz w:val="24"/>
          <w:szCs w:val="28"/>
        </w:rPr>
        <w:t>The negative output gap would widen slightly.</w:t>
      </w:r>
    </w:p>
    <w:p w:rsidR="00BC70F0" w:rsidRPr="007F6F77" w:rsidRDefault="00BC70F0" w:rsidP="00CD7B0E">
      <w:pPr>
        <w:pStyle w:val="afff6"/>
        <w:numPr>
          <w:ilvl w:val="0"/>
          <w:numId w:val="49"/>
        </w:numPr>
        <w:adjustRightInd/>
        <w:spacing w:before="120" w:after="0" w:line="440" w:lineRule="exact"/>
        <w:ind w:leftChars="0"/>
        <w:textAlignment w:val="auto"/>
        <w:rPr>
          <w:rFonts w:ascii="Times New Roman" w:eastAsia="標楷體"/>
          <w:spacing w:val="-2"/>
          <w:kern w:val="2"/>
          <w:sz w:val="24"/>
          <w:szCs w:val="28"/>
        </w:rPr>
      </w:pPr>
      <w:r w:rsidRPr="007F6F77">
        <w:rPr>
          <w:rFonts w:ascii="Times New Roman" w:eastAsia="標楷體" w:hint="eastAsia"/>
          <w:spacing w:val="-2"/>
          <w:kern w:val="2"/>
          <w:sz w:val="24"/>
          <w:szCs w:val="28"/>
        </w:rPr>
        <w:t>Taiwan</w:t>
      </w:r>
      <w:r w:rsidRPr="007F6F77">
        <w:rPr>
          <w:rFonts w:ascii="Times New Roman" w:eastAsia="標楷體"/>
          <w:spacing w:val="-2"/>
          <w:kern w:val="2"/>
          <w:sz w:val="24"/>
          <w:szCs w:val="28"/>
        </w:rPr>
        <w:t>’</w:t>
      </w:r>
      <w:r w:rsidRPr="007F6F77">
        <w:rPr>
          <w:rFonts w:ascii="Times New Roman" w:eastAsia="標楷體" w:hint="eastAsia"/>
          <w:spacing w:val="-2"/>
          <w:kern w:val="2"/>
          <w:sz w:val="24"/>
          <w:szCs w:val="28"/>
        </w:rPr>
        <w:t xml:space="preserve">s nominal and real interest rates are around the middle range compared to selected economies. </w:t>
      </w:r>
    </w:p>
    <w:p w:rsidR="00BC70F0" w:rsidRPr="007F6F77" w:rsidRDefault="00BC70F0" w:rsidP="00CD7B0E">
      <w:pPr>
        <w:pStyle w:val="afff6"/>
        <w:numPr>
          <w:ilvl w:val="0"/>
          <w:numId w:val="49"/>
        </w:numPr>
        <w:adjustRightInd/>
        <w:spacing w:before="120" w:after="0" w:line="440" w:lineRule="exact"/>
        <w:ind w:leftChars="0"/>
        <w:textAlignment w:val="auto"/>
        <w:rPr>
          <w:rFonts w:ascii="Times New Roman" w:eastAsia="標楷體"/>
          <w:spacing w:val="-2"/>
          <w:kern w:val="2"/>
          <w:sz w:val="24"/>
          <w:szCs w:val="28"/>
        </w:rPr>
      </w:pPr>
      <w:r w:rsidRPr="007F6F77">
        <w:rPr>
          <w:rFonts w:ascii="Times New Roman" w:eastAsia="標楷體" w:hint="eastAsia"/>
          <w:spacing w:val="-2"/>
          <w:kern w:val="2"/>
          <w:sz w:val="24"/>
          <w:szCs w:val="28"/>
        </w:rPr>
        <w:lastRenderedPageBreak/>
        <w:t>M2 growth has moderated whereas credit has increased steadily.</w:t>
      </w:r>
    </w:p>
    <w:p w:rsidR="00BC70F0" w:rsidRPr="007F6F77" w:rsidRDefault="00BC70F0" w:rsidP="00CD7B0E">
      <w:pPr>
        <w:pStyle w:val="afff6"/>
        <w:numPr>
          <w:ilvl w:val="0"/>
          <w:numId w:val="49"/>
        </w:numPr>
        <w:adjustRightInd/>
        <w:spacing w:before="120" w:after="0" w:line="440" w:lineRule="exact"/>
        <w:ind w:leftChars="0"/>
        <w:textAlignment w:val="auto"/>
        <w:rPr>
          <w:rFonts w:ascii="Times New Roman" w:eastAsia="標楷體"/>
          <w:spacing w:val="-2"/>
          <w:kern w:val="2"/>
          <w:sz w:val="24"/>
          <w:szCs w:val="28"/>
        </w:rPr>
      </w:pPr>
      <w:r w:rsidRPr="007F6F77">
        <w:rPr>
          <w:rFonts w:ascii="Times New Roman" w:eastAsia="標楷體" w:hint="eastAsia"/>
          <w:spacing w:val="-2"/>
          <w:kern w:val="2"/>
          <w:sz w:val="24"/>
          <w:szCs w:val="28"/>
        </w:rPr>
        <w:t xml:space="preserve">Financial conditions have tightened. </w:t>
      </w:r>
    </w:p>
    <w:p w:rsidR="000E700C" w:rsidRPr="007F6F77" w:rsidRDefault="000E700C" w:rsidP="00FA173A">
      <w:pPr>
        <w:adjustRightInd/>
        <w:snapToGrid w:val="0"/>
        <w:spacing w:before="120" w:line="440" w:lineRule="exact"/>
        <w:jc w:val="both"/>
        <w:textDirection w:val="lrTbV"/>
        <w:rPr>
          <w:rFonts w:eastAsia="標楷體"/>
          <w:b/>
          <w:sz w:val="24"/>
          <w:szCs w:val="28"/>
        </w:rPr>
      </w:pPr>
    </w:p>
    <w:p w:rsidR="00D46F1E" w:rsidRPr="007F6F77" w:rsidRDefault="00D46F1E" w:rsidP="00FA173A">
      <w:pPr>
        <w:adjustRightInd/>
        <w:snapToGrid w:val="0"/>
        <w:spacing w:before="120" w:line="440" w:lineRule="exact"/>
        <w:jc w:val="both"/>
        <w:textDirection w:val="lrTbV"/>
        <w:rPr>
          <w:rFonts w:eastAsia="標楷體"/>
          <w:b/>
          <w:sz w:val="28"/>
          <w:szCs w:val="28"/>
        </w:rPr>
      </w:pPr>
      <w:r w:rsidRPr="007F6F77">
        <w:rPr>
          <w:rFonts w:eastAsia="標楷體" w:hint="eastAsia"/>
          <w:b/>
          <w:sz w:val="28"/>
          <w:szCs w:val="28"/>
        </w:rPr>
        <w:t xml:space="preserve">II. Proposition and Decision about Monetary Policy </w:t>
      </w:r>
    </w:p>
    <w:p w:rsidR="00D46F1E" w:rsidRPr="007F6F77" w:rsidRDefault="00D46F1E" w:rsidP="00FA173A">
      <w:pPr>
        <w:numPr>
          <w:ilvl w:val="0"/>
          <w:numId w:val="37"/>
        </w:numPr>
        <w:overflowPunct w:val="0"/>
        <w:autoSpaceDE w:val="0"/>
        <w:autoSpaceDN w:val="0"/>
        <w:snapToGrid w:val="0"/>
        <w:spacing w:before="120" w:line="440" w:lineRule="exact"/>
        <w:ind w:left="426" w:hanging="426"/>
        <w:textDirection w:val="lrTbV"/>
        <w:rPr>
          <w:rFonts w:eastAsia="標楷體"/>
          <w:b/>
          <w:spacing w:val="-2"/>
          <w:sz w:val="24"/>
          <w:szCs w:val="28"/>
        </w:rPr>
      </w:pPr>
      <w:r w:rsidRPr="007F6F77">
        <w:rPr>
          <w:rFonts w:eastAsia="標楷體" w:hint="eastAsia"/>
          <w:b/>
          <w:spacing w:val="-2"/>
          <w:sz w:val="24"/>
          <w:szCs w:val="28"/>
        </w:rPr>
        <w:t>Policy Proposition: To keep t</w:t>
      </w:r>
      <w:r w:rsidRPr="007F6F77">
        <w:rPr>
          <w:rFonts w:eastAsia="標楷體"/>
          <w:b/>
          <w:spacing w:val="-2"/>
          <w:sz w:val="24"/>
          <w:szCs w:val="28"/>
        </w:rPr>
        <w:t>he discount rate, the rate on accommodations with collateral, and the rate on accommodations without collateral unchanged at 1.375%, 1.75%, and 3.625%, respectively.</w:t>
      </w:r>
    </w:p>
    <w:p w:rsidR="00D46F1E" w:rsidRPr="007F6F77" w:rsidRDefault="00A32D1B" w:rsidP="00FA173A">
      <w:pPr>
        <w:numPr>
          <w:ilvl w:val="0"/>
          <w:numId w:val="37"/>
        </w:numPr>
        <w:overflowPunct w:val="0"/>
        <w:autoSpaceDE w:val="0"/>
        <w:autoSpaceDN w:val="0"/>
        <w:snapToGrid w:val="0"/>
        <w:spacing w:before="120" w:line="440" w:lineRule="exact"/>
        <w:ind w:left="426" w:hanging="426"/>
        <w:textDirection w:val="lrTbV"/>
        <w:rPr>
          <w:rFonts w:eastAsia="標楷體"/>
          <w:spacing w:val="-2"/>
          <w:sz w:val="24"/>
          <w:szCs w:val="28"/>
        </w:rPr>
      </w:pPr>
      <w:r w:rsidRPr="007F6F77">
        <w:rPr>
          <w:rFonts w:eastAsia="標楷體" w:hint="eastAsia"/>
          <w:spacing w:val="-2"/>
          <w:sz w:val="24"/>
          <w:szCs w:val="28"/>
        </w:rPr>
        <w:t>B</w:t>
      </w:r>
      <w:r w:rsidR="00D46F1E" w:rsidRPr="007F6F77">
        <w:rPr>
          <w:rFonts w:eastAsia="標楷體" w:hint="eastAsia"/>
          <w:spacing w:val="-2"/>
          <w:sz w:val="24"/>
          <w:szCs w:val="28"/>
        </w:rPr>
        <w:t xml:space="preserve">oard members </w:t>
      </w:r>
      <w:r w:rsidRPr="007F6F77">
        <w:rPr>
          <w:rFonts w:eastAsia="標楷體" w:hint="eastAsia"/>
          <w:spacing w:val="-2"/>
          <w:sz w:val="24"/>
          <w:szCs w:val="28"/>
        </w:rPr>
        <w:t xml:space="preserve">reached a unanimous vote for policy rates to remain unchanged. </w:t>
      </w:r>
      <w:r w:rsidR="00D46F1E" w:rsidRPr="007F6F77">
        <w:rPr>
          <w:rFonts w:eastAsia="標楷體" w:hint="eastAsia"/>
          <w:spacing w:val="-2"/>
          <w:sz w:val="24"/>
          <w:szCs w:val="28"/>
        </w:rPr>
        <w:t>The discussions are summarized as follows.</w:t>
      </w:r>
    </w:p>
    <w:p w:rsidR="000571DE" w:rsidRPr="007F6F77" w:rsidRDefault="000571DE" w:rsidP="000571DE">
      <w:pPr>
        <w:adjustRightInd/>
        <w:spacing w:before="120" w:line="440" w:lineRule="exact"/>
        <w:ind w:left="363" w:hangingChars="154" w:hanging="363"/>
        <w:textAlignment w:val="auto"/>
        <w:rPr>
          <w:rFonts w:eastAsia="標楷體"/>
          <w:spacing w:val="-2"/>
          <w:kern w:val="2"/>
          <w:sz w:val="24"/>
          <w:szCs w:val="28"/>
        </w:rPr>
      </w:pPr>
      <w:r w:rsidRPr="007F6F77">
        <w:rPr>
          <w:rFonts w:eastAsia="標楷體" w:hint="eastAsia"/>
          <w:spacing w:val="-2"/>
          <w:kern w:val="2"/>
          <w:sz w:val="24"/>
          <w:szCs w:val="28"/>
        </w:rPr>
        <w:t>(1) Discussion on domestic and international economic and financial conditions</w:t>
      </w:r>
    </w:p>
    <w:p w:rsidR="00C35304" w:rsidRPr="007F6F77" w:rsidRDefault="000571DE" w:rsidP="009603F4">
      <w:pPr>
        <w:pStyle w:val="6"/>
        <w:overflowPunct w:val="0"/>
        <w:snapToGrid w:val="0"/>
        <w:spacing w:after="0" w:line="440" w:lineRule="exact"/>
        <w:ind w:left="0" w:firstLineChars="200" w:firstLine="472"/>
        <w:textDirection w:val="lrTbV"/>
        <w:rPr>
          <w:rFonts w:ascii="Times New Roman" w:eastAsia="標楷體"/>
          <w:spacing w:val="-2"/>
          <w:sz w:val="24"/>
          <w:szCs w:val="28"/>
        </w:rPr>
      </w:pPr>
      <w:r w:rsidRPr="007F6F77">
        <w:rPr>
          <w:rFonts w:ascii="Times New Roman" w:eastAsia="標楷體" w:hint="eastAsia"/>
          <w:spacing w:val="-2"/>
          <w:sz w:val="24"/>
          <w:szCs w:val="28"/>
        </w:rPr>
        <w:t>With regard to the outlook for the international economic and financial conditions, several board directors and supervisors commented on the implications of the flattening of the US Treasury yields. One board director cited the CBC</w:t>
      </w:r>
      <w:r w:rsidRPr="007F6F77">
        <w:rPr>
          <w:rFonts w:ascii="Times New Roman" w:eastAsia="標楷體"/>
          <w:spacing w:val="-2"/>
          <w:sz w:val="24"/>
          <w:szCs w:val="28"/>
        </w:rPr>
        <w:t>’</w:t>
      </w:r>
      <w:r w:rsidRPr="007F6F77">
        <w:rPr>
          <w:rFonts w:ascii="Times New Roman" w:eastAsia="標楷體" w:hint="eastAsia"/>
          <w:spacing w:val="-2"/>
          <w:sz w:val="24"/>
          <w:szCs w:val="28"/>
        </w:rPr>
        <w:t xml:space="preserve">s internal papers, which pointed out that </w:t>
      </w:r>
      <w:r w:rsidRPr="007F6F77">
        <w:rPr>
          <w:rFonts w:ascii="Times New Roman" w:eastAsia="標楷體"/>
          <w:spacing w:val="-2"/>
          <w:sz w:val="24"/>
          <w:szCs w:val="28"/>
        </w:rPr>
        <w:t xml:space="preserve">inverted </w:t>
      </w:r>
      <w:r w:rsidRPr="007F6F77">
        <w:rPr>
          <w:rFonts w:ascii="Times New Roman" w:eastAsia="標楷體" w:hint="eastAsia"/>
          <w:spacing w:val="-2"/>
          <w:sz w:val="24"/>
          <w:szCs w:val="28"/>
        </w:rPr>
        <w:t xml:space="preserve">Treasury </w:t>
      </w:r>
      <w:r w:rsidRPr="007F6F77">
        <w:rPr>
          <w:rFonts w:ascii="Times New Roman" w:eastAsia="標楷體"/>
          <w:spacing w:val="-2"/>
          <w:sz w:val="24"/>
          <w:szCs w:val="28"/>
        </w:rPr>
        <w:t>yield curves have preceded the last five US recessions</w:t>
      </w:r>
      <w:r w:rsidR="00387CE0" w:rsidRPr="007F6F77">
        <w:rPr>
          <w:rFonts w:ascii="Times New Roman" w:eastAsia="標楷體" w:hint="eastAsia"/>
          <w:spacing w:val="-2"/>
          <w:sz w:val="24"/>
          <w:szCs w:val="28"/>
        </w:rPr>
        <w:t xml:space="preserve"> since the 1980s</w:t>
      </w:r>
      <w:r w:rsidRPr="007F6F77">
        <w:rPr>
          <w:rFonts w:ascii="Times New Roman" w:eastAsia="標楷體"/>
          <w:spacing w:val="-2"/>
          <w:sz w:val="24"/>
          <w:szCs w:val="28"/>
        </w:rPr>
        <w:t>.</w:t>
      </w:r>
      <w:r w:rsidRPr="007F6F77">
        <w:rPr>
          <w:rFonts w:ascii="Times New Roman" w:eastAsia="標楷體" w:hint="eastAsia"/>
          <w:spacing w:val="-2"/>
          <w:sz w:val="24"/>
          <w:szCs w:val="28"/>
        </w:rPr>
        <w:t xml:space="preserve"> Another board director </w:t>
      </w:r>
      <w:r w:rsidR="00000539" w:rsidRPr="007F6F77">
        <w:rPr>
          <w:rFonts w:ascii="Times New Roman" w:eastAsia="標楷體" w:hint="eastAsia"/>
          <w:spacing w:val="-2"/>
          <w:sz w:val="24"/>
          <w:szCs w:val="28"/>
        </w:rPr>
        <w:t xml:space="preserve">pointed out that, in the post-crisis era, yield curve inversion does not necessarily portend economic recessions </w:t>
      </w:r>
      <w:r w:rsidR="00C35304" w:rsidRPr="007F6F77">
        <w:rPr>
          <w:rFonts w:ascii="Times New Roman" w:eastAsia="標楷體" w:hint="eastAsia"/>
          <w:spacing w:val="-2"/>
          <w:sz w:val="24"/>
          <w:szCs w:val="28"/>
        </w:rPr>
        <w:t xml:space="preserve">because of </w:t>
      </w:r>
      <w:r w:rsidR="00000539" w:rsidRPr="007F6F77">
        <w:rPr>
          <w:rFonts w:ascii="Times New Roman" w:eastAsia="標楷體" w:hint="eastAsia"/>
          <w:spacing w:val="-2"/>
          <w:sz w:val="24"/>
          <w:szCs w:val="28"/>
        </w:rPr>
        <w:t>structural changes including</w:t>
      </w:r>
      <w:r w:rsidR="00C35304" w:rsidRPr="007F6F77">
        <w:rPr>
          <w:rFonts w:ascii="Times New Roman" w:eastAsia="標楷體" w:hint="eastAsia"/>
          <w:spacing w:val="-2"/>
          <w:sz w:val="24"/>
          <w:szCs w:val="28"/>
        </w:rPr>
        <w:t xml:space="preserve"> the introduction of </w:t>
      </w:r>
      <w:r w:rsidR="008C6F26" w:rsidRPr="007F6F77">
        <w:rPr>
          <w:rFonts w:ascii="Times New Roman" w:eastAsia="標楷體" w:hint="eastAsia"/>
          <w:spacing w:val="-2"/>
          <w:sz w:val="24"/>
          <w:szCs w:val="28"/>
        </w:rPr>
        <w:t>tighter</w:t>
      </w:r>
      <w:r w:rsidR="00C35304" w:rsidRPr="007F6F77">
        <w:rPr>
          <w:rFonts w:ascii="Times New Roman" w:eastAsia="標楷體" w:hint="eastAsia"/>
          <w:spacing w:val="-2"/>
          <w:sz w:val="24"/>
          <w:szCs w:val="28"/>
        </w:rPr>
        <w:t xml:space="preserve"> financial supervision and the requirement of banks holding a larger proportion of safety assets (such as m</w:t>
      </w:r>
      <w:r w:rsidR="008C6F26" w:rsidRPr="007F6F77">
        <w:rPr>
          <w:rFonts w:ascii="Times New Roman" w:eastAsia="標楷體" w:hint="eastAsia"/>
          <w:spacing w:val="-2"/>
          <w:sz w:val="24"/>
          <w:szCs w:val="28"/>
        </w:rPr>
        <w:t>edium</w:t>
      </w:r>
      <w:r w:rsidR="00C35304" w:rsidRPr="007F6F77">
        <w:rPr>
          <w:rFonts w:ascii="Times New Roman" w:eastAsia="標楷體" w:hint="eastAsia"/>
          <w:spacing w:val="-2"/>
          <w:sz w:val="24"/>
          <w:szCs w:val="28"/>
        </w:rPr>
        <w:t>- to long-term US Treasuries)</w:t>
      </w:r>
      <w:r w:rsidR="00000539" w:rsidRPr="007F6F77">
        <w:rPr>
          <w:rFonts w:ascii="Times New Roman" w:eastAsia="標楷體" w:hint="eastAsia"/>
          <w:spacing w:val="-2"/>
          <w:sz w:val="24"/>
          <w:szCs w:val="28"/>
        </w:rPr>
        <w:t xml:space="preserve">, as well as lower risk premiums </w:t>
      </w:r>
      <w:r w:rsidR="00C35304" w:rsidRPr="007F6F77">
        <w:rPr>
          <w:rFonts w:ascii="Times New Roman" w:eastAsia="標楷體" w:hint="eastAsia"/>
          <w:spacing w:val="-2"/>
          <w:sz w:val="24"/>
          <w:szCs w:val="28"/>
        </w:rPr>
        <w:t>brought down by the quantitative easing policies of major central banks. According to the Federal Reserve, even an inverted yield curve occurs now or next year, the likelihood of a US recession next year is not high</w:t>
      </w:r>
      <w:r w:rsidR="009603F4" w:rsidRPr="007F6F77">
        <w:rPr>
          <w:rFonts w:ascii="Times New Roman" w:eastAsia="標楷體" w:hint="eastAsia"/>
          <w:spacing w:val="-2"/>
          <w:sz w:val="24"/>
          <w:szCs w:val="28"/>
        </w:rPr>
        <w:t>, and the economic growth is expected to begin to decelerate only</w:t>
      </w:r>
      <w:r w:rsidR="00C35304" w:rsidRPr="007F6F77">
        <w:rPr>
          <w:rFonts w:ascii="Times New Roman" w:eastAsia="標楷體" w:hint="eastAsia"/>
          <w:spacing w:val="-2"/>
          <w:sz w:val="24"/>
          <w:szCs w:val="28"/>
        </w:rPr>
        <w:t xml:space="preserve"> </w:t>
      </w:r>
      <w:r w:rsidR="009603F4" w:rsidRPr="007F6F77">
        <w:rPr>
          <w:rFonts w:ascii="Times New Roman" w:eastAsia="標楷體" w:hint="eastAsia"/>
          <w:spacing w:val="-2"/>
          <w:sz w:val="24"/>
          <w:szCs w:val="28"/>
        </w:rPr>
        <w:t xml:space="preserve">after peaking in 2020. However, if a protracted yield curve inversion in the future could reinforce market expectation of an impending US recession. </w:t>
      </w:r>
      <w:r w:rsidR="003B196A" w:rsidRPr="007F6F77">
        <w:rPr>
          <w:rFonts w:ascii="Times New Roman" w:eastAsia="標楷體" w:hint="eastAsia"/>
          <w:spacing w:val="-2"/>
          <w:sz w:val="24"/>
          <w:szCs w:val="28"/>
        </w:rPr>
        <w:t xml:space="preserve">One supervisor also noted that the general market view predicts a US recession </w:t>
      </w:r>
      <w:r w:rsidR="008C6F26" w:rsidRPr="007F6F77">
        <w:rPr>
          <w:rFonts w:ascii="Times New Roman" w:eastAsia="標楷體" w:hint="eastAsia"/>
          <w:spacing w:val="-2"/>
          <w:sz w:val="24"/>
          <w:szCs w:val="28"/>
        </w:rPr>
        <w:t xml:space="preserve">sometime </w:t>
      </w:r>
      <w:r w:rsidR="003B196A" w:rsidRPr="007F6F77">
        <w:rPr>
          <w:rFonts w:ascii="Times New Roman" w:eastAsia="標楷體" w:hint="eastAsia"/>
          <w:spacing w:val="-2"/>
          <w:sz w:val="24"/>
          <w:szCs w:val="28"/>
        </w:rPr>
        <w:t xml:space="preserve">in 2020. </w:t>
      </w:r>
    </w:p>
    <w:p w:rsidR="00A0790A" w:rsidRPr="007F6F77" w:rsidRDefault="00C81CB1" w:rsidP="000F0290">
      <w:pPr>
        <w:pStyle w:val="6"/>
        <w:overflowPunct w:val="0"/>
        <w:snapToGrid w:val="0"/>
        <w:spacing w:after="0" w:line="440" w:lineRule="exact"/>
        <w:ind w:left="0" w:firstLineChars="200" w:firstLine="472"/>
        <w:textDirection w:val="lrTbV"/>
        <w:rPr>
          <w:rFonts w:ascii="Times New Roman" w:eastAsia="標楷體"/>
          <w:spacing w:val="-2"/>
          <w:sz w:val="24"/>
          <w:szCs w:val="28"/>
        </w:rPr>
      </w:pPr>
      <w:r w:rsidRPr="007F6F77">
        <w:rPr>
          <w:rFonts w:ascii="Times New Roman" w:eastAsia="標楷體" w:hint="eastAsia"/>
          <w:spacing w:val="-2"/>
          <w:sz w:val="24"/>
          <w:szCs w:val="28"/>
        </w:rPr>
        <w:t xml:space="preserve">Regarding international oil prices, one supervisor stated that </w:t>
      </w:r>
      <w:r w:rsidR="00A0790A" w:rsidRPr="007F6F77">
        <w:rPr>
          <w:rFonts w:ascii="Times New Roman" w:eastAsia="標楷體" w:hint="eastAsia"/>
          <w:spacing w:val="-2"/>
          <w:sz w:val="24"/>
          <w:szCs w:val="28"/>
        </w:rPr>
        <w:t xml:space="preserve">the </w:t>
      </w:r>
      <w:r w:rsidRPr="007F6F77">
        <w:rPr>
          <w:rFonts w:ascii="Times New Roman" w:eastAsia="標楷體" w:hint="eastAsia"/>
          <w:spacing w:val="-2"/>
          <w:sz w:val="24"/>
          <w:szCs w:val="28"/>
        </w:rPr>
        <w:t>recent oil price slump was mainly attributable to oil futures, instead of deteriorating fundamentals</w:t>
      </w:r>
      <w:r w:rsidR="000F0290" w:rsidRPr="007F6F77">
        <w:rPr>
          <w:rFonts w:ascii="Times New Roman" w:eastAsia="標楷體" w:hint="eastAsia"/>
          <w:spacing w:val="-2"/>
          <w:sz w:val="24"/>
          <w:szCs w:val="28"/>
        </w:rPr>
        <w:t xml:space="preserve">, as the decline in the stock of crude and finished oil products </w:t>
      </w:r>
      <w:r w:rsidR="00A0790A" w:rsidRPr="007F6F77">
        <w:rPr>
          <w:rFonts w:ascii="Times New Roman" w:eastAsia="標楷體" w:hint="eastAsia"/>
          <w:spacing w:val="-2"/>
          <w:sz w:val="24"/>
          <w:szCs w:val="28"/>
        </w:rPr>
        <w:t xml:space="preserve">in recent months </w:t>
      </w:r>
      <w:r w:rsidR="000F0290" w:rsidRPr="007F6F77">
        <w:rPr>
          <w:rFonts w:ascii="Times New Roman" w:eastAsia="標楷體" w:hint="eastAsia"/>
          <w:spacing w:val="-2"/>
          <w:sz w:val="24"/>
          <w:szCs w:val="28"/>
        </w:rPr>
        <w:t xml:space="preserve">weakened concerns about oversupply. </w:t>
      </w:r>
      <w:r w:rsidR="00A0790A" w:rsidRPr="007F6F77">
        <w:rPr>
          <w:rFonts w:ascii="Times New Roman" w:eastAsia="標楷體" w:hint="eastAsia"/>
          <w:spacing w:val="-2"/>
          <w:sz w:val="24"/>
          <w:szCs w:val="28"/>
        </w:rPr>
        <w:t>In terms of the outlook, softer crude demand amid a moderating global economy would be outweighed by the impact of production cuts by both OPEC and no</w:t>
      </w:r>
      <w:r w:rsidR="00AC7C89" w:rsidRPr="007F6F77">
        <w:rPr>
          <w:rFonts w:ascii="Times New Roman" w:eastAsia="標楷體" w:hint="eastAsia"/>
          <w:spacing w:val="-2"/>
          <w:sz w:val="24"/>
          <w:szCs w:val="28"/>
        </w:rPr>
        <w:t>n</w:t>
      </w:r>
      <w:r w:rsidR="00A0790A" w:rsidRPr="007F6F77">
        <w:rPr>
          <w:rFonts w:ascii="Times New Roman" w:eastAsia="標楷體" w:hint="eastAsia"/>
          <w:spacing w:val="-2"/>
          <w:sz w:val="24"/>
          <w:szCs w:val="28"/>
        </w:rPr>
        <w:t xml:space="preserve">-OPEC economies, thereby </w:t>
      </w:r>
      <w:r w:rsidR="00A0790A" w:rsidRPr="007F6F77">
        <w:rPr>
          <w:rFonts w:ascii="Times New Roman" w:eastAsia="標楷體" w:hint="eastAsia"/>
          <w:spacing w:val="-2"/>
          <w:sz w:val="24"/>
          <w:szCs w:val="28"/>
        </w:rPr>
        <w:lastRenderedPageBreak/>
        <w:t xml:space="preserve">bolstering oil prices. It is therefore expected that, in 2019, oil prices will only be slightly lower than this year. </w:t>
      </w:r>
    </w:p>
    <w:p w:rsidR="00AC7C89" w:rsidRPr="007F6F77" w:rsidRDefault="00AC7C89" w:rsidP="00D66099">
      <w:pPr>
        <w:pStyle w:val="6"/>
        <w:overflowPunct w:val="0"/>
        <w:snapToGrid w:val="0"/>
        <w:spacing w:after="0" w:line="440" w:lineRule="exact"/>
        <w:ind w:left="0" w:firstLineChars="200" w:firstLine="472"/>
        <w:textDirection w:val="lrTbV"/>
        <w:rPr>
          <w:rFonts w:ascii="Times New Roman" w:eastAsia="標楷體"/>
          <w:spacing w:val="-2"/>
          <w:sz w:val="24"/>
          <w:szCs w:val="28"/>
        </w:rPr>
      </w:pPr>
      <w:r w:rsidRPr="007F6F77">
        <w:rPr>
          <w:rFonts w:ascii="Times New Roman" w:eastAsia="標楷體" w:hint="eastAsia"/>
          <w:spacing w:val="-2"/>
          <w:sz w:val="24"/>
          <w:szCs w:val="28"/>
        </w:rPr>
        <w:t xml:space="preserve">In respect of the domestic </w:t>
      </w:r>
      <w:r w:rsidRPr="007F6F77">
        <w:rPr>
          <w:rFonts w:ascii="Times New Roman" w:eastAsia="標楷體"/>
          <w:spacing w:val="-2"/>
          <w:sz w:val="24"/>
          <w:szCs w:val="28"/>
        </w:rPr>
        <w:t>economic</w:t>
      </w:r>
      <w:r w:rsidRPr="007F6F77">
        <w:rPr>
          <w:rFonts w:ascii="Times New Roman" w:eastAsia="標楷體" w:hint="eastAsia"/>
          <w:spacing w:val="-2"/>
          <w:sz w:val="24"/>
          <w:szCs w:val="28"/>
        </w:rPr>
        <w:t xml:space="preserve"> outlook, one board director noted that, based on the CBC</w:t>
      </w:r>
      <w:r w:rsidRPr="007F6F77">
        <w:rPr>
          <w:rFonts w:ascii="Times New Roman" w:eastAsia="標楷體"/>
          <w:spacing w:val="-2"/>
          <w:sz w:val="24"/>
          <w:szCs w:val="28"/>
        </w:rPr>
        <w:t>’</w:t>
      </w:r>
      <w:r w:rsidRPr="007F6F77">
        <w:rPr>
          <w:rFonts w:ascii="Times New Roman" w:eastAsia="標楷體" w:hint="eastAsia"/>
          <w:spacing w:val="-2"/>
          <w:sz w:val="24"/>
          <w:szCs w:val="28"/>
        </w:rPr>
        <w:t>s forecast about Taiwan</w:t>
      </w:r>
      <w:r w:rsidRPr="007F6F77">
        <w:rPr>
          <w:rFonts w:ascii="Times New Roman" w:eastAsia="標楷體"/>
          <w:spacing w:val="-2"/>
          <w:sz w:val="24"/>
          <w:szCs w:val="28"/>
        </w:rPr>
        <w:t>’</w:t>
      </w:r>
      <w:r w:rsidRPr="007F6F77">
        <w:rPr>
          <w:rFonts w:ascii="Times New Roman" w:eastAsia="標楷體" w:hint="eastAsia"/>
          <w:spacing w:val="-2"/>
          <w:sz w:val="24"/>
          <w:szCs w:val="28"/>
        </w:rPr>
        <w:t xml:space="preserve">s economic growth, domestic demand has played an increasingly significant role. Another board director stated that some small-sized brick-and-mortar stores have witnessed falling sales because of competition from online or large retailers. Nevertheless, </w:t>
      </w:r>
      <w:r w:rsidR="00D66099" w:rsidRPr="007F6F77">
        <w:rPr>
          <w:rFonts w:ascii="Times New Roman" w:eastAsia="標楷體" w:hint="eastAsia"/>
          <w:spacing w:val="-2"/>
          <w:sz w:val="24"/>
          <w:szCs w:val="28"/>
        </w:rPr>
        <w:t>it is expected that corporate equipment investment would continue rising next year as a result of planned reshoring of Taiwanese firms amid US-China trade conflicts. Taiwan</w:t>
      </w:r>
      <w:r w:rsidR="00D66099" w:rsidRPr="007F6F77">
        <w:rPr>
          <w:rFonts w:ascii="Times New Roman" w:eastAsia="標楷體"/>
          <w:spacing w:val="-2"/>
          <w:sz w:val="24"/>
          <w:szCs w:val="28"/>
        </w:rPr>
        <w:t>’</w:t>
      </w:r>
      <w:r w:rsidR="00D66099" w:rsidRPr="007F6F77">
        <w:rPr>
          <w:rFonts w:ascii="Times New Roman" w:eastAsia="標楷體" w:hint="eastAsia"/>
          <w:spacing w:val="-2"/>
          <w:sz w:val="24"/>
          <w:szCs w:val="28"/>
        </w:rPr>
        <w:t xml:space="preserve">s </w:t>
      </w:r>
      <w:r w:rsidR="00D66099" w:rsidRPr="007F6F77">
        <w:rPr>
          <w:rFonts w:ascii="Times New Roman" w:eastAsia="標楷體"/>
          <w:spacing w:val="-2"/>
          <w:sz w:val="24"/>
          <w:szCs w:val="28"/>
        </w:rPr>
        <w:t>economy</w:t>
      </w:r>
      <w:r w:rsidR="00D66099" w:rsidRPr="007F6F77">
        <w:rPr>
          <w:rFonts w:ascii="Times New Roman" w:eastAsia="標楷體" w:hint="eastAsia"/>
          <w:spacing w:val="-2"/>
          <w:sz w:val="24"/>
          <w:szCs w:val="28"/>
        </w:rPr>
        <w:t xml:space="preserve"> is projected to expand at a moderately steady pace with the support of </w:t>
      </w:r>
      <w:r w:rsidR="00D66099" w:rsidRPr="007F6F77">
        <w:rPr>
          <w:rFonts w:ascii="Times New Roman" w:eastAsia="標楷體"/>
          <w:spacing w:val="-2"/>
          <w:sz w:val="24"/>
          <w:szCs w:val="28"/>
        </w:rPr>
        <w:t>appropriate</w:t>
      </w:r>
      <w:r w:rsidR="00D66099" w:rsidRPr="007F6F77">
        <w:rPr>
          <w:rFonts w:ascii="Times New Roman" w:eastAsia="標楷體" w:hint="eastAsia"/>
          <w:spacing w:val="-2"/>
          <w:sz w:val="24"/>
          <w:szCs w:val="28"/>
        </w:rPr>
        <w:t xml:space="preserve"> and </w:t>
      </w:r>
      <w:r w:rsidR="00D66099" w:rsidRPr="007F6F77">
        <w:rPr>
          <w:rFonts w:ascii="Times New Roman" w:eastAsia="標楷體"/>
          <w:spacing w:val="-2"/>
          <w:sz w:val="24"/>
          <w:szCs w:val="28"/>
        </w:rPr>
        <w:t>accommodative</w:t>
      </w:r>
      <w:r w:rsidR="00D66099" w:rsidRPr="007F6F77">
        <w:rPr>
          <w:rFonts w:ascii="Times New Roman" w:eastAsia="標楷體" w:hint="eastAsia"/>
          <w:spacing w:val="-2"/>
          <w:sz w:val="24"/>
          <w:szCs w:val="28"/>
        </w:rPr>
        <w:t xml:space="preserve"> monetary policy. </w:t>
      </w:r>
    </w:p>
    <w:p w:rsidR="00D66099" w:rsidRPr="007F6F77" w:rsidRDefault="00D66099" w:rsidP="00D66099">
      <w:pPr>
        <w:pStyle w:val="6"/>
        <w:overflowPunct w:val="0"/>
        <w:snapToGrid w:val="0"/>
        <w:spacing w:after="0" w:line="440" w:lineRule="exact"/>
        <w:ind w:left="0" w:firstLineChars="200" w:firstLine="472"/>
        <w:textDirection w:val="lrTbV"/>
        <w:rPr>
          <w:rFonts w:ascii="Times New Roman" w:eastAsia="標楷體"/>
          <w:spacing w:val="-2"/>
          <w:sz w:val="24"/>
          <w:szCs w:val="28"/>
        </w:rPr>
      </w:pPr>
      <w:r w:rsidRPr="007F6F77">
        <w:rPr>
          <w:rFonts w:ascii="Times New Roman" w:eastAsia="標楷體" w:hint="eastAsia"/>
          <w:spacing w:val="-2"/>
          <w:sz w:val="24"/>
          <w:szCs w:val="28"/>
        </w:rPr>
        <w:t xml:space="preserve">With regard to </w:t>
      </w:r>
      <w:r w:rsidRPr="007F6F77">
        <w:rPr>
          <w:rFonts w:ascii="Times New Roman" w:eastAsia="標楷體"/>
          <w:spacing w:val="-2"/>
          <w:sz w:val="24"/>
          <w:szCs w:val="28"/>
        </w:rPr>
        <w:t>domestic</w:t>
      </w:r>
      <w:r w:rsidRPr="007F6F77">
        <w:rPr>
          <w:rFonts w:ascii="Times New Roman" w:eastAsia="標楷體" w:hint="eastAsia"/>
          <w:spacing w:val="-2"/>
          <w:sz w:val="24"/>
          <w:szCs w:val="28"/>
        </w:rPr>
        <w:t xml:space="preserve"> prices, one board director pointed out that inflation has been relatively subdued in recent years, with the 2019 forecast for the CPI annual growth rate dropping to around 1% according to major domestic institutions. </w:t>
      </w:r>
      <w:r w:rsidR="003044E3" w:rsidRPr="007F6F77">
        <w:rPr>
          <w:rFonts w:ascii="Times New Roman" w:eastAsia="標楷體" w:hint="eastAsia"/>
          <w:spacing w:val="-2"/>
          <w:sz w:val="24"/>
          <w:szCs w:val="28"/>
        </w:rPr>
        <w:t>In addition to short-term factors such as oil prices and grain prices, inflation is also affected by several longer-term structural factors. For instance, intensified price competition</w:t>
      </w:r>
      <w:r w:rsidR="00FD0073" w:rsidRPr="007F6F77">
        <w:rPr>
          <w:rFonts w:ascii="Times New Roman" w:eastAsia="標楷體" w:hint="eastAsia"/>
          <w:spacing w:val="-2"/>
          <w:sz w:val="24"/>
          <w:szCs w:val="28"/>
        </w:rPr>
        <w:t xml:space="preserve"> as a result of globalization and booming e-commerce</w:t>
      </w:r>
      <w:r w:rsidR="003044E3" w:rsidRPr="007F6F77">
        <w:rPr>
          <w:rFonts w:ascii="Times New Roman" w:eastAsia="標楷體" w:hint="eastAsia"/>
          <w:spacing w:val="-2"/>
          <w:sz w:val="24"/>
          <w:szCs w:val="28"/>
        </w:rPr>
        <w:t xml:space="preserve"> and falling mobile communication rates in recent years have combined </w:t>
      </w:r>
      <w:r w:rsidR="00FD0073" w:rsidRPr="007F6F77">
        <w:rPr>
          <w:rFonts w:ascii="Times New Roman" w:eastAsia="標楷體" w:hint="eastAsia"/>
          <w:spacing w:val="-2"/>
          <w:sz w:val="24"/>
          <w:szCs w:val="28"/>
        </w:rPr>
        <w:t>t</w:t>
      </w:r>
      <w:r w:rsidR="003044E3" w:rsidRPr="007F6F77">
        <w:rPr>
          <w:rFonts w:ascii="Times New Roman" w:eastAsia="標楷體" w:hint="eastAsia"/>
          <w:spacing w:val="-2"/>
          <w:sz w:val="24"/>
          <w:szCs w:val="28"/>
        </w:rPr>
        <w:t>o depress domestic inflation rates.</w:t>
      </w:r>
    </w:p>
    <w:p w:rsidR="003044E3" w:rsidRPr="007F6F77" w:rsidRDefault="003044E3" w:rsidP="003044E3">
      <w:pPr>
        <w:adjustRightInd/>
        <w:spacing w:before="120" w:line="440" w:lineRule="exact"/>
        <w:ind w:left="363" w:hangingChars="154" w:hanging="363"/>
        <w:textAlignment w:val="auto"/>
        <w:rPr>
          <w:rFonts w:eastAsia="標楷體"/>
          <w:spacing w:val="-2"/>
          <w:kern w:val="2"/>
          <w:sz w:val="24"/>
          <w:szCs w:val="28"/>
        </w:rPr>
      </w:pPr>
      <w:r w:rsidRPr="007F6F77">
        <w:rPr>
          <w:rFonts w:eastAsia="標楷體" w:hint="eastAsia"/>
          <w:spacing w:val="-2"/>
          <w:kern w:val="2"/>
          <w:sz w:val="24"/>
          <w:szCs w:val="28"/>
        </w:rPr>
        <w:t>(2) Discussion on interest rate decision</w:t>
      </w:r>
    </w:p>
    <w:p w:rsidR="00551520" w:rsidRPr="007F6F77" w:rsidRDefault="00AB6995" w:rsidP="00FA173A">
      <w:pPr>
        <w:adjustRightInd/>
        <w:snapToGrid w:val="0"/>
        <w:spacing w:before="120" w:line="440" w:lineRule="exact"/>
        <w:ind w:firstLineChars="200" w:firstLine="480"/>
        <w:jc w:val="both"/>
        <w:textDirection w:val="lrTbV"/>
        <w:rPr>
          <w:rFonts w:eastAsia="標楷體"/>
          <w:sz w:val="24"/>
          <w:szCs w:val="32"/>
        </w:rPr>
      </w:pPr>
      <w:r w:rsidRPr="007F6F77">
        <w:rPr>
          <w:rFonts w:eastAsia="標楷體" w:hint="eastAsia"/>
          <w:b/>
          <w:sz w:val="24"/>
          <w:szCs w:val="32"/>
        </w:rPr>
        <w:t>M</w:t>
      </w:r>
      <w:r w:rsidR="00C41905" w:rsidRPr="007F6F77">
        <w:rPr>
          <w:rFonts w:eastAsia="標楷體" w:hint="eastAsia"/>
          <w:b/>
          <w:sz w:val="24"/>
          <w:szCs w:val="32"/>
        </w:rPr>
        <w:t xml:space="preserve">any </w:t>
      </w:r>
      <w:r w:rsidR="00A6032A" w:rsidRPr="007F6F77">
        <w:rPr>
          <w:rFonts w:eastAsia="標楷體" w:hint="eastAsia"/>
          <w:b/>
          <w:sz w:val="24"/>
          <w:szCs w:val="32"/>
        </w:rPr>
        <w:t xml:space="preserve">board directors </w:t>
      </w:r>
      <w:r w:rsidR="00B111FC" w:rsidRPr="007F6F77">
        <w:rPr>
          <w:rFonts w:eastAsia="標楷體" w:hint="eastAsia"/>
          <w:sz w:val="24"/>
          <w:szCs w:val="32"/>
        </w:rPr>
        <w:t xml:space="preserve">expressed </w:t>
      </w:r>
      <w:r w:rsidRPr="007F6F77">
        <w:rPr>
          <w:rFonts w:eastAsia="標楷體" w:hint="eastAsia"/>
          <w:sz w:val="24"/>
          <w:szCs w:val="32"/>
        </w:rPr>
        <w:t>support for keeping the policy rates unchanged, based mainly on the view that uncertainties continue to exist next year. One board director stated that</w:t>
      </w:r>
      <w:r w:rsidR="0034735A" w:rsidRPr="007F6F77">
        <w:rPr>
          <w:rFonts w:eastAsia="標楷體" w:hint="eastAsia"/>
          <w:sz w:val="24"/>
          <w:szCs w:val="32"/>
        </w:rPr>
        <w:t xml:space="preserve">, given the uncertainties next year, dynamic stability of the exchange rate would help companies in Taiwan, an export-orient economy, in decision making related to external trade and investment. One board director was in favor of a rate hold because such decision would weaken market expectation of future uncertainties. Another board director pointed out that </w:t>
      </w:r>
      <w:r w:rsidR="00551520" w:rsidRPr="007F6F77">
        <w:rPr>
          <w:rFonts w:eastAsia="標楷體" w:hint="eastAsia"/>
          <w:sz w:val="24"/>
          <w:szCs w:val="32"/>
        </w:rPr>
        <w:t xml:space="preserve">the projections of mild inflation expectation and slower </w:t>
      </w:r>
      <w:r w:rsidR="00551520" w:rsidRPr="007F6F77">
        <w:rPr>
          <w:rFonts w:eastAsia="標楷體"/>
          <w:sz w:val="24"/>
          <w:szCs w:val="32"/>
        </w:rPr>
        <w:t>economic</w:t>
      </w:r>
      <w:r w:rsidR="00551520" w:rsidRPr="007F6F77">
        <w:rPr>
          <w:rFonts w:eastAsia="標楷體" w:hint="eastAsia"/>
          <w:sz w:val="24"/>
          <w:szCs w:val="32"/>
        </w:rPr>
        <w:t xml:space="preserve"> </w:t>
      </w:r>
      <w:proofErr w:type="gramStart"/>
      <w:r w:rsidR="00551520" w:rsidRPr="007F6F77">
        <w:rPr>
          <w:rFonts w:eastAsia="標楷體" w:hint="eastAsia"/>
          <w:sz w:val="24"/>
          <w:szCs w:val="32"/>
        </w:rPr>
        <w:t>growth in Taiwan next year, as well as lingering uncertainties over international trade, remove</w:t>
      </w:r>
      <w:proofErr w:type="gramEnd"/>
      <w:r w:rsidR="00551520" w:rsidRPr="007F6F77">
        <w:rPr>
          <w:rFonts w:eastAsia="標楷體" w:hint="eastAsia"/>
          <w:sz w:val="24"/>
          <w:szCs w:val="32"/>
        </w:rPr>
        <w:t xml:space="preserve"> an urgent need to begin a rate hike cycle. </w:t>
      </w:r>
    </w:p>
    <w:p w:rsidR="00551520" w:rsidRPr="007F6F77" w:rsidRDefault="00551520" w:rsidP="000E0BA5">
      <w:pPr>
        <w:adjustRightInd/>
        <w:snapToGrid w:val="0"/>
        <w:spacing w:before="120" w:line="440" w:lineRule="exact"/>
        <w:ind w:firstLineChars="200" w:firstLine="480"/>
        <w:jc w:val="both"/>
        <w:textDirection w:val="lrTbV"/>
        <w:rPr>
          <w:rFonts w:eastAsia="標楷體"/>
          <w:sz w:val="24"/>
          <w:szCs w:val="32"/>
        </w:rPr>
      </w:pPr>
      <w:r w:rsidRPr="007F6F77">
        <w:rPr>
          <w:rFonts w:eastAsia="標楷體" w:hint="eastAsia"/>
          <w:sz w:val="24"/>
          <w:szCs w:val="32"/>
        </w:rPr>
        <w:t xml:space="preserve">One </w:t>
      </w:r>
      <w:r w:rsidR="00CB47D5" w:rsidRPr="007F6F77">
        <w:rPr>
          <w:rFonts w:eastAsia="標楷體" w:hint="eastAsia"/>
          <w:sz w:val="24"/>
          <w:szCs w:val="32"/>
        </w:rPr>
        <w:t xml:space="preserve">board director </w:t>
      </w:r>
      <w:r w:rsidR="000E0BA5" w:rsidRPr="007F6F77">
        <w:rPr>
          <w:rFonts w:eastAsia="標楷體" w:hint="eastAsia"/>
          <w:sz w:val="24"/>
          <w:szCs w:val="32"/>
        </w:rPr>
        <w:t xml:space="preserve">expressed support </w:t>
      </w:r>
      <w:r w:rsidR="00424DD1" w:rsidRPr="007F6F77">
        <w:rPr>
          <w:rFonts w:eastAsia="標楷體" w:hint="eastAsia"/>
          <w:sz w:val="24"/>
          <w:szCs w:val="32"/>
        </w:rPr>
        <w:t>for maintaining the policy rates at current levels</w:t>
      </w:r>
      <w:r w:rsidR="000E0BA5" w:rsidRPr="007F6F77">
        <w:rPr>
          <w:rFonts w:eastAsia="標楷體" w:hint="eastAsia"/>
          <w:sz w:val="24"/>
          <w:szCs w:val="32"/>
        </w:rPr>
        <w:t xml:space="preserve">, </w:t>
      </w:r>
      <w:r w:rsidR="00CB47D5" w:rsidRPr="007F6F77">
        <w:rPr>
          <w:rFonts w:eastAsia="標楷體" w:hint="eastAsia"/>
          <w:sz w:val="24"/>
          <w:szCs w:val="32"/>
        </w:rPr>
        <w:t>not</w:t>
      </w:r>
      <w:r w:rsidR="000E0BA5" w:rsidRPr="007F6F77">
        <w:rPr>
          <w:rFonts w:eastAsia="標楷體" w:hint="eastAsia"/>
          <w:sz w:val="24"/>
          <w:szCs w:val="32"/>
        </w:rPr>
        <w:t>ing</w:t>
      </w:r>
      <w:r w:rsidR="00CB47D5" w:rsidRPr="007F6F77">
        <w:rPr>
          <w:rFonts w:eastAsia="標楷體" w:hint="eastAsia"/>
          <w:sz w:val="24"/>
          <w:szCs w:val="32"/>
        </w:rPr>
        <w:t xml:space="preserve"> that</w:t>
      </w:r>
      <w:r w:rsidR="000E0BA5" w:rsidRPr="007F6F77">
        <w:rPr>
          <w:rFonts w:eastAsia="標楷體" w:hint="eastAsia"/>
          <w:sz w:val="24"/>
          <w:szCs w:val="32"/>
        </w:rPr>
        <w:t xml:space="preserve"> the interbank call loan rates and the excess reserves of financial institutions indicated </w:t>
      </w:r>
      <w:r w:rsidR="00BE4BB7" w:rsidRPr="007F6F77">
        <w:rPr>
          <w:rFonts w:eastAsia="標楷體" w:hint="eastAsia"/>
          <w:sz w:val="24"/>
          <w:szCs w:val="32"/>
        </w:rPr>
        <w:t xml:space="preserve">that </w:t>
      </w:r>
      <w:r w:rsidR="000E0BA5" w:rsidRPr="007F6F77">
        <w:rPr>
          <w:rFonts w:eastAsia="標楷體" w:hint="eastAsia"/>
          <w:sz w:val="24"/>
          <w:szCs w:val="32"/>
        </w:rPr>
        <w:t xml:space="preserve">market liquidity were stable and sufficient. </w:t>
      </w:r>
    </w:p>
    <w:p w:rsidR="00424DD1" w:rsidRPr="007F6F77" w:rsidRDefault="00424DD1" w:rsidP="000E0BA5">
      <w:pPr>
        <w:adjustRightInd/>
        <w:snapToGrid w:val="0"/>
        <w:spacing w:before="120" w:line="440" w:lineRule="exact"/>
        <w:ind w:firstLineChars="200" w:firstLine="480"/>
        <w:jc w:val="both"/>
        <w:textDirection w:val="lrTbV"/>
        <w:rPr>
          <w:rFonts w:eastAsia="標楷體"/>
          <w:sz w:val="24"/>
          <w:szCs w:val="32"/>
        </w:rPr>
      </w:pPr>
      <w:r w:rsidRPr="007F6F77">
        <w:rPr>
          <w:rFonts w:eastAsia="標楷體" w:hint="eastAsia"/>
          <w:sz w:val="24"/>
          <w:szCs w:val="32"/>
        </w:rPr>
        <w:lastRenderedPageBreak/>
        <w:t>One board director, while approving of a rate hold, called attention to the impact of US-T</w:t>
      </w:r>
      <w:r w:rsidRPr="007F6F77">
        <w:rPr>
          <w:rFonts w:eastAsia="標楷體"/>
          <w:sz w:val="24"/>
          <w:szCs w:val="32"/>
        </w:rPr>
        <w:t>a</w:t>
      </w:r>
      <w:r w:rsidRPr="007F6F77">
        <w:rPr>
          <w:rFonts w:eastAsia="標楷體" w:hint="eastAsia"/>
          <w:sz w:val="24"/>
          <w:szCs w:val="32"/>
        </w:rPr>
        <w:t xml:space="preserve">iwan interest spread and capital movements. Another board director continued with the opinion that, instead of the US-Taiwan </w:t>
      </w:r>
      <w:r w:rsidRPr="007F6F77">
        <w:rPr>
          <w:rFonts w:eastAsia="標楷體"/>
          <w:sz w:val="24"/>
          <w:szCs w:val="32"/>
        </w:rPr>
        <w:t>interest</w:t>
      </w:r>
      <w:r w:rsidRPr="007F6F77">
        <w:rPr>
          <w:rFonts w:eastAsia="標楷體" w:hint="eastAsia"/>
          <w:sz w:val="24"/>
          <w:szCs w:val="32"/>
        </w:rPr>
        <w:t xml:space="preserve"> spread, the following three reasons contributed to foreign capital outflows this year: (1) a narrowing difference between </w:t>
      </w:r>
      <w:r w:rsidRPr="007F6F77">
        <w:rPr>
          <w:rFonts w:eastAsia="標楷體"/>
          <w:sz w:val="24"/>
          <w:szCs w:val="32"/>
        </w:rPr>
        <w:t xml:space="preserve">the </w:t>
      </w:r>
      <w:r w:rsidRPr="007F6F77">
        <w:rPr>
          <w:rFonts w:eastAsia="標楷體" w:hint="eastAsia"/>
          <w:sz w:val="24"/>
          <w:szCs w:val="32"/>
        </w:rPr>
        <w:t>local stock market</w:t>
      </w:r>
      <w:r w:rsidRPr="007F6F77">
        <w:rPr>
          <w:rFonts w:eastAsia="標楷體"/>
          <w:sz w:val="24"/>
          <w:szCs w:val="32"/>
        </w:rPr>
        <w:t>’</w:t>
      </w:r>
      <w:r w:rsidRPr="007F6F77">
        <w:rPr>
          <w:rFonts w:eastAsia="標楷體" w:hint="eastAsia"/>
          <w:sz w:val="24"/>
          <w:szCs w:val="32"/>
        </w:rPr>
        <w:t xml:space="preserve">s </w:t>
      </w:r>
      <w:r w:rsidRPr="007F6F77">
        <w:rPr>
          <w:rFonts w:eastAsia="標楷體"/>
          <w:sz w:val="24"/>
          <w:szCs w:val="32"/>
        </w:rPr>
        <w:t>dividend yield and the US Treasury yield</w:t>
      </w:r>
      <w:r w:rsidRPr="007F6F77">
        <w:rPr>
          <w:rFonts w:eastAsia="標楷體" w:hint="eastAsia"/>
          <w:sz w:val="24"/>
          <w:szCs w:val="32"/>
        </w:rPr>
        <w:t xml:space="preserve">; (2) </w:t>
      </w:r>
      <w:r w:rsidR="000277F7" w:rsidRPr="007F6F77">
        <w:rPr>
          <w:rFonts w:eastAsia="標楷體" w:hint="eastAsia"/>
          <w:sz w:val="24"/>
          <w:szCs w:val="32"/>
        </w:rPr>
        <w:t xml:space="preserve">increased outward remittances by </w:t>
      </w:r>
      <w:r w:rsidR="000277F7" w:rsidRPr="007F6F77">
        <w:rPr>
          <w:rFonts w:eastAsia="標楷體"/>
          <w:sz w:val="24"/>
          <w:szCs w:val="32"/>
        </w:rPr>
        <w:t>foreign investors</w:t>
      </w:r>
      <w:r w:rsidR="000277F7" w:rsidRPr="007F6F77">
        <w:rPr>
          <w:rFonts w:eastAsia="標楷體" w:hint="eastAsia"/>
          <w:sz w:val="24"/>
          <w:szCs w:val="32"/>
        </w:rPr>
        <w:t xml:space="preserve"> </w:t>
      </w:r>
      <w:r w:rsidR="000277F7" w:rsidRPr="007F6F77">
        <w:rPr>
          <w:rFonts w:eastAsia="標楷體"/>
          <w:sz w:val="24"/>
          <w:szCs w:val="32"/>
        </w:rPr>
        <w:t xml:space="preserve">after receiving </w:t>
      </w:r>
      <w:r w:rsidR="000277F7" w:rsidRPr="007F6F77">
        <w:rPr>
          <w:rFonts w:eastAsia="標楷體" w:hint="eastAsia"/>
          <w:sz w:val="24"/>
          <w:szCs w:val="32"/>
        </w:rPr>
        <w:t>a</w:t>
      </w:r>
      <w:r w:rsidR="008C6F26" w:rsidRPr="007F6F77">
        <w:rPr>
          <w:rFonts w:eastAsia="標楷體" w:hint="eastAsia"/>
          <w:sz w:val="24"/>
          <w:szCs w:val="32"/>
        </w:rPr>
        <w:t xml:space="preserve"> large amount</w:t>
      </w:r>
      <w:r w:rsidR="000277F7" w:rsidRPr="007F6F77">
        <w:rPr>
          <w:rFonts w:eastAsia="標楷體" w:hint="eastAsia"/>
          <w:sz w:val="24"/>
          <w:szCs w:val="32"/>
        </w:rPr>
        <w:t xml:space="preserve"> of </w:t>
      </w:r>
      <w:r w:rsidR="000277F7" w:rsidRPr="007F6F77">
        <w:rPr>
          <w:rFonts w:eastAsia="標楷體"/>
          <w:sz w:val="24"/>
          <w:szCs w:val="32"/>
        </w:rPr>
        <w:t>cash dividends</w:t>
      </w:r>
      <w:r w:rsidR="00874C19" w:rsidRPr="007F6F77">
        <w:rPr>
          <w:rFonts w:eastAsia="標楷體" w:hint="eastAsia"/>
          <w:sz w:val="24"/>
          <w:szCs w:val="32"/>
        </w:rPr>
        <w:t xml:space="preserve">; (3) capital flows drawn from emerging markets to the United States given the US </w:t>
      </w:r>
      <w:r w:rsidR="00874C19" w:rsidRPr="007F6F77">
        <w:rPr>
          <w:rFonts w:eastAsia="標楷體"/>
          <w:sz w:val="24"/>
          <w:szCs w:val="32"/>
        </w:rPr>
        <w:t>dollar’</w:t>
      </w:r>
      <w:r w:rsidR="00874C19" w:rsidRPr="007F6F77">
        <w:rPr>
          <w:rFonts w:eastAsia="標楷體" w:hint="eastAsia"/>
          <w:sz w:val="24"/>
          <w:szCs w:val="32"/>
        </w:rPr>
        <w:t>s</w:t>
      </w:r>
      <w:r w:rsidR="00874C19" w:rsidRPr="007F6F77">
        <w:rPr>
          <w:rFonts w:eastAsia="標楷體"/>
          <w:sz w:val="24"/>
          <w:szCs w:val="32"/>
        </w:rPr>
        <w:t xml:space="preserve"> status as a </w:t>
      </w:r>
      <w:r w:rsidR="008C6F26" w:rsidRPr="007F6F77">
        <w:rPr>
          <w:rFonts w:eastAsia="標楷體" w:hint="eastAsia"/>
          <w:sz w:val="24"/>
          <w:szCs w:val="32"/>
        </w:rPr>
        <w:t>safe haven</w:t>
      </w:r>
      <w:r w:rsidR="00874C19" w:rsidRPr="007F6F77">
        <w:rPr>
          <w:rFonts w:eastAsia="標楷體"/>
          <w:sz w:val="24"/>
          <w:szCs w:val="32"/>
        </w:rPr>
        <w:t xml:space="preserve"> currency</w:t>
      </w:r>
      <w:r w:rsidR="00874C19" w:rsidRPr="007F6F77">
        <w:rPr>
          <w:rFonts w:eastAsia="標楷體" w:hint="eastAsia"/>
          <w:sz w:val="24"/>
          <w:szCs w:val="32"/>
        </w:rPr>
        <w:t xml:space="preserve"> and a strong US economy</w:t>
      </w:r>
      <w:r w:rsidR="008B7F88" w:rsidRPr="007F6F77">
        <w:rPr>
          <w:rFonts w:eastAsia="標楷體" w:hint="eastAsia"/>
          <w:sz w:val="24"/>
          <w:szCs w:val="32"/>
        </w:rPr>
        <w:t xml:space="preserve">. Moreover, capital outflows from domestic insurance companies were mainly due to a maturity mismatch between assets and liabilities, instead of </w:t>
      </w:r>
      <w:r w:rsidR="00CE5DA9" w:rsidRPr="007F6F77">
        <w:rPr>
          <w:rFonts w:eastAsia="標楷體" w:hint="eastAsia"/>
          <w:sz w:val="24"/>
          <w:szCs w:val="32"/>
        </w:rPr>
        <w:t>an interes</w:t>
      </w:r>
      <w:r w:rsidR="008C6F26" w:rsidRPr="007F6F77">
        <w:rPr>
          <w:rFonts w:eastAsia="標楷體" w:hint="eastAsia"/>
          <w:sz w:val="24"/>
          <w:szCs w:val="32"/>
        </w:rPr>
        <w:t xml:space="preserve">t rate gap. Nevertheless, it would be helpful </w:t>
      </w:r>
      <w:r w:rsidR="00CE5DA9" w:rsidRPr="007F6F77">
        <w:rPr>
          <w:rFonts w:eastAsia="標楷體" w:hint="eastAsia"/>
          <w:sz w:val="24"/>
          <w:szCs w:val="32"/>
        </w:rPr>
        <w:t xml:space="preserve">if </w:t>
      </w:r>
      <w:r w:rsidR="00CE5DA9" w:rsidRPr="007F6F77">
        <w:rPr>
          <w:rFonts w:eastAsia="標楷體"/>
          <w:sz w:val="24"/>
          <w:szCs w:val="32"/>
        </w:rPr>
        <w:t>adequate</w:t>
      </w:r>
      <w:r w:rsidR="00CE5DA9" w:rsidRPr="007F6F77">
        <w:rPr>
          <w:rFonts w:eastAsia="標楷體" w:hint="eastAsia"/>
          <w:sz w:val="24"/>
          <w:szCs w:val="32"/>
        </w:rPr>
        <w:t xml:space="preserve"> long-term investment </w:t>
      </w:r>
      <w:r w:rsidR="00DD5E4A" w:rsidRPr="007F6F77">
        <w:rPr>
          <w:rFonts w:eastAsia="標楷體" w:hint="eastAsia"/>
          <w:sz w:val="24"/>
          <w:szCs w:val="32"/>
        </w:rPr>
        <w:t>tools</w:t>
      </w:r>
      <w:r w:rsidR="00CE5DA9" w:rsidRPr="007F6F77">
        <w:rPr>
          <w:rFonts w:eastAsia="標楷體" w:hint="eastAsia"/>
          <w:sz w:val="24"/>
          <w:szCs w:val="32"/>
        </w:rPr>
        <w:t xml:space="preserve"> are available at home </w:t>
      </w:r>
      <w:r w:rsidR="00DD5E4A" w:rsidRPr="007F6F77">
        <w:rPr>
          <w:rFonts w:eastAsia="標楷體" w:hint="eastAsia"/>
          <w:sz w:val="24"/>
          <w:szCs w:val="32"/>
        </w:rPr>
        <w:t xml:space="preserve">to offer domestic insurers more </w:t>
      </w:r>
      <w:r w:rsidR="00CE5DA9" w:rsidRPr="007F6F77">
        <w:rPr>
          <w:rFonts w:eastAsia="標楷體" w:hint="eastAsia"/>
          <w:sz w:val="24"/>
          <w:szCs w:val="32"/>
        </w:rPr>
        <w:t xml:space="preserve">investment </w:t>
      </w:r>
      <w:r w:rsidR="00DD5E4A" w:rsidRPr="007F6F77">
        <w:rPr>
          <w:rFonts w:eastAsia="標楷體" w:hint="eastAsia"/>
          <w:sz w:val="24"/>
          <w:szCs w:val="32"/>
        </w:rPr>
        <w:t xml:space="preserve">options in addition to overseas products. </w:t>
      </w:r>
    </w:p>
    <w:p w:rsidR="00E81ED2" w:rsidRPr="007F6F77" w:rsidRDefault="00FA723B" w:rsidP="005C6520">
      <w:pPr>
        <w:adjustRightInd/>
        <w:snapToGrid w:val="0"/>
        <w:spacing w:before="120" w:line="440" w:lineRule="exact"/>
        <w:ind w:firstLineChars="200" w:firstLine="480"/>
        <w:jc w:val="both"/>
        <w:textDirection w:val="lrTbV"/>
        <w:rPr>
          <w:rFonts w:eastAsia="標楷體"/>
          <w:sz w:val="24"/>
          <w:szCs w:val="32"/>
        </w:rPr>
      </w:pPr>
      <w:r w:rsidRPr="007F6F77">
        <w:rPr>
          <w:rFonts w:eastAsia="標楷體" w:hint="eastAsia"/>
          <w:sz w:val="24"/>
          <w:szCs w:val="32"/>
        </w:rPr>
        <w:t>Many board directors commented on future deliberation of monetary policy-making. One board director stated that both short-term and long-term factors should be taken into account. Two of Taiwan</w:t>
      </w:r>
      <w:r w:rsidRPr="007F6F77">
        <w:rPr>
          <w:rFonts w:eastAsia="標楷體"/>
          <w:sz w:val="24"/>
          <w:szCs w:val="32"/>
        </w:rPr>
        <w:t>’</w:t>
      </w:r>
      <w:r w:rsidRPr="007F6F77">
        <w:rPr>
          <w:rFonts w:eastAsia="標楷體" w:hint="eastAsia"/>
          <w:sz w:val="24"/>
          <w:szCs w:val="32"/>
        </w:rPr>
        <w:t xml:space="preserve">s neighboring economies, South Korea and China, have posted higher policy rates than Taiwan as their inflation rates were relatively higher. Although Taiwan enjoys robust financial </w:t>
      </w:r>
      <w:r w:rsidR="005C6520" w:rsidRPr="007F6F77">
        <w:rPr>
          <w:rFonts w:eastAsia="標楷體" w:hint="eastAsia"/>
          <w:sz w:val="24"/>
          <w:szCs w:val="32"/>
        </w:rPr>
        <w:t xml:space="preserve">risk </w:t>
      </w:r>
      <w:r w:rsidR="005C6520" w:rsidRPr="007F6F77">
        <w:rPr>
          <w:rFonts w:eastAsia="標楷體"/>
          <w:sz w:val="24"/>
          <w:szCs w:val="32"/>
        </w:rPr>
        <w:t>management</w:t>
      </w:r>
      <w:r w:rsidR="005C6520" w:rsidRPr="007F6F77">
        <w:rPr>
          <w:rFonts w:eastAsia="標楷體" w:hint="eastAsia"/>
          <w:sz w:val="24"/>
          <w:szCs w:val="32"/>
        </w:rPr>
        <w:t xml:space="preserve">, it is recommended that long-term factors be incorporated in policy rate decision-making in the future. </w:t>
      </w:r>
      <w:r w:rsidR="00E81ED2" w:rsidRPr="007F6F77">
        <w:rPr>
          <w:rFonts w:eastAsia="標楷體" w:hint="eastAsia"/>
          <w:sz w:val="24"/>
          <w:szCs w:val="32"/>
        </w:rPr>
        <w:t xml:space="preserve">Another board director </w:t>
      </w:r>
      <w:r w:rsidR="004A0E41" w:rsidRPr="007F6F77">
        <w:rPr>
          <w:rFonts w:eastAsia="標楷體" w:hint="eastAsia"/>
          <w:sz w:val="24"/>
          <w:szCs w:val="32"/>
        </w:rPr>
        <w:t>noted</w:t>
      </w:r>
      <w:r w:rsidR="00E81ED2" w:rsidRPr="007F6F77">
        <w:rPr>
          <w:rFonts w:eastAsia="標楷體" w:hint="eastAsia"/>
          <w:sz w:val="24"/>
          <w:szCs w:val="32"/>
        </w:rPr>
        <w:t xml:space="preserve"> that </w:t>
      </w:r>
      <w:r w:rsidR="004A0E41" w:rsidRPr="007F6F77">
        <w:rPr>
          <w:rFonts w:eastAsia="標楷體" w:hint="eastAsia"/>
          <w:sz w:val="24"/>
          <w:szCs w:val="32"/>
        </w:rPr>
        <w:t xml:space="preserve">the policy rates have stayed on hold for a while </w:t>
      </w:r>
      <w:r w:rsidR="00F22675" w:rsidRPr="007F6F77">
        <w:rPr>
          <w:rFonts w:eastAsia="標楷體" w:hint="eastAsia"/>
          <w:sz w:val="24"/>
          <w:szCs w:val="32"/>
        </w:rPr>
        <w:t xml:space="preserve">and </w:t>
      </w:r>
      <w:r w:rsidR="006C4B58" w:rsidRPr="007F6F77">
        <w:rPr>
          <w:rFonts w:eastAsia="標楷體" w:hint="eastAsia"/>
          <w:sz w:val="24"/>
          <w:szCs w:val="32"/>
        </w:rPr>
        <w:t>suggested consideration should be given to</w:t>
      </w:r>
      <w:r w:rsidR="00F22675" w:rsidRPr="007F6F77">
        <w:rPr>
          <w:rFonts w:eastAsia="標楷體" w:hint="eastAsia"/>
          <w:sz w:val="24"/>
          <w:szCs w:val="32"/>
        </w:rPr>
        <w:t xml:space="preserve"> what </w:t>
      </w:r>
      <w:r w:rsidR="006C4B58" w:rsidRPr="007F6F77">
        <w:rPr>
          <w:rFonts w:eastAsia="標楷體" w:hint="eastAsia"/>
          <w:sz w:val="24"/>
          <w:szCs w:val="32"/>
        </w:rPr>
        <w:t xml:space="preserve">messages </w:t>
      </w:r>
      <w:r w:rsidR="00F22675" w:rsidRPr="007F6F77">
        <w:rPr>
          <w:rFonts w:eastAsia="標楷體" w:hint="eastAsia"/>
          <w:sz w:val="24"/>
          <w:szCs w:val="32"/>
        </w:rPr>
        <w:t xml:space="preserve">a </w:t>
      </w:r>
      <w:r w:rsidR="00F22675" w:rsidRPr="007F6F77">
        <w:rPr>
          <w:rFonts w:eastAsia="標楷體"/>
          <w:sz w:val="24"/>
          <w:szCs w:val="32"/>
        </w:rPr>
        <w:t>future</w:t>
      </w:r>
      <w:r w:rsidR="00F22675" w:rsidRPr="007F6F77">
        <w:rPr>
          <w:rFonts w:eastAsia="標楷體" w:hint="eastAsia"/>
          <w:sz w:val="24"/>
          <w:szCs w:val="32"/>
        </w:rPr>
        <w:t xml:space="preserve"> rate adjustment </w:t>
      </w:r>
      <w:r w:rsidR="00222B50" w:rsidRPr="007F6F77">
        <w:rPr>
          <w:rFonts w:eastAsia="標楷體" w:hint="eastAsia"/>
          <w:sz w:val="24"/>
          <w:szCs w:val="32"/>
        </w:rPr>
        <w:t>might</w:t>
      </w:r>
      <w:r w:rsidR="00F22675" w:rsidRPr="007F6F77">
        <w:rPr>
          <w:rFonts w:eastAsia="標楷體" w:hint="eastAsia"/>
          <w:sz w:val="24"/>
          <w:szCs w:val="32"/>
        </w:rPr>
        <w:t xml:space="preserve"> communicate to the public and how it could be interpreted by the market. Moreover, </w:t>
      </w:r>
      <w:r w:rsidR="006C4B58" w:rsidRPr="007F6F77">
        <w:rPr>
          <w:rFonts w:eastAsia="標楷體" w:hint="eastAsia"/>
          <w:sz w:val="24"/>
          <w:szCs w:val="32"/>
        </w:rPr>
        <w:t>while the CBC</w:t>
      </w:r>
      <w:r w:rsidR="006C4B58" w:rsidRPr="007F6F77">
        <w:rPr>
          <w:rFonts w:eastAsia="標楷體"/>
          <w:sz w:val="24"/>
          <w:szCs w:val="32"/>
        </w:rPr>
        <w:t>’</w:t>
      </w:r>
      <w:r w:rsidR="006C4B58" w:rsidRPr="007F6F77">
        <w:rPr>
          <w:rFonts w:eastAsia="標楷體" w:hint="eastAsia"/>
          <w:sz w:val="24"/>
          <w:szCs w:val="32"/>
        </w:rPr>
        <w:t xml:space="preserve">s interest rate decision is made under a monetary-targeting framework, </w:t>
      </w:r>
      <w:r w:rsidR="008868D1" w:rsidRPr="007F6F77">
        <w:rPr>
          <w:rFonts w:eastAsia="標楷體" w:hint="eastAsia"/>
          <w:sz w:val="24"/>
          <w:szCs w:val="32"/>
        </w:rPr>
        <w:t xml:space="preserve">the </w:t>
      </w:r>
      <w:r w:rsidR="006C4B58" w:rsidRPr="007F6F77">
        <w:rPr>
          <w:rFonts w:eastAsia="標楷體" w:hint="eastAsia"/>
          <w:sz w:val="24"/>
          <w:szCs w:val="32"/>
        </w:rPr>
        <w:t xml:space="preserve">setting </w:t>
      </w:r>
      <w:r w:rsidR="008868D1" w:rsidRPr="007F6F77">
        <w:rPr>
          <w:rFonts w:eastAsia="標楷體" w:hint="eastAsia"/>
          <w:sz w:val="24"/>
          <w:szCs w:val="32"/>
        </w:rPr>
        <w:t xml:space="preserve">of </w:t>
      </w:r>
      <w:r w:rsidR="006C4B58" w:rsidRPr="007F6F77">
        <w:rPr>
          <w:rFonts w:eastAsia="標楷體" w:hint="eastAsia"/>
          <w:sz w:val="24"/>
          <w:szCs w:val="32"/>
        </w:rPr>
        <w:t xml:space="preserve">the money growth target range under this framework </w:t>
      </w:r>
      <w:r w:rsidR="008868D1" w:rsidRPr="007F6F77">
        <w:rPr>
          <w:rFonts w:eastAsia="標楷體" w:hint="eastAsia"/>
          <w:sz w:val="24"/>
          <w:szCs w:val="32"/>
        </w:rPr>
        <w:t>could face</w:t>
      </w:r>
      <w:r w:rsidR="006C4B58" w:rsidRPr="007F6F77">
        <w:rPr>
          <w:rFonts w:eastAsia="標楷體" w:hint="eastAsia"/>
          <w:sz w:val="24"/>
          <w:szCs w:val="32"/>
        </w:rPr>
        <w:t xml:space="preserve"> the question of relying </w:t>
      </w:r>
      <w:r w:rsidR="008C6F26" w:rsidRPr="007F6F77">
        <w:rPr>
          <w:rFonts w:eastAsia="標楷體" w:hint="eastAsia"/>
          <w:sz w:val="24"/>
          <w:szCs w:val="32"/>
        </w:rPr>
        <w:t>fundamental</w:t>
      </w:r>
      <w:r w:rsidR="006C4B58" w:rsidRPr="007F6F77">
        <w:rPr>
          <w:rFonts w:eastAsia="標楷體" w:hint="eastAsia"/>
          <w:sz w:val="24"/>
          <w:szCs w:val="32"/>
        </w:rPr>
        <w:t>ly on the CBC</w:t>
      </w:r>
      <w:r w:rsidR="006C4B58" w:rsidRPr="007F6F77">
        <w:rPr>
          <w:rFonts w:eastAsia="標楷體"/>
          <w:sz w:val="24"/>
          <w:szCs w:val="32"/>
        </w:rPr>
        <w:t>’</w:t>
      </w:r>
      <w:r w:rsidR="006C4B58" w:rsidRPr="007F6F77">
        <w:rPr>
          <w:rFonts w:eastAsia="標楷體" w:hint="eastAsia"/>
          <w:sz w:val="24"/>
          <w:szCs w:val="32"/>
        </w:rPr>
        <w:t xml:space="preserve">s estimation and assessment or considering also </w:t>
      </w:r>
      <w:r w:rsidR="008868D1" w:rsidRPr="007F6F77">
        <w:rPr>
          <w:rFonts w:eastAsia="標楷體" w:hint="eastAsia"/>
          <w:sz w:val="24"/>
          <w:szCs w:val="32"/>
        </w:rPr>
        <w:t xml:space="preserve">the </w:t>
      </w:r>
      <w:r w:rsidR="00815C9B" w:rsidRPr="007F6F77">
        <w:rPr>
          <w:rFonts w:eastAsia="標楷體" w:hint="eastAsia"/>
          <w:sz w:val="24"/>
          <w:szCs w:val="32"/>
        </w:rPr>
        <w:t xml:space="preserve">interpretation and </w:t>
      </w:r>
      <w:r w:rsidR="008868D1" w:rsidRPr="007F6F77">
        <w:rPr>
          <w:rFonts w:eastAsia="標楷體" w:hint="eastAsia"/>
          <w:sz w:val="24"/>
          <w:szCs w:val="32"/>
        </w:rPr>
        <w:t xml:space="preserve">reaction of the market. </w:t>
      </w:r>
    </w:p>
    <w:p w:rsidR="005C6520" w:rsidRPr="007F6F77" w:rsidRDefault="005C6520" w:rsidP="005C6520">
      <w:pPr>
        <w:adjustRightInd/>
        <w:snapToGrid w:val="0"/>
        <w:spacing w:before="120" w:line="440" w:lineRule="exact"/>
        <w:ind w:firstLineChars="200" w:firstLine="480"/>
        <w:jc w:val="both"/>
        <w:textDirection w:val="lrTbV"/>
        <w:rPr>
          <w:rFonts w:eastAsia="標楷體"/>
          <w:sz w:val="24"/>
          <w:szCs w:val="32"/>
        </w:rPr>
      </w:pPr>
      <w:r w:rsidRPr="007F6F77">
        <w:rPr>
          <w:rFonts w:eastAsia="標楷體" w:hint="eastAsia"/>
          <w:sz w:val="24"/>
          <w:szCs w:val="32"/>
        </w:rPr>
        <w:t>One board director pointed out public concern</w:t>
      </w:r>
      <w:r w:rsidR="00387E24" w:rsidRPr="007F6F77">
        <w:rPr>
          <w:rFonts w:eastAsia="標楷體" w:hint="eastAsia"/>
          <w:sz w:val="24"/>
          <w:szCs w:val="32"/>
        </w:rPr>
        <w:t>s</w:t>
      </w:r>
      <w:r w:rsidRPr="007F6F77">
        <w:rPr>
          <w:rFonts w:eastAsia="標楷體" w:hint="eastAsia"/>
          <w:sz w:val="24"/>
          <w:szCs w:val="32"/>
        </w:rPr>
        <w:t xml:space="preserve"> about financial </w:t>
      </w:r>
      <w:r w:rsidR="00387E24" w:rsidRPr="007F6F77">
        <w:rPr>
          <w:rFonts w:eastAsia="標楷體" w:hint="eastAsia"/>
          <w:sz w:val="24"/>
          <w:szCs w:val="32"/>
        </w:rPr>
        <w:t xml:space="preserve">market </w:t>
      </w:r>
      <w:r w:rsidRPr="007F6F77">
        <w:rPr>
          <w:rFonts w:eastAsia="標楷體" w:hint="eastAsia"/>
          <w:sz w:val="24"/>
          <w:szCs w:val="32"/>
        </w:rPr>
        <w:t xml:space="preserve">behavior in a low-interest environment. As the government might introduce regulations on repatriation of overseas capital next year and </w:t>
      </w:r>
      <w:r w:rsidR="005E1773" w:rsidRPr="007F6F77">
        <w:rPr>
          <w:rFonts w:eastAsia="標楷體" w:hint="eastAsia"/>
          <w:sz w:val="24"/>
          <w:szCs w:val="32"/>
        </w:rPr>
        <w:t xml:space="preserve">a </w:t>
      </w:r>
      <w:r w:rsidRPr="007F6F77">
        <w:rPr>
          <w:rFonts w:eastAsia="標楷體" w:hint="eastAsia"/>
          <w:sz w:val="24"/>
          <w:szCs w:val="32"/>
        </w:rPr>
        <w:t xml:space="preserve">large </w:t>
      </w:r>
      <w:r w:rsidR="005E1773" w:rsidRPr="007F6F77">
        <w:rPr>
          <w:rFonts w:eastAsia="標楷體" w:hint="eastAsia"/>
          <w:sz w:val="24"/>
          <w:szCs w:val="32"/>
        </w:rPr>
        <w:t xml:space="preserve">amount </w:t>
      </w:r>
      <w:r w:rsidRPr="007F6F77">
        <w:rPr>
          <w:rFonts w:eastAsia="標楷體" w:hint="eastAsia"/>
          <w:sz w:val="24"/>
          <w:szCs w:val="32"/>
        </w:rPr>
        <w:t xml:space="preserve">of capital </w:t>
      </w:r>
      <w:r w:rsidR="005E1773" w:rsidRPr="007F6F77">
        <w:rPr>
          <w:rFonts w:eastAsia="標楷體" w:hint="eastAsia"/>
          <w:sz w:val="24"/>
          <w:szCs w:val="32"/>
        </w:rPr>
        <w:t xml:space="preserve">are expected to </w:t>
      </w:r>
      <w:r w:rsidRPr="007F6F77">
        <w:rPr>
          <w:rFonts w:eastAsia="標楷體" w:hint="eastAsia"/>
          <w:sz w:val="24"/>
          <w:szCs w:val="32"/>
        </w:rPr>
        <w:t>return</w:t>
      </w:r>
      <w:r w:rsidR="005E1773" w:rsidRPr="007F6F77">
        <w:rPr>
          <w:rFonts w:eastAsia="標楷體" w:hint="eastAsia"/>
          <w:sz w:val="24"/>
          <w:szCs w:val="32"/>
        </w:rPr>
        <w:t xml:space="preserve"> to</w:t>
      </w:r>
      <w:r w:rsidRPr="007F6F77">
        <w:rPr>
          <w:rFonts w:eastAsia="標楷體" w:hint="eastAsia"/>
          <w:sz w:val="24"/>
          <w:szCs w:val="32"/>
        </w:rPr>
        <w:t xml:space="preserve"> Taiwa</w:t>
      </w:r>
      <w:r w:rsidR="005E1773" w:rsidRPr="007F6F77">
        <w:rPr>
          <w:rFonts w:eastAsia="標楷體" w:hint="eastAsia"/>
          <w:sz w:val="24"/>
          <w:szCs w:val="32"/>
        </w:rPr>
        <w:t xml:space="preserve">n, it presents a greater challenge to the domestic financial surplus and interest rate issues. The board director noted that low interest rates are in fact the outcome, resulting mainly from prolonged financial surplus </w:t>
      </w:r>
      <w:r w:rsidR="005E1773" w:rsidRPr="007F6F77">
        <w:rPr>
          <w:rFonts w:eastAsia="標楷體"/>
          <w:sz w:val="24"/>
          <w:szCs w:val="32"/>
        </w:rPr>
        <w:t>–</w:t>
      </w:r>
      <w:r w:rsidR="005E1773" w:rsidRPr="007F6F77">
        <w:rPr>
          <w:rFonts w:eastAsia="標楷體" w:hint="eastAsia"/>
          <w:sz w:val="24"/>
          <w:szCs w:val="32"/>
        </w:rPr>
        <w:t xml:space="preserve"> a long-term structural problem that is beyond the capability of monetary policy instruments. </w:t>
      </w:r>
    </w:p>
    <w:p w:rsidR="00DD5E4A" w:rsidRPr="007F6F77" w:rsidRDefault="00DD5E4A" w:rsidP="003372A2">
      <w:pPr>
        <w:adjustRightInd/>
        <w:snapToGrid w:val="0"/>
        <w:spacing w:before="120" w:line="440" w:lineRule="exact"/>
        <w:ind w:firstLineChars="200" w:firstLine="480"/>
        <w:jc w:val="both"/>
        <w:textDirection w:val="lrTbV"/>
        <w:rPr>
          <w:rFonts w:eastAsia="標楷體"/>
          <w:sz w:val="24"/>
          <w:szCs w:val="32"/>
        </w:rPr>
      </w:pPr>
      <w:r w:rsidRPr="007F6F77">
        <w:rPr>
          <w:rFonts w:eastAsia="標楷體" w:hint="eastAsia"/>
          <w:sz w:val="24"/>
          <w:szCs w:val="32"/>
        </w:rPr>
        <w:lastRenderedPageBreak/>
        <w:t>Another board director pointed out that policy rate decisions and the monetary growth target range have separate sets of considerations, with the former weighed against short-term factors and the latter longer-term ones. One board director added that, in practice, interest rates serve as the operating target of the CBC</w:t>
      </w:r>
      <w:r w:rsidRPr="007F6F77">
        <w:rPr>
          <w:rFonts w:eastAsia="標楷體"/>
          <w:sz w:val="24"/>
          <w:szCs w:val="32"/>
        </w:rPr>
        <w:t>’</w:t>
      </w:r>
      <w:r w:rsidRPr="007F6F77">
        <w:rPr>
          <w:rFonts w:eastAsia="標楷體" w:hint="eastAsia"/>
          <w:sz w:val="24"/>
          <w:szCs w:val="32"/>
        </w:rPr>
        <w:t xml:space="preserve">s monetary policy, while M2 supply serves as the intermediate target. Given the importance of indirect finance in Taiwan and the relative stable correlation between M2 and nominal GDP, </w:t>
      </w:r>
      <w:r w:rsidR="003372A2" w:rsidRPr="007F6F77">
        <w:rPr>
          <w:rFonts w:eastAsia="標楷體" w:hint="eastAsia"/>
          <w:sz w:val="24"/>
          <w:szCs w:val="32"/>
        </w:rPr>
        <w:t>it is pragmatic to use</w:t>
      </w:r>
      <w:r w:rsidRPr="007F6F77">
        <w:rPr>
          <w:rFonts w:eastAsia="標楷體" w:hint="eastAsia"/>
          <w:sz w:val="24"/>
          <w:szCs w:val="32"/>
        </w:rPr>
        <w:t xml:space="preserve"> M2 supply as an intermediate target for monetary policy. In other words, </w:t>
      </w:r>
      <w:r w:rsidR="003372A2" w:rsidRPr="007F6F77">
        <w:rPr>
          <w:rFonts w:eastAsia="標楷體" w:hint="eastAsia"/>
          <w:sz w:val="24"/>
          <w:szCs w:val="32"/>
        </w:rPr>
        <w:t xml:space="preserve">the </w:t>
      </w:r>
      <w:r w:rsidR="00387E24" w:rsidRPr="007F6F77">
        <w:rPr>
          <w:rFonts w:eastAsia="標楷體" w:hint="eastAsia"/>
          <w:sz w:val="24"/>
          <w:szCs w:val="32"/>
        </w:rPr>
        <w:t>parallel</w:t>
      </w:r>
      <w:r w:rsidR="003372A2" w:rsidRPr="007F6F77">
        <w:rPr>
          <w:rFonts w:eastAsia="標楷體" w:hint="eastAsia"/>
          <w:sz w:val="24"/>
          <w:szCs w:val="32"/>
        </w:rPr>
        <w:t xml:space="preserve"> adoption of the interest rates as an operating target and M2 supply as an intermediate target presents no contradiction. </w:t>
      </w:r>
    </w:p>
    <w:p w:rsidR="0041484D" w:rsidRPr="007F6F77" w:rsidRDefault="0041484D" w:rsidP="005C6520">
      <w:pPr>
        <w:adjustRightInd/>
        <w:snapToGrid w:val="0"/>
        <w:spacing w:before="120" w:line="440" w:lineRule="exact"/>
        <w:ind w:firstLineChars="200" w:firstLine="480"/>
        <w:jc w:val="both"/>
        <w:textDirection w:val="lrTbV"/>
        <w:rPr>
          <w:rFonts w:eastAsia="標楷體"/>
          <w:sz w:val="24"/>
          <w:szCs w:val="32"/>
        </w:rPr>
      </w:pPr>
      <w:r w:rsidRPr="007F6F77">
        <w:rPr>
          <w:rFonts w:eastAsia="標楷體" w:hint="eastAsia"/>
          <w:sz w:val="24"/>
          <w:szCs w:val="32"/>
        </w:rPr>
        <w:t xml:space="preserve">One board director </w:t>
      </w:r>
      <w:r w:rsidR="007F5CA4" w:rsidRPr="007F6F77">
        <w:rPr>
          <w:rFonts w:eastAsia="標楷體" w:hint="eastAsia"/>
          <w:sz w:val="24"/>
          <w:szCs w:val="32"/>
        </w:rPr>
        <w:t>stated that a rate hold would be a solid move and suggested that the CBC use leading indicators to forecast the likelihood of economic recessions</w:t>
      </w:r>
      <w:r w:rsidR="00BA068A" w:rsidRPr="007F6F77">
        <w:rPr>
          <w:rFonts w:eastAsia="標楷體" w:hint="eastAsia"/>
          <w:sz w:val="24"/>
          <w:szCs w:val="32"/>
        </w:rPr>
        <w:t xml:space="preserve"> and enhance inflation expectation surveys on the general public</w:t>
      </w:r>
      <w:r w:rsidR="007F5CA4" w:rsidRPr="007F6F77">
        <w:rPr>
          <w:rFonts w:eastAsia="標楷體" w:hint="eastAsia"/>
          <w:sz w:val="24"/>
          <w:szCs w:val="32"/>
        </w:rPr>
        <w:t xml:space="preserve">, </w:t>
      </w:r>
      <w:r w:rsidR="00BA068A" w:rsidRPr="007F6F77">
        <w:rPr>
          <w:rFonts w:eastAsia="標楷體" w:hint="eastAsia"/>
          <w:sz w:val="24"/>
          <w:szCs w:val="32"/>
        </w:rPr>
        <w:t>so as to offer</w:t>
      </w:r>
      <w:r w:rsidR="007F5CA4" w:rsidRPr="007F6F77">
        <w:rPr>
          <w:rFonts w:eastAsia="標楷體" w:hint="eastAsia"/>
          <w:sz w:val="24"/>
          <w:szCs w:val="32"/>
        </w:rPr>
        <w:t xml:space="preserve"> guid</w:t>
      </w:r>
      <w:r w:rsidR="00BA068A" w:rsidRPr="007F6F77">
        <w:rPr>
          <w:rFonts w:eastAsia="標楷體" w:hint="eastAsia"/>
          <w:sz w:val="24"/>
          <w:szCs w:val="32"/>
        </w:rPr>
        <w:t>ance</w:t>
      </w:r>
      <w:r w:rsidR="007F5CA4" w:rsidRPr="007F6F77">
        <w:rPr>
          <w:rFonts w:eastAsia="標楷體" w:hint="eastAsia"/>
          <w:sz w:val="24"/>
          <w:szCs w:val="32"/>
        </w:rPr>
        <w:t xml:space="preserve"> to monetary policy decisions. </w:t>
      </w:r>
      <w:r w:rsidR="00BA068A" w:rsidRPr="007F6F77">
        <w:rPr>
          <w:rFonts w:eastAsia="標楷體" w:hint="eastAsia"/>
          <w:sz w:val="24"/>
          <w:szCs w:val="32"/>
        </w:rPr>
        <w:t>Another board director added that the CBC</w:t>
      </w:r>
      <w:r w:rsidR="00BA068A" w:rsidRPr="007F6F77">
        <w:rPr>
          <w:rFonts w:eastAsia="標楷體"/>
          <w:sz w:val="24"/>
          <w:szCs w:val="32"/>
        </w:rPr>
        <w:t>’</w:t>
      </w:r>
      <w:r w:rsidR="00BA068A" w:rsidRPr="007F6F77">
        <w:rPr>
          <w:rFonts w:eastAsia="標楷體" w:hint="eastAsia"/>
          <w:sz w:val="24"/>
          <w:szCs w:val="32"/>
        </w:rPr>
        <w:t>s monthly projections of the next month</w:t>
      </w:r>
      <w:r w:rsidR="00BA068A" w:rsidRPr="007F6F77">
        <w:rPr>
          <w:rFonts w:eastAsia="標楷體"/>
          <w:sz w:val="24"/>
          <w:szCs w:val="32"/>
        </w:rPr>
        <w:t>’</w:t>
      </w:r>
      <w:r w:rsidR="00BA068A" w:rsidRPr="007F6F77">
        <w:rPr>
          <w:rFonts w:eastAsia="標楷體" w:hint="eastAsia"/>
          <w:sz w:val="24"/>
          <w:szCs w:val="32"/>
        </w:rPr>
        <w:t xml:space="preserve">s prices have proven highly reliable. </w:t>
      </w:r>
    </w:p>
    <w:p w:rsidR="006A083A" w:rsidRPr="007F6F77" w:rsidRDefault="006A083A" w:rsidP="00FA173A">
      <w:pPr>
        <w:adjustRightInd/>
        <w:snapToGrid w:val="0"/>
        <w:spacing w:before="120" w:line="440" w:lineRule="exact"/>
        <w:ind w:left="320" w:hangingChars="133" w:hanging="320"/>
        <w:jc w:val="both"/>
        <w:textDirection w:val="lrTbV"/>
        <w:rPr>
          <w:rFonts w:eastAsia="標楷體"/>
          <w:sz w:val="24"/>
          <w:szCs w:val="28"/>
        </w:rPr>
      </w:pPr>
      <w:r w:rsidRPr="007F6F77">
        <w:rPr>
          <w:rFonts w:eastAsia="標楷體" w:hint="eastAsia"/>
          <w:b/>
          <w:sz w:val="24"/>
          <w:szCs w:val="28"/>
        </w:rPr>
        <w:t xml:space="preserve">3. Monetary Policy Decision: </w:t>
      </w:r>
      <w:r w:rsidR="00CE3BC5" w:rsidRPr="007F6F77">
        <w:rPr>
          <w:rFonts w:eastAsia="標楷體" w:hint="eastAsia"/>
          <w:sz w:val="24"/>
          <w:szCs w:val="28"/>
        </w:rPr>
        <w:t xml:space="preserve">The board directors </w:t>
      </w:r>
      <w:r w:rsidRPr="007F6F77">
        <w:rPr>
          <w:rFonts w:eastAsia="標楷體" w:hint="eastAsia"/>
          <w:sz w:val="24"/>
          <w:szCs w:val="28"/>
        </w:rPr>
        <w:t>reached a unanimous vote t</w:t>
      </w:r>
      <w:r w:rsidRPr="007F6F77">
        <w:rPr>
          <w:rFonts w:eastAsia="標楷體"/>
          <w:sz w:val="24"/>
          <w:szCs w:val="28"/>
        </w:rPr>
        <w:t>o keep the discount rate, the rate on accommodations with collateral, and the rate on accommodations without collateral unchanged at 1.375%, 1.75%, and 3.625%, respectively.</w:t>
      </w:r>
    </w:p>
    <w:p w:rsidR="006A083A" w:rsidRPr="007F6F77" w:rsidRDefault="006A083A" w:rsidP="00FA173A">
      <w:pPr>
        <w:snapToGrid w:val="0"/>
        <w:spacing w:before="120" w:line="440" w:lineRule="exact"/>
        <w:ind w:left="961" w:hangingChars="400" w:hanging="961"/>
        <w:jc w:val="both"/>
        <w:textDirection w:val="lrTbV"/>
        <w:rPr>
          <w:rFonts w:eastAsia="標楷體"/>
          <w:b/>
          <w:sz w:val="24"/>
          <w:szCs w:val="28"/>
        </w:rPr>
      </w:pPr>
      <w:r w:rsidRPr="007F6F77">
        <w:rPr>
          <w:rFonts w:eastAsia="標楷體" w:hint="eastAsia"/>
          <w:b/>
          <w:sz w:val="24"/>
          <w:szCs w:val="28"/>
        </w:rPr>
        <w:t xml:space="preserve">Voting for the proposition: </w:t>
      </w:r>
    </w:p>
    <w:p w:rsidR="00860EF7" w:rsidRPr="007F6F77" w:rsidRDefault="00860EF7" w:rsidP="00860EF7">
      <w:pPr>
        <w:adjustRightInd/>
        <w:snapToGrid w:val="0"/>
        <w:spacing w:before="120" w:afterLines="50" w:after="120" w:line="440" w:lineRule="exact"/>
        <w:jc w:val="both"/>
        <w:textDirection w:val="lrTbV"/>
        <w:rPr>
          <w:rFonts w:eastAsia="標楷體"/>
          <w:sz w:val="24"/>
          <w:szCs w:val="24"/>
        </w:rPr>
      </w:pPr>
      <w:r w:rsidRPr="007F6F77">
        <w:rPr>
          <w:rFonts w:eastAsia="標楷體"/>
          <w:sz w:val="24"/>
          <w:szCs w:val="24"/>
        </w:rPr>
        <w:t>Chin-long Yang</w:t>
      </w:r>
      <w:r w:rsidRPr="007F6F77">
        <w:rPr>
          <w:rFonts w:eastAsia="標楷體" w:hint="eastAsia"/>
          <w:sz w:val="24"/>
          <w:szCs w:val="24"/>
        </w:rPr>
        <w:t>,</w:t>
      </w:r>
      <w:r w:rsidRPr="007F6F77">
        <w:rPr>
          <w:rFonts w:eastAsia="標楷體"/>
          <w:sz w:val="24"/>
          <w:szCs w:val="24"/>
        </w:rPr>
        <w:t xml:space="preserve"> Jain-</w:t>
      </w:r>
      <w:proofErr w:type="spellStart"/>
      <w:r w:rsidRPr="007F6F77">
        <w:rPr>
          <w:rFonts w:eastAsia="標楷體"/>
          <w:sz w:val="24"/>
          <w:szCs w:val="24"/>
        </w:rPr>
        <w:t>Rong</w:t>
      </w:r>
      <w:proofErr w:type="spellEnd"/>
      <w:r w:rsidRPr="007F6F77">
        <w:rPr>
          <w:rFonts w:eastAsia="標楷體" w:hint="eastAsia"/>
          <w:sz w:val="24"/>
          <w:szCs w:val="24"/>
        </w:rPr>
        <w:t xml:space="preserve"> Su</w:t>
      </w:r>
      <w:r w:rsidRPr="007F6F77">
        <w:rPr>
          <w:rFonts w:eastAsia="標楷體"/>
          <w:sz w:val="24"/>
          <w:szCs w:val="24"/>
        </w:rPr>
        <w:t xml:space="preserve"> (</w:t>
      </w:r>
      <w:r w:rsidRPr="007F6F77">
        <w:rPr>
          <w:rFonts w:eastAsia="標楷體" w:hint="eastAsia"/>
          <w:sz w:val="24"/>
          <w:szCs w:val="24"/>
        </w:rPr>
        <w:t>voting by proxy</w:t>
      </w:r>
      <w:r w:rsidRPr="007F6F77">
        <w:rPr>
          <w:rFonts w:eastAsia="標楷體"/>
          <w:sz w:val="24"/>
          <w:szCs w:val="24"/>
        </w:rPr>
        <w:t>)</w:t>
      </w:r>
      <w:r w:rsidRPr="007F6F77">
        <w:rPr>
          <w:rFonts w:eastAsia="標楷體" w:hint="eastAsia"/>
          <w:sz w:val="24"/>
          <w:szCs w:val="24"/>
        </w:rPr>
        <w:t xml:space="preserve">, </w:t>
      </w:r>
      <w:r w:rsidRPr="007F6F77">
        <w:rPr>
          <w:rFonts w:eastAsia="標楷體"/>
          <w:sz w:val="24"/>
          <w:szCs w:val="24"/>
        </w:rPr>
        <w:t>Jong-</w:t>
      </w:r>
      <w:r w:rsidRPr="007F6F77">
        <w:rPr>
          <w:rFonts w:eastAsia="標楷體" w:hint="eastAsia"/>
          <w:sz w:val="24"/>
          <w:szCs w:val="24"/>
        </w:rPr>
        <w:t>c</w:t>
      </w:r>
      <w:r w:rsidRPr="007F6F77">
        <w:rPr>
          <w:rFonts w:eastAsia="標楷體"/>
          <w:sz w:val="24"/>
          <w:szCs w:val="24"/>
        </w:rPr>
        <w:t xml:space="preserve">hin Shen, </w:t>
      </w:r>
      <w:proofErr w:type="spellStart"/>
      <w:r w:rsidRPr="007F6F77">
        <w:rPr>
          <w:rFonts w:eastAsia="標楷體"/>
          <w:sz w:val="24"/>
          <w:szCs w:val="24"/>
        </w:rPr>
        <w:t>Tzung</w:t>
      </w:r>
      <w:proofErr w:type="spellEnd"/>
      <w:r w:rsidRPr="007F6F77">
        <w:rPr>
          <w:rFonts w:eastAsia="標楷體"/>
          <w:sz w:val="24"/>
          <w:szCs w:val="24"/>
        </w:rPr>
        <w:t>-ta Yen, Nan-</w:t>
      </w:r>
      <w:proofErr w:type="spellStart"/>
      <w:r w:rsidRPr="007F6F77">
        <w:rPr>
          <w:rFonts w:eastAsia="標楷體"/>
          <w:sz w:val="24"/>
          <w:szCs w:val="24"/>
        </w:rPr>
        <w:t>kuang</w:t>
      </w:r>
      <w:proofErr w:type="spellEnd"/>
      <w:r w:rsidRPr="007F6F77">
        <w:rPr>
          <w:rFonts w:eastAsia="標楷體"/>
          <w:sz w:val="24"/>
          <w:szCs w:val="24"/>
        </w:rPr>
        <w:t xml:space="preserve"> Chen, Ming-</w:t>
      </w:r>
      <w:proofErr w:type="spellStart"/>
      <w:r w:rsidRPr="007F6F77">
        <w:rPr>
          <w:rFonts w:eastAsia="標楷體"/>
          <w:sz w:val="24"/>
          <w:szCs w:val="24"/>
        </w:rPr>
        <w:t>yih</w:t>
      </w:r>
      <w:proofErr w:type="spellEnd"/>
      <w:r w:rsidRPr="007F6F77">
        <w:rPr>
          <w:rFonts w:eastAsia="標楷體"/>
          <w:sz w:val="24"/>
          <w:szCs w:val="24"/>
        </w:rPr>
        <w:t xml:space="preserve"> Liang, </w:t>
      </w:r>
      <w:proofErr w:type="spellStart"/>
      <w:r w:rsidRPr="007F6F77">
        <w:rPr>
          <w:rFonts w:eastAsia="標楷體"/>
          <w:sz w:val="24"/>
          <w:szCs w:val="24"/>
        </w:rPr>
        <w:t>Tsung-hsien</w:t>
      </w:r>
      <w:proofErr w:type="spellEnd"/>
      <w:r w:rsidRPr="007F6F77">
        <w:rPr>
          <w:rFonts w:eastAsia="標楷體"/>
          <w:sz w:val="24"/>
          <w:szCs w:val="24"/>
        </w:rPr>
        <w:t xml:space="preserve"> Lin, Chen-chia Lee, Chung-</w:t>
      </w:r>
      <w:proofErr w:type="spellStart"/>
      <w:r w:rsidRPr="007F6F77">
        <w:rPr>
          <w:rFonts w:eastAsia="標楷體"/>
          <w:sz w:val="24"/>
          <w:szCs w:val="24"/>
        </w:rPr>
        <w:t>dar</w:t>
      </w:r>
      <w:proofErr w:type="spellEnd"/>
      <w:r w:rsidRPr="007F6F77">
        <w:rPr>
          <w:rFonts w:eastAsia="標楷體"/>
          <w:sz w:val="24"/>
          <w:szCs w:val="24"/>
        </w:rPr>
        <w:t xml:space="preserve"> Lei, </w:t>
      </w:r>
      <w:proofErr w:type="spellStart"/>
      <w:r w:rsidRPr="007F6F77">
        <w:rPr>
          <w:rFonts w:eastAsia="標楷體"/>
          <w:sz w:val="24"/>
          <w:szCs w:val="24"/>
        </w:rPr>
        <w:t>Jin</w:t>
      </w:r>
      <w:proofErr w:type="spellEnd"/>
      <w:r w:rsidRPr="007F6F77">
        <w:rPr>
          <w:rFonts w:eastAsia="標楷體"/>
          <w:sz w:val="24"/>
          <w:szCs w:val="24"/>
        </w:rPr>
        <w:t>-lung Lin, Mei-lie Chu, Chao-</w:t>
      </w:r>
      <w:proofErr w:type="spellStart"/>
      <w:r w:rsidRPr="007F6F77">
        <w:rPr>
          <w:rFonts w:eastAsia="標楷體"/>
          <w:sz w:val="24"/>
          <w:szCs w:val="24"/>
        </w:rPr>
        <w:t>hsi</w:t>
      </w:r>
      <w:proofErr w:type="spellEnd"/>
      <w:r w:rsidRPr="007F6F77">
        <w:rPr>
          <w:rFonts w:eastAsia="標楷體"/>
          <w:sz w:val="24"/>
          <w:szCs w:val="24"/>
        </w:rPr>
        <w:t xml:space="preserve"> Huang, </w:t>
      </w:r>
      <w:proofErr w:type="spellStart"/>
      <w:r w:rsidRPr="007F6F77">
        <w:rPr>
          <w:rFonts w:eastAsia="標楷體"/>
          <w:sz w:val="24"/>
          <w:szCs w:val="24"/>
        </w:rPr>
        <w:t>Bih</w:t>
      </w:r>
      <w:proofErr w:type="spellEnd"/>
      <w:r w:rsidRPr="007F6F77">
        <w:rPr>
          <w:rFonts w:eastAsia="標楷體"/>
          <w:sz w:val="24"/>
          <w:szCs w:val="24"/>
        </w:rPr>
        <w:t xml:space="preserve">-jane Liu, </w:t>
      </w:r>
      <w:proofErr w:type="spellStart"/>
      <w:r w:rsidRPr="007F6F77">
        <w:rPr>
          <w:rFonts w:eastAsia="標楷體"/>
          <w:sz w:val="24"/>
          <w:szCs w:val="24"/>
        </w:rPr>
        <w:t>Shiu</w:t>
      </w:r>
      <w:proofErr w:type="spellEnd"/>
      <w:r w:rsidRPr="007F6F77">
        <w:rPr>
          <w:rFonts w:eastAsia="標楷體"/>
          <w:sz w:val="24"/>
          <w:szCs w:val="24"/>
        </w:rPr>
        <w:t>-sheng Chen</w:t>
      </w:r>
      <w:r w:rsidRPr="007F6F77">
        <w:rPr>
          <w:rFonts w:eastAsia="標楷體" w:hint="eastAsia"/>
          <w:sz w:val="24"/>
          <w:szCs w:val="24"/>
        </w:rPr>
        <w:t xml:space="preserve">, </w:t>
      </w:r>
      <w:proofErr w:type="spellStart"/>
      <w:r w:rsidR="000060B5" w:rsidRPr="007F6F77">
        <w:rPr>
          <w:rFonts w:eastAsia="標楷體"/>
          <w:sz w:val="24"/>
          <w:szCs w:val="24"/>
        </w:rPr>
        <w:t>Hsin-</w:t>
      </w:r>
      <w:r w:rsidR="000060B5" w:rsidRPr="007F6F77">
        <w:rPr>
          <w:rFonts w:eastAsia="標楷體" w:hint="eastAsia"/>
          <w:sz w:val="24"/>
          <w:szCs w:val="24"/>
        </w:rPr>
        <w:t>h</w:t>
      </w:r>
      <w:r w:rsidRPr="007F6F77">
        <w:rPr>
          <w:rFonts w:eastAsia="標楷體"/>
          <w:sz w:val="24"/>
          <w:szCs w:val="24"/>
        </w:rPr>
        <w:t>ong</w:t>
      </w:r>
      <w:proofErr w:type="spellEnd"/>
      <w:r w:rsidRPr="007F6F77">
        <w:rPr>
          <w:rFonts w:eastAsia="標楷體"/>
          <w:sz w:val="24"/>
          <w:szCs w:val="24"/>
        </w:rPr>
        <w:t xml:space="preserve"> Kang </w:t>
      </w:r>
    </w:p>
    <w:p w:rsidR="006A083A" w:rsidRPr="007F6F77" w:rsidRDefault="006A083A" w:rsidP="00860EF7">
      <w:pPr>
        <w:snapToGrid w:val="0"/>
        <w:spacing w:before="120" w:line="440" w:lineRule="exact"/>
        <w:ind w:left="985" w:hangingChars="410" w:hanging="985"/>
        <w:textDirection w:val="lrTbV"/>
        <w:rPr>
          <w:rFonts w:eastAsia="標楷體"/>
          <w:sz w:val="24"/>
          <w:szCs w:val="28"/>
        </w:rPr>
      </w:pPr>
      <w:proofErr w:type="gramStart"/>
      <w:r w:rsidRPr="007F6F77">
        <w:rPr>
          <w:rFonts w:eastAsia="標楷體" w:hint="eastAsia"/>
          <w:b/>
          <w:sz w:val="24"/>
          <w:szCs w:val="28"/>
        </w:rPr>
        <w:t xml:space="preserve">Voting against the proposition: </w:t>
      </w:r>
      <w:r w:rsidRPr="007F6F77">
        <w:rPr>
          <w:rFonts w:eastAsia="標楷體" w:hint="eastAsia"/>
          <w:sz w:val="24"/>
          <w:szCs w:val="28"/>
        </w:rPr>
        <w:t>None.</w:t>
      </w:r>
      <w:proofErr w:type="gramEnd"/>
      <w:r w:rsidRPr="007F6F77">
        <w:rPr>
          <w:rFonts w:eastAsia="標楷體" w:hint="eastAsia"/>
          <w:sz w:val="24"/>
          <w:szCs w:val="28"/>
        </w:rPr>
        <w:t xml:space="preserve"> </w:t>
      </w:r>
    </w:p>
    <w:p w:rsidR="006A083A" w:rsidRPr="007F6F77" w:rsidRDefault="006A083A" w:rsidP="00FA173A">
      <w:pPr>
        <w:widowControl/>
        <w:adjustRightInd/>
        <w:spacing w:before="120" w:line="440" w:lineRule="exact"/>
        <w:textAlignment w:val="auto"/>
        <w:rPr>
          <w:rFonts w:eastAsia="標楷體"/>
          <w:b/>
          <w:snapToGrid w:val="0"/>
          <w:sz w:val="24"/>
          <w:szCs w:val="28"/>
        </w:rPr>
      </w:pPr>
    </w:p>
    <w:p w:rsidR="006A083A" w:rsidRPr="007F6F77" w:rsidRDefault="006A083A" w:rsidP="00FA173A">
      <w:pPr>
        <w:widowControl/>
        <w:adjustRightInd/>
        <w:spacing w:before="120" w:line="440" w:lineRule="exact"/>
        <w:textAlignment w:val="auto"/>
        <w:rPr>
          <w:rFonts w:eastAsia="標楷體"/>
          <w:b/>
          <w:sz w:val="28"/>
          <w:szCs w:val="28"/>
        </w:rPr>
      </w:pPr>
      <w:r w:rsidRPr="007F6F77">
        <w:rPr>
          <w:rFonts w:eastAsia="標楷體" w:hint="eastAsia"/>
          <w:b/>
          <w:snapToGrid w:val="0"/>
          <w:sz w:val="28"/>
          <w:szCs w:val="28"/>
        </w:rPr>
        <w:t xml:space="preserve">III. The Press Release </w:t>
      </w:r>
    </w:p>
    <w:p w:rsidR="006A083A" w:rsidRPr="007F6F77" w:rsidRDefault="006A083A" w:rsidP="00FA173A">
      <w:pPr>
        <w:spacing w:before="120" w:line="440" w:lineRule="exact"/>
        <w:ind w:firstLineChars="200" w:firstLine="480"/>
        <w:jc w:val="both"/>
        <w:rPr>
          <w:rFonts w:eastAsia="標楷體"/>
          <w:sz w:val="24"/>
          <w:szCs w:val="28"/>
        </w:rPr>
      </w:pPr>
      <w:r w:rsidRPr="007F6F77">
        <w:rPr>
          <w:rFonts w:eastAsia="標楷體" w:hint="eastAsia"/>
          <w:sz w:val="24"/>
          <w:szCs w:val="28"/>
        </w:rPr>
        <w:t xml:space="preserve">The </w:t>
      </w:r>
      <w:r w:rsidR="00CE3BC5" w:rsidRPr="007F6F77">
        <w:rPr>
          <w:rFonts w:eastAsia="標楷體" w:hint="eastAsia"/>
          <w:sz w:val="24"/>
          <w:szCs w:val="28"/>
        </w:rPr>
        <w:t>b</w:t>
      </w:r>
      <w:r w:rsidRPr="007F6F77">
        <w:rPr>
          <w:rFonts w:eastAsia="標楷體" w:hint="eastAsia"/>
          <w:sz w:val="24"/>
          <w:szCs w:val="28"/>
        </w:rPr>
        <w:t xml:space="preserve">oard </w:t>
      </w:r>
      <w:r w:rsidR="00CE3BC5" w:rsidRPr="007F6F77">
        <w:rPr>
          <w:rFonts w:eastAsia="標楷體" w:hint="eastAsia"/>
          <w:sz w:val="24"/>
          <w:szCs w:val="28"/>
        </w:rPr>
        <w:t>d</w:t>
      </w:r>
      <w:r w:rsidRPr="007F6F77">
        <w:rPr>
          <w:rFonts w:eastAsia="標楷體" w:hint="eastAsia"/>
          <w:sz w:val="24"/>
          <w:szCs w:val="28"/>
        </w:rPr>
        <w:t xml:space="preserve">irectors and </w:t>
      </w:r>
      <w:r w:rsidR="00CE3BC5" w:rsidRPr="007F6F77">
        <w:rPr>
          <w:rFonts w:eastAsia="標楷體" w:hint="eastAsia"/>
          <w:sz w:val="24"/>
          <w:szCs w:val="28"/>
        </w:rPr>
        <w:t>s</w:t>
      </w:r>
      <w:r w:rsidRPr="007F6F77">
        <w:rPr>
          <w:rFonts w:eastAsia="標楷體" w:hint="eastAsia"/>
          <w:sz w:val="24"/>
          <w:szCs w:val="28"/>
        </w:rPr>
        <w:t xml:space="preserve">upervisors approved unanimously to issue the following press release in the post-meeting press conference, together with the </w:t>
      </w:r>
      <w:r w:rsidRPr="007F6F77">
        <w:rPr>
          <w:rFonts w:eastAsia="標楷體"/>
          <w:sz w:val="24"/>
          <w:szCs w:val="28"/>
        </w:rPr>
        <w:t xml:space="preserve">Supplementary Materials for the </w:t>
      </w:r>
      <w:r w:rsidRPr="007F6F77">
        <w:rPr>
          <w:rFonts w:eastAsia="標楷體" w:hint="eastAsia"/>
          <w:sz w:val="24"/>
          <w:szCs w:val="28"/>
        </w:rPr>
        <w:t>Post-Monetary Policy M</w:t>
      </w:r>
      <w:r w:rsidRPr="007F6F77">
        <w:rPr>
          <w:rFonts w:eastAsia="標楷體"/>
          <w:sz w:val="24"/>
          <w:szCs w:val="28"/>
        </w:rPr>
        <w:t>e</w:t>
      </w:r>
      <w:r w:rsidRPr="007F6F77">
        <w:rPr>
          <w:rFonts w:eastAsia="標楷體" w:hint="eastAsia"/>
          <w:sz w:val="24"/>
          <w:szCs w:val="28"/>
        </w:rPr>
        <w:t>eting Press Conference prepared by the</w:t>
      </w:r>
      <w:r w:rsidR="003B4EC4">
        <w:rPr>
          <w:rFonts w:eastAsia="標楷體" w:hint="eastAsia"/>
          <w:sz w:val="24"/>
          <w:szCs w:val="28"/>
        </w:rPr>
        <w:t xml:space="preserve"> CBC</w:t>
      </w:r>
      <w:r w:rsidRPr="007F6F77">
        <w:rPr>
          <w:rFonts w:eastAsia="標楷體" w:hint="eastAsia"/>
          <w:sz w:val="24"/>
          <w:szCs w:val="28"/>
        </w:rPr>
        <w:t xml:space="preserve">. </w:t>
      </w:r>
    </w:p>
    <w:p w:rsidR="008814F0" w:rsidRPr="007F6F77" w:rsidRDefault="008814F0" w:rsidP="0055373B">
      <w:pPr>
        <w:spacing w:before="120" w:line="440" w:lineRule="exact"/>
        <w:ind w:firstLineChars="200" w:firstLine="480"/>
        <w:jc w:val="both"/>
        <w:rPr>
          <w:rFonts w:eastAsia="標楷體"/>
          <w:sz w:val="24"/>
          <w:szCs w:val="28"/>
        </w:rPr>
      </w:pPr>
      <w:bookmarkStart w:id="1" w:name="_GoBack"/>
      <w:bookmarkEnd w:id="1"/>
      <w:r w:rsidRPr="007F6F77">
        <w:rPr>
          <w:rFonts w:eastAsia="標楷體"/>
          <w:sz w:val="24"/>
          <w:szCs w:val="28"/>
        </w:rPr>
        <w:br w:type="page"/>
      </w:r>
    </w:p>
    <w:p w:rsidR="008814F0" w:rsidRPr="007F6F77" w:rsidRDefault="008814F0" w:rsidP="00B540F4">
      <w:pPr>
        <w:pStyle w:val="11"/>
        <w:tabs>
          <w:tab w:val="left" w:pos="0"/>
        </w:tabs>
        <w:spacing w:before="0" w:afterLines="50" w:after="120" w:line="320" w:lineRule="exact"/>
        <w:ind w:right="-28"/>
        <w:jc w:val="center"/>
        <w:rPr>
          <w:rFonts w:ascii="Times New Roman"/>
          <w:sz w:val="28"/>
          <w:szCs w:val="28"/>
        </w:rPr>
      </w:pPr>
      <w:r w:rsidRPr="007F6F77">
        <w:rPr>
          <w:rFonts w:ascii="Times New Roman"/>
          <w:sz w:val="28"/>
          <w:szCs w:val="28"/>
        </w:rPr>
        <w:lastRenderedPageBreak/>
        <w:t>Monetary Policy Decision of the Board Meeting</w:t>
      </w:r>
    </w:p>
    <w:p w:rsidR="008814F0" w:rsidRPr="007F6F77" w:rsidRDefault="008814F0" w:rsidP="008814F0">
      <w:pPr>
        <w:pStyle w:val="af4"/>
        <w:numPr>
          <w:ilvl w:val="0"/>
          <w:numId w:val="28"/>
        </w:numPr>
        <w:adjustRightInd/>
        <w:spacing w:before="0" w:afterLines="50" w:after="120" w:line="320" w:lineRule="exact"/>
        <w:jc w:val="both"/>
        <w:textAlignment w:val="auto"/>
        <w:rPr>
          <w:sz w:val="24"/>
          <w:szCs w:val="24"/>
        </w:rPr>
      </w:pPr>
      <w:r w:rsidRPr="007F6F77">
        <w:rPr>
          <w:sz w:val="24"/>
          <w:szCs w:val="24"/>
        </w:rPr>
        <w:t>Global economic and financial conditions</w:t>
      </w:r>
    </w:p>
    <w:p w:rsidR="008814F0" w:rsidRPr="007F6F77" w:rsidRDefault="008814F0" w:rsidP="00B540F4">
      <w:pPr>
        <w:pStyle w:val="afff6"/>
        <w:spacing w:afterLines="50" w:after="120" w:line="400" w:lineRule="exact"/>
        <w:ind w:leftChars="0" w:left="357"/>
        <w:rPr>
          <w:rFonts w:ascii="Times New Roman"/>
          <w:sz w:val="24"/>
          <w:szCs w:val="24"/>
        </w:rPr>
      </w:pPr>
      <w:r w:rsidRPr="007F6F77">
        <w:rPr>
          <w:rFonts w:ascii="Times New Roman"/>
          <w:sz w:val="24"/>
          <w:szCs w:val="24"/>
        </w:rPr>
        <w:t xml:space="preserve">Since the Board met in late September this year, dragged by an intensification of US-China trade conflicts and tightening global financial conditions, the global economy has expanded at a slower pace, trade growth momentum has weakened, and international financial markets have also experienced a high level of volatility. International institutions have thus widely revised down projections for global economic and trade growth this year and next year. </w:t>
      </w:r>
    </w:p>
    <w:p w:rsidR="008814F0" w:rsidRPr="007F6F77" w:rsidRDefault="008814F0" w:rsidP="00B540F4">
      <w:pPr>
        <w:pStyle w:val="afff6"/>
        <w:spacing w:afterLines="50" w:after="120" w:line="400" w:lineRule="exact"/>
        <w:ind w:leftChars="0" w:left="357"/>
        <w:rPr>
          <w:rFonts w:ascii="Times New Roman"/>
          <w:sz w:val="24"/>
          <w:szCs w:val="24"/>
        </w:rPr>
      </w:pPr>
      <w:r w:rsidRPr="007F6F77">
        <w:rPr>
          <w:rFonts w:ascii="Times New Roman"/>
          <w:sz w:val="24"/>
          <w:szCs w:val="24"/>
        </w:rPr>
        <w:t>The global economy and major economies are expected to register slower growth in 2019. In addition, uncertainties such as global trade tensions, monetary policy directions of major economies, economic and financial fragilities in emerging market economies, as well as the developments regarding European political and economic conditions constitute downside risks that could potentially affect the global economic outlook.</w:t>
      </w:r>
    </w:p>
    <w:p w:rsidR="008814F0" w:rsidRPr="007F6F77" w:rsidRDefault="008814F0" w:rsidP="008814F0">
      <w:pPr>
        <w:pStyle w:val="af4"/>
        <w:numPr>
          <w:ilvl w:val="0"/>
          <w:numId w:val="28"/>
        </w:numPr>
        <w:adjustRightInd/>
        <w:spacing w:before="0" w:afterLines="50" w:after="120" w:line="320" w:lineRule="exact"/>
        <w:jc w:val="both"/>
        <w:textAlignment w:val="auto"/>
        <w:rPr>
          <w:sz w:val="24"/>
          <w:szCs w:val="24"/>
        </w:rPr>
      </w:pPr>
      <w:r w:rsidRPr="007F6F77">
        <w:rPr>
          <w:sz w:val="24"/>
          <w:szCs w:val="24"/>
        </w:rPr>
        <w:t>Domestic economic and financial conditions</w:t>
      </w:r>
    </w:p>
    <w:p w:rsidR="008814F0" w:rsidRPr="007F6F77" w:rsidRDefault="008814F0" w:rsidP="008814F0">
      <w:pPr>
        <w:pStyle w:val="afff6"/>
        <w:numPr>
          <w:ilvl w:val="0"/>
          <w:numId w:val="29"/>
        </w:numPr>
        <w:adjustRightInd/>
        <w:spacing w:afterLines="50" w:after="120" w:line="400" w:lineRule="exact"/>
        <w:ind w:leftChars="0" w:left="357"/>
        <w:textAlignment w:val="auto"/>
        <w:rPr>
          <w:rFonts w:ascii="Times New Roman"/>
          <w:sz w:val="24"/>
          <w:szCs w:val="24"/>
        </w:rPr>
      </w:pPr>
      <w:r w:rsidRPr="007F6F77">
        <w:rPr>
          <w:rFonts w:ascii="Times New Roman"/>
          <w:sz w:val="24"/>
          <w:szCs w:val="24"/>
        </w:rPr>
        <w:t xml:space="preserve">A slowing global economy and lingering trade disputes between the US and China have caused growth in exports and capital equipment imports to decelerate in recent months. Meanwhile, despite stable labor market conditions, a declining unemployment rate, and moderate wage growth, the domestic stock market correction triggered by international financial market turbulence have weighed on consumer sentiment. The CBC forecasts Taiwan's economic growth to decelerate further in the fourth quarter. For the entire year, the GDP growth rate is projected to be 2.68%.  </w:t>
      </w:r>
    </w:p>
    <w:p w:rsidR="008814F0" w:rsidRPr="007F6F77" w:rsidRDefault="008814F0" w:rsidP="00B540F4">
      <w:pPr>
        <w:pStyle w:val="afff6"/>
        <w:spacing w:afterLines="50" w:after="120" w:line="400" w:lineRule="exact"/>
        <w:ind w:leftChars="0" w:left="357"/>
        <w:rPr>
          <w:rFonts w:ascii="Times New Roman"/>
          <w:sz w:val="24"/>
          <w:szCs w:val="24"/>
        </w:rPr>
      </w:pPr>
      <w:r w:rsidRPr="007F6F77">
        <w:rPr>
          <w:rFonts w:ascii="Times New Roman"/>
          <w:sz w:val="24"/>
          <w:szCs w:val="24"/>
        </w:rPr>
        <w:t>Looking ahead to 2019, growth in private consumption is likely to remain steady and private investment may also post continuous expansion while the government pushes ahead with the Forward-Looking Infrastructure Development Program. However, external demand may be dented by economic slowdowns experienced by Taiwan's major trading partners. Therefore, the CBC forecasts the domestic economy to advance by 2.33% for 2019.</w:t>
      </w:r>
    </w:p>
    <w:p w:rsidR="008814F0" w:rsidRPr="007F6F77" w:rsidRDefault="008814F0" w:rsidP="008814F0">
      <w:pPr>
        <w:pStyle w:val="afff6"/>
        <w:numPr>
          <w:ilvl w:val="0"/>
          <w:numId w:val="29"/>
        </w:numPr>
        <w:adjustRightInd/>
        <w:spacing w:afterLines="50" w:after="120" w:line="400" w:lineRule="exact"/>
        <w:ind w:leftChars="0" w:left="357"/>
        <w:textAlignment w:val="auto"/>
        <w:rPr>
          <w:rFonts w:ascii="Times New Roman"/>
          <w:sz w:val="24"/>
          <w:szCs w:val="24"/>
        </w:rPr>
      </w:pPr>
      <w:r w:rsidRPr="007F6F77">
        <w:rPr>
          <w:rFonts w:ascii="Times New Roman"/>
          <w:sz w:val="24"/>
          <w:szCs w:val="24"/>
        </w:rPr>
        <w:t xml:space="preserve">Since October this year, the rise in CPI has slowed as global oil prices turned sharply downwards, domestic vegetable prices fell because of abundant supply, and the effect of mid-2017's cigarette tax hike receded. The CBC projects the </w:t>
      </w:r>
      <w:r w:rsidRPr="007F6F77">
        <w:rPr>
          <w:rFonts w:ascii="Times New Roman"/>
          <w:sz w:val="24"/>
          <w:szCs w:val="24"/>
        </w:rPr>
        <w:lastRenderedPageBreak/>
        <w:t>annual growth rates of CPI and core CPI (excluding vegetables, fruit, and energy items) for 2018 to be 1.38% and 1.21%, respectively.</w:t>
      </w:r>
    </w:p>
    <w:p w:rsidR="008814F0" w:rsidRPr="007F6F77" w:rsidRDefault="008814F0" w:rsidP="00B540F4">
      <w:pPr>
        <w:pStyle w:val="afff6"/>
        <w:spacing w:afterLines="50" w:after="120" w:line="400" w:lineRule="exact"/>
        <w:ind w:leftChars="0" w:left="357"/>
        <w:rPr>
          <w:rFonts w:ascii="Times New Roman"/>
          <w:sz w:val="24"/>
          <w:szCs w:val="24"/>
        </w:rPr>
      </w:pPr>
      <w:r w:rsidRPr="007F6F77">
        <w:rPr>
          <w:rFonts w:ascii="Times New Roman"/>
          <w:sz w:val="24"/>
          <w:szCs w:val="24"/>
        </w:rPr>
        <w:t>In terms of next year, as global oil prices are forecast by international institutions to be somewhat lower than this year, leading to alleviated imported inflationary pressures, added with moderate domestic demand and the dissipation of the cigarette tax hike effect, CPI and core CPI inflation are projected by the CBC to decrease to 1.05% and 0.93% year on year in 2019 (see Appendix Table). The outlook for inflation is mild.</w:t>
      </w:r>
    </w:p>
    <w:p w:rsidR="008814F0" w:rsidRPr="007F6F77" w:rsidRDefault="008814F0" w:rsidP="008814F0">
      <w:pPr>
        <w:pStyle w:val="afff6"/>
        <w:numPr>
          <w:ilvl w:val="0"/>
          <w:numId w:val="29"/>
        </w:numPr>
        <w:adjustRightInd/>
        <w:spacing w:afterLines="50" w:after="120" w:line="400" w:lineRule="exact"/>
        <w:ind w:leftChars="0" w:left="357"/>
        <w:textAlignment w:val="auto"/>
        <w:rPr>
          <w:rFonts w:ascii="Times New Roman"/>
          <w:sz w:val="24"/>
          <w:szCs w:val="24"/>
        </w:rPr>
      </w:pPr>
      <w:r w:rsidRPr="007F6F77">
        <w:rPr>
          <w:rFonts w:ascii="Times New Roman"/>
          <w:sz w:val="24"/>
          <w:szCs w:val="24"/>
        </w:rPr>
        <w:t xml:space="preserve">The CBC has managed market liquidity with flexibility in view of the developments in domestic economic conditions, and banks' reserves have remained at an appropriate level. For the first eleven months of the year, the average annual growth rates of the monetary aggregate M2 and of bank loans and investments were 3.56% and 5.24%, respectively, indicating market liquidity is sufficient to support economic activity. </w:t>
      </w:r>
    </w:p>
    <w:p w:rsidR="008814F0" w:rsidRPr="007F6F77" w:rsidRDefault="008814F0" w:rsidP="00B540F4">
      <w:pPr>
        <w:pStyle w:val="afff6"/>
        <w:spacing w:afterLines="50" w:after="120" w:line="400" w:lineRule="exact"/>
        <w:ind w:leftChars="0" w:left="357"/>
        <w:rPr>
          <w:rFonts w:ascii="Times New Roman"/>
          <w:sz w:val="24"/>
          <w:szCs w:val="24"/>
        </w:rPr>
      </w:pPr>
      <w:r w:rsidRPr="007F6F77">
        <w:rPr>
          <w:rFonts w:ascii="Times New Roman"/>
          <w:sz w:val="24"/>
          <w:szCs w:val="24"/>
        </w:rPr>
        <w:t xml:space="preserve">Recently, both short- and long-term interest rates rose slightly, lifted mainly by a greater demand for funds commonly seen at year ends. Despite heightened volatility across global financial markets and frequent cross-border capital flows, domestic markets still enjoyed ample liquidity and market interest rates remained relatively stable. </w:t>
      </w:r>
    </w:p>
    <w:p w:rsidR="008814F0" w:rsidRPr="007F6F77" w:rsidRDefault="008814F0" w:rsidP="008814F0">
      <w:pPr>
        <w:pStyle w:val="af4"/>
        <w:numPr>
          <w:ilvl w:val="0"/>
          <w:numId w:val="28"/>
        </w:numPr>
        <w:adjustRightInd/>
        <w:spacing w:before="0" w:afterLines="50" w:after="120" w:line="320" w:lineRule="exact"/>
        <w:jc w:val="both"/>
        <w:textAlignment w:val="auto"/>
        <w:rPr>
          <w:sz w:val="24"/>
          <w:szCs w:val="24"/>
        </w:rPr>
      </w:pPr>
      <w:r w:rsidRPr="007F6F77">
        <w:rPr>
          <w:sz w:val="24"/>
          <w:szCs w:val="24"/>
        </w:rPr>
        <w:t xml:space="preserve">Monetary policy decisions </w:t>
      </w:r>
    </w:p>
    <w:p w:rsidR="008814F0" w:rsidRPr="007F6F77" w:rsidRDefault="008814F0" w:rsidP="00B540F4">
      <w:pPr>
        <w:pStyle w:val="afff6"/>
        <w:spacing w:afterLines="50" w:after="120" w:line="400" w:lineRule="exact"/>
        <w:ind w:leftChars="0" w:left="357"/>
        <w:rPr>
          <w:rFonts w:ascii="Times New Roman"/>
          <w:sz w:val="24"/>
          <w:szCs w:val="24"/>
        </w:rPr>
      </w:pPr>
      <w:r w:rsidRPr="007F6F77">
        <w:rPr>
          <w:rFonts w:ascii="Times New Roman"/>
          <w:sz w:val="24"/>
          <w:szCs w:val="24"/>
        </w:rPr>
        <w:t>In sum, international and domestic economic and financial developments informed the following assessment for next year, including a narrower expansion in the global economy, amplified uncertainties over the international economic and financial prospects, a moderation in domestic economic growth, a slightly wider negative output gap, and a mild inflation outlook that is softer than this year. Moreover, Taiwan's nominal and real interest rates register around the middle range among a host of economies. Therefore, the Board judged that a policy rate hold and a continued accommodative monetary policy stance will help foster sound development of the economy and the financial sector.</w:t>
      </w:r>
    </w:p>
    <w:p w:rsidR="008814F0" w:rsidRPr="007F6F77" w:rsidRDefault="008814F0" w:rsidP="00B540F4">
      <w:pPr>
        <w:pStyle w:val="afff6"/>
        <w:spacing w:afterLines="50" w:after="120" w:line="400" w:lineRule="exact"/>
        <w:ind w:leftChars="0" w:left="357"/>
        <w:rPr>
          <w:rFonts w:ascii="Times New Roman"/>
          <w:sz w:val="24"/>
          <w:szCs w:val="24"/>
        </w:rPr>
      </w:pPr>
      <w:r w:rsidRPr="007F6F77">
        <w:rPr>
          <w:rFonts w:ascii="Times New Roman"/>
          <w:sz w:val="24"/>
          <w:szCs w:val="24"/>
        </w:rPr>
        <w:t>The Board reached the following decisions unanimously at the Meeting today:</w:t>
      </w:r>
    </w:p>
    <w:p w:rsidR="008814F0" w:rsidRPr="007F6F77" w:rsidRDefault="008814F0" w:rsidP="008814F0">
      <w:pPr>
        <w:pStyle w:val="afff6"/>
        <w:numPr>
          <w:ilvl w:val="0"/>
          <w:numId w:val="43"/>
        </w:numPr>
        <w:adjustRightInd/>
        <w:spacing w:afterLines="50" w:after="120" w:line="400" w:lineRule="exact"/>
        <w:ind w:leftChars="0"/>
        <w:textAlignment w:val="auto"/>
        <w:rPr>
          <w:rFonts w:ascii="Times New Roman"/>
          <w:sz w:val="24"/>
          <w:szCs w:val="24"/>
        </w:rPr>
      </w:pPr>
      <w:r w:rsidRPr="007F6F77">
        <w:rPr>
          <w:rFonts w:ascii="Times New Roman"/>
          <w:sz w:val="24"/>
          <w:szCs w:val="24"/>
        </w:rPr>
        <w:t xml:space="preserve">The discount rate, the rate on accommodations with collateral, and the rate on accommodations without collateral are kept unchanged at 1.375%, 1.75%, and </w:t>
      </w:r>
      <w:r w:rsidRPr="007F6F77">
        <w:rPr>
          <w:rFonts w:ascii="Times New Roman"/>
          <w:sz w:val="24"/>
          <w:szCs w:val="24"/>
        </w:rPr>
        <w:lastRenderedPageBreak/>
        <w:t>3.625%, respectively.</w:t>
      </w:r>
    </w:p>
    <w:p w:rsidR="008814F0" w:rsidRPr="007F6F77" w:rsidRDefault="008814F0" w:rsidP="008814F0">
      <w:pPr>
        <w:pStyle w:val="afff6"/>
        <w:numPr>
          <w:ilvl w:val="0"/>
          <w:numId w:val="43"/>
        </w:numPr>
        <w:adjustRightInd/>
        <w:spacing w:afterLines="50" w:after="120" w:line="400" w:lineRule="exact"/>
        <w:ind w:leftChars="0" w:left="357"/>
        <w:textAlignment w:val="auto"/>
        <w:rPr>
          <w:rFonts w:ascii="Times New Roman"/>
          <w:sz w:val="24"/>
          <w:szCs w:val="24"/>
        </w:rPr>
      </w:pPr>
      <w:r w:rsidRPr="007F6F77">
        <w:rPr>
          <w:rFonts w:ascii="Times New Roman"/>
          <w:sz w:val="24"/>
          <w:szCs w:val="24"/>
        </w:rPr>
        <w:t>Taking economic growth, financial conditions, and price trends into consideration, the Board decided to set the 2019 M2 growth target range at 2.5% to 6.5%, same as this year (see Appendix Note).</w:t>
      </w:r>
    </w:p>
    <w:p w:rsidR="008814F0" w:rsidRPr="007F6F77" w:rsidRDefault="008814F0" w:rsidP="008814F0">
      <w:pPr>
        <w:pStyle w:val="af4"/>
        <w:widowControl/>
        <w:numPr>
          <w:ilvl w:val="0"/>
          <w:numId w:val="28"/>
        </w:numPr>
        <w:adjustRightInd/>
        <w:spacing w:before="0" w:afterLines="50" w:after="120" w:line="400" w:lineRule="exact"/>
        <w:jc w:val="both"/>
        <w:textAlignment w:val="auto"/>
        <w:rPr>
          <w:sz w:val="24"/>
          <w:szCs w:val="24"/>
        </w:rPr>
      </w:pPr>
      <w:r w:rsidRPr="007F6F77">
        <w:rPr>
          <w:sz w:val="24"/>
          <w:szCs w:val="24"/>
        </w:rPr>
        <w:t xml:space="preserve">The CBC will watch closely for any possible impacts on Taiwan's economic and financial conditions resulting from global trade protectionism, monetary policy shifts of major economies, global financial market volatility, and geopolitical risks. We will undertake appropriate and timely monetary policy actions as warranted, so as to fulfill the central bank's statutory mandate. </w:t>
      </w:r>
    </w:p>
    <w:p w:rsidR="008814F0" w:rsidRPr="007F6F77" w:rsidRDefault="008814F0" w:rsidP="008814F0">
      <w:pPr>
        <w:pStyle w:val="af4"/>
        <w:widowControl/>
        <w:numPr>
          <w:ilvl w:val="0"/>
          <w:numId w:val="28"/>
        </w:numPr>
        <w:tabs>
          <w:tab w:val="clear" w:pos="480"/>
          <w:tab w:val="num" w:pos="284"/>
        </w:tabs>
        <w:adjustRightInd/>
        <w:spacing w:before="0" w:afterLines="50" w:after="120" w:line="400" w:lineRule="exact"/>
        <w:ind w:left="360" w:hanging="426"/>
        <w:jc w:val="both"/>
        <w:textAlignment w:val="auto"/>
        <w:rPr>
          <w:sz w:val="24"/>
          <w:szCs w:val="24"/>
        </w:rPr>
      </w:pPr>
      <w:r w:rsidRPr="007F6F77">
        <w:rPr>
          <w:sz w:val="24"/>
          <w:szCs w:val="24"/>
        </w:rPr>
        <w:t xml:space="preserve"> In principle, the NT dollar exchange rate is determined by market forces. If irregular factors (such as massive inflows or outflows of short-term capital) as well as seasonal ones lead to excess volatility and disorderly movements in the NT dollar exchange rate with adverse implications for economic and financial stability, the CBC will, in accordance with its mandate, step in to maintain an orderly foreign exchange market.</w:t>
      </w:r>
    </w:p>
    <w:p w:rsidR="008814F0" w:rsidRPr="007F6F77" w:rsidRDefault="008814F0" w:rsidP="008C653F">
      <w:pPr>
        <w:rPr>
          <w:sz w:val="28"/>
        </w:rPr>
      </w:pPr>
      <w:r w:rsidRPr="007F6F77">
        <w:br w:type="page"/>
      </w:r>
    </w:p>
    <w:p w:rsidR="008814F0" w:rsidRPr="007F6F77" w:rsidRDefault="008814F0" w:rsidP="008C653F">
      <w:pPr>
        <w:widowControl/>
        <w:spacing w:before="100" w:beforeAutospacing="1" w:after="100" w:afterAutospacing="1"/>
        <w:jc w:val="center"/>
        <w:rPr>
          <w:b/>
          <w:bCs/>
          <w:sz w:val="28"/>
        </w:rPr>
      </w:pPr>
      <w:r w:rsidRPr="007F6F77">
        <w:rPr>
          <w:b/>
          <w:bCs/>
          <w:sz w:val="28"/>
        </w:rPr>
        <w:lastRenderedPageBreak/>
        <w:t>Appendix</w:t>
      </w:r>
      <w:r w:rsidRPr="007F6F77">
        <w:rPr>
          <w:rFonts w:hint="eastAsia"/>
          <w:b/>
          <w:bCs/>
          <w:sz w:val="28"/>
        </w:rPr>
        <w:t xml:space="preserve"> Note</w:t>
      </w:r>
    </w:p>
    <w:p w:rsidR="008814F0" w:rsidRPr="007F6F77" w:rsidRDefault="008814F0" w:rsidP="008C653F">
      <w:pPr>
        <w:widowControl/>
        <w:spacing w:before="100" w:beforeAutospacing="1" w:after="100" w:afterAutospacing="1"/>
        <w:jc w:val="center"/>
        <w:rPr>
          <w:sz w:val="28"/>
        </w:rPr>
      </w:pPr>
      <w:r w:rsidRPr="007F6F77">
        <w:rPr>
          <w:rFonts w:hint="eastAsia"/>
          <w:b/>
          <w:bCs/>
          <w:sz w:val="28"/>
        </w:rPr>
        <w:t xml:space="preserve">Considerations for </w:t>
      </w:r>
      <w:r w:rsidRPr="007F6F77">
        <w:rPr>
          <w:b/>
          <w:bCs/>
          <w:sz w:val="28"/>
        </w:rPr>
        <w:t xml:space="preserve">the </w:t>
      </w:r>
      <w:r w:rsidRPr="007F6F77">
        <w:rPr>
          <w:rFonts w:hint="eastAsia"/>
          <w:b/>
          <w:bCs/>
          <w:sz w:val="28"/>
        </w:rPr>
        <w:t xml:space="preserve">year 2019 </w:t>
      </w:r>
      <w:r w:rsidRPr="007F6F77">
        <w:rPr>
          <w:b/>
          <w:bCs/>
          <w:sz w:val="28"/>
        </w:rPr>
        <w:t xml:space="preserve">M2 growth target </w:t>
      </w:r>
      <w:r w:rsidRPr="007F6F77">
        <w:rPr>
          <w:rFonts w:hint="eastAsia"/>
          <w:b/>
          <w:bCs/>
          <w:sz w:val="28"/>
        </w:rPr>
        <w:t>range</w:t>
      </w:r>
    </w:p>
    <w:p w:rsidR="008814F0" w:rsidRPr="007F6F77" w:rsidRDefault="008814F0" w:rsidP="008814F0">
      <w:pPr>
        <w:pStyle w:val="af4"/>
        <w:numPr>
          <w:ilvl w:val="0"/>
          <w:numId w:val="36"/>
        </w:numPr>
        <w:adjustRightInd/>
        <w:spacing w:before="0" w:afterLines="50" w:after="120" w:line="400" w:lineRule="exact"/>
        <w:jc w:val="both"/>
        <w:textAlignment w:val="auto"/>
        <w:rPr>
          <w:sz w:val="24"/>
        </w:rPr>
      </w:pPr>
      <w:r w:rsidRPr="007F6F77">
        <w:rPr>
          <w:rFonts w:hint="eastAsia"/>
          <w:sz w:val="24"/>
        </w:rPr>
        <w:t>In recent months, the Bank'</w:t>
      </w:r>
      <w:r w:rsidRPr="007F6F77">
        <w:rPr>
          <w:sz w:val="24"/>
        </w:rPr>
        <w:t>s</w:t>
      </w:r>
      <w:r w:rsidRPr="007F6F77">
        <w:rPr>
          <w:rFonts w:hint="eastAsia"/>
          <w:sz w:val="24"/>
        </w:rPr>
        <w:t xml:space="preserve"> financial conditions index</w:t>
      </w:r>
      <w:r w:rsidRPr="007F6F77">
        <w:rPr>
          <w:rStyle w:val="afe"/>
          <w:sz w:val="24"/>
        </w:rPr>
        <w:footnoteReference w:id="2"/>
      </w:r>
      <w:r w:rsidRPr="007F6F77">
        <w:rPr>
          <w:rFonts w:hint="eastAsia"/>
          <w:sz w:val="24"/>
        </w:rPr>
        <w:t xml:space="preserve"> started to signal a tighter financial situation. In terms of the outlook, t</w:t>
      </w:r>
      <w:r w:rsidRPr="007F6F77">
        <w:rPr>
          <w:sz w:val="24"/>
        </w:rPr>
        <w:t xml:space="preserve">he economy </w:t>
      </w:r>
      <w:r w:rsidRPr="007F6F77">
        <w:rPr>
          <w:rFonts w:hint="eastAsia"/>
          <w:sz w:val="24"/>
        </w:rPr>
        <w:t xml:space="preserve">is likely to grow at a slower pace in 2019 than in 2018, and inflation is expected to be more subdued but still stable. Meanwhile, continuing divergence in monetary policy among major economies is expected to induce more volatile capital movements across borders. In addition, domestic private investment and consumer confidence could be dampened by a more tempered view of global economic growth given the adverse implications of US-China trade conflicts, which would in turn weaken domestic growth momentum. </w:t>
      </w:r>
    </w:p>
    <w:p w:rsidR="008814F0" w:rsidRPr="007F6F77" w:rsidRDefault="008814F0" w:rsidP="008814F0">
      <w:pPr>
        <w:pStyle w:val="af4"/>
        <w:numPr>
          <w:ilvl w:val="0"/>
          <w:numId w:val="36"/>
        </w:numPr>
        <w:adjustRightInd/>
        <w:spacing w:before="0" w:afterLines="50" w:after="120" w:line="400" w:lineRule="exact"/>
        <w:jc w:val="both"/>
        <w:textAlignment w:val="auto"/>
        <w:rPr>
          <w:sz w:val="24"/>
        </w:rPr>
      </w:pPr>
      <w:r w:rsidRPr="007F6F77">
        <w:rPr>
          <w:rFonts w:hint="eastAsia"/>
          <w:sz w:val="24"/>
        </w:rPr>
        <w:t xml:space="preserve">Against such a backdrop of elevated political, economic, and financial uncertainties on the global scene, </w:t>
      </w:r>
      <w:r w:rsidRPr="007F6F77">
        <w:rPr>
          <w:sz w:val="24"/>
        </w:rPr>
        <w:t>the M2 growth target range for 201</w:t>
      </w:r>
      <w:r w:rsidRPr="007F6F77">
        <w:rPr>
          <w:rFonts w:hint="eastAsia"/>
          <w:sz w:val="24"/>
        </w:rPr>
        <w:t>9</w:t>
      </w:r>
      <w:r w:rsidRPr="007F6F77">
        <w:rPr>
          <w:sz w:val="24"/>
        </w:rPr>
        <w:t xml:space="preserve"> is set at 2.5% to 6.5%, unchanged from this year. </w:t>
      </w:r>
      <w:r w:rsidRPr="007F6F77">
        <w:rPr>
          <w:rFonts w:hint="eastAsia"/>
          <w:sz w:val="24"/>
        </w:rPr>
        <w:t xml:space="preserve">The CBC maintains an accommodative monetary policy stance as warranted, so as to </w:t>
      </w:r>
      <w:r w:rsidRPr="007F6F77">
        <w:rPr>
          <w:sz w:val="24"/>
        </w:rPr>
        <w:t xml:space="preserve">sufficiently meet the funding needs of the private sector </w:t>
      </w:r>
      <w:r w:rsidRPr="007F6F77">
        <w:rPr>
          <w:rFonts w:hint="eastAsia"/>
          <w:sz w:val="24"/>
        </w:rPr>
        <w:t xml:space="preserve">and </w:t>
      </w:r>
      <w:r w:rsidRPr="007F6F77">
        <w:rPr>
          <w:sz w:val="24"/>
        </w:rPr>
        <w:t xml:space="preserve">foster economic growth. </w:t>
      </w:r>
    </w:p>
    <w:p w:rsidR="008814F0" w:rsidRPr="007F6F77" w:rsidRDefault="008814F0" w:rsidP="008814F0">
      <w:pPr>
        <w:pStyle w:val="af4"/>
        <w:numPr>
          <w:ilvl w:val="0"/>
          <w:numId w:val="36"/>
        </w:numPr>
        <w:adjustRightInd/>
        <w:spacing w:before="0" w:afterLines="50" w:after="120" w:line="400" w:lineRule="exact"/>
        <w:jc w:val="both"/>
        <w:textAlignment w:val="auto"/>
        <w:rPr>
          <w:sz w:val="24"/>
        </w:rPr>
      </w:pPr>
      <w:r w:rsidRPr="007F6F77">
        <w:rPr>
          <w:rFonts w:hint="eastAsia"/>
          <w:sz w:val="24"/>
        </w:rPr>
        <w:t xml:space="preserve">Given the uncertain outlook for </w:t>
      </w:r>
      <w:r w:rsidRPr="007F6F77">
        <w:rPr>
          <w:sz w:val="24"/>
        </w:rPr>
        <w:t xml:space="preserve">international and domestic economic and financial </w:t>
      </w:r>
      <w:r w:rsidRPr="007F6F77">
        <w:rPr>
          <w:rFonts w:hint="eastAsia"/>
          <w:sz w:val="24"/>
        </w:rPr>
        <w:t xml:space="preserve">conditions next year, the CBC will, as usual, review and assess the M2 growth target in mid-year and adjust the target range if necessary. </w:t>
      </w:r>
    </w:p>
    <w:p w:rsidR="008814F0" w:rsidRPr="007F6F77" w:rsidRDefault="008814F0" w:rsidP="00B540F4">
      <w:pPr>
        <w:pStyle w:val="af4"/>
        <w:widowControl/>
        <w:spacing w:afterLines="50" w:after="120" w:line="400" w:lineRule="exact"/>
        <w:ind w:left="360"/>
        <w:rPr>
          <w:szCs w:val="28"/>
        </w:rPr>
      </w:pPr>
    </w:p>
    <w:p w:rsidR="008814F0" w:rsidRPr="007F6F77" w:rsidRDefault="008814F0" w:rsidP="00B540F4">
      <w:pPr>
        <w:pStyle w:val="af4"/>
        <w:widowControl/>
        <w:spacing w:afterLines="50" w:after="120" w:line="400" w:lineRule="exact"/>
        <w:rPr>
          <w:szCs w:val="28"/>
        </w:rPr>
      </w:pPr>
    </w:p>
    <w:p w:rsidR="008814F0" w:rsidRPr="007F6F77" w:rsidRDefault="008814F0" w:rsidP="00B540F4">
      <w:pPr>
        <w:pStyle w:val="af4"/>
        <w:widowControl/>
        <w:spacing w:afterLines="50" w:after="120" w:line="400" w:lineRule="exact"/>
        <w:rPr>
          <w:szCs w:val="28"/>
        </w:rPr>
      </w:pPr>
    </w:p>
    <w:p w:rsidR="008814F0" w:rsidRPr="007F6F77" w:rsidRDefault="008814F0" w:rsidP="00B540F4">
      <w:pPr>
        <w:pStyle w:val="af4"/>
        <w:widowControl/>
        <w:spacing w:afterLines="50" w:after="120" w:line="400" w:lineRule="exact"/>
        <w:rPr>
          <w:szCs w:val="28"/>
        </w:rPr>
      </w:pPr>
    </w:p>
    <w:p w:rsidR="00E60008" w:rsidRPr="007F6F77" w:rsidRDefault="00E60008">
      <w:pPr>
        <w:widowControl/>
        <w:adjustRightInd/>
        <w:spacing w:line="240" w:lineRule="auto"/>
        <w:textAlignment w:val="auto"/>
        <w:rPr>
          <w:rFonts w:eastAsia="標楷體"/>
          <w:b/>
          <w:sz w:val="28"/>
          <w:szCs w:val="28"/>
        </w:rPr>
      </w:pPr>
      <w:r w:rsidRPr="007F6F77">
        <w:rPr>
          <w:rFonts w:eastAsia="標楷體"/>
          <w:b/>
          <w:sz w:val="28"/>
          <w:szCs w:val="28"/>
        </w:rPr>
        <w:br w:type="page"/>
      </w:r>
    </w:p>
    <w:p w:rsidR="008814F0" w:rsidRPr="007F6F77" w:rsidRDefault="008814F0" w:rsidP="00F43385">
      <w:pPr>
        <w:spacing w:line="400" w:lineRule="exact"/>
        <w:jc w:val="center"/>
        <w:rPr>
          <w:rFonts w:eastAsia="標楷體"/>
          <w:b/>
          <w:sz w:val="28"/>
          <w:szCs w:val="28"/>
        </w:rPr>
      </w:pPr>
      <w:r w:rsidRPr="007F6F77">
        <w:rPr>
          <w:rFonts w:eastAsia="標楷體" w:hint="eastAsia"/>
          <w:b/>
          <w:sz w:val="28"/>
          <w:szCs w:val="28"/>
        </w:rPr>
        <w:lastRenderedPageBreak/>
        <w:t>Appendix Table</w:t>
      </w:r>
    </w:p>
    <w:p w:rsidR="008814F0" w:rsidRPr="007F6F77" w:rsidRDefault="008814F0" w:rsidP="00F43385">
      <w:pPr>
        <w:spacing w:line="400" w:lineRule="exact"/>
        <w:jc w:val="center"/>
        <w:rPr>
          <w:rFonts w:eastAsia="標楷體"/>
          <w:b/>
          <w:sz w:val="28"/>
          <w:szCs w:val="28"/>
        </w:rPr>
      </w:pPr>
      <w:r w:rsidRPr="007F6F77">
        <w:rPr>
          <w:rFonts w:eastAsia="標楷體"/>
          <w:b/>
          <w:sz w:val="28"/>
          <w:szCs w:val="28"/>
        </w:rPr>
        <w:t>Taiwan</w:t>
      </w:r>
      <w:r w:rsidRPr="007F6F77">
        <w:rPr>
          <w:rFonts w:eastAsia="標楷體" w:hint="eastAsia"/>
          <w:b/>
          <w:sz w:val="28"/>
          <w:szCs w:val="28"/>
        </w:rPr>
        <w:t>'</w:t>
      </w:r>
      <w:r w:rsidRPr="007F6F77">
        <w:rPr>
          <w:rFonts w:eastAsia="標楷體"/>
          <w:b/>
          <w:sz w:val="28"/>
          <w:szCs w:val="28"/>
        </w:rPr>
        <w:t>s Inflation and Inflation Outlook</w:t>
      </w:r>
    </w:p>
    <w:tbl>
      <w:tblPr>
        <w:tblpPr w:leftFromText="180" w:rightFromText="180" w:vertAnchor="text" w:horzAnchor="margin" w:tblpY="372"/>
        <w:tblW w:w="10036" w:type="dxa"/>
        <w:tblLayout w:type="fixed"/>
        <w:tblCellMar>
          <w:left w:w="28" w:type="dxa"/>
          <w:right w:w="28" w:type="dxa"/>
        </w:tblCellMar>
        <w:tblLook w:val="04A0" w:firstRow="1" w:lastRow="0" w:firstColumn="1" w:lastColumn="0" w:noHBand="0" w:noVBand="1"/>
      </w:tblPr>
      <w:tblGrid>
        <w:gridCol w:w="1304"/>
        <w:gridCol w:w="2693"/>
        <w:gridCol w:w="2027"/>
        <w:gridCol w:w="2028"/>
        <w:gridCol w:w="1984"/>
      </w:tblGrid>
      <w:tr w:rsidR="008814F0" w:rsidRPr="007F6F77" w:rsidTr="0090395F">
        <w:trPr>
          <w:gridAfter w:val="1"/>
          <w:wAfter w:w="1984" w:type="dxa"/>
          <w:trHeight w:val="444"/>
        </w:trPr>
        <w:tc>
          <w:tcPr>
            <w:tcW w:w="8052" w:type="dxa"/>
            <w:gridSpan w:val="4"/>
            <w:shd w:val="clear" w:color="000000" w:fill="FFFFFF"/>
          </w:tcPr>
          <w:p w:rsidR="008814F0" w:rsidRPr="007F6F77" w:rsidRDefault="008814F0" w:rsidP="0090395F">
            <w:pPr>
              <w:pStyle w:val="a"/>
              <w:numPr>
                <w:ilvl w:val="0"/>
                <w:numId w:val="0"/>
              </w:numPr>
              <w:jc w:val="right"/>
              <w:rPr>
                <w:rFonts w:eastAsia="標楷體"/>
              </w:rPr>
            </w:pPr>
            <w:r w:rsidRPr="007F6F77">
              <w:rPr>
                <w:rFonts w:eastAsia="標楷體"/>
                <w:b/>
                <w:noProof/>
                <w:sz w:val="32"/>
                <w:szCs w:val="32"/>
              </w:rPr>
              <mc:AlternateContent>
                <mc:Choice Requires="wps">
                  <w:drawing>
                    <wp:anchor distT="0" distB="0" distL="114300" distR="114300" simplePos="0" relativeHeight="251659264" behindDoc="0" locked="0" layoutInCell="1" allowOverlap="1" wp14:anchorId="2D2DE7E6" wp14:editId="55261AE6">
                      <wp:simplePos x="0" y="0"/>
                      <wp:positionH relativeFrom="column">
                        <wp:posOffset>4593270</wp:posOffset>
                      </wp:positionH>
                      <wp:positionV relativeFrom="paragraph">
                        <wp:posOffset>99695</wp:posOffset>
                      </wp:positionV>
                      <wp:extent cx="545465" cy="166254"/>
                      <wp:effectExtent l="0" t="0" r="6985" b="571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66254"/>
                              </a:xfrm>
                              <a:prstGeom prst="rect">
                                <a:avLst/>
                              </a:prstGeom>
                              <a:solidFill>
                                <a:srgbClr val="FFFFFF"/>
                              </a:solidFill>
                              <a:ln w="9525">
                                <a:noFill/>
                                <a:miter lim="800000"/>
                                <a:headEnd/>
                                <a:tailEnd/>
                              </a:ln>
                            </wps:spPr>
                            <wps:txbx>
                              <w:txbxContent>
                                <w:p w:rsidR="008814F0" w:rsidRPr="00414E45" w:rsidRDefault="008814F0" w:rsidP="00F43385">
                                  <w:pPr>
                                    <w:spacing w:line="240" w:lineRule="exact"/>
                                  </w:pPr>
                                  <w:r w:rsidRPr="00414E45">
                                    <w:rPr>
                                      <w:rFonts w:eastAsia="標楷體"/>
                                    </w:rPr>
                                    <w:t>Unit: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61.65pt;margin-top:7.85pt;width:42.95pt;height:1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" stroked="f">
                      <v:textbox inset="0,0,0,0">
                        <w:txbxContent>
                          <w:p w:rsidR="008814F0" w:rsidRPr="00414E45" w:rsidRDefault="008814F0" w:rsidP="00F43385">
                            <w:pPr>
                              <w:spacing w:line="240" w:lineRule="exact"/>
                            </w:pPr>
                            <w:r w:rsidRPr="00414E45">
                              <w:rPr>
                                <w:rFonts w:eastAsia="標楷體"/>
                              </w:rPr>
                              <w:t>Unit: %</w:t>
                            </w:r>
                          </w:p>
                        </w:txbxContent>
                      </v:textbox>
                    </v:shape>
                  </w:pict>
                </mc:Fallback>
              </mc:AlternateContent>
            </w:r>
          </w:p>
        </w:tc>
      </w:tr>
      <w:tr w:rsidR="008814F0" w:rsidRPr="007F6F77" w:rsidTr="0090395F">
        <w:trPr>
          <w:trHeight w:val="444"/>
        </w:trPr>
        <w:tc>
          <w:tcPr>
            <w:tcW w:w="3997" w:type="dxa"/>
            <w:gridSpan w:val="2"/>
            <w:vMerge w:val="restart"/>
            <w:tcBorders>
              <w:top w:val="single" w:sz="8" w:space="0" w:color="auto"/>
              <w:left w:val="single" w:sz="6" w:space="0" w:color="auto"/>
              <w:right w:val="single" w:sz="6" w:space="0" w:color="auto"/>
            </w:tcBorders>
            <w:shd w:val="clear" w:color="000000" w:fill="FFFFFF"/>
            <w:noWrap/>
            <w:vAlign w:val="center"/>
            <w:hideMark/>
          </w:tcPr>
          <w:p w:rsidR="008814F0" w:rsidRPr="007F6F77" w:rsidRDefault="008814F0" w:rsidP="0090395F">
            <w:pPr>
              <w:widowControl/>
              <w:snapToGrid w:val="0"/>
              <w:jc w:val="center"/>
              <w:rPr>
                <w:rFonts w:ascii="標楷體" w:eastAsia="標楷體" w:hAnsi="標楷體"/>
                <w:sz w:val="22"/>
                <w:szCs w:val="22"/>
              </w:rPr>
            </w:pPr>
            <w:r w:rsidRPr="007F6F77">
              <w:rPr>
                <w:rFonts w:eastAsia="標楷體"/>
                <w:sz w:val="22"/>
                <w:szCs w:val="22"/>
              </w:rPr>
              <w:t>Forecast institutions</w:t>
            </w:r>
          </w:p>
        </w:tc>
        <w:tc>
          <w:tcPr>
            <w:tcW w:w="2027" w:type="dxa"/>
            <w:tcBorders>
              <w:top w:val="single" w:sz="8" w:space="0" w:color="auto"/>
              <w:left w:val="single" w:sz="6" w:space="0" w:color="auto"/>
              <w:bottom w:val="single" w:sz="6" w:space="0" w:color="auto"/>
              <w:right w:val="single" w:sz="4" w:space="0" w:color="auto"/>
            </w:tcBorders>
            <w:shd w:val="clear" w:color="000000" w:fill="FFFFFF"/>
            <w:vAlign w:val="center"/>
          </w:tcPr>
          <w:p w:rsidR="008814F0" w:rsidRPr="007F6F77" w:rsidRDefault="008814F0" w:rsidP="0090395F">
            <w:pPr>
              <w:widowControl/>
              <w:snapToGrid w:val="0"/>
              <w:jc w:val="center"/>
              <w:rPr>
                <w:rFonts w:eastAsia="標楷體"/>
                <w:b/>
                <w:bCs/>
                <w:sz w:val="22"/>
                <w:szCs w:val="22"/>
              </w:rPr>
            </w:pPr>
            <w:r w:rsidRPr="007F6F77">
              <w:rPr>
                <w:rFonts w:eastAsia="標楷體" w:hint="eastAsia"/>
                <w:b/>
                <w:bCs/>
                <w:sz w:val="22"/>
                <w:szCs w:val="22"/>
              </w:rPr>
              <w:t>Inflation</w:t>
            </w:r>
          </w:p>
        </w:tc>
        <w:tc>
          <w:tcPr>
            <w:tcW w:w="2028" w:type="dxa"/>
            <w:tcBorders>
              <w:top w:val="single" w:sz="8" w:space="0" w:color="auto"/>
              <w:left w:val="single" w:sz="6" w:space="0" w:color="auto"/>
              <w:bottom w:val="single" w:sz="6" w:space="0" w:color="auto"/>
              <w:right w:val="single" w:sz="4" w:space="0" w:color="auto"/>
            </w:tcBorders>
            <w:shd w:val="clear" w:color="000000" w:fill="FFFFFF"/>
            <w:vAlign w:val="center"/>
          </w:tcPr>
          <w:p w:rsidR="008814F0" w:rsidRPr="007F6F77" w:rsidRDefault="008814F0" w:rsidP="0090395F">
            <w:pPr>
              <w:widowControl/>
              <w:snapToGrid w:val="0"/>
              <w:jc w:val="center"/>
              <w:rPr>
                <w:rFonts w:eastAsia="標楷體"/>
                <w:b/>
                <w:bCs/>
                <w:sz w:val="22"/>
                <w:szCs w:val="22"/>
              </w:rPr>
            </w:pPr>
            <w:r w:rsidRPr="007F6F77">
              <w:rPr>
                <w:rFonts w:eastAsia="標楷體" w:hint="eastAsia"/>
                <w:b/>
                <w:bCs/>
                <w:sz w:val="22"/>
                <w:szCs w:val="22"/>
              </w:rPr>
              <w:t>Inflation outlook</w:t>
            </w:r>
          </w:p>
        </w:tc>
        <w:tc>
          <w:tcPr>
            <w:tcW w:w="1984" w:type="dxa"/>
            <w:vMerge w:val="restart"/>
            <w:tcBorders>
              <w:left w:val="single" w:sz="4" w:space="0" w:color="auto"/>
            </w:tcBorders>
            <w:shd w:val="clear" w:color="000000" w:fill="FFFFFF"/>
          </w:tcPr>
          <w:p w:rsidR="008814F0" w:rsidRPr="007F6F77" w:rsidRDefault="008814F0" w:rsidP="0090395F">
            <w:pPr>
              <w:widowControl/>
              <w:snapToGrid w:val="0"/>
              <w:jc w:val="center"/>
              <w:rPr>
                <w:rFonts w:ascii="標楷體" w:eastAsia="標楷體" w:hAnsi="標楷體" w:cs="新細明體"/>
                <w:b/>
                <w:bCs/>
                <w:sz w:val="22"/>
                <w:szCs w:val="22"/>
              </w:rPr>
            </w:pPr>
          </w:p>
          <w:p w:rsidR="008814F0" w:rsidRPr="007F6F77" w:rsidRDefault="008814F0" w:rsidP="0090395F">
            <w:pPr>
              <w:widowControl/>
              <w:snapToGrid w:val="0"/>
              <w:jc w:val="center"/>
              <w:rPr>
                <w:rFonts w:ascii="標楷體" w:eastAsia="標楷體" w:hAnsi="標楷體" w:cs="新細明體"/>
                <w:b/>
                <w:bCs/>
                <w:sz w:val="22"/>
                <w:szCs w:val="22"/>
              </w:rPr>
            </w:pPr>
          </w:p>
          <w:p w:rsidR="008814F0" w:rsidRPr="007F6F77" w:rsidRDefault="008814F0" w:rsidP="0090395F">
            <w:pPr>
              <w:widowControl/>
              <w:snapToGrid w:val="0"/>
              <w:jc w:val="center"/>
              <w:rPr>
                <w:rFonts w:ascii="標楷體" w:eastAsia="標楷體" w:hAnsi="標楷體" w:cs="新細明體"/>
                <w:b/>
                <w:bCs/>
                <w:sz w:val="22"/>
                <w:szCs w:val="22"/>
              </w:rPr>
            </w:pPr>
          </w:p>
          <w:p w:rsidR="008814F0" w:rsidRPr="007F6F77" w:rsidRDefault="008814F0" w:rsidP="0090395F">
            <w:pPr>
              <w:widowControl/>
              <w:snapToGrid w:val="0"/>
              <w:jc w:val="center"/>
              <w:rPr>
                <w:rFonts w:ascii="標楷體" w:eastAsia="標楷體" w:hAnsi="標楷體" w:cs="新細明體"/>
                <w:b/>
                <w:bCs/>
                <w:sz w:val="22"/>
                <w:szCs w:val="22"/>
              </w:rPr>
            </w:pPr>
          </w:p>
          <w:p w:rsidR="008814F0" w:rsidRPr="007F6F77" w:rsidRDefault="008814F0" w:rsidP="0090395F">
            <w:pPr>
              <w:widowControl/>
              <w:snapToGrid w:val="0"/>
              <w:jc w:val="center"/>
              <w:rPr>
                <w:rFonts w:ascii="標楷體" w:eastAsia="標楷體" w:hAnsi="標楷體" w:cs="新細明體"/>
                <w:b/>
                <w:bCs/>
                <w:sz w:val="22"/>
                <w:szCs w:val="22"/>
              </w:rPr>
            </w:pPr>
            <w:r w:rsidRPr="007F6F77">
              <w:rPr>
                <w:rFonts w:ascii="標楷體" w:eastAsia="標楷體" w:hAnsi="標楷體" w:cs="新細明體"/>
                <w:b/>
                <w:bCs/>
                <w:noProof/>
                <w:sz w:val="22"/>
                <w:szCs w:val="22"/>
              </w:rPr>
              <mc:AlternateContent>
                <mc:Choice Requires="wps">
                  <w:drawing>
                    <wp:anchor distT="0" distB="0" distL="114300" distR="114300" simplePos="0" relativeHeight="251660288" behindDoc="0" locked="0" layoutInCell="1" allowOverlap="1" wp14:anchorId="31E2DA2C" wp14:editId="66D8A40C">
                      <wp:simplePos x="0" y="0"/>
                      <wp:positionH relativeFrom="column">
                        <wp:posOffset>61595</wp:posOffset>
                      </wp:positionH>
                      <wp:positionV relativeFrom="paragraph">
                        <wp:posOffset>135255</wp:posOffset>
                      </wp:positionV>
                      <wp:extent cx="1125997" cy="1390015"/>
                      <wp:effectExtent l="0" t="0" r="0" b="63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997" cy="1390015"/>
                              </a:xfrm>
                              <a:prstGeom prst="rect">
                                <a:avLst/>
                              </a:prstGeom>
                              <a:noFill/>
                              <a:ln w="9525">
                                <a:noFill/>
                                <a:miter lim="800000"/>
                                <a:headEnd/>
                                <a:tailEnd/>
                              </a:ln>
                            </wps:spPr>
                            <wps:txbx>
                              <w:txbxContent>
                                <w:p w:rsidR="008814F0" w:rsidRPr="00067592" w:rsidRDefault="008814F0" w:rsidP="00414E45">
                                  <w:pPr>
                                    <w:widowControl/>
                                    <w:snapToGrid w:val="0"/>
                                    <w:spacing w:line="440" w:lineRule="exact"/>
                                    <w:jc w:val="center"/>
                                    <w:rPr>
                                      <w:rFonts w:eastAsia="標楷體"/>
                                      <w:b/>
                                      <w:bCs/>
                                      <w:sz w:val="22"/>
                                      <w:szCs w:val="22"/>
                                      <w:u w:val="single"/>
                                    </w:rPr>
                                  </w:pPr>
                                  <w:r w:rsidRPr="00067592">
                                    <w:rPr>
                                      <w:rFonts w:eastAsia="標楷體"/>
                                      <w:b/>
                                      <w:bCs/>
                                      <w:sz w:val="22"/>
                                      <w:szCs w:val="22"/>
                                      <w:u w:val="single"/>
                                    </w:rPr>
                                    <w:t>Median:</w:t>
                                  </w:r>
                                  <w:r w:rsidRPr="00067592">
                                    <w:rPr>
                                      <w:rFonts w:eastAsia="標楷體"/>
                                      <w:b/>
                                      <w:bCs/>
                                      <w:sz w:val="22"/>
                                      <w:szCs w:val="22"/>
                                    </w:rPr>
                                    <w:t xml:space="preserve"> </w:t>
                                  </w:r>
                                </w:p>
                                <w:p w:rsidR="008814F0" w:rsidRPr="00067592" w:rsidRDefault="008814F0" w:rsidP="00414E45">
                                  <w:pPr>
                                    <w:widowControl/>
                                    <w:snapToGrid w:val="0"/>
                                    <w:spacing w:line="440" w:lineRule="exact"/>
                                    <w:jc w:val="center"/>
                                    <w:rPr>
                                      <w:b/>
                                      <w:bCs/>
                                      <w:sz w:val="22"/>
                                      <w:szCs w:val="22"/>
                                    </w:rPr>
                                  </w:pPr>
                                  <w:r w:rsidRPr="00067592">
                                    <w:rPr>
                                      <w:rFonts w:hint="eastAsia"/>
                                      <w:b/>
                                      <w:bCs/>
                                      <w:sz w:val="22"/>
                                      <w:szCs w:val="22"/>
                                    </w:rPr>
                                    <w:t>1.43% (2018)</w:t>
                                  </w:r>
                                </w:p>
                                <w:p w:rsidR="008814F0" w:rsidRPr="00067592" w:rsidRDefault="008814F0" w:rsidP="00414E45">
                                  <w:pPr>
                                    <w:widowControl/>
                                    <w:snapToGrid w:val="0"/>
                                    <w:spacing w:line="440" w:lineRule="exact"/>
                                    <w:jc w:val="center"/>
                                    <w:rPr>
                                      <w:b/>
                                      <w:bCs/>
                                      <w:sz w:val="22"/>
                                      <w:szCs w:val="22"/>
                                    </w:rPr>
                                  </w:pPr>
                                  <w:r w:rsidRPr="00067592">
                                    <w:rPr>
                                      <w:rFonts w:hint="eastAsia"/>
                                      <w:b/>
                                      <w:bCs/>
                                      <w:sz w:val="22"/>
                                      <w:szCs w:val="22"/>
                                    </w:rPr>
                                    <w:t>1.07% (2019)</w:t>
                                  </w:r>
                                </w:p>
                                <w:p w:rsidR="008814F0" w:rsidRPr="00067592" w:rsidRDefault="008814F0" w:rsidP="00414E45">
                                  <w:pPr>
                                    <w:jc w:val="center"/>
                                    <w:rPr>
                                      <w:rFonts w:eastAsia="標楷體"/>
                                      <w:b/>
                                      <w:sz w:val="22"/>
                                      <w:szCs w:val="22"/>
                                    </w:rPr>
                                  </w:pPr>
                                  <w:r w:rsidRPr="00067592">
                                    <w:rPr>
                                      <w:b/>
                                      <w:sz w:val="22"/>
                                      <w:szCs w:val="22"/>
                                    </w:rPr>
                                    <w:t>(</w:t>
                                  </w:r>
                                  <w:proofErr w:type="gramStart"/>
                                  <w:r w:rsidRPr="00067592">
                                    <w:rPr>
                                      <w:b/>
                                      <w:sz w:val="22"/>
                                      <w:szCs w:val="22"/>
                                    </w:rPr>
                                    <w:t>domestic</w:t>
                                  </w:r>
                                  <w:proofErr w:type="gramEnd"/>
                                  <w:r w:rsidRPr="00067592">
                                    <w:rPr>
                                      <w:b/>
                                      <w:sz w:val="22"/>
                                      <w:szCs w:val="22"/>
                                    </w:rPr>
                                    <w:t xml:space="preserve"> institutions)</w:t>
                                  </w:r>
                                </w:p>
                                <w:p w:rsidR="008814F0" w:rsidRDefault="008814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85pt;margin-top:10.65pt;width:88.65pt;height:10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" filled="f" stroked="f">
                      <v:textbox>
                        <w:txbxContent>
                          <w:p w:rsidR="008814F0" w:rsidRPr="00067592" w:rsidRDefault="008814F0" w:rsidP="00414E45">
                            <w:pPr>
                              <w:widowControl/>
                              <w:snapToGrid w:val="0"/>
                              <w:spacing w:line="440" w:lineRule="exact"/>
                              <w:jc w:val="center"/>
                              <w:rPr>
                                <w:rFonts w:eastAsia="標楷體"/>
                                <w:b/>
                                <w:bCs/>
                                <w:sz w:val="22"/>
                                <w:szCs w:val="22"/>
                                <w:u w:val="single"/>
                              </w:rPr>
                            </w:pPr>
                            <w:r w:rsidRPr="00067592">
                              <w:rPr>
                                <w:rFonts w:eastAsia="標楷體"/>
                                <w:b/>
                                <w:bCs/>
                                <w:sz w:val="22"/>
                                <w:szCs w:val="22"/>
                                <w:u w:val="single"/>
                              </w:rPr>
                              <w:t>Median:</w:t>
                            </w:r>
                            <w:r w:rsidRPr="00067592">
                              <w:rPr>
                                <w:rFonts w:eastAsia="標楷體"/>
                                <w:b/>
                                <w:bCs/>
                                <w:sz w:val="22"/>
                                <w:szCs w:val="22"/>
                              </w:rPr>
                              <w:t xml:space="preserve"> </w:t>
                            </w:r>
                          </w:p>
                          <w:p w:rsidR="008814F0" w:rsidRPr="00067592" w:rsidRDefault="008814F0" w:rsidP="00414E45">
                            <w:pPr>
                              <w:widowControl/>
                              <w:snapToGrid w:val="0"/>
                              <w:spacing w:line="440" w:lineRule="exact"/>
                              <w:jc w:val="center"/>
                              <w:rPr>
                                <w:b/>
                                <w:bCs/>
                                <w:sz w:val="22"/>
                                <w:szCs w:val="22"/>
                              </w:rPr>
                            </w:pPr>
                            <w:r w:rsidRPr="00067592">
                              <w:rPr>
                                <w:rFonts w:hint="eastAsia"/>
                                <w:b/>
                                <w:bCs/>
                                <w:sz w:val="22"/>
                                <w:szCs w:val="22"/>
                              </w:rPr>
                              <w:t>1.43% (2018)</w:t>
                            </w:r>
                          </w:p>
                          <w:p w:rsidR="008814F0" w:rsidRPr="00067592" w:rsidRDefault="008814F0" w:rsidP="00414E45">
                            <w:pPr>
                              <w:widowControl/>
                              <w:snapToGrid w:val="0"/>
                              <w:spacing w:line="440" w:lineRule="exact"/>
                              <w:jc w:val="center"/>
                              <w:rPr>
                                <w:b/>
                                <w:bCs/>
                                <w:sz w:val="22"/>
                                <w:szCs w:val="22"/>
                              </w:rPr>
                            </w:pPr>
                            <w:r w:rsidRPr="00067592">
                              <w:rPr>
                                <w:rFonts w:hint="eastAsia"/>
                                <w:b/>
                                <w:bCs/>
                                <w:sz w:val="22"/>
                                <w:szCs w:val="22"/>
                              </w:rPr>
                              <w:t>1.07% (2019)</w:t>
                            </w:r>
                          </w:p>
                          <w:p w:rsidR="008814F0" w:rsidRPr="00067592" w:rsidRDefault="008814F0" w:rsidP="00414E45">
                            <w:pPr>
                              <w:jc w:val="center"/>
                              <w:rPr>
                                <w:rFonts w:eastAsia="標楷體"/>
                                <w:b/>
                                <w:sz w:val="22"/>
                                <w:szCs w:val="22"/>
                              </w:rPr>
                            </w:pPr>
                            <w:r w:rsidRPr="00067592">
                              <w:rPr>
                                <w:b/>
                                <w:sz w:val="22"/>
                                <w:szCs w:val="22"/>
                              </w:rPr>
                              <w:t>(</w:t>
                            </w:r>
                            <w:proofErr w:type="gramStart"/>
                            <w:r w:rsidRPr="00067592">
                              <w:rPr>
                                <w:b/>
                                <w:sz w:val="22"/>
                                <w:szCs w:val="22"/>
                              </w:rPr>
                              <w:t>domestic</w:t>
                            </w:r>
                            <w:proofErr w:type="gramEnd"/>
                            <w:r w:rsidRPr="00067592">
                              <w:rPr>
                                <w:b/>
                                <w:sz w:val="22"/>
                                <w:szCs w:val="22"/>
                              </w:rPr>
                              <w:t xml:space="preserve"> institutions)</w:t>
                            </w:r>
                          </w:p>
                          <w:p w:rsidR="008814F0" w:rsidRDefault="008814F0"/>
                        </w:txbxContent>
                      </v:textbox>
                    </v:shape>
                  </w:pict>
                </mc:Fallback>
              </mc:AlternateContent>
            </w:r>
          </w:p>
          <w:p w:rsidR="008814F0" w:rsidRPr="007F6F77" w:rsidRDefault="008814F0" w:rsidP="0090395F">
            <w:pPr>
              <w:widowControl/>
              <w:snapToGrid w:val="0"/>
              <w:jc w:val="center"/>
              <w:rPr>
                <w:rFonts w:ascii="標楷體" w:eastAsia="標楷體" w:hAnsi="標楷體" w:cs="新細明體"/>
                <w:b/>
                <w:bCs/>
                <w:sz w:val="22"/>
                <w:szCs w:val="22"/>
              </w:rPr>
            </w:pPr>
          </w:p>
          <w:p w:rsidR="008814F0" w:rsidRPr="007F6F77" w:rsidRDefault="008814F0" w:rsidP="0090395F">
            <w:pPr>
              <w:widowControl/>
              <w:snapToGrid w:val="0"/>
              <w:jc w:val="center"/>
              <w:rPr>
                <w:rFonts w:ascii="標楷體" w:eastAsia="標楷體" w:hAnsi="標楷體" w:cs="新細明體"/>
                <w:b/>
                <w:bCs/>
                <w:sz w:val="22"/>
                <w:szCs w:val="22"/>
              </w:rPr>
            </w:pPr>
          </w:p>
          <w:p w:rsidR="008814F0" w:rsidRPr="007F6F77" w:rsidRDefault="008814F0" w:rsidP="0090395F">
            <w:pPr>
              <w:widowControl/>
              <w:snapToGrid w:val="0"/>
              <w:jc w:val="center"/>
              <w:rPr>
                <w:rFonts w:ascii="標楷體" w:eastAsia="標楷體" w:hAnsi="標楷體" w:cs="新細明體"/>
                <w:b/>
                <w:bCs/>
                <w:sz w:val="22"/>
                <w:szCs w:val="22"/>
              </w:rPr>
            </w:pPr>
          </w:p>
          <w:p w:rsidR="008814F0" w:rsidRPr="007F6F77" w:rsidRDefault="008814F0" w:rsidP="0090395F">
            <w:pPr>
              <w:widowControl/>
              <w:snapToGrid w:val="0"/>
              <w:jc w:val="center"/>
              <w:rPr>
                <w:rFonts w:ascii="標楷體" w:eastAsia="標楷體" w:hAnsi="標楷體" w:cs="新細明體"/>
                <w:b/>
                <w:bCs/>
                <w:sz w:val="22"/>
                <w:szCs w:val="22"/>
              </w:rPr>
            </w:pPr>
          </w:p>
          <w:p w:rsidR="008814F0" w:rsidRPr="007F6F77" w:rsidRDefault="008814F0" w:rsidP="0090395F">
            <w:pPr>
              <w:widowControl/>
              <w:snapToGrid w:val="0"/>
              <w:jc w:val="center"/>
              <w:rPr>
                <w:rFonts w:ascii="標楷體" w:eastAsia="標楷體" w:hAnsi="標楷體" w:cs="新細明體"/>
                <w:b/>
                <w:bCs/>
                <w:sz w:val="22"/>
                <w:szCs w:val="22"/>
              </w:rPr>
            </w:pPr>
          </w:p>
          <w:p w:rsidR="008814F0" w:rsidRPr="007F6F77" w:rsidRDefault="008814F0" w:rsidP="0090395F">
            <w:pPr>
              <w:widowControl/>
              <w:snapToGrid w:val="0"/>
              <w:jc w:val="center"/>
              <w:rPr>
                <w:rFonts w:ascii="標楷體" w:eastAsia="標楷體" w:hAnsi="標楷體" w:cs="新細明體"/>
                <w:b/>
                <w:bCs/>
                <w:sz w:val="22"/>
                <w:szCs w:val="22"/>
              </w:rPr>
            </w:pPr>
          </w:p>
          <w:p w:rsidR="008814F0" w:rsidRPr="007F6F77" w:rsidRDefault="008814F0" w:rsidP="0090395F">
            <w:pPr>
              <w:widowControl/>
              <w:snapToGrid w:val="0"/>
              <w:jc w:val="center"/>
              <w:rPr>
                <w:rFonts w:ascii="標楷體" w:eastAsia="標楷體" w:hAnsi="標楷體" w:cs="新細明體"/>
                <w:b/>
                <w:bCs/>
                <w:sz w:val="22"/>
                <w:szCs w:val="22"/>
              </w:rPr>
            </w:pPr>
          </w:p>
          <w:p w:rsidR="008814F0" w:rsidRPr="007F6F77" w:rsidRDefault="008814F0" w:rsidP="0090395F">
            <w:pPr>
              <w:widowControl/>
              <w:snapToGrid w:val="0"/>
              <w:jc w:val="center"/>
              <w:rPr>
                <w:rFonts w:ascii="標楷體" w:eastAsia="標楷體" w:hAnsi="標楷體" w:cs="新細明體"/>
                <w:b/>
                <w:bCs/>
                <w:sz w:val="22"/>
                <w:szCs w:val="22"/>
              </w:rPr>
            </w:pPr>
          </w:p>
          <w:p w:rsidR="008814F0" w:rsidRPr="007F6F77" w:rsidRDefault="008814F0" w:rsidP="0090395F">
            <w:pPr>
              <w:widowControl/>
              <w:snapToGrid w:val="0"/>
              <w:jc w:val="center"/>
              <w:rPr>
                <w:rFonts w:ascii="標楷體" w:eastAsia="標楷體" w:hAnsi="標楷體" w:cs="新細明體"/>
                <w:b/>
                <w:bCs/>
                <w:sz w:val="22"/>
                <w:szCs w:val="22"/>
              </w:rPr>
            </w:pPr>
          </w:p>
          <w:p w:rsidR="008814F0" w:rsidRPr="007F6F77" w:rsidRDefault="008814F0" w:rsidP="0090395F">
            <w:pPr>
              <w:widowControl/>
              <w:snapToGrid w:val="0"/>
              <w:jc w:val="center"/>
              <w:rPr>
                <w:rFonts w:ascii="標楷體" w:eastAsia="標楷體" w:hAnsi="標楷體" w:cs="新細明體"/>
                <w:b/>
                <w:bCs/>
                <w:sz w:val="22"/>
                <w:szCs w:val="22"/>
              </w:rPr>
            </w:pPr>
          </w:p>
          <w:p w:rsidR="008814F0" w:rsidRPr="007F6F77" w:rsidRDefault="008814F0" w:rsidP="0090395F">
            <w:pPr>
              <w:widowControl/>
              <w:snapToGrid w:val="0"/>
              <w:jc w:val="center"/>
              <w:rPr>
                <w:rFonts w:ascii="標楷體" w:eastAsia="標楷體" w:hAnsi="標楷體" w:cs="新細明體"/>
                <w:b/>
                <w:bCs/>
                <w:sz w:val="22"/>
                <w:szCs w:val="22"/>
              </w:rPr>
            </w:pPr>
            <w:r w:rsidRPr="007F6F77">
              <w:rPr>
                <w:rFonts w:ascii="標楷體" w:eastAsia="標楷體" w:hAnsi="標楷體" w:cs="新細明體"/>
                <w:b/>
                <w:bCs/>
                <w:noProof/>
                <w:sz w:val="22"/>
                <w:szCs w:val="22"/>
              </w:rPr>
              <mc:AlternateContent>
                <mc:Choice Requires="wps">
                  <w:drawing>
                    <wp:anchor distT="0" distB="0" distL="114300" distR="114300" simplePos="0" relativeHeight="251661312" behindDoc="0" locked="0" layoutInCell="1" allowOverlap="1" wp14:anchorId="201A46F0" wp14:editId="2B203237">
                      <wp:simplePos x="0" y="0"/>
                      <wp:positionH relativeFrom="column">
                        <wp:posOffset>61653</wp:posOffset>
                      </wp:positionH>
                      <wp:positionV relativeFrom="paragraph">
                        <wp:posOffset>1219783</wp:posOffset>
                      </wp:positionV>
                      <wp:extent cx="1125277" cy="1390015"/>
                      <wp:effectExtent l="0" t="0" r="0" b="635"/>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77" cy="1390015"/>
                              </a:xfrm>
                              <a:prstGeom prst="rect">
                                <a:avLst/>
                              </a:prstGeom>
                              <a:noFill/>
                              <a:ln w="9525">
                                <a:noFill/>
                                <a:miter lim="800000"/>
                                <a:headEnd/>
                                <a:tailEnd/>
                              </a:ln>
                            </wps:spPr>
                            <wps:txbx>
                              <w:txbxContent>
                                <w:p w:rsidR="008814F0" w:rsidRPr="00067592" w:rsidRDefault="008814F0" w:rsidP="00414E45">
                                  <w:pPr>
                                    <w:widowControl/>
                                    <w:snapToGrid w:val="0"/>
                                    <w:spacing w:line="440" w:lineRule="exact"/>
                                    <w:jc w:val="center"/>
                                    <w:rPr>
                                      <w:rFonts w:eastAsia="標楷體"/>
                                      <w:b/>
                                      <w:bCs/>
                                      <w:sz w:val="22"/>
                                      <w:szCs w:val="22"/>
                                      <w:u w:val="single"/>
                                    </w:rPr>
                                  </w:pPr>
                                  <w:r w:rsidRPr="00067592">
                                    <w:rPr>
                                      <w:rFonts w:eastAsia="標楷體"/>
                                      <w:b/>
                                      <w:bCs/>
                                      <w:sz w:val="22"/>
                                      <w:szCs w:val="22"/>
                                      <w:u w:val="single"/>
                                    </w:rPr>
                                    <w:t>Median:</w:t>
                                  </w:r>
                                  <w:r w:rsidRPr="00067592">
                                    <w:rPr>
                                      <w:rFonts w:eastAsia="標楷體"/>
                                      <w:b/>
                                      <w:bCs/>
                                      <w:sz w:val="22"/>
                                      <w:szCs w:val="22"/>
                                    </w:rPr>
                                    <w:t xml:space="preserve"> </w:t>
                                  </w:r>
                                </w:p>
                                <w:p w:rsidR="008814F0" w:rsidRPr="00067592" w:rsidRDefault="008814F0" w:rsidP="00414E45">
                                  <w:pPr>
                                    <w:widowControl/>
                                    <w:snapToGrid w:val="0"/>
                                    <w:spacing w:line="440" w:lineRule="exact"/>
                                    <w:jc w:val="center"/>
                                    <w:rPr>
                                      <w:b/>
                                      <w:bCs/>
                                      <w:sz w:val="22"/>
                                      <w:szCs w:val="22"/>
                                    </w:rPr>
                                  </w:pPr>
                                  <w:r w:rsidRPr="00067592">
                                    <w:rPr>
                                      <w:rFonts w:hint="eastAsia"/>
                                      <w:b/>
                                      <w:bCs/>
                                      <w:sz w:val="22"/>
                                      <w:szCs w:val="22"/>
                                    </w:rPr>
                                    <w:t>1.45% (2018)</w:t>
                                  </w:r>
                                </w:p>
                                <w:p w:rsidR="008814F0" w:rsidRPr="00067592" w:rsidRDefault="008814F0" w:rsidP="00414E45">
                                  <w:pPr>
                                    <w:widowControl/>
                                    <w:snapToGrid w:val="0"/>
                                    <w:spacing w:line="440" w:lineRule="exact"/>
                                    <w:jc w:val="center"/>
                                    <w:rPr>
                                      <w:b/>
                                      <w:bCs/>
                                      <w:sz w:val="22"/>
                                      <w:szCs w:val="22"/>
                                    </w:rPr>
                                  </w:pPr>
                                  <w:r w:rsidRPr="00067592">
                                    <w:rPr>
                                      <w:rFonts w:hint="eastAsia"/>
                                      <w:b/>
                                      <w:bCs/>
                                      <w:sz w:val="22"/>
                                      <w:szCs w:val="22"/>
                                    </w:rPr>
                                    <w:t>1.24% (2019)</w:t>
                                  </w:r>
                                </w:p>
                                <w:p w:rsidR="008814F0" w:rsidRPr="00067592" w:rsidRDefault="008814F0" w:rsidP="00414E45">
                                  <w:pPr>
                                    <w:jc w:val="center"/>
                                    <w:rPr>
                                      <w:rFonts w:eastAsia="標楷體"/>
                                      <w:b/>
                                      <w:sz w:val="22"/>
                                      <w:szCs w:val="22"/>
                                    </w:rPr>
                                  </w:pPr>
                                  <w:r w:rsidRPr="00067592">
                                    <w:rPr>
                                      <w:b/>
                                      <w:sz w:val="22"/>
                                      <w:szCs w:val="22"/>
                                    </w:rPr>
                                    <w:t>(</w:t>
                                  </w:r>
                                  <w:proofErr w:type="gramStart"/>
                                  <w:r w:rsidRPr="00067592">
                                    <w:rPr>
                                      <w:rFonts w:hint="eastAsia"/>
                                      <w:b/>
                                      <w:sz w:val="22"/>
                                      <w:szCs w:val="22"/>
                                    </w:rPr>
                                    <w:t>foreign</w:t>
                                  </w:r>
                                  <w:proofErr w:type="gramEnd"/>
                                  <w:r w:rsidRPr="00067592">
                                    <w:rPr>
                                      <w:b/>
                                      <w:sz w:val="22"/>
                                      <w:szCs w:val="22"/>
                                    </w:rPr>
                                    <w:t xml:space="preserve"> institutions)</w:t>
                                  </w:r>
                                </w:p>
                                <w:p w:rsidR="008814F0" w:rsidRDefault="008814F0" w:rsidP="00414E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85pt;margin-top:96.05pt;width:88.6pt;height:10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" filled="f" stroked="f">
                      <v:textbox>
                        <w:txbxContent>
                          <w:p w:rsidR="008814F0" w:rsidRPr="00067592" w:rsidRDefault="008814F0" w:rsidP="00414E45">
                            <w:pPr>
                              <w:widowControl/>
                              <w:snapToGrid w:val="0"/>
                              <w:spacing w:line="440" w:lineRule="exact"/>
                              <w:jc w:val="center"/>
                              <w:rPr>
                                <w:rFonts w:eastAsia="標楷體"/>
                                <w:b/>
                                <w:bCs/>
                                <w:sz w:val="22"/>
                                <w:szCs w:val="22"/>
                                <w:u w:val="single"/>
                              </w:rPr>
                            </w:pPr>
                            <w:r w:rsidRPr="00067592">
                              <w:rPr>
                                <w:rFonts w:eastAsia="標楷體"/>
                                <w:b/>
                                <w:bCs/>
                                <w:sz w:val="22"/>
                                <w:szCs w:val="22"/>
                                <w:u w:val="single"/>
                              </w:rPr>
                              <w:t>Median:</w:t>
                            </w:r>
                            <w:r w:rsidRPr="00067592">
                              <w:rPr>
                                <w:rFonts w:eastAsia="標楷體"/>
                                <w:b/>
                                <w:bCs/>
                                <w:sz w:val="22"/>
                                <w:szCs w:val="22"/>
                              </w:rPr>
                              <w:t xml:space="preserve"> </w:t>
                            </w:r>
                          </w:p>
                          <w:p w:rsidR="008814F0" w:rsidRPr="00067592" w:rsidRDefault="008814F0" w:rsidP="00414E45">
                            <w:pPr>
                              <w:widowControl/>
                              <w:snapToGrid w:val="0"/>
                              <w:spacing w:line="440" w:lineRule="exact"/>
                              <w:jc w:val="center"/>
                              <w:rPr>
                                <w:b/>
                                <w:bCs/>
                                <w:sz w:val="22"/>
                                <w:szCs w:val="22"/>
                              </w:rPr>
                            </w:pPr>
                            <w:r w:rsidRPr="00067592">
                              <w:rPr>
                                <w:rFonts w:hint="eastAsia"/>
                                <w:b/>
                                <w:bCs/>
                                <w:sz w:val="22"/>
                                <w:szCs w:val="22"/>
                              </w:rPr>
                              <w:t>1.45% (2018)</w:t>
                            </w:r>
                          </w:p>
                          <w:p w:rsidR="008814F0" w:rsidRPr="00067592" w:rsidRDefault="008814F0" w:rsidP="00414E45">
                            <w:pPr>
                              <w:widowControl/>
                              <w:snapToGrid w:val="0"/>
                              <w:spacing w:line="440" w:lineRule="exact"/>
                              <w:jc w:val="center"/>
                              <w:rPr>
                                <w:b/>
                                <w:bCs/>
                                <w:sz w:val="22"/>
                                <w:szCs w:val="22"/>
                              </w:rPr>
                            </w:pPr>
                            <w:r w:rsidRPr="00067592">
                              <w:rPr>
                                <w:rFonts w:hint="eastAsia"/>
                                <w:b/>
                                <w:bCs/>
                                <w:sz w:val="22"/>
                                <w:szCs w:val="22"/>
                              </w:rPr>
                              <w:t>1.24% (2019)</w:t>
                            </w:r>
                          </w:p>
                          <w:p w:rsidR="008814F0" w:rsidRPr="00067592" w:rsidRDefault="008814F0" w:rsidP="00414E45">
                            <w:pPr>
                              <w:jc w:val="center"/>
                              <w:rPr>
                                <w:rFonts w:eastAsia="標楷體"/>
                                <w:b/>
                                <w:sz w:val="22"/>
                                <w:szCs w:val="22"/>
                              </w:rPr>
                            </w:pPr>
                            <w:r w:rsidRPr="00067592">
                              <w:rPr>
                                <w:b/>
                                <w:sz w:val="22"/>
                                <w:szCs w:val="22"/>
                              </w:rPr>
                              <w:t>(</w:t>
                            </w:r>
                            <w:proofErr w:type="gramStart"/>
                            <w:r w:rsidRPr="00067592">
                              <w:rPr>
                                <w:rFonts w:hint="eastAsia"/>
                                <w:b/>
                                <w:sz w:val="22"/>
                                <w:szCs w:val="22"/>
                              </w:rPr>
                              <w:t>foreign</w:t>
                            </w:r>
                            <w:proofErr w:type="gramEnd"/>
                            <w:r w:rsidRPr="00067592">
                              <w:rPr>
                                <w:b/>
                                <w:sz w:val="22"/>
                                <w:szCs w:val="22"/>
                              </w:rPr>
                              <w:t xml:space="preserve"> institutions)</w:t>
                            </w:r>
                          </w:p>
                          <w:p w:rsidR="008814F0" w:rsidRDefault="008814F0" w:rsidP="00414E45"/>
                        </w:txbxContent>
                      </v:textbox>
                    </v:shape>
                  </w:pict>
                </mc:Fallback>
              </mc:AlternateContent>
            </w:r>
          </w:p>
        </w:tc>
      </w:tr>
      <w:tr w:rsidR="008814F0" w:rsidRPr="007F6F77" w:rsidTr="0090395F">
        <w:trPr>
          <w:trHeight w:val="420"/>
        </w:trPr>
        <w:tc>
          <w:tcPr>
            <w:tcW w:w="3997" w:type="dxa"/>
            <w:gridSpan w:val="2"/>
            <w:vMerge/>
            <w:tcBorders>
              <w:left w:val="single" w:sz="6" w:space="0" w:color="auto"/>
              <w:bottom w:val="single" w:sz="6" w:space="0" w:color="auto"/>
              <w:right w:val="single" w:sz="6" w:space="0" w:color="auto"/>
            </w:tcBorders>
            <w:shd w:val="clear" w:color="000000" w:fill="FFFFFF"/>
            <w:noWrap/>
            <w:vAlign w:val="bottom"/>
            <w:hideMark/>
          </w:tcPr>
          <w:p w:rsidR="008814F0" w:rsidRPr="007F6F77" w:rsidRDefault="008814F0" w:rsidP="0090395F">
            <w:pPr>
              <w:widowControl/>
              <w:snapToGrid w:val="0"/>
              <w:rPr>
                <w:rFonts w:ascii="標楷體" w:eastAsia="標楷體" w:hAnsi="標楷體" w:cs="新細明體"/>
                <w:bCs/>
                <w:sz w:val="22"/>
                <w:szCs w:val="22"/>
              </w:rPr>
            </w:pPr>
          </w:p>
        </w:tc>
        <w:tc>
          <w:tcPr>
            <w:tcW w:w="2027" w:type="dxa"/>
            <w:tcBorders>
              <w:top w:val="single" w:sz="6" w:space="0" w:color="auto"/>
              <w:left w:val="single" w:sz="6" w:space="0" w:color="auto"/>
              <w:bottom w:val="single" w:sz="6" w:space="0" w:color="auto"/>
              <w:right w:val="single" w:sz="4" w:space="0" w:color="auto"/>
            </w:tcBorders>
            <w:shd w:val="clear" w:color="000000" w:fill="FFFFFF"/>
            <w:vAlign w:val="center"/>
          </w:tcPr>
          <w:p w:rsidR="008814F0" w:rsidRPr="007F6F77" w:rsidRDefault="008814F0" w:rsidP="0090395F">
            <w:pPr>
              <w:widowControl/>
              <w:snapToGrid w:val="0"/>
              <w:jc w:val="center"/>
              <w:rPr>
                <w:rFonts w:eastAsia="標楷體"/>
                <w:bCs/>
                <w:sz w:val="22"/>
                <w:szCs w:val="22"/>
              </w:rPr>
            </w:pPr>
            <w:r w:rsidRPr="007F6F77">
              <w:rPr>
                <w:rFonts w:eastAsia="標楷體"/>
                <w:bCs/>
                <w:sz w:val="22"/>
                <w:szCs w:val="22"/>
              </w:rPr>
              <w:t>2018</w:t>
            </w:r>
            <w:r w:rsidRPr="007F6F77">
              <w:rPr>
                <w:rFonts w:eastAsia="標楷體" w:hint="eastAsia"/>
                <w:bCs/>
                <w:sz w:val="22"/>
                <w:szCs w:val="22"/>
              </w:rPr>
              <w:t xml:space="preserve"> </w:t>
            </w:r>
            <w:r w:rsidRPr="007F6F77">
              <w:rPr>
                <w:rFonts w:eastAsia="標楷體"/>
                <w:bCs/>
                <w:sz w:val="22"/>
                <w:szCs w:val="22"/>
              </w:rPr>
              <w:t>(f)</w:t>
            </w:r>
          </w:p>
        </w:tc>
        <w:tc>
          <w:tcPr>
            <w:tcW w:w="2028" w:type="dxa"/>
            <w:tcBorders>
              <w:top w:val="single" w:sz="4" w:space="0" w:color="auto"/>
              <w:left w:val="single" w:sz="4" w:space="0" w:color="auto"/>
              <w:bottom w:val="single" w:sz="4" w:space="0" w:color="auto"/>
              <w:right w:val="single" w:sz="4" w:space="0" w:color="auto"/>
            </w:tcBorders>
            <w:shd w:val="clear" w:color="000000" w:fill="FFFFFF"/>
          </w:tcPr>
          <w:p w:rsidR="008814F0" w:rsidRPr="007F6F77" w:rsidRDefault="008814F0" w:rsidP="00B540F4">
            <w:pPr>
              <w:widowControl/>
              <w:snapToGrid w:val="0"/>
              <w:spacing w:beforeLines="20" w:before="48"/>
              <w:jc w:val="center"/>
              <w:rPr>
                <w:rFonts w:eastAsia="標楷體"/>
                <w:bCs/>
                <w:sz w:val="22"/>
                <w:szCs w:val="22"/>
              </w:rPr>
            </w:pPr>
            <w:r w:rsidRPr="007F6F77">
              <w:rPr>
                <w:rFonts w:eastAsia="標楷體" w:hint="eastAsia"/>
                <w:bCs/>
                <w:sz w:val="22"/>
                <w:szCs w:val="22"/>
              </w:rPr>
              <w:t>2019 (f)</w:t>
            </w:r>
          </w:p>
        </w:tc>
        <w:tc>
          <w:tcPr>
            <w:tcW w:w="1984" w:type="dxa"/>
            <w:vMerge/>
            <w:tcBorders>
              <w:left w:val="single" w:sz="4" w:space="0" w:color="auto"/>
            </w:tcBorders>
            <w:shd w:val="clear" w:color="000000" w:fill="FFFFFF"/>
          </w:tcPr>
          <w:p w:rsidR="008814F0" w:rsidRPr="007F6F77" w:rsidRDefault="008814F0" w:rsidP="0090395F">
            <w:pPr>
              <w:widowControl/>
              <w:snapToGrid w:val="0"/>
              <w:jc w:val="center"/>
              <w:rPr>
                <w:rFonts w:eastAsia="標楷體"/>
                <w:bCs/>
                <w:sz w:val="22"/>
                <w:szCs w:val="22"/>
              </w:rPr>
            </w:pPr>
          </w:p>
        </w:tc>
      </w:tr>
      <w:tr w:rsidR="008814F0" w:rsidRPr="007F6F77" w:rsidTr="0090395F">
        <w:trPr>
          <w:trHeight w:val="456"/>
        </w:trPr>
        <w:tc>
          <w:tcPr>
            <w:tcW w:w="1304" w:type="dxa"/>
            <w:vMerge w:val="restart"/>
            <w:tcBorders>
              <w:top w:val="single" w:sz="6" w:space="0" w:color="auto"/>
              <w:left w:val="single" w:sz="6" w:space="0" w:color="auto"/>
              <w:bottom w:val="single" w:sz="6" w:space="0" w:color="auto"/>
              <w:right w:val="single" w:sz="6" w:space="0" w:color="auto"/>
            </w:tcBorders>
            <w:vAlign w:val="center"/>
            <w:hideMark/>
          </w:tcPr>
          <w:p w:rsidR="008814F0" w:rsidRPr="007F6F77" w:rsidRDefault="008814F0" w:rsidP="0090395F">
            <w:pPr>
              <w:widowControl/>
              <w:snapToGrid w:val="0"/>
              <w:jc w:val="center"/>
              <w:rPr>
                <w:rFonts w:eastAsia="標楷體"/>
                <w:bCs/>
                <w:sz w:val="22"/>
                <w:szCs w:val="22"/>
              </w:rPr>
            </w:pPr>
            <w:r w:rsidRPr="007F6F77">
              <w:rPr>
                <w:rFonts w:eastAsia="標楷體" w:hint="eastAsia"/>
                <w:bCs/>
                <w:sz w:val="22"/>
                <w:szCs w:val="22"/>
              </w:rPr>
              <w:t>Domestic institutions</w:t>
            </w:r>
          </w:p>
        </w:tc>
        <w:tc>
          <w:tcPr>
            <w:tcW w:w="2693"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814F0" w:rsidRPr="007F6F77" w:rsidRDefault="008814F0" w:rsidP="0090395F">
            <w:pPr>
              <w:jc w:val="both"/>
              <w:rPr>
                <w:rFonts w:eastAsia="標楷體"/>
                <w:sz w:val="22"/>
                <w:szCs w:val="22"/>
              </w:rPr>
            </w:pPr>
            <w:r w:rsidRPr="007F6F77">
              <w:rPr>
                <w:rFonts w:eastAsia="標楷體" w:hint="eastAsia"/>
                <w:sz w:val="22"/>
                <w:szCs w:val="22"/>
              </w:rPr>
              <w:t xml:space="preserve">CBC </w:t>
            </w:r>
            <w:r w:rsidRPr="007F6F77">
              <w:rPr>
                <w:rFonts w:eastAsia="標楷體"/>
                <w:sz w:val="22"/>
                <w:szCs w:val="22"/>
              </w:rPr>
              <w:t>(2018/12/</w:t>
            </w:r>
            <w:r w:rsidRPr="007F6F77">
              <w:rPr>
                <w:rFonts w:eastAsia="標楷體" w:hint="eastAsia"/>
                <w:sz w:val="22"/>
                <w:szCs w:val="22"/>
              </w:rPr>
              <w:t>20</w:t>
            </w:r>
            <w:r w:rsidRPr="007F6F77">
              <w:rPr>
                <w:rFonts w:eastAsia="標楷體"/>
                <w:sz w:val="22"/>
                <w:szCs w:val="22"/>
              </w:rPr>
              <w:t>)</w:t>
            </w:r>
          </w:p>
        </w:tc>
        <w:tc>
          <w:tcPr>
            <w:tcW w:w="2027" w:type="dxa"/>
            <w:tcBorders>
              <w:top w:val="single" w:sz="6" w:space="0" w:color="auto"/>
              <w:left w:val="single" w:sz="6" w:space="0" w:color="auto"/>
              <w:bottom w:val="single" w:sz="6" w:space="0" w:color="auto"/>
              <w:right w:val="single" w:sz="4" w:space="0" w:color="auto"/>
            </w:tcBorders>
            <w:shd w:val="clear" w:color="000000" w:fill="FFFFFF"/>
            <w:noWrap/>
            <w:vAlign w:val="center"/>
            <w:hideMark/>
          </w:tcPr>
          <w:p w:rsidR="008814F0" w:rsidRPr="007F6F77" w:rsidRDefault="008814F0" w:rsidP="0090395F">
            <w:pPr>
              <w:widowControl/>
              <w:snapToGrid w:val="0"/>
              <w:spacing w:line="240" w:lineRule="exact"/>
              <w:jc w:val="center"/>
              <w:rPr>
                <w:b/>
                <w:bCs/>
                <w:sz w:val="22"/>
                <w:szCs w:val="22"/>
              </w:rPr>
            </w:pPr>
            <w:r w:rsidRPr="007F6F77">
              <w:rPr>
                <w:rFonts w:hint="eastAsia"/>
                <w:b/>
                <w:bCs/>
                <w:sz w:val="22"/>
                <w:szCs w:val="22"/>
              </w:rPr>
              <w:t>1.38</w:t>
            </w:r>
            <w:r w:rsidRPr="007F6F77">
              <w:rPr>
                <w:b/>
                <w:bCs/>
                <w:sz w:val="22"/>
                <w:szCs w:val="22"/>
              </w:rPr>
              <w:br/>
              <w:t>(CPI)</w:t>
            </w:r>
            <w:r w:rsidRPr="007F6F77">
              <w:rPr>
                <w:rFonts w:hint="eastAsia"/>
                <w:b/>
                <w:bCs/>
                <w:sz w:val="22"/>
                <w:szCs w:val="22"/>
              </w:rPr>
              <w:br/>
              <w:t>1.21</w:t>
            </w:r>
          </w:p>
          <w:p w:rsidR="008814F0" w:rsidRPr="007F6F77" w:rsidRDefault="008814F0" w:rsidP="0090395F">
            <w:pPr>
              <w:widowControl/>
              <w:snapToGrid w:val="0"/>
              <w:spacing w:line="240" w:lineRule="exact"/>
              <w:jc w:val="center"/>
              <w:rPr>
                <w:sz w:val="22"/>
                <w:szCs w:val="22"/>
              </w:rPr>
            </w:pPr>
            <w:r w:rsidRPr="007F6F77">
              <w:rPr>
                <w:b/>
                <w:bCs/>
                <w:sz w:val="22"/>
                <w:szCs w:val="22"/>
              </w:rPr>
              <w:t>(</w:t>
            </w:r>
            <w:r w:rsidRPr="007F6F77">
              <w:rPr>
                <w:rFonts w:eastAsia="標楷體" w:hint="eastAsia"/>
                <w:b/>
                <w:bCs/>
                <w:sz w:val="22"/>
                <w:szCs w:val="22"/>
              </w:rPr>
              <w:t xml:space="preserve">Core </w:t>
            </w:r>
            <w:r w:rsidRPr="007F6F77">
              <w:rPr>
                <w:b/>
                <w:bCs/>
                <w:sz w:val="22"/>
                <w:szCs w:val="22"/>
              </w:rPr>
              <w:t>CPI*)</w:t>
            </w:r>
          </w:p>
        </w:tc>
        <w:tc>
          <w:tcPr>
            <w:tcW w:w="2028" w:type="dxa"/>
            <w:tcBorders>
              <w:top w:val="single" w:sz="4" w:space="0" w:color="auto"/>
              <w:left w:val="single" w:sz="4" w:space="0" w:color="auto"/>
              <w:bottom w:val="single" w:sz="4" w:space="0" w:color="auto"/>
              <w:right w:val="single" w:sz="4" w:space="0" w:color="auto"/>
            </w:tcBorders>
            <w:shd w:val="clear" w:color="000000" w:fill="FFFFFF"/>
            <w:vAlign w:val="center"/>
          </w:tcPr>
          <w:p w:rsidR="008814F0" w:rsidRPr="007F6F77" w:rsidRDefault="008814F0" w:rsidP="0090395F">
            <w:pPr>
              <w:widowControl/>
              <w:snapToGrid w:val="0"/>
              <w:spacing w:line="240" w:lineRule="exact"/>
              <w:jc w:val="center"/>
              <w:rPr>
                <w:b/>
                <w:bCs/>
                <w:sz w:val="22"/>
                <w:szCs w:val="22"/>
              </w:rPr>
            </w:pPr>
            <w:r w:rsidRPr="007F6F77">
              <w:rPr>
                <w:b/>
                <w:bCs/>
                <w:sz w:val="22"/>
                <w:szCs w:val="22"/>
              </w:rPr>
              <w:t>1.</w:t>
            </w:r>
            <w:r w:rsidRPr="007F6F77">
              <w:rPr>
                <w:rFonts w:hint="eastAsia"/>
                <w:b/>
                <w:bCs/>
                <w:sz w:val="22"/>
                <w:szCs w:val="22"/>
              </w:rPr>
              <w:t>05</w:t>
            </w:r>
            <w:r w:rsidRPr="007F6F77">
              <w:rPr>
                <w:b/>
                <w:bCs/>
                <w:sz w:val="22"/>
                <w:szCs w:val="22"/>
              </w:rPr>
              <w:br/>
              <w:t>(CPI)</w:t>
            </w:r>
            <w:r w:rsidRPr="007F6F77">
              <w:rPr>
                <w:rFonts w:hint="eastAsia"/>
                <w:b/>
                <w:bCs/>
                <w:sz w:val="22"/>
                <w:szCs w:val="22"/>
              </w:rPr>
              <w:br/>
              <w:t>0.93</w:t>
            </w:r>
          </w:p>
          <w:p w:rsidR="008814F0" w:rsidRPr="007F6F77" w:rsidRDefault="008814F0" w:rsidP="0090395F">
            <w:pPr>
              <w:spacing w:line="240" w:lineRule="exact"/>
              <w:jc w:val="center"/>
              <w:rPr>
                <w:sz w:val="22"/>
                <w:szCs w:val="22"/>
              </w:rPr>
            </w:pPr>
            <w:r w:rsidRPr="007F6F77">
              <w:rPr>
                <w:b/>
                <w:bCs/>
                <w:sz w:val="22"/>
                <w:szCs w:val="22"/>
              </w:rPr>
              <w:t>(</w:t>
            </w:r>
            <w:r w:rsidRPr="007F6F77">
              <w:rPr>
                <w:rFonts w:eastAsia="標楷體" w:hint="eastAsia"/>
                <w:b/>
                <w:bCs/>
                <w:sz w:val="22"/>
                <w:szCs w:val="22"/>
              </w:rPr>
              <w:t xml:space="preserve">Core </w:t>
            </w:r>
            <w:r w:rsidRPr="007F6F77">
              <w:rPr>
                <w:b/>
                <w:bCs/>
                <w:sz w:val="22"/>
                <w:szCs w:val="22"/>
              </w:rPr>
              <w:t>CPI*)</w:t>
            </w:r>
          </w:p>
        </w:tc>
        <w:tc>
          <w:tcPr>
            <w:tcW w:w="1984" w:type="dxa"/>
            <w:vMerge/>
            <w:tcBorders>
              <w:left w:val="single" w:sz="4" w:space="0" w:color="auto"/>
            </w:tcBorders>
            <w:shd w:val="clear" w:color="000000" w:fill="FFFFFF"/>
          </w:tcPr>
          <w:p w:rsidR="008814F0" w:rsidRPr="007F6F77" w:rsidRDefault="008814F0" w:rsidP="0090395F">
            <w:pPr>
              <w:snapToGrid w:val="0"/>
              <w:jc w:val="center"/>
              <w:rPr>
                <w:sz w:val="22"/>
                <w:szCs w:val="22"/>
              </w:rPr>
            </w:pPr>
          </w:p>
        </w:tc>
      </w:tr>
      <w:tr w:rsidR="008814F0" w:rsidRPr="007F6F77" w:rsidTr="0090395F">
        <w:trPr>
          <w:trHeight w:val="458"/>
        </w:trPr>
        <w:tc>
          <w:tcPr>
            <w:tcW w:w="1304" w:type="dxa"/>
            <w:vMerge/>
            <w:tcBorders>
              <w:top w:val="single" w:sz="6" w:space="0" w:color="auto"/>
              <w:left w:val="single" w:sz="6" w:space="0" w:color="auto"/>
              <w:bottom w:val="single" w:sz="6" w:space="0" w:color="auto"/>
              <w:right w:val="single" w:sz="6" w:space="0" w:color="auto"/>
            </w:tcBorders>
            <w:vAlign w:val="center"/>
          </w:tcPr>
          <w:p w:rsidR="008814F0" w:rsidRPr="007F6F77" w:rsidRDefault="008814F0" w:rsidP="0090395F">
            <w:pPr>
              <w:widowControl/>
              <w:snapToGrid w:val="0"/>
              <w:rPr>
                <w:rFonts w:eastAsia="標楷體"/>
                <w:bCs/>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000000" w:fill="FFFFFF"/>
            <w:noWrap/>
            <w:vAlign w:val="center"/>
          </w:tcPr>
          <w:p w:rsidR="008814F0" w:rsidRPr="007F6F77" w:rsidRDefault="008814F0" w:rsidP="0090395F">
            <w:pPr>
              <w:jc w:val="both"/>
              <w:rPr>
                <w:rFonts w:eastAsia="標楷體"/>
                <w:sz w:val="22"/>
                <w:szCs w:val="22"/>
              </w:rPr>
            </w:pPr>
            <w:r w:rsidRPr="007F6F77">
              <w:rPr>
                <w:rFonts w:eastAsia="標楷體" w:hint="eastAsia"/>
                <w:sz w:val="22"/>
                <w:szCs w:val="22"/>
              </w:rPr>
              <w:t xml:space="preserve">CIER </w:t>
            </w:r>
            <w:r w:rsidRPr="007F6F77">
              <w:rPr>
                <w:rFonts w:eastAsia="標楷體"/>
                <w:sz w:val="22"/>
                <w:szCs w:val="22"/>
              </w:rPr>
              <w:t>(2018/12/19)</w:t>
            </w:r>
          </w:p>
        </w:tc>
        <w:tc>
          <w:tcPr>
            <w:tcW w:w="2027" w:type="dxa"/>
            <w:tcBorders>
              <w:top w:val="single" w:sz="6" w:space="0" w:color="auto"/>
              <w:left w:val="single" w:sz="6" w:space="0" w:color="auto"/>
              <w:bottom w:val="single" w:sz="6" w:space="0" w:color="auto"/>
              <w:right w:val="single" w:sz="4" w:space="0" w:color="auto"/>
            </w:tcBorders>
            <w:shd w:val="clear" w:color="000000" w:fill="FFFFFF"/>
            <w:vAlign w:val="center"/>
          </w:tcPr>
          <w:p w:rsidR="008814F0" w:rsidRPr="007F6F77" w:rsidRDefault="008814F0" w:rsidP="0090395F">
            <w:pPr>
              <w:jc w:val="center"/>
              <w:rPr>
                <w:sz w:val="22"/>
                <w:szCs w:val="22"/>
              </w:rPr>
            </w:pPr>
            <w:r w:rsidRPr="007F6F77">
              <w:rPr>
                <w:sz w:val="22"/>
                <w:szCs w:val="22"/>
              </w:rPr>
              <w:t>1.42</w:t>
            </w:r>
          </w:p>
        </w:tc>
        <w:tc>
          <w:tcPr>
            <w:tcW w:w="2028" w:type="dxa"/>
            <w:tcBorders>
              <w:top w:val="single" w:sz="4" w:space="0" w:color="auto"/>
              <w:left w:val="single" w:sz="4" w:space="0" w:color="auto"/>
              <w:bottom w:val="single" w:sz="4" w:space="0" w:color="auto"/>
              <w:right w:val="single" w:sz="4" w:space="0" w:color="auto"/>
            </w:tcBorders>
            <w:shd w:val="clear" w:color="000000" w:fill="FFFFFF"/>
            <w:vAlign w:val="center"/>
          </w:tcPr>
          <w:p w:rsidR="008814F0" w:rsidRPr="007F6F77" w:rsidRDefault="008814F0" w:rsidP="0090395F">
            <w:pPr>
              <w:jc w:val="center"/>
              <w:rPr>
                <w:sz w:val="22"/>
                <w:szCs w:val="22"/>
              </w:rPr>
            </w:pPr>
            <w:r w:rsidRPr="007F6F77">
              <w:rPr>
                <w:sz w:val="22"/>
                <w:szCs w:val="22"/>
              </w:rPr>
              <w:t>1.01</w:t>
            </w:r>
          </w:p>
        </w:tc>
        <w:tc>
          <w:tcPr>
            <w:tcW w:w="1984" w:type="dxa"/>
            <w:vMerge/>
            <w:tcBorders>
              <w:left w:val="single" w:sz="4" w:space="0" w:color="auto"/>
            </w:tcBorders>
            <w:shd w:val="clear" w:color="000000" w:fill="FFFFFF"/>
          </w:tcPr>
          <w:p w:rsidR="008814F0" w:rsidRPr="007F6F77" w:rsidRDefault="008814F0" w:rsidP="0090395F">
            <w:pPr>
              <w:snapToGrid w:val="0"/>
              <w:jc w:val="center"/>
              <w:rPr>
                <w:sz w:val="22"/>
                <w:szCs w:val="22"/>
              </w:rPr>
            </w:pPr>
          </w:p>
        </w:tc>
      </w:tr>
      <w:tr w:rsidR="008814F0" w:rsidRPr="007F6F77" w:rsidTr="0090395F">
        <w:trPr>
          <w:trHeight w:val="458"/>
        </w:trPr>
        <w:tc>
          <w:tcPr>
            <w:tcW w:w="1304" w:type="dxa"/>
            <w:vMerge/>
            <w:tcBorders>
              <w:top w:val="single" w:sz="6" w:space="0" w:color="auto"/>
              <w:left w:val="single" w:sz="6" w:space="0" w:color="auto"/>
              <w:bottom w:val="single" w:sz="6" w:space="0" w:color="auto"/>
              <w:right w:val="single" w:sz="6" w:space="0" w:color="auto"/>
            </w:tcBorders>
            <w:vAlign w:val="center"/>
            <w:hideMark/>
          </w:tcPr>
          <w:p w:rsidR="008814F0" w:rsidRPr="007F6F77" w:rsidRDefault="008814F0" w:rsidP="0090395F">
            <w:pPr>
              <w:widowControl/>
              <w:snapToGrid w:val="0"/>
              <w:rPr>
                <w:rFonts w:eastAsia="標楷體"/>
                <w:bCs/>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814F0" w:rsidRPr="007F6F77" w:rsidRDefault="008814F0" w:rsidP="0090395F">
            <w:pPr>
              <w:jc w:val="both"/>
              <w:rPr>
                <w:rFonts w:eastAsia="標楷體"/>
                <w:sz w:val="22"/>
                <w:szCs w:val="22"/>
              </w:rPr>
            </w:pPr>
            <w:r w:rsidRPr="007F6F77">
              <w:rPr>
                <w:rFonts w:eastAsia="標楷體" w:hint="eastAsia"/>
                <w:sz w:val="22"/>
                <w:szCs w:val="22"/>
              </w:rPr>
              <w:t xml:space="preserve">TRI </w:t>
            </w:r>
            <w:r w:rsidRPr="007F6F77">
              <w:rPr>
                <w:rFonts w:eastAsia="標楷體"/>
                <w:sz w:val="22"/>
                <w:szCs w:val="22"/>
              </w:rPr>
              <w:t>(2018/12/18)</w:t>
            </w:r>
          </w:p>
        </w:tc>
        <w:tc>
          <w:tcPr>
            <w:tcW w:w="2027" w:type="dxa"/>
            <w:tcBorders>
              <w:top w:val="single" w:sz="6" w:space="0" w:color="auto"/>
              <w:left w:val="single" w:sz="6" w:space="0" w:color="auto"/>
              <w:bottom w:val="single" w:sz="6" w:space="0" w:color="auto"/>
              <w:right w:val="single" w:sz="4" w:space="0" w:color="auto"/>
            </w:tcBorders>
            <w:shd w:val="clear" w:color="000000" w:fill="FFFFFF"/>
            <w:vAlign w:val="center"/>
            <w:hideMark/>
          </w:tcPr>
          <w:p w:rsidR="008814F0" w:rsidRPr="007F6F77" w:rsidRDefault="008814F0" w:rsidP="0090395F">
            <w:pPr>
              <w:jc w:val="center"/>
              <w:rPr>
                <w:sz w:val="22"/>
                <w:szCs w:val="22"/>
              </w:rPr>
            </w:pPr>
            <w:r w:rsidRPr="007F6F77">
              <w:rPr>
                <w:sz w:val="22"/>
                <w:szCs w:val="22"/>
              </w:rPr>
              <w:t>1.43</w:t>
            </w:r>
          </w:p>
        </w:tc>
        <w:tc>
          <w:tcPr>
            <w:tcW w:w="2028" w:type="dxa"/>
            <w:tcBorders>
              <w:top w:val="single" w:sz="4" w:space="0" w:color="auto"/>
              <w:left w:val="single" w:sz="4" w:space="0" w:color="auto"/>
              <w:bottom w:val="single" w:sz="4" w:space="0" w:color="auto"/>
              <w:right w:val="single" w:sz="4" w:space="0" w:color="auto"/>
            </w:tcBorders>
            <w:shd w:val="clear" w:color="000000" w:fill="FFFFFF"/>
            <w:vAlign w:val="center"/>
          </w:tcPr>
          <w:p w:rsidR="008814F0" w:rsidRPr="007F6F77" w:rsidRDefault="008814F0" w:rsidP="0090395F">
            <w:pPr>
              <w:jc w:val="center"/>
              <w:rPr>
                <w:sz w:val="22"/>
                <w:szCs w:val="22"/>
              </w:rPr>
            </w:pPr>
            <w:r w:rsidRPr="007F6F77">
              <w:rPr>
                <w:sz w:val="22"/>
                <w:szCs w:val="22"/>
              </w:rPr>
              <w:t>1.39</w:t>
            </w:r>
          </w:p>
        </w:tc>
        <w:tc>
          <w:tcPr>
            <w:tcW w:w="1984" w:type="dxa"/>
            <w:vMerge/>
            <w:tcBorders>
              <w:left w:val="single" w:sz="4" w:space="0" w:color="auto"/>
            </w:tcBorders>
            <w:shd w:val="clear" w:color="000000" w:fill="FFFFFF"/>
          </w:tcPr>
          <w:p w:rsidR="008814F0" w:rsidRPr="007F6F77" w:rsidRDefault="008814F0" w:rsidP="0090395F">
            <w:pPr>
              <w:snapToGrid w:val="0"/>
              <w:jc w:val="center"/>
              <w:rPr>
                <w:sz w:val="22"/>
                <w:szCs w:val="22"/>
              </w:rPr>
            </w:pPr>
          </w:p>
        </w:tc>
      </w:tr>
      <w:tr w:rsidR="008814F0" w:rsidRPr="007F6F77" w:rsidTr="0090395F">
        <w:trPr>
          <w:trHeight w:val="458"/>
        </w:trPr>
        <w:tc>
          <w:tcPr>
            <w:tcW w:w="1304" w:type="dxa"/>
            <w:vMerge/>
            <w:tcBorders>
              <w:top w:val="single" w:sz="6" w:space="0" w:color="auto"/>
              <w:left w:val="single" w:sz="6" w:space="0" w:color="auto"/>
              <w:bottom w:val="single" w:sz="6" w:space="0" w:color="auto"/>
              <w:right w:val="single" w:sz="6" w:space="0" w:color="auto"/>
            </w:tcBorders>
            <w:vAlign w:val="center"/>
          </w:tcPr>
          <w:p w:rsidR="008814F0" w:rsidRPr="007F6F77" w:rsidRDefault="008814F0" w:rsidP="0090395F">
            <w:pPr>
              <w:widowControl/>
              <w:snapToGrid w:val="0"/>
              <w:rPr>
                <w:rFonts w:eastAsia="標楷體"/>
                <w:bCs/>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000000" w:fill="FFFFFF"/>
            <w:noWrap/>
            <w:vAlign w:val="center"/>
          </w:tcPr>
          <w:p w:rsidR="008814F0" w:rsidRPr="007F6F77" w:rsidRDefault="008814F0" w:rsidP="0090395F">
            <w:pPr>
              <w:jc w:val="both"/>
              <w:rPr>
                <w:rFonts w:eastAsia="標楷體"/>
                <w:sz w:val="22"/>
                <w:szCs w:val="22"/>
              </w:rPr>
            </w:pPr>
            <w:r w:rsidRPr="007F6F77">
              <w:rPr>
                <w:rFonts w:eastAsia="標楷體" w:hint="eastAsia"/>
                <w:sz w:val="22"/>
                <w:szCs w:val="22"/>
              </w:rPr>
              <w:t xml:space="preserve">DGBAS </w:t>
            </w:r>
            <w:r w:rsidRPr="007F6F77">
              <w:rPr>
                <w:rFonts w:eastAsia="標楷體"/>
                <w:sz w:val="22"/>
                <w:szCs w:val="22"/>
              </w:rPr>
              <w:t>(2018/11/30)</w:t>
            </w:r>
          </w:p>
        </w:tc>
        <w:tc>
          <w:tcPr>
            <w:tcW w:w="2027" w:type="dxa"/>
            <w:tcBorders>
              <w:top w:val="single" w:sz="6" w:space="0" w:color="auto"/>
              <w:left w:val="single" w:sz="6" w:space="0" w:color="auto"/>
              <w:bottom w:val="single" w:sz="6" w:space="0" w:color="auto"/>
              <w:right w:val="single" w:sz="4" w:space="0" w:color="auto"/>
            </w:tcBorders>
            <w:shd w:val="clear" w:color="000000" w:fill="FFFFFF"/>
            <w:vAlign w:val="center"/>
          </w:tcPr>
          <w:p w:rsidR="008814F0" w:rsidRPr="007F6F77" w:rsidRDefault="008814F0" w:rsidP="0090395F">
            <w:pPr>
              <w:jc w:val="center"/>
              <w:rPr>
                <w:sz w:val="22"/>
                <w:szCs w:val="22"/>
              </w:rPr>
            </w:pPr>
            <w:r w:rsidRPr="007F6F77">
              <w:rPr>
                <w:sz w:val="22"/>
                <w:szCs w:val="22"/>
              </w:rPr>
              <w:t>1.43</w:t>
            </w:r>
          </w:p>
        </w:tc>
        <w:tc>
          <w:tcPr>
            <w:tcW w:w="2028" w:type="dxa"/>
            <w:tcBorders>
              <w:top w:val="single" w:sz="4" w:space="0" w:color="auto"/>
              <w:left w:val="single" w:sz="4" w:space="0" w:color="auto"/>
              <w:bottom w:val="single" w:sz="4" w:space="0" w:color="auto"/>
              <w:right w:val="single" w:sz="4" w:space="0" w:color="auto"/>
            </w:tcBorders>
            <w:shd w:val="clear" w:color="000000" w:fill="FFFFFF"/>
            <w:vAlign w:val="center"/>
          </w:tcPr>
          <w:p w:rsidR="008814F0" w:rsidRPr="007F6F77" w:rsidRDefault="008814F0" w:rsidP="0090395F">
            <w:pPr>
              <w:jc w:val="center"/>
              <w:rPr>
                <w:sz w:val="22"/>
                <w:szCs w:val="22"/>
              </w:rPr>
            </w:pPr>
            <w:r w:rsidRPr="007F6F77">
              <w:rPr>
                <w:sz w:val="22"/>
                <w:szCs w:val="22"/>
              </w:rPr>
              <w:t>0.96</w:t>
            </w:r>
          </w:p>
        </w:tc>
        <w:tc>
          <w:tcPr>
            <w:tcW w:w="1984" w:type="dxa"/>
            <w:vMerge/>
            <w:tcBorders>
              <w:left w:val="single" w:sz="4" w:space="0" w:color="auto"/>
            </w:tcBorders>
            <w:shd w:val="clear" w:color="000000" w:fill="FFFFFF"/>
          </w:tcPr>
          <w:p w:rsidR="008814F0" w:rsidRPr="007F6F77" w:rsidRDefault="008814F0" w:rsidP="0090395F">
            <w:pPr>
              <w:snapToGrid w:val="0"/>
              <w:jc w:val="center"/>
              <w:rPr>
                <w:sz w:val="22"/>
                <w:szCs w:val="22"/>
              </w:rPr>
            </w:pPr>
          </w:p>
        </w:tc>
      </w:tr>
      <w:tr w:rsidR="008814F0" w:rsidRPr="007F6F77" w:rsidTr="0090395F">
        <w:trPr>
          <w:trHeight w:val="458"/>
        </w:trPr>
        <w:tc>
          <w:tcPr>
            <w:tcW w:w="1304" w:type="dxa"/>
            <w:vMerge/>
            <w:tcBorders>
              <w:top w:val="single" w:sz="6" w:space="0" w:color="auto"/>
              <w:left w:val="single" w:sz="6" w:space="0" w:color="auto"/>
              <w:bottom w:val="single" w:sz="6" w:space="0" w:color="auto"/>
              <w:right w:val="single" w:sz="6" w:space="0" w:color="auto"/>
            </w:tcBorders>
            <w:vAlign w:val="center"/>
          </w:tcPr>
          <w:p w:rsidR="008814F0" w:rsidRPr="007F6F77" w:rsidRDefault="008814F0" w:rsidP="0090395F">
            <w:pPr>
              <w:widowControl/>
              <w:snapToGrid w:val="0"/>
              <w:rPr>
                <w:rFonts w:eastAsia="標楷體"/>
                <w:bCs/>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000000" w:fill="FFFFFF"/>
            <w:noWrap/>
            <w:vAlign w:val="center"/>
          </w:tcPr>
          <w:p w:rsidR="008814F0" w:rsidRPr="007F6F77" w:rsidRDefault="008814F0" w:rsidP="0090395F">
            <w:pPr>
              <w:rPr>
                <w:rFonts w:eastAsia="標楷體"/>
                <w:sz w:val="22"/>
                <w:szCs w:val="22"/>
              </w:rPr>
            </w:pPr>
            <w:r w:rsidRPr="007F6F77">
              <w:rPr>
                <w:rFonts w:eastAsia="標楷體"/>
                <w:sz w:val="22"/>
                <w:szCs w:val="22"/>
              </w:rPr>
              <w:t>Academi</w:t>
            </w:r>
            <w:r w:rsidRPr="007F6F77">
              <w:rPr>
                <w:rFonts w:eastAsia="標楷體" w:hint="eastAsia"/>
                <w:sz w:val="22"/>
                <w:szCs w:val="22"/>
              </w:rPr>
              <w:t>a</w:t>
            </w:r>
            <w:r w:rsidRPr="007F6F77">
              <w:rPr>
                <w:rFonts w:eastAsia="標楷體"/>
                <w:sz w:val="22"/>
                <w:szCs w:val="22"/>
              </w:rPr>
              <w:t xml:space="preserve"> </w:t>
            </w:r>
            <w:proofErr w:type="spellStart"/>
            <w:r w:rsidRPr="007F6F77">
              <w:rPr>
                <w:rFonts w:eastAsia="標楷體"/>
                <w:sz w:val="22"/>
                <w:szCs w:val="22"/>
              </w:rPr>
              <w:t>Sinica</w:t>
            </w:r>
            <w:proofErr w:type="spellEnd"/>
            <w:r w:rsidRPr="007F6F77">
              <w:rPr>
                <w:rFonts w:eastAsia="標楷體" w:hint="eastAsia"/>
                <w:sz w:val="22"/>
                <w:szCs w:val="22"/>
              </w:rPr>
              <w:t xml:space="preserve"> </w:t>
            </w:r>
            <w:r w:rsidRPr="007F6F77">
              <w:rPr>
                <w:rFonts w:eastAsia="標楷體"/>
                <w:sz w:val="22"/>
                <w:szCs w:val="22"/>
              </w:rPr>
              <w:t>(2018/12/5)</w:t>
            </w:r>
          </w:p>
        </w:tc>
        <w:tc>
          <w:tcPr>
            <w:tcW w:w="2027" w:type="dxa"/>
            <w:tcBorders>
              <w:top w:val="single" w:sz="6" w:space="0" w:color="auto"/>
              <w:left w:val="single" w:sz="6" w:space="0" w:color="auto"/>
              <w:bottom w:val="single" w:sz="6" w:space="0" w:color="auto"/>
              <w:right w:val="single" w:sz="4" w:space="0" w:color="auto"/>
            </w:tcBorders>
            <w:shd w:val="clear" w:color="000000" w:fill="FFFFFF"/>
            <w:vAlign w:val="center"/>
          </w:tcPr>
          <w:p w:rsidR="008814F0" w:rsidRPr="007F6F77" w:rsidRDefault="008814F0" w:rsidP="0090395F">
            <w:pPr>
              <w:jc w:val="center"/>
              <w:rPr>
                <w:sz w:val="22"/>
                <w:szCs w:val="22"/>
              </w:rPr>
            </w:pPr>
            <w:r w:rsidRPr="007F6F77">
              <w:rPr>
                <w:sz w:val="22"/>
                <w:szCs w:val="22"/>
              </w:rPr>
              <w:t>1.49</w:t>
            </w:r>
          </w:p>
        </w:tc>
        <w:tc>
          <w:tcPr>
            <w:tcW w:w="2028" w:type="dxa"/>
            <w:tcBorders>
              <w:top w:val="single" w:sz="4" w:space="0" w:color="auto"/>
              <w:left w:val="single" w:sz="4" w:space="0" w:color="auto"/>
              <w:bottom w:val="single" w:sz="4" w:space="0" w:color="auto"/>
              <w:right w:val="single" w:sz="4" w:space="0" w:color="auto"/>
            </w:tcBorders>
            <w:shd w:val="clear" w:color="000000" w:fill="FFFFFF"/>
            <w:vAlign w:val="center"/>
          </w:tcPr>
          <w:p w:rsidR="008814F0" w:rsidRPr="007F6F77" w:rsidRDefault="008814F0" w:rsidP="0090395F">
            <w:pPr>
              <w:jc w:val="center"/>
              <w:rPr>
                <w:sz w:val="22"/>
                <w:szCs w:val="22"/>
              </w:rPr>
            </w:pPr>
            <w:r w:rsidRPr="007F6F77">
              <w:rPr>
                <w:sz w:val="22"/>
                <w:szCs w:val="22"/>
              </w:rPr>
              <w:t>1.08</w:t>
            </w:r>
          </w:p>
        </w:tc>
        <w:tc>
          <w:tcPr>
            <w:tcW w:w="1984" w:type="dxa"/>
            <w:vMerge/>
            <w:tcBorders>
              <w:left w:val="single" w:sz="4" w:space="0" w:color="auto"/>
            </w:tcBorders>
            <w:shd w:val="clear" w:color="000000" w:fill="FFFFFF"/>
          </w:tcPr>
          <w:p w:rsidR="008814F0" w:rsidRPr="007F6F77" w:rsidRDefault="008814F0" w:rsidP="0090395F">
            <w:pPr>
              <w:snapToGrid w:val="0"/>
              <w:jc w:val="center"/>
              <w:rPr>
                <w:sz w:val="22"/>
                <w:szCs w:val="22"/>
              </w:rPr>
            </w:pPr>
          </w:p>
        </w:tc>
      </w:tr>
      <w:tr w:rsidR="008814F0" w:rsidRPr="007F6F77" w:rsidTr="0090395F">
        <w:trPr>
          <w:trHeight w:val="456"/>
        </w:trPr>
        <w:tc>
          <w:tcPr>
            <w:tcW w:w="1304" w:type="dxa"/>
            <w:vMerge/>
            <w:tcBorders>
              <w:top w:val="single" w:sz="6" w:space="0" w:color="auto"/>
              <w:left w:val="single" w:sz="6" w:space="0" w:color="auto"/>
              <w:bottom w:val="double" w:sz="4" w:space="0" w:color="auto"/>
              <w:right w:val="single" w:sz="6" w:space="0" w:color="auto"/>
            </w:tcBorders>
            <w:vAlign w:val="center"/>
            <w:hideMark/>
          </w:tcPr>
          <w:p w:rsidR="008814F0" w:rsidRPr="007F6F77" w:rsidRDefault="008814F0" w:rsidP="0090395F">
            <w:pPr>
              <w:widowControl/>
              <w:snapToGrid w:val="0"/>
              <w:rPr>
                <w:rFonts w:eastAsia="標楷體"/>
                <w:bCs/>
                <w:sz w:val="22"/>
                <w:szCs w:val="22"/>
              </w:rPr>
            </w:pPr>
          </w:p>
        </w:tc>
        <w:tc>
          <w:tcPr>
            <w:tcW w:w="2693" w:type="dxa"/>
            <w:tcBorders>
              <w:top w:val="single" w:sz="6" w:space="0" w:color="auto"/>
              <w:left w:val="single" w:sz="6" w:space="0" w:color="auto"/>
              <w:bottom w:val="double" w:sz="4" w:space="0" w:color="auto"/>
              <w:right w:val="single" w:sz="6" w:space="0" w:color="auto"/>
            </w:tcBorders>
            <w:shd w:val="clear" w:color="000000" w:fill="FFFFFF"/>
            <w:noWrap/>
            <w:vAlign w:val="center"/>
            <w:hideMark/>
          </w:tcPr>
          <w:p w:rsidR="008814F0" w:rsidRPr="007F6F77" w:rsidRDefault="008814F0" w:rsidP="0090395F">
            <w:pPr>
              <w:jc w:val="both"/>
              <w:rPr>
                <w:rFonts w:eastAsia="標楷體"/>
                <w:sz w:val="22"/>
                <w:szCs w:val="22"/>
              </w:rPr>
            </w:pPr>
            <w:r w:rsidRPr="007F6F77">
              <w:rPr>
                <w:rFonts w:eastAsia="標楷體" w:hint="eastAsia"/>
                <w:sz w:val="22"/>
                <w:szCs w:val="22"/>
              </w:rPr>
              <w:t xml:space="preserve">TIER </w:t>
            </w:r>
            <w:r w:rsidRPr="007F6F77">
              <w:rPr>
                <w:rFonts w:eastAsia="標楷體"/>
                <w:sz w:val="22"/>
                <w:szCs w:val="22"/>
              </w:rPr>
              <w:t>(2018/11/12)</w:t>
            </w:r>
          </w:p>
        </w:tc>
        <w:tc>
          <w:tcPr>
            <w:tcW w:w="2027" w:type="dxa"/>
            <w:tcBorders>
              <w:top w:val="single" w:sz="4" w:space="0" w:color="auto"/>
              <w:left w:val="single" w:sz="6" w:space="0" w:color="auto"/>
              <w:bottom w:val="double" w:sz="4" w:space="0" w:color="auto"/>
              <w:right w:val="single" w:sz="4" w:space="0" w:color="auto"/>
            </w:tcBorders>
            <w:shd w:val="clear" w:color="000000" w:fill="FFFFFF"/>
            <w:noWrap/>
            <w:vAlign w:val="center"/>
            <w:hideMark/>
          </w:tcPr>
          <w:p w:rsidR="008814F0" w:rsidRPr="007F6F77" w:rsidRDefault="008814F0" w:rsidP="0090395F">
            <w:pPr>
              <w:jc w:val="center"/>
              <w:rPr>
                <w:sz w:val="22"/>
                <w:szCs w:val="22"/>
              </w:rPr>
            </w:pPr>
            <w:r w:rsidRPr="007F6F77">
              <w:rPr>
                <w:sz w:val="22"/>
                <w:szCs w:val="22"/>
              </w:rPr>
              <w:t>1.60</w:t>
            </w:r>
          </w:p>
        </w:tc>
        <w:tc>
          <w:tcPr>
            <w:tcW w:w="2028" w:type="dxa"/>
            <w:tcBorders>
              <w:top w:val="single" w:sz="4" w:space="0" w:color="auto"/>
              <w:left w:val="single" w:sz="4" w:space="0" w:color="auto"/>
              <w:bottom w:val="double" w:sz="4" w:space="0" w:color="auto"/>
              <w:right w:val="single" w:sz="4" w:space="0" w:color="auto"/>
            </w:tcBorders>
            <w:shd w:val="clear" w:color="000000" w:fill="FFFFFF"/>
            <w:vAlign w:val="center"/>
          </w:tcPr>
          <w:p w:rsidR="008814F0" w:rsidRPr="007F6F77" w:rsidRDefault="008814F0" w:rsidP="0090395F">
            <w:pPr>
              <w:jc w:val="center"/>
              <w:rPr>
                <w:sz w:val="22"/>
                <w:szCs w:val="22"/>
              </w:rPr>
            </w:pPr>
            <w:r w:rsidRPr="007F6F77">
              <w:rPr>
                <w:sz w:val="22"/>
                <w:szCs w:val="22"/>
              </w:rPr>
              <w:t>1.40</w:t>
            </w:r>
          </w:p>
        </w:tc>
        <w:tc>
          <w:tcPr>
            <w:tcW w:w="1984" w:type="dxa"/>
            <w:vMerge/>
            <w:tcBorders>
              <w:left w:val="single" w:sz="4" w:space="0" w:color="auto"/>
            </w:tcBorders>
            <w:shd w:val="clear" w:color="000000" w:fill="FFFFFF"/>
          </w:tcPr>
          <w:p w:rsidR="008814F0" w:rsidRPr="007F6F77" w:rsidRDefault="008814F0" w:rsidP="0090395F">
            <w:pPr>
              <w:snapToGrid w:val="0"/>
              <w:jc w:val="center"/>
              <w:rPr>
                <w:b/>
                <w:bCs/>
                <w:sz w:val="22"/>
                <w:szCs w:val="22"/>
              </w:rPr>
            </w:pPr>
          </w:p>
        </w:tc>
      </w:tr>
      <w:tr w:rsidR="008814F0" w:rsidRPr="007F6F77" w:rsidTr="0090395F">
        <w:trPr>
          <w:trHeight w:val="456"/>
        </w:trPr>
        <w:tc>
          <w:tcPr>
            <w:tcW w:w="1304" w:type="dxa"/>
            <w:vMerge w:val="restart"/>
            <w:tcBorders>
              <w:top w:val="double" w:sz="4" w:space="0" w:color="auto"/>
              <w:left w:val="single" w:sz="6" w:space="0" w:color="auto"/>
              <w:bottom w:val="single" w:sz="6" w:space="0" w:color="auto"/>
              <w:right w:val="single" w:sz="6" w:space="0" w:color="auto"/>
            </w:tcBorders>
            <w:shd w:val="clear" w:color="000000" w:fill="FFFFFF"/>
            <w:vAlign w:val="center"/>
            <w:hideMark/>
          </w:tcPr>
          <w:p w:rsidR="008814F0" w:rsidRPr="007F6F77" w:rsidRDefault="008814F0" w:rsidP="0090395F">
            <w:pPr>
              <w:widowControl/>
              <w:snapToGrid w:val="0"/>
              <w:jc w:val="center"/>
              <w:rPr>
                <w:rFonts w:eastAsia="標楷體"/>
                <w:bCs/>
                <w:sz w:val="22"/>
                <w:szCs w:val="22"/>
              </w:rPr>
            </w:pPr>
            <w:r w:rsidRPr="007F6F77">
              <w:rPr>
                <w:rFonts w:eastAsia="標楷體"/>
                <w:bCs/>
                <w:sz w:val="22"/>
                <w:szCs w:val="22"/>
              </w:rPr>
              <w:t>Foreign institutions</w:t>
            </w:r>
          </w:p>
        </w:tc>
        <w:tc>
          <w:tcPr>
            <w:tcW w:w="2693" w:type="dxa"/>
            <w:tcBorders>
              <w:top w:val="double" w:sz="4" w:space="0" w:color="auto"/>
              <w:left w:val="single" w:sz="6" w:space="0" w:color="auto"/>
              <w:bottom w:val="single" w:sz="6" w:space="0" w:color="auto"/>
              <w:right w:val="single" w:sz="6" w:space="0" w:color="auto"/>
            </w:tcBorders>
            <w:shd w:val="clear" w:color="000000" w:fill="FFFFFF"/>
            <w:noWrap/>
            <w:vAlign w:val="center"/>
            <w:hideMark/>
          </w:tcPr>
          <w:p w:rsidR="008814F0" w:rsidRPr="007F6F77" w:rsidRDefault="008814F0" w:rsidP="0090395F">
            <w:pPr>
              <w:jc w:val="both"/>
              <w:rPr>
                <w:sz w:val="22"/>
                <w:szCs w:val="22"/>
              </w:rPr>
            </w:pPr>
            <w:r w:rsidRPr="007F6F77">
              <w:rPr>
                <w:rFonts w:hint="eastAsia"/>
                <w:sz w:val="22"/>
                <w:szCs w:val="22"/>
              </w:rPr>
              <w:t xml:space="preserve">IHS </w:t>
            </w:r>
            <w:proofErr w:type="spellStart"/>
            <w:r w:rsidRPr="007F6F77">
              <w:rPr>
                <w:rFonts w:hint="eastAsia"/>
                <w:sz w:val="22"/>
                <w:szCs w:val="22"/>
              </w:rPr>
              <w:t>Markit</w:t>
            </w:r>
            <w:proofErr w:type="spellEnd"/>
            <w:r w:rsidRPr="007F6F77">
              <w:rPr>
                <w:rFonts w:hint="eastAsia"/>
                <w:sz w:val="22"/>
                <w:szCs w:val="22"/>
              </w:rPr>
              <w:t xml:space="preserve"> (2018/12/18)</w:t>
            </w:r>
          </w:p>
        </w:tc>
        <w:tc>
          <w:tcPr>
            <w:tcW w:w="2027" w:type="dxa"/>
            <w:tcBorders>
              <w:top w:val="double" w:sz="4" w:space="0" w:color="auto"/>
              <w:left w:val="single" w:sz="6" w:space="0" w:color="auto"/>
              <w:bottom w:val="single" w:sz="6" w:space="0" w:color="auto"/>
              <w:right w:val="single" w:sz="4" w:space="0" w:color="auto"/>
            </w:tcBorders>
            <w:shd w:val="clear" w:color="000000" w:fill="FFFFFF"/>
            <w:noWrap/>
            <w:vAlign w:val="center"/>
            <w:hideMark/>
          </w:tcPr>
          <w:p w:rsidR="008814F0" w:rsidRPr="007F6F77" w:rsidRDefault="008814F0" w:rsidP="0090395F">
            <w:pPr>
              <w:jc w:val="center"/>
              <w:rPr>
                <w:sz w:val="22"/>
                <w:szCs w:val="22"/>
              </w:rPr>
            </w:pPr>
            <w:r w:rsidRPr="007F6F77">
              <w:rPr>
                <w:sz w:val="22"/>
                <w:szCs w:val="22"/>
              </w:rPr>
              <w:t>1.40</w:t>
            </w:r>
          </w:p>
        </w:tc>
        <w:tc>
          <w:tcPr>
            <w:tcW w:w="2028" w:type="dxa"/>
            <w:tcBorders>
              <w:top w:val="double" w:sz="4" w:space="0" w:color="auto"/>
              <w:left w:val="single" w:sz="4" w:space="0" w:color="auto"/>
              <w:bottom w:val="single" w:sz="4" w:space="0" w:color="auto"/>
              <w:right w:val="single" w:sz="4" w:space="0" w:color="auto"/>
            </w:tcBorders>
            <w:shd w:val="clear" w:color="000000" w:fill="FFFFFF"/>
            <w:vAlign w:val="center"/>
          </w:tcPr>
          <w:p w:rsidR="008814F0" w:rsidRPr="007F6F77" w:rsidRDefault="008814F0" w:rsidP="0090395F">
            <w:pPr>
              <w:jc w:val="center"/>
              <w:rPr>
                <w:sz w:val="22"/>
                <w:szCs w:val="22"/>
              </w:rPr>
            </w:pPr>
            <w:r w:rsidRPr="007F6F77">
              <w:rPr>
                <w:sz w:val="22"/>
                <w:szCs w:val="22"/>
              </w:rPr>
              <w:t>1.28</w:t>
            </w:r>
          </w:p>
        </w:tc>
        <w:tc>
          <w:tcPr>
            <w:tcW w:w="1984" w:type="dxa"/>
            <w:vMerge/>
            <w:tcBorders>
              <w:left w:val="single" w:sz="4" w:space="0" w:color="auto"/>
            </w:tcBorders>
            <w:shd w:val="clear" w:color="000000" w:fill="FFFFFF"/>
            <w:vAlign w:val="center"/>
          </w:tcPr>
          <w:p w:rsidR="008814F0" w:rsidRPr="007F6F77" w:rsidRDefault="008814F0" w:rsidP="0090395F">
            <w:pPr>
              <w:snapToGrid w:val="0"/>
              <w:jc w:val="center"/>
              <w:rPr>
                <w:sz w:val="22"/>
                <w:szCs w:val="22"/>
              </w:rPr>
            </w:pPr>
          </w:p>
        </w:tc>
      </w:tr>
      <w:tr w:rsidR="008814F0" w:rsidRPr="007F6F77" w:rsidTr="0090395F">
        <w:trPr>
          <w:trHeight w:val="456"/>
        </w:trPr>
        <w:tc>
          <w:tcPr>
            <w:tcW w:w="1304" w:type="dxa"/>
            <w:vMerge/>
            <w:tcBorders>
              <w:top w:val="single" w:sz="6" w:space="0" w:color="auto"/>
              <w:left w:val="single" w:sz="6" w:space="0" w:color="auto"/>
              <w:bottom w:val="single" w:sz="6" w:space="0" w:color="auto"/>
              <w:right w:val="single" w:sz="6" w:space="0" w:color="auto"/>
            </w:tcBorders>
            <w:vAlign w:val="center"/>
            <w:hideMark/>
          </w:tcPr>
          <w:p w:rsidR="008814F0" w:rsidRPr="007F6F77" w:rsidRDefault="008814F0" w:rsidP="0090395F">
            <w:pPr>
              <w:widowControl/>
              <w:snapToGrid w:val="0"/>
              <w:rPr>
                <w:rFonts w:eastAsia="標楷體"/>
                <w:bCs/>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814F0" w:rsidRPr="007F6F77" w:rsidRDefault="008814F0" w:rsidP="0090395F">
            <w:pPr>
              <w:jc w:val="both"/>
              <w:rPr>
                <w:sz w:val="22"/>
                <w:szCs w:val="22"/>
              </w:rPr>
            </w:pPr>
            <w:r w:rsidRPr="007F6F77">
              <w:rPr>
                <w:rFonts w:hint="eastAsia"/>
                <w:sz w:val="22"/>
                <w:szCs w:val="22"/>
              </w:rPr>
              <w:t>Nomura (2018/12/14)</w:t>
            </w:r>
          </w:p>
        </w:tc>
        <w:tc>
          <w:tcPr>
            <w:tcW w:w="2027" w:type="dxa"/>
            <w:tcBorders>
              <w:top w:val="single" w:sz="6" w:space="0" w:color="auto"/>
              <w:left w:val="single" w:sz="6" w:space="0" w:color="auto"/>
              <w:bottom w:val="single" w:sz="6" w:space="0" w:color="auto"/>
              <w:right w:val="single" w:sz="4" w:space="0" w:color="auto"/>
            </w:tcBorders>
            <w:shd w:val="clear" w:color="000000" w:fill="FFFFFF"/>
            <w:noWrap/>
            <w:vAlign w:val="center"/>
            <w:hideMark/>
          </w:tcPr>
          <w:p w:rsidR="008814F0" w:rsidRPr="007F6F77" w:rsidRDefault="008814F0" w:rsidP="0090395F">
            <w:pPr>
              <w:jc w:val="center"/>
              <w:rPr>
                <w:sz w:val="22"/>
                <w:szCs w:val="22"/>
              </w:rPr>
            </w:pPr>
            <w:r w:rsidRPr="007F6F77">
              <w:rPr>
                <w:sz w:val="22"/>
                <w:szCs w:val="22"/>
              </w:rPr>
              <w:t>1.40</w:t>
            </w:r>
          </w:p>
        </w:tc>
        <w:tc>
          <w:tcPr>
            <w:tcW w:w="2028" w:type="dxa"/>
            <w:tcBorders>
              <w:top w:val="single" w:sz="4" w:space="0" w:color="auto"/>
              <w:left w:val="single" w:sz="4" w:space="0" w:color="auto"/>
              <w:bottom w:val="single" w:sz="4" w:space="0" w:color="auto"/>
              <w:right w:val="single" w:sz="4" w:space="0" w:color="auto"/>
            </w:tcBorders>
            <w:shd w:val="clear" w:color="000000" w:fill="FFFFFF"/>
            <w:vAlign w:val="center"/>
          </w:tcPr>
          <w:p w:rsidR="008814F0" w:rsidRPr="007F6F77" w:rsidRDefault="008814F0" w:rsidP="0090395F">
            <w:pPr>
              <w:jc w:val="center"/>
              <w:rPr>
                <w:sz w:val="22"/>
                <w:szCs w:val="22"/>
              </w:rPr>
            </w:pPr>
            <w:r w:rsidRPr="007F6F77">
              <w:rPr>
                <w:sz w:val="22"/>
                <w:szCs w:val="22"/>
              </w:rPr>
              <w:t>1.00</w:t>
            </w:r>
          </w:p>
        </w:tc>
        <w:tc>
          <w:tcPr>
            <w:tcW w:w="1984" w:type="dxa"/>
            <w:vMerge/>
            <w:tcBorders>
              <w:left w:val="single" w:sz="4" w:space="0" w:color="auto"/>
            </w:tcBorders>
            <w:shd w:val="clear" w:color="000000" w:fill="FFFFFF"/>
            <w:vAlign w:val="center"/>
          </w:tcPr>
          <w:p w:rsidR="008814F0" w:rsidRPr="007F6F77" w:rsidRDefault="008814F0" w:rsidP="0090395F">
            <w:pPr>
              <w:snapToGrid w:val="0"/>
              <w:jc w:val="center"/>
              <w:rPr>
                <w:sz w:val="22"/>
                <w:szCs w:val="22"/>
              </w:rPr>
            </w:pPr>
          </w:p>
        </w:tc>
      </w:tr>
      <w:tr w:rsidR="008814F0" w:rsidRPr="007F6F77" w:rsidTr="0090395F">
        <w:trPr>
          <w:trHeight w:val="456"/>
        </w:trPr>
        <w:tc>
          <w:tcPr>
            <w:tcW w:w="1304" w:type="dxa"/>
            <w:vMerge/>
            <w:tcBorders>
              <w:top w:val="single" w:sz="6" w:space="0" w:color="auto"/>
              <w:left w:val="single" w:sz="6" w:space="0" w:color="auto"/>
              <w:bottom w:val="single" w:sz="6" w:space="0" w:color="auto"/>
              <w:right w:val="single" w:sz="6" w:space="0" w:color="auto"/>
            </w:tcBorders>
            <w:vAlign w:val="center"/>
            <w:hideMark/>
          </w:tcPr>
          <w:p w:rsidR="008814F0" w:rsidRPr="007F6F77" w:rsidRDefault="008814F0" w:rsidP="0090395F">
            <w:pPr>
              <w:widowControl/>
              <w:snapToGrid w:val="0"/>
              <w:rPr>
                <w:rFonts w:eastAsia="標楷體"/>
                <w:bCs/>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814F0" w:rsidRPr="007F6F77" w:rsidRDefault="008814F0" w:rsidP="0090395F">
            <w:pPr>
              <w:rPr>
                <w:sz w:val="22"/>
                <w:szCs w:val="22"/>
              </w:rPr>
            </w:pPr>
            <w:r w:rsidRPr="007F6F77">
              <w:rPr>
                <w:rFonts w:hint="eastAsia"/>
                <w:sz w:val="22"/>
                <w:szCs w:val="22"/>
              </w:rPr>
              <w:t>Barclays Capital (2018/12/14)</w:t>
            </w:r>
          </w:p>
        </w:tc>
        <w:tc>
          <w:tcPr>
            <w:tcW w:w="2027" w:type="dxa"/>
            <w:tcBorders>
              <w:top w:val="single" w:sz="6" w:space="0" w:color="auto"/>
              <w:left w:val="single" w:sz="6" w:space="0" w:color="auto"/>
              <w:bottom w:val="single" w:sz="6" w:space="0" w:color="auto"/>
              <w:right w:val="single" w:sz="4" w:space="0" w:color="auto"/>
            </w:tcBorders>
            <w:shd w:val="clear" w:color="000000" w:fill="FFFFFF"/>
            <w:noWrap/>
            <w:vAlign w:val="center"/>
            <w:hideMark/>
          </w:tcPr>
          <w:p w:rsidR="008814F0" w:rsidRPr="007F6F77" w:rsidRDefault="008814F0" w:rsidP="0090395F">
            <w:pPr>
              <w:jc w:val="center"/>
              <w:rPr>
                <w:sz w:val="22"/>
                <w:szCs w:val="22"/>
              </w:rPr>
            </w:pPr>
            <w:r w:rsidRPr="007F6F77">
              <w:rPr>
                <w:sz w:val="22"/>
                <w:szCs w:val="22"/>
              </w:rPr>
              <w:t>1.40</w:t>
            </w:r>
          </w:p>
        </w:tc>
        <w:tc>
          <w:tcPr>
            <w:tcW w:w="2028" w:type="dxa"/>
            <w:tcBorders>
              <w:top w:val="single" w:sz="4" w:space="0" w:color="auto"/>
              <w:left w:val="single" w:sz="4" w:space="0" w:color="auto"/>
              <w:bottom w:val="single" w:sz="4" w:space="0" w:color="auto"/>
              <w:right w:val="single" w:sz="4" w:space="0" w:color="auto"/>
            </w:tcBorders>
            <w:shd w:val="clear" w:color="000000" w:fill="FFFFFF"/>
            <w:vAlign w:val="center"/>
          </w:tcPr>
          <w:p w:rsidR="008814F0" w:rsidRPr="007F6F77" w:rsidRDefault="008814F0" w:rsidP="0090395F">
            <w:pPr>
              <w:jc w:val="center"/>
              <w:rPr>
                <w:sz w:val="22"/>
                <w:szCs w:val="22"/>
              </w:rPr>
            </w:pPr>
            <w:r w:rsidRPr="007F6F77">
              <w:rPr>
                <w:sz w:val="22"/>
                <w:szCs w:val="22"/>
              </w:rPr>
              <w:t>1.20</w:t>
            </w:r>
          </w:p>
        </w:tc>
        <w:tc>
          <w:tcPr>
            <w:tcW w:w="1984" w:type="dxa"/>
            <w:vMerge/>
            <w:tcBorders>
              <w:left w:val="single" w:sz="4" w:space="0" w:color="auto"/>
            </w:tcBorders>
            <w:shd w:val="clear" w:color="000000" w:fill="FFFFFF"/>
            <w:vAlign w:val="center"/>
          </w:tcPr>
          <w:p w:rsidR="008814F0" w:rsidRPr="007F6F77" w:rsidRDefault="008814F0" w:rsidP="0090395F">
            <w:pPr>
              <w:snapToGrid w:val="0"/>
              <w:jc w:val="center"/>
              <w:rPr>
                <w:sz w:val="22"/>
                <w:szCs w:val="22"/>
              </w:rPr>
            </w:pPr>
          </w:p>
        </w:tc>
      </w:tr>
      <w:tr w:rsidR="008814F0" w:rsidRPr="007F6F77" w:rsidTr="0090395F">
        <w:trPr>
          <w:trHeight w:val="456"/>
        </w:trPr>
        <w:tc>
          <w:tcPr>
            <w:tcW w:w="1304" w:type="dxa"/>
            <w:vMerge/>
            <w:tcBorders>
              <w:top w:val="single" w:sz="6" w:space="0" w:color="auto"/>
              <w:left w:val="single" w:sz="6" w:space="0" w:color="auto"/>
              <w:bottom w:val="single" w:sz="6" w:space="0" w:color="auto"/>
              <w:right w:val="single" w:sz="6" w:space="0" w:color="auto"/>
            </w:tcBorders>
            <w:vAlign w:val="center"/>
            <w:hideMark/>
          </w:tcPr>
          <w:p w:rsidR="008814F0" w:rsidRPr="007F6F77" w:rsidRDefault="008814F0" w:rsidP="0090395F">
            <w:pPr>
              <w:widowControl/>
              <w:snapToGrid w:val="0"/>
              <w:rPr>
                <w:rFonts w:eastAsia="標楷體"/>
                <w:bCs/>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814F0" w:rsidRPr="007F6F77" w:rsidRDefault="008814F0" w:rsidP="0090395F">
            <w:pPr>
              <w:jc w:val="both"/>
              <w:rPr>
                <w:sz w:val="22"/>
                <w:szCs w:val="22"/>
              </w:rPr>
            </w:pPr>
            <w:r w:rsidRPr="007F6F77">
              <w:rPr>
                <w:rFonts w:hint="eastAsia"/>
                <w:sz w:val="22"/>
                <w:szCs w:val="22"/>
              </w:rPr>
              <w:t>Citi (2018/12/12)</w:t>
            </w:r>
          </w:p>
        </w:tc>
        <w:tc>
          <w:tcPr>
            <w:tcW w:w="2027" w:type="dxa"/>
            <w:tcBorders>
              <w:top w:val="single" w:sz="6" w:space="0" w:color="auto"/>
              <w:left w:val="single" w:sz="6" w:space="0" w:color="auto"/>
              <w:bottom w:val="single" w:sz="6" w:space="0" w:color="auto"/>
              <w:right w:val="single" w:sz="4" w:space="0" w:color="auto"/>
            </w:tcBorders>
            <w:shd w:val="clear" w:color="000000" w:fill="FFFFFF"/>
            <w:noWrap/>
            <w:vAlign w:val="center"/>
          </w:tcPr>
          <w:p w:rsidR="008814F0" w:rsidRPr="007F6F77" w:rsidRDefault="008814F0" w:rsidP="0090395F">
            <w:pPr>
              <w:jc w:val="center"/>
              <w:rPr>
                <w:sz w:val="22"/>
                <w:szCs w:val="22"/>
              </w:rPr>
            </w:pPr>
            <w:r w:rsidRPr="007F6F77">
              <w:rPr>
                <w:sz w:val="22"/>
                <w:szCs w:val="22"/>
              </w:rPr>
              <w:t>1.40</w:t>
            </w:r>
          </w:p>
        </w:tc>
        <w:tc>
          <w:tcPr>
            <w:tcW w:w="2028" w:type="dxa"/>
            <w:tcBorders>
              <w:top w:val="single" w:sz="4" w:space="0" w:color="auto"/>
              <w:left w:val="single" w:sz="4" w:space="0" w:color="auto"/>
              <w:bottom w:val="single" w:sz="4" w:space="0" w:color="auto"/>
              <w:right w:val="single" w:sz="4" w:space="0" w:color="auto"/>
            </w:tcBorders>
            <w:shd w:val="clear" w:color="000000" w:fill="FFFFFF"/>
            <w:vAlign w:val="center"/>
          </w:tcPr>
          <w:p w:rsidR="008814F0" w:rsidRPr="007F6F77" w:rsidRDefault="008814F0" w:rsidP="0090395F">
            <w:pPr>
              <w:jc w:val="center"/>
              <w:rPr>
                <w:sz w:val="22"/>
                <w:szCs w:val="22"/>
              </w:rPr>
            </w:pPr>
            <w:r w:rsidRPr="007F6F77">
              <w:rPr>
                <w:sz w:val="22"/>
                <w:szCs w:val="22"/>
              </w:rPr>
              <w:t>1.30</w:t>
            </w:r>
          </w:p>
        </w:tc>
        <w:tc>
          <w:tcPr>
            <w:tcW w:w="1984" w:type="dxa"/>
            <w:vMerge/>
            <w:tcBorders>
              <w:left w:val="single" w:sz="4" w:space="0" w:color="auto"/>
            </w:tcBorders>
            <w:shd w:val="clear" w:color="000000" w:fill="FFFFFF"/>
            <w:vAlign w:val="center"/>
          </w:tcPr>
          <w:p w:rsidR="008814F0" w:rsidRPr="007F6F77" w:rsidRDefault="008814F0" w:rsidP="0090395F">
            <w:pPr>
              <w:snapToGrid w:val="0"/>
              <w:jc w:val="center"/>
              <w:rPr>
                <w:sz w:val="22"/>
                <w:szCs w:val="22"/>
              </w:rPr>
            </w:pPr>
          </w:p>
        </w:tc>
      </w:tr>
      <w:tr w:rsidR="008814F0" w:rsidRPr="007F6F77" w:rsidTr="0090395F">
        <w:trPr>
          <w:trHeight w:val="468"/>
        </w:trPr>
        <w:tc>
          <w:tcPr>
            <w:tcW w:w="1304" w:type="dxa"/>
            <w:vMerge/>
            <w:tcBorders>
              <w:top w:val="single" w:sz="6" w:space="0" w:color="auto"/>
              <w:left w:val="single" w:sz="6" w:space="0" w:color="auto"/>
              <w:bottom w:val="single" w:sz="6" w:space="0" w:color="auto"/>
              <w:right w:val="single" w:sz="6" w:space="0" w:color="auto"/>
            </w:tcBorders>
            <w:vAlign w:val="center"/>
            <w:hideMark/>
          </w:tcPr>
          <w:p w:rsidR="008814F0" w:rsidRPr="007F6F77" w:rsidRDefault="008814F0" w:rsidP="0090395F">
            <w:pPr>
              <w:widowControl/>
              <w:snapToGrid w:val="0"/>
              <w:rPr>
                <w:rFonts w:eastAsia="標楷體"/>
                <w:bCs/>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814F0" w:rsidRPr="007F6F77" w:rsidRDefault="008814F0" w:rsidP="0090395F">
            <w:pPr>
              <w:jc w:val="both"/>
              <w:rPr>
                <w:sz w:val="22"/>
                <w:szCs w:val="22"/>
              </w:rPr>
            </w:pPr>
            <w:r w:rsidRPr="007F6F77">
              <w:rPr>
                <w:rFonts w:hint="eastAsia"/>
                <w:sz w:val="22"/>
                <w:szCs w:val="22"/>
              </w:rPr>
              <w:t>ADB (2018/12/11)</w:t>
            </w:r>
          </w:p>
        </w:tc>
        <w:tc>
          <w:tcPr>
            <w:tcW w:w="2027" w:type="dxa"/>
            <w:tcBorders>
              <w:top w:val="single" w:sz="6" w:space="0" w:color="auto"/>
              <w:left w:val="single" w:sz="6" w:space="0" w:color="auto"/>
              <w:bottom w:val="single" w:sz="6" w:space="0" w:color="auto"/>
              <w:right w:val="single" w:sz="4" w:space="0" w:color="auto"/>
            </w:tcBorders>
            <w:shd w:val="clear" w:color="000000" w:fill="FFFFFF"/>
            <w:noWrap/>
            <w:vAlign w:val="center"/>
          </w:tcPr>
          <w:p w:rsidR="008814F0" w:rsidRPr="007F6F77" w:rsidRDefault="008814F0" w:rsidP="0090395F">
            <w:pPr>
              <w:jc w:val="center"/>
              <w:rPr>
                <w:sz w:val="22"/>
                <w:szCs w:val="22"/>
              </w:rPr>
            </w:pPr>
            <w:r w:rsidRPr="007F6F77">
              <w:rPr>
                <w:sz w:val="22"/>
                <w:szCs w:val="22"/>
              </w:rPr>
              <w:t>1.40</w:t>
            </w:r>
          </w:p>
        </w:tc>
        <w:tc>
          <w:tcPr>
            <w:tcW w:w="2028" w:type="dxa"/>
            <w:tcBorders>
              <w:top w:val="single" w:sz="4" w:space="0" w:color="auto"/>
              <w:left w:val="single" w:sz="4" w:space="0" w:color="auto"/>
              <w:bottom w:val="single" w:sz="4" w:space="0" w:color="auto"/>
              <w:right w:val="single" w:sz="4" w:space="0" w:color="auto"/>
            </w:tcBorders>
            <w:shd w:val="clear" w:color="000000" w:fill="FFFFFF"/>
            <w:vAlign w:val="center"/>
          </w:tcPr>
          <w:p w:rsidR="008814F0" w:rsidRPr="007F6F77" w:rsidRDefault="008814F0" w:rsidP="0090395F">
            <w:pPr>
              <w:jc w:val="center"/>
              <w:rPr>
                <w:sz w:val="22"/>
                <w:szCs w:val="22"/>
              </w:rPr>
            </w:pPr>
            <w:r w:rsidRPr="007F6F77">
              <w:rPr>
                <w:sz w:val="22"/>
                <w:szCs w:val="22"/>
              </w:rPr>
              <w:t>1.30</w:t>
            </w:r>
          </w:p>
        </w:tc>
        <w:tc>
          <w:tcPr>
            <w:tcW w:w="1984" w:type="dxa"/>
            <w:vMerge/>
            <w:tcBorders>
              <w:left w:val="single" w:sz="4" w:space="0" w:color="auto"/>
            </w:tcBorders>
            <w:shd w:val="clear" w:color="000000" w:fill="FFFFFF"/>
            <w:vAlign w:val="center"/>
          </w:tcPr>
          <w:p w:rsidR="008814F0" w:rsidRPr="007F6F77" w:rsidRDefault="008814F0" w:rsidP="0090395F">
            <w:pPr>
              <w:snapToGrid w:val="0"/>
              <w:jc w:val="center"/>
              <w:rPr>
                <w:sz w:val="22"/>
                <w:szCs w:val="22"/>
              </w:rPr>
            </w:pPr>
          </w:p>
        </w:tc>
      </w:tr>
      <w:tr w:rsidR="008814F0" w:rsidRPr="007F6F77" w:rsidTr="0090395F">
        <w:trPr>
          <w:trHeight w:val="456"/>
        </w:trPr>
        <w:tc>
          <w:tcPr>
            <w:tcW w:w="1304" w:type="dxa"/>
            <w:vMerge/>
            <w:tcBorders>
              <w:top w:val="single" w:sz="6" w:space="0" w:color="auto"/>
              <w:left w:val="single" w:sz="6" w:space="0" w:color="auto"/>
              <w:bottom w:val="single" w:sz="6" w:space="0" w:color="auto"/>
              <w:right w:val="single" w:sz="6" w:space="0" w:color="auto"/>
            </w:tcBorders>
            <w:vAlign w:val="center"/>
            <w:hideMark/>
          </w:tcPr>
          <w:p w:rsidR="008814F0" w:rsidRPr="007F6F77" w:rsidRDefault="008814F0" w:rsidP="0090395F">
            <w:pPr>
              <w:widowControl/>
              <w:snapToGrid w:val="0"/>
              <w:rPr>
                <w:rFonts w:eastAsia="標楷體"/>
                <w:bCs/>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814F0" w:rsidRPr="007F6F77" w:rsidRDefault="008814F0" w:rsidP="0090395F">
            <w:pPr>
              <w:jc w:val="both"/>
              <w:rPr>
                <w:sz w:val="22"/>
                <w:szCs w:val="22"/>
              </w:rPr>
            </w:pPr>
            <w:r w:rsidRPr="007F6F77">
              <w:rPr>
                <w:rFonts w:hint="eastAsia"/>
                <w:sz w:val="22"/>
                <w:szCs w:val="22"/>
              </w:rPr>
              <w:t>EIU (2018/12/10)</w:t>
            </w:r>
          </w:p>
        </w:tc>
        <w:tc>
          <w:tcPr>
            <w:tcW w:w="2027" w:type="dxa"/>
            <w:tcBorders>
              <w:top w:val="single" w:sz="6" w:space="0" w:color="auto"/>
              <w:left w:val="single" w:sz="6" w:space="0" w:color="auto"/>
              <w:bottom w:val="single" w:sz="6" w:space="0" w:color="auto"/>
              <w:right w:val="single" w:sz="4" w:space="0" w:color="auto"/>
            </w:tcBorders>
            <w:shd w:val="clear" w:color="000000" w:fill="FFFFFF"/>
            <w:noWrap/>
            <w:vAlign w:val="center"/>
          </w:tcPr>
          <w:p w:rsidR="008814F0" w:rsidRPr="007F6F77" w:rsidRDefault="008814F0" w:rsidP="0090395F">
            <w:pPr>
              <w:jc w:val="center"/>
              <w:rPr>
                <w:sz w:val="22"/>
                <w:szCs w:val="22"/>
              </w:rPr>
            </w:pPr>
            <w:r w:rsidRPr="007F6F77">
              <w:rPr>
                <w:rFonts w:hint="eastAsia"/>
                <w:sz w:val="22"/>
                <w:szCs w:val="22"/>
              </w:rPr>
              <w:t>1.40</w:t>
            </w:r>
          </w:p>
        </w:tc>
        <w:tc>
          <w:tcPr>
            <w:tcW w:w="2028" w:type="dxa"/>
            <w:tcBorders>
              <w:top w:val="single" w:sz="4" w:space="0" w:color="auto"/>
              <w:left w:val="single" w:sz="4" w:space="0" w:color="auto"/>
              <w:bottom w:val="single" w:sz="4" w:space="0" w:color="auto"/>
              <w:right w:val="single" w:sz="4" w:space="0" w:color="auto"/>
            </w:tcBorders>
            <w:shd w:val="clear" w:color="000000" w:fill="FFFFFF"/>
            <w:vAlign w:val="center"/>
          </w:tcPr>
          <w:p w:rsidR="008814F0" w:rsidRPr="007F6F77" w:rsidRDefault="008814F0" w:rsidP="0090395F">
            <w:pPr>
              <w:jc w:val="center"/>
              <w:rPr>
                <w:sz w:val="22"/>
                <w:szCs w:val="22"/>
              </w:rPr>
            </w:pPr>
            <w:r w:rsidRPr="007F6F77">
              <w:rPr>
                <w:sz w:val="22"/>
                <w:szCs w:val="22"/>
              </w:rPr>
              <w:t>1.</w:t>
            </w:r>
            <w:r w:rsidRPr="007F6F77">
              <w:rPr>
                <w:rFonts w:hint="eastAsia"/>
                <w:sz w:val="22"/>
                <w:szCs w:val="22"/>
              </w:rPr>
              <w:t>30</w:t>
            </w:r>
          </w:p>
        </w:tc>
        <w:tc>
          <w:tcPr>
            <w:tcW w:w="1984" w:type="dxa"/>
            <w:vMerge/>
            <w:tcBorders>
              <w:left w:val="single" w:sz="4" w:space="0" w:color="auto"/>
            </w:tcBorders>
            <w:shd w:val="clear" w:color="000000" w:fill="FFFFFF"/>
            <w:vAlign w:val="center"/>
          </w:tcPr>
          <w:p w:rsidR="008814F0" w:rsidRPr="007F6F77" w:rsidRDefault="008814F0" w:rsidP="0090395F">
            <w:pPr>
              <w:snapToGrid w:val="0"/>
              <w:jc w:val="center"/>
              <w:rPr>
                <w:sz w:val="22"/>
                <w:szCs w:val="22"/>
              </w:rPr>
            </w:pPr>
          </w:p>
        </w:tc>
      </w:tr>
      <w:tr w:rsidR="008814F0" w:rsidRPr="007F6F77" w:rsidTr="0090395F">
        <w:trPr>
          <w:trHeight w:val="456"/>
        </w:trPr>
        <w:tc>
          <w:tcPr>
            <w:tcW w:w="1304" w:type="dxa"/>
            <w:vMerge/>
            <w:tcBorders>
              <w:top w:val="single" w:sz="6" w:space="0" w:color="auto"/>
              <w:left w:val="single" w:sz="6" w:space="0" w:color="auto"/>
              <w:bottom w:val="single" w:sz="6" w:space="0" w:color="auto"/>
              <w:right w:val="single" w:sz="6" w:space="0" w:color="auto"/>
            </w:tcBorders>
            <w:vAlign w:val="center"/>
          </w:tcPr>
          <w:p w:rsidR="008814F0" w:rsidRPr="007F6F77" w:rsidRDefault="008814F0" w:rsidP="0090395F">
            <w:pPr>
              <w:widowControl/>
              <w:snapToGrid w:val="0"/>
              <w:rPr>
                <w:rFonts w:eastAsia="標楷體"/>
                <w:bCs/>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000000" w:fill="FFFFFF"/>
            <w:noWrap/>
            <w:vAlign w:val="center"/>
          </w:tcPr>
          <w:p w:rsidR="008814F0" w:rsidRPr="007F6F77" w:rsidRDefault="008814F0" w:rsidP="0090395F">
            <w:pPr>
              <w:jc w:val="both"/>
              <w:rPr>
                <w:sz w:val="22"/>
                <w:szCs w:val="22"/>
              </w:rPr>
            </w:pPr>
            <w:r w:rsidRPr="007F6F77">
              <w:rPr>
                <w:rFonts w:hint="eastAsia"/>
                <w:sz w:val="22"/>
                <w:szCs w:val="22"/>
              </w:rPr>
              <w:t>Deutsche Bank (2018/12/6)</w:t>
            </w:r>
          </w:p>
        </w:tc>
        <w:tc>
          <w:tcPr>
            <w:tcW w:w="2027" w:type="dxa"/>
            <w:tcBorders>
              <w:top w:val="single" w:sz="6" w:space="0" w:color="auto"/>
              <w:left w:val="single" w:sz="6" w:space="0" w:color="auto"/>
              <w:bottom w:val="single" w:sz="6" w:space="0" w:color="auto"/>
              <w:right w:val="single" w:sz="4" w:space="0" w:color="auto"/>
            </w:tcBorders>
            <w:shd w:val="clear" w:color="000000" w:fill="FFFFFF"/>
            <w:noWrap/>
            <w:vAlign w:val="center"/>
          </w:tcPr>
          <w:p w:rsidR="008814F0" w:rsidRPr="007F6F77" w:rsidRDefault="008814F0" w:rsidP="0090395F">
            <w:pPr>
              <w:jc w:val="center"/>
              <w:rPr>
                <w:sz w:val="22"/>
                <w:szCs w:val="22"/>
              </w:rPr>
            </w:pPr>
            <w:r w:rsidRPr="007F6F77">
              <w:rPr>
                <w:sz w:val="22"/>
                <w:szCs w:val="22"/>
              </w:rPr>
              <w:t>1.40</w:t>
            </w:r>
          </w:p>
        </w:tc>
        <w:tc>
          <w:tcPr>
            <w:tcW w:w="2028" w:type="dxa"/>
            <w:tcBorders>
              <w:top w:val="single" w:sz="4" w:space="0" w:color="auto"/>
              <w:left w:val="single" w:sz="4" w:space="0" w:color="auto"/>
              <w:bottom w:val="single" w:sz="4" w:space="0" w:color="auto"/>
              <w:right w:val="single" w:sz="4" w:space="0" w:color="auto"/>
            </w:tcBorders>
            <w:shd w:val="clear" w:color="000000" w:fill="FFFFFF"/>
            <w:vAlign w:val="center"/>
          </w:tcPr>
          <w:p w:rsidR="008814F0" w:rsidRPr="007F6F77" w:rsidRDefault="008814F0" w:rsidP="0090395F">
            <w:pPr>
              <w:jc w:val="center"/>
              <w:rPr>
                <w:sz w:val="22"/>
                <w:szCs w:val="22"/>
              </w:rPr>
            </w:pPr>
            <w:r w:rsidRPr="007F6F77">
              <w:rPr>
                <w:sz w:val="22"/>
                <w:szCs w:val="22"/>
              </w:rPr>
              <w:t>1.00</w:t>
            </w:r>
          </w:p>
        </w:tc>
        <w:tc>
          <w:tcPr>
            <w:tcW w:w="1984" w:type="dxa"/>
            <w:vMerge/>
            <w:tcBorders>
              <w:left w:val="single" w:sz="4" w:space="0" w:color="auto"/>
            </w:tcBorders>
            <w:shd w:val="clear" w:color="000000" w:fill="FFFFFF"/>
            <w:vAlign w:val="center"/>
          </w:tcPr>
          <w:p w:rsidR="008814F0" w:rsidRPr="007F6F77" w:rsidRDefault="008814F0" w:rsidP="0090395F">
            <w:pPr>
              <w:snapToGrid w:val="0"/>
              <w:jc w:val="center"/>
              <w:rPr>
                <w:sz w:val="22"/>
                <w:szCs w:val="22"/>
              </w:rPr>
            </w:pPr>
          </w:p>
        </w:tc>
      </w:tr>
      <w:tr w:rsidR="008814F0" w:rsidRPr="007F6F77" w:rsidTr="0090395F">
        <w:trPr>
          <w:trHeight w:val="456"/>
        </w:trPr>
        <w:tc>
          <w:tcPr>
            <w:tcW w:w="1304" w:type="dxa"/>
            <w:vMerge/>
            <w:tcBorders>
              <w:top w:val="single" w:sz="6" w:space="0" w:color="auto"/>
              <w:left w:val="single" w:sz="6" w:space="0" w:color="auto"/>
              <w:bottom w:val="single" w:sz="6" w:space="0" w:color="auto"/>
              <w:right w:val="single" w:sz="6" w:space="0" w:color="auto"/>
            </w:tcBorders>
            <w:vAlign w:val="center"/>
          </w:tcPr>
          <w:p w:rsidR="008814F0" w:rsidRPr="007F6F77" w:rsidRDefault="008814F0" w:rsidP="0090395F">
            <w:pPr>
              <w:widowControl/>
              <w:snapToGrid w:val="0"/>
              <w:rPr>
                <w:rFonts w:eastAsia="標楷體"/>
                <w:bCs/>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000000" w:fill="FFFFFF"/>
            <w:noWrap/>
            <w:vAlign w:val="center"/>
          </w:tcPr>
          <w:p w:rsidR="008814F0" w:rsidRPr="007F6F77" w:rsidRDefault="008814F0" w:rsidP="0090395F">
            <w:pPr>
              <w:rPr>
                <w:sz w:val="22"/>
                <w:szCs w:val="22"/>
              </w:rPr>
            </w:pPr>
            <w:proofErr w:type="spellStart"/>
            <w:r w:rsidRPr="007F6F77">
              <w:rPr>
                <w:rFonts w:hint="eastAsia"/>
                <w:sz w:val="22"/>
                <w:szCs w:val="22"/>
              </w:rPr>
              <w:t>BoA</w:t>
            </w:r>
            <w:proofErr w:type="spellEnd"/>
            <w:r w:rsidRPr="007F6F77">
              <w:rPr>
                <w:rFonts w:hint="eastAsia"/>
                <w:sz w:val="22"/>
                <w:szCs w:val="22"/>
              </w:rPr>
              <w:t xml:space="preserve"> Merrill Lynch (2018/12/17)</w:t>
            </w:r>
          </w:p>
        </w:tc>
        <w:tc>
          <w:tcPr>
            <w:tcW w:w="2027" w:type="dxa"/>
            <w:tcBorders>
              <w:top w:val="single" w:sz="6" w:space="0" w:color="auto"/>
              <w:left w:val="single" w:sz="6" w:space="0" w:color="auto"/>
              <w:bottom w:val="single" w:sz="6" w:space="0" w:color="auto"/>
              <w:right w:val="single" w:sz="4" w:space="0" w:color="auto"/>
            </w:tcBorders>
            <w:shd w:val="clear" w:color="000000" w:fill="FFFFFF"/>
            <w:noWrap/>
            <w:vAlign w:val="center"/>
          </w:tcPr>
          <w:p w:rsidR="008814F0" w:rsidRPr="007F6F77" w:rsidRDefault="008814F0" w:rsidP="0090395F">
            <w:pPr>
              <w:jc w:val="center"/>
              <w:rPr>
                <w:sz w:val="22"/>
                <w:szCs w:val="22"/>
              </w:rPr>
            </w:pPr>
            <w:r w:rsidRPr="007F6F77">
              <w:rPr>
                <w:sz w:val="22"/>
                <w:szCs w:val="22"/>
              </w:rPr>
              <w:t>1.50</w:t>
            </w:r>
          </w:p>
        </w:tc>
        <w:tc>
          <w:tcPr>
            <w:tcW w:w="2028" w:type="dxa"/>
            <w:tcBorders>
              <w:top w:val="single" w:sz="4" w:space="0" w:color="auto"/>
              <w:left w:val="single" w:sz="4" w:space="0" w:color="auto"/>
              <w:bottom w:val="single" w:sz="4" w:space="0" w:color="auto"/>
              <w:right w:val="single" w:sz="4" w:space="0" w:color="auto"/>
            </w:tcBorders>
            <w:shd w:val="clear" w:color="000000" w:fill="FFFFFF"/>
            <w:vAlign w:val="center"/>
          </w:tcPr>
          <w:p w:rsidR="008814F0" w:rsidRPr="007F6F77" w:rsidRDefault="008814F0" w:rsidP="0090395F">
            <w:pPr>
              <w:jc w:val="center"/>
              <w:rPr>
                <w:sz w:val="22"/>
                <w:szCs w:val="22"/>
              </w:rPr>
            </w:pPr>
            <w:r w:rsidRPr="007F6F77">
              <w:rPr>
                <w:sz w:val="22"/>
                <w:szCs w:val="22"/>
              </w:rPr>
              <w:t>1.10</w:t>
            </w:r>
          </w:p>
        </w:tc>
        <w:tc>
          <w:tcPr>
            <w:tcW w:w="1984" w:type="dxa"/>
            <w:vMerge/>
            <w:tcBorders>
              <w:left w:val="single" w:sz="4" w:space="0" w:color="auto"/>
            </w:tcBorders>
            <w:shd w:val="clear" w:color="000000" w:fill="FFFFFF"/>
            <w:vAlign w:val="center"/>
          </w:tcPr>
          <w:p w:rsidR="008814F0" w:rsidRPr="007F6F77" w:rsidRDefault="008814F0" w:rsidP="0090395F">
            <w:pPr>
              <w:snapToGrid w:val="0"/>
              <w:jc w:val="center"/>
              <w:rPr>
                <w:sz w:val="22"/>
                <w:szCs w:val="22"/>
              </w:rPr>
            </w:pPr>
          </w:p>
        </w:tc>
      </w:tr>
      <w:tr w:rsidR="008814F0" w:rsidRPr="007F6F77" w:rsidTr="0090395F">
        <w:trPr>
          <w:trHeight w:val="456"/>
        </w:trPr>
        <w:tc>
          <w:tcPr>
            <w:tcW w:w="1304" w:type="dxa"/>
            <w:vMerge/>
            <w:tcBorders>
              <w:top w:val="single" w:sz="6" w:space="0" w:color="auto"/>
              <w:left w:val="single" w:sz="6" w:space="0" w:color="auto"/>
              <w:bottom w:val="single" w:sz="6" w:space="0" w:color="auto"/>
              <w:right w:val="single" w:sz="6" w:space="0" w:color="auto"/>
            </w:tcBorders>
            <w:vAlign w:val="center"/>
          </w:tcPr>
          <w:p w:rsidR="008814F0" w:rsidRPr="007F6F77" w:rsidRDefault="008814F0" w:rsidP="0090395F">
            <w:pPr>
              <w:widowControl/>
              <w:snapToGrid w:val="0"/>
              <w:rPr>
                <w:rFonts w:eastAsia="標楷體"/>
                <w:bCs/>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000000" w:fill="FFFFFF"/>
            <w:noWrap/>
            <w:vAlign w:val="center"/>
          </w:tcPr>
          <w:p w:rsidR="008814F0" w:rsidRPr="007F6F77" w:rsidRDefault="008814F0" w:rsidP="0090395F">
            <w:pPr>
              <w:jc w:val="both"/>
              <w:rPr>
                <w:sz w:val="22"/>
                <w:szCs w:val="22"/>
              </w:rPr>
            </w:pPr>
            <w:r w:rsidRPr="007F6F77">
              <w:rPr>
                <w:rFonts w:hint="eastAsia"/>
                <w:sz w:val="22"/>
                <w:szCs w:val="22"/>
              </w:rPr>
              <w:t>Goldman Sachs (2018/12/17)</w:t>
            </w:r>
          </w:p>
        </w:tc>
        <w:tc>
          <w:tcPr>
            <w:tcW w:w="2027" w:type="dxa"/>
            <w:tcBorders>
              <w:top w:val="single" w:sz="6" w:space="0" w:color="auto"/>
              <w:left w:val="single" w:sz="6" w:space="0" w:color="auto"/>
              <w:bottom w:val="single" w:sz="6" w:space="0" w:color="auto"/>
              <w:right w:val="single" w:sz="4" w:space="0" w:color="auto"/>
            </w:tcBorders>
            <w:shd w:val="clear" w:color="000000" w:fill="FFFFFF"/>
            <w:noWrap/>
            <w:vAlign w:val="center"/>
          </w:tcPr>
          <w:p w:rsidR="008814F0" w:rsidRPr="007F6F77" w:rsidRDefault="008814F0" w:rsidP="0090395F">
            <w:pPr>
              <w:jc w:val="center"/>
              <w:rPr>
                <w:sz w:val="22"/>
                <w:szCs w:val="22"/>
              </w:rPr>
            </w:pPr>
            <w:r w:rsidRPr="007F6F77">
              <w:rPr>
                <w:sz w:val="22"/>
                <w:szCs w:val="22"/>
              </w:rPr>
              <w:t>1.50</w:t>
            </w:r>
          </w:p>
        </w:tc>
        <w:tc>
          <w:tcPr>
            <w:tcW w:w="2028" w:type="dxa"/>
            <w:tcBorders>
              <w:top w:val="single" w:sz="4" w:space="0" w:color="auto"/>
              <w:left w:val="single" w:sz="4" w:space="0" w:color="auto"/>
              <w:bottom w:val="single" w:sz="4" w:space="0" w:color="auto"/>
              <w:right w:val="single" w:sz="4" w:space="0" w:color="auto"/>
            </w:tcBorders>
            <w:shd w:val="clear" w:color="000000" w:fill="FFFFFF"/>
            <w:vAlign w:val="center"/>
          </w:tcPr>
          <w:p w:rsidR="008814F0" w:rsidRPr="007F6F77" w:rsidRDefault="008814F0" w:rsidP="0090395F">
            <w:pPr>
              <w:jc w:val="center"/>
              <w:rPr>
                <w:sz w:val="22"/>
                <w:szCs w:val="22"/>
              </w:rPr>
            </w:pPr>
            <w:r w:rsidRPr="007F6F77">
              <w:rPr>
                <w:sz w:val="22"/>
                <w:szCs w:val="22"/>
              </w:rPr>
              <w:t>1.10</w:t>
            </w:r>
          </w:p>
        </w:tc>
        <w:tc>
          <w:tcPr>
            <w:tcW w:w="1984" w:type="dxa"/>
            <w:vMerge/>
            <w:tcBorders>
              <w:left w:val="single" w:sz="4" w:space="0" w:color="auto"/>
            </w:tcBorders>
            <w:shd w:val="clear" w:color="000000" w:fill="FFFFFF"/>
            <w:vAlign w:val="center"/>
          </w:tcPr>
          <w:p w:rsidR="008814F0" w:rsidRPr="007F6F77" w:rsidRDefault="008814F0" w:rsidP="0090395F">
            <w:pPr>
              <w:snapToGrid w:val="0"/>
              <w:jc w:val="center"/>
              <w:rPr>
                <w:sz w:val="22"/>
                <w:szCs w:val="22"/>
              </w:rPr>
            </w:pPr>
          </w:p>
        </w:tc>
      </w:tr>
      <w:tr w:rsidR="008814F0" w:rsidRPr="007F6F77" w:rsidTr="0090395F">
        <w:trPr>
          <w:trHeight w:val="456"/>
        </w:trPr>
        <w:tc>
          <w:tcPr>
            <w:tcW w:w="1304" w:type="dxa"/>
            <w:vMerge/>
            <w:tcBorders>
              <w:top w:val="single" w:sz="6" w:space="0" w:color="auto"/>
              <w:left w:val="single" w:sz="6" w:space="0" w:color="auto"/>
              <w:bottom w:val="single" w:sz="6" w:space="0" w:color="auto"/>
              <w:right w:val="single" w:sz="6" w:space="0" w:color="auto"/>
            </w:tcBorders>
            <w:vAlign w:val="center"/>
            <w:hideMark/>
          </w:tcPr>
          <w:p w:rsidR="008814F0" w:rsidRPr="007F6F77" w:rsidRDefault="008814F0" w:rsidP="0090395F">
            <w:pPr>
              <w:widowControl/>
              <w:snapToGrid w:val="0"/>
              <w:rPr>
                <w:rFonts w:eastAsia="標楷體"/>
                <w:bCs/>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814F0" w:rsidRPr="007F6F77" w:rsidRDefault="008814F0" w:rsidP="0090395F">
            <w:pPr>
              <w:jc w:val="both"/>
              <w:rPr>
                <w:sz w:val="22"/>
                <w:szCs w:val="22"/>
              </w:rPr>
            </w:pPr>
            <w:r w:rsidRPr="007F6F77">
              <w:rPr>
                <w:rFonts w:hint="eastAsia"/>
                <w:sz w:val="22"/>
                <w:szCs w:val="22"/>
              </w:rPr>
              <w:t>HSBC (2018/12/14)</w:t>
            </w:r>
          </w:p>
        </w:tc>
        <w:tc>
          <w:tcPr>
            <w:tcW w:w="2027" w:type="dxa"/>
            <w:tcBorders>
              <w:top w:val="single" w:sz="6" w:space="0" w:color="auto"/>
              <w:left w:val="single" w:sz="6" w:space="0" w:color="auto"/>
              <w:bottom w:val="single" w:sz="6" w:space="0" w:color="auto"/>
              <w:right w:val="single" w:sz="4" w:space="0" w:color="auto"/>
            </w:tcBorders>
            <w:shd w:val="clear" w:color="000000" w:fill="FFFFFF"/>
            <w:noWrap/>
            <w:vAlign w:val="center"/>
          </w:tcPr>
          <w:p w:rsidR="008814F0" w:rsidRPr="007F6F77" w:rsidRDefault="008814F0" w:rsidP="0090395F">
            <w:pPr>
              <w:jc w:val="center"/>
              <w:rPr>
                <w:sz w:val="22"/>
                <w:szCs w:val="22"/>
              </w:rPr>
            </w:pPr>
            <w:r w:rsidRPr="007F6F77">
              <w:rPr>
                <w:sz w:val="22"/>
                <w:szCs w:val="22"/>
              </w:rPr>
              <w:t>1.50</w:t>
            </w:r>
          </w:p>
        </w:tc>
        <w:tc>
          <w:tcPr>
            <w:tcW w:w="2028" w:type="dxa"/>
            <w:tcBorders>
              <w:top w:val="single" w:sz="4" w:space="0" w:color="auto"/>
              <w:left w:val="single" w:sz="4" w:space="0" w:color="auto"/>
              <w:bottom w:val="single" w:sz="4" w:space="0" w:color="auto"/>
              <w:right w:val="single" w:sz="4" w:space="0" w:color="auto"/>
            </w:tcBorders>
            <w:shd w:val="clear" w:color="000000" w:fill="FFFFFF"/>
            <w:vAlign w:val="center"/>
          </w:tcPr>
          <w:p w:rsidR="008814F0" w:rsidRPr="007F6F77" w:rsidRDefault="008814F0" w:rsidP="0090395F">
            <w:pPr>
              <w:jc w:val="center"/>
              <w:rPr>
                <w:sz w:val="22"/>
                <w:szCs w:val="22"/>
              </w:rPr>
            </w:pPr>
            <w:r w:rsidRPr="007F6F77">
              <w:rPr>
                <w:sz w:val="22"/>
                <w:szCs w:val="22"/>
              </w:rPr>
              <w:t>1.20</w:t>
            </w:r>
          </w:p>
        </w:tc>
        <w:tc>
          <w:tcPr>
            <w:tcW w:w="1984" w:type="dxa"/>
            <w:vMerge/>
            <w:tcBorders>
              <w:left w:val="single" w:sz="4" w:space="0" w:color="auto"/>
            </w:tcBorders>
            <w:shd w:val="clear" w:color="000000" w:fill="FFFFFF"/>
            <w:vAlign w:val="center"/>
          </w:tcPr>
          <w:p w:rsidR="008814F0" w:rsidRPr="007F6F77" w:rsidRDefault="008814F0" w:rsidP="0090395F">
            <w:pPr>
              <w:snapToGrid w:val="0"/>
              <w:jc w:val="center"/>
              <w:rPr>
                <w:sz w:val="22"/>
                <w:szCs w:val="22"/>
              </w:rPr>
            </w:pPr>
          </w:p>
        </w:tc>
      </w:tr>
      <w:tr w:rsidR="008814F0" w:rsidRPr="007F6F77" w:rsidTr="0090395F">
        <w:trPr>
          <w:trHeight w:val="456"/>
        </w:trPr>
        <w:tc>
          <w:tcPr>
            <w:tcW w:w="1304" w:type="dxa"/>
            <w:vMerge/>
            <w:tcBorders>
              <w:top w:val="single" w:sz="6" w:space="0" w:color="auto"/>
              <w:left w:val="single" w:sz="6" w:space="0" w:color="auto"/>
              <w:bottom w:val="single" w:sz="6" w:space="0" w:color="auto"/>
              <w:right w:val="single" w:sz="6" w:space="0" w:color="auto"/>
            </w:tcBorders>
            <w:vAlign w:val="center"/>
          </w:tcPr>
          <w:p w:rsidR="008814F0" w:rsidRPr="007F6F77" w:rsidRDefault="008814F0" w:rsidP="0090395F">
            <w:pPr>
              <w:widowControl/>
              <w:snapToGrid w:val="0"/>
              <w:rPr>
                <w:rFonts w:eastAsia="標楷體"/>
                <w:bCs/>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000000" w:fill="FFFFFF"/>
            <w:noWrap/>
            <w:vAlign w:val="center"/>
          </w:tcPr>
          <w:p w:rsidR="008814F0" w:rsidRPr="007F6F77" w:rsidRDefault="008814F0" w:rsidP="0090395F">
            <w:pPr>
              <w:jc w:val="both"/>
              <w:rPr>
                <w:sz w:val="22"/>
                <w:szCs w:val="22"/>
              </w:rPr>
            </w:pPr>
            <w:r w:rsidRPr="007F6F77">
              <w:rPr>
                <w:rFonts w:hint="eastAsia"/>
                <w:sz w:val="22"/>
                <w:szCs w:val="22"/>
              </w:rPr>
              <w:t>Credit Suisse (2018/12/13)</w:t>
            </w:r>
          </w:p>
        </w:tc>
        <w:tc>
          <w:tcPr>
            <w:tcW w:w="2027" w:type="dxa"/>
            <w:tcBorders>
              <w:top w:val="single" w:sz="6" w:space="0" w:color="auto"/>
              <w:left w:val="single" w:sz="6" w:space="0" w:color="auto"/>
              <w:bottom w:val="single" w:sz="6" w:space="0" w:color="auto"/>
              <w:right w:val="single" w:sz="4" w:space="0" w:color="auto"/>
            </w:tcBorders>
            <w:shd w:val="clear" w:color="000000" w:fill="FFFFFF"/>
            <w:noWrap/>
            <w:vAlign w:val="center"/>
          </w:tcPr>
          <w:p w:rsidR="008814F0" w:rsidRPr="007F6F77" w:rsidRDefault="008814F0" w:rsidP="0090395F">
            <w:pPr>
              <w:jc w:val="center"/>
              <w:rPr>
                <w:sz w:val="22"/>
                <w:szCs w:val="22"/>
              </w:rPr>
            </w:pPr>
            <w:r w:rsidRPr="007F6F77">
              <w:rPr>
                <w:sz w:val="22"/>
                <w:szCs w:val="22"/>
              </w:rPr>
              <w:t>1.50</w:t>
            </w:r>
          </w:p>
        </w:tc>
        <w:tc>
          <w:tcPr>
            <w:tcW w:w="2028" w:type="dxa"/>
            <w:tcBorders>
              <w:top w:val="single" w:sz="4" w:space="0" w:color="auto"/>
              <w:left w:val="single" w:sz="4" w:space="0" w:color="auto"/>
              <w:bottom w:val="single" w:sz="4" w:space="0" w:color="auto"/>
              <w:right w:val="single" w:sz="4" w:space="0" w:color="auto"/>
            </w:tcBorders>
            <w:shd w:val="clear" w:color="000000" w:fill="FFFFFF"/>
            <w:vAlign w:val="center"/>
          </w:tcPr>
          <w:p w:rsidR="008814F0" w:rsidRPr="007F6F77" w:rsidRDefault="008814F0" w:rsidP="0090395F">
            <w:pPr>
              <w:jc w:val="center"/>
              <w:rPr>
                <w:sz w:val="22"/>
                <w:szCs w:val="22"/>
              </w:rPr>
            </w:pPr>
            <w:r w:rsidRPr="007F6F77">
              <w:rPr>
                <w:sz w:val="22"/>
                <w:szCs w:val="22"/>
              </w:rPr>
              <w:t>1.40</w:t>
            </w:r>
          </w:p>
        </w:tc>
        <w:tc>
          <w:tcPr>
            <w:tcW w:w="1984" w:type="dxa"/>
            <w:vMerge/>
            <w:tcBorders>
              <w:left w:val="single" w:sz="4" w:space="0" w:color="auto"/>
            </w:tcBorders>
            <w:shd w:val="clear" w:color="000000" w:fill="FFFFFF"/>
            <w:vAlign w:val="center"/>
          </w:tcPr>
          <w:p w:rsidR="008814F0" w:rsidRPr="007F6F77" w:rsidRDefault="008814F0" w:rsidP="0090395F">
            <w:pPr>
              <w:snapToGrid w:val="0"/>
              <w:jc w:val="center"/>
              <w:rPr>
                <w:sz w:val="22"/>
                <w:szCs w:val="22"/>
              </w:rPr>
            </w:pPr>
          </w:p>
        </w:tc>
      </w:tr>
      <w:tr w:rsidR="008814F0" w:rsidRPr="007F6F77" w:rsidTr="0090395F">
        <w:trPr>
          <w:trHeight w:val="456"/>
        </w:trPr>
        <w:tc>
          <w:tcPr>
            <w:tcW w:w="1304" w:type="dxa"/>
            <w:vMerge/>
            <w:tcBorders>
              <w:top w:val="single" w:sz="6" w:space="0" w:color="auto"/>
              <w:left w:val="single" w:sz="6" w:space="0" w:color="auto"/>
              <w:bottom w:val="single" w:sz="6" w:space="0" w:color="auto"/>
              <w:right w:val="single" w:sz="6" w:space="0" w:color="auto"/>
            </w:tcBorders>
            <w:vAlign w:val="center"/>
          </w:tcPr>
          <w:p w:rsidR="008814F0" w:rsidRPr="007F6F77" w:rsidRDefault="008814F0" w:rsidP="0090395F">
            <w:pPr>
              <w:widowControl/>
              <w:snapToGrid w:val="0"/>
              <w:rPr>
                <w:rFonts w:eastAsia="標楷體"/>
                <w:bCs/>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000000" w:fill="FFFFFF"/>
            <w:noWrap/>
            <w:vAlign w:val="center"/>
          </w:tcPr>
          <w:p w:rsidR="008814F0" w:rsidRPr="007F6F77" w:rsidRDefault="008814F0" w:rsidP="0090395F">
            <w:pPr>
              <w:jc w:val="both"/>
              <w:rPr>
                <w:sz w:val="22"/>
                <w:szCs w:val="22"/>
              </w:rPr>
            </w:pPr>
            <w:r w:rsidRPr="007F6F77">
              <w:rPr>
                <w:rFonts w:hint="eastAsia"/>
                <w:sz w:val="22"/>
                <w:szCs w:val="22"/>
              </w:rPr>
              <w:t>IMF (2018/10/11)</w:t>
            </w:r>
          </w:p>
        </w:tc>
        <w:tc>
          <w:tcPr>
            <w:tcW w:w="2027" w:type="dxa"/>
            <w:tcBorders>
              <w:top w:val="single" w:sz="6" w:space="0" w:color="auto"/>
              <w:left w:val="single" w:sz="6" w:space="0" w:color="auto"/>
              <w:bottom w:val="single" w:sz="6" w:space="0" w:color="auto"/>
              <w:right w:val="single" w:sz="4" w:space="0" w:color="auto"/>
            </w:tcBorders>
            <w:shd w:val="clear" w:color="000000" w:fill="FFFFFF"/>
            <w:noWrap/>
            <w:vAlign w:val="center"/>
          </w:tcPr>
          <w:p w:rsidR="008814F0" w:rsidRPr="007F6F77" w:rsidRDefault="008814F0" w:rsidP="0090395F">
            <w:pPr>
              <w:jc w:val="center"/>
              <w:rPr>
                <w:sz w:val="22"/>
                <w:szCs w:val="22"/>
              </w:rPr>
            </w:pPr>
            <w:r w:rsidRPr="007F6F77">
              <w:rPr>
                <w:sz w:val="22"/>
                <w:szCs w:val="22"/>
              </w:rPr>
              <w:t>1.50</w:t>
            </w:r>
          </w:p>
        </w:tc>
        <w:tc>
          <w:tcPr>
            <w:tcW w:w="2028" w:type="dxa"/>
            <w:tcBorders>
              <w:top w:val="single" w:sz="4" w:space="0" w:color="auto"/>
              <w:left w:val="single" w:sz="4" w:space="0" w:color="auto"/>
              <w:bottom w:val="single" w:sz="4" w:space="0" w:color="auto"/>
              <w:right w:val="single" w:sz="4" w:space="0" w:color="auto"/>
            </w:tcBorders>
            <w:shd w:val="clear" w:color="000000" w:fill="FFFFFF"/>
            <w:vAlign w:val="center"/>
          </w:tcPr>
          <w:p w:rsidR="008814F0" w:rsidRPr="007F6F77" w:rsidRDefault="008814F0" w:rsidP="0090395F">
            <w:pPr>
              <w:jc w:val="center"/>
              <w:rPr>
                <w:sz w:val="22"/>
                <w:szCs w:val="22"/>
              </w:rPr>
            </w:pPr>
            <w:r w:rsidRPr="007F6F77">
              <w:rPr>
                <w:sz w:val="22"/>
                <w:szCs w:val="22"/>
              </w:rPr>
              <w:t>1.30</w:t>
            </w:r>
          </w:p>
        </w:tc>
        <w:tc>
          <w:tcPr>
            <w:tcW w:w="1984" w:type="dxa"/>
            <w:vMerge/>
            <w:tcBorders>
              <w:left w:val="single" w:sz="4" w:space="0" w:color="auto"/>
            </w:tcBorders>
            <w:shd w:val="clear" w:color="000000" w:fill="FFFFFF"/>
            <w:vAlign w:val="center"/>
          </w:tcPr>
          <w:p w:rsidR="008814F0" w:rsidRPr="007F6F77" w:rsidRDefault="008814F0" w:rsidP="0090395F">
            <w:pPr>
              <w:snapToGrid w:val="0"/>
              <w:jc w:val="center"/>
              <w:rPr>
                <w:sz w:val="22"/>
                <w:szCs w:val="22"/>
              </w:rPr>
            </w:pPr>
          </w:p>
        </w:tc>
      </w:tr>
      <w:tr w:rsidR="008814F0" w:rsidRPr="007F6F77" w:rsidTr="0090395F">
        <w:trPr>
          <w:trHeight w:val="456"/>
        </w:trPr>
        <w:tc>
          <w:tcPr>
            <w:tcW w:w="1304" w:type="dxa"/>
            <w:vMerge/>
            <w:tcBorders>
              <w:top w:val="single" w:sz="6" w:space="0" w:color="auto"/>
              <w:left w:val="single" w:sz="6" w:space="0" w:color="auto"/>
              <w:bottom w:val="single" w:sz="6" w:space="0" w:color="auto"/>
              <w:right w:val="single" w:sz="6" w:space="0" w:color="auto"/>
            </w:tcBorders>
            <w:vAlign w:val="center"/>
          </w:tcPr>
          <w:p w:rsidR="008814F0" w:rsidRPr="007F6F77" w:rsidRDefault="008814F0" w:rsidP="0090395F">
            <w:pPr>
              <w:widowControl/>
              <w:snapToGrid w:val="0"/>
              <w:rPr>
                <w:rFonts w:eastAsia="標楷體"/>
                <w:bCs/>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000000" w:fill="FFFFFF"/>
            <w:noWrap/>
            <w:vAlign w:val="center"/>
          </w:tcPr>
          <w:p w:rsidR="008814F0" w:rsidRPr="007F6F77" w:rsidRDefault="008814F0" w:rsidP="0090395F">
            <w:pPr>
              <w:jc w:val="both"/>
              <w:rPr>
                <w:sz w:val="22"/>
                <w:szCs w:val="22"/>
              </w:rPr>
            </w:pPr>
            <w:r w:rsidRPr="007F6F77">
              <w:rPr>
                <w:rFonts w:hint="eastAsia"/>
                <w:sz w:val="22"/>
                <w:szCs w:val="22"/>
              </w:rPr>
              <w:t>Morgan Stanley (2018/11/26)</w:t>
            </w:r>
          </w:p>
        </w:tc>
        <w:tc>
          <w:tcPr>
            <w:tcW w:w="2027" w:type="dxa"/>
            <w:tcBorders>
              <w:top w:val="single" w:sz="6" w:space="0" w:color="auto"/>
              <w:left w:val="single" w:sz="6" w:space="0" w:color="auto"/>
              <w:bottom w:val="single" w:sz="6" w:space="0" w:color="auto"/>
              <w:right w:val="single" w:sz="4" w:space="0" w:color="auto"/>
            </w:tcBorders>
            <w:shd w:val="clear" w:color="000000" w:fill="FFFFFF"/>
            <w:noWrap/>
            <w:vAlign w:val="center"/>
          </w:tcPr>
          <w:p w:rsidR="008814F0" w:rsidRPr="007F6F77" w:rsidRDefault="008814F0" w:rsidP="0090395F">
            <w:pPr>
              <w:jc w:val="center"/>
              <w:rPr>
                <w:sz w:val="22"/>
                <w:szCs w:val="22"/>
              </w:rPr>
            </w:pPr>
            <w:r w:rsidRPr="007F6F77">
              <w:rPr>
                <w:sz w:val="22"/>
                <w:szCs w:val="22"/>
              </w:rPr>
              <w:t>1.54</w:t>
            </w:r>
          </w:p>
        </w:tc>
        <w:tc>
          <w:tcPr>
            <w:tcW w:w="2028" w:type="dxa"/>
            <w:tcBorders>
              <w:top w:val="single" w:sz="4" w:space="0" w:color="auto"/>
              <w:left w:val="single" w:sz="4" w:space="0" w:color="auto"/>
              <w:bottom w:val="single" w:sz="4" w:space="0" w:color="auto"/>
              <w:right w:val="single" w:sz="4" w:space="0" w:color="auto"/>
            </w:tcBorders>
            <w:shd w:val="clear" w:color="000000" w:fill="FFFFFF"/>
            <w:vAlign w:val="center"/>
          </w:tcPr>
          <w:p w:rsidR="008814F0" w:rsidRPr="007F6F77" w:rsidRDefault="008814F0" w:rsidP="0090395F">
            <w:pPr>
              <w:jc w:val="center"/>
              <w:rPr>
                <w:sz w:val="22"/>
                <w:szCs w:val="22"/>
              </w:rPr>
            </w:pPr>
            <w:r w:rsidRPr="007F6F77">
              <w:rPr>
                <w:sz w:val="22"/>
                <w:szCs w:val="22"/>
              </w:rPr>
              <w:t>1.08</w:t>
            </w:r>
          </w:p>
        </w:tc>
        <w:tc>
          <w:tcPr>
            <w:tcW w:w="1984" w:type="dxa"/>
            <w:vMerge/>
            <w:tcBorders>
              <w:left w:val="single" w:sz="4" w:space="0" w:color="auto"/>
            </w:tcBorders>
            <w:shd w:val="clear" w:color="000000" w:fill="FFFFFF"/>
            <w:vAlign w:val="center"/>
          </w:tcPr>
          <w:p w:rsidR="008814F0" w:rsidRPr="007F6F77" w:rsidRDefault="008814F0" w:rsidP="0090395F">
            <w:pPr>
              <w:snapToGrid w:val="0"/>
              <w:jc w:val="center"/>
              <w:rPr>
                <w:sz w:val="22"/>
                <w:szCs w:val="22"/>
              </w:rPr>
            </w:pPr>
          </w:p>
        </w:tc>
      </w:tr>
      <w:tr w:rsidR="008814F0" w:rsidRPr="007F6F77" w:rsidTr="0090395F">
        <w:trPr>
          <w:trHeight w:val="456"/>
        </w:trPr>
        <w:tc>
          <w:tcPr>
            <w:tcW w:w="1304" w:type="dxa"/>
            <w:vMerge/>
            <w:tcBorders>
              <w:top w:val="single" w:sz="6" w:space="0" w:color="auto"/>
              <w:left w:val="single" w:sz="6" w:space="0" w:color="auto"/>
              <w:bottom w:val="single" w:sz="6" w:space="0" w:color="auto"/>
              <w:right w:val="single" w:sz="6" w:space="0" w:color="auto"/>
            </w:tcBorders>
            <w:vAlign w:val="center"/>
          </w:tcPr>
          <w:p w:rsidR="008814F0" w:rsidRPr="007F6F77" w:rsidRDefault="008814F0" w:rsidP="0090395F">
            <w:pPr>
              <w:widowControl/>
              <w:snapToGrid w:val="0"/>
              <w:rPr>
                <w:rFonts w:eastAsia="標楷體"/>
                <w:bCs/>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000000" w:fill="FFFFFF"/>
            <w:noWrap/>
            <w:vAlign w:val="center"/>
          </w:tcPr>
          <w:p w:rsidR="008814F0" w:rsidRPr="007F6F77" w:rsidRDefault="008814F0" w:rsidP="0090395F">
            <w:pPr>
              <w:jc w:val="both"/>
              <w:rPr>
                <w:sz w:val="22"/>
                <w:szCs w:val="22"/>
              </w:rPr>
            </w:pPr>
            <w:r w:rsidRPr="007F6F77">
              <w:rPr>
                <w:rFonts w:hint="eastAsia"/>
                <w:sz w:val="22"/>
                <w:szCs w:val="22"/>
              </w:rPr>
              <w:t>UBS (2018/12/14)</w:t>
            </w:r>
          </w:p>
        </w:tc>
        <w:tc>
          <w:tcPr>
            <w:tcW w:w="2027" w:type="dxa"/>
            <w:tcBorders>
              <w:top w:val="single" w:sz="6" w:space="0" w:color="auto"/>
              <w:left w:val="single" w:sz="6" w:space="0" w:color="auto"/>
              <w:bottom w:val="single" w:sz="6" w:space="0" w:color="auto"/>
              <w:right w:val="single" w:sz="4" w:space="0" w:color="auto"/>
            </w:tcBorders>
            <w:shd w:val="clear" w:color="000000" w:fill="FFFFFF"/>
            <w:noWrap/>
            <w:vAlign w:val="center"/>
          </w:tcPr>
          <w:p w:rsidR="008814F0" w:rsidRPr="007F6F77" w:rsidRDefault="008814F0" w:rsidP="0090395F">
            <w:pPr>
              <w:jc w:val="center"/>
              <w:rPr>
                <w:sz w:val="22"/>
                <w:szCs w:val="22"/>
              </w:rPr>
            </w:pPr>
            <w:r w:rsidRPr="007F6F77">
              <w:rPr>
                <w:sz w:val="22"/>
                <w:szCs w:val="22"/>
              </w:rPr>
              <w:t>1.60</w:t>
            </w:r>
          </w:p>
        </w:tc>
        <w:tc>
          <w:tcPr>
            <w:tcW w:w="2028" w:type="dxa"/>
            <w:tcBorders>
              <w:top w:val="single" w:sz="4" w:space="0" w:color="auto"/>
              <w:left w:val="single" w:sz="4" w:space="0" w:color="auto"/>
              <w:bottom w:val="single" w:sz="4" w:space="0" w:color="auto"/>
              <w:right w:val="single" w:sz="4" w:space="0" w:color="auto"/>
            </w:tcBorders>
            <w:shd w:val="clear" w:color="000000" w:fill="FFFFFF"/>
            <w:vAlign w:val="center"/>
          </w:tcPr>
          <w:p w:rsidR="008814F0" w:rsidRPr="007F6F77" w:rsidRDefault="008814F0" w:rsidP="0090395F">
            <w:pPr>
              <w:jc w:val="center"/>
              <w:rPr>
                <w:sz w:val="22"/>
                <w:szCs w:val="22"/>
              </w:rPr>
            </w:pPr>
            <w:r w:rsidRPr="007F6F77">
              <w:rPr>
                <w:sz w:val="22"/>
                <w:szCs w:val="22"/>
              </w:rPr>
              <w:t>1.43</w:t>
            </w:r>
          </w:p>
        </w:tc>
        <w:tc>
          <w:tcPr>
            <w:tcW w:w="1984" w:type="dxa"/>
            <w:vMerge/>
            <w:tcBorders>
              <w:left w:val="single" w:sz="4" w:space="0" w:color="auto"/>
            </w:tcBorders>
            <w:shd w:val="clear" w:color="000000" w:fill="FFFFFF"/>
            <w:vAlign w:val="center"/>
          </w:tcPr>
          <w:p w:rsidR="008814F0" w:rsidRPr="007F6F77" w:rsidRDefault="008814F0" w:rsidP="0090395F">
            <w:pPr>
              <w:snapToGrid w:val="0"/>
              <w:jc w:val="center"/>
              <w:rPr>
                <w:sz w:val="22"/>
                <w:szCs w:val="22"/>
              </w:rPr>
            </w:pPr>
          </w:p>
        </w:tc>
      </w:tr>
    </w:tbl>
    <w:p w:rsidR="008814F0" w:rsidRPr="007F6F77" w:rsidRDefault="008814F0" w:rsidP="0090395F">
      <w:pPr>
        <w:spacing w:line="400" w:lineRule="exact"/>
        <w:ind w:left="270" w:hangingChars="135" w:hanging="270"/>
        <w:rPr>
          <w:rFonts w:eastAsia="標楷體"/>
        </w:rPr>
      </w:pPr>
      <w:r w:rsidRPr="007F6F77">
        <w:rPr>
          <w:rFonts w:eastAsia="標楷體"/>
        </w:rPr>
        <w:t>* Excluding vegetables, fruit, and energy.</w:t>
      </w:r>
    </w:p>
    <w:p w:rsidR="006A083A" w:rsidRDefault="008814F0" w:rsidP="00E60008">
      <w:pPr>
        <w:spacing w:line="400" w:lineRule="exact"/>
        <w:ind w:left="270" w:hangingChars="135" w:hanging="270"/>
        <w:rPr>
          <w:rFonts w:eastAsia="標楷體"/>
          <w:b/>
          <w:sz w:val="32"/>
        </w:rPr>
      </w:pPr>
      <w:r w:rsidRPr="007F6F77">
        <w:rPr>
          <w:rFonts w:eastAsia="標楷體"/>
        </w:rPr>
        <w:t>Sources: forecasts by respective institutions.</w:t>
      </w:r>
    </w:p>
    <w:sectPr w:rsidR="006A083A" w:rsidSect="00387CE0">
      <w:footerReference w:type="default" r:id="rId12"/>
      <w:footerReference w:type="first" r:id="rId13"/>
      <w:pgSz w:w="11907" w:h="16840" w:code="9"/>
      <w:pgMar w:top="1304" w:right="1418" w:bottom="1418" w:left="1418" w:header="0" w:footer="454" w:gutter="0"/>
      <w:paperSrc w:first="15" w:other="15"/>
      <w:pgNumType w:start="1"/>
      <w:cols w:space="425"/>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4FC" w:rsidRDefault="001874FC">
      <w:r>
        <w:separator/>
      </w:r>
    </w:p>
  </w:endnote>
  <w:endnote w:type="continuationSeparator" w:id="0">
    <w:p w:rsidR="001874FC" w:rsidRDefault="0018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楷書體W5">
    <w:altName w:val="Arial Unicode MS"/>
    <w:charset w:val="88"/>
    <w:family w:val="script"/>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文鼎中楷">
    <w:altName w:val="細明體"/>
    <w:panose1 w:val="00000000000000000000"/>
    <w:charset w:val="88"/>
    <w:family w:val="modern"/>
    <w:notTrueType/>
    <w:pitch w:val="fixed"/>
    <w:sig w:usb0="00000001" w:usb1="08080000" w:usb2="00000010" w:usb3="00000000" w:csb0="00100000" w:csb1="00000000"/>
  </w:font>
  <w:font w:name="華康中楷體">
    <w:altName w:val="細明體"/>
    <w:charset w:val="88"/>
    <w:family w:val="modern"/>
    <w:pitch w:val="fixed"/>
    <w:sig w:usb0="00000001" w:usb1="08080000" w:usb2="00000010" w:usb3="00000000" w:csb0="00100000" w:csb1="00000000"/>
  </w:font>
  <w:font w:name="華康仿宋體W6">
    <w:charset w:val="88"/>
    <w:family w:val="modern"/>
    <w:pitch w:val="fixed"/>
    <w:sig w:usb0="80000001" w:usb1="28091800" w:usb2="00000016" w:usb3="00000000" w:csb0="00100000" w:csb1="00000000"/>
  </w:font>
  <w:font w:name="華康隸書體W5">
    <w:altName w:val="Arial Unicode MS"/>
    <w:charset w:val="88"/>
    <w:family w:val="script"/>
    <w:pitch w:val="fixed"/>
    <w:sig w:usb0="80000001" w:usb1="28091800" w:usb2="00000016" w:usb3="00000000" w:csb0="00100000" w:csb1="00000000"/>
  </w:font>
  <w:font w:name="sө">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E2C" w:rsidRDefault="00087E2C">
    <w:pPr>
      <w:pStyle w:val="a6"/>
      <w:framePr w:wrap="auto" w:vAnchor="text" w:hAnchor="margin" w:xAlign="right" w:y="1"/>
      <w:textDirection w:val="lrTbV"/>
      <w:rPr>
        <w:rStyle w:val="aa"/>
      </w:rPr>
    </w:pPr>
    <w:r>
      <w:rPr>
        <w:rStyle w:val="aa"/>
      </w:rPr>
      <w:fldChar w:fldCharType="begin"/>
    </w:r>
    <w:r>
      <w:rPr>
        <w:rStyle w:val="aa"/>
      </w:rPr>
      <w:instrText xml:space="preserve">PAGE  </w:instrText>
    </w:r>
    <w:r>
      <w:rPr>
        <w:rStyle w:val="aa"/>
      </w:rPr>
      <w:fldChar w:fldCharType="separate"/>
    </w:r>
    <w:r>
      <w:rPr>
        <w:rStyle w:val="aa"/>
        <w:noProof/>
      </w:rPr>
      <w:t>8</w:t>
    </w:r>
    <w:r>
      <w:rPr>
        <w:rStyle w:val="aa"/>
      </w:rPr>
      <w:fldChar w:fldCharType="end"/>
    </w:r>
  </w:p>
  <w:p w:rsidR="00087E2C" w:rsidRDefault="00087E2C">
    <w:pPr>
      <w:pStyle w:val="a6"/>
      <w:ind w:right="360"/>
      <w:textDirection w:val="lrTbV"/>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E2C" w:rsidRDefault="00087E2C">
    <w:pPr>
      <w:pStyle w:val="a6"/>
      <w:jc w:val="center"/>
    </w:pPr>
  </w:p>
  <w:p w:rsidR="00087E2C" w:rsidRDefault="00087E2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456324"/>
      <w:docPartObj>
        <w:docPartGallery w:val="Page Numbers (Bottom of Page)"/>
        <w:docPartUnique/>
      </w:docPartObj>
    </w:sdtPr>
    <w:sdtEndPr/>
    <w:sdtContent>
      <w:p w:rsidR="00087E2C" w:rsidRDefault="00087E2C">
        <w:pPr>
          <w:pStyle w:val="a6"/>
          <w:jc w:val="center"/>
        </w:pPr>
        <w:r>
          <w:fldChar w:fldCharType="begin"/>
        </w:r>
        <w:r>
          <w:instrText>PAGE   \* MERGEFORMAT</w:instrText>
        </w:r>
        <w:r>
          <w:fldChar w:fldCharType="separate"/>
        </w:r>
        <w:r w:rsidR="00E9387C" w:rsidRPr="00E9387C">
          <w:rPr>
            <w:noProof/>
            <w:lang w:val="zh-TW"/>
          </w:rPr>
          <w:t>16</w:t>
        </w:r>
        <w:r>
          <w:fldChar w:fldCharType="end"/>
        </w:r>
      </w:p>
    </w:sdtContent>
  </w:sdt>
  <w:p w:rsidR="00087E2C" w:rsidRDefault="00087E2C">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401886"/>
      <w:docPartObj>
        <w:docPartGallery w:val="Page Numbers (Bottom of Page)"/>
        <w:docPartUnique/>
      </w:docPartObj>
    </w:sdtPr>
    <w:sdtEndPr/>
    <w:sdtContent>
      <w:p w:rsidR="00087E2C" w:rsidRDefault="00087E2C">
        <w:pPr>
          <w:pStyle w:val="a6"/>
          <w:jc w:val="center"/>
        </w:pPr>
        <w:r>
          <w:fldChar w:fldCharType="begin"/>
        </w:r>
        <w:r>
          <w:instrText>PAGE   \* MERGEFORMAT</w:instrText>
        </w:r>
        <w:r>
          <w:fldChar w:fldCharType="separate"/>
        </w:r>
        <w:r w:rsidRPr="00590406">
          <w:rPr>
            <w:noProof/>
            <w:lang w:val="zh-TW"/>
          </w:rPr>
          <w:t>1</w:t>
        </w:r>
        <w:r>
          <w:fldChar w:fldCharType="end"/>
        </w:r>
      </w:p>
    </w:sdtContent>
  </w:sdt>
  <w:p w:rsidR="00087E2C" w:rsidRDefault="00087E2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4FC" w:rsidRDefault="001874FC">
      <w:r>
        <w:separator/>
      </w:r>
    </w:p>
  </w:footnote>
  <w:footnote w:type="continuationSeparator" w:id="0">
    <w:p w:rsidR="001874FC" w:rsidRDefault="001874FC">
      <w:r>
        <w:continuationSeparator/>
      </w:r>
    </w:p>
  </w:footnote>
  <w:footnote w:id="1">
    <w:p w:rsidR="00087E2C" w:rsidRDefault="00087E2C" w:rsidP="00363599">
      <w:pPr>
        <w:pStyle w:val="afc"/>
      </w:pPr>
      <w:r w:rsidRPr="002D6A8E">
        <w:rPr>
          <w:rStyle w:val="afe"/>
          <w:sz w:val="24"/>
        </w:rPr>
        <w:footnoteRef/>
      </w:r>
      <w:r w:rsidRPr="002D6A8E">
        <w:rPr>
          <w:sz w:val="24"/>
        </w:rPr>
        <w:t xml:space="preserve"> This English translation is provided for information purposes only</w:t>
      </w:r>
      <w:r>
        <w:rPr>
          <w:rFonts w:hint="eastAsia"/>
          <w:sz w:val="24"/>
        </w:rPr>
        <w:t>;</w:t>
      </w:r>
      <w:r w:rsidRPr="002D6A8E">
        <w:rPr>
          <w:sz w:val="24"/>
        </w:rPr>
        <w:t xml:space="preserve"> the Chinese version shall prevail in case of discrepancies.</w:t>
      </w:r>
    </w:p>
  </w:footnote>
  <w:footnote w:id="2">
    <w:p w:rsidR="008814F0" w:rsidRPr="00136BEA" w:rsidRDefault="008814F0" w:rsidP="008C653F">
      <w:pPr>
        <w:pStyle w:val="afc"/>
        <w:ind w:left="141" w:hangingChars="64" w:hanging="141"/>
        <w:jc w:val="both"/>
        <w:rPr>
          <w:sz w:val="22"/>
          <w:szCs w:val="22"/>
        </w:rPr>
      </w:pPr>
      <w:r w:rsidRPr="00136BEA">
        <w:rPr>
          <w:rStyle w:val="afe"/>
          <w:sz w:val="22"/>
          <w:szCs w:val="22"/>
        </w:rPr>
        <w:footnoteRef/>
      </w:r>
      <w:r w:rsidRPr="00136BEA">
        <w:rPr>
          <w:sz w:val="22"/>
          <w:szCs w:val="22"/>
        </w:rPr>
        <w:t xml:space="preserve"> </w:t>
      </w:r>
      <w:r w:rsidRPr="00136BEA">
        <w:rPr>
          <w:rFonts w:hint="eastAsia"/>
          <w:sz w:val="22"/>
          <w:szCs w:val="22"/>
        </w:rPr>
        <w:t>The financial conditions index (FCI) incorporates an array of financial variables to capture a country</w:t>
      </w:r>
      <w:r w:rsidRPr="00136BEA">
        <w:rPr>
          <w:sz w:val="22"/>
          <w:szCs w:val="22"/>
        </w:rPr>
        <w:t>’</w:t>
      </w:r>
      <w:r w:rsidRPr="00136BEA">
        <w:rPr>
          <w:rFonts w:hint="eastAsia"/>
          <w:sz w:val="22"/>
          <w:szCs w:val="22"/>
        </w:rPr>
        <w:t xml:space="preserve">s </w:t>
      </w:r>
      <w:r w:rsidRPr="00136BEA">
        <w:rPr>
          <w:sz w:val="22"/>
          <w:szCs w:val="22"/>
        </w:rPr>
        <w:t>overall</w:t>
      </w:r>
      <w:r w:rsidRPr="00136BEA">
        <w:rPr>
          <w:rFonts w:hint="eastAsia"/>
          <w:sz w:val="22"/>
          <w:szCs w:val="22"/>
        </w:rPr>
        <w:t xml:space="preserve"> financial conditions. A positive reading indicates that current financial conditions are more accommodative, which provides a positive pull for future economic growth. On the contrary, a negative reading indicates tight</w:t>
      </w:r>
      <w:r>
        <w:rPr>
          <w:rFonts w:hint="eastAsia"/>
          <w:sz w:val="22"/>
          <w:szCs w:val="22"/>
        </w:rPr>
        <w:t>ening of</w:t>
      </w:r>
      <w:r w:rsidRPr="00136BEA">
        <w:rPr>
          <w:rFonts w:hint="eastAsia"/>
          <w:sz w:val="22"/>
          <w:szCs w:val="22"/>
        </w:rPr>
        <w:t xml:space="preserve"> financial conditions, which could restr</w:t>
      </w:r>
      <w:r>
        <w:rPr>
          <w:rFonts w:hint="eastAsia"/>
          <w:sz w:val="22"/>
          <w:szCs w:val="22"/>
        </w:rPr>
        <w:t>ict</w:t>
      </w:r>
      <w:r w:rsidRPr="00136BEA">
        <w:rPr>
          <w:rFonts w:hint="eastAsia"/>
          <w:sz w:val="22"/>
          <w:szCs w:val="22"/>
        </w:rPr>
        <w:t xml:space="preserve"> economic growth.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E2C" w:rsidRDefault="00087E2C" w:rsidP="00527E73">
    <w:pPr>
      <w:jc w:val="right"/>
      <w:rPr>
        <w:rFonts w:eastAsia="標楷體"/>
      </w:rPr>
    </w:pPr>
  </w:p>
  <w:p w:rsidR="00087E2C" w:rsidRPr="00A76EF5" w:rsidRDefault="00087E2C" w:rsidP="00527E73">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B48015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05B54AA"/>
    <w:multiLevelType w:val="hybridMultilevel"/>
    <w:tmpl w:val="95D8E28A"/>
    <w:lvl w:ilvl="0" w:tplc="F24E37B8">
      <w:start w:val="1"/>
      <w:numFmt w:val="decimal"/>
      <w:lvlText w:val="%1、"/>
      <w:lvlJc w:val="left"/>
      <w:pPr>
        <w:ind w:left="1892" w:hanging="720"/>
      </w:pPr>
      <w:rPr>
        <w:rFonts w:ascii="Times New Roman" w:hAnsi="Times New Roman" w:hint="default"/>
        <w:b w:val="0"/>
        <w:i w:val="0"/>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08223DF"/>
    <w:multiLevelType w:val="hybridMultilevel"/>
    <w:tmpl w:val="C492A912"/>
    <w:lvl w:ilvl="0" w:tplc="0F0462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35C1A4D"/>
    <w:multiLevelType w:val="hybridMultilevel"/>
    <w:tmpl w:val="54F80464"/>
    <w:lvl w:ilvl="0" w:tplc="892CC06E">
      <w:start w:val="1"/>
      <w:numFmt w:val="taiwaneseCountingThousand"/>
      <w:lvlText w:val="(%1)"/>
      <w:lvlJc w:val="left"/>
      <w:pPr>
        <w:ind w:left="1530" w:hanging="792"/>
      </w:pPr>
      <w:rPr>
        <w:rFonts w:hint="default"/>
      </w:rPr>
    </w:lvl>
    <w:lvl w:ilvl="1" w:tplc="04090019" w:tentative="1">
      <w:start w:val="1"/>
      <w:numFmt w:val="ideographTraditional"/>
      <w:lvlText w:val="%2、"/>
      <w:lvlJc w:val="left"/>
      <w:pPr>
        <w:ind w:left="1698" w:hanging="480"/>
      </w:pPr>
    </w:lvl>
    <w:lvl w:ilvl="2" w:tplc="0409001B" w:tentative="1">
      <w:start w:val="1"/>
      <w:numFmt w:val="lowerRoman"/>
      <w:lvlText w:val="%3."/>
      <w:lvlJc w:val="right"/>
      <w:pPr>
        <w:ind w:left="2178" w:hanging="480"/>
      </w:pPr>
    </w:lvl>
    <w:lvl w:ilvl="3" w:tplc="0409000F" w:tentative="1">
      <w:start w:val="1"/>
      <w:numFmt w:val="decimal"/>
      <w:lvlText w:val="%4."/>
      <w:lvlJc w:val="left"/>
      <w:pPr>
        <w:ind w:left="2658" w:hanging="480"/>
      </w:pPr>
    </w:lvl>
    <w:lvl w:ilvl="4" w:tplc="04090019" w:tentative="1">
      <w:start w:val="1"/>
      <w:numFmt w:val="ideographTraditional"/>
      <w:lvlText w:val="%5、"/>
      <w:lvlJc w:val="left"/>
      <w:pPr>
        <w:ind w:left="3138" w:hanging="480"/>
      </w:pPr>
    </w:lvl>
    <w:lvl w:ilvl="5" w:tplc="0409001B" w:tentative="1">
      <w:start w:val="1"/>
      <w:numFmt w:val="lowerRoman"/>
      <w:lvlText w:val="%6."/>
      <w:lvlJc w:val="right"/>
      <w:pPr>
        <w:ind w:left="3618" w:hanging="480"/>
      </w:pPr>
    </w:lvl>
    <w:lvl w:ilvl="6" w:tplc="0409000F" w:tentative="1">
      <w:start w:val="1"/>
      <w:numFmt w:val="decimal"/>
      <w:lvlText w:val="%7."/>
      <w:lvlJc w:val="left"/>
      <w:pPr>
        <w:ind w:left="4098" w:hanging="480"/>
      </w:pPr>
    </w:lvl>
    <w:lvl w:ilvl="7" w:tplc="04090019" w:tentative="1">
      <w:start w:val="1"/>
      <w:numFmt w:val="ideographTraditional"/>
      <w:lvlText w:val="%8、"/>
      <w:lvlJc w:val="left"/>
      <w:pPr>
        <w:ind w:left="4578" w:hanging="480"/>
      </w:pPr>
    </w:lvl>
    <w:lvl w:ilvl="8" w:tplc="0409001B" w:tentative="1">
      <w:start w:val="1"/>
      <w:numFmt w:val="lowerRoman"/>
      <w:lvlText w:val="%9."/>
      <w:lvlJc w:val="right"/>
      <w:pPr>
        <w:ind w:left="5058" w:hanging="480"/>
      </w:pPr>
    </w:lvl>
  </w:abstractNum>
  <w:abstractNum w:abstractNumId="4">
    <w:nsid w:val="0B305A87"/>
    <w:multiLevelType w:val="hybridMultilevel"/>
    <w:tmpl w:val="2EB67CD2"/>
    <w:lvl w:ilvl="0" w:tplc="98FA2CF2">
      <w:start w:val="1"/>
      <w:numFmt w:val="upperRoman"/>
      <w:lvlText w:val="%1."/>
      <w:lvlJc w:val="left"/>
      <w:pPr>
        <w:tabs>
          <w:tab w:val="num" w:pos="480"/>
        </w:tabs>
        <w:ind w:left="480" w:hanging="480"/>
      </w:pPr>
      <w:rPr>
        <w:rFonts w:cs="Times New Roman" w:hint="eastAsia"/>
      </w:rPr>
    </w:lvl>
    <w:lvl w:ilvl="1" w:tplc="8AE84C88">
      <w:start w:val="1"/>
      <w:numFmt w:val="decimal"/>
      <w:lvlText w:val="%2."/>
      <w:lvlJc w:val="left"/>
      <w:pPr>
        <w:tabs>
          <w:tab w:val="num" w:pos="840"/>
        </w:tabs>
        <w:ind w:left="840" w:hanging="36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0BB67B8F"/>
    <w:multiLevelType w:val="hybridMultilevel"/>
    <w:tmpl w:val="8F52CADC"/>
    <w:lvl w:ilvl="0" w:tplc="F2B0F786">
      <w:start w:val="1"/>
      <w:numFmt w:val="decimal"/>
      <w:lvlText w:val="(%1)"/>
      <w:lvlJc w:val="left"/>
      <w:pPr>
        <w:ind w:left="1512" w:hanging="960"/>
      </w:pPr>
      <w:rPr>
        <w:rFonts w:hint="default"/>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6">
    <w:nsid w:val="0C5006BA"/>
    <w:multiLevelType w:val="hybridMultilevel"/>
    <w:tmpl w:val="028026DE"/>
    <w:lvl w:ilvl="0" w:tplc="F3EE8AC4">
      <w:start w:val="1"/>
      <w:numFmt w:val="taiwaneseCountingThousand"/>
      <w:pStyle w:val="2"/>
      <w:suff w:val="nothing"/>
      <w:lvlText w:val="(%1)"/>
      <w:lvlJc w:val="left"/>
      <w:pPr>
        <w:ind w:left="1437" w:hanging="1080"/>
      </w:pPr>
      <w:rPr>
        <w:rFonts w:ascii="標楷體" w:eastAsia="標楷體" w:hAnsi="標楷體" w:hint="eastAsia"/>
        <w:color w:val="auto"/>
        <w:u w:val="none"/>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7">
    <w:nsid w:val="111B63F8"/>
    <w:multiLevelType w:val="hybridMultilevel"/>
    <w:tmpl w:val="EDC43B7E"/>
    <w:lvl w:ilvl="0" w:tplc="F65CCD78">
      <w:start w:val="1"/>
      <w:numFmt w:val="decimal"/>
      <w:lvlText w:val="%1、"/>
      <w:lvlJc w:val="left"/>
      <w:pPr>
        <w:ind w:left="1892" w:hanging="720"/>
      </w:pPr>
      <w:rPr>
        <w:rFonts w:ascii="Times New Roman" w:hAnsi="Times New Roman" w:hint="default"/>
        <w:b w:val="0"/>
        <w:i w:val="0"/>
        <w:color w:val="auto"/>
        <w:sz w:val="32"/>
      </w:rPr>
    </w:lvl>
    <w:lvl w:ilvl="1" w:tplc="63AC1ED0">
      <w:start w:val="1"/>
      <w:numFmt w:val="taiwaneseCountingThousand"/>
      <w:lvlText w:val="(%2)"/>
      <w:lvlJc w:val="left"/>
      <w:pPr>
        <w:ind w:left="2372" w:hanging="720"/>
      </w:pPr>
      <w:rPr>
        <w:rFonts w:hint="default"/>
      </w:rPr>
    </w:lvl>
    <w:lvl w:ilvl="2" w:tplc="0409001B">
      <w:start w:val="1"/>
      <w:numFmt w:val="lowerRoman"/>
      <w:lvlText w:val="%3."/>
      <w:lvlJc w:val="right"/>
      <w:pPr>
        <w:ind w:left="2612" w:hanging="480"/>
      </w:pPr>
    </w:lvl>
    <w:lvl w:ilvl="3" w:tplc="0409000F">
      <w:start w:val="1"/>
      <w:numFmt w:val="decimal"/>
      <w:lvlText w:val="%4."/>
      <w:lvlJc w:val="left"/>
      <w:pPr>
        <w:ind w:left="3092" w:hanging="480"/>
      </w:pPr>
    </w:lvl>
    <w:lvl w:ilvl="4" w:tplc="04090019" w:tentative="1">
      <w:start w:val="1"/>
      <w:numFmt w:val="ideographTraditional"/>
      <w:lvlText w:val="%5、"/>
      <w:lvlJc w:val="left"/>
      <w:pPr>
        <w:ind w:left="3572" w:hanging="480"/>
      </w:pPr>
    </w:lvl>
    <w:lvl w:ilvl="5" w:tplc="0409001B" w:tentative="1">
      <w:start w:val="1"/>
      <w:numFmt w:val="lowerRoman"/>
      <w:lvlText w:val="%6."/>
      <w:lvlJc w:val="right"/>
      <w:pPr>
        <w:ind w:left="4052" w:hanging="480"/>
      </w:pPr>
    </w:lvl>
    <w:lvl w:ilvl="6" w:tplc="0409000F" w:tentative="1">
      <w:start w:val="1"/>
      <w:numFmt w:val="decimal"/>
      <w:lvlText w:val="%7."/>
      <w:lvlJc w:val="left"/>
      <w:pPr>
        <w:ind w:left="4532" w:hanging="480"/>
      </w:pPr>
    </w:lvl>
    <w:lvl w:ilvl="7" w:tplc="04090019" w:tentative="1">
      <w:start w:val="1"/>
      <w:numFmt w:val="ideographTraditional"/>
      <w:lvlText w:val="%8、"/>
      <w:lvlJc w:val="left"/>
      <w:pPr>
        <w:ind w:left="5012" w:hanging="480"/>
      </w:pPr>
    </w:lvl>
    <w:lvl w:ilvl="8" w:tplc="0409001B" w:tentative="1">
      <w:start w:val="1"/>
      <w:numFmt w:val="lowerRoman"/>
      <w:lvlText w:val="%9."/>
      <w:lvlJc w:val="right"/>
      <w:pPr>
        <w:ind w:left="5492" w:hanging="480"/>
      </w:pPr>
    </w:lvl>
  </w:abstractNum>
  <w:abstractNum w:abstractNumId="8">
    <w:nsid w:val="18496F15"/>
    <w:multiLevelType w:val="hybridMultilevel"/>
    <w:tmpl w:val="32AA09EE"/>
    <w:lvl w:ilvl="0" w:tplc="4E88451E">
      <w:start w:val="1"/>
      <w:numFmt w:val="taiwaneseCountingThousand"/>
      <w:suff w:val="nothing"/>
      <w:lvlText w:val="(%1)"/>
      <w:lvlJc w:val="left"/>
      <w:pPr>
        <w:ind w:left="764" w:hanging="480"/>
      </w:pPr>
      <w:rPr>
        <w:rFonts w:ascii="Times New Roman" w:eastAsia="標楷體" w:hAnsi="Times New Roman" w:cs="Times New Roman" w:hint="default"/>
        <w:color w:val="auto"/>
        <w:u w:val="none"/>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9">
    <w:nsid w:val="1AED194C"/>
    <w:multiLevelType w:val="hybridMultilevel"/>
    <w:tmpl w:val="744054DC"/>
    <w:lvl w:ilvl="0" w:tplc="E068B746">
      <w:start w:val="1"/>
      <w:numFmt w:val="taiwaneseCountingThousand"/>
      <w:suff w:val="nothing"/>
      <w:lvlText w:val="第%1案："/>
      <w:lvlJc w:val="left"/>
      <w:pPr>
        <w:ind w:left="480" w:hanging="480"/>
      </w:pPr>
      <w:rPr>
        <w:rFonts w:eastAsia="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FE428C4"/>
    <w:multiLevelType w:val="hybridMultilevel"/>
    <w:tmpl w:val="5918866A"/>
    <w:lvl w:ilvl="0" w:tplc="0F04625E">
      <w:start w:val="1"/>
      <w:numFmt w:val="decimal"/>
      <w:lvlText w:val="(%1)"/>
      <w:lvlJc w:val="left"/>
      <w:pPr>
        <w:ind w:left="1032" w:hanging="480"/>
      </w:pPr>
      <w:rPr>
        <w:rFonts w:hint="eastAsia"/>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11">
    <w:nsid w:val="213B019E"/>
    <w:multiLevelType w:val="hybridMultilevel"/>
    <w:tmpl w:val="28C09B6C"/>
    <w:lvl w:ilvl="0" w:tplc="35880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770268D"/>
    <w:multiLevelType w:val="hybridMultilevel"/>
    <w:tmpl w:val="0BC024F0"/>
    <w:lvl w:ilvl="0" w:tplc="2CEA67F2">
      <w:start w:val="1"/>
      <w:numFmt w:val="taiwaneseCountingThousand"/>
      <w:suff w:val="nothing"/>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nsid w:val="28F91C37"/>
    <w:multiLevelType w:val="hybridMultilevel"/>
    <w:tmpl w:val="4E4AEE38"/>
    <w:lvl w:ilvl="0" w:tplc="F65CCD78">
      <w:start w:val="1"/>
      <w:numFmt w:val="decimal"/>
      <w:lvlText w:val="%1、"/>
      <w:lvlJc w:val="left"/>
      <w:pPr>
        <w:ind w:left="720" w:hanging="720"/>
      </w:pPr>
      <w:rPr>
        <w:rFonts w:ascii="Times New Roman" w:hAnsi="Times New Roman" w:hint="default"/>
        <w:b w:val="0"/>
        <w:i w:val="0"/>
        <w:color w:val="auto"/>
        <w:sz w:val="32"/>
      </w:rPr>
    </w:lvl>
    <w:lvl w:ilvl="1" w:tplc="A52AE860">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CA2740B"/>
    <w:multiLevelType w:val="hybridMultilevel"/>
    <w:tmpl w:val="87009B4E"/>
    <w:lvl w:ilvl="0" w:tplc="0F04625E">
      <w:start w:val="1"/>
      <w:numFmt w:val="decimal"/>
      <w:lvlText w:val="(%1)"/>
      <w:lvlJc w:val="left"/>
      <w:pPr>
        <w:ind w:left="480" w:hanging="480"/>
      </w:pPr>
      <w:rPr>
        <w:rFonts w:hint="eastAsia"/>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DE276D2"/>
    <w:multiLevelType w:val="hybridMultilevel"/>
    <w:tmpl w:val="26B42DFE"/>
    <w:lvl w:ilvl="0" w:tplc="44AE17F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2424502"/>
    <w:multiLevelType w:val="hybridMultilevel"/>
    <w:tmpl w:val="1E46E38A"/>
    <w:lvl w:ilvl="0" w:tplc="A342A874">
      <w:start w:val="1"/>
      <w:numFmt w:val="decimalFullWidth"/>
      <w:pStyle w:val="1"/>
      <w:suff w:val="nothing"/>
      <w:lvlText w:val="%1、"/>
      <w:lvlJc w:val="left"/>
      <w:pPr>
        <w:ind w:left="1935" w:hanging="480"/>
      </w:pPr>
      <w:rPr>
        <w:rFonts w:hint="eastAsia"/>
        <w:b w:val="0"/>
        <w:lang w:val="en-US"/>
      </w:rPr>
    </w:lvl>
    <w:lvl w:ilvl="1" w:tplc="04090019" w:tentative="1">
      <w:start w:val="1"/>
      <w:numFmt w:val="ideographTraditional"/>
      <w:lvlText w:val="%2、"/>
      <w:lvlJc w:val="left"/>
      <w:pPr>
        <w:ind w:left="2415" w:hanging="480"/>
      </w:pPr>
    </w:lvl>
    <w:lvl w:ilvl="2" w:tplc="0409001B" w:tentative="1">
      <w:start w:val="1"/>
      <w:numFmt w:val="lowerRoman"/>
      <w:lvlText w:val="%3."/>
      <w:lvlJc w:val="right"/>
      <w:pPr>
        <w:ind w:left="2895" w:hanging="480"/>
      </w:pPr>
    </w:lvl>
    <w:lvl w:ilvl="3" w:tplc="0409000F" w:tentative="1">
      <w:start w:val="1"/>
      <w:numFmt w:val="decimal"/>
      <w:lvlText w:val="%4."/>
      <w:lvlJc w:val="left"/>
      <w:pPr>
        <w:ind w:left="3375" w:hanging="480"/>
      </w:pPr>
    </w:lvl>
    <w:lvl w:ilvl="4" w:tplc="04090019" w:tentative="1">
      <w:start w:val="1"/>
      <w:numFmt w:val="ideographTraditional"/>
      <w:lvlText w:val="%5、"/>
      <w:lvlJc w:val="left"/>
      <w:pPr>
        <w:ind w:left="3855" w:hanging="480"/>
      </w:pPr>
    </w:lvl>
    <w:lvl w:ilvl="5" w:tplc="0409001B" w:tentative="1">
      <w:start w:val="1"/>
      <w:numFmt w:val="lowerRoman"/>
      <w:lvlText w:val="%6."/>
      <w:lvlJc w:val="right"/>
      <w:pPr>
        <w:ind w:left="4335" w:hanging="480"/>
      </w:pPr>
    </w:lvl>
    <w:lvl w:ilvl="6" w:tplc="0409000F" w:tentative="1">
      <w:start w:val="1"/>
      <w:numFmt w:val="decimal"/>
      <w:lvlText w:val="%7."/>
      <w:lvlJc w:val="left"/>
      <w:pPr>
        <w:ind w:left="4815" w:hanging="480"/>
      </w:pPr>
    </w:lvl>
    <w:lvl w:ilvl="7" w:tplc="04090019" w:tentative="1">
      <w:start w:val="1"/>
      <w:numFmt w:val="ideographTraditional"/>
      <w:lvlText w:val="%8、"/>
      <w:lvlJc w:val="left"/>
      <w:pPr>
        <w:ind w:left="5295" w:hanging="480"/>
      </w:pPr>
    </w:lvl>
    <w:lvl w:ilvl="8" w:tplc="0409001B" w:tentative="1">
      <w:start w:val="1"/>
      <w:numFmt w:val="lowerRoman"/>
      <w:lvlText w:val="%9."/>
      <w:lvlJc w:val="right"/>
      <w:pPr>
        <w:ind w:left="5775" w:hanging="480"/>
      </w:pPr>
    </w:lvl>
  </w:abstractNum>
  <w:abstractNum w:abstractNumId="17">
    <w:nsid w:val="33410228"/>
    <w:multiLevelType w:val="hybridMultilevel"/>
    <w:tmpl w:val="C3204798"/>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36D67DCF"/>
    <w:multiLevelType w:val="hybridMultilevel"/>
    <w:tmpl w:val="6AAA8B5C"/>
    <w:lvl w:ilvl="0" w:tplc="1BBAF7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8846A57"/>
    <w:multiLevelType w:val="hybridMultilevel"/>
    <w:tmpl w:val="3096582A"/>
    <w:lvl w:ilvl="0" w:tplc="81980898">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A157B6A"/>
    <w:multiLevelType w:val="hybridMultilevel"/>
    <w:tmpl w:val="01CEB48A"/>
    <w:lvl w:ilvl="0" w:tplc="F65CCD78">
      <w:start w:val="1"/>
      <w:numFmt w:val="decimal"/>
      <w:lvlText w:val="%1、"/>
      <w:lvlJc w:val="left"/>
      <w:pPr>
        <w:ind w:left="720" w:hanging="720"/>
      </w:pPr>
      <w:rPr>
        <w:rFonts w:ascii="Times New Roman" w:hAnsi="Times New Roman" w:hint="default"/>
        <w:b w:val="0"/>
        <w:i w:val="0"/>
        <w:color w:val="auto"/>
        <w:sz w:val="32"/>
      </w:rPr>
    </w:lvl>
    <w:lvl w:ilvl="1" w:tplc="63AC1ED0">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A551B55"/>
    <w:multiLevelType w:val="hybridMultilevel"/>
    <w:tmpl w:val="74927AC0"/>
    <w:lvl w:ilvl="0" w:tplc="04090011">
      <w:start w:val="1"/>
      <w:numFmt w:val="upperLetter"/>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E3F31D5"/>
    <w:multiLevelType w:val="hybridMultilevel"/>
    <w:tmpl w:val="E102AD5E"/>
    <w:lvl w:ilvl="0" w:tplc="5552934E">
      <w:start w:val="1"/>
      <w:numFmt w:val="decimal"/>
      <w:lvlText w:val="%1、"/>
      <w:lvlJc w:val="left"/>
      <w:pPr>
        <w:ind w:left="1892" w:hanging="720"/>
      </w:pPr>
      <w:rPr>
        <w:rFonts w:ascii="Times New Roman" w:hAnsi="Times New Roman" w:hint="default"/>
        <w:b w:val="0"/>
        <w:i w:val="0"/>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EE47233"/>
    <w:multiLevelType w:val="hybridMultilevel"/>
    <w:tmpl w:val="DBBC5CE6"/>
    <w:lvl w:ilvl="0" w:tplc="5978A4B6">
      <w:start w:val="1"/>
      <w:numFmt w:val="taiwaneseCountingThousand"/>
      <w:lvlText w:val="(%1)"/>
      <w:lvlJc w:val="left"/>
      <w:pPr>
        <w:ind w:left="189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EEB11A3"/>
    <w:multiLevelType w:val="hybridMultilevel"/>
    <w:tmpl w:val="D2441938"/>
    <w:lvl w:ilvl="0" w:tplc="15DCE4F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FF96370"/>
    <w:multiLevelType w:val="hybridMultilevel"/>
    <w:tmpl w:val="C4AC9966"/>
    <w:lvl w:ilvl="0" w:tplc="11B46D98">
      <w:start w:val="1"/>
      <w:numFmt w:val="taiwaneseCountingThousand"/>
      <w:suff w:val="nothing"/>
      <w:lvlText w:val="第%1案："/>
      <w:lvlJc w:val="left"/>
      <w:pPr>
        <w:ind w:left="1615"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1034545"/>
    <w:multiLevelType w:val="hybridMultilevel"/>
    <w:tmpl w:val="87009B4E"/>
    <w:lvl w:ilvl="0" w:tplc="0F04625E">
      <w:start w:val="1"/>
      <w:numFmt w:val="decimal"/>
      <w:lvlText w:val="(%1)"/>
      <w:lvlJc w:val="left"/>
      <w:pPr>
        <w:ind w:left="480" w:hanging="480"/>
      </w:pPr>
      <w:rPr>
        <w:rFonts w:hint="eastAsia"/>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BFE0CE6"/>
    <w:multiLevelType w:val="hybridMultilevel"/>
    <w:tmpl w:val="55146648"/>
    <w:lvl w:ilvl="0" w:tplc="33CC672A">
      <w:start w:val="1"/>
      <w:numFmt w:val="taiwaneseCountingThousand"/>
      <w:pStyle w:val="10"/>
      <w:suff w:val="nothing"/>
      <w:lvlText w:val="%1、"/>
      <w:lvlJc w:val="left"/>
      <w:pPr>
        <w:ind w:left="1077" w:hanging="72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28">
    <w:nsid w:val="4C0B7C94"/>
    <w:multiLevelType w:val="hybridMultilevel"/>
    <w:tmpl w:val="291A2BE8"/>
    <w:lvl w:ilvl="0" w:tplc="FFFFFFFF">
      <w:start w:val="1"/>
      <w:numFmt w:val="taiwaneseCountingThousand"/>
      <w:lvlText w:val="%1、"/>
      <w:lvlJc w:val="left"/>
      <w:pPr>
        <w:tabs>
          <w:tab w:val="num" w:pos="480"/>
        </w:tabs>
        <w:ind w:left="480" w:hanging="480"/>
      </w:pPr>
    </w:lvl>
    <w:lvl w:ilvl="1" w:tplc="FFFFFFFF">
      <w:start w:val="1"/>
      <w:numFmt w:val="taiwaneseCountingThousand"/>
      <w:pStyle w:val="20"/>
      <w:lvlText w:val="（%2）"/>
      <w:lvlJc w:val="left"/>
      <w:pPr>
        <w:tabs>
          <w:tab w:val="num" w:pos="1335"/>
        </w:tabs>
        <w:ind w:left="1335" w:hanging="855"/>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9">
    <w:nsid w:val="4F8450A6"/>
    <w:multiLevelType w:val="hybridMultilevel"/>
    <w:tmpl w:val="7202262E"/>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52B950A1"/>
    <w:multiLevelType w:val="hybridMultilevel"/>
    <w:tmpl w:val="87009B4E"/>
    <w:lvl w:ilvl="0" w:tplc="0F04625E">
      <w:start w:val="1"/>
      <w:numFmt w:val="decimal"/>
      <w:lvlText w:val="(%1)"/>
      <w:lvlJc w:val="left"/>
      <w:pPr>
        <w:ind w:left="480" w:hanging="480"/>
      </w:pPr>
      <w:rPr>
        <w:rFonts w:hint="eastAsia"/>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3373AAB"/>
    <w:multiLevelType w:val="hybridMultilevel"/>
    <w:tmpl w:val="4B3252A6"/>
    <w:lvl w:ilvl="0" w:tplc="B2B0A792">
      <w:start w:val="1"/>
      <w:numFmt w:val="taiwaneseCountingThousand"/>
      <w:lvlText w:val="%1、"/>
      <w:lvlJc w:val="left"/>
      <w:pPr>
        <w:ind w:left="721" w:hanging="720"/>
      </w:pPr>
      <w:rPr>
        <w:rFonts w:hint="default"/>
      </w:rPr>
    </w:lvl>
    <w:lvl w:ilvl="1" w:tplc="20408084">
      <w:start w:val="1"/>
      <w:numFmt w:val="taiwaneseCountingThousand"/>
      <w:lvlText w:val="(%2)"/>
      <w:lvlJc w:val="left"/>
      <w:pPr>
        <w:ind w:left="1201" w:hanging="720"/>
      </w:pPr>
      <w:rPr>
        <w:rFonts w:ascii="Book Antiqua" w:hint="default"/>
      </w:r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32">
    <w:nsid w:val="53966627"/>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6A41DEA"/>
    <w:multiLevelType w:val="hybridMultilevel"/>
    <w:tmpl w:val="9192FB2C"/>
    <w:lvl w:ilvl="0" w:tplc="04090011">
      <w:start w:val="1"/>
      <w:numFmt w:val="upperLetter"/>
      <w:lvlText w:val="%1."/>
      <w:lvlJc w:val="left"/>
      <w:pPr>
        <w:ind w:left="480" w:hanging="480"/>
      </w:p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7A8054E"/>
    <w:multiLevelType w:val="hybridMultilevel"/>
    <w:tmpl w:val="C48485EA"/>
    <w:lvl w:ilvl="0" w:tplc="E2D4996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D913DD6"/>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E7B5365"/>
    <w:multiLevelType w:val="hybridMultilevel"/>
    <w:tmpl w:val="26FE4618"/>
    <w:lvl w:ilvl="0" w:tplc="35067700">
      <w:start w:val="1"/>
      <w:numFmt w:val="decimal"/>
      <w:lvlText w:val="%1、"/>
      <w:lvlJc w:val="left"/>
      <w:pPr>
        <w:ind w:left="1892" w:hanging="720"/>
      </w:pPr>
      <w:rPr>
        <w:rFonts w:ascii="Times New Roman" w:hAnsi="Times New Roman" w:hint="default"/>
        <w:b w:val="0"/>
        <w:i w:val="0"/>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7AE572F"/>
    <w:multiLevelType w:val="hybridMultilevel"/>
    <w:tmpl w:val="5C30FB16"/>
    <w:lvl w:ilvl="0" w:tplc="FF0C0EA2">
      <w:start w:val="1"/>
      <w:numFmt w:val="taiwaneseCountingThousand"/>
      <w:lvlText w:val="%1、"/>
      <w:lvlJc w:val="left"/>
      <w:pPr>
        <w:tabs>
          <w:tab w:val="num" w:pos="1100"/>
        </w:tabs>
        <w:ind w:left="1100" w:hanging="720"/>
      </w:pPr>
      <w:rPr>
        <w:rFonts w:hint="eastAsia"/>
        <w:lang w:val="en-US"/>
      </w:rPr>
    </w:lvl>
    <w:lvl w:ilvl="1" w:tplc="04090019" w:tentative="1">
      <w:start w:val="1"/>
      <w:numFmt w:val="ideographTraditional"/>
      <w:lvlText w:val="%2、"/>
      <w:lvlJc w:val="left"/>
      <w:pPr>
        <w:tabs>
          <w:tab w:val="num" w:pos="1340"/>
        </w:tabs>
        <w:ind w:left="1340" w:hanging="480"/>
      </w:pPr>
    </w:lvl>
    <w:lvl w:ilvl="2" w:tplc="0409001B" w:tentative="1">
      <w:start w:val="1"/>
      <w:numFmt w:val="lowerRoman"/>
      <w:lvlText w:val="%3."/>
      <w:lvlJc w:val="right"/>
      <w:pPr>
        <w:tabs>
          <w:tab w:val="num" w:pos="1820"/>
        </w:tabs>
        <w:ind w:left="1820" w:hanging="480"/>
      </w:pPr>
    </w:lvl>
    <w:lvl w:ilvl="3" w:tplc="0409000F" w:tentative="1">
      <w:start w:val="1"/>
      <w:numFmt w:val="decimal"/>
      <w:lvlText w:val="%4."/>
      <w:lvlJc w:val="left"/>
      <w:pPr>
        <w:tabs>
          <w:tab w:val="num" w:pos="2300"/>
        </w:tabs>
        <w:ind w:left="2300" w:hanging="480"/>
      </w:pPr>
    </w:lvl>
    <w:lvl w:ilvl="4" w:tplc="04090019" w:tentative="1">
      <w:start w:val="1"/>
      <w:numFmt w:val="ideographTraditional"/>
      <w:lvlText w:val="%5、"/>
      <w:lvlJc w:val="left"/>
      <w:pPr>
        <w:tabs>
          <w:tab w:val="num" w:pos="2780"/>
        </w:tabs>
        <w:ind w:left="2780" w:hanging="480"/>
      </w:pPr>
    </w:lvl>
    <w:lvl w:ilvl="5" w:tplc="0409001B" w:tentative="1">
      <w:start w:val="1"/>
      <w:numFmt w:val="lowerRoman"/>
      <w:lvlText w:val="%6."/>
      <w:lvlJc w:val="right"/>
      <w:pPr>
        <w:tabs>
          <w:tab w:val="num" w:pos="3260"/>
        </w:tabs>
        <w:ind w:left="3260" w:hanging="480"/>
      </w:pPr>
    </w:lvl>
    <w:lvl w:ilvl="6" w:tplc="0409000F" w:tentative="1">
      <w:start w:val="1"/>
      <w:numFmt w:val="decimal"/>
      <w:lvlText w:val="%7."/>
      <w:lvlJc w:val="left"/>
      <w:pPr>
        <w:tabs>
          <w:tab w:val="num" w:pos="3740"/>
        </w:tabs>
        <w:ind w:left="3740" w:hanging="480"/>
      </w:pPr>
    </w:lvl>
    <w:lvl w:ilvl="7" w:tplc="04090019" w:tentative="1">
      <w:start w:val="1"/>
      <w:numFmt w:val="ideographTraditional"/>
      <w:lvlText w:val="%8、"/>
      <w:lvlJc w:val="left"/>
      <w:pPr>
        <w:tabs>
          <w:tab w:val="num" w:pos="4220"/>
        </w:tabs>
        <w:ind w:left="4220" w:hanging="480"/>
      </w:pPr>
    </w:lvl>
    <w:lvl w:ilvl="8" w:tplc="0409001B" w:tentative="1">
      <w:start w:val="1"/>
      <w:numFmt w:val="lowerRoman"/>
      <w:lvlText w:val="%9."/>
      <w:lvlJc w:val="right"/>
      <w:pPr>
        <w:tabs>
          <w:tab w:val="num" w:pos="4700"/>
        </w:tabs>
        <w:ind w:left="4700" w:hanging="480"/>
      </w:pPr>
    </w:lvl>
  </w:abstractNum>
  <w:abstractNum w:abstractNumId="38">
    <w:nsid w:val="706E0043"/>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5C27277"/>
    <w:multiLevelType w:val="hybridMultilevel"/>
    <w:tmpl w:val="26B42DFE"/>
    <w:lvl w:ilvl="0" w:tplc="44AE17F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81A3E47"/>
    <w:multiLevelType w:val="hybridMultilevel"/>
    <w:tmpl w:val="64663490"/>
    <w:lvl w:ilvl="0" w:tplc="33E8C0C6">
      <w:start w:val="1"/>
      <w:numFmt w:val="taiwaneseCountingThousand"/>
      <w:pStyle w:val="a0"/>
      <w:lvlText w:val="%1、"/>
      <w:lvlJc w:val="left"/>
      <w:pPr>
        <w:ind w:left="481" w:hanging="480"/>
      </w:pPr>
      <w:rPr>
        <w:rFonts w:hint="eastAsia"/>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41">
    <w:nsid w:val="79C72983"/>
    <w:multiLevelType w:val="hybridMultilevel"/>
    <w:tmpl w:val="11A8D7A0"/>
    <w:lvl w:ilvl="0" w:tplc="5D0ACDF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2">
    <w:nsid w:val="7C5D6254"/>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CFD383F"/>
    <w:multiLevelType w:val="hybridMultilevel"/>
    <w:tmpl w:val="2E12D696"/>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5"/>
  </w:num>
  <w:num w:numId="2">
    <w:abstractNumId w:val="9"/>
  </w:num>
  <w:num w:numId="3">
    <w:abstractNumId w:val="28"/>
  </w:num>
  <w:num w:numId="4">
    <w:abstractNumId w:val="38"/>
  </w:num>
  <w:num w:numId="5">
    <w:abstractNumId w:val="27"/>
  </w:num>
  <w:num w:numId="6">
    <w:abstractNumId w:val="6"/>
  </w:num>
  <w:num w:numId="7">
    <w:abstractNumId w:val="20"/>
  </w:num>
  <w:num w:numId="8">
    <w:abstractNumId w:val="7"/>
  </w:num>
  <w:num w:numId="9">
    <w:abstractNumId w:val="13"/>
  </w:num>
  <w:num w:numId="10">
    <w:abstractNumId w:val="23"/>
  </w:num>
  <w:num w:numId="11">
    <w:abstractNumId w:val="16"/>
  </w:num>
  <w:num w:numId="12">
    <w:abstractNumId w:val="12"/>
  </w:num>
  <w:num w:numId="13">
    <w:abstractNumId w:val="8"/>
  </w:num>
  <w:num w:numId="14">
    <w:abstractNumId w:val="22"/>
  </w:num>
  <w:num w:numId="15">
    <w:abstractNumId w:val="36"/>
  </w:num>
  <w:num w:numId="16">
    <w:abstractNumId w:val="1"/>
  </w:num>
  <w:num w:numId="17">
    <w:abstractNumId w:val="18"/>
  </w:num>
  <w:num w:numId="18">
    <w:abstractNumId w:val="40"/>
  </w:num>
  <w:num w:numId="19">
    <w:abstractNumId w:val="31"/>
  </w:num>
  <w:num w:numId="20">
    <w:abstractNumId w:val="40"/>
  </w:num>
  <w:num w:numId="21">
    <w:abstractNumId w:val="40"/>
  </w:num>
  <w:num w:numId="22">
    <w:abstractNumId w:val="40"/>
  </w:num>
  <w:num w:numId="23">
    <w:abstractNumId w:val="41"/>
  </w:num>
  <w:num w:numId="24">
    <w:abstractNumId w:val="40"/>
  </w:num>
  <w:num w:numId="25">
    <w:abstractNumId w:val="40"/>
  </w:num>
  <w:num w:numId="26">
    <w:abstractNumId w:val="24"/>
  </w:num>
  <w:num w:numId="27">
    <w:abstractNumId w:val="34"/>
  </w:num>
  <w:num w:numId="28">
    <w:abstractNumId w:val="4"/>
  </w:num>
  <w:num w:numId="29">
    <w:abstractNumId w:val="39"/>
  </w:num>
  <w:num w:numId="30">
    <w:abstractNumId w:val="35"/>
  </w:num>
  <w:num w:numId="31">
    <w:abstractNumId w:val="37"/>
  </w:num>
  <w:num w:numId="32">
    <w:abstractNumId w:val="3"/>
  </w:num>
  <w:num w:numId="33">
    <w:abstractNumId w:val="10"/>
  </w:num>
  <w:num w:numId="34">
    <w:abstractNumId w:val="5"/>
  </w:num>
  <w:num w:numId="35">
    <w:abstractNumId w:val="32"/>
  </w:num>
  <w:num w:numId="36">
    <w:abstractNumId w:val="19"/>
  </w:num>
  <w:num w:numId="37">
    <w:abstractNumId w:val="42"/>
  </w:num>
  <w:num w:numId="38">
    <w:abstractNumId w:val="2"/>
  </w:num>
  <w:num w:numId="39">
    <w:abstractNumId w:val="11"/>
  </w:num>
  <w:num w:numId="40">
    <w:abstractNumId w:val="30"/>
  </w:num>
  <w:num w:numId="41">
    <w:abstractNumId w:val="26"/>
  </w:num>
  <w:num w:numId="42">
    <w:abstractNumId w:val="14"/>
  </w:num>
  <w:num w:numId="43">
    <w:abstractNumId w:val="15"/>
  </w:num>
  <w:num w:numId="44">
    <w:abstractNumId w:val="0"/>
  </w:num>
  <w:num w:numId="45">
    <w:abstractNumId w:val="21"/>
  </w:num>
  <w:num w:numId="46">
    <w:abstractNumId w:val="33"/>
  </w:num>
  <w:num w:numId="47">
    <w:abstractNumId w:val="29"/>
  </w:num>
  <w:num w:numId="48">
    <w:abstractNumId w:val="43"/>
  </w:num>
  <w:num w:numId="4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360"/>
  <w:doNotHyphenateCaps/>
  <w:drawingGridHorizontalSpacing w:val="91"/>
  <w:drawingGridVerticalSpacing w:val="186"/>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74.26 pt,3.4 pt"/>
    <w:docVar w:name="AutoMarginAdjustment3" w:val="68.04 pt,-2.82 pt"/>
    <w:docVar w:name="CharSpaceMode" w:val="0"/>
    <w:docVar w:name="HeaderDateTimeMode" w:val="0"/>
    <w:docVar w:name="HeaderDateTimeOpt" w:val="0"/>
    <w:docVar w:name="HeaderDocInfoMode" w:val="0"/>
    <w:docVar w:name="HeaderDocInfoOpt" w:val="0"/>
    <w:docVar w:name="HeaderPageNumberMode" w:val="0"/>
    <w:docVar w:name="OverlayMode" w:val="0"/>
    <w:docVar w:name="PageNUp" w:val="1"/>
  </w:docVars>
  <w:rsids>
    <w:rsidRoot w:val="00357D03"/>
    <w:rsid w:val="000000CD"/>
    <w:rsid w:val="00000539"/>
    <w:rsid w:val="00000893"/>
    <w:rsid w:val="00000C8B"/>
    <w:rsid w:val="000011A0"/>
    <w:rsid w:val="00001514"/>
    <w:rsid w:val="000015F2"/>
    <w:rsid w:val="00001A47"/>
    <w:rsid w:val="0000343F"/>
    <w:rsid w:val="00003746"/>
    <w:rsid w:val="0000408E"/>
    <w:rsid w:val="00004D84"/>
    <w:rsid w:val="00004ECA"/>
    <w:rsid w:val="000060B5"/>
    <w:rsid w:val="00007267"/>
    <w:rsid w:val="00007492"/>
    <w:rsid w:val="00007912"/>
    <w:rsid w:val="0001263F"/>
    <w:rsid w:val="00012AE8"/>
    <w:rsid w:val="00012CF6"/>
    <w:rsid w:val="00013734"/>
    <w:rsid w:val="00014832"/>
    <w:rsid w:val="00015948"/>
    <w:rsid w:val="000172D1"/>
    <w:rsid w:val="00017CFB"/>
    <w:rsid w:val="000208F9"/>
    <w:rsid w:val="00020E28"/>
    <w:rsid w:val="0002139D"/>
    <w:rsid w:val="00021C4D"/>
    <w:rsid w:val="00022D53"/>
    <w:rsid w:val="000234E1"/>
    <w:rsid w:val="0002361C"/>
    <w:rsid w:val="00023B97"/>
    <w:rsid w:val="00024563"/>
    <w:rsid w:val="00024918"/>
    <w:rsid w:val="00024E21"/>
    <w:rsid w:val="00025945"/>
    <w:rsid w:val="000261D7"/>
    <w:rsid w:val="00026B66"/>
    <w:rsid w:val="000273DC"/>
    <w:rsid w:val="000277F7"/>
    <w:rsid w:val="00030F1C"/>
    <w:rsid w:val="00030F57"/>
    <w:rsid w:val="00030FC7"/>
    <w:rsid w:val="000313D2"/>
    <w:rsid w:val="0003181C"/>
    <w:rsid w:val="00031952"/>
    <w:rsid w:val="00031EE6"/>
    <w:rsid w:val="00033A27"/>
    <w:rsid w:val="000347CA"/>
    <w:rsid w:val="00034A01"/>
    <w:rsid w:val="000352E7"/>
    <w:rsid w:val="000354D4"/>
    <w:rsid w:val="00035AF2"/>
    <w:rsid w:val="00035C93"/>
    <w:rsid w:val="000364D7"/>
    <w:rsid w:val="00036C01"/>
    <w:rsid w:val="00037CF9"/>
    <w:rsid w:val="00037E4C"/>
    <w:rsid w:val="000409C7"/>
    <w:rsid w:val="00040A99"/>
    <w:rsid w:val="00040D8D"/>
    <w:rsid w:val="00041971"/>
    <w:rsid w:val="00041B34"/>
    <w:rsid w:val="00041F4E"/>
    <w:rsid w:val="0004218D"/>
    <w:rsid w:val="00042C02"/>
    <w:rsid w:val="00042EF3"/>
    <w:rsid w:val="00043817"/>
    <w:rsid w:val="00043DEB"/>
    <w:rsid w:val="00044455"/>
    <w:rsid w:val="000447BE"/>
    <w:rsid w:val="0004487E"/>
    <w:rsid w:val="00045291"/>
    <w:rsid w:val="00045DC9"/>
    <w:rsid w:val="00045E43"/>
    <w:rsid w:val="000465FC"/>
    <w:rsid w:val="00046AB9"/>
    <w:rsid w:val="00047470"/>
    <w:rsid w:val="0005062A"/>
    <w:rsid w:val="000506F7"/>
    <w:rsid w:val="00050E8E"/>
    <w:rsid w:val="00051573"/>
    <w:rsid w:val="00051C4F"/>
    <w:rsid w:val="00052499"/>
    <w:rsid w:val="00052542"/>
    <w:rsid w:val="000527ED"/>
    <w:rsid w:val="00052D7F"/>
    <w:rsid w:val="0005481E"/>
    <w:rsid w:val="00054C75"/>
    <w:rsid w:val="0005572F"/>
    <w:rsid w:val="00055735"/>
    <w:rsid w:val="00055A5B"/>
    <w:rsid w:val="00055AA1"/>
    <w:rsid w:val="00055BEF"/>
    <w:rsid w:val="00055BFA"/>
    <w:rsid w:val="000571DE"/>
    <w:rsid w:val="00057456"/>
    <w:rsid w:val="00057824"/>
    <w:rsid w:val="00057FAE"/>
    <w:rsid w:val="00060393"/>
    <w:rsid w:val="0006043D"/>
    <w:rsid w:val="00060E8F"/>
    <w:rsid w:val="00061205"/>
    <w:rsid w:val="000615FB"/>
    <w:rsid w:val="00062A2E"/>
    <w:rsid w:val="00062DAF"/>
    <w:rsid w:val="00063420"/>
    <w:rsid w:val="00063487"/>
    <w:rsid w:val="00064A6F"/>
    <w:rsid w:val="00065BAE"/>
    <w:rsid w:val="00065C34"/>
    <w:rsid w:val="00065E78"/>
    <w:rsid w:val="0006645E"/>
    <w:rsid w:val="000665A2"/>
    <w:rsid w:val="00066EDA"/>
    <w:rsid w:val="00067450"/>
    <w:rsid w:val="000677F4"/>
    <w:rsid w:val="0006788A"/>
    <w:rsid w:val="00067E09"/>
    <w:rsid w:val="000714E9"/>
    <w:rsid w:val="0007178B"/>
    <w:rsid w:val="00071AEF"/>
    <w:rsid w:val="000725FA"/>
    <w:rsid w:val="0007357C"/>
    <w:rsid w:val="00073992"/>
    <w:rsid w:val="00073BC3"/>
    <w:rsid w:val="00073C35"/>
    <w:rsid w:val="000740C9"/>
    <w:rsid w:val="00074362"/>
    <w:rsid w:val="00074950"/>
    <w:rsid w:val="00074D40"/>
    <w:rsid w:val="0007575D"/>
    <w:rsid w:val="00076BA5"/>
    <w:rsid w:val="00077111"/>
    <w:rsid w:val="00077397"/>
    <w:rsid w:val="00077E23"/>
    <w:rsid w:val="0008017B"/>
    <w:rsid w:val="00080E7D"/>
    <w:rsid w:val="0008147C"/>
    <w:rsid w:val="0008208A"/>
    <w:rsid w:val="0008211B"/>
    <w:rsid w:val="00085353"/>
    <w:rsid w:val="000857AB"/>
    <w:rsid w:val="00086D52"/>
    <w:rsid w:val="000879C7"/>
    <w:rsid w:val="00087E2C"/>
    <w:rsid w:val="00090AFA"/>
    <w:rsid w:val="00090FBD"/>
    <w:rsid w:val="00091367"/>
    <w:rsid w:val="000919E1"/>
    <w:rsid w:val="00091D81"/>
    <w:rsid w:val="0009218B"/>
    <w:rsid w:val="00092585"/>
    <w:rsid w:val="0009286B"/>
    <w:rsid w:val="00092E6C"/>
    <w:rsid w:val="00092EE8"/>
    <w:rsid w:val="000941DE"/>
    <w:rsid w:val="00094254"/>
    <w:rsid w:val="00094699"/>
    <w:rsid w:val="0009482E"/>
    <w:rsid w:val="00094953"/>
    <w:rsid w:val="00094D1C"/>
    <w:rsid w:val="000957B8"/>
    <w:rsid w:val="00096651"/>
    <w:rsid w:val="00096ADB"/>
    <w:rsid w:val="00097ECB"/>
    <w:rsid w:val="000A244B"/>
    <w:rsid w:val="000A3D31"/>
    <w:rsid w:val="000A434A"/>
    <w:rsid w:val="000A48C6"/>
    <w:rsid w:val="000A5575"/>
    <w:rsid w:val="000A5E81"/>
    <w:rsid w:val="000A6B23"/>
    <w:rsid w:val="000A7644"/>
    <w:rsid w:val="000A767D"/>
    <w:rsid w:val="000B0AD9"/>
    <w:rsid w:val="000B0F2C"/>
    <w:rsid w:val="000B302B"/>
    <w:rsid w:val="000B3944"/>
    <w:rsid w:val="000B3F80"/>
    <w:rsid w:val="000B5270"/>
    <w:rsid w:val="000B556E"/>
    <w:rsid w:val="000B5C1F"/>
    <w:rsid w:val="000B67BB"/>
    <w:rsid w:val="000B6BEB"/>
    <w:rsid w:val="000B6D6B"/>
    <w:rsid w:val="000B7BA4"/>
    <w:rsid w:val="000B7DCC"/>
    <w:rsid w:val="000C4BEE"/>
    <w:rsid w:val="000C65AF"/>
    <w:rsid w:val="000C66CA"/>
    <w:rsid w:val="000C7FDE"/>
    <w:rsid w:val="000D0035"/>
    <w:rsid w:val="000D00CC"/>
    <w:rsid w:val="000D09C1"/>
    <w:rsid w:val="000D235C"/>
    <w:rsid w:val="000D2D5F"/>
    <w:rsid w:val="000D38AC"/>
    <w:rsid w:val="000D3D4F"/>
    <w:rsid w:val="000D3D6D"/>
    <w:rsid w:val="000D438A"/>
    <w:rsid w:val="000D4473"/>
    <w:rsid w:val="000D48B4"/>
    <w:rsid w:val="000D5121"/>
    <w:rsid w:val="000D5A82"/>
    <w:rsid w:val="000D6024"/>
    <w:rsid w:val="000D6AA2"/>
    <w:rsid w:val="000D6E10"/>
    <w:rsid w:val="000D7025"/>
    <w:rsid w:val="000D7459"/>
    <w:rsid w:val="000D791E"/>
    <w:rsid w:val="000E031F"/>
    <w:rsid w:val="000E09BC"/>
    <w:rsid w:val="000E0BA5"/>
    <w:rsid w:val="000E0D17"/>
    <w:rsid w:val="000E0E71"/>
    <w:rsid w:val="000E1D3F"/>
    <w:rsid w:val="000E23F1"/>
    <w:rsid w:val="000E2D42"/>
    <w:rsid w:val="000E2E4A"/>
    <w:rsid w:val="000E3124"/>
    <w:rsid w:val="000E3587"/>
    <w:rsid w:val="000E3CFE"/>
    <w:rsid w:val="000E3DCC"/>
    <w:rsid w:val="000E4351"/>
    <w:rsid w:val="000E55EF"/>
    <w:rsid w:val="000E658A"/>
    <w:rsid w:val="000E6FDF"/>
    <w:rsid w:val="000E700C"/>
    <w:rsid w:val="000E753C"/>
    <w:rsid w:val="000E7BD6"/>
    <w:rsid w:val="000E7CC3"/>
    <w:rsid w:val="000E7DB4"/>
    <w:rsid w:val="000F01A7"/>
    <w:rsid w:val="000F0290"/>
    <w:rsid w:val="000F063A"/>
    <w:rsid w:val="000F0C2A"/>
    <w:rsid w:val="000F1501"/>
    <w:rsid w:val="000F1CF6"/>
    <w:rsid w:val="000F1F88"/>
    <w:rsid w:val="000F259C"/>
    <w:rsid w:val="000F385F"/>
    <w:rsid w:val="000F4FA1"/>
    <w:rsid w:val="000F598A"/>
    <w:rsid w:val="000F5AD6"/>
    <w:rsid w:val="000F5C7A"/>
    <w:rsid w:val="000F6FE9"/>
    <w:rsid w:val="000F7B28"/>
    <w:rsid w:val="00100323"/>
    <w:rsid w:val="00100DA1"/>
    <w:rsid w:val="00101BE5"/>
    <w:rsid w:val="00101F97"/>
    <w:rsid w:val="001020BA"/>
    <w:rsid w:val="001022B6"/>
    <w:rsid w:val="001022EF"/>
    <w:rsid w:val="00102B34"/>
    <w:rsid w:val="001030C5"/>
    <w:rsid w:val="001031BF"/>
    <w:rsid w:val="00104994"/>
    <w:rsid w:val="00105328"/>
    <w:rsid w:val="00107214"/>
    <w:rsid w:val="0010768E"/>
    <w:rsid w:val="00110042"/>
    <w:rsid w:val="00111E15"/>
    <w:rsid w:val="00112CF9"/>
    <w:rsid w:val="00113380"/>
    <w:rsid w:val="00114C52"/>
    <w:rsid w:val="00115389"/>
    <w:rsid w:val="00115DC5"/>
    <w:rsid w:val="00117A5A"/>
    <w:rsid w:val="00117EC2"/>
    <w:rsid w:val="0012072E"/>
    <w:rsid w:val="00120F63"/>
    <w:rsid w:val="00121303"/>
    <w:rsid w:val="001213DE"/>
    <w:rsid w:val="00122786"/>
    <w:rsid w:val="001231AB"/>
    <w:rsid w:val="00123C8A"/>
    <w:rsid w:val="001241D3"/>
    <w:rsid w:val="00124DC3"/>
    <w:rsid w:val="001252DD"/>
    <w:rsid w:val="00125319"/>
    <w:rsid w:val="00125CC6"/>
    <w:rsid w:val="00130CCB"/>
    <w:rsid w:val="00131ACC"/>
    <w:rsid w:val="00131D07"/>
    <w:rsid w:val="00131D75"/>
    <w:rsid w:val="001320BE"/>
    <w:rsid w:val="001326F6"/>
    <w:rsid w:val="00132907"/>
    <w:rsid w:val="00132F22"/>
    <w:rsid w:val="0013358A"/>
    <w:rsid w:val="00133822"/>
    <w:rsid w:val="00133E71"/>
    <w:rsid w:val="001340BB"/>
    <w:rsid w:val="001340F4"/>
    <w:rsid w:val="001342A6"/>
    <w:rsid w:val="001348DC"/>
    <w:rsid w:val="00134E75"/>
    <w:rsid w:val="00136CB9"/>
    <w:rsid w:val="001373B9"/>
    <w:rsid w:val="0013768F"/>
    <w:rsid w:val="001414C1"/>
    <w:rsid w:val="0014153F"/>
    <w:rsid w:val="00141A58"/>
    <w:rsid w:val="00142723"/>
    <w:rsid w:val="00142813"/>
    <w:rsid w:val="00142D07"/>
    <w:rsid w:val="00143869"/>
    <w:rsid w:val="001443CF"/>
    <w:rsid w:val="00144899"/>
    <w:rsid w:val="0014532B"/>
    <w:rsid w:val="00146F87"/>
    <w:rsid w:val="0014756F"/>
    <w:rsid w:val="00147E3F"/>
    <w:rsid w:val="00147E6F"/>
    <w:rsid w:val="00147EEA"/>
    <w:rsid w:val="001515BF"/>
    <w:rsid w:val="00151838"/>
    <w:rsid w:val="00151948"/>
    <w:rsid w:val="00151F8D"/>
    <w:rsid w:val="001525CE"/>
    <w:rsid w:val="0015353E"/>
    <w:rsid w:val="0015391F"/>
    <w:rsid w:val="00153B79"/>
    <w:rsid w:val="00153BD7"/>
    <w:rsid w:val="00153C34"/>
    <w:rsid w:val="001542A7"/>
    <w:rsid w:val="001542D3"/>
    <w:rsid w:val="00154AFB"/>
    <w:rsid w:val="00157142"/>
    <w:rsid w:val="00157C06"/>
    <w:rsid w:val="00162E0A"/>
    <w:rsid w:val="00163118"/>
    <w:rsid w:val="00163395"/>
    <w:rsid w:val="0016414B"/>
    <w:rsid w:val="00164410"/>
    <w:rsid w:val="00164974"/>
    <w:rsid w:val="00164D4A"/>
    <w:rsid w:val="00164F08"/>
    <w:rsid w:val="00165455"/>
    <w:rsid w:val="00166265"/>
    <w:rsid w:val="001668A5"/>
    <w:rsid w:val="00166B5D"/>
    <w:rsid w:val="00166C8F"/>
    <w:rsid w:val="00166E22"/>
    <w:rsid w:val="00166FF7"/>
    <w:rsid w:val="00167270"/>
    <w:rsid w:val="0016734E"/>
    <w:rsid w:val="001674BA"/>
    <w:rsid w:val="001676FA"/>
    <w:rsid w:val="00170030"/>
    <w:rsid w:val="001703A9"/>
    <w:rsid w:val="001705D2"/>
    <w:rsid w:val="0017066F"/>
    <w:rsid w:val="00170866"/>
    <w:rsid w:val="00170CC4"/>
    <w:rsid w:val="0017166B"/>
    <w:rsid w:val="00171792"/>
    <w:rsid w:val="001721A3"/>
    <w:rsid w:val="00172490"/>
    <w:rsid w:val="0017263E"/>
    <w:rsid w:val="0017312A"/>
    <w:rsid w:val="00173370"/>
    <w:rsid w:val="001739DA"/>
    <w:rsid w:val="00173B4A"/>
    <w:rsid w:val="001741BC"/>
    <w:rsid w:val="0017420B"/>
    <w:rsid w:val="0017439E"/>
    <w:rsid w:val="00174B14"/>
    <w:rsid w:val="00174F35"/>
    <w:rsid w:val="00175547"/>
    <w:rsid w:val="00175D7F"/>
    <w:rsid w:val="00175F1A"/>
    <w:rsid w:val="00175FA7"/>
    <w:rsid w:val="00176AFC"/>
    <w:rsid w:val="00176B8E"/>
    <w:rsid w:val="001770DA"/>
    <w:rsid w:val="001801FF"/>
    <w:rsid w:val="00180541"/>
    <w:rsid w:val="001807F2"/>
    <w:rsid w:val="00180999"/>
    <w:rsid w:val="00180DAC"/>
    <w:rsid w:val="00181D76"/>
    <w:rsid w:val="00181E16"/>
    <w:rsid w:val="00181EC8"/>
    <w:rsid w:val="00182097"/>
    <w:rsid w:val="001828C2"/>
    <w:rsid w:val="00182B4F"/>
    <w:rsid w:val="00183391"/>
    <w:rsid w:val="001837D2"/>
    <w:rsid w:val="0018387C"/>
    <w:rsid w:val="001839B2"/>
    <w:rsid w:val="00183CD3"/>
    <w:rsid w:val="001843BA"/>
    <w:rsid w:val="00184629"/>
    <w:rsid w:val="0018476B"/>
    <w:rsid w:val="00184FA4"/>
    <w:rsid w:val="00185512"/>
    <w:rsid w:val="00186753"/>
    <w:rsid w:val="00187092"/>
    <w:rsid w:val="001874FC"/>
    <w:rsid w:val="001875E7"/>
    <w:rsid w:val="001877A8"/>
    <w:rsid w:val="00191290"/>
    <w:rsid w:val="00192B84"/>
    <w:rsid w:val="00192C54"/>
    <w:rsid w:val="00193A3A"/>
    <w:rsid w:val="00194133"/>
    <w:rsid w:val="0019447E"/>
    <w:rsid w:val="00194A19"/>
    <w:rsid w:val="00194FA2"/>
    <w:rsid w:val="00195C33"/>
    <w:rsid w:val="00195D8C"/>
    <w:rsid w:val="001962A4"/>
    <w:rsid w:val="001962C6"/>
    <w:rsid w:val="00197320"/>
    <w:rsid w:val="00197C61"/>
    <w:rsid w:val="00197D46"/>
    <w:rsid w:val="00197E56"/>
    <w:rsid w:val="001A1067"/>
    <w:rsid w:val="001A25A4"/>
    <w:rsid w:val="001A3613"/>
    <w:rsid w:val="001A3644"/>
    <w:rsid w:val="001A3986"/>
    <w:rsid w:val="001A518F"/>
    <w:rsid w:val="001A5E2D"/>
    <w:rsid w:val="001A65DE"/>
    <w:rsid w:val="001A6625"/>
    <w:rsid w:val="001A6889"/>
    <w:rsid w:val="001A7280"/>
    <w:rsid w:val="001B044C"/>
    <w:rsid w:val="001B3000"/>
    <w:rsid w:val="001B3517"/>
    <w:rsid w:val="001B3DCC"/>
    <w:rsid w:val="001B4224"/>
    <w:rsid w:val="001B44D6"/>
    <w:rsid w:val="001B4712"/>
    <w:rsid w:val="001B47C7"/>
    <w:rsid w:val="001B5AF3"/>
    <w:rsid w:val="001B62E4"/>
    <w:rsid w:val="001B66F6"/>
    <w:rsid w:val="001C022A"/>
    <w:rsid w:val="001C04A1"/>
    <w:rsid w:val="001C10E8"/>
    <w:rsid w:val="001C1185"/>
    <w:rsid w:val="001C167F"/>
    <w:rsid w:val="001C17EC"/>
    <w:rsid w:val="001C27C4"/>
    <w:rsid w:val="001C2BDC"/>
    <w:rsid w:val="001C2D88"/>
    <w:rsid w:val="001C3FA6"/>
    <w:rsid w:val="001C46ED"/>
    <w:rsid w:val="001C52CC"/>
    <w:rsid w:val="001C53F8"/>
    <w:rsid w:val="001C5A3A"/>
    <w:rsid w:val="001C5F3D"/>
    <w:rsid w:val="001C61BE"/>
    <w:rsid w:val="001C7A48"/>
    <w:rsid w:val="001C7D4E"/>
    <w:rsid w:val="001D004B"/>
    <w:rsid w:val="001D0265"/>
    <w:rsid w:val="001D055E"/>
    <w:rsid w:val="001D0A4D"/>
    <w:rsid w:val="001D13D7"/>
    <w:rsid w:val="001D1A43"/>
    <w:rsid w:val="001D21A9"/>
    <w:rsid w:val="001D25DA"/>
    <w:rsid w:val="001D3862"/>
    <w:rsid w:val="001D3B96"/>
    <w:rsid w:val="001D5531"/>
    <w:rsid w:val="001D5621"/>
    <w:rsid w:val="001D58AA"/>
    <w:rsid w:val="001D5AF5"/>
    <w:rsid w:val="001D6019"/>
    <w:rsid w:val="001D611E"/>
    <w:rsid w:val="001D6167"/>
    <w:rsid w:val="001D631A"/>
    <w:rsid w:val="001D7AE6"/>
    <w:rsid w:val="001E0258"/>
    <w:rsid w:val="001E156A"/>
    <w:rsid w:val="001E1763"/>
    <w:rsid w:val="001E2139"/>
    <w:rsid w:val="001E2423"/>
    <w:rsid w:val="001E28A0"/>
    <w:rsid w:val="001E418B"/>
    <w:rsid w:val="001E4867"/>
    <w:rsid w:val="001E4D1F"/>
    <w:rsid w:val="001E5463"/>
    <w:rsid w:val="001E5B95"/>
    <w:rsid w:val="001E6348"/>
    <w:rsid w:val="001E6D06"/>
    <w:rsid w:val="001E738B"/>
    <w:rsid w:val="001E750E"/>
    <w:rsid w:val="001F0DB3"/>
    <w:rsid w:val="001F1F15"/>
    <w:rsid w:val="001F2208"/>
    <w:rsid w:val="001F42E5"/>
    <w:rsid w:val="001F47FD"/>
    <w:rsid w:val="001F4ADB"/>
    <w:rsid w:val="001F4AEA"/>
    <w:rsid w:val="001F4C4D"/>
    <w:rsid w:val="001F4C56"/>
    <w:rsid w:val="001F5C30"/>
    <w:rsid w:val="001F60DD"/>
    <w:rsid w:val="001F7BDB"/>
    <w:rsid w:val="001F7E58"/>
    <w:rsid w:val="00201BBE"/>
    <w:rsid w:val="00201ED0"/>
    <w:rsid w:val="0020242D"/>
    <w:rsid w:val="00202D36"/>
    <w:rsid w:val="00202D7F"/>
    <w:rsid w:val="00203094"/>
    <w:rsid w:val="0020329A"/>
    <w:rsid w:val="002038BA"/>
    <w:rsid w:val="002056E8"/>
    <w:rsid w:val="002059E7"/>
    <w:rsid w:val="002063FD"/>
    <w:rsid w:val="00206E29"/>
    <w:rsid w:val="00206F30"/>
    <w:rsid w:val="00207F13"/>
    <w:rsid w:val="002107E1"/>
    <w:rsid w:val="00210A96"/>
    <w:rsid w:val="0021189D"/>
    <w:rsid w:val="00211BFD"/>
    <w:rsid w:val="00212BFD"/>
    <w:rsid w:val="00212FC8"/>
    <w:rsid w:val="00214052"/>
    <w:rsid w:val="0021415C"/>
    <w:rsid w:val="0021482C"/>
    <w:rsid w:val="0021483E"/>
    <w:rsid w:val="002158DB"/>
    <w:rsid w:val="00216094"/>
    <w:rsid w:val="002162B4"/>
    <w:rsid w:val="00216925"/>
    <w:rsid w:val="002175A7"/>
    <w:rsid w:val="00220108"/>
    <w:rsid w:val="00220919"/>
    <w:rsid w:val="00221565"/>
    <w:rsid w:val="00221CFE"/>
    <w:rsid w:val="00222297"/>
    <w:rsid w:val="002225F6"/>
    <w:rsid w:val="00222B50"/>
    <w:rsid w:val="00223006"/>
    <w:rsid w:val="002230B7"/>
    <w:rsid w:val="00223135"/>
    <w:rsid w:val="002238CA"/>
    <w:rsid w:val="00223B29"/>
    <w:rsid w:val="00223DB8"/>
    <w:rsid w:val="00223E20"/>
    <w:rsid w:val="00224249"/>
    <w:rsid w:val="00224E4E"/>
    <w:rsid w:val="002254DA"/>
    <w:rsid w:val="00225717"/>
    <w:rsid w:val="00225927"/>
    <w:rsid w:val="00225D05"/>
    <w:rsid w:val="00226968"/>
    <w:rsid w:val="0022715A"/>
    <w:rsid w:val="00227DF7"/>
    <w:rsid w:val="00230037"/>
    <w:rsid w:val="00230114"/>
    <w:rsid w:val="00230704"/>
    <w:rsid w:val="002316D1"/>
    <w:rsid w:val="00231E84"/>
    <w:rsid w:val="00233F4C"/>
    <w:rsid w:val="00235D84"/>
    <w:rsid w:val="00236F1A"/>
    <w:rsid w:val="00237015"/>
    <w:rsid w:val="0023797D"/>
    <w:rsid w:val="002379E1"/>
    <w:rsid w:val="00237CE3"/>
    <w:rsid w:val="00237E38"/>
    <w:rsid w:val="002404E0"/>
    <w:rsid w:val="00240927"/>
    <w:rsid w:val="00240AAF"/>
    <w:rsid w:val="002415B9"/>
    <w:rsid w:val="00241D92"/>
    <w:rsid w:val="002428CE"/>
    <w:rsid w:val="00242FE7"/>
    <w:rsid w:val="00243BAF"/>
    <w:rsid w:val="00243D19"/>
    <w:rsid w:val="00243EFC"/>
    <w:rsid w:val="002456E3"/>
    <w:rsid w:val="002464BC"/>
    <w:rsid w:val="00246C14"/>
    <w:rsid w:val="0024725E"/>
    <w:rsid w:val="00247510"/>
    <w:rsid w:val="00247A9F"/>
    <w:rsid w:val="00247C69"/>
    <w:rsid w:val="00250748"/>
    <w:rsid w:val="00251572"/>
    <w:rsid w:val="002515AF"/>
    <w:rsid w:val="00251E62"/>
    <w:rsid w:val="0025209D"/>
    <w:rsid w:val="00252132"/>
    <w:rsid w:val="00252F4C"/>
    <w:rsid w:val="002536AE"/>
    <w:rsid w:val="002543C7"/>
    <w:rsid w:val="002549F5"/>
    <w:rsid w:val="002552ED"/>
    <w:rsid w:val="0025567B"/>
    <w:rsid w:val="00255C38"/>
    <w:rsid w:val="00255CAC"/>
    <w:rsid w:val="002570BA"/>
    <w:rsid w:val="00257229"/>
    <w:rsid w:val="002573C5"/>
    <w:rsid w:val="0026111C"/>
    <w:rsid w:val="00261626"/>
    <w:rsid w:val="0026163E"/>
    <w:rsid w:val="00261C2A"/>
    <w:rsid w:val="00262357"/>
    <w:rsid w:val="00262C2C"/>
    <w:rsid w:val="00263736"/>
    <w:rsid w:val="00263E9F"/>
    <w:rsid w:val="00264990"/>
    <w:rsid w:val="00264C4E"/>
    <w:rsid w:val="00264DDA"/>
    <w:rsid w:val="00265F0F"/>
    <w:rsid w:val="002662A1"/>
    <w:rsid w:val="00266515"/>
    <w:rsid w:val="0026669B"/>
    <w:rsid w:val="00267200"/>
    <w:rsid w:val="00267B9C"/>
    <w:rsid w:val="00267F7A"/>
    <w:rsid w:val="0027002B"/>
    <w:rsid w:val="002709A5"/>
    <w:rsid w:val="00270B32"/>
    <w:rsid w:val="002713F4"/>
    <w:rsid w:val="0027180C"/>
    <w:rsid w:val="00272F3D"/>
    <w:rsid w:val="00273CCC"/>
    <w:rsid w:val="002750E3"/>
    <w:rsid w:val="00276900"/>
    <w:rsid w:val="00277079"/>
    <w:rsid w:val="002772B5"/>
    <w:rsid w:val="0027781B"/>
    <w:rsid w:val="00280099"/>
    <w:rsid w:val="002808FC"/>
    <w:rsid w:val="0028097C"/>
    <w:rsid w:val="00283495"/>
    <w:rsid w:val="002835EF"/>
    <w:rsid w:val="00283B1E"/>
    <w:rsid w:val="0028460D"/>
    <w:rsid w:val="002848E2"/>
    <w:rsid w:val="00285CC6"/>
    <w:rsid w:val="002860A7"/>
    <w:rsid w:val="00286473"/>
    <w:rsid w:val="002865A1"/>
    <w:rsid w:val="00286F49"/>
    <w:rsid w:val="0028744F"/>
    <w:rsid w:val="0029094E"/>
    <w:rsid w:val="002912A6"/>
    <w:rsid w:val="00291300"/>
    <w:rsid w:val="002914DC"/>
    <w:rsid w:val="00291FFB"/>
    <w:rsid w:val="00293126"/>
    <w:rsid w:val="00293361"/>
    <w:rsid w:val="00293807"/>
    <w:rsid w:val="002940BF"/>
    <w:rsid w:val="00295040"/>
    <w:rsid w:val="002951B1"/>
    <w:rsid w:val="002955CB"/>
    <w:rsid w:val="00295814"/>
    <w:rsid w:val="00295C1B"/>
    <w:rsid w:val="00295D7F"/>
    <w:rsid w:val="002962EF"/>
    <w:rsid w:val="00296386"/>
    <w:rsid w:val="002975C2"/>
    <w:rsid w:val="002A0679"/>
    <w:rsid w:val="002A1060"/>
    <w:rsid w:val="002A14C4"/>
    <w:rsid w:val="002A1926"/>
    <w:rsid w:val="002A1BFA"/>
    <w:rsid w:val="002A27CF"/>
    <w:rsid w:val="002A3602"/>
    <w:rsid w:val="002A4398"/>
    <w:rsid w:val="002A4F38"/>
    <w:rsid w:val="002A56F3"/>
    <w:rsid w:val="002A596B"/>
    <w:rsid w:val="002A6781"/>
    <w:rsid w:val="002A6DDB"/>
    <w:rsid w:val="002A6FEB"/>
    <w:rsid w:val="002A72E5"/>
    <w:rsid w:val="002A7FD7"/>
    <w:rsid w:val="002B22B2"/>
    <w:rsid w:val="002B2369"/>
    <w:rsid w:val="002B2A52"/>
    <w:rsid w:val="002B2DF5"/>
    <w:rsid w:val="002B386F"/>
    <w:rsid w:val="002B47FD"/>
    <w:rsid w:val="002B4F91"/>
    <w:rsid w:val="002B5020"/>
    <w:rsid w:val="002B57F3"/>
    <w:rsid w:val="002B5ED8"/>
    <w:rsid w:val="002B640E"/>
    <w:rsid w:val="002B6711"/>
    <w:rsid w:val="002B6C76"/>
    <w:rsid w:val="002B6DE2"/>
    <w:rsid w:val="002B7641"/>
    <w:rsid w:val="002C0156"/>
    <w:rsid w:val="002C0930"/>
    <w:rsid w:val="002C0DF3"/>
    <w:rsid w:val="002C0E0B"/>
    <w:rsid w:val="002C113C"/>
    <w:rsid w:val="002C1467"/>
    <w:rsid w:val="002C2F8A"/>
    <w:rsid w:val="002C402F"/>
    <w:rsid w:val="002C4A72"/>
    <w:rsid w:val="002C5484"/>
    <w:rsid w:val="002C5589"/>
    <w:rsid w:val="002C5931"/>
    <w:rsid w:val="002C5BCD"/>
    <w:rsid w:val="002C5EE6"/>
    <w:rsid w:val="002C60C7"/>
    <w:rsid w:val="002C641D"/>
    <w:rsid w:val="002C6445"/>
    <w:rsid w:val="002C67E4"/>
    <w:rsid w:val="002C782F"/>
    <w:rsid w:val="002D06E0"/>
    <w:rsid w:val="002D1452"/>
    <w:rsid w:val="002D15CE"/>
    <w:rsid w:val="002D21F6"/>
    <w:rsid w:val="002D26E7"/>
    <w:rsid w:val="002D371F"/>
    <w:rsid w:val="002D376B"/>
    <w:rsid w:val="002D3E57"/>
    <w:rsid w:val="002D4246"/>
    <w:rsid w:val="002D43BB"/>
    <w:rsid w:val="002D45D3"/>
    <w:rsid w:val="002D4DAF"/>
    <w:rsid w:val="002D4F30"/>
    <w:rsid w:val="002D5B26"/>
    <w:rsid w:val="002D5D00"/>
    <w:rsid w:val="002D633A"/>
    <w:rsid w:val="002D77D7"/>
    <w:rsid w:val="002E089F"/>
    <w:rsid w:val="002E0A9A"/>
    <w:rsid w:val="002E1817"/>
    <w:rsid w:val="002E1D55"/>
    <w:rsid w:val="002E23C8"/>
    <w:rsid w:val="002E26A7"/>
    <w:rsid w:val="002E2977"/>
    <w:rsid w:val="002E3792"/>
    <w:rsid w:val="002E3F88"/>
    <w:rsid w:val="002E43E1"/>
    <w:rsid w:val="002E497E"/>
    <w:rsid w:val="002E59D6"/>
    <w:rsid w:val="002E59E1"/>
    <w:rsid w:val="002E5EFF"/>
    <w:rsid w:val="002E5FAB"/>
    <w:rsid w:val="002E6172"/>
    <w:rsid w:val="002E69BE"/>
    <w:rsid w:val="002E6EB1"/>
    <w:rsid w:val="002E758B"/>
    <w:rsid w:val="002E7C82"/>
    <w:rsid w:val="002F04F2"/>
    <w:rsid w:val="002F1E58"/>
    <w:rsid w:val="002F30B1"/>
    <w:rsid w:val="002F3263"/>
    <w:rsid w:val="002F34C1"/>
    <w:rsid w:val="002F36A1"/>
    <w:rsid w:val="002F3E31"/>
    <w:rsid w:val="002F4137"/>
    <w:rsid w:val="002F47ED"/>
    <w:rsid w:val="002F4ABA"/>
    <w:rsid w:val="002F51AC"/>
    <w:rsid w:val="002F54DD"/>
    <w:rsid w:val="002F68DD"/>
    <w:rsid w:val="002F73BF"/>
    <w:rsid w:val="002F7B6C"/>
    <w:rsid w:val="00300443"/>
    <w:rsid w:val="0030081C"/>
    <w:rsid w:val="003010D7"/>
    <w:rsid w:val="003010FC"/>
    <w:rsid w:val="00301144"/>
    <w:rsid w:val="00301644"/>
    <w:rsid w:val="00301FF8"/>
    <w:rsid w:val="00302422"/>
    <w:rsid w:val="00302771"/>
    <w:rsid w:val="00302C62"/>
    <w:rsid w:val="00302E3B"/>
    <w:rsid w:val="003037EC"/>
    <w:rsid w:val="00303D18"/>
    <w:rsid w:val="003044E3"/>
    <w:rsid w:val="0030555E"/>
    <w:rsid w:val="003055F3"/>
    <w:rsid w:val="00305EB6"/>
    <w:rsid w:val="0030677B"/>
    <w:rsid w:val="0030749C"/>
    <w:rsid w:val="00307764"/>
    <w:rsid w:val="00310D78"/>
    <w:rsid w:val="00311666"/>
    <w:rsid w:val="003116CE"/>
    <w:rsid w:val="00312202"/>
    <w:rsid w:val="00312243"/>
    <w:rsid w:val="003124DD"/>
    <w:rsid w:val="00312AC0"/>
    <w:rsid w:val="00312CBB"/>
    <w:rsid w:val="0031344A"/>
    <w:rsid w:val="00313DAD"/>
    <w:rsid w:val="003145CE"/>
    <w:rsid w:val="003149A3"/>
    <w:rsid w:val="0031525E"/>
    <w:rsid w:val="00315B9D"/>
    <w:rsid w:val="00315BC2"/>
    <w:rsid w:val="00316404"/>
    <w:rsid w:val="0031694B"/>
    <w:rsid w:val="003170FD"/>
    <w:rsid w:val="00317573"/>
    <w:rsid w:val="00320683"/>
    <w:rsid w:val="00321036"/>
    <w:rsid w:val="00321D32"/>
    <w:rsid w:val="003224D6"/>
    <w:rsid w:val="003230F8"/>
    <w:rsid w:val="0032447F"/>
    <w:rsid w:val="00324BC7"/>
    <w:rsid w:val="00325ADF"/>
    <w:rsid w:val="0032633E"/>
    <w:rsid w:val="00327169"/>
    <w:rsid w:val="003273CC"/>
    <w:rsid w:val="00327607"/>
    <w:rsid w:val="00331AD3"/>
    <w:rsid w:val="00332284"/>
    <w:rsid w:val="00332515"/>
    <w:rsid w:val="003327D4"/>
    <w:rsid w:val="00332B14"/>
    <w:rsid w:val="00332C61"/>
    <w:rsid w:val="00333026"/>
    <w:rsid w:val="0033362B"/>
    <w:rsid w:val="00333F25"/>
    <w:rsid w:val="00333F7E"/>
    <w:rsid w:val="00334399"/>
    <w:rsid w:val="003343B0"/>
    <w:rsid w:val="003348A5"/>
    <w:rsid w:val="00335922"/>
    <w:rsid w:val="00335B45"/>
    <w:rsid w:val="00336567"/>
    <w:rsid w:val="00336E96"/>
    <w:rsid w:val="003372A2"/>
    <w:rsid w:val="003378EA"/>
    <w:rsid w:val="00337B1F"/>
    <w:rsid w:val="00340583"/>
    <w:rsid w:val="0034087B"/>
    <w:rsid w:val="00341190"/>
    <w:rsid w:val="0034299B"/>
    <w:rsid w:val="00343280"/>
    <w:rsid w:val="0034378D"/>
    <w:rsid w:val="0034393A"/>
    <w:rsid w:val="00343B3D"/>
    <w:rsid w:val="00344127"/>
    <w:rsid w:val="003447B1"/>
    <w:rsid w:val="00345258"/>
    <w:rsid w:val="00345E91"/>
    <w:rsid w:val="003464F2"/>
    <w:rsid w:val="0034735A"/>
    <w:rsid w:val="00347C31"/>
    <w:rsid w:val="0035053B"/>
    <w:rsid w:val="00350D44"/>
    <w:rsid w:val="003513B8"/>
    <w:rsid w:val="003526A7"/>
    <w:rsid w:val="00352CA9"/>
    <w:rsid w:val="00352CCD"/>
    <w:rsid w:val="00353484"/>
    <w:rsid w:val="003539BF"/>
    <w:rsid w:val="00355A68"/>
    <w:rsid w:val="00356626"/>
    <w:rsid w:val="00356B2E"/>
    <w:rsid w:val="00357A7F"/>
    <w:rsid w:val="00357D03"/>
    <w:rsid w:val="00360657"/>
    <w:rsid w:val="003608D4"/>
    <w:rsid w:val="00360939"/>
    <w:rsid w:val="00360F0C"/>
    <w:rsid w:val="00361064"/>
    <w:rsid w:val="0036198D"/>
    <w:rsid w:val="003628CA"/>
    <w:rsid w:val="00363599"/>
    <w:rsid w:val="003638DB"/>
    <w:rsid w:val="00363DC7"/>
    <w:rsid w:val="00363EAB"/>
    <w:rsid w:val="0036410D"/>
    <w:rsid w:val="003644EA"/>
    <w:rsid w:val="0036598B"/>
    <w:rsid w:val="00367AA8"/>
    <w:rsid w:val="00370B57"/>
    <w:rsid w:val="0037223C"/>
    <w:rsid w:val="003722AF"/>
    <w:rsid w:val="00372F0D"/>
    <w:rsid w:val="00373258"/>
    <w:rsid w:val="00374181"/>
    <w:rsid w:val="00375FB8"/>
    <w:rsid w:val="0037678D"/>
    <w:rsid w:val="0037692C"/>
    <w:rsid w:val="00376CD0"/>
    <w:rsid w:val="00376CED"/>
    <w:rsid w:val="00377EAF"/>
    <w:rsid w:val="00380046"/>
    <w:rsid w:val="003818F8"/>
    <w:rsid w:val="00381CE0"/>
    <w:rsid w:val="00381E04"/>
    <w:rsid w:val="00382388"/>
    <w:rsid w:val="003832F4"/>
    <w:rsid w:val="003835ED"/>
    <w:rsid w:val="00383C17"/>
    <w:rsid w:val="003848DC"/>
    <w:rsid w:val="00385464"/>
    <w:rsid w:val="00385D32"/>
    <w:rsid w:val="003864EF"/>
    <w:rsid w:val="0038665E"/>
    <w:rsid w:val="00387A8E"/>
    <w:rsid w:val="00387CE0"/>
    <w:rsid w:val="00387E24"/>
    <w:rsid w:val="003902D5"/>
    <w:rsid w:val="00390401"/>
    <w:rsid w:val="00390578"/>
    <w:rsid w:val="003908D3"/>
    <w:rsid w:val="003912A4"/>
    <w:rsid w:val="00391373"/>
    <w:rsid w:val="00391483"/>
    <w:rsid w:val="00391567"/>
    <w:rsid w:val="00394865"/>
    <w:rsid w:val="00395542"/>
    <w:rsid w:val="00395BB6"/>
    <w:rsid w:val="003963A1"/>
    <w:rsid w:val="00396913"/>
    <w:rsid w:val="003971BD"/>
    <w:rsid w:val="00397E84"/>
    <w:rsid w:val="00397EEB"/>
    <w:rsid w:val="003A0D1F"/>
    <w:rsid w:val="003A0D2F"/>
    <w:rsid w:val="003A135F"/>
    <w:rsid w:val="003A13DE"/>
    <w:rsid w:val="003A197C"/>
    <w:rsid w:val="003A1FB6"/>
    <w:rsid w:val="003A2948"/>
    <w:rsid w:val="003A2F46"/>
    <w:rsid w:val="003A3022"/>
    <w:rsid w:val="003A313A"/>
    <w:rsid w:val="003A32E1"/>
    <w:rsid w:val="003A3CD1"/>
    <w:rsid w:val="003A5C14"/>
    <w:rsid w:val="003A5ECF"/>
    <w:rsid w:val="003A64CF"/>
    <w:rsid w:val="003A78E7"/>
    <w:rsid w:val="003A7908"/>
    <w:rsid w:val="003B0460"/>
    <w:rsid w:val="003B0670"/>
    <w:rsid w:val="003B0D3B"/>
    <w:rsid w:val="003B1759"/>
    <w:rsid w:val="003B196A"/>
    <w:rsid w:val="003B199B"/>
    <w:rsid w:val="003B1A92"/>
    <w:rsid w:val="003B2659"/>
    <w:rsid w:val="003B3640"/>
    <w:rsid w:val="003B3849"/>
    <w:rsid w:val="003B41EE"/>
    <w:rsid w:val="003B4744"/>
    <w:rsid w:val="003B47BA"/>
    <w:rsid w:val="003B4948"/>
    <w:rsid w:val="003B4EC4"/>
    <w:rsid w:val="003B5D04"/>
    <w:rsid w:val="003B5DD6"/>
    <w:rsid w:val="003B6789"/>
    <w:rsid w:val="003B6EC8"/>
    <w:rsid w:val="003B7531"/>
    <w:rsid w:val="003B7A73"/>
    <w:rsid w:val="003C0539"/>
    <w:rsid w:val="003C1DF1"/>
    <w:rsid w:val="003C2A6C"/>
    <w:rsid w:val="003C2BA9"/>
    <w:rsid w:val="003C3153"/>
    <w:rsid w:val="003C4217"/>
    <w:rsid w:val="003C48C9"/>
    <w:rsid w:val="003C4AE7"/>
    <w:rsid w:val="003C52DA"/>
    <w:rsid w:val="003C545A"/>
    <w:rsid w:val="003C695D"/>
    <w:rsid w:val="003C6CDA"/>
    <w:rsid w:val="003C6F48"/>
    <w:rsid w:val="003C75AA"/>
    <w:rsid w:val="003C75C0"/>
    <w:rsid w:val="003C7E65"/>
    <w:rsid w:val="003D01FF"/>
    <w:rsid w:val="003D1F7E"/>
    <w:rsid w:val="003D2F3C"/>
    <w:rsid w:val="003D3434"/>
    <w:rsid w:val="003D3F94"/>
    <w:rsid w:val="003D4287"/>
    <w:rsid w:val="003D464D"/>
    <w:rsid w:val="003D5AB4"/>
    <w:rsid w:val="003D5FC4"/>
    <w:rsid w:val="003D6CD4"/>
    <w:rsid w:val="003D7006"/>
    <w:rsid w:val="003E03B6"/>
    <w:rsid w:val="003E1801"/>
    <w:rsid w:val="003E1D64"/>
    <w:rsid w:val="003E227F"/>
    <w:rsid w:val="003E242C"/>
    <w:rsid w:val="003E2B2C"/>
    <w:rsid w:val="003E383B"/>
    <w:rsid w:val="003E3E35"/>
    <w:rsid w:val="003E4866"/>
    <w:rsid w:val="003E51F7"/>
    <w:rsid w:val="003E5792"/>
    <w:rsid w:val="003E7378"/>
    <w:rsid w:val="003F103D"/>
    <w:rsid w:val="003F1C68"/>
    <w:rsid w:val="003F216C"/>
    <w:rsid w:val="003F258E"/>
    <w:rsid w:val="003F378E"/>
    <w:rsid w:val="003F3FF6"/>
    <w:rsid w:val="003F423C"/>
    <w:rsid w:val="003F4E8C"/>
    <w:rsid w:val="003F5145"/>
    <w:rsid w:val="003F5269"/>
    <w:rsid w:val="003F5DAB"/>
    <w:rsid w:val="003F5F0F"/>
    <w:rsid w:val="003F74BA"/>
    <w:rsid w:val="00400355"/>
    <w:rsid w:val="00400361"/>
    <w:rsid w:val="0040234D"/>
    <w:rsid w:val="004033AF"/>
    <w:rsid w:val="00403482"/>
    <w:rsid w:val="00403DEF"/>
    <w:rsid w:val="00403EF9"/>
    <w:rsid w:val="0040497D"/>
    <w:rsid w:val="00405BEB"/>
    <w:rsid w:val="00405D1A"/>
    <w:rsid w:val="00406056"/>
    <w:rsid w:val="004068E6"/>
    <w:rsid w:val="00406D8D"/>
    <w:rsid w:val="00406FCC"/>
    <w:rsid w:val="0040738E"/>
    <w:rsid w:val="00407954"/>
    <w:rsid w:val="00410C4F"/>
    <w:rsid w:val="0041111F"/>
    <w:rsid w:val="00411618"/>
    <w:rsid w:val="004117EC"/>
    <w:rsid w:val="00412200"/>
    <w:rsid w:val="00412A8F"/>
    <w:rsid w:val="00412BE5"/>
    <w:rsid w:val="00412F16"/>
    <w:rsid w:val="004130A0"/>
    <w:rsid w:val="0041326F"/>
    <w:rsid w:val="0041484D"/>
    <w:rsid w:val="0041617F"/>
    <w:rsid w:val="004170D1"/>
    <w:rsid w:val="00420019"/>
    <w:rsid w:val="00420090"/>
    <w:rsid w:val="0042021D"/>
    <w:rsid w:val="004214A0"/>
    <w:rsid w:val="00421927"/>
    <w:rsid w:val="00421A37"/>
    <w:rsid w:val="00421ABE"/>
    <w:rsid w:val="00421B51"/>
    <w:rsid w:val="00421D80"/>
    <w:rsid w:val="004223AD"/>
    <w:rsid w:val="00422AE5"/>
    <w:rsid w:val="00422B19"/>
    <w:rsid w:val="00424203"/>
    <w:rsid w:val="00424254"/>
    <w:rsid w:val="00424279"/>
    <w:rsid w:val="00424C56"/>
    <w:rsid w:val="00424DD1"/>
    <w:rsid w:val="004256D6"/>
    <w:rsid w:val="00425726"/>
    <w:rsid w:val="00425A70"/>
    <w:rsid w:val="00426081"/>
    <w:rsid w:val="00426607"/>
    <w:rsid w:val="004275D1"/>
    <w:rsid w:val="0043017B"/>
    <w:rsid w:val="00430212"/>
    <w:rsid w:val="004313CF"/>
    <w:rsid w:val="00431632"/>
    <w:rsid w:val="0043171C"/>
    <w:rsid w:val="004325A5"/>
    <w:rsid w:val="00433140"/>
    <w:rsid w:val="00434069"/>
    <w:rsid w:val="00434AF4"/>
    <w:rsid w:val="00434C55"/>
    <w:rsid w:val="0043506F"/>
    <w:rsid w:val="00437ABA"/>
    <w:rsid w:val="004402A5"/>
    <w:rsid w:val="0044066B"/>
    <w:rsid w:val="0044149B"/>
    <w:rsid w:val="004418B6"/>
    <w:rsid w:val="00441FC1"/>
    <w:rsid w:val="004428D5"/>
    <w:rsid w:val="004430F4"/>
    <w:rsid w:val="004435A0"/>
    <w:rsid w:val="00443999"/>
    <w:rsid w:val="0044428F"/>
    <w:rsid w:val="00444AAF"/>
    <w:rsid w:val="00444DFF"/>
    <w:rsid w:val="00445023"/>
    <w:rsid w:val="004451D9"/>
    <w:rsid w:val="00445410"/>
    <w:rsid w:val="00445A49"/>
    <w:rsid w:val="00445FDE"/>
    <w:rsid w:val="00446649"/>
    <w:rsid w:val="00450B65"/>
    <w:rsid w:val="00451098"/>
    <w:rsid w:val="00451BA0"/>
    <w:rsid w:val="00452CA7"/>
    <w:rsid w:val="00453B90"/>
    <w:rsid w:val="00453E1A"/>
    <w:rsid w:val="00454CDD"/>
    <w:rsid w:val="00456E7E"/>
    <w:rsid w:val="004570FA"/>
    <w:rsid w:val="004604A3"/>
    <w:rsid w:val="004608DA"/>
    <w:rsid w:val="00460B12"/>
    <w:rsid w:val="00460BF8"/>
    <w:rsid w:val="004619F4"/>
    <w:rsid w:val="00461A24"/>
    <w:rsid w:val="00462191"/>
    <w:rsid w:val="00462DE7"/>
    <w:rsid w:val="00464943"/>
    <w:rsid w:val="00465C7B"/>
    <w:rsid w:val="00465E19"/>
    <w:rsid w:val="00467D10"/>
    <w:rsid w:val="00470F20"/>
    <w:rsid w:val="00471C0B"/>
    <w:rsid w:val="00471F4F"/>
    <w:rsid w:val="00472B64"/>
    <w:rsid w:val="00473C3B"/>
    <w:rsid w:val="004742EF"/>
    <w:rsid w:val="004751D2"/>
    <w:rsid w:val="0047598A"/>
    <w:rsid w:val="004769A5"/>
    <w:rsid w:val="00477612"/>
    <w:rsid w:val="004776A0"/>
    <w:rsid w:val="0047784B"/>
    <w:rsid w:val="00477A82"/>
    <w:rsid w:val="00477E3F"/>
    <w:rsid w:val="00477E66"/>
    <w:rsid w:val="00481341"/>
    <w:rsid w:val="00483E53"/>
    <w:rsid w:val="00484509"/>
    <w:rsid w:val="004848BE"/>
    <w:rsid w:val="00484D39"/>
    <w:rsid w:val="00484F2E"/>
    <w:rsid w:val="004854BA"/>
    <w:rsid w:val="00485E82"/>
    <w:rsid w:val="0048724A"/>
    <w:rsid w:val="004877FC"/>
    <w:rsid w:val="00487C00"/>
    <w:rsid w:val="00487C5E"/>
    <w:rsid w:val="00487D45"/>
    <w:rsid w:val="00487E76"/>
    <w:rsid w:val="0049000A"/>
    <w:rsid w:val="00491078"/>
    <w:rsid w:val="00491661"/>
    <w:rsid w:val="004918EE"/>
    <w:rsid w:val="00491C7B"/>
    <w:rsid w:val="00492160"/>
    <w:rsid w:val="00492B29"/>
    <w:rsid w:val="00493266"/>
    <w:rsid w:val="00494474"/>
    <w:rsid w:val="00495A1E"/>
    <w:rsid w:val="00495B13"/>
    <w:rsid w:val="004962A8"/>
    <w:rsid w:val="00496385"/>
    <w:rsid w:val="00496742"/>
    <w:rsid w:val="00496976"/>
    <w:rsid w:val="00496A1D"/>
    <w:rsid w:val="00496A5F"/>
    <w:rsid w:val="00497313"/>
    <w:rsid w:val="004A0E41"/>
    <w:rsid w:val="004A1408"/>
    <w:rsid w:val="004A18C8"/>
    <w:rsid w:val="004A1BE4"/>
    <w:rsid w:val="004A1EB0"/>
    <w:rsid w:val="004A1FCB"/>
    <w:rsid w:val="004A2717"/>
    <w:rsid w:val="004A3269"/>
    <w:rsid w:val="004A3960"/>
    <w:rsid w:val="004A3BC2"/>
    <w:rsid w:val="004A3D87"/>
    <w:rsid w:val="004A4BFC"/>
    <w:rsid w:val="004A5358"/>
    <w:rsid w:val="004A6101"/>
    <w:rsid w:val="004A62D0"/>
    <w:rsid w:val="004A6987"/>
    <w:rsid w:val="004A6DF8"/>
    <w:rsid w:val="004A6FAE"/>
    <w:rsid w:val="004A7A52"/>
    <w:rsid w:val="004B0532"/>
    <w:rsid w:val="004B0C53"/>
    <w:rsid w:val="004B0CEB"/>
    <w:rsid w:val="004B0DF2"/>
    <w:rsid w:val="004B1E1C"/>
    <w:rsid w:val="004B235F"/>
    <w:rsid w:val="004B3531"/>
    <w:rsid w:val="004B41BC"/>
    <w:rsid w:val="004B44E8"/>
    <w:rsid w:val="004B5FCB"/>
    <w:rsid w:val="004B6007"/>
    <w:rsid w:val="004B66A8"/>
    <w:rsid w:val="004B7920"/>
    <w:rsid w:val="004C04F1"/>
    <w:rsid w:val="004C0C3F"/>
    <w:rsid w:val="004C1370"/>
    <w:rsid w:val="004C164B"/>
    <w:rsid w:val="004C19FD"/>
    <w:rsid w:val="004C1E14"/>
    <w:rsid w:val="004C2B60"/>
    <w:rsid w:val="004C385A"/>
    <w:rsid w:val="004C3A2D"/>
    <w:rsid w:val="004C4206"/>
    <w:rsid w:val="004C4EB4"/>
    <w:rsid w:val="004C52D2"/>
    <w:rsid w:val="004C5884"/>
    <w:rsid w:val="004C6FEA"/>
    <w:rsid w:val="004D09F6"/>
    <w:rsid w:val="004D18C3"/>
    <w:rsid w:val="004D2130"/>
    <w:rsid w:val="004D219C"/>
    <w:rsid w:val="004D2699"/>
    <w:rsid w:val="004D3477"/>
    <w:rsid w:val="004D3A67"/>
    <w:rsid w:val="004D415F"/>
    <w:rsid w:val="004D43D9"/>
    <w:rsid w:val="004D4975"/>
    <w:rsid w:val="004D5859"/>
    <w:rsid w:val="004D5BD3"/>
    <w:rsid w:val="004D7FAC"/>
    <w:rsid w:val="004E018E"/>
    <w:rsid w:val="004E021A"/>
    <w:rsid w:val="004E060F"/>
    <w:rsid w:val="004E06E8"/>
    <w:rsid w:val="004E0A6A"/>
    <w:rsid w:val="004E1841"/>
    <w:rsid w:val="004E234E"/>
    <w:rsid w:val="004E23DA"/>
    <w:rsid w:val="004E2C14"/>
    <w:rsid w:val="004E4BE9"/>
    <w:rsid w:val="004E5480"/>
    <w:rsid w:val="004E58D0"/>
    <w:rsid w:val="004E598E"/>
    <w:rsid w:val="004E7F53"/>
    <w:rsid w:val="004E7FB6"/>
    <w:rsid w:val="004F0458"/>
    <w:rsid w:val="004F09FC"/>
    <w:rsid w:val="004F0C5D"/>
    <w:rsid w:val="004F0EA3"/>
    <w:rsid w:val="004F12F3"/>
    <w:rsid w:val="004F1312"/>
    <w:rsid w:val="004F1BA3"/>
    <w:rsid w:val="004F21CA"/>
    <w:rsid w:val="004F2C75"/>
    <w:rsid w:val="004F2DF8"/>
    <w:rsid w:val="004F3229"/>
    <w:rsid w:val="004F4143"/>
    <w:rsid w:val="004F6A97"/>
    <w:rsid w:val="004F71AE"/>
    <w:rsid w:val="004F7F0F"/>
    <w:rsid w:val="005000C7"/>
    <w:rsid w:val="00501049"/>
    <w:rsid w:val="00501215"/>
    <w:rsid w:val="00502E95"/>
    <w:rsid w:val="005032F6"/>
    <w:rsid w:val="0050345E"/>
    <w:rsid w:val="005035DF"/>
    <w:rsid w:val="00504177"/>
    <w:rsid w:val="00504BC6"/>
    <w:rsid w:val="00504DB1"/>
    <w:rsid w:val="00505335"/>
    <w:rsid w:val="005058BB"/>
    <w:rsid w:val="00505E62"/>
    <w:rsid w:val="00505ECE"/>
    <w:rsid w:val="00506B7E"/>
    <w:rsid w:val="00506CDC"/>
    <w:rsid w:val="00506EE0"/>
    <w:rsid w:val="00507620"/>
    <w:rsid w:val="00511132"/>
    <w:rsid w:val="005130ED"/>
    <w:rsid w:val="005133F4"/>
    <w:rsid w:val="0051380B"/>
    <w:rsid w:val="00514174"/>
    <w:rsid w:val="00514FFB"/>
    <w:rsid w:val="00515D1C"/>
    <w:rsid w:val="00516651"/>
    <w:rsid w:val="005176B5"/>
    <w:rsid w:val="0051797D"/>
    <w:rsid w:val="00520691"/>
    <w:rsid w:val="00520D44"/>
    <w:rsid w:val="005213BD"/>
    <w:rsid w:val="005217F7"/>
    <w:rsid w:val="0052193B"/>
    <w:rsid w:val="005223AE"/>
    <w:rsid w:val="00522953"/>
    <w:rsid w:val="00522B8E"/>
    <w:rsid w:val="00523009"/>
    <w:rsid w:val="005230C3"/>
    <w:rsid w:val="00523749"/>
    <w:rsid w:val="00523C34"/>
    <w:rsid w:val="00524C00"/>
    <w:rsid w:val="0052576E"/>
    <w:rsid w:val="00525964"/>
    <w:rsid w:val="00525D16"/>
    <w:rsid w:val="005264AA"/>
    <w:rsid w:val="00526856"/>
    <w:rsid w:val="00527E73"/>
    <w:rsid w:val="005305D9"/>
    <w:rsid w:val="005309DE"/>
    <w:rsid w:val="00531FED"/>
    <w:rsid w:val="005321AE"/>
    <w:rsid w:val="005322CA"/>
    <w:rsid w:val="00532CDE"/>
    <w:rsid w:val="0053301D"/>
    <w:rsid w:val="00534178"/>
    <w:rsid w:val="0053433B"/>
    <w:rsid w:val="005353BC"/>
    <w:rsid w:val="00535AD3"/>
    <w:rsid w:val="00535FDD"/>
    <w:rsid w:val="00540141"/>
    <w:rsid w:val="005408AC"/>
    <w:rsid w:val="00540A00"/>
    <w:rsid w:val="00541236"/>
    <w:rsid w:val="00541497"/>
    <w:rsid w:val="00541699"/>
    <w:rsid w:val="0054170A"/>
    <w:rsid w:val="00542071"/>
    <w:rsid w:val="00542147"/>
    <w:rsid w:val="00542CE8"/>
    <w:rsid w:val="00542E55"/>
    <w:rsid w:val="00543ADE"/>
    <w:rsid w:val="00544025"/>
    <w:rsid w:val="00544823"/>
    <w:rsid w:val="005462D4"/>
    <w:rsid w:val="00546C3B"/>
    <w:rsid w:val="00547F74"/>
    <w:rsid w:val="00547F76"/>
    <w:rsid w:val="005509D2"/>
    <w:rsid w:val="00550BAF"/>
    <w:rsid w:val="00551520"/>
    <w:rsid w:val="00551908"/>
    <w:rsid w:val="00551AD2"/>
    <w:rsid w:val="00552196"/>
    <w:rsid w:val="0055259A"/>
    <w:rsid w:val="00552E48"/>
    <w:rsid w:val="00553066"/>
    <w:rsid w:val="005534C8"/>
    <w:rsid w:val="0055373B"/>
    <w:rsid w:val="00553A0E"/>
    <w:rsid w:val="00553CE8"/>
    <w:rsid w:val="00553F03"/>
    <w:rsid w:val="00553F3F"/>
    <w:rsid w:val="005544FE"/>
    <w:rsid w:val="00554A4B"/>
    <w:rsid w:val="00554A71"/>
    <w:rsid w:val="0055524B"/>
    <w:rsid w:val="0055598B"/>
    <w:rsid w:val="00556C6D"/>
    <w:rsid w:val="00556D20"/>
    <w:rsid w:val="005570F8"/>
    <w:rsid w:val="00557DF2"/>
    <w:rsid w:val="00557EA0"/>
    <w:rsid w:val="00563586"/>
    <w:rsid w:val="00564E44"/>
    <w:rsid w:val="0056575F"/>
    <w:rsid w:val="00567719"/>
    <w:rsid w:val="005679F3"/>
    <w:rsid w:val="00570934"/>
    <w:rsid w:val="00571623"/>
    <w:rsid w:val="00571747"/>
    <w:rsid w:val="005730DD"/>
    <w:rsid w:val="005737BB"/>
    <w:rsid w:val="00574B3F"/>
    <w:rsid w:val="00574F8E"/>
    <w:rsid w:val="00575A67"/>
    <w:rsid w:val="00575C4F"/>
    <w:rsid w:val="00580033"/>
    <w:rsid w:val="00581542"/>
    <w:rsid w:val="00581AFE"/>
    <w:rsid w:val="0058244F"/>
    <w:rsid w:val="00583317"/>
    <w:rsid w:val="00583A6D"/>
    <w:rsid w:val="00583D77"/>
    <w:rsid w:val="005843D5"/>
    <w:rsid w:val="00585ABF"/>
    <w:rsid w:val="00585BCD"/>
    <w:rsid w:val="0058619D"/>
    <w:rsid w:val="00586351"/>
    <w:rsid w:val="005863F5"/>
    <w:rsid w:val="005867B6"/>
    <w:rsid w:val="00586E00"/>
    <w:rsid w:val="00586EA0"/>
    <w:rsid w:val="00587159"/>
    <w:rsid w:val="00590406"/>
    <w:rsid w:val="00590F25"/>
    <w:rsid w:val="00591A23"/>
    <w:rsid w:val="00591ED6"/>
    <w:rsid w:val="005920A2"/>
    <w:rsid w:val="005929A3"/>
    <w:rsid w:val="0059300E"/>
    <w:rsid w:val="00593E33"/>
    <w:rsid w:val="00593E67"/>
    <w:rsid w:val="00594121"/>
    <w:rsid w:val="00594255"/>
    <w:rsid w:val="00594547"/>
    <w:rsid w:val="005946B4"/>
    <w:rsid w:val="00594D5D"/>
    <w:rsid w:val="00596368"/>
    <w:rsid w:val="005966A7"/>
    <w:rsid w:val="00596F47"/>
    <w:rsid w:val="0059799F"/>
    <w:rsid w:val="005A0FE8"/>
    <w:rsid w:val="005A0FFE"/>
    <w:rsid w:val="005A142D"/>
    <w:rsid w:val="005A1F5F"/>
    <w:rsid w:val="005A2F68"/>
    <w:rsid w:val="005A2F9E"/>
    <w:rsid w:val="005A3770"/>
    <w:rsid w:val="005A4911"/>
    <w:rsid w:val="005A497A"/>
    <w:rsid w:val="005A5601"/>
    <w:rsid w:val="005A64E8"/>
    <w:rsid w:val="005A71F6"/>
    <w:rsid w:val="005A7A93"/>
    <w:rsid w:val="005A7B89"/>
    <w:rsid w:val="005B028B"/>
    <w:rsid w:val="005B06EE"/>
    <w:rsid w:val="005B0AB1"/>
    <w:rsid w:val="005B0B38"/>
    <w:rsid w:val="005B0D8E"/>
    <w:rsid w:val="005B2D3E"/>
    <w:rsid w:val="005B33DB"/>
    <w:rsid w:val="005B41E7"/>
    <w:rsid w:val="005B46DE"/>
    <w:rsid w:val="005B50D8"/>
    <w:rsid w:val="005B6B7B"/>
    <w:rsid w:val="005B6EB5"/>
    <w:rsid w:val="005C0132"/>
    <w:rsid w:val="005C0335"/>
    <w:rsid w:val="005C06ED"/>
    <w:rsid w:val="005C1652"/>
    <w:rsid w:val="005C2074"/>
    <w:rsid w:val="005C316C"/>
    <w:rsid w:val="005C4138"/>
    <w:rsid w:val="005C46EB"/>
    <w:rsid w:val="005C47B6"/>
    <w:rsid w:val="005C4C97"/>
    <w:rsid w:val="005C5445"/>
    <w:rsid w:val="005C54F9"/>
    <w:rsid w:val="005C5A43"/>
    <w:rsid w:val="005C6520"/>
    <w:rsid w:val="005C6D73"/>
    <w:rsid w:val="005C7149"/>
    <w:rsid w:val="005C734C"/>
    <w:rsid w:val="005C7984"/>
    <w:rsid w:val="005D01A9"/>
    <w:rsid w:val="005D06D1"/>
    <w:rsid w:val="005D0A4A"/>
    <w:rsid w:val="005D15C6"/>
    <w:rsid w:val="005D19FD"/>
    <w:rsid w:val="005D241E"/>
    <w:rsid w:val="005D37D4"/>
    <w:rsid w:val="005D4118"/>
    <w:rsid w:val="005D4B1C"/>
    <w:rsid w:val="005D50F5"/>
    <w:rsid w:val="005D5461"/>
    <w:rsid w:val="005D5855"/>
    <w:rsid w:val="005D5D15"/>
    <w:rsid w:val="005D5F81"/>
    <w:rsid w:val="005D72DC"/>
    <w:rsid w:val="005E024F"/>
    <w:rsid w:val="005E02BF"/>
    <w:rsid w:val="005E0C8F"/>
    <w:rsid w:val="005E1773"/>
    <w:rsid w:val="005E2507"/>
    <w:rsid w:val="005E27CD"/>
    <w:rsid w:val="005E33BF"/>
    <w:rsid w:val="005E3BB5"/>
    <w:rsid w:val="005E5073"/>
    <w:rsid w:val="005E5092"/>
    <w:rsid w:val="005E5714"/>
    <w:rsid w:val="005E615B"/>
    <w:rsid w:val="005E748D"/>
    <w:rsid w:val="005E7E76"/>
    <w:rsid w:val="005F4983"/>
    <w:rsid w:val="005F502D"/>
    <w:rsid w:val="005F5102"/>
    <w:rsid w:val="005F55B4"/>
    <w:rsid w:val="005F56DC"/>
    <w:rsid w:val="005F57F1"/>
    <w:rsid w:val="005F60A7"/>
    <w:rsid w:val="005F7472"/>
    <w:rsid w:val="005F7D93"/>
    <w:rsid w:val="006014CE"/>
    <w:rsid w:val="00601517"/>
    <w:rsid w:val="00601FF1"/>
    <w:rsid w:val="00602492"/>
    <w:rsid w:val="0060263E"/>
    <w:rsid w:val="00603315"/>
    <w:rsid w:val="00603D4B"/>
    <w:rsid w:val="00604949"/>
    <w:rsid w:val="006052F1"/>
    <w:rsid w:val="0060658F"/>
    <w:rsid w:val="00607132"/>
    <w:rsid w:val="00607438"/>
    <w:rsid w:val="006078CD"/>
    <w:rsid w:val="00610305"/>
    <w:rsid w:val="00610A70"/>
    <w:rsid w:val="00610FD1"/>
    <w:rsid w:val="00612321"/>
    <w:rsid w:val="006129BA"/>
    <w:rsid w:val="00612EF7"/>
    <w:rsid w:val="0061395E"/>
    <w:rsid w:val="0061632E"/>
    <w:rsid w:val="0061747F"/>
    <w:rsid w:val="00617963"/>
    <w:rsid w:val="00617A0C"/>
    <w:rsid w:val="00617D9F"/>
    <w:rsid w:val="00620DE3"/>
    <w:rsid w:val="00621119"/>
    <w:rsid w:val="00621D50"/>
    <w:rsid w:val="006225D3"/>
    <w:rsid w:val="00622A70"/>
    <w:rsid w:val="0062353D"/>
    <w:rsid w:val="006235F6"/>
    <w:rsid w:val="0062392F"/>
    <w:rsid w:val="00623D1E"/>
    <w:rsid w:val="006247A2"/>
    <w:rsid w:val="00624F0E"/>
    <w:rsid w:val="00625374"/>
    <w:rsid w:val="00625B2F"/>
    <w:rsid w:val="00626302"/>
    <w:rsid w:val="006276FB"/>
    <w:rsid w:val="00627EF0"/>
    <w:rsid w:val="00630489"/>
    <w:rsid w:val="00630732"/>
    <w:rsid w:val="00630AB7"/>
    <w:rsid w:val="00630D39"/>
    <w:rsid w:val="00631012"/>
    <w:rsid w:val="006316FF"/>
    <w:rsid w:val="006333E8"/>
    <w:rsid w:val="006337B5"/>
    <w:rsid w:val="006338A1"/>
    <w:rsid w:val="0063448D"/>
    <w:rsid w:val="00634DB9"/>
    <w:rsid w:val="006350D2"/>
    <w:rsid w:val="00635DAD"/>
    <w:rsid w:val="00635EE7"/>
    <w:rsid w:val="006365EB"/>
    <w:rsid w:val="00636ED7"/>
    <w:rsid w:val="0063750A"/>
    <w:rsid w:val="0064060C"/>
    <w:rsid w:val="00641684"/>
    <w:rsid w:val="00642361"/>
    <w:rsid w:val="00642372"/>
    <w:rsid w:val="00642463"/>
    <w:rsid w:val="00643925"/>
    <w:rsid w:val="00643DA7"/>
    <w:rsid w:val="00644DDF"/>
    <w:rsid w:val="00645DCE"/>
    <w:rsid w:val="006461AB"/>
    <w:rsid w:val="00646C5A"/>
    <w:rsid w:val="00646E7C"/>
    <w:rsid w:val="0064764F"/>
    <w:rsid w:val="006513B3"/>
    <w:rsid w:val="00652A78"/>
    <w:rsid w:val="00652A8F"/>
    <w:rsid w:val="00653581"/>
    <w:rsid w:val="006535E6"/>
    <w:rsid w:val="00653A10"/>
    <w:rsid w:val="00653A24"/>
    <w:rsid w:val="00653E50"/>
    <w:rsid w:val="0065483C"/>
    <w:rsid w:val="006551BA"/>
    <w:rsid w:val="006553A6"/>
    <w:rsid w:val="00655A1E"/>
    <w:rsid w:val="00655AAE"/>
    <w:rsid w:val="00655AE7"/>
    <w:rsid w:val="0065636A"/>
    <w:rsid w:val="006568FC"/>
    <w:rsid w:val="00657426"/>
    <w:rsid w:val="00660568"/>
    <w:rsid w:val="0066092E"/>
    <w:rsid w:val="00661082"/>
    <w:rsid w:val="006613A5"/>
    <w:rsid w:val="006613D4"/>
    <w:rsid w:val="006617B7"/>
    <w:rsid w:val="006628AC"/>
    <w:rsid w:val="00662E88"/>
    <w:rsid w:val="00663483"/>
    <w:rsid w:val="0066388E"/>
    <w:rsid w:val="00664C63"/>
    <w:rsid w:val="0066595F"/>
    <w:rsid w:val="006659BF"/>
    <w:rsid w:val="00665B29"/>
    <w:rsid w:val="00666056"/>
    <w:rsid w:val="006660DB"/>
    <w:rsid w:val="006675E5"/>
    <w:rsid w:val="006701B8"/>
    <w:rsid w:val="006703CA"/>
    <w:rsid w:val="00670563"/>
    <w:rsid w:val="00670730"/>
    <w:rsid w:val="00670BC0"/>
    <w:rsid w:val="00671A3E"/>
    <w:rsid w:val="00673646"/>
    <w:rsid w:val="00673CDA"/>
    <w:rsid w:val="0067400B"/>
    <w:rsid w:val="006744D1"/>
    <w:rsid w:val="00674802"/>
    <w:rsid w:val="0067490E"/>
    <w:rsid w:val="006749A2"/>
    <w:rsid w:val="00674BED"/>
    <w:rsid w:val="00674ECD"/>
    <w:rsid w:val="006756EA"/>
    <w:rsid w:val="00675C2C"/>
    <w:rsid w:val="00676274"/>
    <w:rsid w:val="00676354"/>
    <w:rsid w:val="00676CE0"/>
    <w:rsid w:val="00680845"/>
    <w:rsid w:val="00680CC4"/>
    <w:rsid w:val="00681B82"/>
    <w:rsid w:val="00681E5A"/>
    <w:rsid w:val="00682541"/>
    <w:rsid w:val="00682E11"/>
    <w:rsid w:val="00683C72"/>
    <w:rsid w:val="006844F1"/>
    <w:rsid w:val="00684A76"/>
    <w:rsid w:val="00684B92"/>
    <w:rsid w:val="00684D17"/>
    <w:rsid w:val="00687108"/>
    <w:rsid w:val="00687D64"/>
    <w:rsid w:val="00690599"/>
    <w:rsid w:val="006909AB"/>
    <w:rsid w:val="00691CB0"/>
    <w:rsid w:val="00691FFA"/>
    <w:rsid w:val="00692CF6"/>
    <w:rsid w:val="00692E69"/>
    <w:rsid w:val="00693662"/>
    <w:rsid w:val="006939A6"/>
    <w:rsid w:val="00693BF9"/>
    <w:rsid w:val="006949C2"/>
    <w:rsid w:val="006957DB"/>
    <w:rsid w:val="00696828"/>
    <w:rsid w:val="00697051"/>
    <w:rsid w:val="0069734C"/>
    <w:rsid w:val="006976F0"/>
    <w:rsid w:val="006979B6"/>
    <w:rsid w:val="006A02E6"/>
    <w:rsid w:val="006A083A"/>
    <w:rsid w:val="006A1AEB"/>
    <w:rsid w:val="006A1BE1"/>
    <w:rsid w:val="006A1CC9"/>
    <w:rsid w:val="006A1FDB"/>
    <w:rsid w:val="006A37E7"/>
    <w:rsid w:val="006A3C04"/>
    <w:rsid w:val="006A47DF"/>
    <w:rsid w:val="006A48F4"/>
    <w:rsid w:val="006A4BA7"/>
    <w:rsid w:val="006A5B69"/>
    <w:rsid w:val="006A6C03"/>
    <w:rsid w:val="006B022B"/>
    <w:rsid w:val="006B02A8"/>
    <w:rsid w:val="006B0351"/>
    <w:rsid w:val="006B1A1A"/>
    <w:rsid w:val="006B2BA3"/>
    <w:rsid w:val="006B2E6B"/>
    <w:rsid w:val="006B2EE9"/>
    <w:rsid w:val="006B59E9"/>
    <w:rsid w:val="006B62AE"/>
    <w:rsid w:val="006B635D"/>
    <w:rsid w:val="006B6FBE"/>
    <w:rsid w:val="006B7B45"/>
    <w:rsid w:val="006B7B7E"/>
    <w:rsid w:val="006C0160"/>
    <w:rsid w:val="006C01AF"/>
    <w:rsid w:val="006C1A26"/>
    <w:rsid w:val="006C1EEB"/>
    <w:rsid w:val="006C3ACC"/>
    <w:rsid w:val="006C3FD2"/>
    <w:rsid w:val="006C483B"/>
    <w:rsid w:val="006C4841"/>
    <w:rsid w:val="006C4B58"/>
    <w:rsid w:val="006C6024"/>
    <w:rsid w:val="006C6271"/>
    <w:rsid w:val="006C634C"/>
    <w:rsid w:val="006C6A76"/>
    <w:rsid w:val="006C73C9"/>
    <w:rsid w:val="006C7F3C"/>
    <w:rsid w:val="006C7F4F"/>
    <w:rsid w:val="006D0BAF"/>
    <w:rsid w:val="006D0D74"/>
    <w:rsid w:val="006D21B7"/>
    <w:rsid w:val="006D2E88"/>
    <w:rsid w:val="006D3B03"/>
    <w:rsid w:val="006D4211"/>
    <w:rsid w:val="006D4577"/>
    <w:rsid w:val="006D54D3"/>
    <w:rsid w:val="006D57FF"/>
    <w:rsid w:val="006D584E"/>
    <w:rsid w:val="006D5EC2"/>
    <w:rsid w:val="006D6360"/>
    <w:rsid w:val="006D6520"/>
    <w:rsid w:val="006D6E3F"/>
    <w:rsid w:val="006D7877"/>
    <w:rsid w:val="006D7F31"/>
    <w:rsid w:val="006E006B"/>
    <w:rsid w:val="006E1891"/>
    <w:rsid w:val="006E3538"/>
    <w:rsid w:val="006E4A76"/>
    <w:rsid w:val="006E4BAB"/>
    <w:rsid w:val="006E52AE"/>
    <w:rsid w:val="006E5BB7"/>
    <w:rsid w:val="006E5C4F"/>
    <w:rsid w:val="006E6007"/>
    <w:rsid w:val="006E6EAE"/>
    <w:rsid w:val="006E6FF7"/>
    <w:rsid w:val="006E7054"/>
    <w:rsid w:val="006E7956"/>
    <w:rsid w:val="006F0026"/>
    <w:rsid w:val="006F062E"/>
    <w:rsid w:val="006F0CDB"/>
    <w:rsid w:val="006F1B9B"/>
    <w:rsid w:val="006F23E9"/>
    <w:rsid w:val="006F259A"/>
    <w:rsid w:val="006F25E5"/>
    <w:rsid w:val="006F29B7"/>
    <w:rsid w:val="006F31E1"/>
    <w:rsid w:val="006F3497"/>
    <w:rsid w:val="006F41DA"/>
    <w:rsid w:val="006F48EF"/>
    <w:rsid w:val="006F52CB"/>
    <w:rsid w:val="006F572A"/>
    <w:rsid w:val="006F57DE"/>
    <w:rsid w:val="006F614A"/>
    <w:rsid w:val="006F70F7"/>
    <w:rsid w:val="007000A5"/>
    <w:rsid w:val="007003AA"/>
    <w:rsid w:val="0070047A"/>
    <w:rsid w:val="00700833"/>
    <w:rsid w:val="00702685"/>
    <w:rsid w:val="00702A32"/>
    <w:rsid w:val="00704F5D"/>
    <w:rsid w:val="00705A48"/>
    <w:rsid w:val="00705BA0"/>
    <w:rsid w:val="00706050"/>
    <w:rsid w:val="007065FB"/>
    <w:rsid w:val="00706850"/>
    <w:rsid w:val="0070721E"/>
    <w:rsid w:val="0070742B"/>
    <w:rsid w:val="00707BA5"/>
    <w:rsid w:val="00710789"/>
    <w:rsid w:val="007107B9"/>
    <w:rsid w:val="00710A58"/>
    <w:rsid w:val="00710DF2"/>
    <w:rsid w:val="007118B8"/>
    <w:rsid w:val="0071206F"/>
    <w:rsid w:val="00712B60"/>
    <w:rsid w:val="0071504F"/>
    <w:rsid w:val="00715E14"/>
    <w:rsid w:val="00716DA7"/>
    <w:rsid w:val="007171CA"/>
    <w:rsid w:val="00717CC9"/>
    <w:rsid w:val="00720006"/>
    <w:rsid w:val="007206DD"/>
    <w:rsid w:val="0072085F"/>
    <w:rsid w:val="00720909"/>
    <w:rsid w:val="00720C30"/>
    <w:rsid w:val="00721CD1"/>
    <w:rsid w:val="0072312F"/>
    <w:rsid w:val="00723970"/>
    <w:rsid w:val="007247A6"/>
    <w:rsid w:val="00725203"/>
    <w:rsid w:val="00725BBE"/>
    <w:rsid w:val="00727342"/>
    <w:rsid w:val="00727D0E"/>
    <w:rsid w:val="00727F01"/>
    <w:rsid w:val="007307AA"/>
    <w:rsid w:val="007319CB"/>
    <w:rsid w:val="0073248F"/>
    <w:rsid w:val="007324D4"/>
    <w:rsid w:val="00732911"/>
    <w:rsid w:val="00732BF7"/>
    <w:rsid w:val="00733D53"/>
    <w:rsid w:val="0073450D"/>
    <w:rsid w:val="00734626"/>
    <w:rsid w:val="00735361"/>
    <w:rsid w:val="007354D8"/>
    <w:rsid w:val="00735BA0"/>
    <w:rsid w:val="00735DDF"/>
    <w:rsid w:val="007368C2"/>
    <w:rsid w:val="00736B89"/>
    <w:rsid w:val="00736D7B"/>
    <w:rsid w:val="0073711D"/>
    <w:rsid w:val="00737FD3"/>
    <w:rsid w:val="007411D6"/>
    <w:rsid w:val="00741587"/>
    <w:rsid w:val="00741C6C"/>
    <w:rsid w:val="0074210F"/>
    <w:rsid w:val="007422CF"/>
    <w:rsid w:val="00743315"/>
    <w:rsid w:val="00743AD9"/>
    <w:rsid w:val="00743F7B"/>
    <w:rsid w:val="00744335"/>
    <w:rsid w:val="00744A48"/>
    <w:rsid w:val="00745262"/>
    <w:rsid w:val="00745E1D"/>
    <w:rsid w:val="00746798"/>
    <w:rsid w:val="00746FDE"/>
    <w:rsid w:val="007470B9"/>
    <w:rsid w:val="0074758D"/>
    <w:rsid w:val="007476C1"/>
    <w:rsid w:val="00750678"/>
    <w:rsid w:val="00750B45"/>
    <w:rsid w:val="00750F14"/>
    <w:rsid w:val="007511CC"/>
    <w:rsid w:val="00751443"/>
    <w:rsid w:val="00751721"/>
    <w:rsid w:val="00751A55"/>
    <w:rsid w:val="0075207E"/>
    <w:rsid w:val="00752089"/>
    <w:rsid w:val="007531A0"/>
    <w:rsid w:val="00753736"/>
    <w:rsid w:val="00754352"/>
    <w:rsid w:val="00754AA7"/>
    <w:rsid w:val="0075647A"/>
    <w:rsid w:val="007568DC"/>
    <w:rsid w:val="00756C35"/>
    <w:rsid w:val="00757582"/>
    <w:rsid w:val="00761E57"/>
    <w:rsid w:val="00763236"/>
    <w:rsid w:val="00763817"/>
    <w:rsid w:val="00763C39"/>
    <w:rsid w:val="00763EE0"/>
    <w:rsid w:val="007643C0"/>
    <w:rsid w:val="00765A36"/>
    <w:rsid w:val="007661D2"/>
    <w:rsid w:val="00767D58"/>
    <w:rsid w:val="007706FD"/>
    <w:rsid w:val="00770801"/>
    <w:rsid w:val="00771CD0"/>
    <w:rsid w:val="00772337"/>
    <w:rsid w:val="00774621"/>
    <w:rsid w:val="00774690"/>
    <w:rsid w:val="00774805"/>
    <w:rsid w:val="0077654B"/>
    <w:rsid w:val="00776CA7"/>
    <w:rsid w:val="00776E22"/>
    <w:rsid w:val="00781F7D"/>
    <w:rsid w:val="00782073"/>
    <w:rsid w:val="00783530"/>
    <w:rsid w:val="007844C8"/>
    <w:rsid w:val="0078467D"/>
    <w:rsid w:val="007850DE"/>
    <w:rsid w:val="00787C48"/>
    <w:rsid w:val="0079093A"/>
    <w:rsid w:val="00791133"/>
    <w:rsid w:val="00791143"/>
    <w:rsid w:val="00792223"/>
    <w:rsid w:val="00792C03"/>
    <w:rsid w:val="00792D10"/>
    <w:rsid w:val="00793944"/>
    <w:rsid w:val="00793B10"/>
    <w:rsid w:val="007946AF"/>
    <w:rsid w:val="007959B8"/>
    <w:rsid w:val="00795A01"/>
    <w:rsid w:val="00796717"/>
    <w:rsid w:val="00796C3B"/>
    <w:rsid w:val="00797351"/>
    <w:rsid w:val="0079743D"/>
    <w:rsid w:val="00797772"/>
    <w:rsid w:val="00797DA2"/>
    <w:rsid w:val="007A1530"/>
    <w:rsid w:val="007A17F1"/>
    <w:rsid w:val="007A1859"/>
    <w:rsid w:val="007A27A6"/>
    <w:rsid w:val="007A38B9"/>
    <w:rsid w:val="007A4FCA"/>
    <w:rsid w:val="007A519B"/>
    <w:rsid w:val="007A5FED"/>
    <w:rsid w:val="007A7CFF"/>
    <w:rsid w:val="007A7D90"/>
    <w:rsid w:val="007B0039"/>
    <w:rsid w:val="007B01CF"/>
    <w:rsid w:val="007B1446"/>
    <w:rsid w:val="007B150C"/>
    <w:rsid w:val="007B3CEF"/>
    <w:rsid w:val="007B4D5C"/>
    <w:rsid w:val="007B4FFD"/>
    <w:rsid w:val="007B590C"/>
    <w:rsid w:val="007B60BD"/>
    <w:rsid w:val="007B7A92"/>
    <w:rsid w:val="007B7E9F"/>
    <w:rsid w:val="007C0C12"/>
    <w:rsid w:val="007C12E8"/>
    <w:rsid w:val="007C2CB2"/>
    <w:rsid w:val="007C2E23"/>
    <w:rsid w:val="007C3139"/>
    <w:rsid w:val="007C3565"/>
    <w:rsid w:val="007C42BB"/>
    <w:rsid w:val="007C45CA"/>
    <w:rsid w:val="007C46A0"/>
    <w:rsid w:val="007C5070"/>
    <w:rsid w:val="007C51B6"/>
    <w:rsid w:val="007C663D"/>
    <w:rsid w:val="007D008E"/>
    <w:rsid w:val="007D07C4"/>
    <w:rsid w:val="007D0AF0"/>
    <w:rsid w:val="007D224B"/>
    <w:rsid w:val="007D4E85"/>
    <w:rsid w:val="007D50EF"/>
    <w:rsid w:val="007D5C7E"/>
    <w:rsid w:val="007D653A"/>
    <w:rsid w:val="007D69E1"/>
    <w:rsid w:val="007D6A1E"/>
    <w:rsid w:val="007E0064"/>
    <w:rsid w:val="007E04A2"/>
    <w:rsid w:val="007E09E9"/>
    <w:rsid w:val="007E0A8F"/>
    <w:rsid w:val="007E0B3E"/>
    <w:rsid w:val="007E12A2"/>
    <w:rsid w:val="007E12D3"/>
    <w:rsid w:val="007E13EB"/>
    <w:rsid w:val="007E2155"/>
    <w:rsid w:val="007E3446"/>
    <w:rsid w:val="007E3FA7"/>
    <w:rsid w:val="007E4D1E"/>
    <w:rsid w:val="007E66D0"/>
    <w:rsid w:val="007E6835"/>
    <w:rsid w:val="007E6F46"/>
    <w:rsid w:val="007F04B2"/>
    <w:rsid w:val="007F095D"/>
    <w:rsid w:val="007F1DAE"/>
    <w:rsid w:val="007F24B9"/>
    <w:rsid w:val="007F26C7"/>
    <w:rsid w:val="007F3388"/>
    <w:rsid w:val="007F347D"/>
    <w:rsid w:val="007F3571"/>
    <w:rsid w:val="007F497A"/>
    <w:rsid w:val="007F4D6C"/>
    <w:rsid w:val="007F5CA4"/>
    <w:rsid w:val="007F5CF0"/>
    <w:rsid w:val="007F5DC6"/>
    <w:rsid w:val="007F5EAC"/>
    <w:rsid w:val="007F6251"/>
    <w:rsid w:val="007F6461"/>
    <w:rsid w:val="007F6BAE"/>
    <w:rsid w:val="007F6F77"/>
    <w:rsid w:val="007F7B5C"/>
    <w:rsid w:val="007F7D2F"/>
    <w:rsid w:val="00801B8F"/>
    <w:rsid w:val="0080256F"/>
    <w:rsid w:val="00802BF1"/>
    <w:rsid w:val="00802FF1"/>
    <w:rsid w:val="008034DB"/>
    <w:rsid w:val="008041E6"/>
    <w:rsid w:val="008041FF"/>
    <w:rsid w:val="00805D68"/>
    <w:rsid w:val="00806471"/>
    <w:rsid w:val="00807263"/>
    <w:rsid w:val="0080751A"/>
    <w:rsid w:val="0080752D"/>
    <w:rsid w:val="00807F81"/>
    <w:rsid w:val="0081226D"/>
    <w:rsid w:val="00812349"/>
    <w:rsid w:val="008123CB"/>
    <w:rsid w:val="00812892"/>
    <w:rsid w:val="008129F2"/>
    <w:rsid w:val="008137C4"/>
    <w:rsid w:val="00813B83"/>
    <w:rsid w:val="008150EA"/>
    <w:rsid w:val="0081516B"/>
    <w:rsid w:val="00815355"/>
    <w:rsid w:val="00815C9B"/>
    <w:rsid w:val="00815EF5"/>
    <w:rsid w:val="00816175"/>
    <w:rsid w:val="00816809"/>
    <w:rsid w:val="00817C2F"/>
    <w:rsid w:val="00820059"/>
    <w:rsid w:val="00820AAF"/>
    <w:rsid w:val="00820D3A"/>
    <w:rsid w:val="00821900"/>
    <w:rsid w:val="00821A21"/>
    <w:rsid w:val="00821B0A"/>
    <w:rsid w:val="00821D52"/>
    <w:rsid w:val="00822140"/>
    <w:rsid w:val="00822285"/>
    <w:rsid w:val="00822350"/>
    <w:rsid w:val="00822352"/>
    <w:rsid w:val="008228D5"/>
    <w:rsid w:val="00823081"/>
    <w:rsid w:val="0082315F"/>
    <w:rsid w:val="00824223"/>
    <w:rsid w:val="0082471D"/>
    <w:rsid w:val="00824957"/>
    <w:rsid w:val="00824986"/>
    <w:rsid w:val="00824FA1"/>
    <w:rsid w:val="00825E5A"/>
    <w:rsid w:val="0082623F"/>
    <w:rsid w:val="0082649C"/>
    <w:rsid w:val="00827A57"/>
    <w:rsid w:val="00830BFA"/>
    <w:rsid w:val="00831827"/>
    <w:rsid w:val="008318D7"/>
    <w:rsid w:val="0083217B"/>
    <w:rsid w:val="00833015"/>
    <w:rsid w:val="0083304A"/>
    <w:rsid w:val="0083382A"/>
    <w:rsid w:val="00834071"/>
    <w:rsid w:val="008342FB"/>
    <w:rsid w:val="0083555E"/>
    <w:rsid w:val="00837874"/>
    <w:rsid w:val="008409CC"/>
    <w:rsid w:val="00840BAF"/>
    <w:rsid w:val="008423A6"/>
    <w:rsid w:val="00842B65"/>
    <w:rsid w:val="00842CFE"/>
    <w:rsid w:val="00843259"/>
    <w:rsid w:val="0084352C"/>
    <w:rsid w:val="00844B24"/>
    <w:rsid w:val="00845105"/>
    <w:rsid w:val="008465BB"/>
    <w:rsid w:val="008472A2"/>
    <w:rsid w:val="0085169E"/>
    <w:rsid w:val="00851C15"/>
    <w:rsid w:val="00852846"/>
    <w:rsid w:val="0085398C"/>
    <w:rsid w:val="00853EF1"/>
    <w:rsid w:val="0085419D"/>
    <w:rsid w:val="008541D3"/>
    <w:rsid w:val="0085445A"/>
    <w:rsid w:val="00854BF1"/>
    <w:rsid w:val="00855207"/>
    <w:rsid w:val="00855270"/>
    <w:rsid w:val="008558F8"/>
    <w:rsid w:val="00855984"/>
    <w:rsid w:val="00857C2E"/>
    <w:rsid w:val="008600F0"/>
    <w:rsid w:val="008601F7"/>
    <w:rsid w:val="00860B35"/>
    <w:rsid w:val="00860EF7"/>
    <w:rsid w:val="00861A9E"/>
    <w:rsid w:val="008626B5"/>
    <w:rsid w:val="00862779"/>
    <w:rsid w:val="00862CE5"/>
    <w:rsid w:val="00863D5F"/>
    <w:rsid w:val="00863E40"/>
    <w:rsid w:val="00863E6E"/>
    <w:rsid w:val="0086426F"/>
    <w:rsid w:val="008642EA"/>
    <w:rsid w:val="00864396"/>
    <w:rsid w:val="008648B1"/>
    <w:rsid w:val="00864CEE"/>
    <w:rsid w:val="00865929"/>
    <w:rsid w:val="00867467"/>
    <w:rsid w:val="00867A31"/>
    <w:rsid w:val="00870520"/>
    <w:rsid w:val="008707D7"/>
    <w:rsid w:val="00872366"/>
    <w:rsid w:val="008725E4"/>
    <w:rsid w:val="00872FAD"/>
    <w:rsid w:val="008730D2"/>
    <w:rsid w:val="00873286"/>
    <w:rsid w:val="00873657"/>
    <w:rsid w:val="0087400B"/>
    <w:rsid w:val="0087440C"/>
    <w:rsid w:val="00874C19"/>
    <w:rsid w:val="00875114"/>
    <w:rsid w:val="008753AD"/>
    <w:rsid w:val="00875AFE"/>
    <w:rsid w:val="00875F91"/>
    <w:rsid w:val="00876985"/>
    <w:rsid w:val="00876A95"/>
    <w:rsid w:val="00877AA9"/>
    <w:rsid w:val="008801C4"/>
    <w:rsid w:val="0088027D"/>
    <w:rsid w:val="008814F0"/>
    <w:rsid w:val="00881B29"/>
    <w:rsid w:val="00881C9D"/>
    <w:rsid w:val="00881F1B"/>
    <w:rsid w:val="00883438"/>
    <w:rsid w:val="008837C5"/>
    <w:rsid w:val="00883A24"/>
    <w:rsid w:val="00884D6F"/>
    <w:rsid w:val="00885BE9"/>
    <w:rsid w:val="008868D1"/>
    <w:rsid w:val="008873C5"/>
    <w:rsid w:val="00887437"/>
    <w:rsid w:val="0088749C"/>
    <w:rsid w:val="00887C19"/>
    <w:rsid w:val="00887E81"/>
    <w:rsid w:val="008903B0"/>
    <w:rsid w:val="008907D3"/>
    <w:rsid w:val="008908AD"/>
    <w:rsid w:val="0089115F"/>
    <w:rsid w:val="0089174E"/>
    <w:rsid w:val="00891E6D"/>
    <w:rsid w:val="00891FFC"/>
    <w:rsid w:val="00892127"/>
    <w:rsid w:val="00894CE2"/>
    <w:rsid w:val="00895BA7"/>
    <w:rsid w:val="00895BCD"/>
    <w:rsid w:val="00895C33"/>
    <w:rsid w:val="00895EAD"/>
    <w:rsid w:val="00895EFD"/>
    <w:rsid w:val="00896D8A"/>
    <w:rsid w:val="008A0515"/>
    <w:rsid w:val="008A054E"/>
    <w:rsid w:val="008A074C"/>
    <w:rsid w:val="008A1ED6"/>
    <w:rsid w:val="008A2539"/>
    <w:rsid w:val="008A3343"/>
    <w:rsid w:val="008A38AE"/>
    <w:rsid w:val="008A4688"/>
    <w:rsid w:val="008A4969"/>
    <w:rsid w:val="008A4A3C"/>
    <w:rsid w:val="008A5036"/>
    <w:rsid w:val="008A58E0"/>
    <w:rsid w:val="008B07B3"/>
    <w:rsid w:val="008B0BD1"/>
    <w:rsid w:val="008B0E7D"/>
    <w:rsid w:val="008B24CA"/>
    <w:rsid w:val="008B2B82"/>
    <w:rsid w:val="008B3365"/>
    <w:rsid w:val="008B4034"/>
    <w:rsid w:val="008B4602"/>
    <w:rsid w:val="008B4B6A"/>
    <w:rsid w:val="008B4D3C"/>
    <w:rsid w:val="008B5192"/>
    <w:rsid w:val="008B5D53"/>
    <w:rsid w:val="008B60E6"/>
    <w:rsid w:val="008B7F3D"/>
    <w:rsid w:val="008B7F88"/>
    <w:rsid w:val="008C1539"/>
    <w:rsid w:val="008C1962"/>
    <w:rsid w:val="008C27CF"/>
    <w:rsid w:val="008C284D"/>
    <w:rsid w:val="008C2D32"/>
    <w:rsid w:val="008C3143"/>
    <w:rsid w:val="008C328D"/>
    <w:rsid w:val="008C33E1"/>
    <w:rsid w:val="008C38A8"/>
    <w:rsid w:val="008C3B27"/>
    <w:rsid w:val="008C512F"/>
    <w:rsid w:val="008C5163"/>
    <w:rsid w:val="008C63C3"/>
    <w:rsid w:val="008C6539"/>
    <w:rsid w:val="008C6976"/>
    <w:rsid w:val="008C6DDF"/>
    <w:rsid w:val="008C6F26"/>
    <w:rsid w:val="008C7830"/>
    <w:rsid w:val="008C7B77"/>
    <w:rsid w:val="008D0200"/>
    <w:rsid w:val="008D159E"/>
    <w:rsid w:val="008D16E0"/>
    <w:rsid w:val="008D1912"/>
    <w:rsid w:val="008D2189"/>
    <w:rsid w:val="008D2437"/>
    <w:rsid w:val="008D29F2"/>
    <w:rsid w:val="008D3159"/>
    <w:rsid w:val="008D3176"/>
    <w:rsid w:val="008D31C3"/>
    <w:rsid w:val="008D38AC"/>
    <w:rsid w:val="008D40EE"/>
    <w:rsid w:val="008D42DC"/>
    <w:rsid w:val="008D550E"/>
    <w:rsid w:val="008D63B1"/>
    <w:rsid w:val="008D66C1"/>
    <w:rsid w:val="008D6A6B"/>
    <w:rsid w:val="008D6D28"/>
    <w:rsid w:val="008D6F01"/>
    <w:rsid w:val="008D7D35"/>
    <w:rsid w:val="008D7E8A"/>
    <w:rsid w:val="008E0053"/>
    <w:rsid w:val="008E0D78"/>
    <w:rsid w:val="008E1411"/>
    <w:rsid w:val="008E1F21"/>
    <w:rsid w:val="008E2322"/>
    <w:rsid w:val="008E2CC2"/>
    <w:rsid w:val="008E395A"/>
    <w:rsid w:val="008E4747"/>
    <w:rsid w:val="008E4909"/>
    <w:rsid w:val="008E4B48"/>
    <w:rsid w:val="008E55B7"/>
    <w:rsid w:val="008E59F5"/>
    <w:rsid w:val="008E7596"/>
    <w:rsid w:val="008F08C7"/>
    <w:rsid w:val="008F13B6"/>
    <w:rsid w:val="008F1775"/>
    <w:rsid w:val="008F1BC5"/>
    <w:rsid w:val="008F24C6"/>
    <w:rsid w:val="008F3021"/>
    <w:rsid w:val="008F3D05"/>
    <w:rsid w:val="008F43D6"/>
    <w:rsid w:val="008F4924"/>
    <w:rsid w:val="008F56E3"/>
    <w:rsid w:val="008F58CE"/>
    <w:rsid w:val="008F598A"/>
    <w:rsid w:val="008F6E59"/>
    <w:rsid w:val="008F774C"/>
    <w:rsid w:val="008F7A5F"/>
    <w:rsid w:val="008F7E41"/>
    <w:rsid w:val="009001EE"/>
    <w:rsid w:val="00901302"/>
    <w:rsid w:val="00901BB6"/>
    <w:rsid w:val="00901F77"/>
    <w:rsid w:val="00902515"/>
    <w:rsid w:val="00902C48"/>
    <w:rsid w:val="00903C62"/>
    <w:rsid w:val="00903F0C"/>
    <w:rsid w:val="00903FCB"/>
    <w:rsid w:val="00904DC6"/>
    <w:rsid w:val="00906BFC"/>
    <w:rsid w:val="00907D56"/>
    <w:rsid w:val="00911BD4"/>
    <w:rsid w:val="0091365C"/>
    <w:rsid w:val="00913946"/>
    <w:rsid w:val="00913D35"/>
    <w:rsid w:val="00914284"/>
    <w:rsid w:val="00914895"/>
    <w:rsid w:val="00914D7A"/>
    <w:rsid w:val="009153D2"/>
    <w:rsid w:val="00915406"/>
    <w:rsid w:val="009154B3"/>
    <w:rsid w:val="00915772"/>
    <w:rsid w:val="0091608B"/>
    <w:rsid w:val="0091626F"/>
    <w:rsid w:val="00916AE8"/>
    <w:rsid w:val="0091791E"/>
    <w:rsid w:val="00917EBE"/>
    <w:rsid w:val="00920D1B"/>
    <w:rsid w:val="00921037"/>
    <w:rsid w:val="0092199A"/>
    <w:rsid w:val="0092242C"/>
    <w:rsid w:val="009224AC"/>
    <w:rsid w:val="0092291F"/>
    <w:rsid w:val="00922EDC"/>
    <w:rsid w:val="009244F2"/>
    <w:rsid w:val="009246A5"/>
    <w:rsid w:val="00925113"/>
    <w:rsid w:val="00925DE2"/>
    <w:rsid w:val="0092609D"/>
    <w:rsid w:val="00927005"/>
    <w:rsid w:val="00927329"/>
    <w:rsid w:val="00930077"/>
    <w:rsid w:val="009306E5"/>
    <w:rsid w:val="009314D7"/>
    <w:rsid w:val="009316CE"/>
    <w:rsid w:val="00932501"/>
    <w:rsid w:val="00934BDB"/>
    <w:rsid w:val="00934CE9"/>
    <w:rsid w:val="00935BC6"/>
    <w:rsid w:val="00936830"/>
    <w:rsid w:val="00936921"/>
    <w:rsid w:val="00937175"/>
    <w:rsid w:val="00937A27"/>
    <w:rsid w:val="00937CF8"/>
    <w:rsid w:val="00940DA0"/>
    <w:rsid w:val="00943C55"/>
    <w:rsid w:val="00943DD3"/>
    <w:rsid w:val="00944989"/>
    <w:rsid w:val="00945E50"/>
    <w:rsid w:val="00946BDA"/>
    <w:rsid w:val="009474FF"/>
    <w:rsid w:val="009477C4"/>
    <w:rsid w:val="00947C1D"/>
    <w:rsid w:val="00950C5D"/>
    <w:rsid w:val="00951836"/>
    <w:rsid w:val="0095190C"/>
    <w:rsid w:val="00953725"/>
    <w:rsid w:val="009538B8"/>
    <w:rsid w:val="00953D0D"/>
    <w:rsid w:val="009550E2"/>
    <w:rsid w:val="00955BEE"/>
    <w:rsid w:val="00955FC9"/>
    <w:rsid w:val="00956443"/>
    <w:rsid w:val="009603F4"/>
    <w:rsid w:val="009614CE"/>
    <w:rsid w:val="00961987"/>
    <w:rsid w:val="00961AAD"/>
    <w:rsid w:val="00961B39"/>
    <w:rsid w:val="0096267E"/>
    <w:rsid w:val="00963237"/>
    <w:rsid w:val="00964891"/>
    <w:rsid w:val="009648E8"/>
    <w:rsid w:val="00964D92"/>
    <w:rsid w:val="009652DA"/>
    <w:rsid w:val="00966B08"/>
    <w:rsid w:val="00966C77"/>
    <w:rsid w:val="00966C79"/>
    <w:rsid w:val="00967120"/>
    <w:rsid w:val="00967DF4"/>
    <w:rsid w:val="00970377"/>
    <w:rsid w:val="0097107C"/>
    <w:rsid w:val="009711B9"/>
    <w:rsid w:val="00972347"/>
    <w:rsid w:val="00972748"/>
    <w:rsid w:val="00973F76"/>
    <w:rsid w:val="009747A6"/>
    <w:rsid w:val="00974A66"/>
    <w:rsid w:val="00974BF8"/>
    <w:rsid w:val="00974CD2"/>
    <w:rsid w:val="00975C68"/>
    <w:rsid w:val="00975FFC"/>
    <w:rsid w:val="00976DE8"/>
    <w:rsid w:val="0097759E"/>
    <w:rsid w:val="00980BD7"/>
    <w:rsid w:val="00980E55"/>
    <w:rsid w:val="0098108A"/>
    <w:rsid w:val="00981BEF"/>
    <w:rsid w:val="00981F4A"/>
    <w:rsid w:val="009820F0"/>
    <w:rsid w:val="00982614"/>
    <w:rsid w:val="00982969"/>
    <w:rsid w:val="00982A0E"/>
    <w:rsid w:val="00984710"/>
    <w:rsid w:val="00984C7D"/>
    <w:rsid w:val="00985050"/>
    <w:rsid w:val="0098584D"/>
    <w:rsid w:val="00986021"/>
    <w:rsid w:val="0098613A"/>
    <w:rsid w:val="00986DD9"/>
    <w:rsid w:val="009873F6"/>
    <w:rsid w:val="00987995"/>
    <w:rsid w:val="00991C5F"/>
    <w:rsid w:val="009926DF"/>
    <w:rsid w:val="00993575"/>
    <w:rsid w:val="00993A20"/>
    <w:rsid w:val="00994662"/>
    <w:rsid w:val="00994677"/>
    <w:rsid w:val="009946D8"/>
    <w:rsid w:val="009952FB"/>
    <w:rsid w:val="00995606"/>
    <w:rsid w:val="0099628B"/>
    <w:rsid w:val="00996F8A"/>
    <w:rsid w:val="009A10AF"/>
    <w:rsid w:val="009A25D6"/>
    <w:rsid w:val="009A532D"/>
    <w:rsid w:val="009A5414"/>
    <w:rsid w:val="009A5E8A"/>
    <w:rsid w:val="009A6A30"/>
    <w:rsid w:val="009A79DA"/>
    <w:rsid w:val="009B0854"/>
    <w:rsid w:val="009B08F5"/>
    <w:rsid w:val="009B1CD5"/>
    <w:rsid w:val="009B200B"/>
    <w:rsid w:val="009B24A5"/>
    <w:rsid w:val="009B2560"/>
    <w:rsid w:val="009B29AD"/>
    <w:rsid w:val="009B2EC2"/>
    <w:rsid w:val="009B31DB"/>
    <w:rsid w:val="009B3408"/>
    <w:rsid w:val="009B3D5A"/>
    <w:rsid w:val="009B4301"/>
    <w:rsid w:val="009B5682"/>
    <w:rsid w:val="009B72C6"/>
    <w:rsid w:val="009B730F"/>
    <w:rsid w:val="009B74D5"/>
    <w:rsid w:val="009B7D47"/>
    <w:rsid w:val="009C0034"/>
    <w:rsid w:val="009C0E52"/>
    <w:rsid w:val="009C0ECC"/>
    <w:rsid w:val="009C1BBA"/>
    <w:rsid w:val="009C1F4A"/>
    <w:rsid w:val="009C1FF0"/>
    <w:rsid w:val="009C2232"/>
    <w:rsid w:val="009C3084"/>
    <w:rsid w:val="009C312A"/>
    <w:rsid w:val="009C321A"/>
    <w:rsid w:val="009C4214"/>
    <w:rsid w:val="009C4216"/>
    <w:rsid w:val="009C5060"/>
    <w:rsid w:val="009C54DF"/>
    <w:rsid w:val="009C5B09"/>
    <w:rsid w:val="009C63AB"/>
    <w:rsid w:val="009C6AA8"/>
    <w:rsid w:val="009C74FA"/>
    <w:rsid w:val="009D0258"/>
    <w:rsid w:val="009D0684"/>
    <w:rsid w:val="009D3294"/>
    <w:rsid w:val="009D42E7"/>
    <w:rsid w:val="009D49ED"/>
    <w:rsid w:val="009D4A7B"/>
    <w:rsid w:val="009D4F12"/>
    <w:rsid w:val="009D7296"/>
    <w:rsid w:val="009D75EB"/>
    <w:rsid w:val="009D7725"/>
    <w:rsid w:val="009D78C3"/>
    <w:rsid w:val="009E07DA"/>
    <w:rsid w:val="009E160F"/>
    <w:rsid w:val="009E1BE8"/>
    <w:rsid w:val="009E2166"/>
    <w:rsid w:val="009E235B"/>
    <w:rsid w:val="009E2DD5"/>
    <w:rsid w:val="009E3869"/>
    <w:rsid w:val="009E3A81"/>
    <w:rsid w:val="009E3BFF"/>
    <w:rsid w:val="009E439C"/>
    <w:rsid w:val="009E5AC4"/>
    <w:rsid w:val="009E6096"/>
    <w:rsid w:val="009E6A48"/>
    <w:rsid w:val="009E6A73"/>
    <w:rsid w:val="009E6C36"/>
    <w:rsid w:val="009E7641"/>
    <w:rsid w:val="009F0D9B"/>
    <w:rsid w:val="009F3A36"/>
    <w:rsid w:val="009F3F48"/>
    <w:rsid w:val="009F52FA"/>
    <w:rsid w:val="009F6368"/>
    <w:rsid w:val="009F69B8"/>
    <w:rsid w:val="009F725D"/>
    <w:rsid w:val="009F76A8"/>
    <w:rsid w:val="009F78B1"/>
    <w:rsid w:val="009F7B6E"/>
    <w:rsid w:val="00A00795"/>
    <w:rsid w:val="00A00D80"/>
    <w:rsid w:val="00A010F7"/>
    <w:rsid w:val="00A0177A"/>
    <w:rsid w:val="00A01A75"/>
    <w:rsid w:val="00A04CEC"/>
    <w:rsid w:val="00A04E86"/>
    <w:rsid w:val="00A04F5B"/>
    <w:rsid w:val="00A052F6"/>
    <w:rsid w:val="00A0580B"/>
    <w:rsid w:val="00A070D6"/>
    <w:rsid w:val="00A072A3"/>
    <w:rsid w:val="00A0755D"/>
    <w:rsid w:val="00A0790A"/>
    <w:rsid w:val="00A106DC"/>
    <w:rsid w:val="00A10E92"/>
    <w:rsid w:val="00A10EA0"/>
    <w:rsid w:val="00A1226F"/>
    <w:rsid w:val="00A12484"/>
    <w:rsid w:val="00A12735"/>
    <w:rsid w:val="00A12F3F"/>
    <w:rsid w:val="00A13244"/>
    <w:rsid w:val="00A15C66"/>
    <w:rsid w:val="00A173F4"/>
    <w:rsid w:val="00A17641"/>
    <w:rsid w:val="00A17B6F"/>
    <w:rsid w:val="00A21A30"/>
    <w:rsid w:val="00A21EA6"/>
    <w:rsid w:val="00A22630"/>
    <w:rsid w:val="00A23897"/>
    <w:rsid w:val="00A23A90"/>
    <w:rsid w:val="00A23DF0"/>
    <w:rsid w:val="00A24F48"/>
    <w:rsid w:val="00A25C8C"/>
    <w:rsid w:val="00A25D30"/>
    <w:rsid w:val="00A25FC1"/>
    <w:rsid w:val="00A26356"/>
    <w:rsid w:val="00A2641E"/>
    <w:rsid w:val="00A26661"/>
    <w:rsid w:val="00A26D3E"/>
    <w:rsid w:val="00A304CB"/>
    <w:rsid w:val="00A30B55"/>
    <w:rsid w:val="00A31364"/>
    <w:rsid w:val="00A32D1B"/>
    <w:rsid w:val="00A3321C"/>
    <w:rsid w:val="00A334E1"/>
    <w:rsid w:val="00A3371D"/>
    <w:rsid w:val="00A339BC"/>
    <w:rsid w:val="00A346FE"/>
    <w:rsid w:val="00A355C0"/>
    <w:rsid w:val="00A356A1"/>
    <w:rsid w:val="00A356C2"/>
    <w:rsid w:val="00A35A77"/>
    <w:rsid w:val="00A36208"/>
    <w:rsid w:val="00A36DAF"/>
    <w:rsid w:val="00A3726B"/>
    <w:rsid w:val="00A4060F"/>
    <w:rsid w:val="00A40BEE"/>
    <w:rsid w:val="00A41843"/>
    <w:rsid w:val="00A418E0"/>
    <w:rsid w:val="00A41FB8"/>
    <w:rsid w:val="00A4392D"/>
    <w:rsid w:val="00A43ABE"/>
    <w:rsid w:val="00A44B84"/>
    <w:rsid w:val="00A44FB7"/>
    <w:rsid w:val="00A4522B"/>
    <w:rsid w:val="00A45BD0"/>
    <w:rsid w:val="00A460AD"/>
    <w:rsid w:val="00A47004"/>
    <w:rsid w:val="00A47B5E"/>
    <w:rsid w:val="00A47C5A"/>
    <w:rsid w:val="00A47F42"/>
    <w:rsid w:val="00A508EF"/>
    <w:rsid w:val="00A50EF6"/>
    <w:rsid w:val="00A51B6C"/>
    <w:rsid w:val="00A51FEF"/>
    <w:rsid w:val="00A52F9D"/>
    <w:rsid w:val="00A530CC"/>
    <w:rsid w:val="00A53289"/>
    <w:rsid w:val="00A53439"/>
    <w:rsid w:val="00A5404D"/>
    <w:rsid w:val="00A54623"/>
    <w:rsid w:val="00A5472C"/>
    <w:rsid w:val="00A54D59"/>
    <w:rsid w:val="00A566A4"/>
    <w:rsid w:val="00A56A4E"/>
    <w:rsid w:val="00A57023"/>
    <w:rsid w:val="00A57417"/>
    <w:rsid w:val="00A57587"/>
    <w:rsid w:val="00A6032A"/>
    <w:rsid w:val="00A61374"/>
    <w:rsid w:val="00A6144D"/>
    <w:rsid w:val="00A61FED"/>
    <w:rsid w:val="00A621D8"/>
    <w:rsid w:val="00A62237"/>
    <w:rsid w:val="00A63646"/>
    <w:rsid w:val="00A64B38"/>
    <w:rsid w:val="00A7074B"/>
    <w:rsid w:val="00A7089F"/>
    <w:rsid w:val="00A70B44"/>
    <w:rsid w:val="00A741B7"/>
    <w:rsid w:val="00A74457"/>
    <w:rsid w:val="00A746B2"/>
    <w:rsid w:val="00A75596"/>
    <w:rsid w:val="00A75725"/>
    <w:rsid w:val="00A76CE6"/>
    <w:rsid w:val="00A76EF5"/>
    <w:rsid w:val="00A77380"/>
    <w:rsid w:val="00A77492"/>
    <w:rsid w:val="00A77843"/>
    <w:rsid w:val="00A779AA"/>
    <w:rsid w:val="00A779DC"/>
    <w:rsid w:val="00A800E4"/>
    <w:rsid w:val="00A80E0A"/>
    <w:rsid w:val="00A811C7"/>
    <w:rsid w:val="00A811F1"/>
    <w:rsid w:val="00A81F12"/>
    <w:rsid w:val="00A828BD"/>
    <w:rsid w:val="00A8295C"/>
    <w:rsid w:val="00A82B61"/>
    <w:rsid w:val="00A83122"/>
    <w:rsid w:val="00A832B2"/>
    <w:rsid w:val="00A83729"/>
    <w:rsid w:val="00A83C57"/>
    <w:rsid w:val="00A84526"/>
    <w:rsid w:val="00A845EF"/>
    <w:rsid w:val="00A846F6"/>
    <w:rsid w:val="00A849C8"/>
    <w:rsid w:val="00A869E0"/>
    <w:rsid w:val="00A86EA4"/>
    <w:rsid w:val="00A87747"/>
    <w:rsid w:val="00A87AAF"/>
    <w:rsid w:val="00A87DC2"/>
    <w:rsid w:val="00A90EC0"/>
    <w:rsid w:val="00A91855"/>
    <w:rsid w:val="00A9208D"/>
    <w:rsid w:val="00A92130"/>
    <w:rsid w:val="00A92D03"/>
    <w:rsid w:val="00A937C1"/>
    <w:rsid w:val="00A9390B"/>
    <w:rsid w:val="00A93C6D"/>
    <w:rsid w:val="00A94AF2"/>
    <w:rsid w:val="00A95A3B"/>
    <w:rsid w:val="00A95EAC"/>
    <w:rsid w:val="00A970CE"/>
    <w:rsid w:val="00AA027A"/>
    <w:rsid w:val="00AA0338"/>
    <w:rsid w:val="00AA1004"/>
    <w:rsid w:val="00AA1F1C"/>
    <w:rsid w:val="00AA22B8"/>
    <w:rsid w:val="00AA2828"/>
    <w:rsid w:val="00AA2E8F"/>
    <w:rsid w:val="00AA3566"/>
    <w:rsid w:val="00AA3A2D"/>
    <w:rsid w:val="00AA4E19"/>
    <w:rsid w:val="00AA4FD5"/>
    <w:rsid w:val="00AA5C95"/>
    <w:rsid w:val="00AA5E71"/>
    <w:rsid w:val="00AA60F6"/>
    <w:rsid w:val="00AA61AE"/>
    <w:rsid w:val="00AA643C"/>
    <w:rsid w:val="00AA66B7"/>
    <w:rsid w:val="00AA6988"/>
    <w:rsid w:val="00AA760A"/>
    <w:rsid w:val="00AB0371"/>
    <w:rsid w:val="00AB0C46"/>
    <w:rsid w:val="00AB123E"/>
    <w:rsid w:val="00AB1712"/>
    <w:rsid w:val="00AB1DD0"/>
    <w:rsid w:val="00AB23EF"/>
    <w:rsid w:val="00AB2672"/>
    <w:rsid w:val="00AB2D89"/>
    <w:rsid w:val="00AB2E39"/>
    <w:rsid w:val="00AB3346"/>
    <w:rsid w:val="00AB3540"/>
    <w:rsid w:val="00AB38B9"/>
    <w:rsid w:val="00AB3E59"/>
    <w:rsid w:val="00AB4E8F"/>
    <w:rsid w:val="00AB656B"/>
    <w:rsid w:val="00AB6995"/>
    <w:rsid w:val="00AB6EA2"/>
    <w:rsid w:val="00AB7C3C"/>
    <w:rsid w:val="00AC14E3"/>
    <w:rsid w:val="00AC169A"/>
    <w:rsid w:val="00AC1D6D"/>
    <w:rsid w:val="00AC2031"/>
    <w:rsid w:val="00AC292E"/>
    <w:rsid w:val="00AC2AC3"/>
    <w:rsid w:val="00AC2C4F"/>
    <w:rsid w:val="00AC2F72"/>
    <w:rsid w:val="00AC3001"/>
    <w:rsid w:val="00AC31FD"/>
    <w:rsid w:val="00AC3A0B"/>
    <w:rsid w:val="00AC4120"/>
    <w:rsid w:val="00AC4FBD"/>
    <w:rsid w:val="00AC5849"/>
    <w:rsid w:val="00AC5992"/>
    <w:rsid w:val="00AC7149"/>
    <w:rsid w:val="00AC7A60"/>
    <w:rsid w:val="00AC7BBA"/>
    <w:rsid w:val="00AC7C89"/>
    <w:rsid w:val="00AD0228"/>
    <w:rsid w:val="00AD0759"/>
    <w:rsid w:val="00AD0A53"/>
    <w:rsid w:val="00AD0EB2"/>
    <w:rsid w:val="00AD1747"/>
    <w:rsid w:val="00AD1ED6"/>
    <w:rsid w:val="00AD2603"/>
    <w:rsid w:val="00AD3F86"/>
    <w:rsid w:val="00AD3FEC"/>
    <w:rsid w:val="00AD436B"/>
    <w:rsid w:val="00AD4669"/>
    <w:rsid w:val="00AD48A7"/>
    <w:rsid w:val="00AD4D89"/>
    <w:rsid w:val="00AD5B41"/>
    <w:rsid w:val="00AD5BE4"/>
    <w:rsid w:val="00AD6007"/>
    <w:rsid w:val="00AD6C79"/>
    <w:rsid w:val="00AD7D74"/>
    <w:rsid w:val="00AD7DAC"/>
    <w:rsid w:val="00AE0069"/>
    <w:rsid w:val="00AE0369"/>
    <w:rsid w:val="00AE0C02"/>
    <w:rsid w:val="00AE3346"/>
    <w:rsid w:val="00AE3B11"/>
    <w:rsid w:val="00AE3CE8"/>
    <w:rsid w:val="00AE3E87"/>
    <w:rsid w:val="00AE41F0"/>
    <w:rsid w:val="00AE431C"/>
    <w:rsid w:val="00AE4FA1"/>
    <w:rsid w:val="00AE7278"/>
    <w:rsid w:val="00AE75E7"/>
    <w:rsid w:val="00AE7799"/>
    <w:rsid w:val="00AF089B"/>
    <w:rsid w:val="00AF123C"/>
    <w:rsid w:val="00AF2C52"/>
    <w:rsid w:val="00AF3057"/>
    <w:rsid w:val="00AF3412"/>
    <w:rsid w:val="00AF34DB"/>
    <w:rsid w:val="00AF3B6C"/>
    <w:rsid w:val="00AF4359"/>
    <w:rsid w:val="00AF520E"/>
    <w:rsid w:val="00AF547D"/>
    <w:rsid w:val="00AF5634"/>
    <w:rsid w:val="00AF56A5"/>
    <w:rsid w:val="00AF5EEE"/>
    <w:rsid w:val="00AF6360"/>
    <w:rsid w:val="00AF758F"/>
    <w:rsid w:val="00AF759D"/>
    <w:rsid w:val="00AF76A5"/>
    <w:rsid w:val="00AF7EBA"/>
    <w:rsid w:val="00B00A4C"/>
    <w:rsid w:val="00B00C7E"/>
    <w:rsid w:val="00B00E48"/>
    <w:rsid w:val="00B00ED2"/>
    <w:rsid w:val="00B019EB"/>
    <w:rsid w:val="00B028C3"/>
    <w:rsid w:val="00B02912"/>
    <w:rsid w:val="00B0311A"/>
    <w:rsid w:val="00B04119"/>
    <w:rsid w:val="00B04963"/>
    <w:rsid w:val="00B049F9"/>
    <w:rsid w:val="00B05B82"/>
    <w:rsid w:val="00B06DDF"/>
    <w:rsid w:val="00B071A8"/>
    <w:rsid w:val="00B07B66"/>
    <w:rsid w:val="00B1056D"/>
    <w:rsid w:val="00B111FC"/>
    <w:rsid w:val="00B114BA"/>
    <w:rsid w:val="00B13A63"/>
    <w:rsid w:val="00B1511C"/>
    <w:rsid w:val="00B15996"/>
    <w:rsid w:val="00B15E54"/>
    <w:rsid w:val="00B17624"/>
    <w:rsid w:val="00B17805"/>
    <w:rsid w:val="00B17C59"/>
    <w:rsid w:val="00B17FC5"/>
    <w:rsid w:val="00B20693"/>
    <w:rsid w:val="00B20B00"/>
    <w:rsid w:val="00B20F38"/>
    <w:rsid w:val="00B21765"/>
    <w:rsid w:val="00B21963"/>
    <w:rsid w:val="00B21E05"/>
    <w:rsid w:val="00B22802"/>
    <w:rsid w:val="00B231C1"/>
    <w:rsid w:val="00B232FD"/>
    <w:rsid w:val="00B238B4"/>
    <w:rsid w:val="00B23EF1"/>
    <w:rsid w:val="00B2489A"/>
    <w:rsid w:val="00B25213"/>
    <w:rsid w:val="00B25271"/>
    <w:rsid w:val="00B26551"/>
    <w:rsid w:val="00B30017"/>
    <w:rsid w:val="00B3062F"/>
    <w:rsid w:val="00B30F33"/>
    <w:rsid w:val="00B31032"/>
    <w:rsid w:val="00B312DE"/>
    <w:rsid w:val="00B3147B"/>
    <w:rsid w:val="00B315D4"/>
    <w:rsid w:val="00B31BD5"/>
    <w:rsid w:val="00B31EE6"/>
    <w:rsid w:val="00B32FCC"/>
    <w:rsid w:val="00B3322E"/>
    <w:rsid w:val="00B345A5"/>
    <w:rsid w:val="00B345BE"/>
    <w:rsid w:val="00B34F2B"/>
    <w:rsid w:val="00B35E3C"/>
    <w:rsid w:val="00B36595"/>
    <w:rsid w:val="00B368B0"/>
    <w:rsid w:val="00B37861"/>
    <w:rsid w:val="00B37899"/>
    <w:rsid w:val="00B37A71"/>
    <w:rsid w:val="00B37C06"/>
    <w:rsid w:val="00B37C82"/>
    <w:rsid w:val="00B41380"/>
    <w:rsid w:val="00B42778"/>
    <w:rsid w:val="00B42BD7"/>
    <w:rsid w:val="00B42C08"/>
    <w:rsid w:val="00B43442"/>
    <w:rsid w:val="00B463F4"/>
    <w:rsid w:val="00B50428"/>
    <w:rsid w:val="00B50590"/>
    <w:rsid w:val="00B50A07"/>
    <w:rsid w:val="00B51323"/>
    <w:rsid w:val="00B51604"/>
    <w:rsid w:val="00B523A1"/>
    <w:rsid w:val="00B52F90"/>
    <w:rsid w:val="00B530AB"/>
    <w:rsid w:val="00B54080"/>
    <w:rsid w:val="00B557E2"/>
    <w:rsid w:val="00B55C31"/>
    <w:rsid w:val="00B56157"/>
    <w:rsid w:val="00B56CD4"/>
    <w:rsid w:val="00B57B61"/>
    <w:rsid w:val="00B57F91"/>
    <w:rsid w:val="00B601E2"/>
    <w:rsid w:val="00B60370"/>
    <w:rsid w:val="00B6055E"/>
    <w:rsid w:val="00B61B8F"/>
    <w:rsid w:val="00B6281F"/>
    <w:rsid w:val="00B629D8"/>
    <w:rsid w:val="00B631E5"/>
    <w:rsid w:val="00B63389"/>
    <w:rsid w:val="00B634AF"/>
    <w:rsid w:val="00B63D9C"/>
    <w:rsid w:val="00B665BF"/>
    <w:rsid w:val="00B67436"/>
    <w:rsid w:val="00B67ADE"/>
    <w:rsid w:val="00B70569"/>
    <w:rsid w:val="00B70804"/>
    <w:rsid w:val="00B708AB"/>
    <w:rsid w:val="00B70D04"/>
    <w:rsid w:val="00B70E8E"/>
    <w:rsid w:val="00B71345"/>
    <w:rsid w:val="00B7181C"/>
    <w:rsid w:val="00B73B39"/>
    <w:rsid w:val="00B73B57"/>
    <w:rsid w:val="00B74535"/>
    <w:rsid w:val="00B74DE9"/>
    <w:rsid w:val="00B7529B"/>
    <w:rsid w:val="00B7581A"/>
    <w:rsid w:val="00B758A3"/>
    <w:rsid w:val="00B75A5E"/>
    <w:rsid w:val="00B764CC"/>
    <w:rsid w:val="00B765B7"/>
    <w:rsid w:val="00B765D5"/>
    <w:rsid w:val="00B770F3"/>
    <w:rsid w:val="00B77180"/>
    <w:rsid w:val="00B77866"/>
    <w:rsid w:val="00B80C45"/>
    <w:rsid w:val="00B80D42"/>
    <w:rsid w:val="00B81151"/>
    <w:rsid w:val="00B8290B"/>
    <w:rsid w:val="00B83089"/>
    <w:rsid w:val="00B83251"/>
    <w:rsid w:val="00B83D53"/>
    <w:rsid w:val="00B8425C"/>
    <w:rsid w:val="00B84CBF"/>
    <w:rsid w:val="00B8531C"/>
    <w:rsid w:val="00B8532E"/>
    <w:rsid w:val="00B863D2"/>
    <w:rsid w:val="00B86AAA"/>
    <w:rsid w:val="00B86E40"/>
    <w:rsid w:val="00B86EAD"/>
    <w:rsid w:val="00B87550"/>
    <w:rsid w:val="00B87808"/>
    <w:rsid w:val="00B87A1E"/>
    <w:rsid w:val="00B87ECD"/>
    <w:rsid w:val="00B90436"/>
    <w:rsid w:val="00B90D93"/>
    <w:rsid w:val="00B90EEF"/>
    <w:rsid w:val="00B92553"/>
    <w:rsid w:val="00B929F5"/>
    <w:rsid w:val="00B92E8F"/>
    <w:rsid w:val="00B93B26"/>
    <w:rsid w:val="00B94696"/>
    <w:rsid w:val="00B94E16"/>
    <w:rsid w:val="00B951E3"/>
    <w:rsid w:val="00B97096"/>
    <w:rsid w:val="00B97BEA"/>
    <w:rsid w:val="00B97DAB"/>
    <w:rsid w:val="00B97E15"/>
    <w:rsid w:val="00B97F85"/>
    <w:rsid w:val="00BA068A"/>
    <w:rsid w:val="00BA086C"/>
    <w:rsid w:val="00BA09AF"/>
    <w:rsid w:val="00BA1587"/>
    <w:rsid w:val="00BA29EB"/>
    <w:rsid w:val="00BA2DA8"/>
    <w:rsid w:val="00BA322B"/>
    <w:rsid w:val="00BA378F"/>
    <w:rsid w:val="00BA3B49"/>
    <w:rsid w:val="00BA3F4F"/>
    <w:rsid w:val="00BA4B3E"/>
    <w:rsid w:val="00BA53C7"/>
    <w:rsid w:val="00BA545E"/>
    <w:rsid w:val="00BA589D"/>
    <w:rsid w:val="00BA5D9C"/>
    <w:rsid w:val="00BA6471"/>
    <w:rsid w:val="00BA6589"/>
    <w:rsid w:val="00BA6FE3"/>
    <w:rsid w:val="00BB0768"/>
    <w:rsid w:val="00BB0806"/>
    <w:rsid w:val="00BB09B8"/>
    <w:rsid w:val="00BB1356"/>
    <w:rsid w:val="00BB1388"/>
    <w:rsid w:val="00BB1436"/>
    <w:rsid w:val="00BB1443"/>
    <w:rsid w:val="00BB1CED"/>
    <w:rsid w:val="00BB1D2A"/>
    <w:rsid w:val="00BB4665"/>
    <w:rsid w:val="00BB50F2"/>
    <w:rsid w:val="00BB5F5D"/>
    <w:rsid w:val="00BB60BC"/>
    <w:rsid w:val="00BB6346"/>
    <w:rsid w:val="00BB6390"/>
    <w:rsid w:val="00BB7A3E"/>
    <w:rsid w:val="00BC04F8"/>
    <w:rsid w:val="00BC0916"/>
    <w:rsid w:val="00BC0F5C"/>
    <w:rsid w:val="00BC1219"/>
    <w:rsid w:val="00BC128E"/>
    <w:rsid w:val="00BC1F86"/>
    <w:rsid w:val="00BC28BE"/>
    <w:rsid w:val="00BC3A9E"/>
    <w:rsid w:val="00BC3AA8"/>
    <w:rsid w:val="00BC431A"/>
    <w:rsid w:val="00BC4F1E"/>
    <w:rsid w:val="00BC639A"/>
    <w:rsid w:val="00BC6713"/>
    <w:rsid w:val="00BC70F0"/>
    <w:rsid w:val="00BC7539"/>
    <w:rsid w:val="00BC75E7"/>
    <w:rsid w:val="00BC78F0"/>
    <w:rsid w:val="00BD070D"/>
    <w:rsid w:val="00BD0843"/>
    <w:rsid w:val="00BD0E25"/>
    <w:rsid w:val="00BD1E32"/>
    <w:rsid w:val="00BD32CA"/>
    <w:rsid w:val="00BD5EDF"/>
    <w:rsid w:val="00BD6265"/>
    <w:rsid w:val="00BD629E"/>
    <w:rsid w:val="00BD6BE8"/>
    <w:rsid w:val="00BD739F"/>
    <w:rsid w:val="00BD7856"/>
    <w:rsid w:val="00BD7C3A"/>
    <w:rsid w:val="00BD7DFC"/>
    <w:rsid w:val="00BE067D"/>
    <w:rsid w:val="00BE0BB1"/>
    <w:rsid w:val="00BE19E0"/>
    <w:rsid w:val="00BE1CB3"/>
    <w:rsid w:val="00BE21F3"/>
    <w:rsid w:val="00BE2969"/>
    <w:rsid w:val="00BE2E01"/>
    <w:rsid w:val="00BE2F11"/>
    <w:rsid w:val="00BE42EF"/>
    <w:rsid w:val="00BE49D8"/>
    <w:rsid w:val="00BE4BB7"/>
    <w:rsid w:val="00BE55CF"/>
    <w:rsid w:val="00BE5F1A"/>
    <w:rsid w:val="00BE7799"/>
    <w:rsid w:val="00BE7BB3"/>
    <w:rsid w:val="00BF00AF"/>
    <w:rsid w:val="00BF05E2"/>
    <w:rsid w:val="00BF08A6"/>
    <w:rsid w:val="00BF1372"/>
    <w:rsid w:val="00BF1712"/>
    <w:rsid w:val="00BF23A4"/>
    <w:rsid w:val="00BF23F2"/>
    <w:rsid w:val="00BF2BA8"/>
    <w:rsid w:val="00BF31DF"/>
    <w:rsid w:val="00BF4506"/>
    <w:rsid w:val="00BF4B04"/>
    <w:rsid w:val="00BF4B1F"/>
    <w:rsid w:val="00BF557A"/>
    <w:rsid w:val="00BF5BC3"/>
    <w:rsid w:val="00BF6AB5"/>
    <w:rsid w:val="00C0077A"/>
    <w:rsid w:val="00C01184"/>
    <w:rsid w:val="00C01658"/>
    <w:rsid w:val="00C01EC4"/>
    <w:rsid w:val="00C0211C"/>
    <w:rsid w:val="00C05249"/>
    <w:rsid w:val="00C052C4"/>
    <w:rsid w:val="00C05E67"/>
    <w:rsid w:val="00C0601C"/>
    <w:rsid w:val="00C0620C"/>
    <w:rsid w:val="00C06246"/>
    <w:rsid w:val="00C062C5"/>
    <w:rsid w:val="00C062E7"/>
    <w:rsid w:val="00C069AE"/>
    <w:rsid w:val="00C077CE"/>
    <w:rsid w:val="00C078BC"/>
    <w:rsid w:val="00C07B15"/>
    <w:rsid w:val="00C07C33"/>
    <w:rsid w:val="00C10493"/>
    <w:rsid w:val="00C107FF"/>
    <w:rsid w:val="00C10BEC"/>
    <w:rsid w:val="00C11539"/>
    <w:rsid w:val="00C11E97"/>
    <w:rsid w:val="00C124AE"/>
    <w:rsid w:val="00C1416D"/>
    <w:rsid w:val="00C14202"/>
    <w:rsid w:val="00C144BE"/>
    <w:rsid w:val="00C147B3"/>
    <w:rsid w:val="00C14AF0"/>
    <w:rsid w:val="00C14EE5"/>
    <w:rsid w:val="00C15DBE"/>
    <w:rsid w:val="00C16732"/>
    <w:rsid w:val="00C16DB8"/>
    <w:rsid w:val="00C16EEB"/>
    <w:rsid w:val="00C170DE"/>
    <w:rsid w:val="00C17237"/>
    <w:rsid w:val="00C17379"/>
    <w:rsid w:val="00C176EF"/>
    <w:rsid w:val="00C17AC9"/>
    <w:rsid w:val="00C20E54"/>
    <w:rsid w:val="00C21259"/>
    <w:rsid w:val="00C21FF5"/>
    <w:rsid w:val="00C23AA5"/>
    <w:rsid w:val="00C23C9B"/>
    <w:rsid w:val="00C241C7"/>
    <w:rsid w:val="00C2429C"/>
    <w:rsid w:val="00C24428"/>
    <w:rsid w:val="00C246D4"/>
    <w:rsid w:val="00C24B99"/>
    <w:rsid w:val="00C24F74"/>
    <w:rsid w:val="00C25A3F"/>
    <w:rsid w:val="00C25CF5"/>
    <w:rsid w:val="00C274C1"/>
    <w:rsid w:val="00C27901"/>
    <w:rsid w:val="00C300E0"/>
    <w:rsid w:val="00C304A0"/>
    <w:rsid w:val="00C30DE8"/>
    <w:rsid w:val="00C31C3C"/>
    <w:rsid w:val="00C331A4"/>
    <w:rsid w:val="00C33280"/>
    <w:rsid w:val="00C333DA"/>
    <w:rsid w:val="00C350EF"/>
    <w:rsid w:val="00C35304"/>
    <w:rsid w:val="00C35491"/>
    <w:rsid w:val="00C35991"/>
    <w:rsid w:val="00C35A86"/>
    <w:rsid w:val="00C35B8A"/>
    <w:rsid w:val="00C35EC7"/>
    <w:rsid w:val="00C368B0"/>
    <w:rsid w:val="00C36BEB"/>
    <w:rsid w:val="00C36C7B"/>
    <w:rsid w:val="00C36E16"/>
    <w:rsid w:val="00C371C4"/>
    <w:rsid w:val="00C40BA6"/>
    <w:rsid w:val="00C40FC9"/>
    <w:rsid w:val="00C41905"/>
    <w:rsid w:val="00C4331B"/>
    <w:rsid w:val="00C434AE"/>
    <w:rsid w:val="00C43FED"/>
    <w:rsid w:val="00C43FF3"/>
    <w:rsid w:val="00C45EBD"/>
    <w:rsid w:val="00C45EC6"/>
    <w:rsid w:val="00C46CA7"/>
    <w:rsid w:val="00C4760F"/>
    <w:rsid w:val="00C504EE"/>
    <w:rsid w:val="00C505F5"/>
    <w:rsid w:val="00C5122F"/>
    <w:rsid w:val="00C51B29"/>
    <w:rsid w:val="00C52B71"/>
    <w:rsid w:val="00C52FB6"/>
    <w:rsid w:val="00C5412F"/>
    <w:rsid w:val="00C544C1"/>
    <w:rsid w:val="00C54DD2"/>
    <w:rsid w:val="00C55031"/>
    <w:rsid w:val="00C55F54"/>
    <w:rsid w:val="00C5637D"/>
    <w:rsid w:val="00C567BD"/>
    <w:rsid w:val="00C569DB"/>
    <w:rsid w:val="00C56D0D"/>
    <w:rsid w:val="00C600E1"/>
    <w:rsid w:val="00C60125"/>
    <w:rsid w:val="00C604F8"/>
    <w:rsid w:val="00C61236"/>
    <w:rsid w:val="00C61DE4"/>
    <w:rsid w:val="00C624A5"/>
    <w:rsid w:val="00C6289B"/>
    <w:rsid w:val="00C636A9"/>
    <w:rsid w:val="00C64A3C"/>
    <w:rsid w:val="00C66A80"/>
    <w:rsid w:val="00C67F88"/>
    <w:rsid w:val="00C704DA"/>
    <w:rsid w:val="00C706E5"/>
    <w:rsid w:val="00C7203C"/>
    <w:rsid w:val="00C7215F"/>
    <w:rsid w:val="00C7277B"/>
    <w:rsid w:val="00C72C74"/>
    <w:rsid w:val="00C730FF"/>
    <w:rsid w:val="00C73491"/>
    <w:rsid w:val="00C73F2D"/>
    <w:rsid w:val="00C745E7"/>
    <w:rsid w:val="00C7489D"/>
    <w:rsid w:val="00C7512D"/>
    <w:rsid w:val="00C76DF7"/>
    <w:rsid w:val="00C77D4D"/>
    <w:rsid w:val="00C80501"/>
    <w:rsid w:val="00C806CF"/>
    <w:rsid w:val="00C80B3F"/>
    <w:rsid w:val="00C80C3D"/>
    <w:rsid w:val="00C81CB1"/>
    <w:rsid w:val="00C82C3B"/>
    <w:rsid w:val="00C82C46"/>
    <w:rsid w:val="00C82F37"/>
    <w:rsid w:val="00C83CD5"/>
    <w:rsid w:val="00C849F1"/>
    <w:rsid w:val="00C85DF6"/>
    <w:rsid w:val="00C90106"/>
    <w:rsid w:val="00C90950"/>
    <w:rsid w:val="00C92A88"/>
    <w:rsid w:val="00C92B94"/>
    <w:rsid w:val="00C92BDE"/>
    <w:rsid w:val="00C92FF1"/>
    <w:rsid w:val="00C937EC"/>
    <w:rsid w:val="00C93838"/>
    <w:rsid w:val="00C9391E"/>
    <w:rsid w:val="00C93CE4"/>
    <w:rsid w:val="00C9438C"/>
    <w:rsid w:val="00C94EFB"/>
    <w:rsid w:val="00C95507"/>
    <w:rsid w:val="00C955C6"/>
    <w:rsid w:val="00C96042"/>
    <w:rsid w:val="00C973A3"/>
    <w:rsid w:val="00CA1671"/>
    <w:rsid w:val="00CA2A74"/>
    <w:rsid w:val="00CA328A"/>
    <w:rsid w:val="00CA3A96"/>
    <w:rsid w:val="00CA3FF2"/>
    <w:rsid w:val="00CA4B22"/>
    <w:rsid w:val="00CA4DD9"/>
    <w:rsid w:val="00CA4DE3"/>
    <w:rsid w:val="00CA4E5D"/>
    <w:rsid w:val="00CA50A8"/>
    <w:rsid w:val="00CA6623"/>
    <w:rsid w:val="00CA6764"/>
    <w:rsid w:val="00CA697F"/>
    <w:rsid w:val="00CA70C1"/>
    <w:rsid w:val="00CA78A0"/>
    <w:rsid w:val="00CB0C59"/>
    <w:rsid w:val="00CB1053"/>
    <w:rsid w:val="00CB12A0"/>
    <w:rsid w:val="00CB2922"/>
    <w:rsid w:val="00CB2D25"/>
    <w:rsid w:val="00CB47D5"/>
    <w:rsid w:val="00CB592E"/>
    <w:rsid w:val="00CB5FD5"/>
    <w:rsid w:val="00CB6A92"/>
    <w:rsid w:val="00CB6A95"/>
    <w:rsid w:val="00CC1861"/>
    <w:rsid w:val="00CC26A1"/>
    <w:rsid w:val="00CC28CC"/>
    <w:rsid w:val="00CC29B1"/>
    <w:rsid w:val="00CC2F3B"/>
    <w:rsid w:val="00CC3B26"/>
    <w:rsid w:val="00CC3F7D"/>
    <w:rsid w:val="00CC544E"/>
    <w:rsid w:val="00CC5563"/>
    <w:rsid w:val="00CC55F8"/>
    <w:rsid w:val="00CC575E"/>
    <w:rsid w:val="00CC69FD"/>
    <w:rsid w:val="00CC6F3B"/>
    <w:rsid w:val="00CD1431"/>
    <w:rsid w:val="00CD189F"/>
    <w:rsid w:val="00CD3530"/>
    <w:rsid w:val="00CD3CE1"/>
    <w:rsid w:val="00CD4504"/>
    <w:rsid w:val="00CD471F"/>
    <w:rsid w:val="00CD5915"/>
    <w:rsid w:val="00CD5D56"/>
    <w:rsid w:val="00CD7527"/>
    <w:rsid w:val="00CD7B0E"/>
    <w:rsid w:val="00CD7E87"/>
    <w:rsid w:val="00CE0420"/>
    <w:rsid w:val="00CE0838"/>
    <w:rsid w:val="00CE2A54"/>
    <w:rsid w:val="00CE3398"/>
    <w:rsid w:val="00CE3BC5"/>
    <w:rsid w:val="00CE454B"/>
    <w:rsid w:val="00CE5719"/>
    <w:rsid w:val="00CE577F"/>
    <w:rsid w:val="00CE5C4C"/>
    <w:rsid w:val="00CE5DA9"/>
    <w:rsid w:val="00CE6F3C"/>
    <w:rsid w:val="00CE7028"/>
    <w:rsid w:val="00CE7193"/>
    <w:rsid w:val="00CE757F"/>
    <w:rsid w:val="00CE7679"/>
    <w:rsid w:val="00CE7CD8"/>
    <w:rsid w:val="00CF1190"/>
    <w:rsid w:val="00CF1804"/>
    <w:rsid w:val="00CF19CF"/>
    <w:rsid w:val="00CF1F90"/>
    <w:rsid w:val="00CF2107"/>
    <w:rsid w:val="00CF2736"/>
    <w:rsid w:val="00CF2B00"/>
    <w:rsid w:val="00CF3A47"/>
    <w:rsid w:val="00CF4529"/>
    <w:rsid w:val="00CF573F"/>
    <w:rsid w:val="00CF5AA0"/>
    <w:rsid w:val="00CF5E53"/>
    <w:rsid w:val="00CF6022"/>
    <w:rsid w:val="00CF6758"/>
    <w:rsid w:val="00CF678F"/>
    <w:rsid w:val="00CF6D64"/>
    <w:rsid w:val="00CF72B5"/>
    <w:rsid w:val="00CF7DF6"/>
    <w:rsid w:val="00CF7DF7"/>
    <w:rsid w:val="00D0032B"/>
    <w:rsid w:val="00D004E0"/>
    <w:rsid w:val="00D008C8"/>
    <w:rsid w:val="00D015F1"/>
    <w:rsid w:val="00D01AB7"/>
    <w:rsid w:val="00D02345"/>
    <w:rsid w:val="00D0246E"/>
    <w:rsid w:val="00D03B9F"/>
    <w:rsid w:val="00D042BC"/>
    <w:rsid w:val="00D04352"/>
    <w:rsid w:val="00D04418"/>
    <w:rsid w:val="00D04AAA"/>
    <w:rsid w:val="00D052FE"/>
    <w:rsid w:val="00D0547C"/>
    <w:rsid w:val="00D054E5"/>
    <w:rsid w:val="00D077A1"/>
    <w:rsid w:val="00D07B92"/>
    <w:rsid w:val="00D07D7A"/>
    <w:rsid w:val="00D102BA"/>
    <w:rsid w:val="00D10F00"/>
    <w:rsid w:val="00D10F3F"/>
    <w:rsid w:val="00D10FFB"/>
    <w:rsid w:val="00D11002"/>
    <w:rsid w:val="00D124F6"/>
    <w:rsid w:val="00D129AC"/>
    <w:rsid w:val="00D139ED"/>
    <w:rsid w:val="00D13A31"/>
    <w:rsid w:val="00D13FE7"/>
    <w:rsid w:val="00D14B20"/>
    <w:rsid w:val="00D15819"/>
    <w:rsid w:val="00D15A6B"/>
    <w:rsid w:val="00D16505"/>
    <w:rsid w:val="00D1685D"/>
    <w:rsid w:val="00D17454"/>
    <w:rsid w:val="00D203B7"/>
    <w:rsid w:val="00D209B6"/>
    <w:rsid w:val="00D20D3E"/>
    <w:rsid w:val="00D220AC"/>
    <w:rsid w:val="00D22DB2"/>
    <w:rsid w:val="00D23E11"/>
    <w:rsid w:val="00D265A8"/>
    <w:rsid w:val="00D2688D"/>
    <w:rsid w:val="00D26C4A"/>
    <w:rsid w:val="00D276B6"/>
    <w:rsid w:val="00D27725"/>
    <w:rsid w:val="00D303DB"/>
    <w:rsid w:val="00D32C74"/>
    <w:rsid w:val="00D3335A"/>
    <w:rsid w:val="00D33C92"/>
    <w:rsid w:val="00D348A4"/>
    <w:rsid w:val="00D357B1"/>
    <w:rsid w:val="00D367E0"/>
    <w:rsid w:val="00D377BE"/>
    <w:rsid w:val="00D379F6"/>
    <w:rsid w:val="00D401AC"/>
    <w:rsid w:val="00D403D6"/>
    <w:rsid w:val="00D40AE3"/>
    <w:rsid w:val="00D40B30"/>
    <w:rsid w:val="00D416D3"/>
    <w:rsid w:val="00D41922"/>
    <w:rsid w:val="00D423DE"/>
    <w:rsid w:val="00D43E4B"/>
    <w:rsid w:val="00D447E9"/>
    <w:rsid w:val="00D44817"/>
    <w:rsid w:val="00D44F06"/>
    <w:rsid w:val="00D45292"/>
    <w:rsid w:val="00D456F1"/>
    <w:rsid w:val="00D45A56"/>
    <w:rsid w:val="00D46440"/>
    <w:rsid w:val="00D46F1E"/>
    <w:rsid w:val="00D47C35"/>
    <w:rsid w:val="00D507A7"/>
    <w:rsid w:val="00D5091E"/>
    <w:rsid w:val="00D52CC0"/>
    <w:rsid w:val="00D53ED2"/>
    <w:rsid w:val="00D555AB"/>
    <w:rsid w:val="00D561D7"/>
    <w:rsid w:val="00D569BF"/>
    <w:rsid w:val="00D56C47"/>
    <w:rsid w:val="00D57526"/>
    <w:rsid w:val="00D6019D"/>
    <w:rsid w:val="00D602B9"/>
    <w:rsid w:val="00D60AEE"/>
    <w:rsid w:val="00D60E31"/>
    <w:rsid w:val="00D61F81"/>
    <w:rsid w:val="00D62720"/>
    <w:rsid w:val="00D62B02"/>
    <w:rsid w:val="00D62C9E"/>
    <w:rsid w:val="00D63270"/>
    <w:rsid w:val="00D63589"/>
    <w:rsid w:val="00D64F10"/>
    <w:rsid w:val="00D650A9"/>
    <w:rsid w:val="00D656AE"/>
    <w:rsid w:val="00D66099"/>
    <w:rsid w:val="00D66301"/>
    <w:rsid w:val="00D67901"/>
    <w:rsid w:val="00D70186"/>
    <w:rsid w:val="00D717C8"/>
    <w:rsid w:val="00D737D2"/>
    <w:rsid w:val="00D73E4B"/>
    <w:rsid w:val="00D73F0D"/>
    <w:rsid w:val="00D7421C"/>
    <w:rsid w:val="00D745F9"/>
    <w:rsid w:val="00D75320"/>
    <w:rsid w:val="00D75AD9"/>
    <w:rsid w:val="00D764FD"/>
    <w:rsid w:val="00D76B9C"/>
    <w:rsid w:val="00D77E14"/>
    <w:rsid w:val="00D77FFA"/>
    <w:rsid w:val="00D80640"/>
    <w:rsid w:val="00D81DC6"/>
    <w:rsid w:val="00D8248C"/>
    <w:rsid w:val="00D82C9C"/>
    <w:rsid w:val="00D83C94"/>
    <w:rsid w:val="00D8417B"/>
    <w:rsid w:val="00D84CB2"/>
    <w:rsid w:val="00D864BF"/>
    <w:rsid w:val="00D869EE"/>
    <w:rsid w:val="00D8715B"/>
    <w:rsid w:val="00D87AC5"/>
    <w:rsid w:val="00D90FE8"/>
    <w:rsid w:val="00D91432"/>
    <w:rsid w:val="00D9159B"/>
    <w:rsid w:val="00D915BA"/>
    <w:rsid w:val="00D91921"/>
    <w:rsid w:val="00D9194E"/>
    <w:rsid w:val="00D919E6"/>
    <w:rsid w:val="00D91D95"/>
    <w:rsid w:val="00D932C4"/>
    <w:rsid w:val="00D934EA"/>
    <w:rsid w:val="00D936AE"/>
    <w:rsid w:val="00D9385E"/>
    <w:rsid w:val="00D93CAA"/>
    <w:rsid w:val="00D94624"/>
    <w:rsid w:val="00D946BA"/>
    <w:rsid w:val="00D95F17"/>
    <w:rsid w:val="00D962ED"/>
    <w:rsid w:val="00D9636D"/>
    <w:rsid w:val="00D96400"/>
    <w:rsid w:val="00D973D6"/>
    <w:rsid w:val="00D97544"/>
    <w:rsid w:val="00D975DB"/>
    <w:rsid w:val="00D97CDE"/>
    <w:rsid w:val="00DA0BBE"/>
    <w:rsid w:val="00DA1A01"/>
    <w:rsid w:val="00DA2A6F"/>
    <w:rsid w:val="00DA3F74"/>
    <w:rsid w:val="00DA44B7"/>
    <w:rsid w:val="00DA47DC"/>
    <w:rsid w:val="00DA6FF2"/>
    <w:rsid w:val="00DA7022"/>
    <w:rsid w:val="00DA7468"/>
    <w:rsid w:val="00DA75CD"/>
    <w:rsid w:val="00DA7BA1"/>
    <w:rsid w:val="00DB0C3F"/>
    <w:rsid w:val="00DB13A5"/>
    <w:rsid w:val="00DB13E9"/>
    <w:rsid w:val="00DB1FA6"/>
    <w:rsid w:val="00DB2864"/>
    <w:rsid w:val="00DB4B7A"/>
    <w:rsid w:val="00DB561A"/>
    <w:rsid w:val="00DB5695"/>
    <w:rsid w:val="00DB5D0D"/>
    <w:rsid w:val="00DB66A0"/>
    <w:rsid w:val="00DB6706"/>
    <w:rsid w:val="00DB6755"/>
    <w:rsid w:val="00DB69A2"/>
    <w:rsid w:val="00DB70A1"/>
    <w:rsid w:val="00DB729E"/>
    <w:rsid w:val="00DB771D"/>
    <w:rsid w:val="00DB7B39"/>
    <w:rsid w:val="00DB7EB4"/>
    <w:rsid w:val="00DC00D6"/>
    <w:rsid w:val="00DC08BA"/>
    <w:rsid w:val="00DC0D80"/>
    <w:rsid w:val="00DC129A"/>
    <w:rsid w:val="00DC1679"/>
    <w:rsid w:val="00DC1C34"/>
    <w:rsid w:val="00DC1C8B"/>
    <w:rsid w:val="00DC23EB"/>
    <w:rsid w:val="00DC3771"/>
    <w:rsid w:val="00DC43C3"/>
    <w:rsid w:val="00DC45A7"/>
    <w:rsid w:val="00DC4CAA"/>
    <w:rsid w:val="00DC5A7F"/>
    <w:rsid w:val="00DC6673"/>
    <w:rsid w:val="00DC7D3B"/>
    <w:rsid w:val="00DD08D3"/>
    <w:rsid w:val="00DD0A45"/>
    <w:rsid w:val="00DD0C07"/>
    <w:rsid w:val="00DD0E7F"/>
    <w:rsid w:val="00DD113F"/>
    <w:rsid w:val="00DD17CD"/>
    <w:rsid w:val="00DD1F53"/>
    <w:rsid w:val="00DD217E"/>
    <w:rsid w:val="00DD2DE4"/>
    <w:rsid w:val="00DD3F82"/>
    <w:rsid w:val="00DD440E"/>
    <w:rsid w:val="00DD4D7F"/>
    <w:rsid w:val="00DD5260"/>
    <w:rsid w:val="00DD5E4A"/>
    <w:rsid w:val="00DD5E99"/>
    <w:rsid w:val="00DD6701"/>
    <w:rsid w:val="00DD6E88"/>
    <w:rsid w:val="00DD7CA4"/>
    <w:rsid w:val="00DE10B5"/>
    <w:rsid w:val="00DE1B89"/>
    <w:rsid w:val="00DE245D"/>
    <w:rsid w:val="00DE37BA"/>
    <w:rsid w:val="00DE39D8"/>
    <w:rsid w:val="00DE44E1"/>
    <w:rsid w:val="00DE4B3E"/>
    <w:rsid w:val="00DE503A"/>
    <w:rsid w:val="00DE5052"/>
    <w:rsid w:val="00DE65E7"/>
    <w:rsid w:val="00DE688A"/>
    <w:rsid w:val="00DE6A4B"/>
    <w:rsid w:val="00DE6BBE"/>
    <w:rsid w:val="00DE6E9C"/>
    <w:rsid w:val="00DF060B"/>
    <w:rsid w:val="00DF097B"/>
    <w:rsid w:val="00DF0CAA"/>
    <w:rsid w:val="00DF1953"/>
    <w:rsid w:val="00DF1F4B"/>
    <w:rsid w:val="00DF22C8"/>
    <w:rsid w:val="00DF3C63"/>
    <w:rsid w:val="00DF3D4A"/>
    <w:rsid w:val="00DF3D56"/>
    <w:rsid w:val="00DF3E92"/>
    <w:rsid w:val="00DF47A0"/>
    <w:rsid w:val="00DF5997"/>
    <w:rsid w:val="00DF5A17"/>
    <w:rsid w:val="00DF5B20"/>
    <w:rsid w:val="00DF5DA2"/>
    <w:rsid w:val="00DF65D5"/>
    <w:rsid w:val="00DF69AA"/>
    <w:rsid w:val="00DF6AC3"/>
    <w:rsid w:val="00DF6C56"/>
    <w:rsid w:val="00DF7887"/>
    <w:rsid w:val="00DF7EA5"/>
    <w:rsid w:val="00E0097F"/>
    <w:rsid w:val="00E034B7"/>
    <w:rsid w:val="00E03BE8"/>
    <w:rsid w:val="00E05854"/>
    <w:rsid w:val="00E05863"/>
    <w:rsid w:val="00E07100"/>
    <w:rsid w:val="00E07FEE"/>
    <w:rsid w:val="00E100F7"/>
    <w:rsid w:val="00E10564"/>
    <w:rsid w:val="00E1096F"/>
    <w:rsid w:val="00E128D7"/>
    <w:rsid w:val="00E13F99"/>
    <w:rsid w:val="00E14704"/>
    <w:rsid w:val="00E14D56"/>
    <w:rsid w:val="00E15F47"/>
    <w:rsid w:val="00E15F5C"/>
    <w:rsid w:val="00E1645B"/>
    <w:rsid w:val="00E1766F"/>
    <w:rsid w:val="00E17D8F"/>
    <w:rsid w:val="00E20564"/>
    <w:rsid w:val="00E20683"/>
    <w:rsid w:val="00E212C8"/>
    <w:rsid w:val="00E212EF"/>
    <w:rsid w:val="00E213D0"/>
    <w:rsid w:val="00E21422"/>
    <w:rsid w:val="00E21C85"/>
    <w:rsid w:val="00E2368B"/>
    <w:rsid w:val="00E24E98"/>
    <w:rsid w:val="00E25401"/>
    <w:rsid w:val="00E25C1D"/>
    <w:rsid w:val="00E26016"/>
    <w:rsid w:val="00E26055"/>
    <w:rsid w:val="00E26475"/>
    <w:rsid w:val="00E26653"/>
    <w:rsid w:val="00E26739"/>
    <w:rsid w:val="00E26893"/>
    <w:rsid w:val="00E26A1E"/>
    <w:rsid w:val="00E27166"/>
    <w:rsid w:val="00E274E3"/>
    <w:rsid w:val="00E27861"/>
    <w:rsid w:val="00E27D33"/>
    <w:rsid w:val="00E301C9"/>
    <w:rsid w:val="00E30577"/>
    <w:rsid w:val="00E313CD"/>
    <w:rsid w:val="00E316F1"/>
    <w:rsid w:val="00E320BA"/>
    <w:rsid w:val="00E32671"/>
    <w:rsid w:val="00E32E46"/>
    <w:rsid w:val="00E34DAC"/>
    <w:rsid w:val="00E34E81"/>
    <w:rsid w:val="00E35315"/>
    <w:rsid w:val="00E367E9"/>
    <w:rsid w:val="00E36F7A"/>
    <w:rsid w:val="00E41C04"/>
    <w:rsid w:val="00E41EE9"/>
    <w:rsid w:val="00E42431"/>
    <w:rsid w:val="00E4245E"/>
    <w:rsid w:val="00E428CA"/>
    <w:rsid w:val="00E4419D"/>
    <w:rsid w:val="00E441B0"/>
    <w:rsid w:val="00E444B4"/>
    <w:rsid w:val="00E44AF4"/>
    <w:rsid w:val="00E4558D"/>
    <w:rsid w:val="00E4727B"/>
    <w:rsid w:val="00E475BD"/>
    <w:rsid w:val="00E47808"/>
    <w:rsid w:val="00E47984"/>
    <w:rsid w:val="00E47DC9"/>
    <w:rsid w:val="00E500AA"/>
    <w:rsid w:val="00E51F72"/>
    <w:rsid w:val="00E5210A"/>
    <w:rsid w:val="00E530FB"/>
    <w:rsid w:val="00E53210"/>
    <w:rsid w:val="00E533D4"/>
    <w:rsid w:val="00E54246"/>
    <w:rsid w:val="00E54851"/>
    <w:rsid w:val="00E56001"/>
    <w:rsid w:val="00E563A3"/>
    <w:rsid w:val="00E5672C"/>
    <w:rsid w:val="00E5693D"/>
    <w:rsid w:val="00E571DC"/>
    <w:rsid w:val="00E5753D"/>
    <w:rsid w:val="00E576B4"/>
    <w:rsid w:val="00E57F12"/>
    <w:rsid w:val="00E57F78"/>
    <w:rsid w:val="00E60008"/>
    <w:rsid w:val="00E60845"/>
    <w:rsid w:val="00E615BA"/>
    <w:rsid w:val="00E61E09"/>
    <w:rsid w:val="00E62C58"/>
    <w:rsid w:val="00E6439B"/>
    <w:rsid w:val="00E65031"/>
    <w:rsid w:val="00E661AD"/>
    <w:rsid w:val="00E665E7"/>
    <w:rsid w:val="00E67484"/>
    <w:rsid w:val="00E6785D"/>
    <w:rsid w:val="00E714C0"/>
    <w:rsid w:val="00E73C7C"/>
    <w:rsid w:val="00E73DBC"/>
    <w:rsid w:val="00E73EBB"/>
    <w:rsid w:val="00E74DC3"/>
    <w:rsid w:val="00E750E3"/>
    <w:rsid w:val="00E75AD3"/>
    <w:rsid w:val="00E75B51"/>
    <w:rsid w:val="00E75DC9"/>
    <w:rsid w:val="00E75ED1"/>
    <w:rsid w:val="00E760B9"/>
    <w:rsid w:val="00E761F6"/>
    <w:rsid w:val="00E766A8"/>
    <w:rsid w:val="00E768E1"/>
    <w:rsid w:val="00E76A1B"/>
    <w:rsid w:val="00E77925"/>
    <w:rsid w:val="00E77BDE"/>
    <w:rsid w:val="00E77FDE"/>
    <w:rsid w:val="00E803B3"/>
    <w:rsid w:val="00E80C3C"/>
    <w:rsid w:val="00E8154D"/>
    <w:rsid w:val="00E81E0B"/>
    <w:rsid w:val="00E81ED2"/>
    <w:rsid w:val="00E82476"/>
    <w:rsid w:val="00E839DB"/>
    <w:rsid w:val="00E83C77"/>
    <w:rsid w:val="00E8563F"/>
    <w:rsid w:val="00E85E08"/>
    <w:rsid w:val="00E8615F"/>
    <w:rsid w:val="00E87117"/>
    <w:rsid w:val="00E91661"/>
    <w:rsid w:val="00E91BE6"/>
    <w:rsid w:val="00E92FE1"/>
    <w:rsid w:val="00E9366C"/>
    <w:rsid w:val="00E9387C"/>
    <w:rsid w:val="00E93A47"/>
    <w:rsid w:val="00E94E7A"/>
    <w:rsid w:val="00E95ED5"/>
    <w:rsid w:val="00E960CC"/>
    <w:rsid w:val="00E96D9F"/>
    <w:rsid w:val="00E9759D"/>
    <w:rsid w:val="00EA015E"/>
    <w:rsid w:val="00EA023C"/>
    <w:rsid w:val="00EA0291"/>
    <w:rsid w:val="00EA1806"/>
    <w:rsid w:val="00EA1B36"/>
    <w:rsid w:val="00EA22AE"/>
    <w:rsid w:val="00EA2602"/>
    <w:rsid w:val="00EA33DE"/>
    <w:rsid w:val="00EA4407"/>
    <w:rsid w:val="00EA4D17"/>
    <w:rsid w:val="00EA73F1"/>
    <w:rsid w:val="00EA73FE"/>
    <w:rsid w:val="00EA7A6D"/>
    <w:rsid w:val="00EA7C87"/>
    <w:rsid w:val="00EB0065"/>
    <w:rsid w:val="00EB04C6"/>
    <w:rsid w:val="00EB083B"/>
    <w:rsid w:val="00EB13BF"/>
    <w:rsid w:val="00EB1763"/>
    <w:rsid w:val="00EB1AB4"/>
    <w:rsid w:val="00EB1BEB"/>
    <w:rsid w:val="00EB231D"/>
    <w:rsid w:val="00EB25D6"/>
    <w:rsid w:val="00EB38FF"/>
    <w:rsid w:val="00EB41BD"/>
    <w:rsid w:val="00EB44C7"/>
    <w:rsid w:val="00EB5061"/>
    <w:rsid w:val="00EB518E"/>
    <w:rsid w:val="00EB57AE"/>
    <w:rsid w:val="00EB5993"/>
    <w:rsid w:val="00EB632F"/>
    <w:rsid w:val="00EB6F9B"/>
    <w:rsid w:val="00EC0302"/>
    <w:rsid w:val="00EC0948"/>
    <w:rsid w:val="00EC0DD0"/>
    <w:rsid w:val="00EC1C1D"/>
    <w:rsid w:val="00EC1DD2"/>
    <w:rsid w:val="00EC2555"/>
    <w:rsid w:val="00EC25BC"/>
    <w:rsid w:val="00EC2E8E"/>
    <w:rsid w:val="00EC40FD"/>
    <w:rsid w:val="00EC4426"/>
    <w:rsid w:val="00EC6156"/>
    <w:rsid w:val="00EC7035"/>
    <w:rsid w:val="00ED0B97"/>
    <w:rsid w:val="00ED1781"/>
    <w:rsid w:val="00ED2888"/>
    <w:rsid w:val="00ED2F5D"/>
    <w:rsid w:val="00ED37D2"/>
    <w:rsid w:val="00ED41E7"/>
    <w:rsid w:val="00ED4B07"/>
    <w:rsid w:val="00ED4EAF"/>
    <w:rsid w:val="00ED4F15"/>
    <w:rsid w:val="00ED5417"/>
    <w:rsid w:val="00ED6E7D"/>
    <w:rsid w:val="00ED7459"/>
    <w:rsid w:val="00EE06AC"/>
    <w:rsid w:val="00EE0931"/>
    <w:rsid w:val="00EE19A4"/>
    <w:rsid w:val="00EE19DC"/>
    <w:rsid w:val="00EE1FC1"/>
    <w:rsid w:val="00EE2960"/>
    <w:rsid w:val="00EE31DA"/>
    <w:rsid w:val="00EE3200"/>
    <w:rsid w:val="00EE33FB"/>
    <w:rsid w:val="00EE4637"/>
    <w:rsid w:val="00EE586B"/>
    <w:rsid w:val="00EE6807"/>
    <w:rsid w:val="00EE6D8C"/>
    <w:rsid w:val="00EE6E80"/>
    <w:rsid w:val="00EE7410"/>
    <w:rsid w:val="00EE7DB0"/>
    <w:rsid w:val="00EF076A"/>
    <w:rsid w:val="00EF128E"/>
    <w:rsid w:val="00EF3CFA"/>
    <w:rsid w:val="00EF3D6D"/>
    <w:rsid w:val="00EF4351"/>
    <w:rsid w:val="00EF4F10"/>
    <w:rsid w:val="00EF7902"/>
    <w:rsid w:val="00EF7C40"/>
    <w:rsid w:val="00EF7EB1"/>
    <w:rsid w:val="00F00631"/>
    <w:rsid w:val="00F010D7"/>
    <w:rsid w:val="00F0153A"/>
    <w:rsid w:val="00F01590"/>
    <w:rsid w:val="00F01DD7"/>
    <w:rsid w:val="00F033E7"/>
    <w:rsid w:val="00F035A7"/>
    <w:rsid w:val="00F03EB4"/>
    <w:rsid w:val="00F049DD"/>
    <w:rsid w:val="00F049E8"/>
    <w:rsid w:val="00F066AD"/>
    <w:rsid w:val="00F06C57"/>
    <w:rsid w:val="00F0762A"/>
    <w:rsid w:val="00F07CAD"/>
    <w:rsid w:val="00F07E0D"/>
    <w:rsid w:val="00F1084E"/>
    <w:rsid w:val="00F10F21"/>
    <w:rsid w:val="00F11743"/>
    <w:rsid w:val="00F11D81"/>
    <w:rsid w:val="00F13F74"/>
    <w:rsid w:val="00F146C8"/>
    <w:rsid w:val="00F14B5B"/>
    <w:rsid w:val="00F14D5A"/>
    <w:rsid w:val="00F15F31"/>
    <w:rsid w:val="00F15FA0"/>
    <w:rsid w:val="00F20760"/>
    <w:rsid w:val="00F208E8"/>
    <w:rsid w:val="00F20BBF"/>
    <w:rsid w:val="00F2137C"/>
    <w:rsid w:val="00F21A59"/>
    <w:rsid w:val="00F21B1C"/>
    <w:rsid w:val="00F22675"/>
    <w:rsid w:val="00F22FF6"/>
    <w:rsid w:val="00F23342"/>
    <w:rsid w:val="00F249D0"/>
    <w:rsid w:val="00F24C58"/>
    <w:rsid w:val="00F24F6F"/>
    <w:rsid w:val="00F25844"/>
    <w:rsid w:val="00F25993"/>
    <w:rsid w:val="00F25A9A"/>
    <w:rsid w:val="00F25C5B"/>
    <w:rsid w:val="00F25E2E"/>
    <w:rsid w:val="00F2637C"/>
    <w:rsid w:val="00F26992"/>
    <w:rsid w:val="00F26B6F"/>
    <w:rsid w:val="00F271AC"/>
    <w:rsid w:val="00F27954"/>
    <w:rsid w:val="00F27B31"/>
    <w:rsid w:val="00F30178"/>
    <w:rsid w:val="00F30203"/>
    <w:rsid w:val="00F30742"/>
    <w:rsid w:val="00F3088A"/>
    <w:rsid w:val="00F309D7"/>
    <w:rsid w:val="00F30B12"/>
    <w:rsid w:val="00F31BE5"/>
    <w:rsid w:val="00F31FC4"/>
    <w:rsid w:val="00F35902"/>
    <w:rsid w:val="00F35FC0"/>
    <w:rsid w:val="00F36535"/>
    <w:rsid w:val="00F369B7"/>
    <w:rsid w:val="00F36AE0"/>
    <w:rsid w:val="00F41D68"/>
    <w:rsid w:val="00F423ED"/>
    <w:rsid w:val="00F42D04"/>
    <w:rsid w:val="00F43271"/>
    <w:rsid w:val="00F4328D"/>
    <w:rsid w:val="00F444DB"/>
    <w:rsid w:val="00F44615"/>
    <w:rsid w:val="00F44E03"/>
    <w:rsid w:val="00F45006"/>
    <w:rsid w:val="00F45108"/>
    <w:rsid w:val="00F45A27"/>
    <w:rsid w:val="00F46971"/>
    <w:rsid w:val="00F47983"/>
    <w:rsid w:val="00F47B3A"/>
    <w:rsid w:val="00F47C99"/>
    <w:rsid w:val="00F503B1"/>
    <w:rsid w:val="00F50675"/>
    <w:rsid w:val="00F50D73"/>
    <w:rsid w:val="00F51052"/>
    <w:rsid w:val="00F51215"/>
    <w:rsid w:val="00F51C01"/>
    <w:rsid w:val="00F5251E"/>
    <w:rsid w:val="00F5317E"/>
    <w:rsid w:val="00F5322F"/>
    <w:rsid w:val="00F5368A"/>
    <w:rsid w:val="00F545A9"/>
    <w:rsid w:val="00F54A3F"/>
    <w:rsid w:val="00F54DD2"/>
    <w:rsid w:val="00F5602B"/>
    <w:rsid w:val="00F560C7"/>
    <w:rsid w:val="00F5615F"/>
    <w:rsid w:val="00F56E65"/>
    <w:rsid w:val="00F572D4"/>
    <w:rsid w:val="00F5762E"/>
    <w:rsid w:val="00F5779A"/>
    <w:rsid w:val="00F60421"/>
    <w:rsid w:val="00F60DEE"/>
    <w:rsid w:val="00F613CA"/>
    <w:rsid w:val="00F61ACD"/>
    <w:rsid w:val="00F61D98"/>
    <w:rsid w:val="00F621FD"/>
    <w:rsid w:val="00F622FB"/>
    <w:rsid w:val="00F629E2"/>
    <w:rsid w:val="00F636F4"/>
    <w:rsid w:val="00F63D72"/>
    <w:rsid w:val="00F64534"/>
    <w:rsid w:val="00F653FE"/>
    <w:rsid w:val="00F65BF4"/>
    <w:rsid w:val="00F66E30"/>
    <w:rsid w:val="00F700CD"/>
    <w:rsid w:val="00F709A1"/>
    <w:rsid w:val="00F70C70"/>
    <w:rsid w:val="00F71265"/>
    <w:rsid w:val="00F714F0"/>
    <w:rsid w:val="00F71BC9"/>
    <w:rsid w:val="00F71F1F"/>
    <w:rsid w:val="00F72703"/>
    <w:rsid w:val="00F73027"/>
    <w:rsid w:val="00F7343C"/>
    <w:rsid w:val="00F734EF"/>
    <w:rsid w:val="00F736CA"/>
    <w:rsid w:val="00F73C14"/>
    <w:rsid w:val="00F73D19"/>
    <w:rsid w:val="00F73D93"/>
    <w:rsid w:val="00F74133"/>
    <w:rsid w:val="00F74775"/>
    <w:rsid w:val="00F75446"/>
    <w:rsid w:val="00F7548D"/>
    <w:rsid w:val="00F7576B"/>
    <w:rsid w:val="00F75F9C"/>
    <w:rsid w:val="00F763DB"/>
    <w:rsid w:val="00F76C87"/>
    <w:rsid w:val="00F76E25"/>
    <w:rsid w:val="00F77B03"/>
    <w:rsid w:val="00F807B8"/>
    <w:rsid w:val="00F81243"/>
    <w:rsid w:val="00F8160A"/>
    <w:rsid w:val="00F81BB9"/>
    <w:rsid w:val="00F81ECF"/>
    <w:rsid w:val="00F82120"/>
    <w:rsid w:val="00F82141"/>
    <w:rsid w:val="00F82414"/>
    <w:rsid w:val="00F83561"/>
    <w:rsid w:val="00F83991"/>
    <w:rsid w:val="00F83DC5"/>
    <w:rsid w:val="00F83F75"/>
    <w:rsid w:val="00F84122"/>
    <w:rsid w:val="00F850AC"/>
    <w:rsid w:val="00F8541C"/>
    <w:rsid w:val="00F85F85"/>
    <w:rsid w:val="00F86D4F"/>
    <w:rsid w:val="00F8722F"/>
    <w:rsid w:val="00F87587"/>
    <w:rsid w:val="00F87822"/>
    <w:rsid w:val="00F87C07"/>
    <w:rsid w:val="00F90787"/>
    <w:rsid w:val="00F91230"/>
    <w:rsid w:val="00F9159F"/>
    <w:rsid w:val="00F91AB9"/>
    <w:rsid w:val="00F922A1"/>
    <w:rsid w:val="00F93452"/>
    <w:rsid w:val="00F934A0"/>
    <w:rsid w:val="00F944B4"/>
    <w:rsid w:val="00F95E6B"/>
    <w:rsid w:val="00F95E91"/>
    <w:rsid w:val="00F96058"/>
    <w:rsid w:val="00F9612E"/>
    <w:rsid w:val="00F966A4"/>
    <w:rsid w:val="00F9671A"/>
    <w:rsid w:val="00F96C3D"/>
    <w:rsid w:val="00F96CB7"/>
    <w:rsid w:val="00F97575"/>
    <w:rsid w:val="00FA0AAB"/>
    <w:rsid w:val="00FA1220"/>
    <w:rsid w:val="00FA15C5"/>
    <w:rsid w:val="00FA173A"/>
    <w:rsid w:val="00FA190E"/>
    <w:rsid w:val="00FA19AF"/>
    <w:rsid w:val="00FA20A3"/>
    <w:rsid w:val="00FA20DD"/>
    <w:rsid w:val="00FA26FF"/>
    <w:rsid w:val="00FA2944"/>
    <w:rsid w:val="00FA2C4C"/>
    <w:rsid w:val="00FA3211"/>
    <w:rsid w:val="00FA3975"/>
    <w:rsid w:val="00FA4ACE"/>
    <w:rsid w:val="00FA5CE3"/>
    <w:rsid w:val="00FA6DC5"/>
    <w:rsid w:val="00FA723B"/>
    <w:rsid w:val="00FB0456"/>
    <w:rsid w:val="00FB05D9"/>
    <w:rsid w:val="00FB0C47"/>
    <w:rsid w:val="00FB23BE"/>
    <w:rsid w:val="00FB2446"/>
    <w:rsid w:val="00FB2669"/>
    <w:rsid w:val="00FB291A"/>
    <w:rsid w:val="00FB2F10"/>
    <w:rsid w:val="00FB383B"/>
    <w:rsid w:val="00FB3AD7"/>
    <w:rsid w:val="00FB3B8C"/>
    <w:rsid w:val="00FB3BBE"/>
    <w:rsid w:val="00FB40AD"/>
    <w:rsid w:val="00FB55D4"/>
    <w:rsid w:val="00FB637C"/>
    <w:rsid w:val="00FB6806"/>
    <w:rsid w:val="00FB6907"/>
    <w:rsid w:val="00FC19B4"/>
    <w:rsid w:val="00FC1FE0"/>
    <w:rsid w:val="00FC2260"/>
    <w:rsid w:val="00FC244D"/>
    <w:rsid w:val="00FC27BE"/>
    <w:rsid w:val="00FC2DA3"/>
    <w:rsid w:val="00FC33D0"/>
    <w:rsid w:val="00FC356E"/>
    <w:rsid w:val="00FC3A5B"/>
    <w:rsid w:val="00FC3E64"/>
    <w:rsid w:val="00FC448E"/>
    <w:rsid w:val="00FC4864"/>
    <w:rsid w:val="00FC4FD5"/>
    <w:rsid w:val="00FC6096"/>
    <w:rsid w:val="00FC6EDC"/>
    <w:rsid w:val="00FC71A4"/>
    <w:rsid w:val="00FC7BB4"/>
    <w:rsid w:val="00FC7F7D"/>
    <w:rsid w:val="00FD0070"/>
    <w:rsid w:val="00FD0073"/>
    <w:rsid w:val="00FD2E92"/>
    <w:rsid w:val="00FD349A"/>
    <w:rsid w:val="00FD394C"/>
    <w:rsid w:val="00FD3E41"/>
    <w:rsid w:val="00FD4626"/>
    <w:rsid w:val="00FD4850"/>
    <w:rsid w:val="00FD5EED"/>
    <w:rsid w:val="00FE039E"/>
    <w:rsid w:val="00FE0756"/>
    <w:rsid w:val="00FE07B9"/>
    <w:rsid w:val="00FE0A7D"/>
    <w:rsid w:val="00FE22E4"/>
    <w:rsid w:val="00FE239C"/>
    <w:rsid w:val="00FE269B"/>
    <w:rsid w:val="00FE272F"/>
    <w:rsid w:val="00FE2AAE"/>
    <w:rsid w:val="00FE3F2E"/>
    <w:rsid w:val="00FE42B6"/>
    <w:rsid w:val="00FE4BB8"/>
    <w:rsid w:val="00FE51BB"/>
    <w:rsid w:val="00FE563B"/>
    <w:rsid w:val="00FE5E4B"/>
    <w:rsid w:val="00FE63FA"/>
    <w:rsid w:val="00FE7089"/>
    <w:rsid w:val="00FE72A3"/>
    <w:rsid w:val="00FE7776"/>
    <w:rsid w:val="00FE7DCB"/>
    <w:rsid w:val="00FE7E7E"/>
    <w:rsid w:val="00FF05F5"/>
    <w:rsid w:val="00FF0C94"/>
    <w:rsid w:val="00FF0DA1"/>
    <w:rsid w:val="00FF0FDA"/>
    <w:rsid w:val="00FF199B"/>
    <w:rsid w:val="00FF23DC"/>
    <w:rsid w:val="00FF24A2"/>
    <w:rsid w:val="00FF2915"/>
    <w:rsid w:val="00FF3335"/>
    <w:rsid w:val="00FF336F"/>
    <w:rsid w:val="00FF4099"/>
    <w:rsid w:val="00FF4221"/>
    <w:rsid w:val="00FF450E"/>
    <w:rsid w:val="00FF4C81"/>
    <w:rsid w:val="00FF5245"/>
    <w:rsid w:val="00FF6146"/>
    <w:rsid w:val="00FF61D8"/>
    <w:rsid w:val="00FF6681"/>
    <w:rsid w:val="00FF7C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60EF7"/>
    <w:pPr>
      <w:widowControl w:val="0"/>
      <w:adjustRightInd w:val="0"/>
      <w:spacing w:line="372" w:lineRule="exact"/>
      <w:textAlignment w:val="center"/>
    </w:pPr>
    <w:rPr>
      <w:rFonts w:eastAsia="細明體"/>
    </w:rPr>
  </w:style>
  <w:style w:type="paragraph" w:styleId="11">
    <w:name w:val="heading 1"/>
    <w:basedOn w:val="a1"/>
    <w:link w:val="12"/>
    <w:uiPriority w:val="9"/>
    <w:qFormat/>
    <w:pPr>
      <w:widowControl/>
      <w:adjustRightInd/>
      <w:spacing w:before="100" w:beforeAutospacing="1" w:after="100" w:afterAutospacing="1" w:line="240" w:lineRule="auto"/>
      <w:textAlignment w:val="auto"/>
      <w:outlineLvl w:val="0"/>
    </w:pPr>
    <w:rPr>
      <w:rFonts w:ascii="Arial Unicode MS" w:eastAsia="Arial Unicode MS" w:hAnsi="Arial Unicode MS" w:cs="Arial Unicode MS"/>
      <w:b/>
      <w:bCs/>
      <w:kern w:val="36"/>
      <w:sz w:val="48"/>
      <w:szCs w:val="48"/>
    </w:rPr>
  </w:style>
  <w:style w:type="paragraph" w:styleId="21">
    <w:name w:val="heading 2"/>
    <w:basedOn w:val="a1"/>
    <w:next w:val="a1"/>
    <w:link w:val="22"/>
    <w:qFormat/>
    <w:rsid w:val="00286F49"/>
    <w:pPr>
      <w:keepNext/>
      <w:spacing w:after="240" w:line="720" w:lineRule="atLeast"/>
      <w:ind w:left="397"/>
      <w:textAlignment w:val="baseline"/>
      <w:outlineLvl w:val="1"/>
    </w:pPr>
    <w:rPr>
      <w:rFonts w:ascii="Book Antiqua" w:eastAsia="華康楷書體W5" w:hAnsi="Arial"/>
      <w:b/>
      <w:spacing w:val="10"/>
      <w:sz w:val="40"/>
    </w:rPr>
  </w:style>
  <w:style w:type="paragraph" w:styleId="3">
    <w:name w:val="heading 3"/>
    <w:basedOn w:val="a1"/>
    <w:next w:val="a1"/>
    <w:link w:val="30"/>
    <w:uiPriority w:val="9"/>
    <w:unhideWhenUsed/>
    <w:qFormat/>
    <w:rsid w:val="00E1645B"/>
    <w:pPr>
      <w:keepNext/>
      <w:spacing w:line="720" w:lineRule="atLeast"/>
      <w:outlineLvl w:val="2"/>
    </w:pPr>
    <w:rPr>
      <w:rFonts w:ascii="Cambria" w:eastAsia="新細明體" w:hAnsi="Cambria"/>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1">
    <w:name w:val="弟3行"/>
    <w:basedOn w:val="a1"/>
    <w:pPr>
      <w:spacing w:line="300" w:lineRule="exact"/>
    </w:pPr>
    <w:rPr>
      <w:rFonts w:eastAsia=".文鼎中楷"/>
      <w:sz w:val="36"/>
    </w:rPr>
  </w:style>
  <w:style w:type="paragraph" w:customStyle="1" w:styleId="a5">
    <w:name w:val="信內文"/>
    <w:basedOn w:val="31"/>
    <w:pPr>
      <w:spacing w:line="360" w:lineRule="auto"/>
    </w:pPr>
    <w:rPr>
      <w:rFonts w:ascii=".文鼎中楷"/>
      <w:spacing w:val="43"/>
    </w:rPr>
  </w:style>
  <w:style w:type="paragraph" w:styleId="a6">
    <w:name w:val="footer"/>
    <w:basedOn w:val="a1"/>
    <w:link w:val="a7"/>
    <w:uiPriority w:val="99"/>
    <w:pPr>
      <w:tabs>
        <w:tab w:val="center" w:pos="4153"/>
        <w:tab w:val="right" w:pos="8306"/>
      </w:tabs>
      <w:spacing w:line="360" w:lineRule="auto"/>
    </w:pPr>
    <w:rPr>
      <w:sz w:val="18"/>
    </w:rPr>
  </w:style>
  <w:style w:type="paragraph" w:styleId="a8">
    <w:name w:val="header"/>
    <w:basedOn w:val="a1"/>
    <w:link w:val="a9"/>
    <w:uiPriority w:val="99"/>
    <w:pPr>
      <w:tabs>
        <w:tab w:val="center" w:pos="4153"/>
        <w:tab w:val="right" w:pos="8306"/>
      </w:tabs>
    </w:pPr>
  </w:style>
  <w:style w:type="character" w:styleId="aa">
    <w:name w:val="page number"/>
    <w:rPr>
      <w:rFonts w:ascii="Times New Roman" w:hAnsi="Times New Roman" w:cs="Times New Roman"/>
    </w:rPr>
  </w:style>
  <w:style w:type="paragraph" w:customStyle="1" w:styleId="ab">
    <w:name w:val="主旨"/>
    <w:basedOn w:val="a1"/>
    <w:pPr>
      <w:spacing w:line="720" w:lineRule="exact"/>
      <w:ind w:left="1021" w:hanging="1021"/>
    </w:pPr>
    <w:rPr>
      <w:rFonts w:eastAsia=".文鼎中楷"/>
      <w:sz w:val="36"/>
    </w:rPr>
  </w:style>
  <w:style w:type="paragraph" w:customStyle="1" w:styleId="13">
    <w:name w:val="說明1"/>
    <w:basedOn w:val="ab"/>
  </w:style>
  <w:style w:type="paragraph" w:customStyle="1" w:styleId="ac">
    <w:name w:val="說明"/>
    <w:basedOn w:val="ab"/>
    <w:pPr>
      <w:ind w:left="1474" w:hanging="1474"/>
    </w:pPr>
  </w:style>
  <w:style w:type="paragraph" w:customStyle="1" w:styleId="ad">
    <w:name w:val="二"/>
    <w:basedOn w:val="ac"/>
    <w:pPr>
      <w:ind w:left="397" w:hanging="397"/>
    </w:pPr>
  </w:style>
  <w:style w:type="paragraph" w:customStyle="1" w:styleId="ae">
    <w:name w:val="(一)"/>
    <w:basedOn w:val="ad"/>
    <w:pPr>
      <w:ind w:left="794"/>
    </w:pPr>
  </w:style>
  <w:style w:type="paragraph" w:customStyle="1" w:styleId="af">
    <w:name w:val="案由"/>
    <w:basedOn w:val="a1"/>
    <w:pPr>
      <w:spacing w:line="680" w:lineRule="exact"/>
      <w:ind w:left="1134" w:hanging="1134"/>
      <w:jc w:val="both"/>
    </w:pPr>
    <w:rPr>
      <w:rFonts w:ascii="華康中楷體" w:eastAsia="華康中楷體"/>
      <w:spacing w:val="16"/>
      <w:sz w:val="36"/>
    </w:rPr>
  </w:style>
  <w:style w:type="paragraph" w:customStyle="1" w:styleId="af0">
    <w:name w:val="二、"/>
    <w:basedOn w:val="a1"/>
    <w:pPr>
      <w:spacing w:line="680" w:lineRule="exact"/>
      <w:ind w:left="1560" w:hanging="426"/>
      <w:jc w:val="both"/>
    </w:pPr>
    <w:rPr>
      <w:rFonts w:ascii="華康中楷體" w:eastAsia="華康中楷體"/>
      <w:spacing w:val="16"/>
      <w:sz w:val="36"/>
    </w:rPr>
  </w:style>
  <w:style w:type="paragraph" w:customStyle="1" w:styleId="14">
    <w:name w:val="本文縮排1"/>
    <w:basedOn w:val="a1"/>
    <w:pPr>
      <w:spacing w:line="680" w:lineRule="exact"/>
      <w:ind w:left="2002" w:hanging="420"/>
      <w:jc w:val="both"/>
      <w:textDirection w:val="lrTbV"/>
    </w:pPr>
    <w:rPr>
      <w:rFonts w:ascii="華康楷書體W5" w:eastAsia="華康楷書體W5"/>
      <w:spacing w:val="16"/>
      <w:sz w:val="36"/>
    </w:rPr>
  </w:style>
  <w:style w:type="paragraph" w:styleId="23">
    <w:name w:val="Body Text Indent 2"/>
    <w:basedOn w:val="a1"/>
    <w:pPr>
      <w:spacing w:line="640" w:lineRule="exact"/>
      <w:ind w:left="1120"/>
      <w:jc w:val="both"/>
      <w:textDirection w:val="lrTbV"/>
    </w:pPr>
    <w:rPr>
      <w:rFonts w:ascii="華康楷書體W5" w:eastAsia="華康楷書體W5"/>
      <w:spacing w:val="16"/>
      <w:sz w:val="36"/>
    </w:rPr>
  </w:style>
  <w:style w:type="paragraph" w:styleId="32">
    <w:name w:val="Body Text Indent 3"/>
    <w:basedOn w:val="a1"/>
    <w:pPr>
      <w:spacing w:line="680" w:lineRule="exact"/>
      <w:ind w:left="1134"/>
      <w:jc w:val="both"/>
      <w:textDirection w:val="lrTbV"/>
    </w:pPr>
    <w:rPr>
      <w:rFonts w:ascii="華康楷書體W5" w:eastAsia="華康楷書體W5"/>
      <w:spacing w:val="16"/>
      <w:sz w:val="36"/>
    </w:rPr>
  </w:style>
  <w:style w:type="paragraph" w:styleId="af1">
    <w:name w:val="Block Text"/>
    <w:basedOn w:val="a1"/>
    <w:pPr>
      <w:spacing w:line="680" w:lineRule="exact"/>
      <w:ind w:left="1596" w:right="-20" w:hanging="1596"/>
      <w:jc w:val="both"/>
      <w:textDirection w:val="lrTbV"/>
    </w:pPr>
    <w:rPr>
      <w:rFonts w:ascii="華康楷書體W5" w:eastAsia="華康楷書體W5"/>
      <w:spacing w:val="10"/>
      <w:sz w:val="36"/>
    </w:rPr>
  </w:style>
  <w:style w:type="paragraph" w:customStyle="1" w:styleId="BodyTextIndent31">
    <w:name w:val="Body Text Indent 31"/>
    <w:basedOn w:val="a1"/>
    <w:pPr>
      <w:autoSpaceDE w:val="0"/>
      <w:autoSpaceDN w:val="0"/>
      <w:spacing w:line="420" w:lineRule="exact"/>
      <w:ind w:left="624" w:hanging="624"/>
      <w:jc w:val="both"/>
      <w:textDirection w:val="lrTbV"/>
      <w:textAlignment w:val="baseline"/>
    </w:pPr>
    <w:rPr>
      <w:rFonts w:ascii="標楷體" w:eastAsia="標楷體"/>
      <w:sz w:val="32"/>
    </w:rPr>
  </w:style>
  <w:style w:type="paragraph" w:customStyle="1" w:styleId="af2">
    <w:name w:val="一、"/>
    <w:basedOn w:val="a1"/>
    <w:pPr>
      <w:spacing w:line="680" w:lineRule="exact"/>
      <w:ind w:left="425" w:hanging="425"/>
      <w:jc w:val="both"/>
    </w:pPr>
    <w:rPr>
      <w:rFonts w:ascii="華康楷書體W5" w:eastAsia="華康楷書體W5"/>
      <w:spacing w:val="16"/>
      <w:sz w:val="36"/>
    </w:rPr>
  </w:style>
  <w:style w:type="paragraph" w:styleId="Web">
    <w:name w:val="Normal (Web)"/>
    <w:basedOn w:val="a1"/>
    <w:uiPriority w:val="99"/>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
    <w:name w:val="bodytextindent31"/>
    <w:basedOn w:val="a1"/>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3">
    <w:name w:val="Plain Text"/>
    <w:basedOn w:val="a1"/>
    <w:semiHidden/>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0">
    <w:name w:val="bodytextindent310"/>
    <w:basedOn w:val="a1"/>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4">
    <w:name w:val="Body Text"/>
    <w:basedOn w:val="a1"/>
    <w:link w:val="af5"/>
    <w:pPr>
      <w:spacing w:before="50" w:line="560" w:lineRule="exact"/>
    </w:pPr>
    <w:rPr>
      <w:rFonts w:eastAsia="標楷體"/>
      <w:sz w:val="32"/>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rPr>
  </w:style>
  <w:style w:type="character" w:styleId="af6">
    <w:name w:val="Emphasis"/>
    <w:uiPriority w:val="20"/>
    <w:qFormat/>
    <w:rPr>
      <w:rFonts w:ascii="Times New Roman" w:hAnsi="Times New Roman" w:cs="Times New Roman"/>
      <w:color w:val="CC0033"/>
    </w:rPr>
  </w:style>
  <w:style w:type="character" w:styleId="af7">
    <w:name w:val="annotation reference"/>
    <w:semiHidden/>
    <w:rPr>
      <w:rFonts w:ascii="Times New Roman" w:hAnsi="Times New Roman" w:cs="Times New Roman"/>
      <w:sz w:val="18"/>
      <w:szCs w:val="18"/>
    </w:rPr>
  </w:style>
  <w:style w:type="paragraph" w:styleId="af8">
    <w:name w:val="annotation text"/>
    <w:basedOn w:val="a1"/>
    <w:link w:val="af9"/>
    <w:semiHidden/>
    <w:pPr>
      <w:adjustRightInd/>
      <w:spacing w:line="560" w:lineRule="exact"/>
      <w:textAlignment w:val="auto"/>
    </w:pPr>
    <w:rPr>
      <w:rFonts w:eastAsia="標楷體"/>
      <w:kern w:val="2"/>
      <w:sz w:val="32"/>
      <w:szCs w:val="24"/>
    </w:rPr>
  </w:style>
  <w:style w:type="character" w:customStyle="1" w:styleId="highlight">
    <w:name w:val="highlight"/>
    <w:rPr>
      <w:rFonts w:ascii="Times New Roman" w:hAnsi="Times New Roman" w:cs="Times New Roman"/>
    </w:rPr>
  </w:style>
  <w:style w:type="character" w:styleId="afa">
    <w:name w:val="Strong"/>
    <w:qFormat/>
    <w:rPr>
      <w:rFonts w:ascii="Times New Roman" w:hAnsi="Times New Roman" w:cs="Times New Roman"/>
      <w:b/>
      <w:bCs/>
    </w:rPr>
  </w:style>
  <w:style w:type="paragraph" w:customStyle="1" w:styleId="a0">
    <w:name w:val="一"/>
    <w:basedOn w:val="a1"/>
    <w:pPr>
      <w:numPr>
        <w:numId w:val="18"/>
      </w:numPr>
      <w:tabs>
        <w:tab w:val="left" w:leader="hyphen" w:pos="3402"/>
        <w:tab w:val="left" w:leader="hyphen" w:pos="6804"/>
        <w:tab w:val="left" w:leader="hyphen" w:pos="10206"/>
        <w:tab w:val="left" w:leader="hyphen" w:pos="13608"/>
      </w:tabs>
      <w:spacing w:before="50" w:line="560" w:lineRule="exact"/>
      <w:jc w:val="both"/>
      <w:textAlignment w:val="baseline"/>
    </w:pPr>
    <w:rPr>
      <w:rFonts w:eastAsia="標楷體"/>
      <w:spacing w:val="-10"/>
      <w:sz w:val="32"/>
      <w:szCs w:val="32"/>
    </w:rPr>
  </w:style>
  <w:style w:type="paragraph" w:customStyle="1" w:styleId="15">
    <w:name w:val="1"/>
    <w:basedOn w:val="ae"/>
    <w:pPr>
      <w:tabs>
        <w:tab w:val="left" w:leader="hyphen" w:pos="3402"/>
        <w:tab w:val="left" w:leader="hyphen" w:pos="6804"/>
        <w:tab w:val="left" w:leader="hyphen" w:pos="10206"/>
        <w:tab w:val="left" w:leader="hyphen" w:pos="13608"/>
      </w:tabs>
      <w:spacing w:before="50" w:line="240" w:lineRule="auto"/>
      <w:ind w:left="1440" w:hanging="540"/>
      <w:jc w:val="both"/>
      <w:textAlignment w:val="baseline"/>
    </w:pPr>
    <w:rPr>
      <w:rFonts w:eastAsia="標楷體"/>
      <w:spacing w:val="-22"/>
      <w:sz w:val="32"/>
      <w:szCs w:val="32"/>
    </w:rPr>
  </w:style>
  <w:style w:type="paragraph" w:styleId="afb">
    <w:name w:val="Body Text Indent"/>
    <w:basedOn w:val="a1"/>
    <w:pPr>
      <w:spacing w:before="100" w:line="540" w:lineRule="exact"/>
      <w:ind w:left="620"/>
      <w:jc w:val="both"/>
    </w:pPr>
    <w:rPr>
      <w:rFonts w:eastAsia="標楷體"/>
      <w:sz w:val="32"/>
    </w:rPr>
  </w:style>
  <w:style w:type="character" w:customStyle="1" w:styleId="cpt2">
    <w:name w:val="cpt2"/>
    <w:basedOn w:val="a2"/>
  </w:style>
  <w:style w:type="paragraph" w:customStyle="1" w:styleId="Default">
    <w:name w:val="Default"/>
    <w:uiPriority w:val="99"/>
    <w:pPr>
      <w:widowControl w:val="0"/>
      <w:autoSpaceDE w:val="0"/>
      <w:autoSpaceDN w:val="0"/>
      <w:adjustRightInd w:val="0"/>
    </w:pPr>
    <w:rPr>
      <w:rFonts w:ascii="標楷體" w:eastAsia="標楷體"/>
      <w:color w:val="000000"/>
      <w:sz w:val="24"/>
      <w:szCs w:val="24"/>
    </w:rPr>
  </w:style>
  <w:style w:type="character" w:customStyle="1" w:styleId="boldtitle1">
    <w:name w:val="boldtitle1"/>
    <w:rPr>
      <w:b/>
      <w:bCs/>
    </w:rPr>
  </w:style>
  <w:style w:type="paragraph" w:styleId="afc">
    <w:name w:val="footnote text"/>
    <w:basedOn w:val="a1"/>
    <w:link w:val="afd"/>
    <w:uiPriority w:val="99"/>
    <w:pPr>
      <w:adjustRightInd/>
      <w:snapToGrid w:val="0"/>
      <w:spacing w:line="240" w:lineRule="auto"/>
      <w:textAlignment w:val="auto"/>
    </w:pPr>
    <w:rPr>
      <w:rFonts w:eastAsia="新細明體"/>
      <w:kern w:val="2"/>
    </w:rPr>
  </w:style>
  <w:style w:type="character" w:styleId="afe">
    <w:name w:val="footnote reference"/>
    <w:uiPriority w:val="99"/>
    <w:rPr>
      <w:vertAlign w:val="superscript"/>
    </w:rPr>
  </w:style>
  <w:style w:type="paragraph" w:styleId="aff">
    <w:name w:val="annotation subject"/>
    <w:basedOn w:val="af8"/>
    <w:next w:val="af8"/>
    <w:link w:val="aff0"/>
    <w:uiPriority w:val="99"/>
    <w:semiHidden/>
    <w:unhideWhenUsed/>
    <w:rsid w:val="001A5E2D"/>
    <w:pPr>
      <w:adjustRightInd w:val="0"/>
      <w:spacing w:line="372" w:lineRule="exact"/>
      <w:textAlignment w:val="center"/>
    </w:pPr>
    <w:rPr>
      <w:rFonts w:eastAsia="細明體"/>
      <w:b/>
      <w:bCs/>
      <w:kern w:val="0"/>
      <w:sz w:val="20"/>
      <w:szCs w:val="20"/>
    </w:rPr>
  </w:style>
  <w:style w:type="character" w:customStyle="1" w:styleId="af9">
    <w:name w:val="註解文字 字元"/>
    <w:link w:val="af8"/>
    <w:semiHidden/>
    <w:rsid w:val="001A5E2D"/>
    <w:rPr>
      <w:rFonts w:eastAsia="標楷體"/>
      <w:kern w:val="2"/>
      <w:sz w:val="32"/>
      <w:szCs w:val="24"/>
    </w:rPr>
  </w:style>
  <w:style w:type="character" w:customStyle="1" w:styleId="aff0">
    <w:name w:val="註解主旨 字元"/>
    <w:link w:val="aff"/>
    <w:uiPriority w:val="99"/>
    <w:semiHidden/>
    <w:rsid w:val="001A5E2D"/>
    <w:rPr>
      <w:rFonts w:eastAsia="細明體"/>
      <w:b/>
      <w:bCs/>
      <w:kern w:val="2"/>
      <w:sz w:val="32"/>
      <w:szCs w:val="24"/>
    </w:rPr>
  </w:style>
  <w:style w:type="paragraph" w:styleId="aff1">
    <w:name w:val="Balloon Text"/>
    <w:basedOn w:val="a1"/>
    <w:link w:val="aff2"/>
    <w:unhideWhenUsed/>
    <w:rsid w:val="001A5E2D"/>
    <w:pPr>
      <w:spacing w:line="240" w:lineRule="auto"/>
    </w:pPr>
    <w:rPr>
      <w:rFonts w:ascii="Cambria" w:eastAsia="新細明體" w:hAnsi="Cambria"/>
      <w:sz w:val="18"/>
      <w:szCs w:val="18"/>
    </w:rPr>
  </w:style>
  <w:style w:type="character" w:customStyle="1" w:styleId="aff2">
    <w:name w:val="註解方塊文字 字元"/>
    <w:link w:val="aff1"/>
    <w:rsid w:val="001A5E2D"/>
    <w:rPr>
      <w:rFonts w:ascii="Cambria" w:eastAsia="新細明體" w:hAnsi="Cambria" w:cs="Times New Roman"/>
      <w:sz w:val="18"/>
      <w:szCs w:val="18"/>
    </w:rPr>
  </w:style>
  <w:style w:type="character" w:customStyle="1" w:styleId="30">
    <w:name w:val="標題 3 字元"/>
    <w:link w:val="3"/>
    <w:uiPriority w:val="9"/>
    <w:semiHidden/>
    <w:rsid w:val="00E1645B"/>
    <w:rPr>
      <w:rFonts w:ascii="Cambria" w:eastAsia="新細明體" w:hAnsi="Cambria" w:cs="Times New Roman"/>
      <w:b/>
      <w:bCs/>
      <w:sz w:val="36"/>
      <w:szCs w:val="36"/>
    </w:rPr>
  </w:style>
  <w:style w:type="character" w:customStyle="1" w:styleId="st1">
    <w:name w:val="st1"/>
    <w:rsid w:val="002B4F91"/>
  </w:style>
  <w:style w:type="character" w:customStyle="1" w:styleId="22">
    <w:name w:val="標題 2 字元"/>
    <w:link w:val="21"/>
    <w:rsid w:val="00286F49"/>
    <w:rPr>
      <w:rFonts w:ascii="Book Antiqua" w:eastAsia="華康楷書體W5" w:hAnsi="Arial"/>
      <w:b/>
      <w:spacing w:val="10"/>
      <w:sz w:val="40"/>
    </w:rPr>
  </w:style>
  <w:style w:type="paragraph" w:customStyle="1" w:styleId="aff3">
    <w:name w:val="表附註"/>
    <w:basedOn w:val="24"/>
    <w:rsid w:val="00286F49"/>
    <w:pPr>
      <w:spacing w:after="0" w:line="240" w:lineRule="atLeast"/>
      <w:ind w:left="0"/>
    </w:pPr>
    <w:rPr>
      <w:spacing w:val="0"/>
      <w:sz w:val="24"/>
    </w:rPr>
  </w:style>
  <w:style w:type="paragraph" w:customStyle="1" w:styleId="24">
    <w:name w:val="內文2"/>
    <w:basedOn w:val="a1"/>
    <w:rsid w:val="00286F49"/>
    <w:pPr>
      <w:spacing w:before="120" w:after="120" w:line="324" w:lineRule="auto"/>
      <w:ind w:left="1134"/>
      <w:jc w:val="both"/>
      <w:textAlignment w:val="baseline"/>
    </w:pPr>
    <w:rPr>
      <w:rFonts w:ascii="Book Antiqua" w:eastAsia="華康楷書體W5"/>
      <w:spacing w:val="10"/>
      <w:sz w:val="36"/>
    </w:rPr>
  </w:style>
  <w:style w:type="paragraph" w:customStyle="1" w:styleId="16">
    <w:name w:val="內文1"/>
    <w:basedOn w:val="a1"/>
    <w:rsid w:val="00286F49"/>
    <w:pPr>
      <w:spacing w:before="120" w:after="120" w:line="360" w:lineRule="auto"/>
      <w:ind w:left="964" w:firstLine="397"/>
      <w:jc w:val="both"/>
      <w:textAlignment w:val="baseline"/>
    </w:pPr>
    <w:rPr>
      <w:rFonts w:ascii="Book Antiqua" w:eastAsia="華康中楷體"/>
      <w:spacing w:val="10"/>
      <w:sz w:val="36"/>
    </w:rPr>
  </w:style>
  <w:style w:type="paragraph" w:customStyle="1" w:styleId="33">
    <w:name w:val="內文3"/>
    <w:basedOn w:val="16"/>
    <w:rsid w:val="00286F49"/>
    <w:pPr>
      <w:ind w:left="2042" w:hanging="1021"/>
    </w:pPr>
    <w:rPr>
      <w:rFonts w:eastAsia="華康楷書體W5"/>
    </w:rPr>
  </w:style>
  <w:style w:type="paragraph" w:customStyle="1" w:styleId="4">
    <w:name w:val="內文4"/>
    <w:basedOn w:val="33"/>
    <w:rsid w:val="00286F49"/>
    <w:pPr>
      <w:spacing w:line="680" w:lineRule="exact"/>
      <w:ind w:left="1645" w:hanging="624"/>
    </w:pPr>
  </w:style>
  <w:style w:type="paragraph" w:customStyle="1" w:styleId="5">
    <w:name w:val="內文5"/>
    <w:basedOn w:val="33"/>
    <w:rsid w:val="00286F49"/>
    <w:pPr>
      <w:spacing w:before="240"/>
      <w:ind w:left="1305" w:hanging="284"/>
    </w:pPr>
  </w:style>
  <w:style w:type="paragraph" w:customStyle="1" w:styleId="40">
    <w:name w:val="標題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6">
    <w:name w:val="內文6"/>
    <w:basedOn w:val="16"/>
    <w:rsid w:val="00286F49"/>
    <w:pPr>
      <w:spacing w:line="680" w:lineRule="exact"/>
      <w:ind w:left="567" w:firstLine="680"/>
    </w:pPr>
    <w:rPr>
      <w:rFonts w:eastAsia="華康楷書體W5"/>
    </w:rPr>
  </w:style>
  <w:style w:type="paragraph" w:customStyle="1" w:styleId="50">
    <w:name w:val="標題5"/>
    <w:basedOn w:val="40"/>
    <w:rsid w:val="00286F49"/>
    <w:pPr>
      <w:ind w:left="567"/>
    </w:pPr>
    <w:rPr>
      <w:rFonts w:ascii="Book Antiqua"/>
      <w:b w:val="0"/>
      <w:sz w:val="32"/>
    </w:rPr>
  </w:style>
  <w:style w:type="paragraph" w:customStyle="1" w:styleId="7">
    <w:name w:val="內文7"/>
    <w:basedOn w:val="4"/>
    <w:rsid w:val="00286F49"/>
    <w:pPr>
      <w:ind w:left="2211" w:hanging="964"/>
    </w:pPr>
  </w:style>
  <w:style w:type="paragraph" w:customStyle="1" w:styleId="60">
    <w:name w:val="標題6"/>
    <w:basedOn w:val="50"/>
    <w:rsid w:val="00286F49"/>
    <w:rPr>
      <w:b/>
    </w:rPr>
  </w:style>
  <w:style w:type="paragraph" w:customStyle="1" w:styleId="70">
    <w:name w:val="標題7"/>
    <w:basedOn w:val="3"/>
    <w:rsid w:val="00286F49"/>
    <w:pPr>
      <w:spacing w:before="120" w:after="360"/>
      <w:ind w:left="794" w:hanging="1247"/>
      <w:jc w:val="both"/>
      <w:textAlignment w:val="baseline"/>
      <w:outlineLvl w:val="9"/>
    </w:pPr>
    <w:rPr>
      <w:rFonts w:ascii="Arial" w:eastAsia="華康楷書體W5" w:hAnsi="Arial"/>
      <w:b w:val="0"/>
      <w:bCs w:val="0"/>
      <w:spacing w:val="10"/>
      <w:szCs w:val="20"/>
    </w:rPr>
  </w:style>
  <w:style w:type="paragraph" w:customStyle="1" w:styleId="8">
    <w:name w:val="內文8"/>
    <w:basedOn w:val="7"/>
    <w:rsid w:val="00286F49"/>
    <w:pPr>
      <w:spacing w:before="0" w:after="0"/>
    </w:pPr>
  </w:style>
  <w:style w:type="paragraph" w:customStyle="1" w:styleId="9">
    <w:name w:val="內文9"/>
    <w:basedOn w:val="4"/>
    <w:rsid w:val="00286F49"/>
    <w:pPr>
      <w:spacing w:before="0" w:after="0"/>
    </w:pPr>
  </w:style>
  <w:style w:type="paragraph" w:customStyle="1" w:styleId="17">
    <w:name w:val="樣式1"/>
    <w:basedOn w:val="a1"/>
    <w:rsid w:val="00286F49"/>
    <w:pPr>
      <w:spacing w:after="240" w:line="680" w:lineRule="exact"/>
      <w:ind w:left="1134" w:firstLine="567"/>
      <w:jc w:val="both"/>
      <w:textAlignment w:val="baseline"/>
    </w:pPr>
    <w:rPr>
      <w:rFonts w:ascii="Book Antiqua" w:eastAsia="華康楷書體W5"/>
      <w:spacing w:val="10"/>
      <w:sz w:val="36"/>
    </w:rPr>
  </w:style>
  <w:style w:type="paragraph" w:customStyle="1" w:styleId="80">
    <w:name w:val="標題8"/>
    <w:basedOn w:val="3"/>
    <w:rsid w:val="00286F49"/>
    <w:pPr>
      <w:spacing w:before="120" w:after="360"/>
      <w:ind w:left="1814" w:hanging="1247"/>
      <w:jc w:val="both"/>
      <w:textAlignment w:val="baseline"/>
      <w:outlineLvl w:val="9"/>
    </w:pPr>
    <w:rPr>
      <w:rFonts w:ascii="Arial" w:eastAsia="華康楷書體W5" w:hAnsi="Arial"/>
      <w:bCs w:val="0"/>
      <w:spacing w:val="10"/>
      <w:sz w:val="40"/>
      <w:szCs w:val="20"/>
    </w:rPr>
  </w:style>
  <w:style w:type="paragraph" w:customStyle="1" w:styleId="90">
    <w:name w:val="標題9"/>
    <w:basedOn w:val="70"/>
    <w:rsid w:val="00286F49"/>
    <w:pPr>
      <w:ind w:left="680" w:firstLine="0"/>
      <w:jc w:val="left"/>
    </w:pPr>
  </w:style>
  <w:style w:type="paragraph" w:customStyle="1" w:styleId="100">
    <w:name w:val="內文10"/>
    <w:basedOn w:val="6"/>
    <w:rsid w:val="00286F49"/>
    <w:pPr>
      <w:ind w:firstLine="454"/>
    </w:pPr>
  </w:style>
  <w:style w:type="paragraph" w:customStyle="1" w:styleId="110">
    <w:name w:val="內文11"/>
    <w:basedOn w:val="100"/>
    <w:rsid w:val="00286F49"/>
  </w:style>
  <w:style w:type="paragraph" w:customStyle="1" w:styleId="120">
    <w:name w:val="內文12"/>
    <w:basedOn w:val="8"/>
    <w:rsid w:val="00286F49"/>
    <w:pPr>
      <w:ind w:left="1248"/>
    </w:pPr>
    <w:rPr>
      <w:spacing w:val="0"/>
    </w:rPr>
  </w:style>
  <w:style w:type="paragraph" w:customStyle="1" w:styleId="aff4">
    <w:name w:val="ｂ（）ｒ"/>
    <w:basedOn w:val="a1"/>
    <w:rsid w:val="00286F49"/>
    <w:pPr>
      <w:spacing w:before="120" w:after="120" w:line="680" w:lineRule="exact"/>
      <w:ind w:left="2042" w:hanging="1021"/>
      <w:jc w:val="both"/>
      <w:textDirection w:val="lrTbV"/>
      <w:textAlignment w:val="baseline"/>
    </w:pPr>
    <w:rPr>
      <w:rFonts w:ascii="Book Antiqua" w:eastAsia="標楷體"/>
      <w:color w:val="000000"/>
      <w:spacing w:val="10"/>
      <w:sz w:val="36"/>
    </w:rPr>
  </w:style>
  <w:style w:type="paragraph" w:customStyle="1" w:styleId="210">
    <w:name w:val="本文 21"/>
    <w:basedOn w:val="a1"/>
    <w:rsid w:val="00286F49"/>
    <w:pPr>
      <w:spacing w:line="240" w:lineRule="auto"/>
      <w:ind w:firstLine="720"/>
      <w:jc w:val="both"/>
      <w:textAlignment w:val="baseline"/>
    </w:pPr>
    <w:rPr>
      <w:rFonts w:ascii="華康仿宋體W6" w:eastAsia="華康仿宋體W6"/>
      <w:kern w:val="2"/>
      <w:sz w:val="36"/>
    </w:rPr>
  </w:style>
  <w:style w:type="paragraph" w:customStyle="1" w:styleId="aff5">
    <w:name w:val="點段"/>
    <w:basedOn w:val="a1"/>
    <w:rsid w:val="00286F49"/>
    <w:pPr>
      <w:tabs>
        <w:tab w:val="left" w:pos="1332"/>
        <w:tab w:val="left" w:pos="11421"/>
      </w:tabs>
      <w:spacing w:before="120" w:after="120" w:line="440" w:lineRule="atLeast"/>
      <w:ind w:left="976" w:hanging="488"/>
      <w:jc w:val="both"/>
      <w:textAlignment w:val="baseline"/>
    </w:pPr>
    <w:rPr>
      <w:rFonts w:ascii="標楷體" w:eastAsia="標楷體"/>
      <w:sz w:val="36"/>
    </w:rPr>
  </w:style>
  <w:style w:type="paragraph" w:customStyle="1" w:styleId="18">
    <w:name w:val="(1)"/>
    <w:basedOn w:val="a1"/>
    <w:rsid w:val="00286F49"/>
    <w:pPr>
      <w:spacing w:before="120" w:after="120" w:line="360" w:lineRule="auto"/>
      <w:ind w:left="960" w:hanging="450"/>
      <w:jc w:val="both"/>
      <w:textAlignment w:val="baseline"/>
    </w:pPr>
    <w:rPr>
      <w:rFonts w:ascii="細明體"/>
      <w:sz w:val="28"/>
    </w:rPr>
  </w:style>
  <w:style w:type="paragraph" w:customStyle="1" w:styleId="aff6">
    <w:name w:val="(一)文"/>
    <w:basedOn w:val="a1"/>
    <w:rsid w:val="00286F49"/>
    <w:pPr>
      <w:spacing w:before="120" w:after="120" w:line="680" w:lineRule="exact"/>
      <w:ind w:right="40" w:firstLine="765"/>
      <w:textAlignment w:val="baseline"/>
    </w:pPr>
    <w:rPr>
      <w:rFonts w:ascii="華康楷書體W5" w:eastAsia="華康楷書體W5"/>
      <w:spacing w:val="20"/>
      <w:sz w:val="36"/>
    </w:rPr>
  </w:style>
  <w:style w:type="paragraph" w:customStyle="1" w:styleId="aff7">
    <w:name w:val="姓名"/>
    <w:basedOn w:val="a1"/>
    <w:rsid w:val="00286F49"/>
    <w:pPr>
      <w:spacing w:before="120" w:after="120" w:line="360" w:lineRule="auto"/>
      <w:ind w:left="510"/>
      <w:jc w:val="center"/>
      <w:textAlignment w:val="baseline"/>
    </w:pPr>
    <w:rPr>
      <w:rFonts w:ascii="Book Antiqua" w:eastAsia="華康隸書體W5"/>
      <w:sz w:val="28"/>
    </w:rPr>
  </w:style>
  <w:style w:type="paragraph" w:customStyle="1" w:styleId="19">
    <w:name w:val="段落1"/>
    <w:basedOn w:val="a1"/>
    <w:rsid w:val="00286F49"/>
    <w:pPr>
      <w:spacing w:before="120" w:after="120" w:line="960" w:lineRule="atLeast"/>
      <w:ind w:firstLine="1080"/>
      <w:jc w:val="both"/>
      <w:textAlignment w:val="baseline"/>
    </w:pPr>
    <w:rPr>
      <w:rFonts w:ascii="華康中楷體" w:eastAsia="華康中楷體"/>
      <w:spacing w:val="5"/>
      <w:sz w:val="54"/>
    </w:rPr>
  </w:style>
  <w:style w:type="paragraph" w:styleId="aff8">
    <w:name w:val="Document Map"/>
    <w:basedOn w:val="a1"/>
    <w:link w:val="aff9"/>
    <w:semiHidden/>
    <w:rsid w:val="00286F49"/>
    <w:pPr>
      <w:shd w:val="clear" w:color="auto" w:fill="000080"/>
      <w:spacing w:after="240" w:line="680" w:lineRule="exact"/>
      <w:ind w:left="1134" w:firstLine="567"/>
      <w:jc w:val="both"/>
      <w:textAlignment w:val="baseline"/>
    </w:pPr>
    <w:rPr>
      <w:rFonts w:ascii="Arial" w:eastAsia="新細明體" w:hAnsi="Arial"/>
      <w:spacing w:val="10"/>
      <w:sz w:val="36"/>
    </w:rPr>
  </w:style>
  <w:style w:type="character" w:customStyle="1" w:styleId="aff9">
    <w:name w:val="文件引導模式 字元"/>
    <w:link w:val="aff8"/>
    <w:semiHidden/>
    <w:rsid w:val="00286F49"/>
    <w:rPr>
      <w:rFonts w:ascii="Arial" w:hAnsi="Arial"/>
      <w:spacing w:val="10"/>
      <w:sz w:val="36"/>
      <w:shd w:val="clear" w:color="auto" w:fill="000080"/>
    </w:rPr>
  </w:style>
  <w:style w:type="paragraph" w:customStyle="1" w:styleId="D4">
    <w:name w:val="陏D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BodyText22">
    <w:name w:val="Body Text 22"/>
    <w:basedOn w:val="a1"/>
    <w:rsid w:val="00286F49"/>
    <w:pPr>
      <w:spacing w:before="120" w:after="120" w:line="440" w:lineRule="exact"/>
      <w:textAlignment w:val="baseline"/>
    </w:pPr>
    <w:rPr>
      <w:rFonts w:ascii="標楷體" w:eastAsia="標楷體"/>
      <w:sz w:val="30"/>
    </w:rPr>
  </w:style>
  <w:style w:type="paragraph" w:customStyle="1" w:styleId="affa">
    <w:name w:val="中標題"/>
    <w:basedOn w:val="a1"/>
    <w:rsid w:val="00286F49"/>
    <w:pPr>
      <w:tabs>
        <w:tab w:val="left" w:pos="12960"/>
      </w:tabs>
      <w:spacing w:line="400" w:lineRule="atLeast"/>
      <w:textAlignment w:val="baseline"/>
    </w:pPr>
    <w:rPr>
      <w:sz w:val="22"/>
    </w:rPr>
  </w:style>
  <w:style w:type="paragraph" w:customStyle="1" w:styleId="affb">
    <w:name w:val="大標題本文"/>
    <w:basedOn w:val="a1"/>
    <w:rsid w:val="00286F49"/>
    <w:pPr>
      <w:tabs>
        <w:tab w:val="left" w:pos="13680"/>
      </w:tabs>
      <w:spacing w:before="60" w:after="60" w:line="440" w:lineRule="exact"/>
      <w:ind w:firstLine="476"/>
      <w:jc w:val="both"/>
      <w:textAlignment w:val="baseline"/>
    </w:pPr>
    <w:rPr>
      <w:rFonts w:eastAsia="華康中楷體"/>
      <w:sz w:val="24"/>
    </w:rPr>
  </w:style>
  <w:style w:type="character" w:customStyle="1" w:styleId="textstory1">
    <w:name w:val="text_story1"/>
    <w:rsid w:val="00286F49"/>
    <w:rPr>
      <w:rFonts w:ascii="sө" w:hAnsi="sө" w:hint="default"/>
      <w:i w:val="0"/>
      <w:iCs w:val="0"/>
      <w:strike w:val="0"/>
      <w:dstrike w:val="0"/>
      <w:color w:val="000000"/>
      <w:sz w:val="22"/>
      <w:szCs w:val="22"/>
      <w:u w:val="none"/>
      <w:effect w:val="none"/>
    </w:rPr>
  </w:style>
  <w:style w:type="paragraph" w:customStyle="1" w:styleId="section">
    <w:name w:val="section"/>
    <w:basedOn w:val="a1"/>
    <w:rsid w:val="00286F49"/>
    <w:pPr>
      <w:tabs>
        <w:tab w:val="left" w:pos="5580"/>
      </w:tabs>
      <w:autoSpaceDE w:val="0"/>
      <w:autoSpaceDN w:val="0"/>
      <w:spacing w:before="120" w:after="120" w:line="480" w:lineRule="atLeast"/>
      <w:ind w:firstLine="539"/>
      <w:jc w:val="both"/>
      <w:textAlignment w:val="baseline"/>
    </w:pPr>
    <w:rPr>
      <w:rFonts w:eastAsia="標楷體"/>
      <w:sz w:val="28"/>
    </w:rPr>
  </w:style>
  <w:style w:type="paragraph" w:styleId="affc">
    <w:name w:val="Salutation"/>
    <w:basedOn w:val="a1"/>
    <w:next w:val="a1"/>
    <w:link w:val="affd"/>
    <w:rsid w:val="00286F49"/>
    <w:pPr>
      <w:spacing w:after="240" w:line="680" w:lineRule="exact"/>
      <w:ind w:left="1134" w:firstLine="567"/>
      <w:jc w:val="both"/>
      <w:textAlignment w:val="baseline"/>
    </w:pPr>
    <w:rPr>
      <w:rFonts w:ascii="標楷體" w:eastAsia="標楷體" w:hAnsi="Garamond"/>
      <w:spacing w:val="20"/>
      <w:sz w:val="32"/>
    </w:rPr>
  </w:style>
  <w:style w:type="character" w:customStyle="1" w:styleId="affd">
    <w:name w:val="問候 字元"/>
    <w:link w:val="affc"/>
    <w:rsid w:val="00286F49"/>
    <w:rPr>
      <w:rFonts w:ascii="標楷體" w:eastAsia="標楷體" w:hAnsi="Garamond"/>
      <w:spacing w:val="20"/>
      <w:sz w:val="32"/>
    </w:rPr>
  </w:style>
  <w:style w:type="paragraph" w:styleId="affe">
    <w:name w:val="Closing"/>
    <w:basedOn w:val="a1"/>
    <w:next w:val="a1"/>
    <w:link w:val="afff"/>
    <w:rsid w:val="00286F49"/>
    <w:pPr>
      <w:spacing w:after="240" w:line="680" w:lineRule="exact"/>
      <w:ind w:left="4320" w:firstLine="567"/>
      <w:jc w:val="both"/>
      <w:textAlignment w:val="baseline"/>
    </w:pPr>
    <w:rPr>
      <w:rFonts w:ascii="標楷體" w:eastAsia="標楷體" w:hAnsi="Garamond"/>
      <w:spacing w:val="20"/>
      <w:sz w:val="32"/>
    </w:rPr>
  </w:style>
  <w:style w:type="character" w:customStyle="1" w:styleId="afff">
    <w:name w:val="結語 字元"/>
    <w:link w:val="affe"/>
    <w:rsid w:val="00286F49"/>
    <w:rPr>
      <w:rFonts w:ascii="標楷體" w:eastAsia="標楷體" w:hAnsi="Garamond"/>
      <w:spacing w:val="20"/>
      <w:sz w:val="32"/>
    </w:rPr>
  </w:style>
  <w:style w:type="paragraph" w:customStyle="1" w:styleId="afff0">
    <w:name w:val="小段"/>
    <w:basedOn w:val="a1"/>
    <w:rsid w:val="00286F49"/>
    <w:pPr>
      <w:adjustRightInd/>
      <w:snapToGrid w:val="0"/>
      <w:spacing w:before="120" w:after="120" w:line="500" w:lineRule="atLeast"/>
      <w:ind w:right="26" w:firstLine="720"/>
      <w:jc w:val="both"/>
      <w:textAlignment w:val="auto"/>
    </w:pPr>
    <w:rPr>
      <w:rFonts w:eastAsia="標楷體"/>
      <w:kern w:val="2"/>
      <w:sz w:val="32"/>
    </w:rPr>
  </w:style>
  <w:style w:type="paragraph" w:customStyle="1" w:styleId="main">
    <w:name w:val="main"/>
    <w:basedOn w:val="a1"/>
    <w:rsid w:val="00286F49"/>
    <w:pPr>
      <w:adjustRightInd/>
      <w:snapToGrid w:val="0"/>
      <w:spacing w:beforeLines="50" w:before="180" w:afterLines="50" w:after="180" w:line="540" w:lineRule="atLeast"/>
      <w:ind w:firstLineChars="200" w:firstLine="560"/>
      <w:jc w:val="both"/>
      <w:textAlignment w:val="auto"/>
    </w:pPr>
    <w:rPr>
      <w:rFonts w:ascii="標楷體" w:eastAsia="標楷體" w:hAnsi="標楷體"/>
      <w:kern w:val="2"/>
      <w:sz w:val="28"/>
      <w:szCs w:val="24"/>
    </w:rPr>
  </w:style>
  <w:style w:type="paragraph" w:customStyle="1" w:styleId="P0">
    <w:name w:val="P0"/>
    <w:basedOn w:val="afb"/>
    <w:rsid w:val="00286F49"/>
    <w:pPr>
      <w:snapToGrid w:val="0"/>
      <w:spacing w:before="120" w:line="700" w:lineRule="atLeast"/>
      <w:ind w:left="960" w:firstLine="720"/>
      <w:textDirection w:val="lrTbV"/>
      <w:textAlignment w:val="baseline"/>
    </w:pPr>
    <w:rPr>
      <w:rFonts w:ascii="標楷體"/>
      <w:spacing w:val="20"/>
    </w:rPr>
  </w:style>
  <w:style w:type="paragraph" w:customStyle="1" w:styleId="afff1">
    <w:name w:val="表內容"/>
    <w:basedOn w:val="24"/>
    <w:rsid w:val="00286F49"/>
    <w:pPr>
      <w:spacing w:before="0" w:line="240" w:lineRule="atLeast"/>
      <w:ind w:left="0"/>
      <w:jc w:val="center"/>
    </w:pPr>
    <w:rPr>
      <w:spacing w:val="0"/>
      <w:sz w:val="22"/>
    </w:rPr>
  </w:style>
  <w:style w:type="character" w:customStyle="1" w:styleId="text11">
    <w:name w:val="text11"/>
    <w:rsid w:val="00286F49"/>
    <w:rPr>
      <w:color w:val="000000"/>
      <w:sz w:val="22"/>
      <w:szCs w:val="22"/>
    </w:rPr>
  </w:style>
  <w:style w:type="paragraph" w:styleId="20">
    <w:name w:val="toc 2"/>
    <w:aliases w:val="樣式(一)"/>
    <w:basedOn w:val="a1"/>
    <w:autoRedefine/>
    <w:semiHidden/>
    <w:rsid w:val="00286F49"/>
    <w:pPr>
      <w:numPr>
        <w:ilvl w:val="1"/>
        <w:numId w:val="3"/>
      </w:numPr>
      <w:adjustRightInd/>
      <w:spacing w:line="240" w:lineRule="auto"/>
      <w:jc w:val="both"/>
      <w:textAlignment w:val="auto"/>
    </w:pPr>
    <w:rPr>
      <w:rFonts w:eastAsia="標楷體"/>
      <w:b/>
      <w:kern w:val="2"/>
      <w:sz w:val="28"/>
    </w:rPr>
  </w:style>
  <w:style w:type="character" w:styleId="afff2">
    <w:name w:val="Hyperlink"/>
    <w:rsid w:val="00286F49"/>
    <w:rPr>
      <w:strike w:val="0"/>
      <w:dstrike w:val="0"/>
      <w:color w:val="0066CC"/>
      <w:u w:val="none"/>
      <w:effect w:val="none"/>
    </w:rPr>
  </w:style>
  <w:style w:type="character" w:styleId="afff3">
    <w:name w:val="FollowedHyperlink"/>
    <w:rsid w:val="00286F49"/>
    <w:rPr>
      <w:color w:val="800080"/>
      <w:u w:val="single"/>
    </w:rPr>
  </w:style>
  <w:style w:type="character" w:customStyle="1" w:styleId="newscontent1">
    <w:name w:val="news_content1"/>
    <w:rsid w:val="00286F49"/>
    <w:rPr>
      <w:sz w:val="19"/>
      <w:szCs w:val="19"/>
    </w:rPr>
  </w:style>
  <w:style w:type="paragraph" w:customStyle="1" w:styleId="afff4">
    <w:name w:val="內文 + 標楷體"/>
    <w:aliases w:val="16 點,左右對齊,左:  0 cm,凸出:  3.6 字元,行距:  固定行高 30 pt,14 點"/>
    <w:basedOn w:val="a1"/>
    <w:rsid w:val="00286F49"/>
    <w:pPr>
      <w:adjustRightInd/>
      <w:spacing w:line="240" w:lineRule="auto"/>
      <w:textAlignment w:val="auto"/>
    </w:pPr>
    <w:rPr>
      <w:rFonts w:ascii="標楷體" w:eastAsia="標楷體" w:hAnsi="標楷體"/>
      <w:kern w:val="2"/>
      <w:sz w:val="28"/>
      <w:szCs w:val="28"/>
    </w:rPr>
  </w:style>
  <w:style w:type="character" w:customStyle="1" w:styleId="mbody6">
    <w:name w:val="mbody6"/>
    <w:rsid w:val="00286F49"/>
    <w:rPr>
      <w:rFonts w:ascii="Arial" w:hAnsi="Arial" w:cs="Arial" w:hint="default"/>
      <w:sz w:val="24"/>
      <w:szCs w:val="24"/>
    </w:rPr>
  </w:style>
  <w:style w:type="paragraph" w:customStyle="1" w:styleId="afff5">
    <w:name w:val="一'"/>
    <w:basedOn w:val="a1"/>
    <w:rsid w:val="00286F49"/>
    <w:pPr>
      <w:spacing w:line="560" w:lineRule="atLeast"/>
      <w:ind w:firstLine="720"/>
      <w:jc w:val="both"/>
      <w:textAlignment w:val="baseline"/>
    </w:pPr>
    <w:rPr>
      <w:rFonts w:ascii="標楷體" w:eastAsia="標楷體"/>
      <w:sz w:val="36"/>
    </w:rPr>
  </w:style>
  <w:style w:type="paragraph" w:customStyle="1" w:styleId="default0">
    <w:name w:val="default"/>
    <w:basedOn w:val="a1"/>
    <w:rsid w:val="00286F49"/>
    <w:pPr>
      <w:widowControl/>
      <w:adjustRightInd/>
      <w:spacing w:before="100" w:beforeAutospacing="1" w:after="100" w:afterAutospacing="1" w:line="240" w:lineRule="auto"/>
      <w:textAlignment w:val="auto"/>
    </w:pPr>
    <w:rPr>
      <w:rFonts w:ascii="新細明體" w:eastAsia="新細明體" w:hAnsi="新細明體" w:cs="新細明體"/>
      <w:sz w:val="24"/>
      <w:szCs w:val="24"/>
    </w:rPr>
  </w:style>
  <w:style w:type="paragraph" w:customStyle="1" w:styleId="25">
    <w:name w:val="字元 字元2 字元 字元 字元 字元"/>
    <w:basedOn w:val="a1"/>
    <w:semiHidden/>
    <w:rsid w:val="00286F49"/>
    <w:pPr>
      <w:widowControl/>
      <w:adjustRightInd/>
      <w:spacing w:after="160" w:line="240" w:lineRule="exact"/>
      <w:textAlignment w:val="auto"/>
    </w:pPr>
    <w:rPr>
      <w:rFonts w:ascii="Verdana" w:eastAsia="Times New Roman" w:hAnsi="Verdana" w:cs="Mangal"/>
      <w:kern w:val="2"/>
      <w:szCs w:val="24"/>
      <w:lang w:eastAsia="en-US" w:bidi="hi-IN"/>
    </w:rPr>
  </w:style>
  <w:style w:type="character" w:customStyle="1" w:styleId="newmidwordlarge1">
    <w:name w:val="new_mid_word_large1"/>
    <w:rsid w:val="00286F49"/>
    <w:rPr>
      <w:rFonts w:ascii="Arial" w:hAnsi="Arial" w:cs="Arial" w:hint="default"/>
      <w:strike w:val="0"/>
      <w:dstrike w:val="0"/>
      <w:color w:val="555555"/>
      <w:sz w:val="19"/>
      <w:szCs w:val="19"/>
      <w:u w:val="none"/>
      <w:effect w:val="none"/>
    </w:rPr>
  </w:style>
  <w:style w:type="character" w:customStyle="1" w:styleId="12">
    <w:name w:val="標題 1 字元"/>
    <w:link w:val="11"/>
    <w:uiPriority w:val="9"/>
    <w:rsid w:val="00286F49"/>
    <w:rPr>
      <w:rFonts w:ascii="Arial Unicode MS" w:eastAsia="Arial Unicode MS" w:hAnsi="Arial Unicode MS" w:cs="Arial Unicode MS"/>
      <w:b/>
      <w:bCs/>
      <w:kern w:val="36"/>
      <w:sz w:val="48"/>
      <w:szCs w:val="48"/>
    </w:rPr>
  </w:style>
  <w:style w:type="paragraph" w:styleId="afff6">
    <w:name w:val="List Paragraph"/>
    <w:basedOn w:val="a1"/>
    <w:uiPriority w:val="34"/>
    <w:qFormat/>
    <w:rsid w:val="00286F49"/>
    <w:pPr>
      <w:spacing w:after="240" w:line="680" w:lineRule="exact"/>
      <w:ind w:leftChars="200" w:left="480" w:firstLine="567"/>
      <w:jc w:val="both"/>
      <w:textAlignment w:val="baseline"/>
    </w:pPr>
    <w:rPr>
      <w:rFonts w:ascii="Book Antiqua" w:eastAsia="華康楷書體W5"/>
      <w:spacing w:val="10"/>
      <w:sz w:val="36"/>
    </w:rPr>
  </w:style>
  <w:style w:type="table" w:styleId="afff7">
    <w:name w:val="Table Grid"/>
    <w:basedOn w:val="a3"/>
    <w:rsid w:val="00286F49"/>
    <w:rPr>
      <w:rFonts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註腳文字 字元"/>
    <w:link w:val="afc"/>
    <w:uiPriority w:val="99"/>
    <w:rsid w:val="00286F49"/>
    <w:rPr>
      <w:kern w:val="2"/>
    </w:rPr>
  </w:style>
  <w:style w:type="character" w:customStyle="1" w:styleId="a7">
    <w:name w:val="頁尾 字元"/>
    <w:link w:val="a6"/>
    <w:uiPriority w:val="99"/>
    <w:rsid w:val="0091791E"/>
    <w:rPr>
      <w:rFonts w:eastAsia="細明體"/>
      <w:sz w:val="18"/>
    </w:rPr>
  </w:style>
  <w:style w:type="character" w:customStyle="1" w:styleId="a9">
    <w:name w:val="頁首 字元"/>
    <w:link w:val="a8"/>
    <w:uiPriority w:val="99"/>
    <w:rsid w:val="00527E73"/>
    <w:rPr>
      <w:rFonts w:eastAsia="細明體"/>
    </w:rPr>
  </w:style>
  <w:style w:type="paragraph" w:customStyle="1" w:styleId="10">
    <w:name w:val="理監事會第 1層"/>
    <w:basedOn w:val="af1"/>
    <w:qFormat/>
    <w:rsid w:val="006D5EC2"/>
    <w:pPr>
      <w:widowControl/>
      <w:numPr>
        <w:numId w:val="5"/>
      </w:numPr>
      <w:topLinePunct/>
      <w:snapToGrid w:val="0"/>
      <w:spacing w:after="100" w:line="580" w:lineRule="exact"/>
      <w:ind w:left="925" w:right="0" w:hanging="641"/>
      <w:textDirection w:val="lrTb"/>
      <w:textAlignment w:val="auto"/>
    </w:pPr>
    <w:rPr>
      <w:rFonts w:ascii="Times New Roman" w:eastAsia="標楷體"/>
      <w:snapToGrid w:val="0"/>
      <w:spacing w:val="0"/>
      <w:sz w:val="32"/>
    </w:rPr>
  </w:style>
  <w:style w:type="paragraph" w:customStyle="1" w:styleId="2">
    <w:name w:val="理監事會第2層"/>
    <w:basedOn w:val="a1"/>
    <w:qFormat/>
    <w:rsid w:val="006D5EC2"/>
    <w:pPr>
      <w:widowControl/>
      <w:numPr>
        <w:numId w:val="6"/>
      </w:numPr>
      <w:tabs>
        <w:tab w:val="left" w:pos="1276"/>
      </w:tabs>
      <w:topLinePunct/>
      <w:snapToGrid w:val="0"/>
      <w:spacing w:after="100" w:line="580" w:lineRule="exact"/>
      <w:jc w:val="both"/>
      <w:textAlignment w:val="auto"/>
    </w:pPr>
    <w:rPr>
      <w:rFonts w:eastAsia="標楷體"/>
      <w:kern w:val="2"/>
      <w:sz w:val="32"/>
      <w:szCs w:val="24"/>
    </w:rPr>
  </w:style>
  <w:style w:type="paragraph" w:customStyle="1" w:styleId="34">
    <w:name w:val="理監事會第3層"/>
    <w:basedOn w:val="a1"/>
    <w:qFormat/>
    <w:rsid w:val="006D5EC2"/>
    <w:pPr>
      <w:widowControl/>
      <w:topLinePunct/>
      <w:snapToGrid w:val="0"/>
      <w:spacing w:after="100" w:line="580" w:lineRule="exact"/>
      <w:jc w:val="both"/>
      <w:textAlignment w:val="auto"/>
    </w:pPr>
    <w:rPr>
      <w:rFonts w:eastAsia="標楷體"/>
      <w:snapToGrid w:val="0"/>
      <w:sz w:val="32"/>
      <w:szCs w:val="24"/>
    </w:rPr>
  </w:style>
  <w:style w:type="paragraph" w:customStyle="1" w:styleId="1">
    <w:name w:val="1."/>
    <w:basedOn w:val="a1"/>
    <w:autoRedefine/>
    <w:rsid w:val="00EE7DB0"/>
    <w:pPr>
      <w:numPr>
        <w:numId w:val="11"/>
      </w:numPr>
      <w:topLinePunct/>
      <w:adjustRightInd/>
      <w:spacing w:after="100" w:line="580" w:lineRule="exact"/>
      <w:ind w:left="1406" w:right="28" w:hanging="641"/>
      <w:jc w:val="both"/>
      <w:textAlignment w:val="auto"/>
    </w:pPr>
    <w:rPr>
      <w:rFonts w:ascii="標楷體" w:eastAsia="標楷體"/>
      <w:kern w:val="2"/>
      <w:sz w:val="32"/>
      <w:szCs w:val="24"/>
    </w:rPr>
  </w:style>
  <w:style w:type="character" w:customStyle="1" w:styleId="af5">
    <w:name w:val="本文 字元"/>
    <w:basedOn w:val="a2"/>
    <w:link w:val="af4"/>
    <w:locked/>
    <w:rsid w:val="00BD32CA"/>
    <w:rPr>
      <w:rFonts w:eastAsia="標楷體"/>
      <w:sz w:val="32"/>
    </w:rPr>
  </w:style>
  <w:style w:type="paragraph" w:styleId="a">
    <w:name w:val="List Bullet"/>
    <w:basedOn w:val="a1"/>
    <w:uiPriority w:val="99"/>
    <w:unhideWhenUsed/>
    <w:rsid w:val="008814F0"/>
    <w:pPr>
      <w:numPr>
        <w:numId w:val="44"/>
      </w:numPr>
      <w:adjustRightInd/>
      <w:spacing w:line="240" w:lineRule="auto"/>
      <w:contextualSpacing/>
      <w:textAlignment w:val="auto"/>
    </w:pPr>
    <w:rPr>
      <w:rFonts w:eastAsia="新細明體"/>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60EF7"/>
    <w:pPr>
      <w:widowControl w:val="0"/>
      <w:adjustRightInd w:val="0"/>
      <w:spacing w:line="372" w:lineRule="exact"/>
      <w:textAlignment w:val="center"/>
    </w:pPr>
    <w:rPr>
      <w:rFonts w:eastAsia="細明體"/>
    </w:rPr>
  </w:style>
  <w:style w:type="paragraph" w:styleId="11">
    <w:name w:val="heading 1"/>
    <w:basedOn w:val="a1"/>
    <w:link w:val="12"/>
    <w:uiPriority w:val="9"/>
    <w:qFormat/>
    <w:pPr>
      <w:widowControl/>
      <w:adjustRightInd/>
      <w:spacing w:before="100" w:beforeAutospacing="1" w:after="100" w:afterAutospacing="1" w:line="240" w:lineRule="auto"/>
      <w:textAlignment w:val="auto"/>
      <w:outlineLvl w:val="0"/>
    </w:pPr>
    <w:rPr>
      <w:rFonts w:ascii="Arial Unicode MS" w:eastAsia="Arial Unicode MS" w:hAnsi="Arial Unicode MS" w:cs="Arial Unicode MS"/>
      <w:b/>
      <w:bCs/>
      <w:kern w:val="36"/>
      <w:sz w:val="48"/>
      <w:szCs w:val="48"/>
    </w:rPr>
  </w:style>
  <w:style w:type="paragraph" w:styleId="21">
    <w:name w:val="heading 2"/>
    <w:basedOn w:val="a1"/>
    <w:next w:val="a1"/>
    <w:link w:val="22"/>
    <w:qFormat/>
    <w:rsid w:val="00286F49"/>
    <w:pPr>
      <w:keepNext/>
      <w:spacing w:after="240" w:line="720" w:lineRule="atLeast"/>
      <w:ind w:left="397"/>
      <w:textAlignment w:val="baseline"/>
      <w:outlineLvl w:val="1"/>
    </w:pPr>
    <w:rPr>
      <w:rFonts w:ascii="Book Antiqua" w:eastAsia="華康楷書體W5" w:hAnsi="Arial"/>
      <w:b/>
      <w:spacing w:val="10"/>
      <w:sz w:val="40"/>
    </w:rPr>
  </w:style>
  <w:style w:type="paragraph" w:styleId="3">
    <w:name w:val="heading 3"/>
    <w:basedOn w:val="a1"/>
    <w:next w:val="a1"/>
    <w:link w:val="30"/>
    <w:uiPriority w:val="9"/>
    <w:unhideWhenUsed/>
    <w:qFormat/>
    <w:rsid w:val="00E1645B"/>
    <w:pPr>
      <w:keepNext/>
      <w:spacing w:line="720" w:lineRule="atLeast"/>
      <w:outlineLvl w:val="2"/>
    </w:pPr>
    <w:rPr>
      <w:rFonts w:ascii="Cambria" w:eastAsia="新細明體" w:hAnsi="Cambria"/>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1">
    <w:name w:val="弟3行"/>
    <w:basedOn w:val="a1"/>
    <w:pPr>
      <w:spacing w:line="300" w:lineRule="exact"/>
    </w:pPr>
    <w:rPr>
      <w:rFonts w:eastAsia=".文鼎中楷"/>
      <w:sz w:val="36"/>
    </w:rPr>
  </w:style>
  <w:style w:type="paragraph" w:customStyle="1" w:styleId="a5">
    <w:name w:val="信內文"/>
    <w:basedOn w:val="31"/>
    <w:pPr>
      <w:spacing w:line="360" w:lineRule="auto"/>
    </w:pPr>
    <w:rPr>
      <w:rFonts w:ascii=".文鼎中楷"/>
      <w:spacing w:val="43"/>
    </w:rPr>
  </w:style>
  <w:style w:type="paragraph" w:styleId="a6">
    <w:name w:val="footer"/>
    <w:basedOn w:val="a1"/>
    <w:link w:val="a7"/>
    <w:uiPriority w:val="99"/>
    <w:pPr>
      <w:tabs>
        <w:tab w:val="center" w:pos="4153"/>
        <w:tab w:val="right" w:pos="8306"/>
      </w:tabs>
      <w:spacing w:line="360" w:lineRule="auto"/>
    </w:pPr>
    <w:rPr>
      <w:sz w:val="18"/>
    </w:rPr>
  </w:style>
  <w:style w:type="paragraph" w:styleId="a8">
    <w:name w:val="header"/>
    <w:basedOn w:val="a1"/>
    <w:link w:val="a9"/>
    <w:uiPriority w:val="99"/>
    <w:pPr>
      <w:tabs>
        <w:tab w:val="center" w:pos="4153"/>
        <w:tab w:val="right" w:pos="8306"/>
      </w:tabs>
    </w:pPr>
  </w:style>
  <w:style w:type="character" w:styleId="aa">
    <w:name w:val="page number"/>
    <w:rPr>
      <w:rFonts w:ascii="Times New Roman" w:hAnsi="Times New Roman" w:cs="Times New Roman"/>
    </w:rPr>
  </w:style>
  <w:style w:type="paragraph" w:customStyle="1" w:styleId="ab">
    <w:name w:val="主旨"/>
    <w:basedOn w:val="a1"/>
    <w:pPr>
      <w:spacing w:line="720" w:lineRule="exact"/>
      <w:ind w:left="1021" w:hanging="1021"/>
    </w:pPr>
    <w:rPr>
      <w:rFonts w:eastAsia=".文鼎中楷"/>
      <w:sz w:val="36"/>
    </w:rPr>
  </w:style>
  <w:style w:type="paragraph" w:customStyle="1" w:styleId="13">
    <w:name w:val="說明1"/>
    <w:basedOn w:val="ab"/>
  </w:style>
  <w:style w:type="paragraph" w:customStyle="1" w:styleId="ac">
    <w:name w:val="說明"/>
    <w:basedOn w:val="ab"/>
    <w:pPr>
      <w:ind w:left="1474" w:hanging="1474"/>
    </w:pPr>
  </w:style>
  <w:style w:type="paragraph" w:customStyle="1" w:styleId="ad">
    <w:name w:val="二"/>
    <w:basedOn w:val="ac"/>
    <w:pPr>
      <w:ind w:left="397" w:hanging="397"/>
    </w:pPr>
  </w:style>
  <w:style w:type="paragraph" w:customStyle="1" w:styleId="ae">
    <w:name w:val="(一)"/>
    <w:basedOn w:val="ad"/>
    <w:pPr>
      <w:ind w:left="794"/>
    </w:pPr>
  </w:style>
  <w:style w:type="paragraph" w:customStyle="1" w:styleId="af">
    <w:name w:val="案由"/>
    <w:basedOn w:val="a1"/>
    <w:pPr>
      <w:spacing w:line="680" w:lineRule="exact"/>
      <w:ind w:left="1134" w:hanging="1134"/>
      <w:jc w:val="both"/>
    </w:pPr>
    <w:rPr>
      <w:rFonts w:ascii="華康中楷體" w:eastAsia="華康中楷體"/>
      <w:spacing w:val="16"/>
      <w:sz w:val="36"/>
    </w:rPr>
  </w:style>
  <w:style w:type="paragraph" w:customStyle="1" w:styleId="af0">
    <w:name w:val="二、"/>
    <w:basedOn w:val="a1"/>
    <w:pPr>
      <w:spacing w:line="680" w:lineRule="exact"/>
      <w:ind w:left="1560" w:hanging="426"/>
      <w:jc w:val="both"/>
    </w:pPr>
    <w:rPr>
      <w:rFonts w:ascii="華康中楷體" w:eastAsia="華康中楷體"/>
      <w:spacing w:val="16"/>
      <w:sz w:val="36"/>
    </w:rPr>
  </w:style>
  <w:style w:type="paragraph" w:customStyle="1" w:styleId="14">
    <w:name w:val="本文縮排1"/>
    <w:basedOn w:val="a1"/>
    <w:pPr>
      <w:spacing w:line="680" w:lineRule="exact"/>
      <w:ind w:left="2002" w:hanging="420"/>
      <w:jc w:val="both"/>
      <w:textDirection w:val="lrTbV"/>
    </w:pPr>
    <w:rPr>
      <w:rFonts w:ascii="華康楷書體W5" w:eastAsia="華康楷書體W5"/>
      <w:spacing w:val="16"/>
      <w:sz w:val="36"/>
    </w:rPr>
  </w:style>
  <w:style w:type="paragraph" w:styleId="23">
    <w:name w:val="Body Text Indent 2"/>
    <w:basedOn w:val="a1"/>
    <w:pPr>
      <w:spacing w:line="640" w:lineRule="exact"/>
      <w:ind w:left="1120"/>
      <w:jc w:val="both"/>
      <w:textDirection w:val="lrTbV"/>
    </w:pPr>
    <w:rPr>
      <w:rFonts w:ascii="華康楷書體W5" w:eastAsia="華康楷書體W5"/>
      <w:spacing w:val="16"/>
      <w:sz w:val="36"/>
    </w:rPr>
  </w:style>
  <w:style w:type="paragraph" w:styleId="32">
    <w:name w:val="Body Text Indent 3"/>
    <w:basedOn w:val="a1"/>
    <w:pPr>
      <w:spacing w:line="680" w:lineRule="exact"/>
      <w:ind w:left="1134"/>
      <w:jc w:val="both"/>
      <w:textDirection w:val="lrTbV"/>
    </w:pPr>
    <w:rPr>
      <w:rFonts w:ascii="華康楷書體W5" w:eastAsia="華康楷書體W5"/>
      <w:spacing w:val="16"/>
      <w:sz w:val="36"/>
    </w:rPr>
  </w:style>
  <w:style w:type="paragraph" w:styleId="af1">
    <w:name w:val="Block Text"/>
    <w:basedOn w:val="a1"/>
    <w:pPr>
      <w:spacing w:line="680" w:lineRule="exact"/>
      <w:ind w:left="1596" w:right="-20" w:hanging="1596"/>
      <w:jc w:val="both"/>
      <w:textDirection w:val="lrTbV"/>
    </w:pPr>
    <w:rPr>
      <w:rFonts w:ascii="華康楷書體W5" w:eastAsia="華康楷書體W5"/>
      <w:spacing w:val="10"/>
      <w:sz w:val="36"/>
    </w:rPr>
  </w:style>
  <w:style w:type="paragraph" w:customStyle="1" w:styleId="BodyTextIndent31">
    <w:name w:val="Body Text Indent 31"/>
    <w:basedOn w:val="a1"/>
    <w:pPr>
      <w:autoSpaceDE w:val="0"/>
      <w:autoSpaceDN w:val="0"/>
      <w:spacing w:line="420" w:lineRule="exact"/>
      <w:ind w:left="624" w:hanging="624"/>
      <w:jc w:val="both"/>
      <w:textDirection w:val="lrTbV"/>
      <w:textAlignment w:val="baseline"/>
    </w:pPr>
    <w:rPr>
      <w:rFonts w:ascii="標楷體" w:eastAsia="標楷體"/>
      <w:sz w:val="32"/>
    </w:rPr>
  </w:style>
  <w:style w:type="paragraph" w:customStyle="1" w:styleId="af2">
    <w:name w:val="一、"/>
    <w:basedOn w:val="a1"/>
    <w:pPr>
      <w:spacing w:line="680" w:lineRule="exact"/>
      <w:ind w:left="425" w:hanging="425"/>
      <w:jc w:val="both"/>
    </w:pPr>
    <w:rPr>
      <w:rFonts w:ascii="華康楷書體W5" w:eastAsia="華康楷書體W5"/>
      <w:spacing w:val="16"/>
      <w:sz w:val="36"/>
    </w:rPr>
  </w:style>
  <w:style w:type="paragraph" w:styleId="Web">
    <w:name w:val="Normal (Web)"/>
    <w:basedOn w:val="a1"/>
    <w:uiPriority w:val="99"/>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
    <w:name w:val="bodytextindent31"/>
    <w:basedOn w:val="a1"/>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3">
    <w:name w:val="Plain Text"/>
    <w:basedOn w:val="a1"/>
    <w:semiHidden/>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0">
    <w:name w:val="bodytextindent310"/>
    <w:basedOn w:val="a1"/>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4">
    <w:name w:val="Body Text"/>
    <w:basedOn w:val="a1"/>
    <w:link w:val="af5"/>
    <w:pPr>
      <w:spacing w:before="50" w:line="560" w:lineRule="exact"/>
    </w:pPr>
    <w:rPr>
      <w:rFonts w:eastAsia="標楷體"/>
      <w:sz w:val="32"/>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rPr>
  </w:style>
  <w:style w:type="character" w:styleId="af6">
    <w:name w:val="Emphasis"/>
    <w:uiPriority w:val="20"/>
    <w:qFormat/>
    <w:rPr>
      <w:rFonts w:ascii="Times New Roman" w:hAnsi="Times New Roman" w:cs="Times New Roman"/>
      <w:color w:val="CC0033"/>
    </w:rPr>
  </w:style>
  <w:style w:type="character" w:styleId="af7">
    <w:name w:val="annotation reference"/>
    <w:semiHidden/>
    <w:rPr>
      <w:rFonts w:ascii="Times New Roman" w:hAnsi="Times New Roman" w:cs="Times New Roman"/>
      <w:sz w:val="18"/>
      <w:szCs w:val="18"/>
    </w:rPr>
  </w:style>
  <w:style w:type="paragraph" w:styleId="af8">
    <w:name w:val="annotation text"/>
    <w:basedOn w:val="a1"/>
    <w:link w:val="af9"/>
    <w:semiHidden/>
    <w:pPr>
      <w:adjustRightInd/>
      <w:spacing w:line="560" w:lineRule="exact"/>
      <w:textAlignment w:val="auto"/>
    </w:pPr>
    <w:rPr>
      <w:rFonts w:eastAsia="標楷體"/>
      <w:kern w:val="2"/>
      <w:sz w:val="32"/>
      <w:szCs w:val="24"/>
    </w:rPr>
  </w:style>
  <w:style w:type="character" w:customStyle="1" w:styleId="highlight">
    <w:name w:val="highlight"/>
    <w:rPr>
      <w:rFonts w:ascii="Times New Roman" w:hAnsi="Times New Roman" w:cs="Times New Roman"/>
    </w:rPr>
  </w:style>
  <w:style w:type="character" w:styleId="afa">
    <w:name w:val="Strong"/>
    <w:qFormat/>
    <w:rPr>
      <w:rFonts w:ascii="Times New Roman" w:hAnsi="Times New Roman" w:cs="Times New Roman"/>
      <w:b/>
      <w:bCs/>
    </w:rPr>
  </w:style>
  <w:style w:type="paragraph" w:customStyle="1" w:styleId="a0">
    <w:name w:val="一"/>
    <w:basedOn w:val="a1"/>
    <w:pPr>
      <w:numPr>
        <w:numId w:val="18"/>
      </w:numPr>
      <w:tabs>
        <w:tab w:val="left" w:leader="hyphen" w:pos="3402"/>
        <w:tab w:val="left" w:leader="hyphen" w:pos="6804"/>
        <w:tab w:val="left" w:leader="hyphen" w:pos="10206"/>
        <w:tab w:val="left" w:leader="hyphen" w:pos="13608"/>
      </w:tabs>
      <w:spacing w:before="50" w:line="560" w:lineRule="exact"/>
      <w:jc w:val="both"/>
      <w:textAlignment w:val="baseline"/>
    </w:pPr>
    <w:rPr>
      <w:rFonts w:eastAsia="標楷體"/>
      <w:spacing w:val="-10"/>
      <w:sz w:val="32"/>
      <w:szCs w:val="32"/>
    </w:rPr>
  </w:style>
  <w:style w:type="paragraph" w:customStyle="1" w:styleId="15">
    <w:name w:val="1"/>
    <w:basedOn w:val="ae"/>
    <w:pPr>
      <w:tabs>
        <w:tab w:val="left" w:leader="hyphen" w:pos="3402"/>
        <w:tab w:val="left" w:leader="hyphen" w:pos="6804"/>
        <w:tab w:val="left" w:leader="hyphen" w:pos="10206"/>
        <w:tab w:val="left" w:leader="hyphen" w:pos="13608"/>
      </w:tabs>
      <w:spacing w:before="50" w:line="240" w:lineRule="auto"/>
      <w:ind w:left="1440" w:hanging="540"/>
      <w:jc w:val="both"/>
      <w:textAlignment w:val="baseline"/>
    </w:pPr>
    <w:rPr>
      <w:rFonts w:eastAsia="標楷體"/>
      <w:spacing w:val="-22"/>
      <w:sz w:val="32"/>
      <w:szCs w:val="32"/>
    </w:rPr>
  </w:style>
  <w:style w:type="paragraph" w:styleId="afb">
    <w:name w:val="Body Text Indent"/>
    <w:basedOn w:val="a1"/>
    <w:pPr>
      <w:spacing w:before="100" w:line="540" w:lineRule="exact"/>
      <w:ind w:left="620"/>
      <w:jc w:val="both"/>
    </w:pPr>
    <w:rPr>
      <w:rFonts w:eastAsia="標楷體"/>
      <w:sz w:val="32"/>
    </w:rPr>
  </w:style>
  <w:style w:type="character" w:customStyle="1" w:styleId="cpt2">
    <w:name w:val="cpt2"/>
    <w:basedOn w:val="a2"/>
  </w:style>
  <w:style w:type="paragraph" w:customStyle="1" w:styleId="Default">
    <w:name w:val="Default"/>
    <w:uiPriority w:val="99"/>
    <w:pPr>
      <w:widowControl w:val="0"/>
      <w:autoSpaceDE w:val="0"/>
      <w:autoSpaceDN w:val="0"/>
      <w:adjustRightInd w:val="0"/>
    </w:pPr>
    <w:rPr>
      <w:rFonts w:ascii="標楷體" w:eastAsia="標楷體"/>
      <w:color w:val="000000"/>
      <w:sz w:val="24"/>
      <w:szCs w:val="24"/>
    </w:rPr>
  </w:style>
  <w:style w:type="character" w:customStyle="1" w:styleId="boldtitle1">
    <w:name w:val="boldtitle1"/>
    <w:rPr>
      <w:b/>
      <w:bCs/>
    </w:rPr>
  </w:style>
  <w:style w:type="paragraph" w:styleId="afc">
    <w:name w:val="footnote text"/>
    <w:basedOn w:val="a1"/>
    <w:link w:val="afd"/>
    <w:uiPriority w:val="99"/>
    <w:pPr>
      <w:adjustRightInd/>
      <w:snapToGrid w:val="0"/>
      <w:spacing w:line="240" w:lineRule="auto"/>
      <w:textAlignment w:val="auto"/>
    </w:pPr>
    <w:rPr>
      <w:rFonts w:eastAsia="新細明體"/>
      <w:kern w:val="2"/>
    </w:rPr>
  </w:style>
  <w:style w:type="character" w:styleId="afe">
    <w:name w:val="footnote reference"/>
    <w:uiPriority w:val="99"/>
    <w:rPr>
      <w:vertAlign w:val="superscript"/>
    </w:rPr>
  </w:style>
  <w:style w:type="paragraph" w:styleId="aff">
    <w:name w:val="annotation subject"/>
    <w:basedOn w:val="af8"/>
    <w:next w:val="af8"/>
    <w:link w:val="aff0"/>
    <w:uiPriority w:val="99"/>
    <w:semiHidden/>
    <w:unhideWhenUsed/>
    <w:rsid w:val="001A5E2D"/>
    <w:pPr>
      <w:adjustRightInd w:val="0"/>
      <w:spacing w:line="372" w:lineRule="exact"/>
      <w:textAlignment w:val="center"/>
    </w:pPr>
    <w:rPr>
      <w:rFonts w:eastAsia="細明體"/>
      <w:b/>
      <w:bCs/>
      <w:kern w:val="0"/>
      <w:sz w:val="20"/>
      <w:szCs w:val="20"/>
    </w:rPr>
  </w:style>
  <w:style w:type="character" w:customStyle="1" w:styleId="af9">
    <w:name w:val="註解文字 字元"/>
    <w:link w:val="af8"/>
    <w:semiHidden/>
    <w:rsid w:val="001A5E2D"/>
    <w:rPr>
      <w:rFonts w:eastAsia="標楷體"/>
      <w:kern w:val="2"/>
      <w:sz w:val="32"/>
      <w:szCs w:val="24"/>
    </w:rPr>
  </w:style>
  <w:style w:type="character" w:customStyle="1" w:styleId="aff0">
    <w:name w:val="註解主旨 字元"/>
    <w:link w:val="aff"/>
    <w:uiPriority w:val="99"/>
    <w:semiHidden/>
    <w:rsid w:val="001A5E2D"/>
    <w:rPr>
      <w:rFonts w:eastAsia="細明體"/>
      <w:b/>
      <w:bCs/>
      <w:kern w:val="2"/>
      <w:sz w:val="32"/>
      <w:szCs w:val="24"/>
    </w:rPr>
  </w:style>
  <w:style w:type="paragraph" w:styleId="aff1">
    <w:name w:val="Balloon Text"/>
    <w:basedOn w:val="a1"/>
    <w:link w:val="aff2"/>
    <w:unhideWhenUsed/>
    <w:rsid w:val="001A5E2D"/>
    <w:pPr>
      <w:spacing w:line="240" w:lineRule="auto"/>
    </w:pPr>
    <w:rPr>
      <w:rFonts w:ascii="Cambria" w:eastAsia="新細明體" w:hAnsi="Cambria"/>
      <w:sz w:val="18"/>
      <w:szCs w:val="18"/>
    </w:rPr>
  </w:style>
  <w:style w:type="character" w:customStyle="1" w:styleId="aff2">
    <w:name w:val="註解方塊文字 字元"/>
    <w:link w:val="aff1"/>
    <w:rsid w:val="001A5E2D"/>
    <w:rPr>
      <w:rFonts w:ascii="Cambria" w:eastAsia="新細明體" w:hAnsi="Cambria" w:cs="Times New Roman"/>
      <w:sz w:val="18"/>
      <w:szCs w:val="18"/>
    </w:rPr>
  </w:style>
  <w:style w:type="character" w:customStyle="1" w:styleId="30">
    <w:name w:val="標題 3 字元"/>
    <w:link w:val="3"/>
    <w:uiPriority w:val="9"/>
    <w:semiHidden/>
    <w:rsid w:val="00E1645B"/>
    <w:rPr>
      <w:rFonts w:ascii="Cambria" w:eastAsia="新細明體" w:hAnsi="Cambria" w:cs="Times New Roman"/>
      <w:b/>
      <w:bCs/>
      <w:sz w:val="36"/>
      <w:szCs w:val="36"/>
    </w:rPr>
  </w:style>
  <w:style w:type="character" w:customStyle="1" w:styleId="st1">
    <w:name w:val="st1"/>
    <w:rsid w:val="002B4F91"/>
  </w:style>
  <w:style w:type="character" w:customStyle="1" w:styleId="22">
    <w:name w:val="標題 2 字元"/>
    <w:link w:val="21"/>
    <w:rsid w:val="00286F49"/>
    <w:rPr>
      <w:rFonts w:ascii="Book Antiqua" w:eastAsia="華康楷書體W5" w:hAnsi="Arial"/>
      <w:b/>
      <w:spacing w:val="10"/>
      <w:sz w:val="40"/>
    </w:rPr>
  </w:style>
  <w:style w:type="paragraph" w:customStyle="1" w:styleId="aff3">
    <w:name w:val="表附註"/>
    <w:basedOn w:val="24"/>
    <w:rsid w:val="00286F49"/>
    <w:pPr>
      <w:spacing w:after="0" w:line="240" w:lineRule="atLeast"/>
      <w:ind w:left="0"/>
    </w:pPr>
    <w:rPr>
      <w:spacing w:val="0"/>
      <w:sz w:val="24"/>
    </w:rPr>
  </w:style>
  <w:style w:type="paragraph" w:customStyle="1" w:styleId="24">
    <w:name w:val="內文2"/>
    <w:basedOn w:val="a1"/>
    <w:rsid w:val="00286F49"/>
    <w:pPr>
      <w:spacing w:before="120" w:after="120" w:line="324" w:lineRule="auto"/>
      <w:ind w:left="1134"/>
      <w:jc w:val="both"/>
      <w:textAlignment w:val="baseline"/>
    </w:pPr>
    <w:rPr>
      <w:rFonts w:ascii="Book Antiqua" w:eastAsia="華康楷書體W5"/>
      <w:spacing w:val="10"/>
      <w:sz w:val="36"/>
    </w:rPr>
  </w:style>
  <w:style w:type="paragraph" w:customStyle="1" w:styleId="16">
    <w:name w:val="內文1"/>
    <w:basedOn w:val="a1"/>
    <w:rsid w:val="00286F49"/>
    <w:pPr>
      <w:spacing w:before="120" w:after="120" w:line="360" w:lineRule="auto"/>
      <w:ind w:left="964" w:firstLine="397"/>
      <w:jc w:val="both"/>
      <w:textAlignment w:val="baseline"/>
    </w:pPr>
    <w:rPr>
      <w:rFonts w:ascii="Book Antiqua" w:eastAsia="華康中楷體"/>
      <w:spacing w:val="10"/>
      <w:sz w:val="36"/>
    </w:rPr>
  </w:style>
  <w:style w:type="paragraph" w:customStyle="1" w:styleId="33">
    <w:name w:val="內文3"/>
    <w:basedOn w:val="16"/>
    <w:rsid w:val="00286F49"/>
    <w:pPr>
      <w:ind w:left="2042" w:hanging="1021"/>
    </w:pPr>
    <w:rPr>
      <w:rFonts w:eastAsia="華康楷書體W5"/>
    </w:rPr>
  </w:style>
  <w:style w:type="paragraph" w:customStyle="1" w:styleId="4">
    <w:name w:val="內文4"/>
    <w:basedOn w:val="33"/>
    <w:rsid w:val="00286F49"/>
    <w:pPr>
      <w:spacing w:line="680" w:lineRule="exact"/>
      <w:ind w:left="1645" w:hanging="624"/>
    </w:pPr>
  </w:style>
  <w:style w:type="paragraph" w:customStyle="1" w:styleId="5">
    <w:name w:val="內文5"/>
    <w:basedOn w:val="33"/>
    <w:rsid w:val="00286F49"/>
    <w:pPr>
      <w:spacing w:before="240"/>
      <w:ind w:left="1305" w:hanging="284"/>
    </w:pPr>
  </w:style>
  <w:style w:type="paragraph" w:customStyle="1" w:styleId="40">
    <w:name w:val="標題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6">
    <w:name w:val="內文6"/>
    <w:basedOn w:val="16"/>
    <w:rsid w:val="00286F49"/>
    <w:pPr>
      <w:spacing w:line="680" w:lineRule="exact"/>
      <w:ind w:left="567" w:firstLine="680"/>
    </w:pPr>
    <w:rPr>
      <w:rFonts w:eastAsia="華康楷書體W5"/>
    </w:rPr>
  </w:style>
  <w:style w:type="paragraph" w:customStyle="1" w:styleId="50">
    <w:name w:val="標題5"/>
    <w:basedOn w:val="40"/>
    <w:rsid w:val="00286F49"/>
    <w:pPr>
      <w:ind w:left="567"/>
    </w:pPr>
    <w:rPr>
      <w:rFonts w:ascii="Book Antiqua"/>
      <w:b w:val="0"/>
      <w:sz w:val="32"/>
    </w:rPr>
  </w:style>
  <w:style w:type="paragraph" w:customStyle="1" w:styleId="7">
    <w:name w:val="內文7"/>
    <w:basedOn w:val="4"/>
    <w:rsid w:val="00286F49"/>
    <w:pPr>
      <w:ind w:left="2211" w:hanging="964"/>
    </w:pPr>
  </w:style>
  <w:style w:type="paragraph" w:customStyle="1" w:styleId="60">
    <w:name w:val="標題6"/>
    <w:basedOn w:val="50"/>
    <w:rsid w:val="00286F49"/>
    <w:rPr>
      <w:b/>
    </w:rPr>
  </w:style>
  <w:style w:type="paragraph" w:customStyle="1" w:styleId="70">
    <w:name w:val="標題7"/>
    <w:basedOn w:val="3"/>
    <w:rsid w:val="00286F49"/>
    <w:pPr>
      <w:spacing w:before="120" w:after="360"/>
      <w:ind w:left="794" w:hanging="1247"/>
      <w:jc w:val="both"/>
      <w:textAlignment w:val="baseline"/>
      <w:outlineLvl w:val="9"/>
    </w:pPr>
    <w:rPr>
      <w:rFonts w:ascii="Arial" w:eastAsia="華康楷書體W5" w:hAnsi="Arial"/>
      <w:b w:val="0"/>
      <w:bCs w:val="0"/>
      <w:spacing w:val="10"/>
      <w:szCs w:val="20"/>
    </w:rPr>
  </w:style>
  <w:style w:type="paragraph" w:customStyle="1" w:styleId="8">
    <w:name w:val="內文8"/>
    <w:basedOn w:val="7"/>
    <w:rsid w:val="00286F49"/>
    <w:pPr>
      <w:spacing w:before="0" w:after="0"/>
    </w:pPr>
  </w:style>
  <w:style w:type="paragraph" w:customStyle="1" w:styleId="9">
    <w:name w:val="內文9"/>
    <w:basedOn w:val="4"/>
    <w:rsid w:val="00286F49"/>
    <w:pPr>
      <w:spacing w:before="0" w:after="0"/>
    </w:pPr>
  </w:style>
  <w:style w:type="paragraph" w:customStyle="1" w:styleId="17">
    <w:name w:val="樣式1"/>
    <w:basedOn w:val="a1"/>
    <w:rsid w:val="00286F49"/>
    <w:pPr>
      <w:spacing w:after="240" w:line="680" w:lineRule="exact"/>
      <w:ind w:left="1134" w:firstLine="567"/>
      <w:jc w:val="both"/>
      <w:textAlignment w:val="baseline"/>
    </w:pPr>
    <w:rPr>
      <w:rFonts w:ascii="Book Antiqua" w:eastAsia="華康楷書體W5"/>
      <w:spacing w:val="10"/>
      <w:sz w:val="36"/>
    </w:rPr>
  </w:style>
  <w:style w:type="paragraph" w:customStyle="1" w:styleId="80">
    <w:name w:val="標題8"/>
    <w:basedOn w:val="3"/>
    <w:rsid w:val="00286F49"/>
    <w:pPr>
      <w:spacing w:before="120" w:after="360"/>
      <w:ind w:left="1814" w:hanging="1247"/>
      <w:jc w:val="both"/>
      <w:textAlignment w:val="baseline"/>
      <w:outlineLvl w:val="9"/>
    </w:pPr>
    <w:rPr>
      <w:rFonts w:ascii="Arial" w:eastAsia="華康楷書體W5" w:hAnsi="Arial"/>
      <w:bCs w:val="0"/>
      <w:spacing w:val="10"/>
      <w:sz w:val="40"/>
      <w:szCs w:val="20"/>
    </w:rPr>
  </w:style>
  <w:style w:type="paragraph" w:customStyle="1" w:styleId="90">
    <w:name w:val="標題9"/>
    <w:basedOn w:val="70"/>
    <w:rsid w:val="00286F49"/>
    <w:pPr>
      <w:ind w:left="680" w:firstLine="0"/>
      <w:jc w:val="left"/>
    </w:pPr>
  </w:style>
  <w:style w:type="paragraph" w:customStyle="1" w:styleId="100">
    <w:name w:val="內文10"/>
    <w:basedOn w:val="6"/>
    <w:rsid w:val="00286F49"/>
    <w:pPr>
      <w:ind w:firstLine="454"/>
    </w:pPr>
  </w:style>
  <w:style w:type="paragraph" w:customStyle="1" w:styleId="110">
    <w:name w:val="內文11"/>
    <w:basedOn w:val="100"/>
    <w:rsid w:val="00286F49"/>
  </w:style>
  <w:style w:type="paragraph" w:customStyle="1" w:styleId="120">
    <w:name w:val="內文12"/>
    <w:basedOn w:val="8"/>
    <w:rsid w:val="00286F49"/>
    <w:pPr>
      <w:ind w:left="1248"/>
    </w:pPr>
    <w:rPr>
      <w:spacing w:val="0"/>
    </w:rPr>
  </w:style>
  <w:style w:type="paragraph" w:customStyle="1" w:styleId="aff4">
    <w:name w:val="ｂ（）ｒ"/>
    <w:basedOn w:val="a1"/>
    <w:rsid w:val="00286F49"/>
    <w:pPr>
      <w:spacing w:before="120" w:after="120" w:line="680" w:lineRule="exact"/>
      <w:ind w:left="2042" w:hanging="1021"/>
      <w:jc w:val="both"/>
      <w:textDirection w:val="lrTbV"/>
      <w:textAlignment w:val="baseline"/>
    </w:pPr>
    <w:rPr>
      <w:rFonts w:ascii="Book Antiqua" w:eastAsia="標楷體"/>
      <w:color w:val="000000"/>
      <w:spacing w:val="10"/>
      <w:sz w:val="36"/>
    </w:rPr>
  </w:style>
  <w:style w:type="paragraph" w:customStyle="1" w:styleId="210">
    <w:name w:val="本文 21"/>
    <w:basedOn w:val="a1"/>
    <w:rsid w:val="00286F49"/>
    <w:pPr>
      <w:spacing w:line="240" w:lineRule="auto"/>
      <w:ind w:firstLine="720"/>
      <w:jc w:val="both"/>
      <w:textAlignment w:val="baseline"/>
    </w:pPr>
    <w:rPr>
      <w:rFonts w:ascii="華康仿宋體W6" w:eastAsia="華康仿宋體W6"/>
      <w:kern w:val="2"/>
      <w:sz w:val="36"/>
    </w:rPr>
  </w:style>
  <w:style w:type="paragraph" w:customStyle="1" w:styleId="aff5">
    <w:name w:val="點段"/>
    <w:basedOn w:val="a1"/>
    <w:rsid w:val="00286F49"/>
    <w:pPr>
      <w:tabs>
        <w:tab w:val="left" w:pos="1332"/>
        <w:tab w:val="left" w:pos="11421"/>
      </w:tabs>
      <w:spacing w:before="120" w:after="120" w:line="440" w:lineRule="atLeast"/>
      <w:ind w:left="976" w:hanging="488"/>
      <w:jc w:val="both"/>
      <w:textAlignment w:val="baseline"/>
    </w:pPr>
    <w:rPr>
      <w:rFonts w:ascii="標楷體" w:eastAsia="標楷體"/>
      <w:sz w:val="36"/>
    </w:rPr>
  </w:style>
  <w:style w:type="paragraph" w:customStyle="1" w:styleId="18">
    <w:name w:val="(1)"/>
    <w:basedOn w:val="a1"/>
    <w:rsid w:val="00286F49"/>
    <w:pPr>
      <w:spacing w:before="120" w:after="120" w:line="360" w:lineRule="auto"/>
      <w:ind w:left="960" w:hanging="450"/>
      <w:jc w:val="both"/>
      <w:textAlignment w:val="baseline"/>
    </w:pPr>
    <w:rPr>
      <w:rFonts w:ascii="細明體"/>
      <w:sz w:val="28"/>
    </w:rPr>
  </w:style>
  <w:style w:type="paragraph" w:customStyle="1" w:styleId="aff6">
    <w:name w:val="(一)文"/>
    <w:basedOn w:val="a1"/>
    <w:rsid w:val="00286F49"/>
    <w:pPr>
      <w:spacing w:before="120" w:after="120" w:line="680" w:lineRule="exact"/>
      <w:ind w:right="40" w:firstLine="765"/>
      <w:textAlignment w:val="baseline"/>
    </w:pPr>
    <w:rPr>
      <w:rFonts w:ascii="華康楷書體W5" w:eastAsia="華康楷書體W5"/>
      <w:spacing w:val="20"/>
      <w:sz w:val="36"/>
    </w:rPr>
  </w:style>
  <w:style w:type="paragraph" w:customStyle="1" w:styleId="aff7">
    <w:name w:val="姓名"/>
    <w:basedOn w:val="a1"/>
    <w:rsid w:val="00286F49"/>
    <w:pPr>
      <w:spacing w:before="120" w:after="120" w:line="360" w:lineRule="auto"/>
      <w:ind w:left="510"/>
      <w:jc w:val="center"/>
      <w:textAlignment w:val="baseline"/>
    </w:pPr>
    <w:rPr>
      <w:rFonts w:ascii="Book Antiqua" w:eastAsia="華康隸書體W5"/>
      <w:sz w:val="28"/>
    </w:rPr>
  </w:style>
  <w:style w:type="paragraph" w:customStyle="1" w:styleId="19">
    <w:name w:val="段落1"/>
    <w:basedOn w:val="a1"/>
    <w:rsid w:val="00286F49"/>
    <w:pPr>
      <w:spacing w:before="120" w:after="120" w:line="960" w:lineRule="atLeast"/>
      <w:ind w:firstLine="1080"/>
      <w:jc w:val="both"/>
      <w:textAlignment w:val="baseline"/>
    </w:pPr>
    <w:rPr>
      <w:rFonts w:ascii="華康中楷體" w:eastAsia="華康中楷體"/>
      <w:spacing w:val="5"/>
      <w:sz w:val="54"/>
    </w:rPr>
  </w:style>
  <w:style w:type="paragraph" w:styleId="aff8">
    <w:name w:val="Document Map"/>
    <w:basedOn w:val="a1"/>
    <w:link w:val="aff9"/>
    <w:semiHidden/>
    <w:rsid w:val="00286F49"/>
    <w:pPr>
      <w:shd w:val="clear" w:color="auto" w:fill="000080"/>
      <w:spacing w:after="240" w:line="680" w:lineRule="exact"/>
      <w:ind w:left="1134" w:firstLine="567"/>
      <w:jc w:val="both"/>
      <w:textAlignment w:val="baseline"/>
    </w:pPr>
    <w:rPr>
      <w:rFonts w:ascii="Arial" w:eastAsia="新細明體" w:hAnsi="Arial"/>
      <w:spacing w:val="10"/>
      <w:sz w:val="36"/>
    </w:rPr>
  </w:style>
  <w:style w:type="character" w:customStyle="1" w:styleId="aff9">
    <w:name w:val="文件引導模式 字元"/>
    <w:link w:val="aff8"/>
    <w:semiHidden/>
    <w:rsid w:val="00286F49"/>
    <w:rPr>
      <w:rFonts w:ascii="Arial" w:hAnsi="Arial"/>
      <w:spacing w:val="10"/>
      <w:sz w:val="36"/>
      <w:shd w:val="clear" w:color="auto" w:fill="000080"/>
    </w:rPr>
  </w:style>
  <w:style w:type="paragraph" w:customStyle="1" w:styleId="D4">
    <w:name w:val="陏D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BodyText22">
    <w:name w:val="Body Text 22"/>
    <w:basedOn w:val="a1"/>
    <w:rsid w:val="00286F49"/>
    <w:pPr>
      <w:spacing w:before="120" w:after="120" w:line="440" w:lineRule="exact"/>
      <w:textAlignment w:val="baseline"/>
    </w:pPr>
    <w:rPr>
      <w:rFonts w:ascii="標楷體" w:eastAsia="標楷體"/>
      <w:sz w:val="30"/>
    </w:rPr>
  </w:style>
  <w:style w:type="paragraph" w:customStyle="1" w:styleId="affa">
    <w:name w:val="中標題"/>
    <w:basedOn w:val="a1"/>
    <w:rsid w:val="00286F49"/>
    <w:pPr>
      <w:tabs>
        <w:tab w:val="left" w:pos="12960"/>
      </w:tabs>
      <w:spacing w:line="400" w:lineRule="atLeast"/>
      <w:textAlignment w:val="baseline"/>
    </w:pPr>
    <w:rPr>
      <w:sz w:val="22"/>
    </w:rPr>
  </w:style>
  <w:style w:type="paragraph" w:customStyle="1" w:styleId="affb">
    <w:name w:val="大標題本文"/>
    <w:basedOn w:val="a1"/>
    <w:rsid w:val="00286F49"/>
    <w:pPr>
      <w:tabs>
        <w:tab w:val="left" w:pos="13680"/>
      </w:tabs>
      <w:spacing w:before="60" w:after="60" w:line="440" w:lineRule="exact"/>
      <w:ind w:firstLine="476"/>
      <w:jc w:val="both"/>
      <w:textAlignment w:val="baseline"/>
    </w:pPr>
    <w:rPr>
      <w:rFonts w:eastAsia="華康中楷體"/>
      <w:sz w:val="24"/>
    </w:rPr>
  </w:style>
  <w:style w:type="character" w:customStyle="1" w:styleId="textstory1">
    <w:name w:val="text_story1"/>
    <w:rsid w:val="00286F49"/>
    <w:rPr>
      <w:rFonts w:ascii="sө" w:hAnsi="sө" w:hint="default"/>
      <w:i w:val="0"/>
      <w:iCs w:val="0"/>
      <w:strike w:val="0"/>
      <w:dstrike w:val="0"/>
      <w:color w:val="000000"/>
      <w:sz w:val="22"/>
      <w:szCs w:val="22"/>
      <w:u w:val="none"/>
      <w:effect w:val="none"/>
    </w:rPr>
  </w:style>
  <w:style w:type="paragraph" w:customStyle="1" w:styleId="section">
    <w:name w:val="section"/>
    <w:basedOn w:val="a1"/>
    <w:rsid w:val="00286F49"/>
    <w:pPr>
      <w:tabs>
        <w:tab w:val="left" w:pos="5580"/>
      </w:tabs>
      <w:autoSpaceDE w:val="0"/>
      <w:autoSpaceDN w:val="0"/>
      <w:spacing w:before="120" w:after="120" w:line="480" w:lineRule="atLeast"/>
      <w:ind w:firstLine="539"/>
      <w:jc w:val="both"/>
      <w:textAlignment w:val="baseline"/>
    </w:pPr>
    <w:rPr>
      <w:rFonts w:eastAsia="標楷體"/>
      <w:sz w:val="28"/>
    </w:rPr>
  </w:style>
  <w:style w:type="paragraph" w:styleId="affc">
    <w:name w:val="Salutation"/>
    <w:basedOn w:val="a1"/>
    <w:next w:val="a1"/>
    <w:link w:val="affd"/>
    <w:rsid w:val="00286F49"/>
    <w:pPr>
      <w:spacing w:after="240" w:line="680" w:lineRule="exact"/>
      <w:ind w:left="1134" w:firstLine="567"/>
      <w:jc w:val="both"/>
      <w:textAlignment w:val="baseline"/>
    </w:pPr>
    <w:rPr>
      <w:rFonts w:ascii="標楷體" w:eastAsia="標楷體" w:hAnsi="Garamond"/>
      <w:spacing w:val="20"/>
      <w:sz w:val="32"/>
    </w:rPr>
  </w:style>
  <w:style w:type="character" w:customStyle="1" w:styleId="affd">
    <w:name w:val="問候 字元"/>
    <w:link w:val="affc"/>
    <w:rsid w:val="00286F49"/>
    <w:rPr>
      <w:rFonts w:ascii="標楷體" w:eastAsia="標楷體" w:hAnsi="Garamond"/>
      <w:spacing w:val="20"/>
      <w:sz w:val="32"/>
    </w:rPr>
  </w:style>
  <w:style w:type="paragraph" w:styleId="affe">
    <w:name w:val="Closing"/>
    <w:basedOn w:val="a1"/>
    <w:next w:val="a1"/>
    <w:link w:val="afff"/>
    <w:rsid w:val="00286F49"/>
    <w:pPr>
      <w:spacing w:after="240" w:line="680" w:lineRule="exact"/>
      <w:ind w:left="4320" w:firstLine="567"/>
      <w:jc w:val="both"/>
      <w:textAlignment w:val="baseline"/>
    </w:pPr>
    <w:rPr>
      <w:rFonts w:ascii="標楷體" w:eastAsia="標楷體" w:hAnsi="Garamond"/>
      <w:spacing w:val="20"/>
      <w:sz w:val="32"/>
    </w:rPr>
  </w:style>
  <w:style w:type="character" w:customStyle="1" w:styleId="afff">
    <w:name w:val="結語 字元"/>
    <w:link w:val="affe"/>
    <w:rsid w:val="00286F49"/>
    <w:rPr>
      <w:rFonts w:ascii="標楷體" w:eastAsia="標楷體" w:hAnsi="Garamond"/>
      <w:spacing w:val="20"/>
      <w:sz w:val="32"/>
    </w:rPr>
  </w:style>
  <w:style w:type="paragraph" w:customStyle="1" w:styleId="afff0">
    <w:name w:val="小段"/>
    <w:basedOn w:val="a1"/>
    <w:rsid w:val="00286F49"/>
    <w:pPr>
      <w:adjustRightInd/>
      <w:snapToGrid w:val="0"/>
      <w:spacing w:before="120" w:after="120" w:line="500" w:lineRule="atLeast"/>
      <w:ind w:right="26" w:firstLine="720"/>
      <w:jc w:val="both"/>
      <w:textAlignment w:val="auto"/>
    </w:pPr>
    <w:rPr>
      <w:rFonts w:eastAsia="標楷體"/>
      <w:kern w:val="2"/>
      <w:sz w:val="32"/>
    </w:rPr>
  </w:style>
  <w:style w:type="paragraph" w:customStyle="1" w:styleId="main">
    <w:name w:val="main"/>
    <w:basedOn w:val="a1"/>
    <w:rsid w:val="00286F49"/>
    <w:pPr>
      <w:adjustRightInd/>
      <w:snapToGrid w:val="0"/>
      <w:spacing w:beforeLines="50" w:before="180" w:afterLines="50" w:after="180" w:line="540" w:lineRule="atLeast"/>
      <w:ind w:firstLineChars="200" w:firstLine="560"/>
      <w:jc w:val="both"/>
      <w:textAlignment w:val="auto"/>
    </w:pPr>
    <w:rPr>
      <w:rFonts w:ascii="標楷體" w:eastAsia="標楷體" w:hAnsi="標楷體"/>
      <w:kern w:val="2"/>
      <w:sz w:val="28"/>
      <w:szCs w:val="24"/>
    </w:rPr>
  </w:style>
  <w:style w:type="paragraph" w:customStyle="1" w:styleId="P0">
    <w:name w:val="P0"/>
    <w:basedOn w:val="afb"/>
    <w:rsid w:val="00286F49"/>
    <w:pPr>
      <w:snapToGrid w:val="0"/>
      <w:spacing w:before="120" w:line="700" w:lineRule="atLeast"/>
      <w:ind w:left="960" w:firstLine="720"/>
      <w:textDirection w:val="lrTbV"/>
      <w:textAlignment w:val="baseline"/>
    </w:pPr>
    <w:rPr>
      <w:rFonts w:ascii="標楷體"/>
      <w:spacing w:val="20"/>
    </w:rPr>
  </w:style>
  <w:style w:type="paragraph" w:customStyle="1" w:styleId="afff1">
    <w:name w:val="表內容"/>
    <w:basedOn w:val="24"/>
    <w:rsid w:val="00286F49"/>
    <w:pPr>
      <w:spacing w:before="0" w:line="240" w:lineRule="atLeast"/>
      <w:ind w:left="0"/>
      <w:jc w:val="center"/>
    </w:pPr>
    <w:rPr>
      <w:spacing w:val="0"/>
      <w:sz w:val="22"/>
    </w:rPr>
  </w:style>
  <w:style w:type="character" w:customStyle="1" w:styleId="text11">
    <w:name w:val="text11"/>
    <w:rsid w:val="00286F49"/>
    <w:rPr>
      <w:color w:val="000000"/>
      <w:sz w:val="22"/>
      <w:szCs w:val="22"/>
    </w:rPr>
  </w:style>
  <w:style w:type="paragraph" w:styleId="20">
    <w:name w:val="toc 2"/>
    <w:aliases w:val="樣式(一)"/>
    <w:basedOn w:val="a1"/>
    <w:autoRedefine/>
    <w:semiHidden/>
    <w:rsid w:val="00286F49"/>
    <w:pPr>
      <w:numPr>
        <w:ilvl w:val="1"/>
        <w:numId w:val="3"/>
      </w:numPr>
      <w:adjustRightInd/>
      <w:spacing w:line="240" w:lineRule="auto"/>
      <w:jc w:val="both"/>
      <w:textAlignment w:val="auto"/>
    </w:pPr>
    <w:rPr>
      <w:rFonts w:eastAsia="標楷體"/>
      <w:b/>
      <w:kern w:val="2"/>
      <w:sz w:val="28"/>
    </w:rPr>
  </w:style>
  <w:style w:type="character" w:styleId="afff2">
    <w:name w:val="Hyperlink"/>
    <w:rsid w:val="00286F49"/>
    <w:rPr>
      <w:strike w:val="0"/>
      <w:dstrike w:val="0"/>
      <w:color w:val="0066CC"/>
      <w:u w:val="none"/>
      <w:effect w:val="none"/>
    </w:rPr>
  </w:style>
  <w:style w:type="character" w:styleId="afff3">
    <w:name w:val="FollowedHyperlink"/>
    <w:rsid w:val="00286F49"/>
    <w:rPr>
      <w:color w:val="800080"/>
      <w:u w:val="single"/>
    </w:rPr>
  </w:style>
  <w:style w:type="character" w:customStyle="1" w:styleId="newscontent1">
    <w:name w:val="news_content1"/>
    <w:rsid w:val="00286F49"/>
    <w:rPr>
      <w:sz w:val="19"/>
      <w:szCs w:val="19"/>
    </w:rPr>
  </w:style>
  <w:style w:type="paragraph" w:customStyle="1" w:styleId="afff4">
    <w:name w:val="內文 + 標楷體"/>
    <w:aliases w:val="16 點,左右對齊,左:  0 cm,凸出:  3.6 字元,行距:  固定行高 30 pt,14 點"/>
    <w:basedOn w:val="a1"/>
    <w:rsid w:val="00286F49"/>
    <w:pPr>
      <w:adjustRightInd/>
      <w:spacing w:line="240" w:lineRule="auto"/>
      <w:textAlignment w:val="auto"/>
    </w:pPr>
    <w:rPr>
      <w:rFonts w:ascii="標楷體" w:eastAsia="標楷體" w:hAnsi="標楷體"/>
      <w:kern w:val="2"/>
      <w:sz w:val="28"/>
      <w:szCs w:val="28"/>
    </w:rPr>
  </w:style>
  <w:style w:type="character" w:customStyle="1" w:styleId="mbody6">
    <w:name w:val="mbody6"/>
    <w:rsid w:val="00286F49"/>
    <w:rPr>
      <w:rFonts w:ascii="Arial" w:hAnsi="Arial" w:cs="Arial" w:hint="default"/>
      <w:sz w:val="24"/>
      <w:szCs w:val="24"/>
    </w:rPr>
  </w:style>
  <w:style w:type="paragraph" w:customStyle="1" w:styleId="afff5">
    <w:name w:val="一'"/>
    <w:basedOn w:val="a1"/>
    <w:rsid w:val="00286F49"/>
    <w:pPr>
      <w:spacing w:line="560" w:lineRule="atLeast"/>
      <w:ind w:firstLine="720"/>
      <w:jc w:val="both"/>
      <w:textAlignment w:val="baseline"/>
    </w:pPr>
    <w:rPr>
      <w:rFonts w:ascii="標楷體" w:eastAsia="標楷體"/>
      <w:sz w:val="36"/>
    </w:rPr>
  </w:style>
  <w:style w:type="paragraph" w:customStyle="1" w:styleId="default0">
    <w:name w:val="default"/>
    <w:basedOn w:val="a1"/>
    <w:rsid w:val="00286F49"/>
    <w:pPr>
      <w:widowControl/>
      <w:adjustRightInd/>
      <w:spacing w:before="100" w:beforeAutospacing="1" w:after="100" w:afterAutospacing="1" w:line="240" w:lineRule="auto"/>
      <w:textAlignment w:val="auto"/>
    </w:pPr>
    <w:rPr>
      <w:rFonts w:ascii="新細明體" w:eastAsia="新細明體" w:hAnsi="新細明體" w:cs="新細明體"/>
      <w:sz w:val="24"/>
      <w:szCs w:val="24"/>
    </w:rPr>
  </w:style>
  <w:style w:type="paragraph" w:customStyle="1" w:styleId="25">
    <w:name w:val="字元 字元2 字元 字元 字元 字元"/>
    <w:basedOn w:val="a1"/>
    <w:semiHidden/>
    <w:rsid w:val="00286F49"/>
    <w:pPr>
      <w:widowControl/>
      <w:adjustRightInd/>
      <w:spacing w:after="160" w:line="240" w:lineRule="exact"/>
      <w:textAlignment w:val="auto"/>
    </w:pPr>
    <w:rPr>
      <w:rFonts w:ascii="Verdana" w:eastAsia="Times New Roman" w:hAnsi="Verdana" w:cs="Mangal"/>
      <w:kern w:val="2"/>
      <w:szCs w:val="24"/>
      <w:lang w:eastAsia="en-US" w:bidi="hi-IN"/>
    </w:rPr>
  </w:style>
  <w:style w:type="character" w:customStyle="1" w:styleId="newmidwordlarge1">
    <w:name w:val="new_mid_word_large1"/>
    <w:rsid w:val="00286F49"/>
    <w:rPr>
      <w:rFonts w:ascii="Arial" w:hAnsi="Arial" w:cs="Arial" w:hint="default"/>
      <w:strike w:val="0"/>
      <w:dstrike w:val="0"/>
      <w:color w:val="555555"/>
      <w:sz w:val="19"/>
      <w:szCs w:val="19"/>
      <w:u w:val="none"/>
      <w:effect w:val="none"/>
    </w:rPr>
  </w:style>
  <w:style w:type="character" w:customStyle="1" w:styleId="12">
    <w:name w:val="標題 1 字元"/>
    <w:link w:val="11"/>
    <w:uiPriority w:val="9"/>
    <w:rsid w:val="00286F49"/>
    <w:rPr>
      <w:rFonts w:ascii="Arial Unicode MS" w:eastAsia="Arial Unicode MS" w:hAnsi="Arial Unicode MS" w:cs="Arial Unicode MS"/>
      <w:b/>
      <w:bCs/>
      <w:kern w:val="36"/>
      <w:sz w:val="48"/>
      <w:szCs w:val="48"/>
    </w:rPr>
  </w:style>
  <w:style w:type="paragraph" w:styleId="afff6">
    <w:name w:val="List Paragraph"/>
    <w:basedOn w:val="a1"/>
    <w:uiPriority w:val="34"/>
    <w:qFormat/>
    <w:rsid w:val="00286F49"/>
    <w:pPr>
      <w:spacing w:after="240" w:line="680" w:lineRule="exact"/>
      <w:ind w:leftChars="200" w:left="480" w:firstLine="567"/>
      <w:jc w:val="both"/>
      <w:textAlignment w:val="baseline"/>
    </w:pPr>
    <w:rPr>
      <w:rFonts w:ascii="Book Antiqua" w:eastAsia="華康楷書體W5"/>
      <w:spacing w:val="10"/>
      <w:sz w:val="36"/>
    </w:rPr>
  </w:style>
  <w:style w:type="table" w:styleId="afff7">
    <w:name w:val="Table Grid"/>
    <w:basedOn w:val="a3"/>
    <w:rsid w:val="00286F49"/>
    <w:rPr>
      <w:rFonts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註腳文字 字元"/>
    <w:link w:val="afc"/>
    <w:uiPriority w:val="99"/>
    <w:rsid w:val="00286F49"/>
    <w:rPr>
      <w:kern w:val="2"/>
    </w:rPr>
  </w:style>
  <w:style w:type="character" w:customStyle="1" w:styleId="a7">
    <w:name w:val="頁尾 字元"/>
    <w:link w:val="a6"/>
    <w:uiPriority w:val="99"/>
    <w:rsid w:val="0091791E"/>
    <w:rPr>
      <w:rFonts w:eastAsia="細明體"/>
      <w:sz w:val="18"/>
    </w:rPr>
  </w:style>
  <w:style w:type="character" w:customStyle="1" w:styleId="a9">
    <w:name w:val="頁首 字元"/>
    <w:link w:val="a8"/>
    <w:uiPriority w:val="99"/>
    <w:rsid w:val="00527E73"/>
    <w:rPr>
      <w:rFonts w:eastAsia="細明體"/>
    </w:rPr>
  </w:style>
  <w:style w:type="paragraph" w:customStyle="1" w:styleId="10">
    <w:name w:val="理監事會第 1層"/>
    <w:basedOn w:val="af1"/>
    <w:qFormat/>
    <w:rsid w:val="006D5EC2"/>
    <w:pPr>
      <w:widowControl/>
      <w:numPr>
        <w:numId w:val="5"/>
      </w:numPr>
      <w:topLinePunct/>
      <w:snapToGrid w:val="0"/>
      <w:spacing w:after="100" w:line="580" w:lineRule="exact"/>
      <w:ind w:left="925" w:right="0" w:hanging="641"/>
      <w:textDirection w:val="lrTb"/>
      <w:textAlignment w:val="auto"/>
    </w:pPr>
    <w:rPr>
      <w:rFonts w:ascii="Times New Roman" w:eastAsia="標楷體"/>
      <w:snapToGrid w:val="0"/>
      <w:spacing w:val="0"/>
      <w:sz w:val="32"/>
    </w:rPr>
  </w:style>
  <w:style w:type="paragraph" w:customStyle="1" w:styleId="2">
    <w:name w:val="理監事會第2層"/>
    <w:basedOn w:val="a1"/>
    <w:qFormat/>
    <w:rsid w:val="006D5EC2"/>
    <w:pPr>
      <w:widowControl/>
      <w:numPr>
        <w:numId w:val="6"/>
      </w:numPr>
      <w:tabs>
        <w:tab w:val="left" w:pos="1276"/>
      </w:tabs>
      <w:topLinePunct/>
      <w:snapToGrid w:val="0"/>
      <w:spacing w:after="100" w:line="580" w:lineRule="exact"/>
      <w:jc w:val="both"/>
      <w:textAlignment w:val="auto"/>
    </w:pPr>
    <w:rPr>
      <w:rFonts w:eastAsia="標楷體"/>
      <w:kern w:val="2"/>
      <w:sz w:val="32"/>
      <w:szCs w:val="24"/>
    </w:rPr>
  </w:style>
  <w:style w:type="paragraph" w:customStyle="1" w:styleId="34">
    <w:name w:val="理監事會第3層"/>
    <w:basedOn w:val="a1"/>
    <w:qFormat/>
    <w:rsid w:val="006D5EC2"/>
    <w:pPr>
      <w:widowControl/>
      <w:topLinePunct/>
      <w:snapToGrid w:val="0"/>
      <w:spacing w:after="100" w:line="580" w:lineRule="exact"/>
      <w:jc w:val="both"/>
      <w:textAlignment w:val="auto"/>
    </w:pPr>
    <w:rPr>
      <w:rFonts w:eastAsia="標楷體"/>
      <w:snapToGrid w:val="0"/>
      <w:sz w:val="32"/>
      <w:szCs w:val="24"/>
    </w:rPr>
  </w:style>
  <w:style w:type="paragraph" w:customStyle="1" w:styleId="1">
    <w:name w:val="1."/>
    <w:basedOn w:val="a1"/>
    <w:autoRedefine/>
    <w:rsid w:val="00EE7DB0"/>
    <w:pPr>
      <w:numPr>
        <w:numId w:val="11"/>
      </w:numPr>
      <w:topLinePunct/>
      <w:adjustRightInd/>
      <w:spacing w:after="100" w:line="580" w:lineRule="exact"/>
      <w:ind w:left="1406" w:right="28" w:hanging="641"/>
      <w:jc w:val="both"/>
      <w:textAlignment w:val="auto"/>
    </w:pPr>
    <w:rPr>
      <w:rFonts w:ascii="標楷體" w:eastAsia="標楷體"/>
      <w:kern w:val="2"/>
      <w:sz w:val="32"/>
      <w:szCs w:val="24"/>
    </w:rPr>
  </w:style>
  <w:style w:type="character" w:customStyle="1" w:styleId="af5">
    <w:name w:val="本文 字元"/>
    <w:basedOn w:val="a2"/>
    <w:link w:val="af4"/>
    <w:locked/>
    <w:rsid w:val="00BD32CA"/>
    <w:rPr>
      <w:rFonts w:eastAsia="標楷體"/>
      <w:sz w:val="32"/>
    </w:rPr>
  </w:style>
  <w:style w:type="paragraph" w:styleId="a">
    <w:name w:val="List Bullet"/>
    <w:basedOn w:val="a1"/>
    <w:uiPriority w:val="99"/>
    <w:unhideWhenUsed/>
    <w:rsid w:val="008814F0"/>
    <w:pPr>
      <w:numPr>
        <w:numId w:val="44"/>
      </w:numPr>
      <w:adjustRightInd/>
      <w:spacing w:line="240" w:lineRule="auto"/>
      <w:contextualSpacing/>
      <w:textAlignment w:val="auto"/>
    </w:pPr>
    <w:rPr>
      <w:rFonts w:eastAsia="新細明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7012">
      <w:bodyDiv w:val="1"/>
      <w:marLeft w:val="0"/>
      <w:marRight w:val="0"/>
      <w:marTop w:val="0"/>
      <w:marBottom w:val="0"/>
      <w:divBdr>
        <w:top w:val="none" w:sz="0" w:space="0" w:color="auto"/>
        <w:left w:val="none" w:sz="0" w:space="0" w:color="auto"/>
        <w:bottom w:val="none" w:sz="0" w:space="0" w:color="auto"/>
        <w:right w:val="none" w:sz="0" w:space="0" w:color="auto"/>
      </w:divBdr>
      <w:divsChild>
        <w:div w:id="1287732111">
          <w:marLeft w:val="0"/>
          <w:marRight w:val="0"/>
          <w:marTop w:val="0"/>
          <w:marBottom w:val="0"/>
          <w:divBdr>
            <w:top w:val="none" w:sz="0" w:space="0" w:color="auto"/>
            <w:left w:val="none" w:sz="0" w:space="0" w:color="auto"/>
            <w:bottom w:val="none" w:sz="0" w:space="0" w:color="auto"/>
            <w:right w:val="none" w:sz="0" w:space="0" w:color="auto"/>
          </w:divBdr>
          <w:divsChild>
            <w:div w:id="1354460009">
              <w:marLeft w:val="0"/>
              <w:marRight w:val="0"/>
              <w:marTop w:val="0"/>
              <w:marBottom w:val="0"/>
              <w:divBdr>
                <w:top w:val="none" w:sz="0" w:space="0" w:color="auto"/>
                <w:left w:val="none" w:sz="0" w:space="0" w:color="auto"/>
                <w:bottom w:val="none" w:sz="0" w:space="0" w:color="auto"/>
                <w:right w:val="none" w:sz="0" w:space="0" w:color="auto"/>
              </w:divBdr>
              <w:divsChild>
                <w:div w:id="480732112">
                  <w:marLeft w:val="0"/>
                  <w:marRight w:val="0"/>
                  <w:marTop w:val="0"/>
                  <w:marBottom w:val="0"/>
                  <w:divBdr>
                    <w:top w:val="none" w:sz="0" w:space="0" w:color="auto"/>
                    <w:left w:val="none" w:sz="0" w:space="0" w:color="auto"/>
                    <w:bottom w:val="none" w:sz="0" w:space="0" w:color="auto"/>
                    <w:right w:val="none" w:sz="0" w:space="0" w:color="auto"/>
                  </w:divBdr>
                  <w:divsChild>
                    <w:div w:id="126896340">
                      <w:marLeft w:val="0"/>
                      <w:marRight w:val="0"/>
                      <w:marTop w:val="0"/>
                      <w:marBottom w:val="0"/>
                      <w:divBdr>
                        <w:top w:val="none" w:sz="0" w:space="0" w:color="auto"/>
                        <w:left w:val="none" w:sz="0" w:space="0" w:color="auto"/>
                        <w:bottom w:val="none" w:sz="0" w:space="0" w:color="auto"/>
                        <w:right w:val="none" w:sz="0" w:space="0" w:color="auto"/>
                      </w:divBdr>
                      <w:divsChild>
                        <w:div w:id="266472809">
                          <w:marLeft w:val="0"/>
                          <w:marRight w:val="0"/>
                          <w:marTop w:val="0"/>
                          <w:marBottom w:val="0"/>
                          <w:divBdr>
                            <w:top w:val="none" w:sz="0" w:space="0" w:color="auto"/>
                            <w:left w:val="none" w:sz="0" w:space="0" w:color="auto"/>
                            <w:bottom w:val="none" w:sz="0" w:space="0" w:color="auto"/>
                            <w:right w:val="none" w:sz="0" w:space="0" w:color="auto"/>
                          </w:divBdr>
                          <w:divsChild>
                            <w:div w:id="33966606">
                              <w:marLeft w:val="0"/>
                              <w:marRight w:val="0"/>
                              <w:marTop w:val="0"/>
                              <w:marBottom w:val="0"/>
                              <w:divBdr>
                                <w:top w:val="none" w:sz="0" w:space="0" w:color="auto"/>
                                <w:left w:val="none" w:sz="0" w:space="0" w:color="auto"/>
                                <w:bottom w:val="none" w:sz="0" w:space="0" w:color="auto"/>
                                <w:right w:val="none" w:sz="0" w:space="0" w:color="auto"/>
                              </w:divBdr>
                              <w:divsChild>
                                <w:div w:id="719282890">
                                  <w:marLeft w:val="0"/>
                                  <w:marRight w:val="0"/>
                                  <w:marTop w:val="0"/>
                                  <w:marBottom w:val="0"/>
                                  <w:divBdr>
                                    <w:top w:val="none" w:sz="0" w:space="0" w:color="auto"/>
                                    <w:left w:val="none" w:sz="0" w:space="0" w:color="auto"/>
                                    <w:bottom w:val="none" w:sz="0" w:space="0" w:color="auto"/>
                                    <w:right w:val="none" w:sz="0" w:space="0" w:color="auto"/>
                                  </w:divBdr>
                                  <w:divsChild>
                                    <w:div w:id="2054769483">
                                      <w:marLeft w:val="0"/>
                                      <w:marRight w:val="0"/>
                                      <w:marTop w:val="0"/>
                                      <w:marBottom w:val="0"/>
                                      <w:divBdr>
                                        <w:top w:val="none" w:sz="0" w:space="0" w:color="auto"/>
                                        <w:left w:val="none" w:sz="0" w:space="0" w:color="auto"/>
                                        <w:bottom w:val="none" w:sz="0" w:space="0" w:color="auto"/>
                                        <w:right w:val="none" w:sz="0" w:space="0" w:color="auto"/>
                                      </w:divBdr>
                                      <w:divsChild>
                                        <w:div w:id="1334407986">
                                          <w:marLeft w:val="0"/>
                                          <w:marRight w:val="0"/>
                                          <w:marTop w:val="0"/>
                                          <w:marBottom w:val="525"/>
                                          <w:divBdr>
                                            <w:top w:val="none" w:sz="0" w:space="0" w:color="auto"/>
                                            <w:left w:val="none" w:sz="0" w:space="0" w:color="auto"/>
                                            <w:bottom w:val="none" w:sz="0" w:space="0" w:color="auto"/>
                                            <w:right w:val="none" w:sz="0" w:space="0" w:color="auto"/>
                                          </w:divBdr>
                                          <w:divsChild>
                                            <w:div w:id="1849908556">
                                              <w:marLeft w:val="0"/>
                                              <w:marRight w:val="0"/>
                                              <w:marTop w:val="0"/>
                                              <w:marBottom w:val="0"/>
                                              <w:divBdr>
                                                <w:top w:val="none" w:sz="0" w:space="0" w:color="auto"/>
                                                <w:left w:val="none" w:sz="0" w:space="0" w:color="auto"/>
                                                <w:bottom w:val="none" w:sz="0" w:space="0" w:color="auto"/>
                                                <w:right w:val="none" w:sz="0" w:space="0" w:color="auto"/>
                                              </w:divBdr>
                                              <w:divsChild>
                                                <w:div w:id="1001662720">
                                                  <w:marLeft w:val="0"/>
                                                  <w:marRight w:val="0"/>
                                                  <w:marTop w:val="225"/>
                                                  <w:marBottom w:val="0"/>
                                                  <w:divBdr>
                                                    <w:top w:val="none" w:sz="0" w:space="0" w:color="auto"/>
                                                    <w:left w:val="none" w:sz="0" w:space="0" w:color="auto"/>
                                                    <w:bottom w:val="none" w:sz="0" w:space="0" w:color="auto"/>
                                                    <w:right w:val="none" w:sz="0" w:space="0" w:color="auto"/>
                                                  </w:divBdr>
                                                  <w:divsChild>
                                                    <w:div w:id="13669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380650">
      <w:bodyDiv w:val="1"/>
      <w:marLeft w:val="0"/>
      <w:marRight w:val="0"/>
      <w:marTop w:val="0"/>
      <w:marBottom w:val="0"/>
      <w:divBdr>
        <w:top w:val="none" w:sz="0" w:space="0" w:color="auto"/>
        <w:left w:val="none" w:sz="0" w:space="0" w:color="auto"/>
        <w:bottom w:val="none" w:sz="0" w:space="0" w:color="auto"/>
        <w:right w:val="none" w:sz="0" w:space="0" w:color="auto"/>
      </w:divBdr>
    </w:div>
    <w:div w:id="306513676">
      <w:bodyDiv w:val="1"/>
      <w:marLeft w:val="0"/>
      <w:marRight w:val="0"/>
      <w:marTop w:val="0"/>
      <w:marBottom w:val="0"/>
      <w:divBdr>
        <w:top w:val="none" w:sz="0" w:space="0" w:color="auto"/>
        <w:left w:val="none" w:sz="0" w:space="0" w:color="auto"/>
        <w:bottom w:val="none" w:sz="0" w:space="0" w:color="auto"/>
        <w:right w:val="none" w:sz="0" w:space="0" w:color="auto"/>
      </w:divBdr>
    </w:div>
    <w:div w:id="472910718">
      <w:bodyDiv w:val="1"/>
      <w:marLeft w:val="0"/>
      <w:marRight w:val="0"/>
      <w:marTop w:val="0"/>
      <w:marBottom w:val="0"/>
      <w:divBdr>
        <w:top w:val="none" w:sz="0" w:space="0" w:color="auto"/>
        <w:left w:val="none" w:sz="0" w:space="0" w:color="auto"/>
        <w:bottom w:val="none" w:sz="0" w:space="0" w:color="auto"/>
        <w:right w:val="none" w:sz="0" w:space="0" w:color="auto"/>
      </w:divBdr>
    </w:div>
    <w:div w:id="504130895">
      <w:bodyDiv w:val="1"/>
      <w:marLeft w:val="0"/>
      <w:marRight w:val="0"/>
      <w:marTop w:val="0"/>
      <w:marBottom w:val="240"/>
      <w:divBdr>
        <w:top w:val="none" w:sz="0" w:space="0" w:color="auto"/>
        <w:left w:val="none" w:sz="0" w:space="0" w:color="auto"/>
        <w:bottom w:val="none" w:sz="0" w:space="0" w:color="auto"/>
        <w:right w:val="none" w:sz="0" w:space="0" w:color="auto"/>
      </w:divBdr>
      <w:divsChild>
        <w:div w:id="1841000680">
          <w:marLeft w:val="0"/>
          <w:marRight w:val="0"/>
          <w:marTop w:val="0"/>
          <w:marBottom w:val="0"/>
          <w:divBdr>
            <w:top w:val="none" w:sz="0" w:space="0" w:color="auto"/>
            <w:left w:val="none" w:sz="0" w:space="0" w:color="auto"/>
            <w:bottom w:val="none" w:sz="0" w:space="0" w:color="auto"/>
            <w:right w:val="none" w:sz="0" w:space="0" w:color="auto"/>
          </w:divBdr>
          <w:divsChild>
            <w:div w:id="494877479">
              <w:marLeft w:val="150"/>
              <w:marRight w:val="150"/>
              <w:marTop w:val="0"/>
              <w:marBottom w:val="0"/>
              <w:divBdr>
                <w:top w:val="none" w:sz="0" w:space="0" w:color="auto"/>
                <w:left w:val="none" w:sz="0" w:space="0" w:color="auto"/>
                <w:bottom w:val="none" w:sz="0" w:space="0" w:color="auto"/>
                <w:right w:val="none" w:sz="0" w:space="0" w:color="auto"/>
              </w:divBdr>
              <w:divsChild>
                <w:div w:id="1365592283">
                  <w:marLeft w:val="-2400"/>
                  <w:marRight w:val="0"/>
                  <w:marTop w:val="0"/>
                  <w:marBottom w:val="0"/>
                  <w:divBdr>
                    <w:top w:val="none" w:sz="0" w:space="0" w:color="auto"/>
                    <w:left w:val="none" w:sz="0" w:space="0" w:color="auto"/>
                    <w:bottom w:val="none" w:sz="0" w:space="0" w:color="auto"/>
                    <w:right w:val="none" w:sz="0" w:space="0" w:color="auto"/>
                  </w:divBdr>
                  <w:divsChild>
                    <w:div w:id="2115710508">
                      <w:marLeft w:val="2400"/>
                      <w:marRight w:val="0"/>
                      <w:marTop w:val="0"/>
                      <w:marBottom w:val="0"/>
                      <w:divBdr>
                        <w:top w:val="none" w:sz="0" w:space="0" w:color="auto"/>
                        <w:left w:val="none" w:sz="0" w:space="0" w:color="auto"/>
                        <w:bottom w:val="none" w:sz="0" w:space="0" w:color="auto"/>
                        <w:right w:val="none" w:sz="0" w:space="0" w:color="auto"/>
                      </w:divBdr>
                      <w:divsChild>
                        <w:div w:id="72167117">
                          <w:marLeft w:val="0"/>
                          <w:marRight w:val="-2400"/>
                          <w:marTop w:val="0"/>
                          <w:marBottom w:val="0"/>
                          <w:divBdr>
                            <w:top w:val="none" w:sz="0" w:space="0" w:color="auto"/>
                            <w:left w:val="none" w:sz="0" w:space="0" w:color="auto"/>
                            <w:bottom w:val="none" w:sz="0" w:space="0" w:color="auto"/>
                            <w:right w:val="none" w:sz="0" w:space="0" w:color="auto"/>
                          </w:divBdr>
                          <w:divsChild>
                            <w:div w:id="1204975458">
                              <w:marLeft w:val="0"/>
                              <w:marRight w:val="2400"/>
                              <w:marTop w:val="0"/>
                              <w:marBottom w:val="0"/>
                              <w:divBdr>
                                <w:top w:val="none" w:sz="0" w:space="0" w:color="auto"/>
                                <w:left w:val="none" w:sz="0" w:space="0" w:color="auto"/>
                                <w:bottom w:val="none" w:sz="0" w:space="0" w:color="auto"/>
                                <w:right w:val="none" w:sz="0" w:space="0" w:color="auto"/>
                              </w:divBdr>
                              <w:divsChild>
                                <w:div w:id="264383213">
                                  <w:marLeft w:val="0"/>
                                  <w:marRight w:val="0"/>
                                  <w:marTop w:val="0"/>
                                  <w:marBottom w:val="150"/>
                                  <w:divBdr>
                                    <w:top w:val="none" w:sz="0" w:space="0" w:color="auto"/>
                                    <w:left w:val="none" w:sz="0" w:space="0" w:color="auto"/>
                                    <w:bottom w:val="none" w:sz="0" w:space="0" w:color="auto"/>
                                    <w:right w:val="none" w:sz="0" w:space="0" w:color="auto"/>
                                  </w:divBdr>
                                  <w:divsChild>
                                    <w:div w:id="1492139786">
                                      <w:marLeft w:val="0"/>
                                      <w:marRight w:val="0"/>
                                      <w:marTop w:val="0"/>
                                      <w:marBottom w:val="0"/>
                                      <w:divBdr>
                                        <w:top w:val="none" w:sz="0" w:space="0" w:color="auto"/>
                                        <w:left w:val="none" w:sz="0" w:space="0" w:color="auto"/>
                                        <w:bottom w:val="none" w:sz="0" w:space="0" w:color="auto"/>
                                        <w:right w:val="none" w:sz="0" w:space="0" w:color="auto"/>
                                      </w:divBdr>
                                      <w:divsChild>
                                        <w:div w:id="658265426">
                                          <w:marLeft w:val="0"/>
                                          <w:marRight w:val="0"/>
                                          <w:marTop w:val="0"/>
                                          <w:marBottom w:val="0"/>
                                          <w:divBdr>
                                            <w:top w:val="none" w:sz="0" w:space="0" w:color="auto"/>
                                            <w:left w:val="none" w:sz="0" w:space="0" w:color="auto"/>
                                            <w:bottom w:val="none" w:sz="0" w:space="0" w:color="auto"/>
                                            <w:right w:val="none" w:sz="0" w:space="0" w:color="auto"/>
                                          </w:divBdr>
                                          <w:divsChild>
                                            <w:div w:id="540479810">
                                              <w:marLeft w:val="0"/>
                                              <w:marRight w:val="0"/>
                                              <w:marTop w:val="0"/>
                                              <w:marBottom w:val="0"/>
                                              <w:divBdr>
                                                <w:top w:val="none" w:sz="0" w:space="0" w:color="auto"/>
                                                <w:left w:val="none" w:sz="0" w:space="0" w:color="auto"/>
                                                <w:bottom w:val="none" w:sz="0" w:space="0" w:color="auto"/>
                                                <w:right w:val="none" w:sz="0" w:space="0" w:color="auto"/>
                                              </w:divBdr>
                                              <w:divsChild>
                                                <w:div w:id="115682945">
                                                  <w:marLeft w:val="0"/>
                                                  <w:marRight w:val="0"/>
                                                  <w:marTop w:val="0"/>
                                                  <w:marBottom w:val="0"/>
                                                  <w:divBdr>
                                                    <w:top w:val="none" w:sz="0" w:space="0" w:color="auto"/>
                                                    <w:left w:val="none" w:sz="0" w:space="0" w:color="auto"/>
                                                    <w:bottom w:val="none" w:sz="0" w:space="0" w:color="auto"/>
                                                    <w:right w:val="none" w:sz="0" w:space="0" w:color="auto"/>
                                                  </w:divBdr>
                                                  <w:divsChild>
                                                    <w:div w:id="267205383">
                                                      <w:marLeft w:val="0"/>
                                                      <w:marRight w:val="0"/>
                                                      <w:marTop w:val="0"/>
                                                      <w:marBottom w:val="0"/>
                                                      <w:divBdr>
                                                        <w:top w:val="none" w:sz="0" w:space="0" w:color="auto"/>
                                                        <w:left w:val="none" w:sz="0" w:space="0" w:color="auto"/>
                                                        <w:bottom w:val="none" w:sz="0" w:space="0" w:color="auto"/>
                                                        <w:right w:val="none" w:sz="0" w:space="0" w:color="auto"/>
                                                      </w:divBdr>
                                                      <w:divsChild>
                                                        <w:div w:id="4492779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4811921">
      <w:bodyDiv w:val="1"/>
      <w:marLeft w:val="0"/>
      <w:marRight w:val="0"/>
      <w:marTop w:val="0"/>
      <w:marBottom w:val="0"/>
      <w:divBdr>
        <w:top w:val="none" w:sz="0" w:space="0" w:color="auto"/>
        <w:left w:val="none" w:sz="0" w:space="0" w:color="auto"/>
        <w:bottom w:val="none" w:sz="0" w:space="0" w:color="auto"/>
        <w:right w:val="none" w:sz="0" w:space="0" w:color="auto"/>
      </w:divBdr>
    </w:div>
    <w:div w:id="767770398">
      <w:bodyDiv w:val="1"/>
      <w:marLeft w:val="0"/>
      <w:marRight w:val="0"/>
      <w:marTop w:val="0"/>
      <w:marBottom w:val="0"/>
      <w:divBdr>
        <w:top w:val="none" w:sz="0" w:space="0" w:color="auto"/>
        <w:left w:val="none" w:sz="0" w:space="0" w:color="auto"/>
        <w:bottom w:val="none" w:sz="0" w:space="0" w:color="auto"/>
        <w:right w:val="none" w:sz="0" w:space="0" w:color="auto"/>
      </w:divBdr>
      <w:divsChild>
        <w:div w:id="120613336">
          <w:marLeft w:val="120"/>
          <w:marRight w:val="120"/>
          <w:marTop w:val="120"/>
          <w:marBottom w:val="120"/>
          <w:divBdr>
            <w:top w:val="none" w:sz="0" w:space="0" w:color="auto"/>
            <w:left w:val="none" w:sz="0" w:space="0" w:color="auto"/>
            <w:bottom w:val="none" w:sz="0" w:space="0" w:color="auto"/>
            <w:right w:val="none" w:sz="0" w:space="0" w:color="auto"/>
          </w:divBdr>
          <w:divsChild>
            <w:div w:id="1019311596">
              <w:marLeft w:val="0"/>
              <w:marRight w:val="0"/>
              <w:marTop w:val="0"/>
              <w:marBottom w:val="0"/>
              <w:divBdr>
                <w:top w:val="none" w:sz="0" w:space="0" w:color="auto"/>
                <w:left w:val="none" w:sz="0" w:space="0" w:color="auto"/>
                <w:bottom w:val="none" w:sz="0" w:space="0" w:color="auto"/>
                <w:right w:val="none" w:sz="0" w:space="0" w:color="auto"/>
              </w:divBdr>
              <w:divsChild>
                <w:div w:id="319889021">
                  <w:marLeft w:val="0"/>
                  <w:marRight w:val="0"/>
                  <w:marTop w:val="0"/>
                  <w:marBottom w:val="0"/>
                  <w:divBdr>
                    <w:top w:val="none" w:sz="0" w:space="0" w:color="auto"/>
                    <w:left w:val="none" w:sz="0" w:space="0" w:color="auto"/>
                    <w:bottom w:val="none" w:sz="0" w:space="0" w:color="auto"/>
                    <w:right w:val="none" w:sz="0" w:space="0" w:color="auto"/>
                  </w:divBdr>
                  <w:divsChild>
                    <w:div w:id="179511562">
                      <w:marLeft w:val="0"/>
                      <w:marRight w:val="0"/>
                      <w:marTop w:val="0"/>
                      <w:marBottom w:val="0"/>
                      <w:divBdr>
                        <w:top w:val="none" w:sz="0" w:space="0" w:color="auto"/>
                        <w:left w:val="none" w:sz="0" w:space="0" w:color="auto"/>
                        <w:bottom w:val="none" w:sz="0" w:space="0" w:color="auto"/>
                        <w:right w:val="none" w:sz="0" w:space="0" w:color="auto"/>
                      </w:divBdr>
                      <w:divsChild>
                        <w:div w:id="1933315777">
                          <w:marLeft w:val="0"/>
                          <w:marRight w:val="0"/>
                          <w:marTop w:val="0"/>
                          <w:marBottom w:val="0"/>
                          <w:divBdr>
                            <w:top w:val="none" w:sz="0" w:space="0" w:color="auto"/>
                            <w:left w:val="none" w:sz="0" w:space="0" w:color="auto"/>
                            <w:bottom w:val="none" w:sz="0" w:space="0" w:color="auto"/>
                            <w:right w:val="none" w:sz="0" w:space="0" w:color="auto"/>
                          </w:divBdr>
                          <w:divsChild>
                            <w:div w:id="1083189090">
                              <w:marLeft w:val="0"/>
                              <w:marRight w:val="0"/>
                              <w:marTop w:val="0"/>
                              <w:marBottom w:val="0"/>
                              <w:divBdr>
                                <w:top w:val="none" w:sz="0" w:space="0" w:color="auto"/>
                                <w:left w:val="none" w:sz="0" w:space="0" w:color="auto"/>
                                <w:bottom w:val="none" w:sz="0" w:space="0" w:color="auto"/>
                                <w:right w:val="none" w:sz="0" w:space="0" w:color="auto"/>
                              </w:divBdr>
                              <w:divsChild>
                                <w:div w:id="2125033415">
                                  <w:marLeft w:val="0"/>
                                  <w:marRight w:val="0"/>
                                  <w:marTop w:val="0"/>
                                  <w:marBottom w:val="0"/>
                                  <w:divBdr>
                                    <w:top w:val="none" w:sz="0" w:space="0" w:color="auto"/>
                                    <w:left w:val="none" w:sz="0" w:space="0" w:color="auto"/>
                                    <w:bottom w:val="none" w:sz="0" w:space="0" w:color="auto"/>
                                    <w:right w:val="none" w:sz="0" w:space="0" w:color="auto"/>
                                  </w:divBdr>
                                  <w:divsChild>
                                    <w:div w:id="14870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656007">
      <w:bodyDiv w:val="1"/>
      <w:marLeft w:val="0"/>
      <w:marRight w:val="0"/>
      <w:marTop w:val="0"/>
      <w:marBottom w:val="0"/>
      <w:divBdr>
        <w:top w:val="none" w:sz="0" w:space="0" w:color="auto"/>
        <w:left w:val="none" w:sz="0" w:space="0" w:color="auto"/>
        <w:bottom w:val="none" w:sz="0" w:space="0" w:color="auto"/>
        <w:right w:val="none" w:sz="0" w:space="0" w:color="auto"/>
      </w:divBdr>
      <w:divsChild>
        <w:div w:id="872569922">
          <w:marLeft w:val="0"/>
          <w:marRight w:val="0"/>
          <w:marTop w:val="0"/>
          <w:marBottom w:val="0"/>
          <w:divBdr>
            <w:top w:val="none" w:sz="0" w:space="0" w:color="auto"/>
            <w:left w:val="none" w:sz="0" w:space="0" w:color="auto"/>
            <w:bottom w:val="none" w:sz="0" w:space="0" w:color="auto"/>
            <w:right w:val="none" w:sz="0" w:space="0" w:color="auto"/>
          </w:divBdr>
          <w:divsChild>
            <w:div w:id="1643805195">
              <w:marLeft w:val="150"/>
              <w:marRight w:val="0"/>
              <w:marTop w:val="75"/>
              <w:marBottom w:val="75"/>
              <w:divBdr>
                <w:top w:val="none" w:sz="0" w:space="0" w:color="auto"/>
                <w:left w:val="none" w:sz="0" w:space="0" w:color="auto"/>
                <w:bottom w:val="none" w:sz="0" w:space="0" w:color="auto"/>
                <w:right w:val="none" w:sz="0" w:space="0" w:color="auto"/>
              </w:divBdr>
              <w:divsChild>
                <w:div w:id="18163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6569">
      <w:bodyDiv w:val="1"/>
      <w:marLeft w:val="0"/>
      <w:marRight w:val="0"/>
      <w:marTop w:val="0"/>
      <w:marBottom w:val="0"/>
      <w:divBdr>
        <w:top w:val="none" w:sz="0" w:space="0" w:color="auto"/>
        <w:left w:val="none" w:sz="0" w:space="0" w:color="auto"/>
        <w:bottom w:val="none" w:sz="0" w:space="0" w:color="auto"/>
        <w:right w:val="none" w:sz="0" w:space="0" w:color="auto"/>
      </w:divBdr>
      <w:divsChild>
        <w:div w:id="669212467">
          <w:marLeft w:val="0"/>
          <w:marRight w:val="0"/>
          <w:marTop w:val="0"/>
          <w:marBottom w:val="0"/>
          <w:divBdr>
            <w:top w:val="none" w:sz="0" w:space="0" w:color="auto"/>
            <w:left w:val="none" w:sz="0" w:space="0" w:color="auto"/>
            <w:bottom w:val="none" w:sz="0" w:space="0" w:color="auto"/>
            <w:right w:val="none" w:sz="0" w:space="0" w:color="auto"/>
          </w:divBdr>
          <w:divsChild>
            <w:div w:id="11199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9851">
      <w:bodyDiv w:val="1"/>
      <w:marLeft w:val="0"/>
      <w:marRight w:val="0"/>
      <w:marTop w:val="0"/>
      <w:marBottom w:val="240"/>
      <w:divBdr>
        <w:top w:val="none" w:sz="0" w:space="0" w:color="auto"/>
        <w:left w:val="none" w:sz="0" w:space="0" w:color="auto"/>
        <w:bottom w:val="none" w:sz="0" w:space="0" w:color="auto"/>
        <w:right w:val="none" w:sz="0" w:space="0" w:color="auto"/>
      </w:divBdr>
      <w:divsChild>
        <w:div w:id="2133672186">
          <w:marLeft w:val="0"/>
          <w:marRight w:val="0"/>
          <w:marTop w:val="0"/>
          <w:marBottom w:val="0"/>
          <w:divBdr>
            <w:top w:val="none" w:sz="0" w:space="0" w:color="auto"/>
            <w:left w:val="none" w:sz="0" w:space="0" w:color="auto"/>
            <w:bottom w:val="none" w:sz="0" w:space="0" w:color="auto"/>
            <w:right w:val="none" w:sz="0" w:space="0" w:color="auto"/>
          </w:divBdr>
          <w:divsChild>
            <w:div w:id="1829200916">
              <w:marLeft w:val="150"/>
              <w:marRight w:val="150"/>
              <w:marTop w:val="0"/>
              <w:marBottom w:val="0"/>
              <w:divBdr>
                <w:top w:val="none" w:sz="0" w:space="0" w:color="auto"/>
                <w:left w:val="none" w:sz="0" w:space="0" w:color="auto"/>
                <w:bottom w:val="none" w:sz="0" w:space="0" w:color="auto"/>
                <w:right w:val="none" w:sz="0" w:space="0" w:color="auto"/>
              </w:divBdr>
              <w:divsChild>
                <w:div w:id="2006736792">
                  <w:marLeft w:val="-2400"/>
                  <w:marRight w:val="0"/>
                  <w:marTop w:val="0"/>
                  <w:marBottom w:val="0"/>
                  <w:divBdr>
                    <w:top w:val="none" w:sz="0" w:space="0" w:color="auto"/>
                    <w:left w:val="none" w:sz="0" w:space="0" w:color="auto"/>
                    <w:bottom w:val="none" w:sz="0" w:space="0" w:color="auto"/>
                    <w:right w:val="none" w:sz="0" w:space="0" w:color="auto"/>
                  </w:divBdr>
                  <w:divsChild>
                    <w:div w:id="336346963">
                      <w:marLeft w:val="2400"/>
                      <w:marRight w:val="0"/>
                      <w:marTop w:val="0"/>
                      <w:marBottom w:val="0"/>
                      <w:divBdr>
                        <w:top w:val="none" w:sz="0" w:space="0" w:color="auto"/>
                        <w:left w:val="none" w:sz="0" w:space="0" w:color="auto"/>
                        <w:bottom w:val="none" w:sz="0" w:space="0" w:color="auto"/>
                        <w:right w:val="none" w:sz="0" w:space="0" w:color="auto"/>
                      </w:divBdr>
                      <w:divsChild>
                        <w:div w:id="627013584">
                          <w:marLeft w:val="0"/>
                          <w:marRight w:val="-2400"/>
                          <w:marTop w:val="0"/>
                          <w:marBottom w:val="0"/>
                          <w:divBdr>
                            <w:top w:val="none" w:sz="0" w:space="0" w:color="auto"/>
                            <w:left w:val="none" w:sz="0" w:space="0" w:color="auto"/>
                            <w:bottom w:val="none" w:sz="0" w:space="0" w:color="auto"/>
                            <w:right w:val="none" w:sz="0" w:space="0" w:color="auto"/>
                          </w:divBdr>
                          <w:divsChild>
                            <w:div w:id="1966153551">
                              <w:marLeft w:val="0"/>
                              <w:marRight w:val="2400"/>
                              <w:marTop w:val="0"/>
                              <w:marBottom w:val="0"/>
                              <w:divBdr>
                                <w:top w:val="none" w:sz="0" w:space="0" w:color="auto"/>
                                <w:left w:val="none" w:sz="0" w:space="0" w:color="auto"/>
                                <w:bottom w:val="none" w:sz="0" w:space="0" w:color="auto"/>
                                <w:right w:val="none" w:sz="0" w:space="0" w:color="auto"/>
                              </w:divBdr>
                              <w:divsChild>
                                <w:div w:id="146869302">
                                  <w:marLeft w:val="0"/>
                                  <w:marRight w:val="0"/>
                                  <w:marTop w:val="0"/>
                                  <w:marBottom w:val="150"/>
                                  <w:divBdr>
                                    <w:top w:val="none" w:sz="0" w:space="0" w:color="auto"/>
                                    <w:left w:val="none" w:sz="0" w:space="0" w:color="auto"/>
                                    <w:bottom w:val="none" w:sz="0" w:space="0" w:color="auto"/>
                                    <w:right w:val="none" w:sz="0" w:space="0" w:color="auto"/>
                                  </w:divBdr>
                                  <w:divsChild>
                                    <w:div w:id="1951818746">
                                      <w:marLeft w:val="0"/>
                                      <w:marRight w:val="0"/>
                                      <w:marTop w:val="0"/>
                                      <w:marBottom w:val="0"/>
                                      <w:divBdr>
                                        <w:top w:val="none" w:sz="0" w:space="0" w:color="auto"/>
                                        <w:left w:val="none" w:sz="0" w:space="0" w:color="auto"/>
                                        <w:bottom w:val="none" w:sz="0" w:space="0" w:color="auto"/>
                                        <w:right w:val="none" w:sz="0" w:space="0" w:color="auto"/>
                                      </w:divBdr>
                                      <w:divsChild>
                                        <w:div w:id="92406730">
                                          <w:marLeft w:val="0"/>
                                          <w:marRight w:val="0"/>
                                          <w:marTop w:val="0"/>
                                          <w:marBottom w:val="0"/>
                                          <w:divBdr>
                                            <w:top w:val="none" w:sz="0" w:space="0" w:color="auto"/>
                                            <w:left w:val="none" w:sz="0" w:space="0" w:color="auto"/>
                                            <w:bottom w:val="none" w:sz="0" w:space="0" w:color="auto"/>
                                            <w:right w:val="none" w:sz="0" w:space="0" w:color="auto"/>
                                          </w:divBdr>
                                          <w:divsChild>
                                            <w:div w:id="1241872449">
                                              <w:marLeft w:val="0"/>
                                              <w:marRight w:val="0"/>
                                              <w:marTop w:val="0"/>
                                              <w:marBottom w:val="0"/>
                                              <w:divBdr>
                                                <w:top w:val="none" w:sz="0" w:space="0" w:color="auto"/>
                                                <w:left w:val="none" w:sz="0" w:space="0" w:color="auto"/>
                                                <w:bottom w:val="none" w:sz="0" w:space="0" w:color="auto"/>
                                                <w:right w:val="none" w:sz="0" w:space="0" w:color="auto"/>
                                              </w:divBdr>
                                              <w:divsChild>
                                                <w:div w:id="843326528">
                                                  <w:marLeft w:val="0"/>
                                                  <w:marRight w:val="0"/>
                                                  <w:marTop w:val="0"/>
                                                  <w:marBottom w:val="0"/>
                                                  <w:divBdr>
                                                    <w:top w:val="none" w:sz="0" w:space="0" w:color="auto"/>
                                                    <w:left w:val="none" w:sz="0" w:space="0" w:color="auto"/>
                                                    <w:bottom w:val="none" w:sz="0" w:space="0" w:color="auto"/>
                                                    <w:right w:val="none" w:sz="0" w:space="0" w:color="auto"/>
                                                  </w:divBdr>
                                                  <w:divsChild>
                                                    <w:div w:id="1838764793">
                                                      <w:marLeft w:val="0"/>
                                                      <w:marRight w:val="0"/>
                                                      <w:marTop w:val="0"/>
                                                      <w:marBottom w:val="0"/>
                                                      <w:divBdr>
                                                        <w:top w:val="none" w:sz="0" w:space="0" w:color="auto"/>
                                                        <w:left w:val="none" w:sz="0" w:space="0" w:color="auto"/>
                                                        <w:bottom w:val="none" w:sz="0" w:space="0" w:color="auto"/>
                                                        <w:right w:val="none" w:sz="0" w:space="0" w:color="auto"/>
                                                      </w:divBdr>
                                                      <w:divsChild>
                                                        <w:div w:id="796531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1403611">
      <w:bodyDiv w:val="1"/>
      <w:marLeft w:val="0"/>
      <w:marRight w:val="0"/>
      <w:marTop w:val="0"/>
      <w:marBottom w:val="0"/>
      <w:divBdr>
        <w:top w:val="none" w:sz="0" w:space="0" w:color="auto"/>
        <w:left w:val="none" w:sz="0" w:space="0" w:color="auto"/>
        <w:bottom w:val="none" w:sz="0" w:space="0" w:color="auto"/>
        <w:right w:val="none" w:sz="0" w:space="0" w:color="auto"/>
      </w:divBdr>
    </w:div>
    <w:div w:id="1719546443">
      <w:bodyDiv w:val="1"/>
      <w:marLeft w:val="0"/>
      <w:marRight w:val="0"/>
      <w:marTop w:val="0"/>
      <w:marBottom w:val="0"/>
      <w:divBdr>
        <w:top w:val="none" w:sz="0" w:space="0" w:color="auto"/>
        <w:left w:val="none" w:sz="0" w:space="0" w:color="auto"/>
        <w:bottom w:val="none" w:sz="0" w:space="0" w:color="auto"/>
        <w:right w:val="none" w:sz="0" w:space="0" w:color="auto"/>
      </w:divBdr>
    </w:div>
    <w:div w:id="1744141129">
      <w:bodyDiv w:val="1"/>
      <w:marLeft w:val="0"/>
      <w:marRight w:val="0"/>
      <w:marTop w:val="0"/>
      <w:marBottom w:val="0"/>
      <w:divBdr>
        <w:top w:val="none" w:sz="0" w:space="0" w:color="auto"/>
        <w:left w:val="none" w:sz="0" w:space="0" w:color="auto"/>
        <w:bottom w:val="none" w:sz="0" w:space="0" w:color="auto"/>
        <w:right w:val="none" w:sz="0" w:space="0" w:color="auto"/>
      </w:divBdr>
    </w:div>
    <w:div w:id="1801652802">
      <w:bodyDiv w:val="1"/>
      <w:marLeft w:val="0"/>
      <w:marRight w:val="0"/>
      <w:marTop w:val="0"/>
      <w:marBottom w:val="0"/>
      <w:divBdr>
        <w:top w:val="none" w:sz="0" w:space="0" w:color="auto"/>
        <w:left w:val="none" w:sz="0" w:space="0" w:color="auto"/>
        <w:bottom w:val="none" w:sz="0" w:space="0" w:color="auto"/>
        <w:right w:val="none" w:sz="0" w:space="0" w:color="auto"/>
      </w:divBdr>
    </w:div>
    <w:div w:id="1943878611">
      <w:bodyDiv w:val="1"/>
      <w:marLeft w:val="0"/>
      <w:marRight w:val="0"/>
      <w:marTop w:val="0"/>
      <w:marBottom w:val="0"/>
      <w:divBdr>
        <w:top w:val="none" w:sz="0" w:space="0" w:color="auto"/>
        <w:left w:val="none" w:sz="0" w:space="0" w:color="auto"/>
        <w:bottom w:val="none" w:sz="0" w:space="0" w:color="auto"/>
        <w:right w:val="none" w:sz="0" w:space="0" w:color="auto"/>
      </w:divBdr>
    </w:div>
    <w:div w:id="206753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DFC9A-F7AE-4F11-A688-FE1D9DFA3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22</Pages>
  <Words>6297</Words>
  <Characters>35893</Characters>
  <Application>Microsoft Office Word</Application>
  <DocSecurity>0</DocSecurity>
  <Lines>299</Lines>
  <Paragraphs>84</Paragraphs>
  <ScaleCrop>false</ScaleCrop>
  <Company>cbc</Company>
  <LinksUpToDate>false</LinksUpToDate>
  <CharactersWithSpaces>42106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人事評審會提案</dc:title>
  <dc:creator>秘書處長秘書室</dc:creator>
  <cp:lastModifiedBy>ssl</cp:lastModifiedBy>
  <cp:revision>17</cp:revision>
  <cp:lastPrinted>2019-01-30T01:16:00Z</cp:lastPrinted>
  <dcterms:created xsi:type="dcterms:W3CDTF">2019-01-30T01:02:00Z</dcterms:created>
  <dcterms:modified xsi:type="dcterms:W3CDTF">2019-01-30T02:53:00Z</dcterms:modified>
</cp:coreProperties>
</file>