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charts/chart1.xml" ContentType="application/vnd.openxmlformats-officedocument.drawingml.chart+xml"/>
  <Override PartName="/word/drawings/drawing1.xml" ContentType="application/vnd.openxmlformats-officedocument.drawingml.chartshapes+xml"/>
  <Override PartName="/word/footer4.xml" ContentType="application/vnd.openxmlformats-officedocument.wordprocessingml.foot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82C46" w:rsidRDefault="00C82C46" w:rsidP="00D052FE">
      <w:pPr>
        <w:tabs>
          <w:tab w:val="left" w:pos="8609"/>
        </w:tabs>
        <w:spacing w:before="100" w:line="640" w:lineRule="exact"/>
        <w:ind w:leftChars="21" w:left="42" w:rightChars="196" w:right="392"/>
        <w:jc w:val="both"/>
        <w:textDirection w:val="lrTbV"/>
        <w:rPr>
          <w:rFonts w:eastAsia="標楷體"/>
          <w:b/>
          <w:spacing w:val="-24"/>
          <w:sz w:val="34"/>
          <w:szCs w:val="34"/>
        </w:rPr>
      </w:pPr>
    </w:p>
    <w:p w:rsidR="00C82C46" w:rsidRDefault="00C82C46" w:rsidP="00D052FE">
      <w:pPr>
        <w:tabs>
          <w:tab w:val="left" w:pos="8609"/>
        </w:tabs>
        <w:spacing w:before="100" w:line="640" w:lineRule="exact"/>
        <w:ind w:leftChars="21" w:left="42" w:rightChars="196" w:right="392"/>
        <w:jc w:val="both"/>
        <w:textDirection w:val="lrTbV"/>
        <w:rPr>
          <w:rFonts w:eastAsia="標楷體"/>
          <w:b/>
          <w:spacing w:val="-24"/>
          <w:sz w:val="34"/>
          <w:szCs w:val="34"/>
        </w:rPr>
      </w:pPr>
    </w:p>
    <w:p w:rsidR="00C82C46" w:rsidRDefault="00C82C46" w:rsidP="00D052FE">
      <w:pPr>
        <w:tabs>
          <w:tab w:val="left" w:pos="8609"/>
        </w:tabs>
        <w:spacing w:before="100" w:line="640" w:lineRule="exact"/>
        <w:ind w:leftChars="21" w:left="42" w:rightChars="196" w:right="392"/>
        <w:jc w:val="both"/>
        <w:textDirection w:val="lrTbV"/>
        <w:rPr>
          <w:rFonts w:eastAsia="標楷體"/>
          <w:b/>
          <w:spacing w:val="-24"/>
          <w:sz w:val="34"/>
          <w:szCs w:val="34"/>
        </w:rPr>
      </w:pPr>
    </w:p>
    <w:p w:rsidR="00C82C46" w:rsidRDefault="00C82C46" w:rsidP="00D052FE">
      <w:pPr>
        <w:spacing w:before="100" w:line="640" w:lineRule="exact"/>
        <w:ind w:leftChars="252" w:left="504" w:rightChars="231" w:right="462"/>
        <w:jc w:val="both"/>
        <w:textDirection w:val="lrTbV"/>
        <w:rPr>
          <w:rFonts w:eastAsia="標楷體"/>
          <w:b/>
          <w:spacing w:val="-24"/>
          <w:sz w:val="34"/>
          <w:szCs w:val="34"/>
        </w:rPr>
      </w:pPr>
    </w:p>
    <w:p w:rsidR="00C82C46" w:rsidRDefault="00C82C46" w:rsidP="00D052FE">
      <w:pPr>
        <w:pBdr>
          <w:top w:val="single" w:sz="48" w:space="1" w:color="auto"/>
          <w:bottom w:val="single" w:sz="48" w:space="1" w:color="auto"/>
        </w:pBdr>
        <w:spacing w:before="100" w:line="200" w:lineRule="exact"/>
        <w:ind w:leftChars="252" w:left="504" w:rightChars="231" w:right="462"/>
        <w:jc w:val="both"/>
        <w:textDirection w:val="lrTbV"/>
        <w:rPr>
          <w:rFonts w:eastAsia="標楷體"/>
          <w:b/>
          <w:sz w:val="64"/>
          <w:szCs w:val="64"/>
        </w:rPr>
      </w:pPr>
    </w:p>
    <w:p w:rsidR="00181D76" w:rsidRPr="00543487" w:rsidRDefault="00181D76" w:rsidP="00181D76">
      <w:pPr>
        <w:pBdr>
          <w:top w:val="single" w:sz="48" w:space="1" w:color="auto"/>
          <w:bottom w:val="single" w:sz="48" w:space="1" w:color="auto"/>
        </w:pBdr>
        <w:spacing w:before="100" w:line="840" w:lineRule="exact"/>
        <w:ind w:leftChars="252" w:left="504" w:rightChars="231" w:right="462"/>
        <w:jc w:val="center"/>
        <w:textDirection w:val="lrTbV"/>
        <w:rPr>
          <w:rFonts w:eastAsia="標楷體"/>
          <w:b/>
          <w:sz w:val="52"/>
          <w:szCs w:val="64"/>
        </w:rPr>
      </w:pPr>
      <w:r w:rsidRPr="00543487">
        <w:rPr>
          <w:rFonts w:eastAsia="標楷體"/>
          <w:b/>
          <w:sz w:val="52"/>
          <w:szCs w:val="64"/>
        </w:rPr>
        <w:t xml:space="preserve">Minutes of the </w:t>
      </w:r>
      <w:r w:rsidRPr="00543487">
        <w:rPr>
          <w:rFonts w:eastAsia="標楷體" w:hint="eastAsia"/>
          <w:b/>
          <w:sz w:val="52"/>
          <w:szCs w:val="64"/>
        </w:rPr>
        <w:t xml:space="preserve">Monetary Policy </w:t>
      </w:r>
      <w:r w:rsidRPr="00543487">
        <w:rPr>
          <w:rFonts w:eastAsia="標楷體"/>
          <w:b/>
          <w:sz w:val="52"/>
          <w:szCs w:val="64"/>
        </w:rPr>
        <w:t>Meeting</w:t>
      </w:r>
    </w:p>
    <w:p w:rsidR="00181D76" w:rsidRPr="00543487" w:rsidRDefault="00181D76" w:rsidP="00181D76">
      <w:pPr>
        <w:pBdr>
          <w:top w:val="single" w:sz="48" w:space="1" w:color="auto"/>
          <w:bottom w:val="single" w:sz="48" w:space="1" w:color="auto"/>
        </w:pBdr>
        <w:spacing w:before="100" w:line="760" w:lineRule="exact"/>
        <w:ind w:leftChars="252" w:left="504" w:rightChars="231" w:right="462"/>
        <w:jc w:val="center"/>
        <w:textDirection w:val="lrTbV"/>
        <w:rPr>
          <w:rFonts w:eastAsia="標楷體"/>
          <w:b/>
          <w:sz w:val="52"/>
          <w:szCs w:val="64"/>
        </w:rPr>
      </w:pPr>
    </w:p>
    <w:p w:rsidR="00181D76" w:rsidRPr="00543487" w:rsidRDefault="00E14A84" w:rsidP="00181D76">
      <w:pPr>
        <w:pBdr>
          <w:top w:val="single" w:sz="48" w:space="1" w:color="auto"/>
          <w:bottom w:val="single" w:sz="48" w:space="1" w:color="auto"/>
        </w:pBdr>
        <w:spacing w:before="240" w:line="640" w:lineRule="exact"/>
        <w:ind w:leftChars="252" w:left="504" w:rightChars="231" w:right="462"/>
        <w:jc w:val="center"/>
        <w:textDirection w:val="lrTbV"/>
        <w:rPr>
          <w:rFonts w:eastAsia="標楷體"/>
          <w:spacing w:val="-24"/>
          <w:sz w:val="40"/>
          <w:szCs w:val="48"/>
        </w:rPr>
      </w:pPr>
      <w:r>
        <w:rPr>
          <w:rFonts w:eastAsia="標楷體" w:hint="eastAsia"/>
          <w:spacing w:val="-24"/>
          <w:sz w:val="40"/>
          <w:szCs w:val="48"/>
        </w:rPr>
        <w:t>September</w:t>
      </w:r>
      <w:r w:rsidR="00181D76" w:rsidRPr="00543487">
        <w:rPr>
          <w:rFonts w:eastAsia="標楷體" w:hint="eastAsia"/>
          <w:spacing w:val="-24"/>
          <w:sz w:val="40"/>
          <w:szCs w:val="48"/>
        </w:rPr>
        <w:t xml:space="preserve"> 2</w:t>
      </w:r>
      <w:r>
        <w:rPr>
          <w:rFonts w:eastAsia="標楷體" w:hint="eastAsia"/>
          <w:spacing w:val="-24"/>
          <w:sz w:val="40"/>
          <w:szCs w:val="48"/>
        </w:rPr>
        <w:t>7</w:t>
      </w:r>
      <w:r w:rsidR="00181D76" w:rsidRPr="00543487">
        <w:rPr>
          <w:rFonts w:eastAsia="標楷體" w:hint="eastAsia"/>
          <w:spacing w:val="-24"/>
          <w:sz w:val="40"/>
          <w:szCs w:val="48"/>
        </w:rPr>
        <w:t>, 201</w:t>
      </w:r>
      <w:r w:rsidR="00776325">
        <w:rPr>
          <w:rFonts w:eastAsia="標楷體" w:hint="eastAsia"/>
          <w:spacing w:val="-24"/>
          <w:sz w:val="40"/>
          <w:szCs w:val="48"/>
        </w:rPr>
        <w:t>8</w:t>
      </w:r>
    </w:p>
    <w:p w:rsidR="00C82C46" w:rsidRPr="00181D76" w:rsidRDefault="00C82C46" w:rsidP="00506CDC">
      <w:pPr>
        <w:pBdr>
          <w:top w:val="single" w:sz="48" w:space="1" w:color="auto"/>
          <w:bottom w:val="single" w:sz="48" w:space="1" w:color="auto"/>
        </w:pBdr>
        <w:spacing w:before="240" w:line="20" w:lineRule="exact"/>
        <w:ind w:leftChars="252" w:left="504" w:rightChars="231" w:right="462"/>
        <w:jc w:val="center"/>
        <w:textDirection w:val="lrTbV"/>
        <w:rPr>
          <w:rFonts w:eastAsia="標楷體"/>
          <w:sz w:val="48"/>
          <w:szCs w:val="48"/>
        </w:rPr>
      </w:pPr>
    </w:p>
    <w:p w:rsidR="00C82C46" w:rsidRPr="002F04F2" w:rsidRDefault="00C82C46" w:rsidP="00506CDC">
      <w:pPr>
        <w:spacing w:before="100" w:line="640" w:lineRule="exact"/>
        <w:ind w:leftChars="252" w:left="504" w:rightChars="231" w:right="462"/>
        <w:jc w:val="center"/>
        <w:textDirection w:val="lrTbV"/>
        <w:rPr>
          <w:rFonts w:eastAsia="標楷體"/>
          <w:b/>
          <w:spacing w:val="-24"/>
          <w:sz w:val="56"/>
          <w:szCs w:val="56"/>
        </w:rPr>
      </w:pPr>
    </w:p>
    <w:p w:rsidR="00C82C46" w:rsidRPr="002F04F2" w:rsidRDefault="00C82C46" w:rsidP="00506CDC">
      <w:pPr>
        <w:spacing w:before="100" w:line="640" w:lineRule="exact"/>
        <w:ind w:leftChars="252" w:left="504" w:rightChars="231" w:right="462"/>
        <w:jc w:val="center"/>
        <w:textDirection w:val="lrTbV"/>
        <w:rPr>
          <w:rFonts w:eastAsia="標楷體"/>
          <w:b/>
          <w:spacing w:val="-24"/>
          <w:sz w:val="56"/>
          <w:szCs w:val="56"/>
        </w:rPr>
      </w:pPr>
    </w:p>
    <w:p w:rsidR="00C82C46" w:rsidRPr="002F04F2" w:rsidRDefault="00C82C46" w:rsidP="00506CDC">
      <w:pPr>
        <w:spacing w:before="100" w:line="640" w:lineRule="exact"/>
        <w:ind w:leftChars="252" w:left="504" w:rightChars="231" w:right="462"/>
        <w:jc w:val="center"/>
        <w:textDirection w:val="lrTbV"/>
        <w:rPr>
          <w:rFonts w:eastAsia="標楷體"/>
          <w:b/>
          <w:spacing w:val="-24"/>
          <w:sz w:val="56"/>
          <w:szCs w:val="56"/>
        </w:rPr>
      </w:pPr>
    </w:p>
    <w:p w:rsidR="00C82C46" w:rsidRDefault="00C82C46" w:rsidP="00506CDC">
      <w:pPr>
        <w:spacing w:before="100" w:line="640" w:lineRule="exact"/>
        <w:ind w:leftChars="252" w:left="504" w:rightChars="231" w:right="462"/>
        <w:jc w:val="center"/>
        <w:textDirection w:val="lrTbV"/>
        <w:rPr>
          <w:rFonts w:eastAsia="標楷體"/>
          <w:b/>
          <w:spacing w:val="-24"/>
          <w:sz w:val="56"/>
          <w:szCs w:val="56"/>
        </w:rPr>
      </w:pPr>
    </w:p>
    <w:p w:rsidR="00C82C46" w:rsidRDefault="00C82C46" w:rsidP="00506CDC">
      <w:pPr>
        <w:spacing w:before="100" w:line="640" w:lineRule="exact"/>
        <w:ind w:leftChars="252" w:left="504" w:rightChars="231" w:right="462"/>
        <w:jc w:val="center"/>
        <w:textDirection w:val="lrTbV"/>
        <w:rPr>
          <w:rFonts w:eastAsia="標楷體"/>
          <w:b/>
          <w:spacing w:val="-24"/>
          <w:sz w:val="56"/>
          <w:szCs w:val="56"/>
        </w:rPr>
      </w:pPr>
    </w:p>
    <w:p w:rsidR="00C82C46" w:rsidRPr="002F04F2" w:rsidRDefault="00C82C46" w:rsidP="00506CDC">
      <w:pPr>
        <w:spacing w:before="100" w:line="640" w:lineRule="exact"/>
        <w:ind w:leftChars="252" w:left="504" w:rightChars="231" w:right="462"/>
        <w:jc w:val="center"/>
        <w:textDirection w:val="lrTbV"/>
        <w:rPr>
          <w:rFonts w:eastAsia="標楷體"/>
          <w:b/>
          <w:spacing w:val="-24"/>
          <w:sz w:val="56"/>
          <w:szCs w:val="56"/>
        </w:rPr>
      </w:pPr>
    </w:p>
    <w:p w:rsidR="00C82C46" w:rsidRPr="002F04F2" w:rsidRDefault="00C82C46" w:rsidP="00506CDC">
      <w:pPr>
        <w:spacing w:before="100" w:line="640" w:lineRule="exact"/>
        <w:ind w:leftChars="252" w:left="504" w:rightChars="231" w:right="462"/>
        <w:jc w:val="center"/>
        <w:textDirection w:val="lrTbV"/>
        <w:rPr>
          <w:rFonts w:eastAsia="標楷體"/>
          <w:b/>
          <w:spacing w:val="-24"/>
          <w:sz w:val="56"/>
          <w:szCs w:val="56"/>
        </w:rPr>
      </w:pPr>
    </w:p>
    <w:p w:rsidR="00181D76" w:rsidRPr="00543487" w:rsidRDefault="00181D76" w:rsidP="00181D76">
      <w:pPr>
        <w:spacing w:before="100" w:line="640" w:lineRule="exact"/>
        <w:ind w:leftChars="252" w:left="504" w:rightChars="231" w:right="462"/>
        <w:jc w:val="center"/>
        <w:textDirection w:val="lrTbV"/>
        <w:rPr>
          <w:rFonts w:eastAsia="標楷體"/>
          <w:b/>
          <w:spacing w:val="-24"/>
          <w:sz w:val="44"/>
          <w:szCs w:val="52"/>
        </w:rPr>
      </w:pPr>
      <w:r w:rsidRPr="00543487">
        <w:rPr>
          <w:rFonts w:eastAsia="標楷體" w:hint="eastAsia"/>
          <w:sz w:val="44"/>
          <w:szCs w:val="52"/>
        </w:rPr>
        <w:t>Central Bank of the R.O.C. (Taiwan)</w:t>
      </w:r>
    </w:p>
    <w:p w:rsidR="00C82C46" w:rsidRDefault="00C82C46" w:rsidP="00D052FE">
      <w:pPr>
        <w:spacing w:before="100" w:line="640" w:lineRule="exact"/>
        <w:ind w:leftChars="252" w:left="504" w:rightChars="231" w:right="462"/>
        <w:jc w:val="both"/>
        <w:textDirection w:val="lrTbV"/>
        <w:rPr>
          <w:rFonts w:eastAsia="標楷體"/>
          <w:sz w:val="52"/>
          <w:szCs w:val="52"/>
        </w:rPr>
        <w:sectPr w:rsidR="00C82C46" w:rsidSect="00F714F0">
          <w:headerReference w:type="default" r:id="rId9"/>
          <w:footerReference w:type="even" r:id="rId10"/>
          <w:footerReference w:type="first" r:id="rId11"/>
          <w:pgSz w:w="11907" w:h="16840" w:code="9"/>
          <w:pgMar w:top="1134" w:right="1418" w:bottom="851" w:left="1418" w:header="0" w:footer="510" w:gutter="0"/>
          <w:paperSrc w:first="15" w:other="15"/>
          <w:pgNumType w:start="0"/>
          <w:cols w:space="425"/>
          <w:titlePg/>
          <w:docGrid w:linePitch="272"/>
        </w:sectPr>
      </w:pPr>
      <w:r w:rsidRPr="00710DF2">
        <w:rPr>
          <w:rFonts w:eastAsia="標楷體"/>
          <w:spacing w:val="-24"/>
          <w:sz w:val="44"/>
          <w:szCs w:val="44"/>
        </w:rPr>
        <w:br w:type="page"/>
      </w:r>
    </w:p>
    <w:p w:rsidR="00363599" w:rsidRDefault="00363599" w:rsidP="00554255">
      <w:pPr>
        <w:spacing w:line="440" w:lineRule="exact"/>
        <w:jc w:val="center"/>
        <w:textDirection w:val="lrTbV"/>
        <w:rPr>
          <w:rFonts w:eastAsia="標楷體"/>
          <w:b/>
          <w:sz w:val="28"/>
          <w:szCs w:val="28"/>
        </w:rPr>
      </w:pPr>
      <w:r w:rsidRPr="00543487">
        <w:rPr>
          <w:rFonts w:eastAsia="標楷體"/>
          <w:b/>
          <w:sz w:val="28"/>
          <w:szCs w:val="28"/>
        </w:rPr>
        <w:lastRenderedPageBreak/>
        <w:t>Minutes</w:t>
      </w:r>
      <w:r w:rsidRPr="00543487">
        <w:rPr>
          <w:rStyle w:val="afd"/>
          <w:rFonts w:eastAsia="標楷體"/>
          <w:b/>
          <w:sz w:val="28"/>
          <w:szCs w:val="28"/>
        </w:rPr>
        <w:footnoteReference w:id="1"/>
      </w:r>
      <w:r w:rsidRPr="00543487">
        <w:rPr>
          <w:rFonts w:eastAsia="標楷體"/>
          <w:b/>
          <w:sz w:val="28"/>
          <w:szCs w:val="28"/>
        </w:rPr>
        <w:t xml:space="preserve"> of </w:t>
      </w:r>
      <w:r w:rsidRPr="0015302E">
        <w:rPr>
          <w:rFonts w:eastAsia="標楷體"/>
          <w:b/>
          <w:sz w:val="28"/>
          <w:szCs w:val="28"/>
        </w:rPr>
        <w:t xml:space="preserve">the Joint Meeting of the Board of Directors and </w:t>
      </w:r>
    </w:p>
    <w:p w:rsidR="00363599" w:rsidRPr="00543487" w:rsidRDefault="00363599" w:rsidP="00554255">
      <w:pPr>
        <w:spacing w:line="440" w:lineRule="exact"/>
        <w:jc w:val="center"/>
        <w:textDirection w:val="lrTbV"/>
        <w:rPr>
          <w:rFonts w:eastAsia="標楷體"/>
          <w:b/>
          <w:sz w:val="28"/>
          <w:szCs w:val="28"/>
        </w:rPr>
      </w:pPr>
      <w:r w:rsidRPr="0015302E">
        <w:rPr>
          <w:rFonts w:eastAsia="標楷體"/>
          <w:b/>
          <w:sz w:val="28"/>
          <w:szCs w:val="28"/>
        </w:rPr>
        <w:t>the Board of Supervisors on</w:t>
      </w:r>
      <w:r w:rsidR="00776325">
        <w:rPr>
          <w:rFonts w:eastAsia="標楷體" w:hint="eastAsia"/>
          <w:b/>
          <w:sz w:val="28"/>
          <w:szCs w:val="28"/>
        </w:rPr>
        <w:t xml:space="preserve"> </w:t>
      </w:r>
      <w:r w:rsidR="00193D20">
        <w:rPr>
          <w:rFonts w:eastAsia="標楷體" w:hint="eastAsia"/>
          <w:b/>
          <w:sz w:val="28"/>
          <w:szCs w:val="28"/>
        </w:rPr>
        <w:t>September</w:t>
      </w:r>
      <w:r w:rsidR="00776325">
        <w:rPr>
          <w:rFonts w:eastAsia="標楷體" w:hint="eastAsia"/>
          <w:b/>
          <w:sz w:val="28"/>
          <w:szCs w:val="28"/>
        </w:rPr>
        <w:t xml:space="preserve"> 2</w:t>
      </w:r>
      <w:r w:rsidR="00193D20">
        <w:rPr>
          <w:rFonts w:eastAsia="標楷體" w:hint="eastAsia"/>
          <w:b/>
          <w:sz w:val="28"/>
          <w:szCs w:val="28"/>
        </w:rPr>
        <w:t>7</w:t>
      </w:r>
      <w:r w:rsidR="00776325">
        <w:rPr>
          <w:rFonts w:eastAsia="標楷體"/>
          <w:b/>
          <w:sz w:val="28"/>
          <w:szCs w:val="28"/>
        </w:rPr>
        <w:t>, 201</w:t>
      </w:r>
      <w:r w:rsidR="00776325">
        <w:rPr>
          <w:rFonts w:eastAsia="標楷體" w:hint="eastAsia"/>
          <w:b/>
          <w:sz w:val="28"/>
          <w:szCs w:val="28"/>
        </w:rPr>
        <w:t>8</w:t>
      </w:r>
    </w:p>
    <w:p w:rsidR="00363599" w:rsidRPr="00506662" w:rsidRDefault="00363599" w:rsidP="00554255">
      <w:pPr>
        <w:spacing w:line="440" w:lineRule="exact"/>
        <w:jc w:val="both"/>
        <w:textDirection w:val="lrTbV"/>
        <w:rPr>
          <w:rFonts w:eastAsia="標楷體"/>
          <w:sz w:val="24"/>
          <w:szCs w:val="28"/>
        </w:rPr>
      </w:pPr>
      <w:r w:rsidRPr="00506662">
        <w:rPr>
          <w:rFonts w:eastAsia="標楷體" w:hint="eastAsia"/>
          <w:b/>
          <w:sz w:val="24"/>
          <w:szCs w:val="28"/>
        </w:rPr>
        <w:t>Date and Time</w:t>
      </w:r>
      <w:r w:rsidRPr="00506662">
        <w:rPr>
          <w:rFonts w:eastAsia="標楷體" w:hint="eastAsia"/>
          <w:sz w:val="24"/>
          <w:szCs w:val="28"/>
        </w:rPr>
        <w:t xml:space="preserve">: </w:t>
      </w:r>
      <w:r w:rsidR="008A7852" w:rsidRPr="008A7852">
        <w:rPr>
          <w:rFonts w:eastAsia="標楷體"/>
          <w:sz w:val="24"/>
          <w:szCs w:val="28"/>
        </w:rPr>
        <w:t>September</w:t>
      </w:r>
      <w:r w:rsidR="008A7852" w:rsidRPr="008A7852">
        <w:rPr>
          <w:rFonts w:eastAsia="標楷體" w:hint="eastAsia"/>
          <w:sz w:val="24"/>
          <w:szCs w:val="28"/>
        </w:rPr>
        <w:t xml:space="preserve"> </w:t>
      </w:r>
      <w:r w:rsidRPr="008A7852">
        <w:rPr>
          <w:rFonts w:eastAsia="標楷體" w:hint="eastAsia"/>
          <w:sz w:val="24"/>
          <w:szCs w:val="28"/>
        </w:rPr>
        <w:t>2</w:t>
      </w:r>
      <w:r w:rsidR="008A7852" w:rsidRPr="008A7852">
        <w:rPr>
          <w:rFonts w:eastAsia="標楷體" w:hint="eastAsia"/>
          <w:sz w:val="24"/>
          <w:szCs w:val="28"/>
        </w:rPr>
        <w:t>7</w:t>
      </w:r>
      <w:r w:rsidRPr="008A7852">
        <w:rPr>
          <w:rFonts w:eastAsia="標楷體" w:hint="eastAsia"/>
          <w:sz w:val="24"/>
          <w:szCs w:val="28"/>
        </w:rPr>
        <w:t>, 201</w:t>
      </w:r>
      <w:r w:rsidR="00776325" w:rsidRPr="008A7852">
        <w:rPr>
          <w:rFonts w:eastAsia="標楷體" w:hint="eastAsia"/>
          <w:sz w:val="24"/>
          <w:szCs w:val="28"/>
        </w:rPr>
        <w:t>8</w:t>
      </w:r>
      <w:r w:rsidRPr="008A7852">
        <w:rPr>
          <w:rFonts w:eastAsia="標楷體" w:hint="eastAsia"/>
          <w:sz w:val="24"/>
          <w:szCs w:val="28"/>
        </w:rPr>
        <w:t xml:space="preserve">, at </w:t>
      </w:r>
      <w:r w:rsidR="008A7852" w:rsidRPr="008A7852">
        <w:rPr>
          <w:rFonts w:eastAsia="標楷體" w:hint="eastAsia"/>
          <w:sz w:val="24"/>
          <w:szCs w:val="28"/>
        </w:rPr>
        <w:t>2</w:t>
      </w:r>
      <w:r w:rsidRPr="008A7852">
        <w:rPr>
          <w:rFonts w:eastAsia="標楷體" w:hint="eastAsia"/>
          <w:sz w:val="24"/>
          <w:szCs w:val="28"/>
        </w:rPr>
        <w:t xml:space="preserve"> p.m.</w:t>
      </w:r>
    </w:p>
    <w:p w:rsidR="00363599" w:rsidRPr="00506662" w:rsidRDefault="00363599" w:rsidP="00554255">
      <w:pPr>
        <w:spacing w:line="440" w:lineRule="exact"/>
        <w:ind w:left="745" w:hangingChars="310" w:hanging="745"/>
        <w:jc w:val="both"/>
        <w:textDirection w:val="lrTbV"/>
        <w:rPr>
          <w:rFonts w:eastAsia="標楷體"/>
          <w:sz w:val="24"/>
          <w:szCs w:val="28"/>
        </w:rPr>
      </w:pPr>
      <w:r w:rsidRPr="00506662">
        <w:rPr>
          <w:rFonts w:eastAsia="標楷體" w:hint="eastAsia"/>
          <w:b/>
          <w:sz w:val="24"/>
          <w:szCs w:val="28"/>
        </w:rPr>
        <w:t>Location:</w:t>
      </w:r>
      <w:r w:rsidRPr="00506662">
        <w:rPr>
          <w:rFonts w:eastAsia="標楷體" w:hint="eastAsia"/>
          <w:sz w:val="24"/>
          <w:szCs w:val="28"/>
        </w:rPr>
        <w:t xml:space="preserve"> Room A606, Main Building, </w:t>
      </w:r>
      <w:r w:rsidRPr="00506662">
        <w:rPr>
          <w:rFonts w:eastAsia="標楷體"/>
          <w:sz w:val="24"/>
          <w:szCs w:val="28"/>
        </w:rPr>
        <w:t>Central Bank of the R.O.C. (Taiwan)</w:t>
      </w:r>
    </w:p>
    <w:p w:rsidR="00363599" w:rsidRPr="00506662" w:rsidRDefault="00363599" w:rsidP="00554255">
      <w:pPr>
        <w:pStyle w:val="31"/>
        <w:spacing w:line="440" w:lineRule="exact"/>
        <w:textDirection w:val="lrTbV"/>
        <w:rPr>
          <w:rFonts w:eastAsia="標楷體"/>
          <w:sz w:val="24"/>
          <w:szCs w:val="28"/>
        </w:rPr>
      </w:pPr>
      <w:r w:rsidRPr="00506662">
        <w:rPr>
          <w:rFonts w:eastAsia="標楷體" w:hint="eastAsia"/>
          <w:b/>
          <w:sz w:val="24"/>
          <w:szCs w:val="28"/>
        </w:rPr>
        <w:t>Members Present:</w:t>
      </w:r>
      <w:r w:rsidRPr="00506662">
        <w:rPr>
          <w:rFonts w:eastAsia="標楷體" w:hint="eastAsia"/>
          <w:sz w:val="24"/>
          <w:szCs w:val="28"/>
        </w:rPr>
        <w:t xml:space="preserve"> </w:t>
      </w:r>
    </w:p>
    <w:p w:rsidR="00363599" w:rsidRPr="00506662" w:rsidRDefault="00363599" w:rsidP="00554255">
      <w:pPr>
        <w:pStyle w:val="31"/>
        <w:spacing w:line="440" w:lineRule="exact"/>
        <w:ind w:leftChars="200" w:left="400"/>
        <w:textDirection w:val="lrTbV"/>
        <w:rPr>
          <w:rFonts w:eastAsia="標楷體"/>
          <w:sz w:val="24"/>
          <w:szCs w:val="28"/>
        </w:rPr>
      </w:pPr>
      <w:r w:rsidRPr="00506662">
        <w:rPr>
          <w:rFonts w:eastAsia="標楷體" w:hint="eastAsia"/>
          <w:b/>
          <w:sz w:val="24"/>
          <w:szCs w:val="28"/>
        </w:rPr>
        <w:t>Chairman, Board of Directors</w:t>
      </w:r>
      <w:r w:rsidRPr="00506662">
        <w:rPr>
          <w:rFonts w:eastAsia="標楷體" w:hint="eastAsia"/>
          <w:sz w:val="24"/>
          <w:szCs w:val="28"/>
        </w:rPr>
        <w:t xml:space="preserve">: </w:t>
      </w:r>
      <w:r w:rsidR="00776325" w:rsidRPr="00776325">
        <w:rPr>
          <w:rFonts w:eastAsia="標楷體"/>
          <w:sz w:val="24"/>
          <w:szCs w:val="28"/>
        </w:rPr>
        <w:t>Chin-long Yang</w:t>
      </w:r>
    </w:p>
    <w:p w:rsidR="00363599" w:rsidRPr="00251F63" w:rsidRDefault="00363599" w:rsidP="00554255">
      <w:pPr>
        <w:pStyle w:val="31"/>
        <w:spacing w:line="440" w:lineRule="exact"/>
        <w:ind w:leftChars="200" w:left="400"/>
        <w:textDirection w:val="lrTbV"/>
        <w:rPr>
          <w:rFonts w:eastAsia="標楷體"/>
          <w:sz w:val="24"/>
          <w:szCs w:val="28"/>
        </w:rPr>
      </w:pPr>
      <w:r w:rsidRPr="00251F63">
        <w:rPr>
          <w:rFonts w:eastAsia="標楷體" w:hint="eastAsia"/>
          <w:b/>
          <w:sz w:val="24"/>
          <w:szCs w:val="28"/>
        </w:rPr>
        <w:t>Executive Directors</w:t>
      </w:r>
      <w:r w:rsidRPr="00251F63">
        <w:rPr>
          <w:rFonts w:eastAsia="標楷體" w:hint="eastAsia"/>
          <w:sz w:val="24"/>
          <w:szCs w:val="28"/>
        </w:rPr>
        <w:t xml:space="preserve">: </w:t>
      </w:r>
    </w:p>
    <w:p w:rsidR="00363599" w:rsidRPr="00251F63" w:rsidRDefault="007F1B4F" w:rsidP="00554255">
      <w:pPr>
        <w:pStyle w:val="31"/>
        <w:spacing w:line="440" w:lineRule="exact"/>
        <w:ind w:leftChars="200" w:left="400"/>
        <w:textDirection w:val="lrTbV"/>
        <w:rPr>
          <w:rFonts w:eastAsia="標楷體"/>
          <w:sz w:val="24"/>
          <w:szCs w:val="28"/>
        </w:rPr>
      </w:pPr>
      <w:r w:rsidRPr="007F1B4F">
        <w:rPr>
          <w:rFonts w:eastAsia="標楷體"/>
          <w:sz w:val="24"/>
          <w:szCs w:val="28"/>
        </w:rPr>
        <w:t>Jain-</w:t>
      </w:r>
      <w:proofErr w:type="spellStart"/>
      <w:r w:rsidRPr="007F1B4F">
        <w:rPr>
          <w:rFonts w:eastAsia="標楷體"/>
          <w:sz w:val="24"/>
          <w:szCs w:val="28"/>
        </w:rPr>
        <w:t>Rong</w:t>
      </w:r>
      <w:proofErr w:type="spellEnd"/>
      <w:r w:rsidRPr="007F1B4F">
        <w:rPr>
          <w:rFonts w:eastAsia="標楷體"/>
          <w:sz w:val="24"/>
          <w:szCs w:val="28"/>
        </w:rPr>
        <w:t xml:space="preserve"> Su,</w:t>
      </w:r>
      <w:r w:rsidR="00363599" w:rsidRPr="00251F63">
        <w:rPr>
          <w:rFonts w:eastAsia="標楷體" w:hint="eastAsia"/>
          <w:sz w:val="24"/>
          <w:szCs w:val="28"/>
        </w:rPr>
        <w:t xml:space="preserve"> </w:t>
      </w:r>
      <w:r w:rsidR="009B29AD" w:rsidRPr="00251F63">
        <w:rPr>
          <w:rFonts w:eastAsia="標楷體"/>
          <w:sz w:val="24"/>
          <w:szCs w:val="28"/>
        </w:rPr>
        <w:t>Jong-</w:t>
      </w:r>
      <w:r w:rsidR="00B612D9">
        <w:rPr>
          <w:rFonts w:eastAsia="標楷體" w:hint="eastAsia"/>
          <w:sz w:val="24"/>
          <w:szCs w:val="28"/>
        </w:rPr>
        <w:t>c</w:t>
      </w:r>
      <w:r w:rsidR="009B29AD" w:rsidRPr="00251F63">
        <w:rPr>
          <w:rFonts w:eastAsia="標楷體"/>
          <w:sz w:val="24"/>
          <w:szCs w:val="28"/>
        </w:rPr>
        <w:t>hin Shen</w:t>
      </w:r>
      <w:r w:rsidR="00363599" w:rsidRPr="00251F63">
        <w:rPr>
          <w:rFonts w:eastAsia="標楷體" w:hint="eastAsia"/>
          <w:sz w:val="24"/>
          <w:szCs w:val="28"/>
        </w:rPr>
        <w:t xml:space="preserve">, </w:t>
      </w:r>
      <w:proofErr w:type="spellStart"/>
      <w:r w:rsidR="00363599" w:rsidRPr="00251F63">
        <w:rPr>
          <w:rFonts w:eastAsia="標楷體" w:hint="eastAsia"/>
          <w:sz w:val="24"/>
          <w:szCs w:val="28"/>
        </w:rPr>
        <w:t>Tzung</w:t>
      </w:r>
      <w:proofErr w:type="spellEnd"/>
      <w:r w:rsidR="00363599" w:rsidRPr="00251F63">
        <w:rPr>
          <w:rFonts w:eastAsia="標楷體" w:hint="eastAsia"/>
          <w:sz w:val="24"/>
          <w:szCs w:val="28"/>
        </w:rPr>
        <w:t xml:space="preserve">-ta Yen, </w:t>
      </w:r>
      <w:r w:rsidR="00776325" w:rsidRPr="00251F63">
        <w:rPr>
          <w:rFonts w:eastAsia="標楷體" w:hint="eastAsia"/>
          <w:sz w:val="24"/>
          <w:szCs w:val="28"/>
        </w:rPr>
        <w:t>Nan-</w:t>
      </w:r>
      <w:proofErr w:type="spellStart"/>
      <w:r w:rsidR="00776325" w:rsidRPr="00251F63">
        <w:rPr>
          <w:rFonts w:eastAsia="標楷體" w:hint="eastAsia"/>
          <w:sz w:val="24"/>
          <w:szCs w:val="28"/>
        </w:rPr>
        <w:t>kuan</w:t>
      </w:r>
      <w:r w:rsidR="00C961E6" w:rsidRPr="00251F63">
        <w:rPr>
          <w:rFonts w:eastAsia="標楷體" w:hint="eastAsia"/>
          <w:sz w:val="24"/>
          <w:szCs w:val="28"/>
        </w:rPr>
        <w:t>g</w:t>
      </w:r>
      <w:proofErr w:type="spellEnd"/>
      <w:r w:rsidR="00776325" w:rsidRPr="00251F63">
        <w:rPr>
          <w:rFonts w:eastAsia="標楷體" w:hint="eastAsia"/>
          <w:sz w:val="24"/>
          <w:szCs w:val="28"/>
        </w:rPr>
        <w:t xml:space="preserve"> Chen, </w:t>
      </w:r>
      <w:r w:rsidR="00363599" w:rsidRPr="00251F63">
        <w:rPr>
          <w:rFonts w:eastAsia="標楷體" w:hint="eastAsia"/>
          <w:sz w:val="24"/>
          <w:szCs w:val="28"/>
        </w:rPr>
        <w:t>Ming-</w:t>
      </w:r>
      <w:proofErr w:type="spellStart"/>
      <w:r w:rsidR="00363599" w:rsidRPr="00251F63">
        <w:rPr>
          <w:rFonts w:eastAsia="標楷體" w:hint="eastAsia"/>
          <w:sz w:val="24"/>
          <w:szCs w:val="28"/>
        </w:rPr>
        <w:t>yih</w:t>
      </w:r>
      <w:proofErr w:type="spellEnd"/>
      <w:r w:rsidR="00363599" w:rsidRPr="00251F63">
        <w:rPr>
          <w:rFonts w:eastAsia="標楷體" w:hint="eastAsia"/>
          <w:sz w:val="24"/>
          <w:szCs w:val="28"/>
        </w:rPr>
        <w:t xml:space="preserve"> Liang</w:t>
      </w:r>
      <w:r w:rsidR="004E3052" w:rsidRPr="00251F63">
        <w:rPr>
          <w:rFonts w:eastAsia="標楷體" w:hint="eastAsia"/>
          <w:sz w:val="24"/>
          <w:szCs w:val="28"/>
        </w:rPr>
        <w:t xml:space="preserve"> </w:t>
      </w:r>
    </w:p>
    <w:p w:rsidR="00363599" w:rsidRPr="00251F63" w:rsidRDefault="00363599" w:rsidP="00554255">
      <w:pPr>
        <w:spacing w:line="440" w:lineRule="exact"/>
        <w:ind w:leftChars="200" w:left="400" w:rightChars="5" w:right="10"/>
        <w:textDirection w:val="lrTbV"/>
        <w:rPr>
          <w:rFonts w:eastAsia="標楷體"/>
          <w:sz w:val="24"/>
          <w:szCs w:val="28"/>
        </w:rPr>
      </w:pPr>
      <w:r w:rsidRPr="00251F63">
        <w:rPr>
          <w:rFonts w:eastAsia="標楷體" w:hint="eastAsia"/>
          <w:b/>
          <w:sz w:val="24"/>
          <w:szCs w:val="28"/>
        </w:rPr>
        <w:t>Directors</w:t>
      </w:r>
      <w:r w:rsidRPr="00251F63">
        <w:rPr>
          <w:rFonts w:eastAsia="標楷體" w:hint="eastAsia"/>
          <w:sz w:val="24"/>
          <w:szCs w:val="28"/>
        </w:rPr>
        <w:t xml:space="preserve">: </w:t>
      </w:r>
    </w:p>
    <w:p w:rsidR="00363599" w:rsidRPr="00251F63" w:rsidRDefault="00363599" w:rsidP="00554255">
      <w:pPr>
        <w:spacing w:line="440" w:lineRule="exact"/>
        <w:ind w:leftChars="200" w:left="400" w:rightChars="5" w:right="10"/>
        <w:textDirection w:val="lrTbV"/>
        <w:rPr>
          <w:rFonts w:eastAsia="標楷體"/>
          <w:sz w:val="24"/>
          <w:szCs w:val="28"/>
        </w:rPr>
      </w:pPr>
      <w:proofErr w:type="spellStart"/>
      <w:r w:rsidRPr="00251F63">
        <w:rPr>
          <w:rFonts w:eastAsia="標楷體" w:hint="eastAsia"/>
          <w:sz w:val="24"/>
          <w:szCs w:val="28"/>
        </w:rPr>
        <w:t>Tsung-hsien</w:t>
      </w:r>
      <w:proofErr w:type="spellEnd"/>
      <w:r w:rsidRPr="00251F63">
        <w:rPr>
          <w:rFonts w:eastAsia="標楷體" w:hint="eastAsia"/>
          <w:sz w:val="24"/>
          <w:szCs w:val="28"/>
        </w:rPr>
        <w:t xml:space="preserve"> Lin</w:t>
      </w:r>
      <w:r w:rsidR="004E3052" w:rsidRPr="00251F63">
        <w:rPr>
          <w:rFonts w:eastAsia="標楷體" w:hint="eastAsia"/>
          <w:sz w:val="24"/>
          <w:szCs w:val="28"/>
        </w:rPr>
        <w:t xml:space="preserve"> </w:t>
      </w:r>
      <w:r w:rsidR="004E3052" w:rsidRPr="00251F63">
        <w:rPr>
          <w:rFonts w:eastAsia="標楷體"/>
          <w:sz w:val="24"/>
          <w:szCs w:val="28"/>
        </w:rPr>
        <w:t xml:space="preserve">(excused, appointing </w:t>
      </w:r>
      <w:proofErr w:type="spellStart"/>
      <w:r w:rsidR="004E3052" w:rsidRPr="00251F63">
        <w:rPr>
          <w:rFonts w:eastAsia="標楷體"/>
          <w:sz w:val="24"/>
          <w:szCs w:val="28"/>
        </w:rPr>
        <w:t>T</w:t>
      </w:r>
      <w:r w:rsidR="00F75895">
        <w:rPr>
          <w:rFonts w:eastAsia="標楷體" w:hint="eastAsia"/>
          <w:sz w:val="24"/>
          <w:szCs w:val="28"/>
        </w:rPr>
        <w:t>z</w:t>
      </w:r>
      <w:r w:rsidR="004E3052" w:rsidRPr="00251F63">
        <w:rPr>
          <w:rFonts w:eastAsia="標楷體"/>
          <w:sz w:val="24"/>
          <w:szCs w:val="28"/>
        </w:rPr>
        <w:t>ung</w:t>
      </w:r>
      <w:proofErr w:type="spellEnd"/>
      <w:r w:rsidR="004E3052" w:rsidRPr="00251F63">
        <w:rPr>
          <w:rFonts w:eastAsia="標楷體"/>
          <w:sz w:val="24"/>
          <w:szCs w:val="28"/>
        </w:rPr>
        <w:t>-ta Yen as proxy)</w:t>
      </w:r>
      <w:r w:rsidRPr="00251F63">
        <w:rPr>
          <w:rFonts w:eastAsia="標楷體" w:hint="eastAsia"/>
          <w:sz w:val="24"/>
          <w:szCs w:val="28"/>
        </w:rPr>
        <w:t xml:space="preserve">, Chen-chia Lee, </w:t>
      </w:r>
      <w:r w:rsidR="006B2E6B" w:rsidRPr="00251F63">
        <w:rPr>
          <w:rFonts w:eastAsia="標楷體"/>
          <w:sz w:val="24"/>
          <w:szCs w:val="28"/>
        </w:rPr>
        <w:t>Chung-</w:t>
      </w:r>
      <w:proofErr w:type="spellStart"/>
      <w:r w:rsidR="005B6EB5" w:rsidRPr="00251F63">
        <w:rPr>
          <w:rFonts w:eastAsia="標楷體" w:hint="eastAsia"/>
          <w:sz w:val="24"/>
          <w:szCs w:val="28"/>
        </w:rPr>
        <w:t>d</w:t>
      </w:r>
      <w:r w:rsidR="006B2E6B" w:rsidRPr="00251F63">
        <w:rPr>
          <w:rFonts w:eastAsia="標楷體"/>
          <w:sz w:val="24"/>
          <w:szCs w:val="28"/>
        </w:rPr>
        <w:t>ar</w:t>
      </w:r>
      <w:proofErr w:type="spellEnd"/>
      <w:r w:rsidR="006B2E6B" w:rsidRPr="00251F63">
        <w:rPr>
          <w:rFonts w:eastAsia="標楷體"/>
          <w:sz w:val="24"/>
          <w:szCs w:val="28"/>
        </w:rPr>
        <w:t xml:space="preserve"> Lei</w:t>
      </w:r>
      <w:r w:rsidRPr="00251F63">
        <w:rPr>
          <w:rFonts w:eastAsia="標楷體" w:hint="eastAsia"/>
          <w:sz w:val="24"/>
          <w:szCs w:val="28"/>
        </w:rPr>
        <w:t xml:space="preserve">, </w:t>
      </w:r>
      <w:proofErr w:type="spellStart"/>
      <w:r w:rsidR="006333E8" w:rsidRPr="00251F63">
        <w:rPr>
          <w:rFonts w:eastAsia="標楷體" w:hint="eastAsia"/>
          <w:sz w:val="24"/>
          <w:szCs w:val="28"/>
        </w:rPr>
        <w:t>Jin</w:t>
      </w:r>
      <w:proofErr w:type="spellEnd"/>
      <w:r w:rsidR="006333E8" w:rsidRPr="00251F63">
        <w:rPr>
          <w:rFonts w:eastAsia="標楷體" w:hint="eastAsia"/>
          <w:sz w:val="24"/>
          <w:szCs w:val="28"/>
        </w:rPr>
        <w:t xml:space="preserve">-lung Lin, </w:t>
      </w:r>
      <w:r w:rsidRPr="00251F63">
        <w:rPr>
          <w:rFonts w:eastAsia="標楷體" w:hint="eastAsia"/>
          <w:sz w:val="24"/>
          <w:szCs w:val="28"/>
        </w:rPr>
        <w:t>Mei-lie Chu, Chao-</w:t>
      </w:r>
      <w:proofErr w:type="spellStart"/>
      <w:r w:rsidRPr="00251F63">
        <w:rPr>
          <w:rFonts w:eastAsia="標楷體" w:hint="eastAsia"/>
          <w:sz w:val="24"/>
          <w:szCs w:val="28"/>
        </w:rPr>
        <w:t>h</w:t>
      </w:r>
      <w:r w:rsidRPr="00251F63">
        <w:rPr>
          <w:rFonts w:eastAsia="標楷體"/>
          <w:sz w:val="24"/>
          <w:szCs w:val="28"/>
        </w:rPr>
        <w:t>s</w:t>
      </w:r>
      <w:r w:rsidRPr="00251F63">
        <w:rPr>
          <w:rFonts w:eastAsia="標楷體" w:hint="eastAsia"/>
          <w:sz w:val="24"/>
          <w:szCs w:val="28"/>
        </w:rPr>
        <w:t>i</w:t>
      </w:r>
      <w:proofErr w:type="spellEnd"/>
      <w:r w:rsidRPr="00251F63">
        <w:rPr>
          <w:rFonts w:eastAsia="標楷體" w:hint="eastAsia"/>
          <w:sz w:val="24"/>
          <w:szCs w:val="28"/>
        </w:rPr>
        <w:t xml:space="preserve"> Huang, </w:t>
      </w:r>
      <w:proofErr w:type="spellStart"/>
      <w:r w:rsidRPr="00251F63">
        <w:rPr>
          <w:rFonts w:eastAsia="標楷體" w:hint="eastAsia"/>
          <w:sz w:val="24"/>
          <w:szCs w:val="28"/>
        </w:rPr>
        <w:t>Bih</w:t>
      </w:r>
      <w:proofErr w:type="spellEnd"/>
      <w:r w:rsidRPr="00251F63">
        <w:rPr>
          <w:rFonts w:eastAsia="標楷體" w:hint="eastAsia"/>
          <w:sz w:val="24"/>
          <w:szCs w:val="28"/>
        </w:rPr>
        <w:t>-jane Liu</w:t>
      </w:r>
      <w:r w:rsidR="00251F63" w:rsidRPr="00251F63">
        <w:rPr>
          <w:rFonts w:eastAsia="標楷體" w:hint="eastAsia"/>
          <w:sz w:val="24"/>
          <w:szCs w:val="28"/>
        </w:rPr>
        <w:t xml:space="preserve">, </w:t>
      </w:r>
      <w:proofErr w:type="spellStart"/>
      <w:r w:rsidR="00251F63" w:rsidRPr="00251F63">
        <w:rPr>
          <w:rFonts w:eastAsia="標楷體"/>
          <w:sz w:val="24"/>
          <w:szCs w:val="28"/>
        </w:rPr>
        <w:t>Shiu</w:t>
      </w:r>
      <w:proofErr w:type="spellEnd"/>
      <w:r w:rsidR="00251F63" w:rsidRPr="00251F63">
        <w:rPr>
          <w:rFonts w:eastAsia="標楷體"/>
          <w:sz w:val="24"/>
          <w:szCs w:val="28"/>
        </w:rPr>
        <w:t>-</w:t>
      </w:r>
      <w:r w:rsidR="00251F63" w:rsidRPr="00251F63">
        <w:rPr>
          <w:rFonts w:eastAsia="標楷體" w:hint="eastAsia"/>
          <w:sz w:val="24"/>
          <w:szCs w:val="28"/>
        </w:rPr>
        <w:t>s</w:t>
      </w:r>
      <w:r w:rsidR="00251F63" w:rsidRPr="00251F63">
        <w:rPr>
          <w:rFonts w:eastAsia="標楷體"/>
          <w:sz w:val="24"/>
          <w:szCs w:val="28"/>
        </w:rPr>
        <w:t>heng Chen</w:t>
      </w:r>
      <w:r w:rsidR="00193D20">
        <w:rPr>
          <w:rFonts w:eastAsia="標楷體" w:hint="eastAsia"/>
          <w:sz w:val="24"/>
          <w:szCs w:val="28"/>
        </w:rPr>
        <w:t xml:space="preserve">, </w:t>
      </w:r>
      <w:proofErr w:type="spellStart"/>
      <w:r w:rsidR="007F1B4F" w:rsidRPr="007F1B4F">
        <w:rPr>
          <w:rFonts w:eastAsia="標楷體"/>
          <w:sz w:val="24"/>
          <w:szCs w:val="28"/>
        </w:rPr>
        <w:t>Hsin</w:t>
      </w:r>
      <w:proofErr w:type="spellEnd"/>
      <w:r w:rsidR="007F1B4F" w:rsidRPr="007F1B4F">
        <w:rPr>
          <w:rFonts w:eastAsia="標楷體"/>
          <w:sz w:val="24"/>
          <w:szCs w:val="28"/>
        </w:rPr>
        <w:t>-Hong Kang</w:t>
      </w:r>
      <w:r w:rsidR="00251F63" w:rsidRPr="00251F63">
        <w:rPr>
          <w:rFonts w:eastAsia="標楷體" w:hint="eastAsia"/>
          <w:sz w:val="24"/>
          <w:szCs w:val="28"/>
        </w:rPr>
        <w:t xml:space="preserve"> </w:t>
      </w:r>
      <w:r w:rsidR="004E3052" w:rsidRPr="00251F63">
        <w:rPr>
          <w:rFonts w:eastAsia="標楷體" w:hint="eastAsia"/>
          <w:sz w:val="24"/>
          <w:szCs w:val="28"/>
        </w:rPr>
        <w:t xml:space="preserve"> </w:t>
      </w:r>
    </w:p>
    <w:p w:rsidR="00363599" w:rsidRPr="00251F63" w:rsidRDefault="00363599" w:rsidP="00554255">
      <w:pPr>
        <w:spacing w:line="440" w:lineRule="exact"/>
        <w:ind w:leftChars="200" w:left="400" w:rightChars="5" w:right="10"/>
        <w:textDirection w:val="lrTbV"/>
        <w:rPr>
          <w:rFonts w:eastAsia="標楷體"/>
          <w:sz w:val="24"/>
          <w:szCs w:val="28"/>
        </w:rPr>
      </w:pPr>
      <w:r w:rsidRPr="00251F63">
        <w:rPr>
          <w:rFonts w:eastAsia="標楷體" w:hint="eastAsia"/>
          <w:b/>
          <w:sz w:val="24"/>
          <w:szCs w:val="28"/>
        </w:rPr>
        <w:t>Chairman, Board of Supervisors</w:t>
      </w:r>
      <w:r w:rsidRPr="00251F63">
        <w:rPr>
          <w:rFonts w:eastAsia="標楷體" w:hint="eastAsia"/>
          <w:sz w:val="24"/>
          <w:szCs w:val="28"/>
        </w:rPr>
        <w:t xml:space="preserve">: </w:t>
      </w:r>
      <w:proofErr w:type="spellStart"/>
      <w:r w:rsidRPr="00251F63">
        <w:rPr>
          <w:rFonts w:eastAsia="標楷體" w:hint="eastAsia"/>
          <w:sz w:val="24"/>
          <w:szCs w:val="28"/>
        </w:rPr>
        <w:t>Tzer-ming</w:t>
      </w:r>
      <w:proofErr w:type="spellEnd"/>
      <w:r w:rsidRPr="00251F63">
        <w:rPr>
          <w:rFonts w:eastAsia="標楷體" w:hint="eastAsia"/>
          <w:sz w:val="24"/>
          <w:szCs w:val="28"/>
        </w:rPr>
        <w:t xml:space="preserve"> Chu</w:t>
      </w:r>
    </w:p>
    <w:p w:rsidR="00363599" w:rsidRPr="00251F63" w:rsidRDefault="00363599" w:rsidP="00554255">
      <w:pPr>
        <w:spacing w:line="440" w:lineRule="exact"/>
        <w:ind w:leftChars="200" w:left="400" w:rightChars="5" w:right="10"/>
        <w:jc w:val="both"/>
        <w:textDirection w:val="lrTbV"/>
        <w:rPr>
          <w:rFonts w:eastAsia="標楷體"/>
          <w:sz w:val="24"/>
          <w:szCs w:val="28"/>
        </w:rPr>
      </w:pPr>
      <w:r w:rsidRPr="00251F63">
        <w:rPr>
          <w:rFonts w:eastAsia="標楷體" w:hint="eastAsia"/>
          <w:b/>
          <w:sz w:val="24"/>
          <w:szCs w:val="28"/>
        </w:rPr>
        <w:t>Supervisors</w:t>
      </w:r>
      <w:r w:rsidRPr="00251F63">
        <w:rPr>
          <w:rFonts w:eastAsia="標楷體" w:hint="eastAsia"/>
          <w:sz w:val="24"/>
          <w:szCs w:val="28"/>
        </w:rPr>
        <w:t xml:space="preserve">: </w:t>
      </w:r>
    </w:p>
    <w:p w:rsidR="00363599" w:rsidRPr="00251F63" w:rsidRDefault="00363599" w:rsidP="00554255">
      <w:pPr>
        <w:spacing w:line="440" w:lineRule="exact"/>
        <w:ind w:leftChars="200" w:left="400" w:rightChars="5" w:right="10"/>
        <w:jc w:val="both"/>
        <w:textDirection w:val="lrTbV"/>
        <w:rPr>
          <w:rFonts w:eastAsia="標楷體"/>
          <w:sz w:val="24"/>
          <w:szCs w:val="28"/>
        </w:rPr>
      </w:pPr>
      <w:r w:rsidRPr="00251F63">
        <w:rPr>
          <w:rFonts w:eastAsia="標楷體" w:hint="eastAsia"/>
          <w:sz w:val="24"/>
          <w:szCs w:val="28"/>
        </w:rPr>
        <w:t xml:space="preserve">Chi-yuan Liang, </w:t>
      </w:r>
      <w:proofErr w:type="spellStart"/>
      <w:r w:rsidRPr="00251F63">
        <w:rPr>
          <w:rFonts w:eastAsia="標楷體" w:hint="eastAsia"/>
          <w:sz w:val="24"/>
          <w:szCs w:val="28"/>
        </w:rPr>
        <w:t>Tsung-jung</w:t>
      </w:r>
      <w:proofErr w:type="spellEnd"/>
      <w:r w:rsidRPr="00251F63">
        <w:rPr>
          <w:rFonts w:eastAsia="標楷體" w:hint="eastAsia"/>
          <w:sz w:val="24"/>
          <w:szCs w:val="28"/>
        </w:rPr>
        <w:t xml:space="preserve"> Liu, </w:t>
      </w:r>
      <w:r w:rsidR="002A7BBD" w:rsidRPr="00251F63">
        <w:rPr>
          <w:rFonts w:eastAsia="標楷體" w:hint="eastAsia"/>
          <w:sz w:val="24"/>
          <w:szCs w:val="28"/>
        </w:rPr>
        <w:t>Ching-fan Chung</w:t>
      </w:r>
      <w:r w:rsidRPr="00251F63">
        <w:rPr>
          <w:rFonts w:eastAsia="標楷體" w:hint="eastAsia"/>
          <w:sz w:val="24"/>
          <w:szCs w:val="28"/>
        </w:rPr>
        <w:t>,</w:t>
      </w:r>
      <w:r w:rsidR="00251F63" w:rsidRPr="00251F63">
        <w:rPr>
          <w:rFonts w:eastAsia="標楷體" w:hint="eastAsia"/>
          <w:sz w:val="24"/>
          <w:szCs w:val="28"/>
        </w:rPr>
        <w:t xml:space="preserve"> </w:t>
      </w:r>
      <w:r w:rsidR="002A7BBD" w:rsidRPr="00251F63">
        <w:rPr>
          <w:rFonts w:eastAsia="標楷體" w:hint="eastAsia"/>
          <w:sz w:val="24"/>
          <w:szCs w:val="28"/>
        </w:rPr>
        <w:t>Ping-</w:t>
      </w:r>
      <w:proofErr w:type="spellStart"/>
      <w:r w:rsidR="002A7BBD" w:rsidRPr="00251F63">
        <w:rPr>
          <w:rFonts w:eastAsia="標楷體" w:hint="eastAsia"/>
          <w:sz w:val="24"/>
          <w:szCs w:val="28"/>
        </w:rPr>
        <w:t>yung</w:t>
      </w:r>
      <w:proofErr w:type="spellEnd"/>
      <w:r w:rsidR="002A7BBD" w:rsidRPr="00251F63">
        <w:rPr>
          <w:rFonts w:eastAsia="標楷體" w:hint="eastAsia"/>
          <w:sz w:val="24"/>
          <w:szCs w:val="28"/>
        </w:rPr>
        <w:t xml:space="preserve"> Chiu </w:t>
      </w:r>
      <w:r w:rsidR="00251F63" w:rsidRPr="00251F63">
        <w:rPr>
          <w:rFonts w:eastAsia="標楷體" w:hint="eastAsia"/>
          <w:sz w:val="24"/>
          <w:szCs w:val="28"/>
        </w:rPr>
        <w:t xml:space="preserve">(excused) </w:t>
      </w:r>
    </w:p>
    <w:p w:rsidR="00363599" w:rsidRPr="00251F63" w:rsidRDefault="00363599" w:rsidP="00370E54">
      <w:pPr>
        <w:pStyle w:val="31"/>
        <w:spacing w:beforeLines="50" w:before="120" w:line="440" w:lineRule="exact"/>
        <w:textDirection w:val="lrTbV"/>
        <w:rPr>
          <w:rFonts w:eastAsia="標楷體"/>
          <w:sz w:val="24"/>
          <w:szCs w:val="28"/>
        </w:rPr>
      </w:pPr>
      <w:r w:rsidRPr="00251F63">
        <w:rPr>
          <w:rFonts w:eastAsia="標楷體" w:hint="eastAsia"/>
          <w:b/>
          <w:sz w:val="24"/>
          <w:szCs w:val="28"/>
        </w:rPr>
        <w:t xml:space="preserve">Staff Present: </w:t>
      </w:r>
    </w:p>
    <w:p w:rsidR="00363599" w:rsidRPr="00251F63" w:rsidRDefault="00363599" w:rsidP="00554255">
      <w:pPr>
        <w:pStyle w:val="31"/>
        <w:spacing w:line="440" w:lineRule="exact"/>
        <w:ind w:leftChars="200" w:left="400"/>
        <w:textDirection w:val="lrTbV"/>
        <w:rPr>
          <w:rFonts w:eastAsia="標楷體"/>
          <w:sz w:val="24"/>
          <w:szCs w:val="28"/>
        </w:rPr>
      </w:pPr>
      <w:r w:rsidRPr="00251F63">
        <w:rPr>
          <w:rFonts w:eastAsia="標楷體"/>
          <w:sz w:val="24"/>
          <w:szCs w:val="28"/>
        </w:rPr>
        <w:t>E-</w:t>
      </w:r>
      <w:r w:rsidRPr="00251F63">
        <w:rPr>
          <w:rFonts w:eastAsia="標楷體" w:hint="eastAsia"/>
          <w:sz w:val="24"/>
          <w:szCs w:val="28"/>
        </w:rPr>
        <w:t>d</w:t>
      </w:r>
      <w:r w:rsidRPr="00251F63">
        <w:rPr>
          <w:rFonts w:eastAsia="標楷體"/>
          <w:sz w:val="24"/>
          <w:szCs w:val="28"/>
        </w:rPr>
        <w:t>awn Chen</w:t>
      </w:r>
      <w:r w:rsidRPr="00251F63">
        <w:rPr>
          <w:rFonts w:eastAsia="標楷體" w:hint="eastAsia"/>
          <w:sz w:val="24"/>
          <w:szCs w:val="28"/>
        </w:rPr>
        <w:t>,</w:t>
      </w:r>
      <w:r w:rsidRPr="00251F63">
        <w:rPr>
          <w:rFonts w:eastAsia="標楷體"/>
          <w:sz w:val="24"/>
          <w:szCs w:val="28"/>
        </w:rPr>
        <w:t xml:space="preserve"> Director General</w:t>
      </w:r>
      <w:r w:rsidRPr="00251F63">
        <w:rPr>
          <w:rFonts w:eastAsia="標楷體" w:hint="eastAsia"/>
          <w:sz w:val="24"/>
          <w:szCs w:val="28"/>
        </w:rPr>
        <w:t>,</w:t>
      </w:r>
      <w:r w:rsidRPr="00251F63">
        <w:rPr>
          <w:rFonts w:eastAsia="標楷體"/>
          <w:sz w:val="24"/>
          <w:szCs w:val="28"/>
        </w:rPr>
        <w:t xml:space="preserve"> Department of Banking</w:t>
      </w:r>
    </w:p>
    <w:p w:rsidR="00363599" w:rsidRPr="00251F63" w:rsidRDefault="00363599" w:rsidP="00554255">
      <w:pPr>
        <w:pStyle w:val="31"/>
        <w:spacing w:line="440" w:lineRule="exact"/>
        <w:ind w:leftChars="200" w:left="400"/>
        <w:textDirection w:val="lrTbV"/>
        <w:rPr>
          <w:rFonts w:eastAsia="標楷體"/>
          <w:sz w:val="24"/>
          <w:szCs w:val="28"/>
        </w:rPr>
      </w:pPr>
      <w:r w:rsidRPr="00251F63">
        <w:rPr>
          <w:rFonts w:eastAsia="標楷體"/>
          <w:sz w:val="24"/>
          <w:szCs w:val="28"/>
        </w:rPr>
        <w:t>James T.H. Shih</w:t>
      </w:r>
      <w:r w:rsidRPr="00251F63">
        <w:rPr>
          <w:rFonts w:eastAsia="標楷體" w:hint="eastAsia"/>
          <w:sz w:val="24"/>
          <w:szCs w:val="28"/>
        </w:rPr>
        <w:t xml:space="preserve">, </w:t>
      </w:r>
      <w:r w:rsidRPr="00251F63">
        <w:rPr>
          <w:rFonts w:eastAsia="標楷體"/>
          <w:sz w:val="24"/>
          <w:szCs w:val="28"/>
        </w:rPr>
        <w:t>Director General</w:t>
      </w:r>
      <w:r w:rsidRPr="00251F63">
        <w:rPr>
          <w:rFonts w:eastAsia="標楷體" w:hint="eastAsia"/>
          <w:sz w:val="24"/>
          <w:szCs w:val="28"/>
        </w:rPr>
        <w:t>,</w:t>
      </w:r>
      <w:r w:rsidR="006F25E5" w:rsidRPr="00251F63">
        <w:rPr>
          <w:rFonts w:eastAsia="標楷體" w:hint="eastAsia"/>
          <w:sz w:val="24"/>
          <w:szCs w:val="28"/>
        </w:rPr>
        <w:t xml:space="preserve"> </w:t>
      </w:r>
      <w:r w:rsidRPr="00251F63">
        <w:rPr>
          <w:rFonts w:eastAsia="標楷體"/>
          <w:sz w:val="24"/>
          <w:szCs w:val="28"/>
        </w:rPr>
        <w:t xml:space="preserve">Department of Issuing </w:t>
      </w:r>
    </w:p>
    <w:p w:rsidR="00363599" w:rsidRPr="00251F63" w:rsidRDefault="00363599" w:rsidP="00554255">
      <w:pPr>
        <w:pStyle w:val="31"/>
        <w:spacing w:line="440" w:lineRule="exact"/>
        <w:ind w:leftChars="200" w:left="400"/>
        <w:textDirection w:val="lrTbV"/>
        <w:rPr>
          <w:rFonts w:eastAsia="標楷體"/>
          <w:sz w:val="24"/>
          <w:szCs w:val="28"/>
        </w:rPr>
      </w:pPr>
      <w:r w:rsidRPr="00251F63">
        <w:rPr>
          <w:rFonts w:eastAsia="標楷體"/>
          <w:sz w:val="24"/>
          <w:szCs w:val="28"/>
        </w:rPr>
        <w:t>Hui-</w:t>
      </w:r>
      <w:proofErr w:type="spellStart"/>
      <w:r w:rsidRPr="00251F63">
        <w:rPr>
          <w:rFonts w:eastAsia="標楷體" w:hint="eastAsia"/>
          <w:sz w:val="24"/>
          <w:szCs w:val="28"/>
        </w:rPr>
        <w:t>h</w:t>
      </w:r>
      <w:r w:rsidRPr="00251F63">
        <w:rPr>
          <w:rFonts w:eastAsia="標楷體"/>
          <w:sz w:val="24"/>
          <w:szCs w:val="28"/>
        </w:rPr>
        <w:t>uang</w:t>
      </w:r>
      <w:proofErr w:type="spellEnd"/>
      <w:r w:rsidRPr="00251F63">
        <w:rPr>
          <w:rFonts w:eastAsia="標楷體"/>
          <w:sz w:val="24"/>
          <w:szCs w:val="28"/>
        </w:rPr>
        <w:t xml:space="preserve"> Yen</w:t>
      </w:r>
      <w:r w:rsidRPr="00251F63">
        <w:rPr>
          <w:rFonts w:eastAsia="標楷體" w:hint="eastAsia"/>
          <w:sz w:val="24"/>
          <w:szCs w:val="28"/>
        </w:rPr>
        <w:t xml:space="preserve">, </w:t>
      </w:r>
      <w:r w:rsidRPr="00251F63">
        <w:rPr>
          <w:rFonts w:eastAsia="標楷體"/>
          <w:sz w:val="24"/>
          <w:szCs w:val="28"/>
        </w:rPr>
        <w:t>Director General</w:t>
      </w:r>
      <w:r w:rsidRPr="00251F63">
        <w:rPr>
          <w:rFonts w:eastAsia="標楷體" w:hint="eastAsia"/>
          <w:sz w:val="24"/>
          <w:szCs w:val="28"/>
        </w:rPr>
        <w:t>,</w:t>
      </w:r>
      <w:r w:rsidRPr="00251F63">
        <w:rPr>
          <w:rFonts w:eastAsia="標楷體"/>
          <w:sz w:val="24"/>
          <w:szCs w:val="28"/>
        </w:rPr>
        <w:t xml:space="preserve"> Department of Foreign</w:t>
      </w:r>
      <w:r w:rsidRPr="00251F63">
        <w:rPr>
          <w:rFonts w:eastAsia="標楷體" w:hint="eastAsia"/>
          <w:sz w:val="24"/>
          <w:szCs w:val="28"/>
        </w:rPr>
        <w:t xml:space="preserve"> </w:t>
      </w:r>
      <w:r w:rsidRPr="00251F63">
        <w:rPr>
          <w:rFonts w:eastAsia="標楷體"/>
          <w:sz w:val="24"/>
          <w:szCs w:val="28"/>
        </w:rPr>
        <w:t>Exchange</w:t>
      </w:r>
    </w:p>
    <w:p w:rsidR="00363599" w:rsidRPr="00251F63" w:rsidRDefault="00363599" w:rsidP="00554255">
      <w:pPr>
        <w:pStyle w:val="31"/>
        <w:spacing w:line="440" w:lineRule="exact"/>
        <w:ind w:leftChars="200" w:left="400"/>
        <w:textDirection w:val="lrTbV"/>
        <w:rPr>
          <w:rFonts w:eastAsia="標楷體"/>
          <w:sz w:val="24"/>
          <w:szCs w:val="28"/>
        </w:rPr>
      </w:pPr>
      <w:r w:rsidRPr="00251F63">
        <w:rPr>
          <w:rFonts w:eastAsia="標楷體"/>
          <w:sz w:val="24"/>
          <w:szCs w:val="28"/>
        </w:rPr>
        <w:t>Yue-</w:t>
      </w:r>
      <w:r w:rsidRPr="00251F63">
        <w:rPr>
          <w:rFonts w:eastAsia="標楷體" w:hint="eastAsia"/>
          <w:sz w:val="24"/>
          <w:szCs w:val="28"/>
        </w:rPr>
        <w:t>m</w:t>
      </w:r>
      <w:r w:rsidRPr="00251F63">
        <w:rPr>
          <w:rFonts w:eastAsia="標楷體"/>
          <w:sz w:val="24"/>
          <w:szCs w:val="28"/>
        </w:rPr>
        <w:t>in Chen</w:t>
      </w:r>
      <w:r w:rsidRPr="00251F63">
        <w:rPr>
          <w:rFonts w:eastAsia="標楷體" w:hint="eastAsia"/>
          <w:sz w:val="24"/>
          <w:szCs w:val="28"/>
        </w:rPr>
        <w:t xml:space="preserve">, </w:t>
      </w:r>
      <w:r w:rsidRPr="00251F63">
        <w:rPr>
          <w:rFonts w:eastAsia="標楷體"/>
          <w:sz w:val="24"/>
          <w:szCs w:val="28"/>
        </w:rPr>
        <w:t>Director General</w:t>
      </w:r>
      <w:r w:rsidRPr="00251F63">
        <w:rPr>
          <w:rFonts w:eastAsia="標楷體" w:hint="eastAsia"/>
          <w:sz w:val="24"/>
          <w:szCs w:val="28"/>
        </w:rPr>
        <w:t xml:space="preserve">, </w:t>
      </w:r>
      <w:r w:rsidRPr="00251F63">
        <w:rPr>
          <w:rFonts w:eastAsia="標楷體"/>
          <w:sz w:val="24"/>
          <w:szCs w:val="28"/>
        </w:rPr>
        <w:t>Department of the Treasury</w:t>
      </w:r>
    </w:p>
    <w:p w:rsidR="00363599" w:rsidRPr="00251F63" w:rsidRDefault="00363599" w:rsidP="00554255">
      <w:pPr>
        <w:pStyle w:val="31"/>
        <w:spacing w:line="440" w:lineRule="exact"/>
        <w:ind w:leftChars="200" w:left="400"/>
        <w:textDirection w:val="lrTbV"/>
        <w:rPr>
          <w:rFonts w:eastAsia="標楷體"/>
          <w:sz w:val="24"/>
          <w:szCs w:val="28"/>
        </w:rPr>
      </w:pPr>
      <w:proofErr w:type="spellStart"/>
      <w:r w:rsidRPr="00251F63">
        <w:rPr>
          <w:rFonts w:eastAsia="標楷體"/>
          <w:sz w:val="24"/>
          <w:szCs w:val="28"/>
        </w:rPr>
        <w:t>Tsuey</w:t>
      </w:r>
      <w:proofErr w:type="spellEnd"/>
      <w:r w:rsidRPr="00251F63">
        <w:rPr>
          <w:rFonts w:eastAsia="標楷體"/>
          <w:sz w:val="24"/>
          <w:szCs w:val="28"/>
        </w:rPr>
        <w:t>-</w:t>
      </w:r>
      <w:r w:rsidRPr="00251F63">
        <w:rPr>
          <w:rFonts w:eastAsia="標楷體" w:hint="eastAsia"/>
          <w:sz w:val="24"/>
          <w:szCs w:val="28"/>
        </w:rPr>
        <w:t>l</w:t>
      </w:r>
      <w:r w:rsidRPr="00251F63">
        <w:rPr>
          <w:rFonts w:eastAsia="標楷體"/>
          <w:sz w:val="24"/>
          <w:szCs w:val="28"/>
        </w:rPr>
        <w:t>ing Hsiao</w:t>
      </w:r>
      <w:r w:rsidRPr="00251F63">
        <w:rPr>
          <w:rFonts w:eastAsia="標楷體" w:hint="eastAsia"/>
          <w:sz w:val="24"/>
          <w:szCs w:val="28"/>
        </w:rPr>
        <w:t xml:space="preserve">, </w:t>
      </w:r>
      <w:r w:rsidRPr="00251F63">
        <w:rPr>
          <w:rFonts w:eastAsia="標楷體"/>
          <w:sz w:val="24"/>
          <w:szCs w:val="28"/>
        </w:rPr>
        <w:t>Director General</w:t>
      </w:r>
      <w:r w:rsidRPr="00251F63">
        <w:rPr>
          <w:rFonts w:eastAsia="標楷體" w:hint="eastAsia"/>
          <w:sz w:val="24"/>
          <w:szCs w:val="28"/>
        </w:rPr>
        <w:t>, D</w:t>
      </w:r>
      <w:r w:rsidRPr="00251F63">
        <w:rPr>
          <w:rFonts w:eastAsia="標楷體"/>
          <w:sz w:val="24"/>
          <w:szCs w:val="28"/>
        </w:rPr>
        <w:t>epartment of Financial</w:t>
      </w:r>
      <w:r w:rsidRPr="00251F63">
        <w:rPr>
          <w:rFonts w:eastAsia="標楷體" w:hint="eastAsia"/>
          <w:sz w:val="24"/>
          <w:szCs w:val="28"/>
        </w:rPr>
        <w:t xml:space="preserve"> </w:t>
      </w:r>
      <w:r w:rsidRPr="00251F63">
        <w:rPr>
          <w:rFonts w:eastAsia="標楷體"/>
          <w:sz w:val="24"/>
          <w:szCs w:val="28"/>
        </w:rPr>
        <w:t>Inspection</w:t>
      </w:r>
      <w:r w:rsidRPr="00251F63">
        <w:rPr>
          <w:rFonts w:eastAsia="標楷體" w:hint="eastAsia"/>
          <w:sz w:val="24"/>
          <w:szCs w:val="28"/>
        </w:rPr>
        <w:t xml:space="preserve"> </w:t>
      </w:r>
    </w:p>
    <w:p w:rsidR="00363599" w:rsidRPr="00251F63" w:rsidRDefault="00363599" w:rsidP="00554255">
      <w:pPr>
        <w:pStyle w:val="31"/>
        <w:spacing w:line="440" w:lineRule="exact"/>
        <w:ind w:leftChars="200" w:left="400"/>
        <w:textDirection w:val="lrTbV"/>
        <w:rPr>
          <w:rFonts w:eastAsia="標楷體"/>
          <w:sz w:val="24"/>
          <w:szCs w:val="28"/>
        </w:rPr>
      </w:pPr>
      <w:proofErr w:type="spellStart"/>
      <w:r w:rsidRPr="00251F63">
        <w:rPr>
          <w:rFonts w:eastAsia="標楷體"/>
          <w:sz w:val="24"/>
          <w:szCs w:val="28"/>
        </w:rPr>
        <w:t>Tzong-</w:t>
      </w:r>
      <w:r w:rsidRPr="00251F63">
        <w:rPr>
          <w:rFonts w:eastAsia="標楷體" w:hint="eastAsia"/>
          <w:sz w:val="24"/>
          <w:szCs w:val="28"/>
        </w:rPr>
        <w:t>y</w:t>
      </w:r>
      <w:r w:rsidRPr="00251F63">
        <w:rPr>
          <w:rFonts w:eastAsia="標楷體"/>
          <w:sz w:val="24"/>
          <w:szCs w:val="28"/>
        </w:rPr>
        <w:t>au</w:t>
      </w:r>
      <w:proofErr w:type="spellEnd"/>
      <w:r w:rsidRPr="00251F63">
        <w:rPr>
          <w:rFonts w:eastAsia="標楷體"/>
          <w:sz w:val="24"/>
          <w:szCs w:val="28"/>
        </w:rPr>
        <w:t xml:space="preserve"> Lin</w:t>
      </w:r>
      <w:r w:rsidRPr="00251F63">
        <w:rPr>
          <w:rFonts w:eastAsia="標楷體" w:hint="eastAsia"/>
          <w:sz w:val="24"/>
          <w:szCs w:val="28"/>
        </w:rPr>
        <w:t>,</w:t>
      </w:r>
      <w:r w:rsidRPr="00251F63">
        <w:rPr>
          <w:rFonts w:eastAsia="標楷體"/>
          <w:sz w:val="24"/>
          <w:szCs w:val="28"/>
        </w:rPr>
        <w:t xml:space="preserve"> Director General</w:t>
      </w:r>
      <w:r w:rsidRPr="00251F63">
        <w:rPr>
          <w:rFonts w:eastAsia="標楷體" w:hint="eastAsia"/>
          <w:sz w:val="24"/>
          <w:szCs w:val="28"/>
        </w:rPr>
        <w:t xml:space="preserve">, </w:t>
      </w:r>
      <w:r w:rsidRPr="00251F63">
        <w:rPr>
          <w:rFonts w:eastAsia="標楷體"/>
          <w:sz w:val="24"/>
          <w:szCs w:val="28"/>
        </w:rPr>
        <w:t>Department of Economic Research</w:t>
      </w:r>
      <w:r w:rsidRPr="00251F63">
        <w:rPr>
          <w:rFonts w:eastAsia="標楷體" w:hint="eastAsia"/>
          <w:sz w:val="24"/>
          <w:szCs w:val="28"/>
        </w:rPr>
        <w:t xml:space="preserve"> </w:t>
      </w:r>
    </w:p>
    <w:p w:rsidR="00363599" w:rsidRPr="00251F63" w:rsidRDefault="00363599" w:rsidP="00554255">
      <w:pPr>
        <w:pStyle w:val="31"/>
        <w:spacing w:line="440" w:lineRule="exact"/>
        <w:ind w:leftChars="200" w:left="400"/>
        <w:textDirection w:val="lrTbV"/>
        <w:rPr>
          <w:rFonts w:eastAsia="標楷體"/>
          <w:sz w:val="24"/>
          <w:szCs w:val="28"/>
        </w:rPr>
      </w:pPr>
      <w:proofErr w:type="spellStart"/>
      <w:r w:rsidRPr="00251F63">
        <w:rPr>
          <w:rFonts w:eastAsia="標楷體"/>
          <w:sz w:val="24"/>
          <w:szCs w:val="28"/>
        </w:rPr>
        <w:t>Chien-</w:t>
      </w:r>
      <w:r w:rsidRPr="00251F63">
        <w:rPr>
          <w:rFonts w:eastAsia="標楷體" w:hint="eastAsia"/>
          <w:sz w:val="24"/>
          <w:szCs w:val="28"/>
        </w:rPr>
        <w:t>c</w:t>
      </w:r>
      <w:r w:rsidRPr="00251F63">
        <w:rPr>
          <w:rFonts w:eastAsia="標楷體"/>
          <w:sz w:val="24"/>
          <w:szCs w:val="28"/>
        </w:rPr>
        <w:t>hing</w:t>
      </w:r>
      <w:proofErr w:type="spellEnd"/>
      <w:r w:rsidRPr="00251F63">
        <w:rPr>
          <w:rFonts w:eastAsia="標楷體"/>
          <w:sz w:val="24"/>
          <w:szCs w:val="28"/>
        </w:rPr>
        <w:t xml:space="preserve"> Liang</w:t>
      </w:r>
      <w:r w:rsidRPr="00251F63">
        <w:rPr>
          <w:rFonts w:eastAsia="標楷體" w:hint="eastAsia"/>
          <w:sz w:val="24"/>
          <w:szCs w:val="28"/>
        </w:rPr>
        <w:t xml:space="preserve">, </w:t>
      </w:r>
      <w:r w:rsidRPr="00251F63">
        <w:rPr>
          <w:rFonts w:eastAsia="標楷體"/>
          <w:sz w:val="24"/>
          <w:szCs w:val="28"/>
        </w:rPr>
        <w:t>Director General</w:t>
      </w:r>
      <w:r w:rsidRPr="00251F63">
        <w:rPr>
          <w:rFonts w:eastAsia="標楷體" w:hint="eastAsia"/>
          <w:sz w:val="24"/>
          <w:szCs w:val="28"/>
        </w:rPr>
        <w:t>,</w:t>
      </w:r>
      <w:r w:rsidRPr="00251F63">
        <w:rPr>
          <w:rFonts w:eastAsia="標楷體"/>
          <w:sz w:val="24"/>
          <w:szCs w:val="28"/>
        </w:rPr>
        <w:t xml:space="preserve"> Secretariat</w:t>
      </w:r>
    </w:p>
    <w:p w:rsidR="00363599" w:rsidRPr="00251F63" w:rsidRDefault="00363599" w:rsidP="00554255">
      <w:pPr>
        <w:pStyle w:val="31"/>
        <w:spacing w:line="440" w:lineRule="exact"/>
        <w:ind w:leftChars="200" w:left="400"/>
        <w:textDirection w:val="lrTbV"/>
        <w:rPr>
          <w:rFonts w:eastAsia="標楷體"/>
          <w:sz w:val="24"/>
          <w:szCs w:val="28"/>
        </w:rPr>
      </w:pPr>
      <w:proofErr w:type="spellStart"/>
      <w:r w:rsidRPr="00251F63">
        <w:rPr>
          <w:rFonts w:eastAsia="標楷體"/>
          <w:sz w:val="24"/>
          <w:szCs w:val="28"/>
        </w:rPr>
        <w:t>Kuei-</w:t>
      </w:r>
      <w:r w:rsidRPr="00251F63">
        <w:rPr>
          <w:rFonts w:eastAsia="標楷體" w:hint="eastAsia"/>
          <w:sz w:val="24"/>
          <w:szCs w:val="28"/>
        </w:rPr>
        <w:t>c</w:t>
      </w:r>
      <w:r w:rsidRPr="00251F63">
        <w:rPr>
          <w:rFonts w:eastAsia="標楷體"/>
          <w:sz w:val="24"/>
          <w:szCs w:val="28"/>
        </w:rPr>
        <w:t>hou</w:t>
      </w:r>
      <w:proofErr w:type="spellEnd"/>
      <w:r w:rsidRPr="00251F63">
        <w:rPr>
          <w:rFonts w:eastAsia="標楷體"/>
          <w:sz w:val="24"/>
          <w:szCs w:val="28"/>
        </w:rPr>
        <w:t xml:space="preserve"> Huang</w:t>
      </w:r>
      <w:r w:rsidRPr="00251F63">
        <w:rPr>
          <w:rFonts w:eastAsia="標楷體" w:hint="eastAsia"/>
          <w:sz w:val="24"/>
          <w:szCs w:val="28"/>
        </w:rPr>
        <w:t xml:space="preserve">, </w:t>
      </w:r>
      <w:r w:rsidRPr="00251F63">
        <w:rPr>
          <w:rFonts w:eastAsia="標楷體"/>
          <w:sz w:val="24"/>
          <w:szCs w:val="28"/>
        </w:rPr>
        <w:t>Director General</w:t>
      </w:r>
      <w:r w:rsidRPr="00251F63">
        <w:rPr>
          <w:rFonts w:eastAsia="標楷體" w:hint="eastAsia"/>
          <w:sz w:val="24"/>
          <w:szCs w:val="28"/>
        </w:rPr>
        <w:t>,</w:t>
      </w:r>
      <w:r w:rsidRPr="00251F63">
        <w:rPr>
          <w:rFonts w:eastAsia="標楷體"/>
          <w:sz w:val="24"/>
          <w:szCs w:val="28"/>
        </w:rPr>
        <w:t xml:space="preserve"> Department of Accounting</w:t>
      </w:r>
    </w:p>
    <w:p w:rsidR="00363599" w:rsidRPr="00251F63" w:rsidRDefault="00363599" w:rsidP="00554255">
      <w:pPr>
        <w:pStyle w:val="31"/>
        <w:spacing w:line="440" w:lineRule="exact"/>
        <w:ind w:leftChars="200" w:left="400"/>
        <w:textDirection w:val="lrTbV"/>
        <w:rPr>
          <w:rFonts w:eastAsia="標楷體"/>
          <w:sz w:val="24"/>
          <w:szCs w:val="28"/>
        </w:rPr>
      </w:pPr>
      <w:proofErr w:type="spellStart"/>
      <w:r w:rsidRPr="00251F63">
        <w:rPr>
          <w:rFonts w:eastAsia="標楷體"/>
          <w:sz w:val="24"/>
          <w:szCs w:val="28"/>
        </w:rPr>
        <w:t>Jhih-</w:t>
      </w:r>
      <w:r w:rsidRPr="00251F63">
        <w:rPr>
          <w:rFonts w:eastAsia="標楷體" w:hint="eastAsia"/>
          <w:sz w:val="24"/>
          <w:szCs w:val="28"/>
        </w:rPr>
        <w:t>c</w:t>
      </w:r>
      <w:r w:rsidRPr="00251F63">
        <w:rPr>
          <w:rFonts w:eastAsia="標楷體"/>
          <w:sz w:val="24"/>
          <w:szCs w:val="28"/>
        </w:rPr>
        <w:t>heng</w:t>
      </w:r>
      <w:proofErr w:type="spellEnd"/>
      <w:r w:rsidRPr="00251F63">
        <w:rPr>
          <w:rFonts w:eastAsia="標楷體"/>
          <w:sz w:val="24"/>
          <w:szCs w:val="28"/>
        </w:rPr>
        <w:t xml:space="preserve"> Hong</w:t>
      </w:r>
      <w:r w:rsidRPr="00251F63">
        <w:rPr>
          <w:rFonts w:eastAsia="標楷體" w:hint="eastAsia"/>
          <w:sz w:val="24"/>
          <w:szCs w:val="28"/>
        </w:rPr>
        <w:t xml:space="preserve">, </w:t>
      </w:r>
      <w:r w:rsidRPr="00251F63">
        <w:rPr>
          <w:rFonts w:eastAsia="標楷體"/>
          <w:sz w:val="24"/>
          <w:szCs w:val="28"/>
        </w:rPr>
        <w:t>Director</w:t>
      </w:r>
      <w:r w:rsidRPr="00251F63">
        <w:rPr>
          <w:rFonts w:eastAsia="標楷體" w:hint="eastAsia"/>
          <w:sz w:val="24"/>
          <w:szCs w:val="28"/>
        </w:rPr>
        <w:t>,</w:t>
      </w:r>
      <w:r w:rsidRPr="00251F63">
        <w:rPr>
          <w:rFonts w:eastAsia="標楷體"/>
          <w:sz w:val="24"/>
          <w:szCs w:val="28"/>
        </w:rPr>
        <w:t xml:space="preserve"> Personnel Office</w:t>
      </w:r>
    </w:p>
    <w:p w:rsidR="00363599" w:rsidRPr="00251F63" w:rsidRDefault="00363599" w:rsidP="00554255">
      <w:pPr>
        <w:pStyle w:val="31"/>
        <w:spacing w:line="440" w:lineRule="exact"/>
        <w:ind w:leftChars="200" w:left="400"/>
        <w:textDirection w:val="lrTbV"/>
        <w:rPr>
          <w:rFonts w:eastAsia="標楷體"/>
          <w:sz w:val="24"/>
          <w:szCs w:val="28"/>
        </w:rPr>
      </w:pPr>
      <w:r w:rsidRPr="00251F63">
        <w:rPr>
          <w:rFonts w:eastAsia="標楷體"/>
          <w:sz w:val="24"/>
          <w:szCs w:val="28"/>
        </w:rPr>
        <w:t>Kun-</w:t>
      </w:r>
      <w:proofErr w:type="spellStart"/>
      <w:r w:rsidRPr="00251F63">
        <w:rPr>
          <w:rFonts w:eastAsia="標楷體" w:hint="eastAsia"/>
          <w:sz w:val="24"/>
          <w:szCs w:val="28"/>
        </w:rPr>
        <w:t>s</w:t>
      </w:r>
      <w:r w:rsidRPr="00251F63">
        <w:rPr>
          <w:rFonts w:eastAsia="標楷體"/>
          <w:sz w:val="24"/>
          <w:szCs w:val="28"/>
        </w:rPr>
        <w:t>han</w:t>
      </w:r>
      <w:proofErr w:type="spellEnd"/>
      <w:r w:rsidRPr="00251F63">
        <w:rPr>
          <w:rFonts w:eastAsia="標楷體"/>
          <w:sz w:val="24"/>
          <w:szCs w:val="28"/>
        </w:rPr>
        <w:t xml:space="preserve"> Wu</w:t>
      </w:r>
      <w:r w:rsidRPr="00251F63">
        <w:rPr>
          <w:rFonts w:eastAsia="標楷體" w:hint="eastAsia"/>
          <w:sz w:val="24"/>
          <w:szCs w:val="28"/>
        </w:rPr>
        <w:t>,</w:t>
      </w:r>
      <w:r w:rsidRPr="00251F63">
        <w:rPr>
          <w:rFonts w:eastAsia="標楷體"/>
          <w:sz w:val="24"/>
          <w:szCs w:val="28"/>
        </w:rPr>
        <w:t xml:space="preserve"> Director</w:t>
      </w:r>
      <w:r w:rsidRPr="00251F63">
        <w:rPr>
          <w:rFonts w:eastAsia="標楷體" w:hint="eastAsia"/>
          <w:sz w:val="24"/>
          <w:szCs w:val="28"/>
        </w:rPr>
        <w:t>,</w:t>
      </w:r>
      <w:r w:rsidRPr="00251F63">
        <w:rPr>
          <w:rFonts w:eastAsia="標楷體"/>
          <w:sz w:val="24"/>
          <w:szCs w:val="28"/>
        </w:rPr>
        <w:t xml:space="preserve"> Legal Affairs Office </w:t>
      </w:r>
    </w:p>
    <w:p w:rsidR="00363599" w:rsidRPr="00251F63" w:rsidRDefault="00251F63" w:rsidP="00554255">
      <w:pPr>
        <w:pStyle w:val="31"/>
        <w:spacing w:line="440" w:lineRule="exact"/>
        <w:ind w:leftChars="200" w:left="400"/>
        <w:textDirection w:val="lrTbV"/>
        <w:rPr>
          <w:rFonts w:eastAsia="標楷體"/>
          <w:sz w:val="24"/>
          <w:szCs w:val="28"/>
        </w:rPr>
      </w:pPr>
      <w:r w:rsidRPr="00251F63">
        <w:rPr>
          <w:rFonts w:eastAsia="標楷體" w:hint="eastAsia"/>
          <w:sz w:val="24"/>
          <w:szCs w:val="28"/>
        </w:rPr>
        <w:t>Yu-</w:t>
      </w:r>
      <w:proofErr w:type="spellStart"/>
      <w:r w:rsidRPr="00251F63">
        <w:rPr>
          <w:rFonts w:eastAsia="標楷體" w:hint="eastAsia"/>
          <w:sz w:val="24"/>
          <w:szCs w:val="28"/>
        </w:rPr>
        <w:t>ming</w:t>
      </w:r>
      <w:proofErr w:type="spellEnd"/>
      <w:r w:rsidRPr="00251F63">
        <w:rPr>
          <w:rFonts w:eastAsia="標楷體" w:hint="eastAsia"/>
          <w:sz w:val="24"/>
          <w:szCs w:val="28"/>
        </w:rPr>
        <w:t xml:space="preserve"> Chang</w:t>
      </w:r>
      <w:r w:rsidR="00363599" w:rsidRPr="00251F63">
        <w:rPr>
          <w:rFonts w:eastAsia="標楷體" w:hint="eastAsia"/>
          <w:sz w:val="24"/>
          <w:szCs w:val="28"/>
        </w:rPr>
        <w:t>, Secretary, Board of Supervisors</w:t>
      </w:r>
    </w:p>
    <w:p w:rsidR="00363599" w:rsidRPr="00251F63" w:rsidRDefault="00363599" w:rsidP="00554255">
      <w:pPr>
        <w:pStyle w:val="31"/>
        <w:spacing w:line="440" w:lineRule="exact"/>
        <w:ind w:leftChars="200" w:left="400"/>
        <w:textDirection w:val="lrTbV"/>
        <w:rPr>
          <w:rFonts w:eastAsia="標楷體"/>
          <w:sz w:val="24"/>
          <w:szCs w:val="28"/>
        </w:rPr>
      </w:pPr>
      <w:proofErr w:type="spellStart"/>
      <w:r w:rsidRPr="00251F63">
        <w:rPr>
          <w:rFonts w:eastAsia="標楷體" w:hint="eastAsia"/>
          <w:sz w:val="24"/>
          <w:szCs w:val="28"/>
        </w:rPr>
        <w:t>Chih-cheng</w:t>
      </w:r>
      <w:proofErr w:type="spellEnd"/>
      <w:r w:rsidRPr="00251F63">
        <w:rPr>
          <w:rFonts w:eastAsia="標楷體" w:hint="eastAsia"/>
          <w:sz w:val="24"/>
          <w:szCs w:val="28"/>
        </w:rPr>
        <w:t xml:space="preserve"> Hu, Secretary, Board of Directors</w:t>
      </w:r>
    </w:p>
    <w:p w:rsidR="005E27CD" w:rsidRDefault="00363599" w:rsidP="00370E54">
      <w:pPr>
        <w:spacing w:beforeLines="50" w:before="120" w:line="440" w:lineRule="exact"/>
        <w:textDirection w:val="lrTbV"/>
        <w:rPr>
          <w:rFonts w:eastAsia="標楷體"/>
          <w:sz w:val="32"/>
          <w:szCs w:val="32"/>
        </w:rPr>
      </w:pPr>
      <w:r w:rsidRPr="00506662">
        <w:rPr>
          <w:rFonts w:eastAsia="標楷體" w:hint="eastAsia"/>
          <w:b/>
          <w:sz w:val="24"/>
          <w:szCs w:val="28"/>
        </w:rPr>
        <w:t>Presiding:</w:t>
      </w:r>
      <w:r w:rsidRPr="00506662">
        <w:rPr>
          <w:rFonts w:eastAsia="標楷體" w:hint="eastAsia"/>
          <w:sz w:val="24"/>
          <w:szCs w:val="28"/>
        </w:rPr>
        <w:t xml:space="preserve"> </w:t>
      </w:r>
      <w:r w:rsidR="00776325" w:rsidRPr="00776325">
        <w:rPr>
          <w:rFonts w:eastAsia="標楷體"/>
          <w:sz w:val="24"/>
          <w:szCs w:val="28"/>
        </w:rPr>
        <w:t>Chin-long Yang</w:t>
      </w:r>
      <w:r w:rsidRPr="00506662">
        <w:rPr>
          <w:rFonts w:eastAsia="標楷體" w:hint="eastAsia"/>
          <w:sz w:val="24"/>
          <w:szCs w:val="28"/>
        </w:rPr>
        <w:t xml:space="preserve">　　</w:t>
      </w:r>
      <w:r w:rsidRPr="00543487">
        <w:rPr>
          <w:rFonts w:eastAsia="標楷體" w:hint="eastAsia"/>
          <w:sz w:val="28"/>
          <w:szCs w:val="28"/>
        </w:rPr>
        <w:t xml:space="preserve">　　</w:t>
      </w:r>
      <w:r w:rsidR="005E27CD">
        <w:rPr>
          <w:rFonts w:eastAsia="標楷體"/>
          <w:sz w:val="32"/>
          <w:szCs w:val="32"/>
        </w:rPr>
        <w:br w:type="page"/>
      </w:r>
    </w:p>
    <w:p w:rsidR="002570BA" w:rsidRPr="00EB1763" w:rsidRDefault="005E27CD" w:rsidP="002570BA">
      <w:pPr>
        <w:adjustRightInd/>
        <w:snapToGrid w:val="0"/>
        <w:spacing w:before="240" w:line="520" w:lineRule="exact"/>
        <w:jc w:val="both"/>
        <w:textDirection w:val="lrTbV"/>
        <w:rPr>
          <w:rFonts w:eastAsia="標楷體"/>
          <w:sz w:val="28"/>
          <w:szCs w:val="28"/>
        </w:rPr>
      </w:pPr>
      <w:r>
        <w:rPr>
          <w:rFonts w:eastAsia="標楷體" w:hint="eastAsia"/>
          <w:b/>
          <w:sz w:val="28"/>
          <w:szCs w:val="28"/>
        </w:rPr>
        <w:t>Agenda Item</w:t>
      </w:r>
      <w:r w:rsidR="00EB1763" w:rsidRPr="00EB1763">
        <w:rPr>
          <w:rFonts w:eastAsia="標楷體" w:hint="eastAsia"/>
          <w:b/>
          <w:sz w:val="28"/>
          <w:szCs w:val="28"/>
        </w:rPr>
        <w:t xml:space="preserve">: </w:t>
      </w:r>
      <w:r w:rsidR="002570BA" w:rsidRPr="00EB1763">
        <w:rPr>
          <w:rFonts w:eastAsia="標楷體"/>
          <w:b/>
          <w:sz w:val="28"/>
          <w:szCs w:val="28"/>
        </w:rPr>
        <w:t xml:space="preserve">Economic </w:t>
      </w:r>
      <w:r w:rsidR="002570BA" w:rsidRPr="00EB1763">
        <w:rPr>
          <w:rFonts w:eastAsia="標楷體" w:hint="eastAsia"/>
          <w:b/>
          <w:sz w:val="28"/>
          <w:szCs w:val="28"/>
        </w:rPr>
        <w:t>and Financial Conditions and Monetary Policy</w:t>
      </w:r>
      <w:r w:rsidR="00653A10">
        <w:rPr>
          <w:rFonts w:eastAsia="標楷體" w:hint="eastAsia"/>
          <w:b/>
          <w:sz w:val="28"/>
          <w:szCs w:val="28"/>
        </w:rPr>
        <w:t xml:space="preserve"> Decision</w:t>
      </w:r>
    </w:p>
    <w:p w:rsidR="002570BA" w:rsidRPr="00EB1763" w:rsidRDefault="00EB1763" w:rsidP="00EB1763">
      <w:pPr>
        <w:adjustRightInd/>
        <w:snapToGrid w:val="0"/>
        <w:spacing w:before="240" w:line="520" w:lineRule="exact"/>
        <w:jc w:val="both"/>
        <w:rPr>
          <w:rFonts w:eastAsia="標楷體"/>
          <w:b/>
          <w:sz w:val="28"/>
          <w:szCs w:val="28"/>
        </w:rPr>
      </w:pPr>
      <w:r w:rsidRPr="00EB1763">
        <w:rPr>
          <w:rFonts w:eastAsia="標楷體" w:hint="eastAsia"/>
          <w:b/>
          <w:sz w:val="28"/>
          <w:szCs w:val="28"/>
        </w:rPr>
        <w:t xml:space="preserve">I. </w:t>
      </w:r>
      <w:r w:rsidR="00653A10">
        <w:rPr>
          <w:rFonts w:eastAsia="標楷體" w:hint="eastAsia"/>
          <w:b/>
          <w:sz w:val="28"/>
          <w:szCs w:val="28"/>
        </w:rPr>
        <w:t xml:space="preserve">Review of </w:t>
      </w:r>
      <w:r w:rsidR="002570BA" w:rsidRPr="00EB1763">
        <w:rPr>
          <w:rFonts w:eastAsia="標楷體"/>
          <w:b/>
          <w:sz w:val="28"/>
          <w:szCs w:val="28"/>
        </w:rPr>
        <w:t xml:space="preserve">Economic </w:t>
      </w:r>
      <w:r w:rsidR="002570BA" w:rsidRPr="00EB1763">
        <w:rPr>
          <w:rFonts w:eastAsia="標楷體" w:hint="eastAsia"/>
          <w:b/>
          <w:sz w:val="28"/>
          <w:szCs w:val="28"/>
        </w:rPr>
        <w:t>a</w:t>
      </w:r>
      <w:r w:rsidR="002570BA" w:rsidRPr="00EB1763">
        <w:rPr>
          <w:rFonts w:eastAsia="標楷體"/>
          <w:b/>
          <w:sz w:val="28"/>
          <w:szCs w:val="28"/>
        </w:rPr>
        <w:t xml:space="preserve">nd Financial Conditions </w:t>
      </w:r>
    </w:p>
    <w:p w:rsidR="00EB1763" w:rsidRPr="00506662" w:rsidRDefault="0043506F" w:rsidP="00EB1763">
      <w:pPr>
        <w:adjustRightInd/>
        <w:snapToGrid w:val="0"/>
        <w:spacing w:before="240" w:line="520" w:lineRule="exact"/>
        <w:jc w:val="both"/>
        <w:textDirection w:val="lrTbV"/>
        <w:rPr>
          <w:rFonts w:eastAsia="標楷體"/>
          <w:sz w:val="24"/>
          <w:szCs w:val="28"/>
        </w:rPr>
      </w:pPr>
      <w:r w:rsidRPr="00506662">
        <w:rPr>
          <w:rFonts w:eastAsia="標楷體" w:hint="eastAsia"/>
          <w:sz w:val="24"/>
          <w:szCs w:val="28"/>
        </w:rPr>
        <w:t xml:space="preserve">The </w:t>
      </w:r>
      <w:r w:rsidR="00EB1763" w:rsidRPr="00506662">
        <w:rPr>
          <w:rFonts w:eastAsia="標楷體" w:hint="eastAsia"/>
          <w:sz w:val="24"/>
          <w:szCs w:val="28"/>
        </w:rPr>
        <w:t xml:space="preserve">Department of Economic Research </w:t>
      </w:r>
      <w:r w:rsidR="00653A10" w:rsidRPr="00506662">
        <w:rPr>
          <w:rFonts w:eastAsia="標楷體" w:hint="eastAsia"/>
          <w:sz w:val="24"/>
          <w:szCs w:val="28"/>
        </w:rPr>
        <w:t xml:space="preserve">presented </w:t>
      </w:r>
      <w:r w:rsidRPr="00506662">
        <w:rPr>
          <w:rFonts w:eastAsia="標楷體" w:hint="eastAsia"/>
          <w:sz w:val="24"/>
          <w:szCs w:val="28"/>
        </w:rPr>
        <w:t>the following review</w:t>
      </w:r>
      <w:r w:rsidR="00653A10" w:rsidRPr="00506662">
        <w:rPr>
          <w:rFonts w:eastAsia="標楷體" w:hint="eastAsia"/>
          <w:sz w:val="24"/>
          <w:szCs w:val="28"/>
        </w:rPr>
        <w:t>:</w:t>
      </w:r>
      <w:r w:rsidRPr="00506662">
        <w:rPr>
          <w:rFonts w:eastAsia="標楷體" w:hint="eastAsia"/>
          <w:sz w:val="24"/>
          <w:szCs w:val="28"/>
        </w:rPr>
        <w:t xml:space="preserve"> </w:t>
      </w:r>
    </w:p>
    <w:p w:rsidR="00EB1763" w:rsidRPr="00506662" w:rsidRDefault="00EB1763" w:rsidP="0043506F">
      <w:pPr>
        <w:numPr>
          <w:ilvl w:val="0"/>
          <w:numId w:val="30"/>
        </w:numPr>
        <w:overflowPunct w:val="0"/>
        <w:autoSpaceDE w:val="0"/>
        <w:autoSpaceDN w:val="0"/>
        <w:snapToGrid w:val="0"/>
        <w:spacing w:before="240" w:line="520" w:lineRule="exact"/>
        <w:ind w:left="426" w:hanging="426"/>
        <w:jc w:val="both"/>
        <w:rPr>
          <w:rFonts w:eastAsia="標楷體"/>
          <w:b/>
          <w:spacing w:val="-2"/>
          <w:sz w:val="24"/>
          <w:szCs w:val="24"/>
        </w:rPr>
      </w:pPr>
      <w:r w:rsidRPr="00506662">
        <w:rPr>
          <w:rFonts w:eastAsia="標楷體" w:hint="eastAsia"/>
          <w:b/>
          <w:spacing w:val="-2"/>
          <w:sz w:val="24"/>
          <w:szCs w:val="24"/>
        </w:rPr>
        <w:t xml:space="preserve">International </w:t>
      </w:r>
      <w:r w:rsidRPr="00506662">
        <w:rPr>
          <w:rFonts w:eastAsia="標楷體"/>
          <w:b/>
          <w:spacing w:val="-2"/>
          <w:sz w:val="24"/>
          <w:szCs w:val="24"/>
        </w:rPr>
        <w:t xml:space="preserve">Economic </w:t>
      </w:r>
      <w:r w:rsidRPr="00506662">
        <w:rPr>
          <w:rFonts w:eastAsia="標楷體" w:hint="eastAsia"/>
          <w:b/>
          <w:spacing w:val="-2"/>
          <w:sz w:val="24"/>
          <w:szCs w:val="24"/>
        </w:rPr>
        <w:t>a</w:t>
      </w:r>
      <w:r w:rsidRPr="00506662">
        <w:rPr>
          <w:rFonts w:eastAsia="標楷體"/>
          <w:b/>
          <w:spacing w:val="-2"/>
          <w:sz w:val="24"/>
          <w:szCs w:val="24"/>
        </w:rPr>
        <w:t>nd Financial Conditions</w:t>
      </w:r>
    </w:p>
    <w:p w:rsidR="00294C67" w:rsidRDefault="0044761E" w:rsidP="00AA297D">
      <w:pPr>
        <w:pStyle w:val="6"/>
        <w:overflowPunct w:val="0"/>
        <w:snapToGrid w:val="0"/>
        <w:spacing w:after="0" w:line="440" w:lineRule="exact"/>
        <w:ind w:left="0" w:firstLineChars="200" w:firstLine="480"/>
        <w:rPr>
          <w:rFonts w:ascii="Times New Roman" w:eastAsia="標楷體"/>
          <w:spacing w:val="0"/>
          <w:sz w:val="24"/>
          <w:szCs w:val="24"/>
        </w:rPr>
      </w:pPr>
      <w:r>
        <w:rPr>
          <w:rFonts w:ascii="Times New Roman" w:eastAsia="標楷體" w:hint="eastAsia"/>
          <w:spacing w:val="0"/>
          <w:sz w:val="24"/>
          <w:szCs w:val="24"/>
        </w:rPr>
        <w:t xml:space="preserve">Since </w:t>
      </w:r>
      <w:r w:rsidR="00B5411B">
        <w:rPr>
          <w:rFonts w:ascii="Times New Roman" w:eastAsia="標楷體" w:hint="eastAsia"/>
          <w:spacing w:val="0"/>
          <w:sz w:val="24"/>
          <w:szCs w:val="24"/>
        </w:rPr>
        <w:t xml:space="preserve">June 2018, when </w:t>
      </w:r>
      <w:r>
        <w:rPr>
          <w:rFonts w:ascii="Times New Roman" w:eastAsia="標楷體" w:hint="eastAsia"/>
          <w:spacing w:val="0"/>
          <w:sz w:val="24"/>
          <w:szCs w:val="24"/>
        </w:rPr>
        <w:t xml:space="preserve">the </w:t>
      </w:r>
      <w:r w:rsidR="009A4BC6">
        <w:rPr>
          <w:rFonts w:ascii="Times New Roman" w:eastAsia="標楷體" w:hint="eastAsia"/>
          <w:spacing w:val="0"/>
          <w:sz w:val="24"/>
          <w:szCs w:val="24"/>
        </w:rPr>
        <w:t>B</w:t>
      </w:r>
      <w:r w:rsidR="00294C67">
        <w:rPr>
          <w:rFonts w:ascii="Times New Roman" w:eastAsia="標楷體" w:hint="eastAsia"/>
          <w:spacing w:val="0"/>
          <w:sz w:val="24"/>
          <w:szCs w:val="24"/>
        </w:rPr>
        <w:t>oard last convened</w:t>
      </w:r>
      <w:r>
        <w:rPr>
          <w:rFonts w:ascii="Times New Roman" w:eastAsia="標楷體" w:hint="eastAsia"/>
          <w:spacing w:val="0"/>
          <w:sz w:val="24"/>
          <w:szCs w:val="24"/>
        </w:rPr>
        <w:t xml:space="preserve">, </w:t>
      </w:r>
      <w:r w:rsidR="00294C67">
        <w:rPr>
          <w:rFonts w:ascii="Times New Roman" w:eastAsia="標楷體" w:hint="eastAsia"/>
          <w:spacing w:val="0"/>
          <w:sz w:val="24"/>
          <w:szCs w:val="24"/>
        </w:rPr>
        <w:t xml:space="preserve">global </w:t>
      </w:r>
      <w:r w:rsidR="00294C67">
        <w:rPr>
          <w:rFonts w:ascii="Times New Roman" w:eastAsia="標楷體"/>
          <w:spacing w:val="0"/>
          <w:sz w:val="24"/>
          <w:szCs w:val="24"/>
        </w:rPr>
        <w:t>economic</w:t>
      </w:r>
      <w:r w:rsidR="00294C67">
        <w:rPr>
          <w:rFonts w:ascii="Times New Roman" w:eastAsia="標楷體" w:hint="eastAsia"/>
          <w:spacing w:val="0"/>
          <w:sz w:val="24"/>
          <w:szCs w:val="24"/>
        </w:rPr>
        <w:t xml:space="preserve"> </w:t>
      </w:r>
      <w:r w:rsidR="00C32282">
        <w:rPr>
          <w:rFonts w:ascii="Times New Roman" w:eastAsia="標楷體" w:hint="eastAsia"/>
          <w:spacing w:val="0"/>
          <w:sz w:val="24"/>
          <w:szCs w:val="24"/>
        </w:rPr>
        <w:t xml:space="preserve">growth </w:t>
      </w:r>
      <w:r w:rsidR="00294C67">
        <w:rPr>
          <w:rFonts w:ascii="Times New Roman" w:eastAsia="標楷體" w:hint="eastAsia"/>
          <w:spacing w:val="0"/>
          <w:sz w:val="24"/>
          <w:szCs w:val="24"/>
        </w:rPr>
        <w:t xml:space="preserve">has advanced steadily. Nevertheless, </w:t>
      </w:r>
      <w:r w:rsidR="00B5411B">
        <w:rPr>
          <w:rFonts w:ascii="Times New Roman" w:eastAsia="標楷體" w:hint="eastAsia"/>
          <w:spacing w:val="0"/>
          <w:sz w:val="24"/>
          <w:szCs w:val="24"/>
        </w:rPr>
        <w:t xml:space="preserve">the economic outlook is expected to be </w:t>
      </w:r>
      <w:r w:rsidR="00294C67">
        <w:rPr>
          <w:rFonts w:ascii="Times New Roman" w:eastAsia="標楷體" w:hint="eastAsia"/>
          <w:spacing w:val="0"/>
          <w:sz w:val="24"/>
          <w:szCs w:val="24"/>
        </w:rPr>
        <w:t xml:space="preserve">weighed down by escalating </w:t>
      </w:r>
      <w:r w:rsidR="001C33BD">
        <w:rPr>
          <w:rFonts w:ascii="Times New Roman" w:eastAsia="標楷體" w:hint="eastAsia"/>
          <w:spacing w:val="0"/>
          <w:sz w:val="24"/>
          <w:szCs w:val="24"/>
        </w:rPr>
        <w:t xml:space="preserve">international </w:t>
      </w:r>
      <w:r w:rsidR="00294C67">
        <w:rPr>
          <w:rFonts w:ascii="Times New Roman" w:eastAsia="標楷體" w:hint="eastAsia"/>
          <w:spacing w:val="0"/>
          <w:sz w:val="24"/>
          <w:szCs w:val="24"/>
        </w:rPr>
        <w:t xml:space="preserve">trade friction, </w:t>
      </w:r>
      <w:r w:rsidR="00B5411B">
        <w:rPr>
          <w:rFonts w:ascii="Times New Roman" w:eastAsia="標楷體" w:hint="eastAsia"/>
          <w:spacing w:val="0"/>
          <w:sz w:val="24"/>
          <w:szCs w:val="24"/>
        </w:rPr>
        <w:t xml:space="preserve">with the world </w:t>
      </w:r>
      <w:r w:rsidR="00294C67">
        <w:rPr>
          <w:rFonts w:ascii="Times New Roman" w:eastAsia="標楷體" w:hint="eastAsia"/>
          <w:spacing w:val="0"/>
          <w:sz w:val="24"/>
          <w:szCs w:val="24"/>
        </w:rPr>
        <w:t xml:space="preserve">and major economies </w:t>
      </w:r>
      <w:r w:rsidR="00B5411B">
        <w:rPr>
          <w:rFonts w:ascii="Times New Roman" w:eastAsia="標楷體" w:hint="eastAsia"/>
          <w:spacing w:val="0"/>
          <w:sz w:val="24"/>
          <w:szCs w:val="24"/>
        </w:rPr>
        <w:t xml:space="preserve">heading for some moderation in the second half of 2018 and the year of 2019. </w:t>
      </w:r>
      <w:r w:rsidR="00D57375">
        <w:rPr>
          <w:rFonts w:ascii="Times New Roman" w:eastAsia="標楷體" w:hint="eastAsia"/>
          <w:spacing w:val="0"/>
          <w:sz w:val="24"/>
          <w:szCs w:val="24"/>
        </w:rPr>
        <w:t xml:space="preserve">International forecasters </w:t>
      </w:r>
      <w:r w:rsidR="00FA46DB">
        <w:rPr>
          <w:rFonts w:ascii="Times New Roman" w:eastAsia="標楷體" w:hint="eastAsia"/>
          <w:spacing w:val="0"/>
          <w:sz w:val="24"/>
          <w:szCs w:val="24"/>
        </w:rPr>
        <w:t>recently</w:t>
      </w:r>
      <w:r w:rsidR="00D57375">
        <w:rPr>
          <w:rFonts w:ascii="Times New Roman" w:eastAsia="標楷體" w:hint="eastAsia"/>
          <w:spacing w:val="0"/>
          <w:sz w:val="24"/>
          <w:szCs w:val="24"/>
        </w:rPr>
        <w:t xml:space="preserve"> trimmed </w:t>
      </w:r>
      <w:r w:rsidR="006418A3">
        <w:rPr>
          <w:rFonts w:ascii="Times New Roman" w:eastAsia="標楷體" w:hint="eastAsia"/>
          <w:spacing w:val="0"/>
          <w:sz w:val="24"/>
          <w:szCs w:val="24"/>
        </w:rPr>
        <w:t xml:space="preserve">their </w:t>
      </w:r>
      <w:r w:rsidR="00FA46DB">
        <w:rPr>
          <w:rFonts w:ascii="Times New Roman" w:eastAsia="標楷體" w:hint="eastAsia"/>
          <w:spacing w:val="0"/>
          <w:sz w:val="24"/>
          <w:szCs w:val="24"/>
        </w:rPr>
        <w:t>projections</w:t>
      </w:r>
      <w:r w:rsidR="006418A3">
        <w:rPr>
          <w:rFonts w:ascii="Times New Roman" w:eastAsia="標楷體" w:hint="eastAsia"/>
          <w:spacing w:val="0"/>
          <w:sz w:val="24"/>
          <w:szCs w:val="24"/>
        </w:rPr>
        <w:t xml:space="preserve"> for global economic growth in 2018 and 2019</w:t>
      </w:r>
      <w:r w:rsidR="00FA46DB">
        <w:rPr>
          <w:rFonts w:ascii="Times New Roman" w:eastAsia="標楷體" w:hint="eastAsia"/>
          <w:spacing w:val="0"/>
          <w:sz w:val="24"/>
          <w:szCs w:val="24"/>
        </w:rPr>
        <w:t xml:space="preserve"> and most of them expected major economies to </w:t>
      </w:r>
      <w:r w:rsidR="002744D9">
        <w:rPr>
          <w:rFonts w:ascii="Times New Roman" w:eastAsia="標楷體" w:hint="eastAsia"/>
          <w:spacing w:val="0"/>
          <w:sz w:val="24"/>
          <w:szCs w:val="24"/>
        </w:rPr>
        <w:t xml:space="preserve">expand at a slower pace next year than this year. Growth in world trade volume this and next year </w:t>
      </w:r>
      <w:r w:rsidR="00AA297D">
        <w:rPr>
          <w:rFonts w:ascii="Times New Roman" w:eastAsia="標楷體" w:hint="eastAsia"/>
          <w:spacing w:val="0"/>
          <w:sz w:val="24"/>
          <w:szCs w:val="24"/>
        </w:rPr>
        <w:t>could also</w:t>
      </w:r>
      <w:r w:rsidR="002744D9">
        <w:rPr>
          <w:rFonts w:ascii="Times New Roman" w:eastAsia="標楷體" w:hint="eastAsia"/>
          <w:spacing w:val="0"/>
          <w:sz w:val="24"/>
          <w:szCs w:val="24"/>
        </w:rPr>
        <w:t xml:space="preserve"> be dragged down </w:t>
      </w:r>
      <w:r w:rsidR="00AF6DA6">
        <w:rPr>
          <w:rFonts w:ascii="Times New Roman" w:eastAsia="標楷體" w:hint="eastAsia"/>
          <w:spacing w:val="0"/>
          <w:sz w:val="24"/>
          <w:szCs w:val="24"/>
        </w:rPr>
        <w:t>by intensify</w:t>
      </w:r>
      <w:r w:rsidR="00AA297D">
        <w:rPr>
          <w:rFonts w:ascii="Times New Roman" w:eastAsia="標楷體" w:hint="eastAsia"/>
          <w:spacing w:val="0"/>
          <w:sz w:val="24"/>
          <w:szCs w:val="24"/>
        </w:rPr>
        <w:t xml:space="preserve">ing trade conflicts. The 2018 global inflation rate will </w:t>
      </w:r>
      <w:r w:rsidR="001C33BD">
        <w:rPr>
          <w:rFonts w:ascii="Times New Roman" w:eastAsia="標楷體" w:hint="eastAsia"/>
          <w:spacing w:val="0"/>
          <w:sz w:val="24"/>
          <w:szCs w:val="24"/>
        </w:rPr>
        <w:t>be</w:t>
      </w:r>
      <w:r w:rsidR="00AA297D">
        <w:rPr>
          <w:rFonts w:ascii="Times New Roman" w:eastAsia="標楷體" w:hint="eastAsia"/>
          <w:spacing w:val="0"/>
          <w:sz w:val="24"/>
          <w:szCs w:val="24"/>
        </w:rPr>
        <w:t xml:space="preserve"> higher than last year and continue to climb next year, reflecting the weakness in multiple currencies owing to a strong US dollar</w:t>
      </w:r>
      <w:r w:rsidR="00A411C8">
        <w:rPr>
          <w:rFonts w:ascii="Times New Roman" w:eastAsia="標楷體" w:hint="eastAsia"/>
          <w:spacing w:val="0"/>
          <w:sz w:val="24"/>
          <w:szCs w:val="24"/>
        </w:rPr>
        <w:t>,</w:t>
      </w:r>
      <w:r w:rsidR="00AA297D">
        <w:rPr>
          <w:rFonts w:ascii="Times New Roman" w:eastAsia="標楷體" w:hint="eastAsia"/>
          <w:spacing w:val="0"/>
          <w:sz w:val="24"/>
          <w:szCs w:val="24"/>
        </w:rPr>
        <w:t xml:space="preserve"> and ris</w:t>
      </w:r>
      <w:r w:rsidR="00A411C8">
        <w:rPr>
          <w:rFonts w:ascii="Times New Roman" w:eastAsia="標楷體" w:hint="eastAsia"/>
          <w:spacing w:val="0"/>
          <w:sz w:val="24"/>
          <w:szCs w:val="24"/>
        </w:rPr>
        <w:t>es in</w:t>
      </w:r>
      <w:r w:rsidR="00AA297D">
        <w:rPr>
          <w:rFonts w:ascii="Times New Roman" w:eastAsia="標楷體" w:hint="eastAsia"/>
          <w:spacing w:val="0"/>
          <w:sz w:val="24"/>
          <w:szCs w:val="24"/>
        </w:rPr>
        <w:t xml:space="preserve"> energy prices. </w:t>
      </w:r>
    </w:p>
    <w:p w:rsidR="00FA1B39" w:rsidRDefault="00552EB2" w:rsidP="002E2AEA">
      <w:pPr>
        <w:pStyle w:val="6"/>
        <w:overflowPunct w:val="0"/>
        <w:snapToGrid w:val="0"/>
        <w:spacing w:after="0" w:line="440" w:lineRule="exact"/>
        <w:ind w:left="0" w:firstLineChars="200" w:firstLine="480"/>
        <w:rPr>
          <w:rFonts w:ascii="Times New Roman" w:eastAsia="標楷體"/>
          <w:spacing w:val="0"/>
          <w:sz w:val="24"/>
          <w:szCs w:val="24"/>
        </w:rPr>
      </w:pPr>
      <w:r>
        <w:rPr>
          <w:rFonts w:ascii="Times New Roman" w:eastAsia="標楷體" w:hint="eastAsia"/>
          <w:spacing w:val="0"/>
          <w:sz w:val="24"/>
          <w:szCs w:val="24"/>
        </w:rPr>
        <w:t xml:space="preserve">In terms of monetary policy, </w:t>
      </w:r>
      <w:r w:rsidR="00FA1B39">
        <w:rPr>
          <w:rFonts w:ascii="Times New Roman" w:eastAsia="標楷體" w:hint="eastAsia"/>
          <w:spacing w:val="0"/>
          <w:sz w:val="24"/>
          <w:szCs w:val="24"/>
        </w:rPr>
        <w:t xml:space="preserve">the pace of normalization has been uneven among </w:t>
      </w:r>
      <w:r w:rsidR="00F44DAE">
        <w:rPr>
          <w:rFonts w:ascii="Times New Roman" w:eastAsia="標楷體" w:hint="eastAsia"/>
          <w:spacing w:val="0"/>
          <w:sz w:val="24"/>
          <w:szCs w:val="24"/>
        </w:rPr>
        <w:t>major economies</w:t>
      </w:r>
      <w:r w:rsidR="00FA1B39">
        <w:rPr>
          <w:rFonts w:ascii="Times New Roman" w:eastAsia="標楷體" w:hint="eastAsia"/>
          <w:spacing w:val="0"/>
          <w:sz w:val="24"/>
          <w:szCs w:val="24"/>
        </w:rPr>
        <w:t>. The US Federal Reserve</w:t>
      </w:r>
      <w:r w:rsidR="00FA1B39">
        <w:rPr>
          <w:rFonts w:ascii="Times New Roman" w:eastAsia="標楷體"/>
          <w:spacing w:val="0"/>
          <w:sz w:val="24"/>
          <w:szCs w:val="24"/>
        </w:rPr>
        <w:t xml:space="preserve"> raised its policy rate </w:t>
      </w:r>
      <w:r w:rsidR="00D12A75">
        <w:rPr>
          <w:rFonts w:ascii="Times New Roman" w:eastAsia="標楷體" w:hint="eastAsia"/>
          <w:spacing w:val="0"/>
          <w:sz w:val="24"/>
          <w:szCs w:val="24"/>
        </w:rPr>
        <w:t xml:space="preserve">by 25 basis points </w:t>
      </w:r>
      <w:r w:rsidR="00FA1B39">
        <w:rPr>
          <w:rFonts w:ascii="Times New Roman" w:eastAsia="標楷體"/>
          <w:spacing w:val="0"/>
          <w:sz w:val="24"/>
          <w:szCs w:val="24"/>
        </w:rPr>
        <w:t xml:space="preserve">in September, marking the eighth rate hike since the end of 2015. </w:t>
      </w:r>
      <w:r w:rsidR="00FA1B39">
        <w:rPr>
          <w:rFonts w:ascii="Times New Roman" w:eastAsia="標楷體" w:hint="eastAsia"/>
          <w:spacing w:val="0"/>
          <w:sz w:val="24"/>
          <w:szCs w:val="24"/>
        </w:rPr>
        <w:t>The European Central B</w:t>
      </w:r>
      <w:r w:rsidR="00FA1B39">
        <w:rPr>
          <w:rFonts w:ascii="Times New Roman" w:eastAsia="標楷體"/>
          <w:spacing w:val="0"/>
          <w:sz w:val="24"/>
          <w:szCs w:val="24"/>
        </w:rPr>
        <w:t>a</w:t>
      </w:r>
      <w:r w:rsidR="00FA1B39">
        <w:rPr>
          <w:rFonts w:ascii="Times New Roman" w:eastAsia="標楷體" w:hint="eastAsia"/>
          <w:spacing w:val="0"/>
          <w:sz w:val="24"/>
          <w:szCs w:val="24"/>
        </w:rPr>
        <w:t xml:space="preserve">nk </w:t>
      </w:r>
      <w:r w:rsidR="009A2837">
        <w:rPr>
          <w:rFonts w:ascii="Times New Roman" w:eastAsia="標楷體" w:hint="eastAsia"/>
          <w:spacing w:val="0"/>
          <w:sz w:val="24"/>
          <w:szCs w:val="24"/>
        </w:rPr>
        <w:t xml:space="preserve">will keep the policy rate </w:t>
      </w:r>
      <w:r w:rsidR="00895478">
        <w:rPr>
          <w:rFonts w:ascii="Times New Roman" w:eastAsia="標楷體" w:hint="eastAsia"/>
          <w:spacing w:val="0"/>
          <w:sz w:val="24"/>
          <w:szCs w:val="24"/>
        </w:rPr>
        <w:t xml:space="preserve">unchanged </w:t>
      </w:r>
      <w:r w:rsidR="009A2837">
        <w:rPr>
          <w:rFonts w:ascii="Times New Roman" w:eastAsia="標楷體" w:hint="eastAsia"/>
          <w:spacing w:val="0"/>
          <w:sz w:val="24"/>
          <w:szCs w:val="24"/>
        </w:rPr>
        <w:t xml:space="preserve">until at least next summer </w:t>
      </w:r>
      <w:r w:rsidR="00D12A75">
        <w:rPr>
          <w:rFonts w:ascii="Times New Roman" w:eastAsia="標楷體" w:hint="eastAsia"/>
          <w:spacing w:val="0"/>
          <w:sz w:val="24"/>
          <w:szCs w:val="24"/>
        </w:rPr>
        <w:t xml:space="preserve">but its asset purchases will end </w:t>
      </w:r>
      <w:r w:rsidR="006C5C4C">
        <w:rPr>
          <w:rFonts w:ascii="Times New Roman" w:eastAsia="標楷體" w:hint="eastAsia"/>
          <w:spacing w:val="0"/>
          <w:sz w:val="24"/>
          <w:szCs w:val="24"/>
        </w:rPr>
        <w:t xml:space="preserve">in </w:t>
      </w:r>
      <w:r w:rsidR="00D12A75">
        <w:rPr>
          <w:rFonts w:ascii="Times New Roman" w:eastAsia="標楷體" w:hint="eastAsia"/>
          <w:spacing w:val="0"/>
          <w:sz w:val="24"/>
          <w:szCs w:val="24"/>
        </w:rPr>
        <w:t>December</w:t>
      </w:r>
      <w:r w:rsidR="006C5C4C">
        <w:rPr>
          <w:rFonts w:ascii="Times New Roman" w:eastAsia="標楷體" w:hint="eastAsia"/>
          <w:spacing w:val="0"/>
          <w:sz w:val="24"/>
          <w:szCs w:val="24"/>
        </w:rPr>
        <w:t xml:space="preserve"> 2018</w:t>
      </w:r>
      <w:r w:rsidR="00D12A75">
        <w:rPr>
          <w:rFonts w:ascii="Times New Roman" w:eastAsia="標楷體" w:hint="eastAsia"/>
          <w:spacing w:val="0"/>
          <w:sz w:val="24"/>
          <w:szCs w:val="24"/>
        </w:rPr>
        <w:t xml:space="preserve">. The Bank of Japan will </w:t>
      </w:r>
      <w:r w:rsidR="00D12A75">
        <w:rPr>
          <w:rFonts w:ascii="Times New Roman" w:eastAsia="標楷體"/>
          <w:spacing w:val="0"/>
          <w:sz w:val="24"/>
          <w:szCs w:val="24"/>
        </w:rPr>
        <w:t xml:space="preserve">maintain an easy policy stance </w:t>
      </w:r>
      <w:r w:rsidR="00D12A75">
        <w:rPr>
          <w:rFonts w:ascii="Times New Roman" w:eastAsia="標楷體" w:hint="eastAsia"/>
          <w:spacing w:val="0"/>
          <w:sz w:val="24"/>
          <w:szCs w:val="24"/>
        </w:rPr>
        <w:t xml:space="preserve">and hold their short- and long-term rates at extremely low levels for an extended time. </w:t>
      </w:r>
      <w:r w:rsidR="00170DA5">
        <w:rPr>
          <w:rFonts w:ascii="Times New Roman" w:eastAsia="標楷體" w:hint="eastAsia"/>
          <w:spacing w:val="0"/>
          <w:sz w:val="24"/>
          <w:szCs w:val="24"/>
        </w:rPr>
        <w:t xml:space="preserve">Meanwhile, some emerging market economies </w:t>
      </w:r>
      <w:r w:rsidR="00991ED9">
        <w:rPr>
          <w:rFonts w:ascii="Times New Roman" w:eastAsia="標楷體" w:hint="eastAsia"/>
          <w:spacing w:val="0"/>
          <w:sz w:val="24"/>
          <w:szCs w:val="24"/>
        </w:rPr>
        <w:t xml:space="preserve">lifted rates </w:t>
      </w:r>
      <w:r w:rsidR="00F64ED9">
        <w:rPr>
          <w:rFonts w:ascii="Times New Roman" w:eastAsia="標楷體" w:hint="eastAsia"/>
          <w:spacing w:val="0"/>
          <w:sz w:val="24"/>
          <w:szCs w:val="24"/>
        </w:rPr>
        <w:t xml:space="preserve">in order </w:t>
      </w:r>
      <w:r w:rsidR="00991ED9">
        <w:rPr>
          <w:rFonts w:ascii="Times New Roman" w:eastAsia="標楷體" w:hint="eastAsia"/>
          <w:spacing w:val="0"/>
          <w:sz w:val="24"/>
          <w:szCs w:val="24"/>
        </w:rPr>
        <w:t xml:space="preserve">to </w:t>
      </w:r>
      <w:r w:rsidR="00F44DAE">
        <w:rPr>
          <w:rFonts w:ascii="Times New Roman" w:eastAsia="標楷體" w:hint="eastAsia"/>
          <w:spacing w:val="0"/>
          <w:sz w:val="24"/>
          <w:szCs w:val="24"/>
        </w:rPr>
        <w:t xml:space="preserve">curb currency depreciation, </w:t>
      </w:r>
      <w:r w:rsidR="005D5223">
        <w:rPr>
          <w:rFonts w:ascii="Times New Roman" w:eastAsia="標楷體" w:hint="eastAsia"/>
          <w:spacing w:val="0"/>
          <w:sz w:val="24"/>
          <w:szCs w:val="24"/>
        </w:rPr>
        <w:t xml:space="preserve">rein in capital </w:t>
      </w:r>
      <w:r w:rsidR="00124E70">
        <w:rPr>
          <w:rFonts w:ascii="Times New Roman" w:eastAsia="標楷體" w:hint="eastAsia"/>
          <w:spacing w:val="0"/>
          <w:sz w:val="24"/>
          <w:szCs w:val="24"/>
        </w:rPr>
        <w:t>outflows</w:t>
      </w:r>
      <w:r w:rsidR="00F64ED9">
        <w:rPr>
          <w:rFonts w:ascii="Times New Roman" w:eastAsia="標楷體" w:hint="eastAsia"/>
          <w:spacing w:val="0"/>
          <w:sz w:val="24"/>
          <w:szCs w:val="24"/>
        </w:rPr>
        <w:t>,</w:t>
      </w:r>
      <w:r w:rsidR="00124E70">
        <w:rPr>
          <w:rFonts w:ascii="Times New Roman" w:eastAsia="標楷體" w:hint="eastAsia"/>
          <w:spacing w:val="0"/>
          <w:sz w:val="24"/>
          <w:szCs w:val="24"/>
        </w:rPr>
        <w:t xml:space="preserve"> or cool inflation, whereas the People</w:t>
      </w:r>
      <w:r w:rsidR="00124E70">
        <w:rPr>
          <w:rFonts w:ascii="Times New Roman" w:eastAsia="標楷體"/>
          <w:spacing w:val="0"/>
          <w:sz w:val="24"/>
          <w:szCs w:val="24"/>
        </w:rPr>
        <w:t>’</w:t>
      </w:r>
      <w:r w:rsidR="00124E70">
        <w:rPr>
          <w:rFonts w:ascii="Times New Roman" w:eastAsia="標楷體" w:hint="eastAsia"/>
          <w:spacing w:val="0"/>
          <w:sz w:val="24"/>
          <w:szCs w:val="24"/>
        </w:rPr>
        <w:t xml:space="preserve">s Bank of China remained accommodative in view of downside risks to the economy and the financial sector. </w:t>
      </w:r>
    </w:p>
    <w:p w:rsidR="008019C1" w:rsidRDefault="00D1368A" w:rsidP="008019C1">
      <w:pPr>
        <w:pStyle w:val="6"/>
        <w:overflowPunct w:val="0"/>
        <w:snapToGrid w:val="0"/>
        <w:spacing w:after="0" w:line="440" w:lineRule="exact"/>
        <w:ind w:left="0" w:firstLineChars="200" w:firstLine="480"/>
        <w:rPr>
          <w:rFonts w:ascii="Times New Roman" w:eastAsia="標楷體"/>
          <w:spacing w:val="0"/>
          <w:sz w:val="24"/>
          <w:szCs w:val="24"/>
        </w:rPr>
      </w:pPr>
      <w:r>
        <w:rPr>
          <w:rFonts w:ascii="Times New Roman" w:eastAsia="標楷體" w:hint="eastAsia"/>
          <w:spacing w:val="0"/>
          <w:sz w:val="24"/>
          <w:szCs w:val="24"/>
        </w:rPr>
        <w:t xml:space="preserve">In the international financial markets, </w:t>
      </w:r>
      <w:r w:rsidR="0056742F">
        <w:rPr>
          <w:rFonts w:ascii="Times New Roman" w:eastAsia="標楷體" w:hint="eastAsia"/>
          <w:spacing w:val="0"/>
          <w:sz w:val="24"/>
          <w:szCs w:val="24"/>
        </w:rPr>
        <w:t>the USD index rose to an all-year high as the Turkish lira</w:t>
      </w:r>
      <w:r w:rsidR="0056742F">
        <w:rPr>
          <w:rFonts w:ascii="Times New Roman" w:eastAsia="標楷體"/>
          <w:spacing w:val="0"/>
          <w:sz w:val="24"/>
          <w:szCs w:val="24"/>
        </w:rPr>
        <w:t>’</w:t>
      </w:r>
      <w:r w:rsidR="0056742F">
        <w:rPr>
          <w:rFonts w:ascii="Times New Roman" w:eastAsia="標楷體" w:hint="eastAsia"/>
          <w:spacing w:val="0"/>
          <w:sz w:val="24"/>
          <w:szCs w:val="24"/>
        </w:rPr>
        <w:t>s plunge in August stoked up hedging demand</w:t>
      </w:r>
      <w:r w:rsidR="008019C1">
        <w:rPr>
          <w:rFonts w:ascii="Times New Roman" w:eastAsia="標楷體" w:hint="eastAsia"/>
          <w:spacing w:val="0"/>
          <w:sz w:val="24"/>
          <w:szCs w:val="24"/>
        </w:rPr>
        <w:t xml:space="preserve"> but then dropped </w:t>
      </w:r>
      <w:r w:rsidR="008019C1" w:rsidRPr="008019C1">
        <w:rPr>
          <w:rFonts w:ascii="Times New Roman" w:eastAsia="標楷體"/>
          <w:spacing w:val="0"/>
          <w:sz w:val="24"/>
          <w:szCs w:val="24"/>
        </w:rPr>
        <w:t>as worries subsided over Turkey's currency crisis</w:t>
      </w:r>
      <w:r w:rsidR="008019C1">
        <w:rPr>
          <w:rFonts w:ascii="Times New Roman" w:eastAsia="標楷體" w:hint="eastAsia"/>
          <w:spacing w:val="0"/>
          <w:sz w:val="24"/>
          <w:szCs w:val="24"/>
        </w:rPr>
        <w:t xml:space="preserve">. The 10-year US government bond yield climbed higher on market expectations of </w:t>
      </w:r>
      <w:r>
        <w:rPr>
          <w:rFonts w:ascii="Times New Roman" w:eastAsia="標楷體" w:hint="eastAsia"/>
          <w:spacing w:val="0"/>
          <w:sz w:val="24"/>
          <w:szCs w:val="24"/>
        </w:rPr>
        <w:t>faster Fed rate hikes</w:t>
      </w:r>
      <w:r w:rsidR="008019C1">
        <w:rPr>
          <w:rFonts w:ascii="Times New Roman" w:eastAsia="標楷體" w:hint="eastAsia"/>
          <w:spacing w:val="0"/>
          <w:sz w:val="24"/>
          <w:szCs w:val="24"/>
        </w:rPr>
        <w:t xml:space="preserve">. </w:t>
      </w:r>
      <w:r w:rsidR="006D5192">
        <w:rPr>
          <w:rFonts w:ascii="Times New Roman" w:eastAsia="標楷體" w:hint="eastAsia"/>
          <w:spacing w:val="0"/>
          <w:sz w:val="24"/>
          <w:szCs w:val="24"/>
        </w:rPr>
        <w:t>Dollar strength brought down the value of most currencies of emerging mar</w:t>
      </w:r>
      <w:r w:rsidR="00E35D3D">
        <w:rPr>
          <w:rFonts w:ascii="Times New Roman" w:eastAsia="標楷體" w:hint="eastAsia"/>
          <w:spacing w:val="0"/>
          <w:sz w:val="24"/>
          <w:szCs w:val="24"/>
        </w:rPr>
        <w:t>ket economies. In particular, the August lira crash has triggered capital outflows and currency depreciation in</w:t>
      </w:r>
      <w:r w:rsidR="001E3006">
        <w:rPr>
          <w:rFonts w:ascii="Times New Roman" w:eastAsia="標楷體" w:hint="eastAsia"/>
          <w:spacing w:val="0"/>
          <w:sz w:val="24"/>
          <w:szCs w:val="24"/>
        </w:rPr>
        <w:t xml:space="preserve"> some </w:t>
      </w:r>
      <w:r w:rsidR="00E35D3D">
        <w:rPr>
          <w:rFonts w:ascii="Times New Roman" w:eastAsia="標楷體" w:hint="eastAsia"/>
          <w:spacing w:val="0"/>
          <w:sz w:val="24"/>
          <w:szCs w:val="24"/>
        </w:rPr>
        <w:t xml:space="preserve">emerging markets, and the global financial markets have become more volatile. </w:t>
      </w:r>
    </w:p>
    <w:p w:rsidR="00E802B2" w:rsidRDefault="00E73089" w:rsidP="006B5E28">
      <w:pPr>
        <w:pStyle w:val="6"/>
        <w:overflowPunct w:val="0"/>
        <w:snapToGrid w:val="0"/>
        <w:spacing w:after="0" w:line="440" w:lineRule="exact"/>
        <w:ind w:left="0" w:firstLineChars="200" w:firstLine="480"/>
        <w:rPr>
          <w:rFonts w:ascii="Times New Roman" w:eastAsia="標楷體"/>
          <w:spacing w:val="0"/>
          <w:sz w:val="24"/>
          <w:szCs w:val="24"/>
        </w:rPr>
      </w:pPr>
      <w:r>
        <w:rPr>
          <w:rFonts w:ascii="Times New Roman" w:eastAsia="標楷體" w:hint="eastAsia"/>
          <w:spacing w:val="0"/>
          <w:sz w:val="24"/>
          <w:szCs w:val="24"/>
        </w:rPr>
        <w:t xml:space="preserve">Risks to the global </w:t>
      </w:r>
      <w:r>
        <w:rPr>
          <w:rFonts w:ascii="Times New Roman" w:eastAsia="標楷體"/>
          <w:spacing w:val="0"/>
          <w:sz w:val="24"/>
          <w:szCs w:val="24"/>
        </w:rPr>
        <w:t>econom</w:t>
      </w:r>
      <w:r>
        <w:rPr>
          <w:rFonts w:ascii="Times New Roman" w:eastAsia="標楷體" w:hint="eastAsia"/>
          <w:spacing w:val="0"/>
          <w:sz w:val="24"/>
          <w:szCs w:val="24"/>
        </w:rPr>
        <w:t xml:space="preserve">ic and financial development include: </w:t>
      </w:r>
      <w:r w:rsidR="00772C0D">
        <w:rPr>
          <w:rFonts w:ascii="Times New Roman" w:eastAsia="標楷體" w:hint="eastAsia"/>
          <w:spacing w:val="0"/>
          <w:sz w:val="24"/>
          <w:szCs w:val="24"/>
        </w:rPr>
        <w:t>(1) uncertain</w:t>
      </w:r>
      <w:r w:rsidR="00B51B9F">
        <w:rPr>
          <w:rFonts w:ascii="Times New Roman" w:eastAsia="標楷體" w:hint="eastAsia"/>
          <w:spacing w:val="0"/>
          <w:sz w:val="24"/>
          <w:szCs w:val="24"/>
        </w:rPr>
        <w:t>ty</w:t>
      </w:r>
      <w:r w:rsidR="00772C0D">
        <w:rPr>
          <w:rFonts w:ascii="Times New Roman" w:eastAsia="標楷體" w:hint="eastAsia"/>
          <w:spacing w:val="0"/>
          <w:sz w:val="24"/>
          <w:szCs w:val="24"/>
        </w:rPr>
        <w:t xml:space="preserve"> over the US trade policy: </w:t>
      </w:r>
      <w:r w:rsidR="00F675AD" w:rsidRPr="00F675AD">
        <w:rPr>
          <w:rFonts w:ascii="Times New Roman" w:eastAsia="標楷體"/>
          <w:spacing w:val="0"/>
          <w:sz w:val="24"/>
          <w:szCs w:val="24"/>
        </w:rPr>
        <w:t xml:space="preserve">an escalation of </w:t>
      </w:r>
      <w:r w:rsidR="00B51B9F">
        <w:rPr>
          <w:rFonts w:ascii="Times New Roman" w:eastAsia="標楷體" w:hint="eastAsia"/>
          <w:spacing w:val="0"/>
          <w:sz w:val="24"/>
          <w:szCs w:val="24"/>
        </w:rPr>
        <w:t xml:space="preserve">US-China </w:t>
      </w:r>
      <w:r w:rsidR="00F675AD">
        <w:rPr>
          <w:rFonts w:ascii="Times New Roman" w:eastAsia="標楷體"/>
          <w:spacing w:val="0"/>
          <w:sz w:val="24"/>
          <w:szCs w:val="24"/>
        </w:rPr>
        <w:t>trade conflict</w:t>
      </w:r>
      <w:r w:rsidR="00B51B9F">
        <w:rPr>
          <w:rFonts w:ascii="Times New Roman" w:eastAsia="標楷體" w:hint="eastAsia"/>
          <w:spacing w:val="0"/>
          <w:sz w:val="24"/>
          <w:szCs w:val="24"/>
        </w:rPr>
        <w:t>s, in particular,</w:t>
      </w:r>
      <w:r w:rsidR="00F675AD">
        <w:rPr>
          <w:rFonts w:ascii="Times New Roman" w:eastAsia="標楷體"/>
          <w:spacing w:val="0"/>
          <w:sz w:val="24"/>
          <w:szCs w:val="24"/>
        </w:rPr>
        <w:t xml:space="preserve"> could </w:t>
      </w:r>
      <w:r w:rsidR="00DC0871">
        <w:rPr>
          <w:rFonts w:ascii="Times New Roman" w:eastAsia="標楷體" w:hint="eastAsia"/>
          <w:spacing w:val="0"/>
          <w:sz w:val="24"/>
          <w:szCs w:val="24"/>
        </w:rPr>
        <w:t xml:space="preserve">dampen </w:t>
      </w:r>
      <w:r w:rsidR="00F675AD">
        <w:rPr>
          <w:rFonts w:ascii="Times New Roman" w:eastAsia="標楷體"/>
          <w:spacing w:val="0"/>
          <w:sz w:val="24"/>
          <w:szCs w:val="24"/>
        </w:rPr>
        <w:t xml:space="preserve">corporate confidence, adversely affecting global economic </w:t>
      </w:r>
      <w:r w:rsidR="00F675AD">
        <w:rPr>
          <w:rFonts w:ascii="Times New Roman" w:eastAsia="標楷體" w:hint="eastAsia"/>
          <w:spacing w:val="0"/>
          <w:sz w:val="24"/>
          <w:szCs w:val="24"/>
        </w:rPr>
        <w:t>growth</w:t>
      </w:r>
      <w:r w:rsidR="00B77E6B">
        <w:rPr>
          <w:rFonts w:ascii="Times New Roman" w:eastAsia="標楷體" w:hint="eastAsia"/>
          <w:spacing w:val="0"/>
          <w:sz w:val="24"/>
          <w:szCs w:val="24"/>
        </w:rPr>
        <w:t>;</w:t>
      </w:r>
      <w:r w:rsidR="00F675AD">
        <w:rPr>
          <w:rFonts w:ascii="Times New Roman" w:eastAsia="標楷體" w:hint="eastAsia"/>
          <w:spacing w:val="0"/>
          <w:sz w:val="24"/>
          <w:szCs w:val="24"/>
        </w:rPr>
        <w:t xml:space="preserve"> </w:t>
      </w:r>
      <w:r w:rsidR="00601F2F">
        <w:rPr>
          <w:rFonts w:ascii="Times New Roman" w:eastAsia="標楷體" w:hint="eastAsia"/>
          <w:spacing w:val="0"/>
          <w:sz w:val="24"/>
          <w:szCs w:val="24"/>
        </w:rPr>
        <w:t xml:space="preserve">(2) </w:t>
      </w:r>
      <w:r w:rsidR="00B77E6B">
        <w:rPr>
          <w:rFonts w:ascii="Times New Roman" w:eastAsia="標楷體" w:hint="eastAsia"/>
          <w:spacing w:val="0"/>
          <w:sz w:val="24"/>
          <w:szCs w:val="24"/>
        </w:rPr>
        <w:t xml:space="preserve">financial risks stemming from emerging market economies: </w:t>
      </w:r>
      <w:r w:rsidR="001F333B">
        <w:rPr>
          <w:rFonts w:ascii="Times New Roman" w:eastAsia="標楷體" w:hint="eastAsia"/>
          <w:spacing w:val="0"/>
          <w:sz w:val="24"/>
          <w:szCs w:val="24"/>
        </w:rPr>
        <w:t xml:space="preserve">if </w:t>
      </w:r>
      <w:r w:rsidR="00B77E6B">
        <w:rPr>
          <w:rFonts w:ascii="Times New Roman" w:eastAsia="標楷體" w:hint="eastAsia"/>
          <w:spacing w:val="0"/>
          <w:sz w:val="24"/>
          <w:szCs w:val="24"/>
        </w:rPr>
        <w:t>a strong</w:t>
      </w:r>
      <w:r w:rsidR="001F333B">
        <w:rPr>
          <w:rFonts w:ascii="Times New Roman" w:eastAsia="標楷體" w:hint="eastAsia"/>
          <w:spacing w:val="0"/>
          <w:sz w:val="24"/>
          <w:szCs w:val="24"/>
        </w:rPr>
        <w:t>er</w:t>
      </w:r>
      <w:r w:rsidR="00B77E6B">
        <w:rPr>
          <w:rFonts w:ascii="Times New Roman" w:eastAsia="標楷體" w:hint="eastAsia"/>
          <w:spacing w:val="0"/>
          <w:sz w:val="24"/>
          <w:szCs w:val="24"/>
        </w:rPr>
        <w:t xml:space="preserve"> dollar and </w:t>
      </w:r>
      <w:r w:rsidR="001F333B">
        <w:rPr>
          <w:rFonts w:ascii="Times New Roman" w:eastAsia="標楷體" w:hint="eastAsia"/>
          <w:spacing w:val="0"/>
          <w:sz w:val="24"/>
          <w:szCs w:val="24"/>
        </w:rPr>
        <w:t xml:space="preserve">higher </w:t>
      </w:r>
      <w:r w:rsidR="00B77E6B">
        <w:rPr>
          <w:rFonts w:ascii="Times New Roman" w:eastAsia="標楷體" w:hint="eastAsia"/>
          <w:spacing w:val="0"/>
          <w:sz w:val="24"/>
          <w:szCs w:val="24"/>
        </w:rPr>
        <w:t>Fed rate</w:t>
      </w:r>
      <w:r w:rsidR="001F333B">
        <w:rPr>
          <w:rFonts w:ascii="Times New Roman" w:eastAsia="標楷體" w:hint="eastAsia"/>
          <w:spacing w:val="0"/>
          <w:sz w:val="24"/>
          <w:szCs w:val="24"/>
        </w:rPr>
        <w:t>s</w:t>
      </w:r>
      <w:r w:rsidR="00B77E6B">
        <w:rPr>
          <w:rFonts w:ascii="Times New Roman" w:eastAsia="標楷體" w:hint="eastAsia"/>
          <w:spacing w:val="0"/>
          <w:sz w:val="24"/>
          <w:szCs w:val="24"/>
        </w:rPr>
        <w:t xml:space="preserve"> </w:t>
      </w:r>
      <w:r w:rsidR="002A6042">
        <w:rPr>
          <w:rFonts w:ascii="Times New Roman" w:eastAsia="標楷體" w:hint="eastAsia"/>
          <w:spacing w:val="0"/>
          <w:sz w:val="24"/>
          <w:szCs w:val="24"/>
        </w:rPr>
        <w:t xml:space="preserve">significantly </w:t>
      </w:r>
      <w:r w:rsidR="00B77E6B">
        <w:rPr>
          <w:rFonts w:ascii="Times New Roman" w:eastAsia="標楷體" w:hint="eastAsia"/>
          <w:spacing w:val="0"/>
          <w:sz w:val="24"/>
          <w:szCs w:val="24"/>
        </w:rPr>
        <w:t xml:space="preserve">push up </w:t>
      </w:r>
      <w:r w:rsidR="002A6042">
        <w:rPr>
          <w:rFonts w:ascii="Times New Roman" w:eastAsia="標楷體" w:hint="eastAsia"/>
          <w:spacing w:val="0"/>
          <w:sz w:val="24"/>
          <w:szCs w:val="24"/>
        </w:rPr>
        <w:t xml:space="preserve">USD-denominated debt held by emerging market </w:t>
      </w:r>
      <w:r w:rsidR="001F333B">
        <w:rPr>
          <w:rFonts w:ascii="Times New Roman" w:eastAsia="標楷體" w:hint="eastAsia"/>
          <w:spacing w:val="0"/>
          <w:sz w:val="24"/>
          <w:szCs w:val="24"/>
        </w:rPr>
        <w:t xml:space="preserve">economies, </w:t>
      </w:r>
      <w:r w:rsidR="007C6927">
        <w:rPr>
          <w:rFonts w:ascii="Times New Roman" w:eastAsia="標楷體" w:hint="eastAsia"/>
          <w:spacing w:val="0"/>
          <w:sz w:val="24"/>
          <w:szCs w:val="24"/>
        </w:rPr>
        <w:t xml:space="preserve">financial conditions in these </w:t>
      </w:r>
      <w:r w:rsidR="006C5C4C">
        <w:rPr>
          <w:rFonts w:ascii="Times New Roman" w:eastAsia="標楷體" w:hint="eastAsia"/>
          <w:spacing w:val="0"/>
          <w:sz w:val="24"/>
          <w:szCs w:val="24"/>
        </w:rPr>
        <w:t>economi</w:t>
      </w:r>
      <w:r w:rsidR="007C6927">
        <w:rPr>
          <w:rFonts w:ascii="Times New Roman" w:eastAsia="標楷體" w:hint="eastAsia"/>
          <w:spacing w:val="0"/>
          <w:sz w:val="24"/>
          <w:szCs w:val="24"/>
        </w:rPr>
        <w:t xml:space="preserve">es could </w:t>
      </w:r>
      <w:r w:rsidR="003E6D6F">
        <w:rPr>
          <w:rFonts w:ascii="Times New Roman" w:eastAsia="標楷體" w:hint="eastAsia"/>
          <w:spacing w:val="0"/>
          <w:sz w:val="24"/>
          <w:szCs w:val="24"/>
        </w:rPr>
        <w:t xml:space="preserve">deteriorate further; (3) </w:t>
      </w:r>
      <w:r w:rsidR="00BE58E5">
        <w:rPr>
          <w:rFonts w:ascii="Times New Roman" w:eastAsia="標楷體" w:hint="eastAsia"/>
          <w:spacing w:val="0"/>
          <w:sz w:val="24"/>
          <w:szCs w:val="24"/>
        </w:rPr>
        <w:t>r</w:t>
      </w:r>
      <w:r w:rsidR="00C63A85">
        <w:rPr>
          <w:rFonts w:ascii="Times New Roman" w:eastAsia="標楷體" w:hint="eastAsia"/>
          <w:spacing w:val="0"/>
          <w:sz w:val="24"/>
          <w:szCs w:val="24"/>
        </w:rPr>
        <w:t>isks associated with Chin</w:t>
      </w:r>
      <w:r w:rsidR="00E27066">
        <w:rPr>
          <w:rFonts w:ascii="Times New Roman" w:eastAsia="標楷體" w:hint="eastAsia"/>
          <w:spacing w:val="0"/>
          <w:sz w:val="24"/>
          <w:szCs w:val="24"/>
        </w:rPr>
        <w:t>a</w:t>
      </w:r>
      <w:r w:rsidR="00E27066">
        <w:rPr>
          <w:rFonts w:ascii="Times New Roman" w:eastAsia="標楷體"/>
          <w:spacing w:val="0"/>
          <w:sz w:val="24"/>
          <w:szCs w:val="24"/>
        </w:rPr>
        <w:t>’</w:t>
      </w:r>
      <w:r w:rsidR="00E27066">
        <w:rPr>
          <w:rFonts w:ascii="Times New Roman" w:eastAsia="標楷體" w:hint="eastAsia"/>
          <w:spacing w:val="0"/>
          <w:sz w:val="24"/>
          <w:szCs w:val="24"/>
        </w:rPr>
        <w:t>s</w:t>
      </w:r>
      <w:r w:rsidR="00C63A85">
        <w:rPr>
          <w:rFonts w:ascii="Times New Roman" w:eastAsia="標楷體" w:hint="eastAsia"/>
          <w:spacing w:val="0"/>
          <w:sz w:val="24"/>
          <w:szCs w:val="24"/>
        </w:rPr>
        <w:t xml:space="preserve"> </w:t>
      </w:r>
      <w:r w:rsidR="00C63A85">
        <w:rPr>
          <w:rFonts w:ascii="Times New Roman" w:eastAsia="標楷體"/>
          <w:spacing w:val="0"/>
          <w:sz w:val="24"/>
          <w:szCs w:val="24"/>
        </w:rPr>
        <w:t xml:space="preserve">economic and financial conditions: </w:t>
      </w:r>
      <w:r w:rsidR="00C8287F">
        <w:rPr>
          <w:rFonts w:ascii="Times New Roman" w:eastAsia="標楷體" w:hint="eastAsia"/>
          <w:spacing w:val="0"/>
          <w:sz w:val="24"/>
          <w:szCs w:val="24"/>
        </w:rPr>
        <w:t xml:space="preserve">the prospect of </w:t>
      </w:r>
      <w:r w:rsidR="005C369F">
        <w:rPr>
          <w:rFonts w:ascii="Times New Roman" w:eastAsia="標楷體" w:hint="eastAsia"/>
          <w:spacing w:val="0"/>
          <w:sz w:val="24"/>
          <w:szCs w:val="24"/>
        </w:rPr>
        <w:t>a deeper US-China trade conflict</w:t>
      </w:r>
      <w:r w:rsidR="005946D8">
        <w:rPr>
          <w:rFonts w:ascii="Times New Roman" w:eastAsia="標楷體" w:hint="eastAsia"/>
          <w:spacing w:val="0"/>
          <w:sz w:val="24"/>
          <w:szCs w:val="24"/>
        </w:rPr>
        <w:t xml:space="preserve"> </w:t>
      </w:r>
      <w:r w:rsidR="00C8287F">
        <w:rPr>
          <w:rFonts w:ascii="Times New Roman" w:eastAsia="標楷體" w:hint="eastAsia"/>
          <w:spacing w:val="0"/>
          <w:sz w:val="24"/>
          <w:szCs w:val="24"/>
        </w:rPr>
        <w:t xml:space="preserve">impacting </w:t>
      </w:r>
      <w:r w:rsidR="005946D8">
        <w:rPr>
          <w:rFonts w:ascii="Times New Roman" w:eastAsia="標楷體" w:hint="eastAsia"/>
          <w:spacing w:val="0"/>
          <w:sz w:val="24"/>
          <w:szCs w:val="24"/>
        </w:rPr>
        <w:t>China</w:t>
      </w:r>
      <w:r w:rsidR="005946D8">
        <w:rPr>
          <w:rFonts w:ascii="Times New Roman" w:eastAsia="標楷體"/>
          <w:spacing w:val="0"/>
          <w:sz w:val="24"/>
          <w:szCs w:val="24"/>
        </w:rPr>
        <w:t>’</w:t>
      </w:r>
      <w:r w:rsidR="005946D8">
        <w:rPr>
          <w:rFonts w:ascii="Times New Roman" w:eastAsia="標楷體" w:hint="eastAsia"/>
          <w:spacing w:val="0"/>
          <w:sz w:val="24"/>
          <w:szCs w:val="24"/>
        </w:rPr>
        <w:t>s manufacturing investment and export growth</w:t>
      </w:r>
      <w:r w:rsidR="0092516F">
        <w:rPr>
          <w:rFonts w:ascii="Times New Roman" w:eastAsia="標楷體" w:hint="eastAsia"/>
          <w:spacing w:val="0"/>
          <w:sz w:val="24"/>
          <w:szCs w:val="24"/>
        </w:rPr>
        <w:t xml:space="preserve"> </w:t>
      </w:r>
      <w:r w:rsidR="00C8287F">
        <w:rPr>
          <w:rFonts w:ascii="Times New Roman" w:eastAsia="標楷體" w:hint="eastAsia"/>
          <w:spacing w:val="0"/>
          <w:sz w:val="24"/>
          <w:szCs w:val="24"/>
        </w:rPr>
        <w:t xml:space="preserve">has driven up downside risks to </w:t>
      </w:r>
      <w:r w:rsidR="00C8287F">
        <w:rPr>
          <w:rFonts w:ascii="Times New Roman" w:eastAsia="標楷體"/>
          <w:spacing w:val="0"/>
          <w:sz w:val="24"/>
          <w:szCs w:val="24"/>
        </w:rPr>
        <w:t>economic</w:t>
      </w:r>
      <w:r w:rsidR="00C8287F">
        <w:rPr>
          <w:rFonts w:ascii="Times New Roman" w:eastAsia="標楷體" w:hint="eastAsia"/>
          <w:spacing w:val="0"/>
          <w:sz w:val="24"/>
          <w:szCs w:val="24"/>
        </w:rPr>
        <w:t xml:space="preserve"> </w:t>
      </w:r>
      <w:r w:rsidR="00FD0FA7">
        <w:rPr>
          <w:rFonts w:ascii="Times New Roman" w:eastAsia="標楷體" w:hint="eastAsia"/>
          <w:spacing w:val="0"/>
          <w:sz w:val="24"/>
          <w:szCs w:val="24"/>
        </w:rPr>
        <w:t xml:space="preserve">growth; mounting </w:t>
      </w:r>
      <w:r w:rsidR="00C8287F" w:rsidRPr="00C8287F">
        <w:rPr>
          <w:rFonts w:ascii="Times New Roman" w:eastAsia="標楷體"/>
          <w:spacing w:val="0"/>
          <w:sz w:val="24"/>
          <w:szCs w:val="24"/>
        </w:rPr>
        <w:t>non-financial sector debt</w:t>
      </w:r>
      <w:r w:rsidR="00FD0FA7">
        <w:rPr>
          <w:rFonts w:ascii="Times New Roman" w:eastAsia="標楷體" w:hint="eastAsia"/>
          <w:spacing w:val="0"/>
          <w:sz w:val="24"/>
          <w:szCs w:val="24"/>
        </w:rPr>
        <w:t xml:space="preserve"> and increasing defaults on bonds and loans undermin</w:t>
      </w:r>
      <w:r w:rsidR="00F744CD">
        <w:rPr>
          <w:rFonts w:ascii="Times New Roman" w:eastAsia="標楷體" w:hint="eastAsia"/>
          <w:spacing w:val="0"/>
          <w:sz w:val="24"/>
          <w:szCs w:val="24"/>
        </w:rPr>
        <w:t>e</w:t>
      </w:r>
      <w:r w:rsidR="00FD0FA7">
        <w:rPr>
          <w:rFonts w:ascii="Times New Roman" w:eastAsia="標楷體" w:hint="eastAsia"/>
          <w:spacing w:val="0"/>
          <w:sz w:val="24"/>
          <w:szCs w:val="24"/>
        </w:rPr>
        <w:t xml:space="preserve"> China</w:t>
      </w:r>
      <w:r w:rsidR="00FD0FA7">
        <w:rPr>
          <w:rFonts w:ascii="Times New Roman" w:eastAsia="標楷體"/>
          <w:spacing w:val="0"/>
          <w:sz w:val="24"/>
          <w:szCs w:val="24"/>
        </w:rPr>
        <w:t>’</w:t>
      </w:r>
      <w:r w:rsidR="00FD0FA7">
        <w:rPr>
          <w:rFonts w:ascii="Times New Roman" w:eastAsia="標楷體" w:hint="eastAsia"/>
          <w:spacing w:val="0"/>
          <w:sz w:val="24"/>
          <w:szCs w:val="24"/>
        </w:rPr>
        <w:t xml:space="preserve">s financial </w:t>
      </w:r>
      <w:r w:rsidR="00FD0FA7">
        <w:rPr>
          <w:rFonts w:ascii="Times New Roman" w:eastAsia="標楷體"/>
          <w:spacing w:val="0"/>
          <w:sz w:val="24"/>
          <w:szCs w:val="24"/>
        </w:rPr>
        <w:t>stability</w:t>
      </w:r>
      <w:r w:rsidR="00FD0FA7">
        <w:rPr>
          <w:rFonts w:ascii="Times New Roman" w:eastAsia="標楷體" w:hint="eastAsia"/>
          <w:spacing w:val="0"/>
          <w:sz w:val="24"/>
          <w:szCs w:val="24"/>
        </w:rPr>
        <w:t xml:space="preserve">; </w:t>
      </w:r>
      <w:r w:rsidR="00F744CD">
        <w:rPr>
          <w:rFonts w:ascii="Times New Roman" w:eastAsia="標楷體" w:hint="eastAsia"/>
          <w:spacing w:val="0"/>
          <w:sz w:val="24"/>
          <w:szCs w:val="24"/>
        </w:rPr>
        <w:t xml:space="preserve">(4) geopolitical risks: </w:t>
      </w:r>
      <w:r w:rsidR="006B5E28">
        <w:rPr>
          <w:rFonts w:ascii="Times New Roman" w:eastAsia="標楷體" w:hint="eastAsia"/>
          <w:spacing w:val="0"/>
          <w:sz w:val="24"/>
          <w:szCs w:val="24"/>
        </w:rPr>
        <w:t xml:space="preserve">the </w:t>
      </w:r>
      <w:r w:rsidR="00DB07D4">
        <w:rPr>
          <w:rFonts w:ascii="Times New Roman" w:eastAsia="標楷體" w:hint="eastAsia"/>
          <w:spacing w:val="0"/>
          <w:sz w:val="24"/>
          <w:szCs w:val="24"/>
        </w:rPr>
        <w:t xml:space="preserve">Brexit talk deadlock and </w:t>
      </w:r>
      <w:r w:rsidR="006B5E28">
        <w:rPr>
          <w:rFonts w:ascii="Times New Roman" w:eastAsia="標楷體" w:hint="eastAsia"/>
          <w:spacing w:val="0"/>
          <w:sz w:val="24"/>
          <w:szCs w:val="24"/>
        </w:rPr>
        <w:t xml:space="preserve">upward pressures on oil prices </w:t>
      </w:r>
      <w:r w:rsidR="006B5E28">
        <w:rPr>
          <w:rFonts w:ascii="Times New Roman" w:eastAsia="標楷體"/>
          <w:spacing w:val="0"/>
          <w:sz w:val="24"/>
          <w:szCs w:val="24"/>
        </w:rPr>
        <w:t>from the</w:t>
      </w:r>
      <w:r w:rsidR="006B5E28">
        <w:rPr>
          <w:rFonts w:ascii="Times New Roman" w:eastAsia="標楷體" w:hint="eastAsia"/>
          <w:spacing w:val="0"/>
          <w:sz w:val="24"/>
          <w:szCs w:val="24"/>
        </w:rPr>
        <w:t xml:space="preserve"> supply shock of re-imposed </w:t>
      </w:r>
      <w:r w:rsidR="00DB07D4">
        <w:rPr>
          <w:rFonts w:ascii="Times New Roman" w:eastAsia="標楷體" w:hint="eastAsia"/>
          <w:spacing w:val="0"/>
          <w:sz w:val="24"/>
          <w:szCs w:val="24"/>
        </w:rPr>
        <w:t>US sanctions against Iran</w:t>
      </w:r>
      <w:r w:rsidR="006B5E28">
        <w:rPr>
          <w:rFonts w:ascii="Times New Roman" w:eastAsia="標楷體" w:hint="eastAsia"/>
          <w:spacing w:val="0"/>
          <w:sz w:val="24"/>
          <w:szCs w:val="24"/>
        </w:rPr>
        <w:t xml:space="preserve"> would add to the uncertainty over the global </w:t>
      </w:r>
      <w:r w:rsidR="006B5E28">
        <w:rPr>
          <w:rFonts w:ascii="Times New Roman" w:eastAsia="標楷體"/>
          <w:spacing w:val="0"/>
          <w:sz w:val="24"/>
          <w:szCs w:val="24"/>
        </w:rPr>
        <w:t>economic</w:t>
      </w:r>
      <w:r w:rsidR="006B5E28">
        <w:rPr>
          <w:rFonts w:ascii="Times New Roman" w:eastAsia="標楷體" w:hint="eastAsia"/>
          <w:spacing w:val="0"/>
          <w:sz w:val="24"/>
          <w:szCs w:val="24"/>
        </w:rPr>
        <w:t xml:space="preserve"> and financial outlook. </w:t>
      </w:r>
    </w:p>
    <w:p w:rsidR="00D46F1E" w:rsidRPr="00506662" w:rsidRDefault="00D46F1E" w:rsidP="0043506F">
      <w:pPr>
        <w:numPr>
          <w:ilvl w:val="0"/>
          <w:numId w:val="30"/>
        </w:numPr>
        <w:overflowPunct w:val="0"/>
        <w:autoSpaceDE w:val="0"/>
        <w:autoSpaceDN w:val="0"/>
        <w:snapToGrid w:val="0"/>
        <w:spacing w:before="240" w:line="520" w:lineRule="exact"/>
        <w:ind w:left="426" w:hanging="426"/>
        <w:rPr>
          <w:rFonts w:eastAsia="標楷體"/>
          <w:b/>
          <w:spacing w:val="-2"/>
          <w:sz w:val="24"/>
          <w:szCs w:val="24"/>
        </w:rPr>
      </w:pPr>
      <w:r w:rsidRPr="00506662">
        <w:rPr>
          <w:rFonts w:eastAsia="標楷體" w:hint="eastAsia"/>
          <w:b/>
          <w:spacing w:val="-2"/>
          <w:sz w:val="24"/>
          <w:szCs w:val="24"/>
        </w:rPr>
        <w:t>Domestic</w:t>
      </w:r>
      <w:r w:rsidRPr="00506662">
        <w:rPr>
          <w:rFonts w:eastAsia="標楷體"/>
          <w:b/>
          <w:spacing w:val="-2"/>
          <w:sz w:val="24"/>
          <w:szCs w:val="24"/>
        </w:rPr>
        <w:t xml:space="preserve"> Economic </w:t>
      </w:r>
      <w:r w:rsidRPr="00506662">
        <w:rPr>
          <w:rFonts w:eastAsia="標楷體" w:hint="eastAsia"/>
          <w:b/>
          <w:spacing w:val="-2"/>
          <w:sz w:val="24"/>
          <w:szCs w:val="24"/>
        </w:rPr>
        <w:t>a</w:t>
      </w:r>
      <w:r w:rsidRPr="00506662">
        <w:rPr>
          <w:rFonts w:eastAsia="標楷體"/>
          <w:b/>
          <w:spacing w:val="-2"/>
          <w:sz w:val="24"/>
          <w:szCs w:val="24"/>
        </w:rPr>
        <w:t>nd Financial Conditions</w:t>
      </w:r>
    </w:p>
    <w:p w:rsidR="00D46F1E" w:rsidRPr="00506662" w:rsidRDefault="00D46F1E" w:rsidP="00506662">
      <w:pPr>
        <w:adjustRightInd/>
        <w:spacing w:before="120" w:line="440" w:lineRule="exact"/>
        <w:textAlignment w:val="auto"/>
        <w:rPr>
          <w:rFonts w:eastAsia="標楷體"/>
          <w:spacing w:val="-2"/>
          <w:kern w:val="2"/>
          <w:sz w:val="24"/>
          <w:szCs w:val="24"/>
        </w:rPr>
      </w:pPr>
      <w:r w:rsidRPr="00506662">
        <w:rPr>
          <w:rFonts w:eastAsia="標楷體"/>
          <w:spacing w:val="-2"/>
          <w:kern w:val="2"/>
          <w:sz w:val="24"/>
          <w:szCs w:val="24"/>
        </w:rPr>
        <w:t>(</w:t>
      </w:r>
      <w:r w:rsidRPr="00506662">
        <w:rPr>
          <w:rFonts w:eastAsia="標楷體" w:hint="eastAsia"/>
          <w:spacing w:val="-2"/>
          <w:kern w:val="2"/>
          <w:sz w:val="24"/>
          <w:szCs w:val="24"/>
        </w:rPr>
        <w:t>1</w:t>
      </w:r>
      <w:r w:rsidRPr="00506662">
        <w:rPr>
          <w:rFonts w:eastAsia="標楷體"/>
          <w:spacing w:val="-2"/>
          <w:kern w:val="2"/>
          <w:sz w:val="24"/>
          <w:szCs w:val="24"/>
        </w:rPr>
        <w:t>)</w:t>
      </w:r>
      <w:r w:rsidRPr="00506662">
        <w:rPr>
          <w:rFonts w:eastAsia="標楷體" w:hint="eastAsia"/>
          <w:spacing w:val="-2"/>
          <w:kern w:val="2"/>
          <w:sz w:val="24"/>
          <w:szCs w:val="24"/>
        </w:rPr>
        <w:t xml:space="preserve"> Economic situation </w:t>
      </w:r>
    </w:p>
    <w:p w:rsidR="00053A2D" w:rsidRDefault="00053A2D" w:rsidP="00435EE2">
      <w:pPr>
        <w:pStyle w:val="6"/>
        <w:overflowPunct w:val="0"/>
        <w:snapToGrid w:val="0"/>
        <w:spacing w:after="0" w:line="440" w:lineRule="exact"/>
        <w:ind w:left="0" w:firstLineChars="200" w:firstLine="480"/>
        <w:rPr>
          <w:rFonts w:ascii="Times New Roman" w:eastAsia="標楷體"/>
          <w:spacing w:val="0"/>
          <w:sz w:val="24"/>
          <w:szCs w:val="24"/>
        </w:rPr>
      </w:pPr>
      <w:r>
        <w:rPr>
          <w:rFonts w:ascii="Times New Roman" w:eastAsia="標楷體" w:hint="eastAsia"/>
          <w:spacing w:val="0"/>
          <w:sz w:val="24"/>
          <w:szCs w:val="24"/>
        </w:rPr>
        <w:t xml:space="preserve">The overall monitoring indicators for business outlook flashed a </w:t>
      </w:r>
      <w:r>
        <w:rPr>
          <w:rFonts w:ascii="Times New Roman" w:eastAsia="標楷體"/>
          <w:spacing w:val="0"/>
          <w:sz w:val="24"/>
          <w:szCs w:val="24"/>
        </w:rPr>
        <w:t>“</w:t>
      </w:r>
      <w:r>
        <w:rPr>
          <w:rFonts w:ascii="Times New Roman" w:eastAsia="標楷體" w:hint="eastAsia"/>
          <w:spacing w:val="0"/>
          <w:sz w:val="24"/>
          <w:szCs w:val="24"/>
        </w:rPr>
        <w:t>green</w:t>
      </w:r>
      <w:r>
        <w:rPr>
          <w:rFonts w:ascii="Times New Roman" w:eastAsia="標楷體"/>
          <w:spacing w:val="0"/>
          <w:sz w:val="24"/>
          <w:szCs w:val="24"/>
        </w:rPr>
        <w:t>”</w:t>
      </w:r>
      <w:r>
        <w:rPr>
          <w:rFonts w:ascii="Times New Roman" w:eastAsia="標楷體" w:hint="eastAsia"/>
          <w:spacing w:val="0"/>
          <w:sz w:val="24"/>
          <w:szCs w:val="24"/>
        </w:rPr>
        <w:t xml:space="preserve"> light, indicating a mild expansion. However, </w:t>
      </w:r>
      <w:r w:rsidR="00435EE2">
        <w:rPr>
          <w:rFonts w:ascii="Times New Roman" w:eastAsia="標楷體" w:hint="eastAsia"/>
          <w:spacing w:val="0"/>
          <w:sz w:val="24"/>
          <w:szCs w:val="24"/>
        </w:rPr>
        <w:t xml:space="preserve">momentum for </w:t>
      </w:r>
      <w:r>
        <w:rPr>
          <w:rFonts w:ascii="Times New Roman" w:eastAsia="標楷體" w:hint="eastAsia"/>
          <w:spacing w:val="0"/>
          <w:sz w:val="24"/>
          <w:szCs w:val="24"/>
        </w:rPr>
        <w:t>further expansion</w:t>
      </w:r>
      <w:r w:rsidR="00435EE2">
        <w:rPr>
          <w:rFonts w:ascii="Times New Roman" w:eastAsia="標楷體" w:hint="eastAsia"/>
          <w:spacing w:val="0"/>
          <w:sz w:val="24"/>
          <w:szCs w:val="24"/>
        </w:rPr>
        <w:t xml:space="preserve"> seemed to soften</w:t>
      </w:r>
      <w:r w:rsidR="005C30BC">
        <w:rPr>
          <w:rFonts w:ascii="Times New Roman" w:eastAsia="標楷體" w:hint="eastAsia"/>
          <w:spacing w:val="0"/>
          <w:sz w:val="24"/>
          <w:szCs w:val="24"/>
        </w:rPr>
        <w:t>, reflected in recent declines in manufacturer sentiment about business outlook and slower growth in industrial and manufacturing production indices. In g</w:t>
      </w:r>
      <w:r w:rsidR="00435EE2">
        <w:rPr>
          <w:rFonts w:ascii="Times New Roman" w:eastAsia="標楷體" w:hint="eastAsia"/>
          <w:spacing w:val="0"/>
          <w:sz w:val="24"/>
          <w:szCs w:val="24"/>
        </w:rPr>
        <w:t>eneral, net external demand will</w:t>
      </w:r>
      <w:r w:rsidR="005C30BC">
        <w:rPr>
          <w:rFonts w:ascii="Times New Roman" w:eastAsia="標楷體" w:hint="eastAsia"/>
          <w:spacing w:val="0"/>
          <w:sz w:val="24"/>
          <w:szCs w:val="24"/>
        </w:rPr>
        <w:t xml:space="preserve"> contribute less to </w:t>
      </w:r>
      <w:r w:rsidR="005C30BC">
        <w:rPr>
          <w:rFonts w:ascii="Times New Roman" w:eastAsia="標楷體"/>
          <w:spacing w:val="0"/>
          <w:sz w:val="24"/>
          <w:szCs w:val="24"/>
        </w:rPr>
        <w:t>economic</w:t>
      </w:r>
      <w:r w:rsidR="005C30BC">
        <w:rPr>
          <w:rFonts w:ascii="Times New Roman" w:eastAsia="標楷體" w:hint="eastAsia"/>
          <w:spacing w:val="0"/>
          <w:sz w:val="24"/>
          <w:szCs w:val="24"/>
        </w:rPr>
        <w:t xml:space="preserve"> growth in the second half of 2018 </w:t>
      </w:r>
      <w:r w:rsidR="006C5C4C">
        <w:rPr>
          <w:rFonts w:ascii="Times New Roman" w:eastAsia="標楷體" w:hint="eastAsia"/>
          <w:spacing w:val="0"/>
          <w:sz w:val="24"/>
          <w:szCs w:val="24"/>
        </w:rPr>
        <w:t xml:space="preserve">and </w:t>
      </w:r>
      <w:r w:rsidR="005C30BC">
        <w:rPr>
          <w:rFonts w:ascii="Times New Roman" w:eastAsia="標楷體" w:hint="eastAsia"/>
          <w:spacing w:val="0"/>
          <w:sz w:val="24"/>
          <w:szCs w:val="24"/>
        </w:rPr>
        <w:t xml:space="preserve">2019 than in the </w:t>
      </w:r>
      <w:r w:rsidR="006C5C4C">
        <w:rPr>
          <w:rFonts w:ascii="Times New Roman" w:eastAsia="標楷體" w:hint="eastAsia"/>
          <w:spacing w:val="0"/>
          <w:sz w:val="24"/>
          <w:szCs w:val="24"/>
        </w:rPr>
        <w:t>first</w:t>
      </w:r>
      <w:r w:rsidR="005C30BC">
        <w:rPr>
          <w:rFonts w:ascii="Times New Roman" w:eastAsia="標楷體" w:hint="eastAsia"/>
          <w:spacing w:val="0"/>
          <w:sz w:val="24"/>
          <w:szCs w:val="24"/>
        </w:rPr>
        <w:t xml:space="preserve"> half</w:t>
      </w:r>
      <w:r w:rsidR="006C5C4C">
        <w:rPr>
          <w:rFonts w:ascii="Times New Roman" w:eastAsia="標楷體" w:hint="eastAsia"/>
          <w:spacing w:val="0"/>
          <w:sz w:val="24"/>
          <w:szCs w:val="24"/>
        </w:rPr>
        <w:t xml:space="preserve"> of 2018</w:t>
      </w:r>
      <w:r w:rsidR="00435EE2">
        <w:rPr>
          <w:rFonts w:ascii="Times New Roman" w:eastAsia="標楷體" w:hint="eastAsia"/>
          <w:spacing w:val="0"/>
          <w:sz w:val="24"/>
          <w:szCs w:val="24"/>
        </w:rPr>
        <w:t xml:space="preserve"> as a result of global uncertainties including US-China trade disputes</w:t>
      </w:r>
      <w:r w:rsidR="005C30BC">
        <w:rPr>
          <w:rFonts w:ascii="Times New Roman" w:eastAsia="標楷體" w:hint="eastAsia"/>
          <w:spacing w:val="0"/>
          <w:sz w:val="24"/>
          <w:szCs w:val="24"/>
        </w:rPr>
        <w:t>; the 2018-2019 economic growth will mainly be driven by domestic demand. The CBC forecasts Taiwan</w:t>
      </w:r>
      <w:r w:rsidR="005C30BC">
        <w:rPr>
          <w:rFonts w:ascii="Times New Roman" w:eastAsia="標楷體"/>
          <w:spacing w:val="0"/>
          <w:sz w:val="24"/>
          <w:szCs w:val="24"/>
        </w:rPr>
        <w:t>’</w:t>
      </w:r>
      <w:r w:rsidR="005C30BC">
        <w:rPr>
          <w:rFonts w:ascii="Times New Roman" w:eastAsia="標楷體" w:hint="eastAsia"/>
          <w:spacing w:val="0"/>
          <w:sz w:val="24"/>
          <w:szCs w:val="24"/>
        </w:rPr>
        <w:t xml:space="preserve">s </w:t>
      </w:r>
      <w:r w:rsidR="005C30BC">
        <w:rPr>
          <w:rFonts w:ascii="Times New Roman" w:eastAsia="標楷體"/>
          <w:spacing w:val="0"/>
          <w:sz w:val="24"/>
          <w:szCs w:val="24"/>
        </w:rPr>
        <w:t>economy</w:t>
      </w:r>
      <w:r w:rsidR="005C30BC">
        <w:rPr>
          <w:rFonts w:ascii="Times New Roman" w:eastAsia="標楷體" w:hint="eastAsia"/>
          <w:spacing w:val="0"/>
          <w:sz w:val="24"/>
          <w:szCs w:val="24"/>
        </w:rPr>
        <w:t xml:space="preserve"> to expand by 2.73% this year and 2.48% next year. Growth forecasts by major institutions range between 2.30%</w:t>
      </w:r>
      <w:r w:rsidR="006C5C4C">
        <w:rPr>
          <w:rFonts w:ascii="Times New Roman" w:eastAsia="標楷體" w:hint="eastAsia"/>
          <w:spacing w:val="0"/>
          <w:sz w:val="24"/>
          <w:szCs w:val="24"/>
        </w:rPr>
        <w:t xml:space="preserve"> </w:t>
      </w:r>
      <w:r w:rsidR="00661C3C">
        <w:rPr>
          <w:rFonts w:ascii="Times New Roman" w:eastAsia="標楷體" w:hint="eastAsia"/>
          <w:spacing w:val="0"/>
          <w:sz w:val="24"/>
          <w:szCs w:val="24"/>
        </w:rPr>
        <w:t>and</w:t>
      </w:r>
      <w:r w:rsidR="006C5C4C">
        <w:rPr>
          <w:rFonts w:ascii="Times New Roman" w:eastAsia="標楷體" w:hint="eastAsia"/>
          <w:spacing w:val="0"/>
          <w:sz w:val="24"/>
          <w:szCs w:val="24"/>
        </w:rPr>
        <w:t xml:space="preserve"> </w:t>
      </w:r>
      <w:r w:rsidR="005C30BC">
        <w:rPr>
          <w:rFonts w:ascii="Times New Roman" w:eastAsia="標楷體" w:hint="eastAsia"/>
          <w:spacing w:val="0"/>
          <w:sz w:val="24"/>
          <w:szCs w:val="24"/>
        </w:rPr>
        <w:t xml:space="preserve">2.74% for 2018 and </w:t>
      </w:r>
      <w:r w:rsidR="00661C3C">
        <w:rPr>
          <w:rFonts w:ascii="Times New Roman" w:eastAsia="標楷體" w:hint="eastAsia"/>
          <w:spacing w:val="0"/>
          <w:sz w:val="24"/>
          <w:szCs w:val="24"/>
        </w:rPr>
        <w:t xml:space="preserve">between </w:t>
      </w:r>
      <w:r w:rsidR="00E8380F">
        <w:rPr>
          <w:rFonts w:ascii="Times New Roman" w:eastAsia="標楷體" w:hint="eastAsia"/>
          <w:spacing w:val="0"/>
          <w:sz w:val="24"/>
          <w:szCs w:val="24"/>
        </w:rPr>
        <w:t>2.23%</w:t>
      </w:r>
      <w:r w:rsidR="006C5C4C">
        <w:rPr>
          <w:rFonts w:ascii="Times New Roman" w:eastAsia="標楷體" w:hint="eastAsia"/>
          <w:spacing w:val="0"/>
          <w:sz w:val="24"/>
          <w:szCs w:val="24"/>
        </w:rPr>
        <w:t xml:space="preserve"> </w:t>
      </w:r>
      <w:r w:rsidR="00661C3C">
        <w:rPr>
          <w:rFonts w:ascii="Times New Roman" w:eastAsia="標楷體" w:hint="eastAsia"/>
          <w:spacing w:val="0"/>
          <w:sz w:val="24"/>
          <w:szCs w:val="24"/>
        </w:rPr>
        <w:t>and</w:t>
      </w:r>
      <w:r w:rsidR="006C5C4C">
        <w:rPr>
          <w:rFonts w:ascii="Times New Roman" w:eastAsia="標楷體" w:hint="eastAsia"/>
          <w:spacing w:val="0"/>
          <w:sz w:val="24"/>
          <w:szCs w:val="24"/>
        </w:rPr>
        <w:t xml:space="preserve"> </w:t>
      </w:r>
      <w:r w:rsidR="00E8380F">
        <w:rPr>
          <w:rFonts w:ascii="Times New Roman" w:eastAsia="標楷體" w:hint="eastAsia"/>
          <w:spacing w:val="0"/>
          <w:sz w:val="24"/>
          <w:szCs w:val="24"/>
        </w:rPr>
        <w:t xml:space="preserve">2.55% for 2019. </w:t>
      </w:r>
    </w:p>
    <w:p w:rsidR="001322E0" w:rsidRDefault="00197CD3" w:rsidP="00E8380F">
      <w:pPr>
        <w:pStyle w:val="6"/>
        <w:overflowPunct w:val="0"/>
        <w:snapToGrid w:val="0"/>
        <w:spacing w:after="0" w:line="440" w:lineRule="exact"/>
        <w:ind w:left="0" w:firstLineChars="200" w:firstLine="480"/>
        <w:rPr>
          <w:rFonts w:ascii="Times New Roman" w:eastAsia="標楷體"/>
          <w:spacing w:val="0"/>
          <w:sz w:val="24"/>
          <w:szCs w:val="24"/>
        </w:rPr>
      </w:pPr>
      <w:r>
        <w:rPr>
          <w:rFonts w:ascii="Times New Roman" w:eastAsia="標楷體" w:hint="eastAsia"/>
          <w:spacing w:val="0"/>
          <w:sz w:val="24"/>
          <w:szCs w:val="24"/>
        </w:rPr>
        <w:t xml:space="preserve">For the first </w:t>
      </w:r>
      <w:r w:rsidR="00E8380F">
        <w:rPr>
          <w:rFonts w:ascii="Times New Roman" w:eastAsia="標楷體" w:hint="eastAsia"/>
          <w:spacing w:val="0"/>
          <w:sz w:val="24"/>
          <w:szCs w:val="24"/>
        </w:rPr>
        <w:t>eight</w:t>
      </w:r>
      <w:r w:rsidR="00C24FCB">
        <w:rPr>
          <w:rFonts w:ascii="Times New Roman" w:eastAsia="標楷體" w:hint="eastAsia"/>
          <w:spacing w:val="0"/>
          <w:sz w:val="24"/>
          <w:szCs w:val="24"/>
        </w:rPr>
        <w:t xml:space="preserve"> </w:t>
      </w:r>
      <w:r w:rsidR="00E8380F">
        <w:rPr>
          <w:rFonts w:ascii="Times New Roman" w:eastAsia="標楷體" w:hint="eastAsia"/>
          <w:spacing w:val="0"/>
          <w:sz w:val="24"/>
          <w:szCs w:val="24"/>
        </w:rPr>
        <w:t xml:space="preserve">months of the year, major Asian economies post continued export growth thanks to moderate global </w:t>
      </w:r>
      <w:r w:rsidR="00E8380F">
        <w:rPr>
          <w:rFonts w:ascii="Times New Roman" w:eastAsia="標楷體"/>
          <w:spacing w:val="0"/>
          <w:sz w:val="24"/>
          <w:szCs w:val="24"/>
        </w:rPr>
        <w:t>economic</w:t>
      </w:r>
      <w:r w:rsidR="00E8380F">
        <w:rPr>
          <w:rFonts w:ascii="Times New Roman" w:eastAsia="標楷體" w:hint="eastAsia"/>
          <w:spacing w:val="0"/>
          <w:sz w:val="24"/>
          <w:szCs w:val="24"/>
        </w:rPr>
        <w:t xml:space="preserve"> expansion and rising raw material prices. The total value of Taiwan</w:t>
      </w:r>
      <w:r w:rsidR="00E8380F">
        <w:rPr>
          <w:rFonts w:ascii="Times New Roman" w:eastAsia="標楷體"/>
          <w:spacing w:val="0"/>
          <w:sz w:val="24"/>
          <w:szCs w:val="24"/>
        </w:rPr>
        <w:t>’</w:t>
      </w:r>
      <w:r w:rsidR="00E8380F">
        <w:rPr>
          <w:rFonts w:ascii="Times New Roman" w:eastAsia="標楷體" w:hint="eastAsia"/>
          <w:spacing w:val="0"/>
          <w:sz w:val="24"/>
          <w:szCs w:val="24"/>
        </w:rPr>
        <w:t xml:space="preserve">s exports also increased by 8.9% in the same period. </w:t>
      </w:r>
      <w:r>
        <w:rPr>
          <w:rFonts w:ascii="Times New Roman" w:eastAsia="標楷體" w:hint="eastAsia"/>
          <w:spacing w:val="0"/>
          <w:sz w:val="24"/>
          <w:szCs w:val="24"/>
        </w:rPr>
        <w:t xml:space="preserve">By product, </w:t>
      </w:r>
      <w:r w:rsidR="00C24FCB">
        <w:rPr>
          <w:rFonts w:ascii="Times New Roman" w:eastAsia="標楷體" w:hint="eastAsia"/>
          <w:spacing w:val="0"/>
          <w:sz w:val="24"/>
          <w:szCs w:val="24"/>
        </w:rPr>
        <w:t xml:space="preserve">electronics parts and components and </w:t>
      </w:r>
      <w:r>
        <w:rPr>
          <w:rFonts w:ascii="Times New Roman" w:eastAsia="標楷體" w:hint="eastAsia"/>
          <w:spacing w:val="0"/>
          <w:sz w:val="24"/>
          <w:szCs w:val="24"/>
        </w:rPr>
        <w:t>base metal</w:t>
      </w:r>
      <w:r w:rsidR="00410700">
        <w:rPr>
          <w:rFonts w:ascii="Times New Roman" w:eastAsia="標楷體" w:hint="eastAsia"/>
          <w:spacing w:val="0"/>
          <w:sz w:val="24"/>
          <w:szCs w:val="24"/>
        </w:rPr>
        <w:t xml:space="preserve"> were the main contributors to export growth. By market, exports to </w:t>
      </w:r>
      <w:r w:rsidR="00E8380F">
        <w:rPr>
          <w:rFonts w:ascii="Times New Roman" w:eastAsia="標楷體" w:hint="eastAsia"/>
          <w:spacing w:val="0"/>
          <w:sz w:val="24"/>
          <w:szCs w:val="24"/>
        </w:rPr>
        <w:t>Japan grew the most, followed by China</w:t>
      </w:r>
      <w:r w:rsidR="00410700">
        <w:rPr>
          <w:rFonts w:ascii="Times New Roman" w:eastAsia="標楷體" w:hint="eastAsia"/>
          <w:spacing w:val="0"/>
          <w:sz w:val="24"/>
          <w:szCs w:val="24"/>
        </w:rPr>
        <w:t xml:space="preserve">. </w:t>
      </w:r>
      <w:r w:rsidR="00C24FCB">
        <w:rPr>
          <w:rFonts w:ascii="Times New Roman" w:eastAsia="標楷體" w:hint="eastAsia"/>
          <w:spacing w:val="0"/>
          <w:sz w:val="24"/>
          <w:szCs w:val="24"/>
        </w:rPr>
        <w:t xml:space="preserve">Looking </w:t>
      </w:r>
      <w:r w:rsidR="00E8380F">
        <w:rPr>
          <w:rFonts w:ascii="Times New Roman" w:eastAsia="標楷體" w:hint="eastAsia"/>
          <w:spacing w:val="0"/>
          <w:sz w:val="24"/>
          <w:szCs w:val="24"/>
        </w:rPr>
        <w:t>ahead</w:t>
      </w:r>
      <w:r w:rsidR="00C24FCB">
        <w:rPr>
          <w:rFonts w:ascii="Times New Roman" w:eastAsia="標楷體" w:hint="eastAsia"/>
          <w:spacing w:val="0"/>
          <w:sz w:val="24"/>
          <w:szCs w:val="24"/>
        </w:rPr>
        <w:t xml:space="preserve">, </w:t>
      </w:r>
      <w:r w:rsidR="001322E0">
        <w:rPr>
          <w:rFonts w:ascii="Times New Roman" w:eastAsia="標楷體" w:hint="eastAsia"/>
          <w:spacing w:val="0"/>
          <w:sz w:val="24"/>
          <w:szCs w:val="24"/>
        </w:rPr>
        <w:t xml:space="preserve">despite lingering international uncertainties, </w:t>
      </w:r>
      <w:r w:rsidR="00E8380F">
        <w:rPr>
          <w:rFonts w:ascii="Times New Roman" w:eastAsia="標楷體" w:hint="eastAsia"/>
          <w:spacing w:val="0"/>
          <w:sz w:val="24"/>
          <w:szCs w:val="24"/>
        </w:rPr>
        <w:t>greater demand for emerging technology applications a</w:t>
      </w:r>
      <w:r w:rsidR="001322E0">
        <w:rPr>
          <w:rFonts w:ascii="Times New Roman" w:eastAsia="標楷體" w:hint="eastAsia"/>
          <w:spacing w:val="0"/>
          <w:sz w:val="24"/>
          <w:szCs w:val="24"/>
        </w:rPr>
        <w:t xml:space="preserve">nd elevated raw material prices should support the prospect of steady export growth in this and next year. </w:t>
      </w:r>
    </w:p>
    <w:p w:rsidR="002E1DB7" w:rsidRDefault="00B02A4A" w:rsidP="00E8380F">
      <w:pPr>
        <w:pStyle w:val="6"/>
        <w:overflowPunct w:val="0"/>
        <w:snapToGrid w:val="0"/>
        <w:spacing w:after="0" w:line="440" w:lineRule="exact"/>
        <w:ind w:left="0" w:firstLineChars="200" w:firstLine="480"/>
        <w:rPr>
          <w:rFonts w:ascii="Times New Roman" w:eastAsia="標楷體"/>
          <w:spacing w:val="0"/>
          <w:sz w:val="24"/>
          <w:szCs w:val="24"/>
        </w:rPr>
      </w:pPr>
      <w:r>
        <w:rPr>
          <w:rFonts w:ascii="Times New Roman" w:eastAsia="標楷體" w:hint="eastAsia"/>
          <w:spacing w:val="0"/>
          <w:sz w:val="24"/>
          <w:szCs w:val="24"/>
        </w:rPr>
        <w:t xml:space="preserve">Private consumption is expected to gain traction as listed companies distributed record high cash dividends and </w:t>
      </w:r>
      <w:r w:rsidR="00473DC3">
        <w:rPr>
          <w:rFonts w:ascii="Times New Roman" w:eastAsia="標楷體" w:hint="eastAsia"/>
          <w:spacing w:val="0"/>
          <w:sz w:val="24"/>
          <w:szCs w:val="24"/>
        </w:rPr>
        <w:t xml:space="preserve">many companies granted pay raises. However, </w:t>
      </w:r>
      <w:r w:rsidR="002E1DB7">
        <w:rPr>
          <w:rFonts w:ascii="Times New Roman" w:eastAsia="標楷體" w:hint="eastAsia"/>
          <w:spacing w:val="0"/>
          <w:sz w:val="24"/>
          <w:szCs w:val="24"/>
        </w:rPr>
        <w:t xml:space="preserve">given </w:t>
      </w:r>
      <w:r w:rsidR="00473DC3">
        <w:rPr>
          <w:rFonts w:ascii="Times New Roman" w:eastAsia="標楷體" w:hint="eastAsia"/>
          <w:spacing w:val="0"/>
          <w:sz w:val="24"/>
          <w:szCs w:val="24"/>
        </w:rPr>
        <w:t xml:space="preserve">subdued consumer confidence and </w:t>
      </w:r>
      <w:r w:rsidR="00BE58E5">
        <w:rPr>
          <w:rFonts w:ascii="Times New Roman" w:eastAsia="標楷體" w:hint="eastAsia"/>
          <w:spacing w:val="0"/>
          <w:sz w:val="24"/>
          <w:szCs w:val="24"/>
        </w:rPr>
        <w:t xml:space="preserve">the </w:t>
      </w:r>
      <w:r w:rsidR="00473DC3">
        <w:rPr>
          <w:rFonts w:ascii="Times New Roman" w:eastAsia="標楷體" w:hint="eastAsia"/>
          <w:spacing w:val="0"/>
          <w:sz w:val="24"/>
          <w:szCs w:val="24"/>
        </w:rPr>
        <w:t xml:space="preserve">impact of pension reforms on </w:t>
      </w:r>
      <w:r w:rsidR="001C33BD">
        <w:rPr>
          <w:rFonts w:ascii="Times New Roman" w:eastAsia="標楷體" w:hint="eastAsia"/>
          <w:spacing w:val="0"/>
          <w:sz w:val="24"/>
          <w:szCs w:val="24"/>
        </w:rPr>
        <w:t xml:space="preserve">the </w:t>
      </w:r>
      <w:r w:rsidR="00473DC3">
        <w:rPr>
          <w:rFonts w:ascii="Times New Roman" w:eastAsia="標楷體" w:hint="eastAsia"/>
          <w:spacing w:val="0"/>
          <w:sz w:val="24"/>
          <w:szCs w:val="24"/>
        </w:rPr>
        <w:t>willingness to spend</w:t>
      </w:r>
      <w:r w:rsidR="002E1DB7">
        <w:rPr>
          <w:rFonts w:ascii="Times New Roman" w:eastAsia="標楷體" w:hint="eastAsia"/>
          <w:spacing w:val="0"/>
          <w:sz w:val="24"/>
          <w:szCs w:val="24"/>
        </w:rPr>
        <w:t xml:space="preserve">, private consumption is expected to register mild growth in 2018 and 2019. </w:t>
      </w:r>
    </w:p>
    <w:p w:rsidR="001322E0" w:rsidRDefault="002E1DB7" w:rsidP="009730E2">
      <w:pPr>
        <w:pStyle w:val="6"/>
        <w:overflowPunct w:val="0"/>
        <w:snapToGrid w:val="0"/>
        <w:spacing w:after="0" w:line="440" w:lineRule="exact"/>
        <w:ind w:left="0" w:firstLineChars="200" w:firstLine="480"/>
        <w:rPr>
          <w:rFonts w:ascii="Times New Roman" w:eastAsia="標楷體"/>
          <w:spacing w:val="0"/>
          <w:sz w:val="24"/>
          <w:szCs w:val="24"/>
        </w:rPr>
      </w:pPr>
      <w:r>
        <w:rPr>
          <w:rFonts w:ascii="Times New Roman" w:eastAsia="標楷體" w:hint="eastAsia"/>
          <w:spacing w:val="0"/>
          <w:sz w:val="24"/>
          <w:szCs w:val="24"/>
        </w:rPr>
        <w:t>In terms of private investment, higher capital outlay in the semiconductor</w:t>
      </w:r>
      <w:r w:rsidR="00473DC3">
        <w:rPr>
          <w:rFonts w:ascii="Times New Roman" w:eastAsia="標楷體" w:hint="eastAsia"/>
          <w:spacing w:val="0"/>
          <w:sz w:val="24"/>
          <w:szCs w:val="24"/>
        </w:rPr>
        <w:t xml:space="preserve"> </w:t>
      </w:r>
      <w:r>
        <w:rPr>
          <w:rFonts w:ascii="Times New Roman" w:eastAsia="標楷體" w:hint="eastAsia"/>
          <w:spacing w:val="0"/>
          <w:sz w:val="24"/>
          <w:szCs w:val="24"/>
        </w:rPr>
        <w:t>industry and further increases in construction investment are expected to fuel growth in private investment this year</w:t>
      </w:r>
      <w:r w:rsidR="009730E2">
        <w:rPr>
          <w:rFonts w:ascii="Times New Roman" w:eastAsia="標楷體" w:hint="eastAsia"/>
          <w:spacing w:val="0"/>
          <w:sz w:val="24"/>
          <w:szCs w:val="24"/>
        </w:rPr>
        <w:t xml:space="preserve">, but </w:t>
      </w:r>
      <w:r w:rsidR="00B46363">
        <w:rPr>
          <w:rFonts w:ascii="Times New Roman" w:eastAsia="標楷體" w:hint="eastAsia"/>
          <w:spacing w:val="0"/>
          <w:sz w:val="24"/>
          <w:szCs w:val="24"/>
        </w:rPr>
        <w:t>g</w:t>
      </w:r>
      <w:r>
        <w:rPr>
          <w:rFonts w:ascii="Times New Roman" w:eastAsia="標楷體" w:hint="eastAsia"/>
          <w:spacing w:val="0"/>
          <w:sz w:val="24"/>
          <w:szCs w:val="24"/>
        </w:rPr>
        <w:t xml:space="preserve">rowth </w:t>
      </w:r>
      <w:r w:rsidR="009730E2">
        <w:rPr>
          <w:rFonts w:ascii="Times New Roman" w:eastAsia="標楷體" w:hint="eastAsia"/>
          <w:spacing w:val="0"/>
          <w:sz w:val="24"/>
          <w:szCs w:val="24"/>
        </w:rPr>
        <w:t xml:space="preserve">next year will turn lower owing to </w:t>
      </w:r>
      <w:r>
        <w:rPr>
          <w:rFonts w:ascii="Times New Roman" w:eastAsia="標楷體" w:hint="eastAsia"/>
          <w:spacing w:val="0"/>
          <w:sz w:val="24"/>
          <w:szCs w:val="24"/>
        </w:rPr>
        <w:t>slightly softer export growth</w:t>
      </w:r>
      <w:r w:rsidR="009730E2">
        <w:rPr>
          <w:rFonts w:ascii="Times New Roman" w:eastAsia="標楷體" w:hint="eastAsia"/>
          <w:spacing w:val="0"/>
          <w:sz w:val="24"/>
          <w:szCs w:val="24"/>
        </w:rPr>
        <w:t xml:space="preserve">. </w:t>
      </w:r>
      <w:r>
        <w:rPr>
          <w:rFonts w:ascii="Times New Roman" w:eastAsia="標楷體" w:hint="eastAsia"/>
          <w:spacing w:val="0"/>
          <w:sz w:val="24"/>
          <w:szCs w:val="24"/>
        </w:rPr>
        <w:t xml:space="preserve"> </w:t>
      </w:r>
    </w:p>
    <w:p w:rsidR="002E1DB7" w:rsidRDefault="009730E2" w:rsidP="00E8380F">
      <w:pPr>
        <w:pStyle w:val="6"/>
        <w:overflowPunct w:val="0"/>
        <w:snapToGrid w:val="0"/>
        <w:spacing w:after="0" w:line="440" w:lineRule="exact"/>
        <w:ind w:left="0" w:firstLineChars="200" w:firstLine="480"/>
        <w:rPr>
          <w:rFonts w:ascii="Times New Roman" w:eastAsia="標楷體"/>
          <w:spacing w:val="0"/>
          <w:sz w:val="24"/>
          <w:szCs w:val="24"/>
        </w:rPr>
      </w:pPr>
      <w:r>
        <w:rPr>
          <w:rFonts w:ascii="Times New Roman" w:eastAsia="標楷體" w:hint="eastAsia"/>
          <w:spacing w:val="0"/>
          <w:sz w:val="24"/>
          <w:szCs w:val="24"/>
        </w:rPr>
        <w:t xml:space="preserve">Labor market conditions are stable. Amid the mild </w:t>
      </w:r>
      <w:r>
        <w:rPr>
          <w:rFonts w:ascii="Times New Roman" w:eastAsia="標楷體"/>
          <w:spacing w:val="0"/>
          <w:sz w:val="24"/>
          <w:szCs w:val="24"/>
        </w:rPr>
        <w:t>economic</w:t>
      </w:r>
      <w:r>
        <w:rPr>
          <w:rFonts w:ascii="Times New Roman" w:eastAsia="標楷體" w:hint="eastAsia"/>
          <w:spacing w:val="0"/>
          <w:sz w:val="24"/>
          <w:szCs w:val="24"/>
        </w:rPr>
        <w:t xml:space="preserve"> expansion, the </w:t>
      </w:r>
      <w:r w:rsidR="00BE58E5">
        <w:rPr>
          <w:rFonts w:ascii="Times New Roman" w:eastAsia="標楷體" w:hint="eastAsia"/>
          <w:spacing w:val="0"/>
          <w:sz w:val="24"/>
          <w:szCs w:val="24"/>
        </w:rPr>
        <w:t xml:space="preserve">year-on-year </w:t>
      </w:r>
      <w:r>
        <w:rPr>
          <w:rFonts w:ascii="Times New Roman" w:eastAsia="標楷體" w:hint="eastAsia"/>
          <w:spacing w:val="0"/>
          <w:sz w:val="24"/>
          <w:szCs w:val="24"/>
        </w:rPr>
        <w:t xml:space="preserve">unemployment rate continued to </w:t>
      </w:r>
      <w:r w:rsidR="00B46363">
        <w:rPr>
          <w:rFonts w:ascii="Times New Roman" w:eastAsia="標楷體" w:hint="eastAsia"/>
          <w:spacing w:val="0"/>
          <w:sz w:val="24"/>
          <w:szCs w:val="24"/>
        </w:rPr>
        <w:t xml:space="preserve">trend </w:t>
      </w:r>
      <w:r>
        <w:rPr>
          <w:rFonts w:ascii="Times New Roman" w:eastAsia="標楷體" w:hint="eastAsia"/>
          <w:spacing w:val="0"/>
          <w:sz w:val="24"/>
          <w:szCs w:val="24"/>
        </w:rPr>
        <w:t xml:space="preserve">lower and the number of employed persons increased. As employers began raising pay, the average earnings and </w:t>
      </w:r>
      <w:r w:rsidRPr="009730E2">
        <w:rPr>
          <w:rFonts w:ascii="Times New Roman" w:eastAsia="標楷體"/>
          <w:spacing w:val="0"/>
          <w:sz w:val="24"/>
          <w:szCs w:val="24"/>
        </w:rPr>
        <w:t>regular earnings</w:t>
      </w:r>
      <w:r>
        <w:rPr>
          <w:rFonts w:ascii="Times New Roman" w:eastAsia="標楷體" w:hint="eastAsia"/>
          <w:spacing w:val="0"/>
          <w:sz w:val="24"/>
          <w:szCs w:val="24"/>
        </w:rPr>
        <w:t xml:space="preserve"> </w:t>
      </w:r>
      <w:r w:rsidR="00661C3C">
        <w:rPr>
          <w:rFonts w:ascii="Times New Roman" w:eastAsia="標楷體" w:hint="eastAsia"/>
          <w:spacing w:val="0"/>
          <w:sz w:val="24"/>
          <w:szCs w:val="24"/>
        </w:rPr>
        <w:t>increased moderately</w:t>
      </w:r>
      <w:r>
        <w:rPr>
          <w:rFonts w:ascii="Times New Roman" w:eastAsia="標楷體" w:hint="eastAsia"/>
          <w:spacing w:val="0"/>
          <w:sz w:val="24"/>
          <w:szCs w:val="24"/>
        </w:rPr>
        <w:t xml:space="preserve">. </w:t>
      </w:r>
    </w:p>
    <w:p w:rsidR="00750B45" w:rsidRPr="00506662" w:rsidRDefault="00D46F1E" w:rsidP="00506662">
      <w:pPr>
        <w:adjustRightInd/>
        <w:spacing w:before="120" w:line="440" w:lineRule="exact"/>
        <w:textAlignment w:val="auto"/>
        <w:rPr>
          <w:rFonts w:eastAsia="標楷體"/>
          <w:spacing w:val="-2"/>
          <w:sz w:val="24"/>
          <w:szCs w:val="24"/>
        </w:rPr>
      </w:pPr>
      <w:r w:rsidRPr="00506662">
        <w:rPr>
          <w:rFonts w:eastAsia="標楷體" w:hint="eastAsia"/>
          <w:spacing w:val="-2"/>
          <w:sz w:val="24"/>
          <w:szCs w:val="24"/>
        </w:rPr>
        <w:t>(2) Financial conditions</w:t>
      </w:r>
      <w:r w:rsidR="00590406" w:rsidRPr="00506662">
        <w:rPr>
          <w:rFonts w:eastAsia="標楷體"/>
          <w:spacing w:val="-2"/>
          <w:sz w:val="24"/>
          <w:szCs w:val="24"/>
        </w:rPr>
        <w:t xml:space="preserve"> </w:t>
      </w:r>
    </w:p>
    <w:p w:rsidR="00681EFC" w:rsidRDefault="0021372E" w:rsidP="00506662">
      <w:pPr>
        <w:pStyle w:val="6"/>
        <w:overflowPunct w:val="0"/>
        <w:snapToGrid w:val="0"/>
        <w:spacing w:after="0" w:line="440" w:lineRule="exact"/>
        <w:ind w:left="0" w:firstLineChars="200" w:firstLine="480"/>
        <w:rPr>
          <w:rFonts w:ascii="Times New Roman" w:eastAsia="標楷體"/>
          <w:spacing w:val="0"/>
          <w:sz w:val="24"/>
          <w:szCs w:val="24"/>
        </w:rPr>
      </w:pPr>
      <w:r>
        <w:rPr>
          <w:rFonts w:ascii="Times New Roman" w:eastAsia="標楷體" w:hint="eastAsia"/>
          <w:spacing w:val="0"/>
          <w:sz w:val="24"/>
          <w:szCs w:val="24"/>
        </w:rPr>
        <w:t xml:space="preserve">Taiwan has seen ample market liquidity and stable nominal short- and long-term rates. The real interest rate would slip </w:t>
      </w:r>
      <w:r w:rsidR="007B3F21">
        <w:rPr>
          <w:rFonts w:ascii="Times New Roman" w:eastAsia="標楷體" w:hint="eastAsia"/>
          <w:spacing w:val="0"/>
          <w:sz w:val="24"/>
          <w:szCs w:val="24"/>
        </w:rPr>
        <w:t xml:space="preserve">slightly </w:t>
      </w:r>
      <w:r>
        <w:rPr>
          <w:rFonts w:ascii="Times New Roman" w:eastAsia="標楷體" w:hint="eastAsia"/>
          <w:spacing w:val="0"/>
          <w:sz w:val="24"/>
          <w:szCs w:val="24"/>
        </w:rPr>
        <w:t xml:space="preserve">deeper in the negative territory this year owing to </w:t>
      </w:r>
      <w:r w:rsidR="00C473F3">
        <w:rPr>
          <w:rFonts w:ascii="Times New Roman" w:eastAsia="標楷體" w:hint="eastAsia"/>
          <w:spacing w:val="0"/>
          <w:sz w:val="24"/>
          <w:szCs w:val="24"/>
        </w:rPr>
        <w:t xml:space="preserve">a higher CPI annual growth rate, but it is expected to move upwards next year as the CPI rate decreases. </w:t>
      </w:r>
      <w:r w:rsidR="00685DE0">
        <w:rPr>
          <w:rFonts w:ascii="Times New Roman" w:eastAsia="標楷體" w:hint="eastAsia"/>
          <w:spacing w:val="0"/>
          <w:sz w:val="24"/>
          <w:szCs w:val="24"/>
        </w:rPr>
        <w:t>C</w:t>
      </w:r>
      <w:r w:rsidR="00E322D7" w:rsidRPr="00921785">
        <w:rPr>
          <w:rFonts w:ascii="Times New Roman" w:eastAsia="標楷體" w:hint="eastAsia"/>
          <w:spacing w:val="0"/>
          <w:sz w:val="24"/>
          <w:szCs w:val="24"/>
        </w:rPr>
        <w:t xml:space="preserve">ompared to </w:t>
      </w:r>
      <w:r w:rsidR="00685DE0">
        <w:rPr>
          <w:rFonts w:ascii="Times New Roman" w:eastAsia="標楷體" w:hint="eastAsia"/>
          <w:spacing w:val="0"/>
          <w:sz w:val="24"/>
          <w:szCs w:val="24"/>
        </w:rPr>
        <w:t>an array</w:t>
      </w:r>
      <w:r w:rsidR="00E322D7" w:rsidRPr="00921785">
        <w:rPr>
          <w:rFonts w:ascii="Times New Roman" w:eastAsia="標楷體" w:hint="eastAsia"/>
          <w:spacing w:val="0"/>
          <w:sz w:val="24"/>
          <w:szCs w:val="24"/>
        </w:rPr>
        <w:t xml:space="preserve"> of major economies</w:t>
      </w:r>
      <w:r w:rsidR="00685DE0">
        <w:rPr>
          <w:rFonts w:ascii="Times New Roman" w:eastAsia="標楷體" w:hint="eastAsia"/>
          <w:spacing w:val="0"/>
          <w:sz w:val="24"/>
          <w:szCs w:val="24"/>
        </w:rPr>
        <w:t>,</w:t>
      </w:r>
      <w:r w:rsidR="00E322D7">
        <w:rPr>
          <w:rFonts w:ascii="Times New Roman" w:eastAsia="標楷體" w:hint="eastAsia"/>
          <w:spacing w:val="0"/>
          <w:sz w:val="24"/>
          <w:szCs w:val="24"/>
        </w:rPr>
        <w:t xml:space="preserve"> </w:t>
      </w:r>
      <w:r w:rsidR="00685DE0" w:rsidRPr="00921785">
        <w:rPr>
          <w:rFonts w:ascii="Times New Roman" w:eastAsia="標楷體" w:hint="eastAsia"/>
          <w:spacing w:val="0"/>
          <w:sz w:val="24"/>
          <w:szCs w:val="24"/>
        </w:rPr>
        <w:t>Taiwan</w:t>
      </w:r>
      <w:r w:rsidR="00685DE0" w:rsidRPr="00921785">
        <w:rPr>
          <w:rFonts w:ascii="Times New Roman" w:eastAsia="標楷體"/>
          <w:spacing w:val="0"/>
          <w:sz w:val="24"/>
          <w:szCs w:val="24"/>
        </w:rPr>
        <w:t>’</w:t>
      </w:r>
      <w:r w:rsidR="00685DE0" w:rsidRPr="00921785">
        <w:rPr>
          <w:rFonts w:ascii="Times New Roman" w:eastAsia="標楷體" w:hint="eastAsia"/>
          <w:spacing w:val="0"/>
          <w:sz w:val="24"/>
          <w:szCs w:val="24"/>
        </w:rPr>
        <w:t xml:space="preserve">s real interest rate </w:t>
      </w:r>
      <w:r w:rsidR="0079004E">
        <w:rPr>
          <w:rFonts w:ascii="Times New Roman" w:eastAsia="標楷體" w:hint="eastAsia"/>
          <w:spacing w:val="0"/>
          <w:sz w:val="24"/>
          <w:szCs w:val="24"/>
        </w:rPr>
        <w:t>stands at a relatively</w:t>
      </w:r>
      <w:r w:rsidR="00685DE0" w:rsidRPr="00921785">
        <w:rPr>
          <w:rFonts w:ascii="Times New Roman" w:eastAsia="標楷體" w:hint="eastAsia"/>
          <w:spacing w:val="0"/>
          <w:sz w:val="24"/>
          <w:szCs w:val="24"/>
        </w:rPr>
        <w:t xml:space="preserve"> moderate</w:t>
      </w:r>
      <w:r w:rsidR="0079004E">
        <w:rPr>
          <w:rFonts w:ascii="Times New Roman" w:eastAsia="標楷體" w:hint="eastAsia"/>
          <w:spacing w:val="0"/>
          <w:sz w:val="24"/>
          <w:szCs w:val="24"/>
        </w:rPr>
        <w:t xml:space="preserve"> level.</w:t>
      </w:r>
      <w:r w:rsidR="00685DE0">
        <w:rPr>
          <w:rFonts w:ascii="Times New Roman" w:eastAsia="標楷體" w:hint="eastAsia"/>
          <w:spacing w:val="0"/>
          <w:sz w:val="24"/>
          <w:szCs w:val="24"/>
        </w:rPr>
        <w:t xml:space="preserve"> </w:t>
      </w:r>
    </w:p>
    <w:p w:rsidR="003107C8" w:rsidRDefault="00685DE0" w:rsidP="0079004E">
      <w:pPr>
        <w:pStyle w:val="6"/>
        <w:overflowPunct w:val="0"/>
        <w:snapToGrid w:val="0"/>
        <w:spacing w:after="0" w:line="440" w:lineRule="exact"/>
        <w:ind w:left="0" w:firstLineChars="200" w:firstLine="480"/>
        <w:rPr>
          <w:rFonts w:ascii="Times New Roman" w:eastAsia="標楷體"/>
          <w:spacing w:val="0"/>
          <w:sz w:val="24"/>
          <w:szCs w:val="24"/>
        </w:rPr>
      </w:pPr>
      <w:r>
        <w:rPr>
          <w:rFonts w:ascii="Times New Roman" w:eastAsia="標楷體" w:hint="eastAsia"/>
          <w:spacing w:val="0"/>
          <w:sz w:val="24"/>
          <w:szCs w:val="24"/>
        </w:rPr>
        <w:t>In terms of</w:t>
      </w:r>
      <w:r w:rsidR="004133BD" w:rsidRPr="005914CC">
        <w:rPr>
          <w:rFonts w:ascii="Times New Roman" w:eastAsia="標楷體" w:hint="eastAsia"/>
          <w:spacing w:val="0"/>
          <w:sz w:val="24"/>
          <w:szCs w:val="24"/>
        </w:rPr>
        <w:t xml:space="preserve"> </w:t>
      </w:r>
      <w:r w:rsidR="00E322D7" w:rsidRPr="005914CC">
        <w:rPr>
          <w:rFonts w:ascii="Times New Roman" w:eastAsia="標楷體" w:hint="eastAsia"/>
          <w:spacing w:val="0"/>
          <w:sz w:val="24"/>
          <w:szCs w:val="24"/>
        </w:rPr>
        <w:t>monetary growth, the M2 annual growth rate averaged 3.6</w:t>
      </w:r>
      <w:r>
        <w:rPr>
          <w:rFonts w:ascii="Times New Roman" w:eastAsia="標楷體" w:hint="eastAsia"/>
          <w:spacing w:val="0"/>
          <w:sz w:val="24"/>
          <w:szCs w:val="24"/>
        </w:rPr>
        <w:t>6</w:t>
      </w:r>
      <w:r w:rsidR="00E322D7" w:rsidRPr="005914CC">
        <w:rPr>
          <w:rFonts w:ascii="Times New Roman" w:eastAsia="標楷體" w:hint="eastAsia"/>
          <w:spacing w:val="0"/>
          <w:sz w:val="24"/>
          <w:szCs w:val="24"/>
        </w:rPr>
        <w:t xml:space="preserve">% for the first </w:t>
      </w:r>
      <w:r>
        <w:rPr>
          <w:rFonts w:ascii="Times New Roman" w:eastAsia="標楷體" w:hint="eastAsia"/>
          <w:spacing w:val="0"/>
          <w:sz w:val="24"/>
          <w:szCs w:val="24"/>
        </w:rPr>
        <w:t>eight</w:t>
      </w:r>
      <w:r w:rsidR="00E322D7" w:rsidRPr="005914CC">
        <w:rPr>
          <w:rFonts w:ascii="Times New Roman" w:eastAsia="標楷體" w:hint="eastAsia"/>
          <w:spacing w:val="0"/>
          <w:sz w:val="24"/>
          <w:szCs w:val="24"/>
        </w:rPr>
        <w:t xml:space="preserve"> months of the year, within the </w:t>
      </w:r>
      <w:r w:rsidR="00BE58E5">
        <w:rPr>
          <w:rFonts w:ascii="Times New Roman" w:eastAsia="標楷體" w:hint="eastAsia"/>
          <w:spacing w:val="0"/>
          <w:sz w:val="24"/>
          <w:szCs w:val="24"/>
        </w:rPr>
        <w:t>CBC</w:t>
      </w:r>
      <w:r w:rsidR="00E322D7" w:rsidRPr="005914CC">
        <w:rPr>
          <w:rFonts w:ascii="Times New Roman" w:eastAsia="標楷體"/>
          <w:spacing w:val="0"/>
          <w:sz w:val="24"/>
          <w:szCs w:val="24"/>
        </w:rPr>
        <w:t>’</w:t>
      </w:r>
      <w:r w:rsidR="00E322D7" w:rsidRPr="005914CC">
        <w:rPr>
          <w:rFonts w:ascii="Times New Roman" w:eastAsia="標楷體" w:hint="eastAsia"/>
          <w:spacing w:val="0"/>
          <w:sz w:val="24"/>
          <w:szCs w:val="24"/>
        </w:rPr>
        <w:t>s target range.</w:t>
      </w:r>
      <w:r w:rsidR="00E322D7" w:rsidRPr="003107C8">
        <w:rPr>
          <w:rFonts w:ascii="Times New Roman" w:eastAsia="標楷體" w:hint="eastAsia"/>
          <w:spacing w:val="0"/>
          <w:sz w:val="24"/>
          <w:szCs w:val="24"/>
        </w:rPr>
        <w:t xml:space="preserve"> </w:t>
      </w:r>
      <w:r>
        <w:rPr>
          <w:rFonts w:ascii="Times New Roman" w:eastAsia="標楷體" w:hint="eastAsia"/>
          <w:spacing w:val="0"/>
          <w:sz w:val="24"/>
          <w:szCs w:val="24"/>
        </w:rPr>
        <w:t xml:space="preserve">In terms of </w:t>
      </w:r>
      <w:r w:rsidR="003107C8" w:rsidRPr="003107C8">
        <w:rPr>
          <w:rFonts w:ascii="Times New Roman" w:eastAsia="標楷體" w:hint="eastAsia"/>
          <w:spacing w:val="0"/>
          <w:sz w:val="24"/>
          <w:szCs w:val="24"/>
        </w:rPr>
        <w:t>bank credit</w:t>
      </w:r>
      <w:r w:rsidR="003107C8" w:rsidRPr="003107C8">
        <w:rPr>
          <w:rFonts w:ascii="Times New Roman" w:eastAsia="標楷體"/>
          <w:spacing w:val="0"/>
          <w:sz w:val="24"/>
          <w:szCs w:val="24"/>
        </w:rPr>
        <w:t xml:space="preserve">, </w:t>
      </w:r>
      <w:r w:rsidR="00455A9C" w:rsidRPr="003107C8">
        <w:rPr>
          <w:rFonts w:ascii="Times New Roman" w:eastAsia="標楷體" w:hint="eastAsia"/>
          <w:spacing w:val="0"/>
          <w:sz w:val="24"/>
          <w:szCs w:val="24"/>
        </w:rPr>
        <w:t xml:space="preserve">bank </w:t>
      </w:r>
      <w:r w:rsidR="00C43DB5" w:rsidRPr="003107C8">
        <w:rPr>
          <w:rFonts w:ascii="Times New Roman" w:eastAsia="標楷體" w:hint="eastAsia"/>
          <w:spacing w:val="0"/>
          <w:sz w:val="24"/>
          <w:szCs w:val="24"/>
        </w:rPr>
        <w:t>lending</w:t>
      </w:r>
      <w:r w:rsidR="00E322D7" w:rsidRPr="003107C8">
        <w:rPr>
          <w:rFonts w:ascii="Times New Roman" w:eastAsia="標楷體" w:hint="eastAsia"/>
          <w:spacing w:val="0"/>
          <w:sz w:val="24"/>
          <w:szCs w:val="24"/>
        </w:rPr>
        <w:t xml:space="preserve"> to the private sector</w:t>
      </w:r>
      <w:r>
        <w:rPr>
          <w:rFonts w:ascii="Times New Roman" w:eastAsia="標楷體" w:hint="eastAsia"/>
          <w:spacing w:val="0"/>
          <w:sz w:val="24"/>
          <w:szCs w:val="24"/>
        </w:rPr>
        <w:t xml:space="preserve"> recorded stable growth </w:t>
      </w:r>
      <w:r w:rsidR="0026616B">
        <w:rPr>
          <w:rFonts w:ascii="Times New Roman" w:eastAsia="標楷體" w:hint="eastAsia"/>
          <w:spacing w:val="0"/>
          <w:sz w:val="24"/>
          <w:szCs w:val="24"/>
        </w:rPr>
        <w:t xml:space="preserve">amid </w:t>
      </w:r>
      <w:r>
        <w:rPr>
          <w:rFonts w:ascii="Times New Roman" w:eastAsia="標楷體" w:hint="eastAsia"/>
          <w:spacing w:val="0"/>
          <w:sz w:val="24"/>
          <w:szCs w:val="24"/>
        </w:rPr>
        <w:t>the steady</w:t>
      </w:r>
      <w:r w:rsidR="0026616B">
        <w:rPr>
          <w:rFonts w:ascii="Times New Roman" w:eastAsia="標楷體" w:hint="eastAsia"/>
          <w:spacing w:val="0"/>
          <w:sz w:val="24"/>
          <w:szCs w:val="24"/>
        </w:rPr>
        <w:t xml:space="preserve"> </w:t>
      </w:r>
      <w:r>
        <w:rPr>
          <w:rFonts w:ascii="Times New Roman" w:eastAsia="標楷體" w:hint="eastAsia"/>
          <w:spacing w:val="0"/>
          <w:sz w:val="24"/>
          <w:szCs w:val="24"/>
        </w:rPr>
        <w:t xml:space="preserve">domestic </w:t>
      </w:r>
      <w:r w:rsidR="0026616B">
        <w:rPr>
          <w:rFonts w:ascii="Times New Roman" w:eastAsia="標楷體"/>
          <w:spacing w:val="0"/>
          <w:sz w:val="24"/>
          <w:szCs w:val="24"/>
        </w:rPr>
        <w:t>economic</w:t>
      </w:r>
      <w:r w:rsidR="0026616B">
        <w:rPr>
          <w:rFonts w:ascii="Times New Roman" w:eastAsia="標楷體" w:hint="eastAsia"/>
          <w:spacing w:val="0"/>
          <w:sz w:val="24"/>
          <w:szCs w:val="24"/>
        </w:rPr>
        <w:t xml:space="preserve"> expansion</w:t>
      </w:r>
      <w:r w:rsidR="00652DAF">
        <w:rPr>
          <w:rFonts w:ascii="Times New Roman" w:eastAsia="標楷體" w:hint="eastAsia"/>
          <w:spacing w:val="0"/>
          <w:sz w:val="24"/>
          <w:szCs w:val="24"/>
        </w:rPr>
        <w:t>. B</w:t>
      </w:r>
      <w:r w:rsidR="003107C8" w:rsidRPr="003107C8">
        <w:rPr>
          <w:rFonts w:ascii="Times New Roman" w:eastAsia="標楷體"/>
          <w:spacing w:val="0"/>
          <w:sz w:val="24"/>
          <w:szCs w:val="24"/>
        </w:rPr>
        <w:t>ank loans and investment</w:t>
      </w:r>
      <w:r w:rsidR="003107C8">
        <w:rPr>
          <w:rFonts w:ascii="Times New Roman" w:eastAsia="標楷體"/>
          <w:spacing w:val="0"/>
          <w:sz w:val="24"/>
          <w:szCs w:val="24"/>
        </w:rPr>
        <w:t>s</w:t>
      </w:r>
      <w:r w:rsidR="003107C8" w:rsidRPr="003107C8">
        <w:rPr>
          <w:rFonts w:ascii="Times New Roman" w:eastAsia="標楷體"/>
          <w:spacing w:val="0"/>
          <w:sz w:val="24"/>
          <w:szCs w:val="24"/>
        </w:rPr>
        <w:t xml:space="preserve"> </w:t>
      </w:r>
      <w:r w:rsidR="003107C8">
        <w:rPr>
          <w:rFonts w:ascii="Times New Roman" w:eastAsia="標楷體"/>
          <w:spacing w:val="0"/>
          <w:sz w:val="24"/>
          <w:szCs w:val="24"/>
        </w:rPr>
        <w:t>posted an average annual growth rate of</w:t>
      </w:r>
      <w:r w:rsidR="003107C8" w:rsidRPr="003107C8">
        <w:rPr>
          <w:rFonts w:ascii="Times New Roman" w:eastAsia="標楷體"/>
          <w:spacing w:val="0"/>
          <w:sz w:val="24"/>
          <w:szCs w:val="24"/>
        </w:rPr>
        <w:t xml:space="preserve"> </w:t>
      </w:r>
      <w:r>
        <w:rPr>
          <w:rFonts w:ascii="Times New Roman" w:eastAsia="標楷體" w:hint="eastAsia"/>
          <w:spacing w:val="0"/>
          <w:sz w:val="24"/>
          <w:szCs w:val="24"/>
        </w:rPr>
        <w:t>5</w:t>
      </w:r>
      <w:r w:rsidR="003107C8" w:rsidRPr="003107C8">
        <w:rPr>
          <w:rFonts w:ascii="Times New Roman" w:eastAsia="標楷體"/>
          <w:spacing w:val="0"/>
          <w:sz w:val="24"/>
          <w:szCs w:val="24"/>
        </w:rPr>
        <w:t>.</w:t>
      </w:r>
      <w:r>
        <w:rPr>
          <w:rFonts w:ascii="Times New Roman" w:eastAsia="標楷體" w:hint="eastAsia"/>
          <w:spacing w:val="0"/>
          <w:sz w:val="24"/>
          <w:szCs w:val="24"/>
        </w:rPr>
        <w:t>2</w:t>
      </w:r>
      <w:r w:rsidR="003107C8" w:rsidRPr="003107C8">
        <w:rPr>
          <w:rFonts w:ascii="Times New Roman" w:eastAsia="標楷體"/>
          <w:spacing w:val="0"/>
          <w:sz w:val="24"/>
          <w:szCs w:val="24"/>
        </w:rPr>
        <w:t xml:space="preserve">3% </w:t>
      </w:r>
      <w:r w:rsidR="00652DAF">
        <w:rPr>
          <w:rFonts w:ascii="Times New Roman" w:eastAsia="標楷體"/>
          <w:spacing w:val="0"/>
          <w:sz w:val="24"/>
          <w:szCs w:val="24"/>
        </w:rPr>
        <w:t>in the January-</w:t>
      </w:r>
      <w:r>
        <w:rPr>
          <w:rFonts w:ascii="Times New Roman" w:eastAsia="標楷體" w:hint="eastAsia"/>
          <w:spacing w:val="0"/>
          <w:sz w:val="24"/>
          <w:szCs w:val="24"/>
        </w:rPr>
        <w:t>August</w:t>
      </w:r>
      <w:r w:rsidR="00652DAF">
        <w:rPr>
          <w:rFonts w:ascii="Times New Roman" w:eastAsia="標楷體"/>
          <w:spacing w:val="0"/>
          <w:sz w:val="24"/>
          <w:szCs w:val="24"/>
        </w:rPr>
        <w:t xml:space="preserve"> period</w:t>
      </w:r>
      <w:r>
        <w:rPr>
          <w:rFonts w:ascii="Times New Roman" w:eastAsia="標楷體" w:hint="eastAsia"/>
          <w:spacing w:val="0"/>
          <w:sz w:val="24"/>
          <w:szCs w:val="24"/>
        </w:rPr>
        <w:t>. The above readings broadly indicate</w:t>
      </w:r>
      <w:r w:rsidR="0079004E">
        <w:rPr>
          <w:rFonts w:ascii="Times New Roman" w:eastAsia="標楷體" w:hint="eastAsia"/>
          <w:spacing w:val="0"/>
          <w:sz w:val="24"/>
          <w:szCs w:val="24"/>
        </w:rPr>
        <w:t>d</w:t>
      </w:r>
      <w:r w:rsidR="007655F6">
        <w:rPr>
          <w:rFonts w:ascii="Times New Roman" w:eastAsia="標楷體" w:hint="eastAsia"/>
          <w:spacing w:val="0"/>
          <w:sz w:val="24"/>
          <w:szCs w:val="24"/>
        </w:rPr>
        <w:t xml:space="preserve"> </w:t>
      </w:r>
      <w:r w:rsidR="0079004E">
        <w:rPr>
          <w:rFonts w:ascii="Times New Roman" w:eastAsia="標楷體" w:hint="eastAsia"/>
          <w:spacing w:val="0"/>
          <w:sz w:val="24"/>
          <w:szCs w:val="24"/>
        </w:rPr>
        <w:t xml:space="preserve">that credit supply was sufficient to support real economic activity and </w:t>
      </w:r>
      <w:r w:rsidR="0079004E">
        <w:rPr>
          <w:rFonts w:ascii="Times New Roman" w:eastAsia="標楷體"/>
          <w:spacing w:val="0"/>
          <w:sz w:val="24"/>
          <w:szCs w:val="24"/>
        </w:rPr>
        <w:t>inflationary</w:t>
      </w:r>
      <w:r w:rsidR="0079004E">
        <w:rPr>
          <w:rFonts w:ascii="Times New Roman" w:eastAsia="標楷體" w:hint="eastAsia"/>
          <w:spacing w:val="0"/>
          <w:sz w:val="24"/>
          <w:szCs w:val="24"/>
        </w:rPr>
        <w:t xml:space="preserve"> pressures were muted.</w:t>
      </w:r>
      <w:r w:rsidR="007655F6">
        <w:rPr>
          <w:rFonts w:ascii="Times New Roman" w:eastAsia="標楷體" w:hint="eastAsia"/>
          <w:spacing w:val="0"/>
          <w:sz w:val="24"/>
          <w:szCs w:val="24"/>
        </w:rPr>
        <w:t xml:space="preserve"> </w:t>
      </w:r>
      <w:r w:rsidR="00652DAF">
        <w:rPr>
          <w:rFonts w:ascii="Times New Roman" w:eastAsia="標楷體" w:hint="eastAsia"/>
          <w:spacing w:val="0"/>
          <w:sz w:val="24"/>
          <w:szCs w:val="24"/>
        </w:rPr>
        <w:t xml:space="preserve">In recent months, </w:t>
      </w:r>
      <w:r w:rsidR="007655F6">
        <w:rPr>
          <w:rFonts w:ascii="Times New Roman" w:eastAsia="標楷體" w:hint="eastAsia"/>
          <w:spacing w:val="0"/>
          <w:sz w:val="24"/>
          <w:szCs w:val="24"/>
        </w:rPr>
        <w:t xml:space="preserve">the NT dollar real effective exchange rate climbed up while the domestic stock market fluctuated in an uptrend and </w:t>
      </w:r>
      <w:r w:rsidR="00652DAF">
        <w:rPr>
          <w:rFonts w:ascii="Times New Roman" w:eastAsia="標楷體" w:hint="eastAsia"/>
          <w:spacing w:val="0"/>
          <w:sz w:val="24"/>
          <w:szCs w:val="24"/>
        </w:rPr>
        <w:t>market rates held steady</w:t>
      </w:r>
      <w:r w:rsidR="004C2A35">
        <w:rPr>
          <w:rFonts w:ascii="Times New Roman" w:eastAsia="標楷體" w:hint="eastAsia"/>
          <w:spacing w:val="0"/>
          <w:sz w:val="24"/>
          <w:szCs w:val="24"/>
        </w:rPr>
        <w:t>. Overall financial conditions</w:t>
      </w:r>
      <w:r w:rsidR="007655F6">
        <w:rPr>
          <w:rFonts w:ascii="Times New Roman" w:eastAsia="標楷體" w:hint="eastAsia"/>
          <w:spacing w:val="0"/>
          <w:sz w:val="24"/>
          <w:szCs w:val="24"/>
        </w:rPr>
        <w:t xml:space="preserve"> were accommodative</w:t>
      </w:r>
      <w:r w:rsidR="004C2A35">
        <w:rPr>
          <w:rFonts w:ascii="Times New Roman" w:eastAsia="標楷體" w:hint="eastAsia"/>
          <w:spacing w:val="0"/>
          <w:sz w:val="24"/>
          <w:szCs w:val="24"/>
        </w:rPr>
        <w:t xml:space="preserve">. </w:t>
      </w:r>
    </w:p>
    <w:p w:rsidR="00135D5F" w:rsidRDefault="000D5102" w:rsidP="002F3748">
      <w:pPr>
        <w:pStyle w:val="6"/>
        <w:overflowPunct w:val="0"/>
        <w:snapToGrid w:val="0"/>
        <w:spacing w:after="0" w:line="440" w:lineRule="exact"/>
        <w:ind w:left="0" w:firstLineChars="200" w:firstLine="480"/>
        <w:rPr>
          <w:rFonts w:ascii="Times New Roman" w:eastAsia="標楷體"/>
          <w:spacing w:val="0"/>
          <w:sz w:val="24"/>
          <w:szCs w:val="24"/>
        </w:rPr>
      </w:pPr>
      <w:r>
        <w:rPr>
          <w:rFonts w:ascii="Times New Roman" w:eastAsia="標楷體" w:hint="eastAsia"/>
          <w:spacing w:val="0"/>
          <w:sz w:val="24"/>
          <w:szCs w:val="24"/>
        </w:rPr>
        <w:t xml:space="preserve">Looking ahead, monetary growth could be </w:t>
      </w:r>
      <w:r w:rsidR="00B46363">
        <w:rPr>
          <w:rFonts w:ascii="Times New Roman" w:eastAsia="標楷體" w:hint="eastAsia"/>
          <w:spacing w:val="0"/>
          <w:sz w:val="24"/>
          <w:szCs w:val="24"/>
        </w:rPr>
        <w:t>disrupt</w:t>
      </w:r>
      <w:r w:rsidR="00FD6B09">
        <w:rPr>
          <w:rFonts w:ascii="Times New Roman" w:eastAsia="標楷體" w:hint="eastAsia"/>
          <w:spacing w:val="0"/>
          <w:sz w:val="24"/>
          <w:szCs w:val="24"/>
        </w:rPr>
        <w:t>ed</w:t>
      </w:r>
      <w:r>
        <w:rPr>
          <w:rFonts w:ascii="Times New Roman" w:eastAsia="標楷體" w:hint="eastAsia"/>
          <w:spacing w:val="0"/>
          <w:sz w:val="24"/>
          <w:szCs w:val="24"/>
        </w:rPr>
        <w:t xml:space="preserve"> if international uncertainties, including an uneven pace of policy normalization by major central banks, an escalation of US-China trade </w:t>
      </w:r>
      <w:r w:rsidR="00FD6B09">
        <w:rPr>
          <w:rFonts w:ascii="Times New Roman" w:eastAsia="標楷體" w:hint="eastAsia"/>
          <w:spacing w:val="0"/>
          <w:sz w:val="24"/>
          <w:szCs w:val="24"/>
        </w:rPr>
        <w:t xml:space="preserve">friction, and heightened </w:t>
      </w:r>
      <w:r w:rsidR="00FD6B09">
        <w:rPr>
          <w:rFonts w:ascii="Times New Roman" w:eastAsia="標楷體"/>
          <w:spacing w:val="0"/>
          <w:sz w:val="24"/>
          <w:szCs w:val="24"/>
        </w:rPr>
        <w:t>economic</w:t>
      </w:r>
      <w:r w:rsidR="00FD6B09">
        <w:rPr>
          <w:rFonts w:ascii="Times New Roman" w:eastAsia="標楷體" w:hint="eastAsia"/>
          <w:spacing w:val="0"/>
          <w:sz w:val="24"/>
          <w:szCs w:val="24"/>
        </w:rPr>
        <w:t xml:space="preserve"> and financial risks from emerging markets, </w:t>
      </w:r>
      <w:r w:rsidR="00B46363">
        <w:rPr>
          <w:rFonts w:ascii="Times New Roman" w:eastAsia="標楷體" w:hint="eastAsia"/>
          <w:spacing w:val="0"/>
          <w:sz w:val="24"/>
          <w:szCs w:val="24"/>
        </w:rPr>
        <w:t xml:space="preserve">undermine </w:t>
      </w:r>
      <w:r w:rsidR="00FD6B09">
        <w:rPr>
          <w:rFonts w:ascii="Times New Roman" w:eastAsia="標楷體" w:hint="eastAsia"/>
          <w:spacing w:val="0"/>
          <w:sz w:val="24"/>
          <w:szCs w:val="24"/>
        </w:rPr>
        <w:t xml:space="preserve">stability of the global </w:t>
      </w:r>
      <w:r w:rsidR="00FD6B09">
        <w:rPr>
          <w:rFonts w:ascii="Times New Roman" w:eastAsia="標楷體"/>
          <w:spacing w:val="0"/>
          <w:sz w:val="24"/>
          <w:szCs w:val="24"/>
        </w:rPr>
        <w:t>economy</w:t>
      </w:r>
      <w:r w:rsidR="00FD6B09">
        <w:rPr>
          <w:rFonts w:ascii="Times New Roman" w:eastAsia="標楷體" w:hint="eastAsia"/>
          <w:spacing w:val="0"/>
          <w:sz w:val="24"/>
          <w:szCs w:val="24"/>
        </w:rPr>
        <w:t xml:space="preserve"> and financial markets. Meanwhile, bank loans and investments </w:t>
      </w:r>
      <w:r w:rsidR="006712F6">
        <w:rPr>
          <w:rFonts w:ascii="Times New Roman" w:eastAsia="標楷體" w:hint="eastAsia"/>
          <w:spacing w:val="0"/>
          <w:sz w:val="24"/>
          <w:szCs w:val="24"/>
        </w:rPr>
        <w:t xml:space="preserve">are expected to increase steadily as sustained </w:t>
      </w:r>
      <w:r w:rsidR="006712F6">
        <w:rPr>
          <w:rFonts w:ascii="Times New Roman" w:eastAsia="標楷體"/>
          <w:spacing w:val="0"/>
          <w:sz w:val="24"/>
          <w:szCs w:val="24"/>
        </w:rPr>
        <w:t>economic</w:t>
      </w:r>
      <w:r w:rsidR="006712F6">
        <w:rPr>
          <w:rFonts w:ascii="Times New Roman" w:eastAsia="標楷體" w:hint="eastAsia"/>
          <w:spacing w:val="0"/>
          <w:sz w:val="24"/>
          <w:szCs w:val="24"/>
        </w:rPr>
        <w:t xml:space="preserve"> expansion will buttress </w:t>
      </w:r>
      <w:r w:rsidR="001B0A3B">
        <w:rPr>
          <w:rFonts w:ascii="Times New Roman" w:eastAsia="標楷體" w:hint="eastAsia"/>
          <w:spacing w:val="0"/>
          <w:sz w:val="24"/>
          <w:szCs w:val="24"/>
        </w:rPr>
        <w:t xml:space="preserve">the </w:t>
      </w:r>
      <w:r w:rsidR="006712F6">
        <w:rPr>
          <w:rFonts w:ascii="Times New Roman" w:eastAsia="標楷體" w:hint="eastAsia"/>
          <w:spacing w:val="0"/>
          <w:sz w:val="24"/>
          <w:szCs w:val="24"/>
        </w:rPr>
        <w:t xml:space="preserve">demand for funds. </w:t>
      </w:r>
    </w:p>
    <w:p w:rsidR="00750B45" w:rsidRPr="00506662" w:rsidRDefault="001B0A3B" w:rsidP="00506662">
      <w:pPr>
        <w:adjustRightInd/>
        <w:spacing w:before="120" w:line="440" w:lineRule="exact"/>
        <w:textAlignment w:val="auto"/>
        <w:rPr>
          <w:rFonts w:eastAsia="標楷體"/>
          <w:spacing w:val="-2"/>
          <w:sz w:val="24"/>
          <w:szCs w:val="24"/>
        </w:rPr>
      </w:pPr>
      <w:r w:rsidRPr="00506662">
        <w:rPr>
          <w:rFonts w:eastAsia="標楷體" w:hint="eastAsia"/>
          <w:spacing w:val="-2"/>
          <w:sz w:val="24"/>
          <w:szCs w:val="24"/>
        </w:rPr>
        <w:t xml:space="preserve"> </w:t>
      </w:r>
      <w:r w:rsidR="00D46F1E" w:rsidRPr="00506662">
        <w:rPr>
          <w:rFonts w:eastAsia="標楷體" w:hint="eastAsia"/>
          <w:spacing w:val="-2"/>
          <w:sz w:val="24"/>
          <w:szCs w:val="24"/>
        </w:rPr>
        <w:t xml:space="preserve">(3) Price Trends </w:t>
      </w:r>
    </w:p>
    <w:p w:rsidR="00E6058A" w:rsidRDefault="001B0A3B" w:rsidP="00160A9C">
      <w:pPr>
        <w:pStyle w:val="6"/>
        <w:overflowPunct w:val="0"/>
        <w:snapToGrid w:val="0"/>
        <w:spacing w:after="0" w:line="440" w:lineRule="exact"/>
        <w:ind w:left="0" w:firstLineChars="200" w:firstLine="480"/>
        <w:rPr>
          <w:rFonts w:ascii="Times New Roman" w:eastAsia="標楷體"/>
          <w:spacing w:val="0"/>
          <w:sz w:val="24"/>
          <w:szCs w:val="24"/>
        </w:rPr>
      </w:pPr>
      <w:r>
        <w:rPr>
          <w:rFonts w:ascii="Times New Roman" w:eastAsia="標楷體" w:hint="eastAsia"/>
          <w:spacing w:val="0"/>
          <w:sz w:val="24"/>
          <w:szCs w:val="24"/>
        </w:rPr>
        <w:t>In the period since July, international oil prices were first dented by intensifying US-China trade discord and the Turkish currency crisis but then rebound</w:t>
      </w:r>
      <w:r w:rsidR="00193515">
        <w:rPr>
          <w:rFonts w:ascii="Times New Roman" w:eastAsia="標楷體" w:hint="eastAsia"/>
          <w:spacing w:val="0"/>
          <w:sz w:val="24"/>
          <w:szCs w:val="24"/>
        </w:rPr>
        <w:t xml:space="preserve">ed to close to </w:t>
      </w:r>
      <w:r w:rsidR="00A253EE">
        <w:rPr>
          <w:rFonts w:ascii="Times New Roman" w:eastAsia="標楷體" w:hint="eastAsia"/>
          <w:spacing w:val="0"/>
          <w:sz w:val="24"/>
          <w:szCs w:val="24"/>
        </w:rPr>
        <w:t>an all-year high on the back of Qatar</w:t>
      </w:r>
      <w:r w:rsidR="00A253EE">
        <w:rPr>
          <w:rFonts w:ascii="Times New Roman" w:eastAsia="標楷體"/>
          <w:spacing w:val="0"/>
          <w:sz w:val="24"/>
          <w:szCs w:val="24"/>
        </w:rPr>
        <w:t>’</w:t>
      </w:r>
      <w:r w:rsidR="00A253EE">
        <w:rPr>
          <w:rFonts w:ascii="Times New Roman" w:eastAsia="標楷體" w:hint="eastAsia"/>
          <w:spacing w:val="0"/>
          <w:sz w:val="24"/>
          <w:szCs w:val="24"/>
        </w:rPr>
        <w:t xml:space="preserve">s pledge to invest in Turkey, reduced Iranian oil exports, terrorist attacks on Libyan oil facility, and decreases in US crude oil output and inventory. </w:t>
      </w:r>
      <w:r w:rsidR="00926228">
        <w:rPr>
          <w:rFonts w:ascii="Times New Roman" w:eastAsia="標楷體" w:hint="eastAsia"/>
          <w:spacing w:val="0"/>
          <w:sz w:val="24"/>
          <w:szCs w:val="24"/>
        </w:rPr>
        <w:t>International institutions also revised up their 2018 oil price forecasts</w:t>
      </w:r>
      <w:r w:rsidR="00160A9C">
        <w:rPr>
          <w:rFonts w:ascii="Times New Roman" w:eastAsia="標楷體" w:hint="eastAsia"/>
          <w:spacing w:val="0"/>
          <w:sz w:val="24"/>
          <w:szCs w:val="24"/>
        </w:rPr>
        <w:t xml:space="preserve"> to levels that would outpace those </w:t>
      </w:r>
      <w:r w:rsidR="00926228">
        <w:rPr>
          <w:rFonts w:ascii="Times New Roman" w:eastAsia="標楷體" w:hint="eastAsia"/>
          <w:spacing w:val="0"/>
          <w:sz w:val="24"/>
          <w:szCs w:val="24"/>
        </w:rPr>
        <w:t xml:space="preserve">in 2017. </w:t>
      </w:r>
      <w:r w:rsidR="00933066">
        <w:rPr>
          <w:rFonts w:ascii="Times New Roman" w:eastAsia="標楷體" w:hint="eastAsia"/>
          <w:spacing w:val="0"/>
          <w:sz w:val="24"/>
          <w:szCs w:val="24"/>
        </w:rPr>
        <w:t>International grain price</w:t>
      </w:r>
      <w:r w:rsidR="00926228">
        <w:rPr>
          <w:rFonts w:ascii="Times New Roman" w:eastAsia="標楷體" w:hint="eastAsia"/>
          <w:spacing w:val="0"/>
          <w:sz w:val="24"/>
          <w:szCs w:val="24"/>
        </w:rPr>
        <w:t xml:space="preserve">s were relatively steady </w:t>
      </w:r>
      <w:r w:rsidR="00933066">
        <w:rPr>
          <w:rFonts w:ascii="Times New Roman" w:eastAsia="標楷體" w:hint="eastAsia"/>
          <w:spacing w:val="0"/>
          <w:sz w:val="24"/>
          <w:szCs w:val="24"/>
        </w:rPr>
        <w:t>in recent months</w:t>
      </w:r>
      <w:r w:rsidR="00926228">
        <w:rPr>
          <w:rFonts w:ascii="Times New Roman" w:eastAsia="標楷體" w:hint="eastAsia"/>
          <w:spacing w:val="0"/>
          <w:sz w:val="24"/>
          <w:szCs w:val="24"/>
        </w:rPr>
        <w:t>.</w:t>
      </w:r>
    </w:p>
    <w:p w:rsidR="00B942B5" w:rsidRDefault="000F206D" w:rsidP="00FD7B0A">
      <w:pPr>
        <w:pStyle w:val="6"/>
        <w:overflowPunct w:val="0"/>
        <w:snapToGrid w:val="0"/>
        <w:spacing w:after="0" w:line="440" w:lineRule="exact"/>
        <w:ind w:left="0" w:firstLineChars="200" w:firstLine="480"/>
        <w:rPr>
          <w:rFonts w:ascii="Times New Roman" w:eastAsia="標楷體"/>
          <w:spacing w:val="0"/>
          <w:sz w:val="24"/>
          <w:szCs w:val="24"/>
        </w:rPr>
      </w:pPr>
      <w:r>
        <w:rPr>
          <w:rFonts w:ascii="Times New Roman" w:eastAsia="標楷體" w:hint="eastAsia"/>
          <w:spacing w:val="0"/>
          <w:sz w:val="24"/>
          <w:szCs w:val="24"/>
        </w:rPr>
        <w:t>On the other hand, d</w:t>
      </w:r>
      <w:r w:rsidR="005F708C">
        <w:rPr>
          <w:rFonts w:ascii="Times New Roman" w:eastAsia="標楷體" w:hint="eastAsia"/>
          <w:spacing w:val="0"/>
          <w:sz w:val="24"/>
          <w:szCs w:val="24"/>
        </w:rPr>
        <w:t xml:space="preserve">omestic prices </w:t>
      </w:r>
      <w:r>
        <w:rPr>
          <w:rFonts w:ascii="Times New Roman" w:eastAsia="標楷體" w:hint="eastAsia"/>
          <w:spacing w:val="0"/>
          <w:sz w:val="24"/>
          <w:szCs w:val="24"/>
        </w:rPr>
        <w:t xml:space="preserve">have posted a mild uptrend. </w:t>
      </w:r>
      <w:r w:rsidR="005F708C">
        <w:rPr>
          <w:rFonts w:ascii="Times New Roman" w:eastAsia="標楷體" w:hint="eastAsia"/>
          <w:spacing w:val="0"/>
          <w:sz w:val="24"/>
          <w:szCs w:val="24"/>
        </w:rPr>
        <w:t xml:space="preserve">For the first eight months of the year, the CPI annual growth rate averaged 1.64% owing to rises in </w:t>
      </w:r>
      <w:r w:rsidR="00510A01">
        <w:rPr>
          <w:rFonts w:ascii="Times New Roman" w:eastAsia="標楷體" w:hint="eastAsia"/>
          <w:spacing w:val="0"/>
          <w:sz w:val="24"/>
          <w:szCs w:val="24"/>
        </w:rPr>
        <w:t xml:space="preserve">cigarette, </w:t>
      </w:r>
      <w:r w:rsidR="005F708C">
        <w:rPr>
          <w:rFonts w:ascii="Times New Roman" w:eastAsia="標楷體" w:hint="eastAsia"/>
          <w:spacing w:val="0"/>
          <w:sz w:val="24"/>
          <w:szCs w:val="24"/>
        </w:rPr>
        <w:t>oil,</w:t>
      </w:r>
      <w:r w:rsidR="00140B74">
        <w:rPr>
          <w:rFonts w:ascii="Times New Roman" w:eastAsia="標楷體" w:hint="eastAsia"/>
          <w:spacing w:val="0"/>
          <w:sz w:val="24"/>
          <w:szCs w:val="24"/>
        </w:rPr>
        <w:t xml:space="preserve"> and </w:t>
      </w:r>
      <w:r w:rsidR="00510A01">
        <w:rPr>
          <w:rFonts w:ascii="Times New Roman" w:eastAsia="標楷體" w:hint="eastAsia"/>
          <w:spacing w:val="0"/>
          <w:sz w:val="24"/>
          <w:szCs w:val="24"/>
        </w:rPr>
        <w:t xml:space="preserve">vegetable </w:t>
      </w:r>
      <w:r w:rsidR="00140B74">
        <w:rPr>
          <w:rFonts w:ascii="Times New Roman" w:eastAsia="標楷體" w:hint="eastAsia"/>
          <w:spacing w:val="0"/>
          <w:sz w:val="24"/>
          <w:szCs w:val="24"/>
        </w:rPr>
        <w:t>prices</w:t>
      </w:r>
      <w:r w:rsidR="005F708C">
        <w:rPr>
          <w:rFonts w:ascii="Times New Roman" w:eastAsia="標楷體" w:hint="eastAsia"/>
          <w:spacing w:val="0"/>
          <w:sz w:val="24"/>
          <w:szCs w:val="24"/>
        </w:rPr>
        <w:t xml:space="preserve"> while the Core CPI annual growth rate averaged 1.44% for the same period. </w:t>
      </w:r>
      <w:r w:rsidR="00472591">
        <w:rPr>
          <w:rFonts w:ascii="Times New Roman" w:eastAsia="標楷體" w:hint="eastAsia"/>
          <w:spacing w:val="0"/>
          <w:sz w:val="24"/>
          <w:szCs w:val="24"/>
        </w:rPr>
        <w:t xml:space="preserve">Despite a recent </w:t>
      </w:r>
      <w:r w:rsidR="00FD7B0A">
        <w:rPr>
          <w:rFonts w:ascii="Times New Roman" w:eastAsia="標楷體" w:hint="eastAsia"/>
          <w:spacing w:val="0"/>
          <w:sz w:val="24"/>
          <w:szCs w:val="24"/>
        </w:rPr>
        <w:t xml:space="preserve">price </w:t>
      </w:r>
      <w:r w:rsidR="00472591">
        <w:rPr>
          <w:rFonts w:ascii="Times New Roman" w:eastAsia="標楷體" w:hint="eastAsia"/>
          <w:spacing w:val="0"/>
          <w:sz w:val="24"/>
          <w:szCs w:val="24"/>
        </w:rPr>
        <w:t xml:space="preserve">upsurge </w:t>
      </w:r>
      <w:r>
        <w:rPr>
          <w:rFonts w:ascii="Times New Roman" w:eastAsia="標楷體" w:hint="eastAsia"/>
          <w:spacing w:val="0"/>
          <w:sz w:val="24"/>
          <w:szCs w:val="24"/>
        </w:rPr>
        <w:t xml:space="preserve">caused by crop damage from torrential rain and high oil prices, </w:t>
      </w:r>
      <w:r w:rsidR="00FD7B0A">
        <w:rPr>
          <w:rFonts w:ascii="Times New Roman" w:eastAsia="標楷體" w:hint="eastAsia"/>
          <w:spacing w:val="0"/>
          <w:sz w:val="24"/>
          <w:szCs w:val="24"/>
        </w:rPr>
        <w:t xml:space="preserve">the CPI </w:t>
      </w:r>
      <w:r>
        <w:rPr>
          <w:rFonts w:ascii="Times New Roman" w:eastAsia="標楷體" w:hint="eastAsia"/>
          <w:spacing w:val="0"/>
          <w:sz w:val="24"/>
          <w:szCs w:val="24"/>
        </w:rPr>
        <w:t xml:space="preserve">is expected to </w:t>
      </w:r>
      <w:r w:rsidR="00FD7B0A">
        <w:rPr>
          <w:rFonts w:ascii="Times New Roman" w:eastAsia="標楷體" w:hint="eastAsia"/>
          <w:spacing w:val="0"/>
          <w:sz w:val="24"/>
          <w:szCs w:val="24"/>
        </w:rPr>
        <w:t>rise at a slower pace owing to</w:t>
      </w:r>
      <w:r>
        <w:rPr>
          <w:rFonts w:ascii="Times New Roman" w:eastAsia="標楷體" w:hint="eastAsia"/>
          <w:spacing w:val="0"/>
          <w:sz w:val="24"/>
          <w:szCs w:val="24"/>
        </w:rPr>
        <w:t xml:space="preserve"> </w:t>
      </w:r>
      <w:r w:rsidR="00FD7B0A">
        <w:rPr>
          <w:rFonts w:ascii="Times New Roman" w:eastAsia="標楷體" w:hint="eastAsia"/>
          <w:spacing w:val="0"/>
          <w:sz w:val="24"/>
          <w:szCs w:val="24"/>
        </w:rPr>
        <w:t>lower</w:t>
      </w:r>
      <w:r>
        <w:rPr>
          <w:rFonts w:ascii="Times New Roman" w:eastAsia="標楷體" w:hint="eastAsia"/>
          <w:spacing w:val="0"/>
          <w:sz w:val="24"/>
          <w:szCs w:val="24"/>
        </w:rPr>
        <w:t xml:space="preserve"> telecommunication rates and </w:t>
      </w:r>
      <w:r w:rsidR="00FD7B0A">
        <w:rPr>
          <w:rFonts w:ascii="Times New Roman" w:eastAsia="標楷體" w:hint="eastAsia"/>
          <w:spacing w:val="0"/>
          <w:sz w:val="24"/>
          <w:szCs w:val="24"/>
        </w:rPr>
        <w:t xml:space="preserve">the </w:t>
      </w:r>
      <w:r>
        <w:rPr>
          <w:rFonts w:ascii="Times New Roman" w:eastAsia="標楷體" w:hint="eastAsia"/>
          <w:spacing w:val="0"/>
          <w:sz w:val="24"/>
          <w:szCs w:val="24"/>
        </w:rPr>
        <w:t xml:space="preserve">receding effect of the cigarette tax hike. </w:t>
      </w:r>
      <w:r w:rsidR="00967754">
        <w:rPr>
          <w:rFonts w:ascii="Times New Roman" w:eastAsia="標楷體" w:hint="eastAsia"/>
          <w:spacing w:val="0"/>
          <w:sz w:val="24"/>
          <w:szCs w:val="24"/>
        </w:rPr>
        <w:t xml:space="preserve">In assessing future inflation, the output gap is seen to remain negative but with a narrower difference that </w:t>
      </w:r>
      <w:r w:rsidR="00967754">
        <w:rPr>
          <w:rFonts w:ascii="Times New Roman" w:eastAsia="標楷體"/>
          <w:spacing w:val="0"/>
          <w:sz w:val="24"/>
          <w:szCs w:val="24"/>
        </w:rPr>
        <w:t>reflects</w:t>
      </w:r>
      <w:r w:rsidR="00967754">
        <w:rPr>
          <w:rFonts w:ascii="Times New Roman" w:eastAsia="標楷體" w:hint="eastAsia"/>
          <w:spacing w:val="0"/>
          <w:sz w:val="24"/>
          <w:szCs w:val="24"/>
        </w:rPr>
        <w:t xml:space="preserve"> solid growth in domestic demand</w:t>
      </w:r>
      <w:r w:rsidR="00B942B5">
        <w:rPr>
          <w:rFonts w:ascii="Times New Roman" w:eastAsia="標楷體" w:hint="eastAsia"/>
          <w:spacing w:val="0"/>
          <w:sz w:val="24"/>
          <w:szCs w:val="24"/>
        </w:rPr>
        <w:t>, suggesting that</w:t>
      </w:r>
      <w:r w:rsidR="00967754">
        <w:rPr>
          <w:rFonts w:ascii="Times New Roman" w:eastAsia="標楷體" w:hint="eastAsia"/>
          <w:spacing w:val="0"/>
          <w:sz w:val="24"/>
          <w:szCs w:val="24"/>
        </w:rPr>
        <w:t xml:space="preserve"> </w:t>
      </w:r>
      <w:r w:rsidR="002E3408" w:rsidRPr="002E3408">
        <w:rPr>
          <w:rFonts w:ascii="Times New Roman" w:eastAsia="標楷體" w:hint="eastAsia"/>
          <w:spacing w:val="0"/>
          <w:sz w:val="24"/>
          <w:szCs w:val="24"/>
        </w:rPr>
        <w:t>inflationary pressure</w:t>
      </w:r>
      <w:r w:rsidR="002E3408">
        <w:rPr>
          <w:rFonts w:ascii="Times New Roman" w:eastAsia="標楷體" w:hint="eastAsia"/>
          <w:spacing w:val="0"/>
          <w:sz w:val="24"/>
          <w:szCs w:val="24"/>
        </w:rPr>
        <w:t xml:space="preserve">s will be moderate. </w:t>
      </w:r>
    </w:p>
    <w:p w:rsidR="006544DD" w:rsidRPr="0059341F" w:rsidRDefault="002E3408" w:rsidP="00385ECD">
      <w:pPr>
        <w:pStyle w:val="6"/>
        <w:overflowPunct w:val="0"/>
        <w:snapToGrid w:val="0"/>
        <w:spacing w:after="0" w:line="440" w:lineRule="exact"/>
        <w:ind w:left="0" w:firstLineChars="200" w:firstLine="480"/>
        <w:rPr>
          <w:rFonts w:ascii="Times New Roman" w:eastAsia="標楷體"/>
          <w:spacing w:val="0"/>
          <w:sz w:val="24"/>
          <w:szCs w:val="24"/>
        </w:rPr>
      </w:pPr>
      <w:r>
        <w:rPr>
          <w:rFonts w:ascii="Times New Roman" w:eastAsia="標楷體" w:hint="eastAsia"/>
          <w:spacing w:val="0"/>
          <w:sz w:val="24"/>
          <w:szCs w:val="24"/>
        </w:rPr>
        <w:t xml:space="preserve">The </w:t>
      </w:r>
      <w:r w:rsidRPr="0059341F">
        <w:rPr>
          <w:rFonts w:ascii="Times New Roman" w:eastAsia="標楷體" w:hint="eastAsia"/>
          <w:spacing w:val="-2"/>
          <w:sz w:val="24"/>
          <w:szCs w:val="24"/>
        </w:rPr>
        <w:t>median of domestic institutions</w:t>
      </w:r>
      <w:r w:rsidRPr="0059341F">
        <w:rPr>
          <w:rFonts w:ascii="Times New Roman" w:eastAsia="標楷體"/>
          <w:spacing w:val="-2"/>
          <w:sz w:val="24"/>
          <w:szCs w:val="24"/>
        </w:rPr>
        <w:t>’</w:t>
      </w:r>
      <w:r w:rsidR="00B942B5">
        <w:rPr>
          <w:rFonts w:ascii="Times New Roman" w:eastAsia="標楷體" w:hint="eastAsia"/>
          <w:spacing w:val="-2"/>
          <w:sz w:val="24"/>
          <w:szCs w:val="24"/>
        </w:rPr>
        <w:t xml:space="preserve"> CPI forecasts </w:t>
      </w:r>
      <w:r w:rsidRPr="0059341F">
        <w:rPr>
          <w:rFonts w:ascii="Times New Roman" w:eastAsia="標楷體" w:hint="eastAsia"/>
          <w:spacing w:val="-2"/>
          <w:sz w:val="24"/>
          <w:szCs w:val="24"/>
        </w:rPr>
        <w:t>is 1.</w:t>
      </w:r>
      <w:r w:rsidR="00B942B5">
        <w:rPr>
          <w:rFonts w:ascii="Times New Roman" w:eastAsia="標楷體" w:hint="eastAsia"/>
          <w:spacing w:val="-2"/>
          <w:sz w:val="24"/>
          <w:szCs w:val="24"/>
        </w:rPr>
        <w:t>56</w:t>
      </w:r>
      <w:r w:rsidRPr="0059341F">
        <w:rPr>
          <w:rFonts w:ascii="Times New Roman" w:eastAsia="標楷體" w:hint="eastAsia"/>
          <w:spacing w:val="-2"/>
          <w:sz w:val="24"/>
          <w:szCs w:val="24"/>
        </w:rPr>
        <w:t xml:space="preserve">% </w:t>
      </w:r>
      <w:r w:rsidR="00B942B5">
        <w:rPr>
          <w:rFonts w:ascii="Times New Roman" w:eastAsia="標楷體" w:hint="eastAsia"/>
          <w:spacing w:val="-2"/>
          <w:sz w:val="24"/>
          <w:szCs w:val="24"/>
        </w:rPr>
        <w:t>for this year and 1.10</w:t>
      </w:r>
      <w:r w:rsidR="00661C3C">
        <w:rPr>
          <w:rFonts w:ascii="Times New Roman" w:eastAsia="標楷體" w:hint="eastAsia"/>
          <w:spacing w:val="-2"/>
          <w:sz w:val="24"/>
          <w:szCs w:val="24"/>
        </w:rPr>
        <w:t>%</w:t>
      </w:r>
      <w:r w:rsidR="00B942B5">
        <w:rPr>
          <w:rFonts w:ascii="Times New Roman" w:eastAsia="標楷體" w:hint="eastAsia"/>
          <w:spacing w:val="-2"/>
          <w:sz w:val="24"/>
          <w:szCs w:val="24"/>
        </w:rPr>
        <w:t xml:space="preserve"> for next year, and </w:t>
      </w:r>
      <w:r w:rsidRPr="0059341F">
        <w:rPr>
          <w:rFonts w:ascii="Times New Roman" w:eastAsia="標楷體" w:hint="eastAsia"/>
          <w:spacing w:val="-2"/>
          <w:sz w:val="24"/>
          <w:szCs w:val="24"/>
        </w:rPr>
        <w:t>that of international institutions</w:t>
      </w:r>
      <w:r w:rsidRPr="0059341F">
        <w:rPr>
          <w:rFonts w:ascii="Times New Roman" w:eastAsia="標楷體"/>
          <w:spacing w:val="-2"/>
          <w:sz w:val="24"/>
          <w:szCs w:val="24"/>
        </w:rPr>
        <w:t>’</w:t>
      </w:r>
      <w:r w:rsidRPr="0059341F">
        <w:rPr>
          <w:rFonts w:ascii="Times New Roman" w:eastAsia="標楷體" w:hint="eastAsia"/>
          <w:spacing w:val="-2"/>
          <w:sz w:val="24"/>
          <w:szCs w:val="24"/>
        </w:rPr>
        <w:t xml:space="preserve"> forecasts is 1.5</w:t>
      </w:r>
      <w:r w:rsidR="00B942B5">
        <w:rPr>
          <w:rFonts w:ascii="Times New Roman" w:eastAsia="標楷體" w:hint="eastAsia"/>
          <w:spacing w:val="-2"/>
          <w:sz w:val="24"/>
          <w:szCs w:val="24"/>
        </w:rPr>
        <w:t>5</w:t>
      </w:r>
      <w:r w:rsidRPr="0059341F">
        <w:rPr>
          <w:rFonts w:ascii="Times New Roman" w:eastAsia="標楷體" w:hint="eastAsia"/>
          <w:spacing w:val="-2"/>
          <w:sz w:val="24"/>
          <w:szCs w:val="24"/>
        </w:rPr>
        <w:t>%</w:t>
      </w:r>
      <w:r w:rsidR="00B942B5">
        <w:rPr>
          <w:rFonts w:ascii="Times New Roman" w:eastAsia="標楷體" w:hint="eastAsia"/>
          <w:spacing w:val="-2"/>
          <w:sz w:val="24"/>
          <w:szCs w:val="24"/>
        </w:rPr>
        <w:t xml:space="preserve"> and 1.35% for 2018 and 2019, respectively</w:t>
      </w:r>
      <w:r w:rsidRPr="0059341F">
        <w:rPr>
          <w:rFonts w:ascii="Times New Roman" w:eastAsia="標楷體" w:hint="eastAsia"/>
          <w:spacing w:val="-2"/>
          <w:sz w:val="24"/>
          <w:szCs w:val="24"/>
        </w:rPr>
        <w:t>.</w:t>
      </w:r>
      <w:r w:rsidRPr="0059341F">
        <w:rPr>
          <w:rFonts w:ascii="Times New Roman" w:eastAsia="標楷體" w:hint="eastAsia"/>
          <w:b/>
          <w:spacing w:val="-2"/>
          <w:sz w:val="24"/>
          <w:szCs w:val="24"/>
        </w:rPr>
        <w:t xml:space="preserve"> </w:t>
      </w:r>
      <w:r w:rsidR="00385ECD">
        <w:rPr>
          <w:rFonts w:ascii="Times New Roman" w:eastAsia="標楷體" w:hint="eastAsia"/>
          <w:b/>
          <w:spacing w:val="-2"/>
          <w:sz w:val="24"/>
          <w:szCs w:val="24"/>
        </w:rPr>
        <w:t>Based on the CBC</w:t>
      </w:r>
      <w:r w:rsidR="00385ECD">
        <w:rPr>
          <w:rFonts w:ascii="Times New Roman" w:eastAsia="標楷體"/>
          <w:b/>
          <w:spacing w:val="-2"/>
          <w:sz w:val="24"/>
          <w:szCs w:val="24"/>
        </w:rPr>
        <w:t>’</w:t>
      </w:r>
      <w:r w:rsidR="00385ECD">
        <w:rPr>
          <w:rFonts w:ascii="Times New Roman" w:eastAsia="標楷體" w:hint="eastAsia"/>
          <w:b/>
          <w:spacing w:val="-2"/>
          <w:sz w:val="24"/>
          <w:szCs w:val="24"/>
        </w:rPr>
        <w:t>s projections, Taiwan</w:t>
      </w:r>
      <w:r w:rsidR="00385ECD">
        <w:rPr>
          <w:rFonts w:ascii="Times New Roman" w:eastAsia="標楷體"/>
          <w:b/>
          <w:spacing w:val="-2"/>
          <w:sz w:val="24"/>
          <w:szCs w:val="24"/>
        </w:rPr>
        <w:t>’</w:t>
      </w:r>
      <w:r w:rsidR="00385ECD">
        <w:rPr>
          <w:rFonts w:ascii="Times New Roman" w:eastAsia="標楷體" w:hint="eastAsia"/>
          <w:b/>
          <w:spacing w:val="-2"/>
          <w:sz w:val="24"/>
          <w:szCs w:val="24"/>
        </w:rPr>
        <w:t xml:space="preserve">s CPI annual growth rate will register 1.50% this year </w:t>
      </w:r>
      <w:r w:rsidR="00385ECD" w:rsidRPr="00385ECD">
        <w:rPr>
          <w:rFonts w:ascii="Times New Roman" w:eastAsia="標楷體" w:hint="eastAsia"/>
          <w:spacing w:val="-2"/>
          <w:sz w:val="24"/>
          <w:szCs w:val="24"/>
        </w:rPr>
        <w:t xml:space="preserve">(1.10% if excluding the </w:t>
      </w:r>
      <w:r w:rsidR="00385ECD" w:rsidRPr="00385ECD">
        <w:rPr>
          <w:rFonts w:ascii="Times New Roman" w:eastAsia="標楷體"/>
          <w:spacing w:val="-2"/>
          <w:sz w:val="24"/>
          <w:szCs w:val="24"/>
        </w:rPr>
        <w:t>cigarette</w:t>
      </w:r>
      <w:r w:rsidR="00385ECD" w:rsidRPr="00385ECD">
        <w:rPr>
          <w:rFonts w:ascii="Times New Roman" w:eastAsia="標楷體" w:hint="eastAsia"/>
          <w:spacing w:val="-2"/>
          <w:sz w:val="24"/>
          <w:szCs w:val="24"/>
        </w:rPr>
        <w:t xml:space="preserve"> tax hike effect) </w:t>
      </w:r>
      <w:r w:rsidR="00385ECD">
        <w:rPr>
          <w:rFonts w:ascii="Times New Roman" w:eastAsia="標楷體" w:hint="eastAsia"/>
          <w:b/>
          <w:spacing w:val="-2"/>
          <w:sz w:val="24"/>
          <w:szCs w:val="24"/>
        </w:rPr>
        <w:t xml:space="preserve">and the core CPI annual growth rate will register 1.28%. </w:t>
      </w:r>
      <w:r w:rsidR="00FA668F">
        <w:rPr>
          <w:rFonts w:ascii="Times New Roman" w:eastAsia="標楷體" w:hint="eastAsia"/>
          <w:b/>
          <w:spacing w:val="-2"/>
          <w:sz w:val="24"/>
          <w:szCs w:val="24"/>
        </w:rPr>
        <w:t>The rates are fore</w:t>
      </w:r>
      <w:r w:rsidR="003B0829">
        <w:rPr>
          <w:rFonts w:ascii="Times New Roman" w:eastAsia="標楷體" w:hint="eastAsia"/>
          <w:b/>
          <w:spacing w:val="-2"/>
          <w:sz w:val="24"/>
          <w:szCs w:val="24"/>
        </w:rPr>
        <w:t xml:space="preserve">cast to drop to 1.05% and 1.00% </w:t>
      </w:r>
      <w:r w:rsidR="00FA668F">
        <w:rPr>
          <w:rFonts w:ascii="Times New Roman" w:eastAsia="標楷體" w:hint="eastAsia"/>
          <w:b/>
          <w:spacing w:val="-2"/>
          <w:sz w:val="24"/>
          <w:szCs w:val="24"/>
        </w:rPr>
        <w:t>next year</w:t>
      </w:r>
      <w:r w:rsidR="003B0829">
        <w:rPr>
          <w:rFonts w:ascii="Times New Roman" w:eastAsia="標楷體" w:hint="eastAsia"/>
          <w:b/>
          <w:spacing w:val="-2"/>
          <w:sz w:val="24"/>
          <w:szCs w:val="24"/>
        </w:rPr>
        <w:t>, respectively</w:t>
      </w:r>
      <w:r w:rsidR="00FA668F">
        <w:rPr>
          <w:rFonts w:ascii="Times New Roman" w:eastAsia="標楷體" w:hint="eastAsia"/>
          <w:b/>
          <w:spacing w:val="-2"/>
          <w:sz w:val="24"/>
          <w:szCs w:val="24"/>
        </w:rPr>
        <w:t xml:space="preserve">. </w:t>
      </w:r>
      <w:r w:rsidR="00B942B5">
        <w:rPr>
          <w:rFonts w:ascii="Times New Roman" w:eastAsia="標楷體" w:hint="eastAsia"/>
          <w:spacing w:val="-2"/>
          <w:sz w:val="24"/>
          <w:szCs w:val="24"/>
        </w:rPr>
        <w:t>The inflation outlook is</w:t>
      </w:r>
      <w:r w:rsidRPr="0059341F">
        <w:rPr>
          <w:rFonts w:ascii="Times New Roman" w:eastAsia="標楷體" w:hint="eastAsia"/>
          <w:spacing w:val="-2"/>
          <w:sz w:val="24"/>
          <w:szCs w:val="24"/>
        </w:rPr>
        <w:t xml:space="preserve"> mild.</w:t>
      </w:r>
    </w:p>
    <w:p w:rsidR="0058549D" w:rsidRPr="00F60BF9" w:rsidRDefault="0058549D" w:rsidP="00DC48E3">
      <w:pPr>
        <w:pStyle w:val="6"/>
        <w:overflowPunct w:val="0"/>
        <w:snapToGrid w:val="0"/>
        <w:spacing w:after="0" w:line="440" w:lineRule="exact"/>
        <w:ind w:left="0" w:firstLineChars="200" w:firstLine="480"/>
        <w:rPr>
          <w:rFonts w:ascii="Times New Roman" w:eastAsia="標楷體"/>
          <w:spacing w:val="0"/>
          <w:sz w:val="24"/>
          <w:szCs w:val="24"/>
        </w:rPr>
      </w:pPr>
      <w:r w:rsidRPr="003B0E4E">
        <w:rPr>
          <w:rFonts w:ascii="Times New Roman" w:eastAsia="標楷體" w:hint="eastAsia"/>
          <w:spacing w:val="0"/>
          <w:sz w:val="24"/>
          <w:szCs w:val="24"/>
        </w:rPr>
        <w:t xml:space="preserve">As for </w:t>
      </w:r>
      <w:r w:rsidR="009E2B22">
        <w:rPr>
          <w:rFonts w:ascii="Times New Roman" w:eastAsia="標楷體" w:hint="eastAsia"/>
          <w:spacing w:val="0"/>
          <w:sz w:val="24"/>
          <w:szCs w:val="24"/>
        </w:rPr>
        <w:t xml:space="preserve">the </w:t>
      </w:r>
      <w:r w:rsidR="003B0E4E" w:rsidRPr="003B0E4E">
        <w:rPr>
          <w:rFonts w:ascii="Times New Roman" w:eastAsia="標楷體" w:hint="eastAsia"/>
          <w:spacing w:val="0"/>
          <w:sz w:val="24"/>
          <w:szCs w:val="24"/>
        </w:rPr>
        <w:t>primary</w:t>
      </w:r>
      <w:r w:rsidRPr="003B0E4E">
        <w:rPr>
          <w:rFonts w:ascii="Times New Roman" w:eastAsia="標楷體" w:hint="eastAsia"/>
          <w:spacing w:val="0"/>
          <w:sz w:val="24"/>
          <w:szCs w:val="24"/>
        </w:rPr>
        <w:t xml:space="preserve"> factors behind </w:t>
      </w:r>
      <w:r w:rsidR="00193D30">
        <w:rPr>
          <w:rFonts w:ascii="Times New Roman" w:eastAsia="標楷體" w:hint="eastAsia"/>
          <w:spacing w:val="0"/>
          <w:sz w:val="24"/>
          <w:szCs w:val="24"/>
        </w:rPr>
        <w:t>future</w:t>
      </w:r>
      <w:r w:rsidRPr="003B0E4E">
        <w:rPr>
          <w:rFonts w:ascii="Times New Roman" w:eastAsia="標楷體" w:hint="eastAsia"/>
          <w:spacing w:val="0"/>
          <w:sz w:val="24"/>
          <w:szCs w:val="24"/>
        </w:rPr>
        <w:t xml:space="preserve"> price trends, </w:t>
      </w:r>
      <w:r w:rsidR="003B0E4E" w:rsidRPr="003B0E4E">
        <w:rPr>
          <w:rFonts w:ascii="Times New Roman" w:eastAsia="標楷體" w:hint="eastAsia"/>
          <w:spacing w:val="0"/>
          <w:sz w:val="24"/>
          <w:szCs w:val="24"/>
        </w:rPr>
        <w:t xml:space="preserve">sources of </w:t>
      </w:r>
      <w:r w:rsidRPr="003B0E4E">
        <w:rPr>
          <w:rFonts w:ascii="Times New Roman" w:eastAsia="標楷體" w:hint="eastAsia"/>
          <w:spacing w:val="0"/>
          <w:sz w:val="24"/>
          <w:szCs w:val="24"/>
        </w:rPr>
        <w:t xml:space="preserve">upside pressures </w:t>
      </w:r>
      <w:r w:rsidR="003B0E4E" w:rsidRPr="003B0E4E">
        <w:rPr>
          <w:rFonts w:ascii="Times New Roman" w:eastAsia="標楷體" w:hint="eastAsia"/>
          <w:spacing w:val="0"/>
          <w:sz w:val="24"/>
          <w:szCs w:val="24"/>
        </w:rPr>
        <w:t xml:space="preserve">include </w:t>
      </w:r>
      <w:r w:rsidR="0069742E" w:rsidRPr="003B0E4E">
        <w:rPr>
          <w:rFonts w:ascii="Times New Roman" w:eastAsia="標楷體" w:hint="eastAsia"/>
          <w:spacing w:val="0"/>
          <w:sz w:val="24"/>
          <w:szCs w:val="24"/>
        </w:rPr>
        <w:t xml:space="preserve">(1) </w:t>
      </w:r>
      <w:r w:rsidR="00F70751">
        <w:rPr>
          <w:rFonts w:ascii="Times New Roman" w:eastAsia="標楷體" w:hint="eastAsia"/>
          <w:spacing w:val="0"/>
          <w:sz w:val="24"/>
          <w:szCs w:val="24"/>
        </w:rPr>
        <w:t>prolonged</w:t>
      </w:r>
      <w:r w:rsidR="00DC48E3">
        <w:rPr>
          <w:rFonts w:ascii="Times New Roman" w:eastAsia="標楷體" w:hint="eastAsia"/>
          <w:spacing w:val="0"/>
          <w:sz w:val="24"/>
          <w:szCs w:val="24"/>
        </w:rPr>
        <w:t xml:space="preserve"> heavy rainfall</w:t>
      </w:r>
      <w:r w:rsidR="00193D30">
        <w:rPr>
          <w:rFonts w:ascii="Times New Roman" w:eastAsia="標楷體" w:hint="eastAsia"/>
          <w:spacing w:val="0"/>
          <w:sz w:val="24"/>
          <w:szCs w:val="24"/>
        </w:rPr>
        <w:t xml:space="preserve"> could </w:t>
      </w:r>
      <w:r w:rsidR="00DC48E3">
        <w:rPr>
          <w:rFonts w:ascii="Times New Roman" w:eastAsia="標楷體" w:hint="eastAsia"/>
          <w:spacing w:val="0"/>
          <w:sz w:val="24"/>
          <w:szCs w:val="24"/>
        </w:rPr>
        <w:t>inflict agricultural losses and push up prices</w:t>
      </w:r>
      <w:r w:rsidR="00510A01">
        <w:rPr>
          <w:rFonts w:ascii="Times New Roman" w:eastAsia="標楷體" w:hint="eastAsia"/>
          <w:spacing w:val="0"/>
          <w:sz w:val="24"/>
          <w:szCs w:val="24"/>
        </w:rPr>
        <w:t>;</w:t>
      </w:r>
      <w:r w:rsidR="00DC48E3">
        <w:rPr>
          <w:rFonts w:ascii="Times New Roman" w:eastAsia="標楷體" w:hint="eastAsia"/>
          <w:spacing w:val="0"/>
          <w:sz w:val="24"/>
          <w:szCs w:val="24"/>
        </w:rPr>
        <w:t xml:space="preserve"> (2) </w:t>
      </w:r>
      <w:r w:rsidR="003B0E4E" w:rsidRPr="003B0E4E">
        <w:rPr>
          <w:rFonts w:ascii="Times New Roman" w:eastAsia="標楷體" w:hint="eastAsia"/>
          <w:spacing w:val="0"/>
          <w:sz w:val="24"/>
          <w:szCs w:val="24"/>
        </w:rPr>
        <w:t>international oil</w:t>
      </w:r>
      <w:r w:rsidR="003B0E4E">
        <w:rPr>
          <w:rFonts w:ascii="Times New Roman" w:eastAsia="標楷體" w:hint="eastAsia"/>
          <w:spacing w:val="0"/>
          <w:sz w:val="24"/>
          <w:szCs w:val="24"/>
        </w:rPr>
        <w:t xml:space="preserve"> price</w:t>
      </w:r>
      <w:r w:rsidR="003B0E4E" w:rsidRPr="003B0E4E">
        <w:rPr>
          <w:rFonts w:ascii="Times New Roman" w:eastAsia="標楷體" w:hint="eastAsia"/>
          <w:spacing w:val="0"/>
          <w:sz w:val="24"/>
          <w:szCs w:val="24"/>
        </w:rPr>
        <w:t>s</w:t>
      </w:r>
      <w:r w:rsidR="00DC48E3">
        <w:rPr>
          <w:rFonts w:ascii="Times New Roman" w:eastAsia="標楷體" w:hint="eastAsia"/>
          <w:spacing w:val="0"/>
          <w:sz w:val="24"/>
          <w:szCs w:val="24"/>
        </w:rPr>
        <w:t xml:space="preserve"> might hover around high levels, buoying up import prices; (3</w:t>
      </w:r>
      <w:r w:rsidR="003B0E4E" w:rsidRPr="003B0E4E">
        <w:rPr>
          <w:rFonts w:ascii="Times New Roman" w:eastAsia="標楷體" w:hint="eastAsia"/>
          <w:spacing w:val="0"/>
          <w:sz w:val="24"/>
          <w:szCs w:val="24"/>
        </w:rPr>
        <w:t xml:space="preserve">) </w:t>
      </w:r>
      <w:r w:rsidR="00A6145C">
        <w:rPr>
          <w:rFonts w:ascii="Times New Roman" w:eastAsia="標楷體" w:hint="eastAsia"/>
          <w:spacing w:val="0"/>
          <w:sz w:val="24"/>
          <w:szCs w:val="24"/>
        </w:rPr>
        <w:t>wage increases have been somewhat faster this year; (4) upward pressures for electricity tariff</w:t>
      </w:r>
      <w:r w:rsidR="00FC4A5F">
        <w:rPr>
          <w:rFonts w:ascii="Times New Roman" w:eastAsia="標楷體" w:hint="eastAsia"/>
          <w:spacing w:val="0"/>
          <w:sz w:val="24"/>
          <w:szCs w:val="24"/>
        </w:rPr>
        <w:t>s</w:t>
      </w:r>
      <w:r w:rsidR="00A6145C">
        <w:rPr>
          <w:rFonts w:ascii="Times New Roman" w:eastAsia="標楷體" w:hint="eastAsia"/>
          <w:spacing w:val="0"/>
          <w:sz w:val="24"/>
          <w:szCs w:val="24"/>
        </w:rPr>
        <w:t xml:space="preserve">, </w:t>
      </w:r>
      <w:r w:rsidR="00FC4A5F">
        <w:rPr>
          <w:rFonts w:ascii="Times New Roman" w:eastAsia="標楷體" w:hint="eastAsia"/>
          <w:spacing w:val="0"/>
          <w:sz w:val="24"/>
          <w:szCs w:val="24"/>
        </w:rPr>
        <w:t>fuel and gas fee rises, as well as price hike for some daily necessities, could combine to drive up inflation expectations</w:t>
      </w:r>
      <w:r w:rsidR="001B7455">
        <w:rPr>
          <w:rFonts w:ascii="Times New Roman" w:eastAsia="標楷體" w:hint="eastAsia"/>
          <w:spacing w:val="0"/>
          <w:sz w:val="24"/>
          <w:szCs w:val="24"/>
        </w:rPr>
        <w:t xml:space="preserve">. </w:t>
      </w:r>
      <w:r w:rsidR="008405F1">
        <w:rPr>
          <w:rFonts w:ascii="Times New Roman" w:eastAsia="標楷體" w:hint="eastAsia"/>
          <w:spacing w:val="0"/>
          <w:sz w:val="24"/>
          <w:szCs w:val="24"/>
        </w:rPr>
        <w:t>On the other hand, s</w:t>
      </w:r>
      <w:r w:rsidR="0001085A" w:rsidRPr="00F60BF9">
        <w:rPr>
          <w:rFonts w:ascii="Times New Roman" w:eastAsia="標楷體" w:hint="eastAsia"/>
          <w:spacing w:val="0"/>
          <w:sz w:val="24"/>
          <w:szCs w:val="24"/>
        </w:rPr>
        <w:t xml:space="preserve">ources of downside pressures include </w:t>
      </w:r>
      <w:r w:rsidR="008405F1">
        <w:rPr>
          <w:rFonts w:ascii="Times New Roman" w:eastAsia="標楷體" w:hint="eastAsia"/>
          <w:spacing w:val="0"/>
          <w:sz w:val="24"/>
          <w:szCs w:val="24"/>
        </w:rPr>
        <w:t>further reductions in</w:t>
      </w:r>
      <w:r w:rsidR="0001085A" w:rsidRPr="00F60BF9">
        <w:rPr>
          <w:rFonts w:ascii="Times New Roman" w:eastAsia="標楷體" w:hint="eastAsia"/>
          <w:spacing w:val="0"/>
          <w:sz w:val="24"/>
          <w:szCs w:val="24"/>
        </w:rPr>
        <w:t xml:space="preserve"> telecommunication rates and </w:t>
      </w:r>
      <w:r w:rsidR="008405F1">
        <w:rPr>
          <w:rFonts w:ascii="Times New Roman" w:eastAsia="標楷體" w:hint="eastAsia"/>
          <w:spacing w:val="0"/>
          <w:sz w:val="24"/>
          <w:szCs w:val="24"/>
        </w:rPr>
        <w:t>a</w:t>
      </w:r>
      <w:r w:rsidR="00F70751">
        <w:rPr>
          <w:rFonts w:ascii="Times New Roman" w:eastAsia="標楷體" w:hint="eastAsia"/>
          <w:spacing w:val="0"/>
          <w:sz w:val="24"/>
          <w:szCs w:val="24"/>
        </w:rPr>
        <w:t xml:space="preserve"> persistent</w:t>
      </w:r>
      <w:r w:rsidR="00F60BF9">
        <w:rPr>
          <w:rFonts w:ascii="Times New Roman" w:eastAsia="標楷體" w:hint="eastAsia"/>
          <w:spacing w:val="0"/>
          <w:sz w:val="24"/>
          <w:szCs w:val="24"/>
        </w:rPr>
        <w:t xml:space="preserve"> </w:t>
      </w:r>
      <w:r w:rsidR="006435B6" w:rsidRPr="00F60BF9">
        <w:rPr>
          <w:rFonts w:ascii="Times New Roman" w:eastAsia="標楷體" w:hint="eastAsia"/>
          <w:spacing w:val="0"/>
          <w:sz w:val="24"/>
          <w:szCs w:val="24"/>
        </w:rPr>
        <w:t xml:space="preserve">negative </w:t>
      </w:r>
      <w:r w:rsidR="0001085A" w:rsidRPr="00F60BF9">
        <w:rPr>
          <w:rFonts w:ascii="Times New Roman" w:eastAsia="標楷體" w:hint="eastAsia"/>
          <w:spacing w:val="0"/>
          <w:sz w:val="24"/>
          <w:szCs w:val="24"/>
        </w:rPr>
        <w:t xml:space="preserve">output gap. </w:t>
      </w:r>
    </w:p>
    <w:p w:rsidR="00D46F1E" w:rsidRPr="00EB057B" w:rsidRDefault="00D46F1E" w:rsidP="0043506F">
      <w:pPr>
        <w:numPr>
          <w:ilvl w:val="0"/>
          <w:numId w:val="30"/>
        </w:numPr>
        <w:overflowPunct w:val="0"/>
        <w:autoSpaceDE w:val="0"/>
        <w:autoSpaceDN w:val="0"/>
        <w:snapToGrid w:val="0"/>
        <w:spacing w:before="240" w:line="520" w:lineRule="exact"/>
        <w:ind w:left="426" w:hanging="426"/>
        <w:rPr>
          <w:rFonts w:eastAsia="標楷體"/>
          <w:b/>
          <w:spacing w:val="-2"/>
          <w:sz w:val="24"/>
          <w:szCs w:val="24"/>
        </w:rPr>
      </w:pPr>
      <w:r w:rsidRPr="00EB057B">
        <w:rPr>
          <w:rFonts w:eastAsia="標楷體" w:hint="eastAsia"/>
          <w:b/>
          <w:spacing w:val="-2"/>
          <w:sz w:val="24"/>
          <w:szCs w:val="24"/>
        </w:rPr>
        <w:t>Considerations for Monetary Policy</w:t>
      </w:r>
    </w:p>
    <w:p w:rsidR="000E700C" w:rsidRDefault="00D46F1E" w:rsidP="00506662">
      <w:pPr>
        <w:adjustRightInd/>
        <w:spacing w:before="120" w:line="440" w:lineRule="exact"/>
        <w:ind w:left="363" w:hangingChars="154" w:hanging="363"/>
        <w:textAlignment w:val="auto"/>
        <w:rPr>
          <w:rFonts w:eastAsia="標楷體"/>
          <w:spacing w:val="-2"/>
          <w:kern w:val="2"/>
          <w:sz w:val="24"/>
          <w:szCs w:val="24"/>
        </w:rPr>
      </w:pPr>
      <w:r w:rsidRPr="00506662">
        <w:rPr>
          <w:rFonts w:eastAsia="標楷體" w:hint="eastAsia"/>
          <w:spacing w:val="-2"/>
          <w:kern w:val="2"/>
          <w:sz w:val="24"/>
          <w:szCs w:val="24"/>
        </w:rPr>
        <w:t xml:space="preserve">(1) </w:t>
      </w:r>
      <w:r w:rsidR="00D96112">
        <w:rPr>
          <w:rFonts w:eastAsia="標楷體" w:hint="eastAsia"/>
          <w:spacing w:val="-2"/>
          <w:kern w:val="2"/>
          <w:sz w:val="24"/>
          <w:szCs w:val="24"/>
        </w:rPr>
        <w:t>Domestic inflation</w:t>
      </w:r>
      <w:r w:rsidR="005F4899">
        <w:rPr>
          <w:rFonts w:eastAsia="標楷體" w:hint="eastAsia"/>
          <w:spacing w:val="-2"/>
          <w:kern w:val="2"/>
          <w:sz w:val="24"/>
          <w:szCs w:val="24"/>
        </w:rPr>
        <w:t>ary pressures are subdued</w:t>
      </w:r>
      <w:r w:rsidR="00D96112">
        <w:rPr>
          <w:rFonts w:eastAsia="標楷體" w:hint="eastAsia"/>
          <w:spacing w:val="-2"/>
          <w:kern w:val="2"/>
          <w:sz w:val="24"/>
          <w:szCs w:val="24"/>
        </w:rPr>
        <w:t>; inflation outlook for 2018 is</w:t>
      </w:r>
      <w:r w:rsidR="005F4899">
        <w:rPr>
          <w:rFonts w:eastAsia="標楷體" w:hint="eastAsia"/>
          <w:spacing w:val="-2"/>
          <w:kern w:val="2"/>
          <w:sz w:val="24"/>
          <w:szCs w:val="24"/>
        </w:rPr>
        <w:t xml:space="preserve"> stable given a narrowing but still negative output gap for this and next year.</w:t>
      </w:r>
      <w:r w:rsidR="00706207">
        <w:rPr>
          <w:rFonts w:eastAsia="標楷體"/>
          <w:spacing w:val="-2"/>
          <w:kern w:val="2"/>
          <w:sz w:val="24"/>
          <w:szCs w:val="24"/>
        </w:rPr>
        <w:t xml:space="preserve"> </w:t>
      </w:r>
    </w:p>
    <w:p w:rsidR="00FB1B1A" w:rsidRPr="00D96112" w:rsidRDefault="00D12F1E" w:rsidP="00B963CD">
      <w:pPr>
        <w:pStyle w:val="6"/>
        <w:overflowPunct w:val="0"/>
        <w:snapToGrid w:val="0"/>
        <w:spacing w:after="0" w:line="440" w:lineRule="exact"/>
        <w:ind w:left="0" w:firstLineChars="200" w:firstLine="480"/>
        <w:rPr>
          <w:rFonts w:ascii="Times New Roman" w:eastAsia="標楷體"/>
          <w:spacing w:val="0"/>
          <w:sz w:val="24"/>
          <w:szCs w:val="24"/>
        </w:rPr>
      </w:pPr>
      <w:r w:rsidRPr="00D96112">
        <w:rPr>
          <w:rFonts w:ascii="Times New Roman" w:eastAsia="標楷體" w:hint="eastAsia"/>
          <w:spacing w:val="0"/>
          <w:sz w:val="24"/>
          <w:szCs w:val="24"/>
        </w:rPr>
        <w:t>The annual CPI growth rate averaged 1.</w:t>
      </w:r>
      <w:r w:rsidR="00D96112" w:rsidRPr="00D96112">
        <w:rPr>
          <w:rFonts w:ascii="Times New Roman" w:eastAsia="標楷體" w:hint="eastAsia"/>
          <w:spacing w:val="0"/>
          <w:sz w:val="24"/>
          <w:szCs w:val="24"/>
        </w:rPr>
        <w:t>6</w:t>
      </w:r>
      <w:r w:rsidR="005F4899">
        <w:rPr>
          <w:rFonts w:ascii="Times New Roman" w:eastAsia="標楷體" w:hint="eastAsia"/>
          <w:spacing w:val="0"/>
          <w:sz w:val="24"/>
          <w:szCs w:val="24"/>
        </w:rPr>
        <w:t>4</w:t>
      </w:r>
      <w:r w:rsidRPr="00D96112">
        <w:rPr>
          <w:rFonts w:ascii="Times New Roman" w:eastAsia="標楷體" w:hint="eastAsia"/>
          <w:spacing w:val="0"/>
          <w:sz w:val="24"/>
          <w:szCs w:val="24"/>
        </w:rPr>
        <w:t xml:space="preserve">% for the first </w:t>
      </w:r>
      <w:r w:rsidR="005F4899">
        <w:rPr>
          <w:rFonts w:ascii="Times New Roman" w:eastAsia="標楷體" w:hint="eastAsia"/>
          <w:spacing w:val="0"/>
          <w:sz w:val="24"/>
          <w:szCs w:val="24"/>
        </w:rPr>
        <w:t>eight</w:t>
      </w:r>
      <w:r w:rsidRPr="00D96112">
        <w:rPr>
          <w:rFonts w:ascii="Times New Roman" w:eastAsia="標楷體" w:hint="eastAsia"/>
          <w:spacing w:val="0"/>
          <w:sz w:val="24"/>
          <w:szCs w:val="24"/>
        </w:rPr>
        <w:t xml:space="preserve"> months of the year</w:t>
      </w:r>
      <w:r w:rsidR="00D96112" w:rsidRPr="00D96112">
        <w:rPr>
          <w:rFonts w:ascii="Times New Roman" w:eastAsia="標楷體" w:hint="eastAsia"/>
          <w:spacing w:val="0"/>
          <w:sz w:val="24"/>
          <w:szCs w:val="24"/>
        </w:rPr>
        <w:t xml:space="preserve"> </w:t>
      </w:r>
      <w:r w:rsidR="00A57FA8">
        <w:rPr>
          <w:rFonts w:ascii="Times New Roman" w:eastAsia="標楷體" w:hint="eastAsia"/>
          <w:spacing w:val="0"/>
          <w:sz w:val="24"/>
          <w:szCs w:val="24"/>
        </w:rPr>
        <w:t>and is to register 1.50% based on the CBC</w:t>
      </w:r>
      <w:r w:rsidR="00A57FA8">
        <w:rPr>
          <w:rFonts w:ascii="Times New Roman" w:eastAsia="標楷體"/>
          <w:spacing w:val="0"/>
          <w:sz w:val="24"/>
          <w:szCs w:val="24"/>
        </w:rPr>
        <w:t>’</w:t>
      </w:r>
      <w:r w:rsidR="00A57FA8">
        <w:rPr>
          <w:rFonts w:ascii="Times New Roman" w:eastAsia="標楷體" w:hint="eastAsia"/>
          <w:spacing w:val="0"/>
          <w:sz w:val="24"/>
          <w:szCs w:val="24"/>
        </w:rPr>
        <w:t xml:space="preserve">s projection for the year as a whole, with a forecast of 1.10% if excluding the cigarette tax hike effect. For the year of 2019, </w:t>
      </w:r>
      <w:r w:rsidR="00FD1F74">
        <w:rPr>
          <w:rFonts w:ascii="Times New Roman" w:eastAsia="標楷體" w:hint="eastAsia"/>
          <w:spacing w:val="0"/>
          <w:sz w:val="24"/>
          <w:szCs w:val="24"/>
        </w:rPr>
        <w:t>t</w:t>
      </w:r>
      <w:r w:rsidR="00A57FA8">
        <w:rPr>
          <w:rFonts w:ascii="Times New Roman" w:eastAsia="標楷體" w:hint="eastAsia"/>
          <w:spacing w:val="0"/>
          <w:sz w:val="24"/>
          <w:szCs w:val="24"/>
        </w:rPr>
        <w:t>he CBC expects</w:t>
      </w:r>
      <w:r w:rsidR="007A13E5">
        <w:rPr>
          <w:rFonts w:ascii="Times New Roman" w:eastAsia="標楷體" w:hint="eastAsia"/>
          <w:spacing w:val="0"/>
          <w:sz w:val="24"/>
          <w:szCs w:val="24"/>
        </w:rPr>
        <w:t xml:space="preserve"> inflation to ease to 1.05%, in view that </w:t>
      </w:r>
      <w:r w:rsidR="00FD1F74">
        <w:rPr>
          <w:rFonts w:ascii="Times New Roman" w:eastAsia="標楷體" w:hint="eastAsia"/>
          <w:spacing w:val="0"/>
          <w:sz w:val="24"/>
          <w:szCs w:val="24"/>
        </w:rPr>
        <w:t>international forecasters predicts a less strong rise in oil prices compared to this year</w:t>
      </w:r>
      <w:r w:rsidR="00FD1F74">
        <w:rPr>
          <w:rFonts w:ascii="Times New Roman" w:eastAsia="標楷體"/>
          <w:spacing w:val="0"/>
          <w:sz w:val="24"/>
          <w:szCs w:val="24"/>
        </w:rPr>
        <w:t>’</w:t>
      </w:r>
      <w:r w:rsidR="00FD1F74">
        <w:rPr>
          <w:rFonts w:ascii="Times New Roman" w:eastAsia="標楷體" w:hint="eastAsia"/>
          <w:spacing w:val="0"/>
          <w:sz w:val="24"/>
          <w:szCs w:val="24"/>
        </w:rPr>
        <w:t>s</w:t>
      </w:r>
      <w:r w:rsidR="007A13E5">
        <w:rPr>
          <w:rFonts w:ascii="Times New Roman" w:eastAsia="標楷體" w:hint="eastAsia"/>
          <w:spacing w:val="0"/>
          <w:sz w:val="24"/>
          <w:szCs w:val="24"/>
        </w:rPr>
        <w:t xml:space="preserve">, domestic demand is mild, and </w:t>
      </w:r>
      <w:r w:rsidR="00D96112" w:rsidRPr="00D96112">
        <w:rPr>
          <w:rFonts w:ascii="Times New Roman" w:eastAsia="標楷體" w:hint="eastAsia"/>
          <w:spacing w:val="0"/>
          <w:sz w:val="24"/>
          <w:szCs w:val="24"/>
        </w:rPr>
        <w:t xml:space="preserve">the deferred effect from the cigarette tax hike </w:t>
      </w:r>
      <w:r w:rsidR="00FD1F74">
        <w:rPr>
          <w:rFonts w:ascii="Times New Roman" w:eastAsia="標楷體" w:hint="eastAsia"/>
          <w:spacing w:val="0"/>
          <w:sz w:val="24"/>
          <w:szCs w:val="24"/>
        </w:rPr>
        <w:t>will dissipate</w:t>
      </w:r>
      <w:r w:rsidR="00D96112" w:rsidRPr="00D96112">
        <w:rPr>
          <w:rFonts w:ascii="Times New Roman" w:eastAsia="標楷體" w:hint="eastAsia"/>
          <w:spacing w:val="0"/>
          <w:sz w:val="24"/>
          <w:szCs w:val="24"/>
        </w:rPr>
        <w:t xml:space="preserve">. </w:t>
      </w:r>
    </w:p>
    <w:p w:rsidR="00FD1F74" w:rsidRDefault="00706207" w:rsidP="00706207">
      <w:pPr>
        <w:adjustRightInd/>
        <w:spacing w:before="120" w:line="440" w:lineRule="exact"/>
        <w:ind w:left="363" w:hangingChars="154" w:hanging="363"/>
        <w:textAlignment w:val="auto"/>
        <w:rPr>
          <w:rFonts w:eastAsia="標楷體"/>
          <w:spacing w:val="-2"/>
          <w:kern w:val="2"/>
          <w:sz w:val="24"/>
          <w:szCs w:val="24"/>
        </w:rPr>
      </w:pPr>
      <w:r>
        <w:rPr>
          <w:rFonts w:eastAsia="標楷體" w:hint="eastAsia"/>
          <w:spacing w:val="-2"/>
          <w:kern w:val="2"/>
          <w:sz w:val="24"/>
          <w:szCs w:val="24"/>
        </w:rPr>
        <w:t xml:space="preserve">(2) </w:t>
      </w:r>
      <w:r w:rsidR="00FD1F74">
        <w:rPr>
          <w:rFonts w:eastAsia="標楷體" w:hint="eastAsia"/>
          <w:spacing w:val="-2"/>
          <w:kern w:val="2"/>
          <w:sz w:val="24"/>
          <w:szCs w:val="24"/>
        </w:rPr>
        <w:t xml:space="preserve">Many uncertainties exist over the global </w:t>
      </w:r>
      <w:r w:rsidR="00FD1F74">
        <w:rPr>
          <w:rFonts w:eastAsia="標楷體"/>
          <w:spacing w:val="-2"/>
          <w:kern w:val="2"/>
          <w:sz w:val="24"/>
          <w:szCs w:val="24"/>
        </w:rPr>
        <w:t>economic</w:t>
      </w:r>
      <w:r w:rsidR="00FD1F74">
        <w:rPr>
          <w:rFonts w:eastAsia="標楷體" w:hint="eastAsia"/>
          <w:spacing w:val="-2"/>
          <w:kern w:val="2"/>
          <w:sz w:val="24"/>
          <w:szCs w:val="24"/>
        </w:rPr>
        <w:t xml:space="preserve"> outlook; the domestic growth momentum will be moderate for the second half of 2018 and the year of 2019</w:t>
      </w:r>
      <w:r w:rsidR="00891C42">
        <w:rPr>
          <w:rFonts w:eastAsia="標楷體" w:hint="eastAsia"/>
          <w:spacing w:val="-2"/>
          <w:kern w:val="2"/>
          <w:sz w:val="24"/>
          <w:szCs w:val="24"/>
        </w:rPr>
        <w:t>.</w:t>
      </w:r>
    </w:p>
    <w:p w:rsidR="004110FF" w:rsidRPr="00706207" w:rsidRDefault="00EA0D72" w:rsidP="004A2322">
      <w:pPr>
        <w:pStyle w:val="6"/>
        <w:overflowPunct w:val="0"/>
        <w:snapToGrid w:val="0"/>
        <w:spacing w:after="0" w:line="440" w:lineRule="exact"/>
        <w:ind w:left="0" w:firstLineChars="200" w:firstLine="480"/>
        <w:rPr>
          <w:rFonts w:ascii="Times New Roman" w:eastAsia="標楷體"/>
          <w:spacing w:val="0"/>
          <w:sz w:val="24"/>
          <w:szCs w:val="24"/>
        </w:rPr>
      </w:pPr>
      <w:r>
        <w:rPr>
          <w:rFonts w:ascii="Times New Roman" w:eastAsia="標楷體" w:hint="eastAsia"/>
          <w:spacing w:val="0"/>
          <w:sz w:val="24"/>
          <w:szCs w:val="24"/>
        </w:rPr>
        <w:t xml:space="preserve">Signs of US-China trade friction escalating, continued US monetary policy normalization, and currency depreciation </w:t>
      </w:r>
      <w:r w:rsidR="004A2322">
        <w:rPr>
          <w:rFonts w:ascii="Times New Roman" w:eastAsia="標楷體" w:hint="eastAsia"/>
          <w:spacing w:val="0"/>
          <w:sz w:val="24"/>
          <w:szCs w:val="24"/>
        </w:rPr>
        <w:t>and</w:t>
      </w:r>
      <w:r>
        <w:rPr>
          <w:rFonts w:ascii="Times New Roman" w:eastAsia="標楷體" w:hint="eastAsia"/>
          <w:spacing w:val="0"/>
          <w:sz w:val="24"/>
          <w:szCs w:val="24"/>
        </w:rPr>
        <w:t xml:space="preserve"> </w:t>
      </w:r>
      <w:r>
        <w:rPr>
          <w:rFonts w:ascii="Times New Roman" w:eastAsia="標楷體"/>
          <w:spacing w:val="0"/>
          <w:sz w:val="24"/>
          <w:szCs w:val="24"/>
        </w:rPr>
        <w:t>economic</w:t>
      </w:r>
      <w:r>
        <w:rPr>
          <w:rFonts w:ascii="Times New Roman" w:eastAsia="標楷體" w:hint="eastAsia"/>
          <w:spacing w:val="0"/>
          <w:sz w:val="24"/>
          <w:szCs w:val="24"/>
        </w:rPr>
        <w:t xml:space="preserve"> and financial stress </w:t>
      </w:r>
      <w:r w:rsidR="004A2322">
        <w:rPr>
          <w:rFonts w:ascii="Times New Roman" w:eastAsia="標楷體" w:hint="eastAsia"/>
          <w:spacing w:val="0"/>
          <w:sz w:val="24"/>
          <w:szCs w:val="24"/>
        </w:rPr>
        <w:t xml:space="preserve">in some emerging markets would add to global financial market turbulence, clouding the global </w:t>
      </w:r>
      <w:r w:rsidR="004A2322">
        <w:rPr>
          <w:rFonts w:ascii="Times New Roman" w:eastAsia="標楷體"/>
          <w:spacing w:val="0"/>
          <w:sz w:val="24"/>
          <w:szCs w:val="24"/>
        </w:rPr>
        <w:t>economic</w:t>
      </w:r>
      <w:r w:rsidR="004A2322">
        <w:rPr>
          <w:rFonts w:ascii="Times New Roman" w:eastAsia="標楷體" w:hint="eastAsia"/>
          <w:spacing w:val="0"/>
          <w:sz w:val="24"/>
          <w:szCs w:val="24"/>
        </w:rPr>
        <w:t xml:space="preserve"> outlook and consequently restraining domestic </w:t>
      </w:r>
      <w:r w:rsidR="004A2322">
        <w:rPr>
          <w:rFonts w:ascii="Times New Roman" w:eastAsia="標楷體"/>
          <w:spacing w:val="0"/>
          <w:sz w:val="24"/>
          <w:szCs w:val="24"/>
        </w:rPr>
        <w:t>growth</w:t>
      </w:r>
      <w:r w:rsidR="004A2322">
        <w:rPr>
          <w:rFonts w:ascii="Times New Roman" w:eastAsia="標楷體" w:hint="eastAsia"/>
          <w:spacing w:val="0"/>
          <w:sz w:val="24"/>
          <w:szCs w:val="24"/>
        </w:rPr>
        <w:t xml:space="preserve"> momentum going forward. In this view, the CBC thinks the economic expansion</w:t>
      </w:r>
      <w:r w:rsidR="004110FF" w:rsidRPr="00706207">
        <w:rPr>
          <w:rFonts w:ascii="Times New Roman" w:eastAsia="標楷體" w:hint="eastAsia"/>
          <w:spacing w:val="0"/>
          <w:sz w:val="24"/>
          <w:szCs w:val="24"/>
        </w:rPr>
        <w:t xml:space="preserve"> </w:t>
      </w:r>
      <w:r w:rsidR="004A2322">
        <w:rPr>
          <w:rFonts w:ascii="Times New Roman" w:eastAsia="標楷體" w:hint="eastAsia"/>
          <w:spacing w:val="0"/>
          <w:sz w:val="24"/>
          <w:szCs w:val="24"/>
        </w:rPr>
        <w:t>will</w:t>
      </w:r>
      <w:r w:rsidR="004110FF" w:rsidRPr="00706207">
        <w:rPr>
          <w:rFonts w:ascii="Times New Roman" w:eastAsia="標楷體" w:hint="eastAsia"/>
          <w:spacing w:val="0"/>
          <w:sz w:val="24"/>
          <w:szCs w:val="24"/>
        </w:rPr>
        <w:t xml:space="preserve"> </w:t>
      </w:r>
      <w:r w:rsidR="004A2322">
        <w:rPr>
          <w:rFonts w:ascii="Times New Roman" w:eastAsia="標楷體" w:hint="eastAsia"/>
          <w:spacing w:val="0"/>
          <w:sz w:val="24"/>
          <w:szCs w:val="24"/>
        </w:rPr>
        <w:t xml:space="preserve">moderate </w:t>
      </w:r>
      <w:r w:rsidR="00F70751">
        <w:rPr>
          <w:rFonts w:ascii="Times New Roman" w:eastAsia="標楷體" w:hint="eastAsia"/>
          <w:spacing w:val="0"/>
          <w:sz w:val="24"/>
          <w:szCs w:val="24"/>
        </w:rPr>
        <w:t>to</w:t>
      </w:r>
      <w:r w:rsidR="004A2322">
        <w:rPr>
          <w:rFonts w:ascii="Times New Roman" w:eastAsia="標楷體" w:hint="eastAsia"/>
          <w:spacing w:val="0"/>
          <w:sz w:val="24"/>
          <w:szCs w:val="24"/>
        </w:rPr>
        <w:t xml:space="preserve"> a pace of 2.30% in the second half of this year. The projected GDP growth rate is a mild 2.73% in 2018 and 2.48% in 2019. </w:t>
      </w:r>
    </w:p>
    <w:p w:rsidR="00E6058A" w:rsidRPr="00EB057B" w:rsidRDefault="008E1411" w:rsidP="00C967DA">
      <w:pPr>
        <w:adjustRightInd/>
        <w:spacing w:before="120" w:line="440" w:lineRule="exact"/>
        <w:ind w:left="401" w:hangingChars="170" w:hanging="401"/>
        <w:textAlignment w:val="auto"/>
        <w:rPr>
          <w:rFonts w:eastAsia="標楷體"/>
          <w:sz w:val="24"/>
          <w:szCs w:val="24"/>
        </w:rPr>
      </w:pPr>
      <w:r w:rsidRPr="00506662">
        <w:rPr>
          <w:rFonts w:eastAsia="標楷體" w:hint="eastAsia"/>
          <w:spacing w:val="-2"/>
          <w:kern w:val="2"/>
          <w:sz w:val="24"/>
          <w:szCs w:val="24"/>
        </w:rPr>
        <w:t>(3)</w:t>
      </w:r>
      <w:r w:rsidR="00E6058A">
        <w:rPr>
          <w:rFonts w:eastAsia="標楷體" w:hint="eastAsia"/>
          <w:spacing w:val="-2"/>
          <w:kern w:val="2"/>
          <w:sz w:val="24"/>
          <w:szCs w:val="24"/>
        </w:rPr>
        <w:t xml:space="preserve"> </w:t>
      </w:r>
      <w:r w:rsidR="00C967DA" w:rsidRPr="00DB27D6">
        <w:rPr>
          <w:rFonts w:eastAsia="標楷體" w:hint="eastAsia"/>
          <w:spacing w:val="-2"/>
          <w:kern w:val="2"/>
          <w:sz w:val="24"/>
          <w:szCs w:val="24"/>
        </w:rPr>
        <w:t>Taiwan</w:t>
      </w:r>
      <w:r w:rsidR="00C967DA" w:rsidRPr="00DB27D6">
        <w:rPr>
          <w:rFonts w:eastAsia="標楷體"/>
          <w:spacing w:val="-2"/>
          <w:kern w:val="2"/>
          <w:sz w:val="24"/>
          <w:szCs w:val="24"/>
        </w:rPr>
        <w:t>’</w:t>
      </w:r>
      <w:r w:rsidR="00C967DA" w:rsidRPr="00DB27D6">
        <w:rPr>
          <w:rFonts w:eastAsia="標楷體" w:hint="eastAsia"/>
          <w:spacing w:val="-2"/>
          <w:kern w:val="2"/>
          <w:sz w:val="24"/>
          <w:szCs w:val="24"/>
        </w:rPr>
        <w:t>s nominal and real interest rat</w:t>
      </w:r>
      <w:r w:rsidR="00C967DA">
        <w:rPr>
          <w:rFonts w:eastAsia="標楷體" w:hint="eastAsia"/>
          <w:spacing w:val="-2"/>
          <w:kern w:val="2"/>
          <w:sz w:val="24"/>
          <w:szCs w:val="24"/>
        </w:rPr>
        <w:t>es</w:t>
      </w:r>
      <w:r w:rsidR="00C967DA" w:rsidRPr="00DB27D6">
        <w:rPr>
          <w:rFonts w:eastAsia="標楷體" w:hint="eastAsia"/>
          <w:spacing w:val="-2"/>
          <w:kern w:val="2"/>
          <w:sz w:val="24"/>
          <w:szCs w:val="24"/>
        </w:rPr>
        <w:t xml:space="preserve"> stand at </w:t>
      </w:r>
      <w:r w:rsidR="00C967DA" w:rsidRPr="00DB27D6">
        <w:rPr>
          <w:rFonts w:eastAsia="標楷體"/>
          <w:spacing w:val="-2"/>
          <w:kern w:val="2"/>
          <w:sz w:val="24"/>
          <w:szCs w:val="24"/>
        </w:rPr>
        <w:t>appropriate</w:t>
      </w:r>
      <w:r w:rsidR="00C967DA" w:rsidRPr="00DB27D6">
        <w:rPr>
          <w:rFonts w:eastAsia="標楷體" w:hint="eastAsia"/>
          <w:spacing w:val="-2"/>
          <w:kern w:val="2"/>
          <w:sz w:val="24"/>
          <w:szCs w:val="24"/>
        </w:rPr>
        <w:t>, moderate levels compared to those of major economies</w:t>
      </w:r>
      <w:r w:rsidR="00C967DA">
        <w:rPr>
          <w:rFonts w:eastAsia="標楷體" w:hint="eastAsia"/>
          <w:spacing w:val="-2"/>
          <w:kern w:val="2"/>
          <w:sz w:val="24"/>
          <w:szCs w:val="24"/>
        </w:rPr>
        <w:t>.</w:t>
      </w:r>
    </w:p>
    <w:p w:rsidR="002319A2" w:rsidRPr="00EB057B" w:rsidRDefault="002319A2" w:rsidP="00E6058A">
      <w:pPr>
        <w:pStyle w:val="6"/>
        <w:overflowPunct w:val="0"/>
        <w:snapToGrid w:val="0"/>
        <w:spacing w:after="0" w:line="440" w:lineRule="exact"/>
        <w:ind w:left="0" w:firstLineChars="200" w:firstLine="480"/>
        <w:rPr>
          <w:rFonts w:ascii="Times New Roman" w:eastAsia="標楷體"/>
          <w:spacing w:val="0"/>
          <w:sz w:val="24"/>
          <w:szCs w:val="24"/>
        </w:rPr>
      </w:pPr>
    </w:p>
    <w:p w:rsidR="00D46F1E" w:rsidRPr="00543487" w:rsidRDefault="00D46F1E" w:rsidP="00D46F1E">
      <w:pPr>
        <w:adjustRightInd/>
        <w:snapToGrid w:val="0"/>
        <w:spacing w:before="240" w:line="520" w:lineRule="exact"/>
        <w:jc w:val="both"/>
        <w:textDirection w:val="lrTbV"/>
        <w:rPr>
          <w:rFonts w:eastAsia="標楷體"/>
          <w:b/>
          <w:sz w:val="28"/>
          <w:szCs w:val="28"/>
        </w:rPr>
      </w:pPr>
      <w:r w:rsidRPr="00AF5634">
        <w:rPr>
          <w:rFonts w:eastAsia="標楷體" w:hint="eastAsia"/>
          <w:b/>
          <w:sz w:val="28"/>
          <w:szCs w:val="28"/>
        </w:rPr>
        <w:t>II. Proposition and Decision about Monetary Policy</w:t>
      </w:r>
      <w:r w:rsidRPr="00543487">
        <w:rPr>
          <w:rFonts w:eastAsia="標楷體" w:hint="eastAsia"/>
          <w:b/>
          <w:sz w:val="28"/>
          <w:szCs w:val="28"/>
        </w:rPr>
        <w:t xml:space="preserve"> </w:t>
      </w:r>
    </w:p>
    <w:p w:rsidR="00D46F1E" w:rsidRPr="00506662" w:rsidRDefault="00D46F1E" w:rsidP="00AC5849">
      <w:pPr>
        <w:numPr>
          <w:ilvl w:val="0"/>
          <w:numId w:val="37"/>
        </w:numPr>
        <w:overflowPunct w:val="0"/>
        <w:autoSpaceDE w:val="0"/>
        <w:autoSpaceDN w:val="0"/>
        <w:snapToGrid w:val="0"/>
        <w:spacing w:before="240" w:line="520" w:lineRule="exact"/>
        <w:ind w:left="426" w:hanging="426"/>
        <w:textDirection w:val="lrTbV"/>
        <w:rPr>
          <w:rFonts w:eastAsia="標楷體"/>
          <w:b/>
          <w:spacing w:val="-2"/>
          <w:sz w:val="24"/>
          <w:szCs w:val="24"/>
        </w:rPr>
      </w:pPr>
      <w:r w:rsidRPr="00506662">
        <w:rPr>
          <w:rFonts w:eastAsia="標楷體" w:hint="eastAsia"/>
          <w:b/>
          <w:spacing w:val="-2"/>
          <w:sz w:val="24"/>
          <w:szCs w:val="24"/>
        </w:rPr>
        <w:t>Policy Proposition: To keep t</w:t>
      </w:r>
      <w:r w:rsidRPr="00506662">
        <w:rPr>
          <w:rFonts w:eastAsia="標楷體"/>
          <w:b/>
          <w:spacing w:val="-2"/>
          <w:sz w:val="24"/>
          <w:szCs w:val="24"/>
        </w:rPr>
        <w:t>he discount rate, the rate on accommodations with collateral, and the rate on accommodations without collateral unchanged at 1.375%, 1.75%, and 3.625%, respectively.</w:t>
      </w:r>
    </w:p>
    <w:p w:rsidR="00D46F1E" w:rsidRPr="00506662" w:rsidRDefault="00D46F1E" w:rsidP="00AC5849">
      <w:pPr>
        <w:numPr>
          <w:ilvl w:val="0"/>
          <w:numId w:val="37"/>
        </w:numPr>
        <w:overflowPunct w:val="0"/>
        <w:autoSpaceDE w:val="0"/>
        <w:autoSpaceDN w:val="0"/>
        <w:snapToGrid w:val="0"/>
        <w:spacing w:before="240" w:line="520" w:lineRule="exact"/>
        <w:ind w:left="426" w:hanging="426"/>
        <w:textDirection w:val="lrTbV"/>
        <w:rPr>
          <w:rFonts w:eastAsia="標楷體"/>
          <w:spacing w:val="-2"/>
          <w:sz w:val="24"/>
          <w:szCs w:val="24"/>
        </w:rPr>
      </w:pPr>
      <w:r w:rsidRPr="00506662">
        <w:rPr>
          <w:rFonts w:eastAsia="標楷體" w:hint="eastAsia"/>
          <w:spacing w:val="-2"/>
          <w:sz w:val="24"/>
          <w:szCs w:val="24"/>
        </w:rPr>
        <w:t xml:space="preserve">All </w:t>
      </w:r>
      <w:r w:rsidR="00AA5E71" w:rsidRPr="00506662">
        <w:rPr>
          <w:rFonts w:eastAsia="標楷體" w:hint="eastAsia"/>
          <w:spacing w:val="-2"/>
          <w:sz w:val="24"/>
          <w:szCs w:val="24"/>
        </w:rPr>
        <w:t>b</w:t>
      </w:r>
      <w:r w:rsidRPr="00506662">
        <w:rPr>
          <w:rFonts w:eastAsia="標楷體" w:hint="eastAsia"/>
          <w:spacing w:val="-2"/>
          <w:sz w:val="24"/>
          <w:szCs w:val="24"/>
        </w:rPr>
        <w:t>oard members approved of keeping policy rates unchanged.</w:t>
      </w:r>
      <w:r w:rsidR="00AC5849" w:rsidRPr="00506662">
        <w:rPr>
          <w:rFonts w:eastAsia="標楷體" w:hint="eastAsia"/>
          <w:spacing w:val="-2"/>
          <w:sz w:val="24"/>
          <w:szCs w:val="24"/>
        </w:rPr>
        <w:t xml:space="preserve"> </w:t>
      </w:r>
      <w:r w:rsidRPr="00506662">
        <w:rPr>
          <w:rFonts w:eastAsia="標楷體" w:hint="eastAsia"/>
          <w:spacing w:val="-2"/>
          <w:sz w:val="24"/>
          <w:szCs w:val="24"/>
        </w:rPr>
        <w:t>The discussions are summarized as follows.</w:t>
      </w:r>
    </w:p>
    <w:p w:rsidR="00B465ED" w:rsidRDefault="001942F5" w:rsidP="00B465ED">
      <w:pPr>
        <w:pStyle w:val="6"/>
        <w:overflowPunct w:val="0"/>
        <w:snapToGrid w:val="0"/>
        <w:spacing w:after="0" w:line="440" w:lineRule="exact"/>
        <w:ind w:left="0" w:firstLineChars="200" w:firstLine="472"/>
        <w:textDirection w:val="lrTbV"/>
        <w:rPr>
          <w:rFonts w:ascii="Times New Roman" w:eastAsia="標楷體"/>
          <w:spacing w:val="-2"/>
          <w:sz w:val="24"/>
          <w:szCs w:val="24"/>
        </w:rPr>
      </w:pPr>
      <w:r>
        <w:rPr>
          <w:rFonts w:ascii="Times New Roman" w:eastAsia="標楷體"/>
          <w:spacing w:val="-2"/>
          <w:sz w:val="24"/>
          <w:szCs w:val="24"/>
        </w:rPr>
        <w:t>With r</w:t>
      </w:r>
      <w:r w:rsidR="00700892" w:rsidRPr="001942F5">
        <w:rPr>
          <w:rFonts w:ascii="Times New Roman" w:eastAsia="標楷體"/>
          <w:spacing w:val="-2"/>
          <w:sz w:val="24"/>
          <w:szCs w:val="24"/>
        </w:rPr>
        <w:t xml:space="preserve">espect </w:t>
      </w:r>
      <w:r>
        <w:rPr>
          <w:rFonts w:ascii="Times New Roman" w:eastAsia="標楷體" w:hint="eastAsia"/>
          <w:spacing w:val="-2"/>
          <w:sz w:val="24"/>
          <w:szCs w:val="24"/>
        </w:rPr>
        <w:t>to</w:t>
      </w:r>
      <w:r w:rsidR="00700892" w:rsidRPr="001942F5">
        <w:rPr>
          <w:rFonts w:ascii="Times New Roman" w:eastAsia="標楷體"/>
          <w:spacing w:val="-2"/>
          <w:sz w:val="24"/>
          <w:szCs w:val="24"/>
        </w:rPr>
        <w:t xml:space="preserve"> internationa</w:t>
      </w:r>
      <w:r w:rsidR="00ED691E">
        <w:rPr>
          <w:rFonts w:ascii="Times New Roman" w:eastAsia="標楷體"/>
          <w:spacing w:val="-2"/>
          <w:sz w:val="24"/>
          <w:szCs w:val="24"/>
        </w:rPr>
        <w:t xml:space="preserve">l economic conditions, several </w:t>
      </w:r>
      <w:r w:rsidR="00ED691E">
        <w:rPr>
          <w:rFonts w:ascii="Times New Roman" w:eastAsia="標楷體" w:hint="eastAsia"/>
          <w:spacing w:val="-2"/>
          <w:sz w:val="24"/>
          <w:szCs w:val="24"/>
        </w:rPr>
        <w:t>B</w:t>
      </w:r>
      <w:r w:rsidR="00700892" w:rsidRPr="001942F5">
        <w:rPr>
          <w:rFonts w:ascii="Times New Roman" w:eastAsia="標楷體"/>
          <w:spacing w:val="-2"/>
          <w:sz w:val="24"/>
          <w:szCs w:val="24"/>
        </w:rPr>
        <w:t xml:space="preserve">oard </w:t>
      </w:r>
      <w:r w:rsidR="009A4BC6">
        <w:rPr>
          <w:rFonts w:ascii="Times New Roman" w:eastAsia="標楷體" w:hint="eastAsia"/>
          <w:spacing w:val="-2"/>
          <w:sz w:val="24"/>
          <w:szCs w:val="24"/>
        </w:rPr>
        <w:t>D</w:t>
      </w:r>
      <w:r w:rsidR="00214083" w:rsidRPr="001942F5">
        <w:rPr>
          <w:rFonts w:ascii="Times New Roman" w:eastAsia="標楷體"/>
          <w:spacing w:val="-2"/>
          <w:sz w:val="24"/>
          <w:szCs w:val="24"/>
        </w:rPr>
        <w:t>irectors</w:t>
      </w:r>
      <w:r w:rsidR="00700892" w:rsidRPr="001942F5">
        <w:rPr>
          <w:rFonts w:ascii="Times New Roman" w:eastAsia="標楷體"/>
          <w:spacing w:val="-2"/>
          <w:sz w:val="24"/>
          <w:szCs w:val="24"/>
        </w:rPr>
        <w:t xml:space="preserve"> </w:t>
      </w:r>
      <w:r>
        <w:rPr>
          <w:rFonts w:ascii="Times New Roman" w:eastAsia="標楷體" w:hint="eastAsia"/>
          <w:spacing w:val="-2"/>
          <w:sz w:val="24"/>
          <w:szCs w:val="24"/>
        </w:rPr>
        <w:t xml:space="preserve">and </w:t>
      </w:r>
      <w:r w:rsidR="009A4BC6">
        <w:rPr>
          <w:rFonts w:ascii="Times New Roman" w:eastAsia="標楷體" w:hint="eastAsia"/>
          <w:spacing w:val="-2"/>
          <w:sz w:val="24"/>
          <w:szCs w:val="24"/>
        </w:rPr>
        <w:t>S</w:t>
      </w:r>
      <w:r>
        <w:rPr>
          <w:rFonts w:ascii="Times New Roman" w:eastAsia="標楷體" w:hint="eastAsia"/>
          <w:spacing w:val="-2"/>
          <w:sz w:val="24"/>
          <w:szCs w:val="24"/>
        </w:rPr>
        <w:t xml:space="preserve">upervisors </w:t>
      </w:r>
      <w:r w:rsidR="005C7A9F">
        <w:rPr>
          <w:rFonts w:ascii="Times New Roman" w:eastAsia="標楷體" w:hint="eastAsia"/>
          <w:spacing w:val="-2"/>
          <w:sz w:val="24"/>
          <w:szCs w:val="24"/>
        </w:rPr>
        <w:t xml:space="preserve">expressed concern about the effect of international uncertainties including US-China trade conflicts on </w:t>
      </w:r>
      <w:r>
        <w:rPr>
          <w:rFonts w:ascii="Times New Roman" w:eastAsia="標楷體" w:hint="eastAsia"/>
          <w:spacing w:val="-2"/>
          <w:sz w:val="24"/>
          <w:szCs w:val="24"/>
        </w:rPr>
        <w:t xml:space="preserve">the domestic </w:t>
      </w:r>
      <w:r>
        <w:rPr>
          <w:rFonts w:ascii="Times New Roman" w:eastAsia="標楷體"/>
          <w:spacing w:val="-2"/>
          <w:sz w:val="24"/>
          <w:szCs w:val="24"/>
        </w:rPr>
        <w:t>growth</w:t>
      </w:r>
      <w:r>
        <w:rPr>
          <w:rFonts w:ascii="Times New Roman" w:eastAsia="標楷體" w:hint="eastAsia"/>
          <w:spacing w:val="-2"/>
          <w:sz w:val="24"/>
          <w:szCs w:val="24"/>
        </w:rPr>
        <w:t xml:space="preserve"> </w:t>
      </w:r>
      <w:r w:rsidR="00214083" w:rsidRPr="001942F5">
        <w:rPr>
          <w:rFonts w:ascii="Times New Roman" w:eastAsia="標楷體"/>
          <w:spacing w:val="-2"/>
          <w:sz w:val="24"/>
          <w:szCs w:val="24"/>
        </w:rPr>
        <w:t xml:space="preserve">prospects. </w:t>
      </w:r>
      <w:r w:rsidR="003E7E82">
        <w:rPr>
          <w:rFonts w:ascii="Times New Roman" w:eastAsia="標楷體" w:hint="eastAsia"/>
          <w:spacing w:val="-2"/>
          <w:sz w:val="24"/>
          <w:szCs w:val="24"/>
        </w:rPr>
        <w:t>If China, the world</w:t>
      </w:r>
      <w:r w:rsidR="003E7E82">
        <w:rPr>
          <w:rFonts w:ascii="Times New Roman" w:eastAsia="標楷體"/>
          <w:spacing w:val="-2"/>
          <w:sz w:val="24"/>
          <w:szCs w:val="24"/>
        </w:rPr>
        <w:t>’</w:t>
      </w:r>
      <w:r w:rsidR="003E7E82">
        <w:rPr>
          <w:rFonts w:ascii="Times New Roman" w:eastAsia="標楷體" w:hint="eastAsia"/>
          <w:spacing w:val="-2"/>
          <w:sz w:val="24"/>
          <w:szCs w:val="24"/>
        </w:rPr>
        <w:t xml:space="preserve">s second largest economy, is rattled by the </w:t>
      </w:r>
      <w:r w:rsidR="003E7E82">
        <w:rPr>
          <w:rFonts w:ascii="Times New Roman" w:eastAsia="標楷體"/>
          <w:spacing w:val="-2"/>
          <w:sz w:val="24"/>
          <w:szCs w:val="24"/>
        </w:rPr>
        <w:t>economic</w:t>
      </w:r>
      <w:r w:rsidR="003E7E82">
        <w:rPr>
          <w:rFonts w:ascii="Times New Roman" w:eastAsia="標楷體" w:hint="eastAsia"/>
          <w:spacing w:val="-2"/>
          <w:sz w:val="24"/>
          <w:szCs w:val="24"/>
        </w:rPr>
        <w:t xml:space="preserve"> ramifications thereof, the shock would be felt </w:t>
      </w:r>
      <w:r w:rsidR="0057188F">
        <w:rPr>
          <w:rFonts w:ascii="Times New Roman" w:eastAsia="標楷體" w:hint="eastAsia"/>
          <w:spacing w:val="-2"/>
          <w:sz w:val="24"/>
          <w:szCs w:val="24"/>
        </w:rPr>
        <w:t>across</w:t>
      </w:r>
      <w:r w:rsidR="003E7E82">
        <w:rPr>
          <w:rFonts w:ascii="Times New Roman" w:eastAsia="標楷體" w:hint="eastAsia"/>
          <w:spacing w:val="-2"/>
          <w:sz w:val="24"/>
          <w:szCs w:val="24"/>
        </w:rPr>
        <w:t xml:space="preserve"> the supply chain. </w:t>
      </w:r>
      <w:r w:rsidR="0057188F">
        <w:rPr>
          <w:rFonts w:ascii="Times New Roman" w:eastAsia="標楷體" w:hint="eastAsia"/>
          <w:spacing w:val="-2"/>
          <w:sz w:val="24"/>
          <w:szCs w:val="24"/>
        </w:rPr>
        <w:t xml:space="preserve">Although Taiwan might benefit from order transfers or supply chain reshoring amid the US-China </w:t>
      </w:r>
      <w:r w:rsidR="00B078E0">
        <w:rPr>
          <w:rFonts w:ascii="Times New Roman" w:eastAsia="標楷體" w:hint="eastAsia"/>
          <w:spacing w:val="-2"/>
          <w:sz w:val="24"/>
          <w:szCs w:val="24"/>
        </w:rPr>
        <w:t>tariff</w:t>
      </w:r>
      <w:r w:rsidR="0057188F">
        <w:rPr>
          <w:rFonts w:ascii="Times New Roman" w:eastAsia="標楷體" w:hint="eastAsia"/>
          <w:spacing w:val="-2"/>
          <w:sz w:val="24"/>
          <w:szCs w:val="24"/>
        </w:rPr>
        <w:t xml:space="preserve"> crossfire, </w:t>
      </w:r>
      <w:r w:rsidR="008F5286">
        <w:rPr>
          <w:rFonts w:ascii="Times New Roman" w:eastAsia="標楷體" w:hint="eastAsia"/>
          <w:spacing w:val="-2"/>
          <w:sz w:val="24"/>
          <w:szCs w:val="24"/>
        </w:rPr>
        <w:t>there is also the possibility of business relocation to other countries as a result of strategic s</w:t>
      </w:r>
      <w:r w:rsidR="008F5286" w:rsidRPr="008F5286">
        <w:rPr>
          <w:rFonts w:ascii="Times New Roman" w:eastAsia="標楷體"/>
          <w:spacing w:val="-2"/>
          <w:sz w:val="24"/>
          <w:szCs w:val="24"/>
        </w:rPr>
        <w:t>upply-chain adjustments</w:t>
      </w:r>
      <w:r w:rsidR="008F5286">
        <w:rPr>
          <w:rFonts w:ascii="Times New Roman" w:eastAsia="標楷體" w:hint="eastAsia"/>
          <w:spacing w:val="-2"/>
          <w:sz w:val="24"/>
          <w:szCs w:val="24"/>
        </w:rPr>
        <w:t>.</w:t>
      </w:r>
      <w:r w:rsidR="009D7BDC">
        <w:rPr>
          <w:rFonts w:ascii="Times New Roman" w:eastAsia="標楷體" w:hint="eastAsia"/>
          <w:spacing w:val="-2"/>
          <w:sz w:val="24"/>
          <w:szCs w:val="24"/>
        </w:rPr>
        <w:t xml:space="preserve"> </w:t>
      </w:r>
      <w:r w:rsidR="00846722">
        <w:rPr>
          <w:rFonts w:ascii="Times New Roman" w:eastAsia="標楷體" w:hint="eastAsia"/>
          <w:spacing w:val="-2"/>
          <w:sz w:val="24"/>
          <w:szCs w:val="24"/>
        </w:rPr>
        <w:t xml:space="preserve">A balanced assessment is warranted. </w:t>
      </w:r>
      <w:r w:rsidR="00DE66D3">
        <w:rPr>
          <w:rFonts w:ascii="Times New Roman" w:eastAsia="標楷體" w:hint="eastAsia"/>
          <w:spacing w:val="-2"/>
          <w:sz w:val="24"/>
          <w:szCs w:val="24"/>
        </w:rPr>
        <w:t xml:space="preserve">Furthermore, </w:t>
      </w:r>
      <w:r w:rsidR="008E05ED">
        <w:rPr>
          <w:rFonts w:ascii="Times New Roman" w:eastAsia="標楷體" w:hint="eastAsia"/>
          <w:spacing w:val="-2"/>
          <w:sz w:val="24"/>
          <w:szCs w:val="24"/>
        </w:rPr>
        <w:t>as companies were eager to place orders ahead of the tariff imposition</w:t>
      </w:r>
      <w:r w:rsidR="004C70AF">
        <w:rPr>
          <w:rFonts w:ascii="Times New Roman" w:eastAsia="標楷體" w:hint="eastAsia"/>
          <w:spacing w:val="-2"/>
          <w:sz w:val="24"/>
          <w:szCs w:val="24"/>
        </w:rPr>
        <w:t xml:space="preserve"> and there tends to be a time lag before the effect shows, the actual impact on T</w:t>
      </w:r>
      <w:r w:rsidR="004C70AF">
        <w:rPr>
          <w:rFonts w:ascii="Times New Roman" w:eastAsia="標楷體"/>
          <w:spacing w:val="-2"/>
          <w:sz w:val="24"/>
          <w:szCs w:val="24"/>
        </w:rPr>
        <w:t>a</w:t>
      </w:r>
      <w:r w:rsidR="004C70AF">
        <w:rPr>
          <w:rFonts w:ascii="Times New Roman" w:eastAsia="標楷體" w:hint="eastAsia"/>
          <w:spacing w:val="-2"/>
          <w:sz w:val="24"/>
          <w:szCs w:val="24"/>
        </w:rPr>
        <w:t>iwan</w:t>
      </w:r>
      <w:r w:rsidR="004C70AF">
        <w:rPr>
          <w:rFonts w:ascii="Times New Roman" w:eastAsia="標楷體"/>
          <w:spacing w:val="-2"/>
          <w:sz w:val="24"/>
          <w:szCs w:val="24"/>
        </w:rPr>
        <w:t>’</w:t>
      </w:r>
      <w:r w:rsidR="004C70AF">
        <w:rPr>
          <w:rFonts w:ascii="Times New Roman" w:eastAsia="標楷體" w:hint="eastAsia"/>
          <w:spacing w:val="-2"/>
          <w:sz w:val="24"/>
          <w:szCs w:val="24"/>
        </w:rPr>
        <w:t xml:space="preserve">s external trade has yet to manifest. However, it </w:t>
      </w:r>
      <w:r w:rsidR="00C769B2">
        <w:rPr>
          <w:rFonts w:ascii="Times New Roman" w:eastAsia="標楷體" w:hint="eastAsia"/>
          <w:spacing w:val="-2"/>
          <w:sz w:val="24"/>
          <w:szCs w:val="24"/>
        </w:rPr>
        <w:t>seems</w:t>
      </w:r>
      <w:r w:rsidR="004C70AF">
        <w:rPr>
          <w:rFonts w:ascii="Times New Roman" w:eastAsia="標楷體" w:hint="eastAsia"/>
          <w:spacing w:val="-2"/>
          <w:sz w:val="24"/>
          <w:szCs w:val="24"/>
        </w:rPr>
        <w:t xml:space="preserve"> </w:t>
      </w:r>
      <w:r w:rsidR="00AD5A8D">
        <w:rPr>
          <w:rFonts w:ascii="Times New Roman" w:eastAsia="標楷體" w:hint="eastAsia"/>
          <w:spacing w:val="-2"/>
          <w:sz w:val="24"/>
          <w:szCs w:val="24"/>
        </w:rPr>
        <w:t xml:space="preserve">that </w:t>
      </w:r>
      <w:r w:rsidR="004C70AF">
        <w:rPr>
          <w:rFonts w:ascii="Times New Roman" w:eastAsia="標楷體" w:hint="eastAsia"/>
          <w:spacing w:val="-2"/>
          <w:sz w:val="24"/>
          <w:szCs w:val="24"/>
        </w:rPr>
        <w:t xml:space="preserve">US-China trade </w:t>
      </w:r>
      <w:r w:rsidR="004C70AF">
        <w:rPr>
          <w:rFonts w:ascii="Times New Roman" w:eastAsia="標楷體"/>
          <w:spacing w:val="-2"/>
          <w:sz w:val="24"/>
          <w:szCs w:val="24"/>
        </w:rPr>
        <w:t>friction</w:t>
      </w:r>
      <w:r w:rsidR="004C70AF">
        <w:rPr>
          <w:rFonts w:ascii="Times New Roman" w:eastAsia="標楷體" w:hint="eastAsia"/>
          <w:spacing w:val="-2"/>
          <w:sz w:val="24"/>
          <w:szCs w:val="24"/>
        </w:rPr>
        <w:t xml:space="preserve"> would </w:t>
      </w:r>
      <w:r w:rsidR="000627C2">
        <w:rPr>
          <w:rFonts w:ascii="Times New Roman" w:eastAsia="標楷體" w:hint="eastAsia"/>
          <w:spacing w:val="-2"/>
          <w:sz w:val="24"/>
          <w:szCs w:val="24"/>
        </w:rPr>
        <w:t>drag on</w:t>
      </w:r>
      <w:r w:rsidR="004C70AF">
        <w:rPr>
          <w:rFonts w:ascii="Times New Roman" w:eastAsia="標楷體" w:hint="eastAsia"/>
          <w:spacing w:val="-2"/>
          <w:sz w:val="24"/>
          <w:szCs w:val="24"/>
        </w:rPr>
        <w:t xml:space="preserve">, potentially with more tariffs on the </w:t>
      </w:r>
      <w:r w:rsidR="000627C2">
        <w:rPr>
          <w:rFonts w:ascii="Times New Roman" w:eastAsia="標楷體" w:hint="eastAsia"/>
          <w:spacing w:val="-2"/>
          <w:sz w:val="24"/>
          <w:szCs w:val="24"/>
        </w:rPr>
        <w:t xml:space="preserve">horizon, </w:t>
      </w:r>
      <w:r w:rsidR="00C769B2">
        <w:rPr>
          <w:rFonts w:ascii="Times New Roman" w:eastAsia="標楷體" w:hint="eastAsia"/>
          <w:spacing w:val="-2"/>
          <w:sz w:val="24"/>
          <w:szCs w:val="24"/>
        </w:rPr>
        <w:t xml:space="preserve">and that the global trade order </w:t>
      </w:r>
      <w:r w:rsidR="00B465ED">
        <w:rPr>
          <w:rFonts w:ascii="Times New Roman" w:eastAsia="標楷體" w:hint="eastAsia"/>
          <w:spacing w:val="-2"/>
          <w:sz w:val="24"/>
          <w:szCs w:val="24"/>
        </w:rPr>
        <w:t xml:space="preserve">awaits </w:t>
      </w:r>
      <w:r w:rsidR="000627C2">
        <w:rPr>
          <w:rFonts w:ascii="Times New Roman" w:eastAsia="標楷體" w:hint="eastAsia"/>
          <w:spacing w:val="-2"/>
          <w:sz w:val="24"/>
          <w:szCs w:val="24"/>
        </w:rPr>
        <w:t>restoration.</w:t>
      </w:r>
      <w:r w:rsidR="00B96080">
        <w:rPr>
          <w:rFonts w:ascii="Times New Roman" w:eastAsia="標楷體" w:hint="eastAsia"/>
          <w:spacing w:val="-2"/>
          <w:sz w:val="24"/>
          <w:szCs w:val="24"/>
        </w:rPr>
        <w:t xml:space="preserve"> </w:t>
      </w:r>
      <w:r w:rsidR="009D4626">
        <w:rPr>
          <w:rFonts w:ascii="Times New Roman" w:eastAsia="標楷體" w:hint="eastAsia"/>
          <w:spacing w:val="-2"/>
          <w:sz w:val="24"/>
          <w:szCs w:val="24"/>
        </w:rPr>
        <w:t xml:space="preserve">It is </w:t>
      </w:r>
      <w:r w:rsidR="009D4626">
        <w:rPr>
          <w:rFonts w:ascii="Times New Roman" w:eastAsia="標楷體"/>
          <w:spacing w:val="-2"/>
          <w:sz w:val="24"/>
          <w:szCs w:val="24"/>
        </w:rPr>
        <w:t>important</w:t>
      </w:r>
      <w:r w:rsidR="009D4626">
        <w:rPr>
          <w:rFonts w:ascii="Times New Roman" w:eastAsia="標楷體" w:hint="eastAsia"/>
          <w:spacing w:val="-2"/>
          <w:sz w:val="24"/>
          <w:szCs w:val="24"/>
        </w:rPr>
        <w:t xml:space="preserve"> to c</w:t>
      </w:r>
      <w:r w:rsidR="00C769B2">
        <w:rPr>
          <w:rFonts w:ascii="Times New Roman" w:eastAsia="標楷體" w:hint="eastAsia"/>
          <w:spacing w:val="-2"/>
          <w:sz w:val="24"/>
          <w:szCs w:val="24"/>
        </w:rPr>
        <w:t>ontinue monitoring and assess</w:t>
      </w:r>
      <w:r w:rsidR="009D4626">
        <w:rPr>
          <w:rFonts w:ascii="Times New Roman" w:eastAsia="標楷體" w:hint="eastAsia"/>
          <w:spacing w:val="-2"/>
          <w:sz w:val="24"/>
          <w:szCs w:val="24"/>
        </w:rPr>
        <w:t>ing</w:t>
      </w:r>
      <w:r w:rsidR="00C769B2">
        <w:rPr>
          <w:rFonts w:ascii="Times New Roman" w:eastAsia="標楷體" w:hint="eastAsia"/>
          <w:spacing w:val="-2"/>
          <w:sz w:val="24"/>
          <w:szCs w:val="24"/>
        </w:rPr>
        <w:t xml:space="preserve"> the effects from these ongoing</w:t>
      </w:r>
      <w:r w:rsidR="009D4626">
        <w:rPr>
          <w:rFonts w:ascii="Times New Roman" w:eastAsia="標楷體" w:hint="eastAsia"/>
          <w:spacing w:val="-2"/>
          <w:sz w:val="24"/>
          <w:szCs w:val="24"/>
        </w:rPr>
        <w:t xml:space="preserve"> developments, considering that the domestic </w:t>
      </w:r>
      <w:r w:rsidR="009D4626">
        <w:rPr>
          <w:rFonts w:ascii="Times New Roman" w:eastAsia="標楷體"/>
          <w:spacing w:val="-2"/>
          <w:sz w:val="24"/>
          <w:szCs w:val="24"/>
        </w:rPr>
        <w:t>economic</w:t>
      </w:r>
      <w:r w:rsidR="009D4626">
        <w:rPr>
          <w:rFonts w:ascii="Times New Roman" w:eastAsia="標楷體" w:hint="eastAsia"/>
          <w:spacing w:val="-2"/>
          <w:sz w:val="24"/>
          <w:szCs w:val="24"/>
        </w:rPr>
        <w:t xml:space="preserve"> outlook could slip below expectati</w:t>
      </w:r>
      <w:r w:rsidR="00B465ED">
        <w:rPr>
          <w:rFonts w:ascii="Times New Roman" w:eastAsia="標楷體" w:hint="eastAsia"/>
          <w:spacing w:val="-2"/>
          <w:sz w:val="24"/>
          <w:szCs w:val="24"/>
        </w:rPr>
        <w:t xml:space="preserve">on if negative trade spillovers </w:t>
      </w:r>
      <w:r w:rsidR="009D4626">
        <w:rPr>
          <w:rFonts w:ascii="Times New Roman" w:eastAsia="標楷體" w:hint="eastAsia"/>
          <w:spacing w:val="-2"/>
          <w:sz w:val="24"/>
          <w:szCs w:val="24"/>
        </w:rPr>
        <w:t xml:space="preserve">dampen </w:t>
      </w:r>
      <w:r w:rsidR="00B465ED">
        <w:rPr>
          <w:rFonts w:ascii="Times New Roman" w:eastAsia="標楷體" w:hint="eastAsia"/>
          <w:spacing w:val="-2"/>
          <w:sz w:val="24"/>
          <w:szCs w:val="24"/>
        </w:rPr>
        <w:t>a soft</w:t>
      </w:r>
      <w:r w:rsidR="00F15CAF">
        <w:rPr>
          <w:rFonts w:ascii="Times New Roman" w:eastAsia="標楷體" w:hint="eastAsia"/>
          <w:spacing w:val="-2"/>
          <w:sz w:val="24"/>
          <w:szCs w:val="24"/>
        </w:rPr>
        <w:t xml:space="preserve"> </w:t>
      </w:r>
      <w:r w:rsidR="00B465ED">
        <w:rPr>
          <w:rFonts w:ascii="Times New Roman" w:eastAsia="標楷體" w:hint="eastAsia"/>
          <w:spacing w:val="-2"/>
          <w:sz w:val="24"/>
          <w:szCs w:val="24"/>
        </w:rPr>
        <w:t xml:space="preserve">expansion. </w:t>
      </w:r>
    </w:p>
    <w:p w:rsidR="005E3F01" w:rsidRDefault="009A4BC6" w:rsidP="00BC59F4">
      <w:pPr>
        <w:pStyle w:val="6"/>
        <w:overflowPunct w:val="0"/>
        <w:snapToGrid w:val="0"/>
        <w:spacing w:after="0" w:line="440" w:lineRule="exact"/>
        <w:ind w:left="0" w:firstLineChars="200" w:firstLine="472"/>
        <w:textDirection w:val="lrTbV"/>
        <w:rPr>
          <w:rFonts w:ascii="Times New Roman" w:eastAsia="標楷體"/>
          <w:spacing w:val="-2"/>
          <w:sz w:val="24"/>
          <w:szCs w:val="24"/>
        </w:rPr>
      </w:pPr>
      <w:r>
        <w:rPr>
          <w:rFonts w:ascii="Times New Roman" w:eastAsia="標楷體"/>
          <w:spacing w:val="-2"/>
          <w:sz w:val="24"/>
          <w:szCs w:val="24"/>
        </w:rPr>
        <w:t xml:space="preserve">One </w:t>
      </w:r>
      <w:r>
        <w:rPr>
          <w:rFonts w:ascii="Times New Roman" w:eastAsia="標楷體" w:hint="eastAsia"/>
          <w:spacing w:val="-2"/>
          <w:sz w:val="24"/>
          <w:szCs w:val="24"/>
        </w:rPr>
        <w:t>B</w:t>
      </w:r>
      <w:r w:rsidR="00214083" w:rsidRPr="001942F5">
        <w:rPr>
          <w:rFonts w:ascii="Times New Roman" w:eastAsia="標楷體"/>
          <w:spacing w:val="-2"/>
          <w:sz w:val="24"/>
          <w:szCs w:val="24"/>
        </w:rPr>
        <w:t xml:space="preserve">oard </w:t>
      </w:r>
      <w:r>
        <w:rPr>
          <w:rFonts w:ascii="Times New Roman" w:eastAsia="標楷體" w:hint="eastAsia"/>
          <w:spacing w:val="-2"/>
          <w:sz w:val="24"/>
          <w:szCs w:val="24"/>
        </w:rPr>
        <w:t>D</w:t>
      </w:r>
      <w:r w:rsidR="00756EC3" w:rsidRPr="001942F5">
        <w:rPr>
          <w:rFonts w:ascii="Times New Roman" w:eastAsia="標楷體"/>
          <w:spacing w:val="-2"/>
          <w:sz w:val="24"/>
          <w:szCs w:val="24"/>
        </w:rPr>
        <w:t xml:space="preserve">irector </w:t>
      </w:r>
      <w:r w:rsidR="00C875B4">
        <w:rPr>
          <w:rFonts w:ascii="Times New Roman" w:eastAsia="標楷體" w:hint="eastAsia"/>
          <w:spacing w:val="-2"/>
          <w:sz w:val="24"/>
          <w:szCs w:val="24"/>
        </w:rPr>
        <w:t>also noted that a protracted US-China trade conflict could hurt China and other supply chain economies but further pointed out some additional</w:t>
      </w:r>
      <w:r w:rsidR="007D27C3">
        <w:rPr>
          <w:rFonts w:ascii="Times New Roman" w:eastAsia="標楷體" w:hint="eastAsia"/>
          <w:spacing w:val="-2"/>
          <w:sz w:val="24"/>
          <w:szCs w:val="24"/>
        </w:rPr>
        <w:t xml:space="preserve"> </w:t>
      </w:r>
      <w:r w:rsidR="00BC59F4">
        <w:rPr>
          <w:rFonts w:ascii="Times New Roman" w:eastAsia="標楷體" w:hint="eastAsia"/>
          <w:spacing w:val="-2"/>
          <w:sz w:val="24"/>
          <w:szCs w:val="24"/>
        </w:rPr>
        <w:t xml:space="preserve">factors that might </w:t>
      </w:r>
      <w:r w:rsidR="007D27C3">
        <w:rPr>
          <w:rFonts w:ascii="Times New Roman" w:eastAsia="標楷體" w:hint="eastAsia"/>
          <w:spacing w:val="-2"/>
          <w:sz w:val="24"/>
          <w:szCs w:val="24"/>
        </w:rPr>
        <w:t xml:space="preserve">send the global economy into a recession cycle. </w:t>
      </w:r>
      <w:r w:rsidR="004F44D1">
        <w:rPr>
          <w:rFonts w:ascii="Times New Roman" w:eastAsia="標楷體" w:hint="eastAsia"/>
          <w:spacing w:val="-2"/>
          <w:sz w:val="24"/>
          <w:szCs w:val="24"/>
        </w:rPr>
        <w:t xml:space="preserve">For example, </w:t>
      </w:r>
      <w:r w:rsidR="00CB7CB6">
        <w:rPr>
          <w:rFonts w:ascii="Times New Roman" w:eastAsia="標楷體" w:hint="eastAsia"/>
          <w:spacing w:val="-2"/>
          <w:sz w:val="24"/>
          <w:szCs w:val="24"/>
        </w:rPr>
        <w:t xml:space="preserve">with the US economy at its peak, </w:t>
      </w:r>
      <w:r w:rsidR="005E3F01">
        <w:rPr>
          <w:rFonts w:ascii="Times New Roman" w:eastAsia="標楷體" w:hint="eastAsia"/>
          <w:spacing w:val="-2"/>
          <w:sz w:val="24"/>
          <w:szCs w:val="24"/>
        </w:rPr>
        <w:t xml:space="preserve">it </w:t>
      </w:r>
      <w:r w:rsidR="008B5B57">
        <w:rPr>
          <w:rFonts w:ascii="Times New Roman" w:eastAsia="標楷體" w:hint="eastAsia"/>
          <w:spacing w:val="-2"/>
          <w:sz w:val="24"/>
          <w:szCs w:val="24"/>
        </w:rPr>
        <w:t>could enter recession once the fiscal stimulu</w:t>
      </w:r>
      <w:r w:rsidR="00CB7CB6">
        <w:rPr>
          <w:rFonts w:ascii="Times New Roman" w:eastAsia="標楷體" w:hint="eastAsia"/>
          <w:spacing w:val="-2"/>
          <w:sz w:val="24"/>
          <w:szCs w:val="24"/>
        </w:rPr>
        <w:t xml:space="preserve">s effect diminishes. </w:t>
      </w:r>
      <w:r w:rsidR="005E3F01">
        <w:rPr>
          <w:rFonts w:ascii="Times New Roman" w:eastAsia="標楷體" w:hint="eastAsia"/>
          <w:spacing w:val="-2"/>
          <w:sz w:val="24"/>
          <w:szCs w:val="24"/>
        </w:rPr>
        <w:t xml:space="preserve">Another </w:t>
      </w:r>
      <w:r w:rsidR="00BC59F4">
        <w:rPr>
          <w:rFonts w:ascii="Times New Roman" w:eastAsia="標楷體" w:hint="eastAsia"/>
          <w:spacing w:val="-2"/>
          <w:sz w:val="24"/>
          <w:szCs w:val="24"/>
        </w:rPr>
        <w:t>case in point</w:t>
      </w:r>
      <w:r w:rsidR="005E3F01">
        <w:rPr>
          <w:rFonts w:ascii="Times New Roman" w:eastAsia="標楷體" w:hint="eastAsia"/>
          <w:spacing w:val="-2"/>
          <w:sz w:val="24"/>
          <w:szCs w:val="24"/>
        </w:rPr>
        <w:t xml:space="preserve"> is US rate hikes. Many companies </w:t>
      </w:r>
      <w:r w:rsidR="00BC59F4">
        <w:rPr>
          <w:rFonts w:ascii="Times New Roman" w:eastAsia="標楷體" w:hint="eastAsia"/>
          <w:spacing w:val="-2"/>
          <w:sz w:val="24"/>
          <w:szCs w:val="24"/>
        </w:rPr>
        <w:t xml:space="preserve">around the world </w:t>
      </w:r>
      <w:r w:rsidR="005E3F01">
        <w:rPr>
          <w:rFonts w:ascii="Times New Roman" w:eastAsia="標楷體" w:hint="eastAsia"/>
          <w:spacing w:val="-2"/>
          <w:sz w:val="24"/>
          <w:szCs w:val="24"/>
        </w:rPr>
        <w:t xml:space="preserve">have taken advantage of low interest rates </w:t>
      </w:r>
      <w:r w:rsidR="008179AE">
        <w:rPr>
          <w:rFonts w:ascii="Times New Roman" w:eastAsia="標楷體" w:hint="eastAsia"/>
          <w:spacing w:val="-2"/>
          <w:sz w:val="24"/>
          <w:szCs w:val="24"/>
        </w:rPr>
        <w:t xml:space="preserve">in previous years </w:t>
      </w:r>
      <w:r w:rsidR="005E3F01">
        <w:rPr>
          <w:rFonts w:ascii="Times New Roman" w:eastAsia="標楷體" w:hint="eastAsia"/>
          <w:spacing w:val="-2"/>
          <w:sz w:val="24"/>
          <w:szCs w:val="24"/>
        </w:rPr>
        <w:t>to</w:t>
      </w:r>
      <w:r w:rsidR="00BC59F4">
        <w:rPr>
          <w:rFonts w:ascii="Times New Roman" w:eastAsia="標楷體" w:hint="eastAsia"/>
          <w:spacing w:val="-2"/>
          <w:sz w:val="24"/>
          <w:szCs w:val="24"/>
        </w:rPr>
        <w:t xml:space="preserve"> raise capital</w:t>
      </w:r>
      <w:r w:rsidR="005E3F01">
        <w:rPr>
          <w:rFonts w:ascii="Times New Roman" w:eastAsia="標楷體" w:hint="eastAsia"/>
          <w:spacing w:val="-2"/>
          <w:sz w:val="24"/>
          <w:szCs w:val="24"/>
        </w:rPr>
        <w:t xml:space="preserve">. </w:t>
      </w:r>
      <w:r w:rsidR="008179AE">
        <w:rPr>
          <w:rFonts w:ascii="Times New Roman" w:eastAsia="標楷體" w:hint="eastAsia"/>
          <w:spacing w:val="-2"/>
          <w:sz w:val="24"/>
          <w:szCs w:val="24"/>
        </w:rPr>
        <w:t xml:space="preserve">More Fed rate hikes next year </w:t>
      </w:r>
      <w:r w:rsidR="00BC59F4">
        <w:rPr>
          <w:rFonts w:ascii="Times New Roman" w:eastAsia="標楷體" w:hint="eastAsia"/>
          <w:spacing w:val="-2"/>
          <w:sz w:val="24"/>
          <w:szCs w:val="24"/>
        </w:rPr>
        <w:t xml:space="preserve">when </w:t>
      </w:r>
      <w:r w:rsidR="008179AE">
        <w:rPr>
          <w:rFonts w:ascii="Times New Roman" w:eastAsia="標楷體" w:hint="eastAsia"/>
          <w:spacing w:val="-2"/>
          <w:sz w:val="24"/>
          <w:szCs w:val="24"/>
        </w:rPr>
        <w:t xml:space="preserve">a huge pile of corporate debt in the US and other countries reach maturity </w:t>
      </w:r>
      <w:r w:rsidR="005E3F01">
        <w:rPr>
          <w:rFonts w:ascii="Times New Roman" w:eastAsia="標楷體" w:hint="eastAsia"/>
          <w:spacing w:val="-2"/>
          <w:sz w:val="24"/>
          <w:szCs w:val="24"/>
        </w:rPr>
        <w:t>could</w:t>
      </w:r>
      <w:r w:rsidR="00BC59F4">
        <w:rPr>
          <w:rFonts w:ascii="Times New Roman" w:eastAsia="標楷體" w:hint="eastAsia"/>
          <w:spacing w:val="-2"/>
          <w:sz w:val="24"/>
          <w:szCs w:val="24"/>
        </w:rPr>
        <w:t xml:space="preserve"> </w:t>
      </w:r>
      <w:r w:rsidR="005E3F01">
        <w:rPr>
          <w:rFonts w:ascii="Times New Roman" w:eastAsia="標楷體" w:hint="eastAsia"/>
          <w:spacing w:val="-2"/>
          <w:sz w:val="24"/>
          <w:szCs w:val="24"/>
        </w:rPr>
        <w:t>batter global financial stability</w:t>
      </w:r>
      <w:r w:rsidR="008179AE">
        <w:rPr>
          <w:rFonts w:ascii="Times New Roman" w:eastAsia="標楷體" w:hint="eastAsia"/>
          <w:spacing w:val="-2"/>
          <w:sz w:val="24"/>
          <w:szCs w:val="24"/>
        </w:rPr>
        <w:t xml:space="preserve">. </w:t>
      </w:r>
    </w:p>
    <w:p w:rsidR="001F311A" w:rsidRDefault="00BB50D0" w:rsidP="001F311A">
      <w:pPr>
        <w:pStyle w:val="6"/>
        <w:overflowPunct w:val="0"/>
        <w:snapToGrid w:val="0"/>
        <w:spacing w:after="0" w:line="440" w:lineRule="exact"/>
        <w:ind w:left="0" w:firstLineChars="200" w:firstLine="472"/>
        <w:textDirection w:val="lrTbV"/>
        <w:rPr>
          <w:rFonts w:ascii="Times New Roman" w:eastAsia="標楷體"/>
          <w:spacing w:val="-2"/>
          <w:sz w:val="24"/>
          <w:szCs w:val="24"/>
        </w:rPr>
      </w:pPr>
      <w:r>
        <w:rPr>
          <w:rFonts w:ascii="Times New Roman" w:eastAsia="標楷體" w:hint="eastAsia"/>
          <w:spacing w:val="-2"/>
          <w:sz w:val="24"/>
          <w:szCs w:val="24"/>
        </w:rPr>
        <w:t xml:space="preserve">In discussions about domestic price trends, one </w:t>
      </w:r>
      <w:r w:rsidR="009A4BC6">
        <w:rPr>
          <w:rFonts w:ascii="Times New Roman" w:eastAsia="標楷體" w:hint="eastAsia"/>
          <w:spacing w:val="-2"/>
          <w:sz w:val="24"/>
          <w:szCs w:val="24"/>
        </w:rPr>
        <w:t>B</w:t>
      </w:r>
      <w:r>
        <w:rPr>
          <w:rFonts w:ascii="Times New Roman" w:eastAsia="標楷體" w:hint="eastAsia"/>
          <w:spacing w:val="-2"/>
          <w:sz w:val="24"/>
          <w:szCs w:val="24"/>
        </w:rPr>
        <w:t xml:space="preserve">oard </w:t>
      </w:r>
      <w:r w:rsidR="009A4BC6">
        <w:rPr>
          <w:rFonts w:ascii="Times New Roman" w:eastAsia="標楷體" w:hint="eastAsia"/>
          <w:spacing w:val="-2"/>
          <w:sz w:val="24"/>
          <w:szCs w:val="24"/>
        </w:rPr>
        <w:t>D</w:t>
      </w:r>
      <w:r>
        <w:rPr>
          <w:rFonts w:ascii="Times New Roman" w:eastAsia="標楷體" w:hint="eastAsia"/>
          <w:spacing w:val="-2"/>
          <w:sz w:val="24"/>
          <w:szCs w:val="24"/>
        </w:rPr>
        <w:t>irector observed that</w:t>
      </w:r>
      <w:r w:rsidR="00D061B1">
        <w:rPr>
          <w:rFonts w:ascii="Times New Roman" w:eastAsia="標楷體" w:hint="eastAsia"/>
          <w:spacing w:val="-2"/>
          <w:sz w:val="24"/>
          <w:szCs w:val="24"/>
        </w:rPr>
        <w:t xml:space="preserve"> Taiwan</w:t>
      </w:r>
      <w:r w:rsidR="00D061B1">
        <w:rPr>
          <w:rFonts w:ascii="Times New Roman" w:eastAsia="標楷體"/>
          <w:spacing w:val="-2"/>
          <w:sz w:val="24"/>
          <w:szCs w:val="24"/>
        </w:rPr>
        <w:t>’</w:t>
      </w:r>
      <w:r w:rsidR="00D061B1">
        <w:rPr>
          <w:rFonts w:ascii="Times New Roman" w:eastAsia="標楷體" w:hint="eastAsia"/>
          <w:spacing w:val="-2"/>
          <w:sz w:val="24"/>
          <w:szCs w:val="24"/>
        </w:rPr>
        <w:t>s</w:t>
      </w:r>
      <w:r>
        <w:rPr>
          <w:rFonts w:ascii="Times New Roman" w:eastAsia="標楷體" w:hint="eastAsia"/>
          <w:spacing w:val="-2"/>
          <w:sz w:val="24"/>
          <w:szCs w:val="24"/>
        </w:rPr>
        <w:t xml:space="preserve"> </w:t>
      </w:r>
      <w:r w:rsidR="00D061B1">
        <w:rPr>
          <w:rFonts w:ascii="Times New Roman" w:eastAsia="標楷體"/>
          <w:spacing w:val="-2"/>
          <w:sz w:val="24"/>
          <w:szCs w:val="24"/>
        </w:rPr>
        <w:t>inflation</w:t>
      </w:r>
      <w:r w:rsidR="00D061B1">
        <w:rPr>
          <w:rFonts w:ascii="Times New Roman" w:eastAsia="標楷體" w:hint="eastAsia"/>
          <w:spacing w:val="-2"/>
          <w:sz w:val="24"/>
          <w:szCs w:val="24"/>
        </w:rPr>
        <w:t xml:space="preserve"> is forecast by the CBC to rise by just 1.05% for the year of 2019 as the cigarette tax hike effect </w:t>
      </w:r>
      <w:proofErr w:type="gramStart"/>
      <w:r w:rsidR="00D061B1">
        <w:rPr>
          <w:rFonts w:ascii="Times New Roman" w:eastAsia="標楷體" w:hint="eastAsia"/>
          <w:spacing w:val="-2"/>
          <w:sz w:val="24"/>
          <w:szCs w:val="24"/>
        </w:rPr>
        <w:t>dissipates,</w:t>
      </w:r>
      <w:proofErr w:type="gramEnd"/>
      <w:r w:rsidR="00D061B1">
        <w:rPr>
          <w:rFonts w:ascii="Times New Roman" w:eastAsia="標楷體" w:hint="eastAsia"/>
          <w:spacing w:val="-2"/>
          <w:sz w:val="24"/>
          <w:szCs w:val="24"/>
        </w:rPr>
        <w:t xml:space="preserve"> a pace close to the 2018 forecast of 1.1% when excluding the same effect. This suggested th</w:t>
      </w:r>
      <w:r w:rsidR="00ED691E">
        <w:rPr>
          <w:rFonts w:ascii="Times New Roman" w:eastAsia="標楷體" w:hint="eastAsia"/>
          <w:spacing w:val="-2"/>
          <w:sz w:val="24"/>
          <w:szCs w:val="24"/>
        </w:rPr>
        <w:t>at inflation remains mild. One B</w:t>
      </w:r>
      <w:r w:rsidR="00D061B1">
        <w:rPr>
          <w:rFonts w:ascii="Times New Roman" w:eastAsia="標楷體" w:hint="eastAsia"/>
          <w:spacing w:val="-2"/>
          <w:sz w:val="24"/>
          <w:szCs w:val="24"/>
        </w:rPr>
        <w:t xml:space="preserve">oard </w:t>
      </w:r>
      <w:r w:rsidR="00ED691E">
        <w:rPr>
          <w:rFonts w:ascii="Times New Roman" w:eastAsia="標楷體" w:hint="eastAsia"/>
          <w:spacing w:val="-2"/>
          <w:sz w:val="24"/>
          <w:szCs w:val="24"/>
        </w:rPr>
        <w:t>S</w:t>
      </w:r>
      <w:r w:rsidR="00D061B1">
        <w:rPr>
          <w:rFonts w:ascii="Times New Roman" w:eastAsia="標楷體" w:hint="eastAsia"/>
          <w:spacing w:val="-2"/>
          <w:sz w:val="24"/>
          <w:szCs w:val="24"/>
        </w:rPr>
        <w:t xml:space="preserve">upervisor </w:t>
      </w:r>
      <w:r w:rsidR="00AB3C8A">
        <w:rPr>
          <w:rFonts w:ascii="Times New Roman" w:eastAsia="標楷體" w:hint="eastAsia"/>
          <w:spacing w:val="-2"/>
          <w:sz w:val="24"/>
          <w:szCs w:val="24"/>
        </w:rPr>
        <w:t xml:space="preserve">pointed out that oil prices is a major uncertainty over the inflation outlook. </w:t>
      </w:r>
      <w:r w:rsidR="00774AC9">
        <w:rPr>
          <w:rFonts w:ascii="Times New Roman" w:eastAsia="標楷體" w:hint="eastAsia"/>
          <w:spacing w:val="-2"/>
          <w:sz w:val="24"/>
          <w:szCs w:val="24"/>
        </w:rPr>
        <w:t>Recently, oil prices trended upwards a</w:t>
      </w:r>
      <w:r w:rsidR="00AB3C8A">
        <w:rPr>
          <w:rFonts w:ascii="Times New Roman" w:eastAsia="標楷體" w:hint="eastAsia"/>
          <w:spacing w:val="-2"/>
          <w:sz w:val="24"/>
          <w:szCs w:val="24"/>
        </w:rPr>
        <w:t xml:space="preserve">s crude oil supply came under strain after the OPEC decided not to lift output </w:t>
      </w:r>
      <w:r w:rsidR="00774AC9">
        <w:rPr>
          <w:rFonts w:ascii="Times New Roman" w:eastAsia="標楷體" w:hint="eastAsia"/>
          <w:spacing w:val="-2"/>
          <w:sz w:val="24"/>
          <w:szCs w:val="24"/>
        </w:rPr>
        <w:t>and exports from Iran and Venezuela dropped. However, the inflation outlook for 2018 and 2019 remains mild, given the following constraints on oil price</w:t>
      </w:r>
      <w:r w:rsidR="00D778FA">
        <w:rPr>
          <w:rFonts w:ascii="Times New Roman" w:eastAsia="標楷體" w:hint="eastAsia"/>
          <w:spacing w:val="-2"/>
          <w:sz w:val="24"/>
          <w:szCs w:val="24"/>
        </w:rPr>
        <w:t xml:space="preserve"> hikes</w:t>
      </w:r>
      <w:r w:rsidR="00774AC9">
        <w:rPr>
          <w:rFonts w:ascii="Times New Roman" w:eastAsia="標楷體" w:hint="eastAsia"/>
          <w:spacing w:val="-2"/>
          <w:sz w:val="24"/>
          <w:szCs w:val="24"/>
        </w:rPr>
        <w:t xml:space="preserve">: (1) </w:t>
      </w:r>
      <w:r w:rsidR="00D778FA">
        <w:rPr>
          <w:rFonts w:ascii="Times New Roman" w:eastAsia="標楷體" w:hint="eastAsia"/>
          <w:spacing w:val="-2"/>
          <w:sz w:val="24"/>
          <w:szCs w:val="24"/>
        </w:rPr>
        <w:t xml:space="preserve">crude and refined oil stock both were on the rise for the past three weeks towards their five-year average levels, reflecting the balance of supply and demand; (2) </w:t>
      </w:r>
      <w:r w:rsidR="00382013" w:rsidRPr="00382013">
        <w:rPr>
          <w:rFonts w:ascii="Times New Roman" w:eastAsia="標楷體"/>
          <w:spacing w:val="-2"/>
          <w:sz w:val="24"/>
          <w:szCs w:val="24"/>
        </w:rPr>
        <w:t>net long positions in crude oil futures</w:t>
      </w:r>
      <w:r w:rsidR="00D778FA">
        <w:rPr>
          <w:rFonts w:ascii="Times New Roman" w:eastAsia="標楷體" w:hint="eastAsia"/>
          <w:spacing w:val="-2"/>
          <w:sz w:val="24"/>
          <w:szCs w:val="24"/>
        </w:rPr>
        <w:t xml:space="preserve"> </w:t>
      </w:r>
      <w:r w:rsidR="00382013">
        <w:rPr>
          <w:rFonts w:ascii="Times New Roman" w:eastAsia="標楷體" w:hint="eastAsia"/>
          <w:spacing w:val="-2"/>
          <w:sz w:val="24"/>
          <w:szCs w:val="24"/>
        </w:rPr>
        <w:t xml:space="preserve">trended downwards in the past three weeks, helping to cap oil prices; (3) weaker demand for oil as US-China trade disputes depress the global economy would also hold down oil prices rises. Another </w:t>
      </w:r>
      <w:r w:rsidR="009A4BC6">
        <w:rPr>
          <w:rFonts w:ascii="Times New Roman" w:eastAsia="標楷體" w:hint="eastAsia"/>
          <w:spacing w:val="-2"/>
          <w:sz w:val="24"/>
          <w:szCs w:val="24"/>
        </w:rPr>
        <w:t>B</w:t>
      </w:r>
      <w:r w:rsidR="00382013">
        <w:rPr>
          <w:rFonts w:ascii="Times New Roman" w:eastAsia="標楷體" w:hint="eastAsia"/>
          <w:spacing w:val="-2"/>
          <w:sz w:val="24"/>
          <w:szCs w:val="24"/>
        </w:rPr>
        <w:t xml:space="preserve">oard </w:t>
      </w:r>
      <w:r w:rsidR="009A4BC6">
        <w:rPr>
          <w:rFonts w:ascii="Times New Roman" w:eastAsia="標楷體" w:hint="eastAsia"/>
          <w:spacing w:val="-2"/>
          <w:sz w:val="24"/>
          <w:szCs w:val="24"/>
        </w:rPr>
        <w:t>D</w:t>
      </w:r>
      <w:r w:rsidR="00382013">
        <w:rPr>
          <w:rFonts w:ascii="Times New Roman" w:eastAsia="標楷體" w:hint="eastAsia"/>
          <w:spacing w:val="-2"/>
          <w:sz w:val="24"/>
          <w:szCs w:val="24"/>
        </w:rPr>
        <w:t>irect</w:t>
      </w:r>
      <w:r w:rsidR="001F311A">
        <w:rPr>
          <w:rFonts w:ascii="Times New Roman" w:eastAsia="標楷體" w:hint="eastAsia"/>
          <w:spacing w:val="-2"/>
          <w:sz w:val="24"/>
          <w:szCs w:val="24"/>
        </w:rPr>
        <w:t xml:space="preserve">or said that although pressures on </w:t>
      </w:r>
      <w:r w:rsidR="001F311A">
        <w:rPr>
          <w:rFonts w:ascii="Times New Roman" w:eastAsia="標楷體"/>
          <w:spacing w:val="-2"/>
          <w:sz w:val="24"/>
          <w:szCs w:val="24"/>
        </w:rPr>
        <w:t>inflation</w:t>
      </w:r>
      <w:r w:rsidR="001F311A">
        <w:rPr>
          <w:rFonts w:ascii="Times New Roman" w:eastAsia="標楷體" w:hint="eastAsia"/>
          <w:spacing w:val="-2"/>
          <w:sz w:val="24"/>
          <w:szCs w:val="24"/>
        </w:rPr>
        <w:t xml:space="preserve"> are expected to ease, import prices could still </w:t>
      </w:r>
      <w:r w:rsidR="00B44CE3">
        <w:rPr>
          <w:rFonts w:ascii="Times New Roman" w:eastAsia="標楷體" w:hint="eastAsia"/>
          <w:spacing w:val="-2"/>
          <w:sz w:val="24"/>
          <w:szCs w:val="24"/>
        </w:rPr>
        <w:t xml:space="preserve">lead to strains on domestic </w:t>
      </w:r>
      <w:r w:rsidR="00B44CE3">
        <w:rPr>
          <w:rFonts w:ascii="Times New Roman" w:eastAsia="標楷體"/>
          <w:spacing w:val="-2"/>
          <w:sz w:val="24"/>
          <w:szCs w:val="24"/>
        </w:rPr>
        <w:t>inflation</w:t>
      </w:r>
      <w:r w:rsidR="00B44CE3">
        <w:rPr>
          <w:rFonts w:ascii="Times New Roman" w:eastAsia="標楷體" w:hint="eastAsia"/>
          <w:spacing w:val="-2"/>
          <w:sz w:val="24"/>
          <w:szCs w:val="24"/>
        </w:rPr>
        <w:t>. In this view, it would be important to explore the mechanism in which import prices feed through to domestic prices.</w:t>
      </w:r>
    </w:p>
    <w:p w:rsidR="00E6058A" w:rsidRDefault="000F0C09" w:rsidP="00CD0DC6">
      <w:pPr>
        <w:adjustRightInd/>
        <w:snapToGrid w:val="0"/>
        <w:spacing w:before="120" w:line="440" w:lineRule="exact"/>
        <w:ind w:firstLineChars="200" w:firstLine="480"/>
        <w:jc w:val="both"/>
        <w:textDirection w:val="lrTbV"/>
        <w:rPr>
          <w:rFonts w:eastAsia="標楷體"/>
          <w:sz w:val="24"/>
          <w:szCs w:val="24"/>
        </w:rPr>
      </w:pPr>
      <w:r w:rsidRPr="000F0C09">
        <w:rPr>
          <w:rFonts w:eastAsia="標楷體" w:hint="eastAsia"/>
          <w:sz w:val="24"/>
          <w:szCs w:val="24"/>
        </w:rPr>
        <w:t xml:space="preserve">In respect of </w:t>
      </w:r>
      <w:r>
        <w:rPr>
          <w:rFonts w:eastAsia="標楷體" w:hint="eastAsia"/>
          <w:sz w:val="24"/>
          <w:szCs w:val="24"/>
        </w:rPr>
        <w:t xml:space="preserve">the interest rate decision, several </w:t>
      </w:r>
      <w:r w:rsidR="009A4BC6">
        <w:rPr>
          <w:rFonts w:eastAsia="標楷體" w:hint="eastAsia"/>
          <w:sz w:val="24"/>
          <w:szCs w:val="24"/>
        </w:rPr>
        <w:t>B</w:t>
      </w:r>
      <w:r>
        <w:rPr>
          <w:rFonts w:eastAsia="標楷體" w:hint="eastAsia"/>
          <w:sz w:val="24"/>
          <w:szCs w:val="24"/>
        </w:rPr>
        <w:t xml:space="preserve">oard </w:t>
      </w:r>
      <w:r w:rsidR="009A4BC6">
        <w:rPr>
          <w:rFonts w:eastAsia="標楷體" w:hint="eastAsia"/>
          <w:sz w:val="24"/>
          <w:szCs w:val="24"/>
        </w:rPr>
        <w:t>D</w:t>
      </w:r>
      <w:r>
        <w:rPr>
          <w:rFonts w:eastAsia="標楷體" w:hint="eastAsia"/>
          <w:sz w:val="24"/>
          <w:szCs w:val="24"/>
        </w:rPr>
        <w:t xml:space="preserve">irectors expressed approval of a rate hold, citing the following factors among others: inflationary pressures were subdued, inflation expectations are mild, and the inflation rate is projected to decline next year; the output gap remained negative, the momentum for economic growth was mild, and the </w:t>
      </w:r>
      <w:r>
        <w:rPr>
          <w:rFonts w:eastAsia="標楷體"/>
          <w:sz w:val="24"/>
          <w:szCs w:val="24"/>
        </w:rPr>
        <w:t>economy</w:t>
      </w:r>
      <w:r>
        <w:rPr>
          <w:rFonts w:eastAsia="標楷體" w:hint="eastAsia"/>
          <w:sz w:val="24"/>
          <w:szCs w:val="24"/>
        </w:rPr>
        <w:t xml:space="preserve"> is </w:t>
      </w:r>
      <w:r w:rsidR="008E69AD">
        <w:rPr>
          <w:rFonts w:eastAsia="標楷體" w:hint="eastAsia"/>
          <w:sz w:val="24"/>
          <w:szCs w:val="24"/>
        </w:rPr>
        <w:t>forecast to expand at a slower pace next year; T</w:t>
      </w:r>
      <w:r w:rsidR="008E69AD">
        <w:rPr>
          <w:rFonts w:eastAsia="標楷體"/>
          <w:sz w:val="24"/>
          <w:szCs w:val="24"/>
        </w:rPr>
        <w:t>a</w:t>
      </w:r>
      <w:r w:rsidR="008E69AD">
        <w:rPr>
          <w:rFonts w:eastAsia="標楷體" w:hint="eastAsia"/>
          <w:sz w:val="24"/>
          <w:szCs w:val="24"/>
        </w:rPr>
        <w:t>iwan</w:t>
      </w:r>
      <w:r w:rsidR="008E69AD">
        <w:rPr>
          <w:rFonts w:eastAsia="標楷體"/>
          <w:sz w:val="24"/>
          <w:szCs w:val="24"/>
        </w:rPr>
        <w:t>’</w:t>
      </w:r>
      <w:r w:rsidR="008E69AD">
        <w:rPr>
          <w:rFonts w:eastAsia="標楷體" w:hint="eastAsia"/>
          <w:sz w:val="24"/>
          <w:szCs w:val="24"/>
        </w:rPr>
        <w:t xml:space="preserve">s real interest rate stood at a relatively moderate level compared to other economies, and, though currently in negative territory, will move up next year. In particular, one </w:t>
      </w:r>
      <w:r w:rsidR="009A4BC6">
        <w:rPr>
          <w:rFonts w:eastAsia="標楷體" w:hint="eastAsia"/>
          <w:sz w:val="24"/>
          <w:szCs w:val="24"/>
        </w:rPr>
        <w:t>B</w:t>
      </w:r>
      <w:r w:rsidR="008E69AD">
        <w:rPr>
          <w:rFonts w:eastAsia="標楷體" w:hint="eastAsia"/>
          <w:sz w:val="24"/>
          <w:szCs w:val="24"/>
        </w:rPr>
        <w:t xml:space="preserve">oard </w:t>
      </w:r>
      <w:r w:rsidR="009A4BC6">
        <w:rPr>
          <w:rFonts w:eastAsia="標楷體" w:hint="eastAsia"/>
          <w:sz w:val="24"/>
          <w:szCs w:val="24"/>
        </w:rPr>
        <w:t>D</w:t>
      </w:r>
      <w:r w:rsidR="008E69AD">
        <w:rPr>
          <w:rFonts w:eastAsia="標楷體" w:hint="eastAsia"/>
          <w:sz w:val="24"/>
          <w:szCs w:val="24"/>
        </w:rPr>
        <w:t xml:space="preserve">irector </w:t>
      </w:r>
      <w:r w:rsidR="00F328A9">
        <w:rPr>
          <w:rFonts w:eastAsia="標楷體" w:hint="eastAsia"/>
          <w:sz w:val="24"/>
          <w:szCs w:val="24"/>
        </w:rPr>
        <w:t xml:space="preserve">highlighted the remarkable uncertainty surrounding the US-China trade clash, noting that </w:t>
      </w:r>
      <w:r w:rsidR="00CD0DC6">
        <w:rPr>
          <w:rFonts w:eastAsia="標楷體" w:hint="eastAsia"/>
          <w:sz w:val="24"/>
          <w:szCs w:val="24"/>
        </w:rPr>
        <w:t>jumping into a rate hike decision could bring about adverse implications for Taiwan</w:t>
      </w:r>
      <w:r w:rsidR="00CD0DC6">
        <w:rPr>
          <w:rFonts w:eastAsia="標楷體"/>
          <w:sz w:val="24"/>
          <w:szCs w:val="24"/>
        </w:rPr>
        <w:t>’</w:t>
      </w:r>
      <w:r w:rsidR="00CD0DC6">
        <w:rPr>
          <w:rFonts w:eastAsia="標楷體" w:hint="eastAsia"/>
          <w:sz w:val="24"/>
          <w:szCs w:val="24"/>
        </w:rPr>
        <w:t xml:space="preserve">s </w:t>
      </w:r>
      <w:r w:rsidR="00CD0DC6">
        <w:rPr>
          <w:rFonts w:eastAsia="標楷體"/>
          <w:sz w:val="24"/>
          <w:szCs w:val="24"/>
        </w:rPr>
        <w:t>economy</w:t>
      </w:r>
      <w:r w:rsidR="00CD0DC6">
        <w:rPr>
          <w:rFonts w:eastAsia="標楷體" w:hint="eastAsia"/>
          <w:sz w:val="24"/>
          <w:szCs w:val="24"/>
        </w:rPr>
        <w:t xml:space="preserve">. It was true that some economies have begun raising their policy rates. However, as </w:t>
      </w:r>
      <w:r w:rsidR="00CD0DC6">
        <w:rPr>
          <w:rFonts w:eastAsia="標楷體"/>
          <w:sz w:val="24"/>
          <w:szCs w:val="24"/>
        </w:rPr>
        <w:t>demonstrated</w:t>
      </w:r>
      <w:r w:rsidR="00CD0DC6">
        <w:rPr>
          <w:rFonts w:eastAsia="標楷體" w:hint="eastAsia"/>
          <w:sz w:val="24"/>
          <w:szCs w:val="24"/>
        </w:rPr>
        <w:t xml:space="preserve"> </w:t>
      </w:r>
      <w:r w:rsidR="00921748">
        <w:rPr>
          <w:rFonts w:eastAsia="標楷體" w:hint="eastAsia"/>
          <w:sz w:val="24"/>
          <w:szCs w:val="24"/>
        </w:rPr>
        <w:t>by how long the US Fed waited and pondered before it initiated the first post-crisis rate hike</w:t>
      </w:r>
      <w:r w:rsidR="00361A18">
        <w:rPr>
          <w:rFonts w:eastAsia="標楷體" w:hint="eastAsia"/>
          <w:sz w:val="24"/>
          <w:szCs w:val="24"/>
        </w:rPr>
        <w:t xml:space="preserve"> in December 2015</w:t>
      </w:r>
      <w:r w:rsidR="00CD0DC6">
        <w:rPr>
          <w:rFonts w:eastAsia="標楷體" w:hint="eastAsia"/>
          <w:sz w:val="24"/>
          <w:szCs w:val="24"/>
        </w:rPr>
        <w:t xml:space="preserve">, such </w:t>
      </w:r>
      <w:r w:rsidR="00361A18">
        <w:rPr>
          <w:rFonts w:eastAsia="標楷體" w:hint="eastAsia"/>
          <w:sz w:val="24"/>
          <w:szCs w:val="24"/>
        </w:rPr>
        <w:t>a decision</w:t>
      </w:r>
      <w:r w:rsidR="00CD0DC6">
        <w:rPr>
          <w:rFonts w:eastAsia="標楷體" w:hint="eastAsia"/>
          <w:sz w:val="24"/>
          <w:szCs w:val="24"/>
        </w:rPr>
        <w:t xml:space="preserve"> should be supported by strong certainty about the macroeconomic conditions or </w:t>
      </w:r>
      <w:r w:rsidR="00361A18">
        <w:rPr>
          <w:rFonts w:eastAsia="標楷體" w:hint="eastAsia"/>
          <w:sz w:val="24"/>
          <w:szCs w:val="24"/>
        </w:rPr>
        <w:t xml:space="preserve">prompted </w:t>
      </w:r>
      <w:r w:rsidR="00CD0DC6">
        <w:rPr>
          <w:rFonts w:eastAsia="標楷體" w:hint="eastAsia"/>
          <w:sz w:val="24"/>
          <w:szCs w:val="24"/>
        </w:rPr>
        <w:t xml:space="preserve">by </w:t>
      </w:r>
      <w:r w:rsidR="00C5470E">
        <w:rPr>
          <w:rFonts w:eastAsia="標楷體" w:hint="eastAsia"/>
          <w:sz w:val="24"/>
          <w:szCs w:val="24"/>
        </w:rPr>
        <w:t xml:space="preserve">necessity and </w:t>
      </w:r>
      <w:r w:rsidR="00CD0DC6">
        <w:rPr>
          <w:rFonts w:eastAsia="標楷體" w:hint="eastAsia"/>
          <w:sz w:val="24"/>
          <w:szCs w:val="24"/>
        </w:rPr>
        <w:t xml:space="preserve">urgency. </w:t>
      </w:r>
    </w:p>
    <w:p w:rsidR="002B7F44" w:rsidRDefault="00993BB8" w:rsidP="00520B6B">
      <w:pPr>
        <w:adjustRightInd/>
        <w:snapToGrid w:val="0"/>
        <w:spacing w:before="120" w:line="440" w:lineRule="exact"/>
        <w:ind w:firstLineChars="200" w:firstLine="480"/>
        <w:jc w:val="both"/>
        <w:textDirection w:val="lrTbV"/>
        <w:rPr>
          <w:rFonts w:eastAsia="標楷體"/>
          <w:sz w:val="24"/>
          <w:szCs w:val="24"/>
        </w:rPr>
      </w:pPr>
      <w:r>
        <w:rPr>
          <w:rFonts w:eastAsia="標楷體" w:hint="eastAsia"/>
          <w:sz w:val="24"/>
          <w:szCs w:val="24"/>
        </w:rPr>
        <w:t xml:space="preserve">Several </w:t>
      </w:r>
      <w:r w:rsidR="009A4BC6">
        <w:rPr>
          <w:rFonts w:eastAsia="標楷體" w:hint="eastAsia"/>
          <w:sz w:val="24"/>
          <w:szCs w:val="24"/>
        </w:rPr>
        <w:t>B</w:t>
      </w:r>
      <w:r>
        <w:rPr>
          <w:rFonts w:eastAsia="標楷體" w:hint="eastAsia"/>
          <w:sz w:val="24"/>
          <w:szCs w:val="24"/>
        </w:rPr>
        <w:t xml:space="preserve">oard </w:t>
      </w:r>
      <w:r w:rsidR="009A4BC6">
        <w:rPr>
          <w:rFonts w:eastAsia="標楷體" w:hint="eastAsia"/>
          <w:sz w:val="24"/>
          <w:szCs w:val="24"/>
        </w:rPr>
        <w:t>D</w:t>
      </w:r>
      <w:r>
        <w:rPr>
          <w:rFonts w:eastAsia="標楷體" w:hint="eastAsia"/>
          <w:sz w:val="24"/>
          <w:szCs w:val="24"/>
        </w:rPr>
        <w:t xml:space="preserve">irectors also agreed that keeping the policy rate unchanged is the </w:t>
      </w:r>
      <w:r>
        <w:rPr>
          <w:rFonts w:eastAsia="標楷體"/>
          <w:sz w:val="24"/>
          <w:szCs w:val="24"/>
        </w:rPr>
        <w:t>appropriate</w:t>
      </w:r>
      <w:r>
        <w:rPr>
          <w:rFonts w:eastAsia="標楷體" w:hint="eastAsia"/>
          <w:sz w:val="24"/>
          <w:szCs w:val="24"/>
        </w:rPr>
        <w:t xml:space="preserve"> and </w:t>
      </w:r>
      <w:r w:rsidR="00677731">
        <w:rPr>
          <w:rFonts w:eastAsia="標楷體" w:hint="eastAsia"/>
          <w:sz w:val="24"/>
          <w:szCs w:val="24"/>
        </w:rPr>
        <w:t>robust action</w:t>
      </w:r>
      <w:r>
        <w:rPr>
          <w:rFonts w:eastAsia="標楷體" w:hint="eastAsia"/>
          <w:sz w:val="24"/>
          <w:szCs w:val="24"/>
        </w:rPr>
        <w:t xml:space="preserve">. </w:t>
      </w:r>
      <w:r w:rsidR="00EA3279">
        <w:rPr>
          <w:rFonts w:eastAsia="標楷體" w:hint="eastAsia"/>
          <w:sz w:val="24"/>
          <w:szCs w:val="24"/>
        </w:rPr>
        <w:t>However, they also noted that, as Taiwan</w:t>
      </w:r>
      <w:r w:rsidR="00EA3279">
        <w:rPr>
          <w:rFonts w:eastAsia="標楷體"/>
          <w:sz w:val="24"/>
          <w:szCs w:val="24"/>
        </w:rPr>
        <w:t xml:space="preserve"> </w:t>
      </w:r>
      <w:r w:rsidR="00EA3279">
        <w:rPr>
          <w:rFonts w:eastAsia="標楷體" w:hint="eastAsia"/>
          <w:sz w:val="24"/>
          <w:szCs w:val="24"/>
        </w:rPr>
        <w:t>maintains the current</w:t>
      </w:r>
      <w:r w:rsidR="00EA3279">
        <w:rPr>
          <w:rFonts w:eastAsia="標楷體"/>
          <w:sz w:val="24"/>
          <w:szCs w:val="24"/>
        </w:rPr>
        <w:t xml:space="preserve"> rate</w:t>
      </w:r>
      <w:r w:rsidR="00EA3279">
        <w:rPr>
          <w:rFonts w:eastAsia="標楷體" w:hint="eastAsia"/>
          <w:sz w:val="24"/>
          <w:szCs w:val="24"/>
        </w:rPr>
        <w:t xml:space="preserve"> level, the spread between US-Taiwan interest rates will widen </w:t>
      </w:r>
      <w:r w:rsidR="00E81225">
        <w:rPr>
          <w:rFonts w:eastAsia="標楷體" w:hint="eastAsia"/>
          <w:sz w:val="24"/>
          <w:szCs w:val="24"/>
        </w:rPr>
        <w:t>amid the Fed</w:t>
      </w:r>
      <w:r w:rsidR="00E81225">
        <w:rPr>
          <w:rFonts w:eastAsia="標楷體"/>
          <w:sz w:val="24"/>
          <w:szCs w:val="24"/>
        </w:rPr>
        <w:t>’</w:t>
      </w:r>
      <w:r w:rsidR="00E81225">
        <w:rPr>
          <w:rFonts w:eastAsia="標楷體" w:hint="eastAsia"/>
          <w:sz w:val="24"/>
          <w:szCs w:val="24"/>
        </w:rPr>
        <w:t xml:space="preserve">s rate hike cycle. Furthermore, </w:t>
      </w:r>
      <w:r w:rsidR="00FC5F08">
        <w:rPr>
          <w:rFonts w:eastAsia="標楷體" w:hint="eastAsia"/>
          <w:sz w:val="24"/>
          <w:szCs w:val="24"/>
        </w:rPr>
        <w:t xml:space="preserve">because </w:t>
      </w:r>
      <w:r w:rsidR="00BB1D3D">
        <w:rPr>
          <w:rFonts w:eastAsia="標楷體" w:hint="eastAsia"/>
          <w:sz w:val="24"/>
          <w:szCs w:val="24"/>
        </w:rPr>
        <w:t xml:space="preserve">US-China trade </w:t>
      </w:r>
      <w:r w:rsidR="00BB1D3D">
        <w:rPr>
          <w:rFonts w:eastAsia="標楷體"/>
          <w:sz w:val="24"/>
          <w:szCs w:val="24"/>
        </w:rPr>
        <w:t>friction</w:t>
      </w:r>
      <w:r w:rsidR="00BB1D3D">
        <w:rPr>
          <w:rFonts w:eastAsia="標楷體" w:hint="eastAsia"/>
          <w:sz w:val="24"/>
          <w:szCs w:val="24"/>
        </w:rPr>
        <w:t xml:space="preserve"> would not only have implications for external trade but could also prompt many companies to begin strategic relocation back to Taiwan, </w:t>
      </w:r>
      <w:r w:rsidR="00FC5F08">
        <w:rPr>
          <w:rFonts w:eastAsia="標楷體" w:hint="eastAsia"/>
          <w:sz w:val="24"/>
          <w:szCs w:val="24"/>
        </w:rPr>
        <w:t xml:space="preserve">it is </w:t>
      </w:r>
      <w:r w:rsidR="00BB1D3D">
        <w:rPr>
          <w:rFonts w:eastAsia="標楷體" w:hint="eastAsia"/>
          <w:sz w:val="24"/>
          <w:szCs w:val="24"/>
        </w:rPr>
        <w:t xml:space="preserve">thus </w:t>
      </w:r>
      <w:r w:rsidR="00FC5F08">
        <w:rPr>
          <w:rFonts w:eastAsia="標楷體" w:hint="eastAsia"/>
          <w:sz w:val="24"/>
          <w:szCs w:val="24"/>
        </w:rPr>
        <w:t>important to carefully monitor the effect of capital repatriation on the NT dollar exchange rate and take this into consideration in interest rate policy-making.</w:t>
      </w:r>
      <w:r w:rsidR="00F01E2C">
        <w:rPr>
          <w:rFonts w:eastAsia="標楷體" w:hint="eastAsia"/>
          <w:sz w:val="24"/>
          <w:szCs w:val="24"/>
        </w:rPr>
        <w:t xml:space="preserve"> </w:t>
      </w:r>
      <w:r w:rsidR="001214E3">
        <w:rPr>
          <w:rFonts w:eastAsia="標楷體" w:hint="eastAsia"/>
          <w:sz w:val="24"/>
          <w:szCs w:val="24"/>
        </w:rPr>
        <w:t xml:space="preserve">On a related note, one </w:t>
      </w:r>
      <w:r w:rsidR="009A4BC6">
        <w:rPr>
          <w:rFonts w:eastAsia="標楷體" w:hint="eastAsia"/>
          <w:sz w:val="24"/>
          <w:szCs w:val="24"/>
        </w:rPr>
        <w:t>B</w:t>
      </w:r>
      <w:r w:rsidR="001214E3">
        <w:rPr>
          <w:rFonts w:eastAsia="標楷體" w:hint="eastAsia"/>
          <w:sz w:val="24"/>
          <w:szCs w:val="24"/>
        </w:rPr>
        <w:t xml:space="preserve">oard </w:t>
      </w:r>
      <w:r w:rsidR="009A4BC6">
        <w:rPr>
          <w:rFonts w:eastAsia="標楷體" w:hint="eastAsia"/>
          <w:sz w:val="24"/>
          <w:szCs w:val="24"/>
        </w:rPr>
        <w:t>D</w:t>
      </w:r>
      <w:r w:rsidR="001214E3">
        <w:rPr>
          <w:rFonts w:eastAsia="標楷體" w:hint="eastAsia"/>
          <w:sz w:val="24"/>
          <w:szCs w:val="24"/>
        </w:rPr>
        <w:t xml:space="preserve">irector explained that, instead of a widening Taiwan-US money market </w:t>
      </w:r>
      <w:r w:rsidR="001214E3">
        <w:rPr>
          <w:rFonts w:eastAsia="標楷體"/>
          <w:sz w:val="24"/>
          <w:szCs w:val="24"/>
        </w:rPr>
        <w:t>spread</w:t>
      </w:r>
      <w:r w:rsidR="001214E3">
        <w:rPr>
          <w:rFonts w:eastAsia="標楷體" w:hint="eastAsia"/>
          <w:sz w:val="24"/>
          <w:szCs w:val="24"/>
        </w:rPr>
        <w:t>, two major factors contributed to a greater foreign capital outflow so far this year</w:t>
      </w:r>
      <w:r w:rsidR="005A712D">
        <w:rPr>
          <w:rFonts w:eastAsia="標楷體" w:hint="eastAsia"/>
          <w:sz w:val="24"/>
          <w:szCs w:val="24"/>
        </w:rPr>
        <w:t>. First,</w:t>
      </w:r>
      <w:r w:rsidR="001214E3">
        <w:rPr>
          <w:rFonts w:eastAsia="標楷體" w:hint="eastAsia"/>
          <w:sz w:val="24"/>
          <w:szCs w:val="24"/>
        </w:rPr>
        <w:t xml:space="preserve"> </w:t>
      </w:r>
      <w:r w:rsidR="004817C0">
        <w:rPr>
          <w:rFonts w:eastAsia="標楷體" w:hint="eastAsia"/>
          <w:sz w:val="24"/>
          <w:szCs w:val="24"/>
        </w:rPr>
        <w:t>foreign investors pulled out of emerging Asia (including Taiwan)</w:t>
      </w:r>
      <w:r w:rsidR="005A712D">
        <w:rPr>
          <w:rFonts w:eastAsia="標楷體" w:hint="eastAsia"/>
          <w:sz w:val="24"/>
          <w:szCs w:val="24"/>
        </w:rPr>
        <w:t xml:space="preserve"> recently; in the meantime,</w:t>
      </w:r>
      <w:r w:rsidR="004817C0">
        <w:rPr>
          <w:rFonts w:eastAsia="標楷體" w:hint="eastAsia"/>
          <w:sz w:val="24"/>
          <w:szCs w:val="24"/>
        </w:rPr>
        <w:t xml:space="preserve"> </w:t>
      </w:r>
      <w:r w:rsidR="00952EED">
        <w:rPr>
          <w:rFonts w:eastAsia="標楷體" w:hint="eastAsia"/>
          <w:sz w:val="24"/>
          <w:szCs w:val="24"/>
        </w:rPr>
        <w:t xml:space="preserve">the 10-year US government bond yield continued to hit </w:t>
      </w:r>
      <w:r w:rsidR="00B861CD">
        <w:rPr>
          <w:rFonts w:eastAsia="標楷體" w:hint="eastAsia"/>
          <w:sz w:val="24"/>
          <w:szCs w:val="24"/>
        </w:rPr>
        <w:t>new highs</w:t>
      </w:r>
      <w:r w:rsidR="000A462A">
        <w:rPr>
          <w:rFonts w:eastAsia="標楷體" w:hint="eastAsia"/>
          <w:sz w:val="24"/>
          <w:szCs w:val="24"/>
        </w:rPr>
        <w:t>, causing the stock-bond spread (</w:t>
      </w:r>
      <w:r w:rsidR="00B861CD">
        <w:rPr>
          <w:rFonts w:eastAsia="標楷體" w:hint="eastAsia"/>
          <w:sz w:val="24"/>
          <w:szCs w:val="24"/>
        </w:rPr>
        <w:t>the TWSE dividend yield versus the US Treasury yield</w:t>
      </w:r>
      <w:r w:rsidR="00B861CD">
        <w:rPr>
          <w:rFonts w:eastAsia="標楷體"/>
          <w:sz w:val="24"/>
          <w:szCs w:val="24"/>
        </w:rPr>
        <w:t xml:space="preserve">) </w:t>
      </w:r>
      <w:r w:rsidR="004817C0">
        <w:rPr>
          <w:rFonts w:eastAsia="標楷體" w:hint="eastAsia"/>
          <w:sz w:val="24"/>
          <w:szCs w:val="24"/>
        </w:rPr>
        <w:t>to shrink</w:t>
      </w:r>
      <w:r w:rsidR="005A712D">
        <w:rPr>
          <w:rFonts w:eastAsia="標楷體" w:hint="eastAsia"/>
          <w:sz w:val="24"/>
          <w:szCs w:val="24"/>
        </w:rPr>
        <w:t xml:space="preserve"> and</w:t>
      </w:r>
      <w:r w:rsidR="002D1D24">
        <w:rPr>
          <w:rFonts w:eastAsia="標楷體" w:hint="eastAsia"/>
          <w:sz w:val="24"/>
          <w:szCs w:val="24"/>
        </w:rPr>
        <w:t xml:space="preserve"> a stock market </w:t>
      </w:r>
      <w:r w:rsidR="002D1D24">
        <w:rPr>
          <w:rFonts w:eastAsia="標楷體"/>
          <w:sz w:val="24"/>
          <w:szCs w:val="24"/>
        </w:rPr>
        <w:t>correction</w:t>
      </w:r>
      <w:r w:rsidR="002D1D24">
        <w:rPr>
          <w:rFonts w:eastAsia="標楷體" w:hint="eastAsia"/>
          <w:sz w:val="24"/>
          <w:szCs w:val="24"/>
        </w:rPr>
        <w:t xml:space="preserve"> was looming </w:t>
      </w:r>
      <w:r w:rsidR="00F95EF0">
        <w:rPr>
          <w:rFonts w:eastAsia="標楷體" w:hint="eastAsia"/>
          <w:sz w:val="24"/>
          <w:szCs w:val="24"/>
        </w:rPr>
        <w:t xml:space="preserve">in Taiwan after </w:t>
      </w:r>
      <w:r w:rsidR="005A712D">
        <w:rPr>
          <w:rFonts w:eastAsia="標楷體" w:hint="eastAsia"/>
          <w:sz w:val="24"/>
          <w:szCs w:val="24"/>
        </w:rPr>
        <w:t>significant run-up in share prices as well as selling pressures on concern of international uncertainties. Second,</w:t>
      </w:r>
      <w:r w:rsidR="002B7F44">
        <w:rPr>
          <w:rFonts w:eastAsia="標楷體" w:hint="eastAsia"/>
          <w:sz w:val="24"/>
          <w:szCs w:val="24"/>
        </w:rPr>
        <w:t xml:space="preserve"> foreign investors, after receiving stock and cash dividends, posted a larger amount of outward remittances as TWSE-listed companies paid more dividends this year than </w:t>
      </w:r>
      <w:r w:rsidR="002A1094">
        <w:rPr>
          <w:rFonts w:eastAsia="標楷體" w:hint="eastAsia"/>
          <w:sz w:val="24"/>
          <w:szCs w:val="24"/>
        </w:rPr>
        <w:t>last</w:t>
      </w:r>
      <w:r w:rsidR="002B7F44">
        <w:rPr>
          <w:rFonts w:eastAsia="標楷體" w:hint="eastAsia"/>
          <w:sz w:val="24"/>
          <w:szCs w:val="24"/>
        </w:rPr>
        <w:t xml:space="preserve"> year. </w:t>
      </w:r>
    </w:p>
    <w:p w:rsidR="007C1359" w:rsidRDefault="0072477C" w:rsidP="00543B6B">
      <w:pPr>
        <w:adjustRightInd/>
        <w:snapToGrid w:val="0"/>
        <w:spacing w:before="120" w:line="440" w:lineRule="exact"/>
        <w:ind w:firstLineChars="200" w:firstLine="480"/>
        <w:jc w:val="both"/>
        <w:textDirection w:val="lrTbV"/>
        <w:rPr>
          <w:rFonts w:eastAsia="標楷體"/>
          <w:sz w:val="24"/>
          <w:szCs w:val="24"/>
        </w:rPr>
      </w:pPr>
      <w:r>
        <w:rPr>
          <w:rFonts w:eastAsia="標楷體" w:hint="eastAsia"/>
          <w:sz w:val="24"/>
          <w:szCs w:val="24"/>
        </w:rPr>
        <w:t xml:space="preserve">Multiple </w:t>
      </w:r>
      <w:r w:rsidR="009A4BC6">
        <w:rPr>
          <w:rFonts w:eastAsia="標楷體" w:hint="eastAsia"/>
          <w:sz w:val="24"/>
          <w:szCs w:val="24"/>
        </w:rPr>
        <w:t>B</w:t>
      </w:r>
      <w:r>
        <w:rPr>
          <w:rFonts w:eastAsia="標楷體" w:hint="eastAsia"/>
          <w:sz w:val="24"/>
          <w:szCs w:val="24"/>
        </w:rPr>
        <w:t xml:space="preserve">oard </w:t>
      </w:r>
      <w:r w:rsidR="009A4BC6">
        <w:rPr>
          <w:rFonts w:eastAsia="標楷體" w:hint="eastAsia"/>
          <w:sz w:val="24"/>
          <w:szCs w:val="24"/>
        </w:rPr>
        <w:t>Directors and S</w:t>
      </w:r>
      <w:r>
        <w:rPr>
          <w:rFonts w:eastAsia="標楷體" w:hint="eastAsia"/>
          <w:sz w:val="24"/>
          <w:szCs w:val="24"/>
        </w:rPr>
        <w:t xml:space="preserve">upervisors agreed with </w:t>
      </w:r>
      <w:r w:rsidR="00543B6B">
        <w:rPr>
          <w:rFonts w:eastAsia="標楷體" w:hint="eastAsia"/>
          <w:sz w:val="24"/>
          <w:szCs w:val="24"/>
        </w:rPr>
        <w:t xml:space="preserve">the rationale for a rate hold and contributed to the discussion about future interest rate policy deliberation. One </w:t>
      </w:r>
      <w:r w:rsidR="009A4BC6">
        <w:rPr>
          <w:rFonts w:eastAsia="標楷體" w:hint="eastAsia"/>
          <w:sz w:val="24"/>
          <w:szCs w:val="24"/>
        </w:rPr>
        <w:t>B</w:t>
      </w:r>
      <w:r w:rsidR="00543B6B">
        <w:rPr>
          <w:rFonts w:eastAsia="標楷體" w:hint="eastAsia"/>
          <w:sz w:val="24"/>
          <w:szCs w:val="24"/>
        </w:rPr>
        <w:t xml:space="preserve">oard </w:t>
      </w:r>
      <w:r w:rsidR="009A4BC6">
        <w:rPr>
          <w:rFonts w:eastAsia="標楷體" w:hint="eastAsia"/>
          <w:sz w:val="24"/>
          <w:szCs w:val="24"/>
        </w:rPr>
        <w:t>D</w:t>
      </w:r>
      <w:r w:rsidR="00543B6B">
        <w:rPr>
          <w:rFonts w:eastAsia="標楷體" w:hint="eastAsia"/>
          <w:sz w:val="24"/>
          <w:szCs w:val="24"/>
        </w:rPr>
        <w:t xml:space="preserve">irector stated there seemed to be no pressing need for an </w:t>
      </w:r>
      <w:r w:rsidR="00543B6B">
        <w:rPr>
          <w:rFonts w:eastAsia="標楷體"/>
          <w:sz w:val="24"/>
          <w:szCs w:val="24"/>
        </w:rPr>
        <w:t>immediate</w:t>
      </w:r>
      <w:r w:rsidR="00543B6B">
        <w:rPr>
          <w:rFonts w:eastAsia="標楷體" w:hint="eastAsia"/>
          <w:sz w:val="24"/>
          <w:szCs w:val="24"/>
        </w:rPr>
        <w:t xml:space="preserve"> </w:t>
      </w:r>
      <w:r w:rsidR="00BC5476">
        <w:rPr>
          <w:rFonts w:eastAsia="標楷體" w:hint="eastAsia"/>
          <w:sz w:val="24"/>
          <w:szCs w:val="24"/>
        </w:rPr>
        <w:t xml:space="preserve">rate hike; </w:t>
      </w:r>
      <w:r w:rsidR="00F26AF9">
        <w:rPr>
          <w:rFonts w:eastAsia="標楷體" w:hint="eastAsia"/>
          <w:sz w:val="24"/>
          <w:szCs w:val="24"/>
        </w:rPr>
        <w:t xml:space="preserve">in the future, </w:t>
      </w:r>
      <w:r w:rsidR="00543B6B">
        <w:rPr>
          <w:rFonts w:eastAsia="標楷體" w:hint="eastAsia"/>
          <w:sz w:val="24"/>
          <w:szCs w:val="24"/>
        </w:rPr>
        <w:t xml:space="preserve">however, </w:t>
      </w:r>
      <w:r w:rsidR="00F26AF9">
        <w:rPr>
          <w:rFonts w:eastAsia="標楷體" w:hint="eastAsia"/>
          <w:sz w:val="24"/>
          <w:szCs w:val="24"/>
        </w:rPr>
        <w:t>if the question arises as to</w:t>
      </w:r>
      <w:r w:rsidR="00BC5476">
        <w:rPr>
          <w:rFonts w:eastAsia="標楷體" w:hint="eastAsia"/>
          <w:sz w:val="24"/>
          <w:szCs w:val="24"/>
        </w:rPr>
        <w:t xml:space="preserve"> when to raise the policy</w:t>
      </w:r>
      <w:r w:rsidR="009A4BC6">
        <w:rPr>
          <w:rFonts w:eastAsia="標楷體" w:hint="eastAsia"/>
          <w:sz w:val="24"/>
          <w:szCs w:val="24"/>
        </w:rPr>
        <w:t xml:space="preserve"> rate, the B</w:t>
      </w:r>
      <w:r w:rsidR="00BC5476">
        <w:rPr>
          <w:rFonts w:eastAsia="標楷體" w:hint="eastAsia"/>
          <w:sz w:val="24"/>
          <w:szCs w:val="24"/>
        </w:rPr>
        <w:t xml:space="preserve">oard should consider a wider range of </w:t>
      </w:r>
      <w:r w:rsidR="007C1359">
        <w:rPr>
          <w:rFonts w:eastAsia="標楷體" w:hint="eastAsia"/>
          <w:sz w:val="24"/>
          <w:szCs w:val="24"/>
        </w:rPr>
        <w:t xml:space="preserve">macroeconomic and financial </w:t>
      </w:r>
      <w:r w:rsidR="00BC5476">
        <w:rPr>
          <w:rFonts w:eastAsia="標楷體" w:hint="eastAsia"/>
          <w:sz w:val="24"/>
          <w:szCs w:val="24"/>
        </w:rPr>
        <w:t>factors</w:t>
      </w:r>
      <w:r w:rsidR="007C1359">
        <w:rPr>
          <w:rFonts w:eastAsia="標楷體" w:hint="eastAsia"/>
          <w:sz w:val="24"/>
          <w:szCs w:val="24"/>
        </w:rPr>
        <w:t xml:space="preserve"> </w:t>
      </w:r>
      <w:r w:rsidR="00BC5476">
        <w:rPr>
          <w:rFonts w:eastAsia="標楷體" w:hint="eastAsia"/>
          <w:sz w:val="24"/>
          <w:szCs w:val="24"/>
        </w:rPr>
        <w:t xml:space="preserve">in </w:t>
      </w:r>
      <w:r w:rsidR="00BC5476">
        <w:rPr>
          <w:rFonts w:eastAsia="標楷體"/>
          <w:sz w:val="24"/>
          <w:szCs w:val="24"/>
        </w:rPr>
        <w:t>addition</w:t>
      </w:r>
      <w:r w:rsidR="00BC5476">
        <w:rPr>
          <w:rFonts w:eastAsia="標楷體" w:hint="eastAsia"/>
          <w:sz w:val="24"/>
          <w:szCs w:val="24"/>
        </w:rPr>
        <w:t xml:space="preserve"> to inflationary pressures and the output gap</w:t>
      </w:r>
      <w:r w:rsidR="007C1359">
        <w:rPr>
          <w:rFonts w:eastAsia="標楷體" w:hint="eastAsia"/>
          <w:sz w:val="24"/>
          <w:szCs w:val="24"/>
        </w:rPr>
        <w:t>, so as to provide a stronger foundation for</w:t>
      </w:r>
      <w:r w:rsidR="00C554A7">
        <w:rPr>
          <w:rFonts w:eastAsia="標楷體" w:hint="eastAsia"/>
          <w:sz w:val="24"/>
          <w:szCs w:val="24"/>
        </w:rPr>
        <w:t xml:space="preserve"> any interest rate changes.</w:t>
      </w:r>
    </w:p>
    <w:p w:rsidR="00F70751" w:rsidRDefault="009A4BC6" w:rsidP="0057459A">
      <w:pPr>
        <w:adjustRightInd/>
        <w:snapToGrid w:val="0"/>
        <w:spacing w:before="120" w:line="440" w:lineRule="exact"/>
        <w:ind w:firstLineChars="200" w:firstLine="480"/>
        <w:jc w:val="both"/>
        <w:textDirection w:val="lrTbV"/>
        <w:rPr>
          <w:rFonts w:eastAsia="標楷體"/>
          <w:sz w:val="24"/>
          <w:szCs w:val="24"/>
        </w:rPr>
      </w:pPr>
      <w:r>
        <w:rPr>
          <w:rFonts w:eastAsia="標楷體" w:hint="eastAsia"/>
          <w:sz w:val="24"/>
          <w:szCs w:val="24"/>
        </w:rPr>
        <w:t>Another Board D</w:t>
      </w:r>
      <w:r w:rsidR="00C554A7">
        <w:rPr>
          <w:rFonts w:eastAsia="標楷體" w:hint="eastAsia"/>
          <w:sz w:val="24"/>
          <w:szCs w:val="24"/>
        </w:rPr>
        <w:t>irector stressed the role of policy rates given that Taiwan</w:t>
      </w:r>
      <w:r w:rsidR="00C554A7">
        <w:rPr>
          <w:rFonts w:eastAsia="標楷體"/>
          <w:sz w:val="24"/>
          <w:szCs w:val="24"/>
        </w:rPr>
        <w:t>’</w:t>
      </w:r>
      <w:r w:rsidR="00C554A7">
        <w:rPr>
          <w:rFonts w:eastAsia="標楷體" w:hint="eastAsia"/>
          <w:sz w:val="24"/>
          <w:szCs w:val="24"/>
        </w:rPr>
        <w:t>s nominal rates have stayed low for an extended time</w:t>
      </w:r>
      <w:r w:rsidR="00AB5F89">
        <w:rPr>
          <w:rFonts w:eastAsia="標楷體" w:hint="eastAsia"/>
          <w:sz w:val="24"/>
          <w:szCs w:val="24"/>
        </w:rPr>
        <w:t>, citing the following observations: (1) the domestic economy has seen mild expansion and stable inflation</w:t>
      </w:r>
      <w:r w:rsidR="00AB5F89" w:rsidRPr="00AB5F89">
        <w:rPr>
          <w:rFonts w:eastAsia="標楷體" w:hint="eastAsia"/>
          <w:sz w:val="24"/>
          <w:szCs w:val="24"/>
        </w:rPr>
        <w:t xml:space="preserve"> </w:t>
      </w:r>
      <w:r w:rsidR="00AB5F89">
        <w:rPr>
          <w:rFonts w:eastAsia="標楷體" w:hint="eastAsia"/>
          <w:sz w:val="24"/>
          <w:szCs w:val="24"/>
        </w:rPr>
        <w:t xml:space="preserve">since the rate cut in June 2016 while international uncertainties lingered, a situation expected to continue </w:t>
      </w:r>
      <w:r w:rsidR="00C866D4">
        <w:rPr>
          <w:rFonts w:eastAsia="標楷體" w:hint="eastAsia"/>
          <w:sz w:val="24"/>
          <w:szCs w:val="24"/>
        </w:rPr>
        <w:t xml:space="preserve">several years or at least </w:t>
      </w:r>
      <w:r w:rsidR="00AB5F89">
        <w:rPr>
          <w:rFonts w:eastAsia="標楷體" w:hint="eastAsia"/>
          <w:sz w:val="24"/>
          <w:szCs w:val="24"/>
        </w:rPr>
        <w:t>until the end of 2019</w:t>
      </w:r>
      <w:r w:rsidR="00B84411">
        <w:rPr>
          <w:rFonts w:eastAsia="標楷體" w:hint="eastAsia"/>
          <w:sz w:val="24"/>
          <w:szCs w:val="24"/>
        </w:rPr>
        <w:t xml:space="preserve">; (2) </w:t>
      </w:r>
      <w:r w:rsidR="00206889">
        <w:rPr>
          <w:rFonts w:eastAsia="標楷體" w:hint="eastAsia"/>
          <w:sz w:val="24"/>
          <w:szCs w:val="24"/>
        </w:rPr>
        <w:t>several financial indicators</w:t>
      </w:r>
      <w:r w:rsidR="00A5599A">
        <w:rPr>
          <w:rFonts w:eastAsia="標楷體" w:hint="eastAsia"/>
          <w:sz w:val="24"/>
          <w:szCs w:val="24"/>
        </w:rPr>
        <w:t>, such as recent declines in the M2 annual growth rate and a gradual downtrend of the CBC</w:t>
      </w:r>
      <w:r w:rsidR="00A5599A">
        <w:rPr>
          <w:rFonts w:eastAsia="標楷體"/>
          <w:sz w:val="24"/>
          <w:szCs w:val="24"/>
        </w:rPr>
        <w:t>’</w:t>
      </w:r>
      <w:r w:rsidR="00A5599A">
        <w:rPr>
          <w:rFonts w:eastAsia="標楷體" w:hint="eastAsia"/>
          <w:sz w:val="24"/>
          <w:szCs w:val="24"/>
        </w:rPr>
        <w:t>s Financial Conditions Index after peaking in January, suggested domestic liquidity tightened compared to the beginning of this year; (3)</w:t>
      </w:r>
      <w:r w:rsidR="00CB2F9D">
        <w:rPr>
          <w:rFonts w:eastAsia="標楷體" w:hint="eastAsia"/>
          <w:sz w:val="24"/>
          <w:szCs w:val="24"/>
        </w:rPr>
        <w:t xml:space="preserve"> Taiwan</w:t>
      </w:r>
      <w:r w:rsidR="00CB2F9D">
        <w:rPr>
          <w:rFonts w:eastAsia="標楷體"/>
          <w:sz w:val="24"/>
          <w:szCs w:val="24"/>
        </w:rPr>
        <w:t>’</w:t>
      </w:r>
      <w:r w:rsidR="00CB2F9D">
        <w:rPr>
          <w:rFonts w:eastAsia="標楷體" w:hint="eastAsia"/>
          <w:sz w:val="24"/>
          <w:szCs w:val="24"/>
        </w:rPr>
        <w:t>s real interest rate, currently in negative territory, is expected to turn upwards next year as inflation eases, but its level in comparison with other economies would not</w:t>
      </w:r>
      <w:r w:rsidR="00C17772">
        <w:rPr>
          <w:rFonts w:eastAsia="標楷體" w:hint="eastAsia"/>
          <w:sz w:val="24"/>
          <w:szCs w:val="24"/>
        </w:rPr>
        <w:t xml:space="preserve"> stand </w:t>
      </w:r>
      <w:r w:rsidR="00F70751">
        <w:rPr>
          <w:rFonts w:eastAsia="標楷體" w:hint="eastAsia"/>
          <w:sz w:val="24"/>
          <w:szCs w:val="24"/>
        </w:rPr>
        <w:t>around the middle range</w:t>
      </w:r>
      <w:r w:rsidR="00C17772">
        <w:rPr>
          <w:rFonts w:eastAsia="標楷體" w:hint="eastAsia"/>
          <w:sz w:val="24"/>
          <w:szCs w:val="24"/>
        </w:rPr>
        <w:t xml:space="preserve"> if</w:t>
      </w:r>
      <w:r w:rsidR="0057459A">
        <w:rPr>
          <w:rFonts w:eastAsia="標楷體" w:hint="eastAsia"/>
          <w:sz w:val="24"/>
          <w:szCs w:val="24"/>
        </w:rPr>
        <w:t xml:space="preserve"> some of those economies raise policy rates</w:t>
      </w:r>
      <w:r w:rsidR="00C17772">
        <w:rPr>
          <w:rFonts w:eastAsia="標楷體" w:hint="eastAsia"/>
          <w:sz w:val="24"/>
          <w:szCs w:val="24"/>
        </w:rPr>
        <w:t xml:space="preserve"> as expected</w:t>
      </w:r>
      <w:r w:rsidR="00F70751">
        <w:rPr>
          <w:rFonts w:eastAsia="標楷體" w:hint="eastAsia"/>
          <w:sz w:val="24"/>
          <w:szCs w:val="24"/>
        </w:rPr>
        <w:t xml:space="preserve">.  </w:t>
      </w:r>
    </w:p>
    <w:p w:rsidR="006D2A56" w:rsidRDefault="00CB31CA" w:rsidP="004A0B7D">
      <w:pPr>
        <w:adjustRightInd/>
        <w:snapToGrid w:val="0"/>
        <w:spacing w:before="120" w:line="440" w:lineRule="exact"/>
        <w:ind w:firstLineChars="200" w:firstLine="480"/>
        <w:jc w:val="both"/>
        <w:textDirection w:val="lrTbV"/>
        <w:rPr>
          <w:rFonts w:eastAsia="標楷體"/>
          <w:sz w:val="24"/>
          <w:szCs w:val="24"/>
        </w:rPr>
      </w:pPr>
      <w:r>
        <w:rPr>
          <w:rFonts w:eastAsia="標楷體" w:hint="eastAsia"/>
          <w:sz w:val="24"/>
          <w:szCs w:val="24"/>
        </w:rPr>
        <w:t xml:space="preserve">Another </w:t>
      </w:r>
      <w:r w:rsidR="009A4BC6">
        <w:rPr>
          <w:rFonts w:eastAsia="標楷體" w:hint="eastAsia"/>
          <w:sz w:val="24"/>
          <w:szCs w:val="24"/>
        </w:rPr>
        <w:t>B</w:t>
      </w:r>
      <w:r>
        <w:rPr>
          <w:rFonts w:eastAsia="標楷體" w:hint="eastAsia"/>
          <w:sz w:val="24"/>
          <w:szCs w:val="24"/>
        </w:rPr>
        <w:t xml:space="preserve">oard </w:t>
      </w:r>
      <w:r w:rsidR="009A4BC6">
        <w:rPr>
          <w:rFonts w:eastAsia="標楷體" w:hint="eastAsia"/>
          <w:sz w:val="24"/>
          <w:szCs w:val="24"/>
        </w:rPr>
        <w:t>D</w:t>
      </w:r>
      <w:r>
        <w:rPr>
          <w:rFonts w:eastAsia="標楷體" w:hint="eastAsia"/>
          <w:sz w:val="24"/>
          <w:szCs w:val="24"/>
        </w:rPr>
        <w:t xml:space="preserve">irector </w:t>
      </w:r>
      <w:r w:rsidR="00ED691E">
        <w:rPr>
          <w:rFonts w:eastAsia="標楷體" w:hint="eastAsia"/>
          <w:sz w:val="24"/>
          <w:szCs w:val="24"/>
        </w:rPr>
        <w:t>added that, since the previous B</w:t>
      </w:r>
      <w:r>
        <w:rPr>
          <w:rFonts w:eastAsia="標楷體" w:hint="eastAsia"/>
          <w:sz w:val="24"/>
          <w:szCs w:val="24"/>
        </w:rPr>
        <w:t xml:space="preserve">oard meeting, </w:t>
      </w:r>
      <w:r w:rsidR="00A91B56">
        <w:rPr>
          <w:rFonts w:eastAsia="標楷體"/>
          <w:sz w:val="24"/>
          <w:szCs w:val="24"/>
        </w:rPr>
        <w:t>there ha</w:t>
      </w:r>
      <w:r w:rsidR="00A91B56">
        <w:rPr>
          <w:rFonts w:eastAsia="標楷體" w:hint="eastAsia"/>
          <w:sz w:val="24"/>
          <w:szCs w:val="24"/>
        </w:rPr>
        <w:t>ve</w:t>
      </w:r>
      <w:r w:rsidR="00A91B56">
        <w:rPr>
          <w:rFonts w:eastAsia="標楷體"/>
          <w:sz w:val="24"/>
          <w:szCs w:val="24"/>
        </w:rPr>
        <w:t xml:space="preserve"> been no drastic changes to the general environment </w:t>
      </w:r>
      <w:r w:rsidR="0042231F">
        <w:rPr>
          <w:rFonts w:eastAsia="標楷體" w:hint="eastAsia"/>
          <w:sz w:val="24"/>
          <w:szCs w:val="24"/>
        </w:rPr>
        <w:t>besides</w:t>
      </w:r>
      <w:r w:rsidR="00A91B56">
        <w:rPr>
          <w:rFonts w:eastAsia="標楷體" w:hint="eastAsia"/>
          <w:sz w:val="24"/>
          <w:szCs w:val="24"/>
        </w:rPr>
        <w:t xml:space="preserve"> another quarter</w:t>
      </w:r>
      <w:r w:rsidR="0042231F">
        <w:rPr>
          <w:rFonts w:eastAsia="標楷體" w:hint="eastAsia"/>
          <w:sz w:val="24"/>
          <w:szCs w:val="24"/>
        </w:rPr>
        <w:t>-</w:t>
      </w:r>
      <w:r w:rsidR="00A91B56">
        <w:rPr>
          <w:rFonts w:eastAsia="標楷體" w:hint="eastAsia"/>
          <w:sz w:val="24"/>
          <w:szCs w:val="24"/>
        </w:rPr>
        <w:t xml:space="preserve">point </w:t>
      </w:r>
      <w:r w:rsidR="0042231F">
        <w:rPr>
          <w:rFonts w:eastAsia="標楷體" w:hint="eastAsia"/>
          <w:sz w:val="24"/>
          <w:szCs w:val="24"/>
        </w:rPr>
        <w:t xml:space="preserve">rate hike by the Fed, warranting a wait-and-see approach while holding the policy rate unchanged. </w:t>
      </w:r>
      <w:r w:rsidR="00081CFB">
        <w:rPr>
          <w:rFonts w:eastAsia="標楷體" w:hint="eastAsia"/>
          <w:sz w:val="24"/>
          <w:szCs w:val="24"/>
        </w:rPr>
        <w:t xml:space="preserve">In the upcoming quarter or the next six months, </w:t>
      </w:r>
      <w:r w:rsidR="00553289">
        <w:rPr>
          <w:rFonts w:eastAsia="標楷體" w:hint="eastAsia"/>
          <w:sz w:val="24"/>
          <w:szCs w:val="24"/>
        </w:rPr>
        <w:t xml:space="preserve">the </w:t>
      </w:r>
      <w:r w:rsidR="009A4BC6">
        <w:rPr>
          <w:rFonts w:eastAsia="標楷體" w:hint="eastAsia"/>
          <w:sz w:val="24"/>
          <w:szCs w:val="24"/>
        </w:rPr>
        <w:t>B</w:t>
      </w:r>
      <w:r w:rsidR="0042231F">
        <w:rPr>
          <w:rFonts w:eastAsia="標楷體" w:hint="eastAsia"/>
          <w:sz w:val="24"/>
          <w:szCs w:val="24"/>
        </w:rPr>
        <w:t xml:space="preserve">oard </w:t>
      </w:r>
      <w:r w:rsidR="00081CFB">
        <w:rPr>
          <w:rFonts w:eastAsia="標楷體" w:hint="eastAsia"/>
          <w:sz w:val="24"/>
          <w:szCs w:val="24"/>
        </w:rPr>
        <w:t>may need to be prepared for careful deliberation on whether to adjust the policy rate. This director presented three viewpoints</w:t>
      </w:r>
      <w:r w:rsidR="00EA2D3B">
        <w:rPr>
          <w:rFonts w:eastAsia="標楷體" w:hint="eastAsia"/>
          <w:sz w:val="24"/>
          <w:szCs w:val="24"/>
        </w:rPr>
        <w:t>.</w:t>
      </w:r>
      <w:r w:rsidR="00081CFB">
        <w:rPr>
          <w:rFonts w:eastAsia="標楷體" w:hint="eastAsia"/>
          <w:sz w:val="24"/>
          <w:szCs w:val="24"/>
        </w:rPr>
        <w:t xml:space="preserve"> </w:t>
      </w:r>
      <w:r w:rsidR="00EA2D3B">
        <w:rPr>
          <w:rFonts w:eastAsia="標楷體" w:hint="eastAsia"/>
          <w:sz w:val="24"/>
          <w:szCs w:val="24"/>
        </w:rPr>
        <w:t>First,</w:t>
      </w:r>
      <w:r w:rsidR="003D2B8D">
        <w:rPr>
          <w:rFonts w:eastAsia="標楷體" w:hint="eastAsia"/>
          <w:sz w:val="24"/>
          <w:szCs w:val="24"/>
        </w:rPr>
        <w:t xml:space="preserve"> </w:t>
      </w:r>
      <w:r w:rsidR="005F7443">
        <w:rPr>
          <w:rFonts w:eastAsia="標楷體" w:hint="eastAsia"/>
          <w:sz w:val="24"/>
          <w:szCs w:val="24"/>
        </w:rPr>
        <w:t>a prolonged low interest rate is not entirely positive to the longer-term economic development considering the interplay between interest rates and prices</w:t>
      </w:r>
      <w:r w:rsidR="00EA2D3B">
        <w:rPr>
          <w:rFonts w:eastAsia="標楷體" w:hint="eastAsia"/>
          <w:sz w:val="24"/>
          <w:szCs w:val="24"/>
        </w:rPr>
        <w:t>. Second,</w:t>
      </w:r>
      <w:r w:rsidR="005F7443">
        <w:rPr>
          <w:rFonts w:eastAsia="標楷體" w:hint="eastAsia"/>
          <w:sz w:val="24"/>
          <w:szCs w:val="24"/>
        </w:rPr>
        <w:t xml:space="preserve"> it is advis</w:t>
      </w:r>
      <w:r w:rsidR="00940BE1">
        <w:rPr>
          <w:rFonts w:eastAsia="標楷體" w:hint="eastAsia"/>
          <w:sz w:val="24"/>
          <w:szCs w:val="24"/>
        </w:rPr>
        <w:t>able</w:t>
      </w:r>
      <w:r w:rsidR="005F7443">
        <w:rPr>
          <w:rFonts w:eastAsia="標楷體" w:hint="eastAsia"/>
          <w:sz w:val="24"/>
          <w:szCs w:val="24"/>
        </w:rPr>
        <w:t xml:space="preserve"> to </w:t>
      </w:r>
      <w:r w:rsidR="007C71DB">
        <w:rPr>
          <w:rFonts w:eastAsia="標楷體" w:hint="eastAsia"/>
          <w:sz w:val="24"/>
          <w:szCs w:val="24"/>
        </w:rPr>
        <w:t xml:space="preserve">monitor and </w:t>
      </w:r>
      <w:r w:rsidR="005F7443">
        <w:rPr>
          <w:rFonts w:eastAsia="標楷體" w:hint="eastAsia"/>
          <w:sz w:val="24"/>
          <w:szCs w:val="24"/>
        </w:rPr>
        <w:t xml:space="preserve">assess </w:t>
      </w:r>
      <w:r w:rsidR="007C71DB">
        <w:rPr>
          <w:rFonts w:eastAsia="標楷體" w:hint="eastAsia"/>
          <w:sz w:val="24"/>
          <w:szCs w:val="24"/>
        </w:rPr>
        <w:t xml:space="preserve">policy rate paths of major economies. </w:t>
      </w:r>
      <w:r w:rsidR="007C71DB">
        <w:rPr>
          <w:rFonts w:eastAsia="標楷體"/>
          <w:sz w:val="24"/>
          <w:szCs w:val="24"/>
        </w:rPr>
        <w:t>O</w:t>
      </w:r>
      <w:r w:rsidR="007C71DB">
        <w:rPr>
          <w:rFonts w:eastAsia="標楷體" w:hint="eastAsia"/>
          <w:sz w:val="24"/>
          <w:szCs w:val="24"/>
        </w:rPr>
        <w:t xml:space="preserve">n the one hand, </w:t>
      </w:r>
      <w:r w:rsidR="004A0B7D">
        <w:rPr>
          <w:rFonts w:eastAsia="標楷體" w:hint="eastAsia"/>
          <w:sz w:val="24"/>
          <w:szCs w:val="24"/>
        </w:rPr>
        <w:t>to navigate</w:t>
      </w:r>
      <w:r w:rsidR="00940BE1">
        <w:rPr>
          <w:rFonts w:eastAsia="標楷體" w:hint="eastAsia"/>
          <w:sz w:val="24"/>
          <w:szCs w:val="24"/>
        </w:rPr>
        <w:t xml:space="preserve"> safely in the</w:t>
      </w:r>
      <w:r w:rsidR="004A0B7D">
        <w:rPr>
          <w:rFonts w:eastAsia="標楷體" w:hint="eastAsia"/>
          <w:sz w:val="24"/>
          <w:szCs w:val="24"/>
        </w:rPr>
        <w:t xml:space="preserve"> sea of international </w:t>
      </w:r>
      <w:r w:rsidR="004A0B7D">
        <w:rPr>
          <w:rFonts w:eastAsia="標楷體"/>
          <w:sz w:val="24"/>
          <w:szCs w:val="24"/>
        </w:rPr>
        <w:t>economic</w:t>
      </w:r>
      <w:r w:rsidR="004A0B7D">
        <w:rPr>
          <w:rFonts w:eastAsia="標楷體" w:hint="eastAsia"/>
          <w:sz w:val="24"/>
          <w:szCs w:val="24"/>
        </w:rPr>
        <w:t xml:space="preserve"> and financial </w:t>
      </w:r>
      <w:r w:rsidR="007C3777">
        <w:rPr>
          <w:rFonts w:eastAsia="標楷體" w:hint="eastAsia"/>
          <w:sz w:val="24"/>
          <w:szCs w:val="24"/>
        </w:rPr>
        <w:t>developments, it seemed proper for a small boat like T</w:t>
      </w:r>
      <w:r w:rsidR="007C3777">
        <w:rPr>
          <w:rFonts w:eastAsia="標楷體"/>
          <w:sz w:val="24"/>
          <w:szCs w:val="24"/>
        </w:rPr>
        <w:t>a</w:t>
      </w:r>
      <w:r w:rsidR="007C3777">
        <w:rPr>
          <w:rFonts w:eastAsia="標楷體" w:hint="eastAsia"/>
          <w:sz w:val="24"/>
          <w:szCs w:val="24"/>
        </w:rPr>
        <w:t xml:space="preserve">iwan to hold position in monetary policy when aircraft carrier-sized economies such as the euro area, Japan, and China kept their policy rates unchanged. However, the ECB and the </w:t>
      </w:r>
      <w:proofErr w:type="spellStart"/>
      <w:r w:rsidR="007C3777">
        <w:rPr>
          <w:rFonts w:eastAsia="標楷體" w:hint="eastAsia"/>
          <w:sz w:val="24"/>
          <w:szCs w:val="24"/>
        </w:rPr>
        <w:t>BoJ</w:t>
      </w:r>
      <w:proofErr w:type="spellEnd"/>
      <w:r w:rsidR="007C3777">
        <w:rPr>
          <w:rFonts w:eastAsia="標楷體" w:hint="eastAsia"/>
          <w:sz w:val="24"/>
          <w:szCs w:val="24"/>
        </w:rPr>
        <w:t xml:space="preserve"> had their respective country-specific rationales and the </w:t>
      </w:r>
      <w:proofErr w:type="spellStart"/>
      <w:r w:rsidR="007C3777">
        <w:rPr>
          <w:rFonts w:eastAsia="標楷體" w:hint="eastAsia"/>
          <w:sz w:val="24"/>
          <w:szCs w:val="24"/>
        </w:rPr>
        <w:t>PBoC</w:t>
      </w:r>
      <w:proofErr w:type="spellEnd"/>
      <w:r w:rsidR="007C3777">
        <w:rPr>
          <w:rFonts w:eastAsia="標楷體" w:hint="eastAsia"/>
          <w:sz w:val="24"/>
          <w:szCs w:val="24"/>
        </w:rPr>
        <w:t>, as well as the Bank of Korea, already had higher rates than Taiwan</w:t>
      </w:r>
      <w:r w:rsidR="007C3777">
        <w:rPr>
          <w:rFonts w:eastAsia="標楷體"/>
          <w:sz w:val="24"/>
          <w:szCs w:val="24"/>
        </w:rPr>
        <w:t>’</w:t>
      </w:r>
      <w:r w:rsidR="007C3777">
        <w:rPr>
          <w:rFonts w:eastAsia="標楷體" w:hint="eastAsia"/>
          <w:sz w:val="24"/>
          <w:szCs w:val="24"/>
        </w:rPr>
        <w:t xml:space="preserve">s. Moreover, besides the US Fed, the Bank of England also raised the policy rate just recently. </w:t>
      </w:r>
      <w:r w:rsidR="00EA2D3B">
        <w:rPr>
          <w:rFonts w:eastAsia="標楷體" w:hint="eastAsia"/>
          <w:sz w:val="24"/>
          <w:szCs w:val="24"/>
        </w:rPr>
        <w:t xml:space="preserve">Third, </w:t>
      </w:r>
      <w:r w:rsidR="00382DF1">
        <w:rPr>
          <w:rFonts w:eastAsia="標楷體" w:hint="eastAsia"/>
          <w:sz w:val="24"/>
          <w:szCs w:val="24"/>
        </w:rPr>
        <w:t>the monthly figures of the CPI annual growth rate registered above 1.5%</w:t>
      </w:r>
      <w:r w:rsidR="005402A3">
        <w:rPr>
          <w:rFonts w:eastAsia="標楷體" w:hint="eastAsia"/>
          <w:sz w:val="24"/>
          <w:szCs w:val="24"/>
        </w:rPr>
        <w:t>, albeit below 2%,</w:t>
      </w:r>
      <w:r w:rsidR="00382DF1">
        <w:rPr>
          <w:rFonts w:eastAsia="標楷體" w:hint="eastAsia"/>
          <w:sz w:val="24"/>
          <w:szCs w:val="24"/>
        </w:rPr>
        <w:t xml:space="preserve"> for eight consecutive months so far </w:t>
      </w:r>
      <w:r w:rsidR="005402A3">
        <w:rPr>
          <w:rFonts w:eastAsia="標楷體" w:hint="eastAsia"/>
          <w:sz w:val="24"/>
          <w:szCs w:val="24"/>
        </w:rPr>
        <w:t>this year, a trend rarely seen in many years. It is thus important to closely monitor inflation and changes in the real intere</w:t>
      </w:r>
      <w:r w:rsidR="00D74377">
        <w:rPr>
          <w:rFonts w:eastAsia="標楷體" w:hint="eastAsia"/>
          <w:sz w:val="24"/>
          <w:szCs w:val="24"/>
        </w:rPr>
        <w:t xml:space="preserve">st rate. Another </w:t>
      </w:r>
      <w:r w:rsidR="009A4BC6">
        <w:rPr>
          <w:rFonts w:eastAsia="標楷體" w:hint="eastAsia"/>
          <w:sz w:val="24"/>
          <w:szCs w:val="24"/>
        </w:rPr>
        <w:t>B</w:t>
      </w:r>
      <w:r w:rsidR="00D74377">
        <w:rPr>
          <w:rFonts w:eastAsia="標楷體" w:hint="eastAsia"/>
          <w:sz w:val="24"/>
          <w:szCs w:val="24"/>
        </w:rPr>
        <w:t xml:space="preserve">oard </w:t>
      </w:r>
      <w:r w:rsidR="009A4BC6">
        <w:rPr>
          <w:rFonts w:eastAsia="標楷體" w:hint="eastAsia"/>
          <w:sz w:val="24"/>
          <w:szCs w:val="24"/>
        </w:rPr>
        <w:t>D</w:t>
      </w:r>
      <w:r w:rsidR="00D74377">
        <w:rPr>
          <w:rFonts w:eastAsia="標楷體" w:hint="eastAsia"/>
          <w:sz w:val="24"/>
          <w:szCs w:val="24"/>
        </w:rPr>
        <w:t>ire</w:t>
      </w:r>
      <w:r w:rsidR="006D2A56">
        <w:rPr>
          <w:rFonts w:eastAsia="標楷體" w:hint="eastAsia"/>
          <w:sz w:val="24"/>
          <w:szCs w:val="24"/>
        </w:rPr>
        <w:t xml:space="preserve">ctor noted that, in response to the global financial crisis, </w:t>
      </w:r>
      <w:r w:rsidR="00D74377">
        <w:rPr>
          <w:rFonts w:eastAsia="標楷體" w:hint="eastAsia"/>
          <w:sz w:val="24"/>
          <w:szCs w:val="24"/>
        </w:rPr>
        <w:t xml:space="preserve">major economies such as the US, the euro area, and Japan adopted quantitative easing (QE) or </w:t>
      </w:r>
      <w:r w:rsidR="00D74377" w:rsidRPr="00D74377">
        <w:rPr>
          <w:rFonts w:eastAsia="標楷體"/>
          <w:sz w:val="24"/>
          <w:szCs w:val="24"/>
        </w:rPr>
        <w:t>quantitative and qualitative easing</w:t>
      </w:r>
      <w:r w:rsidR="00D74377">
        <w:rPr>
          <w:rFonts w:eastAsia="標楷體" w:hint="eastAsia"/>
          <w:sz w:val="24"/>
          <w:szCs w:val="24"/>
        </w:rPr>
        <w:t xml:space="preserve"> (QQE)</w:t>
      </w:r>
      <w:r w:rsidR="006D2A56">
        <w:rPr>
          <w:rFonts w:eastAsia="標楷體" w:hint="eastAsia"/>
          <w:sz w:val="24"/>
          <w:szCs w:val="24"/>
        </w:rPr>
        <w:t xml:space="preserve"> and zero or negative nominal rate policy;</w:t>
      </w:r>
      <w:r w:rsidR="006D2A56" w:rsidRPr="003C2E14">
        <w:rPr>
          <w:rFonts w:eastAsia="標楷體" w:hint="eastAsia"/>
          <w:sz w:val="24"/>
          <w:szCs w:val="24"/>
        </w:rPr>
        <w:t xml:space="preserve"> </w:t>
      </w:r>
      <w:r w:rsidR="006D2A56">
        <w:rPr>
          <w:rFonts w:eastAsia="標楷體" w:hint="eastAsia"/>
          <w:sz w:val="24"/>
          <w:szCs w:val="24"/>
        </w:rPr>
        <w:t xml:space="preserve">in that sense, monetary policy normalization refers to exiting QE or QQE and taking the nominal policy rates </w:t>
      </w:r>
      <w:r w:rsidR="006D2A56">
        <w:rPr>
          <w:rFonts w:eastAsia="標楷體"/>
          <w:sz w:val="24"/>
          <w:szCs w:val="24"/>
        </w:rPr>
        <w:t>back</w:t>
      </w:r>
      <w:r w:rsidR="006D2A56">
        <w:rPr>
          <w:rFonts w:eastAsia="標楷體" w:hint="eastAsia"/>
          <w:sz w:val="24"/>
          <w:szCs w:val="24"/>
        </w:rPr>
        <w:t xml:space="preserve"> to the positive territory. Since T</w:t>
      </w:r>
      <w:r w:rsidR="006D2A56">
        <w:rPr>
          <w:rFonts w:eastAsia="標楷體"/>
          <w:sz w:val="24"/>
          <w:szCs w:val="24"/>
        </w:rPr>
        <w:t>a</w:t>
      </w:r>
      <w:r w:rsidR="006D2A56">
        <w:rPr>
          <w:rFonts w:eastAsia="標楷體" w:hint="eastAsia"/>
          <w:sz w:val="24"/>
          <w:szCs w:val="24"/>
        </w:rPr>
        <w:t xml:space="preserve">iwan did not implement these unconventional instruments, there </w:t>
      </w:r>
      <w:r w:rsidR="00AF35B7">
        <w:rPr>
          <w:rFonts w:eastAsia="標楷體" w:hint="eastAsia"/>
          <w:sz w:val="24"/>
          <w:szCs w:val="24"/>
        </w:rPr>
        <w:t>was</w:t>
      </w:r>
      <w:r w:rsidR="006D2A56">
        <w:rPr>
          <w:rFonts w:eastAsia="標楷體" w:hint="eastAsia"/>
          <w:sz w:val="24"/>
          <w:szCs w:val="24"/>
        </w:rPr>
        <w:t xml:space="preserve"> no need for Taiwan to </w:t>
      </w:r>
      <w:r w:rsidR="006D2A56">
        <w:rPr>
          <w:rFonts w:eastAsia="標楷體"/>
          <w:sz w:val="24"/>
          <w:szCs w:val="24"/>
        </w:rPr>
        <w:t>“</w:t>
      </w:r>
      <w:r w:rsidR="006D2A56">
        <w:rPr>
          <w:rFonts w:eastAsia="標楷體" w:hint="eastAsia"/>
          <w:sz w:val="24"/>
          <w:szCs w:val="24"/>
        </w:rPr>
        <w:t>normalize</w:t>
      </w:r>
      <w:r w:rsidR="006D2A56">
        <w:rPr>
          <w:rFonts w:eastAsia="標楷體"/>
          <w:sz w:val="24"/>
          <w:szCs w:val="24"/>
        </w:rPr>
        <w:t>”</w:t>
      </w:r>
      <w:r w:rsidR="006D2A56">
        <w:rPr>
          <w:rFonts w:eastAsia="標楷體" w:hint="eastAsia"/>
          <w:sz w:val="24"/>
          <w:szCs w:val="24"/>
        </w:rPr>
        <w:t xml:space="preserve"> its monetary policy.  </w:t>
      </w:r>
    </w:p>
    <w:p w:rsidR="00CB39D2" w:rsidRDefault="00175A07" w:rsidP="00CE181D">
      <w:pPr>
        <w:adjustRightInd/>
        <w:snapToGrid w:val="0"/>
        <w:spacing w:before="120" w:line="440" w:lineRule="exact"/>
        <w:ind w:firstLineChars="200" w:firstLine="480"/>
        <w:jc w:val="both"/>
        <w:textDirection w:val="lrTbV"/>
        <w:rPr>
          <w:rFonts w:eastAsia="標楷體"/>
          <w:sz w:val="24"/>
          <w:szCs w:val="24"/>
        </w:rPr>
      </w:pPr>
      <w:r w:rsidRPr="00CC0493">
        <w:rPr>
          <w:rFonts w:eastAsia="標楷體" w:hint="eastAsia"/>
          <w:sz w:val="24"/>
          <w:szCs w:val="24"/>
        </w:rPr>
        <w:t xml:space="preserve">Another </w:t>
      </w:r>
      <w:r w:rsidR="009A4BC6">
        <w:rPr>
          <w:rFonts w:eastAsia="標楷體" w:hint="eastAsia"/>
          <w:sz w:val="24"/>
          <w:szCs w:val="24"/>
        </w:rPr>
        <w:t>B</w:t>
      </w:r>
      <w:r w:rsidRPr="00CC0493">
        <w:rPr>
          <w:rFonts w:eastAsia="標楷體" w:hint="eastAsia"/>
          <w:sz w:val="24"/>
          <w:szCs w:val="24"/>
        </w:rPr>
        <w:t xml:space="preserve">oard </w:t>
      </w:r>
      <w:r w:rsidR="009A4BC6">
        <w:rPr>
          <w:rFonts w:eastAsia="標楷體" w:hint="eastAsia"/>
          <w:sz w:val="24"/>
          <w:szCs w:val="24"/>
        </w:rPr>
        <w:t>D</w:t>
      </w:r>
      <w:r w:rsidRPr="00CC0493">
        <w:rPr>
          <w:rFonts w:eastAsia="標楷體" w:hint="eastAsia"/>
          <w:sz w:val="24"/>
          <w:szCs w:val="24"/>
        </w:rPr>
        <w:t>irector also favored a rate hold</w:t>
      </w:r>
      <w:r w:rsidR="00AF35B7">
        <w:rPr>
          <w:rFonts w:eastAsia="標楷體" w:hint="eastAsia"/>
          <w:sz w:val="24"/>
          <w:szCs w:val="24"/>
        </w:rPr>
        <w:t xml:space="preserve">, adding that a rate decision that would surprise the market </w:t>
      </w:r>
      <w:r w:rsidR="00CB39D2">
        <w:rPr>
          <w:rFonts w:eastAsia="標楷體" w:hint="eastAsia"/>
          <w:sz w:val="24"/>
          <w:szCs w:val="24"/>
        </w:rPr>
        <w:t>seemed</w:t>
      </w:r>
      <w:r w:rsidR="00AF35B7">
        <w:rPr>
          <w:rFonts w:eastAsia="標楷體" w:hint="eastAsia"/>
          <w:sz w:val="24"/>
          <w:szCs w:val="24"/>
        </w:rPr>
        <w:t xml:space="preserve"> unnecessary. Nevertheless, because the interest rate h</w:t>
      </w:r>
      <w:r w:rsidR="00BE33BA">
        <w:rPr>
          <w:rFonts w:eastAsia="標楷體" w:hint="eastAsia"/>
          <w:sz w:val="24"/>
          <w:szCs w:val="24"/>
        </w:rPr>
        <w:t>as stayed low</w:t>
      </w:r>
      <w:r w:rsidR="00F93EF2">
        <w:rPr>
          <w:rFonts w:eastAsia="標楷體" w:hint="eastAsia"/>
          <w:sz w:val="24"/>
          <w:szCs w:val="24"/>
        </w:rPr>
        <w:t xml:space="preserve"> for </w:t>
      </w:r>
      <w:r w:rsidR="0015762D">
        <w:rPr>
          <w:rFonts w:eastAsia="標楷體" w:hint="eastAsia"/>
          <w:sz w:val="24"/>
          <w:szCs w:val="24"/>
        </w:rPr>
        <w:t>quite a while</w:t>
      </w:r>
      <w:r w:rsidR="00F93EF2">
        <w:rPr>
          <w:rFonts w:eastAsia="標楷體" w:hint="eastAsia"/>
          <w:sz w:val="24"/>
          <w:szCs w:val="24"/>
        </w:rPr>
        <w:t xml:space="preserve">, the CBC </w:t>
      </w:r>
      <w:r w:rsidR="00CB39D2">
        <w:rPr>
          <w:rFonts w:eastAsia="標楷體" w:hint="eastAsia"/>
          <w:sz w:val="24"/>
          <w:szCs w:val="24"/>
        </w:rPr>
        <w:t>may</w:t>
      </w:r>
      <w:r w:rsidR="00F93EF2">
        <w:rPr>
          <w:rFonts w:eastAsia="標楷體" w:hint="eastAsia"/>
          <w:sz w:val="24"/>
          <w:szCs w:val="24"/>
        </w:rPr>
        <w:t xml:space="preserve"> try to communicate to the public</w:t>
      </w:r>
      <w:r w:rsidR="008E4045">
        <w:rPr>
          <w:rFonts w:eastAsia="標楷體" w:hint="eastAsia"/>
          <w:sz w:val="24"/>
          <w:szCs w:val="24"/>
        </w:rPr>
        <w:t xml:space="preserve"> that there </w:t>
      </w:r>
      <w:r w:rsidR="00CB39D2">
        <w:rPr>
          <w:rFonts w:eastAsia="標楷體" w:hint="eastAsia"/>
          <w:sz w:val="24"/>
          <w:szCs w:val="24"/>
        </w:rPr>
        <w:t>could</w:t>
      </w:r>
      <w:r w:rsidR="008E4045">
        <w:rPr>
          <w:rFonts w:eastAsia="標楷體" w:hint="eastAsia"/>
          <w:sz w:val="24"/>
          <w:szCs w:val="24"/>
        </w:rPr>
        <w:t xml:space="preserve"> be </w:t>
      </w:r>
      <w:r w:rsidR="00F93EF2">
        <w:rPr>
          <w:rFonts w:eastAsia="標楷體" w:hint="eastAsia"/>
          <w:sz w:val="24"/>
          <w:szCs w:val="24"/>
        </w:rPr>
        <w:t xml:space="preserve">rate adjustments </w:t>
      </w:r>
      <w:r w:rsidR="008E4045">
        <w:rPr>
          <w:rFonts w:eastAsia="標楷體" w:hint="eastAsia"/>
          <w:sz w:val="24"/>
          <w:szCs w:val="24"/>
        </w:rPr>
        <w:t xml:space="preserve">perhaps in the foreseeable future. </w:t>
      </w:r>
      <w:r w:rsidR="00CB39D2">
        <w:rPr>
          <w:rFonts w:eastAsia="標楷體" w:hint="eastAsia"/>
          <w:sz w:val="24"/>
          <w:szCs w:val="24"/>
        </w:rPr>
        <w:t xml:space="preserve">The CBC might also need to communicate to the market that, in addition to the business cycle outlook, inflation, and the output gap, a broad range of factors, such as financial conditions, the effect of import prices on inflation expectations, etc., are taken into account </w:t>
      </w:r>
      <w:r w:rsidR="00CE181D">
        <w:rPr>
          <w:rFonts w:eastAsia="標楷體" w:hint="eastAsia"/>
          <w:sz w:val="24"/>
          <w:szCs w:val="24"/>
        </w:rPr>
        <w:t>during</w:t>
      </w:r>
      <w:r w:rsidR="001055E6">
        <w:rPr>
          <w:rFonts w:eastAsia="標楷體" w:hint="eastAsia"/>
          <w:sz w:val="24"/>
          <w:szCs w:val="24"/>
        </w:rPr>
        <w:t xml:space="preserve"> monetary policy decision-making. </w:t>
      </w:r>
      <w:r w:rsidR="00CE181D">
        <w:rPr>
          <w:rFonts w:eastAsia="標楷體" w:hint="eastAsia"/>
          <w:sz w:val="24"/>
          <w:szCs w:val="24"/>
        </w:rPr>
        <w:t>In this way, the general public would gradually become more aware of how the CBC</w:t>
      </w:r>
      <w:r w:rsidR="00CE181D">
        <w:rPr>
          <w:rFonts w:eastAsia="標楷體"/>
          <w:sz w:val="24"/>
          <w:szCs w:val="24"/>
        </w:rPr>
        <w:t>’</w:t>
      </w:r>
      <w:r w:rsidR="00CE181D">
        <w:rPr>
          <w:rFonts w:eastAsia="標楷體" w:hint="eastAsia"/>
          <w:sz w:val="24"/>
          <w:szCs w:val="24"/>
        </w:rPr>
        <w:t xml:space="preserve">s policy is based on a </w:t>
      </w:r>
      <w:r w:rsidR="00CE181D">
        <w:rPr>
          <w:rFonts w:eastAsia="標楷體"/>
          <w:sz w:val="24"/>
          <w:szCs w:val="24"/>
        </w:rPr>
        <w:t>variety</w:t>
      </w:r>
      <w:r w:rsidR="00CE181D">
        <w:rPr>
          <w:rFonts w:eastAsia="標楷體" w:hint="eastAsia"/>
          <w:sz w:val="24"/>
          <w:szCs w:val="24"/>
        </w:rPr>
        <w:t xml:space="preserve"> of considerations, thereby affecting the public</w:t>
      </w:r>
      <w:r w:rsidR="00CE181D">
        <w:rPr>
          <w:rFonts w:eastAsia="標楷體"/>
          <w:sz w:val="24"/>
          <w:szCs w:val="24"/>
        </w:rPr>
        <w:t>’</w:t>
      </w:r>
      <w:r w:rsidR="00CE181D">
        <w:rPr>
          <w:rFonts w:eastAsia="標楷體" w:hint="eastAsia"/>
          <w:sz w:val="24"/>
          <w:szCs w:val="24"/>
        </w:rPr>
        <w:t xml:space="preserve">s monetary policy expectation. </w:t>
      </w:r>
    </w:p>
    <w:p w:rsidR="003F3030" w:rsidRDefault="00ED691E" w:rsidP="00175A07">
      <w:pPr>
        <w:adjustRightInd/>
        <w:snapToGrid w:val="0"/>
        <w:spacing w:before="120" w:line="440" w:lineRule="exact"/>
        <w:ind w:firstLineChars="200" w:firstLine="480"/>
        <w:jc w:val="both"/>
        <w:textDirection w:val="lrTbV"/>
        <w:rPr>
          <w:rFonts w:eastAsia="標楷體"/>
          <w:sz w:val="24"/>
          <w:szCs w:val="24"/>
        </w:rPr>
      </w:pPr>
      <w:r>
        <w:rPr>
          <w:rFonts w:eastAsia="標楷體" w:hint="eastAsia"/>
          <w:sz w:val="24"/>
          <w:szCs w:val="24"/>
        </w:rPr>
        <w:t>One B</w:t>
      </w:r>
      <w:r w:rsidR="00A22071">
        <w:rPr>
          <w:rFonts w:eastAsia="標楷體" w:hint="eastAsia"/>
          <w:sz w:val="24"/>
          <w:szCs w:val="24"/>
        </w:rPr>
        <w:t xml:space="preserve">oard </w:t>
      </w:r>
      <w:r>
        <w:rPr>
          <w:rFonts w:eastAsia="標楷體" w:hint="eastAsia"/>
          <w:sz w:val="24"/>
          <w:szCs w:val="24"/>
        </w:rPr>
        <w:t>S</w:t>
      </w:r>
      <w:r w:rsidR="00A22071">
        <w:rPr>
          <w:rFonts w:eastAsia="標楷體" w:hint="eastAsia"/>
          <w:sz w:val="24"/>
          <w:szCs w:val="24"/>
        </w:rPr>
        <w:t xml:space="preserve">upervisor pointed out that rate change deliberation involves many </w:t>
      </w:r>
      <w:r w:rsidR="00B2371C">
        <w:rPr>
          <w:rFonts w:eastAsia="標楷體" w:hint="eastAsia"/>
          <w:sz w:val="24"/>
          <w:szCs w:val="24"/>
        </w:rPr>
        <w:t>aspects, especially inflation, eco</w:t>
      </w:r>
      <w:r w:rsidR="00CC2910">
        <w:rPr>
          <w:rFonts w:eastAsia="標楷體" w:hint="eastAsia"/>
          <w:sz w:val="24"/>
          <w:szCs w:val="24"/>
        </w:rPr>
        <w:t xml:space="preserve">nomic growth, and exchange rates; moreover, exchange rates movements and interest rate policy also have implications for economic growth. </w:t>
      </w:r>
      <w:r w:rsidR="003F3030">
        <w:rPr>
          <w:rFonts w:eastAsia="標楷體" w:hint="eastAsia"/>
          <w:sz w:val="24"/>
          <w:szCs w:val="24"/>
        </w:rPr>
        <w:t xml:space="preserve">At the moment, though, a rate hike would immediately impact investment and financial markets (domestic stock and foreign exchange markets). The impact could be amplified if the rate hike is perceived to be in contrast to market expectation given the current </w:t>
      </w:r>
      <w:r w:rsidR="003F3030">
        <w:rPr>
          <w:rFonts w:eastAsia="標楷體"/>
          <w:sz w:val="24"/>
          <w:szCs w:val="24"/>
        </w:rPr>
        <w:t>economic</w:t>
      </w:r>
      <w:r w:rsidR="003F3030">
        <w:rPr>
          <w:rFonts w:eastAsia="標楷體" w:hint="eastAsia"/>
          <w:sz w:val="24"/>
          <w:szCs w:val="24"/>
        </w:rPr>
        <w:t xml:space="preserve"> situation and a softer economic outlook. In this view, a rate hold would be appropriate. </w:t>
      </w:r>
    </w:p>
    <w:p w:rsidR="003F3030" w:rsidRDefault="003F3030" w:rsidP="009A15AB">
      <w:pPr>
        <w:adjustRightInd/>
        <w:snapToGrid w:val="0"/>
        <w:spacing w:before="120" w:line="440" w:lineRule="exact"/>
        <w:ind w:firstLineChars="200" w:firstLine="480"/>
        <w:jc w:val="both"/>
        <w:textDirection w:val="lrTbV"/>
        <w:rPr>
          <w:rFonts w:eastAsia="標楷體"/>
          <w:sz w:val="24"/>
          <w:szCs w:val="24"/>
        </w:rPr>
      </w:pPr>
      <w:r>
        <w:rPr>
          <w:rFonts w:eastAsia="標楷體"/>
          <w:sz w:val="24"/>
          <w:szCs w:val="24"/>
        </w:rPr>
        <w:t>S</w:t>
      </w:r>
      <w:r>
        <w:rPr>
          <w:rFonts w:eastAsia="標楷體" w:hint="eastAsia"/>
          <w:sz w:val="24"/>
          <w:szCs w:val="24"/>
        </w:rPr>
        <w:t xml:space="preserve">everal </w:t>
      </w:r>
      <w:r w:rsidR="009A4BC6">
        <w:rPr>
          <w:rFonts w:eastAsia="標楷體" w:hint="eastAsia"/>
          <w:sz w:val="24"/>
          <w:szCs w:val="24"/>
        </w:rPr>
        <w:t>B</w:t>
      </w:r>
      <w:r>
        <w:rPr>
          <w:rFonts w:eastAsia="標楷體" w:hint="eastAsia"/>
          <w:sz w:val="24"/>
          <w:szCs w:val="24"/>
        </w:rPr>
        <w:t xml:space="preserve">oard </w:t>
      </w:r>
      <w:r w:rsidR="009A4BC6">
        <w:rPr>
          <w:rFonts w:eastAsia="標楷體" w:hint="eastAsia"/>
          <w:sz w:val="24"/>
          <w:szCs w:val="24"/>
        </w:rPr>
        <w:t>D</w:t>
      </w:r>
      <w:r>
        <w:rPr>
          <w:rFonts w:eastAsia="標楷體" w:hint="eastAsia"/>
          <w:sz w:val="24"/>
          <w:szCs w:val="24"/>
        </w:rPr>
        <w:t xml:space="preserve">irectors </w:t>
      </w:r>
      <w:r w:rsidR="00E53D06">
        <w:rPr>
          <w:rFonts w:eastAsia="標楷體" w:hint="eastAsia"/>
          <w:sz w:val="24"/>
          <w:szCs w:val="24"/>
        </w:rPr>
        <w:t xml:space="preserve">suggested that longer-term factors be </w:t>
      </w:r>
      <w:r w:rsidR="00C252A3">
        <w:rPr>
          <w:rFonts w:eastAsia="標楷體" w:hint="eastAsia"/>
          <w:sz w:val="24"/>
          <w:szCs w:val="24"/>
        </w:rPr>
        <w:t>incorporated</w:t>
      </w:r>
      <w:r w:rsidR="00E53D06">
        <w:rPr>
          <w:rFonts w:eastAsia="標楷體" w:hint="eastAsia"/>
          <w:sz w:val="24"/>
          <w:szCs w:val="24"/>
        </w:rPr>
        <w:t xml:space="preserve"> in</w:t>
      </w:r>
      <w:r w:rsidR="00C252A3">
        <w:rPr>
          <w:rFonts w:eastAsia="標楷體" w:hint="eastAsia"/>
          <w:sz w:val="24"/>
          <w:szCs w:val="24"/>
        </w:rPr>
        <w:t>to</w:t>
      </w:r>
      <w:r w:rsidR="00E53D06">
        <w:rPr>
          <w:rFonts w:eastAsia="標楷體" w:hint="eastAsia"/>
          <w:sz w:val="24"/>
          <w:szCs w:val="24"/>
        </w:rPr>
        <w:t xml:space="preserve"> policy rate decision-making. Monetary policy at present considered more near-term assessments in this and next year, instead of three or four years ahead, but it should also take into consideration potential risks facing the global </w:t>
      </w:r>
      <w:r w:rsidR="00E53D06">
        <w:rPr>
          <w:rFonts w:eastAsia="標楷體"/>
          <w:sz w:val="24"/>
          <w:szCs w:val="24"/>
        </w:rPr>
        <w:t>economy</w:t>
      </w:r>
      <w:r w:rsidR="00E53D06">
        <w:rPr>
          <w:rFonts w:eastAsia="標楷體" w:hint="eastAsia"/>
          <w:sz w:val="24"/>
          <w:szCs w:val="24"/>
        </w:rPr>
        <w:t xml:space="preserve"> in several years to come. In other words,</w:t>
      </w:r>
      <w:r w:rsidR="00553289">
        <w:rPr>
          <w:rFonts w:eastAsia="標楷體" w:hint="eastAsia"/>
          <w:sz w:val="24"/>
          <w:szCs w:val="24"/>
        </w:rPr>
        <w:t xml:space="preserve"> the </w:t>
      </w:r>
      <w:r w:rsidR="009A4BC6">
        <w:rPr>
          <w:rFonts w:eastAsia="標楷體" w:hint="eastAsia"/>
          <w:sz w:val="24"/>
          <w:szCs w:val="24"/>
        </w:rPr>
        <w:t>B</w:t>
      </w:r>
      <w:r w:rsidR="00BF5E87">
        <w:rPr>
          <w:rFonts w:eastAsia="標楷體" w:hint="eastAsia"/>
          <w:sz w:val="24"/>
          <w:szCs w:val="24"/>
        </w:rPr>
        <w:t xml:space="preserve">oard should also give prudent consideration to </w:t>
      </w:r>
      <w:r w:rsidR="00E53D06">
        <w:rPr>
          <w:rFonts w:eastAsia="標楷體" w:hint="eastAsia"/>
          <w:sz w:val="24"/>
          <w:szCs w:val="24"/>
        </w:rPr>
        <w:t xml:space="preserve">long-term monetary policy direction </w:t>
      </w:r>
      <w:r w:rsidR="00BF5E87">
        <w:rPr>
          <w:rFonts w:eastAsia="標楷體" w:hint="eastAsia"/>
          <w:sz w:val="24"/>
          <w:szCs w:val="24"/>
        </w:rPr>
        <w:t xml:space="preserve">as well. Rate adjustments could also be put forward for discussion to allow sufficient space for monetary policy maneuver in case the global </w:t>
      </w:r>
      <w:r w:rsidR="00BF5E87">
        <w:rPr>
          <w:rFonts w:eastAsia="標楷體"/>
          <w:sz w:val="24"/>
          <w:szCs w:val="24"/>
        </w:rPr>
        <w:t xml:space="preserve">economy slumps into </w:t>
      </w:r>
      <w:r w:rsidR="00BF5E87">
        <w:rPr>
          <w:rFonts w:eastAsia="標楷體" w:hint="eastAsia"/>
          <w:sz w:val="24"/>
          <w:szCs w:val="24"/>
        </w:rPr>
        <w:t xml:space="preserve">a </w:t>
      </w:r>
      <w:r w:rsidR="00BF5E87">
        <w:rPr>
          <w:rFonts w:eastAsia="標楷體"/>
          <w:sz w:val="24"/>
          <w:szCs w:val="24"/>
        </w:rPr>
        <w:t>recession</w:t>
      </w:r>
      <w:r w:rsidR="00BF5E87">
        <w:rPr>
          <w:rFonts w:eastAsia="標楷體" w:hint="eastAsia"/>
          <w:sz w:val="24"/>
          <w:szCs w:val="24"/>
        </w:rPr>
        <w:t xml:space="preserve"> cycle and impact Taiwan</w:t>
      </w:r>
      <w:r w:rsidR="00BF5E87">
        <w:rPr>
          <w:rFonts w:eastAsia="標楷體"/>
          <w:sz w:val="24"/>
          <w:szCs w:val="24"/>
        </w:rPr>
        <w:t xml:space="preserve">. </w:t>
      </w:r>
      <w:r w:rsidR="00C252A3">
        <w:rPr>
          <w:rFonts w:eastAsia="標楷體" w:hint="eastAsia"/>
          <w:sz w:val="24"/>
          <w:szCs w:val="24"/>
        </w:rPr>
        <w:t>Furthermore, other longer-term factors could be</w:t>
      </w:r>
      <w:r w:rsidR="00C252A3" w:rsidRPr="00C252A3">
        <w:rPr>
          <w:rFonts w:eastAsia="標楷體" w:hint="eastAsia"/>
          <w:sz w:val="24"/>
          <w:szCs w:val="24"/>
        </w:rPr>
        <w:t xml:space="preserve"> </w:t>
      </w:r>
      <w:r w:rsidR="00C252A3">
        <w:rPr>
          <w:rFonts w:eastAsia="標楷體" w:hint="eastAsia"/>
          <w:sz w:val="24"/>
          <w:szCs w:val="24"/>
        </w:rPr>
        <w:t>included</w:t>
      </w:r>
      <w:r w:rsidR="00600B9F">
        <w:rPr>
          <w:rFonts w:eastAsia="標楷體" w:hint="eastAsia"/>
          <w:sz w:val="24"/>
          <w:szCs w:val="24"/>
        </w:rPr>
        <w:t>. F</w:t>
      </w:r>
      <w:r w:rsidR="002E4585">
        <w:rPr>
          <w:rFonts w:eastAsia="標楷體" w:hint="eastAsia"/>
          <w:sz w:val="24"/>
          <w:szCs w:val="24"/>
        </w:rPr>
        <w:t xml:space="preserve">or example, capital </w:t>
      </w:r>
      <w:r w:rsidR="006362B6">
        <w:rPr>
          <w:rFonts w:eastAsia="標楷體" w:hint="eastAsia"/>
          <w:sz w:val="24"/>
          <w:szCs w:val="24"/>
        </w:rPr>
        <w:t>repatriation</w:t>
      </w:r>
      <w:r w:rsidR="002E4585">
        <w:rPr>
          <w:rFonts w:eastAsia="標楷體" w:hint="eastAsia"/>
          <w:sz w:val="24"/>
          <w:szCs w:val="24"/>
        </w:rPr>
        <w:t xml:space="preserve"> by Taiwanese firms could </w:t>
      </w:r>
      <w:r w:rsidR="00600B9F">
        <w:rPr>
          <w:rFonts w:eastAsia="標楷體" w:hint="eastAsia"/>
          <w:sz w:val="24"/>
          <w:szCs w:val="24"/>
        </w:rPr>
        <w:t>disturb financial stability, as well as the developments and effe</w:t>
      </w:r>
      <w:r w:rsidR="00577157">
        <w:rPr>
          <w:rFonts w:eastAsia="標楷體" w:hint="eastAsia"/>
          <w:sz w:val="24"/>
          <w:szCs w:val="24"/>
        </w:rPr>
        <w:t xml:space="preserve">cts of US-China trade friction. At the moment, stable interest rates might be conducive to attracting those funds back home as some Taiwanese firms were rethinking strategic relocation of production bases. However, </w:t>
      </w:r>
      <w:r w:rsidR="009A15AB">
        <w:rPr>
          <w:rFonts w:eastAsia="標楷體" w:hint="eastAsia"/>
          <w:sz w:val="24"/>
          <w:szCs w:val="24"/>
        </w:rPr>
        <w:t xml:space="preserve">protracted low rates here at home also meant challenges to help put these funds into more efficient use. </w:t>
      </w:r>
    </w:p>
    <w:p w:rsidR="009A15AB" w:rsidRDefault="000F13C0" w:rsidP="00612F62">
      <w:pPr>
        <w:adjustRightInd/>
        <w:snapToGrid w:val="0"/>
        <w:spacing w:before="120" w:line="440" w:lineRule="exact"/>
        <w:ind w:firstLineChars="200" w:firstLine="480"/>
        <w:jc w:val="both"/>
        <w:textDirection w:val="lrTbV"/>
        <w:rPr>
          <w:rFonts w:eastAsia="標楷體"/>
          <w:sz w:val="24"/>
          <w:szCs w:val="24"/>
        </w:rPr>
      </w:pPr>
      <w:r>
        <w:rPr>
          <w:rFonts w:eastAsia="標楷體" w:hint="eastAsia"/>
          <w:sz w:val="24"/>
          <w:szCs w:val="24"/>
        </w:rPr>
        <w:t xml:space="preserve">Several </w:t>
      </w:r>
      <w:r w:rsidR="009A4BC6">
        <w:rPr>
          <w:rFonts w:eastAsia="標楷體" w:hint="eastAsia"/>
          <w:sz w:val="24"/>
          <w:szCs w:val="24"/>
        </w:rPr>
        <w:t>B</w:t>
      </w:r>
      <w:r w:rsidR="00B61D24">
        <w:rPr>
          <w:rFonts w:eastAsia="標楷體" w:hint="eastAsia"/>
          <w:sz w:val="24"/>
          <w:szCs w:val="24"/>
        </w:rPr>
        <w:t xml:space="preserve">oard </w:t>
      </w:r>
      <w:r w:rsidR="009A4BC6">
        <w:rPr>
          <w:rFonts w:eastAsia="標楷體" w:hint="eastAsia"/>
          <w:sz w:val="24"/>
          <w:szCs w:val="24"/>
        </w:rPr>
        <w:t>D</w:t>
      </w:r>
      <w:r w:rsidR="00B61D24">
        <w:rPr>
          <w:rFonts w:eastAsia="標楷體" w:hint="eastAsia"/>
          <w:sz w:val="24"/>
          <w:szCs w:val="24"/>
        </w:rPr>
        <w:t xml:space="preserve">irectors noted that currency </w:t>
      </w:r>
      <w:r w:rsidR="00B61D24">
        <w:rPr>
          <w:rFonts w:eastAsia="標楷體"/>
          <w:sz w:val="24"/>
          <w:szCs w:val="24"/>
        </w:rPr>
        <w:t>monetary</w:t>
      </w:r>
      <w:r w:rsidR="00B61D24">
        <w:rPr>
          <w:rFonts w:eastAsia="標楷體" w:hint="eastAsia"/>
          <w:sz w:val="24"/>
          <w:szCs w:val="24"/>
        </w:rPr>
        <w:t xml:space="preserve"> policy</w:t>
      </w:r>
      <w:r w:rsidR="009E0B46">
        <w:rPr>
          <w:rFonts w:eastAsia="標楷體" w:hint="eastAsia"/>
          <w:sz w:val="24"/>
          <w:szCs w:val="24"/>
        </w:rPr>
        <w:t>-making</w:t>
      </w:r>
      <w:r w:rsidR="00B61D24">
        <w:rPr>
          <w:rFonts w:eastAsia="標楷體" w:hint="eastAsia"/>
          <w:sz w:val="24"/>
          <w:szCs w:val="24"/>
        </w:rPr>
        <w:t xml:space="preserve"> has already </w:t>
      </w:r>
      <w:r w:rsidR="009E0B46">
        <w:rPr>
          <w:rFonts w:eastAsia="標楷體" w:hint="eastAsia"/>
          <w:sz w:val="24"/>
          <w:szCs w:val="24"/>
        </w:rPr>
        <w:t xml:space="preserve">incorporated a broad scope of </w:t>
      </w:r>
      <w:r w:rsidR="002A1094">
        <w:rPr>
          <w:rFonts w:eastAsia="標楷體" w:hint="eastAsia"/>
          <w:sz w:val="24"/>
          <w:szCs w:val="24"/>
        </w:rPr>
        <w:t>variables</w:t>
      </w:r>
      <w:r w:rsidR="009E0B46">
        <w:rPr>
          <w:rFonts w:eastAsia="標楷體" w:hint="eastAsia"/>
          <w:sz w:val="24"/>
          <w:szCs w:val="24"/>
        </w:rPr>
        <w:t xml:space="preserve">. One </w:t>
      </w:r>
      <w:r w:rsidR="009A4BC6">
        <w:rPr>
          <w:rFonts w:eastAsia="標楷體" w:hint="eastAsia"/>
          <w:sz w:val="24"/>
          <w:szCs w:val="24"/>
        </w:rPr>
        <w:t>B</w:t>
      </w:r>
      <w:r w:rsidR="009E0B46">
        <w:rPr>
          <w:rFonts w:eastAsia="標楷體" w:hint="eastAsia"/>
          <w:sz w:val="24"/>
          <w:szCs w:val="24"/>
        </w:rPr>
        <w:t xml:space="preserve">oard </w:t>
      </w:r>
      <w:r w:rsidR="009A4BC6">
        <w:rPr>
          <w:rFonts w:eastAsia="標楷體" w:hint="eastAsia"/>
          <w:sz w:val="24"/>
          <w:szCs w:val="24"/>
        </w:rPr>
        <w:t>D</w:t>
      </w:r>
      <w:r w:rsidR="009E0B46">
        <w:rPr>
          <w:rFonts w:eastAsia="標楷體" w:hint="eastAsia"/>
          <w:sz w:val="24"/>
          <w:szCs w:val="24"/>
        </w:rPr>
        <w:t xml:space="preserve">irector pointed out that, aside from inflation and </w:t>
      </w:r>
      <w:r w:rsidR="009E0B46">
        <w:rPr>
          <w:rFonts w:eastAsia="標楷體"/>
          <w:sz w:val="24"/>
          <w:szCs w:val="24"/>
        </w:rPr>
        <w:t>economic</w:t>
      </w:r>
      <w:r w:rsidR="009E0B46">
        <w:rPr>
          <w:rFonts w:eastAsia="標楷體" w:hint="eastAsia"/>
          <w:sz w:val="24"/>
          <w:szCs w:val="24"/>
        </w:rPr>
        <w:t xml:space="preserve"> growth, monetary policymakers also look at the real interest rate, money market liquidity condition</w:t>
      </w:r>
      <w:r w:rsidR="00BF271F">
        <w:rPr>
          <w:rFonts w:eastAsia="標楷體" w:hint="eastAsia"/>
          <w:sz w:val="24"/>
          <w:szCs w:val="24"/>
        </w:rPr>
        <w:t>s, inflation expectations, etc. Citing the US Fed as an example, this director added that t</w:t>
      </w:r>
      <w:r w:rsidR="009B7510">
        <w:rPr>
          <w:rFonts w:eastAsia="標楷體" w:hint="eastAsia"/>
          <w:sz w:val="24"/>
          <w:szCs w:val="24"/>
        </w:rPr>
        <w:t xml:space="preserve">he US interest rate policy </w:t>
      </w:r>
      <w:r w:rsidR="009E0B46">
        <w:rPr>
          <w:rFonts w:eastAsia="標楷體" w:hint="eastAsia"/>
          <w:sz w:val="24"/>
          <w:szCs w:val="24"/>
        </w:rPr>
        <w:t>is</w:t>
      </w:r>
      <w:r w:rsidR="00BF271F">
        <w:rPr>
          <w:rFonts w:eastAsia="標楷體" w:hint="eastAsia"/>
          <w:sz w:val="24"/>
          <w:szCs w:val="24"/>
        </w:rPr>
        <w:t xml:space="preserve"> in general</w:t>
      </w:r>
      <w:r w:rsidR="009E0B46">
        <w:rPr>
          <w:rFonts w:eastAsia="標楷體" w:hint="eastAsia"/>
          <w:sz w:val="24"/>
          <w:szCs w:val="24"/>
        </w:rPr>
        <w:t xml:space="preserve"> more preemptive, in that the Fed </w:t>
      </w:r>
      <w:r w:rsidR="009B7510">
        <w:rPr>
          <w:rFonts w:eastAsia="標楷體" w:hint="eastAsia"/>
          <w:sz w:val="24"/>
          <w:szCs w:val="24"/>
        </w:rPr>
        <w:t xml:space="preserve">not only </w:t>
      </w:r>
      <w:r w:rsidR="009E0B46">
        <w:rPr>
          <w:rFonts w:eastAsia="標楷體" w:hint="eastAsia"/>
          <w:sz w:val="24"/>
          <w:szCs w:val="24"/>
        </w:rPr>
        <w:t xml:space="preserve">considers current inflation and the degree of ease in funding but also </w:t>
      </w:r>
      <w:r w:rsidR="00630948">
        <w:rPr>
          <w:rFonts w:eastAsia="標楷體" w:hint="eastAsia"/>
          <w:sz w:val="24"/>
          <w:szCs w:val="24"/>
        </w:rPr>
        <w:t>adjust</w:t>
      </w:r>
      <w:r w:rsidR="0071136C">
        <w:rPr>
          <w:rFonts w:eastAsia="標楷體" w:hint="eastAsia"/>
          <w:sz w:val="24"/>
          <w:szCs w:val="24"/>
        </w:rPr>
        <w:t>s</w:t>
      </w:r>
      <w:r w:rsidR="00630948">
        <w:rPr>
          <w:rFonts w:eastAsia="標楷體" w:hint="eastAsia"/>
          <w:sz w:val="24"/>
          <w:szCs w:val="24"/>
        </w:rPr>
        <w:t xml:space="preserve"> rates as a precaution </w:t>
      </w:r>
      <w:r w:rsidR="009B7510">
        <w:rPr>
          <w:rFonts w:eastAsia="標楷體" w:hint="eastAsia"/>
          <w:sz w:val="24"/>
          <w:szCs w:val="24"/>
        </w:rPr>
        <w:t xml:space="preserve">if warranted by assessments of </w:t>
      </w:r>
      <w:r w:rsidR="009E0B46">
        <w:rPr>
          <w:rFonts w:eastAsia="標楷體" w:hint="eastAsia"/>
          <w:sz w:val="24"/>
          <w:szCs w:val="24"/>
        </w:rPr>
        <w:t xml:space="preserve">expectations about inflation and market liquidity. </w:t>
      </w:r>
      <w:r w:rsidR="00A161DB">
        <w:rPr>
          <w:rFonts w:eastAsia="標楷體" w:hint="eastAsia"/>
          <w:sz w:val="24"/>
          <w:szCs w:val="24"/>
        </w:rPr>
        <w:t xml:space="preserve">Propositions about monetary policy </w:t>
      </w:r>
      <w:r w:rsidR="00612F62" w:rsidRPr="003C2E14">
        <w:rPr>
          <w:rFonts w:eastAsia="標楷體" w:hint="eastAsia"/>
          <w:sz w:val="24"/>
          <w:szCs w:val="24"/>
        </w:rPr>
        <w:t xml:space="preserve">should </w:t>
      </w:r>
      <w:r w:rsidR="00BF271F">
        <w:rPr>
          <w:rFonts w:eastAsia="標楷體" w:hint="eastAsia"/>
          <w:sz w:val="24"/>
          <w:szCs w:val="24"/>
        </w:rPr>
        <w:t xml:space="preserve">therefore </w:t>
      </w:r>
      <w:r w:rsidR="00287E22" w:rsidRPr="003C2E14">
        <w:rPr>
          <w:rFonts w:eastAsia="標楷體" w:hint="eastAsia"/>
          <w:sz w:val="24"/>
          <w:szCs w:val="24"/>
        </w:rPr>
        <w:t>derive from</w:t>
      </w:r>
      <w:r w:rsidR="00612F62" w:rsidRPr="003C2E14">
        <w:rPr>
          <w:rFonts w:eastAsia="標楷體" w:hint="eastAsia"/>
          <w:sz w:val="24"/>
          <w:szCs w:val="24"/>
        </w:rPr>
        <w:t xml:space="preserve"> forward-looking expectations</w:t>
      </w:r>
      <w:r w:rsidR="00BF271F">
        <w:rPr>
          <w:rFonts w:eastAsia="標楷體" w:hint="eastAsia"/>
          <w:sz w:val="24"/>
          <w:szCs w:val="24"/>
        </w:rPr>
        <w:t>, and g</w:t>
      </w:r>
      <w:r w:rsidR="00EE04EF">
        <w:rPr>
          <w:rFonts w:eastAsia="標楷體" w:hint="eastAsia"/>
          <w:sz w:val="24"/>
          <w:szCs w:val="24"/>
        </w:rPr>
        <w:t xml:space="preserve">reater monetary policy </w:t>
      </w:r>
      <w:r w:rsidR="00EE04EF">
        <w:rPr>
          <w:rFonts w:eastAsia="標楷體"/>
          <w:sz w:val="24"/>
          <w:szCs w:val="24"/>
        </w:rPr>
        <w:t>flexibility</w:t>
      </w:r>
      <w:r w:rsidR="00EE04EF">
        <w:rPr>
          <w:rFonts w:eastAsia="標楷體" w:hint="eastAsia"/>
          <w:sz w:val="24"/>
          <w:szCs w:val="24"/>
        </w:rPr>
        <w:t xml:space="preserve"> and responsiveness require more tho</w:t>
      </w:r>
      <w:r w:rsidR="00A161DB">
        <w:rPr>
          <w:rFonts w:eastAsia="標楷體" w:hint="eastAsia"/>
          <w:sz w:val="24"/>
          <w:szCs w:val="24"/>
        </w:rPr>
        <w:t>ro</w:t>
      </w:r>
      <w:r w:rsidR="00EE04EF">
        <w:rPr>
          <w:rFonts w:eastAsia="標楷體" w:hint="eastAsia"/>
          <w:sz w:val="24"/>
          <w:szCs w:val="24"/>
        </w:rPr>
        <w:t>ugh and in-depth analysis and projections</w:t>
      </w:r>
      <w:r w:rsidR="00A161DB">
        <w:rPr>
          <w:rFonts w:eastAsia="標楷體" w:hint="eastAsia"/>
          <w:sz w:val="24"/>
          <w:szCs w:val="24"/>
        </w:rPr>
        <w:t>.</w:t>
      </w:r>
      <w:r w:rsidR="00EE04EF">
        <w:rPr>
          <w:rFonts w:eastAsia="標楷體" w:hint="eastAsia"/>
          <w:sz w:val="24"/>
          <w:szCs w:val="24"/>
        </w:rPr>
        <w:t xml:space="preserve"> Perhaps future rate adjustments do not have to follow previous patterns and approaches. </w:t>
      </w:r>
      <w:r w:rsidR="007F1B4F">
        <w:rPr>
          <w:rFonts w:eastAsia="標楷體" w:hint="eastAsia"/>
          <w:sz w:val="24"/>
          <w:szCs w:val="24"/>
        </w:rPr>
        <w:t>Anothe</w:t>
      </w:r>
      <w:r w:rsidR="009A4BC6">
        <w:rPr>
          <w:rFonts w:eastAsia="標楷體" w:hint="eastAsia"/>
          <w:sz w:val="24"/>
          <w:szCs w:val="24"/>
        </w:rPr>
        <w:t>r B</w:t>
      </w:r>
      <w:r w:rsidR="007F1B4F">
        <w:rPr>
          <w:rFonts w:eastAsia="標楷體" w:hint="eastAsia"/>
          <w:sz w:val="24"/>
          <w:szCs w:val="24"/>
        </w:rPr>
        <w:t>oar</w:t>
      </w:r>
      <w:r w:rsidR="00553289">
        <w:rPr>
          <w:rFonts w:eastAsia="標楷體" w:hint="eastAsia"/>
          <w:sz w:val="24"/>
          <w:szCs w:val="24"/>
        </w:rPr>
        <w:t xml:space="preserve">d </w:t>
      </w:r>
      <w:r w:rsidR="009A4BC6">
        <w:rPr>
          <w:rFonts w:eastAsia="標楷體" w:hint="eastAsia"/>
          <w:sz w:val="24"/>
          <w:szCs w:val="24"/>
        </w:rPr>
        <w:t>D</w:t>
      </w:r>
      <w:r w:rsidR="00553289">
        <w:rPr>
          <w:rFonts w:eastAsia="標楷體" w:hint="eastAsia"/>
          <w:sz w:val="24"/>
          <w:szCs w:val="24"/>
        </w:rPr>
        <w:t xml:space="preserve">irector also noted that the </w:t>
      </w:r>
      <w:r w:rsidR="009A4BC6">
        <w:rPr>
          <w:rFonts w:eastAsia="標楷體" w:hint="eastAsia"/>
          <w:sz w:val="24"/>
          <w:szCs w:val="24"/>
        </w:rPr>
        <w:t>B</w:t>
      </w:r>
      <w:r w:rsidR="007F1B4F">
        <w:rPr>
          <w:rFonts w:eastAsia="標楷體" w:hint="eastAsia"/>
          <w:sz w:val="24"/>
          <w:szCs w:val="24"/>
        </w:rPr>
        <w:t>oard takes more factor</w:t>
      </w:r>
      <w:r w:rsidR="002A1094">
        <w:rPr>
          <w:rFonts w:eastAsia="標楷體" w:hint="eastAsia"/>
          <w:sz w:val="24"/>
          <w:szCs w:val="24"/>
        </w:rPr>
        <w:t>s</w:t>
      </w:r>
      <w:r w:rsidR="007F1B4F">
        <w:rPr>
          <w:rFonts w:eastAsia="標楷體" w:hint="eastAsia"/>
          <w:sz w:val="24"/>
          <w:szCs w:val="24"/>
        </w:rPr>
        <w:t xml:space="preserve"> into consideration than just inflation, inflation outlook and the output gap, such as M2 growth trends, bank credit growth rates, financial condition indicators, etc. Nonetheless, market expectations about the CBC</w:t>
      </w:r>
      <w:r w:rsidR="007F1B4F">
        <w:rPr>
          <w:rFonts w:eastAsia="標楷體"/>
          <w:sz w:val="24"/>
          <w:szCs w:val="24"/>
        </w:rPr>
        <w:t>’</w:t>
      </w:r>
      <w:r w:rsidR="007F1B4F">
        <w:rPr>
          <w:rFonts w:eastAsia="標楷體" w:hint="eastAsia"/>
          <w:sz w:val="24"/>
          <w:szCs w:val="24"/>
        </w:rPr>
        <w:t xml:space="preserve">s policy rate decision are mainly informed by current inflation trends and future inflation outlook, which are closely related to the output gap. </w:t>
      </w:r>
    </w:p>
    <w:p w:rsidR="00A86EA4" w:rsidRPr="007F1B4F" w:rsidRDefault="00154F72" w:rsidP="007F1B4F">
      <w:pPr>
        <w:adjustRightInd/>
        <w:snapToGrid w:val="0"/>
        <w:spacing w:before="240" w:line="500" w:lineRule="exact"/>
        <w:ind w:firstLineChars="200" w:firstLine="480"/>
        <w:jc w:val="both"/>
        <w:rPr>
          <w:rFonts w:eastAsia="標楷體"/>
          <w:sz w:val="24"/>
          <w:szCs w:val="24"/>
        </w:rPr>
      </w:pPr>
      <w:r w:rsidRPr="007F1B4F">
        <w:rPr>
          <w:rFonts w:eastAsia="標楷體" w:hint="eastAsia"/>
          <w:sz w:val="24"/>
          <w:szCs w:val="24"/>
        </w:rPr>
        <w:t xml:space="preserve"> </w:t>
      </w:r>
      <w:r w:rsidR="00A86EA4" w:rsidRPr="007F1B4F">
        <w:rPr>
          <w:rFonts w:eastAsia="標楷體" w:hint="eastAsia"/>
          <w:sz w:val="24"/>
          <w:szCs w:val="24"/>
        </w:rPr>
        <w:t xml:space="preserve">Based on the assessment of domestic and international </w:t>
      </w:r>
      <w:r w:rsidR="00A86EA4" w:rsidRPr="007F1B4F">
        <w:rPr>
          <w:rFonts w:eastAsia="標楷體"/>
          <w:sz w:val="24"/>
          <w:szCs w:val="24"/>
        </w:rPr>
        <w:t>economic</w:t>
      </w:r>
      <w:r w:rsidR="00A86EA4" w:rsidRPr="007F1B4F">
        <w:rPr>
          <w:rFonts w:eastAsia="標楷體" w:hint="eastAsia"/>
          <w:sz w:val="24"/>
          <w:szCs w:val="24"/>
        </w:rPr>
        <w:t xml:space="preserve"> and financial conditions and prospects, the </w:t>
      </w:r>
      <w:r w:rsidR="009A4BC6">
        <w:rPr>
          <w:rFonts w:eastAsia="標楷體" w:hint="eastAsia"/>
          <w:sz w:val="24"/>
          <w:szCs w:val="24"/>
        </w:rPr>
        <w:t>B</w:t>
      </w:r>
      <w:r w:rsidR="00A86EA4" w:rsidRPr="007F1B4F">
        <w:rPr>
          <w:rFonts w:eastAsia="標楷體" w:hint="eastAsia"/>
          <w:sz w:val="24"/>
          <w:szCs w:val="24"/>
        </w:rPr>
        <w:t xml:space="preserve">oard </w:t>
      </w:r>
      <w:r w:rsidR="00ED691E">
        <w:rPr>
          <w:rFonts w:eastAsia="標楷體" w:hint="eastAsia"/>
          <w:sz w:val="24"/>
          <w:szCs w:val="24"/>
        </w:rPr>
        <w:t>D</w:t>
      </w:r>
      <w:r w:rsidR="00A86EA4" w:rsidRPr="007F1B4F">
        <w:rPr>
          <w:rFonts w:eastAsia="標楷體" w:hint="eastAsia"/>
          <w:sz w:val="24"/>
          <w:szCs w:val="24"/>
        </w:rPr>
        <w:t xml:space="preserve">irectors </w:t>
      </w:r>
      <w:r w:rsidR="00B90D93" w:rsidRPr="007F1B4F">
        <w:rPr>
          <w:rFonts w:eastAsia="標楷體" w:hint="eastAsia"/>
          <w:sz w:val="24"/>
          <w:szCs w:val="24"/>
        </w:rPr>
        <w:t xml:space="preserve">all </w:t>
      </w:r>
      <w:r w:rsidR="00A86EA4" w:rsidRPr="007F1B4F">
        <w:rPr>
          <w:rFonts w:eastAsia="標楷體" w:hint="eastAsia"/>
          <w:sz w:val="24"/>
          <w:szCs w:val="24"/>
        </w:rPr>
        <w:t xml:space="preserve">expressed approval </w:t>
      </w:r>
      <w:r w:rsidR="00C203F7" w:rsidRPr="007F1B4F">
        <w:rPr>
          <w:rFonts w:eastAsia="標楷體" w:hint="eastAsia"/>
          <w:sz w:val="24"/>
          <w:szCs w:val="24"/>
        </w:rPr>
        <w:t>for</w:t>
      </w:r>
      <w:r w:rsidR="00A86EA4" w:rsidRPr="007F1B4F">
        <w:rPr>
          <w:rFonts w:eastAsia="標楷體" w:hint="eastAsia"/>
          <w:sz w:val="24"/>
          <w:szCs w:val="24"/>
        </w:rPr>
        <w:t xml:space="preserve"> keeping policy rates unchanged. </w:t>
      </w:r>
    </w:p>
    <w:p w:rsidR="006A083A" w:rsidRPr="007F1B4F" w:rsidRDefault="006A083A" w:rsidP="00506662">
      <w:pPr>
        <w:adjustRightInd/>
        <w:snapToGrid w:val="0"/>
        <w:spacing w:before="240" w:line="540" w:lineRule="exact"/>
        <w:ind w:left="320" w:hangingChars="133" w:hanging="320"/>
        <w:jc w:val="both"/>
        <w:textDirection w:val="lrTbV"/>
        <w:rPr>
          <w:rFonts w:eastAsia="標楷體"/>
          <w:sz w:val="24"/>
          <w:szCs w:val="24"/>
        </w:rPr>
      </w:pPr>
      <w:r w:rsidRPr="007F1B4F">
        <w:rPr>
          <w:rFonts w:eastAsia="標楷體" w:hint="eastAsia"/>
          <w:b/>
          <w:sz w:val="24"/>
          <w:szCs w:val="24"/>
        </w:rPr>
        <w:t xml:space="preserve">3. Monetary Policy Decision: </w:t>
      </w:r>
      <w:r w:rsidR="00CE3BC5" w:rsidRPr="007F1B4F">
        <w:rPr>
          <w:rFonts w:eastAsia="標楷體" w:hint="eastAsia"/>
          <w:b/>
          <w:sz w:val="24"/>
          <w:szCs w:val="24"/>
        </w:rPr>
        <w:t xml:space="preserve">The </w:t>
      </w:r>
      <w:r w:rsidR="009A4BC6">
        <w:rPr>
          <w:rFonts w:eastAsia="標楷體" w:hint="eastAsia"/>
          <w:b/>
          <w:sz w:val="24"/>
          <w:szCs w:val="24"/>
        </w:rPr>
        <w:t>B</w:t>
      </w:r>
      <w:r w:rsidR="00CE3BC5" w:rsidRPr="007F1B4F">
        <w:rPr>
          <w:rFonts w:eastAsia="標楷體" w:hint="eastAsia"/>
          <w:b/>
          <w:sz w:val="24"/>
          <w:szCs w:val="24"/>
        </w:rPr>
        <w:t xml:space="preserve">oard </w:t>
      </w:r>
      <w:r w:rsidR="00ED691E">
        <w:rPr>
          <w:rFonts w:eastAsia="標楷體" w:hint="eastAsia"/>
          <w:b/>
          <w:sz w:val="24"/>
          <w:szCs w:val="24"/>
        </w:rPr>
        <w:t>D</w:t>
      </w:r>
      <w:r w:rsidR="00CE3BC5" w:rsidRPr="007F1B4F">
        <w:rPr>
          <w:rFonts w:eastAsia="標楷體" w:hint="eastAsia"/>
          <w:b/>
          <w:sz w:val="24"/>
          <w:szCs w:val="24"/>
        </w:rPr>
        <w:t xml:space="preserve">irectors </w:t>
      </w:r>
      <w:r w:rsidRPr="007F1B4F">
        <w:rPr>
          <w:rFonts w:eastAsia="標楷體" w:hint="eastAsia"/>
          <w:b/>
          <w:sz w:val="24"/>
          <w:szCs w:val="24"/>
        </w:rPr>
        <w:t>reached a unanimous vote t</w:t>
      </w:r>
      <w:r w:rsidRPr="007F1B4F">
        <w:rPr>
          <w:rFonts w:eastAsia="標楷體"/>
          <w:b/>
          <w:sz w:val="24"/>
          <w:szCs w:val="24"/>
        </w:rPr>
        <w:t>o keep the discount rate, the rate on accommodations with collateral, and the rate on accommodations without collateral unchanged at 1.375%, 1.75%, and 3.625%, respectively.</w:t>
      </w:r>
    </w:p>
    <w:p w:rsidR="00445262" w:rsidRPr="007F1B4F" w:rsidRDefault="00445262" w:rsidP="00506662">
      <w:pPr>
        <w:snapToGrid w:val="0"/>
        <w:spacing w:before="240" w:line="440" w:lineRule="exact"/>
        <w:ind w:left="961" w:hangingChars="400" w:hanging="961"/>
        <w:jc w:val="both"/>
        <w:textDirection w:val="lrTbV"/>
        <w:rPr>
          <w:rFonts w:eastAsia="標楷體"/>
          <w:b/>
          <w:sz w:val="24"/>
          <w:szCs w:val="24"/>
        </w:rPr>
      </w:pPr>
    </w:p>
    <w:p w:rsidR="006A083A" w:rsidRPr="007F1B4F" w:rsidRDefault="006A083A" w:rsidP="00506662">
      <w:pPr>
        <w:snapToGrid w:val="0"/>
        <w:spacing w:before="240" w:line="440" w:lineRule="exact"/>
        <w:ind w:left="961" w:hangingChars="400" w:hanging="961"/>
        <w:jc w:val="both"/>
        <w:textDirection w:val="lrTbV"/>
        <w:rPr>
          <w:rFonts w:eastAsia="標楷體"/>
          <w:b/>
          <w:sz w:val="24"/>
          <w:szCs w:val="24"/>
        </w:rPr>
      </w:pPr>
      <w:r w:rsidRPr="007F1B4F">
        <w:rPr>
          <w:rFonts w:eastAsia="標楷體" w:hint="eastAsia"/>
          <w:b/>
          <w:sz w:val="24"/>
          <w:szCs w:val="24"/>
        </w:rPr>
        <w:t xml:space="preserve">Voting for the proposition: </w:t>
      </w:r>
    </w:p>
    <w:p w:rsidR="00251F63" w:rsidRPr="007F1B4F" w:rsidRDefault="00251F63" w:rsidP="007F1B4F">
      <w:pPr>
        <w:adjustRightInd/>
        <w:snapToGrid w:val="0"/>
        <w:spacing w:before="120" w:afterLines="50" w:after="120" w:line="440" w:lineRule="exact"/>
        <w:jc w:val="both"/>
        <w:textDirection w:val="lrTbV"/>
        <w:rPr>
          <w:rFonts w:eastAsia="標楷體"/>
          <w:sz w:val="24"/>
          <w:szCs w:val="24"/>
        </w:rPr>
      </w:pPr>
      <w:r w:rsidRPr="007F1B4F">
        <w:rPr>
          <w:rFonts w:eastAsia="標楷體"/>
          <w:sz w:val="24"/>
          <w:szCs w:val="24"/>
        </w:rPr>
        <w:t>Chin-long Yang</w:t>
      </w:r>
      <w:r w:rsidRPr="007F1B4F">
        <w:rPr>
          <w:rFonts w:eastAsia="標楷體" w:hint="eastAsia"/>
          <w:sz w:val="24"/>
          <w:szCs w:val="24"/>
        </w:rPr>
        <w:t>,</w:t>
      </w:r>
      <w:r w:rsidRPr="007F1B4F">
        <w:rPr>
          <w:rFonts w:eastAsia="標楷體"/>
          <w:sz w:val="24"/>
          <w:szCs w:val="24"/>
        </w:rPr>
        <w:t xml:space="preserve"> </w:t>
      </w:r>
      <w:r w:rsidR="007F1B4F" w:rsidRPr="007F1B4F">
        <w:rPr>
          <w:rFonts w:eastAsia="標楷體"/>
          <w:sz w:val="24"/>
          <w:szCs w:val="24"/>
        </w:rPr>
        <w:t>Jain-</w:t>
      </w:r>
      <w:proofErr w:type="spellStart"/>
      <w:r w:rsidR="007F1B4F" w:rsidRPr="007F1B4F">
        <w:rPr>
          <w:rFonts w:eastAsia="標楷體"/>
          <w:sz w:val="24"/>
          <w:szCs w:val="24"/>
        </w:rPr>
        <w:t>Rong</w:t>
      </w:r>
      <w:proofErr w:type="spellEnd"/>
      <w:r w:rsidR="007F1B4F">
        <w:rPr>
          <w:rFonts w:eastAsia="標楷體" w:hint="eastAsia"/>
          <w:sz w:val="24"/>
          <w:szCs w:val="24"/>
        </w:rPr>
        <w:t xml:space="preserve"> Su, </w:t>
      </w:r>
      <w:r w:rsidRPr="007F1B4F">
        <w:rPr>
          <w:rFonts w:eastAsia="標楷體"/>
          <w:sz w:val="24"/>
          <w:szCs w:val="24"/>
        </w:rPr>
        <w:t>Jong-</w:t>
      </w:r>
      <w:r w:rsidR="0007239A" w:rsidRPr="007F1B4F">
        <w:rPr>
          <w:rFonts w:eastAsia="標楷體" w:hint="eastAsia"/>
          <w:sz w:val="24"/>
          <w:szCs w:val="24"/>
        </w:rPr>
        <w:t>c</w:t>
      </w:r>
      <w:r w:rsidRPr="007F1B4F">
        <w:rPr>
          <w:rFonts w:eastAsia="標楷體"/>
          <w:sz w:val="24"/>
          <w:szCs w:val="24"/>
        </w:rPr>
        <w:t xml:space="preserve">hin Shen, </w:t>
      </w:r>
      <w:proofErr w:type="spellStart"/>
      <w:r w:rsidRPr="007F1B4F">
        <w:rPr>
          <w:rFonts w:eastAsia="標楷體"/>
          <w:sz w:val="24"/>
          <w:szCs w:val="24"/>
        </w:rPr>
        <w:t>Tzung</w:t>
      </w:r>
      <w:proofErr w:type="spellEnd"/>
      <w:r w:rsidRPr="007F1B4F">
        <w:rPr>
          <w:rFonts w:eastAsia="標楷體"/>
          <w:sz w:val="24"/>
          <w:szCs w:val="24"/>
        </w:rPr>
        <w:t>-ta Yen, Nan-</w:t>
      </w:r>
      <w:proofErr w:type="spellStart"/>
      <w:r w:rsidRPr="007F1B4F">
        <w:rPr>
          <w:rFonts w:eastAsia="標楷體"/>
          <w:sz w:val="24"/>
          <w:szCs w:val="24"/>
        </w:rPr>
        <w:t>kuang</w:t>
      </w:r>
      <w:proofErr w:type="spellEnd"/>
      <w:r w:rsidRPr="007F1B4F">
        <w:rPr>
          <w:rFonts w:eastAsia="標楷體"/>
          <w:sz w:val="24"/>
          <w:szCs w:val="24"/>
        </w:rPr>
        <w:t xml:space="preserve"> Chen, Ming-</w:t>
      </w:r>
      <w:proofErr w:type="spellStart"/>
      <w:r w:rsidRPr="007F1B4F">
        <w:rPr>
          <w:rFonts w:eastAsia="標楷體"/>
          <w:sz w:val="24"/>
          <w:szCs w:val="24"/>
        </w:rPr>
        <w:t>yih</w:t>
      </w:r>
      <w:proofErr w:type="spellEnd"/>
      <w:r w:rsidRPr="007F1B4F">
        <w:rPr>
          <w:rFonts w:eastAsia="標楷體"/>
          <w:sz w:val="24"/>
          <w:szCs w:val="24"/>
        </w:rPr>
        <w:t xml:space="preserve"> Liang, </w:t>
      </w:r>
      <w:proofErr w:type="spellStart"/>
      <w:r w:rsidRPr="007F1B4F">
        <w:rPr>
          <w:rFonts w:eastAsia="標楷體"/>
          <w:sz w:val="24"/>
          <w:szCs w:val="24"/>
        </w:rPr>
        <w:t>Tsung-hsien</w:t>
      </w:r>
      <w:proofErr w:type="spellEnd"/>
      <w:r w:rsidRPr="007F1B4F">
        <w:rPr>
          <w:rFonts w:eastAsia="標楷體"/>
          <w:sz w:val="24"/>
          <w:szCs w:val="24"/>
        </w:rPr>
        <w:t xml:space="preserve"> Lin (</w:t>
      </w:r>
      <w:r w:rsidRPr="007F1B4F">
        <w:rPr>
          <w:rFonts w:eastAsia="標楷體" w:hint="eastAsia"/>
          <w:sz w:val="24"/>
          <w:szCs w:val="24"/>
        </w:rPr>
        <w:t>voting by proxy</w:t>
      </w:r>
      <w:r w:rsidRPr="007F1B4F">
        <w:rPr>
          <w:rFonts w:eastAsia="標楷體"/>
          <w:sz w:val="24"/>
          <w:szCs w:val="24"/>
        </w:rPr>
        <w:t>), Chen-chia Lee, Chung-</w:t>
      </w:r>
      <w:proofErr w:type="spellStart"/>
      <w:r w:rsidRPr="007F1B4F">
        <w:rPr>
          <w:rFonts w:eastAsia="標楷體"/>
          <w:sz w:val="24"/>
          <w:szCs w:val="24"/>
        </w:rPr>
        <w:t>dar</w:t>
      </w:r>
      <w:proofErr w:type="spellEnd"/>
      <w:r w:rsidRPr="007F1B4F">
        <w:rPr>
          <w:rFonts w:eastAsia="標楷體"/>
          <w:sz w:val="24"/>
          <w:szCs w:val="24"/>
        </w:rPr>
        <w:t xml:space="preserve"> Lei, </w:t>
      </w:r>
      <w:proofErr w:type="spellStart"/>
      <w:r w:rsidRPr="007F1B4F">
        <w:rPr>
          <w:rFonts w:eastAsia="標楷體"/>
          <w:sz w:val="24"/>
          <w:szCs w:val="24"/>
        </w:rPr>
        <w:t>Jin</w:t>
      </w:r>
      <w:proofErr w:type="spellEnd"/>
      <w:r w:rsidRPr="007F1B4F">
        <w:rPr>
          <w:rFonts w:eastAsia="標楷體"/>
          <w:sz w:val="24"/>
          <w:szCs w:val="24"/>
        </w:rPr>
        <w:t>-lung Lin, Mei-lie Chu, Chao-</w:t>
      </w:r>
      <w:proofErr w:type="spellStart"/>
      <w:r w:rsidRPr="007F1B4F">
        <w:rPr>
          <w:rFonts w:eastAsia="標楷體"/>
          <w:sz w:val="24"/>
          <w:szCs w:val="24"/>
        </w:rPr>
        <w:t>hsi</w:t>
      </w:r>
      <w:proofErr w:type="spellEnd"/>
      <w:r w:rsidRPr="007F1B4F">
        <w:rPr>
          <w:rFonts w:eastAsia="標楷體"/>
          <w:sz w:val="24"/>
          <w:szCs w:val="24"/>
        </w:rPr>
        <w:t xml:space="preserve"> Huang, </w:t>
      </w:r>
      <w:proofErr w:type="spellStart"/>
      <w:r w:rsidRPr="007F1B4F">
        <w:rPr>
          <w:rFonts w:eastAsia="標楷體"/>
          <w:sz w:val="24"/>
          <w:szCs w:val="24"/>
        </w:rPr>
        <w:t>Bih</w:t>
      </w:r>
      <w:proofErr w:type="spellEnd"/>
      <w:r w:rsidRPr="007F1B4F">
        <w:rPr>
          <w:rFonts w:eastAsia="標楷體"/>
          <w:sz w:val="24"/>
          <w:szCs w:val="24"/>
        </w:rPr>
        <w:t xml:space="preserve">-jane Liu, </w:t>
      </w:r>
      <w:proofErr w:type="spellStart"/>
      <w:r w:rsidRPr="007F1B4F">
        <w:rPr>
          <w:rFonts w:eastAsia="標楷體"/>
          <w:sz w:val="24"/>
          <w:szCs w:val="24"/>
        </w:rPr>
        <w:t>Shiu</w:t>
      </w:r>
      <w:proofErr w:type="spellEnd"/>
      <w:r w:rsidRPr="007F1B4F">
        <w:rPr>
          <w:rFonts w:eastAsia="標楷體"/>
          <w:sz w:val="24"/>
          <w:szCs w:val="24"/>
        </w:rPr>
        <w:t>-sheng Chen</w:t>
      </w:r>
      <w:r w:rsidR="00937EB4">
        <w:rPr>
          <w:rFonts w:eastAsia="標楷體" w:hint="eastAsia"/>
          <w:sz w:val="24"/>
          <w:szCs w:val="24"/>
        </w:rPr>
        <w:t xml:space="preserve">, </w:t>
      </w:r>
      <w:proofErr w:type="spellStart"/>
      <w:r w:rsidR="00937EB4" w:rsidRPr="00937EB4">
        <w:rPr>
          <w:rFonts w:eastAsia="標楷體"/>
          <w:sz w:val="24"/>
          <w:szCs w:val="24"/>
        </w:rPr>
        <w:t>Hsin</w:t>
      </w:r>
      <w:proofErr w:type="spellEnd"/>
      <w:r w:rsidR="00937EB4" w:rsidRPr="00937EB4">
        <w:rPr>
          <w:rFonts w:eastAsia="標楷體"/>
          <w:sz w:val="24"/>
          <w:szCs w:val="24"/>
        </w:rPr>
        <w:t>-Hong Kang</w:t>
      </w:r>
      <w:r w:rsidRPr="007F1B4F">
        <w:rPr>
          <w:rFonts w:eastAsia="標楷體"/>
          <w:sz w:val="24"/>
          <w:szCs w:val="24"/>
        </w:rPr>
        <w:t xml:space="preserve">  </w:t>
      </w:r>
    </w:p>
    <w:p w:rsidR="00251F63" w:rsidRPr="00937EB4" w:rsidRDefault="00251F63" w:rsidP="00506662">
      <w:pPr>
        <w:adjustRightInd/>
        <w:snapToGrid w:val="0"/>
        <w:spacing w:before="120" w:afterLines="50" w:after="120" w:line="440" w:lineRule="exact"/>
        <w:jc w:val="both"/>
        <w:textDirection w:val="lrTbV"/>
        <w:rPr>
          <w:rFonts w:eastAsia="標楷體"/>
          <w:sz w:val="24"/>
          <w:szCs w:val="24"/>
        </w:rPr>
      </w:pPr>
    </w:p>
    <w:p w:rsidR="006A083A" w:rsidRPr="00937EB4" w:rsidRDefault="006A083A" w:rsidP="00937EB4">
      <w:pPr>
        <w:snapToGrid w:val="0"/>
        <w:spacing w:before="240" w:line="440" w:lineRule="exact"/>
        <w:ind w:left="961" w:hangingChars="400" w:hanging="961"/>
        <w:jc w:val="both"/>
        <w:textDirection w:val="lrTbV"/>
        <w:rPr>
          <w:rFonts w:eastAsia="標楷體"/>
          <w:sz w:val="24"/>
          <w:szCs w:val="24"/>
        </w:rPr>
      </w:pPr>
      <w:proofErr w:type="gramStart"/>
      <w:r w:rsidRPr="00937EB4">
        <w:rPr>
          <w:rFonts w:eastAsia="標楷體" w:hint="eastAsia"/>
          <w:b/>
          <w:sz w:val="24"/>
          <w:szCs w:val="24"/>
        </w:rPr>
        <w:t xml:space="preserve">Voting against the proposition: </w:t>
      </w:r>
      <w:r w:rsidRPr="00937EB4">
        <w:rPr>
          <w:rFonts w:eastAsia="標楷體" w:hint="eastAsia"/>
          <w:sz w:val="24"/>
          <w:szCs w:val="24"/>
        </w:rPr>
        <w:t>None.</w:t>
      </w:r>
      <w:proofErr w:type="gramEnd"/>
      <w:r w:rsidRPr="00937EB4">
        <w:rPr>
          <w:rFonts w:eastAsia="標楷體" w:hint="eastAsia"/>
          <w:sz w:val="24"/>
          <w:szCs w:val="24"/>
        </w:rPr>
        <w:t xml:space="preserve"> </w:t>
      </w:r>
    </w:p>
    <w:p w:rsidR="006A083A" w:rsidRPr="00294C67" w:rsidRDefault="006A083A" w:rsidP="006A083A">
      <w:pPr>
        <w:widowControl/>
        <w:adjustRightInd/>
        <w:spacing w:line="240" w:lineRule="auto"/>
        <w:textAlignment w:val="auto"/>
        <w:rPr>
          <w:rFonts w:eastAsia="標楷體"/>
          <w:b/>
          <w:strike/>
          <w:snapToGrid w:val="0"/>
          <w:sz w:val="28"/>
          <w:szCs w:val="28"/>
        </w:rPr>
      </w:pPr>
    </w:p>
    <w:p w:rsidR="006A083A" w:rsidRPr="007F110A" w:rsidRDefault="006A083A" w:rsidP="00994414">
      <w:pPr>
        <w:widowControl/>
        <w:adjustRightInd/>
        <w:spacing w:beforeLines="50" w:before="120" w:line="240" w:lineRule="auto"/>
        <w:textAlignment w:val="auto"/>
        <w:rPr>
          <w:rFonts w:eastAsia="標楷體"/>
          <w:b/>
          <w:sz w:val="28"/>
          <w:szCs w:val="28"/>
        </w:rPr>
      </w:pPr>
      <w:r w:rsidRPr="007F110A">
        <w:rPr>
          <w:rFonts w:eastAsia="標楷體" w:hint="eastAsia"/>
          <w:b/>
          <w:snapToGrid w:val="0"/>
          <w:sz w:val="28"/>
          <w:szCs w:val="28"/>
        </w:rPr>
        <w:t xml:space="preserve">III. The Press Release </w:t>
      </w:r>
    </w:p>
    <w:p w:rsidR="0069082D" w:rsidRDefault="006A083A" w:rsidP="00766E4B">
      <w:pPr>
        <w:spacing w:before="120" w:line="440" w:lineRule="exact"/>
        <w:ind w:firstLineChars="200" w:firstLine="480"/>
        <w:jc w:val="both"/>
        <w:rPr>
          <w:rFonts w:eastAsia="標楷體"/>
          <w:sz w:val="24"/>
          <w:szCs w:val="28"/>
        </w:rPr>
      </w:pPr>
      <w:r w:rsidRPr="007F110A">
        <w:rPr>
          <w:rFonts w:eastAsia="標楷體" w:hint="eastAsia"/>
          <w:sz w:val="24"/>
          <w:szCs w:val="28"/>
        </w:rPr>
        <w:t xml:space="preserve">The </w:t>
      </w:r>
      <w:r w:rsidR="009A4BC6">
        <w:rPr>
          <w:rFonts w:eastAsia="標楷體" w:hint="eastAsia"/>
          <w:sz w:val="24"/>
          <w:szCs w:val="28"/>
        </w:rPr>
        <w:t>B</w:t>
      </w:r>
      <w:r w:rsidRPr="007F110A">
        <w:rPr>
          <w:rFonts w:eastAsia="標楷體" w:hint="eastAsia"/>
          <w:sz w:val="24"/>
          <w:szCs w:val="28"/>
        </w:rPr>
        <w:t xml:space="preserve">oard </w:t>
      </w:r>
      <w:r w:rsidR="00ED691E">
        <w:rPr>
          <w:rFonts w:eastAsia="標楷體" w:hint="eastAsia"/>
          <w:sz w:val="24"/>
          <w:szCs w:val="28"/>
        </w:rPr>
        <w:t>D</w:t>
      </w:r>
      <w:r w:rsidRPr="007F110A">
        <w:rPr>
          <w:rFonts w:eastAsia="標楷體" w:hint="eastAsia"/>
          <w:sz w:val="24"/>
          <w:szCs w:val="28"/>
        </w:rPr>
        <w:t xml:space="preserve">irectors and </w:t>
      </w:r>
      <w:r w:rsidR="00ED691E">
        <w:rPr>
          <w:rFonts w:eastAsia="標楷體" w:hint="eastAsia"/>
          <w:sz w:val="24"/>
          <w:szCs w:val="28"/>
        </w:rPr>
        <w:t>S</w:t>
      </w:r>
      <w:r w:rsidRPr="007F110A">
        <w:rPr>
          <w:rFonts w:eastAsia="標楷體" w:hint="eastAsia"/>
          <w:sz w:val="24"/>
          <w:szCs w:val="28"/>
        </w:rPr>
        <w:t xml:space="preserve">upervisors approved unanimously to issue the following press release in the post-meeting press conference, together with the </w:t>
      </w:r>
      <w:r w:rsidRPr="007F110A">
        <w:rPr>
          <w:rFonts w:eastAsia="標楷體"/>
          <w:sz w:val="24"/>
          <w:szCs w:val="28"/>
        </w:rPr>
        <w:t xml:space="preserve">Supplementary Materials for the </w:t>
      </w:r>
      <w:r w:rsidRPr="007F110A">
        <w:rPr>
          <w:rFonts w:eastAsia="標楷體" w:hint="eastAsia"/>
          <w:sz w:val="24"/>
          <w:szCs w:val="28"/>
        </w:rPr>
        <w:t>Post-Monetary Policy M</w:t>
      </w:r>
      <w:r w:rsidRPr="007F110A">
        <w:rPr>
          <w:rFonts w:eastAsia="標楷體"/>
          <w:sz w:val="24"/>
          <w:szCs w:val="28"/>
        </w:rPr>
        <w:t>e</w:t>
      </w:r>
      <w:r w:rsidRPr="007F110A">
        <w:rPr>
          <w:rFonts w:eastAsia="標楷體" w:hint="eastAsia"/>
          <w:sz w:val="24"/>
          <w:szCs w:val="28"/>
        </w:rPr>
        <w:t xml:space="preserve">eting Press Conference prepared by the </w:t>
      </w:r>
      <w:r w:rsidR="00BE58E5">
        <w:rPr>
          <w:rFonts w:eastAsia="標楷體" w:hint="eastAsia"/>
          <w:sz w:val="24"/>
          <w:szCs w:val="28"/>
        </w:rPr>
        <w:t>CBC</w:t>
      </w:r>
      <w:r w:rsidRPr="007F110A">
        <w:rPr>
          <w:rFonts w:eastAsia="標楷體" w:hint="eastAsia"/>
          <w:sz w:val="24"/>
          <w:szCs w:val="28"/>
        </w:rPr>
        <w:t xml:space="preserve">. </w:t>
      </w:r>
    </w:p>
    <w:p w:rsidR="00DF3EE9" w:rsidRDefault="00DF3EE9" w:rsidP="00766E4B">
      <w:pPr>
        <w:spacing w:before="120" w:line="440" w:lineRule="exact"/>
        <w:ind w:firstLineChars="200" w:firstLine="480"/>
        <w:jc w:val="both"/>
        <w:rPr>
          <w:rFonts w:eastAsia="標楷體"/>
          <w:sz w:val="24"/>
          <w:szCs w:val="28"/>
        </w:rPr>
        <w:sectPr w:rsidR="00DF3EE9" w:rsidSect="001B7455">
          <w:footerReference w:type="default" r:id="rId12"/>
          <w:pgSz w:w="11907" w:h="16840" w:code="9"/>
          <w:pgMar w:top="1304" w:right="1418" w:bottom="1418" w:left="1418" w:header="0" w:footer="454" w:gutter="0"/>
          <w:paperSrc w:first="15" w:other="15"/>
          <w:pgNumType w:start="1"/>
          <w:cols w:space="425"/>
          <w:docGrid w:linePitch="272"/>
        </w:sectPr>
      </w:pPr>
    </w:p>
    <w:p w:rsidR="00A8494F" w:rsidRPr="00A8494F" w:rsidRDefault="00A8494F" w:rsidP="00DF3EE9">
      <w:pPr>
        <w:pBdr>
          <w:top w:val="double" w:sz="4" w:space="1" w:color="auto"/>
          <w:bottom w:val="double" w:sz="4" w:space="1" w:color="auto"/>
        </w:pBdr>
        <w:spacing w:afterLines="50" w:after="120" w:line="320" w:lineRule="exact"/>
        <w:rPr>
          <w:rFonts w:hint="eastAsia"/>
          <w:sz w:val="32"/>
          <w:szCs w:val="32"/>
        </w:rPr>
      </w:pPr>
      <w:r w:rsidRPr="00A8494F">
        <w:rPr>
          <w:sz w:val="32"/>
          <w:szCs w:val="32"/>
        </w:rPr>
        <w:t>Central Bank of the Republic of China (Taiwan)</w:t>
      </w:r>
    </w:p>
    <w:p w:rsidR="00A8494F" w:rsidRPr="00A8494F" w:rsidRDefault="00A8494F" w:rsidP="00DF3EE9">
      <w:pPr>
        <w:pBdr>
          <w:top w:val="double" w:sz="4" w:space="1" w:color="auto"/>
          <w:bottom w:val="double" w:sz="4" w:space="1" w:color="auto"/>
        </w:pBdr>
        <w:spacing w:afterLines="50" w:after="120" w:line="320" w:lineRule="exact"/>
        <w:rPr>
          <w:rFonts w:eastAsia="標楷體" w:hint="eastAsia"/>
          <w:sz w:val="28"/>
          <w:szCs w:val="28"/>
        </w:rPr>
      </w:pPr>
      <w:r w:rsidRPr="00A8494F">
        <w:rPr>
          <w:b/>
          <w:sz w:val="32"/>
          <w:szCs w:val="32"/>
        </w:rPr>
        <w:t>PRESS RELEASE</w:t>
      </w:r>
      <w:r w:rsidRPr="0071303C">
        <w:rPr>
          <w:b/>
          <w:sz w:val="28"/>
          <w:szCs w:val="28"/>
        </w:rPr>
        <w:t xml:space="preserve">                  </w:t>
      </w:r>
      <w:proofErr w:type="spellStart"/>
      <w:r w:rsidRPr="0071303C">
        <w:rPr>
          <w:sz w:val="28"/>
          <w:szCs w:val="28"/>
        </w:rPr>
        <w:t>Release</w:t>
      </w:r>
      <w:proofErr w:type="spellEnd"/>
      <w:r w:rsidRPr="0071303C">
        <w:rPr>
          <w:sz w:val="28"/>
          <w:szCs w:val="28"/>
        </w:rPr>
        <w:t xml:space="preserve"> Date: September 27, 2018</w:t>
      </w:r>
    </w:p>
    <w:p w:rsidR="00DF3EE9" w:rsidRPr="0071303C" w:rsidRDefault="00DF3EE9" w:rsidP="00DF3EE9">
      <w:pPr>
        <w:pBdr>
          <w:top w:val="double" w:sz="4" w:space="1" w:color="auto"/>
          <w:bottom w:val="double" w:sz="4" w:space="1" w:color="auto"/>
        </w:pBdr>
        <w:spacing w:afterLines="50" w:after="120" w:line="320" w:lineRule="exact"/>
        <w:rPr>
          <w:rFonts w:eastAsia="標楷體"/>
          <w:sz w:val="28"/>
          <w:szCs w:val="28"/>
        </w:rPr>
      </w:pPr>
      <w:r w:rsidRPr="0071303C">
        <w:rPr>
          <w:rFonts w:eastAsia="標楷體"/>
          <w:sz w:val="28"/>
          <w:szCs w:val="28"/>
        </w:rPr>
        <w:t>&lt;Website</w:t>
      </w:r>
      <w:r w:rsidRPr="0071303C">
        <w:rPr>
          <w:rFonts w:eastAsia="標楷體"/>
          <w:sz w:val="28"/>
          <w:szCs w:val="28"/>
        </w:rPr>
        <w:t>：</w:t>
      </w:r>
      <w:r w:rsidRPr="0071303C">
        <w:rPr>
          <w:rFonts w:eastAsia="標楷體"/>
          <w:sz w:val="28"/>
          <w:szCs w:val="28"/>
        </w:rPr>
        <w:t>http://www.cbc.gov.tw&gt;</w:t>
      </w:r>
    </w:p>
    <w:p w:rsidR="00DF3EE9" w:rsidRPr="0071303C" w:rsidRDefault="00DF3EE9" w:rsidP="00DF3EE9">
      <w:pPr>
        <w:pStyle w:val="11"/>
        <w:tabs>
          <w:tab w:val="left" w:pos="0"/>
        </w:tabs>
        <w:spacing w:before="0" w:afterLines="50" w:after="120" w:line="320" w:lineRule="exact"/>
        <w:ind w:right="-28"/>
        <w:jc w:val="center"/>
        <w:rPr>
          <w:rFonts w:ascii="Times New Roman" w:hAnsi="Times New Roman" w:cs="Times New Roman"/>
          <w:sz w:val="28"/>
          <w:szCs w:val="28"/>
        </w:rPr>
      </w:pPr>
      <w:r w:rsidRPr="0071303C">
        <w:rPr>
          <w:rFonts w:ascii="Times New Roman" w:hAnsi="Times New Roman" w:cs="Times New Roman"/>
          <w:sz w:val="28"/>
          <w:szCs w:val="28"/>
        </w:rPr>
        <w:t>Monetary Policy Decision of the Board Meeting</w:t>
      </w:r>
    </w:p>
    <w:p w:rsidR="00DF3EE9" w:rsidRPr="0071303C" w:rsidRDefault="00DF3EE9" w:rsidP="00DF3EE9">
      <w:pPr>
        <w:pStyle w:val="af3"/>
        <w:numPr>
          <w:ilvl w:val="0"/>
          <w:numId w:val="28"/>
        </w:numPr>
        <w:tabs>
          <w:tab w:val="clear" w:pos="480"/>
          <w:tab w:val="num" w:pos="426"/>
        </w:tabs>
        <w:adjustRightInd/>
        <w:spacing w:before="0" w:afterLines="50" w:after="120" w:line="320" w:lineRule="exact"/>
        <w:ind w:left="426" w:hanging="426"/>
        <w:jc w:val="both"/>
        <w:textAlignment w:val="auto"/>
        <w:rPr>
          <w:sz w:val="24"/>
          <w:szCs w:val="28"/>
        </w:rPr>
      </w:pPr>
      <w:r w:rsidRPr="0071303C">
        <w:rPr>
          <w:sz w:val="24"/>
          <w:szCs w:val="28"/>
        </w:rPr>
        <w:t>Global economic and financial conditions</w:t>
      </w:r>
    </w:p>
    <w:p w:rsidR="00DF3EE9" w:rsidRPr="0071303C" w:rsidRDefault="00DF3EE9" w:rsidP="00DF3EE9">
      <w:pPr>
        <w:pStyle w:val="afff5"/>
        <w:spacing w:afterLines="50" w:after="120" w:line="400" w:lineRule="exact"/>
        <w:ind w:leftChars="0" w:left="357"/>
        <w:rPr>
          <w:rFonts w:ascii="Times New Roman"/>
          <w:sz w:val="24"/>
          <w:szCs w:val="28"/>
        </w:rPr>
      </w:pPr>
      <w:r w:rsidRPr="0071303C">
        <w:rPr>
          <w:rFonts w:ascii="Times New Roman"/>
          <w:sz w:val="24"/>
          <w:szCs w:val="28"/>
        </w:rPr>
        <w:t>Since the Board last met in late June this year, the global economy has witnessed continuous growth. Nevertheless, signs of escalation in trade friction between the US and China and further gradual normalization of the US monetary policy, combined with currency depreciation and deteriorating economic and financial conditions in several emerging market economies such as Turkey, have heightened volatility in global f</w:t>
      </w:r>
      <w:bookmarkStart w:id="0" w:name="_GoBack"/>
      <w:bookmarkEnd w:id="0"/>
      <w:r w:rsidRPr="0071303C">
        <w:rPr>
          <w:rFonts w:ascii="Times New Roman"/>
          <w:sz w:val="24"/>
          <w:szCs w:val="28"/>
        </w:rPr>
        <w:t>inancial markets and affected the global economic outlook.</w:t>
      </w:r>
    </w:p>
    <w:p w:rsidR="00DF3EE9" w:rsidRPr="0071303C" w:rsidRDefault="00DF3EE9" w:rsidP="00DF3EE9">
      <w:pPr>
        <w:pStyle w:val="afff5"/>
        <w:spacing w:afterLines="50" w:after="120" w:line="400" w:lineRule="exact"/>
        <w:ind w:leftChars="0" w:left="357"/>
        <w:rPr>
          <w:rFonts w:ascii="Times New Roman"/>
          <w:sz w:val="24"/>
          <w:szCs w:val="28"/>
        </w:rPr>
      </w:pPr>
      <w:r w:rsidRPr="0071303C">
        <w:rPr>
          <w:rFonts w:ascii="Times New Roman"/>
          <w:sz w:val="24"/>
          <w:szCs w:val="28"/>
        </w:rPr>
        <w:t>International institutions widely expect the global economy to have a weaker performance in the second half of the year than the first half and major economies to post slower growth in 2019. Nevertheless, currency devaluation in many economies induced by a strengthening US dollar and energy price rises have pushed up global inflation expectations.</w:t>
      </w:r>
    </w:p>
    <w:p w:rsidR="00DF3EE9" w:rsidRPr="0071303C" w:rsidRDefault="00DF3EE9" w:rsidP="00DF3EE9">
      <w:pPr>
        <w:pStyle w:val="af3"/>
        <w:numPr>
          <w:ilvl w:val="0"/>
          <w:numId w:val="28"/>
        </w:numPr>
        <w:adjustRightInd/>
        <w:spacing w:before="0" w:afterLines="50" w:after="120" w:line="320" w:lineRule="exact"/>
        <w:jc w:val="both"/>
        <w:textAlignment w:val="auto"/>
        <w:rPr>
          <w:sz w:val="24"/>
          <w:szCs w:val="28"/>
        </w:rPr>
      </w:pPr>
      <w:r w:rsidRPr="0071303C">
        <w:rPr>
          <w:sz w:val="24"/>
          <w:szCs w:val="28"/>
        </w:rPr>
        <w:t>Domestic economic and financial conditions</w:t>
      </w:r>
    </w:p>
    <w:p w:rsidR="00DF3EE9" w:rsidRPr="0071303C" w:rsidRDefault="00DF3EE9" w:rsidP="00DF3EE9">
      <w:pPr>
        <w:pStyle w:val="afff5"/>
        <w:numPr>
          <w:ilvl w:val="0"/>
          <w:numId w:val="29"/>
        </w:numPr>
        <w:adjustRightInd/>
        <w:spacing w:afterLines="50" w:after="120" w:line="400" w:lineRule="exact"/>
        <w:ind w:leftChars="0" w:left="357"/>
        <w:textAlignment w:val="auto"/>
        <w:rPr>
          <w:rFonts w:ascii="Times New Roman"/>
          <w:sz w:val="24"/>
          <w:szCs w:val="28"/>
        </w:rPr>
      </w:pPr>
      <w:r w:rsidRPr="0071303C">
        <w:rPr>
          <w:rFonts w:ascii="Times New Roman"/>
          <w:sz w:val="24"/>
          <w:szCs w:val="28"/>
        </w:rPr>
        <w:t>Since mid-2018, affected by global economic uncertainties such as US-China trade conflicts and a higher comparison base, export growth has slowed slightly. On the other hand, domestic demand has remained the key driving force of economic growth. Of the components, stable employment and higher wages have contributed to moderate growth in private consumption. Capital equipment imports have expanded, private investment has picked up, and public investment has also continued to rise. The CBC forecasts Taiwan's economy to grow by 2.30% for the second half of the year and 2.73% for the entire year.</w:t>
      </w:r>
    </w:p>
    <w:p w:rsidR="00DF3EE9" w:rsidRPr="0071303C" w:rsidRDefault="00DF3EE9" w:rsidP="00DF3EE9">
      <w:pPr>
        <w:pStyle w:val="afff5"/>
        <w:spacing w:afterLines="50" w:after="120" w:line="400" w:lineRule="exact"/>
        <w:ind w:leftChars="0" w:left="357"/>
        <w:rPr>
          <w:rFonts w:ascii="Times New Roman"/>
          <w:sz w:val="24"/>
          <w:szCs w:val="28"/>
        </w:rPr>
      </w:pPr>
      <w:r w:rsidRPr="0071303C">
        <w:rPr>
          <w:rFonts w:ascii="Times New Roman"/>
          <w:sz w:val="24"/>
          <w:szCs w:val="28"/>
        </w:rPr>
        <w:t>Looking ahead to 2019, the government will increase public investment, while private consumption is likely to grow at a steady pace. However, deceleration in global economic and trade growth may lead exports and private investment to register slightly weaker growth next year than this year. As a result, the CBC projects the domestic economy to advance by 2.48% in 2019. Domestic demand will continue to serve as the primary driver of economic growth.</w:t>
      </w:r>
    </w:p>
    <w:p w:rsidR="00DF3EE9" w:rsidRPr="0071303C" w:rsidRDefault="00DF3EE9" w:rsidP="00DF3EE9">
      <w:pPr>
        <w:pStyle w:val="afff5"/>
        <w:numPr>
          <w:ilvl w:val="0"/>
          <w:numId w:val="29"/>
        </w:numPr>
        <w:adjustRightInd/>
        <w:spacing w:afterLines="50" w:after="120" w:line="400" w:lineRule="exact"/>
        <w:ind w:leftChars="0"/>
        <w:textAlignment w:val="auto"/>
        <w:rPr>
          <w:rFonts w:ascii="Times New Roman"/>
          <w:sz w:val="24"/>
          <w:szCs w:val="28"/>
        </w:rPr>
      </w:pPr>
      <w:r w:rsidRPr="0071303C">
        <w:rPr>
          <w:rFonts w:ascii="Times New Roman"/>
          <w:sz w:val="24"/>
          <w:szCs w:val="28"/>
        </w:rPr>
        <w:t xml:space="preserve">For the first eight months of the year, the average CPI annual growth rate was 1.64%, while core inflation (excluding vegetables, fruit, and energy items) averaged 1.44%, reflecting a mild price uptrend. Crop damage caused by recent torrential rain and elevated oil prices have driven short-term prices upwards, yet inflation is likely to moderate as the effect of the cigarette tax hike is expected to significantly fade away in the fourth quarter. The CBC projects the annual growth rates of CPI and core CPI for 2018 to be 1.50% and 1.28%, respectively. </w:t>
      </w:r>
    </w:p>
    <w:p w:rsidR="00DF3EE9" w:rsidRPr="0071303C" w:rsidRDefault="00DF3EE9" w:rsidP="00DF3EE9">
      <w:pPr>
        <w:pStyle w:val="afff5"/>
        <w:spacing w:afterLines="50" w:after="120" w:line="400" w:lineRule="exact"/>
        <w:ind w:leftChars="0" w:left="357"/>
        <w:rPr>
          <w:rFonts w:ascii="Times New Roman"/>
          <w:sz w:val="24"/>
          <w:szCs w:val="28"/>
        </w:rPr>
      </w:pPr>
      <w:r w:rsidRPr="0071303C">
        <w:rPr>
          <w:rFonts w:ascii="Times New Roman"/>
          <w:sz w:val="24"/>
          <w:szCs w:val="28"/>
        </w:rPr>
        <w:t>In terms of next year, as global oil prices are forecast by international institutions to rise less sharply than this year, along with moderate domestic demand and the dissipation of effects from mid-2017's cigarette tax hike, CPI and core CPI are projected by the CBC to increase by 1.05% and 1.00% year on year in 2019, both slower than 2018. The outlook for inflation is mild (Table 1 in Appendix).</w:t>
      </w:r>
    </w:p>
    <w:p w:rsidR="00DF3EE9" w:rsidRPr="0071303C" w:rsidRDefault="00DF3EE9" w:rsidP="00DF3EE9">
      <w:pPr>
        <w:pStyle w:val="afff5"/>
        <w:numPr>
          <w:ilvl w:val="0"/>
          <w:numId w:val="29"/>
        </w:numPr>
        <w:adjustRightInd/>
        <w:spacing w:afterLines="50" w:after="120" w:line="400" w:lineRule="exact"/>
        <w:ind w:leftChars="0" w:left="357"/>
        <w:textAlignment w:val="auto"/>
        <w:rPr>
          <w:rFonts w:ascii="Times New Roman"/>
          <w:sz w:val="24"/>
          <w:szCs w:val="28"/>
        </w:rPr>
      </w:pPr>
      <w:r w:rsidRPr="0071303C">
        <w:rPr>
          <w:rFonts w:ascii="Times New Roman"/>
          <w:sz w:val="24"/>
          <w:szCs w:val="28"/>
        </w:rPr>
        <w:t xml:space="preserve">In line with continued domestic economic growth and mild inflation, the CBC has managed market liquidity with flexibility, and banks' reserves have remained at an appropriate level. For the first eight months of the year, the annual growth rate of bank loans and investments averaged 5.23%, representing steady growth. In the meantime, the monetary aggregate M2 expanded at an annual pace of 3.66%, within the target range. Overall, financial conditions remained accommodative with ample market liquidity and stable short- and long-term market rates. </w:t>
      </w:r>
    </w:p>
    <w:p w:rsidR="00DF3EE9" w:rsidRPr="0071303C" w:rsidRDefault="00DF3EE9" w:rsidP="00DF3EE9">
      <w:pPr>
        <w:pStyle w:val="af3"/>
        <w:numPr>
          <w:ilvl w:val="0"/>
          <w:numId w:val="28"/>
        </w:numPr>
        <w:adjustRightInd/>
        <w:spacing w:before="0" w:afterLines="50" w:after="120" w:line="320" w:lineRule="exact"/>
        <w:jc w:val="both"/>
        <w:textAlignment w:val="auto"/>
        <w:rPr>
          <w:sz w:val="24"/>
          <w:szCs w:val="28"/>
        </w:rPr>
      </w:pPr>
      <w:r w:rsidRPr="0071303C">
        <w:rPr>
          <w:sz w:val="24"/>
          <w:szCs w:val="28"/>
        </w:rPr>
        <w:t xml:space="preserve">Interest rate decision </w:t>
      </w:r>
    </w:p>
    <w:p w:rsidR="00DF3EE9" w:rsidRPr="0071303C" w:rsidRDefault="00DF3EE9" w:rsidP="00DF3EE9">
      <w:pPr>
        <w:pStyle w:val="afff5"/>
        <w:spacing w:afterLines="50" w:after="120" w:line="400" w:lineRule="exact"/>
        <w:ind w:leftChars="0" w:left="357"/>
        <w:rPr>
          <w:rFonts w:ascii="Times New Roman"/>
          <w:sz w:val="24"/>
          <w:szCs w:val="28"/>
        </w:rPr>
      </w:pPr>
      <w:r w:rsidRPr="0071303C">
        <w:rPr>
          <w:rFonts w:ascii="Times New Roman"/>
          <w:sz w:val="24"/>
          <w:szCs w:val="28"/>
        </w:rPr>
        <w:t>Domestic inflationary pressures are mild, and the output gap, though expected to narrow further this and next year, remains negative, indicating a stable inflation outlook. Moreover, as the many uncertainties over the global economic outlook could restrain the strength of the economic pickup from the second half of this year into next year, the growth momentum for Taiwan's economy is still moderate. Meanwhile, Taiwan's nominal and real interest rates register around the middle range among a host of economies (Figure 1 and Table 2 in Appendix). Based on the above assessments, the Board judged that a policy rate hold and a continued accommodative monetary policy stance will help foster price and financial stability and sustain economic growth.</w:t>
      </w:r>
    </w:p>
    <w:p w:rsidR="00DF3EE9" w:rsidRPr="0071303C" w:rsidRDefault="00DF3EE9" w:rsidP="00F825E6">
      <w:pPr>
        <w:pStyle w:val="afff5"/>
        <w:spacing w:line="400" w:lineRule="exact"/>
        <w:ind w:leftChars="0" w:left="357"/>
        <w:rPr>
          <w:rFonts w:ascii="Times New Roman"/>
          <w:sz w:val="24"/>
          <w:szCs w:val="28"/>
        </w:rPr>
      </w:pPr>
      <w:r w:rsidRPr="0071303C">
        <w:rPr>
          <w:rFonts w:ascii="Times New Roman"/>
          <w:sz w:val="24"/>
          <w:szCs w:val="28"/>
        </w:rPr>
        <w:t>The Board reached the following decision unanimously at the Meeting today:</w:t>
      </w:r>
    </w:p>
    <w:p w:rsidR="00DF3EE9" w:rsidRPr="0071303C" w:rsidRDefault="00DF3EE9" w:rsidP="00DF3EE9">
      <w:pPr>
        <w:pStyle w:val="afff5"/>
        <w:spacing w:afterLines="50" w:after="120" w:line="400" w:lineRule="exact"/>
        <w:ind w:leftChars="350" w:left="700"/>
        <w:rPr>
          <w:rFonts w:ascii="Times New Roman"/>
          <w:sz w:val="24"/>
          <w:szCs w:val="28"/>
        </w:rPr>
      </w:pPr>
      <w:r w:rsidRPr="0071303C">
        <w:rPr>
          <w:rFonts w:ascii="Times New Roman"/>
          <w:sz w:val="24"/>
          <w:szCs w:val="28"/>
        </w:rPr>
        <w:t>The discount rate, the rate on accommodations with collateral, and the rate on accommodations without collateral are kept unchanged at 1.375%, 1.75%, and 3.625%, respectively.</w:t>
      </w:r>
    </w:p>
    <w:p w:rsidR="00DF3EE9" w:rsidRPr="0071303C" w:rsidRDefault="00DF3EE9" w:rsidP="00DF3EE9">
      <w:pPr>
        <w:pStyle w:val="afff5"/>
        <w:spacing w:afterLines="50" w:after="120" w:line="400" w:lineRule="exact"/>
        <w:ind w:leftChars="0" w:left="357"/>
        <w:rPr>
          <w:rFonts w:ascii="Times New Roman"/>
          <w:sz w:val="24"/>
          <w:szCs w:val="28"/>
        </w:rPr>
      </w:pPr>
      <w:r w:rsidRPr="0071303C">
        <w:rPr>
          <w:rFonts w:ascii="Times New Roman"/>
          <w:sz w:val="24"/>
          <w:szCs w:val="28"/>
        </w:rPr>
        <w:t xml:space="preserve">The CBC will continue monitoring domestic economic and financial conditions and pay close attention to any possible impacts on Taiwan's economic and trade activities and financial market stability resulting from global trade disputes, monetary policy normalization in major economies (except for the US Fed on track for more rate hikes, central banks in the euro area, Japan, and China maintain an accommodative stance), and financial risks facing emerging market economies. We will undertake appropriate and timely monetary policy actions as warranted to fulfill the central bank's statutory mandate. </w:t>
      </w:r>
    </w:p>
    <w:p w:rsidR="00DF3EE9" w:rsidRPr="0071303C" w:rsidRDefault="00DF3EE9" w:rsidP="00DF3EE9">
      <w:pPr>
        <w:pStyle w:val="af3"/>
        <w:widowControl/>
        <w:numPr>
          <w:ilvl w:val="0"/>
          <w:numId w:val="28"/>
        </w:numPr>
        <w:adjustRightInd/>
        <w:spacing w:before="0" w:afterLines="50" w:after="120" w:line="400" w:lineRule="exact"/>
        <w:jc w:val="both"/>
        <w:textAlignment w:val="auto"/>
        <w:rPr>
          <w:sz w:val="24"/>
          <w:szCs w:val="28"/>
        </w:rPr>
      </w:pPr>
      <w:r w:rsidRPr="0071303C">
        <w:rPr>
          <w:sz w:val="24"/>
          <w:szCs w:val="28"/>
        </w:rPr>
        <w:t xml:space="preserve">To ensure financial stability, the CBC has kept a watchful eye on financial institutions' management of risks associated with real estate lending. In addition, since the mortgage debt-to-income ratio (monthly mortgage repayment as a percentage of monthly disposable income) of the household sector has exceeded 30%, borrowers are advised to be mindful of increased debt-servicing burdens after the expiration of grace periods and risks stemming from future interest rate changes.  </w:t>
      </w:r>
    </w:p>
    <w:p w:rsidR="00DF3EE9" w:rsidRPr="0071303C" w:rsidRDefault="00DF3EE9" w:rsidP="00DF3EE9">
      <w:pPr>
        <w:pStyle w:val="af3"/>
        <w:widowControl/>
        <w:numPr>
          <w:ilvl w:val="0"/>
          <w:numId w:val="28"/>
        </w:numPr>
        <w:tabs>
          <w:tab w:val="clear" w:pos="480"/>
          <w:tab w:val="num" w:pos="284"/>
        </w:tabs>
        <w:adjustRightInd/>
        <w:spacing w:before="0" w:afterLines="50" w:after="120" w:line="400" w:lineRule="exact"/>
        <w:ind w:left="426" w:hanging="426"/>
        <w:jc w:val="both"/>
        <w:textAlignment w:val="auto"/>
        <w:rPr>
          <w:sz w:val="24"/>
          <w:szCs w:val="28"/>
        </w:rPr>
      </w:pPr>
      <w:r w:rsidRPr="0071303C">
        <w:rPr>
          <w:sz w:val="24"/>
          <w:szCs w:val="28"/>
        </w:rPr>
        <w:t xml:space="preserve"> Since the previous Board Meeting, exchange rate volatility has intensified for most emerging market economies. The NT dollar has also seen sharper swings in its exchange rate vis-à-vis the US dollar, but not as volatile as other major currencies. </w:t>
      </w:r>
    </w:p>
    <w:p w:rsidR="00DF3EE9" w:rsidRPr="0071303C" w:rsidRDefault="00DF3EE9" w:rsidP="00DF3EE9">
      <w:pPr>
        <w:pStyle w:val="af3"/>
        <w:widowControl/>
        <w:spacing w:afterLines="50" w:after="120" w:line="400" w:lineRule="exact"/>
        <w:ind w:left="426"/>
        <w:rPr>
          <w:sz w:val="24"/>
          <w:szCs w:val="28"/>
        </w:rPr>
      </w:pPr>
      <w:r w:rsidRPr="0071303C">
        <w:rPr>
          <w:sz w:val="24"/>
          <w:szCs w:val="28"/>
        </w:rPr>
        <w:t>In principle, the NT dollar exchange rate is determined by market forces. If irregular factors (such as massive inflows or outflows of short-term capital) lead to excess volatility and disorderly movements in the NT dollar exchange rate with adverse implications for economic and financial stability, the CBC will, in accordance with its mandate, step in to maintain an orderly foreign exchange market.</w:t>
      </w:r>
    </w:p>
    <w:p w:rsidR="00DF3EE9" w:rsidRPr="003A10B6" w:rsidRDefault="00DF3EE9" w:rsidP="00DF3EE9">
      <w:pPr>
        <w:pStyle w:val="afff5"/>
        <w:spacing w:afterLines="50" w:after="120" w:line="400" w:lineRule="exact"/>
        <w:ind w:leftChars="0" w:left="360"/>
        <w:rPr>
          <w:sz w:val="28"/>
          <w:szCs w:val="28"/>
        </w:rPr>
      </w:pPr>
    </w:p>
    <w:p w:rsidR="00DF3EE9" w:rsidRDefault="00DF3EE9" w:rsidP="00766E4B">
      <w:pPr>
        <w:spacing w:before="120" w:line="440" w:lineRule="exact"/>
        <w:ind w:firstLineChars="200" w:firstLine="480"/>
        <w:jc w:val="both"/>
        <w:rPr>
          <w:rFonts w:eastAsia="標楷體"/>
          <w:sz w:val="24"/>
          <w:szCs w:val="28"/>
        </w:rPr>
        <w:sectPr w:rsidR="00DF3EE9" w:rsidSect="001B7455">
          <w:pgSz w:w="11907" w:h="16840" w:code="9"/>
          <w:pgMar w:top="1304" w:right="1418" w:bottom="1418" w:left="1418" w:header="0" w:footer="454" w:gutter="0"/>
          <w:paperSrc w:first="15" w:other="15"/>
          <w:pgNumType w:start="1"/>
          <w:cols w:space="425"/>
          <w:docGrid w:linePitch="272"/>
        </w:sectPr>
      </w:pPr>
    </w:p>
    <w:p w:rsidR="00DF3EE9" w:rsidRPr="00E11768" w:rsidRDefault="00DF3EE9" w:rsidP="00C80A6F">
      <w:pPr>
        <w:spacing w:line="480" w:lineRule="exact"/>
        <w:jc w:val="center"/>
        <w:rPr>
          <w:rFonts w:eastAsia="標楷體"/>
          <w:b/>
          <w:sz w:val="32"/>
          <w:szCs w:val="28"/>
        </w:rPr>
      </w:pPr>
      <w:r w:rsidRPr="00E11768">
        <w:rPr>
          <w:rFonts w:eastAsia="標楷體" w:hint="eastAsia"/>
          <w:b/>
          <w:sz w:val="32"/>
          <w:szCs w:val="28"/>
        </w:rPr>
        <w:t>Appendix</w:t>
      </w:r>
    </w:p>
    <w:p w:rsidR="00DF3EE9" w:rsidRPr="005A4463" w:rsidRDefault="00DF3EE9" w:rsidP="00DF3EE9">
      <w:pPr>
        <w:spacing w:beforeLines="50" w:before="120" w:afterLines="50" w:after="120" w:line="480" w:lineRule="exact"/>
        <w:ind w:left="960" w:firstLine="480"/>
        <w:rPr>
          <w:rFonts w:eastAsia="標楷體"/>
          <w:b/>
          <w:sz w:val="32"/>
          <w:szCs w:val="28"/>
        </w:rPr>
      </w:pPr>
      <w:r w:rsidRPr="001E3D02">
        <w:rPr>
          <w:rFonts w:eastAsia="標楷體"/>
          <w:b/>
          <w:noProof/>
          <w:sz w:val="28"/>
          <w:szCs w:val="28"/>
        </w:rPr>
        <mc:AlternateContent>
          <mc:Choice Requires="wps">
            <w:drawing>
              <wp:anchor distT="0" distB="0" distL="114300" distR="114300" simplePos="0" relativeHeight="251679744" behindDoc="0" locked="0" layoutInCell="1" allowOverlap="1" wp14:anchorId="301A6D0C" wp14:editId="00D63C6E">
                <wp:simplePos x="0" y="0"/>
                <wp:positionH relativeFrom="column">
                  <wp:posOffset>4692650</wp:posOffset>
                </wp:positionH>
                <wp:positionV relativeFrom="paragraph">
                  <wp:posOffset>447444</wp:posOffset>
                </wp:positionV>
                <wp:extent cx="545465" cy="142875"/>
                <wp:effectExtent l="0" t="0" r="6985" b="9525"/>
                <wp:wrapNone/>
                <wp:docPr id="307" name="文字方塊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45465" cy="142875"/>
                        </a:xfrm>
                        <a:prstGeom prst="rect">
                          <a:avLst/>
                        </a:prstGeom>
                        <a:solidFill>
                          <a:srgbClr val="FFFFFF"/>
                        </a:solidFill>
                        <a:ln w="9525">
                          <a:noFill/>
                          <a:miter lim="800000"/>
                          <a:headEnd/>
                          <a:tailEnd/>
                        </a:ln>
                      </wps:spPr>
                      <wps:txbx>
                        <w:txbxContent>
                          <w:p w:rsidR="00DF3EE9" w:rsidRPr="001E3D02" w:rsidRDefault="00DF3EE9" w:rsidP="00C80A6F">
                            <w:pPr>
                              <w:spacing w:line="240" w:lineRule="exact"/>
                              <w:rPr>
                                <w:sz w:val="18"/>
                              </w:rPr>
                            </w:pPr>
                            <w:r w:rsidRPr="001E3D02">
                              <w:rPr>
                                <w:rFonts w:eastAsia="標楷體"/>
                                <w:sz w:val="16"/>
                              </w:rPr>
                              <w:t>Unit: %</w:t>
                            </w:r>
                          </w:p>
                        </w:txbxContent>
                      </wps:txbx>
                      <wps:bodyPr rot="0" vert="horz" wrap="square" lIns="0" tIns="0" rIns="0" bIns="0" anchor="t" anchorCtr="0">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文字方塊 2" o:spid="_x0000_s1026" type="#_x0000_t202" style="position:absolute;left:0;text-align:left;margin-left:369.5pt;margin-top:35.25pt;width:42.95pt;height:11.25pt;z-index:251679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" stroked="f">
                <v:textbox inset="0,0,0,0">
                  <w:txbxContent>
                    <w:p w:rsidR="00DF3EE9" w:rsidRPr="001E3D02" w:rsidRDefault="00DF3EE9" w:rsidP="00C80A6F">
                      <w:pPr>
                        <w:spacing w:line="240" w:lineRule="exact"/>
                        <w:rPr>
                          <w:sz w:val="18"/>
                        </w:rPr>
                      </w:pPr>
                      <w:r w:rsidRPr="001E3D02">
                        <w:rPr>
                          <w:rFonts w:eastAsia="標楷體"/>
                          <w:sz w:val="16"/>
                        </w:rPr>
                        <w:t>Unit: %</w:t>
                      </w:r>
                    </w:p>
                  </w:txbxContent>
                </v:textbox>
              </v:shape>
            </w:pict>
          </mc:Fallback>
        </mc:AlternateContent>
      </w:r>
      <w:r>
        <w:rPr>
          <w:rFonts w:eastAsia="標楷體" w:hint="eastAsia"/>
          <w:b/>
          <w:sz w:val="28"/>
          <w:szCs w:val="28"/>
        </w:rPr>
        <w:t xml:space="preserve">Table </w:t>
      </w:r>
      <w:proofErr w:type="gramStart"/>
      <w:r>
        <w:rPr>
          <w:rFonts w:eastAsia="標楷體" w:hint="eastAsia"/>
          <w:b/>
          <w:sz w:val="28"/>
          <w:szCs w:val="28"/>
        </w:rPr>
        <w:t xml:space="preserve">1  </w:t>
      </w:r>
      <w:r>
        <w:rPr>
          <w:rFonts w:eastAsia="標楷體"/>
          <w:b/>
          <w:sz w:val="28"/>
          <w:szCs w:val="28"/>
        </w:rPr>
        <w:t>Taiwan</w:t>
      </w:r>
      <w:r w:rsidRPr="00C37050">
        <w:rPr>
          <w:rFonts w:eastAsia="標楷體" w:hint="eastAsia"/>
          <w:b/>
          <w:sz w:val="28"/>
          <w:szCs w:val="28"/>
        </w:rPr>
        <w:t>'</w:t>
      </w:r>
      <w:r w:rsidRPr="009032EE">
        <w:rPr>
          <w:rFonts w:eastAsia="標楷體"/>
          <w:b/>
          <w:sz w:val="28"/>
          <w:szCs w:val="28"/>
        </w:rPr>
        <w:t>s</w:t>
      </w:r>
      <w:proofErr w:type="gramEnd"/>
      <w:r w:rsidRPr="009032EE">
        <w:rPr>
          <w:rFonts w:eastAsia="標楷體"/>
          <w:b/>
          <w:sz w:val="28"/>
          <w:szCs w:val="28"/>
        </w:rPr>
        <w:t xml:space="preserve"> Inflation and Inflation Outlook</w:t>
      </w:r>
    </w:p>
    <w:tbl>
      <w:tblPr>
        <w:tblpPr w:leftFromText="180" w:rightFromText="180" w:vertAnchor="text" w:horzAnchor="margin" w:tblpY="264"/>
        <w:tblW w:w="10234" w:type="dxa"/>
        <w:tblLayout w:type="fixed"/>
        <w:tblCellMar>
          <w:left w:w="28" w:type="dxa"/>
          <w:right w:w="28" w:type="dxa"/>
        </w:tblCellMar>
        <w:tblLook w:val="04A0" w:firstRow="1" w:lastRow="0" w:firstColumn="1" w:lastColumn="0" w:noHBand="0" w:noVBand="1"/>
      </w:tblPr>
      <w:tblGrid>
        <w:gridCol w:w="1134"/>
        <w:gridCol w:w="2722"/>
        <w:gridCol w:w="1417"/>
        <w:gridCol w:w="1418"/>
        <w:gridCol w:w="1417"/>
        <w:gridCol w:w="2126"/>
      </w:tblGrid>
      <w:tr w:rsidR="00DF3EE9" w:rsidRPr="00975DEB" w:rsidTr="00D424B1">
        <w:trPr>
          <w:trHeight w:val="444"/>
        </w:trPr>
        <w:tc>
          <w:tcPr>
            <w:tcW w:w="3856" w:type="dxa"/>
            <w:gridSpan w:val="2"/>
            <w:vMerge w:val="restart"/>
            <w:tcBorders>
              <w:top w:val="single" w:sz="8" w:space="0" w:color="auto"/>
              <w:left w:val="single" w:sz="6" w:space="0" w:color="auto"/>
              <w:right w:val="single" w:sz="6" w:space="0" w:color="auto"/>
            </w:tcBorders>
            <w:shd w:val="clear" w:color="000000" w:fill="FFFFFF"/>
            <w:noWrap/>
            <w:vAlign w:val="center"/>
            <w:hideMark/>
          </w:tcPr>
          <w:p w:rsidR="00DF3EE9" w:rsidRPr="00D424B1" w:rsidRDefault="00DF3EE9" w:rsidP="00D424B1">
            <w:pPr>
              <w:widowControl/>
              <w:snapToGrid w:val="0"/>
              <w:jc w:val="center"/>
              <w:rPr>
                <w:rFonts w:ascii="標楷體" w:eastAsia="標楷體" w:hAnsi="標楷體"/>
                <w:sz w:val="22"/>
                <w:szCs w:val="22"/>
              </w:rPr>
            </w:pPr>
            <w:r w:rsidRPr="00D424B1">
              <w:rPr>
                <w:rFonts w:eastAsia="標楷體" w:hint="eastAsia"/>
                <w:bCs/>
                <w:sz w:val="22"/>
                <w:szCs w:val="22"/>
              </w:rPr>
              <w:t>Forecast institutions</w:t>
            </w:r>
          </w:p>
        </w:tc>
        <w:tc>
          <w:tcPr>
            <w:tcW w:w="1417" w:type="dxa"/>
            <w:tcBorders>
              <w:top w:val="single" w:sz="8" w:space="0" w:color="auto"/>
              <w:left w:val="single" w:sz="6" w:space="0" w:color="auto"/>
              <w:bottom w:val="single" w:sz="6" w:space="0" w:color="auto"/>
              <w:right w:val="single" w:sz="6" w:space="0" w:color="auto"/>
            </w:tcBorders>
            <w:shd w:val="clear" w:color="000000" w:fill="FFFFFF"/>
            <w:noWrap/>
            <w:vAlign w:val="center"/>
            <w:hideMark/>
          </w:tcPr>
          <w:p w:rsidR="00DF3EE9" w:rsidRPr="00C80A6F" w:rsidRDefault="00DF3EE9" w:rsidP="00D424B1">
            <w:pPr>
              <w:widowControl/>
              <w:snapToGrid w:val="0"/>
              <w:jc w:val="center"/>
              <w:rPr>
                <w:rFonts w:eastAsia="標楷體"/>
                <w:b/>
                <w:bCs/>
                <w:sz w:val="22"/>
                <w:szCs w:val="22"/>
              </w:rPr>
            </w:pPr>
            <w:r w:rsidRPr="00C80A6F">
              <w:rPr>
                <w:rFonts w:eastAsia="標楷體" w:hint="eastAsia"/>
                <w:b/>
                <w:bCs/>
                <w:sz w:val="22"/>
                <w:szCs w:val="22"/>
              </w:rPr>
              <w:t>Inflation</w:t>
            </w:r>
          </w:p>
        </w:tc>
        <w:tc>
          <w:tcPr>
            <w:tcW w:w="2835" w:type="dxa"/>
            <w:gridSpan w:val="2"/>
            <w:tcBorders>
              <w:top w:val="single" w:sz="8" w:space="0" w:color="auto"/>
              <w:left w:val="single" w:sz="6" w:space="0" w:color="auto"/>
              <w:bottom w:val="single" w:sz="6" w:space="0" w:color="auto"/>
              <w:right w:val="single" w:sz="4" w:space="0" w:color="auto"/>
            </w:tcBorders>
            <w:shd w:val="clear" w:color="000000" w:fill="FFFFFF"/>
            <w:vAlign w:val="center"/>
          </w:tcPr>
          <w:p w:rsidR="00DF3EE9" w:rsidRPr="00C80A6F" w:rsidRDefault="00DF3EE9" w:rsidP="00D424B1">
            <w:pPr>
              <w:widowControl/>
              <w:snapToGrid w:val="0"/>
              <w:jc w:val="center"/>
              <w:rPr>
                <w:rFonts w:eastAsia="標楷體"/>
                <w:b/>
                <w:bCs/>
                <w:sz w:val="22"/>
                <w:szCs w:val="22"/>
              </w:rPr>
            </w:pPr>
            <w:r w:rsidRPr="00C80A6F">
              <w:rPr>
                <w:rFonts w:eastAsia="標楷體" w:hint="eastAsia"/>
                <w:b/>
                <w:bCs/>
                <w:sz w:val="22"/>
                <w:szCs w:val="22"/>
              </w:rPr>
              <w:t>Inflation outlook</w:t>
            </w:r>
          </w:p>
        </w:tc>
        <w:tc>
          <w:tcPr>
            <w:tcW w:w="2126" w:type="dxa"/>
            <w:vMerge w:val="restart"/>
            <w:tcBorders>
              <w:left w:val="single" w:sz="4" w:space="0" w:color="auto"/>
            </w:tcBorders>
            <w:shd w:val="clear" w:color="000000" w:fill="FFFFFF"/>
          </w:tcPr>
          <w:p w:rsidR="00DF3EE9" w:rsidRDefault="00DF3EE9" w:rsidP="00D424B1">
            <w:pPr>
              <w:widowControl/>
              <w:snapToGrid w:val="0"/>
              <w:jc w:val="center"/>
              <w:rPr>
                <w:rFonts w:ascii="標楷體" w:eastAsia="標楷體" w:hAnsi="標楷體" w:cs="新細明體"/>
                <w:b/>
                <w:bCs/>
                <w:sz w:val="22"/>
                <w:szCs w:val="22"/>
              </w:rPr>
            </w:pPr>
          </w:p>
          <w:p w:rsidR="00DF3EE9" w:rsidRDefault="00DF3EE9" w:rsidP="00D424B1">
            <w:pPr>
              <w:widowControl/>
              <w:snapToGrid w:val="0"/>
              <w:jc w:val="center"/>
              <w:rPr>
                <w:rFonts w:ascii="標楷體" w:eastAsia="標楷體" w:hAnsi="標楷體" w:cs="新細明體"/>
                <w:b/>
                <w:bCs/>
                <w:sz w:val="22"/>
                <w:szCs w:val="22"/>
              </w:rPr>
            </w:pPr>
          </w:p>
          <w:p w:rsidR="00DF3EE9" w:rsidRDefault="00DF3EE9" w:rsidP="00D424B1">
            <w:pPr>
              <w:widowControl/>
              <w:snapToGrid w:val="0"/>
              <w:jc w:val="center"/>
              <w:rPr>
                <w:rFonts w:ascii="標楷體" w:eastAsia="標楷體" w:hAnsi="標楷體" w:cs="新細明體"/>
                <w:b/>
                <w:bCs/>
                <w:sz w:val="22"/>
                <w:szCs w:val="22"/>
              </w:rPr>
            </w:pPr>
          </w:p>
          <w:p w:rsidR="00DF3EE9" w:rsidRDefault="00DF3EE9" w:rsidP="00D424B1">
            <w:pPr>
              <w:widowControl/>
              <w:snapToGrid w:val="0"/>
              <w:jc w:val="center"/>
              <w:rPr>
                <w:rFonts w:ascii="標楷體" w:eastAsia="標楷體" w:hAnsi="標楷體" w:cs="新細明體"/>
                <w:b/>
                <w:bCs/>
                <w:sz w:val="22"/>
                <w:szCs w:val="22"/>
              </w:rPr>
            </w:pPr>
          </w:p>
          <w:p w:rsidR="00DF3EE9" w:rsidRPr="00D424B1" w:rsidRDefault="00DF3EE9" w:rsidP="00D424B1">
            <w:pPr>
              <w:widowControl/>
              <w:snapToGrid w:val="0"/>
              <w:spacing w:line="440" w:lineRule="exact"/>
              <w:jc w:val="center"/>
              <w:rPr>
                <w:rFonts w:eastAsia="標楷體"/>
                <w:b/>
                <w:bCs/>
                <w:sz w:val="22"/>
                <w:szCs w:val="22"/>
                <w:u w:val="single"/>
              </w:rPr>
            </w:pPr>
            <w:r w:rsidRPr="00D424B1">
              <w:rPr>
                <w:rFonts w:eastAsia="標楷體"/>
                <w:b/>
                <w:bCs/>
                <w:sz w:val="22"/>
                <w:szCs w:val="22"/>
                <w:u w:val="single"/>
              </w:rPr>
              <w:t>Median:</w:t>
            </w:r>
            <w:r w:rsidRPr="00D424B1">
              <w:rPr>
                <w:rFonts w:eastAsia="標楷體"/>
                <w:b/>
                <w:bCs/>
                <w:sz w:val="22"/>
                <w:szCs w:val="22"/>
              </w:rPr>
              <w:t xml:space="preserve"> </w:t>
            </w:r>
          </w:p>
          <w:p w:rsidR="00DF3EE9" w:rsidRPr="00D424B1" w:rsidRDefault="00DF3EE9" w:rsidP="00D424B1">
            <w:pPr>
              <w:widowControl/>
              <w:snapToGrid w:val="0"/>
              <w:spacing w:line="440" w:lineRule="exact"/>
              <w:jc w:val="center"/>
              <w:rPr>
                <w:b/>
                <w:bCs/>
                <w:sz w:val="22"/>
                <w:szCs w:val="22"/>
              </w:rPr>
            </w:pPr>
            <w:r w:rsidRPr="00D424B1">
              <w:rPr>
                <w:rFonts w:hint="eastAsia"/>
                <w:b/>
                <w:bCs/>
                <w:sz w:val="22"/>
                <w:szCs w:val="22"/>
              </w:rPr>
              <w:t>1.56% (2018)</w:t>
            </w:r>
          </w:p>
          <w:p w:rsidR="00DF3EE9" w:rsidRPr="00D424B1" w:rsidRDefault="00DF3EE9" w:rsidP="00D424B1">
            <w:pPr>
              <w:widowControl/>
              <w:snapToGrid w:val="0"/>
              <w:spacing w:line="440" w:lineRule="exact"/>
              <w:jc w:val="center"/>
              <w:rPr>
                <w:b/>
                <w:bCs/>
                <w:sz w:val="22"/>
                <w:szCs w:val="22"/>
              </w:rPr>
            </w:pPr>
            <w:r w:rsidRPr="00D424B1">
              <w:rPr>
                <w:rFonts w:hint="eastAsia"/>
                <w:b/>
                <w:bCs/>
                <w:sz w:val="22"/>
                <w:szCs w:val="22"/>
              </w:rPr>
              <w:t>1.10% (2019)</w:t>
            </w:r>
          </w:p>
          <w:p w:rsidR="00DF3EE9" w:rsidRPr="00D424B1" w:rsidRDefault="00DF3EE9" w:rsidP="00D424B1">
            <w:pPr>
              <w:jc w:val="center"/>
              <w:rPr>
                <w:rFonts w:eastAsia="標楷體"/>
                <w:b/>
                <w:sz w:val="22"/>
                <w:szCs w:val="22"/>
              </w:rPr>
            </w:pPr>
            <w:r w:rsidRPr="00D424B1">
              <w:rPr>
                <w:b/>
                <w:sz w:val="22"/>
                <w:szCs w:val="22"/>
              </w:rPr>
              <w:t>(domestic institutions)</w:t>
            </w:r>
          </w:p>
          <w:p w:rsidR="00DF3EE9" w:rsidRDefault="00DF3EE9" w:rsidP="00D424B1">
            <w:pPr>
              <w:widowControl/>
              <w:snapToGrid w:val="0"/>
              <w:jc w:val="center"/>
              <w:rPr>
                <w:rFonts w:ascii="標楷體" w:eastAsia="標楷體" w:hAnsi="標楷體" w:cs="新細明體"/>
                <w:b/>
                <w:bCs/>
                <w:sz w:val="22"/>
                <w:szCs w:val="22"/>
              </w:rPr>
            </w:pPr>
          </w:p>
          <w:p w:rsidR="00DF3EE9" w:rsidRDefault="00DF3EE9" w:rsidP="00D424B1">
            <w:pPr>
              <w:widowControl/>
              <w:snapToGrid w:val="0"/>
              <w:jc w:val="center"/>
              <w:rPr>
                <w:rFonts w:ascii="標楷體" w:eastAsia="標楷體" w:hAnsi="標楷體" w:cs="新細明體"/>
                <w:b/>
                <w:bCs/>
                <w:sz w:val="22"/>
                <w:szCs w:val="22"/>
              </w:rPr>
            </w:pPr>
          </w:p>
          <w:p w:rsidR="00DF3EE9" w:rsidRDefault="00DF3EE9" w:rsidP="00D424B1">
            <w:pPr>
              <w:widowControl/>
              <w:snapToGrid w:val="0"/>
              <w:jc w:val="center"/>
              <w:rPr>
                <w:rFonts w:ascii="標楷體" w:eastAsia="標楷體" w:hAnsi="標楷體" w:cs="新細明體"/>
                <w:b/>
                <w:bCs/>
                <w:sz w:val="22"/>
                <w:szCs w:val="22"/>
              </w:rPr>
            </w:pPr>
          </w:p>
          <w:p w:rsidR="00DF3EE9" w:rsidRDefault="00DF3EE9" w:rsidP="00D424B1">
            <w:pPr>
              <w:widowControl/>
              <w:snapToGrid w:val="0"/>
              <w:jc w:val="center"/>
              <w:rPr>
                <w:rFonts w:ascii="標楷體" w:eastAsia="標楷體" w:hAnsi="標楷體" w:cs="新細明體"/>
                <w:b/>
                <w:bCs/>
                <w:sz w:val="22"/>
                <w:szCs w:val="22"/>
              </w:rPr>
            </w:pPr>
          </w:p>
          <w:p w:rsidR="00DF3EE9" w:rsidRDefault="00DF3EE9" w:rsidP="00D424B1">
            <w:pPr>
              <w:widowControl/>
              <w:snapToGrid w:val="0"/>
              <w:jc w:val="center"/>
              <w:rPr>
                <w:rFonts w:ascii="標楷體" w:eastAsia="標楷體" w:hAnsi="標楷體" w:cs="新細明體"/>
                <w:b/>
                <w:bCs/>
                <w:sz w:val="22"/>
                <w:szCs w:val="22"/>
              </w:rPr>
            </w:pPr>
          </w:p>
          <w:p w:rsidR="00DF3EE9" w:rsidRDefault="00DF3EE9" w:rsidP="00D424B1">
            <w:pPr>
              <w:widowControl/>
              <w:snapToGrid w:val="0"/>
              <w:jc w:val="center"/>
              <w:rPr>
                <w:rFonts w:ascii="標楷體" w:eastAsia="標楷體" w:hAnsi="標楷體" w:cs="新細明體"/>
                <w:b/>
                <w:bCs/>
                <w:sz w:val="22"/>
                <w:szCs w:val="22"/>
              </w:rPr>
            </w:pPr>
          </w:p>
          <w:p w:rsidR="00DF3EE9" w:rsidRDefault="00DF3EE9" w:rsidP="00D424B1">
            <w:pPr>
              <w:widowControl/>
              <w:snapToGrid w:val="0"/>
              <w:rPr>
                <w:rFonts w:ascii="標楷體" w:eastAsia="標楷體" w:hAnsi="標楷體" w:cs="新細明體"/>
                <w:b/>
                <w:bCs/>
                <w:sz w:val="22"/>
                <w:szCs w:val="22"/>
              </w:rPr>
            </w:pPr>
          </w:p>
          <w:p w:rsidR="00DF3EE9" w:rsidRPr="00D424B1" w:rsidRDefault="00DF3EE9" w:rsidP="00D424B1">
            <w:pPr>
              <w:widowControl/>
              <w:snapToGrid w:val="0"/>
              <w:spacing w:line="440" w:lineRule="exact"/>
              <w:jc w:val="center"/>
              <w:rPr>
                <w:rFonts w:eastAsia="標楷體"/>
                <w:b/>
                <w:bCs/>
                <w:sz w:val="22"/>
                <w:szCs w:val="22"/>
                <w:u w:val="single"/>
              </w:rPr>
            </w:pPr>
            <w:r w:rsidRPr="00D424B1">
              <w:rPr>
                <w:rFonts w:eastAsia="標楷體"/>
                <w:b/>
                <w:bCs/>
                <w:sz w:val="22"/>
                <w:szCs w:val="22"/>
                <w:u w:val="single"/>
              </w:rPr>
              <w:t>Median:</w:t>
            </w:r>
            <w:r w:rsidRPr="00D424B1">
              <w:rPr>
                <w:rFonts w:eastAsia="標楷體"/>
                <w:b/>
                <w:bCs/>
                <w:sz w:val="22"/>
                <w:szCs w:val="22"/>
              </w:rPr>
              <w:t xml:space="preserve"> </w:t>
            </w:r>
          </w:p>
          <w:p w:rsidR="00DF3EE9" w:rsidRPr="00D424B1" w:rsidRDefault="00DF3EE9" w:rsidP="00D424B1">
            <w:pPr>
              <w:widowControl/>
              <w:snapToGrid w:val="0"/>
              <w:spacing w:line="440" w:lineRule="exact"/>
              <w:jc w:val="center"/>
              <w:rPr>
                <w:b/>
                <w:bCs/>
                <w:sz w:val="22"/>
                <w:szCs w:val="22"/>
              </w:rPr>
            </w:pPr>
            <w:r w:rsidRPr="00D424B1">
              <w:rPr>
                <w:rFonts w:hint="eastAsia"/>
                <w:b/>
                <w:bCs/>
                <w:sz w:val="22"/>
                <w:szCs w:val="22"/>
              </w:rPr>
              <w:t>1.</w:t>
            </w:r>
            <w:r>
              <w:rPr>
                <w:rFonts w:hint="eastAsia"/>
                <w:b/>
                <w:bCs/>
                <w:sz w:val="22"/>
                <w:szCs w:val="22"/>
              </w:rPr>
              <w:t>55</w:t>
            </w:r>
            <w:r w:rsidRPr="00D424B1">
              <w:rPr>
                <w:rFonts w:hint="eastAsia"/>
                <w:b/>
                <w:bCs/>
                <w:sz w:val="22"/>
                <w:szCs w:val="22"/>
              </w:rPr>
              <w:t>% (2018)</w:t>
            </w:r>
          </w:p>
          <w:p w:rsidR="00DF3EE9" w:rsidRPr="00D424B1" w:rsidRDefault="00DF3EE9" w:rsidP="00D424B1">
            <w:pPr>
              <w:widowControl/>
              <w:snapToGrid w:val="0"/>
              <w:spacing w:line="440" w:lineRule="exact"/>
              <w:jc w:val="center"/>
              <w:rPr>
                <w:b/>
                <w:bCs/>
                <w:sz w:val="22"/>
                <w:szCs w:val="22"/>
              </w:rPr>
            </w:pPr>
            <w:r>
              <w:rPr>
                <w:rFonts w:hint="eastAsia"/>
                <w:b/>
                <w:bCs/>
                <w:sz w:val="22"/>
                <w:szCs w:val="22"/>
              </w:rPr>
              <w:t>1.35</w:t>
            </w:r>
            <w:r w:rsidRPr="00D424B1">
              <w:rPr>
                <w:rFonts w:hint="eastAsia"/>
                <w:b/>
                <w:bCs/>
                <w:sz w:val="22"/>
                <w:szCs w:val="22"/>
              </w:rPr>
              <w:t>% (2019)</w:t>
            </w:r>
          </w:p>
          <w:p w:rsidR="00DF3EE9" w:rsidRPr="00D424B1" w:rsidRDefault="00DF3EE9" w:rsidP="00D424B1">
            <w:pPr>
              <w:jc w:val="center"/>
              <w:rPr>
                <w:rFonts w:eastAsia="標楷體"/>
                <w:b/>
                <w:sz w:val="22"/>
                <w:szCs w:val="22"/>
              </w:rPr>
            </w:pPr>
            <w:r>
              <w:rPr>
                <w:b/>
                <w:sz w:val="22"/>
                <w:szCs w:val="22"/>
              </w:rPr>
              <w:t>(</w:t>
            </w:r>
            <w:r>
              <w:rPr>
                <w:rFonts w:hint="eastAsia"/>
                <w:b/>
                <w:sz w:val="22"/>
                <w:szCs w:val="22"/>
              </w:rPr>
              <w:t>foreign</w:t>
            </w:r>
            <w:r w:rsidRPr="00D424B1">
              <w:rPr>
                <w:b/>
                <w:sz w:val="22"/>
                <w:szCs w:val="22"/>
              </w:rPr>
              <w:t xml:space="preserve"> institutions)</w:t>
            </w:r>
          </w:p>
          <w:p w:rsidR="00DF3EE9" w:rsidRPr="00975DEB" w:rsidRDefault="00DF3EE9" w:rsidP="00D424B1">
            <w:pPr>
              <w:widowControl/>
              <w:snapToGrid w:val="0"/>
              <w:jc w:val="center"/>
              <w:rPr>
                <w:rFonts w:ascii="標楷體" w:eastAsia="標楷體" w:hAnsi="標楷體" w:cs="新細明體"/>
                <w:b/>
                <w:bCs/>
                <w:sz w:val="22"/>
                <w:szCs w:val="22"/>
              </w:rPr>
            </w:pPr>
          </w:p>
        </w:tc>
      </w:tr>
      <w:tr w:rsidR="00DF3EE9" w:rsidRPr="00975DEB" w:rsidTr="00D424B1">
        <w:trPr>
          <w:trHeight w:val="420"/>
        </w:trPr>
        <w:tc>
          <w:tcPr>
            <w:tcW w:w="3856" w:type="dxa"/>
            <w:gridSpan w:val="2"/>
            <w:vMerge/>
            <w:tcBorders>
              <w:left w:val="single" w:sz="6" w:space="0" w:color="auto"/>
              <w:bottom w:val="single" w:sz="6" w:space="0" w:color="auto"/>
              <w:right w:val="single" w:sz="6" w:space="0" w:color="auto"/>
            </w:tcBorders>
            <w:shd w:val="clear" w:color="000000" w:fill="FFFFFF"/>
            <w:noWrap/>
            <w:vAlign w:val="bottom"/>
            <w:hideMark/>
          </w:tcPr>
          <w:p w:rsidR="00DF3EE9" w:rsidRPr="00975DEB" w:rsidRDefault="00DF3EE9" w:rsidP="00D424B1">
            <w:pPr>
              <w:widowControl/>
              <w:snapToGrid w:val="0"/>
              <w:rPr>
                <w:rFonts w:ascii="標楷體" w:eastAsia="標楷體" w:hAnsi="標楷體" w:cs="新細明體"/>
                <w:bCs/>
                <w:sz w:val="22"/>
                <w:szCs w:val="22"/>
              </w:rPr>
            </w:pPr>
          </w:p>
        </w:tc>
        <w:tc>
          <w:tcPr>
            <w:tcW w:w="1417" w:type="dxa"/>
            <w:tcBorders>
              <w:top w:val="single" w:sz="6" w:space="0" w:color="auto"/>
              <w:left w:val="single" w:sz="6" w:space="0" w:color="auto"/>
              <w:bottom w:val="single" w:sz="6" w:space="0" w:color="auto"/>
              <w:right w:val="single" w:sz="6" w:space="0" w:color="auto"/>
            </w:tcBorders>
            <w:shd w:val="clear" w:color="000000" w:fill="FFFFFF"/>
            <w:noWrap/>
            <w:vAlign w:val="center"/>
            <w:hideMark/>
          </w:tcPr>
          <w:p w:rsidR="00DF3EE9" w:rsidRPr="00975DEB" w:rsidRDefault="00DF3EE9" w:rsidP="00D424B1">
            <w:pPr>
              <w:widowControl/>
              <w:snapToGrid w:val="0"/>
              <w:jc w:val="center"/>
              <w:rPr>
                <w:bCs/>
                <w:sz w:val="22"/>
                <w:szCs w:val="22"/>
              </w:rPr>
            </w:pPr>
            <w:r>
              <w:rPr>
                <w:bCs/>
                <w:sz w:val="22"/>
                <w:szCs w:val="22"/>
              </w:rPr>
              <w:t>Jan.-</w:t>
            </w:r>
            <w:r>
              <w:rPr>
                <w:rFonts w:hint="eastAsia"/>
                <w:bCs/>
                <w:sz w:val="22"/>
                <w:szCs w:val="22"/>
              </w:rPr>
              <w:t>Aug.</w:t>
            </w:r>
            <w:r>
              <w:rPr>
                <w:bCs/>
                <w:sz w:val="22"/>
                <w:szCs w:val="22"/>
              </w:rPr>
              <w:t xml:space="preserve"> 201</w:t>
            </w:r>
            <w:r>
              <w:rPr>
                <w:rFonts w:hint="eastAsia"/>
                <w:bCs/>
                <w:sz w:val="22"/>
                <w:szCs w:val="22"/>
              </w:rPr>
              <w:t>8</w:t>
            </w:r>
          </w:p>
        </w:tc>
        <w:tc>
          <w:tcPr>
            <w:tcW w:w="1418" w:type="dxa"/>
            <w:tcBorders>
              <w:top w:val="single" w:sz="6" w:space="0" w:color="auto"/>
              <w:left w:val="single" w:sz="6" w:space="0" w:color="auto"/>
              <w:bottom w:val="single" w:sz="6" w:space="0" w:color="auto"/>
              <w:right w:val="single" w:sz="4" w:space="0" w:color="auto"/>
            </w:tcBorders>
            <w:shd w:val="clear" w:color="000000" w:fill="FFFFFF"/>
            <w:vAlign w:val="center"/>
            <w:hideMark/>
          </w:tcPr>
          <w:p w:rsidR="00DF3EE9" w:rsidRPr="00975DEB" w:rsidRDefault="00DF3EE9" w:rsidP="00D424B1">
            <w:pPr>
              <w:widowControl/>
              <w:snapToGrid w:val="0"/>
              <w:jc w:val="center"/>
              <w:rPr>
                <w:rFonts w:eastAsia="標楷體"/>
                <w:bCs/>
                <w:sz w:val="22"/>
                <w:szCs w:val="22"/>
              </w:rPr>
            </w:pPr>
            <w:r w:rsidRPr="00975DEB">
              <w:rPr>
                <w:rFonts w:eastAsia="標楷體"/>
                <w:bCs/>
                <w:sz w:val="22"/>
                <w:szCs w:val="22"/>
              </w:rPr>
              <w:t>2018 (f)</w:t>
            </w:r>
          </w:p>
        </w:tc>
        <w:tc>
          <w:tcPr>
            <w:tcW w:w="1417" w:type="dxa"/>
            <w:tcBorders>
              <w:top w:val="single" w:sz="4" w:space="0" w:color="auto"/>
              <w:left w:val="single" w:sz="4" w:space="0" w:color="auto"/>
              <w:bottom w:val="single" w:sz="4" w:space="0" w:color="auto"/>
              <w:right w:val="single" w:sz="4" w:space="0" w:color="auto"/>
            </w:tcBorders>
            <w:shd w:val="clear" w:color="000000" w:fill="FFFFFF"/>
          </w:tcPr>
          <w:p w:rsidR="00DF3EE9" w:rsidRPr="00975DEB" w:rsidRDefault="00DF3EE9" w:rsidP="00DF3EE9">
            <w:pPr>
              <w:widowControl/>
              <w:snapToGrid w:val="0"/>
              <w:spacing w:beforeLines="25" w:before="60"/>
              <w:jc w:val="center"/>
              <w:rPr>
                <w:rFonts w:eastAsia="標楷體"/>
                <w:bCs/>
                <w:sz w:val="22"/>
                <w:szCs w:val="22"/>
              </w:rPr>
            </w:pPr>
            <w:r w:rsidRPr="00975DEB">
              <w:rPr>
                <w:rFonts w:eastAsia="標楷體" w:hint="eastAsia"/>
                <w:bCs/>
                <w:sz w:val="22"/>
                <w:szCs w:val="22"/>
              </w:rPr>
              <w:t>2019</w:t>
            </w:r>
            <w:r w:rsidRPr="00975DEB">
              <w:rPr>
                <w:rFonts w:eastAsia="標楷體"/>
                <w:bCs/>
                <w:sz w:val="22"/>
                <w:szCs w:val="22"/>
              </w:rPr>
              <w:t xml:space="preserve"> </w:t>
            </w:r>
            <w:r w:rsidRPr="00975DEB">
              <w:rPr>
                <w:rFonts w:eastAsia="標楷體" w:hint="eastAsia"/>
                <w:bCs/>
                <w:sz w:val="22"/>
                <w:szCs w:val="22"/>
              </w:rPr>
              <w:t>(f)</w:t>
            </w:r>
          </w:p>
        </w:tc>
        <w:tc>
          <w:tcPr>
            <w:tcW w:w="2126" w:type="dxa"/>
            <w:vMerge/>
            <w:tcBorders>
              <w:left w:val="single" w:sz="4" w:space="0" w:color="auto"/>
            </w:tcBorders>
            <w:shd w:val="clear" w:color="000000" w:fill="FFFFFF"/>
          </w:tcPr>
          <w:p w:rsidR="00DF3EE9" w:rsidRPr="00975DEB" w:rsidRDefault="00DF3EE9" w:rsidP="00D424B1">
            <w:pPr>
              <w:widowControl/>
              <w:snapToGrid w:val="0"/>
              <w:jc w:val="center"/>
              <w:rPr>
                <w:rFonts w:eastAsia="標楷體"/>
                <w:bCs/>
                <w:sz w:val="22"/>
                <w:szCs w:val="22"/>
              </w:rPr>
            </w:pPr>
          </w:p>
        </w:tc>
      </w:tr>
      <w:tr w:rsidR="00DF3EE9" w:rsidRPr="00975DEB" w:rsidTr="00D424B1">
        <w:trPr>
          <w:trHeight w:val="456"/>
        </w:trPr>
        <w:tc>
          <w:tcPr>
            <w:tcW w:w="1134" w:type="dxa"/>
            <w:vMerge w:val="restart"/>
            <w:tcBorders>
              <w:top w:val="single" w:sz="6" w:space="0" w:color="auto"/>
              <w:left w:val="single" w:sz="6" w:space="0" w:color="auto"/>
              <w:bottom w:val="single" w:sz="6" w:space="0" w:color="auto"/>
              <w:right w:val="single" w:sz="6" w:space="0" w:color="auto"/>
            </w:tcBorders>
            <w:vAlign w:val="center"/>
            <w:hideMark/>
          </w:tcPr>
          <w:p w:rsidR="00DF3EE9" w:rsidRPr="00D424B1" w:rsidRDefault="00DF3EE9" w:rsidP="00D424B1">
            <w:pPr>
              <w:widowControl/>
              <w:snapToGrid w:val="0"/>
              <w:jc w:val="center"/>
              <w:rPr>
                <w:rFonts w:eastAsia="標楷體"/>
                <w:bCs/>
                <w:sz w:val="22"/>
                <w:szCs w:val="22"/>
              </w:rPr>
            </w:pPr>
            <w:r w:rsidRPr="00D424B1">
              <w:rPr>
                <w:rFonts w:eastAsia="標楷體"/>
                <w:bCs/>
                <w:sz w:val="22"/>
                <w:szCs w:val="22"/>
              </w:rPr>
              <w:t>Domestic institutions</w:t>
            </w:r>
          </w:p>
        </w:tc>
        <w:tc>
          <w:tcPr>
            <w:tcW w:w="2722" w:type="dxa"/>
            <w:tcBorders>
              <w:top w:val="single" w:sz="6" w:space="0" w:color="auto"/>
              <w:left w:val="single" w:sz="6" w:space="0" w:color="auto"/>
              <w:bottom w:val="single" w:sz="6" w:space="0" w:color="auto"/>
              <w:right w:val="single" w:sz="6" w:space="0" w:color="auto"/>
            </w:tcBorders>
            <w:shd w:val="clear" w:color="000000" w:fill="FFFFFF"/>
            <w:noWrap/>
            <w:vAlign w:val="center"/>
            <w:hideMark/>
          </w:tcPr>
          <w:p w:rsidR="00DF3EE9" w:rsidRPr="00975DEB" w:rsidRDefault="00DF3EE9" w:rsidP="00D424B1">
            <w:pPr>
              <w:spacing w:line="240" w:lineRule="exact"/>
              <w:jc w:val="both"/>
              <w:rPr>
                <w:rFonts w:eastAsia="標楷體"/>
                <w:sz w:val="22"/>
              </w:rPr>
            </w:pPr>
            <w:r>
              <w:rPr>
                <w:rFonts w:eastAsia="標楷體" w:hint="eastAsia"/>
                <w:sz w:val="22"/>
              </w:rPr>
              <w:t xml:space="preserve">CBC </w:t>
            </w:r>
            <w:r w:rsidRPr="00975DEB">
              <w:rPr>
                <w:rFonts w:eastAsia="標楷體"/>
                <w:sz w:val="22"/>
              </w:rPr>
              <w:t>(2018/9/</w:t>
            </w:r>
            <w:r>
              <w:rPr>
                <w:rFonts w:eastAsia="標楷體" w:hint="eastAsia"/>
                <w:sz w:val="22"/>
              </w:rPr>
              <w:t>6</w:t>
            </w:r>
            <w:r w:rsidRPr="00975DEB">
              <w:rPr>
                <w:rFonts w:eastAsia="標楷體"/>
                <w:sz w:val="22"/>
              </w:rPr>
              <w:t>)</w:t>
            </w:r>
          </w:p>
        </w:tc>
        <w:tc>
          <w:tcPr>
            <w:tcW w:w="1417" w:type="dxa"/>
            <w:vMerge w:val="restart"/>
            <w:tcBorders>
              <w:top w:val="single" w:sz="6" w:space="0" w:color="auto"/>
              <w:left w:val="single" w:sz="6" w:space="0" w:color="auto"/>
              <w:bottom w:val="single" w:sz="6" w:space="0" w:color="auto"/>
              <w:right w:val="single" w:sz="6" w:space="0" w:color="auto"/>
            </w:tcBorders>
            <w:hideMark/>
          </w:tcPr>
          <w:p w:rsidR="00DF3EE9" w:rsidRDefault="00DF3EE9" w:rsidP="00D424B1">
            <w:pPr>
              <w:widowControl/>
              <w:snapToGrid w:val="0"/>
              <w:spacing w:line="240" w:lineRule="exact"/>
              <w:jc w:val="center"/>
              <w:rPr>
                <w:bCs/>
                <w:sz w:val="22"/>
                <w:szCs w:val="22"/>
              </w:rPr>
            </w:pPr>
          </w:p>
          <w:p w:rsidR="00DF3EE9" w:rsidRDefault="00DF3EE9" w:rsidP="00D424B1">
            <w:pPr>
              <w:widowControl/>
              <w:snapToGrid w:val="0"/>
              <w:spacing w:line="240" w:lineRule="exact"/>
              <w:jc w:val="center"/>
              <w:rPr>
                <w:bCs/>
                <w:sz w:val="22"/>
                <w:szCs w:val="22"/>
              </w:rPr>
            </w:pPr>
          </w:p>
          <w:p w:rsidR="00DF3EE9" w:rsidRDefault="00DF3EE9" w:rsidP="00D424B1">
            <w:pPr>
              <w:widowControl/>
              <w:snapToGrid w:val="0"/>
              <w:spacing w:line="240" w:lineRule="exact"/>
              <w:jc w:val="center"/>
              <w:rPr>
                <w:bCs/>
                <w:sz w:val="22"/>
                <w:szCs w:val="22"/>
              </w:rPr>
            </w:pPr>
          </w:p>
          <w:p w:rsidR="00DF3EE9" w:rsidRDefault="00DF3EE9" w:rsidP="00D424B1">
            <w:pPr>
              <w:widowControl/>
              <w:snapToGrid w:val="0"/>
              <w:spacing w:line="240" w:lineRule="exact"/>
              <w:jc w:val="center"/>
              <w:rPr>
                <w:bCs/>
                <w:sz w:val="22"/>
                <w:szCs w:val="22"/>
              </w:rPr>
            </w:pPr>
          </w:p>
          <w:p w:rsidR="00DF3EE9" w:rsidRDefault="00DF3EE9" w:rsidP="00D424B1">
            <w:pPr>
              <w:widowControl/>
              <w:snapToGrid w:val="0"/>
              <w:spacing w:line="240" w:lineRule="exact"/>
              <w:rPr>
                <w:bCs/>
                <w:sz w:val="22"/>
                <w:szCs w:val="22"/>
              </w:rPr>
            </w:pPr>
          </w:p>
          <w:p w:rsidR="00DF3EE9" w:rsidRDefault="00DF3EE9" w:rsidP="00D424B1">
            <w:pPr>
              <w:widowControl/>
              <w:snapToGrid w:val="0"/>
              <w:spacing w:line="240" w:lineRule="exact"/>
              <w:jc w:val="center"/>
              <w:rPr>
                <w:bCs/>
                <w:sz w:val="22"/>
                <w:szCs w:val="22"/>
              </w:rPr>
            </w:pPr>
            <w:r w:rsidRPr="0041154D">
              <w:rPr>
                <w:bCs/>
                <w:sz w:val="22"/>
                <w:szCs w:val="22"/>
              </w:rPr>
              <w:t>1.6</w:t>
            </w:r>
            <w:r w:rsidRPr="0041154D">
              <w:rPr>
                <w:rFonts w:hint="eastAsia"/>
                <w:bCs/>
                <w:sz w:val="22"/>
                <w:szCs w:val="22"/>
              </w:rPr>
              <w:t>4</w:t>
            </w:r>
            <w:r w:rsidRPr="0041154D">
              <w:rPr>
                <w:bCs/>
                <w:sz w:val="22"/>
                <w:szCs w:val="22"/>
              </w:rPr>
              <w:br/>
              <w:t>(CPI)</w:t>
            </w:r>
          </w:p>
          <w:p w:rsidR="00DF3EE9" w:rsidRPr="0041154D" w:rsidRDefault="00DF3EE9" w:rsidP="00D424B1">
            <w:pPr>
              <w:widowControl/>
              <w:snapToGrid w:val="0"/>
              <w:spacing w:line="240" w:lineRule="exact"/>
              <w:jc w:val="center"/>
              <w:rPr>
                <w:bCs/>
                <w:sz w:val="22"/>
                <w:szCs w:val="22"/>
              </w:rPr>
            </w:pPr>
          </w:p>
          <w:p w:rsidR="00DF3EE9" w:rsidRPr="00975DEB" w:rsidRDefault="00DF3EE9" w:rsidP="00DF3EE9">
            <w:pPr>
              <w:snapToGrid w:val="0"/>
              <w:spacing w:beforeLines="20" w:before="48"/>
              <w:jc w:val="center"/>
              <w:rPr>
                <w:rFonts w:eastAsia="標楷體"/>
                <w:b/>
                <w:sz w:val="22"/>
                <w:szCs w:val="22"/>
              </w:rPr>
            </w:pPr>
            <w:r w:rsidRPr="0041154D">
              <w:rPr>
                <w:bCs/>
                <w:sz w:val="22"/>
                <w:szCs w:val="22"/>
              </w:rPr>
              <w:t>1.4</w:t>
            </w:r>
            <w:r w:rsidRPr="0041154D">
              <w:rPr>
                <w:rFonts w:hint="eastAsia"/>
                <w:bCs/>
                <w:sz w:val="22"/>
                <w:szCs w:val="22"/>
              </w:rPr>
              <w:t>4</w:t>
            </w:r>
          </w:p>
          <w:p w:rsidR="00DF3EE9" w:rsidRPr="00C80A6F" w:rsidRDefault="00DF3EE9" w:rsidP="00D424B1">
            <w:pPr>
              <w:widowControl/>
              <w:snapToGrid w:val="0"/>
              <w:spacing w:line="240" w:lineRule="exact"/>
              <w:jc w:val="center"/>
              <w:rPr>
                <w:bCs/>
                <w:sz w:val="22"/>
                <w:szCs w:val="22"/>
              </w:rPr>
            </w:pPr>
            <w:r w:rsidRPr="00C80A6F">
              <w:rPr>
                <w:bCs/>
                <w:sz w:val="22"/>
                <w:szCs w:val="22"/>
              </w:rPr>
              <w:t>(</w:t>
            </w:r>
            <w:r w:rsidRPr="00C80A6F">
              <w:rPr>
                <w:rFonts w:hint="eastAsia"/>
                <w:bCs/>
                <w:sz w:val="22"/>
                <w:szCs w:val="22"/>
              </w:rPr>
              <w:t xml:space="preserve">Core </w:t>
            </w:r>
            <w:r w:rsidRPr="00C80A6F">
              <w:rPr>
                <w:bCs/>
                <w:sz w:val="22"/>
                <w:szCs w:val="22"/>
              </w:rPr>
              <w:t>CPI*</w:t>
            </w:r>
            <w:r w:rsidRPr="00C80A6F">
              <w:rPr>
                <w:rFonts w:hint="eastAsia"/>
                <w:bCs/>
                <w:sz w:val="22"/>
                <w:szCs w:val="22"/>
              </w:rPr>
              <w:t>*</w:t>
            </w:r>
            <w:r w:rsidRPr="00C80A6F">
              <w:rPr>
                <w:bCs/>
                <w:sz w:val="22"/>
                <w:szCs w:val="22"/>
              </w:rPr>
              <w:t>)</w:t>
            </w:r>
          </w:p>
          <w:p w:rsidR="00DF3EE9" w:rsidRPr="00975DEB" w:rsidRDefault="00DF3EE9" w:rsidP="00D424B1">
            <w:pPr>
              <w:widowControl/>
              <w:snapToGrid w:val="0"/>
              <w:spacing w:line="240" w:lineRule="exact"/>
              <w:jc w:val="center"/>
              <w:rPr>
                <w:bCs/>
                <w:sz w:val="22"/>
                <w:szCs w:val="22"/>
              </w:rPr>
            </w:pPr>
          </w:p>
        </w:tc>
        <w:tc>
          <w:tcPr>
            <w:tcW w:w="1418" w:type="dxa"/>
            <w:tcBorders>
              <w:top w:val="single" w:sz="6" w:space="0" w:color="auto"/>
              <w:left w:val="single" w:sz="6" w:space="0" w:color="auto"/>
              <w:bottom w:val="single" w:sz="6" w:space="0" w:color="auto"/>
              <w:right w:val="single" w:sz="4" w:space="0" w:color="auto"/>
            </w:tcBorders>
            <w:shd w:val="clear" w:color="000000" w:fill="FFFFFF"/>
            <w:noWrap/>
            <w:vAlign w:val="center"/>
            <w:hideMark/>
          </w:tcPr>
          <w:p w:rsidR="00DF3EE9" w:rsidRPr="00975DEB" w:rsidRDefault="00DF3EE9" w:rsidP="00D424B1">
            <w:pPr>
              <w:widowControl/>
              <w:snapToGrid w:val="0"/>
              <w:spacing w:line="240" w:lineRule="exact"/>
              <w:jc w:val="center"/>
              <w:rPr>
                <w:b/>
                <w:bCs/>
                <w:sz w:val="22"/>
              </w:rPr>
            </w:pPr>
            <w:r w:rsidRPr="00975DEB">
              <w:rPr>
                <w:b/>
                <w:bCs/>
                <w:sz w:val="22"/>
              </w:rPr>
              <w:t>1.</w:t>
            </w:r>
            <w:r w:rsidRPr="00975DEB">
              <w:rPr>
                <w:rFonts w:hint="eastAsia"/>
                <w:b/>
                <w:bCs/>
                <w:sz w:val="22"/>
              </w:rPr>
              <w:t>50</w:t>
            </w:r>
            <w:r>
              <w:rPr>
                <w:rFonts w:hint="eastAsia"/>
                <w:bCs/>
                <w:sz w:val="22"/>
                <w:szCs w:val="22"/>
              </w:rPr>
              <w:t>*</w:t>
            </w:r>
            <w:r w:rsidRPr="00975DEB">
              <w:rPr>
                <w:b/>
                <w:bCs/>
                <w:sz w:val="22"/>
              </w:rPr>
              <w:br/>
              <w:t>(CPI)</w:t>
            </w:r>
          </w:p>
          <w:p w:rsidR="00DF3EE9" w:rsidRPr="00975DEB" w:rsidRDefault="00DF3EE9" w:rsidP="00D424B1">
            <w:pPr>
              <w:widowControl/>
              <w:snapToGrid w:val="0"/>
              <w:spacing w:line="240" w:lineRule="exact"/>
              <w:jc w:val="center"/>
              <w:rPr>
                <w:b/>
                <w:bCs/>
                <w:sz w:val="22"/>
              </w:rPr>
            </w:pPr>
            <w:r w:rsidRPr="00975DEB">
              <w:rPr>
                <w:b/>
                <w:bCs/>
                <w:sz w:val="22"/>
              </w:rPr>
              <w:t>1.</w:t>
            </w:r>
            <w:r w:rsidRPr="00975DEB">
              <w:rPr>
                <w:rFonts w:hint="eastAsia"/>
                <w:b/>
                <w:bCs/>
                <w:sz w:val="22"/>
              </w:rPr>
              <w:t>28</w:t>
            </w:r>
          </w:p>
          <w:p w:rsidR="00DF3EE9" w:rsidRPr="00975DEB" w:rsidRDefault="00DF3EE9" w:rsidP="00D424B1">
            <w:pPr>
              <w:spacing w:line="240" w:lineRule="exact"/>
              <w:jc w:val="center"/>
              <w:rPr>
                <w:sz w:val="22"/>
              </w:rPr>
            </w:pPr>
            <w:r w:rsidRPr="00975DEB">
              <w:rPr>
                <w:b/>
                <w:bCs/>
                <w:sz w:val="22"/>
              </w:rPr>
              <w:t>(</w:t>
            </w:r>
            <w:r>
              <w:rPr>
                <w:rFonts w:eastAsia="標楷體" w:hint="eastAsia"/>
                <w:b/>
                <w:bCs/>
                <w:sz w:val="22"/>
              </w:rPr>
              <w:t xml:space="preserve">Core </w:t>
            </w:r>
            <w:r>
              <w:rPr>
                <w:b/>
                <w:bCs/>
                <w:sz w:val="22"/>
              </w:rPr>
              <w:t>CPI*</w:t>
            </w:r>
            <w:r>
              <w:rPr>
                <w:rFonts w:hint="eastAsia"/>
                <w:b/>
                <w:bCs/>
                <w:sz w:val="22"/>
              </w:rPr>
              <w:t>*</w:t>
            </w:r>
            <w:r w:rsidRPr="00975DEB">
              <w:rPr>
                <w:b/>
                <w:bCs/>
                <w:sz w:val="22"/>
              </w:rPr>
              <w:t>)</w:t>
            </w:r>
          </w:p>
        </w:tc>
        <w:tc>
          <w:tcPr>
            <w:tcW w:w="1417" w:type="dxa"/>
            <w:tcBorders>
              <w:top w:val="single" w:sz="4" w:space="0" w:color="auto"/>
              <w:left w:val="single" w:sz="4" w:space="0" w:color="auto"/>
              <w:bottom w:val="single" w:sz="4" w:space="0" w:color="auto"/>
              <w:right w:val="single" w:sz="4" w:space="0" w:color="auto"/>
            </w:tcBorders>
            <w:shd w:val="clear" w:color="000000" w:fill="FFFFFF"/>
            <w:vAlign w:val="center"/>
          </w:tcPr>
          <w:p w:rsidR="00DF3EE9" w:rsidRPr="00975DEB" w:rsidRDefault="00DF3EE9" w:rsidP="00D424B1">
            <w:pPr>
              <w:widowControl/>
              <w:snapToGrid w:val="0"/>
              <w:spacing w:line="240" w:lineRule="exact"/>
              <w:jc w:val="center"/>
              <w:rPr>
                <w:b/>
                <w:bCs/>
                <w:sz w:val="22"/>
              </w:rPr>
            </w:pPr>
            <w:r w:rsidRPr="00975DEB">
              <w:rPr>
                <w:b/>
                <w:bCs/>
                <w:sz w:val="22"/>
              </w:rPr>
              <w:t>1.</w:t>
            </w:r>
            <w:r w:rsidRPr="00975DEB">
              <w:rPr>
                <w:rFonts w:hint="eastAsia"/>
                <w:b/>
                <w:bCs/>
                <w:sz w:val="22"/>
              </w:rPr>
              <w:t>05</w:t>
            </w:r>
            <w:r w:rsidRPr="00975DEB">
              <w:rPr>
                <w:b/>
                <w:bCs/>
                <w:sz w:val="22"/>
              </w:rPr>
              <w:br/>
              <w:t>(CPI)</w:t>
            </w:r>
          </w:p>
          <w:p w:rsidR="00DF3EE9" w:rsidRPr="00975DEB" w:rsidRDefault="00DF3EE9" w:rsidP="00D424B1">
            <w:pPr>
              <w:widowControl/>
              <w:snapToGrid w:val="0"/>
              <w:spacing w:line="240" w:lineRule="exact"/>
              <w:jc w:val="center"/>
              <w:rPr>
                <w:b/>
                <w:bCs/>
                <w:sz w:val="22"/>
              </w:rPr>
            </w:pPr>
            <w:r w:rsidRPr="00975DEB">
              <w:rPr>
                <w:b/>
                <w:bCs/>
                <w:sz w:val="22"/>
              </w:rPr>
              <w:t>1.</w:t>
            </w:r>
            <w:r w:rsidRPr="00975DEB">
              <w:rPr>
                <w:rFonts w:hint="eastAsia"/>
                <w:b/>
                <w:bCs/>
                <w:sz w:val="22"/>
              </w:rPr>
              <w:t>00</w:t>
            </w:r>
          </w:p>
          <w:p w:rsidR="00DF3EE9" w:rsidRPr="00975DEB" w:rsidRDefault="00DF3EE9" w:rsidP="00D424B1">
            <w:pPr>
              <w:spacing w:line="240" w:lineRule="exact"/>
              <w:jc w:val="center"/>
              <w:rPr>
                <w:sz w:val="22"/>
              </w:rPr>
            </w:pPr>
            <w:r w:rsidRPr="00975DEB">
              <w:rPr>
                <w:b/>
                <w:bCs/>
                <w:sz w:val="22"/>
              </w:rPr>
              <w:t>(</w:t>
            </w:r>
            <w:r>
              <w:rPr>
                <w:rFonts w:eastAsia="標楷體" w:hint="eastAsia"/>
                <w:b/>
                <w:bCs/>
                <w:sz w:val="22"/>
              </w:rPr>
              <w:t xml:space="preserve">Core </w:t>
            </w:r>
            <w:r>
              <w:rPr>
                <w:b/>
                <w:bCs/>
                <w:sz w:val="22"/>
              </w:rPr>
              <w:t>CPI*</w:t>
            </w:r>
            <w:r>
              <w:rPr>
                <w:rFonts w:hint="eastAsia"/>
                <w:b/>
                <w:bCs/>
                <w:sz w:val="22"/>
              </w:rPr>
              <w:t>*</w:t>
            </w:r>
            <w:r w:rsidRPr="00975DEB">
              <w:rPr>
                <w:b/>
                <w:bCs/>
                <w:sz w:val="22"/>
              </w:rPr>
              <w:t>)</w:t>
            </w:r>
          </w:p>
        </w:tc>
        <w:tc>
          <w:tcPr>
            <w:tcW w:w="2126" w:type="dxa"/>
            <w:vMerge/>
            <w:tcBorders>
              <w:left w:val="single" w:sz="4" w:space="0" w:color="auto"/>
            </w:tcBorders>
            <w:shd w:val="clear" w:color="000000" w:fill="FFFFFF"/>
          </w:tcPr>
          <w:p w:rsidR="00DF3EE9" w:rsidRPr="00975DEB" w:rsidRDefault="00DF3EE9" w:rsidP="00D424B1">
            <w:pPr>
              <w:snapToGrid w:val="0"/>
              <w:jc w:val="center"/>
              <w:rPr>
                <w:sz w:val="22"/>
              </w:rPr>
            </w:pPr>
          </w:p>
        </w:tc>
      </w:tr>
      <w:tr w:rsidR="00DF3EE9" w:rsidRPr="00975DEB" w:rsidTr="00D424B1">
        <w:trPr>
          <w:trHeight w:val="458"/>
        </w:trPr>
        <w:tc>
          <w:tcPr>
            <w:tcW w:w="1134" w:type="dxa"/>
            <w:vMerge/>
            <w:tcBorders>
              <w:top w:val="single" w:sz="6" w:space="0" w:color="auto"/>
              <w:left w:val="single" w:sz="6" w:space="0" w:color="auto"/>
              <w:bottom w:val="single" w:sz="6" w:space="0" w:color="auto"/>
              <w:right w:val="single" w:sz="6" w:space="0" w:color="auto"/>
            </w:tcBorders>
            <w:vAlign w:val="center"/>
            <w:hideMark/>
          </w:tcPr>
          <w:p w:rsidR="00DF3EE9" w:rsidRPr="00D424B1" w:rsidRDefault="00DF3EE9" w:rsidP="00D424B1">
            <w:pPr>
              <w:widowControl/>
              <w:snapToGrid w:val="0"/>
              <w:rPr>
                <w:rFonts w:eastAsia="標楷體"/>
                <w:bCs/>
                <w:sz w:val="22"/>
                <w:szCs w:val="22"/>
              </w:rPr>
            </w:pPr>
          </w:p>
        </w:tc>
        <w:tc>
          <w:tcPr>
            <w:tcW w:w="2722" w:type="dxa"/>
            <w:tcBorders>
              <w:top w:val="single" w:sz="6" w:space="0" w:color="auto"/>
              <w:left w:val="single" w:sz="6" w:space="0" w:color="auto"/>
              <w:bottom w:val="single" w:sz="6" w:space="0" w:color="auto"/>
              <w:right w:val="single" w:sz="6" w:space="0" w:color="auto"/>
            </w:tcBorders>
            <w:shd w:val="clear" w:color="000000" w:fill="FFFFFF"/>
            <w:noWrap/>
            <w:vAlign w:val="center"/>
            <w:hideMark/>
          </w:tcPr>
          <w:p w:rsidR="00DF3EE9" w:rsidRPr="00975DEB" w:rsidRDefault="00DF3EE9" w:rsidP="00D424B1">
            <w:pPr>
              <w:spacing w:line="240" w:lineRule="exact"/>
              <w:jc w:val="both"/>
              <w:rPr>
                <w:rFonts w:eastAsia="標楷體"/>
                <w:sz w:val="22"/>
              </w:rPr>
            </w:pPr>
            <w:r>
              <w:rPr>
                <w:rFonts w:eastAsia="標楷體"/>
                <w:sz w:val="22"/>
              </w:rPr>
              <w:t xml:space="preserve">DGBAS </w:t>
            </w:r>
            <w:r w:rsidRPr="00975DEB">
              <w:rPr>
                <w:rFonts w:eastAsia="標楷體"/>
                <w:sz w:val="22"/>
              </w:rPr>
              <w:t>(2018/8/17)</w:t>
            </w:r>
          </w:p>
        </w:tc>
        <w:tc>
          <w:tcPr>
            <w:tcW w:w="1417" w:type="dxa"/>
            <w:vMerge/>
            <w:tcBorders>
              <w:top w:val="single" w:sz="6" w:space="0" w:color="auto"/>
              <w:left w:val="single" w:sz="6" w:space="0" w:color="auto"/>
              <w:bottom w:val="single" w:sz="6" w:space="0" w:color="auto"/>
              <w:right w:val="single" w:sz="6" w:space="0" w:color="auto"/>
            </w:tcBorders>
            <w:vAlign w:val="center"/>
            <w:hideMark/>
          </w:tcPr>
          <w:p w:rsidR="00DF3EE9" w:rsidRPr="00975DEB" w:rsidRDefault="00DF3EE9" w:rsidP="00D424B1">
            <w:pPr>
              <w:widowControl/>
              <w:snapToGrid w:val="0"/>
              <w:spacing w:line="240" w:lineRule="exact"/>
              <w:jc w:val="center"/>
              <w:rPr>
                <w:bCs/>
                <w:sz w:val="22"/>
                <w:szCs w:val="22"/>
              </w:rPr>
            </w:pPr>
          </w:p>
        </w:tc>
        <w:tc>
          <w:tcPr>
            <w:tcW w:w="1418" w:type="dxa"/>
            <w:tcBorders>
              <w:top w:val="single" w:sz="6" w:space="0" w:color="auto"/>
              <w:left w:val="single" w:sz="6" w:space="0" w:color="auto"/>
              <w:bottom w:val="single" w:sz="6" w:space="0" w:color="auto"/>
              <w:right w:val="single" w:sz="4" w:space="0" w:color="auto"/>
            </w:tcBorders>
            <w:shd w:val="clear" w:color="000000" w:fill="FFFFFF"/>
            <w:vAlign w:val="center"/>
            <w:hideMark/>
          </w:tcPr>
          <w:p w:rsidR="00DF3EE9" w:rsidRPr="00975DEB" w:rsidRDefault="00DF3EE9" w:rsidP="00D424B1">
            <w:pPr>
              <w:spacing w:line="240" w:lineRule="exact"/>
              <w:jc w:val="center"/>
            </w:pPr>
            <w:r w:rsidRPr="00975DEB">
              <w:t>1.52</w:t>
            </w:r>
          </w:p>
        </w:tc>
        <w:tc>
          <w:tcPr>
            <w:tcW w:w="1417" w:type="dxa"/>
            <w:tcBorders>
              <w:top w:val="single" w:sz="4" w:space="0" w:color="auto"/>
              <w:left w:val="single" w:sz="4" w:space="0" w:color="auto"/>
              <w:bottom w:val="single" w:sz="4" w:space="0" w:color="auto"/>
              <w:right w:val="single" w:sz="4" w:space="0" w:color="auto"/>
            </w:tcBorders>
            <w:shd w:val="clear" w:color="000000" w:fill="FFFFFF"/>
            <w:vAlign w:val="center"/>
          </w:tcPr>
          <w:p w:rsidR="00DF3EE9" w:rsidRPr="00975DEB" w:rsidRDefault="00DF3EE9" w:rsidP="00D424B1">
            <w:pPr>
              <w:spacing w:line="240" w:lineRule="exact"/>
              <w:jc w:val="center"/>
            </w:pPr>
            <w:r w:rsidRPr="00975DEB">
              <w:t>0.93</w:t>
            </w:r>
          </w:p>
        </w:tc>
        <w:tc>
          <w:tcPr>
            <w:tcW w:w="2126" w:type="dxa"/>
            <w:vMerge/>
            <w:tcBorders>
              <w:left w:val="single" w:sz="4" w:space="0" w:color="auto"/>
            </w:tcBorders>
            <w:shd w:val="clear" w:color="000000" w:fill="FFFFFF"/>
          </w:tcPr>
          <w:p w:rsidR="00DF3EE9" w:rsidRPr="00975DEB" w:rsidRDefault="00DF3EE9" w:rsidP="00D424B1">
            <w:pPr>
              <w:snapToGrid w:val="0"/>
              <w:jc w:val="center"/>
              <w:rPr>
                <w:sz w:val="22"/>
              </w:rPr>
            </w:pPr>
          </w:p>
        </w:tc>
      </w:tr>
      <w:tr w:rsidR="00DF3EE9" w:rsidRPr="00975DEB" w:rsidTr="00D424B1">
        <w:trPr>
          <w:trHeight w:val="458"/>
        </w:trPr>
        <w:tc>
          <w:tcPr>
            <w:tcW w:w="1134" w:type="dxa"/>
            <w:vMerge/>
            <w:tcBorders>
              <w:top w:val="single" w:sz="6" w:space="0" w:color="auto"/>
              <w:left w:val="single" w:sz="6" w:space="0" w:color="auto"/>
              <w:bottom w:val="single" w:sz="6" w:space="0" w:color="auto"/>
              <w:right w:val="single" w:sz="6" w:space="0" w:color="auto"/>
            </w:tcBorders>
            <w:vAlign w:val="center"/>
          </w:tcPr>
          <w:p w:rsidR="00DF3EE9" w:rsidRPr="00D424B1" w:rsidRDefault="00DF3EE9" w:rsidP="00D424B1">
            <w:pPr>
              <w:widowControl/>
              <w:snapToGrid w:val="0"/>
              <w:rPr>
                <w:rFonts w:eastAsia="標楷體"/>
                <w:bCs/>
                <w:sz w:val="22"/>
                <w:szCs w:val="22"/>
              </w:rPr>
            </w:pPr>
          </w:p>
        </w:tc>
        <w:tc>
          <w:tcPr>
            <w:tcW w:w="2722" w:type="dxa"/>
            <w:tcBorders>
              <w:top w:val="single" w:sz="6" w:space="0" w:color="auto"/>
              <w:left w:val="single" w:sz="6" w:space="0" w:color="auto"/>
              <w:bottom w:val="single" w:sz="6" w:space="0" w:color="auto"/>
              <w:right w:val="single" w:sz="6" w:space="0" w:color="auto"/>
            </w:tcBorders>
            <w:shd w:val="clear" w:color="000000" w:fill="FFFFFF"/>
            <w:noWrap/>
            <w:vAlign w:val="center"/>
          </w:tcPr>
          <w:p w:rsidR="00DF3EE9" w:rsidRPr="00975DEB" w:rsidRDefault="00DF3EE9" w:rsidP="00D424B1">
            <w:pPr>
              <w:spacing w:line="240" w:lineRule="exact"/>
              <w:jc w:val="both"/>
              <w:rPr>
                <w:rFonts w:eastAsia="標楷體"/>
                <w:sz w:val="22"/>
              </w:rPr>
            </w:pPr>
            <w:proofErr w:type="spellStart"/>
            <w:r w:rsidRPr="00220196">
              <w:rPr>
                <w:rFonts w:eastAsia="標楷體"/>
                <w:bCs/>
                <w:sz w:val="22"/>
                <w:szCs w:val="22"/>
              </w:rPr>
              <w:t>Yuanta</w:t>
            </w:r>
            <w:proofErr w:type="spellEnd"/>
            <w:r w:rsidRPr="00220196">
              <w:rPr>
                <w:rFonts w:eastAsia="標楷體"/>
                <w:bCs/>
                <w:sz w:val="22"/>
                <w:szCs w:val="22"/>
              </w:rPr>
              <w:t>-Polaris</w:t>
            </w:r>
            <w:r w:rsidRPr="00975DEB">
              <w:rPr>
                <w:rFonts w:eastAsia="標楷體"/>
                <w:sz w:val="22"/>
              </w:rPr>
              <w:t xml:space="preserve"> (2018/</w:t>
            </w:r>
            <w:r>
              <w:rPr>
                <w:rFonts w:eastAsia="標楷體" w:hint="eastAsia"/>
                <w:sz w:val="22"/>
              </w:rPr>
              <w:t>9</w:t>
            </w:r>
            <w:r>
              <w:rPr>
                <w:rFonts w:eastAsia="標楷體"/>
                <w:sz w:val="22"/>
              </w:rPr>
              <w:t>/2</w:t>
            </w:r>
            <w:r>
              <w:rPr>
                <w:rFonts w:eastAsia="標楷體" w:hint="eastAsia"/>
                <w:sz w:val="22"/>
              </w:rPr>
              <w:t>6</w:t>
            </w:r>
            <w:r w:rsidRPr="00975DEB">
              <w:rPr>
                <w:rFonts w:eastAsia="標楷體"/>
                <w:sz w:val="22"/>
              </w:rPr>
              <w:t>)</w:t>
            </w:r>
          </w:p>
        </w:tc>
        <w:tc>
          <w:tcPr>
            <w:tcW w:w="1417" w:type="dxa"/>
            <w:vMerge/>
            <w:tcBorders>
              <w:top w:val="single" w:sz="6" w:space="0" w:color="auto"/>
              <w:left w:val="single" w:sz="6" w:space="0" w:color="auto"/>
              <w:bottom w:val="single" w:sz="6" w:space="0" w:color="auto"/>
              <w:right w:val="single" w:sz="6" w:space="0" w:color="auto"/>
            </w:tcBorders>
            <w:vAlign w:val="center"/>
          </w:tcPr>
          <w:p w:rsidR="00DF3EE9" w:rsidRPr="00975DEB" w:rsidRDefault="00DF3EE9" w:rsidP="00D424B1">
            <w:pPr>
              <w:widowControl/>
              <w:snapToGrid w:val="0"/>
              <w:spacing w:line="240" w:lineRule="exact"/>
              <w:jc w:val="center"/>
              <w:rPr>
                <w:bCs/>
                <w:sz w:val="22"/>
                <w:szCs w:val="22"/>
              </w:rPr>
            </w:pPr>
          </w:p>
        </w:tc>
        <w:tc>
          <w:tcPr>
            <w:tcW w:w="1418" w:type="dxa"/>
            <w:tcBorders>
              <w:top w:val="single" w:sz="6" w:space="0" w:color="auto"/>
              <w:left w:val="single" w:sz="6" w:space="0" w:color="auto"/>
              <w:bottom w:val="single" w:sz="6" w:space="0" w:color="auto"/>
              <w:right w:val="single" w:sz="4" w:space="0" w:color="auto"/>
            </w:tcBorders>
            <w:shd w:val="clear" w:color="000000" w:fill="FFFFFF"/>
            <w:vAlign w:val="center"/>
          </w:tcPr>
          <w:p w:rsidR="00DF3EE9" w:rsidRPr="00975DEB" w:rsidRDefault="00DF3EE9" w:rsidP="00D424B1">
            <w:pPr>
              <w:spacing w:line="240" w:lineRule="exact"/>
              <w:jc w:val="center"/>
            </w:pPr>
            <w:r>
              <w:rPr>
                <w:rFonts w:hint="eastAsia"/>
              </w:rPr>
              <w:t>1.59</w:t>
            </w:r>
          </w:p>
        </w:tc>
        <w:tc>
          <w:tcPr>
            <w:tcW w:w="1417" w:type="dxa"/>
            <w:tcBorders>
              <w:top w:val="single" w:sz="4" w:space="0" w:color="auto"/>
              <w:left w:val="single" w:sz="4" w:space="0" w:color="auto"/>
              <w:bottom w:val="single" w:sz="4" w:space="0" w:color="auto"/>
              <w:right w:val="single" w:sz="4" w:space="0" w:color="auto"/>
            </w:tcBorders>
            <w:shd w:val="clear" w:color="000000" w:fill="FFFFFF"/>
            <w:vAlign w:val="center"/>
          </w:tcPr>
          <w:p w:rsidR="00DF3EE9" w:rsidRPr="00975DEB" w:rsidRDefault="00DF3EE9" w:rsidP="00D424B1">
            <w:pPr>
              <w:spacing w:line="240" w:lineRule="exact"/>
              <w:jc w:val="center"/>
            </w:pPr>
            <w:r>
              <w:rPr>
                <w:rFonts w:hint="eastAsia"/>
              </w:rPr>
              <w:t>1.15</w:t>
            </w:r>
          </w:p>
        </w:tc>
        <w:tc>
          <w:tcPr>
            <w:tcW w:w="2126" w:type="dxa"/>
            <w:vMerge/>
            <w:tcBorders>
              <w:left w:val="single" w:sz="4" w:space="0" w:color="auto"/>
            </w:tcBorders>
            <w:shd w:val="clear" w:color="000000" w:fill="FFFFFF"/>
          </w:tcPr>
          <w:p w:rsidR="00DF3EE9" w:rsidRPr="00975DEB" w:rsidRDefault="00DF3EE9" w:rsidP="00D424B1">
            <w:pPr>
              <w:snapToGrid w:val="0"/>
              <w:jc w:val="center"/>
              <w:rPr>
                <w:sz w:val="22"/>
              </w:rPr>
            </w:pPr>
          </w:p>
        </w:tc>
      </w:tr>
      <w:tr w:rsidR="00DF3EE9" w:rsidRPr="00975DEB" w:rsidTr="00D424B1">
        <w:trPr>
          <w:trHeight w:val="456"/>
        </w:trPr>
        <w:tc>
          <w:tcPr>
            <w:tcW w:w="1134" w:type="dxa"/>
            <w:vMerge/>
            <w:tcBorders>
              <w:top w:val="single" w:sz="6" w:space="0" w:color="auto"/>
              <w:left w:val="single" w:sz="6" w:space="0" w:color="auto"/>
              <w:bottom w:val="double" w:sz="4" w:space="0" w:color="auto"/>
              <w:right w:val="single" w:sz="6" w:space="0" w:color="auto"/>
            </w:tcBorders>
            <w:vAlign w:val="center"/>
            <w:hideMark/>
          </w:tcPr>
          <w:p w:rsidR="00DF3EE9" w:rsidRPr="00D424B1" w:rsidRDefault="00DF3EE9" w:rsidP="00D424B1">
            <w:pPr>
              <w:widowControl/>
              <w:snapToGrid w:val="0"/>
              <w:rPr>
                <w:rFonts w:eastAsia="標楷體"/>
                <w:bCs/>
                <w:sz w:val="22"/>
                <w:szCs w:val="22"/>
              </w:rPr>
            </w:pPr>
          </w:p>
        </w:tc>
        <w:tc>
          <w:tcPr>
            <w:tcW w:w="2722" w:type="dxa"/>
            <w:tcBorders>
              <w:top w:val="single" w:sz="6" w:space="0" w:color="auto"/>
              <w:left w:val="single" w:sz="6" w:space="0" w:color="auto"/>
              <w:bottom w:val="double" w:sz="4" w:space="0" w:color="auto"/>
              <w:right w:val="single" w:sz="6" w:space="0" w:color="auto"/>
            </w:tcBorders>
            <w:shd w:val="clear" w:color="000000" w:fill="FFFFFF"/>
            <w:noWrap/>
            <w:vAlign w:val="center"/>
            <w:hideMark/>
          </w:tcPr>
          <w:p w:rsidR="00DF3EE9" w:rsidRPr="00975DEB" w:rsidRDefault="00DF3EE9" w:rsidP="00D424B1">
            <w:pPr>
              <w:spacing w:line="240" w:lineRule="exact"/>
              <w:jc w:val="both"/>
              <w:rPr>
                <w:rFonts w:eastAsia="標楷體"/>
                <w:sz w:val="22"/>
              </w:rPr>
            </w:pPr>
            <w:r>
              <w:rPr>
                <w:rFonts w:eastAsia="標楷體" w:hint="eastAsia"/>
                <w:sz w:val="22"/>
              </w:rPr>
              <w:t xml:space="preserve">CIER </w:t>
            </w:r>
            <w:r w:rsidRPr="00975DEB">
              <w:rPr>
                <w:rFonts w:eastAsia="標楷體"/>
                <w:sz w:val="22"/>
              </w:rPr>
              <w:t>(2018/7/18)</w:t>
            </w:r>
          </w:p>
        </w:tc>
        <w:tc>
          <w:tcPr>
            <w:tcW w:w="1417" w:type="dxa"/>
            <w:vMerge/>
            <w:tcBorders>
              <w:top w:val="single" w:sz="6" w:space="0" w:color="auto"/>
              <w:left w:val="single" w:sz="6" w:space="0" w:color="auto"/>
              <w:bottom w:val="single" w:sz="6" w:space="0" w:color="auto"/>
              <w:right w:val="single" w:sz="6" w:space="0" w:color="auto"/>
            </w:tcBorders>
            <w:vAlign w:val="center"/>
            <w:hideMark/>
          </w:tcPr>
          <w:p w:rsidR="00DF3EE9" w:rsidRPr="00975DEB" w:rsidRDefault="00DF3EE9" w:rsidP="00D424B1">
            <w:pPr>
              <w:widowControl/>
              <w:snapToGrid w:val="0"/>
              <w:spacing w:line="240" w:lineRule="exact"/>
              <w:jc w:val="center"/>
              <w:rPr>
                <w:b/>
                <w:bCs/>
                <w:sz w:val="22"/>
                <w:szCs w:val="22"/>
              </w:rPr>
            </w:pPr>
          </w:p>
        </w:tc>
        <w:tc>
          <w:tcPr>
            <w:tcW w:w="1418" w:type="dxa"/>
            <w:tcBorders>
              <w:top w:val="single" w:sz="4" w:space="0" w:color="auto"/>
              <w:left w:val="single" w:sz="6" w:space="0" w:color="auto"/>
              <w:bottom w:val="double" w:sz="4" w:space="0" w:color="auto"/>
              <w:right w:val="single" w:sz="4" w:space="0" w:color="auto"/>
            </w:tcBorders>
            <w:shd w:val="clear" w:color="000000" w:fill="FFFFFF"/>
            <w:noWrap/>
            <w:vAlign w:val="center"/>
            <w:hideMark/>
          </w:tcPr>
          <w:p w:rsidR="00DF3EE9" w:rsidRPr="00975DEB" w:rsidRDefault="00DF3EE9" w:rsidP="00D424B1">
            <w:pPr>
              <w:spacing w:line="240" w:lineRule="exact"/>
              <w:jc w:val="center"/>
            </w:pPr>
            <w:r w:rsidRPr="00975DEB">
              <w:t>1.65</w:t>
            </w:r>
          </w:p>
        </w:tc>
        <w:tc>
          <w:tcPr>
            <w:tcW w:w="1417" w:type="dxa"/>
            <w:tcBorders>
              <w:top w:val="single" w:sz="4" w:space="0" w:color="auto"/>
              <w:left w:val="single" w:sz="4" w:space="0" w:color="auto"/>
              <w:bottom w:val="double" w:sz="4" w:space="0" w:color="auto"/>
              <w:right w:val="single" w:sz="4" w:space="0" w:color="auto"/>
            </w:tcBorders>
            <w:shd w:val="clear" w:color="000000" w:fill="FFFFFF"/>
            <w:vAlign w:val="center"/>
          </w:tcPr>
          <w:p w:rsidR="00DF3EE9" w:rsidRPr="00975DEB" w:rsidRDefault="00DF3EE9" w:rsidP="00D424B1">
            <w:pPr>
              <w:spacing w:line="240" w:lineRule="exact"/>
              <w:jc w:val="center"/>
            </w:pPr>
            <w:r w:rsidRPr="00975DEB">
              <w:t>1.43</w:t>
            </w:r>
          </w:p>
        </w:tc>
        <w:tc>
          <w:tcPr>
            <w:tcW w:w="2126" w:type="dxa"/>
            <w:vMerge/>
            <w:tcBorders>
              <w:left w:val="single" w:sz="4" w:space="0" w:color="auto"/>
            </w:tcBorders>
            <w:shd w:val="clear" w:color="000000" w:fill="FFFFFF"/>
          </w:tcPr>
          <w:p w:rsidR="00DF3EE9" w:rsidRPr="00975DEB" w:rsidRDefault="00DF3EE9" w:rsidP="00D424B1">
            <w:pPr>
              <w:snapToGrid w:val="0"/>
              <w:jc w:val="center"/>
              <w:rPr>
                <w:b/>
                <w:bCs/>
                <w:sz w:val="22"/>
              </w:rPr>
            </w:pPr>
          </w:p>
        </w:tc>
      </w:tr>
      <w:tr w:rsidR="00DF3EE9" w:rsidRPr="00975DEB" w:rsidTr="00D424B1">
        <w:trPr>
          <w:trHeight w:val="456"/>
        </w:trPr>
        <w:tc>
          <w:tcPr>
            <w:tcW w:w="1134" w:type="dxa"/>
            <w:vMerge w:val="restart"/>
            <w:tcBorders>
              <w:top w:val="double" w:sz="4" w:space="0" w:color="auto"/>
              <w:left w:val="single" w:sz="6" w:space="0" w:color="auto"/>
              <w:bottom w:val="single" w:sz="6" w:space="0" w:color="auto"/>
              <w:right w:val="single" w:sz="6" w:space="0" w:color="auto"/>
            </w:tcBorders>
            <w:shd w:val="clear" w:color="000000" w:fill="FFFFFF"/>
            <w:vAlign w:val="center"/>
            <w:hideMark/>
          </w:tcPr>
          <w:p w:rsidR="00DF3EE9" w:rsidRPr="00D424B1" w:rsidRDefault="00DF3EE9" w:rsidP="00D424B1">
            <w:pPr>
              <w:widowControl/>
              <w:snapToGrid w:val="0"/>
              <w:jc w:val="center"/>
              <w:rPr>
                <w:rFonts w:eastAsia="標楷體"/>
                <w:bCs/>
                <w:sz w:val="22"/>
                <w:szCs w:val="22"/>
              </w:rPr>
            </w:pPr>
            <w:r w:rsidRPr="00D424B1">
              <w:rPr>
                <w:rFonts w:eastAsia="標楷體"/>
                <w:bCs/>
                <w:sz w:val="22"/>
                <w:szCs w:val="22"/>
              </w:rPr>
              <w:t>Foreign institutions</w:t>
            </w:r>
          </w:p>
          <w:p w:rsidR="00DF3EE9" w:rsidRPr="00D424B1" w:rsidRDefault="00DF3EE9" w:rsidP="00D424B1">
            <w:pPr>
              <w:widowControl/>
              <w:snapToGrid w:val="0"/>
              <w:jc w:val="center"/>
              <w:rPr>
                <w:rFonts w:eastAsia="標楷體"/>
                <w:bCs/>
                <w:sz w:val="22"/>
                <w:szCs w:val="22"/>
              </w:rPr>
            </w:pPr>
          </w:p>
        </w:tc>
        <w:tc>
          <w:tcPr>
            <w:tcW w:w="2722" w:type="dxa"/>
            <w:tcBorders>
              <w:top w:val="double" w:sz="4" w:space="0" w:color="auto"/>
              <w:left w:val="single" w:sz="6" w:space="0" w:color="auto"/>
              <w:bottom w:val="single" w:sz="6" w:space="0" w:color="auto"/>
              <w:right w:val="single" w:sz="6" w:space="0" w:color="auto"/>
            </w:tcBorders>
            <w:shd w:val="clear" w:color="000000" w:fill="FFFFFF"/>
            <w:noWrap/>
            <w:vAlign w:val="center"/>
            <w:hideMark/>
          </w:tcPr>
          <w:p w:rsidR="00DF3EE9" w:rsidRPr="00975DEB" w:rsidRDefault="00DF3EE9" w:rsidP="00D424B1">
            <w:pPr>
              <w:spacing w:line="240" w:lineRule="exact"/>
              <w:jc w:val="both"/>
              <w:rPr>
                <w:rFonts w:eastAsia="標楷體"/>
                <w:sz w:val="22"/>
              </w:rPr>
            </w:pPr>
            <w:r w:rsidRPr="00975DEB">
              <w:rPr>
                <w:rFonts w:eastAsia="標楷體"/>
                <w:sz w:val="22"/>
              </w:rPr>
              <w:t>ADB</w:t>
            </w:r>
            <w:r>
              <w:rPr>
                <w:rFonts w:eastAsia="標楷體" w:hint="eastAsia"/>
                <w:sz w:val="22"/>
              </w:rPr>
              <w:t xml:space="preserve"> </w:t>
            </w:r>
            <w:r w:rsidRPr="00975DEB">
              <w:rPr>
                <w:rFonts w:eastAsia="標楷體"/>
                <w:sz w:val="22"/>
              </w:rPr>
              <w:t>(2018/</w:t>
            </w:r>
            <w:r>
              <w:rPr>
                <w:rFonts w:eastAsia="標楷體" w:hint="eastAsia"/>
                <w:sz w:val="22"/>
              </w:rPr>
              <w:t>9</w:t>
            </w:r>
            <w:r>
              <w:rPr>
                <w:rFonts w:eastAsia="標楷體"/>
                <w:sz w:val="22"/>
              </w:rPr>
              <w:t>/</w:t>
            </w:r>
            <w:r>
              <w:rPr>
                <w:rFonts w:eastAsia="標楷體" w:hint="eastAsia"/>
                <w:sz w:val="22"/>
              </w:rPr>
              <w:t>26</w:t>
            </w:r>
            <w:r w:rsidRPr="00975DEB">
              <w:rPr>
                <w:rFonts w:eastAsia="標楷體"/>
                <w:sz w:val="22"/>
              </w:rPr>
              <w:t>)</w:t>
            </w:r>
          </w:p>
        </w:tc>
        <w:tc>
          <w:tcPr>
            <w:tcW w:w="1417" w:type="dxa"/>
            <w:vMerge/>
            <w:tcBorders>
              <w:top w:val="single" w:sz="6" w:space="0" w:color="auto"/>
              <w:left w:val="single" w:sz="6" w:space="0" w:color="auto"/>
              <w:bottom w:val="single" w:sz="6" w:space="0" w:color="auto"/>
              <w:right w:val="single" w:sz="6" w:space="0" w:color="auto"/>
            </w:tcBorders>
            <w:vAlign w:val="center"/>
            <w:hideMark/>
          </w:tcPr>
          <w:p w:rsidR="00DF3EE9" w:rsidRPr="00975DEB" w:rsidRDefault="00DF3EE9" w:rsidP="00D424B1">
            <w:pPr>
              <w:widowControl/>
              <w:snapToGrid w:val="0"/>
              <w:spacing w:line="240" w:lineRule="exact"/>
              <w:jc w:val="center"/>
              <w:rPr>
                <w:bCs/>
                <w:sz w:val="22"/>
                <w:szCs w:val="22"/>
              </w:rPr>
            </w:pPr>
          </w:p>
        </w:tc>
        <w:tc>
          <w:tcPr>
            <w:tcW w:w="1418" w:type="dxa"/>
            <w:tcBorders>
              <w:top w:val="double" w:sz="4" w:space="0" w:color="auto"/>
              <w:left w:val="single" w:sz="6" w:space="0" w:color="auto"/>
              <w:bottom w:val="single" w:sz="6" w:space="0" w:color="auto"/>
              <w:right w:val="single" w:sz="4" w:space="0" w:color="auto"/>
            </w:tcBorders>
            <w:shd w:val="clear" w:color="000000" w:fill="FFFFFF"/>
            <w:noWrap/>
            <w:vAlign w:val="center"/>
            <w:hideMark/>
          </w:tcPr>
          <w:p w:rsidR="00DF3EE9" w:rsidRPr="00975DEB" w:rsidRDefault="00DF3EE9" w:rsidP="00D424B1">
            <w:pPr>
              <w:spacing w:line="240" w:lineRule="exact"/>
              <w:jc w:val="center"/>
            </w:pPr>
            <w:r w:rsidRPr="00975DEB">
              <w:t>1</w:t>
            </w:r>
            <w:r>
              <w:rPr>
                <w:rFonts w:hint="eastAsia"/>
              </w:rPr>
              <w:t>.40</w:t>
            </w:r>
          </w:p>
        </w:tc>
        <w:tc>
          <w:tcPr>
            <w:tcW w:w="1417" w:type="dxa"/>
            <w:tcBorders>
              <w:top w:val="double" w:sz="4" w:space="0" w:color="auto"/>
              <w:left w:val="single" w:sz="4" w:space="0" w:color="auto"/>
              <w:bottom w:val="single" w:sz="4" w:space="0" w:color="auto"/>
              <w:right w:val="single" w:sz="4" w:space="0" w:color="auto"/>
            </w:tcBorders>
            <w:shd w:val="clear" w:color="000000" w:fill="FFFFFF"/>
            <w:vAlign w:val="center"/>
          </w:tcPr>
          <w:p w:rsidR="00DF3EE9" w:rsidRPr="00975DEB" w:rsidRDefault="00DF3EE9" w:rsidP="00D424B1">
            <w:pPr>
              <w:spacing w:line="240" w:lineRule="exact"/>
              <w:jc w:val="center"/>
            </w:pPr>
            <w:r w:rsidRPr="00975DEB">
              <w:t>1.30</w:t>
            </w:r>
          </w:p>
        </w:tc>
        <w:tc>
          <w:tcPr>
            <w:tcW w:w="2126" w:type="dxa"/>
            <w:vMerge/>
            <w:tcBorders>
              <w:left w:val="single" w:sz="4" w:space="0" w:color="auto"/>
            </w:tcBorders>
            <w:shd w:val="clear" w:color="000000" w:fill="FFFFFF"/>
          </w:tcPr>
          <w:p w:rsidR="00DF3EE9" w:rsidRPr="00975DEB" w:rsidRDefault="00DF3EE9" w:rsidP="00D424B1">
            <w:pPr>
              <w:snapToGrid w:val="0"/>
              <w:jc w:val="center"/>
              <w:rPr>
                <w:sz w:val="22"/>
                <w:szCs w:val="22"/>
              </w:rPr>
            </w:pPr>
          </w:p>
        </w:tc>
      </w:tr>
      <w:tr w:rsidR="00DF3EE9" w:rsidRPr="00975DEB" w:rsidTr="00D424B1">
        <w:trPr>
          <w:trHeight w:val="456"/>
        </w:trPr>
        <w:tc>
          <w:tcPr>
            <w:tcW w:w="1134" w:type="dxa"/>
            <w:vMerge/>
            <w:tcBorders>
              <w:top w:val="single" w:sz="6" w:space="0" w:color="auto"/>
              <w:left w:val="single" w:sz="6" w:space="0" w:color="auto"/>
              <w:bottom w:val="single" w:sz="6" w:space="0" w:color="auto"/>
              <w:right w:val="single" w:sz="6" w:space="0" w:color="auto"/>
            </w:tcBorders>
            <w:vAlign w:val="center"/>
            <w:hideMark/>
          </w:tcPr>
          <w:p w:rsidR="00DF3EE9" w:rsidRPr="00975DEB" w:rsidRDefault="00DF3EE9" w:rsidP="00D424B1">
            <w:pPr>
              <w:widowControl/>
              <w:snapToGrid w:val="0"/>
              <w:rPr>
                <w:rFonts w:eastAsia="標楷體"/>
                <w:bCs/>
                <w:sz w:val="22"/>
                <w:szCs w:val="22"/>
              </w:rPr>
            </w:pPr>
          </w:p>
        </w:tc>
        <w:tc>
          <w:tcPr>
            <w:tcW w:w="2722" w:type="dxa"/>
            <w:tcBorders>
              <w:top w:val="single" w:sz="6" w:space="0" w:color="auto"/>
              <w:left w:val="single" w:sz="6" w:space="0" w:color="auto"/>
              <w:bottom w:val="single" w:sz="6" w:space="0" w:color="auto"/>
              <w:right w:val="single" w:sz="6" w:space="0" w:color="auto"/>
            </w:tcBorders>
            <w:shd w:val="clear" w:color="000000" w:fill="FFFFFF"/>
            <w:noWrap/>
            <w:vAlign w:val="center"/>
            <w:hideMark/>
          </w:tcPr>
          <w:p w:rsidR="00DF3EE9" w:rsidRPr="00975DEB" w:rsidRDefault="00DF3EE9" w:rsidP="00D424B1">
            <w:pPr>
              <w:spacing w:line="240" w:lineRule="exact"/>
              <w:jc w:val="both"/>
              <w:rPr>
                <w:rFonts w:eastAsia="標楷體"/>
                <w:sz w:val="22"/>
              </w:rPr>
            </w:pPr>
            <w:r w:rsidRPr="00975DEB">
              <w:rPr>
                <w:rFonts w:eastAsia="標楷體"/>
                <w:sz w:val="22"/>
              </w:rPr>
              <w:t>Goldman Sachs</w:t>
            </w:r>
            <w:r>
              <w:rPr>
                <w:rFonts w:eastAsia="標楷體" w:hint="eastAsia"/>
                <w:sz w:val="22"/>
              </w:rPr>
              <w:t xml:space="preserve"> </w:t>
            </w:r>
            <w:r w:rsidRPr="00975DEB">
              <w:rPr>
                <w:rFonts w:eastAsia="標楷體"/>
                <w:sz w:val="22"/>
              </w:rPr>
              <w:t>(2018/9/</w:t>
            </w:r>
            <w:r>
              <w:rPr>
                <w:rFonts w:eastAsia="標楷體" w:hint="eastAsia"/>
                <w:sz w:val="22"/>
              </w:rPr>
              <w:t>25</w:t>
            </w:r>
            <w:r w:rsidRPr="00975DEB">
              <w:rPr>
                <w:rFonts w:eastAsia="標楷體"/>
                <w:sz w:val="22"/>
              </w:rPr>
              <w:t>)</w:t>
            </w:r>
          </w:p>
        </w:tc>
        <w:tc>
          <w:tcPr>
            <w:tcW w:w="1417" w:type="dxa"/>
            <w:vMerge/>
            <w:tcBorders>
              <w:top w:val="single" w:sz="6" w:space="0" w:color="auto"/>
              <w:left w:val="single" w:sz="6" w:space="0" w:color="auto"/>
              <w:bottom w:val="single" w:sz="6" w:space="0" w:color="auto"/>
              <w:right w:val="single" w:sz="6" w:space="0" w:color="auto"/>
            </w:tcBorders>
            <w:vAlign w:val="center"/>
            <w:hideMark/>
          </w:tcPr>
          <w:p w:rsidR="00DF3EE9" w:rsidRPr="00975DEB" w:rsidRDefault="00DF3EE9" w:rsidP="00D424B1">
            <w:pPr>
              <w:widowControl/>
              <w:snapToGrid w:val="0"/>
              <w:spacing w:line="240" w:lineRule="exact"/>
              <w:jc w:val="center"/>
              <w:rPr>
                <w:bCs/>
                <w:sz w:val="22"/>
                <w:szCs w:val="22"/>
              </w:rPr>
            </w:pPr>
          </w:p>
        </w:tc>
        <w:tc>
          <w:tcPr>
            <w:tcW w:w="1418" w:type="dxa"/>
            <w:tcBorders>
              <w:top w:val="single" w:sz="6" w:space="0" w:color="auto"/>
              <w:left w:val="single" w:sz="6" w:space="0" w:color="auto"/>
              <w:bottom w:val="single" w:sz="6" w:space="0" w:color="auto"/>
              <w:right w:val="single" w:sz="4" w:space="0" w:color="auto"/>
            </w:tcBorders>
            <w:shd w:val="clear" w:color="000000" w:fill="FFFFFF"/>
            <w:noWrap/>
            <w:vAlign w:val="center"/>
            <w:hideMark/>
          </w:tcPr>
          <w:p w:rsidR="00DF3EE9" w:rsidRPr="00975DEB" w:rsidRDefault="00DF3EE9" w:rsidP="00D424B1">
            <w:pPr>
              <w:spacing w:line="240" w:lineRule="exact"/>
              <w:jc w:val="center"/>
            </w:pPr>
            <w:r w:rsidRPr="00975DEB">
              <w:t>1.40</w:t>
            </w:r>
          </w:p>
        </w:tc>
        <w:tc>
          <w:tcPr>
            <w:tcW w:w="1417" w:type="dxa"/>
            <w:tcBorders>
              <w:top w:val="single" w:sz="4" w:space="0" w:color="auto"/>
              <w:left w:val="single" w:sz="4" w:space="0" w:color="auto"/>
              <w:bottom w:val="single" w:sz="4" w:space="0" w:color="auto"/>
              <w:right w:val="single" w:sz="4" w:space="0" w:color="auto"/>
            </w:tcBorders>
            <w:shd w:val="clear" w:color="000000" w:fill="FFFFFF"/>
            <w:vAlign w:val="center"/>
          </w:tcPr>
          <w:p w:rsidR="00DF3EE9" w:rsidRPr="00975DEB" w:rsidRDefault="00DF3EE9" w:rsidP="00D424B1">
            <w:pPr>
              <w:spacing w:line="240" w:lineRule="exact"/>
              <w:jc w:val="center"/>
            </w:pPr>
            <w:r w:rsidRPr="00975DEB">
              <w:t>0.90</w:t>
            </w:r>
          </w:p>
        </w:tc>
        <w:tc>
          <w:tcPr>
            <w:tcW w:w="2126" w:type="dxa"/>
            <w:vMerge/>
            <w:tcBorders>
              <w:left w:val="single" w:sz="4" w:space="0" w:color="auto"/>
            </w:tcBorders>
            <w:shd w:val="clear" w:color="000000" w:fill="FFFFFF"/>
            <w:vAlign w:val="center"/>
          </w:tcPr>
          <w:p w:rsidR="00DF3EE9" w:rsidRPr="00975DEB" w:rsidRDefault="00DF3EE9" w:rsidP="00D424B1">
            <w:pPr>
              <w:snapToGrid w:val="0"/>
              <w:jc w:val="center"/>
              <w:rPr>
                <w:sz w:val="22"/>
                <w:szCs w:val="22"/>
              </w:rPr>
            </w:pPr>
          </w:p>
        </w:tc>
      </w:tr>
      <w:tr w:rsidR="00DF3EE9" w:rsidRPr="00975DEB" w:rsidTr="00D424B1">
        <w:trPr>
          <w:trHeight w:val="456"/>
        </w:trPr>
        <w:tc>
          <w:tcPr>
            <w:tcW w:w="1134" w:type="dxa"/>
            <w:vMerge/>
            <w:tcBorders>
              <w:top w:val="single" w:sz="6" w:space="0" w:color="auto"/>
              <w:left w:val="single" w:sz="6" w:space="0" w:color="auto"/>
              <w:bottom w:val="single" w:sz="6" w:space="0" w:color="auto"/>
              <w:right w:val="single" w:sz="6" w:space="0" w:color="auto"/>
            </w:tcBorders>
            <w:vAlign w:val="center"/>
            <w:hideMark/>
          </w:tcPr>
          <w:p w:rsidR="00DF3EE9" w:rsidRPr="00975DEB" w:rsidRDefault="00DF3EE9" w:rsidP="00D424B1">
            <w:pPr>
              <w:widowControl/>
              <w:snapToGrid w:val="0"/>
              <w:rPr>
                <w:rFonts w:eastAsia="標楷體"/>
                <w:bCs/>
                <w:sz w:val="22"/>
                <w:szCs w:val="22"/>
              </w:rPr>
            </w:pPr>
          </w:p>
        </w:tc>
        <w:tc>
          <w:tcPr>
            <w:tcW w:w="2722" w:type="dxa"/>
            <w:tcBorders>
              <w:top w:val="single" w:sz="6" w:space="0" w:color="auto"/>
              <w:left w:val="single" w:sz="6" w:space="0" w:color="auto"/>
              <w:bottom w:val="single" w:sz="6" w:space="0" w:color="auto"/>
              <w:right w:val="single" w:sz="6" w:space="0" w:color="auto"/>
            </w:tcBorders>
            <w:shd w:val="clear" w:color="000000" w:fill="FFFFFF"/>
            <w:noWrap/>
            <w:vAlign w:val="center"/>
            <w:hideMark/>
          </w:tcPr>
          <w:p w:rsidR="00DF3EE9" w:rsidRPr="00975DEB" w:rsidRDefault="00DF3EE9" w:rsidP="00D424B1">
            <w:pPr>
              <w:spacing w:line="240" w:lineRule="exact"/>
              <w:jc w:val="both"/>
              <w:rPr>
                <w:rFonts w:eastAsia="標楷體"/>
                <w:sz w:val="22"/>
              </w:rPr>
            </w:pPr>
            <w:r w:rsidRPr="00975DEB">
              <w:rPr>
                <w:rFonts w:eastAsia="標楷體"/>
                <w:sz w:val="22"/>
              </w:rPr>
              <w:t>Credit Suisse</w:t>
            </w:r>
            <w:r>
              <w:rPr>
                <w:rFonts w:eastAsia="標楷體" w:hint="eastAsia"/>
                <w:sz w:val="22"/>
              </w:rPr>
              <w:t xml:space="preserve"> </w:t>
            </w:r>
            <w:r w:rsidRPr="00975DEB">
              <w:rPr>
                <w:rFonts w:eastAsia="標楷體"/>
                <w:sz w:val="22"/>
              </w:rPr>
              <w:t>(2018/9/</w:t>
            </w:r>
            <w:r>
              <w:rPr>
                <w:rFonts w:eastAsia="標楷體" w:hint="eastAsia"/>
                <w:sz w:val="22"/>
              </w:rPr>
              <w:t>20</w:t>
            </w:r>
            <w:r w:rsidRPr="00975DEB">
              <w:rPr>
                <w:rFonts w:eastAsia="標楷體"/>
                <w:sz w:val="22"/>
              </w:rPr>
              <w:t>)</w:t>
            </w:r>
          </w:p>
        </w:tc>
        <w:tc>
          <w:tcPr>
            <w:tcW w:w="1417" w:type="dxa"/>
            <w:vMerge/>
            <w:tcBorders>
              <w:top w:val="single" w:sz="6" w:space="0" w:color="auto"/>
              <w:left w:val="single" w:sz="6" w:space="0" w:color="auto"/>
              <w:bottom w:val="single" w:sz="6" w:space="0" w:color="auto"/>
              <w:right w:val="single" w:sz="6" w:space="0" w:color="auto"/>
            </w:tcBorders>
            <w:vAlign w:val="center"/>
            <w:hideMark/>
          </w:tcPr>
          <w:p w:rsidR="00DF3EE9" w:rsidRPr="00975DEB" w:rsidRDefault="00DF3EE9" w:rsidP="00D424B1">
            <w:pPr>
              <w:widowControl/>
              <w:snapToGrid w:val="0"/>
              <w:spacing w:line="240" w:lineRule="exact"/>
              <w:jc w:val="center"/>
              <w:rPr>
                <w:bCs/>
                <w:sz w:val="22"/>
                <w:szCs w:val="22"/>
              </w:rPr>
            </w:pPr>
          </w:p>
        </w:tc>
        <w:tc>
          <w:tcPr>
            <w:tcW w:w="1418" w:type="dxa"/>
            <w:tcBorders>
              <w:top w:val="single" w:sz="6" w:space="0" w:color="auto"/>
              <w:left w:val="single" w:sz="6" w:space="0" w:color="auto"/>
              <w:bottom w:val="single" w:sz="6" w:space="0" w:color="auto"/>
              <w:right w:val="single" w:sz="4" w:space="0" w:color="auto"/>
            </w:tcBorders>
            <w:shd w:val="clear" w:color="000000" w:fill="FFFFFF"/>
            <w:noWrap/>
            <w:vAlign w:val="center"/>
            <w:hideMark/>
          </w:tcPr>
          <w:p w:rsidR="00DF3EE9" w:rsidRPr="00975DEB" w:rsidRDefault="00DF3EE9" w:rsidP="00D424B1">
            <w:pPr>
              <w:spacing w:line="240" w:lineRule="exact"/>
              <w:jc w:val="center"/>
            </w:pPr>
            <w:r w:rsidRPr="00975DEB">
              <w:t>1.40</w:t>
            </w:r>
          </w:p>
        </w:tc>
        <w:tc>
          <w:tcPr>
            <w:tcW w:w="1417" w:type="dxa"/>
            <w:tcBorders>
              <w:top w:val="single" w:sz="4" w:space="0" w:color="auto"/>
              <w:left w:val="single" w:sz="4" w:space="0" w:color="auto"/>
              <w:bottom w:val="single" w:sz="4" w:space="0" w:color="auto"/>
              <w:right w:val="single" w:sz="4" w:space="0" w:color="auto"/>
            </w:tcBorders>
            <w:shd w:val="clear" w:color="000000" w:fill="FFFFFF"/>
            <w:vAlign w:val="center"/>
          </w:tcPr>
          <w:p w:rsidR="00DF3EE9" w:rsidRPr="00975DEB" w:rsidRDefault="00DF3EE9" w:rsidP="00D424B1">
            <w:pPr>
              <w:spacing w:line="240" w:lineRule="exact"/>
              <w:jc w:val="center"/>
            </w:pPr>
            <w:r w:rsidRPr="00975DEB">
              <w:t>1.60</w:t>
            </w:r>
          </w:p>
        </w:tc>
        <w:tc>
          <w:tcPr>
            <w:tcW w:w="2126" w:type="dxa"/>
            <w:vMerge/>
            <w:tcBorders>
              <w:left w:val="single" w:sz="4" w:space="0" w:color="auto"/>
            </w:tcBorders>
            <w:shd w:val="clear" w:color="000000" w:fill="FFFFFF"/>
            <w:vAlign w:val="center"/>
          </w:tcPr>
          <w:p w:rsidR="00DF3EE9" w:rsidRPr="00975DEB" w:rsidRDefault="00DF3EE9" w:rsidP="00D424B1">
            <w:pPr>
              <w:snapToGrid w:val="0"/>
              <w:jc w:val="center"/>
              <w:rPr>
                <w:sz w:val="22"/>
                <w:szCs w:val="22"/>
              </w:rPr>
            </w:pPr>
          </w:p>
        </w:tc>
      </w:tr>
      <w:tr w:rsidR="00DF3EE9" w:rsidRPr="00975DEB" w:rsidTr="00D424B1">
        <w:trPr>
          <w:trHeight w:val="456"/>
        </w:trPr>
        <w:tc>
          <w:tcPr>
            <w:tcW w:w="1134" w:type="dxa"/>
            <w:vMerge/>
            <w:tcBorders>
              <w:top w:val="single" w:sz="6" w:space="0" w:color="auto"/>
              <w:left w:val="single" w:sz="6" w:space="0" w:color="auto"/>
              <w:bottom w:val="single" w:sz="6" w:space="0" w:color="auto"/>
              <w:right w:val="single" w:sz="6" w:space="0" w:color="auto"/>
            </w:tcBorders>
            <w:vAlign w:val="center"/>
            <w:hideMark/>
          </w:tcPr>
          <w:p w:rsidR="00DF3EE9" w:rsidRPr="00975DEB" w:rsidRDefault="00DF3EE9" w:rsidP="00D424B1">
            <w:pPr>
              <w:widowControl/>
              <w:snapToGrid w:val="0"/>
              <w:rPr>
                <w:rFonts w:eastAsia="標楷體"/>
                <w:bCs/>
                <w:sz w:val="22"/>
                <w:szCs w:val="22"/>
              </w:rPr>
            </w:pPr>
          </w:p>
        </w:tc>
        <w:tc>
          <w:tcPr>
            <w:tcW w:w="2722" w:type="dxa"/>
            <w:tcBorders>
              <w:top w:val="single" w:sz="6" w:space="0" w:color="auto"/>
              <w:left w:val="single" w:sz="6" w:space="0" w:color="auto"/>
              <w:bottom w:val="single" w:sz="6" w:space="0" w:color="auto"/>
              <w:right w:val="single" w:sz="6" w:space="0" w:color="auto"/>
            </w:tcBorders>
            <w:shd w:val="clear" w:color="000000" w:fill="FFFFFF"/>
            <w:noWrap/>
            <w:vAlign w:val="center"/>
            <w:hideMark/>
          </w:tcPr>
          <w:p w:rsidR="00DF3EE9" w:rsidRPr="00975DEB" w:rsidRDefault="00DF3EE9" w:rsidP="00D424B1">
            <w:pPr>
              <w:spacing w:line="240" w:lineRule="exact"/>
              <w:rPr>
                <w:rFonts w:eastAsia="標楷體"/>
                <w:sz w:val="22"/>
              </w:rPr>
            </w:pPr>
            <w:proofErr w:type="spellStart"/>
            <w:r w:rsidRPr="00975DEB">
              <w:rPr>
                <w:rFonts w:eastAsia="標楷體"/>
                <w:sz w:val="22"/>
              </w:rPr>
              <w:t>BoA</w:t>
            </w:r>
            <w:proofErr w:type="spellEnd"/>
            <w:r w:rsidRPr="00975DEB">
              <w:rPr>
                <w:rFonts w:eastAsia="標楷體"/>
                <w:sz w:val="22"/>
              </w:rPr>
              <w:t xml:space="preserve"> Merrill Lynch</w:t>
            </w:r>
            <w:r>
              <w:rPr>
                <w:rFonts w:eastAsia="標楷體" w:hint="eastAsia"/>
                <w:sz w:val="22"/>
              </w:rPr>
              <w:t xml:space="preserve"> </w:t>
            </w:r>
            <w:r w:rsidRPr="00975DEB">
              <w:rPr>
                <w:rFonts w:eastAsia="標楷體"/>
                <w:sz w:val="22"/>
              </w:rPr>
              <w:t>(2018/9/</w:t>
            </w:r>
            <w:r>
              <w:rPr>
                <w:rFonts w:eastAsia="標楷體" w:hint="eastAsia"/>
                <w:sz w:val="22"/>
              </w:rPr>
              <w:t>25</w:t>
            </w:r>
            <w:r w:rsidRPr="00975DEB">
              <w:rPr>
                <w:rFonts w:eastAsia="標楷體"/>
                <w:sz w:val="22"/>
              </w:rPr>
              <w:t>)</w:t>
            </w:r>
          </w:p>
        </w:tc>
        <w:tc>
          <w:tcPr>
            <w:tcW w:w="1417" w:type="dxa"/>
            <w:vMerge/>
            <w:tcBorders>
              <w:top w:val="single" w:sz="6" w:space="0" w:color="auto"/>
              <w:left w:val="single" w:sz="6" w:space="0" w:color="auto"/>
              <w:bottom w:val="single" w:sz="6" w:space="0" w:color="auto"/>
              <w:right w:val="single" w:sz="6" w:space="0" w:color="auto"/>
            </w:tcBorders>
            <w:vAlign w:val="center"/>
            <w:hideMark/>
          </w:tcPr>
          <w:p w:rsidR="00DF3EE9" w:rsidRPr="00975DEB" w:rsidRDefault="00DF3EE9" w:rsidP="00D424B1">
            <w:pPr>
              <w:widowControl/>
              <w:snapToGrid w:val="0"/>
              <w:spacing w:line="240" w:lineRule="exact"/>
              <w:jc w:val="center"/>
              <w:rPr>
                <w:bCs/>
                <w:sz w:val="22"/>
                <w:szCs w:val="22"/>
              </w:rPr>
            </w:pPr>
          </w:p>
        </w:tc>
        <w:tc>
          <w:tcPr>
            <w:tcW w:w="1418" w:type="dxa"/>
            <w:tcBorders>
              <w:top w:val="single" w:sz="6" w:space="0" w:color="auto"/>
              <w:left w:val="single" w:sz="6" w:space="0" w:color="auto"/>
              <w:bottom w:val="single" w:sz="6" w:space="0" w:color="auto"/>
              <w:right w:val="single" w:sz="4" w:space="0" w:color="auto"/>
            </w:tcBorders>
            <w:shd w:val="clear" w:color="000000" w:fill="FFFFFF"/>
            <w:noWrap/>
            <w:vAlign w:val="center"/>
          </w:tcPr>
          <w:p w:rsidR="00DF3EE9" w:rsidRPr="00975DEB" w:rsidRDefault="00DF3EE9" w:rsidP="00D424B1">
            <w:pPr>
              <w:spacing w:line="240" w:lineRule="exact"/>
              <w:jc w:val="center"/>
            </w:pPr>
            <w:r w:rsidRPr="00975DEB">
              <w:t>1.50</w:t>
            </w:r>
          </w:p>
        </w:tc>
        <w:tc>
          <w:tcPr>
            <w:tcW w:w="1417" w:type="dxa"/>
            <w:tcBorders>
              <w:top w:val="single" w:sz="4" w:space="0" w:color="auto"/>
              <w:left w:val="single" w:sz="4" w:space="0" w:color="auto"/>
              <w:bottom w:val="single" w:sz="4" w:space="0" w:color="auto"/>
              <w:right w:val="single" w:sz="4" w:space="0" w:color="auto"/>
            </w:tcBorders>
            <w:shd w:val="clear" w:color="000000" w:fill="FFFFFF"/>
            <w:vAlign w:val="center"/>
          </w:tcPr>
          <w:p w:rsidR="00DF3EE9" w:rsidRPr="00975DEB" w:rsidRDefault="00DF3EE9" w:rsidP="00D424B1">
            <w:pPr>
              <w:spacing w:line="240" w:lineRule="exact"/>
              <w:jc w:val="center"/>
            </w:pPr>
            <w:r w:rsidRPr="00975DEB">
              <w:t>1.20</w:t>
            </w:r>
          </w:p>
        </w:tc>
        <w:tc>
          <w:tcPr>
            <w:tcW w:w="2126" w:type="dxa"/>
            <w:vMerge/>
            <w:tcBorders>
              <w:left w:val="single" w:sz="4" w:space="0" w:color="auto"/>
            </w:tcBorders>
            <w:shd w:val="clear" w:color="000000" w:fill="FFFFFF"/>
            <w:vAlign w:val="center"/>
          </w:tcPr>
          <w:p w:rsidR="00DF3EE9" w:rsidRPr="00975DEB" w:rsidRDefault="00DF3EE9" w:rsidP="00D424B1">
            <w:pPr>
              <w:snapToGrid w:val="0"/>
              <w:jc w:val="center"/>
              <w:rPr>
                <w:sz w:val="22"/>
                <w:szCs w:val="22"/>
              </w:rPr>
            </w:pPr>
          </w:p>
        </w:tc>
      </w:tr>
      <w:tr w:rsidR="00DF3EE9" w:rsidRPr="00975DEB" w:rsidTr="00D424B1">
        <w:trPr>
          <w:trHeight w:val="468"/>
        </w:trPr>
        <w:tc>
          <w:tcPr>
            <w:tcW w:w="1134" w:type="dxa"/>
            <w:vMerge/>
            <w:tcBorders>
              <w:top w:val="single" w:sz="6" w:space="0" w:color="auto"/>
              <w:left w:val="single" w:sz="6" w:space="0" w:color="auto"/>
              <w:bottom w:val="single" w:sz="6" w:space="0" w:color="auto"/>
              <w:right w:val="single" w:sz="6" w:space="0" w:color="auto"/>
            </w:tcBorders>
            <w:vAlign w:val="center"/>
            <w:hideMark/>
          </w:tcPr>
          <w:p w:rsidR="00DF3EE9" w:rsidRPr="00975DEB" w:rsidRDefault="00DF3EE9" w:rsidP="00D424B1">
            <w:pPr>
              <w:widowControl/>
              <w:snapToGrid w:val="0"/>
              <w:rPr>
                <w:rFonts w:eastAsia="標楷體"/>
                <w:bCs/>
                <w:sz w:val="22"/>
                <w:szCs w:val="22"/>
              </w:rPr>
            </w:pPr>
          </w:p>
        </w:tc>
        <w:tc>
          <w:tcPr>
            <w:tcW w:w="2722" w:type="dxa"/>
            <w:tcBorders>
              <w:top w:val="single" w:sz="6" w:space="0" w:color="auto"/>
              <w:left w:val="single" w:sz="6" w:space="0" w:color="auto"/>
              <w:bottom w:val="single" w:sz="6" w:space="0" w:color="auto"/>
              <w:right w:val="single" w:sz="6" w:space="0" w:color="auto"/>
            </w:tcBorders>
            <w:shd w:val="clear" w:color="000000" w:fill="FFFFFF"/>
            <w:noWrap/>
            <w:vAlign w:val="center"/>
            <w:hideMark/>
          </w:tcPr>
          <w:p w:rsidR="00DF3EE9" w:rsidRPr="00975DEB" w:rsidRDefault="00DF3EE9" w:rsidP="00D424B1">
            <w:pPr>
              <w:spacing w:line="240" w:lineRule="exact"/>
              <w:jc w:val="both"/>
              <w:rPr>
                <w:rFonts w:eastAsia="標楷體"/>
                <w:sz w:val="22"/>
              </w:rPr>
            </w:pPr>
            <w:r w:rsidRPr="00975DEB">
              <w:rPr>
                <w:rFonts w:eastAsia="標楷體"/>
                <w:sz w:val="22"/>
              </w:rPr>
              <w:t>Nomura</w:t>
            </w:r>
            <w:r>
              <w:rPr>
                <w:rFonts w:eastAsia="標楷體" w:hint="eastAsia"/>
                <w:sz w:val="22"/>
              </w:rPr>
              <w:t xml:space="preserve"> </w:t>
            </w:r>
            <w:r w:rsidRPr="00975DEB">
              <w:rPr>
                <w:rFonts w:eastAsia="標楷體"/>
                <w:sz w:val="22"/>
              </w:rPr>
              <w:t>(2018/9/</w:t>
            </w:r>
            <w:r>
              <w:rPr>
                <w:rFonts w:eastAsia="標楷體" w:hint="eastAsia"/>
                <w:sz w:val="22"/>
              </w:rPr>
              <w:t>21</w:t>
            </w:r>
            <w:r w:rsidRPr="00975DEB">
              <w:rPr>
                <w:rFonts w:eastAsia="標楷體"/>
                <w:sz w:val="22"/>
              </w:rPr>
              <w:t>)</w:t>
            </w:r>
          </w:p>
        </w:tc>
        <w:tc>
          <w:tcPr>
            <w:tcW w:w="1417" w:type="dxa"/>
            <w:vMerge/>
            <w:tcBorders>
              <w:top w:val="single" w:sz="6" w:space="0" w:color="auto"/>
              <w:left w:val="single" w:sz="6" w:space="0" w:color="auto"/>
              <w:bottom w:val="single" w:sz="6" w:space="0" w:color="auto"/>
              <w:right w:val="single" w:sz="6" w:space="0" w:color="auto"/>
            </w:tcBorders>
            <w:vAlign w:val="center"/>
            <w:hideMark/>
          </w:tcPr>
          <w:p w:rsidR="00DF3EE9" w:rsidRPr="00975DEB" w:rsidRDefault="00DF3EE9" w:rsidP="00D424B1">
            <w:pPr>
              <w:widowControl/>
              <w:snapToGrid w:val="0"/>
              <w:spacing w:line="240" w:lineRule="exact"/>
              <w:jc w:val="center"/>
              <w:rPr>
                <w:bCs/>
                <w:sz w:val="22"/>
                <w:szCs w:val="22"/>
              </w:rPr>
            </w:pPr>
          </w:p>
        </w:tc>
        <w:tc>
          <w:tcPr>
            <w:tcW w:w="1418" w:type="dxa"/>
            <w:tcBorders>
              <w:top w:val="single" w:sz="6" w:space="0" w:color="auto"/>
              <w:left w:val="single" w:sz="6" w:space="0" w:color="auto"/>
              <w:bottom w:val="single" w:sz="6" w:space="0" w:color="auto"/>
              <w:right w:val="single" w:sz="4" w:space="0" w:color="auto"/>
            </w:tcBorders>
            <w:shd w:val="clear" w:color="000000" w:fill="FFFFFF"/>
            <w:noWrap/>
            <w:vAlign w:val="center"/>
          </w:tcPr>
          <w:p w:rsidR="00DF3EE9" w:rsidRPr="00975DEB" w:rsidRDefault="00DF3EE9" w:rsidP="00D424B1">
            <w:pPr>
              <w:spacing w:line="240" w:lineRule="exact"/>
              <w:jc w:val="center"/>
            </w:pPr>
            <w:r w:rsidRPr="00975DEB">
              <w:t>1.50</w:t>
            </w:r>
          </w:p>
        </w:tc>
        <w:tc>
          <w:tcPr>
            <w:tcW w:w="1417" w:type="dxa"/>
            <w:tcBorders>
              <w:top w:val="single" w:sz="4" w:space="0" w:color="auto"/>
              <w:left w:val="single" w:sz="4" w:space="0" w:color="auto"/>
              <w:bottom w:val="single" w:sz="4" w:space="0" w:color="auto"/>
              <w:right w:val="single" w:sz="4" w:space="0" w:color="auto"/>
            </w:tcBorders>
            <w:shd w:val="clear" w:color="000000" w:fill="FFFFFF"/>
            <w:vAlign w:val="center"/>
          </w:tcPr>
          <w:p w:rsidR="00DF3EE9" w:rsidRPr="00975DEB" w:rsidRDefault="00DF3EE9" w:rsidP="00D424B1">
            <w:pPr>
              <w:spacing w:line="240" w:lineRule="exact"/>
              <w:jc w:val="center"/>
            </w:pPr>
            <w:r w:rsidRPr="00975DEB">
              <w:t>1.30</w:t>
            </w:r>
          </w:p>
        </w:tc>
        <w:tc>
          <w:tcPr>
            <w:tcW w:w="2126" w:type="dxa"/>
            <w:vMerge/>
            <w:tcBorders>
              <w:left w:val="single" w:sz="4" w:space="0" w:color="auto"/>
            </w:tcBorders>
            <w:shd w:val="clear" w:color="000000" w:fill="FFFFFF"/>
            <w:vAlign w:val="center"/>
          </w:tcPr>
          <w:p w:rsidR="00DF3EE9" w:rsidRPr="00975DEB" w:rsidRDefault="00DF3EE9" w:rsidP="00D424B1">
            <w:pPr>
              <w:snapToGrid w:val="0"/>
              <w:jc w:val="center"/>
              <w:rPr>
                <w:sz w:val="22"/>
                <w:szCs w:val="22"/>
              </w:rPr>
            </w:pPr>
          </w:p>
        </w:tc>
      </w:tr>
      <w:tr w:rsidR="00DF3EE9" w:rsidRPr="00975DEB" w:rsidTr="00D424B1">
        <w:trPr>
          <w:trHeight w:val="456"/>
        </w:trPr>
        <w:tc>
          <w:tcPr>
            <w:tcW w:w="1134" w:type="dxa"/>
            <w:vMerge/>
            <w:tcBorders>
              <w:top w:val="single" w:sz="6" w:space="0" w:color="auto"/>
              <w:left w:val="single" w:sz="6" w:space="0" w:color="auto"/>
              <w:bottom w:val="single" w:sz="6" w:space="0" w:color="auto"/>
              <w:right w:val="single" w:sz="6" w:space="0" w:color="auto"/>
            </w:tcBorders>
            <w:vAlign w:val="center"/>
            <w:hideMark/>
          </w:tcPr>
          <w:p w:rsidR="00DF3EE9" w:rsidRPr="00975DEB" w:rsidRDefault="00DF3EE9" w:rsidP="00D424B1">
            <w:pPr>
              <w:widowControl/>
              <w:snapToGrid w:val="0"/>
              <w:rPr>
                <w:rFonts w:eastAsia="標楷體"/>
                <w:bCs/>
                <w:sz w:val="22"/>
                <w:szCs w:val="22"/>
              </w:rPr>
            </w:pPr>
          </w:p>
        </w:tc>
        <w:tc>
          <w:tcPr>
            <w:tcW w:w="2722" w:type="dxa"/>
            <w:tcBorders>
              <w:top w:val="single" w:sz="6" w:space="0" w:color="auto"/>
              <w:left w:val="single" w:sz="6" w:space="0" w:color="auto"/>
              <w:bottom w:val="single" w:sz="6" w:space="0" w:color="auto"/>
              <w:right w:val="single" w:sz="6" w:space="0" w:color="auto"/>
            </w:tcBorders>
            <w:shd w:val="clear" w:color="000000" w:fill="FFFFFF"/>
            <w:noWrap/>
            <w:vAlign w:val="center"/>
            <w:hideMark/>
          </w:tcPr>
          <w:p w:rsidR="00DF3EE9" w:rsidRPr="00975DEB" w:rsidRDefault="00DF3EE9" w:rsidP="00D424B1">
            <w:pPr>
              <w:spacing w:line="240" w:lineRule="exact"/>
              <w:jc w:val="both"/>
              <w:rPr>
                <w:rFonts w:eastAsia="標楷體"/>
                <w:sz w:val="22"/>
              </w:rPr>
            </w:pPr>
            <w:r w:rsidRPr="00975DEB">
              <w:rPr>
                <w:rFonts w:eastAsia="標楷體"/>
                <w:sz w:val="22"/>
              </w:rPr>
              <w:t>Barclays Capital</w:t>
            </w:r>
            <w:r>
              <w:rPr>
                <w:rFonts w:eastAsia="標楷體" w:hint="eastAsia"/>
                <w:sz w:val="22"/>
              </w:rPr>
              <w:t xml:space="preserve"> </w:t>
            </w:r>
            <w:r w:rsidRPr="00975DEB">
              <w:rPr>
                <w:rFonts w:eastAsia="標楷體"/>
                <w:sz w:val="22"/>
              </w:rPr>
              <w:t>(2018/9/</w:t>
            </w:r>
            <w:r>
              <w:rPr>
                <w:rFonts w:eastAsia="標楷體" w:hint="eastAsia"/>
                <w:sz w:val="22"/>
              </w:rPr>
              <w:t>21</w:t>
            </w:r>
            <w:r w:rsidRPr="00975DEB">
              <w:rPr>
                <w:rFonts w:eastAsia="標楷體"/>
                <w:sz w:val="22"/>
              </w:rPr>
              <w:t>)</w:t>
            </w:r>
          </w:p>
        </w:tc>
        <w:tc>
          <w:tcPr>
            <w:tcW w:w="1417" w:type="dxa"/>
            <w:vMerge/>
            <w:tcBorders>
              <w:top w:val="single" w:sz="6" w:space="0" w:color="auto"/>
              <w:left w:val="single" w:sz="6" w:space="0" w:color="auto"/>
              <w:bottom w:val="single" w:sz="6" w:space="0" w:color="auto"/>
              <w:right w:val="single" w:sz="6" w:space="0" w:color="auto"/>
            </w:tcBorders>
            <w:vAlign w:val="center"/>
            <w:hideMark/>
          </w:tcPr>
          <w:p w:rsidR="00DF3EE9" w:rsidRPr="00975DEB" w:rsidRDefault="00DF3EE9" w:rsidP="00D424B1">
            <w:pPr>
              <w:widowControl/>
              <w:snapToGrid w:val="0"/>
              <w:spacing w:line="240" w:lineRule="exact"/>
              <w:jc w:val="center"/>
              <w:rPr>
                <w:bCs/>
                <w:sz w:val="22"/>
                <w:szCs w:val="22"/>
              </w:rPr>
            </w:pPr>
          </w:p>
        </w:tc>
        <w:tc>
          <w:tcPr>
            <w:tcW w:w="1418" w:type="dxa"/>
            <w:tcBorders>
              <w:top w:val="single" w:sz="6" w:space="0" w:color="auto"/>
              <w:left w:val="single" w:sz="6" w:space="0" w:color="auto"/>
              <w:bottom w:val="single" w:sz="6" w:space="0" w:color="auto"/>
              <w:right w:val="single" w:sz="4" w:space="0" w:color="auto"/>
            </w:tcBorders>
            <w:shd w:val="clear" w:color="000000" w:fill="FFFFFF"/>
            <w:noWrap/>
            <w:vAlign w:val="center"/>
          </w:tcPr>
          <w:p w:rsidR="00DF3EE9" w:rsidRPr="00975DEB" w:rsidRDefault="00DF3EE9" w:rsidP="00D424B1">
            <w:pPr>
              <w:spacing w:line="240" w:lineRule="exact"/>
              <w:jc w:val="center"/>
            </w:pPr>
            <w:r w:rsidRPr="00975DEB">
              <w:t>1.50</w:t>
            </w:r>
          </w:p>
        </w:tc>
        <w:tc>
          <w:tcPr>
            <w:tcW w:w="1417" w:type="dxa"/>
            <w:tcBorders>
              <w:top w:val="single" w:sz="4" w:space="0" w:color="auto"/>
              <w:left w:val="single" w:sz="4" w:space="0" w:color="auto"/>
              <w:bottom w:val="single" w:sz="4" w:space="0" w:color="auto"/>
              <w:right w:val="single" w:sz="4" w:space="0" w:color="auto"/>
            </w:tcBorders>
            <w:shd w:val="clear" w:color="000000" w:fill="FFFFFF"/>
            <w:vAlign w:val="center"/>
          </w:tcPr>
          <w:p w:rsidR="00DF3EE9" w:rsidRPr="00975DEB" w:rsidRDefault="00DF3EE9" w:rsidP="00D424B1">
            <w:pPr>
              <w:spacing w:line="240" w:lineRule="exact"/>
              <w:jc w:val="center"/>
            </w:pPr>
            <w:r w:rsidRPr="00975DEB">
              <w:t>1.50</w:t>
            </w:r>
          </w:p>
        </w:tc>
        <w:tc>
          <w:tcPr>
            <w:tcW w:w="2126" w:type="dxa"/>
            <w:vMerge/>
            <w:tcBorders>
              <w:left w:val="single" w:sz="4" w:space="0" w:color="auto"/>
            </w:tcBorders>
            <w:shd w:val="clear" w:color="000000" w:fill="FFFFFF"/>
            <w:vAlign w:val="center"/>
          </w:tcPr>
          <w:p w:rsidR="00DF3EE9" w:rsidRPr="00975DEB" w:rsidRDefault="00DF3EE9" w:rsidP="00D424B1">
            <w:pPr>
              <w:snapToGrid w:val="0"/>
              <w:jc w:val="center"/>
              <w:rPr>
                <w:sz w:val="22"/>
                <w:szCs w:val="22"/>
              </w:rPr>
            </w:pPr>
          </w:p>
        </w:tc>
      </w:tr>
      <w:tr w:rsidR="00DF3EE9" w:rsidRPr="00975DEB" w:rsidTr="00D424B1">
        <w:trPr>
          <w:trHeight w:val="456"/>
        </w:trPr>
        <w:tc>
          <w:tcPr>
            <w:tcW w:w="1134" w:type="dxa"/>
            <w:vMerge/>
            <w:tcBorders>
              <w:top w:val="single" w:sz="6" w:space="0" w:color="auto"/>
              <w:left w:val="single" w:sz="6" w:space="0" w:color="auto"/>
              <w:bottom w:val="single" w:sz="6" w:space="0" w:color="auto"/>
              <w:right w:val="single" w:sz="6" w:space="0" w:color="auto"/>
            </w:tcBorders>
            <w:vAlign w:val="center"/>
          </w:tcPr>
          <w:p w:rsidR="00DF3EE9" w:rsidRPr="00975DEB" w:rsidRDefault="00DF3EE9" w:rsidP="00D424B1">
            <w:pPr>
              <w:widowControl/>
              <w:snapToGrid w:val="0"/>
              <w:rPr>
                <w:rFonts w:eastAsia="標楷體"/>
                <w:bCs/>
                <w:sz w:val="22"/>
                <w:szCs w:val="22"/>
              </w:rPr>
            </w:pPr>
          </w:p>
        </w:tc>
        <w:tc>
          <w:tcPr>
            <w:tcW w:w="2722" w:type="dxa"/>
            <w:tcBorders>
              <w:top w:val="single" w:sz="6" w:space="0" w:color="auto"/>
              <w:left w:val="single" w:sz="6" w:space="0" w:color="auto"/>
              <w:bottom w:val="single" w:sz="6" w:space="0" w:color="auto"/>
              <w:right w:val="single" w:sz="6" w:space="0" w:color="auto"/>
            </w:tcBorders>
            <w:shd w:val="clear" w:color="000000" w:fill="FFFFFF"/>
            <w:noWrap/>
            <w:vAlign w:val="center"/>
          </w:tcPr>
          <w:p w:rsidR="00DF3EE9" w:rsidRPr="00975DEB" w:rsidRDefault="00DF3EE9" w:rsidP="00D424B1">
            <w:pPr>
              <w:spacing w:line="240" w:lineRule="exact"/>
              <w:jc w:val="both"/>
              <w:rPr>
                <w:rFonts w:eastAsia="標楷體"/>
                <w:sz w:val="22"/>
              </w:rPr>
            </w:pPr>
            <w:r>
              <w:rPr>
                <w:rFonts w:eastAsia="標楷體"/>
                <w:sz w:val="22"/>
              </w:rPr>
              <w:t>UBS</w:t>
            </w:r>
            <w:r>
              <w:rPr>
                <w:rFonts w:eastAsia="標楷體" w:hint="eastAsia"/>
                <w:sz w:val="22"/>
              </w:rPr>
              <w:t xml:space="preserve"> </w:t>
            </w:r>
            <w:r>
              <w:rPr>
                <w:rFonts w:eastAsia="標楷體"/>
                <w:sz w:val="22"/>
              </w:rPr>
              <w:t>(2018/9/</w:t>
            </w:r>
            <w:r>
              <w:rPr>
                <w:rFonts w:eastAsia="標楷體" w:hint="eastAsia"/>
                <w:sz w:val="22"/>
              </w:rPr>
              <w:t>2</w:t>
            </w:r>
            <w:r w:rsidRPr="00975DEB">
              <w:rPr>
                <w:rFonts w:eastAsia="標楷體"/>
                <w:sz w:val="22"/>
              </w:rPr>
              <w:t>4)</w:t>
            </w:r>
          </w:p>
        </w:tc>
        <w:tc>
          <w:tcPr>
            <w:tcW w:w="1417" w:type="dxa"/>
            <w:vMerge/>
            <w:tcBorders>
              <w:top w:val="single" w:sz="6" w:space="0" w:color="auto"/>
              <w:left w:val="single" w:sz="6" w:space="0" w:color="auto"/>
              <w:bottom w:val="single" w:sz="6" w:space="0" w:color="auto"/>
              <w:right w:val="single" w:sz="6" w:space="0" w:color="auto"/>
            </w:tcBorders>
            <w:vAlign w:val="center"/>
          </w:tcPr>
          <w:p w:rsidR="00DF3EE9" w:rsidRPr="00975DEB" w:rsidRDefault="00DF3EE9" w:rsidP="00D424B1">
            <w:pPr>
              <w:widowControl/>
              <w:snapToGrid w:val="0"/>
              <w:spacing w:line="240" w:lineRule="exact"/>
              <w:jc w:val="center"/>
              <w:rPr>
                <w:bCs/>
                <w:sz w:val="22"/>
                <w:szCs w:val="22"/>
              </w:rPr>
            </w:pPr>
          </w:p>
        </w:tc>
        <w:tc>
          <w:tcPr>
            <w:tcW w:w="1418" w:type="dxa"/>
            <w:tcBorders>
              <w:top w:val="single" w:sz="6" w:space="0" w:color="auto"/>
              <w:left w:val="single" w:sz="6" w:space="0" w:color="auto"/>
              <w:bottom w:val="single" w:sz="6" w:space="0" w:color="auto"/>
              <w:right w:val="single" w:sz="4" w:space="0" w:color="auto"/>
            </w:tcBorders>
            <w:shd w:val="clear" w:color="000000" w:fill="FFFFFF"/>
            <w:noWrap/>
            <w:vAlign w:val="center"/>
          </w:tcPr>
          <w:p w:rsidR="00DF3EE9" w:rsidRDefault="00DF3EE9" w:rsidP="00D424B1">
            <w:pPr>
              <w:spacing w:line="240" w:lineRule="exact"/>
              <w:jc w:val="center"/>
            </w:pPr>
            <w:r w:rsidRPr="00975DEB">
              <w:t>1.55</w:t>
            </w:r>
          </w:p>
        </w:tc>
        <w:tc>
          <w:tcPr>
            <w:tcW w:w="1417" w:type="dxa"/>
            <w:tcBorders>
              <w:top w:val="single" w:sz="4" w:space="0" w:color="auto"/>
              <w:left w:val="single" w:sz="4" w:space="0" w:color="auto"/>
              <w:bottom w:val="single" w:sz="4" w:space="0" w:color="auto"/>
              <w:right w:val="single" w:sz="4" w:space="0" w:color="auto"/>
            </w:tcBorders>
            <w:shd w:val="clear" w:color="000000" w:fill="FFFFFF"/>
            <w:vAlign w:val="center"/>
          </w:tcPr>
          <w:p w:rsidR="00DF3EE9" w:rsidRDefault="00DF3EE9" w:rsidP="00D424B1">
            <w:pPr>
              <w:spacing w:line="240" w:lineRule="exact"/>
              <w:jc w:val="center"/>
            </w:pPr>
            <w:r w:rsidRPr="00975DEB">
              <w:t>1.35</w:t>
            </w:r>
          </w:p>
        </w:tc>
        <w:tc>
          <w:tcPr>
            <w:tcW w:w="2126" w:type="dxa"/>
            <w:vMerge/>
            <w:tcBorders>
              <w:left w:val="single" w:sz="4" w:space="0" w:color="auto"/>
            </w:tcBorders>
            <w:shd w:val="clear" w:color="000000" w:fill="FFFFFF"/>
            <w:vAlign w:val="center"/>
          </w:tcPr>
          <w:p w:rsidR="00DF3EE9" w:rsidRPr="00975DEB" w:rsidRDefault="00DF3EE9" w:rsidP="00D424B1">
            <w:pPr>
              <w:snapToGrid w:val="0"/>
              <w:jc w:val="center"/>
              <w:rPr>
                <w:sz w:val="22"/>
                <w:szCs w:val="22"/>
              </w:rPr>
            </w:pPr>
          </w:p>
        </w:tc>
      </w:tr>
      <w:tr w:rsidR="00DF3EE9" w:rsidRPr="00975DEB" w:rsidTr="00D424B1">
        <w:trPr>
          <w:trHeight w:val="456"/>
        </w:trPr>
        <w:tc>
          <w:tcPr>
            <w:tcW w:w="1134" w:type="dxa"/>
            <w:vMerge/>
            <w:tcBorders>
              <w:top w:val="single" w:sz="6" w:space="0" w:color="auto"/>
              <w:left w:val="single" w:sz="6" w:space="0" w:color="auto"/>
              <w:bottom w:val="single" w:sz="6" w:space="0" w:color="auto"/>
              <w:right w:val="single" w:sz="6" w:space="0" w:color="auto"/>
            </w:tcBorders>
            <w:vAlign w:val="center"/>
            <w:hideMark/>
          </w:tcPr>
          <w:p w:rsidR="00DF3EE9" w:rsidRPr="00975DEB" w:rsidRDefault="00DF3EE9" w:rsidP="00D424B1">
            <w:pPr>
              <w:widowControl/>
              <w:snapToGrid w:val="0"/>
              <w:rPr>
                <w:rFonts w:eastAsia="標楷體"/>
                <w:bCs/>
                <w:sz w:val="22"/>
                <w:szCs w:val="22"/>
              </w:rPr>
            </w:pPr>
          </w:p>
        </w:tc>
        <w:tc>
          <w:tcPr>
            <w:tcW w:w="2722" w:type="dxa"/>
            <w:tcBorders>
              <w:top w:val="single" w:sz="6" w:space="0" w:color="auto"/>
              <w:left w:val="single" w:sz="6" w:space="0" w:color="auto"/>
              <w:bottom w:val="single" w:sz="6" w:space="0" w:color="auto"/>
              <w:right w:val="single" w:sz="6" w:space="0" w:color="auto"/>
            </w:tcBorders>
            <w:shd w:val="clear" w:color="000000" w:fill="FFFFFF"/>
            <w:noWrap/>
            <w:vAlign w:val="center"/>
            <w:hideMark/>
          </w:tcPr>
          <w:p w:rsidR="00DF3EE9" w:rsidRPr="00975DEB" w:rsidRDefault="00DF3EE9" w:rsidP="00D424B1">
            <w:pPr>
              <w:spacing w:line="240" w:lineRule="exact"/>
              <w:jc w:val="both"/>
              <w:rPr>
                <w:rFonts w:eastAsia="標楷體"/>
                <w:sz w:val="22"/>
              </w:rPr>
            </w:pPr>
            <w:r w:rsidRPr="00975DEB">
              <w:rPr>
                <w:rFonts w:eastAsia="標楷體"/>
                <w:sz w:val="22"/>
              </w:rPr>
              <w:t xml:space="preserve">IHS </w:t>
            </w:r>
            <w:proofErr w:type="spellStart"/>
            <w:r w:rsidRPr="00975DEB">
              <w:rPr>
                <w:rFonts w:eastAsia="標楷體"/>
                <w:sz w:val="22"/>
              </w:rPr>
              <w:t>Markit</w:t>
            </w:r>
            <w:proofErr w:type="spellEnd"/>
            <w:r>
              <w:rPr>
                <w:rFonts w:eastAsia="標楷體" w:hint="eastAsia"/>
                <w:sz w:val="22"/>
              </w:rPr>
              <w:t xml:space="preserve"> </w:t>
            </w:r>
            <w:r w:rsidRPr="00975DEB">
              <w:rPr>
                <w:rFonts w:eastAsia="標楷體"/>
                <w:sz w:val="22"/>
              </w:rPr>
              <w:t>(</w:t>
            </w:r>
            <w:r>
              <w:rPr>
                <w:rFonts w:eastAsia="標楷體"/>
                <w:sz w:val="22"/>
              </w:rPr>
              <w:t>2018/</w:t>
            </w:r>
            <w:r>
              <w:rPr>
                <w:rFonts w:eastAsia="標楷體" w:hint="eastAsia"/>
                <w:sz w:val="22"/>
              </w:rPr>
              <w:t>9</w:t>
            </w:r>
            <w:r w:rsidRPr="00975DEB">
              <w:rPr>
                <w:rFonts w:eastAsia="標楷體"/>
                <w:sz w:val="22"/>
              </w:rPr>
              <w:t>/1</w:t>
            </w:r>
            <w:r>
              <w:rPr>
                <w:rFonts w:eastAsia="標楷體" w:hint="eastAsia"/>
                <w:sz w:val="22"/>
              </w:rPr>
              <w:t>8</w:t>
            </w:r>
            <w:r w:rsidRPr="00975DEB">
              <w:rPr>
                <w:rFonts w:eastAsia="標楷體"/>
                <w:sz w:val="22"/>
              </w:rPr>
              <w:t>)</w:t>
            </w:r>
          </w:p>
        </w:tc>
        <w:tc>
          <w:tcPr>
            <w:tcW w:w="1417" w:type="dxa"/>
            <w:vMerge/>
            <w:tcBorders>
              <w:top w:val="single" w:sz="6" w:space="0" w:color="auto"/>
              <w:left w:val="single" w:sz="6" w:space="0" w:color="auto"/>
              <w:bottom w:val="single" w:sz="6" w:space="0" w:color="auto"/>
              <w:right w:val="single" w:sz="6" w:space="0" w:color="auto"/>
            </w:tcBorders>
            <w:vAlign w:val="center"/>
            <w:hideMark/>
          </w:tcPr>
          <w:p w:rsidR="00DF3EE9" w:rsidRPr="00975DEB" w:rsidRDefault="00DF3EE9" w:rsidP="00D424B1">
            <w:pPr>
              <w:widowControl/>
              <w:snapToGrid w:val="0"/>
              <w:spacing w:line="240" w:lineRule="exact"/>
              <w:jc w:val="center"/>
              <w:rPr>
                <w:bCs/>
                <w:sz w:val="22"/>
                <w:szCs w:val="22"/>
              </w:rPr>
            </w:pPr>
          </w:p>
        </w:tc>
        <w:tc>
          <w:tcPr>
            <w:tcW w:w="1418" w:type="dxa"/>
            <w:tcBorders>
              <w:top w:val="single" w:sz="6" w:space="0" w:color="auto"/>
              <w:left w:val="single" w:sz="6" w:space="0" w:color="auto"/>
              <w:bottom w:val="single" w:sz="6" w:space="0" w:color="auto"/>
              <w:right w:val="single" w:sz="4" w:space="0" w:color="auto"/>
            </w:tcBorders>
            <w:shd w:val="clear" w:color="000000" w:fill="FFFFFF"/>
            <w:noWrap/>
            <w:vAlign w:val="center"/>
          </w:tcPr>
          <w:p w:rsidR="00DF3EE9" w:rsidRPr="00975DEB" w:rsidRDefault="00DF3EE9" w:rsidP="00D424B1">
            <w:pPr>
              <w:spacing w:line="240" w:lineRule="exact"/>
              <w:jc w:val="center"/>
            </w:pPr>
            <w:r>
              <w:t>1.</w:t>
            </w:r>
            <w:r>
              <w:rPr>
                <w:rFonts w:hint="eastAsia"/>
              </w:rPr>
              <w:t>58</w:t>
            </w:r>
          </w:p>
        </w:tc>
        <w:tc>
          <w:tcPr>
            <w:tcW w:w="1417" w:type="dxa"/>
            <w:tcBorders>
              <w:top w:val="single" w:sz="4" w:space="0" w:color="auto"/>
              <w:left w:val="single" w:sz="4" w:space="0" w:color="auto"/>
              <w:bottom w:val="single" w:sz="4" w:space="0" w:color="auto"/>
              <w:right w:val="single" w:sz="4" w:space="0" w:color="auto"/>
            </w:tcBorders>
            <w:shd w:val="clear" w:color="000000" w:fill="FFFFFF"/>
            <w:vAlign w:val="center"/>
          </w:tcPr>
          <w:p w:rsidR="00DF3EE9" w:rsidRPr="00975DEB" w:rsidRDefault="00DF3EE9" w:rsidP="00D424B1">
            <w:pPr>
              <w:spacing w:line="240" w:lineRule="exact"/>
              <w:jc w:val="center"/>
            </w:pPr>
            <w:r>
              <w:t>1.</w:t>
            </w:r>
            <w:r>
              <w:rPr>
                <w:rFonts w:hint="eastAsia"/>
              </w:rPr>
              <w:t>43</w:t>
            </w:r>
          </w:p>
        </w:tc>
        <w:tc>
          <w:tcPr>
            <w:tcW w:w="2126" w:type="dxa"/>
            <w:vMerge/>
            <w:tcBorders>
              <w:left w:val="single" w:sz="4" w:space="0" w:color="auto"/>
            </w:tcBorders>
            <w:shd w:val="clear" w:color="000000" w:fill="FFFFFF"/>
            <w:vAlign w:val="center"/>
          </w:tcPr>
          <w:p w:rsidR="00DF3EE9" w:rsidRPr="00975DEB" w:rsidRDefault="00DF3EE9" w:rsidP="00D424B1">
            <w:pPr>
              <w:snapToGrid w:val="0"/>
              <w:jc w:val="center"/>
              <w:rPr>
                <w:sz w:val="22"/>
                <w:szCs w:val="22"/>
              </w:rPr>
            </w:pPr>
          </w:p>
        </w:tc>
      </w:tr>
      <w:tr w:rsidR="00DF3EE9" w:rsidRPr="00975DEB" w:rsidTr="00D424B1">
        <w:trPr>
          <w:trHeight w:val="456"/>
        </w:trPr>
        <w:tc>
          <w:tcPr>
            <w:tcW w:w="1134" w:type="dxa"/>
            <w:vMerge/>
            <w:tcBorders>
              <w:top w:val="single" w:sz="6" w:space="0" w:color="auto"/>
              <w:left w:val="single" w:sz="6" w:space="0" w:color="auto"/>
              <w:bottom w:val="single" w:sz="6" w:space="0" w:color="auto"/>
              <w:right w:val="single" w:sz="6" w:space="0" w:color="auto"/>
            </w:tcBorders>
            <w:vAlign w:val="center"/>
          </w:tcPr>
          <w:p w:rsidR="00DF3EE9" w:rsidRPr="00975DEB" w:rsidRDefault="00DF3EE9" w:rsidP="00D424B1">
            <w:pPr>
              <w:widowControl/>
              <w:snapToGrid w:val="0"/>
              <w:rPr>
                <w:rFonts w:eastAsia="標楷體"/>
                <w:bCs/>
                <w:sz w:val="22"/>
                <w:szCs w:val="22"/>
              </w:rPr>
            </w:pPr>
          </w:p>
        </w:tc>
        <w:tc>
          <w:tcPr>
            <w:tcW w:w="2722" w:type="dxa"/>
            <w:tcBorders>
              <w:top w:val="single" w:sz="6" w:space="0" w:color="auto"/>
              <w:left w:val="single" w:sz="6" w:space="0" w:color="auto"/>
              <w:bottom w:val="single" w:sz="6" w:space="0" w:color="auto"/>
              <w:right w:val="single" w:sz="6" w:space="0" w:color="auto"/>
            </w:tcBorders>
            <w:shd w:val="clear" w:color="000000" w:fill="FFFFFF"/>
            <w:noWrap/>
            <w:vAlign w:val="center"/>
          </w:tcPr>
          <w:p w:rsidR="00DF3EE9" w:rsidRPr="00975DEB" w:rsidRDefault="00DF3EE9" w:rsidP="00D424B1">
            <w:pPr>
              <w:spacing w:line="240" w:lineRule="exact"/>
              <w:jc w:val="both"/>
              <w:rPr>
                <w:rFonts w:eastAsia="標楷體"/>
                <w:sz w:val="22"/>
              </w:rPr>
            </w:pPr>
            <w:r>
              <w:rPr>
                <w:rFonts w:eastAsia="標楷體"/>
                <w:sz w:val="22"/>
              </w:rPr>
              <w:t>HSBC</w:t>
            </w:r>
            <w:r>
              <w:rPr>
                <w:rFonts w:eastAsia="標楷體" w:hint="eastAsia"/>
                <w:sz w:val="22"/>
              </w:rPr>
              <w:t xml:space="preserve"> </w:t>
            </w:r>
            <w:r>
              <w:rPr>
                <w:rFonts w:eastAsia="標楷體"/>
                <w:sz w:val="22"/>
              </w:rPr>
              <w:t>(2018/9/</w:t>
            </w:r>
            <w:r>
              <w:rPr>
                <w:rFonts w:eastAsia="標楷體" w:hint="eastAsia"/>
                <w:sz w:val="22"/>
              </w:rPr>
              <w:t>25</w:t>
            </w:r>
            <w:r w:rsidRPr="00975DEB">
              <w:rPr>
                <w:rFonts w:eastAsia="標楷體"/>
                <w:sz w:val="22"/>
              </w:rPr>
              <w:t>)</w:t>
            </w:r>
          </w:p>
        </w:tc>
        <w:tc>
          <w:tcPr>
            <w:tcW w:w="1417" w:type="dxa"/>
            <w:vMerge/>
            <w:tcBorders>
              <w:top w:val="single" w:sz="6" w:space="0" w:color="auto"/>
              <w:left w:val="single" w:sz="6" w:space="0" w:color="auto"/>
              <w:bottom w:val="single" w:sz="6" w:space="0" w:color="auto"/>
              <w:right w:val="single" w:sz="6" w:space="0" w:color="auto"/>
            </w:tcBorders>
            <w:vAlign w:val="center"/>
          </w:tcPr>
          <w:p w:rsidR="00DF3EE9" w:rsidRPr="00975DEB" w:rsidRDefault="00DF3EE9" w:rsidP="00D424B1">
            <w:pPr>
              <w:widowControl/>
              <w:snapToGrid w:val="0"/>
              <w:spacing w:line="240" w:lineRule="exact"/>
              <w:jc w:val="center"/>
              <w:rPr>
                <w:bCs/>
                <w:sz w:val="22"/>
                <w:szCs w:val="22"/>
              </w:rPr>
            </w:pPr>
          </w:p>
        </w:tc>
        <w:tc>
          <w:tcPr>
            <w:tcW w:w="1418" w:type="dxa"/>
            <w:tcBorders>
              <w:top w:val="single" w:sz="6" w:space="0" w:color="auto"/>
              <w:left w:val="single" w:sz="6" w:space="0" w:color="auto"/>
              <w:bottom w:val="single" w:sz="6" w:space="0" w:color="auto"/>
              <w:right w:val="single" w:sz="4" w:space="0" w:color="auto"/>
            </w:tcBorders>
            <w:shd w:val="clear" w:color="000000" w:fill="FFFFFF"/>
            <w:noWrap/>
            <w:vAlign w:val="center"/>
          </w:tcPr>
          <w:p w:rsidR="00DF3EE9" w:rsidRPr="00975DEB" w:rsidRDefault="00DF3EE9" w:rsidP="00D424B1">
            <w:pPr>
              <w:spacing w:line="240" w:lineRule="exact"/>
              <w:jc w:val="center"/>
            </w:pPr>
            <w:r>
              <w:rPr>
                <w:rFonts w:hint="eastAsia"/>
              </w:rPr>
              <w:t>1.60</w:t>
            </w:r>
          </w:p>
        </w:tc>
        <w:tc>
          <w:tcPr>
            <w:tcW w:w="1417" w:type="dxa"/>
            <w:tcBorders>
              <w:top w:val="single" w:sz="4" w:space="0" w:color="auto"/>
              <w:left w:val="single" w:sz="4" w:space="0" w:color="auto"/>
              <w:bottom w:val="single" w:sz="4" w:space="0" w:color="auto"/>
              <w:right w:val="single" w:sz="4" w:space="0" w:color="auto"/>
            </w:tcBorders>
            <w:shd w:val="clear" w:color="000000" w:fill="FFFFFF"/>
            <w:vAlign w:val="center"/>
          </w:tcPr>
          <w:p w:rsidR="00DF3EE9" w:rsidRPr="00975DEB" w:rsidRDefault="00DF3EE9" w:rsidP="00D424B1">
            <w:pPr>
              <w:spacing w:line="240" w:lineRule="exact"/>
              <w:jc w:val="center"/>
            </w:pPr>
            <w:r>
              <w:rPr>
                <w:rFonts w:hint="eastAsia"/>
              </w:rPr>
              <w:t>1.40</w:t>
            </w:r>
          </w:p>
        </w:tc>
        <w:tc>
          <w:tcPr>
            <w:tcW w:w="2126" w:type="dxa"/>
            <w:vMerge/>
            <w:tcBorders>
              <w:left w:val="single" w:sz="4" w:space="0" w:color="auto"/>
            </w:tcBorders>
            <w:shd w:val="clear" w:color="000000" w:fill="FFFFFF"/>
            <w:vAlign w:val="center"/>
          </w:tcPr>
          <w:p w:rsidR="00DF3EE9" w:rsidRPr="00975DEB" w:rsidRDefault="00DF3EE9" w:rsidP="00D424B1">
            <w:pPr>
              <w:snapToGrid w:val="0"/>
              <w:jc w:val="center"/>
              <w:rPr>
                <w:sz w:val="22"/>
                <w:szCs w:val="22"/>
              </w:rPr>
            </w:pPr>
          </w:p>
        </w:tc>
      </w:tr>
      <w:tr w:rsidR="00DF3EE9" w:rsidRPr="00975DEB" w:rsidTr="00D424B1">
        <w:trPr>
          <w:trHeight w:val="456"/>
        </w:trPr>
        <w:tc>
          <w:tcPr>
            <w:tcW w:w="1134" w:type="dxa"/>
            <w:vMerge/>
            <w:tcBorders>
              <w:top w:val="single" w:sz="6" w:space="0" w:color="auto"/>
              <w:left w:val="single" w:sz="6" w:space="0" w:color="auto"/>
              <w:bottom w:val="single" w:sz="6" w:space="0" w:color="auto"/>
              <w:right w:val="single" w:sz="6" w:space="0" w:color="auto"/>
            </w:tcBorders>
            <w:vAlign w:val="center"/>
          </w:tcPr>
          <w:p w:rsidR="00DF3EE9" w:rsidRPr="00975DEB" w:rsidRDefault="00DF3EE9" w:rsidP="00D424B1">
            <w:pPr>
              <w:widowControl/>
              <w:snapToGrid w:val="0"/>
              <w:rPr>
                <w:rFonts w:eastAsia="標楷體"/>
                <w:bCs/>
                <w:sz w:val="22"/>
                <w:szCs w:val="22"/>
              </w:rPr>
            </w:pPr>
          </w:p>
        </w:tc>
        <w:tc>
          <w:tcPr>
            <w:tcW w:w="2722" w:type="dxa"/>
            <w:tcBorders>
              <w:top w:val="single" w:sz="6" w:space="0" w:color="auto"/>
              <w:left w:val="single" w:sz="6" w:space="0" w:color="auto"/>
              <w:bottom w:val="single" w:sz="6" w:space="0" w:color="auto"/>
              <w:right w:val="single" w:sz="6" w:space="0" w:color="auto"/>
            </w:tcBorders>
            <w:shd w:val="clear" w:color="000000" w:fill="FFFFFF"/>
            <w:noWrap/>
            <w:vAlign w:val="center"/>
          </w:tcPr>
          <w:p w:rsidR="00DF3EE9" w:rsidRPr="00975DEB" w:rsidRDefault="00DF3EE9" w:rsidP="00D424B1">
            <w:pPr>
              <w:spacing w:line="240" w:lineRule="exact"/>
              <w:jc w:val="both"/>
              <w:rPr>
                <w:rFonts w:eastAsia="標楷體"/>
                <w:sz w:val="22"/>
              </w:rPr>
            </w:pPr>
            <w:r w:rsidRPr="00975DEB">
              <w:rPr>
                <w:rFonts w:eastAsia="標楷體"/>
                <w:sz w:val="22"/>
              </w:rPr>
              <w:t>Citi</w:t>
            </w:r>
            <w:r>
              <w:rPr>
                <w:rFonts w:eastAsia="標楷體" w:hint="eastAsia"/>
                <w:sz w:val="22"/>
              </w:rPr>
              <w:t xml:space="preserve"> </w:t>
            </w:r>
            <w:r w:rsidRPr="00975DEB">
              <w:rPr>
                <w:rFonts w:eastAsia="標楷體"/>
                <w:sz w:val="22"/>
              </w:rPr>
              <w:t>(2018/</w:t>
            </w:r>
            <w:r>
              <w:rPr>
                <w:rFonts w:eastAsia="標楷體" w:hint="eastAsia"/>
                <w:sz w:val="22"/>
              </w:rPr>
              <w:t>9</w:t>
            </w:r>
            <w:r>
              <w:rPr>
                <w:rFonts w:eastAsia="標楷體"/>
                <w:sz w:val="22"/>
              </w:rPr>
              <w:t>/</w:t>
            </w:r>
            <w:r>
              <w:rPr>
                <w:rFonts w:eastAsia="標楷體" w:hint="eastAsia"/>
                <w:sz w:val="22"/>
              </w:rPr>
              <w:t>14</w:t>
            </w:r>
            <w:r w:rsidRPr="00975DEB">
              <w:rPr>
                <w:rFonts w:eastAsia="標楷體"/>
                <w:sz w:val="22"/>
              </w:rPr>
              <w:t>)</w:t>
            </w:r>
          </w:p>
        </w:tc>
        <w:tc>
          <w:tcPr>
            <w:tcW w:w="1417" w:type="dxa"/>
            <w:vMerge/>
            <w:tcBorders>
              <w:top w:val="single" w:sz="6" w:space="0" w:color="auto"/>
              <w:left w:val="single" w:sz="6" w:space="0" w:color="auto"/>
              <w:bottom w:val="single" w:sz="6" w:space="0" w:color="auto"/>
              <w:right w:val="single" w:sz="6" w:space="0" w:color="auto"/>
            </w:tcBorders>
            <w:vAlign w:val="center"/>
          </w:tcPr>
          <w:p w:rsidR="00DF3EE9" w:rsidRPr="00975DEB" w:rsidRDefault="00DF3EE9" w:rsidP="00D424B1">
            <w:pPr>
              <w:widowControl/>
              <w:snapToGrid w:val="0"/>
              <w:spacing w:line="240" w:lineRule="exact"/>
              <w:jc w:val="center"/>
              <w:rPr>
                <w:bCs/>
                <w:sz w:val="22"/>
                <w:szCs w:val="22"/>
              </w:rPr>
            </w:pPr>
          </w:p>
        </w:tc>
        <w:tc>
          <w:tcPr>
            <w:tcW w:w="1418" w:type="dxa"/>
            <w:tcBorders>
              <w:top w:val="single" w:sz="6" w:space="0" w:color="auto"/>
              <w:left w:val="single" w:sz="6" w:space="0" w:color="auto"/>
              <w:bottom w:val="single" w:sz="6" w:space="0" w:color="auto"/>
              <w:right w:val="single" w:sz="4" w:space="0" w:color="auto"/>
            </w:tcBorders>
            <w:shd w:val="clear" w:color="000000" w:fill="FFFFFF"/>
            <w:noWrap/>
            <w:vAlign w:val="center"/>
          </w:tcPr>
          <w:p w:rsidR="00DF3EE9" w:rsidRPr="00975DEB" w:rsidRDefault="00DF3EE9" w:rsidP="00D424B1">
            <w:pPr>
              <w:spacing w:line="240" w:lineRule="exact"/>
              <w:jc w:val="center"/>
            </w:pPr>
            <w:r>
              <w:rPr>
                <w:rFonts w:hint="eastAsia"/>
              </w:rPr>
              <w:t>1.60</w:t>
            </w:r>
          </w:p>
        </w:tc>
        <w:tc>
          <w:tcPr>
            <w:tcW w:w="1417" w:type="dxa"/>
            <w:tcBorders>
              <w:top w:val="single" w:sz="4" w:space="0" w:color="auto"/>
              <w:left w:val="single" w:sz="4" w:space="0" w:color="auto"/>
              <w:bottom w:val="single" w:sz="4" w:space="0" w:color="auto"/>
              <w:right w:val="single" w:sz="4" w:space="0" w:color="auto"/>
            </w:tcBorders>
            <w:shd w:val="clear" w:color="000000" w:fill="FFFFFF"/>
            <w:vAlign w:val="center"/>
          </w:tcPr>
          <w:p w:rsidR="00DF3EE9" w:rsidRPr="00975DEB" w:rsidRDefault="00DF3EE9" w:rsidP="00D424B1">
            <w:pPr>
              <w:spacing w:line="240" w:lineRule="exact"/>
              <w:jc w:val="center"/>
            </w:pPr>
            <w:r>
              <w:t>1.</w:t>
            </w:r>
            <w:r>
              <w:rPr>
                <w:rFonts w:hint="eastAsia"/>
              </w:rPr>
              <w:t>60</w:t>
            </w:r>
          </w:p>
        </w:tc>
        <w:tc>
          <w:tcPr>
            <w:tcW w:w="2126" w:type="dxa"/>
            <w:vMerge/>
            <w:tcBorders>
              <w:left w:val="single" w:sz="4" w:space="0" w:color="auto"/>
            </w:tcBorders>
            <w:shd w:val="clear" w:color="000000" w:fill="FFFFFF"/>
            <w:vAlign w:val="center"/>
          </w:tcPr>
          <w:p w:rsidR="00DF3EE9" w:rsidRPr="00975DEB" w:rsidRDefault="00DF3EE9" w:rsidP="00D424B1">
            <w:pPr>
              <w:snapToGrid w:val="0"/>
              <w:jc w:val="center"/>
              <w:rPr>
                <w:sz w:val="22"/>
                <w:szCs w:val="22"/>
              </w:rPr>
            </w:pPr>
          </w:p>
        </w:tc>
      </w:tr>
      <w:tr w:rsidR="00DF3EE9" w:rsidRPr="00975DEB" w:rsidTr="00D424B1">
        <w:trPr>
          <w:trHeight w:val="456"/>
        </w:trPr>
        <w:tc>
          <w:tcPr>
            <w:tcW w:w="1134" w:type="dxa"/>
            <w:vMerge/>
            <w:tcBorders>
              <w:top w:val="single" w:sz="6" w:space="0" w:color="auto"/>
              <w:left w:val="single" w:sz="6" w:space="0" w:color="auto"/>
              <w:bottom w:val="single" w:sz="6" w:space="0" w:color="auto"/>
              <w:right w:val="single" w:sz="6" w:space="0" w:color="auto"/>
            </w:tcBorders>
            <w:vAlign w:val="center"/>
          </w:tcPr>
          <w:p w:rsidR="00DF3EE9" w:rsidRPr="00975DEB" w:rsidRDefault="00DF3EE9" w:rsidP="00D424B1">
            <w:pPr>
              <w:widowControl/>
              <w:snapToGrid w:val="0"/>
              <w:rPr>
                <w:rFonts w:eastAsia="標楷體"/>
                <w:bCs/>
                <w:sz w:val="22"/>
                <w:szCs w:val="22"/>
              </w:rPr>
            </w:pPr>
          </w:p>
        </w:tc>
        <w:tc>
          <w:tcPr>
            <w:tcW w:w="2722" w:type="dxa"/>
            <w:tcBorders>
              <w:top w:val="single" w:sz="6" w:space="0" w:color="auto"/>
              <w:left w:val="single" w:sz="6" w:space="0" w:color="auto"/>
              <w:bottom w:val="single" w:sz="6" w:space="0" w:color="auto"/>
              <w:right w:val="single" w:sz="6" w:space="0" w:color="auto"/>
            </w:tcBorders>
            <w:shd w:val="clear" w:color="000000" w:fill="FFFFFF"/>
            <w:noWrap/>
            <w:vAlign w:val="center"/>
          </w:tcPr>
          <w:p w:rsidR="00DF3EE9" w:rsidRPr="00975DEB" w:rsidRDefault="00DF3EE9" w:rsidP="00D424B1">
            <w:pPr>
              <w:spacing w:line="240" w:lineRule="exact"/>
              <w:jc w:val="both"/>
              <w:rPr>
                <w:rFonts w:eastAsia="標楷體"/>
                <w:sz w:val="22"/>
              </w:rPr>
            </w:pPr>
            <w:r w:rsidRPr="00975DEB">
              <w:rPr>
                <w:rFonts w:eastAsia="標楷體"/>
                <w:sz w:val="22"/>
              </w:rPr>
              <w:t>Morgan Stanley</w:t>
            </w:r>
            <w:r>
              <w:rPr>
                <w:rFonts w:eastAsia="標楷體" w:hint="eastAsia"/>
                <w:sz w:val="22"/>
              </w:rPr>
              <w:t xml:space="preserve"> </w:t>
            </w:r>
            <w:r w:rsidRPr="00975DEB">
              <w:rPr>
                <w:rFonts w:eastAsia="標楷體"/>
                <w:sz w:val="22"/>
              </w:rPr>
              <w:t>(2018/9/12)</w:t>
            </w:r>
          </w:p>
        </w:tc>
        <w:tc>
          <w:tcPr>
            <w:tcW w:w="1417" w:type="dxa"/>
            <w:vMerge/>
            <w:tcBorders>
              <w:top w:val="single" w:sz="6" w:space="0" w:color="auto"/>
              <w:left w:val="single" w:sz="6" w:space="0" w:color="auto"/>
              <w:bottom w:val="single" w:sz="6" w:space="0" w:color="auto"/>
              <w:right w:val="single" w:sz="6" w:space="0" w:color="auto"/>
            </w:tcBorders>
            <w:vAlign w:val="center"/>
          </w:tcPr>
          <w:p w:rsidR="00DF3EE9" w:rsidRPr="00975DEB" w:rsidRDefault="00DF3EE9" w:rsidP="00D424B1">
            <w:pPr>
              <w:widowControl/>
              <w:snapToGrid w:val="0"/>
              <w:spacing w:line="240" w:lineRule="exact"/>
              <w:jc w:val="center"/>
              <w:rPr>
                <w:bCs/>
                <w:sz w:val="22"/>
                <w:szCs w:val="22"/>
              </w:rPr>
            </w:pPr>
          </w:p>
        </w:tc>
        <w:tc>
          <w:tcPr>
            <w:tcW w:w="1418" w:type="dxa"/>
            <w:tcBorders>
              <w:top w:val="single" w:sz="6" w:space="0" w:color="auto"/>
              <w:left w:val="single" w:sz="6" w:space="0" w:color="auto"/>
              <w:bottom w:val="single" w:sz="6" w:space="0" w:color="auto"/>
              <w:right w:val="single" w:sz="4" w:space="0" w:color="auto"/>
            </w:tcBorders>
            <w:shd w:val="clear" w:color="000000" w:fill="FFFFFF"/>
            <w:noWrap/>
            <w:vAlign w:val="center"/>
          </w:tcPr>
          <w:p w:rsidR="00DF3EE9" w:rsidRPr="00975DEB" w:rsidRDefault="00DF3EE9" w:rsidP="00D424B1">
            <w:pPr>
              <w:spacing w:line="240" w:lineRule="exact"/>
              <w:jc w:val="center"/>
            </w:pPr>
            <w:r w:rsidRPr="00975DEB">
              <w:t>1.60</w:t>
            </w:r>
          </w:p>
        </w:tc>
        <w:tc>
          <w:tcPr>
            <w:tcW w:w="1417" w:type="dxa"/>
            <w:tcBorders>
              <w:top w:val="single" w:sz="4" w:space="0" w:color="auto"/>
              <w:left w:val="single" w:sz="4" w:space="0" w:color="auto"/>
              <w:bottom w:val="single" w:sz="4" w:space="0" w:color="auto"/>
              <w:right w:val="single" w:sz="4" w:space="0" w:color="auto"/>
            </w:tcBorders>
            <w:shd w:val="clear" w:color="000000" w:fill="FFFFFF"/>
            <w:vAlign w:val="center"/>
          </w:tcPr>
          <w:p w:rsidR="00DF3EE9" w:rsidRPr="00975DEB" w:rsidRDefault="00DF3EE9" w:rsidP="00D424B1">
            <w:pPr>
              <w:spacing w:line="240" w:lineRule="exact"/>
              <w:jc w:val="center"/>
            </w:pPr>
            <w:r w:rsidRPr="00975DEB">
              <w:t>1.10</w:t>
            </w:r>
          </w:p>
        </w:tc>
        <w:tc>
          <w:tcPr>
            <w:tcW w:w="2126" w:type="dxa"/>
            <w:vMerge/>
            <w:tcBorders>
              <w:left w:val="single" w:sz="4" w:space="0" w:color="auto"/>
            </w:tcBorders>
            <w:shd w:val="clear" w:color="000000" w:fill="FFFFFF"/>
            <w:vAlign w:val="center"/>
          </w:tcPr>
          <w:p w:rsidR="00DF3EE9" w:rsidRPr="00975DEB" w:rsidRDefault="00DF3EE9" w:rsidP="00D424B1">
            <w:pPr>
              <w:snapToGrid w:val="0"/>
              <w:jc w:val="center"/>
              <w:rPr>
                <w:sz w:val="22"/>
                <w:szCs w:val="22"/>
              </w:rPr>
            </w:pPr>
          </w:p>
        </w:tc>
      </w:tr>
      <w:tr w:rsidR="00DF3EE9" w:rsidRPr="00975DEB" w:rsidTr="00D424B1">
        <w:trPr>
          <w:trHeight w:val="456"/>
        </w:trPr>
        <w:tc>
          <w:tcPr>
            <w:tcW w:w="1134" w:type="dxa"/>
            <w:vMerge/>
            <w:tcBorders>
              <w:top w:val="single" w:sz="6" w:space="0" w:color="auto"/>
              <w:left w:val="single" w:sz="6" w:space="0" w:color="auto"/>
              <w:bottom w:val="single" w:sz="6" w:space="0" w:color="auto"/>
              <w:right w:val="single" w:sz="6" w:space="0" w:color="auto"/>
            </w:tcBorders>
            <w:vAlign w:val="center"/>
          </w:tcPr>
          <w:p w:rsidR="00DF3EE9" w:rsidRPr="00975DEB" w:rsidRDefault="00DF3EE9" w:rsidP="00D424B1">
            <w:pPr>
              <w:widowControl/>
              <w:snapToGrid w:val="0"/>
              <w:rPr>
                <w:rFonts w:eastAsia="標楷體"/>
                <w:bCs/>
                <w:sz w:val="22"/>
                <w:szCs w:val="22"/>
              </w:rPr>
            </w:pPr>
          </w:p>
        </w:tc>
        <w:tc>
          <w:tcPr>
            <w:tcW w:w="2722" w:type="dxa"/>
            <w:tcBorders>
              <w:top w:val="single" w:sz="6" w:space="0" w:color="auto"/>
              <w:left w:val="single" w:sz="6" w:space="0" w:color="auto"/>
              <w:bottom w:val="single" w:sz="6" w:space="0" w:color="auto"/>
              <w:right w:val="single" w:sz="6" w:space="0" w:color="auto"/>
            </w:tcBorders>
            <w:shd w:val="clear" w:color="000000" w:fill="FFFFFF"/>
            <w:noWrap/>
            <w:vAlign w:val="center"/>
          </w:tcPr>
          <w:p w:rsidR="00DF3EE9" w:rsidRPr="00975DEB" w:rsidRDefault="00DF3EE9" w:rsidP="00D424B1">
            <w:pPr>
              <w:spacing w:line="240" w:lineRule="exact"/>
              <w:jc w:val="both"/>
              <w:rPr>
                <w:rFonts w:eastAsia="標楷體"/>
                <w:sz w:val="22"/>
              </w:rPr>
            </w:pPr>
            <w:r w:rsidRPr="00975DEB">
              <w:rPr>
                <w:rFonts w:eastAsia="標楷體"/>
                <w:sz w:val="22"/>
              </w:rPr>
              <w:t>EIU</w:t>
            </w:r>
            <w:r>
              <w:rPr>
                <w:rFonts w:eastAsia="標楷體" w:hint="eastAsia"/>
                <w:sz w:val="22"/>
              </w:rPr>
              <w:t xml:space="preserve"> </w:t>
            </w:r>
            <w:r w:rsidRPr="00975DEB">
              <w:rPr>
                <w:rFonts w:eastAsia="標楷體"/>
                <w:sz w:val="22"/>
              </w:rPr>
              <w:t>(2018/9/17)</w:t>
            </w:r>
          </w:p>
        </w:tc>
        <w:tc>
          <w:tcPr>
            <w:tcW w:w="1417" w:type="dxa"/>
            <w:vMerge/>
            <w:tcBorders>
              <w:top w:val="single" w:sz="6" w:space="0" w:color="auto"/>
              <w:left w:val="single" w:sz="6" w:space="0" w:color="auto"/>
              <w:bottom w:val="single" w:sz="6" w:space="0" w:color="auto"/>
              <w:right w:val="single" w:sz="6" w:space="0" w:color="auto"/>
            </w:tcBorders>
            <w:vAlign w:val="center"/>
          </w:tcPr>
          <w:p w:rsidR="00DF3EE9" w:rsidRPr="00975DEB" w:rsidRDefault="00DF3EE9" w:rsidP="00D424B1">
            <w:pPr>
              <w:widowControl/>
              <w:snapToGrid w:val="0"/>
              <w:spacing w:line="240" w:lineRule="exact"/>
              <w:jc w:val="center"/>
              <w:rPr>
                <w:bCs/>
                <w:sz w:val="22"/>
                <w:szCs w:val="22"/>
              </w:rPr>
            </w:pPr>
          </w:p>
        </w:tc>
        <w:tc>
          <w:tcPr>
            <w:tcW w:w="1418" w:type="dxa"/>
            <w:tcBorders>
              <w:top w:val="single" w:sz="6" w:space="0" w:color="auto"/>
              <w:left w:val="single" w:sz="6" w:space="0" w:color="auto"/>
              <w:bottom w:val="single" w:sz="6" w:space="0" w:color="auto"/>
              <w:right w:val="single" w:sz="4" w:space="0" w:color="auto"/>
            </w:tcBorders>
            <w:shd w:val="clear" w:color="000000" w:fill="FFFFFF"/>
            <w:noWrap/>
            <w:vAlign w:val="center"/>
          </w:tcPr>
          <w:p w:rsidR="00DF3EE9" w:rsidRPr="00975DEB" w:rsidRDefault="00DF3EE9" w:rsidP="00D424B1">
            <w:pPr>
              <w:spacing w:line="240" w:lineRule="exact"/>
              <w:jc w:val="center"/>
            </w:pPr>
            <w:r w:rsidRPr="00975DEB">
              <w:t>1.70</w:t>
            </w:r>
          </w:p>
        </w:tc>
        <w:tc>
          <w:tcPr>
            <w:tcW w:w="1417" w:type="dxa"/>
            <w:tcBorders>
              <w:top w:val="single" w:sz="4" w:space="0" w:color="auto"/>
              <w:left w:val="single" w:sz="4" w:space="0" w:color="auto"/>
              <w:bottom w:val="single" w:sz="4" w:space="0" w:color="auto"/>
              <w:right w:val="single" w:sz="4" w:space="0" w:color="auto"/>
            </w:tcBorders>
            <w:shd w:val="clear" w:color="000000" w:fill="FFFFFF"/>
            <w:vAlign w:val="center"/>
          </w:tcPr>
          <w:p w:rsidR="00DF3EE9" w:rsidRPr="00975DEB" w:rsidRDefault="00DF3EE9" w:rsidP="00D424B1">
            <w:pPr>
              <w:spacing w:line="240" w:lineRule="exact"/>
              <w:jc w:val="center"/>
            </w:pPr>
            <w:r w:rsidRPr="00975DEB">
              <w:t>1.40</w:t>
            </w:r>
          </w:p>
        </w:tc>
        <w:tc>
          <w:tcPr>
            <w:tcW w:w="2126" w:type="dxa"/>
            <w:vMerge/>
            <w:tcBorders>
              <w:left w:val="single" w:sz="4" w:space="0" w:color="auto"/>
            </w:tcBorders>
            <w:shd w:val="clear" w:color="000000" w:fill="FFFFFF"/>
            <w:vAlign w:val="center"/>
          </w:tcPr>
          <w:p w:rsidR="00DF3EE9" w:rsidRPr="00975DEB" w:rsidRDefault="00DF3EE9" w:rsidP="00D424B1">
            <w:pPr>
              <w:snapToGrid w:val="0"/>
              <w:jc w:val="center"/>
              <w:rPr>
                <w:sz w:val="22"/>
                <w:szCs w:val="22"/>
              </w:rPr>
            </w:pPr>
          </w:p>
        </w:tc>
      </w:tr>
      <w:tr w:rsidR="00DF3EE9" w:rsidRPr="00975DEB" w:rsidTr="00D424B1">
        <w:trPr>
          <w:trHeight w:val="456"/>
        </w:trPr>
        <w:tc>
          <w:tcPr>
            <w:tcW w:w="1134" w:type="dxa"/>
            <w:vMerge/>
            <w:tcBorders>
              <w:top w:val="single" w:sz="6" w:space="0" w:color="auto"/>
              <w:left w:val="single" w:sz="6" w:space="0" w:color="auto"/>
              <w:bottom w:val="single" w:sz="4" w:space="0" w:color="auto"/>
              <w:right w:val="single" w:sz="6" w:space="0" w:color="auto"/>
            </w:tcBorders>
            <w:vAlign w:val="center"/>
            <w:hideMark/>
          </w:tcPr>
          <w:p w:rsidR="00DF3EE9" w:rsidRPr="00975DEB" w:rsidRDefault="00DF3EE9" w:rsidP="00D424B1">
            <w:pPr>
              <w:widowControl/>
              <w:snapToGrid w:val="0"/>
              <w:rPr>
                <w:rFonts w:eastAsia="標楷體"/>
                <w:bCs/>
                <w:sz w:val="22"/>
                <w:szCs w:val="22"/>
              </w:rPr>
            </w:pPr>
          </w:p>
        </w:tc>
        <w:tc>
          <w:tcPr>
            <w:tcW w:w="2722" w:type="dxa"/>
            <w:tcBorders>
              <w:top w:val="single" w:sz="6" w:space="0" w:color="auto"/>
              <w:left w:val="single" w:sz="6" w:space="0" w:color="auto"/>
              <w:bottom w:val="single" w:sz="4" w:space="0" w:color="auto"/>
              <w:right w:val="single" w:sz="6" w:space="0" w:color="auto"/>
            </w:tcBorders>
            <w:shd w:val="clear" w:color="000000" w:fill="FFFFFF"/>
            <w:noWrap/>
            <w:vAlign w:val="center"/>
            <w:hideMark/>
          </w:tcPr>
          <w:p w:rsidR="00DF3EE9" w:rsidRPr="00975DEB" w:rsidRDefault="00DF3EE9" w:rsidP="00D424B1">
            <w:pPr>
              <w:spacing w:line="240" w:lineRule="exact"/>
              <w:jc w:val="both"/>
              <w:rPr>
                <w:rFonts w:eastAsia="標楷體"/>
                <w:sz w:val="22"/>
              </w:rPr>
            </w:pPr>
            <w:r w:rsidRPr="00975DEB">
              <w:rPr>
                <w:rFonts w:eastAsia="標楷體"/>
                <w:sz w:val="22"/>
              </w:rPr>
              <w:t>Deutsche Bank</w:t>
            </w:r>
            <w:r>
              <w:rPr>
                <w:rFonts w:eastAsia="標楷體" w:hint="eastAsia"/>
                <w:sz w:val="22"/>
              </w:rPr>
              <w:t xml:space="preserve"> </w:t>
            </w:r>
            <w:r w:rsidRPr="00975DEB">
              <w:rPr>
                <w:rFonts w:eastAsia="標楷體"/>
                <w:sz w:val="22"/>
              </w:rPr>
              <w:t>(2018/9/7)</w:t>
            </w:r>
          </w:p>
        </w:tc>
        <w:tc>
          <w:tcPr>
            <w:tcW w:w="1417" w:type="dxa"/>
            <w:vMerge/>
            <w:tcBorders>
              <w:top w:val="single" w:sz="6" w:space="0" w:color="auto"/>
              <w:left w:val="single" w:sz="6" w:space="0" w:color="auto"/>
              <w:bottom w:val="single" w:sz="4" w:space="0" w:color="auto"/>
              <w:right w:val="single" w:sz="6" w:space="0" w:color="auto"/>
            </w:tcBorders>
            <w:vAlign w:val="center"/>
            <w:hideMark/>
          </w:tcPr>
          <w:p w:rsidR="00DF3EE9" w:rsidRPr="00975DEB" w:rsidRDefault="00DF3EE9" w:rsidP="00D424B1">
            <w:pPr>
              <w:widowControl/>
              <w:snapToGrid w:val="0"/>
              <w:spacing w:line="240" w:lineRule="exact"/>
              <w:jc w:val="center"/>
              <w:rPr>
                <w:bCs/>
                <w:sz w:val="22"/>
                <w:szCs w:val="22"/>
              </w:rPr>
            </w:pPr>
          </w:p>
        </w:tc>
        <w:tc>
          <w:tcPr>
            <w:tcW w:w="1418" w:type="dxa"/>
            <w:tcBorders>
              <w:top w:val="single" w:sz="6" w:space="0" w:color="auto"/>
              <w:left w:val="single" w:sz="6" w:space="0" w:color="auto"/>
              <w:bottom w:val="single" w:sz="4" w:space="0" w:color="auto"/>
              <w:right w:val="single" w:sz="4" w:space="0" w:color="auto"/>
            </w:tcBorders>
            <w:shd w:val="clear" w:color="000000" w:fill="FFFFFF"/>
            <w:noWrap/>
            <w:vAlign w:val="center"/>
            <w:hideMark/>
          </w:tcPr>
          <w:p w:rsidR="00DF3EE9" w:rsidRPr="00975DEB" w:rsidRDefault="00DF3EE9" w:rsidP="00D424B1">
            <w:pPr>
              <w:spacing w:line="240" w:lineRule="exact"/>
              <w:jc w:val="center"/>
            </w:pPr>
            <w:r w:rsidRPr="00975DEB">
              <w:t>1.70</w:t>
            </w:r>
          </w:p>
        </w:tc>
        <w:tc>
          <w:tcPr>
            <w:tcW w:w="1417" w:type="dxa"/>
            <w:tcBorders>
              <w:top w:val="single" w:sz="4" w:space="0" w:color="auto"/>
              <w:left w:val="single" w:sz="4" w:space="0" w:color="auto"/>
              <w:bottom w:val="single" w:sz="4" w:space="0" w:color="auto"/>
              <w:right w:val="single" w:sz="4" w:space="0" w:color="auto"/>
            </w:tcBorders>
            <w:shd w:val="clear" w:color="000000" w:fill="FFFFFF"/>
            <w:vAlign w:val="center"/>
          </w:tcPr>
          <w:p w:rsidR="00DF3EE9" w:rsidRPr="00975DEB" w:rsidRDefault="00DF3EE9" w:rsidP="00D424B1">
            <w:pPr>
              <w:spacing w:line="240" w:lineRule="exact"/>
              <w:jc w:val="center"/>
            </w:pPr>
            <w:r w:rsidRPr="00975DEB">
              <w:t>1.20</w:t>
            </w:r>
          </w:p>
        </w:tc>
        <w:tc>
          <w:tcPr>
            <w:tcW w:w="2126" w:type="dxa"/>
            <w:vMerge/>
            <w:tcBorders>
              <w:left w:val="single" w:sz="4" w:space="0" w:color="auto"/>
            </w:tcBorders>
            <w:shd w:val="clear" w:color="000000" w:fill="FFFFFF"/>
            <w:vAlign w:val="center"/>
          </w:tcPr>
          <w:p w:rsidR="00DF3EE9" w:rsidRPr="00975DEB" w:rsidRDefault="00DF3EE9" w:rsidP="00D424B1">
            <w:pPr>
              <w:snapToGrid w:val="0"/>
              <w:jc w:val="center"/>
              <w:rPr>
                <w:sz w:val="22"/>
                <w:szCs w:val="22"/>
              </w:rPr>
            </w:pPr>
          </w:p>
        </w:tc>
      </w:tr>
      <w:tr w:rsidR="00DF3EE9" w:rsidRPr="00975DEB" w:rsidTr="00D424B1">
        <w:trPr>
          <w:trHeight w:val="830"/>
        </w:trPr>
        <w:tc>
          <w:tcPr>
            <w:tcW w:w="10234" w:type="dxa"/>
            <w:gridSpan w:val="6"/>
            <w:vAlign w:val="center"/>
          </w:tcPr>
          <w:p w:rsidR="00DF3EE9" w:rsidRPr="00975DEB" w:rsidRDefault="00DF3EE9" w:rsidP="00D424B1">
            <w:pPr>
              <w:snapToGrid w:val="0"/>
              <w:rPr>
                <w:rFonts w:eastAsia="標楷體"/>
              </w:rPr>
            </w:pPr>
            <w:r>
              <w:rPr>
                <w:rFonts w:eastAsia="標楷體"/>
                <w:noProof/>
                <w:szCs w:val="28"/>
              </w:rPr>
              <mc:AlternateContent>
                <mc:Choice Requires="wps">
                  <w:drawing>
                    <wp:anchor distT="0" distB="0" distL="114300" distR="114300" simplePos="0" relativeHeight="251680768" behindDoc="0" locked="0" layoutInCell="1" allowOverlap="1" wp14:anchorId="35D8FDFC" wp14:editId="609484F6">
                      <wp:simplePos x="0" y="0"/>
                      <wp:positionH relativeFrom="column">
                        <wp:posOffset>12700</wp:posOffset>
                      </wp:positionH>
                      <wp:positionV relativeFrom="paragraph">
                        <wp:posOffset>26035</wp:posOffset>
                      </wp:positionV>
                      <wp:extent cx="5474335" cy="866775"/>
                      <wp:effectExtent l="0" t="0" r="0" b="0"/>
                      <wp:wrapNone/>
                      <wp:docPr id="1" name="文字方塊 1"/>
                      <wp:cNvGraphicFramePr/>
                      <a:graphic xmlns:a="http://schemas.openxmlformats.org/drawingml/2006/main">
                        <a:graphicData uri="http://schemas.microsoft.com/office/word/2010/wordprocessingShape">
                          <wps:wsp>
                            <wps:cNvSpPr txBox="1"/>
                            <wps:spPr>
                              <a:xfrm>
                                <a:off x="0" y="0"/>
                                <a:ext cx="5474335" cy="86677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DF3EE9" w:rsidRPr="00D424B1" w:rsidRDefault="00DF3EE9" w:rsidP="000D4A8C">
                                  <w:pPr>
                                    <w:widowControl/>
                                    <w:snapToGrid w:val="0"/>
                                    <w:ind w:left="142" w:hangingChars="71" w:hanging="142"/>
                                    <w:rPr>
                                      <w:rFonts w:eastAsia="標楷體"/>
                                    </w:rPr>
                                  </w:pPr>
                                  <w:r w:rsidRPr="00D424B1">
                                    <w:rPr>
                                      <w:rFonts w:eastAsia="標楷體"/>
                                    </w:rPr>
                                    <w:t xml:space="preserve">* The CBC's forecast </w:t>
                                  </w:r>
                                  <w:r w:rsidRPr="00D424B1">
                                    <w:rPr>
                                      <w:rFonts w:eastAsia="標楷體" w:hint="eastAsia"/>
                                    </w:rPr>
                                    <w:t>for 2018</w:t>
                                  </w:r>
                                  <w:r>
                                    <w:rPr>
                                      <w:rFonts w:eastAsia="標楷體"/>
                                    </w:rPr>
                                    <w:t xml:space="preserve"> CPI inflation is 1.</w:t>
                                  </w:r>
                                  <w:r>
                                    <w:rPr>
                                      <w:rFonts w:eastAsia="標楷體" w:hint="eastAsia"/>
                                    </w:rPr>
                                    <w:t>5</w:t>
                                  </w:r>
                                  <w:r w:rsidRPr="00D424B1">
                                    <w:rPr>
                                      <w:rFonts w:eastAsia="標楷體"/>
                                    </w:rPr>
                                    <w:t>0%, with a lower</w:t>
                                  </w:r>
                                  <w:r w:rsidRPr="00D424B1">
                                    <w:rPr>
                                      <w:rFonts w:eastAsia="標楷體" w:hint="eastAsia"/>
                                    </w:rPr>
                                    <w:t xml:space="preserve"> projection of</w:t>
                                  </w:r>
                                  <w:r>
                                    <w:rPr>
                                      <w:rFonts w:eastAsia="標楷體"/>
                                    </w:rPr>
                                    <w:t xml:space="preserve"> 1.</w:t>
                                  </w:r>
                                  <w:r>
                                    <w:rPr>
                                      <w:rFonts w:eastAsia="標楷體" w:hint="eastAsia"/>
                                    </w:rPr>
                                    <w:t>1</w:t>
                                  </w:r>
                                  <w:r w:rsidRPr="00D424B1">
                                    <w:rPr>
                                      <w:rFonts w:eastAsia="標楷體"/>
                                    </w:rPr>
                                    <w:t>0% if excluding the cigarette tax hike effect.</w:t>
                                  </w:r>
                                </w:p>
                                <w:p w:rsidR="00DF3EE9" w:rsidRPr="00D424B1" w:rsidRDefault="00DF3EE9" w:rsidP="00DF3EE9">
                                  <w:pPr>
                                    <w:widowControl/>
                                    <w:snapToGrid w:val="0"/>
                                    <w:spacing w:beforeLines="25" w:before="60"/>
                                    <w:ind w:left="270" w:hangingChars="135" w:hanging="270"/>
                                    <w:rPr>
                                      <w:rFonts w:eastAsia="標楷體"/>
                                    </w:rPr>
                                  </w:pPr>
                                  <w:r w:rsidRPr="00D424B1">
                                    <w:rPr>
                                      <w:rFonts w:eastAsia="標楷體"/>
                                    </w:rPr>
                                    <w:t xml:space="preserve">**Excluding vegetables, fruit, and energy. </w:t>
                                  </w:r>
                                </w:p>
                                <w:p w:rsidR="00DF3EE9" w:rsidRPr="00D424B1" w:rsidRDefault="00DF3EE9" w:rsidP="00D424B1">
                                  <w:pPr>
                                    <w:spacing w:line="400" w:lineRule="exact"/>
                                    <w:ind w:left="270" w:hangingChars="135" w:hanging="270"/>
                                    <w:rPr>
                                      <w:rFonts w:eastAsia="標楷體"/>
                                    </w:rPr>
                                  </w:pPr>
                                  <w:r w:rsidRPr="00D424B1">
                                    <w:rPr>
                                      <w:rFonts w:eastAsia="標楷體"/>
                                    </w:rPr>
                                    <w:t>Sources: DGBAS, Executive Yuan; forecasts by respective institutions.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文字方塊 1" o:spid="_x0000_s1027" type="#_x0000_t202" style="position:absolute;margin-left:1pt;margin-top:2.05pt;width:431.05pt;height:68.25pt;z-index:251680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" filled="f" stroked="f" strokeweight=".5pt">
                      <v:textbox>
                        <w:txbxContent>
                          <w:p w:rsidR="00DF3EE9" w:rsidRPr="00D424B1" w:rsidRDefault="00DF3EE9" w:rsidP="000D4A8C">
                            <w:pPr>
                              <w:widowControl/>
                              <w:snapToGrid w:val="0"/>
                              <w:ind w:left="142" w:hangingChars="71" w:hanging="142"/>
                              <w:rPr>
                                <w:rFonts w:eastAsia="標楷體"/>
                              </w:rPr>
                            </w:pPr>
                            <w:r w:rsidRPr="00D424B1">
                              <w:rPr>
                                <w:rFonts w:eastAsia="標楷體"/>
                              </w:rPr>
                              <w:t xml:space="preserve">* The CBC's forecast </w:t>
                            </w:r>
                            <w:r w:rsidRPr="00D424B1">
                              <w:rPr>
                                <w:rFonts w:eastAsia="標楷體" w:hint="eastAsia"/>
                              </w:rPr>
                              <w:t>for 2018</w:t>
                            </w:r>
                            <w:r>
                              <w:rPr>
                                <w:rFonts w:eastAsia="標楷體"/>
                              </w:rPr>
                              <w:t xml:space="preserve"> CPI inflation is 1.</w:t>
                            </w:r>
                            <w:r>
                              <w:rPr>
                                <w:rFonts w:eastAsia="標楷體" w:hint="eastAsia"/>
                              </w:rPr>
                              <w:t>5</w:t>
                            </w:r>
                            <w:r w:rsidRPr="00D424B1">
                              <w:rPr>
                                <w:rFonts w:eastAsia="標楷體"/>
                              </w:rPr>
                              <w:t>0%, with a lower</w:t>
                            </w:r>
                            <w:r w:rsidRPr="00D424B1">
                              <w:rPr>
                                <w:rFonts w:eastAsia="標楷體" w:hint="eastAsia"/>
                              </w:rPr>
                              <w:t xml:space="preserve"> projection of</w:t>
                            </w:r>
                            <w:r>
                              <w:rPr>
                                <w:rFonts w:eastAsia="標楷體"/>
                              </w:rPr>
                              <w:t xml:space="preserve"> 1.</w:t>
                            </w:r>
                            <w:r>
                              <w:rPr>
                                <w:rFonts w:eastAsia="標楷體" w:hint="eastAsia"/>
                              </w:rPr>
                              <w:t>1</w:t>
                            </w:r>
                            <w:r w:rsidRPr="00D424B1">
                              <w:rPr>
                                <w:rFonts w:eastAsia="標楷體"/>
                              </w:rPr>
                              <w:t>0% if excluding the cigarette tax hike effect.</w:t>
                            </w:r>
                          </w:p>
                          <w:p w:rsidR="00DF3EE9" w:rsidRPr="00D424B1" w:rsidRDefault="00DF3EE9" w:rsidP="00DF3EE9">
                            <w:pPr>
                              <w:widowControl/>
                              <w:snapToGrid w:val="0"/>
                              <w:spacing w:beforeLines="25" w:before="60"/>
                              <w:ind w:left="270" w:hangingChars="135" w:hanging="270"/>
                              <w:rPr>
                                <w:rFonts w:eastAsia="標楷體"/>
                              </w:rPr>
                            </w:pPr>
                            <w:r w:rsidRPr="00D424B1">
                              <w:rPr>
                                <w:rFonts w:eastAsia="標楷體"/>
                              </w:rPr>
                              <w:t xml:space="preserve">**Excluding vegetables, fruit, and energy. </w:t>
                            </w:r>
                          </w:p>
                          <w:p w:rsidR="00DF3EE9" w:rsidRPr="00D424B1" w:rsidRDefault="00DF3EE9" w:rsidP="00D424B1">
                            <w:pPr>
                              <w:spacing w:line="400" w:lineRule="exact"/>
                              <w:ind w:left="270" w:hangingChars="135" w:hanging="270"/>
                              <w:rPr>
                                <w:rFonts w:eastAsia="標楷體"/>
                              </w:rPr>
                            </w:pPr>
                            <w:r w:rsidRPr="00D424B1">
                              <w:rPr>
                                <w:rFonts w:eastAsia="標楷體"/>
                              </w:rPr>
                              <w:t>Sources: DGBAS, Executive Yuan; forecasts by respective institutions.</w:t>
                            </w:r>
                          </w:p>
                        </w:txbxContent>
                      </v:textbox>
                    </v:shape>
                  </w:pict>
                </mc:Fallback>
              </mc:AlternateContent>
            </w:r>
          </w:p>
        </w:tc>
      </w:tr>
    </w:tbl>
    <w:p w:rsidR="00DF3EE9" w:rsidRPr="00975DEB" w:rsidRDefault="00DF3EE9" w:rsidP="00DF3EE9">
      <w:pPr>
        <w:widowControl/>
        <w:snapToGrid w:val="0"/>
        <w:spacing w:beforeLines="50" w:before="120"/>
        <w:rPr>
          <w:rFonts w:eastAsia="標楷體"/>
          <w:szCs w:val="28"/>
        </w:rPr>
      </w:pPr>
    </w:p>
    <w:p w:rsidR="00DF3EE9" w:rsidRPr="00975DEB" w:rsidRDefault="00DF3EE9" w:rsidP="00DF3EE9">
      <w:pPr>
        <w:widowControl/>
        <w:snapToGrid w:val="0"/>
        <w:spacing w:beforeLines="50" w:before="120"/>
        <w:rPr>
          <w:rFonts w:eastAsia="標楷體"/>
          <w:szCs w:val="28"/>
        </w:rPr>
        <w:sectPr w:rsidR="00DF3EE9" w:rsidRPr="00975DEB" w:rsidSect="007D5A1A">
          <w:pgSz w:w="11907" w:h="16840" w:code="9"/>
          <w:pgMar w:top="1304" w:right="1418" w:bottom="1418" w:left="1418" w:header="0" w:footer="454" w:gutter="0"/>
          <w:paperSrc w:first="15" w:other="15"/>
          <w:cols w:space="425"/>
          <w:docGrid w:linePitch="272"/>
        </w:sectPr>
      </w:pPr>
    </w:p>
    <w:p w:rsidR="00DF3EE9" w:rsidRPr="00E11768" w:rsidRDefault="00DF3EE9" w:rsidP="00233456">
      <w:pPr>
        <w:spacing w:line="400" w:lineRule="exact"/>
        <w:jc w:val="center"/>
        <w:rPr>
          <w:rFonts w:eastAsia="標楷體"/>
          <w:b/>
          <w:sz w:val="28"/>
          <w:szCs w:val="28"/>
        </w:rPr>
      </w:pPr>
      <w:r w:rsidRPr="00E11768">
        <w:rPr>
          <w:rFonts w:eastAsia="標楷體" w:hint="eastAsia"/>
          <w:b/>
          <w:sz w:val="28"/>
          <w:szCs w:val="28"/>
        </w:rPr>
        <w:t>Figure 1</w:t>
      </w:r>
    </w:p>
    <w:p w:rsidR="00DF3EE9" w:rsidRPr="00E11768" w:rsidRDefault="00DF3EE9" w:rsidP="000D4A8C">
      <w:pPr>
        <w:snapToGrid w:val="0"/>
        <w:spacing w:beforeLines="50" w:before="180"/>
        <w:jc w:val="center"/>
        <w:rPr>
          <w:rFonts w:eastAsia="標楷體"/>
          <w:b/>
          <w:sz w:val="28"/>
          <w:szCs w:val="28"/>
        </w:rPr>
      </w:pPr>
      <w:r w:rsidRPr="00600648">
        <w:rPr>
          <w:noProof/>
          <w:sz w:val="22"/>
        </w:rPr>
        <w:drawing>
          <wp:anchor distT="0" distB="0" distL="114300" distR="114300" simplePos="0" relativeHeight="251687936" behindDoc="1" locked="0" layoutInCell="1" allowOverlap="1" wp14:anchorId="0DA4D5E8" wp14:editId="07AEDE3B">
            <wp:simplePos x="0" y="0"/>
            <wp:positionH relativeFrom="column">
              <wp:posOffset>207010</wp:posOffset>
            </wp:positionH>
            <wp:positionV relativeFrom="paragraph">
              <wp:posOffset>388620</wp:posOffset>
            </wp:positionV>
            <wp:extent cx="8464550" cy="3758565"/>
            <wp:effectExtent l="0" t="0" r="0" b="0"/>
            <wp:wrapTopAndBottom/>
            <wp:docPr id="14" name="圖表 14"/>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14:sizeRelH relativeFrom="page">
              <wp14:pctWidth>0</wp14:pctWidth>
            </wp14:sizeRelH>
            <wp14:sizeRelV relativeFrom="page">
              <wp14:pctHeight>0</wp14:pctHeight>
            </wp14:sizeRelV>
          </wp:anchor>
        </w:drawing>
      </w:r>
      <w:r w:rsidRPr="00E11768">
        <w:rPr>
          <w:rFonts w:eastAsia="標楷體" w:hint="eastAsia"/>
          <w:b/>
          <w:sz w:val="28"/>
          <w:szCs w:val="28"/>
        </w:rPr>
        <w:t xml:space="preserve">Nominal </w:t>
      </w:r>
      <w:r w:rsidRPr="00E11768">
        <w:rPr>
          <w:rFonts w:eastAsia="標楷體"/>
          <w:b/>
          <w:sz w:val="28"/>
          <w:szCs w:val="28"/>
        </w:rPr>
        <w:t xml:space="preserve">Interest Rates </w:t>
      </w:r>
      <w:r w:rsidRPr="00E11768">
        <w:rPr>
          <w:rFonts w:eastAsia="標楷體" w:hint="eastAsia"/>
          <w:b/>
          <w:sz w:val="28"/>
          <w:szCs w:val="28"/>
        </w:rPr>
        <w:t>o</w:t>
      </w:r>
      <w:r w:rsidRPr="00E11768">
        <w:rPr>
          <w:rFonts w:eastAsia="標楷體"/>
          <w:b/>
          <w:sz w:val="28"/>
          <w:szCs w:val="28"/>
        </w:rPr>
        <w:t>f Selected Economies</w:t>
      </w:r>
      <w:r w:rsidRPr="00E11768">
        <w:rPr>
          <w:rFonts w:eastAsia="標楷體" w:hint="eastAsia"/>
          <w:b/>
          <w:sz w:val="28"/>
          <w:szCs w:val="28"/>
        </w:rPr>
        <w:t xml:space="preserve"> (2018/9/27)</w:t>
      </w:r>
    </w:p>
    <w:p w:rsidR="00DF3EE9" w:rsidRDefault="00DF3EE9" w:rsidP="0082540D">
      <w:pPr>
        <w:jc w:val="center"/>
        <w:rPr>
          <w:rFonts w:eastAsia="標楷體"/>
          <w:b/>
          <w:sz w:val="32"/>
          <w:szCs w:val="28"/>
        </w:rPr>
      </w:pPr>
      <w:r w:rsidRPr="00DB3100">
        <w:rPr>
          <w:rFonts w:eastAsia="標楷體"/>
          <w:b/>
          <w:noProof/>
          <w:sz w:val="32"/>
          <w:szCs w:val="28"/>
        </w:rPr>
        <mc:AlternateContent>
          <mc:Choice Requires="wps">
            <w:drawing>
              <wp:anchor distT="0" distB="0" distL="114300" distR="114300" simplePos="0" relativeHeight="251681792" behindDoc="0" locked="0" layoutInCell="1" allowOverlap="1" wp14:anchorId="5222DFED" wp14:editId="1EF5710C">
                <wp:simplePos x="0" y="0"/>
                <wp:positionH relativeFrom="column">
                  <wp:posOffset>1045845</wp:posOffset>
                </wp:positionH>
                <wp:positionV relativeFrom="paragraph">
                  <wp:posOffset>3354070</wp:posOffset>
                </wp:positionV>
                <wp:extent cx="747395" cy="548640"/>
                <wp:effectExtent l="0" t="0" r="0" b="3810"/>
                <wp:wrapNone/>
                <wp:docPr id="12" name="文字方塊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47395" cy="548640"/>
                        </a:xfrm>
                        <a:prstGeom prst="rect">
                          <a:avLst/>
                        </a:prstGeom>
                        <a:solidFill>
                          <a:schemeClr val="bg1"/>
                        </a:solidFill>
                        <a:ln w="9525">
                          <a:noFill/>
                          <a:miter lim="800000"/>
                          <a:headEnd/>
                          <a:tailEnd/>
                        </a:ln>
                      </wps:spPr>
                      <wps:txbx>
                        <w:txbxContent>
                          <w:p w:rsidR="00DF3EE9" w:rsidRPr="00DB3100" w:rsidRDefault="00DF3EE9" w:rsidP="00DB3100">
                            <w:pPr>
                              <w:spacing w:line="260" w:lineRule="exact"/>
                              <w:jc w:val="center"/>
                              <w:rPr>
                                <w:b/>
                                <w:sz w:val="22"/>
                                <w:szCs w:val="22"/>
                              </w:rPr>
                            </w:pPr>
                            <w:proofErr w:type="gramStart"/>
                            <w:r w:rsidRPr="00DB3100">
                              <w:rPr>
                                <w:rFonts w:hint="eastAsia"/>
                                <w:b/>
                                <w:sz w:val="22"/>
                                <w:szCs w:val="22"/>
                              </w:rPr>
                              <w:t>overnight</w:t>
                            </w:r>
                            <w:proofErr w:type="gramEnd"/>
                            <w:r w:rsidRPr="00DB3100">
                              <w:rPr>
                                <w:rFonts w:hint="eastAsia"/>
                                <w:b/>
                                <w:sz w:val="22"/>
                                <w:szCs w:val="22"/>
                              </w:rPr>
                              <w:t xml:space="preserve"> call loan rate</w:t>
                            </w:r>
                          </w:p>
                        </w:txbxContent>
                      </wps:txbx>
                      <wps:bodyPr rot="0" vert="horz" wrap="square" lIns="0" tIns="0" rIns="0" bIns="0" anchor="t" anchorCtr="0">
                        <a:noAutofit/>
                      </wps:bodyPr>
                    </wps:wsp>
                  </a:graphicData>
                </a:graphic>
                <wp14:sizeRelH relativeFrom="margin">
                  <wp14:pctWidth>0</wp14:pctWidth>
                </wp14:sizeRelH>
                <wp14:sizeRelV relativeFrom="margin">
                  <wp14:pctHeight>0</wp14:pctHeight>
                </wp14:sizeRelV>
              </wp:anchor>
            </w:drawing>
          </mc:Choice>
          <mc:Fallback>
            <w:pict>
              <v:shape id="_x0000_s1028" type="#_x0000_t202" style="position:absolute;left:0;text-align:left;margin-left:82.35pt;margin-top:264.1pt;width:58.85pt;height:43.2pt;z-index:251681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" fillcolor="white [3212]" stroked="f">
                <v:textbox inset="0,0,0,0">
                  <w:txbxContent>
                    <w:p w:rsidR="00DF3EE9" w:rsidRPr="00DB3100" w:rsidRDefault="00DF3EE9" w:rsidP="00DB3100">
                      <w:pPr>
                        <w:spacing w:line="260" w:lineRule="exact"/>
                        <w:jc w:val="center"/>
                        <w:rPr>
                          <w:b/>
                          <w:sz w:val="22"/>
                          <w:szCs w:val="22"/>
                        </w:rPr>
                      </w:pPr>
                      <w:proofErr w:type="gramStart"/>
                      <w:r w:rsidRPr="00DB3100">
                        <w:rPr>
                          <w:rFonts w:hint="eastAsia"/>
                          <w:b/>
                          <w:sz w:val="22"/>
                          <w:szCs w:val="22"/>
                        </w:rPr>
                        <w:t>overnight</w:t>
                      </w:r>
                      <w:proofErr w:type="gramEnd"/>
                      <w:r w:rsidRPr="00DB3100">
                        <w:rPr>
                          <w:rFonts w:hint="eastAsia"/>
                          <w:b/>
                          <w:sz w:val="22"/>
                          <w:szCs w:val="22"/>
                        </w:rPr>
                        <w:t xml:space="preserve"> call loan rate</w:t>
                      </w:r>
                    </w:p>
                  </w:txbxContent>
                </v:textbox>
              </v:shape>
            </w:pict>
          </mc:Fallback>
        </mc:AlternateContent>
      </w:r>
      <w:r w:rsidRPr="00DB3100">
        <w:rPr>
          <w:rFonts w:eastAsia="標楷體"/>
          <w:b/>
          <w:noProof/>
          <w:sz w:val="32"/>
          <w:szCs w:val="28"/>
        </w:rPr>
        <mc:AlternateContent>
          <mc:Choice Requires="wps">
            <w:drawing>
              <wp:anchor distT="0" distB="0" distL="114300" distR="114300" simplePos="0" relativeHeight="251685888" behindDoc="0" locked="0" layoutInCell="1" allowOverlap="1" wp14:anchorId="4024367C" wp14:editId="484B0445">
                <wp:simplePos x="0" y="0"/>
                <wp:positionH relativeFrom="column">
                  <wp:posOffset>7432537</wp:posOffset>
                </wp:positionH>
                <wp:positionV relativeFrom="paragraph">
                  <wp:posOffset>3355837</wp:posOffset>
                </wp:positionV>
                <wp:extent cx="826936" cy="523875"/>
                <wp:effectExtent l="0" t="0" r="0" b="9525"/>
                <wp:wrapNone/>
                <wp:docPr id="10" name="文字方塊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26936" cy="523875"/>
                        </a:xfrm>
                        <a:prstGeom prst="rect">
                          <a:avLst/>
                        </a:prstGeom>
                        <a:solidFill>
                          <a:schemeClr val="bg1"/>
                        </a:solidFill>
                        <a:ln w="9525">
                          <a:noFill/>
                          <a:miter lim="800000"/>
                          <a:headEnd/>
                          <a:tailEnd/>
                        </a:ln>
                      </wps:spPr>
                      <wps:txbx>
                        <w:txbxContent>
                          <w:p w:rsidR="00DF3EE9" w:rsidRPr="00BE3C04" w:rsidRDefault="00DF3EE9" w:rsidP="00BE3C04">
                            <w:pPr>
                              <w:spacing w:line="260" w:lineRule="exact"/>
                              <w:jc w:val="center"/>
                              <w:rPr>
                                <w:b/>
                                <w:sz w:val="22"/>
                                <w:szCs w:val="22"/>
                              </w:rPr>
                            </w:pPr>
                            <w:r>
                              <w:rPr>
                                <w:rFonts w:hint="eastAsia"/>
                                <w:b/>
                                <w:bCs/>
                                <w:sz w:val="22"/>
                                <w:szCs w:val="22"/>
                              </w:rPr>
                              <w:t>30</w:t>
                            </w:r>
                            <w:r w:rsidRPr="00BE3C04">
                              <w:rPr>
                                <w:b/>
                                <w:bCs/>
                                <w:sz w:val="22"/>
                                <w:szCs w:val="22"/>
                              </w:rPr>
                              <w:t xml:space="preserve">-year </w:t>
                            </w:r>
                          </w:p>
                          <w:p w:rsidR="00DF3EE9" w:rsidRPr="00BE3C04" w:rsidRDefault="00DF3EE9" w:rsidP="00BE3C04">
                            <w:pPr>
                              <w:spacing w:line="260" w:lineRule="exact"/>
                              <w:jc w:val="center"/>
                              <w:rPr>
                                <w:b/>
                                <w:sz w:val="22"/>
                                <w:szCs w:val="22"/>
                              </w:rPr>
                            </w:pPr>
                            <w:proofErr w:type="gramStart"/>
                            <w:r w:rsidRPr="00BE3C04">
                              <w:rPr>
                                <w:b/>
                                <w:bCs/>
                                <w:sz w:val="22"/>
                                <w:szCs w:val="22"/>
                              </w:rPr>
                              <w:t>bond</w:t>
                            </w:r>
                            <w:proofErr w:type="gramEnd"/>
                          </w:p>
                          <w:p w:rsidR="00DF3EE9" w:rsidRPr="00BE3C04" w:rsidRDefault="00DF3EE9" w:rsidP="00BE3C04">
                            <w:pPr>
                              <w:spacing w:line="260" w:lineRule="exact"/>
                              <w:jc w:val="center"/>
                              <w:rPr>
                                <w:b/>
                                <w:sz w:val="22"/>
                                <w:szCs w:val="22"/>
                              </w:rPr>
                            </w:pPr>
                            <w:proofErr w:type="gramStart"/>
                            <w:r w:rsidRPr="00BE3C04">
                              <w:rPr>
                                <w:b/>
                                <w:bCs/>
                                <w:sz w:val="22"/>
                                <w:szCs w:val="22"/>
                              </w:rPr>
                              <w:t>yield</w:t>
                            </w:r>
                            <w:proofErr w:type="gramEnd"/>
                          </w:p>
                          <w:p w:rsidR="00DF3EE9" w:rsidRPr="00DB3100" w:rsidRDefault="00DF3EE9" w:rsidP="00DB3100">
                            <w:pPr>
                              <w:spacing w:line="240" w:lineRule="exact"/>
                              <w:jc w:val="center"/>
                              <w:rPr>
                                <w:b/>
                              </w:rPr>
                            </w:pPr>
                          </w:p>
                        </w:txbxContent>
                      </wps:txbx>
                      <wps:bodyPr rot="0" vert="horz" wrap="square" lIns="0" tIns="0" rIns="0" bIns="0" anchor="t" anchorCtr="0">
                        <a:noAutofit/>
                      </wps:bodyPr>
                    </wps:wsp>
                  </a:graphicData>
                </a:graphic>
                <wp14:sizeRelH relativeFrom="margin">
                  <wp14:pctWidth>0</wp14:pctWidth>
                </wp14:sizeRelH>
                <wp14:sizeRelV relativeFrom="margin">
                  <wp14:pctHeight>0</wp14:pctHeight>
                </wp14:sizeRelV>
              </wp:anchor>
            </w:drawing>
          </mc:Choice>
          <mc:Fallback>
            <w:pict>
              <v:shape id="_x0000_s1029" type="#_x0000_t202" style="position:absolute;left:0;text-align:left;margin-left:585.25pt;margin-top:264.25pt;width:65.1pt;height:41.25pt;z-index:2516858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" fillcolor="white [3212]" stroked="f">
                <v:textbox inset="0,0,0,0">
                  <w:txbxContent>
                    <w:p w:rsidR="00DF3EE9" w:rsidRPr="00BE3C04" w:rsidRDefault="00DF3EE9" w:rsidP="00BE3C04">
                      <w:pPr>
                        <w:spacing w:line="260" w:lineRule="exact"/>
                        <w:jc w:val="center"/>
                        <w:rPr>
                          <w:b/>
                          <w:sz w:val="22"/>
                          <w:szCs w:val="22"/>
                        </w:rPr>
                      </w:pPr>
                      <w:r>
                        <w:rPr>
                          <w:rFonts w:hint="eastAsia"/>
                          <w:b/>
                          <w:bCs/>
                          <w:sz w:val="22"/>
                          <w:szCs w:val="22"/>
                        </w:rPr>
                        <w:t>30</w:t>
                      </w:r>
                      <w:r w:rsidRPr="00BE3C04">
                        <w:rPr>
                          <w:b/>
                          <w:bCs/>
                          <w:sz w:val="22"/>
                          <w:szCs w:val="22"/>
                        </w:rPr>
                        <w:t xml:space="preserve">-year </w:t>
                      </w:r>
                    </w:p>
                    <w:p w:rsidR="00DF3EE9" w:rsidRPr="00BE3C04" w:rsidRDefault="00DF3EE9" w:rsidP="00BE3C04">
                      <w:pPr>
                        <w:spacing w:line="260" w:lineRule="exact"/>
                        <w:jc w:val="center"/>
                        <w:rPr>
                          <w:b/>
                          <w:sz w:val="22"/>
                          <w:szCs w:val="22"/>
                        </w:rPr>
                      </w:pPr>
                      <w:proofErr w:type="gramStart"/>
                      <w:r w:rsidRPr="00BE3C04">
                        <w:rPr>
                          <w:b/>
                          <w:bCs/>
                          <w:sz w:val="22"/>
                          <w:szCs w:val="22"/>
                        </w:rPr>
                        <w:t>bond</w:t>
                      </w:r>
                      <w:proofErr w:type="gramEnd"/>
                    </w:p>
                    <w:p w:rsidR="00DF3EE9" w:rsidRPr="00BE3C04" w:rsidRDefault="00DF3EE9" w:rsidP="00BE3C04">
                      <w:pPr>
                        <w:spacing w:line="260" w:lineRule="exact"/>
                        <w:jc w:val="center"/>
                        <w:rPr>
                          <w:b/>
                          <w:sz w:val="22"/>
                          <w:szCs w:val="22"/>
                        </w:rPr>
                      </w:pPr>
                      <w:proofErr w:type="gramStart"/>
                      <w:r w:rsidRPr="00BE3C04">
                        <w:rPr>
                          <w:b/>
                          <w:bCs/>
                          <w:sz w:val="22"/>
                          <w:szCs w:val="22"/>
                        </w:rPr>
                        <w:t>yield</w:t>
                      </w:r>
                      <w:proofErr w:type="gramEnd"/>
                    </w:p>
                    <w:p w:rsidR="00DF3EE9" w:rsidRPr="00DB3100" w:rsidRDefault="00DF3EE9" w:rsidP="00DB3100">
                      <w:pPr>
                        <w:spacing w:line="240" w:lineRule="exact"/>
                        <w:jc w:val="center"/>
                        <w:rPr>
                          <w:b/>
                        </w:rPr>
                      </w:pPr>
                    </w:p>
                  </w:txbxContent>
                </v:textbox>
              </v:shape>
            </w:pict>
          </mc:Fallback>
        </mc:AlternateContent>
      </w:r>
      <w:r w:rsidRPr="00DB3100">
        <w:rPr>
          <w:rFonts w:eastAsia="標楷體"/>
          <w:b/>
          <w:noProof/>
          <w:sz w:val="32"/>
          <w:szCs w:val="28"/>
        </w:rPr>
        <mc:AlternateContent>
          <mc:Choice Requires="wps">
            <w:drawing>
              <wp:anchor distT="0" distB="0" distL="114300" distR="114300" simplePos="0" relativeHeight="251684864" behindDoc="0" locked="0" layoutInCell="1" allowOverlap="1" wp14:anchorId="00EFA103" wp14:editId="0400B0AF">
                <wp:simplePos x="0" y="0"/>
                <wp:positionH relativeFrom="column">
                  <wp:posOffset>6128385</wp:posOffset>
                </wp:positionH>
                <wp:positionV relativeFrom="paragraph">
                  <wp:posOffset>3347361</wp:posOffset>
                </wp:positionV>
                <wp:extent cx="874644" cy="539750"/>
                <wp:effectExtent l="0" t="0" r="1905" b="0"/>
                <wp:wrapNone/>
                <wp:docPr id="9" name="文字方塊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74644" cy="539750"/>
                        </a:xfrm>
                        <a:prstGeom prst="rect">
                          <a:avLst/>
                        </a:prstGeom>
                        <a:solidFill>
                          <a:schemeClr val="bg1"/>
                        </a:solidFill>
                        <a:ln w="9525">
                          <a:noFill/>
                          <a:miter lim="800000"/>
                          <a:headEnd/>
                          <a:tailEnd/>
                        </a:ln>
                      </wps:spPr>
                      <wps:txbx>
                        <w:txbxContent>
                          <w:p w:rsidR="00DF3EE9" w:rsidRPr="00BE3C04" w:rsidRDefault="00DF3EE9" w:rsidP="00BE3C04">
                            <w:pPr>
                              <w:spacing w:line="260" w:lineRule="exact"/>
                              <w:jc w:val="center"/>
                              <w:rPr>
                                <w:b/>
                                <w:sz w:val="22"/>
                                <w:szCs w:val="22"/>
                              </w:rPr>
                            </w:pPr>
                            <w:r>
                              <w:rPr>
                                <w:rFonts w:hint="eastAsia"/>
                                <w:b/>
                                <w:bCs/>
                                <w:sz w:val="22"/>
                                <w:szCs w:val="22"/>
                              </w:rPr>
                              <w:t>10</w:t>
                            </w:r>
                            <w:r w:rsidRPr="00BE3C04">
                              <w:rPr>
                                <w:b/>
                                <w:bCs/>
                                <w:sz w:val="22"/>
                                <w:szCs w:val="22"/>
                              </w:rPr>
                              <w:t xml:space="preserve">-year </w:t>
                            </w:r>
                          </w:p>
                          <w:p w:rsidR="00DF3EE9" w:rsidRPr="00BE3C04" w:rsidRDefault="00DF3EE9" w:rsidP="00BE3C04">
                            <w:pPr>
                              <w:spacing w:line="260" w:lineRule="exact"/>
                              <w:jc w:val="center"/>
                              <w:rPr>
                                <w:b/>
                                <w:sz w:val="22"/>
                                <w:szCs w:val="22"/>
                              </w:rPr>
                            </w:pPr>
                            <w:proofErr w:type="gramStart"/>
                            <w:r w:rsidRPr="00BE3C04">
                              <w:rPr>
                                <w:b/>
                                <w:bCs/>
                                <w:sz w:val="22"/>
                                <w:szCs w:val="22"/>
                              </w:rPr>
                              <w:t>bond</w:t>
                            </w:r>
                            <w:proofErr w:type="gramEnd"/>
                          </w:p>
                          <w:p w:rsidR="00DF3EE9" w:rsidRPr="00BE3C04" w:rsidRDefault="00DF3EE9" w:rsidP="00BE3C04">
                            <w:pPr>
                              <w:spacing w:line="260" w:lineRule="exact"/>
                              <w:jc w:val="center"/>
                              <w:rPr>
                                <w:b/>
                                <w:sz w:val="22"/>
                                <w:szCs w:val="22"/>
                              </w:rPr>
                            </w:pPr>
                            <w:proofErr w:type="gramStart"/>
                            <w:r w:rsidRPr="00BE3C04">
                              <w:rPr>
                                <w:b/>
                                <w:bCs/>
                                <w:sz w:val="22"/>
                                <w:szCs w:val="22"/>
                              </w:rPr>
                              <w:t>yield</w:t>
                            </w:r>
                            <w:proofErr w:type="gramEnd"/>
                          </w:p>
                          <w:p w:rsidR="00DF3EE9" w:rsidRPr="00DB3100" w:rsidRDefault="00DF3EE9" w:rsidP="00DB3100">
                            <w:pPr>
                              <w:spacing w:line="240" w:lineRule="exact"/>
                              <w:jc w:val="center"/>
                              <w:rPr>
                                <w:b/>
                              </w:rPr>
                            </w:pPr>
                          </w:p>
                        </w:txbxContent>
                      </wps:txbx>
                      <wps:bodyPr rot="0" vert="horz" wrap="square" lIns="0" tIns="0" rIns="0" bIns="0" anchor="t" anchorCtr="0">
                        <a:noAutofit/>
                      </wps:bodyPr>
                    </wps:wsp>
                  </a:graphicData>
                </a:graphic>
                <wp14:sizeRelH relativeFrom="margin">
                  <wp14:pctWidth>0</wp14:pctWidth>
                </wp14:sizeRelH>
                <wp14:sizeRelV relativeFrom="margin">
                  <wp14:pctHeight>0</wp14:pctHeight>
                </wp14:sizeRelV>
              </wp:anchor>
            </w:drawing>
          </mc:Choice>
          <mc:Fallback>
            <w:pict>
              <v:shape id="_x0000_s1030" type="#_x0000_t202" style="position:absolute;left:0;text-align:left;margin-left:482.55pt;margin-top:263.55pt;width:68.85pt;height:42.5pt;z-index:2516848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" fillcolor="white [3212]" stroked="f">
                <v:textbox inset="0,0,0,0">
                  <w:txbxContent>
                    <w:p w:rsidR="00DF3EE9" w:rsidRPr="00BE3C04" w:rsidRDefault="00DF3EE9" w:rsidP="00BE3C04">
                      <w:pPr>
                        <w:spacing w:line="260" w:lineRule="exact"/>
                        <w:jc w:val="center"/>
                        <w:rPr>
                          <w:b/>
                          <w:sz w:val="22"/>
                          <w:szCs w:val="22"/>
                        </w:rPr>
                      </w:pPr>
                      <w:r>
                        <w:rPr>
                          <w:rFonts w:hint="eastAsia"/>
                          <w:b/>
                          <w:bCs/>
                          <w:sz w:val="22"/>
                          <w:szCs w:val="22"/>
                        </w:rPr>
                        <w:t>10</w:t>
                      </w:r>
                      <w:r w:rsidRPr="00BE3C04">
                        <w:rPr>
                          <w:b/>
                          <w:bCs/>
                          <w:sz w:val="22"/>
                          <w:szCs w:val="22"/>
                        </w:rPr>
                        <w:t xml:space="preserve">-year </w:t>
                      </w:r>
                    </w:p>
                    <w:p w:rsidR="00DF3EE9" w:rsidRPr="00BE3C04" w:rsidRDefault="00DF3EE9" w:rsidP="00BE3C04">
                      <w:pPr>
                        <w:spacing w:line="260" w:lineRule="exact"/>
                        <w:jc w:val="center"/>
                        <w:rPr>
                          <w:b/>
                          <w:sz w:val="22"/>
                          <w:szCs w:val="22"/>
                        </w:rPr>
                      </w:pPr>
                      <w:proofErr w:type="gramStart"/>
                      <w:r w:rsidRPr="00BE3C04">
                        <w:rPr>
                          <w:b/>
                          <w:bCs/>
                          <w:sz w:val="22"/>
                          <w:szCs w:val="22"/>
                        </w:rPr>
                        <w:t>bond</w:t>
                      </w:r>
                      <w:proofErr w:type="gramEnd"/>
                    </w:p>
                    <w:p w:rsidR="00DF3EE9" w:rsidRPr="00BE3C04" w:rsidRDefault="00DF3EE9" w:rsidP="00BE3C04">
                      <w:pPr>
                        <w:spacing w:line="260" w:lineRule="exact"/>
                        <w:jc w:val="center"/>
                        <w:rPr>
                          <w:b/>
                          <w:sz w:val="22"/>
                          <w:szCs w:val="22"/>
                        </w:rPr>
                      </w:pPr>
                      <w:proofErr w:type="gramStart"/>
                      <w:r w:rsidRPr="00BE3C04">
                        <w:rPr>
                          <w:b/>
                          <w:bCs/>
                          <w:sz w:val="22"/>
                          <w:szCs w:val="22"/>
                        </w:rPr>
                        <w:t>yield</w:t>
                      </w:r>
                      <w:proofErr w:type="gramEnd"/>
                    </w:p>
                    <w:p w:rsidR="00DF3EE9" w:rsidRPr="00DB3100" w:rsidRDefault="00DF3EE9" w:rsidP="00DB3100">
                      <w:pPr>
                        <w:spacing w:line="240" w:lineRule="exact"/>
                        <w:jc w:val="center"/>
                        <w:rPr>
                          <w:b/>
                        </w:rPr>
                      </w:pPr>
                    </w:p>
                  </w:txbxContent>
                </v:textbox>
              </v:shape>
            </w:pict>
          </mc:Fallback>
        </mc:AlternateContent>
      </w:r>
      <w:r w:rsidRPr="00DB3100">
        <w:rPr>
          <w:rFonts w:eastAsia="標楷體"/>
          <w:b/>
          <w:noProof/>
          <w:sz w:val="32"/>
          <w:szCs w:val="28"/>
        </w:rPr>
        <mc:AlternateContent>
          <mc:Choice Requires="wps">
            <w:drawing>
              <wp:anchor distT="0" distB="0" distL="114300" distR="114300" simplePos="0" relativeHeight="251682816" behindDoc="0" locked="0" layoutInCell="1" allowOverlap="1" wp14:anchorId="2986CCB8" wp14:editId="33687517">
                <wp:simplePos x="0" y="0"/>
                <wp:positionH relativeFrom="column">
                  <wp:posOffset>4824509</wp:posOffset>
                </wp:positionH>
                <wp:positionV relativeFrom="paragraph">
                  <wp:posOffset>3347886</wp:posOffset>
                </wp:positionV>
                <wp:extent cx="842838" cy="588010"/>
                <wp:effectExtent l="0" t="0" r="0" b="2540"/>
                <wp:wrapNone/>
                <wp:docPr id="7" name="文字方塊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42838" cy="588010"/>
                        </a:xfrm>
                        <a:prstGeom prst="rect">
                          <a:avLst/>
                        </a:prstGeom>
                        <a:solidFill>
                          <a:schemeClr val="bg1"/>
                        </a:solidFill>
                        <a:ln w="9525">
                          <a:noFill/>
                          <a:miter lim="800000"/>
                          <a:headEnd/>
                          <a:tailEnd/>
                        </a:ln>
                      </wps:spPr>
                      <wps:txbx>
                        <w:txbxContent>
                          <w:p w:rsidR="00DF3EE9" w:rsidRPr="00BE3C04" w:rsidRDefault="00DF3EE9" w:rsidP="00BE3C04">
                            <w:pPr>
                              <w:spacing w:line="260" w:lineRule="exact"/>
                              <w:jc w:val="center"/>
                              <w:rPr>
                                <w:b/>
                                <w:sz w:val="22"/>
                                <w:szCs w:val="22"/>
                              </w:rPr>
                            </w:pPr>
                            <w:r>
                              <w:rPr>
                                <w:rFonts w:hint="eastAsia"/>
                                <w:b/>
                                <w:bCs/>
                                <w:sz w:val="22"/>
                                <w:szCs w:val="22"/>
                              </w:rPr>
                              <w:t>5</w:t>
                            </w:r>
                            <w:r w:rsidRPr="00BE3C04">
                              <w:rPr>
                                <w:b/>
                                <w:bCs/>
                                <w:sz w:val="22"/>
                                <w:szCs w:val="22"/>
                              </w:rPr>
                              <w:t xml:space="preserve">-year </w:t>
                            </w:r>
                          </w:p>
                          <w:p w:rsidR="00DF3EE9" w:rsidRPr="00BE3C04" w:rsidRDefault="00DF3EE9" w:rsidP="00BE3C04">
                            <w:pPr>
                              <w:spacing w:line="260" w:lineRule="exact"/>
                              <w:jc w:val="center"/>
                              <w:rPr>
                                <w:b/>
                                <w:sz w:val="22"/>
                                <w:szCs w:val="22"/>
                              </w:rPr>
                            </w:pPr>
                            <w:proofErr w:type="gramStart"/>
                            <w:r w:rsidRPr="00BE3C04">
                              <w:rPr>
                                <w:b/>
                                <w:bCs/>
                                <w:sz w:val="22"/>
                                <w:szCs w:val="22"/>
                              </w:rPr>
                              <w:t>bond</w:t>
                            </w:r>
                            <w:proofErr w:type="gramEnd"/>
                          </w:p>
                          <w:p w:rsidR="00DF3EE9" w:rsidRPr="00BE3C04" w:rsidRDefault="00DF3EE9" w:rsidP="00BE3C04">
                            <w:pPr>
                              <w:spacing w:line="260" w:lineRule="exact"/>
                              <w:jc w:val="center"/>
                              <w:rPr>
                                <w:b/>
                                <w:sz w:val="22"/>
                                <w:szCs w:val="22"/>
                              </w:rPr>
                            </w:pPr>
                            <w:proofErr w:type="gramStart"/>
                            <w:r w:rsidRPr="00BE3C04">
                              <w:rPr>
                                <w:b/>
                                <w:bCs/>
                                <w:sz w:val="22"/>
                                <w:szCs w:val="22"/>
                              </w:rPr>
                              <w:t>yield</w:t>
                            </w:r>
                            <w:proofErr w:type="gramEnd"/>
                          </w:p>
                          <w:p w:rsidR="00DF3EE9" w:rsidRPr="00DB3100" w:rsidRDefault="00DF3EE9" w:rsidP="00DB3100">
                            <w:pPr>
                              <w:spacing w:line="240" w:lineRule="exact"/>
                              <w:jc w:val="center"/>
                              <w:rPr>
                                <w:b/>
                              </w:rPr>
                            </w:pPr>
                          </w:p>
                        </w:txbxContent>
                      </wps:txbx>
                      <wps:bodyPr rot="0" vert="horz" wrap="square" lIns="0" tIns="0" rIns="0" bIns="0" anchor="t" anchorCtr="0">
                        <a:noAutofit/>
                      </wps:bodyPr>
                    </wps:wsp>
                  </a:graphicData>
                </a:graphic>
                <wp14:sizeRelH relativeFrom="margin">
                  <wp14:pctWidth>0</wp14:pctWidth>
                </wp14:sizeRelH>
                <wp14:sizeRelV relativeFrom="margin">
                  <wp14:pctHeight>0</wp14:pctHeight>
                </wp14:sizeRelV>
              </wp:anchor>
            </w:drawing>
          </mc:Choice>
          <mc:Fallback>
            <w:pict>
              <v:shape id="_x0000_s1031" type="#_x0000_t202" style="position:absolute;left:0;text-align:left;margin-left:379.9pt;margin-top:263.6pt;width:66.35pt;height:46.3pt;z-index:251682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" fillcolor="white [3212]" stroked="f">
                <v:textbox inset="0,0,0,0">
                  <w:txbxContent>
                    <w:p w:rsidR="00DF3EE9" w:rsidRPr="00BE3C04" w:rsidRDefault="00DF3EE9" w:rsidP="00BE3C04">
                      <w:pPr>
                        <w:spacing w:line="260" w:lineRule="exact"/>
                        <w:jc w:val="center"/>
                        <w:rPr>
                          <w:b/>
                          <w:sz w:val="22"/>
                          <w:szCs w:val="22"/>
                        </w:rPr>
                      </w:pPr>
                      <w:r>
                        <w:rPr>
                          <w:rFonts w:hint="eastAsia"/>
                          <w:b/>
                          <w:bCs/>
                          <w:sz w:val="22"/>
                          <w:szCs w:val="22"/>
                        </w:rPr>
                        <w:t>5</w:t>
                      </w:r>
                      <w:r w:rsidRPr="00BE3C04">
                        <w:rPr>
                          <w:b/>
                          <w:bCs/>
                          <w:sz w:val="22"/>
                          <w:szCs w:val="22"/>
                        </w:rPr>
                        <w:t xml:space="preserve">-year </w:t>
                      </w:r>
                    </w:p>
                    <w:p w:rsidR="00DF3EE9" w:rsidRPr="00BE3C04" w:rsidRDefault="00DF3EE9" w:rsidP="00BE3C04">
                      <w:pPr>
                        <w:spacing w:line="260" w:lineRule="exact"/>
                        <w:jc w:val="center"/>
                        <w:rPr>
                          <w:b/>
                          <w:sz w:val="22"/>
                          <w:szCs w:val="22"/>
                        </w:rPr>
                      </w:pPr>
                      <w:proofErr w:type="gramStart"/>
                      <w:r w:rsidRPr="00BE3C04">
                        <w:rPr>
                          <w:b/>
                          <w:bCs/>
                          <w:sz w:val="22"/>
                          <w:szCs w:val="22"/>
                        </w:rPr>
                        <w:t>bond</w:t>
                      </w:r>
                      <w:proofErr w:type="gramEnd"/>
                    </w:p>
                    <w:p w:rsidR="00DF3EE9" w:rsidRPr="00BE3C04" w:rsidRDefault="00DF3EE9" w:rsidP="00BE3C04">
                      <w:pPr>
                        <w:spacing w:line="260" w:lineRule="exact"/>
                        <w:jc w:val="center"/>
                        <w:rPr>
                          <w:b/>
                          <w:sz w:val="22"/>
                          <w:szCs w:val="22"/>
                        </w:rPr>
                      </w:pPr>
                      <w:proofErr w:type="gramStart"/>
                      <w:r w:rsidRPr="00BE3C04">
                        <w:rPr>
                          <w:b/>
                          <w:bCs/>
                          <w:sz w:val="22"/>
                          <w:szCs w:val="22"/>
                        </w:rPr>
                        <w:t>yield</w:t>
                      </w:r>
                      <w:proofErr w:type="gramEnd"/>
                    </w:p>
                    <w:p w:rsidR="00DF3EE9" w:rsidRPr="00DB3100" w:rsidRDefault="00DF3EE9" w:rsidP="00DB3100">
                      <w:pPr>
                        <w:spacing w:line="240" w:lineRule="exact"/>
                        <w:jc w:val="center"/>
                        <w:rPr>
                          <w:b/>
                        </w:rPr>
                      </w:pPr>
                    </w:p>
                  </w:txbxContent>
                </v:textbox>
              </v:shape>
            </w:pict>
          </mc:Fallback>
        </mc:AlternateContent>
      </w:r>
      <w:r w:rsidRPr="00DB3100">
        <w:rPr>
          <w:rFonts w:eastAsia="標楷體"/>
          <w:b/>
          <w:noProof/>
          <w:sz w:val="32"/>
          <w:szCs w:val="28"/>
        </w:rPr>
        <mc:AlternateContent>
          <mc:Choice Requires="wps">
            <w:drawing>
              <wp:anchor distT="0" distB="0" distL="114300" distR="114300" simplePos="0" relativeHeight="251683840" behindDoc="0" locked="0" layoutInCell="1" allowOverlap="1" wp14:anchorId="4960C511" wp14:editId="2074E6DF">
                <wp:simplePos x="0" y="0"/>
                <wp:positionH relativeFrom="column">
                  <wp:posOffset>3583940</wp:posOffset>
                </wp:positionH>
                <wp:positionV relativeFrom="paragraph">
                  <wp:posOffset>3355672</wp:posOffset>
                </wp:positionV>
                <wp:extent cx="771276" cy="595630"/>
                <wp:effectExtent l="0" t="0" r="0" b="0"/>
                <wp:wrapNone/>
                <wp:docPr id="8" name="文字方塊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71276" cy="595630"/>
                        </a:xfrm>
                        <a:prstGeom prst="rect">
                          <a:avLst/>
                        </a:prstGeom>
                        <a:solidFill>
                          <a:schemeClr val="bg1"/>
                        </a:solidFill>
                        <a:ln w="9525">
                          <a:noFill/>
                          <a:miter lim="800000"/>
                          <a:headEnd/>
                          <a:tailEnd/>
                        </a:ln>
                      </wps:spPr>
                      <wps:txbx>
                        <w:txbxContent>
                          <w:p w:rsidR="00DF3EE9" w:rsidRPr="00BE3C04" w:rsidRDefault="00DF3EE9" w:rsidP="00BE3C04">
                            <w:pPr>
                              <w:spacing w:line="260" w:lineRule="exact"/>
                              <w:jc w:val="center"/>
                              <w:rPr>
                                <w:b/>
                                <w:sz w:val="22"/>
                                <w:szCs w:val="22"/>
                              </w:rPr>
                            </w:pPr>
                            <w:r w:rsidRPr="00BE3C04">
                              <w:rPr>
                                <w:b/>
                                <w:bCs/>
                                <w:sz w:val="22"/>
                                <w:szCs w:val="22"/>
                              </w:rPr>
                              <w:t xml:space="preserve">2-year </w:t>
                            </w:r>
                          </w:p>
                          <w:p w:rsidR="00DF3EE9" w:rsidRPr="00BE3C04" w:rsidRDefault="00DF3EE9" w:rsidP="00BE3C04">
                            <w:pPr>
                              <w:spacing w:line="260" w:lineRule="exact"/>
                              <w:jc w:val="center"/>
                              <w:rPr>
                                <w:b/>
                                <w:sz w:val="22"/>
                                <w:szCs w:val="22"/>
                              </w:rPr>
                            </w:pPr>
                            <w:proofErr w:type="gramStart"/>
                            <w:r w:rsidRPr="00BE3C04">
                              <w:rPr>
                                <w:b/>
                                <w:bCs/>
                                <w:sz w:val="22"/>
                                <w:szCs w:val="22"/>
                              </w:rPr>
                              <w:t>bond</w:t>
                            </w:r>
                            <w:proofErr w:type="gramEnd"/>
                          </w:p>
                          <w:p w:rsidR="00DF3EE9" w:rsidRPr="00BE3C04" w:rsidRDefault="00DF3EE9" w:rsidP="00BE3C04">
                            <w:pPr>
                              <w:spacing w:line="260" w:lineRule="exact"/>
                              <w:jc w:val="center"/>
                              <w:rPr>
                                <w:b/>
                                <w:sz w:val="22"/>
                                <w:szCs w:val="22"/>
                              </w:rPr>
                            </w:pPr>
                            <w:proofErr w:type="gramStart"/>
                            <w:r w:rsidRPr="00BE3C04">
                              <w:rPr>
                                <w:b/>
                                <w:bCs/>
                                <w:sz w:val="22"/>
                                <w:szCs w:val="22"/>
                              </w:rPr>
                              <w:t>yield</w:t>
                            </w:r>
                            <w:proofErr w:type="gramEnd"/>
                          </w:p>
                          <w:p w:rsidR="00DF3EE9" w:rsidRPr="00DB3100" w:rsidRDefault="00DF3EE9" w:rsidP="00DB3100">
                            <w:pPr>
                              <w:spacing w:line="240" w:lineRule="exact"/>
                              <w:jc w:val="center"/>
                              <w:rPr>
                                <w:b/>
                              </w:rPr>
                            </w:pPr>
                          </w:p>
                        </w:txbxContent>
                      </wps:txbx>
                      <wps:bodyPr rot="0" vert="horz" wrap="square" lIns="0" tIns="0" rIns="0" bIns="0" anchor="t" anchorCtr="0">
                        <a:noAutofit/>
                      </wps:bodyPr>
                    </wps:wsp>
                  </a:graphicData>
                </a:graphic>
                <wp14:sizeRelH relativeFrom="margin">
                  <wp14:pctWidth>0</wp14:pctWidth>
                </wp14:sizeRelH>
                <wp14:sizeRelV relativeFrom="margin">
                  <wp14:pctHeight>0</wp14:pctHeight>
                </wp14:sizeRelV>
              </wp:anchor>
            </w:drawing>
          </mc:Choice>
          <mc:Fallback>
            <w:pict>
              <v:shape id="_x0000_s1032" type="#_x0000_t202" style="position:absolute;left:0;text-align:left;margin-left:282.2pt;margin-top:264.25pt;width:60.75pt;height:46.9pt;z-index:251683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" fillcolor="white [3212]" stroked="f">
                <v:textbox inset="0,0,0,0">
                  <w:txbxContent>
                    <w:p w:rsidR="00DF3EE9" w:rsidRPr="00BE3C04" w:rsidRDefault="00DF3EE9" w:rsidP="00BE3C04">
                      <w:pPr>
                        <w:spacing w:line="260" w:lineRule="exact"/>
                        <w:jc w:val="center"/>
                        <w:rPr>
                          <w:b/>
                          <w:sz w:val="22"/>
                          <w:szCs w:val="22"/>
                        </w:rPr>
                      </w:pPr>
                      <w:r w:rsidRPr="00BE3C04">
                        <w:rPr>
                          <w:b/>
                          <w:bCs/>
                          <w:sz w:val="22"/>
                          <w:szCs w:val="22"/>
                        </w:rPr>
                        <w:t xml:space="preserve">2-year </w:t>
                      </w:r>
                    </w:p>
                    <w:p w:rsidR="00DF3EE9" w:rsidRPr="00BE3C04" w:rsidRDefault="00DF3EE9" w:rsidP="00BE3C04">
                      <w:pPr>
                        <w:spacing w:line="260" w:lineRule="exact"/>
                        <w:jc w:val="center"/>
                        <w:rPr>
                          <w:b/>
                          <w:sz w:val="22"/>
                          <w:szCs w:val="22"/>
                        </w:rPr>
                      </w:pPr>
                      <w:proofErr w:type="gramStart"/>
                      <w:r w:rsidRPr="00BE3C04">
                        <w:rPr>
                          <w:b/>
                          <w:bCs/>
                          <w:sz w:val="22"/>
                          <w:szCs w:val="22"/>
                        </w:rPr>
                        <w:t>bond</w:t>
                      </w:r>
                      <w:proofErr w:type="gramEnd"/>
                    </w:p>
                    <w:p w:rsidR="00DF3EE9" w:rsidRPr="00BE3C04" w:rsidRDefault="00DF3EE9" w:rsidP="00BE3C04">
                      <w:pPr>
                        <w:spacing w:line="260" w:lineRule="exact"/>
                        <w:jc w:val="center"/>
                        <w:rPr>
                          <w:b/>
                          <w:sz w:val="22"/>
                          <w:szCs w:val="22"/>
                        </w:rPr>
                      </w:pPr>
                      <w:proofErr w:type="gramStart"/>
                      <w:r w:rsidRPr="00BE3C04">
                        <w:rPr>
                          <w:b/>
                          <w:bCs/>
                          <w:sz w:val="22"/>
                          <w:szCs w:val="22"/>
                        </w:rPr>
                        <w:t>yield</w:t>
                      </w:r>
                      <w:proofErr w:type="gramEnd"/>
                    </w:p>
                    <w:p w:rsidR="00DF3EE9" w:rsidRPr="00DB3100" w:rsidRDefault="00DF3EE9" w:rsidP="00DB3100">
                      <w:pPr>
                        <w:spacing w:line="240" w:lineRule="exact"/>
                        <w:jc w:val="center"/>
                        <w:rPr>
                          <w:b/>
                        </w:rPr>
                      </w:pPr>
                    </w:p>
                  </w:txbxContent>
                </v:textbox>
              </v:shape>
            </w:pict>
          </mc:Fallback>
        </mc:AlternateContent>
      </w:r>
      <w:r w:rsidRPr="00DB3100">
        <w:rPr>
          <w:rFonts w:eastAsia="標楷體"/>
          <w:b/>
          <w:noProof/>
          <w:sz w:val="32"/>
          <w:szCs w:val="28"/>
        </w:rPr>
        <mc:AlternateContent>
          <mc:Choice Requires="wps">
            <w:drawing>
              <wp:anchor distT="0" distB="0" distL="114300" distR="114300" simplePos="0" relativeHeight="251686912" behindDoc="0" locked="0" layoutInCell="1" allowOverlap="1" wp14:anchorId="3FC9B208" wp14:editId="37BFBF83">
                <wp:simplePos x="0" y="0"/>
                <wp:positionH relativeFrom="column">
                  <wp:posOffset>2295994</wp:posOffset>
                </wp:positionH>
                <wp:positionV relativeFrom="paragraph">
                  <wp:posOffset>3347886</wp:posOffset>
                </wp:positionV>
                <wp:extent cx="779228" cy="604300"/>
                <wp:effectExtent l="0" t="0" r="1905" b="5715"/>
                <wp:wrapNone/>
                <wp:docPr id="11" name="文字方塊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79228" cy="604300"/>
                        </a:xfrm>
                        <a:prstGeom prst="rect">
                          <a:avLst/>
                        </a:prstGeom>
                        <a:solidFill>
                          <a:schemeClr val="bg1"/>
                        </a:solidFill>
                        <a:ln w="9525">
                          <a:noFill/>
                          <a:miter lim="800000"/>
                          <a:headEnd/>
                          <a:tailEnd/>
                        </a:ln>
                      </wps:spPr>
                      <wps:txbx>
                        <w:txbxContent>
                          <w:p w:rsidR="00DF3EE9" w:rsidRPr="006968C3" w:rsidRDefault="00DF3EE9" w:rsidP="006968C3">
                            <w:pPr>
                              <w:spacing w:line="260" w:lineRule="exact"/>
                              <w:jc w:val="center"/>
                              <w:rPr>
                                <w:b/>
                                <w:sz w:val="22"/>
                                <w:szCs w:val="22"/>
                              </w:rPr>
                            </w:pPr>
                            <w:r w:rsidRPr="006968C3">
                              <w:rPr>
                                <w:b/>
                                <w:bCs/>
                                <w:sz w:val="22"/>
                                <w:szCs w:val="22"/>
                              </w:rPr>
                              <w:t xml:space="preserve">1-year </w:t>
                            </w:r>
                          </w:p>
                          <w:p w:rsidR="00DF3EE9" w:rsidRPr="006968C3" w:rsidRDefault="00DF3EE9" w:rsidP="006968C3">
                            <w:pPr>
                              <w:spacing w:line="260" w:lineRule="exact"/>
                              <w:jc w:val="center"/>
                              <w:rPr>
                                <w:b/>
                                <w:sz w:val="22"/>
                                <w:szCs w:val="22"/>
                              </w:rPr>
                            </w:pPr>
                            <w:proofErr w:type="gramStart"/>
                            <w:r w:rsidRPr="006968C3">
                              <w:rPr>
                                <w:b/>
                                <w:bCs/>
                                <w:sz w:val="22"/>
                                <w:szCs w:val="22"/>
                              </w:rPr>
                              <w:t>deposit</w:t>
                            </w:r>
                            <w:proofErr w:type="gramEnd"/>
                            <w:r w:rsidRPr="006968C3">
                              <w:rPr>
                                <w:b/>
                                <w:bCs/>
                                <w:sz w:val="22"/>
                                <w:szCs w:val="22"/>
                              </w:rPr>
                              <w:t xml:space="preserve"> </w:t>
                            </w:r>
                          </w:p>
                          <w:p w:rsidR="00DF3EE9" w:rsidRPr="006968C3" w:rsidRDefault="00DF3EE9" w:rsidP="006968C3">
                            <w:pPr>
                              <w:spacing w:line="260" w:lineRule="exact"/>
                              <w:jc w:val="center"/>
                              <w:rPr>
                                <w:b/>
                                <w:sz w:val="22"/>
                                <w:szCs w:val="22"/>
                              </w:rPr>
                            </w:pPr>
                            <w:proofErr w:type="gramStart"/>
                            <w:r w:rsidRPr="006968C3">
                              <w:rPr>
                                <w:b/>
                                <w:bCs/>
                                <w:sz w:val="22"/>
                                <w:szCs w:val="22"/>
                              </w:rPr>
                              <w:t>rate</w:t>
                            </w:r>
                            <w:proofErr w:type="gramEnd"/>
                          </w:p>
                          <w:p w:rsidR="00DF3EE9" w:rsidRPr="00DB3100" w:rsidRDefault="00DF3EE9" w:rsidP="00DB3100">
                            <w:pPr>
                              <w:spacing w:line="240" w:lineRule="exact"/>
                              <w:jc w:val="center"/>
                              <w:rPr>
                                <w:b/>
                              </w:rPr>
                            </w:pPr>
                          </w:p>
                        </w:txbxContent>
                      </wps:txbx>
                      <wps:bodyPr rot="0" vert="horz" wrap="square" lIns="0" tIns="0" rIns="0" bIns="0" anchor="t" anchorCtr="0">
                        <a:noAutofit/>
                      </wps:bodyPr>
                    </wps:wsp>
                  </a:graphicData>
                </a:graphic>
                <wp14:sizeRelH relativeFrom="margin">
                  <wp14:pctWidth>0</wp14:pctWidth>
                </wp14:sizeRelH>
                <wp14:sizeRelV relativeFrom="margin">
                  <wp14:pctHeight>0</wp14:pctHeight>
                </wp14:sizeRelV>
              </wp:anchor>
            </w:drawing>
          </mc:Choice>
          <mc:Fallback>
            <w:pict>
              <v:shape id="_x0000_s1033" type="#_x0000_t202" style="position:absolute;left:0;text-align:left;margin-left:180.8pt;margin-top:263.6pt;width:61.35pt;height:47.6pt;z-index:2516869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" fillcolor="white [3212]" stroked="f">
                <v:textbox inset="0,0,0,0">
                  <w:txbxContent>
                    <w:p w:rsidR="00DF3EE9" w:rsidRPr="006968C3" w:rsidRDefault="00DF3EE9" w:rsidP="006968C3">
                      <w:pPr>
                        <w:spacing w:line="260" w:lineRule="exact"/>
                        <w:jc w:val="center"/>
                        <w:rPr>
                          <w:b/>
                          <w:sz w:val="22"/>
                          <w:szCs w:val="22"/>
                        </w:rPr>
                      </w:pPr>
                      <w:r w:rsidRPr="006968C3">
                        <w:rPr>
                          <w:b/>
                          <w:bCs/>
                          <w:sz w:val="22"/>
                          <w:szCs w:val="22"/>
                        </w:rPr>
                        <w:t xml:space="preserve">1-year </w:t>
                      </w:r>
                    </w:p>
                    <w:p w:rsidR="00DF3EE9" w:rsidRPr="006968C3" w:rsidRDefault="00DF3EE9" w:rsidP="006968C3">
                      <w:pPr>
                        <w:spacing w:line="260" w:lineRule="exact"/>
                        <w:jc w:val="center"/>
                        <w:rPr>
                          <w:b/>
                          <w:sz w:val="22"/>
                          <w:szCs w:val="22"/>
                        </w:rPr>
                      </w:pPr>
                      <w:proofErr w:type="gramStart"/>
                      <w:r w:rsidRPr="006968C3">
                        <w:rPr>
                          <w:b/>
                          <w:bCs/>
                          <w:sz w:val="22"/>
                          <w:szCs w:val="22"/>
                        </w:rPr>
                        <w:t>deposit</w:t>
                      </w:r>
                      <w:proofErr w:type="gramEnd"/>
                      <w:r w:rsidRPr="006968C3">
                        <w:rPr>
                          <w:b/>
                          <w:bCs/>
                          <w:sz w:val="22"/>
                          <w:szCs w:val="22"/>
                        </w:rPr>
                        <w:t xml:space="preserve"> </w:t>
                      </w:r>
                    </w:p>
                    <w:p w:rsidR="00DF3EE9" w:rsidRPr="006968C3" w:rsidRDefault="00DF3EE9" w:rsidP="006968C3">
                      <w:pPr>
                        <w:spacing w:line="260" w:lineRule="exact"/>
                        <w:jc w:val="center"/>
                        <w:rPr>
                          <w:b/>
                          <w:sz w:val="22"/>
                          <w:szCs w:val="22"/>
                        </w:rPr>
                      </w:pPr>
                      <w:proofErr w:type="gramStart"/>
                      <w:r w:rsidRPr="006968C3">
                        <w:rPr>
                          <w:b/>
                          <w:bCs/>
                          <w:sz w:val="22"/>
                          <w:szCs w:val="22"/>
                        </w:rPr>
                        <w:t>rate</w:t>
                      </w:r>
                      <w:proofErr w:type="gramEnd"/>
                    </w:p>
                    <w:p w:rsidR="00DF3EE9" w:rsidRPr="00DB3100" w:rsidRDefault="00DF3EE9" w:rsidP="00DB3100">
                      <w:pPr>
                        <w:spacing w:line="240" w:lineRule="exact"/>
                        <w:jc w:val="center"/>
                        <w:rPr>
                          <w:b/>
                        </w:rPr>
                      </w:pPr>
                    </w:p>
                  </w:txbxContent>
                </v:textbox>
              </v:shape>
            </w:pict>
          </mc:Fallback>
        </mc:AlternateContent>
      </w:r>
    </w:p>
    <w:p w:rsidR="00DF3EE9" w:rsidRPr="00975DEB" w:rsidRDefault="00DF3EE9" w:rsidP="0082540D">
      <w:pPr>
        <w:jc w:val="center"/>
        <w:rPr>
          <w:rFonts w:eastAsia="標楷體"/>
          <w:b/>
          <w:sz w:val="32"/>
          <w:szCs w:val="28"/>
        </w:rPr>
      </w:pPr>
      <w:r w:rsidRPr="00C367FA">
        <w:rPr>
          <w:noProof/>
        </w:rPr>
        <mc:AlternateContent>
          <mc:Choice Requires="wps">
            <w:drawing>
              <wp:anchor distT="0" distB="0" distL="114300" distR="114300" simplePos="0" relativeHeight="251678720" behindDoc="0" locked="0" layoutInCell="1" allowOverlap="1" wp14:anchorId="2DB92844" wp14:editId="334A734C">
                <wp:simplePos x="0" y="0"/>
                <wp:positionH relativeFrom="column">
                  <wp:posOffset>776661</wp:posOffset>
                </wp:positionH>
                <wp:positionV relativeFrom="paragraph">
                  <wp:posOffset>10160</wp:posOffset>
                </wp:positionV>
                <wp:extent cx="7577593" cy="365760"/>
                <wp:effectExtent l="0" t="0" r="0" b="0"/>
                <wp:wrapNone/>
                <wp:docPr id="13" name="文字方塊 1"/>
                <wp:cNvGraphicFramePr/>
                <a:graphic xmlns:a="http://schemas.openxmlformats.org/drawingml/2006/main">
                  <a:graphicData uri="http://schemas.microsoft.com/office/word/2010/wordprocessingShape">
                    <wps:wsp>
                      <wps:cNvSpPr txBox="1"/>
                      <wps:spPr>
                        <a:xfrm>
                          <a:off x="0" y="0"/>
                          <a:ext cx="7577593" cy="365760"/>
                        </a:xfrm>
                        <a:prstGeom prst="rect">
                          <a:avLst/>
                        </a:prstGeom>
                        <a:noFill/>
                        <a:ln w="9525" cmpd="sng">
                          <a:noFill/>
                        </a:ln>
                      </wps:spPr>
                      <wps:style>
                        <a:lnRef idx="0">
                          <a:scrgbClr r="0" g="0" b="0"/>
                        </a:lnRef>
                        <a:fillRef idx="0">
                          <a:scrgbClr r="0" g="0" b="0"/>
                        </a:fillRef>
                        <a:effectRef idx="0">
                          <a:scrgbClr r="0" g="0" b="0"/>
                        </a:effectRef>
                        <a:fontRef idx="minor">
                          <a:schemeClr val="dk1"/>
                        </a:fontRef>
                      </wps:style>
                      <wps:txbx>
                        <w:txbxContent>
                          <w:p w:rsidR="00DF3EE9" w:rsidRDefault="00DF3EE9" w:rsidP="00C367FA">
                            <w:pPr>
                              <w:pStyle w:val="Web"/>
                              <w:spacing w:before="0" w:beforeAutospacing="0" w:after="0" w:afterAutospacing="0"/>
                            </w:pPr>
                            <w:r>
                              <w:rPr>
                                <w:rFonts w:ascii="Times New Roman" w:eastAsia="標楷體" w:hAnsi="標楷體"/>
                                <w:color w:val="000000" w:themeColor="dark1"/>
                                <w:sz w:val="22"/>
                                <w:szCs w:val="22"/>
                              </w:rPr>
                              <w:t>Sources: Bloomberg;</w:t>
                            </w:r>
                            <w:r w:rsidRPr="00B670B4">
                              <w:rPr>
                                <w:rFonts w:ascii="Times New Roman" w:eastAsia="標楷體" w:hAnsi="標楷體"/>
                                <w:color w:val="000000" w:themeColor="dark1"/>
                                <w:sz w:val="22"/>
                                <w:szCs w:val="22"/>
                              </w:rPr>
                              <w:t xml:space="preserve"> CBC; Taipei Exchange; Bank of Japan; US Federal Reserve; US Treasury Department</w:t>
                            </w:r>
                            <w:r>
                              <w:rPr>
                                <w:rFonts w:ascii="Times New Roman" w:eastAsia="標楷體" w:hAnsi="標楷體"/>
                                <w:color w:val="000000" w:themeColor="dark1"/>
                                <w:sz w:val="22"/>
                                <w:szCs w:val="22"/>
                              </w:rPr>
                              <w:t>; Swiss National Bank.</w:t>
                            </w:r>
                          </w:p>
                        </w:txbxContent>
                      </wps:txbx>
                      <wps:bodyPr vertOverflow="clip" horzOverflow="clip" wrap="square" rtlCol="0" anchor="t"/>
                    </wps:wsp>
                  </a:graphicData>
                </a:graphic>
                <wp14:sizeRelH relativeFrom="margin">
                  <wp14:pctWidth>0</wp14:pctWidth>
                </wp14:sizeRelH>
              </wp:anchor>
            </w:drawing>
          </mc:Choice>
          <mc:Fallback>
            <w:pict>
              <v:shape id="_x0000_s1034" type="#_x0000_t202" style="position:absolute;left:0;text-align:left;margin-left:61.15pt;margin-top:.8pt;width:596.65pt;height:28.8pt;z-index:25167872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" filled="f" stroked="f">
                <v:textbox>
                  <w:txbxContent>
                    <w:p w:rsidR="00DF3EE9" w:rsidRDefault="00DF3EE9" w:rsidP="00C367FA">
                      <w:pPr>
                        <w:pStyle w:val="Web"/>
                        <w:spacing w:before="0" w:beforeAutospacing="0" w:after="0" w:afterAutospacing="0"/>
                      </w:pPr>
                      <w:r>
                        <w:rPr>
                          <w:rFonts w:ascii="Times New Roman" w:eastAsia="標楷體" w:hAnsi="標楷體"/>
                          <w:color w:val="000000" w:themeColor="dark1"/>
                          <w:sz w:val="22"/>
                          <w:szCs w:val="22"/>
                        </w:rPr>
                        <w:t>Sources: Bloomberg;</w:t>
                      </w:r>
                      <w:r w:rsidRPr="00B670B4">
                        <w:rPr>
                          <w:rFonts w:ascii="Times New Roman" w:eastAsia="標楷體" w:hAnsi="標楷體"/>
                          <w:color w:val="000000" w:themeColor="dark1"/>
                          <w:sz w:val="22"/>
                          <w:szCs w:val="22"/>
                        </w:rPr>
                        <w:t xml:space="preserve"> CBC; Taipei Exchange; Bank of Japan; US Federal Reserve; US Treasury Department</w:t>
                      </w:r>
                      <w:r>
                        <w:rPr>
                          <w:rFonts w:ascii="Times New Roman" w:eastAsia="標楷體" w:hAnsi="標楷體"/>
                          <w:color w:val="000000" w:themeColor="dark1"/>
                          <w:sz w:val="22"/>
                          <w:szCs w:val="22"/>
                        </w:rPr>
                        <w:t>; Swiss National Bank.</w:t>
                      </w:r>
                    </w:p>
                  </w:txbxContent>
                </v:textbox>
              </v:shape>
            </w:pict>
          </mc:Fallback>
        </mc:AlternateContent>
      </w:r>
    </w:p>
    <w:p w:rsidR="00DF3EE9" w:rsidRPr="00975DEB" w:rsidRDefault="00DF3EE9" w:rsidP="0082540D">
      <w:pPr>
        <w:jc w:val="center"/>
        <w:rPr>
          <w:rFonts w:eastAsia="標楷體"/>
          <w:b/>
          <w:sz w:val="32"/>
          <w:szCs w:val="28"/>
        </w:rPr>
        <w:sectPr w:rsidR="00DF3EE9" w:rsidRPr="00975DEB" w:rsidSect="00407690">
          <w:pgSz w:w="16838" w:h="11906" w:orient="landscape" w:code="9"/>
          <w:pgMar w:top="1418" w:right="1418" w:bottom="1418" w:left="1418" w:header="851" w:footer="851" w:gutter="0"/>
          <w:cols w:space="425"/>
          <w:docGrid w:type="lines" w:linePitch="360"/>
        </w:sectPr>
      </w:pPr>
    </w:p>
    <w:p w:rsidR="00DF3EE9" w:rsidRPr="005545EC" w:rsidRDefault="00DF3EE9" w:rsidP="00924BCF">
      <w:pPr>
        <w:spacing w:line="480" w:lineRule="exact"/>
        <w:jc w:val="center"/>
        <w:rPr>
          <w:rFonts w:eastAsia="標楷體"/>
          <w:b/>
          <w:sz w:val="28"/>
          <w:szCs w:val="28"/>
        </w:rPr>
      </w:pPr>
      <w:r>
        <w:rPr>
          <w:rFonts w:eastAsia="標楷體" w:hint="eastAsia"/>
          <w:b/>
          <w:sz w:val="28"/>
          <w:szCs w:val="28"/>
        </w:rPr>
        <w:t>Table 2</w:t>
      </w:r>
    </w:p>
    <w:p w:rsidR="00DF3EE9" w:rsidRPr="005545EC" w:rsidRDefault="00DF3EE9" w:rsidP="00924BCF">
      <w:pPr>
        <w:spacing w:line="480" w:lineRule="exact"/>
        <w:jc w:val="center"/>
        <w:rPr>
          <w:rFonts w:eastAsia="標楷體"/>
          <w:b/>
          <w:sz w:val="28"/>
          <w:szCs w:val="28"/>
        </w:rPr>
      </w:pPr>
      <w:r>
        <w:rPr>
          <w:rFonts w:eastAsia="標楷體" w:hint="eastAsia"/>
          <w:b/>
          <w:sz w:val="28"/>
          <w:szCs w:val="28"/>
        </w:rPr>
        <w:t>Real Interest Rates of Selected Economies</w:t>
      </w:r>
    </w:p>
    <w:tbl>
      <w:tblPr>
        <w:tblW w:w="9371" w:type="dxa"/>
        <w:tblInd w:w="13" w:type="dxa"/>
        <w:tblCellMar>
          <w:left w:w="28" w:type="dxa"/>
          <w:right w:w="28" w:type="dxa"/>
        </w:tblCellMar>
        <w:tblLook w:val="04A0" w:firstRow="1" w:lastRow="0" w:firstColumn="1" w:lastColumn="0" w:noHBand="0" w:noVBand="1"/>
      </w:tblPr>
      <w:tblGrid>
        <w:gridCol w:w="1433"/>
        <w:gridCol w:w="283"/>
        <w:gridCol w:w="1924"/>
        <w:gridCol w:w="297"/>
        <w:gridCol w:w="1563"/>
        <w:gridCol w:w="799"/>
        <w:gridCol w:w="1061"/>
        <w:gridCol w:w="1302"/>
        <w:gridCol w:w="709"/>
      </w:tblGrid>
      <w:tr w:rsidR="00DF3EE9" w:rsidRPr="004F16D5" w:rsidTr="00924BCF">
        <w:trPr>
          <w:trHeight w:val="721"/>
        </w:trPr>
        <w:tc>
          <w:tcPr>
            <w:tcW w:w="1433" w:type="dxa"/>
            <w:tcBorders>
              <w:top w:val="nil"/>
              <w:left w:val="nil"/>
              <w:bottom w:val="nil"/>
              <w:right w:val="nil"/>
            </w:tcBorders>
            <w:shd w:val="clear" w:color="auto" w:fill="auto"/>
            <w:noWrap/>
            <w:vAlign w:val="bottom"/>
            <w:hideMark/>
          </w:tcPr>
          <w:p w:rsidR="00DF3EE9" w:rsidRPr="004F16D5" w:rsidRDefault="00DF3EE9" w:rsidP="009E6C15">
            <w:pPr>
              <w:widowControl/>
              <w:jc w:val="center"/>
              <w:rPr>
                <w:sz w:val="32"/>
                <w:szCs w:val="32"/>
              </w:rPr>
            </w:pPr>
          </w:p>
        </w:tc>
        <w:tc>
          <w:tcPr>
            <w:tcW w:w="2207" w:type="dxa"/>
            <w:gridSpan w:val="2"/>
            <w:tcBorders>
              <w:top w:val="nil"/>
              <w:left w:val="nil"/>
              <w:bottom w:val="nil"/>
              <w:right w:val="nil"/>
            </w:tcBorders>
            <w:shd w:val="clear" w:color="auto" w:fill="auto"/>
            <w:noWrap/>
            <w:vAlign w:val="bottom"/>
            <w:hideMark/>
          </w:tcPr>
          <w:p w:rsidR="00DF3EE9" w:rsidRPr="004F16D5" w:rsidRDefault="00DF3EE9" w:rsidP="009E6C15">
            <w:pPr>
              <w:widowControl/>
              <w:jc w:val="center"/>
            </w:pPr>
          </w:p>
        </w:tc>
        <w:tc>
          <w:tcPr>
            <w:tcW w:w="1860" w:type="dxa"/>
            <w:gridSpan w:val="2"/>
            <w:tcBorders>
              <w:top w:val="nil"/>
              <w:left w:val="nil"/>
              <w:bottom w:val="nil"/>
              <w:right w:val="nil"/>
            </w:tcBorders>
            <w:shd w:val="clear" w:color="auto" w:fill="auto"/>
            <w:noWrap/>
            <w:vAlign w:val="bottom"/>
            <w:hideMark/>
          </w:tcPr>
          <w:p w:rsidR="00DF3EE9" w:rsidRPr="004F16D5" w:rsidRDefault="00DF3EE9" w:rsidP="009E6C15">
            <w:pPr>
              <w:widowControl/>
              <w:jc w:val="center"/>
            </w:pPr>
          </w:p>
        </w:tc>
        <w:tc>
          <w:tcPr>
            <w:tcW w:w="1860" w:type="dxa"/>
            <w:gridSpan w:val="2"/>
            <w:tcBorders>
              <w:top w:val="nil"/>
              <w:left w:val="nil"/>
              <w:bottom w:val="nil"/>
              <w:right w:val="nil"/>
            </w:tcBorders>
            <w:shd w:val="clear" w:color="auto" w:fill="auto"/>
            <w:noWrap/>
            <w:vAlign w:val="bottom"/>
            <w:hideMark/>
          </w:tcPr>
          <w:p w:rsidR="00DF3EE9" w:rsidRPr="004F16D5" w:rsidRDefault="00DF3EE9" w:rsidP="009E6C15">
            <w:pPr>
              <w:widowControl/>
              <w:jc w:val="center"/>
            </w:pPr>
          </w:p>
        </w:tc>
        <w:tc>
          <w:tcPr>
            <w:tcW w:w="2011" w:type="dxa"/>
            <w:gridSpan w:val="2"/>
            <w:tcBorders>
              <w:top w:val="nil"/>
              <w:left w:val="nil"/>
              <w:bottom w:val="nil"/>
              <w:right w:val="nil"/>
            </w:tcBorders>
            <w:shd w:val="clear" w:color="auto" w:fill="auto"/>
            <w:noWrap/>
            <w:vAlign w:val="bottom"/>
            <w:hideMark/>
          </w:tcPr>
          <w:p w:rsidR="00DF3EE9" w:rsidRPr="005545EC" w:rsidRDefault="00DF3EE9" w:rsidP="00924BCF">
            <w:pPr>
              <w:widowControl/>
              <w:wordWrap w:val="0"/>
              <w:ind w:right="440" w:firstLineChars="200" w:firstLine="440"/>
              <w:rPr>
                <w:rFonts w:eastAsia="標楷體"/>
                <w:sz w:val="22"/>
              </w:rPr>
            </w:pPr>
            <w:r w:rsidRPr="005545EC">
              <w:rPr>
                <w:rFonts w:eastAsia="標楷體"/>
                <w:sz w:val="22"/>
              </w:rPr>
              <w:t>Unit: %</w:t>
            </w:r>
          </w:p>
        </w:tc>
      </w:tr>
      <w:tr w:rsidR="00DF3EE9" w:rsidRPr="00975DEB" w:rsidTr="00782944">
        <w:trPr>
          <w:gridAfter w:val="1"/>
          <w:wAfter w:w="709" w:type="dxa"/>
          <w:trHeight w:val="224"/>
        </w:trPr>
        <w:tc>
          <w:tcPr>
            <w:tcW w:w="1716" w:type="dxa"/>
            <w:gridSpan w:val="2"/>
            <w:vMerge w:val="restart"/>
            <w:tcBorders>
              <w:top w:val="single" w:sz="8" w:space="0" w:color="auto"/>
              <w:left w:val="single" w:sz="4" w:space="0" w:color="auto"/>
              <w:bottom w:val="single" w:sz="4" w:space="0" w:color="000000"/>
              <w:right w:val="single" w:sz="4" w:space="0" w:color="auto"/>
            </w:tcBorders>
            <w:shd w:val="clear" w:color="auto" w:fill="auto"/>
            <w:noWrap/>
            <w:vAlign w:val="center"/>
            <w:hideMark/>
          </w:tcPr>
          <w:p w:rsidR="00DF3EE9" w:rsidRPr="00924BCF" w:rsidRDefault="00DF3EE9" w:rsidP="00924BCF">
            <w:pPr>
              <w:widowControl/>
              <w:snapToGrid w:val="0"/>
              <w:jc w:val="center"/>
              <w:rPr>
                <w:rFonts w:eastAsia="標楷體"/>
              </w:rPr>
            </w:pPr>
            <w:r w:rsidRPr="00924BCF">
              <w:rPr>
                <w:rFonts w:eastAsia="標楷體"/>
              </w:rPr>
              <w:t>Economies</w:t>
            </w:r>
          </w:p>
        </w:tc>
        <w:tc>
          <w:tcPr>
            <w:tcW w:w="2221" w:type="dxa"/>
            <w:gridSpan w:val="2"/>
            <w:tcBorders>
              <w:top w:val="single" w:sz="8" w:space="0" w:color="auto"/>
              <w:left w:val="nil"/>
              <w:bottom w:val="nil"/>
              <w:right w:val="single" w:sz="4" w:space="0" w:color="auto"/>
            </w:tcBorders>
            <w:shd w:val="clear" w:color="auto" w:fill="auto"/>
            <w:noWrap/>
            <w:vAlign w:val="bottom"/>
            <w:hideMark/>
          </w:tcPr>
          <w:p w:rsidR="00DF3EE9" w:rsidRPr="006676A5" w:rsidRDefault="00DF3EE9" w:rsidP="00407690">
            <w:pPr>
              <w:widowControl/>
              <w:snapToGrid w:val="0"/>
              <w:jc w:val="center"/>
            </w:pPr>
            <w:r w:rsidRPr="006676A5">
              <w:t>(1)</w:t>
            </w:r>
          </w:p>
        </w:tc>
        <w:tc>
          <w:tcPr>
            <w:tcW w:w="2362" w:type="dxa"/>
            <w:gridSpan w:val="2"/>
            <w:tcBorders>
              <w:top w:val="single" w:sz="8" w:space="0" w:color="auto"/>
              <w:left w:val="nil"/>
              <w:bottom w:val="nil"/>
              <w:right w:val="single" w:sz="4" w:space="0" w:color="auto"/>
            </w:tcBorders>
            <w:shd w:val="clear" w:color="auto" w:fill="auto"/>
            <w:noWrap/>
            <w:vAlign w:val="bottom"/>
            <w:hideMark/>
          </w:tcPr>
          <w:p w:rsidR="00DF3EE9" w:rsidRPr="006676A5" w:rsidRDefault="00DF3EE9" w:rsidP="00407690">
            <w:pPr>
              <w:widowControl/>
              <w:snapToGrid w:val="0"/>
              <w:jc w:val="center"/>
            </w:pPr>
            <w:r w:rsidRPr="006676A5">
              <w:t>(2)</w:t>
            </w:r>
          </w:p>
        </w:tc>
        <w:tc>
          <w:tcPr>
            <w:tcW w:w="2363" w:type="dxa"/>
            <w:gridSpan w:val="2"/>
            <w:tcBorders>
              <w:top w:val="single" w:sz="8" w:space="0" w:color="auto"/>
              <w:left w:val="nil"/>
              <w:bottom w:val="nil"/>
              <w:right w:val="single" w:sz="4" w:space="0" w:color="auto"/>
            </w:tcBorders>
            <w:shd w:val="clear" w:color="auto" w:fill="auto"/>
            <w:noWrap/>
            <w:vAlign w:val="bottom"/>
            <w:hideMark/>
          </w:tcPr>
          <w:p w:rsidR="00DF3EE9" w:rsidRPr="006676A5" w:rsidRDefault="00DF3EE9" w:rsidP="00407690">
            <w:pPr>
              <w:widowControl/>
              <w:snapToGrid w:val="0"/>
              <w:jc w:val="center"/>
            </w:pPr>
            <w:r w:rsidRPr="006676A5">
              <w:t>(3)=(1)-(2)</w:t>
            </w:r>
          </w:p>
        </w:tc>
      </w:tr>
      <w:tr w:rsidR="00DF3EE9" w:rsidRPr="00975DEB" w:rsidTr="00782944">
        <w:trPr>
          <w:gridAfter w:val="1"/>
          <w:wAfter w:w="709" w:type="dxa"/>
          <w:trHeight w:val="355"/>
        </w:trPr>
        <w:tc>
          <w:tcPr>
            <w:tcW w:w="1716" w:type="dxa"/>
            <w:gridSpan w:val="2"/>
            <w:vMerge/>
            <w:tcBorders>
              <w:top w:val="single" w:sz="8" w:space="0" w:color="auto"/>
              <w:left w:val="single" w:sz="4" w:space="0" w:color="auto"/>
              <w:bottom w:val="single" w:sz="4" w:space="0" w:color="000000"/>
              <w:right w:val="single" w:sz="4" w:space="0" w:color="auto"/>
            </w:tcBorders>
            <w:vAlign w:val="center"/>
            <w:hideMark/>
          </w:tcPr>
          <w:p w:rsidR="00DF3EE9" w:rsidRPr="006676A5" w:rsidRDefault="00DF3EE9" w:rsidP="00407690">
            <w:pPr>
              <w:widowControl/>
              <w:snapToGrid w:val="0"/>
              <w:rPr>
                <w:rFonts w:ascii="標楷體" w:eastAsia="標楷體" w:hAnsi="標楷體" w:cs="Arial"/>
              </w:rPr>
            </w:pPr>
          </w:p>
        </w:tc>
        <w:tc>
          <w:tcPr>
            <w:tcW w:w="2221" w:type="dxa"/>
            <w:gridSpan w:val="2"/>
            <w:tcBorders>
              <w:top w:val="nil"/>
              <w:left w:val="nil"/>
              <w:right w:val="single" w:sz="4" w:space="0" w:color="auto"/>
            </w:tcBorders>
            <w:shd w:val="clear" w:color="auto" w:fill="auto"/>
            <w:vAlign w:val="center"/>
            <w:hideMark/>
          </w:tcPr>
          <w:p w:rsidR="00DF3EE9" w:rsidRPr="004F16D5" w:rsidRDefault="00DF3EE9" w:rsidP="009E6C15">
            <w:pPr>
              <w:widowControl/>
              <w:snapToGrid w:val="0"/>
              <w:jc w:val="center"/>
            </w:pPr>
            <w:r w:rsidRPr="008E2538">
              <w:t xml:space="preserve">1-year </w:t>
            </w:r>
            <w:r w:rsidRPr="008E2538">
              <w:rPr>
                <w:b/>
              </w:rPr>
              <w:t>time deposit rate</w:t>
            </w:r>
            <w:r>
              <w:rPr>
                <w:rFonts w:hint="eastAsia"/>
              </w:rPr>
              <w:t xml:space="preserve">* </w:t>
            </w:r>
          </w:p>
        </w:tc>
        <w:tc>
          <w:tcPr>
            <w:tcW w:w="2362" w:type="dxa"/>
            <w:gridSpan w:val="2"/>
            <w:tcBorders>
              <w:top w:val="nil"/>
              <w:left w:val="nil"/>
              <w:right w:val="single" w:sz="4" w:space="0" w:color="auto"/>
            </w:tcBorders>
            <w:shd w:val="clear" w:color="auto" w:fill="auto"/>
            <w:noWrap/>
            <w:vAlign w:val="center"/>
            <w:hideMark/>
          </w:tcPr>
          <w:p w:rsidR="00DF3EE9" w:rsidRPr="004F16D5" w:rsidRDefault="00DF3EE9" w:rsidP="009E6C15">
            <w:pPr>
              <w:widowControl/>
              <w:snapToGrid w:val="0"/>
              <w:jc w:val="center"/>
            </w:pPr>
            <w:r>
              <w:t>CPI annual growth rate</w:t>
            </w:r>
            <w:r w:rsidRPr="00E20FEE">
              <w:rPr>
                <w:rFonts w:eastAsia="標楷體"/>
              </w:rPr>
              <w:t>*</w:t>
            </w:r>
            <w:r w:rsidRPr="00E20FEE">
              <w:t>*</w:t>
            </w:r>
          </w:p>
        </w:tc>
        <w:tc>
          <w:tcPr>
            <w:tcW w:w="2363" w:type="dxa"/>
            <w:gridSpan w:val="2"/>
            <w:vMerge w:val="restart"/>
            <w:tcBorders>
              <w:top w:val="nil"/>
              <w:left w:val="single" w:sz="4" w:space="0" w:color="auto"/>
              <w:bottom w:val="single" w:sz="4" w:space="0" w:color="000000"/>
              <w:right w:val="single" w:sz="4" w:space="0" w:color="auto"/>
            </w:tcBorders>
            <w:shd w:val="clear" w:color="auto" w:fill="auto"/>
            <w:noWrap/>
            <w:vAlign w:val="center"/>
            <w:hideMark/>
          </w:tcPr>
          <w:p w:rsidR="00DF3EE9" w:rsidRPr="006676A5" w:rsidRDefault="00DF3EE9" w:rsidP="00407690">
            <w:pPr>
              <w:widowControl/>
              <w:snapToGrid w:val="0"/>
              <w:jc w:val="center"/>
              <w:rPr>
                <w:rFonts w:ascii="標楷體" w:eastAsia="標楷體" w:hAnsi="標楷體" w:cs="Arial"/>
                <w:b/>
                <w:bCs/>
              </w:rPr>
            </w:pPr>
            <w:r w:rsidRPr="00667364">
              <w:rPr>
                <w:rFonts w:eastAsia="標楷體"/>
                <w:b/>
              </w:rPr>
              <w:t>Real interest rate</w:t>
            </w:r>
          </w:p>
        </w:tc>
      </w:tr>
      <w:tr w:rsidR="00DF3EE9" w:rsidRPr="00975DEB" w:rsidTr="00782944">
        <w:trPr>
          <w:gridAfter w:val="1"/>
          <w:wAfter w:w="709" w:type="dxa"/>
          <w:trHeight w:val="261"/>
        </w:trPr>
        <w:tc>
          <w:tcPr>
            <w:tcW w:w="1716" w:type="dxa"/>
            <w:gridSpan w:val="2"/>
            <w:vMerge/>
            <w:tcBorders>
              <w:top w:val="single" w:sz="8" w:space="0" w:color="auto"/>
              <w:left w:val="single" w:sz="4" w:space="0" w:color="auto"/>
              <w:bottom w:val="single" w:sz="4" w:space="0" w:color="000000"/>
              <w:right w:val="single" w:sz="4" w:space="0" w:color="auto"/>
            </w:tcBorders>
            <w:vAlign w:val="center"/>
            <w:hideMark/>
          </w:tcPr>
          <w:p w:rsidR="00DF3EE9" w:rsidRPr="006676A5" w:rsidRDefault="00DF3EE9" w:rsidP="00407690">
            <w:pPr>
              <w:widowControl/>
              <w:snapToGrid w:val="0"/>
              <w:rPr>
                <w:rFonts w:ascii="標楷體" w:eastAsia="標楷體" w:hAnsi="標楷體" w:cs="Arial"/>
              </w:rPr>
            </w:pPr>
          </w:p>
        </w:tc>
        <w:tc>
          <w:tcPr>
            <w:tcW w:w="2221" w:type="dxa"/>
            <w:gridSpan w:val="2"/>
            <w:tcBorders>
              <w:top w:val="nil"/>
              <w:left w:val="nil"/>
              <w:bottom w:val="single" w:sz="4" w:space="0" w:color="auto"/>
              <w:right w:val="single" w:sz="4" w:space="0" w:color="auto"/>
            </w:tcBorders>
            <w:shd w:val="clear" w:color="auto" w:fill="auto"/>
            <w:noWrap/>
            <w:vAlign w:val="center"/>
            <w:hideMark/>
          </w:tcPr>
          <w:p w:rsidR="00DF3EE9" w:rsidRPr="004F16D5" w:rsidRDefault="00DF3EE9" w:rsidP="009E6C15">
            <w:pPr>
              <w:widowControl/>
              <w:snapToGrid w:val="0"/>
              <w:jc w:val="center"/>
            </w:pPr>
            <w:r w:rsidRPr="00E20FEE">
              <w:t>(</w:t>
            </w:r>
            <w:r>
              <w:rPr>
                <w:rFonts w:hint="eastAsia"/>
              </w:rPr>
              <w:t xml:space="preserve">As of </w:t>
            </w:r>
            <w:r>
              <w:t>201</w:t>
            </w:r>
            <w:r>
              <w:rPr>
                <w:rFonts w:hint="eastAsia"/>
              </w:rPr>
              <w:t>8</w:t>
            </w:r>
            <w:r>
              <w:rPr>
                <w:rFonts w:eastAsia="標楷體" w:hint="eastAsia"/>
              </w:rPr>
              <w:t>/</w:t>
            </w:r>
            <w:r>
              <w:rPr>
                <w:rFonts w:hint="eastAsia"/>
              </w:rPr>
              <w:t>9</w:t>
            </w:r>
            <w:r>
              <w:rPr>
                <w:rFonts w:eastAsia="標楷體" w:hint="eastAsia"/>
              </w:rPr>
              <w:t>/</w:t>
            </w:r>
            <w:r>
              <w:t>2</w:t>
            </w:r>
            <w:r>
              <w:rPr>
                <w:rFonts w:hint="eastAsia"/>
              </w:rPr>
              <w:t>7</w:t>
            </w:r>
            <w:r w:rsidRPr="00E20FEE">
              <w:t>)</w:t>
            </w:r>
          </w:p>
        </w:tc>
        <w:tc>
          <w:tcPr>
            <w:tcW w:w="2362" w:type="dxa"/>
            <w:gridSpan w:val="2"/>
            <w:tcBorders>
              <w:top w:val="nil"/>
              <w:left w:val="nil"/>
              <w:bottom w:val="single" w:sz="4" w:space="0" w:color="auto"/>
              <w:right w:val="single" w:sz="4" w:space="0" w:color="auto"/>
            </w:tcBorders>
            <w:shd w:val="clear" w:color="auto" w:fill="auto"/>
            <w:noWrap/>
            <w:vAlign w:val="center"/>
            <w:hideMark/>
          </w:tcPr>
          <w:p w:rsidR="00DF3EE9" w:rsidRPr="004F16D5" w:rsidRDefault="00DF3EE9" w:rsidP="009E6C15">
            <w:pPr>
              <w:widowControl/>
              <w:snapToGrid w:val="0"/>
              <w:jc w:val="center"/>
            </w:pPr>
            <w:r>
              <w:t>(201</w:t>
            </w:r>
            <w:r>
              <w:rPr>
                <w:rFonts w:hint="eastAsia"/>
              </w:rPr>
              <w:t>8</w:t>
            </w:r>
            <w:r>
              <w:rPr>
                <w:rFonts w:eastAsia="標楷體" w:hint="eastAsia"/>
              </w:rPr>
              <w:t xml:space="preserve"> forecast</w:t>
            </w:r>
            <w:r w:rsidRPr="00E20FEE">
              <w:t>)</w:t>
            </w:r>
          </w:p>
        </w:tc>
        <w:tc>
          <w:tcPr>
            <w:tcW w:w="2363" w:type="dxa"/>
            <w:gridSpan w:val="2"/>
            <w:vMerge/>
            <w:tcBorders>
              <w:top w:val="nil"/>
              <w:left w:val="single" w:sz="4" w:space="0" w:color="auto"/>
              <w:bottom w:val="single" w:sz="4" w:space="0" w:color="000000"/>
              <w:right w:val="single" w:sz="4" w:space="0" w:color="auto"/>
            </w:tcBorders>
            <w:vAlign w:val="center"/>
            <w:hideMark/>
          </w:tcPr>
          <w:p w:rsidR="00DF3EE9" w:rsidRPr="006676A5" w:rsidRDefault="00DF3EE9" w:rsidP="00407690">
            <w:pPr>
              <w:widowControl/>
              <w:snapToGrid w:val="0"/>
              <w:rPr>
                <w:rFonts w:ascii="標楷體" w:eastAsia="標楷體" w:hAnsi="標楷體" w:cs="Arial"/>
                <w:b/>
                <w:bCs/>
              </w:rPr>
            </w:pPr>
          </w:p>
        </w:tc>
      </w:tr>
      <w:tr w:rsidR="00DF3EE9" w:rsidRPr="00975DEB" w:rsidTr="00782944">
        <w:trPr>
          <w:gridAfter w:val="1"/>
          <w:wAfter w:w="709" w:type="dxa"/>
          <w:trHeight w:val="588"/>
        </w:trPr>
        <w:tc>
          <w:tcPr>
            <w:tcW w:w="1716" w:type="dxa"/>
            <w:gridSpan w:val="2"/>
            <w:tcBorders>
              <w:top w:val="nil"/>
              <w:left w:val="single" w:sz="4" w:space="0" w:color="auto"/>
              <w:bottom w:val="single" w:sz="4" w:space="0" w:color="auto"/>
              <w:right w:val="single" w:sz="4" w:space="0" w:color="auto"/>
            </w:tcBorders>
            <w:shd w:val="clear" w:color="FFFFFF" w:fill="FFFFFF"/>
            <w:noWrap/>
            <w:vAlign w:val="center"/>
            <w:hideMark/>
          </w:tcPr>
          <w:p w:rsidR="00DF3EE9" w:rsidRPr="00F734B5" w:rsidRDefault="00DF3EE9" w:rsidP="00F734B5">
            <w:pPr>
              <w:jc w:val="center"/>
              <w:rPr>
                <w:rFonts w:eastAsia="標楷體"/>
              </w:rPr>
            </w:pPr>
            <w:r>
              <w:rPr>
                <w:rFonts w:eastAsia="標楷體" w:hint="eastAsia"/>
              </w:rPr>
              <w:t>Malaysia</w:t>
            </w:r>
          </w:p>
        </w:tc>
        <w:tc>
          <w:tcPr>
            <w:tcW w:w="2221" w:type="dxa"/>
            <w:gridSpan w:val="2"/>
            <w:tcBorders>
              <w:top w:val="single" w:sz="4" w:space="0" w:color="auto"/>
              <w:left w:val="nil"/>
              <w:bottom w:val="single" w:sz="4" w:space="0" w:color="auto"/>
              <w:right w:val="nil"/>
            </w:tcBorders>
            <w:shd w:val="clear" w:color="auto" w:fill="auto"/>
            <w:noWrap/>
            <w:vAlign w:val="center"/>
            <w:hideMark/>
          </w:tcPr>
          <w:p w:rsidR="00DF3EE9" w:rsidRPr="00F734B5" w:rsidRDefault="00DF3EE9" w:rsidP="00F734B5">
            <w:pPr>
              <w:jc w:val="center"/>
              <w:rPr>
                <w:rFonts w:eastAsia="標楷體"/>
              </w:rPr>
            </w:pPr>
            <w:r w:rsidRPr="00F734B5">
              <w:rPr>
                <w:rFonts w:eastAsia="標楷體"/>
              </w:rPr>
              <w:t>2.950</w:t>
            </w:r>
          </w:p>
        </w:tc>
        <w:tc>
          <w:tcPr>
            <w:tcW w:w="2362" w:type="dxa"/>
            <w:gridSpan w:val="2"/>
            <w:tcBorders>
              <w:top w:val="single" w:sz="4" w:space="0" w:color="auto"/>
              <w:left w:val="single" w:sz="4" w:space="0" w:color="auto"/>
              <w:bottom w:val="single" w:sz="4" w:space="0" w:color="auto"/>
              <w:right w:val="nil"/>
            </w:tcBorders>
            <w:shd w:val="clear" w:color="auto" w:fill="auto"/>
            <w:noWrap/>
            <w:vAlign w:val="center"/>
            <w:hideMark/>
          </w:tcPr>
          <w:p w:rsidR="00DF3EE9" w:rsidRPr="00F734B5" w:rsidRDefault="00DF3EE9" w:rsidP="00F734B5">
            <w:pPr>
              <w:jc w:val="center"/>
              <w:rPr>
                <w:rFonts w:eastAsia="標楷體"/>
              </w:rPr>
            </w:pPr>
            <w:r w:rsidRPr="00F734B5">
              <w:rPr>
                <w:rFonts w:eastAsia="標楷體"/>
              </w:rPr>
              <w:t>1.04</w:t>
            </w:r>
          </w:p>
        </w:tc>
        <w:tc>
          <w:tcPr>
            <w:tcW w:w="2363" w:type="dxa"/>
            <w:gridSpan w:val="2"/>
            <w:tcBorders>
              <w:top w:val="nil"/>
              <w:left w:val="single" w:sz="4" w:space="0" w:color="auto"/>
              <w:bottom w:val="single" w:sz="4" w:space="0" w:color="auto"/>
              <w:right w:val="single" w:sz="4" w:space="0" w:color="auto"/>
            </w:tcBorders>
            <w:shd w:val="clear" w:color="auto" w:fill="auto"/>
            <w:noWrap/>
            <w:vAlign w:val="center"/>
            <w:hideMark/>
          </w:tcPr>
          <w:p w:rsidR="00DF3EE9" w:rsidRPr="00F734B5" w:rsidRDefault="00DF3EE9" w:rsidP="00F734B5">
            <w:pPr>
              <w:jc w:val="center"/>
              <w:rPr>
                <w:rFonts w:eastAsia="標楷體"/>
              </w:rPr>
            </w:pPr>
            <w:r w:rsidRPr="00F734B5">
              <w:rPr>
                <w:rFonts w:eastAsia="標楷體"/>
              </w:rPr>
              <w:t>1.910</w:t>
            </w:r>
          </w:p>
        </w:tc>
      </w:tr>
      <w:tr w:rsidR="00DF3EE9" w:rsidRPr="00975DEB" w:rsidTr="00782944">
        <w:trPr>
          <w:gridAfter w:val="1"/>
          <w:wAfter w:w="709" w:type="dxa"/>
          <w:trHeight w:val="588"/>
        </w:trPr>
        <w:tc>
          <w:tcPr>
            <w:tcW w:w="1716" w:type="dxa"/>
            <w:gridSpan w:val="2"/>
            <w:tcBorders>
              <w:top w:val="nil"/>
              <w:left w:val="single" w:sz="4" w:space="0" w:color="auto"/>
              <w:bottom w:val="single" w:sz="4" w:space="0" w:color="auto"/>
              <w:right w:val="single" w:sz="4" w:space="0" w:color="auto"/>
            </w:tcBorders>
            <w:shd w:val="clear" w:color="auto" w:fill="auto"/>
            <w:noWrap/>
            <w:vAlign w:val="center"/>
          </w:tcPr>
          <w:p w:rsidR="00DF3EE9" w:rsidRPr="00F734B5" w:rsidRDefault="00DF3EE9" w:rsidP="00F734B5">
            <w:pPr>
              <w:jc w:val="center"/>
              <w:rPr>
                <w:rFonts w:eastAsia="標楷體"/>
              </w:rPr>
            </w:pPr>
            <w:r>
              <w:rPr>
                <w:rFonts w:eastAsia="標楷體" w:hint="eastAsia"/>
              </w:rPr>
              <w:t>Indonesia</w:t>
            </w:r>
          </w:p>
        </w:tc>
        <w:tc>
          <w:tcPr>
            <w:tcW w:w="2221" w:type="dxa"/>
            <w:gridSpan w:val="2"/>
            <w:tcBorders>
              <w:top w:val="nil"/>
              <w:left w:val="nil"/>
              <w:bottom w:val="single" w:sz="4" w:space="0" w:color="auto"/>
              <w:right w:val="single" w:sz="4" w:space="0" w:color="auto"/>
            </w:tcBorders>
            <w:shd w:val="clear" w:color="auto" w:fill="auto"/>
            <w:vAlign w:val="center"/>
          </w:tcPr>
          <w:p w:rsidR="00DF3EE9" w:rsidRPr="00F734B5" w:rsidRDefault="00DF3EE9" w:rsidP="00F734B5">
            <w:pPr>
              <w:jc w:val="center"/>
              <w:rPr>
                <w:rFonts w:eastAsia="標楷體"/>
              </w:rPr>
            </w:pPr>
            <w:r w:rsidRPr="00F734B5">
              <w:rPr>
                <w:rFonts w:eastAsia="標楷體"/>
              </w:rPr>
              <w:t>4.750</w:t>
            </w:r>
          </w:p>
        </w:tc>
        <w:tc>
          <w:tcPr>
            <w:tcW w:w="2362" w:type="dxa"/>
            <w:gridSpan w:val="2"/>
            <w:tcBorders>
              <w:top w:val="nil"/>
              <w:left w:val="nil"/>
              <w:bottom w:val="single" w:sz="4" w:space="0" w:color="auto"/>
              <w:right w:val="single" w:sz="4" w:space="0" w:color="auto"/>
            </w:tcBorders>
            <w:shd w:val="clear" w:color="auto" w:fill="auto"/>
            <w:vAlign w:val="center"/>
          </w:tcPr>
          <w:p w:rsidR="00DF3EE9" w:rsidRPr="00F734B5" w:rsidRDefault="00DF3EE9" w:rsidP="00F734B5">
            <w:pPr>
              <w:jc w:val="center"/>
              <w:rPr>
                <w:rFonts w:eastAsia="標楷體"/>
              </w:rPr>
            </w:pPr>
            <w:r w:rsidRPr="00F734B5">
              <w:rPr>
                <w:rFonts w:eastAsia="標楷體"/>
              </w:rPr>
              <w:t>3.21</w:t>
            </w:r>
          </w:p>
        </w:tc>
        <w:tc>
          <w:tcPr>
            <w:tcW w:w="2363" w:type="dxa"/>
            <w:gridSpan w:val="2"/>
            <w:tcBorders>
              <w:top w:val="nil"/>
              <w:left w:val="nil"/>
              <w:bottom w:val="single" w:sz="4" w:space="0" w:color="auto"/>
              <w:right w:val="single" w:sz="4" w:space="0" w:color="auto"/>
            </w:tcBorders>
            <w:shd w:val="clear" w:color="auto" w:fill="auto"/>
            <w:vAlign w:val="center"/>
          </w:tcPr>
          <w:p w:rsidR="00DF3EE9" w:rsidRPr="00F734B5" w:rsidRDefault="00DF3EE9" w:rsidP="00F734B5">
            <w:pPr>
              <w:jc w:val="center"/>
              <w:rPr>
                <w:rFonts w:eastAsia="標楷體"/>
              </w:rPr>
            </w:pPr>
            <w:r w:rsidRPr="00F734B5">
              <w:rPr>
                <w:rFonts w:eastAsia="標楷體"/>
              </w:rPr>
              <w:t>1.540</w:t>
            </w:r>
          </w:p>
        </w:tc>
      </w:tr>
      <w:tr w:rsidR="00DF3EE9" w:rsidRPr="00975DEB" w:rsidTr="00782944">
        <w:trPr>
          <w:gridAfter w:val="1"/>
          <w:wAfter w:w="709" w:type="dxa"/>
          <w:trHeight w:val="588"/>
        </w:trPr>
        <w:tc>
          <w:tcPr>
            <w:tcW w:w="1716" w:type="dxa"/>
            <w:gridSpan w:val="2"/>
            <w:tcBorders>
              <w:top w:val="nil"/>
              <w:left w:val="single" w:sz="4" w:space="0" w:color="auto"/>
              <w:bottom w:val="single" w:sz="4" w:space="0" w:color="auto"/>
              <w:right w:val="single" w:sz="4" w:space="0" w:color="auto"/>
            </w:tcBorders>
            <w:shd w:val="clear" w:color="auto" w:fill="auto"/>
            <w:noWrap/>
            <w:vAlign w:val="center"/>
            <w:hideMark/>
          </w:tcPr>
          <w:p w:rsidR="00DF3EE9" w:rsidRPr="00F734B5" w:rsidRDefault="00DF3EE9" w:rsidP="00F734B5">
            <w:pPr>
              <w:jc w:val="center"/>
              <w:rPr>
                <w:rFonts w:eastAsia="標楷體"/>
                <w:b/>
              </w:rPr>
            </w:pPr>
            <w:r>
              <w:rPr>
                <w:rFonts w:eastAsia="標楷體" w:hint="eastAsia"/>
                <w:b/>
              </w:rPr>
              <w:t>United States</w:t>
            </w:r>
          </w:p>
        </w:tc>
        <w:tc>
          <w:tcPr>
            <w:tcW w:w="2221" w:type="dxa"/>
            <w:gridSpan w:val="2"/>
            <w:tcBorders>
              <w:top w:val="nil"/>
              <w:left w:val="nil"/>
              <w:bottom w:val="single" w:sz="4" w:space="0" w:color="auto"/>
              <w:right w:val="single" w:sz="4" w:space="0" w:color="auto"/>
            </w:tcBorders>
            <w:shd w:val="clear" w:color="auto" w:fill="auto"/>
            <w:vAlign w:val="center"/>
            <w:hideMark/>
          </w:tcPr>
          <w:p w:rsidR="00DF3EE9" w:rsidRPr="00F734B5" w:rsidRDefault="00DF3EE9" w:rsidP="00F734B5">
            <w:pPr>
              <w:jc w:val="center"/>
              <w:rPr>
                <w:rFonts w:eastAsia="標楷體"/>
              </w:rPr>
            </w:pPr>
            <w:r w:rsidRPr="00F734B5">
              <w:rPr>
                <w:rFonts w:eastAsia="標楷體"/>
              </w:rPr>
              <w:t>3.000</w:t>
            </w:r>
          </w:p>
        </w:tc>
        <w:tc>
          <w:tcPr>
            <w:tcW w:w="2362" w:type="dxa"/>
            <w:gridSpan w:val="2"/>
            <w:tcBorders>
              <w:top w:val="nil"/>
              <w:left w:val="nil"/>
              <w:bottom w:val="single" w:sz="4" w:space="0" w:color="auto"/>
              <w:right w:val="single" w:sz="4" w:space="0" w:color="auto"/>
            </w:tcBorders>
            <w:shd w:val="clear" w:color="auto" w:fill="auto"/>
            <w:vAlign w:val="center"/>
            <w:hideMark/>
          </w:tcPr>
          <w:p w:rsidR="00DF3EE9" w:rsidRPr="00F734B5" w:rsidRDefault="00DF3EE9" w:rsidP="00F734B5">
            <w:pPr>
              <w:jc w:val="center"/>
              <w:rPr>
                <w:rFonts w:eastAsia="標楷體"/>
              </w:rPr>
            </w:pPr>
            <w:r w:rsidRPr="00F734B5">
              <w:rPr>
                <w:rFonts w:eastAsia="標楷體"/>
              </w:rPr>
              <w:t>2.53</w:t>
            </w:r>
          </w:p>
        </w:tc>
        <w:tc>
          <w:tcPr>
            <w:tcW w:w="2363" w:type="dxa"/>
            <w:gridSpan w:val="2"/>
            <w:tcBorders>
              <w:top w:val="nil"/>
              <w:left w:val="nil"/>
              <w:bottom w:val="single" w:sz="4" w:space="0" w:color="auto"/>
              <w:right w:val="single" w:sz="4" w:space="0" w:color="auto"/>
            </w:tcBorders>
            <w:shd w:val="clear" w:color="auto" w:fill="auto"/>
            <w:vAlign w:val="center"/>
            <w:hideMark/>
          </w:tcPr>
          <w:p w:rsidR="00DF3EE9" w:rsidRPr="00F734B5" w:rsidRDefault="00DF3EE9" w:rsidP="00F734B5">
            <w:pPr>
              <w:jc w:val="center"/>
              <w:rPr>
                <w:rFonts w:eastAsia="標楷體"/>
                <w:b/>
              </w:rPr>
            </w:pPr>
            <w:r w:rsidRPr="00F734B5">
              <w:rPr>
                <w:rFonts w:eastAsia="標楷體"/>
                <w:b/>
              </w:rPr>
              <w:t>0.470</w:t>
            </w:r>
          </w:p>
        </w:tc>
      </w:tr>
      <w:tr w:rsidR="00DF3EE9" w:rsidRPr="00975DEB" w:rsidTr="00782944">
        <w:trPr>
          <w:gridAfter w:val="1"/>
          <w:wAfter w:w="709" w:type="dxa"/>
          <w:trHeight w:val="588"/>
        </w:trPr>
        <w:tc>
          <w:tcPr>
            <w:tcW w:w="1716" w:type="dxa"/>
            <w:gridSpan w:val="2"/>
            <w:tcBorders>
              <w:top w:val="nil"/>
              <w:left w:val="single" w:sz="4" w:space="0" w:color="auto"/>
              <w:bottom w:val="single" w:sz="4" w:space="0" w:color="auto"/>
              <w:right w:val="single" w:sz="4" w:space="0" w:color="auto"/>
            </w:tcBorders>
            <w:shd w:val="clear" w:color="FFFFFF" w:fill="FFFFFF"/>
            <w:noWrap/>
            <w:vAlign w:val="center"/>
            <w:hideMark/>
          </w:tcPr>
          <w:p w:rsidR="00DF3EE9" w:rsidRPr="00F734B5" w:rsidRDefault="00DF3EE9" w:rsidP="00F734B5">
            <w:pPr>
              <w:jc w:val="center"/>
              <w:rPr>
                <w:rFonts w:eastAsia="標楷體"/>
              </w:rPr>
            </w:pPr>
            <w:r>
              <w:rPr>
                <w:rFonts w:eastAsia="標楷體" w:hint="eastAsia"/>
              </w:rPr>
              <w:t>Thailand</w:t>
            </w:r>
          </w:p>
        </w:tc>
        <w:tc>
          <w:tcPr>
            <w:tcW w:w="2221" w:type="dxa"/>
            <w:gridSpan w:val="2"/>
            <w:tcBorders>
              <w:top w:val="nil"/>
              <w:left w:val="nil"/>
              <w:bottom w:val="single" w:sz="4" w:space="0" w:color="auto"/>
              <w:right w:val="nil"/>
            </w:tcBorders>
            <w:shd w:val="clear" w:color="auto" w:fill="auto"/>
            <w:noWrap/>
            <w:vAlign w:val="center"/>
            <w:hideMark/>
          </w:tcPr>
          <w:p w:rsidR="00DF3EE9" w:rsidRPr="00F734B5" w:rsidRDefault="00DF3EE9" w:rsidP="00F734B5">
            <w:pPr>
              <w:jc w:val="center"/>
              <w:rPr>
                <w:rFonts w:eastAsia="標楷體"/>
              </w:rPr>
            </w:pPr>
            <w:r w:rsidRPr="00F734B5">
              <w:rPr>
                <w:rFonts w:eastAsia="標楷體"/>
              </w:rPr>
              <w:t>1.500</w:t>
            </w:r>
          </w:p>
        </w:tc>
        <w:tc>
          <w:tcPr>
            <w:tcW w:w="2362" w:type="dxa"/>
            <w:gridSpan w:val="2"/>
            <w:tcBorders>
              <w:top w:val="nil"/>
              <w:left w:val="single" w:sz="4" w:space="0" w:color="auto"/>
              <w:bottom w:val="single" w:sz="4" w:space="0" w:color="auto"/>
              <w:right w:val="nil"/>
            </w:tcBorders>
            <w:shd w:val="clear" w:color="auto" w:fill="auto"/>
            <w:noWrap/>
            <w:vAlign w:val="center"/>
            <w:hideMark/>
          </w:tcPr>
          <w:p w:rsidR="00DF3EE9" w:rsidRPr="00F734B5" w:rsidRDefault="00DF3EE9" w:rsidP="00F734B5">
            <w:pPr>
              <w:jc w:val="center"/>
              <w:rPr>
                <w:rFonts w:eastAsia="標楷體"/>
              </w:rPr>
            </w:pPr>
            <w:r w:rsidRPr="00F734B5">
              <w:rPr>
                <w:rFonts w:eastAsia="標楷體"/>
              </w:rPr>
              <w:t>1.30</w:t>
            </w:r>
          </w:p>
        </w:tc>
        <w:tc>
          <w:tcPr>
            <w:tcW w:w="2363" w:type="dxa"/>
            <w:gridSpan w:val="2"/>
            <w:tcBorders>
              <w:top w:val="nil"/>
              <w:left w:val="single" w:sz="4" w:space="0" w:color="auto"/>
              <w:bottom w:val="single" w:sz="4" w:space="0" w:color="auto"/>
              <w:right w:val="single" w:sz="4" w:space="0" w:color="auto"/>
            </w:tcBorders>
            <w:shd w:val="clear" w:color="auto" w:fill="auto"/>
            <w:noWrap/>
            <w:vAlign w:val="center"/>
            <w:hideMark/>
          </w:tcPr>
          <w:p w:rsidR="00DF3EE9" w:rsidRPr="00F734B5" w:rsidRDefault="00DF3EE9" w:rsidP="00F734B5">
            <w:pPr>
              <w:jc w:val="center"/>
              <w:rPr>
                <w:rFonts w:eastAsia="標楷體"/>
              </w:rPr>
            </w:pPr>
            <w:r w:rsidRPr="00F734B5">
              <w:rPr>
                <w:rFonts w:eastAsia="標楷體"/>
              </w:rPr>
              <w:t>0.200</w:t>
            </w:r>
          </w:p>
        </w:tc>
      </w:tr>
      <w:tr w:rsidR="00DF3EE9" w:rsidRPr="00975DEB" w:rsidTr="00782944">
        <w:trPr>
          <w:gridAfter w:val="1"/>
          <w:wAfter w:w="709" w:type="dxa"/>
          <w:trHeight w:val="588"/>
        </w:trPr>
        <w:tc>
          <w:tcPr>
            <w:tcW w:w="1716" w:type="dxa"/>
            <w:gridSpan w:val="2"/>
            <w:tcBorders>
              <w:top w:val="nil"/>
              <w:left w:val="single" w:sz="4" w:space="0" w:color="auto"/>
              <w:bottom w:val="single" w:sz="4" w:space="0" w:color="auto"/>
              <w:right w:val="single" w:sz="4" w:space="0" w:color="auto"/>
            </w:tcBorders>
            <w:shd w:val="clear" w:color="FFFFFF" w:fill="FFFFFF"/>
            <w:noWrap/>
            <w:vAlign w:val="center"/>
            <w:hideMark/>
          </w:tcPr>
          <w:p w:rsidR="00DF3EE9" w:rsidRPr="00F734B5" w:rsidRDefault="00DF3EE9" w:rsidP="00F734B5">
            <w:pPr>
              <w:jc w:val="center"/>
              <w:rPr>
                <w:rFonts w:eastAsia="標楷體"/>
              </w:rPr>
            </w:pPr>
            <w:r>
              <w:rPr>
                <w:rFonts w:eastAsia="標楷體" w:hint="eastAsia"/>
              </w:rPr>
              <w:t>South Korea</w:t>
            </w:r>
          </w:p>
        </w:tc>
        <w:tc>
          <w:tcPr>
            <w:tcW w:w="2221" w:type="dxa"/>
            <w:gridSpan w:val="2"/>
            <w:tcBorders>
              <w:top w:val="nil"/>
              <w:left w:val="nil"/>
              <w:bottom w:val="single" w:sz="4" w:space="0" w:color="auto"/>
              <w:right w:val="nil"/>
            </w:tcBorders>
            <w:shd w:val="clear" w:color="auto" w:fill="auto"/>
            <w:noWrap/>
            <w:vAlign w:val="center"/>
            <w:hideMark/>
          </w:tcPr>
          <w:p w:rsidR="00DF3EE9" w:rsidRPr="00F734B5" w:rsidRDefault="00DF3EE9" w:rsidP="00F734B5">
            <w:pPr>
              <w:jc w:val="center"/>
              <w:rPr>
                <w:rFonts w:eastAsia="標楷體"/>
              </w:rPr>
            </w:pPr>
            <w:r w:rsidRPr="00F734B5">
              <w:rPr>
                <w:rFonts w:eastAsia="標楷體"/>
              </w:rPr>
              <w:t>1.300</w:t>
            </w:r>
          </w:p>
        </w:tc>
        <w:tc>
          <w:tcPr>
            <w:tcW w:w="2362" w:type="dxa"/>
            <w:gridSpan w:val="2"/>
            <w:tcBorders>
              <w:top w:val="nil"/>
              <w:left w:val="single" w:sz="4" w:space="0" w:color="auto"/>
              <w:bottom w:val="single" w:sz="4" w:space="0" w:color="auto"/>
              <w:right w:val="nil"/>
            </w:tcBorders>
            <w:shd w:val="clear" w:color="auto" w:fill="auto"/>
            <w:noWrap/>
            <w:vAlign w:val="center"/>
            <w:hideMark/>
          </w:tcPr>
          <w:p w:rsidR="00DF3EE9" w:rsidRPr="00F734B5" w:rsidRDefault="00DF3EE9" w:rsidP="00F734B5">
            <w:pPr>
              <w:jc w:val="center"/>
              <w:rPr>
                <w:rFonts w:eastAsia="標楷體"/>
              </w:rPr>
            </w:pPr>
            <w:r w:rsidRPr="00F734B5">
              <w:rPr>
                <w:rFonts w:eastAsia="標楷體"/>
              </w:rPr>
              <w:t>1.49</w:t>
            </w:r>
          </w:p>
        </w:tc>
        <w:tc>
          <w:tcPr>
            <w:tcW w:w="2363" w:type="dxa"/>
            <w:gridSpan w:val="2"/>
            <w:tcBorders>
              <w:top w:val="nil"/>
              <w:left w:val="single" w:sz="4" w:space="0" w:color="auto"/>
              <w:bottom w:val="single" w:sz="4" w:space="0" w:color="auto"/>
              <w:right w:val="single" w:sz="4" w:space="0" w:color="auto"/>
            </w:tcBorders>
            <w:shd w:val="clear" w:color="auto" w:fill="auto"/>
            <w:noWrap/>
            <w:vAlign w:val="center"/>
            <w:hideMark/>
          </w:tcPr>
          <w:p w:rsidR="00DF3EE9" w:rsidRPr="00F734B5" w:rsidRDefault="00DF3EE9" w:rsidP="00F734B5">
            <w:pPr>
              <w:jc w:val="center"/>
              <w:rPr>
                <w:rFonts w:eastAsia="標楷體"/>
              </w:rPr>
            </w:pPr>
            <w:r w:rsidRPr="00F734B5">
              <w:rPr>
                <w:rFonts w:eastAsia="標楷體"/>
              </w:rPr>
              <w:t>-0.190</w:t>
            </w:r>
          </w:p>
        </w:tc>
      </w:tr>
      <w:tr w:rsidR="00DF3EE9" w:rsidRPr="00975DEB" w:rsidTr="00782944">
        <w:trPr>
          <w:gridAfter w:val="1"/>
          <w:wAfter w:w="709" w:type="dxa"/>
          <w:trHeight w:val="588"/>
        </w:trPr>
        <w:tc>
          <w:tcPr>
            <w:tcW w:w="1716"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DF3EE9" w:rsidRPr="00F734B5" w:rsidRDefault="00DF3EE9" w:rsidP="00F734B5">
            <w:pPr>
              <w:jc w:val="center"/>
              <w:rPr>
                <w:rFonts w:eastAsia="標楷體"/>
              </w:rPr>
            </w:pPr>
            <w:r>
              <w:rPr>
                <w:rFonts w:eastAsia="標楷體" w:hint="eastAsia"/>
              </w:rPr>
              <w:t>Singapore</w:t>
            </w:r>
          </w:p>
        </w:tc>
        <w:tc>
          <w:tcPr>
            <w:tcW w:w="2221" w:type="dxa"/>
            <w:gridSpan w:val="2"/>
            <w:tcBorders>
              <w:top w:val="single" w:sz="4" w:space="0" w:color="auto"/>
              <w:left w:val="nil"/>
              <w:bottom w:val="single" w:sz="4" w:space="0" w:color="auto"/>
              <w:right w:val="nil"/>
            </w:tcBorders>
            <w:shd w:val="clear" w:color="auto" w:fill="auto"/>
            <w:noWrap/>
            <w:vAlign w:val="center"/>
            <w:hideMark/>
          </w:tcPr>
          <w:p w:rsidR="00DF3EE9" w:rsidRPr="00F734B5" w:rsidRDefault="00DF3EE9" w:rsidP="00F734B5">
            <w:pPr>
              <w:jc w:val="center"/>
              <w:rPr>
                <w:rFonts w:eastAsia="標楷體"/>
              </w:rPr>
            </w:pPr>
            <w:r w:rsidRPr="00F734B5">
              <w:rPr>
                <w:rFonts w:eastAsia="標楷體"/>
              </w:rPr>
              <w:t>0.400</w:t>
            </w:r>
          </w:p>
        </w:tc>
        <w:tc>
          <w:tcPr>
            <w:tcW w:w="2362" w:type="dxa"/>
            <w:gridSpan w:val="2"/>
            <w:tcBorders>
              <w:top w:val="single" w:sz="4" w:space="0" w:color="auto"/>
              <w:left w:val="single" w:sz="4" w:space="0" w:color="auto"/>
              <w:bottom w:val="single" w:sz="4" w:space="0" w:color="auto"/>
              <w:right w:val="nil"/>
            </w:tcBorders>
            <w:shd w:val="clear" w:color="auto" w:fill="auto"/>
            <w:noWrap/>
            <w:vAlign w:val="center"/>
            <w:hideMark/>
          </w:tcPr>
          <w:p w:rsidR="00DF3EE9" w:rsidRPr="00F734B5" w:rsidRDefault="00DF3EE9" w:rsidP="00F734B5">
            <w:pPr>
              <w:jc w:val="center"/>
              <w:rPr>
                <w:rFonts w:eastAsia="標楷體"/>
              </w:rPr>
            </w:pPr>
            <w:r w:rsidRPr="00F734B5">
              <w:rPr>
                <w:rFonts w:eastAsia="標楷體"/>
              </w:rPr>
              <w:t>0.77</w:t>
            </w:r>
          </w:p>
        </w:tc>
        <w:tc>
          <w:tcPr>
            <w:tcW w:w="2363"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DF3EE9" w:rsidRPr="00F734B5" w:rsidRDefault="00DF3EE9" w:rsidP="00F734B5">
            <w:pPr>
              <w:jc w:val="center"/>
              <w:rPr>
                <w:rFonts w:eastAsia="標楷體"/>
              </w:rPr>
            </w:pPr>
            <w:r w:rsidRPr="00F734B5">
              <w:rPr>
                <w:rFonts w:eastAsia="標楷體"/>
              </w:rPr>
              <w:t>-0.370</w:t>
            </w:r>
          </w:p>
        </w:tc>
      </w:tr>
      <w:tr w:rsidR="00DF3EE9" w:rsidRPr="00975DEB" w:rsidTr="00782944">
        <w:trPr>
          <w:gridAfter w:val="1"/>
          <w:wAfter w:w="709" w:type="dxa"/>
          <w:trHeight w:val="588"/>
        </w:trPr>
        <w:tc>
          <w:tcPr>
            <w:tcW w:w="1716" w:type="dxa"/>
            <w:gridSpan w:val="2"/>
            <w:tcBorders>
              <w:top w:val="single" w:sz="4" w:space="0" w:color="auto"/>
              <w:left w:val="single" w:sz="4" w:space="0" w:color="auto"/>
              <w:bottom w:val="single" w:sz="4" w:space="0" w:color="auto"/>
              <w:right w:val="single" w:sz="4" w:space="0" w:color="auto"/>
            </w:tcBorders>
            <w:shd w:val="clear" w:color="auto" w:fill="FFFFCC"/>
            <w:noWrap/>
            <w:vAlign w:val="center"/>
            <w:hideMark/>
          </w:tcPr>
          <w:p w:rsidR="00DF3EE9" w:rsidRPr="00F734B5" w:rsidRDefault="00DF3EE9" w:rsidP="0082540D">
            <w:pPr>
              <w:jc w:val="center"/>
              <w:rPr>
                <w:rFonts w:eastAsia="標楷體"/>
                <w:b/>
              </w:rPr>
            </w:pPr>
            <w:r>
              <w:rPr>
                <w:rFonts w:eastAsia="標楷體" w:hint="eastAsia"/>
                <w:b/>
              </w:rPr>
              <w:t>Taiwan</w:t>
            </w:r>
          </w:p>
        </w:tc>
        <w:tc>
          <w:tcPr>
            <w:tcW w:w="2221" w:type="dxa"/>
            <w:gridSpan w:val="2"/>
            <w:tcBorders>
              <w:top w:val="single" w:sz="4" w:space="0" w:color="auto"/>
              <w:left w:val="nil"/>
              <w:bottom w:val="single" w:sz="4" w:space="0" w:color="auto"/>
              <w:right w:val="nil"/>
            </w:tcBorders>
            <w:shd w:val="clear" w:color="auto" w:fill="FFFFCC"/>
            <w:noWrap/>
            <w:vAlign w:val="center"/>
            <w:hideMark/>
          </w:tcPr>
          <w:p w:rsidR="00DF3EE9" w:rsidRPr="00F734B5" w:rsidRDefault="00DF3EE9" w:rsidP="00463813">
            <w:pPr>
              <w:jc w:val="center"/>
              <w:rPr>
                <w:rFonts w:eastAsia="標楷體"/>
              </w:rPr>
            </w:pPr>
            <w:r w:rsidRPr="00F734B5">
              <w:rPr>
                <w:rFonts w:eastAsia="標楷體"/>
              </w:rPr>
              <w:t>1.065</w:t>
            </w:r>
          </w:p>
        </w:tc>
        <w:tc>
          <w:tcPr>
            <w:tcW w:w="2362" w:type="dxa"/>
            <w:gridSpan w:val="2"/>
            <w:tcBorders>
              <w:top w:val="single" w:sz="4" w:space="0" w:color="auto"/>
              <w:left w:val="single" w:sz="4" w:space="0" w:color="auto"/>
              <w:bottom w:val="single" w:sz="4" w:space="0" w:color="auto"/>
              <w:right w:val="nil"/>
            </w:tcBorders>
            <w:shd w:val="clear" w:color="auto" w:fill="FFFFCC"/>
            <w:noWrap/>
            <w:vAlign w:val="center"/>
            <w:hideMark/>
          </w:tcPr>
          <w:p w:rsidR="00DF3EE9" w:rsidRPr="00F734B5" w:rsidRDefault="00DF3EE9" w:rsidP="00463813">
            <w:pPr>
              <w:jc w:val="center"/>
              <w:rPr>
                <w:rFonts w:eastAsia="標楷體"/>
              </w:rPr>
            </w:pPr>
            <w:r w:rsidRPr="00F734B5">
              <w:rPr>
                <w:rFonts w:eastAsia="標楷體"/>
              </w:rPr>
              <w:t>1.50</w:t>
            </w:r>
          </w:p>
        </w:tc>
        <w:tc>
          <w:tcPr>
            <w:tcW w:w="2363" w:type="dxa"/>
            <w:gridSpan w:val="2"/>
            <w:tcBorders>
              <w:top w:val="single" w:sz="4" w:space="0" w:color="auto"/>
              <w:left w:val="single" w:sz="4" w:space="0" w:color="auto"/>
              <w:bottom w:val="single" w:sz="4" w:space="0" w:color="auto"/>
              <w:right w:val="single" w:sz="4" w:space="0" w:color="auto"/>
            </w:tcBorders>
            <w:shd w:val="clear" w:color="auto" w:fill="FFFFCC"/>
            <w:noWrap/>
            <w:vAlign w:val="center"/>
            <w:hideMark/>
          </w:tcPr>
          <w:p w:rsidR="00DF3EE9" w:rsidRPr="00F734B5" w:rsidRDefault="00DF3EE9" w:rsidP="00463813">
            <w:pPr>
              <w:jc w:val="center"/>
              <w:rPr>
                <w:rFonts w:eastAsia="標楷體"/>
                <w:b/>
              </w:rPr>
            </w:pPr>
            <w:r w:rsidRPr="00F734B5">
              <w:rPr>
                <w:rFonts w:eastAsia="標楷體"/>
                <w:b/>
              </w:rPr>
              <w:t>-0.435</w:t>
            </w:r>
          </w:p>
        </w:tc>
      </w:tr>
      <w:tr w:rsidR="00DF3EE9" w:rsidRPr="00975DEB" w:rsidTr="00782944">
        <w:trPr>
          <w:gridAfter w:val="1"/>
          <w:wAfter w:w="709" w:type="dxa"/>
          <w:trHeight w:val="588"/>
        </w:trPr>
        <w:tc>
          <w:tcPr>
            <w:tcW w:w="1716" w:type="dxa"/>
            <w:gridSpan w:val="2"/>
            <w:tcBorders>
              <w:top w:val="nil"/>
              <w:left w:val="single" w:sz="4" w:space="0" w:color="auto"/>
              <w:bottom w:val="single" w:sz="4" w:space="0" w:color="auto"/>
              <w:right w:val="single" w:sz="4" w:space="0" w:color="auto"/>
            </w:tcBorders>
            <w:shd w:val="clear" w:color="FFFFFF" w:fill="FFFFFF"/>
            <w:noWrap/>
            <w:vAlign w:val="center"/>
            <w:hideMark/>
          </w:tcPr>
          <w:p w:rsidR="00DF3EE9" w:rsidRPr="00F734B5" w:rsidRDefault="00DF3EE9" w:rsidP="00F734B5">
            <w:pPr>
              <w:jc w:val="center"/>
              <w:rPr>
                <w:rFonts w:eastAsia="標楷體"/>
              </w:rPr>
            </w:pPr>
            <w:r>
              <w:rPr>
                <w:rFonts w:eastAsia="標楷體" w:hint="eastAsia"/>
              </w:rPr>
              <w:t>China</w:t>
            </w:r>
          </w:p>
        </w:tc>
        <w:tc>
          <w:tcPr>
            <w:tcW w:w="2221" w:type="dxa"/>
            <w:gridSpan w:val="2"/>
            <w:tcBorders>
              <w:top w:val="nil"/>
              <w:left w:val="nil"/>
              <w:bottom w:val="single" w:sz="4" w:space="0" w:color="auto"/>
              <w:right w:val="nil"/>
            </w:tcBorders>
            <w:shd w:val="clear" w:color="auto" w:fill="auto"/>
            <w:noWrap/>
            <w:vAlign w:val="center"/>
            <w:hideMark/>
          </w:tcPr>
          <w:p w:rsidR="00DF3EE9" w:rsidRPr="00F734B5" w:rsidRDefault="00DF3EE9" w:rsidP="00F734B5">
            <w:pPr>
              <w:jc w:val="center"/>
              <w:rPr>
                <w:rFonts w:eastAsia="標楷體"/>
              </w:rPr>
            </w:pPr>
            <w:r w:rsidRPr="00F734B5">
              <w:rPr>
                <w:rFonts w:eastAsia="標楷體"/>
              </w:rPr>
              <w:t>1.500</w:t>
            </w:r>
          </w:p>
        </w:tc>
        <w:tc>
          <w:tcPr>
            <w:tcW w:w="2362" w:type="dxa"/>
            <w:gridSpan w:val="2"/>
            <w:tcBorders>
              <w:top w:val="nil"/>
              <w:left w:val="single" w:sz="4" w:space="0" w:color="auto"/>
              <w:bottom w:val="single" w:sz="4" w:space="0" w:color="auto"/>
              <w:right w:val="nil"/>
            </w:tcBorders>
            <w:shd w:val="clear" w:color="auto" w:fill="auto"/>
            <w:noWrap/>
            <w:vAlign w:val="center"/>
            <w:hideMark/>
          </w:tcPr>
          <w:p w:rsidR="00DF3EE9" w:rsidRPr="00F734B5" w:rsidRDefault="00DF3EE9" w:rsidP="00F734B5">
            <w:pPr>
              <w:jc w:val="center"/>
              <w:rPr>
                <w:rFonts w:eastAsia="標楷體"/>
              </w:rPr>
            </w:pPr>
            <w:r w:rsidRPr="00F734B5">
              <w:rPr>
                <w:rFonts w:eastAsia="標楷體"/>
              </w:rPr>
              <w:t>2.21</w:t>
            </w:r>
          </w:p>
        </w:tc>
        <w:tc>
          <w:tcPr>
            <w:tcW w:w="2363" w:type="dxa"/>
            <w:gridSpan w:val="2"/>
            <w:tcBorders>
              <w:top w:val="nil"/>
              <w:left w:val="single" w:sz="4" w:space="0" w:color="auto"/>
              <w:bottom w:val="single" w:sz="4" w:space="0" w:color="auto"/>
              <w:right w:val="single" w:sz="4" w:space="0" w:color="auto"/>
            </w:tcBorders>
            <w:shd w:val="clear" w:color="auto" w:fill="auto"/>
            <w:noWrap/>
            <w:vAlign w:val="center"/>
            <w:hideMark/>
          </w:tcPr>
          <w:p w:rsidR="00DF3EE9" w:rsidRPr="00F734B5" w:rsidRDefault="00DF3EE9" w:rsidP="00F734B5">
            <w:pPr>
              <w:jc w:val="center"/>
              <w:rPr>
                <w:rFonts w:eastAsia="標楷體"/>
              </w:rPr>
            </w:pPr>
            <w:r w:rsidRPr="00F734B5">
              <w:rPr>
                <w:rFonts w:eastAsia="標楷體"/>
              </w:rPr>
              <w:t>-0.710</w:t>
            </w:r>
          </w:p>
        </w:tc>
      </w:tr>
      <w:tr w:rsidR="00DF3EE9" w:rsidRPr="00975DEB" w:rsidTr="00782944">
        <w:trPr>
          <w:gridAfter w:val="1"/>
          <w:wAfter w:w="709" w:type="dxa"/>
          <w:trHeight w:val="588"/>
        </w:trPr>
        <w:tc>
          <w:tcPr>
            <w:tcW w:w="1716" w:type="dxa"/>
            <w:gridSpan w:val="2"/>
            <w:tcBorders>
              <w:top w:val="nil"/>
              <w:left w:val="single" w:sz="4" w:space="0" w:color="auto"/>
              <w:bottom w:val="single" w:sz="4" w:space="0" w:color="auto"/>
              <w:right w:val="single" w:sz="4" w:space="0" w:color="auto"/>
            </w:tcBorders>
            <w:shd w:val="clear" w:color="FFFFFF" w:fill="FFFFFF"/>
            <w:noWrap/>
            <w:vAlign w:val="center"/>
            <w:hideMark/>
          </w:tcPr>
          <w:p w:rsidR="00DF3EE9" w:rsidRPr="00F734B5" w:rsidRDefault="00DF3EE9" w:rsidP="00F734B5">
            <w:pPr>
              <w:jc w:val="center"/>
              <w:rPr>
                <w:rFonts w:eastAsia="標楷體"/>
              </w:rPr>
            </w:pPr>
            <w:r>
              <w:rPr>
                <w:rFonts w:eastAsia="標楷體" w:hint="eastAsia"/>
              </w:rPr>
              <w:t>Switzerland</w:t>
            </w:r>
          </w:p>
        </w:tc>
        <w:tc>
          <w:tcPr>
            <w:tcW w:w="2221" w:type="dxa"/>
            <w:gridSpan w:val="2"/>
            <w:tcBorders>
              <w:top w:val="nil"/>
              <w:left w:val="nil"/>
              <w:bottom w:val="single" w:sz="4" w:space="0" w:color="auto"/>
              <w:right w:val="nil"/>
            </w:tcBorders>
            <w:shd w:val="clear" w:color="auto" w:fill="auto"/>
            <w:noWrap/>
            <w:vAlign w:val="center"/>
            <w:hideMark/>
          </w:tcPr>
          <w:p w:rsidR="00DF3EE9" w:rsidRPr="00F734B5" w:rsidRDefault="00DF3EE9" w:rsidP="00F734B5">
            <w:pPr>
              <w:jc w:val="center"/>
              <w:rPr>
                <w:rFonts w:eastAsia="標楷體"/>
              </w:rPr>
            </w:pPr>
            <w:r w:rsidRPr="00F734B5">
              <w:rPr>
                <w:rFonts w:eastAsia="標楷體"/>
              </w:rPr>
              <w:t>0.160</w:t>
            </w:r>
          </w:p>
        </w:tc>
        <w:tc>
          <w:tcPr>
            <w:tcW w:w="2362" w:type="dxa"/>
            <w:gridSpan w:val="2"/>
            <w:tcBorders>
              <w:top w:val="nil"/>
              <w:left w:val="single" w:sz="4" w:space="0" w:color="auto"/>
              <w:bottom w:val="single" w:sz="4" w:space="0" w:color="auto"/>
              <w:right w:val="nil"/>
            </w:tcBorders>
            <w:shd w:val="clear" w:color="auto" w:fill="auto"/>
            <w:noWrap/>
            <w:vAlign w:val="center"/>
            <w:hideMark/>
          </w:tcPr>
          <w:p w:rsidR="00DF3EE9" w:rsidRPr="00F734B5" w:rsidRDefault="00DF3EE9" w:rsidP="00F734B5">
            <w:pPr>
              <w:jc w:val="center"/>
              <w:rPr>
                <w:rFonts w:eastAsia="標楷體"/>
              </w:rPr>
            </w:pPr>
            <w:r w:rsidRPr="00F734B5">
              <w:rPr>
                <w:rFonts w:eastAsia="標楷體"/>
              </w:rPr>
              <w:t>1.01</w:t>
            </w:r>
          </w:p>
        </w:tc>
        <w:tc>
          <w:tcPr>
            <w:tcW w:w="2363" w:type="dxa"/>
            <w:gridSpan w:val="2"/>
            <w:tcBorders>
              <w:top w:val="nil"/>
              <w:left w:val="single" w:sz="4" w:space="0" w:color="auto"/>
              <w:bottom w:val="single" w:sz="4" w:space="0" w:color="auto"/>
              <w:right w:val="single" w:sz="4" w:space="0" w:color="auto"/>
            </w:tcBorders>
            <w:shd w:val="clear" w:color="auto" w:fill="auto"/>
            <w:noWrap/>
            <w:vAlign w:val="center"/>
            <w:hideMark/>
          </w:tcPr>
          <w:p w:rsidR="00DF3EE9" w:rsidRPr="00F734B5" w:rsidRDefault="00DF3EE9" w:rsidP="00F734B5">
            <w:pPr>
              <w:jc w:val="center"/>
              <w:rPr>
                <w:rFonts w:eastAsia="標楷體"/>
              </w:rPr>
            </w:pPr>
            <w:r w:rsidRPr="00F734B5">
              <w:rPr>
                <w:rFonts w:eastAsia="標楷體"/>
              </w:rPr>
              <w:t>-0.850</w:t>
            </w:r>
          </w:p>
        </w:tc>
      </w:tr>
      <w:tr w:rsidR="00DF3EE9" w:rsidRPr="00975DEB" w:rsidTr="00782944">
        <w:trPr>
          <w:gridAfter w:val="1"/>
          <w:wAfter w:w="709" w:type="dxa"/>
          <w:trHeight w:val="588"/>
        </w:trPr>
        <w:tc>
          <w:tcPr>
            <w:tcW w:w="1716" w:type="dxa"/>
            <w:gridSpan w:val="2"/>
            <w:tcBorders>
              <w:top w:val="nil"/>
              <w:left w:val="single" w:sz="4" w:space="0" w:color="auto"/>
              <w:bottom w:val="single" w:sz="4" w:space="0" w:color="auto"/>
              <w:right w:val="single" w:sz="4" w:space="0" w:color="auto"/>
            </w:tcBorders>
            <w:shd w:val="clear" w:color="FFFFFF" w:fill="FFFFFF"/>
            <w:noWrap/>
            <w:vAlign w:val="center"/>
            <w:hideMark/>
          </w:tcPr>
          <w:p w:rsidR="00DF3EE9" w:rsidRPr="00F734B5" w:rsidRDefault="00DF3EE9" w:rsidP="00F734B5">
            <w:pPr>
              <w:jc w:val="center"/>
              <w:rPr>
                <w:rFonts w:eastAsia="標楷體"/>
                <w:b/>
              </w:rPr>
            </w:pPr>
            <w:r>
              <w:rPr>
                <w:rFonts w:eastAsia="標楷體" w:hint="eastAsia"/>
                <w:b/>
              </w:rPr>
              <w:t>Japan</w:t>
            </w:r>
          </w:p>
        </w:tc>
        <w:tc>
          <w:tcPr>
            <w:tcW w:w="2221" w:type="dxa"/>
            <w:gridSpan w:val="2"/>
            <w:tcBorders>
              <w:top w:val="nil"/>
              <w:left w:val="nil"/>
              <w:bottom w:val="single" w:sz="4" w:space="0" w:color="auto"/>
              <w:right w:val="nil"/>
            </w:tcBorders>
            <w:shd w:val="clear" w:color="auto" w:fill="auto"/>
            <w:noWrap/>
            <w:vAlign w:val="center"/>
            <w:hideMark/>
          </w:tcPr>
          <w:p w:rsidR="00DF3EE9" w:rsidRPr="00F734B5" w:rsidRDefault="00DF3EE9" w:rsidP="00F734B5">
            <w:pPr>
              <w:jc w:val="center"/>
              <w:rPr>
                <w:rFonts w:eastAsia="標楷體"/>
              </w:rPr>
            </w:pPr>
            <w:r w:rsidRPr="00F734B5">
              <w:rPr>
                <w:rFonts w:eastAsia="標楷體"/>
              </w:rPr>
              <w:t>0.011</w:t>
            </w:r>
          </w:p>
        </w:tc>
        <w:tc>
          <w:tcPr>
            <w:tcW w:w="2362" w:type="dxa"/>
            <w:gridSpan w:val="2"/>
            <w:tcBorders>
              <w:top w:val="nil"/>
              <w:left w:val="single" w:sz="4" w:space="0" w:color="auto"/>
              <w:bottom w:val="single" w:sz="4" w:space="0" w:color="auto"/>
              <w:right w:val="nil"/>
            </w:tcBorders>
            <w:shd w:val="clear" w:color="auto" w:fill="auto"/>
            <w:noWrap/>
            <w:vAlign w:val="center"/>
            <w:hideMark/>
          </w:tcPr>
          <w:p w:rsidR="00DF3EE9" w:rsidRPr="00F734B5" w:rsidRDefault="00DF3EE9" w:rsidP="00F734B5">
            <w:pPr>
              <w:jc w:val="center"/>
              <w:rPr>
                <w:rFonts w:eastAsia="標楷體"/>
              </w:rPr>
            </w:pPr>
            <w:r w:rsidRPr="00F734B5">
              <w:rPr>
                <w:rFonts w:eastAsia="標楷體"/>
              </w:rPr>
              <w:t>0.93</w:t>
            </w:r>
          </w:p>
        </w:tc>
        <w:tc>
          <w:tcPr>
            <w:tcW w:w="2363" w:type="dxa"/>
            <w:gridSpan w:val="2"/>
            <w:tcBorders>
              <w:top w:val="nil"/>
              <w:left w:val="single" w:sz="4" w:space="0" w:color="auto"/>
              <w:bottom w:val="single" w:sz="4" w:space="0" w:color="auto"/>
              <w:right w:val="single" w:sz="4" w:space="0" w:color="auto"/>
            </w:tcBorders>
            <w:shd w:val="clear" w:color="auto" w:fill="auto"/>
            <w:noWrap/>
            <w:vAlign w:val="center"/>
            <w:hideMark/>
          </w:tcPr>
          <w:p w:rsidR="00DF3EE9" w:rsidRPr="00F734B5" w:rsidRDefault="00DF3EE9" w:rsidP="00F734B5">
            <w:pPr>
              <w:jc w:val="center"/>
              <w:rPr>
                <w:rFonts w:eastAsia="標楷體"/>
                <w:b/>
              </w:rPr>
            </w:pPr>
            <w:r w:rsidRPr="00F734B5">
              <w:rPr>
                <w:rFonts w:eastAsia="標楷體"/>
                <w:b/>
              </w:rPr>
              <w:t>-0.919</w:t>
            </w:r>
          </w:p>
        </w:tc>
      </w:tr>
      <w:tr w:rsidR="00DF3EE9" w:rsidRPr="00975DEB" w:rsidTr="00782944">
        <w:trPr>
          <w:gridAfter w:val="1"/>
          <w:wAfter w:w="709" w:type="dxa"/>
          <w:trHeight w:val="588"/>
        </w:trPr>
        <w:tc>
          <w:tcPr>
            <w:tcW w:w="1716" w:type="dxa"/>
            <w:gridSpan w:val="2"/>
            <w:tcBorders>
              <w:top w:val="nil"/>
              <w:left w:val="single" w:sz="4" w:space="0" w:color="auto"/>
              <w:bottom w:val="single" w:sz="4" w:space="0" w:color="auto"/>
              <w:right w:val="single" w:sz="4" w:space="0" w:color="auto"/>
            </w:tcBorders>
            <w:shd w:val="clear" w:color="FFFFFF" w:fill="FFFFFF"/>
            <w:noWrap/>
            <w:vAlign w:val="center"/>
            <w:hideMark/>
          </w:tcPr>
          <w:p w:rsidR="00DF3EE9" w:rsidRPr="00F734B5" w:rsidRDefault="00DF3EE9" w:rsidP="00F734B5">
            <w:pPr>
              <w:jc w:val="center"/>
              <w:rPr>
                <w:rFonts w:eastAsia="標楷體"/>
              </w:rPr>
            </w:pPr>
            <w:r>
              <w:rPr>
                <w:rFonts w:eastAsia="標楷體" w:hint="eastAsia"/>
              </w:rPr>
              <w:t>United Kingdom</w:t>
            </w:r>
          </w:p>
        </w:tc>
        <w:tc>
          <w:tcPr>
            <w:tcW w:w="2221" w:type="dxa"/>
            <w:gridSpan w:val="2"/>
            <w:tcBorders>
              <w:top w:val="nil"/>
              <w:left w:val="nil"/>
              <w:bottom w:val="single" w:sz="4" w:space="0" w:color="auto"/>
              <w:right w:val="nil"/>
            </w:tcBorders>
            <w:shd w:val="clear" w:color="auto" w:fill="auto"/>
            <w:noWrap/>
            <w:vAlign w:val="center"/>
            <w:hideMark/>
          </w:tcPr>
          <w:p w:rsidR="00DF3EE9" w:rsidRPr="00F734B5" w:rsidRDefault="00DF3EE9" w:rsidP="00F734B5">
            <w:pPr>
              <w:jc w:val="center"/>
              <w:rPr>
                <w:rFonts w:eastAsia="標楷體"/>
              </w:rPr>
            </w:pPr>
            <w:r w:rsidRPr="00F734B5">
              <w:rPr>
                <w:rFonts w:eastAsia="標楷體"/>
              </w:rPr>
              <w:t>1.080</w:t>
            </w:r>
          </w:p>
        </w:tc>
        <w:tc>
          <w:tcPr>
            <w:tcW w:w="2362" w:type="dxa"/>
            <w:gridSpan w:val="2"/>
            <w:tcBorders>
              <w:top w:val="nil"/>
              <w:left w:val="single" w:sz="4" w:space="0" w:color="auto"/>
              <w:bottom w:val="single" w:sz="4" w:space="0" w:color="auto"/>
              <w:right w:val="nil"/>
            </w:tcBorders>
            <w:shd w:val="clear" w:color="auto" w:fill="auto"/>
            <w:noWrap/>
            <w:vAlign w:val="center"/>
            <w:hideMark/>
          </w:tcPr>
          <w:p w:rsidR="00DF3EE9" w:rsidRPr="00F734B5" w:rsidRDefault="00DF3EE9" w:rsidP="00F734B5">
            <w:pPr>
              <w:jc w:val="center"/>
              <w:rPr>
                <w:rFonts w:eastAsia="標楷體"/>
              </w:rPr>
            </w:pPr>
            <w:r w:rsidRPr="00F734B5">
              <w:rPr>
                <w:rFonts w:eastAsia="標楷體"/>
              </w:rPr>
              <w:t>2.55</w:t>
            </w:r>
          </w:p>
        </w:tc>
        <w:tc>
          <w:tcPr>
            <w:tcW w:w="2363" w:type="dxa"/>
            <w:gridSpan w:val="2"/>
            <w:tcBorders>
              <w:top w:val="nil"/>
              <w:left w:val="single" w:sz="4" w:space="0" w:color="auto"/>
              <w:bottom w:val="single" w:sz="4" w:space="0" w:color="auto"/>
              <w:right w:val="single" w:sz="4" w:space="0" w:color="auto"/>
            </w:tcBorders>
            <w:shd w:val="clear" w:color="auto" w:fill="auto"/>
            <w:noWrap/>
            <w:vAlign w:val="center"/>
            <w:hideMark/>
          </w:tcPr>
          <w:p w:rsidR="00DF3EE9" w:rsidRPr="00F734B5" w:rsidRDefault="00DF3EE9" w:rsidP="00F734B5">
            <w:pPr>
              <w:jc w:val="center"/>
              <w:rPr>
                <w:rFonts w:eastAsia="標楷體"/>
              </w:rPr>
            </w:pPr>
            <w:r w:rsidRPr="00F734B5">
              <w:rPr>
                <w:rFonts w:eastAsia="標楷體"/>
              </w:rPr>
              <w:t>-1.470</w:t>
            </w:r>
          </w:p>
        </w:tc>
      </w:tr>
      <w:tr w:rsidR="00DF3EE9" w:rsidRPr="00975DEB" w:rsidTr="00782944">
        <w:trPr>
          <w:gridAfter w:val="1"/>
          <w:wAfter w:w="709" w:type="dxa"/>
          <w:trHeight w:val="588"/>
        </w:trPr>
        <w:tc>
          <w:tcPr>
            <w:tcW w:w="1716" w:type="dxa"/>
            <w:gridSpan w:val="2"/>
            <w:tcBorders>
              <w:top w:val="nil"/>
              <w:left w:val="single" w:sz="4" w:space="0" w:color="auto"/>
              <w:bottom w:val="nil"/>
              <w:right w:val="single" w:sz="4" w:space="0" w:color="auto"/>
            </w:tcBorders>
            <w:shd w:val="clear" w:color="auto" w:fill="auto"/>
            <w:noWrap/>
            <w:vAlign w:val="center"/>
            <w:hideMark/>
          </w:tcPr>
          <w:p w:rsidR="00DF3EE9" w:rsidRPr="00F734B5" w:rsidRDefault="00DF3EE9" w:rsidP="00F734B5">
            <w:pPr>
              <w:jc w:val="center"/>
              <w:rPr>
                <w:rFonts w:eastAsia="標楷體"/>
                <w:b/>
              </w:rPr>
            </w:pPr>
            <w:r>
              <w:rPr>
                <w:rFonts w:eastAsia="標楷體" w:hint="eastAsia"/>
                <w:b/>
              </w:rPr>
              <w:t>Euro Area</w:t>
            </w:r>
          </w:p>
        </w:tc>
        <w:tc>
          <w:tcPr>
            <w:tcW w:w="2221" w:type="dxa"/>
            <w:gridSpan w:val="2"/>
            <w:tcBorders>
              <w:top w:val="nil"/>
              <w:left w:val="nil"/>
              <w:bottom w:val="single" w:sz="4" w:space="0" w:color="auto"/>
              <w:right w:val="nil"/>
            </w:tcBorders>
            <w:shd w:val="clear" w:color="auto" w:fill="auto"/>
            <w:noWrap/>
            <w:vAlign w:val="center"/>
            <w:hideMark/>
          </w:tcPr>
          <w:p w:rsidR="00DF3EE9" w:rsidRPr="00F734B5" w:rsidRDefault="00DF3EE9" w:rsidP="00F734B5">
            <w:pPr>
              <w:jc w:val="center"/>
              <w:rPr>
                <w:rFonts w:eastAsia="標楷體"/>
              </w:rPr>
            </w:pPr>
            <w:r w:rsidRPr="00F734B5">
              <w:rPr>
                <w:rFonts w:eastAsia="標楷體"/>
              </w:rPr>
              <w:t>-0.210</w:t>
            </w:r>
          </w:p>
        </w:tc>
        <w:tc>
          <w:tcPr>
            <w:tcW w:w="2362" w:type="dxa"/>
            <w:gridSpan w:val="2"/>
            <w:tcBorders>
              <w:top w:val="nil"/>
              <w:left w:val="single" w:sz="4" w:space="0" w:color="auto"/>
              <w:bottom w:val="single" w:sz="4" w:space="0" w:color="auto"/>
              <w:right w:val="nil"/>
            </w:tcBorders>
            <w:shd w:val="clear" w:color="auto" w:fill="auto"/>
            <w:noWrap/>
            <w:vAlign w:val="center"/>
            <w:hideMark/>
          </w:tcPr>
          <w:p w:rsidR="00DF3EE9" w:rsidRPr="00F734B5" w:rsidRDefault="00DF3EE9" w:rsidP="00F734B5">
            <w:pPr>
              <w:jc w:val="center"/>
              <w:rPr>
                <w:rFonts w:eastAsia="標楷體"/>
              </w:rPr>
            </w:pPr>
            <w:r w:rsidRPr="00F734B5">
              <w:rPr>
                <w:rFonts w:eastAsia="標楷體"/>
              </w:rPr>
              <w:t>1.75</w:t>
            </w:r>
          </w:p>
        </w:tc>
        <w:tc>
          <w:tcPr>
            <w:tcW w:w="2363" w:type="dxa"/>
            <w:gridSpan w:val="2"/>
            <w:tcBorders>
              <w:top w:val="nil"/>
              <w:left w:val="single" w:sz="4" w:space="0" w:color="auto"/>
              <w:bottom w:val="single" w:sz="4" w:space="0" w:color="auto"/>
              <w:right w:val="single" w:sz="4" w:space="0" w:color="auto"/>
            </w:tcBorders>
            <w:shd w:val="clear" w:color="auto" w:fill="auto"/>
            <w:noWrap/>
            <w:vAlign w:val="center"/>
            <w:hideMark/>
          </w:tcPr>
          <w:p w:rsidR="00DF3EE9" w:rsidRPr="00F734B5" w:rsidRDefault="00DF3EE9" w:rsidP="00F734B5">
            <w:pPr>
              <w:jc w:val="center"/>
              <w:rPr>
                <w:rFonts w:eastAsia="標楷體"/>
                <w:b/>
              </w:rPr>
            </w:pPr>
            <w:r w:rsidRPr="00F734B5">
              <w:rPr>
                <w:rFonts w:eastAsia="標楷體"/>
                <w:b/>
              </w:rPr>
              <w:t>-1.960</w:t>
            </w:r>
          </w:p>
        </w:tc>
      </w:tr>
      <w:tr w:rsidR="00DF3EE9" w:rsidRPr="00975DEB" w:rsidTr="00782944">
        <w:trPr>
          <w:gridAfter w:val="1"/>
          <w:wAfter w:w="709" w:type="dxa"/>
          <w:trHeight w:val="588"/>
        </w:trPr>
        <w:tc>
          <w:tcPr>
            <w:tcW w:w="1716" w:type="dxa"/>
            <w:gridSpan w:val="2"/>
            <w:tcBorders>
              <w:top w:val="single" w:sz="4" w:space="0" w:color="auto"/>
              <w:left w:val="single" w:sz="4" w:space="0" w:color="auto"/>
              <w:bottom w:val="single" w:sz="4" w:space="0" w:color="auto"/>
              <w:right w:val="single" w:sz="4" w:space="0" w:color="auto"/>
            </w:tcBorders>
            <w:shd w:val="clear" w:color="FFFFFF" w:fill="FFFFFF"/>
            <w:noWrap/>
            <w:vAlign w:val="center"/>
            <w:hideMark/>
          </w:tcPr>
          <w:p w:rsidR="00DF3EE9" w:rsidRPr="00F734B5" w:rsidRDefault="00DF3EE9" w:rsidP="00F734B5">
            <w:pPr>
              <w:jc w:val="center"/>
              <w:rPr>
                <w:rFonts w:eastAsia="標楷體"/>
              </w:rPr>
            </w:pPr>
            <w:r>
              <w:rPr>
                <w:rFonts w:eastAsia="標楷體" w:hint="eastAsia"/>
              </w:rPr>
              <w:t>Hong Kong</w:t>
            </w:r>
          </w:p>
        </w:tc>
        <w:tc>
          <w:tcPr>
            <w:tcW w:w="2221" w:type="dxa"/>
            <w:gridSpan w:val="2"/>
            <w:tcBorders>
              <w:top w:val="nil"/>
              <w:left w:val="nil"/>
              <w:bottom w:val="single" w:sz="4" w:space="0" w:color="auto"/>
              <w:right w:val="nil"/>
            </w:tcBorders>
            <w:shd w:val="clear" w:color="auto" w:fill="auto"/>
            <w:noWrap/>
            <w:vAlign w:val="center"/>
            <w:hideMark/>
          </w:tcPr>
          <w:p w:rsidR="00DF3EE9" w:rsidRPr="00F734B5" w:rsidRDefault="00DF3EE9" w:rsidP="00F734B5">
            <w:pPr>
              <w:jc w:val="center"/>
              <w:rPr>
                <w:rFonts w:eastAsia="標楷體"/>
              </w:rPr>
            </w:pPr>
            <w:r w:rsidRPr="00F734B5">
              <w:rPr>
                <w:rFonts w:eastAsia="標楷體"/>
              </w:rPr>
              <w:t>0.050</w:t>
            </w:r>
          </w:p>
        </w:tc>
        <w:tc>
          <w:tcPr>
            <w:tcW w:w="2362" w:type="dxa"/>
            <w:gridSpan w:val="2"/>
            <w:tcBorders>
              <w:top w:val="nil"/>
              <w:left w:val="single" w:sz="4" w:space="0" w:color="auto"/>
              <w:bottom w:val="single" w:sz="4" w:space="0" w:color="auto"/>
              <w:right w:val="nil"/>
            </w:tcBorders>
            <w:shd w:val="clear" w:color="auto" w:fill="auto"/>
            <w:noWrap/>
            <w:vAlign w:val="center"/>
            <w:hideMark/>
          </w:tcPr>
          <w:p w:rsidR="00DF3EE9" w:rsidRPr="00F734B5" w:rsidRDefault="00DF3EE9" w:rsidP="00F734B5">
            <w:pPr>
              <w:jc w:val="center"/>
              <w:rPr>
                <w:rFonts w:eastAsia="標楷體"/>
              </w:rPr>
            </w:pPr>
            <w:r w:rsidRPr="00F734B5">
              <w:rPr>
                <w:rFonts w:eastAsia="標楷體"/>
              </w:rPr>
              <w:t>2.33</w:t>
            </w:r>
          </w:p>
        </w:tc>
        <w:tc>
          <w:tcPr>
            <w:tcW w:w="2363" w:type="dxa"/>
            <w:gridSpan w:val="2"/>
            <w:tcBorders>
              <w:top w:val="nil"/>
              <w:left w:val="single" w:sz="4" w:space="0" w:color="auto"/>
              <w:bottom w:val="single" w:sz="4" w:space="0" w:color="auto"/>
              <w:right w:val="single" w:sz="4" w:space="0" w:color="auto"/>
            </w:tcBorders>
            <w:shd w:val="clear" w:color="auto" w:fill="auto"/>
            <w:noWrap/>
            <w:vAlign w:val="center"/>
            <w:hideMark/>
          </w:tcPr>
          <w:p w:rsidR="00DF3EE9" w:rsidRPr="00F734B5" w:rsidRDefault="00DF3EE9" w:rsidP="00F734B5">
            <w:pPr>
              <w:jc w:val="center"/>
              <w:rPr>
                <w:rFonts w:eastAsia="標楷體"/>
              </w:rPr>
            </w:pPr>
            <w:r w:rsidRPr="00F734B5">
              <w:rPr>
                <w:rFonts w:eastAsia="標楷體"/>
              </w:rPr>
              <w:t>-2.280</w:t>
            </w:r>
          </w:p>
        </w:tc>
      </w:tr>
      <w:tr w:rsidR="00DF3EE9" w:rsidRPr="00975DEB" w:rsidTr="00782944">
        <w:trPr>
          <w:gridAfter w:val="1"/>
          <w:wAfter w:w="709" w:type="dxa"/>
          <w:trHeight w:val="588"/>
        </w:trPr>
        <w:tc>
          <w:tcPr>
            <w:tcW w:w="1716" w:type="dxa"/>
            <w:gridSpan w:val="2"/>
            <w:tcBorders>
              <w:top w:val="nil"/>
              <w:left w:val="single" w:sz="4" w:space="0" w:color="auto"/>
              <w:bottom w:val="single" w:sz="8" w:space="0" w:color="auto"/>
              <w:right w:val="single" w:sz="4" w:space="0" w:color="auto"/>
            </w:tcBorders>
            <w:shd w:val="clear" w:color="FFFFFF" w:fill="FFFFFF"/>
            <w:noWrap/>
            <w:vAlign w:val="center"/>
            <w:hideMark/>
          </w:tcPr>
          <w:p w:rsidR="00DF3EE9" w:rsidRPr="00F734B5" w:rsidRDefault="00DF3EE9" w:rsidP="00AF2F73">
            <w:pPr>
              <w:jc w:val="center"/>
              <w:rPr>
                <w:rFonts w:eastAsia="標楷體"/>
              </w:rPr>
            </w:pPr>
            <w:r>
              <w:rPr>
                <w:rFonts w:eastAsia="標楷體" w:hint="eastAsia"/>
              </w:rPr>
              <w:t xml:space="preserve">The </w:t>
            </w:r>
            <w:r w:rsidRPr="000515AE">
              <w:rPr>
                <w:rFonts w:eastAsia="標楷體" w:hint="eastAsia"/>
              </w:rPr>
              <w:t>Philippines</w:t>
            </w:r>
          </w:p>
        </w:tc>
        <w:tc>
          <w:tcPr>
            <w:tcW w:w="2221" w:type="dxa"/>
            <w:gridSpan w:val="2"/>
            <w:tcBorders>
              <w:top w:val="nil"/>
              <w:left w:val="nil"/>
              <w:bottom w:val="single" w:sz="8" w:space="0" w:color="auto"/>
              <w:right w:val="single" w:sz="4" w:space="0" w:color="auto"/>
            </w:tcBorders>
            <w:shd w:val="clear" w:color="auto" w:fill="auto"/>
            <w:noWrap/>
            <w:vAlign w:val="center"/>
            <w:hideMark/>
          </w:tcPr>
          <w:p w:rsidR="00DF3EE9" w:rsidRPr="00F734B5" w:rsidRDefault="00DF3EE9" w:rsidP="00F734B5">
            <w:pPr>
              <w:jc w:val="center"/>
              <w:rPr>
                <w:rFonts w:eastAsia="標楷體"/>
              </w:rPr>
            </w:pPr>
            <w:r w:rsidRPr="00F734B5">
              <w:rPr>
                <w:rFonts w:eastAsia="標楷體"/>
              </w:rPr>
              <w:t>0.500</w:t>
            </w:r>
          </w:p>
        </w:tc>
        <w:tc>
          <w:tcPr>
            <w:tcW w:w="2362" w:type="dxa"/>
            <w:gridSpan w:val="2"/>
            <w:tcBorders>
              <w:top w:val="nil"/>
              <w:left w:val="nil"/>
              <w:bottom w:val="single" w:sz="8" w:space="0" w:color="auto"/>
              <w:right w:val="single" w:sz="4" w:space="0" w:color="auto"/>
            </w:tcBorders>
            <w:shd w:val="clear" w:color="auto" w:fill="auto"/>
            <w:noWrap/>
            <w:vAlign w:val="center"/>
            <w:hideMark/>
          </w:tcPr>
          <w:p w:rsidR="00DF3EE9" w:rsidRPr="00F734B5" w:rsidRDefault="00DF3EE9" w:rsidP="00F734B5">
            <w:pPr>
              <w:jc w:val="center"/>
              <w:rPr>
                <w:rFonts w:eastAsia="標楷體"/>
              </w:rPr>
            </w:pPr>
            <w:r w:rsidRPr="00F734B5">
              <w:rPr>
                <w:rFonts w:eastAsia="標楷體"/>
              </w:rPr>
              <w:t>5.17</w:t>
            </w:r>
          </w:p>
        </w:tc>
        <w:tc>
          <w:tcPr>
            <w:tcW w:w="2363" w:type="dxa"/>
            <w:gridSpan w:val="2"/>
            <w:tcBorders>
              <w:top w:val="nil"/>
              <w:left w:val="nil"/>
              <w:bottom w:val="single" w:sz="8" w:space="0" w:color="auto"/>
              <w:right w:val="single" w:sz="4" w:space="0" w:color="auto"/>
            </w:tcBorders>
            <w:shd w:val="clear" w:color="auto" w:fill="auto"/>
            <w:noWrap/>
            <w:vAlign w:val="center"/>
            <w:hideMark/>
          </w:tcPr>
          <w:p w:rsidR="00DF3EE9" w:rsidRPr="00F734B5" w:rsidRDefault="00DF3EE9" w:rsidP="00F734B5">
            <w:pPr>
              <w:jc w:val="center"/>
              <w:rPr>
                <w:rFonts w:eastAsia="標楷體"/>
              </w:rPr>
            </w:pPr>
            <w:r w:rsidRPr="00F734B5">
              <w:rPr>
                <w:rFonts w:eastAsia="標楷體"/>
              </w:rPr>
              <w:t>-4.670</w:t>
            </w:r>
          </w:p>
        </w:tc>
      </w:tr>
    </w:tbl>
    <w:p w:rsidR="00DF3EE9" w:rsidRPr="000515AE" w:rsidRDefault="00DF3EE9" w:rsidP="00AF2F73">
      <w:pPr>
        <w:widowControl/>
        <w:rPr>
          <w:rFonts w:eastAsia="標楷體"/>
          <w:sz w:val="22"/>
          <w:szCs w:val="22"/>
        </w:rPr>
      </w:pPr>
      <w:r w:rsidRPr="000515AE">
        <w:rPr>
          <w:rFonts w:eastAsia="標楷體" w:hint="eastAsia"/>
          <w:sz w:val="22"/>
          <w:szCs w:val="22"/>
        </w:rPr>
        <w:t xml:space="preserve">* </w:t>
      </w:r>
      <w:r w:rsidRPr="000515AE">
        <w:rPr>
          <w:rFonts w:eastAsia="標楷體"/>
          <w:sz w:val="22"/>
          <w:szCs w:val="22"/>
        </w:rPr>
        <w:t>1</w:t>
      </w:r>
      <w:r w:rsidRPr="000515AE">
        <w:rPr>
          <w:rFonts w:eastAsia="標楷體" w:hint="eastAsia"/>
          <w:sz w:val="22"/>
          <w:szCs w:val="22"/>
        </w:rPr>
        <w:t>-</w:t>
      </w:r>
      <w:r w:rsidRPr="000515AE">
        <w:rPr>
          <w:rFonts w:eastAsia="標楷體"/>
          <w:sz w:val="22"/>
          <w:szCs w:val="22"/>
        </w:rPr>
        <w:t>y</w:t>
      </w:r>
      <w:r w:rsidRPr="000515AE">
        <w:rPr>
          <w:rFonts w:eastAsia="標楷體" w:hint="eastAsia"/>
          <w:sz w:val="22"/>
          <w:szCs w:val="22"/>
        </w:rPr>
        <w:t>ear</w:t>
      </w:r>
      <w:r w:rsidRPr="000515AE">
        <w:rPr>
          <w:rFonts w:eastAsia="標楷體"/>
          <w:sz w:val="22"/>
          <w:szCs w:val="22"/>
        </w:rPr>
        <w:t xml:space="preserve"> time</w:t>
      </w:r>
      <w:r>
        <w:rPr>
          <w:rFonts w:eastAsia="標楷體" w:hint="eastAsia"/>
          <w:sz w:val="22"/>
          <w:szCs w:val="22"/>
        </w:rPr>
        <w:t xml:space="preserve"> </w:t>
      </w:r>
      <w:r w:rsidRPr="000515AE">
        <w:rPr>
          <w:rFonts w:eastAsia="標楷體"/>
          <w:sz w:val="22"/>
          <w:szCs w:val="22"/>
        </w:rPr>
        <w:t>deposit</w:t>
      </w:r>
      <w:r w:rsidRPr="000515AE">
        <w:rPr>
          <w:rFonts w:eastAsia="標楷體" w:hint="eastAsia"/>
          <w:sz w:val="22"/>
          <w:szCs w:val="22"/>
        </w:rPr>
        <w:t xml:space="preserve"> floating</w:t>
      </w:r>
      <w:r w:rsidRPr="000515AE">
        <w:rPr>
          <w:rFonts w:eastAsia="標楷體"/>
          <w:sz w:val="22"/>
          <w:szCs w:val="22"/>
        </w:rPr>
        <w:t xml:space="preserve"> rate of the five major domestic banks</w:t>
      </w:r>
      <w:r w:rsidRPr="000515AE">
        <w:rPr>
          <w:rFonts w:eastAsia="標楷體" w:hint="eastAsia"/>
          <w:sz w:val="22"/>
          <w:szCs w:val="22"/>
        </w:rPr>
        <w:t xml:space="preserve">. </w:t>
      </w:r>
    </w:p>
    <w:p w:rsidR="00DF3EE9" w:rsidRPr="000515AE" w:rsidRDefault="00DF3EE9" w:rsidP="00AF2F73">
      <w:pPr>
        <w:snapToGrid w:val="0"/>
        <w:ind w:left="284" w:hangingChars="129" w:hanging="284"/>
        <w:rPr>
          <w:rFonts w:eastAsia="標楷體"/>
          <w:sz w:val="22"/>
          <w:szCs w:val="22"/>
        </w:rPr>
      </w:pPr>
      <w:r w:rsidRPr="000515AE">
        <w:rPr>
          <w:rFonts w:eastAsia="標楷體" w:hint="eastAsia"/>
          <w:sz w:val="22"/>
          <w:szCs w:val="22"/>
        </w:rPr>
        <w:t xml:space="preserve">** </w:t>
      </w:r>
      <w:r w:rsidRPr="000515AE">
        <w:rPr>
          <w:rFonts w:eastAsia="標楷體"/>
          <w:sz w:val="22"/>
          <w:szCs w:val="22"/>
        </w:rPr>
        <w:t>I</w:t>
      </w:r>
      <w:r w:rsidRPr="000515AE">
        <w:rPr>
          <w:rFonts w:eastAsia="標楷體" w:hint="eastAsia"/>
          <w:sz w:val="22"/>
          <w:szCs w:val="22"/>
        </w:rPr>
        <w:t>H</w:t>
      </w:r>
      <w:r w:rsidRPr="000515AE">
        <w:rPr>
          <w:rFonts w:eastAsia="標楷體"/>
          <w:sz w:val="22"/>
          <w:szCs w:val="22"/>
        </w:rPr>
        <w:t>S</w:t>
      </w:r>
      <w:r w:rsidRPr="000515AE">
        <w:rPr>
          <w:rFonts w:eastAsia="標楷體" w:hint="eastAsia"/>
          <w:sz w:val="22"/>
          <w:szCs w:val="22"/>
        </w:rPr>
        <w:t xml:space="preserve"> </w:t>
      </w:r>
      <w:proofErr w:type="spellStart"/>
      <w:r w:rsidRPr="000515AE">
        <w:rPr>
          <w:rFonts w:eastAsia="標楷體" w:hint="eastAsia"/>
          <w:sz w:val="22"/>
          <w:szCs w:val="22"/>
        </w:rPr>
        <w:t>Markit</w:t>
      </w:r>
      <w:proofErr w:type="spellEnd"/>
      <w:r w:rsidRPr="000515AE">
        <w:rPr>
          <w:rFonts w:eastAsia="標楷體"/>
          <w:sz w:val="22"/>
          <w:szCs w:val="22"/>
        </w:rPr>
        <w:t xml:space="preserve"> projections, as of </w:t>
      </w:r>
      <w:r>
        <w:rPr>
          <w:rFonts w:eastAsia="標楷體" w:hint="eastAsia"/>
          <w:sz w:val="22"/>
          <w:szCs w:val="22"/>
        </w:rPr>
        <w:t>Sep</w:t>
      </w:r>
      <w:r w:rsidRPr="000515AE">
        <w:rPr>
          <w:rFonts w:eastAsia="標楷體" w:hint="eastAsia"/>
          <w:sz w:val="22"/>
          <w:szCs w:val="22"/>
        </w:rPr>
        <w:t>.</w:t>
      </w:r>
      <w:r>
        <w:rPr>
          <w:rFonts w:eastAsia="標楷體"/>
          <w:sz w:val="22"/>
          <w:szCs w:val="22"/>
        </w:rPr>
        <w:t xml:space="preserve"> 1</w:t>
      </w:r>
      <w:r>
        <w:rPr>
          <w:rFonts w:eastAsia="標楷體" w:hint="eastAsia"/>
          <w:sz w:val="22"/>
          <w:szCs w:val="22"/>
        </w:rPr>
        <w:t>8</w:t>
      </w:r>
      <w:r w:rsidRPr="000515AE">
        <w:rPr>
          <w:rFonts w:eastAsia="標楷體"/>
          <w:sz w:val="22"/>
          <w:szCs w:val="22"/>
        </w:rPr>
        <w:t>, 201</w:t>
      </w:r>
      <w:r>
        <w:rPr>
          <w:rFonts w:eastAsia="標楷體" w:hint="eastAsia"/>
          <w:sz w:val="22"/>
          <w:szCs w:val="22"/>
        </w:rPr>
        <w:t>8</w:t>
      </w:r>
      <w:r w:rsidRPr="000515AE">
        <w:rPr>
          <w:rFonts w:eastAsia="標楷體"/>
          <w:sz w:val="22"/>
          <w:szCs w:val="22"/>
        </w:rPr>
        <w:t>. Forecast for Taiwan'</w:t>
      </w:r>
      <w:r w:rsidRPr="000515AE">
        <w:rPr>
          <w:rFonts w:eastAsia="標楷體" w:hint="eastAsia"/>
          <w:sz w:val="22"/>
          <w:szCs w:val="22"/>
        </w:rPr>
        <w:t xml:space="preserve">s CPI annual growth rate </w:t>
      </w:r>
      <w:r>
        <w:rPr>
          <w:rFonts w:eastAsia="標楷體" w:hint="eastAsia"/>
          <w:sz w:val="22"/>
          <w:szCs w:val="22"/>
        </w:rPr>
        <w:t>is</w:t>
      </w:r>
      <w:r w:rsidRPr="000515AE">
        <w:rPr>
          <w:rFonts w:eastAsia="標楷體" w:hint="eastAsia"/>
          <w:sz w:val="22"/>
          <w:szCs w:val="22"/>
        </w:rPr>
        <w:t xml:space="preserve"> </w:t>
      </w:r>
      <w:r>
        <w:rPr>
          <w:rFonts w:eastAsia="標楷體" w:hint="eastAsia"/>
          <w:sz w:val="22"/>
          <w:szCs w:val="22"/>
        </w:rPr>
        <w:t xml:space="preserve">the </w:t>
      </w:r>
      <w:r w:rsidRPr="000515AE">
        <w:rPr>
          <w:rFonts w:eastAsia="標楷體" w:hint="eastAsia"/>
          <w:sz w:val="22"/>
          <w:szCs w:val="22"/>
        </w:rPr>
        <w:t>CBC</w:t>
      </w:r>
      <w:r w:rsidRPr="000515AE">
        <w:rPr>
          <w:rFonts w:eastAsia="標楷體"/>
          <w:sz w:val="22"/>
          <w:szCs w:val="22"/>
        </w:rPr>
        <w:t>'</w:t>
      </w:r>
      <w:r>
        <w:rPr>
          <w:rFonts w:eastAsia="標楷體" w:hint="eastAsia"/>
          <w:sz w:val="22"/>
          <w:szCs w:val="22"/>
        </w:rPr>
        <w:t>s projection</w:t>
      </w:r>
      <w:r w:rsidRPr="000515AE">
        <w:rPr>
          <w:rFonts w:eastAsia="標楷體" w:hint="eastAsia"/>
          <w:sz w:val="22"/>
          <w:szCs w:val="22"/>
        </w:rPr>
        <w:t>.</w:t>
      </w:r>
    </w:p>
    <w:p w:rsidR="00226DAD" w:rsidRPr="000515AE" w:rsidRDefault="00226DAD" w:rsidP="0031508D">
      <w:pPr>
        <w:widowControl/>
        <w:adjustRightInd/>
        <w:spacing w:line="240" w:lineRule="auto"/>
        <w:textAlignment w:val="auto"/>
        <w:rPr>
          <w:rFonts w:eastAsia="標楷體"/>
          <w:sz w:val="22"/>
          <w:szCs w:val="22"/>
        </w:rPr>
      </w:pPr>
    </w:p>
    <w:sectPr w:rsidR="00226DAD" w:rsidRPr="000515AE" w:rsidSect="007D5A1A">
      <w:footerReference w:type="default" r:id="rId14"/>
      <w:footerReference w:type="first" r:id="rId15"/>
      <w:pgSz w:w="11907" w:h="16840" w:code="9"/>
      <w:pgMar w:top="1304" w:right="1418" w:bottom="1418" w:left="1418" w:header="0" w:footer="454" w:gutter="0"/>
      <w:paperSrc w:first="15" w:other="15"/>
      <w:cols w:space="425"/>
      <w:docGrid w:linePitch="27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54B0C" w:rsidRDefault="00454B0C">
      <w:r>
        <w:separator/>
      </w:r>
    </w:p>
  </w:endnote>
  <w:endnote w:type="continuationSeparator" w:id="0">
    <w:p w:rsidR="00454B0C" w:rsidRDefault="00454B0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標楷體">
    <w:panose1 w:val="03000509000000000000"/>
    <w:charset w:val="88"/>
    <w:family w:val="script"/>
    <w:pitch w:val="fixed"/>
    <w:sig w:usb0="00000003" w:usb1="080E0000" w:usb2="00000016" w:usb3="00000000" w:csb0="00100001" w:csb1="00000000"/>
  </w:font>
  <w:font w:name="Book Antiqua">
    <w:panose1 w:val="02040602050305030304"/>
    <w:charset w:val="00"/>
    <w:family w:val="roman"/>
    <w:pitch w:val="variable"/>
    <w:sig w:usb0="00000287" w:usb1="00000000" w:usb2="00000000" w:usb3="00000000" w:csb0="0000009F" w:csb1="00000000"/>
  </w:font>
  <w:font w:name="新細明體">
    <w:altName w:val="PMingLiU"/>
    <w:panose1 w:val="02020500000000000000"/>
    <w:charset w:val="88"/>
    <w:family w:val="roman"/>
    <w:pitch w:val="variable"/>
    <w:sig w:usb0="A00002FF" w:usb1="28CFFCFA" w:usb2="00000016" w:usb3="00000000" w:csb0="00100001" w:csb1="00000000"/>
  </w:font>
  <w:font w:name="細明體">
    <w:altName w:val="MingLiU"/>
    <w:panose1 w:val="02020509000000000000"/>
    <w:charset w:val="88"/>
    <w:family w:val="modern"/>
    <w:pitch w:val="fixed"/>
    <w:sig w:usb0="A00002FF" w:usb1="28CFFCFA" w:usb2="00000016" w:usb3="00000000" w:csb0="00100001" w:csb1="00000000"/>
  </w:font>
  <w:font w:name="Arial Unicode MS">
    <w:panose1 w:val="020B0604020202020204"/>
    <w:charset w:val="88"/>
    <w:family w:val="swiss"/>
    <w:pitch w:val="variable"/>
    <w:sig w:usb0="F7FFAFFF" w:usb1="E9DFFFFF" w:usb2="0000003F" w:usb3="00000000" w:csb0="003F01FF" w:csb1="00000000"/>
  </w:font>
  <w:font w:name="華康楷書體W5">
    <w:altName w:val="微軟正黑體"/>
    <w:panose1 w:val="00000000000000000000"/>
    <w:charset w:val="88"/>
    <w:family w:val="script"/>
    <w:notTrueType/>
    <w:pitch w:val="fixed"/>
    <w:sig w:usb0="00000001" w:usb1="08080000" w:usb2="00000010" w:usb3="00000000" w:csb0="001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文鼎中楷">
    <w:altName w:val="Times New Roman"/>
    <w:charset w:val="00"/>
    <w:family w:val="auto"/>
    <w:pitch w:val="variable"/>
    <w:sig w:usb0="00000001" w:usb1="5000785B" w:usb2="00000000" w:usb3="00000000" w:csb0="0000019F" w:csb1="00000000"/>
  </w:font>
  <w:font w:name="華康中楷體">
    <w:altName w:val="Arial Unicode MS"/>
    <w:charset w:val="88"/>
    <w:family w:val="auto"/>
    <w:pitch w:val="variable"/>
    <w:sig w:usb0="80000001" w:usb1="28091800" w:usb2="00000016" w:usb3="00000000" w:csb0="00100000" w:csb1="00000000"/>
  </w:font>
  <w:font w:name="華康仿宋體W6">
    <w:charset w:val="88"/>
    <w:family w:val="modern"/>
    <w:pitch w:val="fixed"/>
    <w:sig w:usb0="80000001" w:usb1="28091800" w:usb2="00000016" w:usb3="00000000" w:csb0="00100000" w:csb1="00000000"/>
  </w:font>
  <w:font w:name="華康隸書體W5">
    <w:altName w:val="Arial Unicode MS"/>
    <w:charset w:val="88"/>
    <w:family w:val="script"/>
    <w:pitch w:val="fixed"/>
    <w:sig w:usb0="80000001" w:usb1="28091800" w:usb2="00000016" w:usb3="00000000" w:csb0="00100000" w:csb1="00000000"/>
  </w:font>
  <w:font w:name="sө">
    <w:altName w:val="Times New Roman"/>
    <w:panose1 w:val="00000000000000000000"/>
    <w:charset w:val="00"/>
    <w:family w:val="roman"/>
    <w:notTrueType/>
    <w:pitch w:val="default"/>
  </w:font>
  <w:font w:name="Garamond">
    <w:panose1 w:val="02020404030301010803"/>
    <w:charset w:val="00"/>
    <w:family w:val="roman"/>
    <w:pitch w:val="variable"/>
    <w:sig w:usb0="00000287" w:usb1="00000000" w:usb2="00000000" w:usb3="00000000" w:csb0="0000009F" w:csb1="00000000"/>
  </w:font>
  <w:font w:name="Verdana">
    <w:panose1 w:val="020B0604030504040204"/>
    <w:charset w:val="00"/>
    <w:family w:val="swiss"/>
    <w:pitch w:val="variable"/>
    <w:sig w:usb0="A10006FF" w:usb1="4000205B" w:usb2="00000010" w:usb3="00000000" w:csb0="0000019F" w:csb1="00000000"/>
  </w:font>
  <w:font w:name="Mangal">
    <w:panose1 w:val="02040503050203030202"/>
    <w:charset w:val="00"/>
    <w:family w:val="roman"/>
    <w:pitch w:val="variable"/>
    <w:sig w:usb0="00008003" w:usb1="00000000" w:usb2="00000000" w:usb3="00000000" w:csb0="00000001"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F1B4F" w:rsidRDefault="007F1B4F">
    <w:pPr>
      <w:pStyle w:val="a5"/>
      <w:framePr w:wrap="auto" w:vAnchor="text" w:hAnchor="margin" w:xAlign="right" w:y="1"/>
      <w:textDirection w:val="lrTbV"/>
      <w:rPr>
        <w:rStyle w:val="a9"/>
      </w:rPr>
    </w:pPr>
    <w:r>
      <w:rPr>
        <w:rStyle w:val="a9"/>
      </w:rPr>
      <w:fldChar w:fldCharType="begin"/>
    </w:r>
    <w:r>
      <w:rPr>
        <w:rStyle w:val="a9"/>
      </w:rPr>
      <w:instrText xml:space="preserve">PAGE  </w:instrText>
    </w:r>
    <w:r>
      <w:rPr>
        <w:rStyle w:val="a9"/>
      </w:rPr>
      <w:fldChar w:fldCharType="separate"/>
    </w:r>
    <w:r>
      <w:rPr>
        <w:rStyle w:val="a9"/>
        <w:noProof/>
      </w:rPr>
      <w:t>8</w:t>
    </w:r>
    <w:r>
      <w:rPr>
        <w:rStyle w:val="a9"/>
      </w:rPr>
      <w:fldChar w:fldCharType="end"/>
    </w:r>
  </w:p>
  <w:p w:rsidR="007F1B4F" w:rsidRDefault="007F1B4F">
    <w:pPr>
      <w:pStyle w:val="a5"/>
      <w:ind w:right="360"/>
      <w:textDirection w:val="lrTbV"/>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F1B4F" w:rsidRDefault="007F1B4F">
    <w:pPr>
      <w:pStyle w:val="a5"/>
      <w:jc w:val="center"/>
    </w:pPr>
  </w:p>
  <w:p w:rsidR="007F1B4F" w:rsidRDefault="007F1B4F">
    <w:pPr>
      <w:pStyle w:val="a5"/>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469011621"/>
      <w:docPartObj>
        <w:docPartGallery w:val="Page Numbers (Bottom of Page)"/>
        <w:docPartUnique/>
      </w:docPartObj>
    </w:sdtPr>
    <w:sdtEndPr/>
    <w:sdtContent>
      <w:p w:rsidR="007D5A1A" w:rsidRDefault="007D5A1A">
        <w:pPr>
          <w:pStyle w:val="a5"/>
          <w:jc w:val="center"/>
        </w:pPr>
        <w:r>
          <w:fldChar w:fldCharType="begin"/>
        </w:r>
        <w:r>
          <w:instrText>PAGE   \* MERGEFORMAT</w:instrText>
        </w:r>
        <w:r>
          <w:fldChar w:fldCharType="separate"/>
        </w:r>
        <w:r w:rsidR="00A8494F" w:rsidRPr="00A8494F">
          <w:rPr>
            <w:noProof/>
            <w:lang w:val="zh-TW"/>
          </w:rPr>
          <w:t>1</w:t>
        </w:r>
        <w:r>
          <w:fldChar w:fldCharType="end"/>
        </w:r>
      </w:p>
    </w:sdtContent>
  </w:sdt>
  <w:p w:rsidR="007F1B4F" w:rsidRDefault="007F1B4F"/>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290389707"/>
      <w:docPartObj>
        <w:docPartGallery w:val="Page Numbers (Bottom of Page)"/>
        <w:docPartUnique/>
      </w:docPartObj>
    </w:sdtPr>
    <w:sdtEndPr/>
    <w:sdtContent>
      <w:p w:rsidR="007F1B4F" w:rsidRDefault="007F1B4F">
        <w:pPr>
          <w:pStyle w:val="a5"/>
          <w:jc w:val="center"/>
        </w:pPr>
        <w:r>
          <w:fldChar w:fldCharType="begin"/>
        </w:r>
        <w:r>
          <w:instrText>PAGE   \* MERGEFORMAT</w:instrText>
        </w:r>
        <w:r>
          <w:fldChar w:fldCharType="separate"/>
        </w:r>
        <w:r w:rsidR="00A8494F" w:rsidRPr="00A8494F">
          <w:rPr>
            <w:noProof/>
            <w:lang w:val="zh-TW"/>
          </w:rPr>
          <w:t>6</w:t>
        </w:r>
        <w:r>
          <w:fldChar w:fldCharType="end"/>
        </w:r>
      </w:p>
    </w:sdtContent>
  </w:sdt>
  <w:p w:rsidR="007F1B4F" w:rsidRDefault="007F1B4F">
    <w:pPr>
      <w:pStyle w:val="a5"/>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2002933915"/>
      <w:docPartObj>
        <w:docPartGallery w:val="Page Numbers (Bottom of Page)"/>
        <w:docPartUnique/>
      </w:docPartObj>
    </w:sdtPr>
    <w:sdtEndPr/>
    <w:sdtContent>
      <w:p w:rsidR="007F1B4F" w:rsidRDefault="007F1B4F">
        <w:pPr>
          <w:pStyle w:val="a5"/>
          <w:jc w:val="center"/>
        </w:pPr>
        <w:r>
          <w:fldChar w:fldCharType="begin"/>
        </w:r>
        <w:r>
          <w:instrText>PAGE   \* MERGEFORMAT</w:instrText>
        </w:r>
        <w:r>
          <w:fldChar w:fldCharType="separate"/>
        </w:r>
        <w:r w:rsidRPr="00590406">
          <w:rPr>
            <w:noProof/>
            <w:lang w:val="zh-TW"/>
          </w:rPr>
          <w:t>1</w:t>
        </w:r>
        <w:r>
          <w:fldChar w:fldCharType="end"/>
        </w:r>
      </w:p>
    </w:sdtContent>
  </w:sdt>
  <w:p w:rsidR="007F1B4F" w:rsidRDefault="007F1B4F">
    <w:pPr>
      <w:pStyle w:val="a5"/>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54B0C" w:rsidRDefault="00454B0C">
      <w:r>
        <w:separator/>
      </w:r>
    </w:p>
  </w:footnote>
  <w:footnote w:type="continuationSeparator" w:id="0">
    <w:p w:rsidR="00454B0C" w:rsidRDefault="00454B0C">
      <w:r>
        <w:continuationSeparator/>
      </w:r>
    </w:p>
  </w:footnote>
  <w:footnote w:id="1">
    <w:p w:rsidR="007F1B4F" w:rsidRDefault="007F1B4F" w:rsidP="00363599">
      <w:pPr>
        <w:pStyle w:val="afb"/>
      </w:pPr>
      <w:r w:rsidRPr="00554255">
        <w:rPr>
          <w:rStyle w:val="afd"/>
          <w:sz w:val="21"/>
        </w:rPr>
        <w:footnoteRef/>
      </w:r>
      <w:r w:rsidRPr="00554255">
        <w:rPr>
          <w:sz w:val="21"/>
        </w:rPr>
        <w:t xml:space="preserve"> This English translation is provided for information purposes only</w:t>
      </w:r>
      <w:r w:rsidRPr="00554255">
        <w:rPr>
          <w:rFonts w:hint="eastAsia"/>
          <w:sz w:val="21"/>
        </w:rPr>
        <w:t>;</w:t>
      </w:r>
      <w:r w:rsidRPr="00554255">
        <w:rPr>
          <w:sz w:val="21"/>
        </w:rPr>
        <w:t xml:space="preserve"> the Chinese version shall prevail in case of discrepancies.</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F1B4F" w:rsidRDefault="007F1B4F" w:rsidP="00527E73">
    <w:pPr>
      <w:jc w:val="right"/>
      <w:rPr>
        <w:rFonts w:eastAsia="標楷體"/>
      </w:rPr>
    </w:pPr>
  </w:p>
  <w:p w:rsidR="007F1B4F" w:rsidRPr="00A76EF5" w:rsidRDefault="007F1B4F" w:rsidP="00527E73">
    <w:pPr>
      <w:jc w:val="right"/>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5B54AA"/>
    <w:multiLevelType w:val="hybridMultilevel"/>
    <w:tmpl w:val="95D8E28A"/>
    <w:lvl w:ilvl="0" w:tplc="F24E37B8">
      <w:start w:val="1"/>
      <w:numFmt w:val="decimal"/>
      <w:lvlText w:val="%1、"/>
      <w:lvlJc w:val="left"/>
      <w:pPr>
        <w:ind w:left="1892" w:hanging="720"/>
      </w:pPr>
      <w:rPr>
        <w:rFonts w:ascii="Times New Roman" w:hAnsi="Times New Roman" w:hint="default"/>
        <w:b w:val="0"/>
        <w:i w:val="0"/>
        <w:color w:val="auto"/>
        <w:sz w:val="32"/>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
    <w:nsid w:val="035C1A4D"/>
    <w:multiLevelType w:val="hybridMultilevel"/>
    <w:tmpl w:val="54F80464"/>
    <w:lvl w:ilvl="0" w:tplc="892CC06E">
      <w:start w:val="1"/>
      <w:numFmt w:val="taiwaneseCountingThousand"/>
      <w:lvlText w:val="(%1)"/>
      <w:lvlJc w:val="left"/>
      <w:pPr>
        <w:ind w:left="1530" w:hanging="792"/>
      </w:pPr>
      <w:rPr>
        <w:rFonts w:hint="default"/>
      </w:rPr>
    </w:lvl>
    <w:lvl w:ilvl="1" w:tplc="04090019" w:tentative="1">
      <w:start w:val="1"/>
      <w:numFmt w:val="ideographTraditional"/>
      <w:lvlText w:val="%2、"/>
      <w:lvlJc w:val="left"/>
      <w:pPr>
        <w:ind w:left="1698" w:hanging="480"/>
      </w:pPr>
    </w:lvl>
    <w:lvl w:ilvl="2" w:tplc="0409001B" w:tentative="1">
      <w:start w:val="1"/>
      <w:numFmt w:val="lowerRoman"/>
      <w:lvlText w:val="%3."/>
      <w:lvlJc w:val="right"/>
      <w:pPr>
        <w:ind w:left="2178" w:hanging="480"/>
      </w:pPr>
    </w:lvl>
    <w:lvl w:ilvl="3" w:tplc="0409000F" w:tentative="1">
      <w:start w:val="1"/>
      <w:numFmt w:val="decimal"/>
      <w:lvlText w:val="%4."/>
      <w:lvlJc w:val="left"/>
      <w:pPr>
        <w:ind w:left="2658" w:hanging="480"/>
      </w:pPr>
    </w:lvl>
    <w:lvl w:ilvl="4" w:tplc="04090019" w:tentative="1">
      <w:start w:val="1"/>
      <w:numFmt w:val="ideographTraditional"/>
      <w:lvlText w:val="%5、"/>
      <w:lvlJc w:val="left"/>
      <w:pPr>
        <w:ind w:left="3138" w:hanging="480"/>
      </w:pPr>
    </w:lvl>
    <w:lvl w:ilvl="5" w:tplc="0409001B" w:tentative="1">
      <w:start w:val="1"/>
      <w:numFmt w:val="lowerRoman"/>
      <w:lvlText w:val="%6."/>
      <w:lvlJc w:val="right"/>
      <w:pPr>
        <w:ind w:left="3618" w:hanging="480"/>
      </w:pPr>
    </w:lvl>
    <w:lvl w:ilvl="6" w:tplc="0409000F" w:tentative="1">
      <w:start w:val="1"/>
      <w:numFmt w:val="decimal"/>
      <w:lvlText w:val="%7."/>
      <w:lvlJc w:val="left"/>
      <w:pPr>
        <w:ind w:left="4098" w:hanging="480"/>
      </w:pPr>
    </w:lvl>
    <w:lvl w:ilvl="7" w:tplc="04090019" w:tentative="1">
      <w:start w:val="1"/>
      <w:numFmt w:val="ideographTraditional"/>
      <w:lvlText w:val="%8、"/>
      <w:lvlJc w:val="left"/>
      <w:pPr>
        <w:ind w:left="4578" w:hanging="480"/>
      </w:pPr>
    </w:lvl>
    <w:lvl w:ilvl="8" w:tplc="0409001B" w:tentative="1">
      <w:start w:val="1"/>
      <w:numFmt w:val="lowerRoman"/>
      <w:lvlText w:val="%9."/>
      <w:lvlJc w:val="right"/>
      <w:pPr>
        <w:ind w:left="5058" w:hanging="480"/>
      </w:pPr>
    </w:lvl>
  </w:abstractNum>
  <w:abstractNum w:abstractNumId="2">
    <w:nsid w:val="0B305A87"/>
    <w:multiLevelType w:val="hybridMultilevel"/>
    <w:tmpl w:val="2EB67CD2"/>
    <w:lvl w:ilvl="0" w:tplc="98FA2CF2">
      <w:start w:val="1"/>
      <w:numFmt w:val="upperRoman"/>
      <w:lvlText w:val="%1."/>
      <w:lvlJc w:val="left"/>
      <w:pPr>
        <w:tabs>
          <w:tab w:val="num" w:pos="480"/>
        </w:tabs>
        <w:ind w:left="480" w:hanging="480"/>
      </w:pPr>
      <w:rPr>
        <w:rFonts w:cs="Times New Roman" w:hint="eastAsia"/>
      </w:rPr>
    </w:lvl>
    <w:lvl w:ilvl="1" w:tplc="8AE84C88">
      <w:start w:val="1"/>
      <w:numFmt w:val="decimal"/>
      <w:lvlText w:val="%2."/>
      <w:lvlJc w:val="left"/>
      <w:pPr>
        <w:tabs>
          <w:tab w:val="num" w:pos="840"/>
        </w:tabs>
        <w:ind w:left="840" w:hanging="360"/>
      </w:pPr>
      <w:rPr>
        <w:rFonts w:cs="Times New Roman" w:hint="eastAsia"/>
      </w:rPr>
    </w:lvl>
    <w:lvl w:ilvl="2" w:tplc="0409001B" w:tentative="1">
      <w:start w:val="1"/>
      <w:numFmt w:val="lowerRoman"/>
      <w:lvlText w:val="%3."/>
      <w:lvlJc w:val="right"/>
      <w:pPr>
        <w:tabs>
          <w:tab w:val="num" w:pos="1440"/>
        </w:tabs>
        <w:ind w:left="1440" w:hanging="480"/>
      </w:pPr>
      <w:rPr>
        <w:rFonts w:cs="Times New Roman"/>
      </w:rPr>
    </w:lvl>
    <w:lvl w:ilvl="3" w:tplc="0409000F" w:tentative="1">
      <w:start w:val="1"/>
      <w:numFmt w:val="decimal"/>
      <w:lvlText w:val="%4."/>
      <w:lvlJc w:val="left"/>
      <w:pPr>
        <w:tabs>
          <w:tab w:val="num" w:pos="1920"/>
        </w:tabs>
        <w:ind w:left="1920" w:hanging="480"/>
      </w:pPr>
      <w:rPr>
        <w:rFonts w:cs="Times New Roman"/>
      </w:rPr>
    </w:lvl>
    <w:lvl w:ilvl="4" w:tplc="04090019" w:tentative="1">
      <w:start w:val="1"/>
      <w:numFmt w:val="ideographTraditional"/>
      <w:lvlText w:val="%5、"/>
      <w:lvlJc w:val="left"/>
      <w:pPr>
        <w:tabs>
          <w:tab w:val="num" w:pos="2400"/>
        </w:tabs>
        <w:ind w:left="2400" w:hanging="480"/>
      </w:pPr>
      <w:rPr>
        <w:rFonts w:cs="Times New Roman"/>
      </w:rPr>
    </w:lvl>
    <w:lvl w:ilvl="5" w:tplc="0409001B" w:tentative="1">
      <w:start w:val="1"/>
      <w:numFmt w:val="lowerRoman"/>
      <w:lvlText w:val="%6."/>
      <w:lvlJc w:val="right"/>
      <w:pPr>
        <w:tabs>
          <w:tab w:val="num" w:pos="2880"/>
        </w:tabs>
        <w:ind w:left="2880" w:hanging="480"/>
      </w:pPr>
      <w:rPr>
        <w:rFonts w:cs="Times New Roman"/>
      </w:rPr>
    </w:lvl>
    <w:lvl w:ilvl="6" w:tplc="0409000F" w:tentative="1">
      <w:start w:val="1"/>
      <w:numFmt w:val="decimal"/>
      <w:lvlText w:val="%7."/>
      <w:lvlJc w:val="left"/>
      <w:pPr>
        <w:tabs>
          <w:tab w:val="num" w:pos="3360"/>
        </w:tabs>
        <w:ind w:left="3360" w:hanging="480"/>
      </w:pPr>
      <w:rPr>
        <w:rFonts w:cs="Times New Roman"/>
      </w:rPr>
    </w:lvl>
    <w:lvl w:ilvl="7" w:tplc="04090019" w:tentative="1">
      <w:start w:val="1"/>
      <w:numFmt w:val="ideographTraditional"/>
      <w:lvlText w:val="%8、"/>
      <w:lvlJc w:val="left"/>
      <w:pPr>
        <w:tabs>
          <w:tab w:val="num" w:pos="3840"/>
        </w:tabs>
        <w:ind w:left="3840" w:hanging="480"/>
      </w:pPr>
      <w:rPr>
        <w:rFonts w:cs="Times New Roman"/>
      </w:rPr>
    </w:lvl>
    <w:lvl w:ilvl="8" w:tplc="0409001B" w:tentative="1">
      <w:start w:val="1"/>
      <w:numFmt w:val="lowerRoman"/>
      <w:lvlText w:val="%9."/>
      <w:lvlJc w:val="right"/>
      <w:pPr>
        <w:tabs>
          <w:tab w:val="num" w:pos="4320"/>
        </w:tabs>
        <w:ind w:left="4320" w:hanging="480"/>
      </w:pPr>
      <w:rPr>
        <w:rFonts w:cs="Times New Roman"/>
      </w:rPr>
    </w:lvl>
  </w:abstractNum>
  <w:abstractNum w:abstractNumId="3">
    <w:nsid w:val="0BB67B8F"/>
    <w:multiLevelType w:val="hybridMultilevel"/>
    <w:tmpl w:val="8F52CADC"/>
    <w:lvl w:ilvl="0" w:tplc="F2B0F786">
      <w:start w:val="1"/>
      <w:numFmt w:val="decimal"/>
      <w:lvlText w:val="(%1)"/>
      <w:lvlJc w:val="left"/>
      <w:pPr>
        <w:ind w:left="1512" w:hanging="960"/>
      </w:pPr>
      <w:rPr>
        <w:rFonts w:hint="default"/>
      </w:rPr>
    </w:lvl>
    <w:lvl w:ilvl="1" w:tplc="04090019" w:tentative="1">
      <w:start w:val="1"/>
      <w:numFmt w:val="ideographTraditional"/>
      <w:lvlText w:val="%2、"/>
      <w:lvlJc w:val="left"/>
      <w:pPr>
        <w:ind w:left="1512" w:hanging="480"/>
      </w:pPr>
    </w:lvl>
    <w:lvl w:ilvl="2" w:tplc="0409001B" w:tentative="1">
      <w:start w:val="1"/>
      <w:numFmt w:val="lowerRoman"/>
      <w:lvlText w:val="%3."/>
      <w:lvlJc w:val="right"/>
      <w:pPr>
        <w:ind w:left="1992" w:hanging="480"/>
      </w:pPr>
    </w:lvl>
    <w:lvl w:ilvl="3" w:tplc="0409000F" w:tentative="1">
      <w:start w:val="1"/>
      <w:numFmt w:val="decimal"/>
      <w:lvlText w:val="%4."/>
      <w:lvlJc w:val="left"/>
      <w:pPr>
        <w:ind w:left="2472" w:hanging="480"/>
      </w:pPr>
    </w:lvl>
    <w:lvl w:ilvl="4" w:tplc="04090019" w:tentative="1">
      <w:start w:val="1"/>
      <w:numFmt w:val="ideographTraditional"/>
      <w:lvlText w:val="%5、"/>
      <w:lvlJc w:val="left"/>
      <w:pPr>
        <w:ind w:left="2952" w:hanging="480"/>
      </w:pPr>
    </w:lvl>
    <w:lvl w:ilvl="5" w:tplc="0409001B" w:tentative="1">
      <w:start w:val="1"/>
      <w:numFmt w:val="lowerRoman"/>
      <w:lvlText w:val="%6."/>
      <w:lvlJc w:val="right"/>
      <w:pPr>
        <w:ind w:left="3432" w:hanging="480"/>
      </w:pPr>
    </w:lvl>
    <w:lvl w:ilvl="6" w:tplc="0409000F" w:tentative="1">
      <w:start w:val="1"/>
      <w:numFmt w:val="decimal"/>
      <w:lvlText w:val="%7."/>
      <w:lvlJc w:val="left"/>
      <w:pPr>
        <w:ind w:left="3912" w:hanging="480"/>
      </w:pPr>
    </w:lvl>
    <w:lvl w:ilvl="7" w:tplc="04090019" w:tentative="1">
      <w:start w:val="1"/>
      <w:numFmt w:val="ideographTraditional"/>
      <w:lvlText w:val="%8、"/>
      <w:lvlJc w:val="left"/>
      <w:pPr>
        <w:ind w:left="4392" w:hanging="480"/>
      </w:pPr>
    </w:lvl>
    <w:lvl w:ilvl="8" w:tplc="0409001B" w:tentative="1">
      <w:start w:val="1"/>
      <w:numFmt w:val="lowerRoman"/>
      <w:lvlText w:val="%9."/>
      <w:lvlJc w:val="right"/>
      <w:pPr>
        <w:ind w:left="4872" w:hanging="480"/>
      </w:pPr>
    </w:lvl>
  </w:abstractNum>
  <w:abstractNum w:abstractNumId="4">
    <w:nsid w:val="0C5006BA"/>
    <w:multiLevelType w:val="hybridMultilevel"/>
    <w:tmpl w:val="028026DE"/>
    <w:lvl w:ilvl="0" w:tplc="F3EE8AC4">
      <w:start w:val="1"/>
      <w:numFmt w:val="taiwaneseCountingThousand"/>
      <w:pStyle w:val="2"/>
      <w:suff w:val="nothing"/>
      <w:lvlText w:val="(%1)"/>
      <w:lvlJc w:val="left"/>
      <w:pPr>
        <w:ind w:left="1437" w:hanging="1080"/>
      </w:pPr>
      <w:rPr>
        <w:rFonts w:ascii="標楷體" w:eastAsia="標楷體" w:hAnsi="標楷體" w:hint="eastAsia"/>
        <w:color w:val="auto"/>
        <w:u w:val="none"/>
      </w:rPr>
    </w:lvl>
    <w:lvl w:ilvl="1" w:tplc="04090019" w:tentative="1">
      <w:start w:val="1"/>
      <w:numFmt w:val="ideographTraditional"/>
      <w:lvlText w:val="%2、"/>
      <w:lvlJc w:val="left"/>
      <w:pPr>
        <w:ind w:left="1300" w:hanging="480"/>
      </w:pPr>
    </w:lvl>
    <w:lvl w:ilvl="2" w:tplc="0409001B" w:tentative="1">
      <w:start w:val="1"/>
      <w:numFmt w:val="lowerRoman"/>
      <w:lvlText w:val="%3."/>
      <w:lvlJc w:val="right"/>
      <w:pPr>
        <w:ind w:left="1780" w:hanging="480"/>
      </w:pPr>
    </w:lvl>
    <w:lvl w:ilvl="3" w:tplc="0409000F" w:tentative="1">
      <w:start w:val="1"/>
      <w:numFmt w:val="decimal"/>
      <w:lvlText w:val="%4."/>
      <w:lvlJc w:val="left"/>
      <w:pPr>
        <w:ind w:left="2260" w:hanging="480"/>
      </w:pPr>
    </w:lvl>
    <w:lvl w:ilvl="4" w:tplc="04090019" w:tentative="1">
      <w:start w:val="1"/>
      <w:numFmt w:val="ideographTraditional"/>
      <w:lvlText w:val="%5、"/>
      <w:lvlJc w:val="left"/>
      <w:pPr>
        <w:ind w:left="2740" w:hanging="480"/>
      </w:pPr>
    </w:lvl>
    <w:lvl w:ilvl="5" w:tplc="0409001B" w:tentative="1">
      <w:start w:val="1"/>
      <w:numFmt w:val="lowerRoman"/>
      <w:lvlText w:val="%6."/>
      <w:lvlJc w:val="right"/>
      <w:pPr>
        <w:ind w:left="3220" w:hanging="480"/>
      </w:pPr>
    </w:lvl>
    <w:lvl w:ilvl="6" w:tplc="0409000F" w:tentative="1">
      <w:start w:val="1"/>
      <w:numFmt w:val="decimal"/>
      <w:lvlText w:val="%7."/>
      <w:lvlJc w:val="left"/>
      <w:pPr>
        <w:ind w:left="3700" w:hanging="480"/>
      </w:pPr>
    </w:lvl>
    <w:lvl w:ilvl="7" w:tplc="04090019" w:tentative="1">
      <w:start w:val="1"/>
      <w:numFmt w:val="ideographTraditional"/>
      <w:lvlText w:val="%8、"/>
      <w:lvlJc w:val="left"/>
      <w:pPr>
        <w:ind w:left="4180" w:hanging="480"/>
      </w:pPr>
    </w:lvl>
    <w:lvl w:ilvl="8" w:tplc="0409001B" w:tentative="1">
      <w:start w:val="1"/>
      <w:numFmt w:val="lowerRoman"/>
      <w:lvlText w:val="%9."/>
      <w:lvlJc w:val="right"/>
      <w:pPr>
        <w:ind w:left="4660" w:hanging="480"/>
      </w:pPr>
    </w:lvl>
  </w:abstractNum>
  <w:abstractNum w:abstractNumId="5">
    <w:nsid w:val="111B63F8"/>
    <w:multiLevelType w:val="hybridMultilevel"/>
    <w:tmpl w:val="EDC43B7E"/>
    <w:lvl w:ilvl="0" w:tplc="F65CCD78">
      <w:start w:val="1"/>
      <w:numFmt w:val="decimal"/>
      <w:lvlText w:val="%1、"/>
      <w:lvlJc w:val="left"/>
      <w:pPr>
        <w:ind w:left="1892" w:hanging="720"/>
      </w:pPr>
      <w:rPr>
        <w:rFonts w:ascii="Times New Roman" w:hAnsi="Times New Roman" w:hint="default"/>
        <w:b w:val="0"/>
        <w:i w:val="0"/>
        <w:color w:val="auto"/>
        <w:sz w:val="32"/>
      </w:rPr>
    </w:lvl>
    <w:lvl w:ilvl="1" w:tplc="63AC1ED0">
      <w:start w:val="1"/>
      <w:numFmt w:val="taiwaneseCountingThousand"/>
      <w:lvlText w:val="(%2)"/>
      <w:lvlJc w:val="left"/>
      <w:pPr>
        <w:ind w:left="2372" w:hanging="720"/>
      </w:pPr>
      <w:rPr>
        <w:rFonts w:hint="default"/>
      </w:rPr>
    </w:lvl>
    <w:lvl w:ilvl="2" w:tplc="0409001B">
      <w:start w:val="1"/>
      <w:numFmt w:val="lowerRoman"/>
      <w:lvlText w:val="%3."/>
      <w:lvlJc w:val="right"/>
      <w:pPr>
        <w:ind w:left="2612" w:hanging="480"/>
      </w:pPr>
    </w:lvl>
    <w:lvl w:ilvl="3" w:tplc="0409000F">
      <w:start w:val="1"/>
      <w:numFmt w:val="decimal"/>
      <w:lvlText w:val="%4."/>
      <w:lvlJc w:val="left"/>
      <w:pPr>
        <w:ind w:left="3092" w:hanging="480"/>
      </w:pPr>
    </w:lvl>
    <w:lvl w:ilvl="4" w:tplc="04090019" w:tentative="1">
      <w:start w:val="1"/>
      <w:numFmt w:val="ideographTraditional"/>
      <w:lvlText w:val="%5、"/>
      <w:lvlJc w:val="left"/>
      <w:pPr>
        <w:ind w:left="3572" w:hanging="480"/>
      </w:pPr>
    </w:lvl>
    <w:lvl w:ilvl="5" w:tplc="0409001B" w:tentative="1">
      <w:start w:val="1"/>
      <w:numFmt w:val="lowerRoman"/>
      <w:lvlText w:val="%6."/>
      <w:lvlJc w:val="right"/>
      <w:pPr>
        <w:ind w:left="4052" w:hanging="480"/>
      </w:pPr>
    </w:lvl>
    <w:lvl w:ilvl="6" w:tplc="0409000F" w:tentative="1">
      <w:start w:val="1"/>
      <w:numFmt w:val="decimal"/>
      <w:lvlText w:val="%7."/>
      <w:lvlJc w:val="left"/>
      <w:pPr>
        <w:ind w:left="4532" w:hanging="480"/>
      </w:pPr>
    </w:lvl>
    <w:lvl w:ilvl="7" w:tplc="04090019" w:tentative="1">
      <w:start w:val="1"/>
      <w:numFmt w:val="ideographTraditional"/>
      <w:lvlText w:val="%8、"/>
      <w:lvlJc w:val="left"/>
      <w:pPr>
        <w:ind w:left="5012" w:hanging="480"/>
      </w:pPr>
    </w:lvl>
    <w:lvl w:ilvl="8" w:tplc="0409001B" w:tentative="1">
      <w:start w:val="1"/>
      <w:numFmt w:val="lowerRoman"/>
      <w:lvlText w:val="%9."/>
      <w:lvlJc w:val="right"/>
      <w:pPr>
        <w:ind w:left="5492" w:hanging="480"/>
      </w:pPr>
    </w:lvl>
  </w:abstractNum>
  <w:abstractNum w:abstractNumId="6">
    <w:nsid w:val="18496F15"/>
    <w:multiLevelType w:val="hybridMultilevel"/>
    <w:tmpl w:val="32AA09EE"/>
    <w:lvl w:ilvl="0" w:tplc="4E88451E">
      <w:start w:val="1"/>
      <w:numFmt w:val="taiwaneseCountingThousand"/>
      <w:suff w:val="nothing"/>
      <w:lvlText w:val="(%1)"/>
      <w:lvlJc w:val="left"/>
      <w:pPr>
        <w:ind w:left="764" w:hanging="480"/>
      </w:pPr>
      <w:rPr>
        <w:rFonts w:ascii="Times New Roman" w:eastAsia="標楷體" w:hAnsi="Times New Roman" w:cs="Times New Roman" w:hint="default"/>
        <w:color w:val="auto"/>
        <w:u w:val="none"/>
      </w:rPr>
    </w:lvl>
    <w:lvl w:ilvl="1" w:tplc="04090019" w:tentative="1">
      <w:start w:val="1"/>
      <w:numFmt w:val="ideographTraditional"/>
      <w:lvlText w:val="%2、"/>
      <w:lvlJc w:val="left"/>
      <w:pPr>
        <w:ind w:left="1697" w:hanging="480"/>
      </w:pPr>
    </w:lvl>
    <w:lvl w:ilvl="2" w:tplc="0409001B" w:tentative="1">
      <w:start w:val="1"/>
      <w:numFmt w:val="lowerRoman"/>
      <w:lvlText w:val="%3."/>
      <w:lvlJc w:val="right"/>
      <w:pPr>
        <w:ind w:left="2177" w:hanging="480"/>
      </w:pPr>
    </w:lvl>
    <w:lvl w:ilvl="3" w:tplc="0409000F" w:tentative="1">
      <w:start w:val="1"/>
      <w:numFmt w:val="decimal"/>
      <w:lvlText w:val="%4."/>
      <w:lvlJc w:val="left"/>
      <w:pPr>
        <w:ind w:left="2657" w:hanging="480"/>
      </w:pPr>
    </w:lvl>
    <w:lvl w:ilvl="4" w:tplc="04090019" w:tentative="1">
      <w:start w:val="1"/>
      <w:numFmt w:val="ideographTraditional"/>
      <w:lvlText w:val="%5、"/>
      <w:lvlJc w:val="left"/>
      <w:pPr>
        <w:ind w:left="3137" w:hanging="480"/>
      </w:pPr>
    </w:lvl>
    <w:lvl w:ilvl="5" w:tplc="0409001B" w:tentative="1">
      <w:start w:val="1"/>
      <w:numFmt w:val="lowerRoman"/>
      <w:lvlText w:val="%6."/>
      <w:lvlJc w:val="right"/>
      <w:pPr>
        <w:ind w:left="3617" w:hanging="480"/>
      </w:pPr>
    </w:lvl>
    <w:lvl w:ilvl="6" w:tplc="0409000F" w:tentative="1">
      <w:start w:val="1"/>
      <w:numFmt w:val="decimal"/>
      <w:lvlText w:val="%7."/>
      <w:lvlJc w:val="left"/>
      <w:pPr>
        <w:ind w:left="4097" w:hanging="480"/>
      </w:pPr>
    </w:lvl>
    <w:lvl w:ilvl="7" w:tplc="04090019" w:tentative="1">
      <w:start w:val="1"/>
      <w:numFmt w:val="ideographTraditional"/>
      <w:lvlText w:val="%8、"/>
      <w:lvlJc w:val="left"/>
      <w:pPr>
        <w:ind w:left="4577" w:hanging="480"/>
      </w:pPr>
    </w:lvl>
    <w:lvl w:ilvl="8" w:tplc="0409001B" w:tentative="1">
      <w:start w:val="1"/>
      <w:numFmt w:val="lowerRoman"/>
      <w:lvlText w:val="%9."/>
      <w:lvlJc w:val="right"/>
      <w:pPr>
        <w:ind w:left="5057" w:hanging="480"/>
      </w:pPr>
    </w:lvl>
  </w:abstractNum>
  <w:abstractNum w:abstractNumId="7">
    <w:nsid w:val="1AED194C"/>
    <w:multiLevelType w:val="hybridMultilevel"/>
    <w:tmpl w:val="744054DC"/>
    <w:lvl w:ilvl="0" w:tplc="E068B746">
      <w:start w:val="1"/>
      <w:numFmt w:val="taiwaneseCountingThousand"/>
      <w:suff w:val="nothing"/>
      <w:lvlText w:val="第%1案："/>
      <w:lvlJc w:val="left"/>
      <w:pPr>
        <w:ind w:left="480" w:hanging="480"/>
      </w:pPr>
      <w:rPr>
        <w:rFonts w:eastAsia="標楷體" w:hint="eastAsia"/>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8">
    <w:nsid w:val="1FE428C4"/>
    <w:multiLevelType w:val="hybridMultilevel"/>
    <w:tmpl w:val="5918866A"/>
    <w:lvl w:ilvl="0" w:tplc="0F04625E">
      <w:start w:val="1"/>
      <w:numFmt w:val="decimal"/>
      <w:lvlText w:val="(%1)"/>
      <w:lvlJc w:val="left"/>
      <w:pPr>
        <w:ind w:left="1032" w:hanging="480"/>
      </w:pPr>
      <w:rPr>
        <w:rFonts w:hint="eastAsia"/>
      </w:rPr>
    </w:lvl>
    <w:lvl w:ilvl="1" w:tplc="04090019" w:tentative="1">
      <w:start w:val="1"/>
      <w:numFmt w:val="ideographTraditional"/>
      <w:lvlText w:val="%2、"/>
      <w:lvlJc w:val="left"/>
      <w:pPr>
        <w:ind w:left="1512" w:hanging="480"/>
      </w:pPr>
    </w:lvl>
    <w:lvl w:ilvl="2" w:tplc="0409001B" w:tentative="1">
      <w:start w:val="1"/>
      <w:numFmt w:val="lowerRoman"/>
      <w:lvlText w:val="%3."/>
      <w:lvlJc w:val="right"/>
      <w:pPr>
        <w:ind w:left="1992" w:hanging="480"/>
      </w:pPr>
    </w:lvl>
    <w:lvl w:ilvl="3" w:tplc="0409000F" w:tentative="1">
      <w:start w:val="1"/>
      <w:numFmt w:val="decimal"/>
      <w:lvlText w:val="%4."/>
      <w:lvlJc w:val="left"/>
      <w:pPr>
        <w:ind w:left="2472" w:hanging="480"/>
      </w:pPr>
    </w:lvl>
    <w:lvl w:ilvl="4" w:tplc="04090019" w:tentative="1">
      <w:start w:val="1"/>
      <w:numFmt w:val="ideographTraditional"/>
      <w:lvlText w:val="%5、"/>
      <w:lvlJc w:val="left"/>
      <w:pPr>
        <w:ind w:left="2952" w:hanging="480"/>
      </w:pPr>
    </w:lvl>
    <w:lvl w:ilvl="5" w:tplc="0409001B" w:tentative="1">
      <w:start w:val="1"/>
      <w:numFmt w:val="lowerRoman"/>
      <w:lvlText w:val="%6."/>
      <w:lvlJc w:val="right"/>
      <w:pPr>
        <w:ind w:left="3432" w:hanging="480"/>
      </w:pPr>
    </w:lvl>
    <w:lvl w:ilvl="6" w:tplc="0409000F" w:tentative="1">
      <w:start w:val="1"/>
      <w:numFmt w:val="decimal"/>
      <w:lvlText w:val="%7."/>
      <w:lvlJc w:val="left"/>
      <w:pPr>
        <w:ind w:left="3912" w:hanging="480"/>
      </w:pPr>
    </w:lvl>
    <w:lvl w:ilvl="7" w:tplc="04090019" w:tentative="1">
      <w:start w:val="1"/>
      <w:numFmt w:val="ideographTraditional"/>
      <w:lvlText w:val="%8、"/>
      <w:lvlJc w:val="left"/>
      <w:pPr>
        <w:ind w:left="4392" w:hanging="480"/>
      </w:pPr>
    </w:lvl>
    <w:lvl w:ilvl="8" w:tplc="0409001B" w:tentative="1">
      <w:start w:val="1"/>
      <w:numFmt w:val="lowerRoman"/>
      <w:lvlText w:val="%9."/>
      <w:lvlJc w:val="right"/>
      <w:pPr>
        <w:ind w:left="4872" w:hanging="480"/>
      </w:pPr>
    </w:lvl>
  </w:abstractNum>
  <w:abstractNum w:abstractNumId="9">
    <w:nsid w:val="2770268D"/>
    <w:multiLevelType w:val="hybridMultilevel"/>
    <w:tmpl w:val="0BC024F0"/>
    <w:lvl w:ilvl="0" w:tplc="2CEA67F2">
      <w:start w:val="1"/>
      <w:numFmt w:val="taiwaneseCountingThousand"/>
      <w:suff w:val="nothing"/>
      <w:lvlText w:val="%1、"/>
      <w:lvlJc w:val="left"/>
      <w:pPr>
        <w:ind w:left="764" w:hanging="480"/>
      </w:pPr>
      <w:rPr>
        <w:rFonts w:hint="eastAsia"/>
      </w:rPr>
    </w:lvl>
    <w:lvl w:ilvl="1" w:tplc="04090019" w:tentative="1">
      <w:start w:val="1"/>
      <w:numFmt w:val="ideographTraditional"/>
      <w:lvlText w:val="%2、"/>
      <w:lvlJc w:val="left"/>
      <w:pPr>
        <w:ind w:left="1244" w:hanging="480"/>
      </w:pPr>
    </w:lvl>
    <w:lvl w:ilvl="2" w:tplc="0409001B" w:tentative="1">
      <w:start w:val="1"/>
      <w:numFmt w:val="lowerRoman"/>
      <w:lvlText w:val="%3."/>
      <w:lvlJc w:val="right"/>
      <w:pPr>
        <w:ind w:left="1724" w:hanging="480"/>
      </w:pPr>
    </w:lvl>
    <w:lvl w:ilvl="3" w:tplc="0409000F" w:tentative="1">
      <w:start w:val="1"/>
      <w:numFmt w:val="decimal"/>
      <w:lvlText w:val="%4."/>
      <w:lvlJc w:val="left"/>
      <w:pPr>
        <w:ind w:left="2204" w:hanging="480"/>
      </w:pPr>
    </w:lvl>
    <w:lvl w:ilvl="4" w:tplc="04090019" w:tentative="1">
      <w:start w:val="1"/>
      <w:numFmt w:val="ideographTraditional"/>
      <w:lvlText w:val="%5、"/>
      <w:lvlJc w:val="left"/>
      <w:pPr>
        <w:ind w:left="2684" w:hanging="480"/>
      </w:pPr>
    </w:lvl>
    <w:lvl w:ilvl="5" w:tplc="0409001B" w:tentative="1">
      <w:start w:val="1"/>
      <w:numFmt w:val="lowerRoman"/>
      <w:lvlText w:val="%6."/>
      <w:lvlJc w:val="right"/>
      <w:pPr>
        <w:ind w:left="3164" w:hanging="480"/>
      </w:pPr>
    </w:lvl>
    <w:lvl w:ilvl="6" w:tplc="0409000F" w:tentative="1">
      <w:start w:val="1"/>
      <w:numFmt w:val="decimal"/>
      <w:lvlText w:val="%7."/>
      <w:lvlJc w:val="left"/>
      <w:pPr>
        <w:ind w:left="3644" w:hanging="480"/>
      </w:pPr>
    </w:lvl>
    <w:lvl w:ilvl="7" w:tplc="04090019" w:tentative="1">
      <w:start w:val="1"/>
      <w:numFmt w:val="ideographTraditional"/>
      <w:lvlText w:val="%8、"/>
      <w:lvlJc w:val="left"/>
      <w:pPr>
        <w:ind w:left="4124" w:hanging="480"/>
      </w:pPr>
    </w:lvl>
    <w:lvl w:ilvl="8" w:tplc="0409001B" w:tentative="1">
      <w:start w:val="1"/>
      <w:numFmt w:val="lowerRoman"/>
      <w:lvlText w:val="%9."/>
      <w:lvlJc w:val="right"/>
      <w:pPr>
        <w:ind w:left="4604" w:hanging="480"/>
      </w:pPr>
    </w:lvl>
  </w:abstractNum>
  <w:abstractNum w:abstractNumId="10">
    <w:nsid w:val="28F91C37"/>
    <w:multiLevelType w:val="hybridMultilevel"/>
    <w:tmpl w:val="4E4AEE38"/>
    <w:lvl w:ilvl="0" w:tplc="F65CCD78">
      <w:start w:val="1"/>
      <w:numFmt w:val="decimal"/>
      <w:lvlText w:val="%1、"/>
      <w:lvlJc w:val="left"/>
      <w:pPr>
        <w:ind w:left="720" w:hanging="720"/>
      </w:pPr>
      <w:rPr>
        <w:rFonts w:ascii="Times New Roman" w:hAnsi="Times New Roman" w:hint="default"/>
        <w:b w:val="0"/>
        <w:i w:val="0"/>
        <w:color w:val="auto"/>
        <w:sz w:val="32"/>
      </w:rPr>
    </w:lvl>
    <w:lvl w:ilvl="1" w:tplc="A52AE860">
      <w:start w:val="1"/>
      <w:numFmt w:val="taiwaneseCountingThousand"/>
      <w:lvlText w:val="(%2)"/>
      <w:lvlJc w:val="left"/>
      <w:pPr>
        <w:ind w:left="1200" w:hanging="720"/>
      </w:pPr>
      <w:rPr>
        <w:rFonts w:hint="default"/>
      </w:r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1">
    <w:nsid w:val="32424502"/>
    <w:multiLevelType w:val="hybridMultilevel"/>
    <w:tmpl w:val="1E46E38A"/>
    <w:lvl w:ilvl="0" w:tplc="A342A874">
      <w:start w:val="1"/>
      <w:numFmt w:val="decimalFullWidth"/>
      <w:pStyle w:val="1"/>
      <w:suff w:val="nothing"/>
      <w:lvlText w:val="%1、"/>
      <w:lvlJc w:val="left"/>
      <w:pPr>
        <w:ind w:left="1935" w:hanging="480"/>
      </w:pPr>
      <w:rPr>
        <w:rFonts w:hint="eastAsia"/>
        <w:b w:val="0"/>
        <w:lang w:val="en-US"/>
      </w:rPr>
    </w:lvl>
    <w:lvl w:ilvl="1" w:tplc="04090019" w:tentative="1">
      <w:start w:val="1"/>
      <w:numFmt w:val="ideographTraditional"/>
      <w:lvlText w:val="%2、"/>
      <w:lvlJc w:val="left"/>
      <w:pPr>
        <w:ind w:left="2415" w:hanging="480"/>
      </w:pPr>
    </w:lvl>
    <w:lvl w:ilvl="2" w:tplc="0409001B" w:tentative="1">
      <w:start w:val="1"/>
      <w:numFmt w:val="lowerRoman"/>
      <w:lvlText w:val="%3."/>
      <w:lvlJc w:val="right"/>
      <w:pPr>
        <w:ind w:left="2895" w:hanging="480"/>
      </w:pPr>
    </w:lvl>
    <w:lvl w:ilvl="3" w:tplc="0409000F" w:tentative="1">
      <w:start w:val="1"/>
      <w:numFmt w:val="decimal"/>
      <w:lvlText w:val="%4."/>
      <w:lvlJc w:val="left"/>
      <w:pPr>
        <w:ind w:left="3375" w:hanging="480"/>
      </w:pPr>
    </w:lvl>
    <w:lvl w:ilvl="4" w:tplc="04090019" w:tentative="1">
      <w:start w:val="1"/>
      <w:numFmt w:val="ideographTraditional"/>
      <w:lvlText w:val="%5、"/>
      <w:lvlJc w:val="left"/>
      <w:pPr>
        <w:ind w:left="3855" w:hanging="480"/>
      </w:pPr>
    </w:lvl>
    <w:lvl w:ilvl="5" w:tplc="0409001B" w:tentative="1">
      <w:start w:val="1"/>
      <w:numFmt w:val="lowerRoman"/>
      <w:lvlText w:val="%6."/>
      <w:lvlJc w:val="right"/>
      <w:pPr>
        <w:ind w:left="4335" w:hanging="480"/>
      </w:pPr>
    </w:lvl>
    <w:lvl w:ilvl="6" w:tplc="0409000F" w:tentative="1">
      <w:start w:val="1"/>
      <w:numFmt w:val="decimal"/>
      <w:lvlText w:val="%7."/>
      <w:lvlJc w:val="left"/>
      <w:pPr>
        <w:ind w:left="4815" w:hanging="480"/>
      </w:pPr>
    </w:lvl>
    <w:lvl w:ilvl="7" w:tplc="04090019" w:tentative="1">
      <w:start w:val="1"/>
      <w:numFmt w:val="ideographTraditional"/>
      <w:lvlText w:val="%8、"/>
      <w:lvlJc w:val="left"/>
      <w:pPr>
        <w:ind w:left="5295" w:hanging="480"/>
      </w:pPr>
    </w:lvl>
    <w:lvl w:ilvl="8" w:tplc="0409001B" w:tentative="1">
      <w:start w:val="1"/>
      <w:numFmt w:val="lowerRoman"/>
      <w:lvlText w:val="%9."/>
      <w:lvlJc w:val="right"/>
      <w:pPr>
        <w:ind w:left="5775" w:hanging="480"/>
      </w:pPr>
    </w:lvl>
  </w:abstractNum>
  <w:abstractNum w:abstractNumId="12">
    <w:nsid w:val="36D67DCF"/>
    <w:multiLevelType w:val="hybridMultilevel"/>
    <w:tmpl w:val="6AAA8B5C"/>
    <w:lvl w:ilvl="0" w:tplc="1BBAF714">
      <w:start w:val="1"/>
      <w:numFmt w:val="taiwaneseCountingThousand"/>
      <w:lvlText w:val="%1、"/>
      <w:lvlJc w:val="left"/>
      <w:pPr>
        <w:ind w:left="720" w:hanging="72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3">
    <w:nsid w:val="38846A57"/>
    <w:multiLevelType w:val="hybridMultilevel"/>
    <w:tmpl w:val="3096582A"/>
    <w:lvl w:ilvl="0" w:tplc="81980898">
      <w:start w:val="1"/>
      <w:numFmt w:val="decimal"/>
      <w:lvlText w:val="%1."/>
      <w:lvlJc w:val="left"/>
      <w:pPr>
        <w:ind w:left="420" w:hanging="42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4">
    <w:nsid w:val="3A157B6A"/>
    <w:multiLevelType w:val="hybridMultilevel"/>
    <w:tmpl w:val="01CEB48A"/>
    <w:lvl w:ilvl="0" w:tplc="F65CCD78">
      <w:start w:val="1"/>
      <w:numFmt w:val="decimal"/>
      <w:lvlText w:val="%1、"/>
      <w:lvlJc w:val="left"/>
      <w:pPr>
        <w:ind w:left="720" w:hanging="720"/>
      </w:pPr>
      <w:rPr>
        <w:rFonts w:ascii="Times New Roman" w:hAnsi="Times New Roman" w:hint="default"/>
        <w:b w:val="0"/>
        <w:i w:val="0"/>
        <w:color w:val="auto"/>
        <w:sz w:val="32"/>
      </w:rPr>
    </w:lvl>
    <w:lvl w:ilvl="1" w:tplc="63AC1ED0">
      <w:start w:val="1"/>
      <w:numFmt w:val="taiwaneseCountingThousand"/>
      <w:lvlText w:val="(%2)"/>
      <w:lvlJc w:val="left"/>
      <w:pPr>
        <w:ind w:left="1200" w:hanging="720"/>
      </w:pPr>
      <w:rPr>
        <w:rFonts w:hint="default"/>
      </w:r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5">
    <w:nsid w:val="3E3F31D5"/>
    <w:multiLevelType w:val="hybridMultilevel"/>
    <w:tmpl w:val="E102AD5E"/>
    <w:lvl w:ilvl="0" w:tplc="5552934E">
      <w:start w:val="1"/>
      <w:numFmt w:val="decimal"/>
      <w:lvlText w:val="%1、"/>
      <w:lvlJc w:val="left"/>
      <w:pPr>
        <w:ind w:left="1892" w:hanging="720"/>
      </w:pPr>
      <w:rPr>
        <w:rFonts w:ascii="Times New Roman" w:hAnsi="Times New Roman" w:hint="default"/>
        <w:b w:val="0"/>
        <w:i w:val="0"/>
        <w:color w:val="auto"/>
        <w:sz w:val="32"/>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6">
    <w:nsid w:val="3EE47233"/>
    <w:multiLevelType w:val="hybridMultilevel"/>
    <w:tmpl w:val="DBBC5CE6"/>
    <w:lvl w:ilvl="0" w:tplc="5978A4B6">
      <w:start w:val="1"/>
      <w:numFmt w:val="taiwaneseCountingThousand"/>
      <w:lvlText w:val="(%1)"/>
      <w:lvlJc w:val="left"/>
      <w:pPr>
        <w:ind w:left="1892" w:hanging="72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7">
    <w:nsid w:val="3EEB11A3"/>
    <w:multiLevelType w:val="hybridMultilevel"/>
    <w:tmpl w:val="D2441938"/>
    <w:lvl w:ilvl="0" w:tplc="15DCE4FA">
      <w:start w:val="1"/>
      <w:numFmt w:val="taiwaneseCountingThousand"/>
      <w:lvlText w:val="%1、"/>
      <w:lvlJc w:val="left"/>
      <w:pPr>
        <w:ind w:left="720" w:hanging="72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8">
    <w:nsid w:val="3FF96370"/>
    <w:multiLevelType w:val="hybridMultilevel"/>
    <w:tmpl w:val="C4AC9966"/>
    <w:lvl w:ilvl="0" w:tplc="11B46D98">
      <w:start w:val="1"/>
      <w:numFmt w:val="taiwaneseCountingThousand"/>
      <w:suff w:val="nothing"/>
      <w:lvlText w:val="第%1案："/>
      <w:lvlJc w:val="left"/>
      <w:pPr>
        <w:ind w:left="1615" w:hanging="480"/>
      </w:pPr>
      <w:rPr>
        <w:rFonts w:eastAsia="標楷體"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9">
    <w:nsid w:val="4BFE0CE6"/>
    <w:multiLevelType w:val="hybridMultilevel"/>
    <w:tmpl w:val="55146648"/>
    <w:lvl w:ilvl="0" w:tplc="33CC672A">
      <w:start w:val="1"/>
      <w:numFmt w:val="taiwaneseCountingThousand"/>
      <w:pStyle w:val="10"/>
      <w:suff w:val="nothing"/>
      <w:lvlText w:val="%1、"/>
      <w:lvlJc w:val="left"/>
      <w:pPr>
        <w:ind w:left="1077" w:hanging="720"/>
      </w:pPr>
      <w:rPr>
        <w:rFonts w:hint="default"/>
      </w:rPr>
    </w:lvl>
    <w:lvl w:ilvl="1" w:tplc="04090019" w:tentative="1">
      <w:start w:val="1"/>
      <w:numFmt w:val="ideographTraditional"/>
      <w:lvlText w:val="%2、"/>
      <w:lvlJc w:val="left"/>
      <w:pPr>
        <w:ind w:left="1317" w:hanging="480"/>
      </w:pPr>
    </w:lvl>
    <w:lvl w:ilvl="2" w:tplc="0409001B" w:tentative="1">
      <w:start w:val="1"/>
      <w:numFmt w:val="lowerRoman"/>
      <w:lvlText w:val="%3."/>
      <w:lvlJc w:val="right"/>
      <w:pPr>
        <w:ind w:left="1797" w:hanging="480"/>
      </w:pPr>
    </w:lvl>
    <w:lvl w:ilvl="3" w:tplc="0409000F" w:tentative="1">
      <w:start w:val="1"/>
      <w:numFmt w:val="decimal"/>
      <w:lvlText w:val="%4."/>
      <w:lvlJc w:val="left"/>
      <w:pPr>
        <w:ind w:left="2277" w:hanging="480"/>
      </w:pPr>
    </w:lvl>
    <w:lvl w:ilvl="4" w:tplc="04090019" w:tentative="1">
      <w:start w:val="1"/>
      <w:numFmt w:val="ideographTraditional"/>
      <w:lvlText w:val="%5、"/>
      <w:lvlJc w:val="left"/>
      <w:pPr>
        <w:ind w:left="2757" w:hanging="480"/>
      </w:pPr>
    </w:lvl>
    <w:lvl w:ilvl="5" w:tplc="0409001B" w:tentative="1">
      <w:start w:val="1"/>
      <w:numFmt w:val="lowerRoman"/>
      <w:lvlText w:val="%6."/>
      <w:lvlJc w:val="right"/>
      <w:pPr>
        <w:ind w:left="3237" w:hanging="480"/>
      </w:pPr>
    </w:lvl>
    <w:lvl w:ilvl="6" w:tplc="0409000F" w:tentative="1">
      <w:start w:val="1"/>
      <w:numFmt w:val="decimal"/>
      <w:lvlText w:val="%7."/>
      <w:lvlJc w:val="left"/>
      <w:pPr>
        <w:ind w:left="3717" w:hanging="480"/>
      </w:pPr>
    </w:lvl>
    <w:lvl w:ilvl="7" w:tplc="04090019" w:tentative="1">
      <w:start w:val="1"/>
      <w:numFmt w:val="ideographTraditional"/>
      <w:lvlText w:val="%8、"/>
      <w:lvlJc w:val="left"/>
      <w:pPr>
        <w:ind w:left="4197" w:hanging="480"/>
      </w:pPr>
    </w:lvl>
    <w:lvl w:ilvl="8" w:tplc="0409001B" w:tentative="1">
      <w:start w:val="1"/>
      <w:numFmt w:val="lowerRoman"/>
      <w:lvlText w:val="%9."/>
      <w:lvlJc w:val="right"/>
      <w:pPr>
        <w:ind w:left="4677" w:hanging="480"/>
      </w:pPr>
    </w:lvl>
  </w:abstractNum>
  <w:abstractNum w:abstractNumId="20">
    <w:nsid w:val="4C0B7C94"/>
    <w:multiLevelType w:val="hybridMultilevel"/>
    <w:tmpl w:val="291A2BE8"/>
    <w:lvl w:ilvl="0" w:tplc="FFFFFFFF">
      <w:start w:val="1"/>
      <w:numFmt w:val="taiwaneseCountingThousand"/>
      <w:lvlText w:val="%1、"/>
      <w:lvlJc w:val="left"/>
      <w:pPr>
        <w:tabs>
          <w:tab w:val="num" w:pos="480"/>
        </w:tabs>
        <w:ind w:left="480" w:hanging="480"/>
      </w:pPr>
    </w:lvl>
    <w:lvl w:ilvl="1" w:tplc="FFFFFFFF">
      <w:start w:val="1"/>
      <w:numFmt w:val="taiwaneseCountingThousand"/>
      <w:pStyle w:val="20"/>
      <w:lvlText w:val="（%2）"/>
      <w:lvlJc w:val="left"/>
      <w:pPr>
        <w:tabs>
          <w:tab w:val="num" w:pos="1335"/>
        </w:tabs>
        <w:ind w:left="1335" w:hanging="855"/>
      </w:pPr>
      <w:rPr>
        <w:rFonts w:hint="eastAsia"/>
      </w:rPr>
    </w:lvl>
    <w:lvl w:ilvl="2" w:tplc="FFFFFFFF" w:tentative="1">
      <w:start w:val="1"/>
      <w:numFmt w:val="lowerRoman"/>
      <w:lvlText w:val="%3."/>
      <w:lvlJc w:val="right"/>
      <w:pPr>
        <w:tabs>
          <w:tab w:val="num" w:pos="1440"/>
        </w:tabs>
        <w:ind w:left="1440" w:hanging="480"/>
      </w:pPr>
    </w:lvl>
    <w:lvl w:ilvl="3" w:tplc="FFFFFFFF" w:tentative="1">
      <w:start w:val="1"/>
      <w:numFmt w:val="decimal"/>
      <w:lvlText w:val="%4."/>
      <w:lvlJc w:val="left"/>
      <w:pPr>
        <w:tabs>
          <w:tab w:val="num" w:pos="1920"/>
        </w:tabs>
        <w:ind w:left="1920" w:hanging="480"/>
      </w:pPr>
    </w:lvl>
    <w:lvl w:ilvl="4" w:tplc="FFFFFFFF" w:tentative="1">
      <w:start w:val="1"/>
      <w:numFmt w:val="ideographTraditional"/>
      <w:lvlText w:val="%5、"/>
      <w:lvlJc w:val="left"/>
      <w:pPr>
        <w:tabs>
          <w:tab w:val="num" w:pos="2400"/>
        </w:tabs>
        <w:ind w:left="2400" w:hanging="480"/>
      </w:pPr>
    </w:lvl>
    <w:lvl w:ilvl="5" w:tplc="FFFFFFFF" w:tentative="1">
      <w:start w:val="1"/>
      <w:numFmt w:val="lowerRoman"/>
      <w:lvlText w:val="%6."/>
      <w:lvlJc w:val="right"/>
      <w:pPr>
        <w:tabs>
          <w:tab w:val="num" w:pos="2880"/>
        </w:tabs>
        <w:ind w:left="2880" w:hanging="480"/>
      </w:pPr>
    </w:lvl>
    <w:lvl w:ilvl="6" w:tplc="FFFFFFFF" w:tentative="1">
      <w:start w:val="1"/>
      <w:numFmt w:val="decimal"/>
      <w:lvlText w:val="%7."/>
      <w:lvlJc w:val="left"/>
      <w:pPr>
        <w:tabs>
          <w:tab w:val="num" w:pos="3360"/>
        </w:tabs>
        <w:ind w:left="3360" w:hanging="480"/>
      </w:pPr>
    </w:lvl>
    <w:lvl w:ilvl="7" w:tplc="FFFFFFFF" w:tentative="1">
      <w:start w:val="1"/>
      <w:numFmt w:val="ideographTraditional"/>
      <w:lvlText w:val="%8、"/>
      <w:lvlJc w:val="left"/>
      <w:pPr>
        <w:tabs>
          <w:tab w:val="num" w:pos="3840"/>
        </w:tabs>
        <w:ind w:left="3840" w:hanging="480"/>
      </w:pPr>
    </w:lvl>
    <w:lvl w:ilvl="8" w:tplc="FFFFFFFF" w:tentative="1">
      <w:start w:val="1"/>
      <w:numFmt w:val="lowerRoman"/>
      <w:lvlText w:val="%9."/>
      <w:lvlJc w:val="right"/>
      <w:pPr>
        <w:tabs>
          <w:tab w:val="num" w:pos="4320"/>
        </w:tabs>
        <w:ind w:left="4320" w:hanging="480"/>
      </w:pPr>
    </w:lvl>
  </w:abstractNum>
  <w:abstractNum w:abstractNumId="21">
    <w:nsid w:val="53373AAB"/>
    <w:multiLevelType w:val="hybridMultilevel"/>
    <w:tmpl w:val="4B3252A6"/>
    <w:lvl w:ilvl="0" w:tplc="B2B0A792">
      <w:start w:val="1"/>
      <w:numFmt w:val="taiwaneseCountingThousand"/>
      <w:lvlText w:val="%1、"/>
      <w:lvlJc w:val="left"/>
      <w:pPr>
        <w:ind w:left="721" w:hanging="720"/>
      </w:pPr>
      <w:rPr>
        <w:rFonts w:hint="default"/>
      </w:rPr>
    </w:lvl>
    <w:lvl w:ilvl="1" w:tplc="20408084">
      <w:start w:val="1"/>
      <w:numFmt w:val="taiwaneseCountingThousand"/>
      <w:lvlText w:val="(%2)"/>
      <w:lvlJc w:val="left"/>
      <w:pPr>
        <w:ind w:left="1201" w:hanging="720"/>
      </w:pPr>
      <w:rPr>
        <w:rFonts w:ascii="Book Antiqua" w:hint="default"/>
      </w:rPr>
    </w:lvl>
    <w:lvl w:ilvl="2" w:tplc="0409001B" w:tentative="1">
      <w:start w:val="1"/>
      <w:numFmt w:val="lowerRoman"/>
      <w:lvlText w:val="%3."/>
      <w:lvlJc w:val="right"/>
      <w:pPr>
        <w:ind w:left="1441" w:hanging="480"/>
      </w:pPr>
    </w:lvl>
    <w:lvl w:ilvl="3" w:tplc="0409000F" w:tentative="1">
      <w:start w:val="1"/>
      <w:numFmt w:val="decimal"/>
      <w:lvlText w:val="%4."/>
      <w:lvlJc w:val="left"/>
      <w:pPr>
        <w:ind w:left="1921" w:hanging="480"/>
      </w:pPr>
    </w:lvl>
    <w:lvl w:ilvl="4" w:tplc="04090019" w:tentative="1">
      <w:start w:val="1"/>
      <w:numFmt w:val="ideographTraditional"/>
      <w:lvlText w:val="%5、"/>
      <w:lvlJc w:val="left"/>
      <w:pPr>
        <w:ind w:left="2401" w:hanging="480"/>
      </w:pPr>
    </w:lvl>
    <w:lvl w:ilvl="5" w:tplc="0409001B" w:tentative="1">
      <w:start w:val="1"/>
      <w:numFmt w:val="lowerRoman"/>
      <w:lvlText w:val="%6."/>
      <w:lvlJc w:val="right"/>
      <w:pPr>
        <w:ind w:left="2881" w:hanging="480"/>
      </w:pPr>
    </w:lvl>
    <w:lvl w:ilvl="6" w:tplc="0409000F" w:tentative="1">
      <w:start w:val="1"/>
      <w:numFmt w:val="decimal"/>
      <w:lvlText w:val="%7."/>
      <w:lvlJc w:val="left"/>
      <w:pPr>
        <w:ind w:left="3361" w:hanging="480"/>
      </w:pPr>
    </w:lvl>
    <w:lvl w:ilvl="7" w:tplc="04090019" w:tentative="1">
      <w:start w:val="1"/>
      <w:numFmt w:val="ideographTraditional"/>
      <w:lvlText w:val="%8、"/>
      <w:lvlJc w:val="left"/>
      <w:pPr>
        <w:ind w:left="3841" w:hanging="480"/>
      </w:pPr>
    </w:lvl>
    <w:lvl w:ilvl="8" w:tplc="0409001B" w:tentative="1">
      <w:start w:val="1"/>
      <w:numFmt w:val="lowerRoman"/>
      <w:lvlText w:val="%9."/>
      <w:lvlJc w:val="right"/>
      <w:pPr>
        <w:ind w:left="4321" w:hanging="480"/>
      </w:pPr>
    </w:lvl>
  </w:abstractNum>
  <w:abstractNum w:abstractNumId="22">
    <w:nsid w:val="53966627"/>
    <w:multiLevelType w:val="hybridMultilevel"/>
    <w:tmpl w:val="51A0DC26"/>
    <w:lvl w:ilvl="0" w:tplc="0409000F">
      <w:start w:val="1"/>
      <w:numFmt w:val="decimal"/>
      <w:lvlText w:val="%1."/>
      <w:lvlJc w:val="left"/>
      <w:pPr>
        <w:ind w:left="720" w:hanging="720"/>
      </w:pPr>
      <w:rPr>
        <w:rFonts w:hint="default"/>
      </w:rPr>
    </w:lvl>
    <w:lvl w:ilvl="1" w:tplc="87C63836">
      <w:start w:val="1"/>
      <w:numFmt w:val="taiwaneseCountingThousand"/>
      <w:lvlText w:val="(%2)"/>
      <w:lvlJc w:val="left"/>
      <w:pPr>
        <w:ind w:left="1200" w:hanging="720"/>
      </w:pPr>
      <w:rPr>
        <w:rFonts w:hint="default"/>
      </w:r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3">
    <w:nsid w:val="57A8054E"/>
    <w:multiLevelType w:val="hybridMultilevel"/>
    <w:tmpl w:val="C48485EA"/>
    <w:lvl w:ilvl="0" w:tplc="E2D49968">
      <w:start w:val="1"/>
      <w:numFmt w:val="taiwaneseCountingThousand"/>
      <w:lvlText w:val="(%1)"/>
      <w:lvlJc w:val="left"/>
      <w:pPr>
        <w:ind w:left="720" w:hanging="72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4">
    <w:nsid w:val="5D913DD6"/>
    <w:multiLevelType w:val="hybridMultilevel"/>
    <w:tmpl w:val="51A0DC26"/>
    <w:lvl w:ilvl="0" w:tplc="0409000F">
      <w:start w:val="1"/>
      <w:numFmt w:val="decimal"/>
      <w:lvlText w:val="%1."/>
      <w:lvlJc w:val="left"/>
      <w:pPr>
        <w:ind w:left="720" w:hanging="720"/>
      </w:pPr>
      <w:rPr>
        <w:rFonts w:hint="default"/>
      </w:rPr>
    </w:lvl>
    <w:lvl w:ilvl="1" w:tplc="87C63836">
      <w:start w:val="1"/>
      <w:numFmt w:val="taiwaneseCountingThousand"/>
      <w:lvlText w:val="(%2)"/>
      <w:lvlJc w:val="left"/>
      <w:pPr>
        <w:ind w:left="1200" w:hanging="720"/>
      </w:pPr>
      <w:rPr>
        <w:rFonts w:hint="default"/>
      </w:r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5">
    <w:nsid w:val="5E7B5365"/>
    <w:multiLevelType w:val="hybridMultilevel"/>
    <w:tmpl w:val="26FE4618"/>
    <w:lvl w:ilvl="0" w:tplc="35067700">
      <w:start w:val="1"/>
      <w:numFmt w:val="decimal"/>
      <w:lvlText w:val="%1、"/>
      <w:lvlJc w:val="left"/>
      <w:pPr>
        <w:ind w:left="1892" w:hanging="720"/>
      </w:pPr>
      <w:rPr>
        <w:rFonts w:ascii="Times New Roman" w:hAnsi="Times New Roman" w:hint="default"/>
        <w:b w:val="0"/>
        <w:i w:val="0"/>
        <w:color w:val="auto"/>
        <w:sz w:val="32"/>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6">
    <w:nsid w:val="67AE572F"/>
    <w:multiLevelType w:val="hybridMultilevel"/>
    <w:tmpl w:val="5C30FB16"/>
    <w:lvl w:ilvl="0" w:tplc="FF0C0EA2">
      <w:start w:val="1"/>
      <w:numFmt w:val="taiwaneseCountingThousand"/>
      <w:lvlText w:val="%1、"/>
      <w:lvlJc w:val="left"/>
      <w:pPr>
        <w:tabs>
          <w:tab w:val="num" w:pos="1100"/>
        </w:tabs>
        <w:ind w:left="1100" w:hanging="720"/>
      </w:pPr>
      <w:rPr>
        <w:rFonts w:hint="eastAsia"/>
        <w:lang w:val="en-US"/>
      </w:rPr>
    </w:lvl>
    <w:lvl w:ilvl="1" w:tplc="04090019" w:tentative="1">
      <w:start w:val="1"/>
      <w:numFmt w:val="ideographTraditional"/>
      <w:lvlText w:val="%2、"/>
      <w:lvlJc w:val="left"/>
      <w:pPr>
        <w:tabs>
          <w:tab w:val="num" w:pos="1340"/>
        </w:tabs>
        <w:ind w:left="1340" w:hanging="480"/>
      </w:pPr>
    </w:lvl>
    <w:lvl w:ilvl="2" w:tplc="0409001B" w:tentative="1">
      <w:start w:val="1"/>
      <w:numFmt w:val="lowerRoman"/>
      <w:lvlText w:val="%3."/>
      <w:lvlJc w:val="right"/>
      <w:pPr>
        <w:tabs>
          <w:tab w:val="num" w:pos="1820"/>
        </w:tabs>
        <w:ind w:left="1820" w:hanging="480"/>
      </w:pPr>
    </w:lvl>
    <w:lvl w:ilvl="3" w:tplc="0409000F" w:tentative="1">
      <w:start w:val="1"/>
      <w:numFmt w:val="decimal"/>
      <w:lvlText w:val="%4."/>
      <w:lvlJc w:val="left"/>
      <w:pPr>
        <w:tabs>
          <w:tab w:val="num" w:pos="2300"/>
        </w:tabs>
        <w:ind w:left="2300" w:hanging="480"/>
      </w:pPr>
    </w:lvl>
    <w:lvl w:ilvl="4" w:tplc="04090019" w:tentative="1">
      <w:start w:val="1"/>
      <w:numFmt w:val="ideographTraditional"/>
      <w:lvlText w:val="%5、"/>
      <w:lvlJc w:val="left"/>
      <w:pPr>
        <w:tabs>
          <w:tab w:val="num" w:pos="2780"/>
        </w:tabs>
        <w:ind w:left="2780" w:hanging="480"/>
      </w:pPr>
    </w:lvl>
    <w:lvl w:ilvl="5" w:tplc="0409001B" w:tentative="1">
      <w:start w:val="1"/>
      <w:numFmt w:val="lowerRoman"/>
      <w:lvlText w:val="%6."/>
      <w:lvlJc w:val="right"/>
      <w:pPr>
        <w:tabs>
          <w:tab w:val="num" w:pos="3260"/>
        </w:tabs>
        <w:ind w:left="3260" w:hanging="480"/>
      </w:pPr>
    </w:lvl>
    <w:lvl w:ilvl="6" w:tplc="0409000F" w:tentative="1">
      <w:start w:val="1"/>
      <w:numFmt w:val="decimal"/>
      <w:lvlText w:val="%7."/>
      <w:lvlJc w:val="left"/>
      <w:pPr>
        <w:tabs>
          <w:tab w:val="num" w:pos="3740"/>
        </w:tabs>
        <w:ind w:left="3740" w:hanging="480"/>
      </w:pPr>
    </w:lvl>
    <w:lvl w:ilvl="7" w:tplc="04090019" w:tentative="1">
      <w:start w:val="1"/>
      <w:numFmt w:val="ideographTraditional"/>
      <w:lvlText w:val="%8、"/>
      <w:lvlJc w:val="left"/>
      <w:pPr>
        <w:tabs>
          <w:tab w:val="num" w:pos="4220"/>
        </w:tabs>
        <w:ind w:left="4220" w:hanging="480"/>
      </w:pPr>
    </w:lvl>
    <w:lvl w:ilvl="8" w:tplc="0409001B" w:tentative="1">
      <w:start w:val="1"/>
      <w:numFmt w:val="lowerRoman"/>
      <w:lvlText w:val="%9."/>
      <w:lvlJc w:val="right"/>
      <w:pPr>
        <w:tabs>
          <w:tab w:val="num" w:pos="4700"/>
        </w:tabs>
        <w:ind w:left="4700" w:hanging="480"/>
      </w:pPr>
    </w:lvl>
  </w:abstractNum>
  <w:abstractNum w:abstractNumId="27">
    <w:nsid w:val="706E0043"/>
    <w:multiLevelType w:val="hybridMultilevel"/>
    <w:tmpl w:val="51A0DC26"/>
    <w:lvl w:ilvl="0" w:tplc="0409000F">
      <w:start w:val="1"/>
      <w:numFmt w:val="decimal"/>
      <w:lvlText w:val="%1."/>
      <w:lvlJc w:val="left"/>
      <w:pPr>
        <w:ind w:left="720" w:hanging="720"/>
      </w:pPr>
      <w:rPr>
        <w:rFonts w:hint="default"/>
      </w:rPr>
    </w:lvl>
    <w:lvl w:ilvl="1" w:tplc="87C63836">
      <w:start w:val="1"/>
      <w:numFmt w:val="taiwaneseCountingThousand"/>
      <w:lvlText w:val="(%2)"/>
      <w:lvlJc w:val="left"/>
      <w:pPr>
        <w:ind w:left="1200" w:hanging="720"/>
      </w:pPr>
      <w:rPr>
        <w:rFonts w:hint="default"/>
      </w:r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8">
    <w:nsid w:val="75C27277"/>
    <w:multiLevelType w:val="hybridMultilevel"/>
    <w:tmpl w:val="26B42DFE"/>
    <w:lvl w:ilvl="0" w:tplc="44AE17FC">
      <w:start w:val="1"/>
      <w:numFmt w:val="decimal"/>
      <w:lvlText w:val="%1."/>
      <w:lvlJc w:val="left"/>
      <w:pPr>
        <w:tabs>
          <w:tab w:val="num" w:pos="360"/>
        </w:tabs>
        <w:ind w:left="360" w:hanging="360"/>
      </w:pPr>
      <w:rPr>
        <w:rFonts w:cs="Times New Roman"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9">
    <w:nsid w:val="781A3E47"/>
    <w:multiLevelType w:val="hybridMultilevel"/>
    <w:tmpl w:val="64663490"/>
    <w:lvl w:ilvl="0" w:tplc="33E8C0C6">
      <w:start w:val="1"/>
      <w:numFmt w:val="taiwaneseCountingThousand"/>
      <w:pStyle w:val="a"/>
      <w:lvlText w:val="%1、"/>
      <w:lvlJc w:val="left"/>
      <w:pPr>
        <w:ind w:left="481" w:hanging="480"/>
      </w:pPr>
      <w:rPr>
        <w:rFonts w:hint="eastAsia"/>
      </w:rPr>
    </w:lvl>
    <w:lvl w:ilvl="1" w:tplc="04090019" w:tentative="1">
      <w:start w:val="1"/>
      <w:numFmt w:val="ideographTraditional"/>
      <w:lvlText w:val="%2、"/>
      <w:lvlJc w:val="left"/>
      <w:pPr>
        <w:ind w:left="961" w:hanging="480"/>
      </w:pPr>
    </w:lvl>
    <w:lvl w:ilvl="2" w:tplc="0409001B" w:tentative="1">
      <w:start w:val="1"/>
      <w:numFmt w:val="lowerRoman"/>
      <w:lvlText w:val="%3."/>
      <w:lvlJc w:val="right"/>
      <w:pPr>
        <w:ind w:left="1441" w:hanging="480"/>
      </w:pPr>
    </w:lvl>
    <w:lvl w:ilvl="3" w:tplc="0409000F" w:tentative="1">
      <w:start w:val="1"/>
      <w:numFmt w:val="decimal"/>
      <w:lvlText w:val="%4."/>
      <w:lvlJc w:val="left"/>
      <w:pPr>
        <w:ind w:left="1921" w:hanging="480"/>
      </w:pPr>
    </w:lvl>
    <w:lvl w:ilvl="4" w:tplc="04090019" w:tentative="1">
      <w:start w:val="1"/>
      <w:numFmt w:val="ideographTraditional"/>
      <w:lvlText w:val="%5、"/>
      <w:lvlJc w:val="left"/>
      <w:pPr>
        <w:ind w:left="2401" w:hanging="480"/>
      </w:pPr>
    </w:lvl>
    <w:lvl w:ilvl="5" w:tplc="0409001B" w:tentative="1">
      <w:start w:val="1"/>
      <w:numFmt w:val="lowerRoman"/>
      <w:lvlText w:val="%6."/>
      <w:lvlJc w:val="right"/>
      <w:pPr>
        <w:ind w:left="2881" w:hanging="480"/>
      </w:pPr>
    </w:lvl>
    <w:lvl w:ilvl="6" w:tplc="0409000F" w:tentative="1">
      <w:start w:val="1"/>
      <w:numFmt w:val="decimal"/>
      <w:lvlText w:val="%7."/>
      <w:lvlJc w:val="left"/>
      <w:pPr>
        <w:ind w:left="3361" w:hanging="480"/>
      </w:pPr>
    </w:lvl>
    <w:lvl w:ilvl="7" w:tplc="04090019" w:tentative="1">
      <w:start w:val="1"/>
      <w:numFmt w:val="ideographTraditional"/>
      <w:lvlText w:val="%8、"/>
      <w:lvlJc w:val="left"/>
      <w:pPr>
        <w:ind w:left="3841" w:hanging="480"/>
      </w:pPr>
    </w:lvl>
    <w:lvl w:ilvl="8" w:tplc="0409001B" w:tentative="1">
      <w:start w:val="1"/>
      <w:numFmt w:val="lowerRoman"/>
      <w:lvlText w:val="%9."/>
      <w:lvlJc w:val="right"/>
      <w:pPr>
        <w:ind w:left="4321" w:hanging="480"/>
      </w:pPr>
    </w:lvl>
  </w:abstractNum>
  <w:abstractNum w:abstractNumId="30">
    <w:nsid w:val="79C72983"/>
    <w:multiLevelType w:val="hybridMultilevel"/>
    <w:tmpl w:val="11A8D7A0"/>
    <w:lvl w:ilvl="0" w:tplc="5D0ACDF0">
      <w:start w:val="1"/>
      <w:numFmt w:val="taiwaneseCountingThousand"/>
      <w:lvlText w:val="%1、"/>
      <w:lvlJc w:val="left"/>
      <w:pPr>
        <w:ind w:left="1440" w:hanging="720"/>
      </w:pPr>
      <w:rPr>
        <w:rFonts w:hint="default"/>
      </w:rPr>
    </w:lvl>
    <w:lvl w:ilvl="1" w:tplc="04090019" w:tentative="1">
      <w:start w:val="1"/>
      <w:numFmt w:val="ideographTraditional"/>
      <w:lvlText w:val="%2、"/>
      <w:lvlJc w:val="left"/>
      <w:pPr>
        <w:ind w:left="1680" w:hanging="480"/>
      </w:pPr>
    </w:lvl>
    <w:lvl w:ilvl="2" w:tplc="0409001B" w:tentative="1">
      <w:start w:val="1"/>
      <w:numFmt w:val="lowerRoman"/>
      <w:lvlText w:val="%3."/>
      <w:lvlJc w:val="right"/>
      <w:pPr>
        <w:ind w:left="2160" w:hanging="480"/>
      </w:pPr>
    </w:lvl>
    <w:lvl w:ilvl="3" w:tplc="0409000F" w:tentative="1">
      <w:start w:val="1"/>
      <w:numFmt w:val="decimal"/>
      <w:lvlText w:val="%4."/>
      <w:lvlJc w:val="left"/>
      <w:pPr>
        <w:ind w:left="2640" w:hanging="480"/>
      </w:pPr>
    </w:lvl>
    <w:lvl w:ilvl="4" w:tplc="04090019" w:tentative="1">
      <w:start w:val="1"/>
      <w:numFmt w:val="ideographTraditional"/>
      <w:lvlText w:val="%5、"/>
      <w:lvlJc w:val="left"/>
      <w:pPr>
        <w:ind w:left="3120" w:hanging="480"/>
      </w:pPr>
    </w:lvl>
    <w:lvl w:ilvl="5" w:tplc="0409001B" w:tentative="1">
      <w:start w:val="1"/>
      <w:numFmt w:val="lowerRoman"/>
      <w:lvlText w:val="%6."/>
      <w:lvlJc w:val="right"/>
      <w:pPr>
        <w:ind w:left="3600" w:hanging="480"/>
      </w:pPr>
    </w:lvl>
    <w:lvl w:ilvl="6" w:tplc="0409000F" w:tentative="1">
      <w:start w:val="1"/>
      <w:numFmt w:val="decimal"/>
      <w:lvlText w:val="%7."/>
      <w:lvlJc w:val="left"/>
      <w:pPr>
        <w:ind w:left="4080" w:hanging="480"/>
      </w:pPr>
    </w:lvl>
    <w:lvl w:ilvl="7" w:tplc="04090019" w:tentative="1">
      <w:start w:val="1"/>
      <w:numFmt w:val="ideographTraditional"/>
      <w:lvlText w:val="%8、"/>
      <w:lvlJc w:val="left"/>
      <w:pPr>
        <w:ind w:left="4560" w:hanging="480"/>
      </w:pPr>
    </w:lvl>
    <w:lvl w:ilvl="8" w:tplc="0409001B" w:tentative="1">
      <w:start w:val="1"/>
      <w:numFmt w:val="lowerRoman"/>
      <w:lvlText w:val="%9."/>
      <w:lvlJc w:val="right"/>
      <w:pPr>
        <w:ind w:left="5040" w:hanging="480"/>
      </w:pPr>
    </w:lvl>
  </w:abstractNum>
  <w:abstractNum w:abstractNumId="31">
    <w:nsid w:val="7C5D6254"/>
    <w:multiLevelType w:val="hybridMultilevel"/>
    <w:tmpl w:val="51A0DC26"/>
    <w:lvl w:ilvl="0" w:tplc="0409000F">
      <w:start w:val="1"/>
      <w:numFmt w:val="decimal"/>
      <w:lvlText w:val="%1."/>
      <w:lvlJc w:val="left"/>
      <w:pPr>
        <w:ind w:left="720" w:hanging="720"/>
      </w:pPr>
      <w:rPr>
        <w:rFonts w:hint="default"/>
      </w:rPr>
    </w:lvl>
    <w:lvl w:ilvl="1" w:tplc="87C63836">
      <w:start w:val="1"/>
      <w:numFmt w:val="taiwaneseCountingThousand"/>
      <w:lvlText w:val="(%2)"/>
      <w:lvlJc w:val="left"/>
      <w:pPr>
        <w:ind w:left="1200" w:hanging="720"/>
      </w:pPr>
      <w:rPr>
        <w:rFonts w:hint="default"/>
      </w:r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num w:numId="1">
    <w:abstractNumId w:val="18"/>
  </w:num>
  <w:num w:numId="2">
    <w:abstractNumId w:val="7"/>
  </w:num>
  <w:num w:numId="3">
    <w:abstractNumId w:val="20"/>
  </w:num>
  <w:num w:numId="4">
    <w:abstractNumId w:val="27"/>
  </w:num>
  <w:num w:numId="5">
    <w:abstractNumId w:val="19"/>
  </w:num>
  <w:num w:numId="6">
    <w:abstractNumId w:val="4"/>
  </w:num>
  <w:num w:numId="7">
    <w:abstractNumId w:val="14"/>
  </w:num>
  <w:num w:numId="8">
    <w:abstractNumId w:val="5"/>
  </w:num>
  <w:num w:numId="9">
    <w:abstractNumId w:val="10"/>
  </w:num>
  <w:num w:numId="10">
    <w:abstractNumId w:val="16"/>
  </w:num>
  <w:num w:numId="11">
    <w:abstractNumId w:val="11"/>
  </w:num>
  <w:num w:numId="12">
    <w:abstractNumId w:val="9"/>
  </w:num>
  <w:num w:numId="13">
    <w:abstractNumId w:val="6"/>
  </w:num>
  <w:num w:numId="14">
    <w:abstractNumId w:val="15"/>
  </w:num>
  <w:num w:numId="15">
    <w:abstractNumId w:val="25"/>
  </w:num>
  <w:num w:numId="16">
    <w:abstractNumId w:val="0"/>
  </w:num>
  <w:num w:numId="17">
    <w:abstractNumId w:val="12"/>
  </w:num>
  <w:num w:numId="18">
    <w:abstractNumId w:val="29"/>
  </w:num>
  <w:num w:numId="19">
    <w:abstractNumId w:val="21"/>
  </w:num>
  <w:num w:numId="20">
    <w:abstractNumId w:val="29"/>
  </w:num>
  <w:num w:numId="21">
    <w:abstractNumId w:val="29"/>
  </w:num>
  <w:num w:numId="22">
    <w:abstractNumId w:val="29"/>
  </w:num>
  <w:num w:numId="23">
    <w:abstractNumId w:val="30"/>
  </w:num>
  <w:num w:numId="24">
    <w:abstractNumId w:val="29"/>
  </w:num>
  <w:num w:numId="25">
    <w:abstractNumId w:val="29"/>
  </w:num>
  <w:num w:numId="26">
    <w:abstractNumId w:val="17"/>
  </w:num>
  <w:num w:numId="27">
    <w:abstractNumId w:val="23"/>
  </w:num>
  <w:num w:numId="28">
    <w:abstractNumId w:val="2"/>
  </w:num>
  <w:num w:numId="29">
    <w:abstractNumId w:val="28"/>
  </w:num>
  <w:num w:numId="30">
    <w:abstractNumId w:val="24"/>
  </w:num>
  <w:num w:numId="31">
    <w:abstractNumId w:val="26"/>
  </w:num>
  <w:num w:numId="32">
    <w:abstractNumId w:val="1"/>
  </w:num>
  <w:num w:numId="33">
    <w:abstractNumId w:val="8"/>
  </w:num>
  <w:num w:numId="34">
    <w:abstractNumId w:val="3"/>
  </w:num>
  <w:num w:numId="35">
    <w:abstractNumId w:val="22"/>
  </w:num>
  <w:num w:numId="36">
    <w:abstractNumId w:val="13"/>
  </w:num>
  <w:num w:numId="37">
    <w:abstractNumId w:val="31"/>
  </w:num>
  <w:numIdMacAtCleanup w:val="1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bordersDoNotSurroundHeader/>
  <w:bordersDoNotSurroundFooter/>
  <w:proofState w:spelling="clean" w:grammar="clean"/>
  <w:defaultTabStop w:val="360"/>
  <w:doNotHyphenateCaps/>
  <w:drawingGridHorizontalSpacing w:val="91"/>
  <w:drawingGridVerticalSpacing w:val="186"/>
  <w:displayVerticalDrawingGridEvery w:val="2"/>
  <w:characterSpacingControl w:val="compressPunctuation"/>
  <w:noLineBreaksAfter w:lang="zh-TW" w:val="([{‘“‵〈《「『【〔〝︵︷︹︻︽︿﹁﹃﹙﹛﹝（｛"/>
  <w:noLineBreaksBefore w:lang="zh-TW" w:val="!),.:;?]}·–—’”‥…‧′╴、。〉》」』】〕〞︰︱︳︴︶︸︺︼︾﹀﹂﹄﹏﹐﹑﹒﹔﹕﹖﹗﹚﹜﹞！），．：；？｜｝"/>
  <w:savePreviewPicture/>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AutoMarginAdjustment2" w:val="74.26 pt,3.4 pt"/>
    <w:docVar w:name="AutoMarginAdjustment3" w:val="68.04 pt,-2.82 pt"/>
    <w:docVar w:name="CharSpaceMode" w:val="0"/>
    <w:docVar w:name="HeaderDateTimeMode" w:val="0"/>
    <w:docVar w:name="HeaderDateTimeOpt" w:val="0"/>
    <w:docVar w:name="HeaderDocInfoMode" w:val="0"/>
    <w:docVar w:name="HeaderDocInfoOpt" w:val="0"/>
    <w:docVar w:name="HeaderPageNumberMode" w:val="0"/>
    <w:docVar w:name="OverlayMode" w:val="0"/>
    <w:docVar w:name="PageNUp" w:val="1"/>
  </w:docVars>
  <w:rsids>
    <w:rsidRoot w:val="00357D03"/>
    <w:rsid w:val="000000CD"/>
    <w:rsid w:val="00000893"/>
    <w:rsid w:val="00000C8B"/>
    <w:rsid w:val="000011A0"/>
    <w:rsid w:val="00001514"/>
    <w:rsid w:val="000015F2"/>
    <w:rsid w:val="00001A47"/>
    <w:rsid w:val="0000343F"/>
    <w:rsid w:val="00003746"/>
    <w:rsid w:val="0000408E"/>
    <w:rsid w:val="00004D84"/>
    <w:rsid w:val="00004ECA"/>
    <w:rsid w:val="000062BD"/>
    <w:rsid w:val="00007267"/>
    <w:rsid w:val="00007492"/>
    <w:rsid w:val="00007912"/>
    <w:rsid w:val="0001085A"/>
    <w:rsid w:val="00011A1D"/>
    <w:rsid w:val="0001263F"/>
    <w:rsid w:val="00012AE8"/>
    <w:rsid w:val="00012CF6"/>
    <w:rsid w:val="00013028"/>
    <w:rsid w:val="00013734"/>
    <w:rsid w:val="00014832"/>
    <w:rsid w:val="00015948"/>
    <w:rsid w:val="000172D1"/>
    <w:rsid w:val="00017CFB"/>
    <w:rsid w:val="0002139D"/>
    <w:rsid w:val="00021C4D"/>
    <w:rsid w:val="00022D53"/>
    <w:rsid w:val="000234E1"/>
    <w:rsid w:val="0002361C"/>
    <w:rsid w:val="00023B97"/>
    <w:rsid w:val="00024563"/>
    <w:rsid w:val="00024918"/>
    <w:rsid w:val="00024E21"/>
    <w:rsid w:val="00025945"/>
    <w:rsid w:val="00025D35"/>
    <w:rsid w:val="000261D7"/>
    <w:rsid w:val="00026B66"/>
    <w:rsid w:val="000273DC"/>
    <w:rsid w:val="00030F1C"/>
    <w:rsid w:val="00030F57"/>
    <w:rsid w:val="000313D2"/>
    <w:rsid w:val="0003181C"/>
    <w:rsid w:val="00031EE6"/>
    <w:rsid w:val="00033A27"/>
    <w:rsid w:val="000347CA"/>
    <w:rsid w:val="00034A01"/>
    <w:rsid w:val="000352E7"/>
    <w:rsid w:val="000354D4"/>
    <w:rsid w:val="00035AF2"/>
    <w:rsid w:val="00035C93"/>
    <w:rsid w:val="000364D7"/>
    <w:rsid w:val="00036C01"/>
    <w:rsid w:val="00036F7E"/>
    <w:rsid w:val="00037CF9"/>
    <w:rsid w:val="00037E4C"/>
    <w:rsid w:val="000409C7"/>
    <w:rsid w:val="00040A99"/>
    <w:rsid w:val="00040D8D"/>
    <w:rsid w:val="0004156F"/>
    <w:rsid w:val="00041971"/>
    <w:rsid w:val="00041B34"/>
    <w:rsid w:val="00041F4E"/>
    <w:rsid w:val="00041F79"/>
    <w:rsid w:val="0004218D"/>
    <w:rsid w:val="00042C02"/>
    <w:rsid w:val="00042EF3"/>
    <w:rsid w:val="00042F01"/>
    <w:rsid w:val="00043817"/>
    <w:rsid w:val="00043DEB"/>
    <w:rsid w:val="00043E3C"/>
    <w:rsid w:val="00044455"/>
    <w:rsid w:val="000447BE"/>
    <w:rsid w:val="00045291"/>
    <w:rsid w:val="00045DC9"/>
    <w:rsid w:val="00045E43"/>
    <w:rsid w:val="000465FC"/>
    <w:rsid w:val="00047470"/>
    <w:rsid w:val="0005062A"/>
    <w:rsid w:val="000506F7"/>
    <w:rsid w:val="00050E8E"/>
    <w:rsid w:val="00051573"/>
    <w:rsid w:val="00051C4F"/>
    <w:rsid w:val="00052499"/>
    <w:rsid w:val="00052542"/>
    <w:rsid w:val="000527ED"/>
    <w:rsid w:val="00052D7F"/>
    <w:rsid w:val="00053A2D"/>
    <w:rsid w:val="00054C75"/>
    <w:rsid w:val="00054F23"/>
    <w:rsid w:val="0005572F"/>
    <w:rsid w:val="00055735"/>
    <w:rsid w:val="00055A5B"/>
    <w:rsid w:val="00055AA1"/>
    <w:rsid w:val="00055BEF"/>
    <w:rsid w:val="00055BFA"/>
    <w:rsid w:val="00057456"/>
    <w:rsid w:val="00057824"/>
    <w:rsid w:val="00057FAE"/>
    <w:rsid w:val="00060393"/>
    <w:rsid w:val="0006043D"/>
    <w:rsid w:val="00060E8F"/>
    <w:rsid w:val="000615FB"/>
    <w:rsid w:val="00061C22"/>
    <w:rsid w:val="000627C2"/>
    <w:rsid w:val="00062A2E"/>
    <w:rsid w:val="00062DAF"/>
    <w:rsid w:val="00063420"/>
    <w:rsid w:val="00063487"/>
    <w:rsid w:val="00064A6F"/>
    <w:rsid w:val="00065BAE"/>
    <w:rsid w:val="00065C34"/>
    <w:rsid w:val="00065E78"/>
    <w:rsid w:val="0006645E"/>
    <w:rsid w:val="000665A2"/>
    <w:rsid w:val="00066C48"/>
    <w:rsid w:val="00067450"/>
    <w:rsid w:val="000677F4"/>
    <w:rsid w:val="0006788A"/>
    <w:rsid w:val="00067E09"/>
    <w:rsid w:val="00070988"/>
    <w:rsid w:val="000714E9"/>
    <w:rsid w:val="0007178B"/>
    <w:rsid w:val="00071AEF"/>
    <w:rsid w:val="0007239A"/>
    <w:rsid w:val="000725FA"/>
    <w:rsid w:val="00072A43"/>
    <w:rsid w:val="0007357C"/>
    <w:rsid w:val="00073992"/>
    <w:rsid w:val="00073BC3"/>
    <w:rsid w:val="00073C35"/>
    <w:rsid w:val="000740C9"/>
    <w:rsid w:val="00074362"/>
    <w:rsid w:val="00074950"/>
    <w:rsid w:val="00074D40"/>
    <w:rsid w:val="0007575D"/>
    <w:rsid w:val="00076BA5"/>
    <w:rsid w:val="00077111"/>
    <w:rsid w:val="00077397"/>
    <w:rsid w:val="00077E23"/>
    <w:rsid w:val="0008017B"/>
    <w:rsid w:val="00080E7D"/>
    <w:rsid w:val="0008147C"/>
    <w:rsid w:val="00081CFB"/>
    <w:rsid w:val="0008208A"/>
    <w:rsid w:val="0008211B"/>
    <w:rsid w:val="00085353"/>
    <w:rsid w:val="000857AB"/>
    <w:rsid w:val="00086D52"/>
    <w:rsid w:val="00090AFA"/>
    <w:rsid w:val="00091367"/>
    <w:rsid w:val="000919E1"/>
    <w:rsid w:val="00091C5C"/>
    <w:rsid w:val="00091D81"/>
    <w:rsid w:val="0009218B"/>
    <w:rsid w:val="0009286B"/>
    <w:rsid w:val="00092E6C"/>
    <w:rsid w:val="00092EE8"/>
    <w:rsid w:val="000941DE"/>
    <w:rsid w:val="00094254"/>
    <w:rsid w:val="000943B8"/>
    <w:rsid w:val="00094699"/>
    <w:rsid w:val="0009482E"/>
    <w:rsid w:val="00094953"/>
    <w:rsid w:val="00094D1C"/>
    <w:rsid w:val="000957B8"/>
    <w:rsid w:val="00096ADB"/>
    <w:rsid w:val="00097ECB"/>
    <w:rsid w:val="000A244B"/>
    <w:rsid w:val="000A3D31"/>
    <w:rsid w:val="000A434A"/>
    <w:rsid w:val="000A462A"/>
    <w:rsid w:val="000A48C6"/>
    <w:rsid w:val="000A5575"/>
    <w:rsid w:val="000A5E81"/>
    <w:rsid w:val="000A6B23"/>
    <w:rsid w:val="000A7644"/>
    <w:rsid w:val="000A767D"/>
    <w:rsid w:val="000B0AD9"/>
    <w:rsid w:val="000B0F2C"/>
    <w:rsid w:val="000B302B"/>
    <w:rsid w:val="000B3944"/>
    <w:rsid w:val="000B3F80"/>
    <w:rsid w:val="000B46D3"/>
    <w:rsid w:val="000B5270"/>
    <w:rsid w:val="000B556E"/>
    <w:rsid w:val="000B5C1F"/>
    <w:rsid w:val="000B6BEB"/>
    <w:rsid w:val="000B6D6B"/>
    <w:rsid w:val="000B7BA4"/>
    <w:rsid w:val="000B7DCC"/>
    <w:rsid w:val="000C1802"/>
    <w:rsid w:val="000C4BEE"/>
    <w:rsid w:val="000C65AF"/>
    <w:rsid w:val="000C66CA"/>
    <w:rsid w:val="000C7FDE"/>
    <w:rsid w:val="000D0035"/>
    <w:rsid w:val="000D00CC"/>
    <w:rsid w:val="000D09C1"/>
    <w:rsid w:val="000D235C"/>
    <w:rsid w:val="000D2D5F"/>
    <w:rsid w:val="000D38AC"/>
    <w:rsid w:val="000D3D4F"/>
    <w:rsid w:val="000D3D6D"/>
    <w:rsid w:val="000D438A"/>
    <w:rsid w:val="000D4473"/>
    <w:rsid w:val="000D48B4"/>
    <w:rsid w:val="000D5102"/>
    <w:rsid w:val="000D5121"/>
    <w:rsid w:val="000D5A82"/>
    <w:rsid w:val="000D6024"/>
    <w:rsid w:val="000D6AA2"/>
    <w:rsid w:val="000D6E10"/>
    <w:rsid w:val="000D7025"/>
    <w:rsid w:val="000D7459"/>
    <w:rsid w:val="000D791E"/>
    <w:rsid w:val="000E031F"/>
    <w:rsid w:val="000E0887"/>
    <w:rsid w:val="000E09BC"/>
    <w:rsid w:val="000E0D17"/>
    <w:rsid w:val="000E0E71"/>
    <w:rsid w:val="000E1D3F"/>
    <w:rsid w:val="000E23F1"/>
    <w:rsid w:val="000E2D42"/>
    <w:rsid w:val="000E3124"/>
    <w:rsid w:val="000E3587"/>
    <w:rsid w:val="000E3CFE"/>
    <w:rsid w:val="000E3DCC"/>
    <w:rsid w:val="000E4351"/>
    <w:rsid w:val="000E55EF"/>
    <w:rsid w:val="000E658A"/>
    <w:rsid w:val="000E6FDF"/>
    <w:rsid w:val="000E700C"/>
    <w:rsid w:val="000E753C"/>
    <w:rsid w:val="000E7BD6"/>
    <w:rsid w:val="000E7CC3"/>
    <w:rsid w:val="000E7DB4"/>
    <w:rsid w:val="000F01A7"/>
    <w:rsid w:val="000F063A"/>
    <w:rsid w:val="000F0C09"/>
    <w:rsid w:val="000F0C2A"/>
    <w:rsid w:val="000F13C0"/>
    <w:rsid w:val="000F1501"/>
    <w:rsid w:val="000F1CF6"/>
    <w:rsid w:val="000F1F88"/>
    <w:rsid w:val="000F206D"/>
    <w:rsid w:val="000F259C"/>
    <w:rsid w:val="000F385F"/>
    <w:rsid w:val="000F4AA1"/>
    <w:rsid w:val="000F4FA1"/>
    <w:rsid w:val="000F598A"/>
    <w:rsid w:val="000F5AD6"/>
    <w:rsid w:val="000F5C7A"/>
    <w:rsid w:val="000F6FE9"/>
    <w:rsid w:val="000F77F9"/>
    <w:rsid w:val="000F7B28"/>
    <w:rsid w:val="000F7D64"/>
    <w:rsid w:val="00100323"/>
    <w:rsid w:val="001011D0"/>
    <w:rsid w:val="00101882"/>
    <w:rsid w:val="00101BE5"/>
    <w:rsid w:val="00101F97"/>
    <w:rsid w:val="001020BA"/>
    <w:rsid w:val="001022B6"/>
    <w:rsid w:val="001022EF"/>
    <w:rsid w:val="00102B34"/>
    <w:rsid w:val="001031BF"/>
    <w:rsid w:val="001031E0"/>
    <w:rsid w:val="00104994"/>
    <w:rsid w:val="00105328"/>
    <w:rsid w:val="001055E6"/>
    <w:rsid w:val="00107214"/>
    <w:rsid w:val="0010768E"/>
    <w:rsid w:val="00110D2C"/>
    <w:rsid w:val="001119A4"/>
    <w:rsid w:val="00111E15"/>
    <w:rsid w:val="00112359"/>
    <w:rsid w:val="00112600"/>
    <w:rsid w:val="00112CF9"/>
    <w:rsid w:val="00112EFB"/>
    <w:rsid w:val="00113380"/>
    <w:rsid w:val="00114C52"/>
    <w:rsid w:val="00115389"/>
    <w:rsid w:val="00115C6D"/>
    <w:rsid w:val="00115DC5"/>
    <w:rsid w:val="00117A5A"/>
    <w:rsid w:val="00117EC2"/>
    <w:rsid w:val="0012038E"/>
    <w:rsid w:val="0012072E"/>
    <w:rsid w:val="00120F63"/>
    <w:rsid w:val="00121303"/>
    <w:rsid w:val="001213DE"/>
    <w:rsid w:val="001214E3"/>
    <w:rsid w:val="00122786"/>
    <w:rsid w:val="001231AB"/>
    <w:rsid w:val="00123C8A"/>
    <w:rsid w:val="001241D3"/>
    <w:rsid w:val="001245E9"/>
    <w:rsid w:val="00124DC3"/>
    <w:rsid w:val="00124E70"/>
    <w:rsid w:val="001252DD"/>
    <w:rsid w:val="00125319"/>
    <w:rsid w:val="00125CC6"/>
    <w:rsid w:val="00131ACC"/>
    <w:rsid w:val="00131D07"/>
    <w:rsid w:val="00131D75"/>
    <w:rsid w:val="001322E0"/>
    <w:rsid w:val="001326F6"/>
    <w:rsid w:val="00132907"/>
    <w:rsid w:val="00132F22"/>
    <w:rsid w:val="0013358A"/>
    <w:rsid w:val="00133822"/>
    <w:rsid w:val="00133E71"/>
    <w:rsid w:val="001340BB"/>
    <w:rsid w:val="001340F4"/>
    <w:rsid w:val="001342A6"/>
    <w:rsid w:val="0013462E"/>
    <w:rsid w:val="001348DC"/>
    <w:rsid w:val="00134E75"/>
    <w:rsid w:val="00135D5F"/>
    <w:rsid w:val="00136651"/>
    <w:rsid w:val="00136CB9"/>
    <w:rsid w:val="001373B9"/>
    <w:rsid w:val="0013768F"/>
    <w:rsid w:val="00140B74"/>
    <w:rsid w:val="001414C1"/>
    <w:rsid w:val="0014153F"/>
    <w:rsid w:val="00141A58"/>
    <w:rsid w:val="00142723"/>
    <w:rsid w:val="00142813"/>
    <w:rsid w:val="00142D07"/>
    <w:rsid w:val="0014341F"/>
    <w:rsid w:val="00143869"/>
    <w:rsid w:val="001443CF"/>
    <w:rsid w:val="00144512"/>
    <w:rsid w:val="00144899"/>
    <w:rsid w:val="0014532B"/>
    <w:rsid w:val="00146F87"/>
    <w:rsid w:val="0014756F"/>
    <w:rsid w:val="00147E3F"/>
    <w:rsid w:val="00147E6F"/>
    <w:rsid w:val="00147EEA"/>
    <w:rsid w:val="001515BF"/>
    <w:rsid w:val="00151838"/>
    <w:rsid w:val="00151948"/>
    <w:rsid w:val="00151F8D"/>
    <w:rsid w:val="001525CE"/>
    <w:rsid w:val="00153334"/>
    <w:rsid w:val="0015353E"/>
    <w:rsid w:val="0015391F"/>
    <w:rsid w:val="00153B79"/>
    <w:rsid w:val="00153BD7"/>
    <w:rsid w:val="00153C34"/>
    <w:rsid w:val="001542A7"/>
    <w:rsid w:val="001542D3"/>
    <w:rsid w:val="00154AFB"/>
    <w:rsid w:val="00154F72"/>
    <w:rsid w:val="00157142"/>
    <w:rsid w:val="001574EF"/>
    <w:rsid w:val="0015762D"/>
    <w:rsid w:val="00157C06"/>
    <w:rsid w:val="001603B4"/>
    <w:rsid w:val="00160A9C"/>
    <w:rsid w:val="00161D79"/>
    <w:rsid w:val="00161E4F"/>
    <w:rsid w:val="00162E0A"/>
    <w:rsid w:val="00163118"/>
    <w:rsid w:val="00163395"/>
    <w:rsid w:val="0016414B"/>
    <w:rsid w:val="00164410"/>
    <w:rsid w:val="00164974"/>
    <w:rsid w:val="00164D4A"/>
    <w:rsid w:val="00164F08"/>
    <w:rsid w:val="00165455"/>
    <w:rsid w:val="00166265"/>
    <w:rsid w:val="001668A5"/>
    <w:rsid w:val="00166B5D"/>
    <w:rsid w:val="00166C8F"/>
    <w:rsid w:val="0016700B"/>
    <w:rsid w:val="00167270"/>
    <w:rsid w:val="0016734E"/>
    <w:rsid w:val="001674BA"/>
    <w:rsid w:val="001676FA"/>
    <w:rsid w:val="00170030"/>
    <w:rsid w:val="001703A9"/>
    <w:rsid w:val="001705D2"/>
    <w:rsid w:val="00170CC4"/>
    <w:rsid w:val="00170DA5"/>
    <w:rsid w:val="0017166B"/>
    <w:rsid w:val="00171792"/>
    <w:rsid w:val="001721A3"/>
    <w:rsid w:val="00172490"/>
    <w:rsid w:val="0017263E"/>
    <w:rsid w:val="0017312A"/>
    <w:rsid w:val="00173370"/>
    <w:rsid w:val="001739DA"/>
    <w:rsid w:val="00173B4A"/>
    <w:rsid w:val="00173C75"/>
    <w:rsid w:val="001741BC"/>
    <w:rsid w:val="0017420B"/>
    <w:rsid w:val="0017439E"/>
    <w:rsid w:val="00174692"/>
    <w:rsid w:val="00174B14"/>
    <w:rsid w:val="00175547"/>
    <w:rsid w:val="00175A07"/>
    <w:rsid w:val="00175D7F"/>
    <w:rsid w:val="00175F1A"/>
    <w:rsid w:val="00175FA7"/>
    <w:rsid w:val="001768F8"/>
    <w:rsid w:val="00176AFC"/>
    <w:rsid w:val="00176B8E"/>
    <w:rsid w:val="0017744D"/>
    <w:rsid w:val="001801FF"/>
    <w:rsid w:val="00180541"/>
    <w:rsid w:val="001807F2"/>
    <w:rsid w:val="00180999"/>
    <w:rsid w:val="00180DAC"/>
    <w:rsid w:val="00181D76"/>
    <w:rsid w:val="00181E16"/>
    <w:rsid w:val="00182097"/>
    <w:rsid w:val="00182818"/>
    <w:rsid w:val="001828C2"/>
    <w:rsid w:val="00182B4F"/>
    <w:rsid w:val="00183391"/>
    <w:rsid w:val="00183517"/>
    <w:rsid w:val="001837D2"/>
    <w:rsid w:val="0018387C"/>
    <w:rsid w:val="001839B2"/>
    <w:rsid w:val="00183CD3"/>
    <w:rsid w:val="001843BA"/>
    <w:rsid w:val="00184629"/>
    <w:rsid w:val="0018476B"/>
    <w:rsid w:val="00184FA4"/>
    <w:rsid w:val="00186753"/>
    <w:rsid w:val="00187092"/>
    <w:rsid w:val="001875E7"/>
    <w:rsid w:val="001877A8"/>
    <w:rsid w:val="00191290"/>
    <w:rsid w:val="00192B84"/>
    <w:rsid w:val="00192C54"/>
    <w:rsid w:val="00193515"/>
    <w:rsid w:val="00193A3A"/>
    <w:rsid w:val="00193D20"/>
    <w:rsid w:val="00193D30"/>
    <w:rsid w:val="00194133"/>
    <w:rsid w:val="001942F5"/>
    <w:rsid w:val="0019447E"/>
    <w:rsid w:val="00194A19"/>
    <w:rsid w:val="00194FA2"/>
    <w:rsid w:val="00195C33"/>
    <w:rsid w:val="00195D02"/>
    <w:rsid w:val="00195D8C"/>
    <w:rsid w:val="00195F8A"/>
    <w:rsid w:val="001962A4"/>
    <w:rsid w:val="001962C6"/>
    <w:rsid w:val="00197320"/>
    <w:rsid w:val="001977C8"/>
    <w:rsid w:val="00197C61"/>
    <w:rsid w:val="00197CD3"/>
    <w:rsid w:val="00197D46"/>
    <w:rsid w:val="00197E56"/>
    <w:rsid w:val="001A1067"/>
    <w:rsid w:val="001A25A4"/>
    <w:rsid w:val="001A2CA9"/>
    <w:rsid w:val="001A301A"/>
    <w:rsid w:val="001A3613"/>
    <w:rsid w:val="001A3644"/>
    <w:rsid w:val="001A3986"/>
    <w:rsid w:val="001A518F"/>
    <w:rsid w:val="001A5E2D"/>
    <w:rsid w:val="001A622E"/>
    <w:rsid w:val="001A65DE"/>
    <w:rsid w:val="001A6625"/>
    <w:rsid w:val="001A6889"/>
    <w:rsid w:val="001A7280"/>
    <w:rsid w:val="001B044C"/>
    <w:rsid w:val="001B05CF"/>
    <w:rsid w:val="001B0A3B"/>
    <w:rsid w:val="001B2D69"/>
    <w:rsid w:val="001B3000"/>
    <w:rsid w:val="001B3517"/>
    <w:rsid w:val="001B3DCC"/>
    <w:rsid w:val="001B4224"/>
    <w:rsid w:val="001B44D6"/>
    <w:rsid w:val="001B4712"/>
    <w:rsid w:val="001B47C7"/>
    <w:rsid w:val="001B5AF3"/>
    <w:rsid w:val="001B62E4"/>
    <w:rsid w:val="001B66F6"/>
    <w:rsid w:val="001B6A9C"/>
    <w:rsid w:val="001B7455"/>
    <w:rsid w:val="001C022A"/>
    <w:rsid w:val="001C04A1"/>
    <w:rsid w:val="001C10E8"/>
    <w:rsid w:val="001C1185"/>
    <w:rsid w:val="001C167F"/>
    <w:rsid w:val="001C17EC"/>
    <w:rsid w:val="001C27C4"/>
    <w:rsid w:val="001C2BDC"/>
    <w:rsid w:val="001C2D88"/>
    <w:rsid w:val="001C309E"/>
    <w:rsid w:val="001C33BD"/>
    <w:rsid w:val="001C3FA6"/>
    <w:rsid w:val="001C46ED"/>
    <w:rsid w:val="001C4EB1"/>
    <w:rsid w:val="001C53F8"/>
    <w:rsid w:val="001C5965"/>
    <w:rsid w:val="001C5A3A"/>
    <w:rsid w:val="001C5F3D"/>
    <w:rsid w:val="001C61BE"/>
    <w:rsid w:val="001C6C22"/>
    <w:rsid w:val="001C7A48"/>
    <w:rsid w:val="001C7D4E"/>
    <w:rsid w:val="001C7D9C"/>
    <w:rsid w:val="001C7DB6"/>
    <w:rsid w:val="001D0265"/>
    <w:rsid w:val="001D055E"/>
    <w:rsid w:val="001D0A4D"/>
    <w:rsid w:val="001D13D7"/>
    <w:rsid w:val="001D1A43"/>
    <w:rsid w:val="001D21A9"/>
    <w:rsid w:val="001D25DA"/>
    <w:rsid w:val="001D3862"/>
    <w:rsid w:val="001D3B96"/>
    <w:rsid w:val="001D5531"/>
    <w:rsid w:val="001D58AA"/>
    <w:rsid w:val="001D5AF5"/>
    <w:rsid w:val="001D6019"/>
    <w:rsid w:val="001D611E"/>
    <w:rsid w:val="001D6167"/>
    <w:rsid w:val="001D631A"/>
    <w:rsid w:val="001D7AE6"/>
    <w:rsid w:val="001E0258"/>
    <w:rsid w:val="001E156A"/>
    <w:rsid w:val="001E1763"/>
    <w:rsid w:val="001E2139"/>
    <w:rsid w:val="001E2423"/>
    <w:rsid w:val="001E28A0"/>
    <w:rsid w:val="001E3006"/>
    <w:rsid w:val="001E3222"/>
    <w:rsid w:val="001E418B"/>
    <w:rsid w:val="001E4867"/>
    <w:rsid w:val="001E4D1F"/>
    <w:rsid w:val="001E5463"/>
    <w:rsid w:val="001E5B95"/>
    <w:rsid w:val="001E6348"/>
    <w:rsid w:val="001E6D06"/>
    <w:rsid w:val="001E738B"/>
    <w:rsid w:val="001E750E"/>
    <w:rsid w:val="001F0DB3"/>
    <w:rsid w:val="001F1F15"/>
    <w:rsid w:val="001F2962"/>
    <w:rsid w:val="001F311A"/>
    <w:rsid w:val="001F333B"/>
    <w:rsid w:val="001F42E5"/>
    <w:rsid w:val="001F47FD"/>
    <w:rsid w:val="001F4ADB"/>
    <w:rsid w:val="001F4AEA"/>
    <w:rsid w:val="001F4C4D"/>
    <w:rsid w:val="001F4C56"/>
    <w:rsid w:val="001F5A7F"/>
    <w:rsid w:val="001F5C30"/>
    <w:rsid w:val="001F60DD"/>
    <w:rsid w:val="001F7BDB"/>
    <w:rsid w:val="001F7E58"/>
    <w:rsid w:val="00201BBE"/>
    <w:rsid w:val="00201ED0"/>
    <w:rsid w:val="0020242D"/>
    <w:rsid w:val="00202D36"/>
    <w:rsid w:val="00202D7F"/>
    <w:rsid w:val="00203094"/>
    <w:rsid w:val="0020329A"/>
    <w:rsid w:val="002038BA"/>
    <w:rsid w:val="00204BDB"/>
    <w:rsid w:val="002050E1"/>
    <w:rsid w:val="002056E8"/>
    <w:rsid w:val="002059E7"/>
    <w:rsid w:val="002063FD"/>
    <w:rsid w:val="00206889"/>
    <w:rsid w:val="00206BDE"/>
    <w:rsid w:val="00206E29"/>
    <w:rsid w:val="00206F30"/>
    <w:rsid w:val="00207F13"/>
    <w:rsid w:val="002107E1"/>
    <w:rsid w:val="00210A96"/>
    <w:rsid w:val="0021189D"/>
    <w:rsid w:val="00211BFD"/>
    <w:rsid w:val="00212B7B"/>
    <w:rsid w:val="00212BFD"/>
    <w:rsid w:val="00212E9B"/>
    <w:rsid w:val="00212FC8"/>
    <w:rsid w:val="0021372E"/>
    <w:rsid w:val="00214052"/>
    <w:rsid w:val="00214083"/>
    <w:rsid w:val="0021415C"/>
    <w:rsid w:val="0021482C"/>
    <w:rsid w:val="0021483E"/>
    <w:rsid w:val="002158DB"/>
    <w:rsid w:val="00216094"/>
    <w:rsid w:val="002162B4"/>
    <w:rsid w:val="00216925"/>
    <w:rsid w:val="002176AC"/>
    <w:rsid w:val="00220108"/>
    <w:rsid w:val="00220919"/>
    <w:rsid w:val="00221565"/>
    <w:rsid w:val="00221CFE"/>
    <w:rsid w:val="00222297"/>
    <w:rsid w:val="002225F6"/>
    <w:rsid w:val="00223006"/>
    <w:rsid w:val="002230B7"/>
    <w:rsid w:val="00223135"/>
    <w:rsid w:val="002238CA"/>
    <w:rsid w:val="00223B29"/>
    <w:rsid w:val="00223DB8"/>
    <w:rsid w:val="00223E20"/>
    <w:rsid w:val="00224249"/>
    <w:rsid w:val="0022438A"/>
    <w:rsid w:val="00224E4E"/>
    <w:rsid w:val="00225717"/>
    <w:rsid w:val="00225927"/>
    <w:rsid w:val="00225D05"/>
    <w:rsid w:val="00226968"/>
    <w:rsid w:val="00226DAD"/>
    <w:rsid w:val="0022715A"/>
    <w:rsid w:val="00227DF7"/>
    <w:rsid w:val="00230037"/>
    <w:rsid w:val="00230114"/>
    <w:rsid w:val="00230704"/>
    <w:rsid w:val="002316D1"/>
    <w:rsid w:val="002319A2"/>
    <w:rsid w:val="00231E84"/>
    <w:rsid w:val="002339EB"/>
    <w:rsid w:val="00233F4C"/>
    <w:rsid w:val="00235D84"/>
    <w:rsid w:val="00236F1A"/>
    <w:rsid w:val="00237015"/>
    <w:rsid w:val="0023797D"/>
    <w:rsid w:val="002379E1"/>
    <w:rsid w:val="00237CE3"/>
    <w:rsid w:val="00237E38"/>
    <w:rsid w:val="002404E0"/>
    <w:rsid w:val="00240927"/>
    <w:rsid w:val="00240AAF"/>
    <w:rsid w:val="002415B9"/>
    <w:rsid w:val="00241D92"/>
    <w:rsid w:val="002428CE"/>
    <w:rsid w:val="00242FE7"/>
    <w:rsid w:val="00243BAF"/>
    <w:rsid w:val="00243D19"/>
    <w:rsid w:val="002456E3"/>
    <w:rsid w:val="002464BC"/>
    <w:rsid w:val="00246C14"/>
    <w:rsid w:val="0024725E"/>
    <w:rsid w:val="00247510"/>
    <w:rsid w:val="00247C69"/>
    <w:rsid w:val="00250860"/>
    <w:rsid w:val="00251572"/>
    <w:rsid w:val="002515AF"/>
    <w:rsid w:val="00251E62"/>
    <w:rsid w:val="00251F63"/>
    <w:rsid w:val="0025209D"/>
    <w:rsid w:val="00252132"/>
    <w:rsid w:val="00252F4C"/>
    <w:rsid w:val="002536AE"/>
    <w:rsid w:val="002543C7"/>
    <w:rsid w:val="002549F5"/>
    <w:rsid w:val="002552ED"/>
    <w:rsid w:val="0025567B"/>
    <w:rsid w:val="00255C38"/>
    <w:rsid w:val="00255CAC"/>
    <w:rsid w:val="002570BA"/>
    <w:rsid w:val="00257229"/>
    <w:rsid w:val="002573C5"/>
    <w:rsid w:val="0026111C"/>
    <w:rsid w:val="00261626"/>
    <w:rsid w:val="0026163E"/>
    <w:rsid w:val="00261C2A"/>
    <w:rsid w:val="00262357"/>
    <w:rsid w:val="00262C2C"/>
    <w:rsid w:val="00263736"/>
    <w:rsid w:val="00263E9F"/>
    <w:rsid w:val="00264990"/>
    <w:rsid w:val="00264C4E"/>
    <w:rsid w:val="00264DDA"/>
    <w:rsid w:val="00265F0F"/>
    <w:rsid w:val="0026616B"/>
    <w:rsid w:val="002662A1"/>
    <w:rsid w:val="00266515"/>
    <w:rsid w:val="0026669B"/>
    <w:rsid w:val="00267200"/>
    <w:rsid w:val="00267B9C"/>
    <w:rsid w:val="00267F7A"/>
    <w:rsid w:val="0027002B"/>
    <w:rsid w:val="002703DD"/>
    <w:rsid w:val="002709A5"/>
    <w:rsid w:val="00270D30"/>
    <w:rsid w:val="00271360"/>
    <w:rsid w:val="002713F4"/>
    <w:rsid w:val="00271506"/>
    <w:rsid w:val="0027180C"/>
    <w:rsid w:val="00272F3D"/>
    <w:rsid w:val="00273CCC"/>
    <w:rsid w:val="002744D9"/>
    <w:rsid w:val="00276900"/>
    <w:rsid w:val="002772B5"/>
    <w:rsid w:val="0027781B"/>
    <w:rsid w:val="00280099"/>
    <w:rsid w:val="002808FC"/>
    <w:rsid w:val="0028097C"/>
    <w:rsid w:val="00282555"/>
    <w:rsid w:val="00283495"/>
    <w:rsid w:val="002835EF"/>
    <w:rsid w:val="00283B1E"/>
    <w:rsid w:val="0028460D"/>
    <w:rsid w:val="002848E2"/>
    <w:rsid w:val="00285CC6"/>
    <w:rsid w:val="002860A7"/>
    <w:rsid w:val="00286473"/>
    <w:rsid w:val="002865A1"/>
    <w:rsid w:val="00286B11"/>
    <w:rsid w:val="00286F49"/>
    <w:rsid w:val="0028744F"/>
    <w:rsid w:val="00287E22"/>
    <w:rsid w:val="0029094E"/>
    <w:rsid w:val="002912A6"/>
    <w:rsid w:val="00291FFB"/>
    <w:rsid w:val="00293126"/>
    <w:rsid w:val="00293361"/>
    <w:rsid w:val="00293807"/>
    <w:rsid w:val="002940BF"/>
    <w:rsid w:val="002940D7"/>
    <w:rsid w:val="0029444E"/>
    <w:rsid w:val="00294C67"/>
    <w:rsid w:val="00294E15"/>
    <w:rsid w:val="00295040"/>
    <w:rsid w:val="002951B1"/>
    <w:rsid w:val="002955CB"/>
    <w:rsid w:val="00295C1B"/>
    <w:rsid w:val="00295D7F"/>
    <w:rsid w:val="002962EF"/>
    <w:rsid w:val="00296386"/>
    <w:rsid w:val="002975C2"/>
    <w:rsid w:val="00297E48"/>
    <w:rsid w:val="002A0679"/>
    <w:rsid w:val="002A1060"/>
    <w:rsid w:val="002A1094"/>
    <w:rsid w:val="002A14C4"/>
    <w:rsid w:val="002A15EC"/>
    <w:rsid w:val="002A1926"/>
    <w:rsid w:val="002A1BFA"/>
    <w:rsid w:val="002A27CF"/>
    <w:rsid w:val="002A3602"/>
    <w:rsid w:val="002A4398"/>
    <w:rsid w:val="002A4F38"/>
    <w:rsid w:val="002A56F3"/>
    <w:rsid w:val="002A5825"/>
    <w:rsid w:val="002A596B"/>
    <w:rsid w:val="002A6042"/>
    <w:rsid w:val="002A6781"/>
    <w:rsid w:val="002A6DDB"/>
    <w:rsid w:val="002A6FEB"/>
    <w:rsid w:val="002A72E5"/>
    <w:rsid w:val="002A7BBD"/>
    <w:rsid w:val="002A7FD7"/>
    <w:rsid w:val="002B22B2"/>
    <w:rsid w:val="002B2369"/>
    <w:rsid w:val="002B2A52"/>
    <w:rsid w:val="002B2DF5"/>
    <w:rsid w:val="002B386F"/>
    <w:rsid w:val="002B47FD"/>
    <w:rsid w:val="002B4F91"/>
    <w:rsid w:val="002B5020"/>
    <w:rsid w:val="002B57F3"/>
    <w:rsid w:val="002B5ED8"/>
    <w:rsid w:val="002B640E"/>
    <w:rsid w:val="002B6448"/>
    <w:rsid w:val="002B6711"/>
    <w:rsid w:val="002B6C76"/>
    <w:rsid w:val="002B6DE2"/>
    <w:rsid w:val="002B7641"/>
    <w:rsid w:val="002B7F44"/>
    <w:rsid w:val="002C0156"/>
    <w:rsid w:val="002C0930"/>
    <w:rsid w:val="002C0DF3"/>
    <w:rsid w:val="002C0E0B"/>
    <w:rsid w:val="002C113C"/>
    <w:rsid w:val="002C1467"/>
    <w:rsid w:val="002C2F8A"/>
    <w:rsid w:val="002C402F"/>
    <w:rsid w:val="002C4D66"/>
    <w:rsid w:val="002C5484"/>
    <w:rsid w:val="002C5589"/>
    <w:rsid w:val="002C5931"/>
    <w:rsid w:val="002C5BCD"/>
    <w:rsid w:val="002C5EE6"/>
    <w:rsid w:val="002C60C7"/>
    <w:rsid w:val="002C641D"/>
    <w:rsid w:val="002C6445"/>
    <w:rsid w:val="002C67E4"/>
    <w:rsid w:val="002C782F"/>
    <w:rsid w:val="002D06E0"/>
    <w:rsid w:val="002D0D2A"/>
    <w:rsid w:val="002D1452"/>
    <w:rsid w:val="002D15CE"/>
    <w:rsid w:val="002D1D24"/>
    <w:rsid w:val="002D21F6"/>
    <w:rsid w:val="002D26E7"/>
    <w:rsid w:val="002D371F"/>
    <w:rsid w:val="002D376B"/>
    <w:rsid w:val="002D3E57"/>
    <w:rsid w:val="002D43BB"/>
    <w:rsid w:val="002D45D3"/>
    <w:rsid w:val="002D4DAF"/>
    <w:rsid w:val="002D4F30"/>
    <w:rsid w:val="002D5B26"/>
    <w:rsid w:val="002D5D00"/>
    <w:rsid w:val="002D633A"/>
    <w:rsid w:val="002D77D7"/>
    <w:rsid w:val="002E089F"/>
    <w:rsid w:val="002E0A9A"/>
    <w:rsid w:val="002E14E2"/>
    <w:rsid w:val="002E1817"/>
    <w:rsid w:val="002E1DB7"/>
    <w:rsid w:val="002E23C8"/>
    <w:rsid w:val="002E26A7"/>
    <w:rsid w:val="002E2977"/>
    <w:rsid w:val="002E2AEA"/>
    <w:rsid w:val="002E3408"/>
    <w:rsid w:val="002E3792"/>
    <w:rsid w:val="002E3F88"/>
    <w:rsid w:val="002E43E1"/>
    <w:rsid w:val="002E4585"/>
    <w:rsid w:val="002E497E"/>
    <w:rsid w:val="002E59D6"/>
    <w:rsid w:val="002E59E1"/>
    <w:rsid w:val="002E5FAB"/>
    <w:rsid w:val="002E6172"/>
    <w:rsid w:val="002E69BE"/>
    <w:rsid w:val="002E6DB3"/>
    <w:rsid w:val="002E6EB1"/>
    <w:rsid w:val="002E758B"/>
    <w:rsid w:val="002E7C82"/>
    <w:rsid w:val="002F04F2"/>
    <w:rsid w:val="002F30B1"/>
    <w:rsid w:val="002F3263"/>
    <w:rsid w:val="002F34C1"/>
    <w:rsid w:val="002F36A1"/>
    <w:rsid w:val="002F3748"/>
    <w:rsid w:val="002F3AA9"/>
    <w:rsid w:val="002F3E31"/>
    <w:rsid w:val="002F4137"/>
    <w:rsid w:val="002F47ED"/>
    <w:rsid w:val="002F4ABA"/>
    <w:rsid w:val="002F51AC"/>
    <w:rsid w:val="002F54DD"/>
    <w:rsid w:val="002F68DD"/>
    <w:rsid w:val="002F73BF"/>
    <w:rsid w:val="002F78E4"/>
    <w:rsid w:val="002F7B6C"/>
    <w:rsid w:val="00300443"/>
    <w:rsid w:val="0030081C"/>
    <w:rsid w:val="003010D7"/>
    <w:rsid w:val="003010FC"/>
    <w:rsid w:val="00301144"/>
    <w:rsid w:val="00301644"/>
    <w:rsid w:val="00301FF8"/>
    <w:rsid w:val="00302422"/>
    <w:rsid w:val="00302771"/>
    <w:rsid w:val="00302C62"/>
    <w:rsid w:val="00302E3B"/>
    <w:rsid w:val="003037EC"/>
    <w:rsid w:val="00303D18"/>
    <w:rsid w:val="0030555E"/>
    <w:rsid w:val="003055F3"/>
    <w:rsid w:val="00305EB6"/>
    <w:rsid w:val="0030677B"/>
    <w:rsid w:val="0030749C"/>
    <w:rsid w:val="00307764"/>
    <w:rsid w:val="00307BA0"/>
    <w:rsid w:val="00307C7C"/>
    <w:rsid w:val="003107C8"/>
    <w:rsid w:val="00310D78"/>
    <w:rsid w:val="00311666"/>
    <w:rsid w:val="003116CE"/>
    <w:rsid w:val="00312202"/>
    <w:rsid w:val="00312243"/>
    <w:rsid w:val="003124DD"/>
    <w:rsid w:val="00312AC0"/>
    <w:rsid w:val="00312CBB"/>
    <w:rsid w:val="0031344A"/>
    <w:rsid w:val="00313DAD"/>
    <w:rsid w:val="003145CE"/>
    <w:rsid w:val="003149A3"/>
    <w:rsid w:val="0031508D"/>
    <w:rsid w:val="0031525E"/>
    <w:rsid w:val="00315B9D"/>
    <w:rsid w:val="00315BC2"/>
    <w:rsid w:val="00315C91"/>
    <w:rsid w:val="00316404"/>
    <w:rsid w:val="0031694B"/>
    <w:rsid w:val="003170FD"/>
    <w:rsid w:val="00317573"/>
    <w:rsid w:val="00320683"/>
    <w:rsid w:val="00321036"/>
    <w:rsid w:val="00321D32"/>
    <w:rsid w:val="003221CF"/>
    <w:rsid w:val="003224D6"/>
    <w:rsid w:val="003230F8"/>
    <w:rsid w:val="0032447F"/>
    <w:rsid w:val="00324683"/>
    <w:rsid w:val="00324BC7"/>
    <w:rsid w:val="00325ADF"/>
    <w:rsid w:val="0032633E"/>
    <w:rsid w:val="00327169"/>
    <w:rsid w:val="003273CC"/>
    <w:rsid w:val="00327607"/>
    <w:rsid w:val="00331AD3"/>
    <w:rsid w:val="00332284"/>
    <w:rsid w:val="003323BD"/>
    <w:rsid w:val="003327D4"/>
    <w:rsid w:val="00332B14"/>
    <w:rsid w:val="00332C61"/>
    <w:rsid w:val="00333026"/>
    <w:rsid w:val="0033362B"/>
    <w:rsid w:val="00333F25"/>
    <w:rsid w:val="00334399"/>
    <w:rsid w:val="003343B0"/>
    <w:rsid w:val="003348A5"/>
    <w:rsid w:val="00335922"/>
    <w:rsid w:val="00335B45"/>
    <w:rsid w:val="00336567"/>
    <w:rsid w:val="003378EA"/>
    <w:rsid w:val="00337B1F"/>
    <w:rsid w:val="00340583"/>
    <w:rsid w:val="0034087B"/>
    <w:rsid w:val="00341190"/>
    <w:rsid w:val="0034299B"/>
    <w:rsid w:val="00343280"/>
    <w:rsid w:val="0034378D"/>
    <w:rsid w:val="0034393A"/>
    <w:rsid w:val="00343B3D"/>
    <w:rsid w:val="00344127"/>
    <w:rsid w:val="003447B1"/>
    <w:rsid w:val="00345258"/>
    <w:rsid w:val="00345E91"/>
    <w:rsid w:val="003464F2"/>
    <w:rsid w:val="00347C31"/>
    <w:rsid w:val="0035053B"/>
    <w:rsid w:val="00350D44"/>
    <w:rsid w:val="003526A7"/>
    <w:rsid w:val="00352CA9"/>
    <w:rsid w:val="00352CCD"/>
    <w:rsid w:val="00353484"/>
    <w:rsid w:val="003539BF"/>
    <w:rsid w:val="00355A68"/>
    <w:rsid w:val="00356626"/>
    <w:rsid w:val="00356B2E"/>
    <w:rsid w:val="00357A7F"/>
    <w:rsid w:val="00357D03"/>
    <w:rsid w:val="00360657"/>
    <w:rsid w:val="003608D4"/>
    <w:rsid w:val="00360F0C"/>
    <w:rsid w:val="00361064"/>
    <w:rsid w:val="0036198D"/>
    <w:rsid w:val="00361A18"/>
    <w:rsid w:val="003628CA"/>
    <w:rsid w:val="00363599"/>
    <w:rsid w:val="003638DB"/>
    <w:rsid w:val="00363EAB"/>
    <w:rsid w:val="0036410D"/>
    <w:rsid w:val="003644EA"/>
    <w:rsid w:val="0036598B"/>
    <w:rsid w:val="00367AA8"/>
    <w:rsid w:val="00370B57"/>
    <w:rsid w:val="00370E54"/>
    <w:rsid w:val="0037223C"/>
    <w:rsid w:val="00373258"/>
    <w:rsid w:val="00374181"/>
    <w:rsid w:val="00375FB8"/>
    <w:rsid w:val="00376342"/>
    <w:rsid w:val="0037678D"/>
    <w:rsid w:val="0037692C"/>
    <w:rsid w:val="00376CD0"/>
    <w:rsid w:val="00376CED"/>
    <w:rsid w:val="00376DD9"/>
    <w:rsid w:val="00377EAF"/>
    <w:rsid w:val="00380046"/>
    <w:rsid w:val="003818F8"/>
    <w:rsid w:val="00381CE0"/>
    <w:rsid w:val="00381E04"/>
    <w:rsid w:val="00382013"/>
    <w:rsid w:val="00382388"/>
    <w:rsid w:val="00382DF1"/>
    <w:rsid w:val="003832F4"/>
    <w:rsid w:val="003835ED"/>
    <w:rsid w:val="00383C17"/>
    <w:rsid w:val="00383C55"/>
    <w:rsid w:val="00383F20"/>
    <w:rsid w:val="003848DC"/>
    <w:rsid w:val="00385464"/>
    <w:rsid w:val="00385D32"/>
    <w:rsid w:val="00385ECD"/>
    <w:rsid w:val="003864EF"/>
    <w:rsid w:val="0038665E"/>
    <w:rsid w:val="00386DAD"/>
    <w:rsid w:val="00387A8E"/>
    <w:rsid w:val="00387F2F"/>
    <w:rsid w:val="00390401"/>
    <w:rsid w:val="00390578"/>
    <w:rsid w:val="003908D3"/>
    <w:rsid w:val="00391373"/>
    <w:rsid w:val="00391567"/>
    <w:rsid w:val="00391748"/>
    <w:rsid w:val="003929E7"/>
    <w:rsid w:val="00394865"/>
    <w:rsid w:val="00394AD2"/>
    <w:rsid w:val="00395542"/>
    <w:rsid w:val="00395651"/>
    <w:rsid w:val="00395724"/>
    <w:rsid w:val="00395BB6"/>
    <w:rsid w:val="003963A1"/>
    <w:rsid w:val="00396913"/>
    <w:rsid w:val="003971BD"/>
    <w:rsid w:val="00397E84"/>
    <w:rsid w:val="00397EEB"/>
    <w:rsid w:val="003A0D1F"/>
    <w:rsid w:val="003A0D2F"/>
    <w:rsid w:val="003A0D9C"/>
    <w:rsid w:val="003A135F"/>
    <w:rsid w:val="003A13DE"/>
    <w:rsid w:val="003A197C"/>
    <w:rsid w:val="003A2948"/>
    <w:rsid w:val="003A3022"/>
    <w:rsid w:val="003A313A"/>
    <w:rsid w:val="003A3CD1"/>
    <w:rsid w:val="003A4CF5"/>
    <w:rsid w:val="003A588B"/>
    <w:rsid w:val="003A5ECF"/>
    <w:rsid w:val="003A64CF"/>
    <w:rsid w:val="003A78E7"/>
    <w:rsid w:val="003A7908"/>
    <w:rsid w:val="003A7E74"/>
    <w:rsid w:val="003B0670"/>
    <w:rsid w:val="003B0829"/>
    <w:rsid w:val="003B0D3B"/>
    <w:rsid w:val="003B0E4E"/>
    <w:rsid w:val="003B1759"/>
    <w:rsid w:val="003B1A92"/>
    <w:rsid w:val="003B2659"/>
    <w:rsid w:val="003B3640"/>
    <w:rsid w:val="003B3849"/>
    <w:rsid w:val="003B41EE"/>
    <w:rsid w:val="003B4744"/>
    <w:rsid w:val="003B47BA"/>
    <w:rsid w:val="003B4948"/>
    <w:rsid w:val="003B5DD6"/>
    <w:rsid w:val="003B6789"/>
    <w:rsid w:val="003B6EC8"/>
    <w:rsid w:val="003B7531"/>
    <w:rsid w:val="003B7A73"/>
    <w:rsid w:val="003C0535"/>
    <w:rsid w:val="003C0539"/>
    <w:rsid w:val="003C1DF1"/>
    <w:rsid w:val="003C2A6C"/>
    <w:rsid w:val="003C2BA9"/>
    <w:rsid w:val="003C2E14"/>
    <w:rsid w:val="003C3153"/>
    <w:rsid w:val="003C4217"/>
    <w:rsid w:val="003C48C9"/>
    <w:rsid w:val="003C4AE7"/>
    <w:rsid w:val="003C52DA"/>
    <w:rsid w:val="003C545A"/>
    <w:rsid w:val="003C613B"/>
    <w:rsid w:val="003C695D"/>
    <w:rsid w:val="003C6CDA"/>
    <w:rsid w:val="003C6F48"/>
    <w:rsid w:val="003C75AA"/>
    <w:rsid w:val="003C75C0"/>
    <w:rsid w:val="003C7E65"/>
    <w:rsid w:val="003D01FF"/>
    <w:rsid w:val="003D1F7E"/>
    <w:rsid w:val="003D2B8D"/>
    <w:rsid w:val="003D2F3C"/>
    <w:rsid w:val="003D3434"/>
    <w:rsid w:val="003D3F94"/>
    <w:rsid w:val="003D4287"/>
    <w:rsid w:val="003D464D"/>
    <w:rsid w:val="003D5538"/>
    <w:rsid w:val="003D5AB4"/>
    <w:rsid w:val="003D5FC4"/>
    <w:rsid w:val="003D66E0"/>
    <w:rsid w:val="003D6CD4"/>
    <w:rsid w:val="003D7006"/>
    <w:rsid w:val="003E03B6"/>
    <w:rsid w:val="003E15C7"/>
    <w:rsid w:val="003E1801"/>
    <w:rsid w:val="003E227F"/>
    <w:rsid w:val="003E242C"/>
    <w:rsid w:val="003E2A43"/>
    <w:rsid w:val="003E2B2C"/>
    <w:rsid w:val="003E383B"/>
    <w:rsid w:val="003E4866"/>
    <w:rsid w:val="003E51F7"/>
    <w:rsid w:val="003E5792"/>
    <w:rsid w:val="003E6D6F"/>
    <w:rsid w:val="003E7378"/>
    <w:rsid w:val="003E7E82"/>
    <w:rsid w:val="003F103D"/>
    <w:rsid w:val="003F1C68"/>
    <w:rsid w:val="003F216C"/>
    <w:rsid w:val="003F258E"/>
    <w:rsid w:val="003F3030"/>
    <w:rsid w:val="003F378E"/>
    <w:rsid w:val="003F3FF6"/>
    <w:rsid w:val="003F423C"/>
    <w:rsid w:val="003F4E8C"/>
    <w:rsid w:val="003F5145"/>
    <w:rsid w:val="003F5269"/>
    <w:rsid w:val="003F5DAB"/>
    <w:rsid w:val="003F5F0F"/>
    <w:rsid w:val="003F74BA"/>
    <w:rsid w:val="00400355"/>
    <w:rsid w:val="00400361"/>
    <w:rsid w:val="00401CAA"/>
    <w:rsid w:val="0040234D"/>
    <w:rsid w:val="004033AF"/>
    <w:rsid w:val="00403482"/>
    <w:rsid w:val="00403DEF"/>
    <w:rsid w:val="00403EF9"/>
    <w:rsid w:val="0040497D"/>
    <w:rsid w:val="00405BEB"/>
    <w:rsid w:val="00405D1A"/>
    <w:rsid w:val="00405D9A"/>
    <w:rsid w:val="00406056"/>
    <w:rsid w:val="004068E6"/>
    <w:rsid w:val="00406D8D"/>
    <w:rsid w:val="00406FCC"/>
    <w:rsid w:val="0040738E"/>
    <w:rsid w:val="00410700"/>
    <w:rsid w:val="00410C4F"/>
    <w:rsid w:val="004110FF"/>
    <w:rsid w:val="0041111F"/>
    <w:rsid w:val="00411618"/>
    <w:rsid w:val="004117EC"/>
    <w:rsid w:val="00412200"/>
    <w:rsid w:val="00412A8F"/>
    <w:rsid w:val="00412BE5"/>
    <w:rsid w:val="00412F16"/>
    <w:rsid w:val="004130A0"/>
    <w:rsid w:val="0041326F"/>
    <w:rsid w:val="004133BD"/>
    <w:rsid w:val="0041617F"/>
    <w:rsid w:val="004170D1"/>
    <w:rsid w:val="00420019"/>
    <w:rsid w:val="00420090"/>
    <w:rsid w:val="0042021D"/>
    <w:rsid w:val="00420CC7"/>
    <w:rsid w:val="004214A0"/>
    <w:rsid w:val="00421927"/>
    <w:rsid w:val="00421A37"/>
    <w:rsid w:val="00421ABE"/>
    <w:rsid w:val="00421D80"/>
    <w:rsid w:val="0042231F"/>
    <w:rsid w:val="004223AD"/>
    <w:rsid w:val="00422AE5"/>
    <w:rsid w:val="00422B19"/>
    <w:rsid w:val="00424203"/>
    <w:rsid w:val="00424254"/>
    <w:rsid w:val="00424279"/>
    <w:rsid w:val="00424C56"/>
    <w:rsid w:val="004256D6"/>
    <w:rsid w:val="00425726"/>
    <w:rsid w:val="00425A70"/>
    <w:rsid w:val="00426081"/>
    <w:rsid w:val="00426607"/>
    <w:rsid w:val="004275D1"/>
    <w:rsid w:val="0043017B"/>
    <w:rsid w:val="00430212"/>
    <w:rsid w:val="004313CF"/>
    <w:rsid w:val="00431632"/>
    <w:rsid w:val="0043171C"/>
    <w:rsid w:val="004325A5"/>
    <w:rsid w:val="00433B76"/>
    <w:rsid w:val="00434AF4"/>
    <w:rsid w:val="00434C55"/>
    <w:rsid w:val="0043506F"/>
    <w:rsid w:val="00435EE2"/>
    <w:rsid w:val="00436E18"/>
    <w:rsid w:val="00437ABA"/>
    <w:rsid w:val="004402A5"/>
    <w:rsid w:val="0044066B"/>
    <w:rsid w:val="0044149B"/>
    <w:rsid w:val="004418B6"/>
    <w:rsid w:val="00441FC1"/>
    <w:rsid w:val="004428D5"/>
    <w:rsid w:val="00442A9F"/>
    <w:rsid w:val="004430F4"/>
    <w:rsid w:val="004435A0"/>
    <w:rsid w:val="00443999"/>
    <w:rsid w:val="0044428F"/>
    <w:rsid w:val="00444AAF"/>
    <w:rsid w:val="00444DFF"/>
    <w:rsid w:val="00445023"/>
    <w:rsid w:val="004451D9"/>
    <w:rsid w:val="00445262"/>
    <w:rsid w:val="00445410"/>
    <w:rsid w:val="00445A49"/>
    <w:rsid w:val="00445FDE"/>
    <w:rsid w:val="00446649"/>
    <w:rsid w:val="0044761E"/>
    <w:rsid w:val="00450B65"/>
    <w:rsid w:val="00451098"/>
    <w:rsid w:val="00451BA0"/>
    <w:rsid w:val="00452CA7"/>
    <w:rsid w:val="00453B90"/>
    <w:rsid w:val="00453E1A"/>
    <w:rsid w:val="00454B0C"/>
    <w:rsid w:val="00454CDD"/>
    <w:rsid w:val="00455A9C"/>
    <w:rsid w:val="00456E7E"/>
    <w:rsid w:val="004570FA"/>
    <w:rsid w:val="004604A3"/>
    <w:rsid w:val="004608DA"/>
    <w:rsid w:val="00460B12"/>
    <w:rsid w:val="00460BF8"/>
    <w:rsid w:val="004619F4"/>
    <w:rsid w:val="00461A24"/>
    <w:rsid w:val="00462191"/>
    <w:rsid w:val="00462DE7"/>
    <w:rsid w:val="00464943"/>
    <w:rsid w:val="00465C7B"/>
    <w:rsid w:val="00465E19"/>
    <w:rsid w:val="004672E2"/>
    <w:rsid w:val="00467D10"/>
    <w:rsid w:val="00470F20"/>
    <w:rsid w:val="00471C0B"/>
    <w:rsid w:val="00471F4F"/>
    <w:rsid w:val="00472591"/>
    <w:rsid w:val="00472B64"/>
    <w:rsid w:val="00473DC3"/>
    <w:rsid w:val="004742EF"/>
    <w:rsid w:val="00474531"/>
    <w:rsid w:val="0047598A"/>
    <w:rsid w:val="004769A5"/>
    <w:rsid w:val="00477612"/>
    <w:rsid w:val="004776A0"/>
    <w:rsid w:val="0047784B"/>
    <w:rsid w:val="00477A82"/>
    <w:rsid w:val="00477E3F"/>
    <w:rsid w:val="00477E66"/>
    <w:rsid w:val="004817C0"/>
    <w:rsid w:val="00483E53"/>
    <w:rsid w:val="00484509"/>
    <w:rsid w:val="004848BE"/>
    <w:rsid w:val="00484D39"/>
    <w:rsid w:val="00484F2E"/>
    <w:rsid w:val="004854BA"/>
    <w:rsid w:val="00486D32"/>
    <w:rsid w:val="0048724A"/>
    <w:rsid w:val="004877FC"/>
    <w:rsid w:val="00487C00"/>
    <w:rsid w:val="00487C5E"/>
    <w:rsid w:val="00487D45"/>
    <w:rsid w:val="00487E76"/>
    <w:rsid w:val="0049000A"/>
    <w:rsid w:val="00491078"/>
    <w:rsid w:val="00491661"/>
    <w:rsid w:val="004918EE"/>
    <w:rsid w:val="00491C7B"/>
    <w:rsid w:val="00492160"/>
    <w:rsid w:val="00492B29"/>
    <w:rsid w:val="00493047"/>
    <w:rsid w:val="00493266"/>
    <w:rsid w:val="00494474"/>
    <w:rsid w:val="00495A1E"/>
    <w:rsid w:val="00495B13"/>
    <w:rsid w:val="004962A8"/>
    <w:rsid w:val="00496742"/>
    <w:rsid w:val="00496976"/>
    <w:rsid w:val="00496A1D"/>
    <w:rsid w:val="00496A5F"/>
    <w:rsid w:val="00497313"/>
    <w:rsid w:val="00497C89"/>
    <w:rsid w:val="004A0B7D"/>
    <w:rsid w:val="004A1408"/>
    <w:rsid w:val="004A18C8"/>
    <w:rsid w:val="004A1BE4"/>
    <w:rsid w:val="004A1EB0"/>
    <w:rsid w:val="004A2322"/>
    <w:rsid w:val="004A2717"/>
    <w:rsid w:val="004A3269"/>
    <w:rsid w:val="004A3960"/>
    <w:rsid w:val="004A3BC2"/>
    <w:rsid w:val="004A3D87"/>
    <w:rsid w:val="004A4BFC"/>
    <w:rsid w:val="004A5358"/>
    <w:rsid w:val="004A5D8B"/>
    <w:rsid w:val="004A6101"/>
    <w:rsid w:val="004A6987"/>
    <w:rsid w:val="004A6DF8"/>
    <w:rsid w:val="004A6FAE"/>
    <w:rsid w:val="004A773A"/>
    <w:rsid w:val="004A7A52"/>
    <w:rsid w:val="004A7B37"/>
    <w:rsid w:val="004A7DAA"/>
    <w:rsid w:val="004B0499"/>
    <w:rsid w:val="004B0532"/>
    <w:rsid w:val="004B0C53"/>
    <w:rsid w:val="004B0CEB"/>
    <w:rsid w:val="004B0DF2"/>
    <w:rsid w:val="004B1E1C"/>
    <w:rsid w:val="004B2B84"/>
    <w:rsid w:val="004B3531"/>
    <w:rsid w:val="004B41BC"/>
    <w:rsid w:val="004B44E8"/>
    <w:rsid w:val="004B5FCB"/>
    <w:rsid w:val="004B6007"/>
    <w:rsid w:val="004B66A8"/>
    <w:rsid w:val="004B7456"/>
    <w:rsid w:val="004B7542"/>
    <w:rsid w:val="004B7920"/>
    <w:rsid w:val="004C04F1"/>
    <w:rsid w:val="004C0AE5"/>
    <w:rsid w:val="004C0C3F"/>
    <w:rsid w:val="004C1370"/>
    <w:rsid w:val="004C164B"/>
    <w:rsid w:val="004C19FD"/>
    <w:rsid w:val="004C1E14"/>
    <w:rsid w:val="004C2A35"/>
    <w:rsid w:val="004C2B60"/>
    <w:rsid w:val="004C385A"/>
    <w:rsid w:val="004C3A2D"/>
    <w:rsid w:val="004C4206"/>
    <w:rsid w:val="004C45D1"/>
    <w:rsid w:val="004C4EB4"/>
    <w:rsid w:val="004C52D2"/>
    <w:rsid w:val="004C5884"/>
    <w:rsid w:val="004C6FEA"/>
    <w:rsid w:val="004C70AF"/>
    <w:rsid w:val="004D09F6"/>
    <w:rsid w:val="004D18C3"/>
    <w:rsid w:val="004D2130"/>
    <w:rsid w:val="004D219C"/>
    <w:rsid w:val="004D2699"/>
    <w:rsid w:val="004D3477"/>
    <w:rsid w:val="004D3A67"/>
    <w:rsid w:val="004D415F"/>
    <w:rsid w:val="004D43D9"/>
    <w:rsid w:val="004D4975"/>
    <w:rsid w:val="004D5773"/>
    <w:rsid w:val="004D5859"/>
    <w:rsid w:val="004D5BD3"/>
    <w:rsid w:val="004D7D0F"/>
    <w:rsid w:val="004D7FAC"/>
    <w:rsid w:val="004E018E"/>
    <w:rsid w:val="004E021A"/>
    <w:rsid w:val="004E060F"/>
    <w:rsid w:val="004E06E8"/>
    <w:rsid w:val="004E0A6A"/>
    <w:rsid w:val="004E1841"/>
    <w:rsid w:val="004E234E"/>
    <w:rsid w:val="004E23DA"/>
    <w:rsid w:val="004E2C14"/>
    <w:rsid w:val="004E3052"/>
    <w:rsid w:val="004E3F8B"/>
    <w:rsid w:val="004E45D4"/>
    <w:rsid w:val="004E4BE9"/>
    <w:rsid w:val="004E5480"/>
    <w:rsid w:val="004E598E"/>
    <w:rsid w:val="004E7F53"/>
    <w:rsid w:val="004E7FB6"/>
    <w:rsid w:val="004F0458"/>
    <w:rsid w:val="004F09FC"/>
    <w:rsid w:val="004F0C5D"/>
    <w:rsid w:val="004F0EA3"/>
    <w:rsid w:val="004F12F3"/>
    <w:rsid w:val="004F1BA3"/>
    <w:rsid w:val="004F2C75"/>
    <w:rsid w:val="004F2DF8"/>
    <w:rsid w:val="004F3229"/>
    <w:rsid w:val="004F4143"/>
    <w:rsid w:val="004F44D1"/>
    <w:rsid w:val="004F5809"/>
    <w:rsid w:val="004F6A97"/>
    <w:rsid w:val="004F71AE"/>
    <w:rsid w:val="004F79F1"/>
    <w:rsid w:val="004F7F0F"/>
    <w:rsid w:val="005000C7"/>
    <w:rsid w:val="00501049"/>
    <w:rsid w:val="005022FE"/>
    <w:rsid w:val="00502E95"/>
    <w:rsid w:val="005032F6"/>
    <w:rsid w:val="0050345E"/>
    <w:rsid w:val="005035DF"/>
    <w:rsid w:val="005039E0"/>
    <w:rsid w:val="00504177"/>
    <w:rsid w:val="00504BC6"/>
    <w:rsid w:val="00505335"/>
    <w:rsid w:val="005058BB"/>
    <w:rsid w:val="00505E62"/>
    <w:rsid w:val="00505ECE"/>
    <w:rsid w:val="00506662"/>
    <w:rsid w:val="00506CDC"/>
    <w:rsid w:val="00506EE0"/>
    <w:rsid w:val="00507620"/>
    <w:rsid w:val="00510A01"/>
    <w:rsid w:val="00511132"/>
    <w:rsid w:val="005114D4"/>
    <w:rsid w:val="00511F72"/>
    <w:rsid w:val="005130ED"/>
    <w:rsid w:val="005133F4"/>
    <w:rsid w:val="0051380B"/>
    <w:rsid w:val="00513D66"/>
    <w:rsid w:val="00514174"/>
    <w:rsid w:val="00515D1C"/>
    <w:rsid w:val="00516651"/>
    <w:rsid w:val="005176B5"/>
    <w:rsid w:val="0051797D"/>
    <w:rsid w:val="00520691"/>
    <w:rsid w:val="0052095B"/>
    <w:rsid w:val="00520B6B"/>
    <w:rsid w:val="00520D44"/>
    <w:rsid w:val="005213BD"/>
    <w:rsid w:val="005217D2"/>
    <w:rsid w:val="005217F7"/>
    <w:rsid w:val="0052193B"/>
    <w:rsid w:val="005223AE"/>
    <w:rsid w:val="00522953"/>
    <w:rsid w:val="00522B8E"/>
    <w:rsid w:val="00523009"/>
    <w:rsid w:val="005230C3"/>
    <w:rsid w:val="00523749"/>
    <w:rsid w:val="00523C34"/>
    <w:rsid w:val="0052576E"/>
    <w:rsid w:val="00525964"/>
    <w:rsid w:val="00525D16"/>
    <w:rsid w:val="005264AA"/>
    <w:rsid w:val="00526856"/>
    <w:rsid w:val="005272D6"/>
    <w:rsid w:val="00527E73"/>
    <w:rsid w:val="005305D9"/>
    <w:rsid w:val="005309DE"/>
    <w:rsid w:val="00531FED"/>
    <w:rsid w:val="005321AE"/>
    <w:rsid w:val="005322CA"/>
    <w:rsid w:val="00532CDE"/>
    <w:rsid w:val="0053301D"/>
    <w:rsid w:val="005332F6"/>
    <w:rsid w:val="00533C6B"/>
    <w:rsid w:val="00534178"/>
    <w:rsid w:val="0053433B"/>
    <w:rsid w:val="00534853"/>
    <w:rsid w:val="005353BC"/>
    <w:rsid w:val="00535AD3"/>
    <w:rsid w:val="00535FDD"/>
    <w:rsid w:val="00540045"/>
    <w:rsid w:val="00540141"/>
    <w:rsid w:val="005402A3"/>
    <w:rsid w:val="005408AC"/>
    <w:rsid w:val="00540A00"/>
    <w:rsid w:val="00541236"/>
    <w:rsid w:val="00541497"/>
    <w:rsid w:val="00541699"/>
    <w:rsid w:val="0054170A"/>
    <w:rsid w:val="00542071"/>
    <w:rsid w:val="00542147"/>
    <w:rsid w:val="00542CE8"/>
    <w:rsid w:val="00542E55"/>
    <w:rsid w:val="00543ADE"/>
    <w:rsid w:val="00543B6B"/>
    <w:rsid w:val="00544025"/>
    <w:rsid w:val="00544501"/>
    <w:rsid w:val="00544823"/>
    <w:rsid w:val="00544FE1"/>
    <w:rsid w:val="005462D4"/>
    <w:rsid w:val="00546C3B"/>
    <w:rsid w:val="00547F74"/>
    <w:rsid w:val="00547F76"/>
    <w:rsid w:val="005509D2"/>
    <w:rsid w:val="00550BAF"/>
    <w:rsid w:val="00551908"/>
    <w:rsid w:val="00551AD2"/>
    <w:rsid w:val="00552196"/>
    <w:rsid w:val="0055259A"/>
    <w:rsid w:val="00552E48"/>
    <w:rsid w:val="00552EB2"/>
    <w:rsid w:val="00553066"/>
    <w:rsid w:val="00553289"/>
    <w:rsid w:val="005534C8"/>
    <w:rsid w:val="00553A0E"/>
    <w:rsid w:val="00553CE8"/>
    <w:rsid w:val="00553F3F"/>
    <w:rsid w:val="00554255"/>
    <w:rsid w:val="005544FE"/>
    <w:rsid w:val="00554A4B"/>
    <w:rsid w:val="00554A71"/>
    <w:rsid w:val="0055524B"/>
    <w:rsid w:val="0055598B"/>
    <w:rsid w:val="00555DBC"/>
    <w:rsid w:val="00556C6D"/>
    <w:rsid w:val="00556D20"/>
    <w:rsid w:val="005570F8"/>
    <w:rsid w:val="00557DF2"/>
    <w:rsid w:val="00563586"/>
    <w:rsid w:val="00564E44"/>
    <w:rsid w:val="0056575F"/>
    <w:rsid w:val="00566EF1"/>
    <w:rsid w:val="0056742F"/>
    <w:rsid w:val="00567719"/>
    <w:rsid w:val="00567730"/>
    <w:rsid w:val="005679F3"/>
    <w:rsid w:val="0057014B"/>
    <w:rsid w:val="00570934"/>
    <w:rsid w:val="00570F5B"/>
    <w:rsid w:val="00571623"/>
    <w:rsid w:val="00571747"/>
    <w:rsid w:val="0057188F"/>
    <w:rsid w:val="005730DD"/>
    <w:rsid w:val="0057459A"/>
    <w:rsid w:val="00574B3F"/>
    <w:rsid w:val="00574F8E"/>
    <w:rsid w:val="00574FB2"/>
    <w:rsid w:val="00575239"/>
    <w:rsid w:val="00575C4F"/>
    <w:rsid w:val="00577157"/>
    <w:rsid w:val="005771CB"/>
    <w:rsid w:val="00580033"/>
    <w:rsid w:val="00581542"/>
    <w:rsid w:val="00581AFE"/>
    <w:rsid w:val="0058244F"/>
    <w:rsid w:val="00583317"/>
    <w:rsid w:val="00583A6D"/>
    <w:rsid w:val="00583D77"/>
    <w:rsid w:val="005843D5"/>
    <w:rsid w:val="0058549D"/>
    <w:rsid w:val="00585ABF"/>
    <w:rsid w:val="00585BCD"/>
    <w:rsid w:val="0058619D"/>
    <w:rsid w:val="00586351"/>
    <w:rsid w:val="005863F5"/>
    <w:rsid w:val="005867B6"/>
    <w:rsid w:val="00586E00"/>
    <w:rsid w:val="00586EA0"/>
    <w:rsid w:val="00587159"/>
    <w:rsid w:val="00590406"/>
    <w:rsid w:val="005914CC"/>
    <w:rsid w:val="00591ED6"/>
    <w:rsid w:val="005920A2"/>
    <w:rsid w:val="005929A3"/>
    <w:rsid w:val="0059300E"/>
    <w:rsid w:val="0059341F"/>
    <w:rsid w:val="00593E33"/>
    <w:rsid w:val="00593E67"/>
    <w:rsid w:val="00594121"/>
    <w:rsid w:val="00594255"/>
    <w:rsid w:val="005943DA"/>
    <w:rsid w:val="00594547"/>
    <w:rsid w:val="005946B4"/>
    <w:rsid w:val="005946D8"/>
    <w:rsid w:val="00594D5D"/>
    <w:rsid w:val="00596368"/>
    <w:rsid w:val="00596F47"/>
    <w:rsid w:val="0059799F"/>
    <w:rsid w:val="005A0050"/>
    <w:rsid w:val="005A0FE8"/>
    <w:rsid w:val="005A0FFE"/>
    <w:rsid w:val="005A1F5F"/>
    <w:rsid w:val="005A1FDC"/>
    <w:rsid w:val="005A2F68"/>
    <w:rsid w:val="005A2F9E"/>
    <w:rsid w:val="005A3770"/>
    <w:rsid w:val="005A4911"/>
    <w:rsid w:val="005A497A"/>
    <w:rsid w:val="005A5601"/>
    <w:rsid w:val="005A59BB"/>
    <w:rsid w:val="005A64E8"/>
    <w:rsid w:val="005A712D"/>
    <w:rsid w:val="005A71F6"/>
    <w:rsid w:val="005A766E"/>
    <w:rsid w:val="005A7A93"/>
    <w:rsid w:val="005A7B89"/>
    <w:rsid w:val="005B028B"/>
    <w:rsid w:val="005B06EE"/>
    <w:rsid w:val="005B0AB1"/>
    <w:rsid w:val="005B0B38"/>
    <w:rsid w:val="005B0D8E"/>
    <w:rsid w:val="005B140A"/>
    <w:rsid w:val="005B2D3E"/>
    <w:rsid w:val="005B33DB"/>
    <w:rsid w:val="005B41E7"/>
    <w:rsid w:val="005B46DE"/>
    <w:rsid w:val="005B4ACC"/>
    <w:rsid w:val="005B50D8"/>
    <w:rsid w:val="005B6B7B"/>
    <w:rsid w:val="005B6EB5"/>
    <w:rsid w:val="005C0132"/>
    <w:rsid w:val="005C0335"/>
    <w:rsid w:val="005C06ED"/>
    <w:rsid w:val="005C1652"/>
    <w:rsid w:val="005C2074"/>
    <w:rsid w:val="005C30BC"/>
    <w:rsid w:val="005C316C"/>
    <w:rsid w:val="005C369F"/>
    <w:rsid w:val="005C4138"/>
    <w:rsid w:val="005C46EB"/>
    <w:rsid w:val="005C47B6"/>
    <w:rsid w:val="005C4C97"/>
    <w:rsid w:val="005C5445"/>
    <w:rsid w:val="005C54F9"/>
    <w:rsid w:val="005C5A43"/>
    <w:rsid w:val="005C6D73"/>
    <w:rsid w:val="005C7149"/>
    <w:rsid w:val="005C734C"/>
    <w:rsid w:val="005C7984"/>
    <w:rsid w:val="005C7A9F"/>
    <w:rsid w:val="005D01A9"/>
    <w:rsid w:val="005D06D1"/>
    <w:rsid w:val="005D0A4A"/>
    <w:rsid w:val="005D15C6"/>
    <w:rsid w:val="005D19FD"/>
    <w:rsid w:val="005D241E"/>
    <w:rsid w:val="005D37D4"/>
    <w:rsid w:val="005D3D55"/>
    <w:rsid w:val="005D4118"/>
    <w:rsid w:val="005D4B1C"/>
    <w:rsid w:val="005D50F5"/>
    <w:rsid w:val="005D5223"/>
    <w:rsid w:val="005D5461"/>
    <w:rsid w:val="005D5855"/>
    <w:rsid w:val="005D5D15"/>
    <w:rsid w:val="005D5EF0"/>
    <w:rsid w:val="005D5F81"/>
    <w:rsid w:val="005D723A"/>
    <w:rsid w:val="005D72DC"/>
    <w:rsid w:val="005E024F"/>
    <w:rsid w:val="005E02BF"/>
    <w:rsid w:val="005E0C8F"/>
    <w:rsid w:val="005E1934"/>
    <w:rsid w:val="005E2507"/>
    <w:rsid w:val="005E27CD"/>
    <w:rsid w:val="005E3BB5"/>
    <w:rsid w:val="005E3F01"/>
    <w:rsid w:val="005E5073"/>
    <w:rsid w:val="005E5092"/>
    <w:rsid w:val="005E5714"/>
    <w:rsid w:val="005E6D85"/>
    <w:rsid w:val="005E748D"/>
    <w:rsid w:val="005E7E76"/>
    <w:rsid w:val="005F213D"/>
    <w:rsid w:val="005F4899"/>
    <w:rsid w:val="005F4983"/>
    <w:rsid w:val="005F502D"/>
    <w:rsid w:val="005F5102"/>
    <w:rsid w:val="005F55B4"/>
    <w:rsid w:val="005F56DC"/>
    <w:rsid w:val="005F57F1"/>
    <w:rsid w:val="005F60A7"/>
    <w:rsid w:val="005F708C"/>
    <w:rsid w:val="005F7443"/>
    <w:rsid w:val="005F7472"/>
    <w:rsid w:val="005F7D93"/>
    <w:rsid w:val="00600B9F"/>
    <w:rsid w:val="006014CE"/>
    <w:rsid w:val="00601517"/>
    <w:rsid w:val="00601F2F"/>
    <w:rsid w:val="00601FF1"/>
    <w:rsid w:val="00602492"/>
    <w:rsid w:val="0060263E"/>
    <w:rsid w:val="00603315"/>
    <w:rsid w:val="00603B58"/>
    <w:rsid w:val="00603D4B"/>
    <w:rsid w:val="00604949"/>
    <w:rsid w:val="0060658F"/>
    <w:rsid w:val="00606C1E"/>
    <w:rsid w:val="00607F14"/>
    <w:rsid w:val="00610305"/>
    <w:rsid w:val="00610A70"/>
    <w:rsid w:val="00610F9E"/>
    <w:rsid w:val="00610FD1"/>
    <w:rsid w:val="00612321"/>
    <w:rsid w:val="006129BA"/>
    <w:rsid w:val="00612EF7"/>
    <w:rsid w:val="00612F62"/>
    <w:rsid w:val="0061395E"/>
    <w:rsid w:val="006161E0"/>
    <w:rsid w:val="0061632E"/>
    <w:rsid w:val="0061747F"/>
    <w:rsid w:val="00617963"/>
    <w:rsid w:val="00617A0C"/>
    <w:rsid w:val="00617D9F"/>
    <w:rsid w:val="00620DE3"/>
    <w:rsid w:val="00621119"/>
    <w:rsid w:val="00621D50"/>
    <w:rsid w:val="006225D3"/>
    <w:rsid w:val="0062353D"/>
    <w:rsid w:val="006235F6"/>
    <w:rsid w:val="0062392F"/>
    <w:rsid w:val="00623D1E"/>
    <w:rsid w:val="00623F0B"/>
    <w:rsid w:val="006247A2"/>
    <w:rsid w:val="00624F0E"/>
    <w:rsid w:val="00625374"/>
    <w:rsid w:val="00625B2F"/>
    <w:rsid w:val="00626302"/>
    <w:rsid w:val="006276FB"/>
    <w:rsid w:val="00627EF0"/>
    <w:rsid w:val="00630489"/>
    <w:rsid w:val="00630732"/>
    <w:rsid w:val="00630948"/>
    <w:rsid w:val="00630AB7"/>
    <w:rsid w:val="00630D39"/>
    <w:rsid w:val="00631012"/>
    <w:rsid w:val="006316FF"/>
    <w:rsid w:val="006333E8"/>
    <w:rsid w:val="006337B5"/>
    <w:rsid w:val="006338A1"/>
    <w:rsid w:val="0063448D"/>
    <w:rsid w:val="00634DB9"/>
    <w:rsid w:val="00635DAD"/>
    <w:rsid w:val="00635EE7"/>
    <w:rsid w:val="006362B6"/>
    <w:rsid w:val="006365EB"/>
    <w:rsid w:val="00636ED7"/>
    <w:rsid w:val="0063750A"/>
    <w:rsid w:val="0064060C"/>
    <w:rsid w:val="006418A3"/>
    <w:rsid w:val="00642361"/>
    <w:rsid w:val="00642372"/>
    <w:rsid w:val="006435B6"/>
    <w:rsid w:val="00643925"/>
    <w:rsid w:val="00643DA7"/>
    <w:rsid w:val="00644DDF"/>
    <w:rsid w:val="00645DCE"/>
    <w:rsid w:val="006461AB"/>
    <w:rsid w:val="00646C5A"/>
    <w:rsid w:val="00646E7C"/>
    <w:rsid w:val="00647193"/>
    <w:rsid w:val="006503F4"/>
    <w:rsid w:val="006513B3"/>
    <w:rsid w:val="00652A78"/>
    <w:rsid w:val="00652A8F"/>
    <w:rsid w:val="00652DAF"/>
    <w:rsid w:val="00653507"/>
    <w:rsid w:val="00653581"/>
    <w:rsid w:val="006535E6"/>
    <w:rsid w:val="00653A10"/>
    <w:rsid w:val="00653A24"/>
    <w:rsid w:val="00653E50"/>
    <w:rsid w:val="006544DD"/>
    <w:rsid w:val="0065483C"/>
    <w:rsid w:val="006551BA"/>
    <w:rsid w:val="00655A1E"/>
    <w:rsid w:val="00655AAE"/>
    <w:rsid w:val="00655AE7"/>
    <w:rsid w:val="0065636A"/>
    <w:rsid w:val="006568FC"/>
    <w:rsid w:val="00657426"/>
    <w:rsid w:val="00660568"/>
    <w:rsid w:val="0066092E"/>
    <w:rsid w:val="00661082"/>
    <w:rsid w:val="006613A5"/>
    <w:rsid w:val="006613D4"/>
    <w:rsid w:val="006617B7"/>
    <w:rsid w:val="00661C3C"/>
    <w:rsid w:val="006628AC"/>
    <w:rsid w:val="00662E88"/>
    <w:rsid w:val="00663483"/>
    <w:rsid w:val="0066388E"/>
    <w:rsid w:val="00664C63"/>
    <w:rsid w:val="0066595F"/>
    <w:rsid w:val="006659BF"/>
    <w:rsid w:val="00665B29"/>
    <w:rsid w:val="00666056"/>
    <w:rsid w:val="006660DB"/>
    <w:rsid w:val="006675E5"/>
    <w:rsid w:val="006701B8"/>
    <w:rsid w:val="006703CA"/>
    <w:rsid w:val="00670563"/>
    <w:rsid w:val="00670730"/>
    <w:rsid w:val="00670BC0"/>
    <w:rsid w:val="006712F6"/>
    <w:rsid w:val="00671A3E"/>
    <w:rsid w:val="00673646"/>
    <w:rsid w:val="00673CDA"/>
    <w:rsid w:val="0067400B"/>
    <w:rsid w:val="006744D1"/>
    <w:rsid w:val="00674802"/>
    <w:rsid w:val="0067490E"/>
    <w:rsid w:val="006749A2"/>
    <w:rsid w:val="00674BED"/>
    <w:rsid w:val="00674ECD"/>
    <w:rsid w:val="006756EA"/>
    <w:rsid w:val="00675C2C"/>
    <w:rsid w:val="00676274"/>
    <w:rsid w:val="00676354"/>
    <w:rsid w:val="00676CE0"/>
    <w:rsid w:val="00677731"/>
    <w:rsid w:val="00680845"/>
    <w:rsid w:val="00681B82"/>
    <w:rsid w:val="00681E5A"/>
    <w:rsid w:val="00681EFC"/>
    <w:rsid w:val="00682541"/>
    <w:rsid w:val="00682E11"/>
    <w:rsid w:val="00683C72"/>
    <w:rsid w:val="00684A54"/>
    <w:rsid w:val="00684A76"/>
    <w:rsid w:val="00684B92"/>
    <w:rsid w:val="00685DE0"/>
    <w:rsid w:val="00687108"/>
    <w:rsid w:val="00687D64"/>
    <w:rsid w:val="00690599"/>
    <w:rsid w:val="0069082D"/>
    <w:rsid w:val="006909AB"/>
    <w:rsid w:val="00691CB0"/>
    <w:rsid w:val="00691FFA"/>
    <w:rsid w:val="00692AEE"/>
    <w:rsid w:val="00692CF6"/>
    <w:rsid w:val="00693662"/>
    <w:rsid w:val="006939A6"/>
    <w:rsid w:val="00693BF9"/>
    <w:rsid w:val="006957DB"/>
    <w:rsid w:val="00696828"/>
    <w:rsid w:val="00697051"/>
    <w:rsid w:val="0069734C"/>
    <w:rsid w:val="0069742E"/>
    <w:rsid w:val="006976F0"/>
    <w:rsid w:val="006979B6"/>
    <w:rsid w:val="006A02E6"/>
    <w:rsid w:val="006A083A"/>
    <w:rsid w:val="006A1AEB"/>
    <w:rsid w:val="006A1BE1"/>
    <w:rsid w:val="006A1CC9"/>
    <w:rsid w:val="006A1FDB"/>
    <w:rsid w:val="006A37E7"/>
    <w:rsid w:val="006A3C04"/>
    <w:rsid w:val="006A47DF"/>
    <w:rsid w:val="006A48F4"/>
    <w:rsid w:val="006A4BA7"/>
    <w:rsid w:val="006A5B69"/>
    <w:rsid w:val="006A6C03"/>
    <w:rsid w:val="006B022B"/>
    <w:rsid w:val="006B02A8"/>
    <w:rsid w:val="006B0351"/>
    <w:rsid w:val="006B08DB"/>
    <w:rsid w:val="006B1A1A"/>
    <w:rsid w:val="006B2BA3"/>
    <w:rsid w:val="006B2E6B"/>
    <w:rsid w:val="006B2EE9"/>
    <w:rsid w:val="006B59E9"/>
    <w:rsid w:val="006B5E28"/>
    <w:rsid w:val="006B62AE"/>
    <w:rsid w:val="006B635D"/>
    <w:rsid w:val="006B6FBE"/>
    <w:rsid w:val="006B7B45"/>
    <w:rsid w:val="006B7B7E"/>
    <w:rsid w:val="006C0160"/>
    <w:rsid w:val="006C01AF"/>
    <w:rsid w:val="006C0B21"/>
    <w:rsid w:val="006C11DF"/>
    <w:rsid w:val="006C1A26"/>
    <w:rsid w:val="006C1EEB"/>
    <w:rsid w:val="006C3ACC"/>
    <w:rsid w:val="006C3FD2"/>
    <w:rsid w:val="006C483B"/>
    <w:rsid w:val="006C4841"/>
    <w:rsid w:val="006C5C4C"/>
    <w:rsid w:val="006C6024"/>
    <w:rsid w:val="006C6271"/>
    <w:rsid w:val="006C634C"/>
    <w:rsid w:val="006C6A76"/>
    <w:rsid w:val="006C73C9"/>
    <w:rsid w:val="006C7F3C"/>
    <w:rsid w:val="006C7F4F"/>
    <w:rsid w:val="006D0BAF"/>
    <w:rsid w:val="006D0D74"/>
    <w:rsid w:val="006D21B7"/>
    <w:rsid w:val="006D2A56"/>
    <w:rsid w:val="006D2E88"/>
    <w:rsid w:val="006D3B03"/>
    <w:rsid w:val="006D4211"/>
    <w:rsid w:val="006D4577"/>
    <w:rsid w:val="006D5192"/>
    <w:rsid w:val="006D54D3"/>
    <w:rsid w:val="006D57FF"/>
    <w:rsid w:val="006D584E"/>
    <w:rsid w:val="006D5EC2"/>
    <w:rsid w:val="006D6360"/>
    <w:rsid w:val="006D6520"/>
    <w:rsid w:val="006D6E3F"/>
    <w:rsid w:val="006D7877"/>
    <w:rsid w:val="006D7F31"/>
    <w:rsid w:val="006E006B"/>
    <w:rsid w:val="006E1891"/>
    <w:rsid w:val="006E3538"/>
    <w:rsid w:val="006E4A76"/>
    <w:rsid w:val="006E4BAB"/>
    <w:rsid w:val="006E52AE"/>
    <w:rsid w:val="006E5BB7"/>
    <w:rsid w:val="006E5C4F"/>
    <w:rsid w:val="006E6007"/>
    <w:rsid w:val="006E6EAE"/>
    <w:rsid w:val="006E6FF7"/>
    <w:rsid w:val="006E7054"/>
    <w:rsid w:val="006E7956"/>
    <w:rsid w:val="006F0026"/>
    <w:rsid w:val="006F062E"/>
    <w:rsid w:val="006F06D1"/>
    <w:rsid w:val="006F0CDB"/>
    <w:rsid w:val="006F1B9B"/>
    <w:rsid w:val="006F23E9"/>
    <w:rsid w:val="006F259A"/>
    <w:rsid w:val="006F25E5"/>
    <w:rsid w:val="006F2714"/>
    <w:rsid w:val="006F29B7"/>
    <w:rsid w:val="006F2A70"/>
    <w:rsid w:val="006F31E1"/>
    <w:rsid w:val="006F3497"/>
    <w:rsid w:val="006F41DA"/>
    <w:rsid w:val="006F48EF"/>
    <w:rsid w:val="006F52CB"/>
    <w:rsid w:val="006F572A"/>
    <w:rsid w:val="006F57DE"/>
    <w:rsid w:val="006F614A"/>
    <w:rsid w:val="006F70F7"/>
    <w:rsid w:val="007000A5"/>
    <w:rsid w:val="007003AA"/>
    <w:rsid w:val="0070047A"/>
    <w:rsid w:val="00700833"/>
    <w:rsid w:val="00700892"/>
    <w:rsid w:val="00702685"/>
    <w:rsid w:val="00702A32"/>
    <w:rsid w:val="00704F5D"/>
    <w:rsid w:val="00705A48"/>
    <w:rsid w:val="00705BA0"/>
    <w:rsid w:val="00706050"/>
    <w:rsid w:val="00706207"/>
    <w:rsid w:val="00706850"/>
    <w:rsid w:val="0070721E"/>
    <w:rsid w:val="0070742B"/>
    <w:rsid w:val="00707BA5"/>
    <w:rsid w:val="00710789"/>
    <w:rsid w:val="007107B9"/>
    <w:rsid w:val="00710A58"/>
    <w:rsid w:val="00710AAE"/>
    <w:rsid w:val="00710DF2"/>
    <w:rsid w:val="0071136C"/>
    <w:rsid w:val="007118B8"/>
    <w:rsid w:val="0071206F"/>
    <w:rsid w:val="00712B60"/>
    <w:rsid w:val="0071303C"/>
    <w:rsid w:val="0071504F"/>
    <w:rsid w:val="00715E14"/>
    <w:rsid w:val="007168C8"/>
    <w:rsid w:val="00716DA7"/>
    <w:rsid w:val="007171CA"/>
    <w:rsid w:val="00717CC9"/>
    <w:rsid w:val="00720006"/>
    <w:rsid w:val="0072003B"/>
    <w:rsid w:val="007206DD"/>
    <w:rsid w:val="0072085F"/>
    <w:rsid w:val="00720909"/>
    <w:rsid w:val="00720C30"/>
    <w:rsid w:val="00721CD1"/>
    <w:rsid w:val="00723970"/>
    <w:rsid w:val="0072477C"/>
    <w:rsid w:val="007247A6"/>
    <w:rsid w:val="00725203"/>
    <w:rsid w:val="00725BBE"/>
    <w:rsid w:val="00726997"/>
    <w:rsid w:val="00727342"/>
    <w:rsid w:val="00727D0E"/>
    <w:rsid w:val="00727F01"/>
    <w:rsid w:val="007307AA"/>
    <w:rsid w:val="00730982"/>
    <w:rsid w:val="007319CB"/>
    <w:rsid w:val="0073248F"/>
    <w:rsid w:val="007324D4"/>
    <w:rsid w:val="00732911"/>
    <w:rsid w:val="00732BF7"/>
    <w:rsid w:val="00733D53"/>
    <w:rsid w:val="00734626"/>
    <w:rsid w:val="00735361"/>
    <w:rsid w:val="007354D8"/>
    <w:rsid w:val="007356DB"/>
    <w:rsid w:val="007359F9"/>
    <w:rsid w:val="00735BA0"/>
    <w:rsid w:val="00735DDF"/>
    <w:rsid w:val="007368C2"/>
    <w:rsid w:val="007369EB"/>
    <w:rsid w:val="00736B89"/>
    <w:rsid w:val="00736D7B"/>
    <w:rsid w:val="0073711D"/>
    <w:rsid w:val="00737817"/>
    <w:rsid w:val="00737FD3"/>
    <w:rsid w:val="007411D6"/>
    <w:rsid w:val="00741587"/>
    <w:rsid w:val="00741C6C"/>
    <w:rsid w:val="0074210F"/>
    <w:rsid w:val="007422CF"/>
    <w:rsid w:val="00743315"/>
    <w:rsid w:val="00743AD9"/>
    <w:rsid w:val="00743F7B"/>
    <w:rsid w:val="00744335"/>
    <w:rsid w:val="00744A48"/>
    <w:rsid w:val="00745262"/>
    <w:rsid w:val="00745850"/>
    <w:rsid w:val="00745E1D"/>
    <w:rsid w:val="00746FDE"/>
    <w:rsid w:val="007470B9"/>
    <w:rsid w:val="0074758D"/>
    <w:rsid w:val="007476A9"/>
    <w:rsid w:val="007476C1"/>
    <w:rsid w:val="00750678"/>
    <w:rsid w:val="00750B45"/>
    <w:rsid w:val="00750F14"/>
    <w:rsid w:val="007511CC"/>
    <w:rsid w:val="00751443"/>
    <w:rsid w:val="00751721"/>
    <w:rsid w:val="00751A55"/>
    <w:rsid w:val="00752089"/>
    <w:rsid w:val="007531A0"/>
    <w:rsid w:val="00753736"/>
    <w:rsid w:val="00753F08"/>
    <w:rsid w:val="00754352"/>
    <w:rsid w:val="00754AA7"/>
    <w:rsid w:val="0075647A"/>
    <w:rsid w:val="007568DC"/>
    <w:rsid w:val="00756C35"/>
    <w:rsid w:val="00756EC3"/>
    <w:rsid w:val="00757582"/>
    <w:rsid w:val="0076074B"/>
    <w:rsid w:val="00761E57"/>
    <w:rsid w:val="00763236"/>
    <w:rsid w:val="00763817"/>
    <w:rsid w:val="00763C39"/>
    <w:rsid w:val="00763EE0"/>
    <w:rsid w:val="007643C0"/>
    <w:rsid w:val="00764615"/>
    <w:rsid w:val="007655F6"/>
    <w:rsid w:val="00765A36"/>
    <w:rsid w:val="007661D2"/>
    <w:rsid w:val="00766E4B"/>
    <w:rsid w:val="00767D58"/>
    <w:rsid w:val="007706FD"/>
    <w:rsid w:val="00770801"/>
    <w:rsid w:val="00770B78"/>
    <w:rsid w:val="00771CD0"/>
    <w:rsid w:val="00772337"/>
    <w:rsid w:val="00772C0D"/>
    <w:rsid w:val="00774621"/>
    <w:rsid w:val="00774690"/>
    <w:rsid w:val="00774805"/>
    <w:rsid w:val="00774AC9"/>
    <w:rsid w:val="00774C90"/>
    <w:rsid w:val="00776325"/>
    <w:rsid w:val="0077654B"/>
    <w:rsid w:val="00776E22"/>
    <w:rsid w:val="00781F7D"/>
    <w:rsid w:val="00782073"/>
    <w:rsid w:val="00783530"/>
    <w:rsid w:val="007844C8"/>
    <w:rsid w:val="0078467D"/>
    <w:rsid w:val="007850DE"/>
    <w:rsid w:val="00785FA4"/>
    <w:rsid w:val="00787C48"/>
    <w:rsid w:val="0079004E"/>
    <w:rsid w:val="0079093A"/>
    <w:rsid w:val="00791133"/>
    <w:rsid w:val="00791143"/>
    <w:rsid w:val="00792223"/>
    <w:rsid w:val="00792C03"/>
    <w:rsid w:val="00792D10"/>
    <w:rsid w:val="007932A5"/>
    <w:rsid w:val="00793944"/>
    <w:rsid w:val="00793B10"/>
    <w:rsid w:val="00793B77"/>
    <w:rsid w:val="007946AF"/>
    <w:rsid w:val="007959B8"/>
    <w:rsid w:val="00795A01"/>
    <w:rsid w:val="00795F48"/>
    <w:rsid w:val="00796717"/>
    <w:rsid w:val="00796C3B"/>
    <w:rsid w:val="00797351"/>
    <w:rsid w:val="0079743D"/>
    <w:rsid w:val="00797772"/>
    <w:rsid w:val="00797DA2"/>
    <w:rsid w:val="007A1319"/>
    <w:rsid w:val="007A13E5"/>
    <w:rsid w:val="007A1530"/>
    <w:rsid w:val="007A17F1"/>
    <w:rsid w:val="007A1859"/>
    <w:rsid w:val="007A27A6"/>
    <w:rsid w:val="007A38B9"/>
    <w:rsid w:val="007A4FCA"/>
    <w:rsid w:val="007A519B"/>
    <w:rsid w:val="007A5FED"/>
    <w:rsid w:val="007A7CFF"/>
    <w:rsid w:val="007A7D90"/>
    <w:rsid w:val="007B0039"/>
    <w:rsid w:val="007B01CF"/>
    <w:rsid w:val="007B1446"/>
    <w:rsid w:val="007B150C"/>
    <w:rsid w:val="007B2E05"/>
    <w:rsid w:val="007B3BC0"/>
    <w:rsid w:val="007B3CEF"/>
    <w:rsid w:val="007B3F21"/>
    <w:rsid w:val="007B4D5C"/>
    <w:rsid w:val="007B4FFD"/>
    <w:rsid w:val="007B590C"/>
    <w:rsid w:val="007B5F91"/>
    <w:rsid w:val="007B60BD"/>
    <w:rsid w:val="007B7A92"/>
    <w:rsid w:val="007B7E9F"/>
    <w:rsid w:val="007C0C12"/>
    <w:rsid w:val="007C12E8"/>
    <w:rsid w:val="007C1359"/>
    <w:rsid w:val="007C232C"/>
    <w:rsid w:val="007C2CB2"/>
    <w:rsid w:val="007C2E23"/>
    <w:rsid w:val="007C3139"/>
    <w:rsid w:val="007C3565"/>
    <w:rsid w:val="007C3777"/>
    <w:rsid w:val="007C42BB"/>
    <w:rsid w:val="007C45CA"/>
    <w:rsid w:val="007C46A0"/>
    <w:rsid w:val="007C4E17"/>
    <w:rsid w:val="007C4EBC"/>
    <w:rsid w:val="007C5070"/>
    <w:rsid w:val="007C663D"/>
    <w:rsid w:val="007C6927"/>
    <w:rsid w:val="007C71DB"/>
    <w:rsid w:val="007D008E"/>
    <w:rsid w:val="007D07C4"/>
    <w:rsid w:val="007D0AF0"/>
    <w:rsid w:val="007D0BA7"/>
    <w:rsid w:val="007D224B"/>
    <w:rsid w:val="007D27C3"/>
    <w:rsid w:val="007D30CB"/>
    <w:rsid w:val="007D4E85"/>
    <w:rsid w:val="007D50EF"/>
    <w:rsid w:val="007D5A1A"/>
    <w:rsid w:val="007D69E1"/>
    <w:rsid w:val="007D6A1E"/>
    <w:rsid w:val="007E0064"/>
    <w:rsid w:val="007E04A2"/>
    <w:rsid w:val="007E09E9"/>
    <w:rsid w:val="007E0A8F"/>
    <w:rsid w:val="007E0B3E"/>
    <w:rsid w:val="007E12A2"/>
    <w:rsid w:val="007E12D3"/>
    <w:rsid w:val="007E13EB"/>
    <w:rsid w:val="007E1638"/>
    <w:rsid w:val="007E2155"/>
    <w:rsid w:val="007E3446"/>
    <w:rsid w:val="007E4D1E"/>
    <w:rsid w:val="007E66D0"/>
    <w:rsid w:val="007E6835"/>
    <w:rsid w:val="007E6F46"/>
    <w:rsid w:val="007F04B2"/>
    <w:rsid w:val="007F110A"/>
    <w:rsid w:val="007F1B4F"/>
    <w:rsid w:val="007F1DAE"/>
    <w:rsid w:val="007F24B9"/>
    <w:rsid w:val="007F26C7"/>
    <w:rsid w:val="007F3388"/>
    <w:rsid w:val="007F347D"/>
    <w:rsid w:val="007F3571"/>
    <w:rsid w:val="007F497A"/>
    <w:rsid w:val="007F4D6C"/>
    <w:rsid w:val="007F55DA"/>
    <w:rsid w:val="007F58A8"/>
    <w:rsid w:val="007F5CF0"/>
    <w:rsid w:val="007F5DC6"/>
    <w:rsid w:val="007F5EAC"/>
    <w:rsid w:val="007F6251"/>
    <w:rsid w:val="007F6461"/>
    <w:rsid w:val="007F6BAE"/>
    <w:rsid w:val="007F7B5C"/>
    <w:rsid w:val="007F7D2F"/>
    <w:rsid w:val="00801142"/>
    <w:rsid w:val="008019C1"/>
    <w:rsid w:val="00801B8F"/>
    <w:rsid w:val="0080256F"/>
    <w:rsid w:val="00802BF1"/>
    <w:rsid w:val="00802FF1"/>
    <w:rsid w:val="008034DB"/>
    <w:rsid w:val="008041E6"/>
    <w:rsid w:val="008041FF"/>
    <w:rsid w:val="0080453B"/>
    <w:rsid w:val="00806471"/>
    <w:rsid w:val="00807263"/>
    <w:rsid w:val="0080751A"/>
    <w:rsid w:val="0080752D"/>
    <w:rsid w:val="00807F5E"/>
    <w:rsid w:val="00807F81"/>
    <w:rsid w:val="00810EC8"/>
    <w:rsid w:val="008123CB"/>
    <w:rsid w:val="00812892"/>
    <w:rsid w:val="008129F2"/>
    <w:rsid w:val="008137C4"/>
    <w:rsid w:val="00813B83"/>
    <w:rsid w:val="008150EA"/>
    <w:rsid w:val="0081516B"/>
    <w:rsid w:val="00815355"/>
    <w:rsid w:val="00815869"/>
    <w:rsid w:val="00815EF5"/>
    <w:rsid w:val="00816175"/>
    <w:rsid w:val="00816809"/>
    <w:rsid w:val="008179AE"/>
    <w:rsid w:val="00817C2F"/>
    <w:rsid w:val="00820059"/>
    <w:rsid w:val="00820AAF"/>
    <w:rsid w:val="00820D3A"/>
    <w:rsid w:val="00821900"/>
    <w:rsid w:val="00821A21"/>
    <w:rsid w:val="00821B0A"/>
    <w:rsid w:val="00821D52"/>
    <w:rsid w:val="00822140"/>
    <w:rsid w:val="00822285"/>
    <w:rsid w:val="00822350"/>
    <w:rsid w:val="00822466"/>
    <w:rsid w:val="008228D5"/>
    <w:rsid w:val="00823081"/>
    <w:rsid w:val="0082315F"/>
    <w:rsid w:val="0082471D"/>
    <w:rsid w:val="00824957"/>
    <w:rsid w:val="00824986"/>
    <w:rsid w:val="00824FA1"/>
    <w:rsid w:val="00825E5A"/>
    <w:rsid w:val="0082623F"/>
    <w:rsid w:val="0082649C"/>
    <w:rsid w:val="00827A57"/>
    <w:rsid w:val="00830BFA"/>
    <w:rsid w:val="008318D7"/>
    <w:rsid w:val="0083217B"/>
    <w:rsid w:val="00833015"/>
    <w:rsid w:val="0083304A"/>
    <w:rsid w:val="0083382A"/>
    <w:rsid w:val="00834071"/>
    <w:rsid w:val="0083555E"/>
    <w:rsid w:val="00837396"/>
    <w:rsid w:val="00837874"/>
    <w:rsid w:val="0083790F"/>
    <w:rsid w:val="008405F1"/>
    <w:rsid w:val="008409CC"/>
    <w:rsid w:val="00840BAF"/>
    <w:rsid w:val="00842723"/>
    <w:rsid w:val="00842B65"/>
    <w:rsid w:val="00842CFE"/>
    <w:rsid w:val="00843259"/>
    <w:rsid w:val="0084352C"/>
    <w:rsid w:val="00844B24"/>
    <w:rsid w:val="00845105"/>
    <w:rsid w:val="008465BB"/>
    <w:rsid w:val="00846722"/>
    <w:rsid w:val="008472A2"/>
    <w:rsid w:val="00850A25"/>
    <w:rsid w:val="0085169E"/>
    <w:rsid w:val="00851C15"/>
    <w:rsid w:val="00852846"/>
    <w:rsid w:val="00852990"/>
    <w:rsid w:val="0085398C"/>
    <w:rsid w:val="00853BAF"/>
    <w:rsid w:val="00853EF1"/>
    <w:rsid w:val="0085419D"/>
    <w:rsid w:val="008541D3"/>
    <w:rsid w:val="0085445A"/>
    <w:rsid w:val="00854BF1"/>
    <w:rsid w:val="00855207"/>
    <w:rsid w:val="008552A2"/>
    <w:rsid w:val="008553FF"/>
    <w:rsid w:val="008558F8"/>
    <w:rsid w:val="00855984"/>
    <w:rsid w:val="00857C2E"/>
    <w:rsid w:val="008600F0"/>
    <w:rsid w:val="008601F7"/>
    <w:rsid w:val="00860607"/>
    <w:rsid w:val="00860B35"/>
    <w:rsid w:val="00861A9E"/>
    <w:rsid w:val="008626B5"/>
    <w:rsid w:val="00862B05"/>
    <w:rsid w:val="00862CE5"/>
    <w:rsid w:val="00863D5F"/>
    <w:rsid w:val="00863E40"/>
    <w:rsid w:val="00863E6E"/>
    <w:rsid w:val="0086426F"/>
    <w:rsid w:val="008642EA"/>
    <w:rsid w:val="00864893"/>
    <w:rsid w:val="008648B1"/>
    <w:rsid w:val="00864CEE"/>
    <w:rsid w:val="00865929"/>
    <w:rsid w:val="00867A31"/>
    <w:rsid w:val="00870520"/>
    <w:rsid w:val="008707D7"/>
    <w:rsid w:val="00872366"/>
    <w:rsid w:val="008725E4"/>
    <w:rsid w:val="008730D2"/>
    <w:rsid w:val="00873286"/>
    <w:rsid w:val="00873657"/>
    <w:rsid w:val="0087400B"/>
    <w:rsid w:val="0087440C"/>
    <w:rsid w:val="0087495E"/>
    <w:rsid w:val="00875114"/>
    <w:rsid w:val="008753AD"/>
    <w:rsid w:val="00875AFE"/>
    <w:rsid w:val="00875F91"/>
    <w:rsid w:val="00876985"/>
    <w:rsid w:val="00876A95"/>
    <w:rsid w:val="00876FB2"/>
    <w:rsid w:val="00877AA9"/>
    <w:rsid w:val="008801C4"/>
    <w:rsid w:val="0088027D"/>
    <w:rsid w:val="00881B29"/>
    <w:rsid w:val="00881C9D"/>
    <w:rsid w:val="00881F1B"/>
    <w:rsid w:val="00883438"/>
    <w:rsid w:val="008837C5"/>
    <w:rsid w:val="00883A24"/>
    <w:rsid w:val="00884D6F"/>
    <w:rsid w:val="00885BE9"/>
    <w:rsid w:val="008873C5"/>
    <w:rsid w:val="00887437"/>
    <w:rsid w:val="0088749C"/>
    <w:rsid w:val="00887C19"/>
    <w:rsid w:val="008903B0"/>
    <w:rsid w:val="008907D3"/>
    <w:rsid w:val="008908AD"/>
    <w:rsid w:val="0089115F"/>
    <w:rsid w:val="0089174E"/>
    <w:rsid w:val="00891C42"/>
    <w:rsid w:val="00891D9F"/>
    <w:rsid w:val="00891E6D"/>
    <w:rsid w:val="00892127"/>
    <w:rsid w:val="00894CE2"/>
    <w:rsid w:val="00895478"/>
    <w:rsid w:val="00895BA7"/>
    <w:rsid w:val="00895BCD"/>
    <w:rsid w:val="00895C33"/>
    <w:rsid w:val="00895EAD"/>
    <w:rsid w:val="00895EFD"/>
    <w:rsid w:val="00896D8A"/>
    <w:rsid w:val="0089723D"/>
    <w:rsid w:val="008A0515"/>
    <w:rsid w:val="008A054E"/>
    <w:rsid w:val="008A074C"/>
    <w:rsid w:val="008A1ED6"/>
    <w:rsid w:val="008A2539"/>
    <w:rsid w:val="008A3343"/>
    <w:rsid w:val="008A38AE"/>
    <w:rsid w:val="008A4688"/>
    <w:rsid w:val="008A4969"/>
    <w:rsid w:val="008A4A3C"/>
    <w:rsid w:val="008A5036"/>
    <w:rsid w:val="008A7852"/>
    <w:rsid w:val="008B07B3"/>
    <w:rsid w:val="008B0BD1"/>
    <w:rsid w:val="008B0E7D"/>
    <w:rsid w:val="008B24CA"/>
    <w:rsid w:val="008B2B82"/>
    <w:rsid w:val="008B3365"/>
    <w:rsid w:val="008B3493"/>
    <w:rsid w:val="008B4034"/>
    <w:rsid w:val="008B4602"/>
    <w:rsid w:val="008B4B6A"/>
    <w:rsid w:val="008B4D3C"/>
    <w:rsid w:val="008B5192"/>
    <w:rsid w:val="008B5B57"/>
    <w:rsid w:val="008B5D53"/>
    <w:rsid w:val="008B60E6"/>
    <w:rsid w:val="008B7F3D"/>
    <w:rsid w:val="008C0081"/>
    <w:rsid w:val="008C1539"/>
    <w:rsid w:val="008C1962"/>
    <w:rsid w:val="008C27CF"/>
    <w:rsid w:val="008C2D32"/>
    <w:rsid w:val="008C306A"/>
    <w:rsid w:val="008C328D"/>
    <w:rsid w:val="008C33E1"/>
    <w:rsid w:val="008C38A8"/>
    <w:rsid w:val="008C3AC8"/>
    <w:rsid w:val="008C3B27"/>
    <w:rsid w:val="008C512F"/>
    <w:rsid w:val="008C5163"/>
    <w:rsid w:val="008C63C3"/>
    <w:rsid w:val="008C6539"/>
    <w:rsid w:val="008C6976"/>
    <w:rsid w:val="008C6DDF"/>
    <w:rsid w:val="008C7830"/>
    <w:rsid w:val="008C7B77"/>
    <w:rsid w:val="008D0200"/>
    <w:rsid w:val="008D159E"/>
    <w:rsid w:val="008D16E0"/>
    <w:rsid w:val="008D1912"/>
    <w:rsid w:val="008D2189"/>
    <w:rsid w:val="008D2437"/>
    <w:rsid w:val="008D29F2"/>
    <w:rsid w:val="008D3159"/>
    <w:rsid w:val="008D31C3"/>
    <w:rsid w:val="008D38AC"/>
    <w:rsid w:val="008D40EE"/>
    <w:rsid w:val="008D42DC"/>
    <w:rsid w:val="008D51F1"/>
    <w:rsid w:val="008D550E"/>
    <w:rsid w:val="008D63B1"/>
    <w:rsid w:val="008D66C1"/>
    <w:rsid w:val="008D6A6B"/>
    <w:rsid w:val="008D6F01"/>
    <w:rsid w:val="008D7D35"/>
    <w:rsid w:val="008D7E8A"/>
    <w:rsid w:val="008E0053"/>
    <w:rsid w:val="008E05ED"/>
    <w:rsid w:val="008E0D78"/>
    <w:rsid w:val="008E1411"/>
    <w:rsid w:val="008E1F21"/>
    <w:rsid w:val="008E2322"/>
    <w:rsid w:val="008E2CC2"/>
    <w:rsid w:val="008E373B"/>
    <w:rsid w:val="008E395A"/>
    <w:rsid w:val="008E4045"/>
    <w:rsid w:val="008E4747"/>
    <w:rsid w:val="008E4909"/>
    <w:rsid w:val="008E4A29"/>
    <w:rsid w:val="008E4B48"/>
    <w:rsid w:val="008E55B7"/>
    <w:rsid w:val="008E59F5"/>
    <w:rsid w:val="008E69AD"/>
    <w:rsid w:val="008E7596"/>
    <w:rsid w:val="008F08C7"/>
    <w:rsid w:val="008F13B6"/>
    <w:rsid w:val="008F1775"/>
    <w:rsid w:val="008F1BC5"/>
    <w:rsid w:val="008F24C6"/>
    <w:rsid w:val="008F3021"/>
    <w:rsid w:val="008F3D05"/>
    <w:rsid w:val="008F43D6"/>
    <w:rsid w:val="008F4924"/>
    <w:rsid w:val="008F5286"/>
    <w:rsid w:val="008F56E3"/>
    <w:rsid w:val="008F58CE"/>
    <w:rsid w:val="008F598A"/>
    <w:rsid w:val="008F6E59"/>
    <w:rsid w:val="008F774C"/>
    <w:rsid w:val="008F7A5F"/>
    <w:rsid w:val="009001EE"/>
    <w:rsid w:val="00901302"/>
    <w:rsid w:val="00901BB6"/>
    <w:rsid w:val="00901F77"/>
    <w:rsid w:val="00902515"/>
    <w:rsid w:val="00902C48"/>
    <w:rsid w:val="00903C62"/>
    <w:rsid w:val="00903F0C"/>
    <w:rsid w:val="00903FCB"/>
    <w:rsid w:val="00904DC6"/>
    <w:rsid w:val="00906BFC"/>
    <w:rsid w:val="00907D56"/>
    <w:rsid w:val="0091123E"/>
    <w:rsid w:val="00911BD4"/>
    <w:rsid w:val="0091365C"/>
    <w:rsid w:val="00913946"/>
    <w:rsid w:val="00913D35"/>
    <w:rsid w:val="00914284"/>
    <w:rsid w:val="00914D7A"/>
    <w:rsid w:val="009153D2"/>
    <w:rsid w:val="009154B3"/>
    <w:rsid w:val="00915772"/>
    <w:rsid w:val="0091608B"/>
    <w:rsid w:val="0091626F"/>
    <w:rsid w:val="00916AE8"/>
    <w:rsid w:val="009173D8"/>
    <w:rsid w:val="0091791E"/>
    <w:rsid w:val="00917EBE"/>
    <w:rsid w:val="00920658"/>
    <w:rsid w:val="00920D1B"/>
    <w:rsid w:val="00921037"/>
    <w:rsid w:val="00921748"/>
    <w:rsid w:val="00921785"/>
    <w:rsid w:val="0092199A"/>
    <w:rsid w:val="0092242C"/>
    <w:rsid w:val="009224AC"/>
    <w:rsid w:val="0092291F"/>
    <w:rsid w:val="00922EDC"/>
    <w:rsid w:val="009244F2"/>
    <w:rsid w:val="009246A5"/>
    <w:rsid w:val="00925113"/>
    <w:rsid w:val="0092516F"/>
    <w:rsid w:val="00925DE2"/>
    <w:rsid w:val="0092609D"/>
    <w:rsid w:val="00926228"/>
    <w:rsid w:val="00927005"/>
    <w:rsid w:val="00927329"/>
    <w:rsid w:val="00930077"/>
    <w:rsid w:val="009301A2"/>
    <w:rsid w:val="009306E5"/>
    <w:rsid w:val="009314D7"/>
    <w:rsid w:val="009316CE"/>
    <w:rsid w:val="00933066"/>
    <w:rsid w:val="009337B9"/>
    <w:rsid w:val="00934400"/>
    <w:rsid w:val="00934BDB"/>
    <w:rsid w:val="00934CE9"/>
    <w:rsid w:val="00935BC6"/>
    <w:rsid w:val="00936830"/>
    <w:rsid w:val="0093703D"/>
    <w:rsid w:val="00937175"/>
    <w:rsid w:val="00937A27"/>
    <w:rsid w:val="00937CF8"/>
    <w:rsid w:val="00937EB4"/>
    <w:rsid w:val="009400F5"/>
    <w:rsid w:val="00940BE1"/>
    <w:rsid w:val="00940DA0"/>
    <w:rsid w:val="00943DD3"/>
    <w:rsid w:val="00944989"/>
    <w:rsid w:val="00945E50"/>
    <w:rsid w:val="00946097"/>
    <w:rsid w:val="00946BDA"/>
    <w:rsid w:val="009474D1"/>
    <w:rsid w:val="009477C4"/>
    <w:rsid w:val="00947C1D"/>
    <w:rsid w:val="00950C5D"/>
    <w:rsid w:val="00951266"/>
    <w:rsid w:val="00951836"/>
    <w:rsid w:val="0095190C"/>
    <w:rsid w:val="00952EED"/>
    <w:rsid w:val="00953725"/>
    <w:rsid w:val="009538B8"/>
    <w:rsid w:val="00953BED"/>
    <w:rsid w:val="00953D0D"/>
    <w:rsid w:val="009550E2"/>
    <w:rsid w:val="00955BEE"/>
    <w:rsid w:val="00955FC9"/>
    <w:rsid w:val="00956443"/>
    <w:rsid w:val="00960046"/>
    <w:rsid w:val="00960C47"/>
    <w:rsid w:val="00961372"/>
    <w:rsid w:val="009614CE"/>
    <w:rsid w:val="00961987"/>
    <w:rsid w:val="00961AAD"/>
    <w:rsid w:val="00961B39"/>
    <w:rsid w:val="0096267E"/>
    <w:rsid w:val="00963237"/>
    <w:rsid w:val="00964891"/>
    <w:rsid w:val="009648E8"/>
    <w:rsid w:val="00964D92"/>
    <w:rsid w:val="009652DA"/>
    <w:rsid w:val="00966B08"/>
    <w:rsid w:val="00966C77"/>
    <w:rsid w:val="00966C79"/>
    <w:rsid w:val="00967120"/>
    <w:rsid w:val="00967754"/>
    <w:rsid w:val="00967DF4"/>
    <w:rsid w:val="00970377"/>
    <w:rsid w:val="0097107C"/>
    <w:rsid w:val="009711B9"/>
    <w:rsid w:val="00972748"/>
    <w:rsid w:val="009730E2"/>
    <w:rsid w:val="0097397B"/>
    <w:rsid w:val="00973F76"/>
    <w:rsid w:val="009747A6"/>
    <w:rsid w:val="00974A66"/>
    <w:rsid w:val="00974BF8"/>
    <w:rsid w:val="00974CD2"/>
    <w:rsid w:val="00975445"/>
    <w:rsid w:val="00975C68"/>
    <w:rsid w:val="00975FFC"/>
    <w:rsid w:val="00976DE8"/>
    <w:rsid w:val="0097759E"/>
    <w:rsid w:val="00980BD7"/>
    <w:rsid w:val="00980E55"/>
    <w:rsid w:val="0098108A"/>
    <w:rsid w:val="00981BEF"/>
    <w:rsid w:val="00981F4A"/>
    <w:rsid w:val="009820F0"/>
    <w:rsid w:val="00982614"/>
    <w:rsid w:val="00982969"/>
    <w:rsid w:val="0098330A"/>
    <w:rsid w:val="00984710"/>
    <w:rsid w:val="00985050"/>
    <w:rsid w:val="0098584D"/>
    <w:rsid w:val="00986021"/>
    <w:rsid w:val="0098613A"/>
    <w:rsid w:val="00986DD9"/>
    <w:rsid w:val="009873F6"/>
    <w:rsid w:val="00987752"/>
    <w:rsid w:val="00987995"/>
    <w:rsid w:val="00991A10"/>
    <w:rsid w:val="00991C5F"/>
    <w:rsid w:val="00991ED9"/>
    <w:rsid w:val="009926DF"/>
    <w:rsid w:val="00993575"/>
    <w:rsid w:val="00993A20"/>
    <w:rsid w:val="00993BB8"/>
    <w:rsid w:val="00994414"/>
    <w:rsid w:val="00994662"/>
    <w:rsid w:val="00994677"/>
    <w:rsid w:val="009946D8"/>
    <w:rsid w:val="009952FB"/>
    <w:rsid w:val="00995606"/>
    <w:rsid w:val="009956C7"/>
    <w:rsid w:val="0099628B"/>
    <w:rsid w:val="00996F8A"/>
    <w:rsid w:val="009A10AF"/>
    <w:rsid w:val="009A15AB"/>
    <w:rsid w:val="009A25D6"/>
    <w:rsid w:val="009A2837"/>
    <w:rsid w:val="009A2FAE"/>
    <w:rsid w:val="009A4BC6"/>
    <w:rsid w:val="009A532D"/>
    <w:rsid w:val="009A5414"/>
    <w:rsid w:val="009A5E8A"/>
    <w:rsid w:val="009A79DA"/>
    <w:rsid w:val="009B0854"/>
    <w:rsid w:val="009B08F5"/>
    <w:rsid w:val="009B1C83"/>
    <w:rsid w:val="009B1CD5"/>
    <w:rsid w:val="009B1E81"/>
    <w:rsid w:val="009B200B"/>
    <w:rsid w:val="009B24A5"/>
    <w:rsid w:val="009B2560"/>
    <w:rsid w:val="009B29AD"/>
    <w:rsid w:val="009B2EC2"/>
    <w:rsid w:val="009B31DB"/>
    <w:rsid w:val="009B3408"/>
    <w:rsid w:val="009B3D5A"/>
    <w:rsid w:val="009B4301"/>
    <w:rsid w:val="009B49B6"/>
    <w:rsid w:val="009B5538"/>
    <w:rsid w:val="009B5682"/>
    <w:rsid w:val="009B72C6"/>
    <w:rsid w:val="009B730F"/>
    <w:rsid w:val="009B74D5"/>
    <w:rsid w:val="009B7510"/>
    <w:rsid w:val="009B7D47"/>
    <w:rsid w:val="009C0034"/>
    <w:rsid w:val="009C0E52"/>
    <w:rsid w:val="009C0ECC"/>
    <w:rsid w:val="009C1BBA"/>
    <w:rsid w:val="009C1F4A"/>
    <w:rsid w:val="009C1FF0"/>
    <w:rsid w:val="009C2232"/>
    <w:rsid w:val="009C3084"/>
    <w:rsid w:val="009C312A"/>
    <w:rsid w:val="009C321A"/>
    <w:rsid w:val="009C4214"/>
    <w:rsid w:val="009C4216"/>
    <w:rsid w:val="009C4F1E"/>
    <w:rsid w:val="009C5060"/>
    <w:rsid w:val="009C54DF"/>
    <w:rsid w:val="009C5B09"/>
    <w:rsid w:val="009C5CF4"/>
    <w:rsid w:val="009C63AB"/>
    <w:rsid w:val="009C6AA8"/>
    <w:rsid w:val="009C74FA"/>
    <w:rsid w:val="009D0258"/>
    <w:rsid w:val="009D0684"/>
    <w:rsid w:val="009D3294"/>
    <w:rsid w:val="009D42E7"/>
    <w:rsid w:val="009D4626"/>
    <w:rsid w:val="009D49ED"/>
    <w:rsid w:val="009D4A7B"/>
    <w:rsid w:val="009D4F12"/>
    <w:rsid w:val="009D511E"/>
    <w:rsid w:val="009D71E8"/>
    <w:rsid w:val="009D7296"/>
    <w:rsid w:val="009D75EB"/>
    <w:rsid w:val="009D7725"/>
    <w:rsid w:val="009D78C3"/>
    <w:rsid w:val="009D7BDC"/>
    <w:rsid w:val="009E07DA"/>
    <w:rsid w:val="009E0B46"/>
    <w:rsid w:val="009E160F"/>
    <w:rsid w:val="009E1BE8"/>
    <w:rsid w:val="009E2166"/>
    <w:rsid w:val="009E235B"/>
    <w:rsid w:val="009E2B22"/>
    <w:rsid w:val="009E2DD5"/>
    <w:rsid w:val="009E3869"/>
    <w:rsid w:val="009E3A81"/>
    <w:rsid w:val="009E3BFF"/>
    <w:rsid w:val="009E439C"/>
    <w:rsid w:val="009E5AC4"/>
    <w:rsid w:val="009E6096"/>
    <w:rsid w:val="009E6A48"/>
    <w:rsid w:val="009E6A73"/>
    <w:rsid w:val="009E6C36"/>
    <w:rsid w:val="009E7641"/>
    <w:rsid w:val="009F0D9B"/>
    <w:rsid w:val="009F3A36"/>
    <w:rsid w:val="009F3F48"/>
    <w:rsid w:val="009F6368"/>
    <w:rsid w:val="009F6941"/>
    <w:rsid w:val="009F69B8"/>
    <w:rsid w:val="009F725D"/>
    <w:rsid w:val="009F76A8"/>
    <w:rsid w:val="009F78B1"/>
    <w:rsid w:val="009F7B6E"/>
    <w:rsid w:val="00A00D80"/>
    <w:rsid w:val="00A0177A"/>
    <w:rsid w:val="00A04CEC"/>
    <w:rsid w:val="00A04E86"/>
    <w:rsid w:val="00A052F6"/>
    <w:rsid w:val="00A0580B"/>
    <w:rsid w:val="00A05FD4"/>
    <w:rsid w:val="00A070D6"/>
    <w:rsid w:val="00A072A3"/>
    <w:rsid w:val="00A0755D"/>
    <w:rsid w:val="00A106DC"/>
    <w:rsid w:val="00A10E92"/>
    <w:rsid w:val="00A10EA0"/>
    <w:rsid w:val="00A12484"/>
    <w:rsid w:val="00A12735"/>
    <w:rsid w:val="00A12F3F"/>
    <w:rsid w:val="00A13244"/>
    <w:rsid w:val="00A15173"/>
    <w:rsid w:val="00A15C66"/>
    <w:rsid w:val="00A161DB"/>
    <w:rsid w:val="00A173F4"/>
    <w:rsid w:val="00A17641"/>
    <w:rsid w:val="00A17B6F"/>
    <w:rsid w:val="00A21EA6"/>
    <w:rsid w:val="00A22071"/>
    <w:rsid w:val="00A22630"/>
    <w:rsid w:val="00A23897"/>
    <w:rsid w:val="00A23A90"/>
    <w:rsid w:val="00A253EE"/>
    <w:rsid w:val="00A25C8C"/>
    <w:rsid w:val="00A25D30"/>
    <w:rsid w:val="00A25FC1"/>
    <w:rsid w:val="00A26356"/>
    <w:rsid w:val="00A2641E"/>
    <w:rsid w:val="00A26D3E"/>
    <w:rsid w:val="00A304CB"/>
    <w:rsid w:val="00A305E4"/>
    <w:rsid w:val="00A30B55"/>
    <w:rsid w:val="00A31364"/>
    <w:rsid w:val="00A32638"/>
    <w:rsid w:val="00A3321C"/>
    <w:rsid w:val="00A334E1"/>
    <w:rsid w:val="00A3371D"/>
    <w:rsid w:val="00A339BC"/>
    <w:rsid w:val="00A355C0"/>
    <w:rsid w:val="00A356A1"/>
    <w:rsid w:val="00A356C2"/>
    <w:rsid w:val="00A35994"/>
    <w:rsid w:val="00A35A77"/>
    <w:rsid w:val="00A36208"/>
    <w:rsid w:val="00A36DAF"/>
    <w:rsid w:val="00A3726B"/>
    <w:rsid w:val="00A37901"/>
    <w:rsid w:val="00A4060F"/>
    <w:rsid w:val="00A40BEE"/>
    <w:rsid w:val="00A411C8"/>
    <w:rsid w:val="00A41843"/>
    <w:rsid w:val="00A418E0"/>
    <w:rsid w:val="00A41FB8"/>
    <w:rsid w:val="00A4392D"/>
    <w:rsid w:val="00A43ABE"/>
    <w:rsid w:val="00A44B84"/>
    <w:rsid w:val="00A44C04"/>
    <w:rsid w:val="00A44FB7"/>
    <w:rsid w:val="00A4522B"/>
    <w:rsid w:val="00A45260"/>
    <w:rsid w:val="00A45BD0"/>
    <w:rsid w:val="00A460AD"/>
    <w:rsid w:val="00A46FB8"/>
    <w:rsid w:val="00A47004"/>
    <w:rsid w:val="00A47B5E"/>
    <w:rsid w:val="00A47C5A"/>
    <w:rsid w:val="00A47F42"/>
    <w:rsid w:val="00A5030A"/>
    <w:rsid w:val="00A508EF"/>
    <w:rsid w:val="00A509D3"/>
    <w:rsid w:val="00A50EF6"/>
    <w:rsid w:val="00A51B6C"/>
    <w:rsid w:val="00A51FEF"/>
    <w:rsid w:val="00A52CC6"/>
    <w:rsid w:val="00A52F9D"/>
    <w:rsid w:val="00A530CC"/>
    <w:rsid w:val="00A53289"/>
    <w:rsid w:val="00A53439"/>
    <w:rsid w:val="00A5404D"/>
    <w:rsid w:val="00A5472C"/>
    <w:rsid w:val="00A54D59"/>
    <w:rsid w:val="00A5599A"/>
    <w:rsid w:val="00A566A4"/>
    <w:rsid w:val="00A56A4E"/>
    <w:rsid w:val="00A57023"/>
    <w:rsid w:val="00A57417"/>
    <w:rsid w:val="00A57587"/>
    <w:rsid w:val="00A57FA8"/>
    <w:rsid w:val="00A6032A"/>
    <w:rsid w:val="00A61374"/>
    <w:rsid w:val="00A6144D"/>
    <w:rsid w:val="00A6145C"/>
    <w:rsid w:val="00A6192D"/>
    <w:rsid w:val="00A61FED"/>
    <w:rsid w:val="00A621D8"/>
    <w:rsid w:val="00A62237"/>
    <w:rsid w:val="00A63646"/>
    <w:rsid w:val="00A64B38"/>
    <w:rsid w:val="00A67B75"/>
    <w:rsid w:val="00A7074B"/>
    <w:rsid w:val="00A7089F"/>
    <w:rsid w:val="00A70B44"/>
    <w:rsid w:val="00A72086"/>
    <w:rsid w:val="00A741B7"/>
    <w:rsid w:val="00A74457"/>
    <w:rsid w:val="00A746B2"/>
    <w:rsid w:val="00A75596"/>
    <w:rsid w:val="00A75725"/>
    <w:rsid w:val="00A759CA"/>
    <w:rsid w:val="00A75A88"/>
    <w:rsid w:val="00A76CE6"/>
    <w:rsid w:val="00A76EF5"/>
    <w:rsid w:val="00A77492"/>
    <w:rsid w:val="00A77843"/>
    <w:rsid w:val="00A779DC"/>
    <w:rsid w:val="00A800E4"/>
    <w:rsid w:val="00A80E0A"/>
    <w:rsid w:val="00A811C7"/>
    <w:rsid w:val="00A811F1"/>
    <w:rsid w:val="00A81F12"/>
    <w:rsid w:val="00A828BD"/>
    <w:rsid w:val="00A8295C"/>
    <w:rsid w:val="00A83122"/>
    <w:rsid w:val="00A832B2"/>
    <w:rsid w:val="00A83729"/>
    <w:rsid w:val="00A83C57"/>
    <w:rsid w:val="00A84526"/>
    <w:rsid w:val="00A845EF"/>
    <w:rsid w:val="00A846F6"/>
    <w:rsid w:val="00A8494F"/>
    <w:rsid w:val="00A849C8"/>
    <w:rsid w:val="00A869E0"/>
    <w:rsid w:val="00A86EA4"/>
    <w:rsid w:val="00A87747"/>
    <w:rsid w:val="00A87AAF"/>
    <w:rsid w:val="00A87DC2"/>
    <w:rsid w:val="00A91855"/>
    <w:rsid w:val="00A91B56"/>
    <w:rsid w:val="00A9208D"/>
    <w:rsid w:val="00A92D03"/>
    <w:rsid w:val="00A937C1"/>
    <w:rsid w:val="00A9390B"/>
    <w:rsid w:val="00A93C6D"/>
    <w:rsid w:val="00A94AF2"/>
    <w:rsid w:val="00A95517"/>
    <w:rsid w:val="00A95A3B"/>
    <w:rsid w:val="00A95EAC"/>
    <w:rsid w:val="00A95F96"/>
    <w:rsid w:val="00A970CE"/>
    <w:rsid w:val="00AA027A"/>
    <w:rsid w:val="00AA0338"/>
    <w:rsid w:val="00AA1004"/>
    <w:rsid w:val="00AA1F1C"/>
    <w:rsid w:val="00AA22B8"/>
    <w:rsid w:val="00AA2828"/>
    <w:rsid w:val="00AA297D"/>
    <w:rsid w:val="00AA2E8F"/>
    <w:rsid w:val="00AA3566"/>
    <w:rsid w:val="00AA3A2D"/>
    <w:rsid w:val="00AA434B"/>
    <w:rsid w:val="00AA4E19"/>
    <w:rsid w:val="00AA4FD5"/>
    <w:rsid w:val="00AA5C95"/>
    <w:rsid w:val="00AA5E71"/>
    <w:rsid w:val="00AA60F6"/>
    <w:rsid w:val="00AA61AE"/>
    <w:rsid w:val="00AA643C"/>
    <w:rsid w:val="00AA66B7"/>
    <w:rsid w:val="00AA6988"/>
    <w:rsid w:val="00AA760A"/>
    <w:rsid w:val="00AB0371"/>
    <w:rsid w:val="00AB0C46"/>
    <w:rsid w:val="00AB1712"/>
    <w:rsid w:val="00AB1A9E"/>
    <w:rsid w:val="00AB1DD0"/>
    <w:rsid w:val="00AB23EF"/>
    <w:rsid w:val="00AB2672"/>
    <w:rsid w:val="00AB2AD8"/>
    <w:rsid w:val="00AB2D89"/>
    <w:rsid w:val="00AB2E39"/>
    <w:rsid w:val="00AB3346"/>
    <w:rsid w:val="00AB3540"/>
    <w:rsid w:val="00AB38B9"/>
    <w:rsid w:val="00AB3C8A"/>
    <w:rsid w:val="00AB3E59"/>
    <w:rsid w:val="00AB4E8F"/>
    <w:rsid w:val="00AB5F89"/>
    <w:rsid w:val="00AB656B"/>
    <w:rsid w:val="00AB6EA2"/>
    <w:rsid w:val="00AB7C3C"/>
    <w:rsid w:val="00AC14E3"/>
    <w:rsid w:val="00AC1532"/>
    <w:rsid w:val="00AC169A"/>
    <w:rsid w:val="00AC1D6D"/>
    <w:rsid w:val="00AC2031"/>
    <w:rsid w:val="00AC292E"/>
    <w:rsid w:val="00AC2AC3"/>
    <w:rsid w:val="00AC2C4F"/>
    <w:rsid w:val="00AC2F72"/>
    <w:rsid w:val="00AC3001"/>
    <w:rsid w:val="00AC31FD"/>
    <w:rsid w:val="00AC3A0B"/>
    <w:rsid w:val="00AC4120"/>
    <w:rsid w:val="00AC4FBD"/>
    <w:rsid w:val="00AC5849"/>
    <w:rsid w:val="00AC5992"/>
    <w:rsid w:val="00AC6DE5"/>
    <w:rsid w:val="00AC7149"/>
    <w:rsid w:val="00AC7A60"/>
    <w:rsid w:val="00AC7BBA"/>
    <w:rsid w:val="00AD0228"/>
    <w:rsid w:val="00AD0759"/>
    <w:rsid w:val="00AD0A53"/>
    <w:rsid w:val="00AD0EB2"/>
    <w:rsid w:val="00AD14BA"/>
    <w:rsid w:val="00AD1747"/>
    <w:rsid w:val="00AD1ED6"/>
    <w:rsid w:val="00AD2603"/>
    <w:rsid w:val="00AD3F86"/>
    <w:rsid w:val="00AD3FEC"/>
    <w:rsid w:val="00AD436B"/>
    <w:rsid w:val="00AD4669"/>
    <w:rsid w:val="00AD4D89"/>
    <w:rsid w:val="00AD5A8D"/>
    <w:rsid w:val="00AD5B41"/>
    <w:rsid w:val="00AD5BE4"/>
    <w:rsid w:val="00AD6007"/>
    <w:rsid w:val="00AD6370"/>
    <w:rsid w:val="00AD65F9"/>
    <w:rsid w:val="00AD6C79"/>
    <w:rsid w:val="00AD7D74"/>
    <w:rsid w:val="00AD7DAC"/>
    <w:rsid w:val="00AE0069"/>
    <w:rsid w:val="00AE0369"/>
    <w:rsid w:val="00AE0C02"/>
    <w:rsid w:val="00AE3346"/>
    <w:rsid w:val="00AE3B11"/>
    <w:rsid w:val="00AE3CE8"/>
    <w:rsid w:val="00AE3E87"/>
    <w:rsid w:val="00AE41F0"/>
    <w:rsid w:val="00AE431C"/>
    <w:rsid w:val="00AE4FA1"/>
    <w:rsid w:val="00AE5446"/>
    <w:rsid w:val="00AE7278"/>
    <w:rsid w:val="00AE75E7"/>
    <w:rsid w:val="00AE7799"/>
    <w:rsid w:val="00AF089B"/>
    <w:rsid w:val="00AF123C"/>
    <w:rsid w:val="00AF2C52"/>
    <w:rsid w:val="00AF3057"/>
    <w:rsid w:val="00AF3412"/>
    <w:rsid w:val="00AF34DB"/>
    <w:rsid w:val="00AF35B7"/>
    <w:rsid w:val="00AF3B6C"/>
    <w:rsid w:val="00AF4359"/>
    <w:rsid w:val="00AF520E"/>
    <w:rsid w:val="00AF547D"/>
    <w:rsid w:val="00AF5634"/>
    <w:rsid w:val="00AF56A5"/>
    <w:rsid w:val="00AF5EEE"/>
    <w:rsid w:val="00AF6360"/>
    <w:rsid w:val="00AF6DA6"/>
    <w:rsid w:val="00AF758F"/>
    <w:rsid w:val="00AF759D"/>
    <w:rsid w:val="00AF76A5"/>
    <w:rsid w:val="00AF7EBA"/>
    <w:rsid w:val="00B00A4C"/>
    <w:rsid w:val="00B00C7E"/>
    <w:rsid w:val="00B00E48"/>
    <w:rsid w:val="00B00ED2"/>
    <w:rsid w:val="00B00F38"/>
    <w:rsid w:val="00B019EB"/>
    <w:rsid w:val="00B028C3"/>
    <w:rsid w:val="00B02912"/>
    <w:rsid w:val="00B02A4A"/>
    <w:rsid w:val="00B0311A"/>
    <w:rsid w:val="00B04119"/>
    <w:rsid w:val="00B04963"/>
    <w:rsid w:val="00B049F9"/>
    <w:rsid w:val="00B05B82"/>
    <w:rsid w:val="00B06261"/>
    <w:rsid w:val="00B0640C"/>
    <w:rsid w:val="00B06DDF"/>
    <w:rsid w:val="00B071A8"/>
    <w:rsid w:val="00B078E0"/>
    <w:rsid w:val="00B07B66"/>
    <w:rsid w:val="00B1056D"/>
    <w:rsid w:val="00B111FC"/>
    <w:rsid w:val="00B114BA"/>
    <w:rsid w:val="00B1358D"/>
    <w:rsid w:val="00B13A63"/>
    <w:rsid w:val="00B1511C"/>
    <w:rsid w:val="00B15996"/>
    <w:rsid w:val="00B15E54"/>
    <w:rsid w:val="00B1664F"/>
    <w:rsid w:val="00B17805"/>
    <w:rsid w:val="00B17C59"/>
    <w:rsid w:val="00B17FC5"/>
    <w:rsid w:val="00B20693"/>
    <w:rsid w:val="00B20B00"/>
    <w:rsid w:val="00B20F38"/>
    <w:rsid w:val="00B21765"/>
    <w:rsid w:val="00B21963"/>
    <w:rsid w:val="00B21E05"/>
    <w:rsid w:val="00B227BD"/>
    <w:rsid w:val="00B22802"/>
    <w:rsid w:val="00B231C1"/>
    <w:rsid w:val="00B232FD"/>
    <w:rsid w:val="00B2371C"/>
    <w:rsid w:val="00B238B4"/>
    <w:rsid w:val="00B23EF1"/>
    <w:rsid w:val="00B2489A"/>
    <w:rsid w:val="00B25271"/>
    <w:rsid w:val="00B26551"/>
    <w:rsid w:val="00B30017"/>
    <w:rsid w:val="00B3062F"/>
    <w:rsid w:val="00B30721"/>
    <w:rsid w:val="00B31032"/>
    <w:rsid w:val="00B312DE"/>
    <w:rsid w:val="00B3147B"/>
    <w:rsid w:val="00B315D4"/>
    <w:rsid w:val="00B31BD5"/>
    <w:rsid w:val="00B31EE6"/>
    <w:rsid w:val="00B32FCC"/>
    <w:rsid w:val="00B3322E"/>
    <w:rsid w:val="00B34068"/>
    <w:rsid w:val="00B345A5"/>
    <w:rsid w:val="00B345BE"/>
    <w:rsid w:val="00B34F2B"/>
    <w:rsid w:val="00B3598A"/>
    <w:rsid w:val="00B35E3C"/>
    <w:rsid w:val="00B36595"/>
    <w:rsid w:val="00B368B0"/>
    <w:rsid w:val="00B37861"/>
    <w:rsid w:val="00B37899"/>
    <w:rsid w:val="00B37A71"/>
    <w:rsid w:val="00B37C06"/>
    <w:rsid w:val="00B37C82"/>
    <w:rsid w:val="00B41380"/>
    <w:rsid w:val="00B4209A"/>
    <w:rsid w:val="00B42BD7"/>
    <w:rsid w:val="00B42C08"/>
    <w:rsid w:val="00B43442"/>
    <w:rsid w:val="00B44CE3"/>
    <w:rsid w:val="00B46363"/>
    <w:rsid w:val="00B463F4"/>
    <w:rsid w:val="00B465ED"/>
    <w:rsid w:val="00B50428"/>
    <w:rsid w:val="00B50A07"/>
    <w:rsid w:val="00B51323"/>
    <w:rsid w:val="00B51604"/>
    <w:rsid w:val="00B51B9F"/>
    <w:rsid w:val="00B523A1"/>
    <w:rsid w:val="00B52F90"/>
    <w:rsid w:val="00B530AB"/>
    <w:rsid w:val="00B54080"/>
    <w:rsid w:val="00B5411B"/>
    <w:rsid w:val="00B547A7"/>
    <w:rsid w:val="00B557E2"/>
    <w:rsid w:val="00B55C31"/>
    <w:rsid w:val="00B56157"/>
    <w:rsid w:val="00B56CD4"/>
    <w:rsid w:val="00B57B61"/>
    <w:rsid w:val="00B57F91"/>
    <w:rsid w:val="00B601E2"/>
    <w:rsid w:val="00B60370"/>
    <w:rsid w:val="00B6055E"/>
    <w:rsid w:val="00B612D9"/>
    <w:rsid w:val="00B61B8F"/>
    <w:rsid w:val="00B61D24"/>
    <w:rsid w:val="00B6281F"/>
    <w:rsid w:val="00B629D8"/>
    <w:rsid w:val="00B631E5"/>
    <w:rsid w:val="00B63389"/>
    <w:rsid w:val="00B634AF"/>
    <w:rsid w:val="00B63D9C"/>
    <w:rsid w:val="00B665BF"/>
    <w:rsid w:val="00B67ADE"/>
    <w:rsid w:val="00B70569"/>
    <w:rsid w:val="00B70804"/>
    <w:rsid w:val="00B708AB"/>
    <w:rsid w:val="00B70E8E"/>
    <w:rsid w:val="00B71345"/>
    <w:rsid w:val="00B7181C"/>
    <w:rsid w:val="00B73B39"/>
    <w:rsid w:val="00B73B57"/>
    <w:rsid w:val="00B74535"/>
    <w:rsid w:val="00B74DE9"/>
    <w:rsid w:val="00B7529B"/>
    <w:rsid w:val="00B7581A"/>
    <w:rsid w:val="00B758A3"/>
    <w:rsid w:val="00B75A5E"/>
    <w:rsid w:val="00B764CC"/>
    <w:rsid w:val="00B765B7"/>
    <w:rsid w:val="00B765D5"/>
    <w:rsid w:val="00B7667B"/>
    <w:rsid w:val="00B770F3"/>
    <w:rsid w:val="00B77180"/>
    <w:rsid w:val="00B776B1"/>
    <w:rsid w:val="00B77866"/>
    <w:rsid w:val="00B77AE0"/>
    <w:rsid w:val="00B77E6B"/>
    <w:rsid w:val="00B80C45"/>
    <w:rsid w:val="00B81151"/>
    <w:rsid w:val="00B8290B"/>
    <w:rsid w:val="00B82966"/>
    <w:rsid w:val="00B82FD8"/>
    <w:rsid w:val="00B83089"/>
    <w:rsid w:val="00B83251"/>
    <w:rsid w:val="00B83D53"/>
    <w:rsid w:val="00B84411"/>
    <w:rsid w:val="00B84CBF"/>
    <w:rsid w:val="00B8531C"/>
    <w:rsid w:val="00B8532E"/>
    <w:rsid w:val="00B861CD"/>
    <w:rsid w:val="00B863D2"/>
    <w:rsid w:val="00B86AAA"/>
    <w:rsid w:val="00B86E40"/>
    <w:rsid w:val="00B86EAD"/>
    <w:rsid w:val="00B87550"/>
    <w:rsid w:val="00B87808"/>
    <w:rsid w:val="00B87A1E"/>
    <w:rsid w:val="00B87ECD"/>
    <w:rsid w:val="00B90436"/>
    <w:rsid w:val="00B90D93"/>
    <w:rsid w:val="00B90EEF"/>
    <w:rsid w:val="00B92E8F"/>
    <w:rsid w:val="00B93B26"/>
    <w:rsid w:val="00B942B5"/>
    <w:rsid w:val="00B945A3"/>
    <w:rsid w:val="00B94696"/>
    <w:rsid w:val="00B94E16"/>
    <w:rsid w:val="00B951E3"/>
    <w:rsid w:val="00B96080"/>
    <w:rsid w:val="00B963CD"/>
    <w:rsid w:val="00B97096"/>
    <w:rsid w:val="00B970C8"/>
    <w:rsid w:val="00B97BEA"/>
    <w:rsid w:val="00B97DAB"/>
    <w:rsid w:val="00B97E15"/>
    <w:rsid w:val="00B97F85"/>
    <w:rsid w:val="00BA086C"/>
    <w:rsid w:val="00BA09AF"/>
    <w:rsid w:val="00BA1587"/>
    <w:rsid w:val="00BA29EB"/>
    <w:rsid w:val="00BA2DA8"/>
    <w:rsid w:val="00BA322B"/>
    <w:rsid w:val="00BA378F"/>
    <w:rsid w:val="00BA3B49"/>
    <w:rsid w:val="00BA3F4F"/>
    <w:rsid w:val="00BA4670"/>
    <w:rsid w:val="00BA4B3E"/>
    <w:rsid w:val="00BA53C7"/>
    <w:rsid w:val="00BA545E"/>
    <w:rsid w:val="00BA589D"/>
    <w:rsid w:val="00BA5D9C"/>
    <w:rsid w:val="00BA6471"/>
    <w:rsid w:val="00BA654F"/>
    <w:rsid w:val="00BA6589"/>
    <w:rsid w:val="00BB0768"/>
    <w:rsid w:val="00BB0806"/>
    <w:rsid w:val="00BB09B8"/>
    <w:rsid w:val="00BB0F5B"/>
    <w:rsid w:val="00BB1281"/>
    <w:rsid w:val="00BB1356"/>
    <w:rsid w:val="00BB1388"/>
    <w:rsid w:val="00BB1436"/>
    <w:rsid w:val="00BB1443"/>
    <w:rsid w:val="00BB1CED"/>
    <w:rsid w:val="00BB1D2A"/>
    <w:rsid w:val="00BB1D3D"/>
    <w:rsid w:val="00BB4665"/>
    <w:rsid w:val="00BB50D0"/>
    <w:rsid w:val="00BB50F2"/>
    <w:rsid w:val="00BB5F5D"/>
    <w:rsid w:val="00BB60BC"/>
    <w:rsid w:val="00BB6346"/>
    <w:rsid w:val="00BB6390"/>
    <w:rsid w:val="00BB7A3E"/>
    <w:rsid w:val="00BB7CAB"/>
    <w:rsid w:val="00BC048B"/>
    <w:rsid w:val="00BC04F8"/>
    <w:rsid w:val="00BC0916"/>
    <w:rsid w:val="00BC0F5C"/>
    <w:rsid w:val="00BC1219"/>
    <w:rsid w:val="00BC128E"/>
    <w:rsid w:val="00BC1EE4"/>
    <w:rsid w:val="00BC1F86"/>
    <w:rsid w:val="00BC245E"/>
    <w:rsid w:val="00BC28BE"/>
    <w:rsid w:val="00BC3A9E"/>
    <w:rsid w:val="00BC3AA8"/>
    <w:rsid w:val="00BC431A"/>
    <w:rsid w:val="00BC4F1E"/>
    <w:rsid w:val="00BC5476"/>
    <w:rsid w:val="00BC59F4"/>
    <w:rsid w:val="00BC639A"/>
    <w:rsid w:val="00BC6713"/>
    <w:rsid w:val="00BC7539"/>
    <w:rsid w:val="00BC75E7"/>
    <w:rsid w:val="00BD0843"/>
    <w:rsid w:val="00BD0E25"/>
    <w:rsid w:val="00BD1E32"/>
    <w:rsid w:val="00BD32CA"/>
    <w:rsid w:val="00BD4069"/>
    <w:rsid w:val="00BD5EDF"/>
    <w:rsid w:val="00BD6265"/>
    <w:rsid w:val="00BD629E"/>
    <w:rsid w:val="00BD653D"/>
    <w:rsid w:val="00BD6A74"/>
    <w:rsid w:val="00BD6BE8"/>
    <w:rsid w:val="00BD739F"/>
    <w:rsid w:val="00BD7856"/>
    <w:rsid w:val="00BD7C3A"/>
    <w:rsid w:val="00BD7DFC"/>
    <w:rsid w:val="00BE067D"/>
    <w:rsid w:val="00BE0BB1"/>
    <w:rsid w:val="00BE19E0"/>
    <w:rsid w:val="00BE1CB3"/>
    <w:rsid w:val="00BE21F3"/>
    <w:rsid w:val="00BE2E01"/>
    <w:rsid w:val="00BE2F11"/>
    <w:rsid w:val="00BE33BA"/>
    <w:rsid w:val="00BE3C6B"/>
    <w:rsid w:val="00BE42EF"/>
    <w:rsid w:val="00BE49D8"/>
    <w:rsid w:val="00BE55CF"/>
    <w:rsid w:val="00BE58E5"/>
    <w:rsid w:val="00BE5F1A"/>
    <w:rsid w:val="00BE7799"/>
    <w:rsid w:val="00BE7BB3"/>
    <w:rsid w:val="00BF00AF"/>
    <w:rsid w:val="00BF05E2"/>
    <w:rsid w:val="00BF08A6"/>
    <w:rsid w:val="00BF1372"/>
    <w:rsid w:val="00BF23F2"/>
    <w:rsid w:val="00BF271F"/>
    <w:rsid w:val="00BF2BA8"/>
    <w:rsid w:val="00BF31DF"/>
    <w:rsid w:val="00BF4506"/>
    <w:rsid w:val="00BF4B04"/>
    <w:rsid w:val="00BF4B1F"/>
    <w:rsid w:val="00BF5375"/>
    <w:rsid w:val="00BF557A"/>
    <w:rsid w:val="00BF5BC3"/>
    <w:rsid w:val="00BF5E87"/>
    <w:rsid w:val="00BF67F2"/>
    <w:rsid w:val="00BF6AB5"/>
    <w:rsid w:val="00C0077A"/>
    <w:rsid w:val="00C01184"/>
    <w:rsid w:val="00C01658"/>
    <w:rsid w:val="00C01EC4"/>
    <w:rsid w:val="00C05249"/>
    <w:rsid w:val="00C052C4"/>
    <w:rsid w:val="00C0601C"/>
    <w:rsid w:val="00C0620C"/>
    <w:rsid w:val="00C06246"/>
    <w:rsid w:val="00C062C5"/>
    <w:rsid w:val="00C069AE"/>
    <w:rsid w:val="00C077CE"/>
    <w:rsid w:val="00C078BC"/>
    <w:rsid w:val="00C07B15"/>
    <w:rsid w:val="00C07C33"/>
    <w:rsid w:val="00C10258"/>
    <w:rsid w:val="00C10493"/>
    <w:rsid w:val="00C10670"/>
    <w:rsid w:val="00C107FF"/>
    <w:rsid w:val="00C10BEC"/>
    <w:rsid w:val="00C11539"/>
    <w:rsid w:val="00C11E97"/>
    <w:rsid w:val="00C124AE"/>
    <w:rsid w:val="00C12D67"/>
    <w:rsid w:val="00C1416D"/>
    <w:rsid w:val="00C14202"/>
    <w:rsid w:val="00C144BE"/>
    <w:rsid w:val="00C147B3"/>
    <w:rsid w:val="00C14AF0"/>
    <w:rsid w:val="00C14EE5"/>
    <w:rsid w:val="00C15DBE"/>
    <w:rsid w:val="00C16DB8"/>
    <w:rsid w:val="00C16EEB"/>
    <w:rsid w:val="00C170DE"/>
    <w:rsid w:val="00C17237"/>
    <w:rsid w:val="00C17379"/>
    <w:rsid w:val="00C176EF"/>
    <w:rsid w:val="00C17772"/>
    <w:rsid w:val="00C17AC9"/>
    <w:rsid w:val="00C203F7"/>
    <w:rsid w:val="00C20E54"/>
    <w:rsid w:val="00C21259"/>
    <w:rsid w:val="00C21FF5"/>
    <w:rsid w:val="00C23AA5"/>
    <w:rsid w:val="00C241C7"/>
    <w:rsid w:val="00C2429C"/>
    <w:rsid w:val="00C24428"/>
    <w:rsid w:val="00C246D4"/>
    <w:rsid w:val="00C24B99"/>
    <w:rsid w:val="00C24F74"/>
    <w:rsid w:val="00C24FCB"/>
    <w:rsid w:val="00C25047"/>
    <w:rsid w:val="00C252A3"/>
    <w:rsid w:val="00C25A3F"/>
    <w:rsid w:val="00C25CF5"/>
    <w:rsid w:val="00C274C1"/>
    <w:rsid w:val="00C27901"/>
    <w:rsid w:val="00C300E0"/>
    <w:rsid w:val="00C304A0"/>
    <w:rsid w:val="00C31C3C"/>
    <w:rsid w:val="00C32282"/>
    <w:rsid w:val="00C331A4"/>
    <w:rsid w:val="00C33280"/>
    <w:rsid w:val="00C333DA"/>
    <w:rsid w:val="00C350EF"/>
    <w:rsid w:val="00C35491"/>
    <w:rsid w:val="00C35991"/>
    <w:rsid w:val="00C35A86"/>
    <w:rsid w:val="00C35B8A"/>
    <w:rsid w:val="00C35EC7"/>
    <w:rsid w:val="00C368B0"/>
    <w:rsid w:val="00C36BEB"/>
    <w:rsid w:val="00C36C7B"/>
    <w:rsid w:val="00C36E16"/>
    <w:rsid w:val="00C37479"/>
    <w:rsid w:val="00C40BA6"/>
    <w:rsid w:val="00C40FC9"/>
    <w:rsid w:val="00C41905"/>
    <w:rsid w:val="00C424E9"/>
    <w:rsid w:val="00C4331B"/>
    <w:rsid w:val="00C434AE"/>
    <w:rsid w:val="00C43DB5"/>
    <w:rsid w:val="00C43FED"/>
    <w:rsid w:val="00C43FF3"/>
    <w:rsid w:val="00C441C7"/>
    <w:rsid w:val="00C45B4A"/>
    <w:rsid w:val="00C45EBD"/>
    <w:rsid w:val="00C45EC6"/>
    <w:rsid w:val="00C46CA7"/>
    <w:rsid w:val="00C47211"/>
    <w:rsid w:val="00C473F3"/>
    <w:rsid w:val="00C4760F"/>
    <w:rsid w:val="00C504EE"/>
    <w:rsid w:val="00C505F5"/>
    <w:rsid w:val="00C5122F"/>
    <w:rsid w:val="00C51B29"/>
    <w:rsid w:val="00C52B71"/>
    <w:rsid w:val="00C52FB6"/>
    <w:rsid w:val="00C5412F"/>
    <w:rsid w:val="00C544C1"/>
    <w:rsid w:val="00C5470E"/>
    <w:rsid w:val="00C54DD2"/>
    <w:rsid w:val="00C55031"/>
    <w:rsid w:val="00C554A7"/>
    <w:rsid w:val="00C55F54"/>
    <w:rsid w:val="00C5637D"/>
    <w:rsid w:val="00C567BD"/>
    <w:rsid w:val="00C56D0D"/>
    <w:rsid w:val="00C600E1"/>
    <w:rsid w:val="00C60125"/>
    <w:rsid w:val="00C604F8"/>
    <w:rsid w:val="00C61236"/>
    <w:rsid w:val="00C61DE4"/>
    <w:rsid w:val="00C624A5"/>
    <w:rsid w:val="00C6289B"/>
    <w:rsid w:val="00C636A9"/>
    <w:rsid w:val="00C638B9"/>
    <w:rsid w:val="00C63A85"/>
    <w:rsid w:val="00C64A3C"/>
    <w:rsid w:val="00C66A49"/>
    <w:rsid w:val="00C67F88"/>
    <w:rsid w:val="00C704DA"/>
    <w:rsid w:val="00C706E5"/>
    <w:rsid w:val="00C7203C"/>
    <w:rsid w:val="00C7215F"/>
    <w:rsid w:val="00C7277B"/>
    <w:rsid w:val="00C72C74"/>
    <w:rsid w:val="00C730FF"/>
    <w:rsid w:val="00C73491"/>
    <w:rsid w:val="00C73F2D"/>
    <w:rsid w:val="00C745E7"/>
    <w:rsid w:val="00C74751"/>
    <w:rsid w:val="00C7489D"/>
    <w:rsid w:val="00C74ACC"/>
    <w:rsid w:val="00C7512D"/>
    <w:rsid w:val="00C759AD"/>
    <w:rsid w:val="00C769B2"/>
    <w:rsid w:val="00C76DF7"/>
    <w:rsid w:val="00C771B5"/>
    <w:rsid w:val="00C77D4D"/>
    <w:rsid w:val="00C80501"/>
    <w:rsid w:val="00C80B3F"/>
    <w:rsid w:val="00C80C3D"/>
    <w:rsid w:val="00C8287F"/>
    <w:rsid w:val="00C82C3B"/>
    <w:rsid w:val="00C82C46"/>
    <w:rsid w:val="00C82F37"/>
    <w:rsid w:val="00C83CD5"/>
    <w:rsid w:val="00C849F1"/>
    <w:rsid w:val="00C85DF6"/>
    <w:rsid w:val="00C866D4"/>
    <w:rsid w:val="00C875B4"/>
    <w:rsid w:val="00C90106"/>
    <w:rsid w:val="00C90950"/>
    <w:rsid w:val="00C92719"/>
    <w:rsid w:val="00C92A88"/>
    <w:rsid w:val="00C92B94"/>
    <w:rsid w:val="00C92BDE"/>
    <w:rsid w:val="00C92FF1"/>
    <w:rsid w:val="00C937EC"/>
    <w:rsid w:val="00C93838"/>
    <w:rsid w:val="00C9391E"/>
    <w:rsid w:val="00C93CE4"/>
    <w:rsid w:val="00C95507"/>
    <w:rsid w:val="00C955C6"/>
    <w:rsid w:val="00C96042"/>
    <w:rsid w:val="00C961E6"/>
    <w:rsid w:val="00C965EF"/>
    <w:rsid w:val="00C967DA"/>
    <w:rsid w:val="00C973A3"/>
    <w:rsid w:val="00CA0D7D"/>
    <w:rsid w:val="00CA1671"/>
    <w:rsid w:val="00CA2A74"/>
    <w:rsid w:val="00CA328A"/>
    <w:rsid w:val="00CA3A96"/>
    <w:rsid w:val="00CA3FF2"/>
    <w:rsid w:val="00CA4B22"/>
    <w:rsid w:val="00CA4DD9"/>
    <w:rsid w:val="00CA4DE3"/>
    <w:rsid w:val="00CA4E5D"/>
    <w:rsid w:val="00CA5002"/>
    <w:rsid w:val="00CA50A8"/>
    <w:rsid w:val="00CA6623"/>
    <w:rsid w:val="00CA6764"/>
    <w:rsid w:val="00CA697F"/>
    <w:rsid w:val="00CA70C1"/>
    <w:rsid w:val="00CA78A0"/>
    <w:rsid w:val="00CB0C59"/>
    <w:rsid w:val="00CB1053"/>
    <w:rsid w:val="00CB12A0"/>
    <w:rsid w:val="00CB2922"/>
    <w:rsid w:val="00CB2C0B"/>
    <w:rsid w:val="00CB2D25"/>
    <w:rsid w:val="00CB2F9D"/>
    <w:rsid w:val="00CB31CA"/>
    <w:rsid w:val="00CB39D2"/>
    <w:rsid w:val="00CB592E"/>
    <w:rsid w:val="00CB5FD5"/>
    <w:rsid w:val="00CB6A92"/>
    <w:rsid w:val="00CB6A95"/>
    <w:rsid w:val="00CB7CB6"/>
    <w:rsid w:val="00CC0493"/>
    <w:rsid w:val="00CC1861"/>
    <w:rsid w:val="00CC26A1"/>
    <w:rsid w:val="00CC28CC"/>
    <w:rsid w:val="00CC2910"/>
    <w:rsid w:val="00CC29B1"/>
    <w:rsid w:val="00CC2F3B"/>
    <w:rsid w:val="00CC3B26"/>
    <w:rsid w:val="00CC3F7D"/>
    <w:rsid w:val="00CC544E"/>
    <w:rsid w:val="00CC5563"/>
    <w:rsid w:val="00CC55F8"/>
    <w:rsid w:val="00CC575E"/>
    <w:rsid w:val="00CC69FD"/>
    <w:rsid w:val="00CC6F3B"/>
    <w:rsid w:val="00CD0DC6"/>
    <w:rsid w:val="00CD12F9"/>
    <w:rsid w:val="00CD1431"/>
    <w:rsid w:val="00CD3530"/>
    <w:rsid w:val="00CD3CE1"/>
    <w:rsid w:val="00CD4504"/>
    <w:rsid w:val="00CD471F"/>
    <w:rsid w:val="00CD5915"/>
    <w:rsid w:val="00CD5D56"/>
    <w:rsid w:val="00CD7527"/>
    <w:rsid w:val="00CD7E87"/>
    <w:rsid w:val="00CE0420"/>
    <w:rsid w:val="00CE0838"/>
    <w:rsid w:val="00CE181D"/>
    <w:rsid w:val="00CE2A54"/>
    <w:rsid w:val="00CE3BC5"/>
    <w:rsid w:val="00CE3BFE"/>
    <w:rsid w:val="00CE454B"/>
    <w:rsid w:val="00CE5719"/>
    <w:rsid w:val="00CE577F"/>
    <w:rsid w:val="00CE5C4C"/>
    <w:rsid w:val="00CE6F3C"/>
    <w:rsid w:val="00CE7028"/>
    <w:rsid w:val="00CE7193"/>
    <w:rsid w:val="00CE71CD"/>
    <w:rsid w:val="00CE757F"/>
    <w:rsid w:val="00CE7679"/>
    <w:rsid w:val="00CE7CD8"/>
    <w:rsid w:val="00CF1190"/>
    <w:rsid w:val="00CF1804"/>
    <w:rsid w:val="00CF19CF"/>
    <w:rsid w:val="00CF1F90"/>
    <w:rsid w:val="00CF2107"/>
    <w:rsid w:val="00CF2736"/>
    <w:rsid w:val="00CF2B00"/>
    <w:rsid w:val="00CF4529"/>
    <w:rsid w:val="00CF573F"/>
    <w:rsid w:val="00CF5AA0"/>
    <w:rsid w:val="00CF5D64"/>
    <w:rsid w:val="00CF5E53"/>
    <w:rsid w:val="00CF6022"/>
    <w:rsid w:val="00CF6758"/>
    <w:rsid w:val="00CF678F"/>
    <w:rsid w:val="00CF6D64"/>
    <w:rsid w:val="00CF72B5"/>
    <w:rsid w:val="00CF7DF6"/>
    <w:rsid w:val="00CF7DF7"/>
    <w:rsid w:val="00D0032B"/>
    <w:rsid w:val="00D004E0"/>
    <w:rsid w:val="00D008C8"/>
    <w:rsid w:val="00D00D3B"/>
    <w:rsid w:val="00D015F1"/>
    <w:rsid w:val="00D01AB7"/>
    <w:rsid w:val="00D0246E"/>
    <w:rsid w:val="00D03B9F"/>
    <w:rsid w:val="00D042BC"/>
    <w:rsid w:val="00D04352"/>
    <w:rsid w:val="00D047D4"/>
    <w:rsid w:val="00D04AAA"/>
    <w:rsid w:val="00D052FE"/>
    <w:rsid w:val="00D0547C"/>
    <w:rsid w:val="00D054E5"/>
    <w:rsid w:val="00D061B1"/>
    <w:rsid w:val="00D077A1"/>
    <w:rsid w:val="00D07B92"/>
    <w:rsid w:val="00D07D7A"/>
    <w:rsid w:val="00D102BA"/>
    <w:rsid w:val="00D10F00"/>
    <w:rsid w:val="00D10F3F"/>
    <w:rsid w:val="00D10FFB"/>
    <w:rsid w:val="00D11002"/>
    <w:rsid w:val="00D124F6"/>
    <w:rsid w:val="00D129AC"/>
    <w:rsid w:val="00D12A75"/>
    <w:rsid w:val="00D12F1E"/>
    <w:rsid w:val="00D131E4"/>
    <w:rsid w:val="00D1368A"/>
    <w:rsid w:val="00D13A31"/>
    <w:rsid w:val="00D13FE7"/>
    <w:rsid w:val="00D14219"/>
    <w:rsid w:val="00D14B20"/>
    <w:rsid w:val="00D15819"/>
    <w:rsid w:val="00D15A6B"/>
    <w:rsid w:val="00D16505"/>
    <w:rsid w:val="00D1685D"/>
    <w:rsid w:val="00D16B93"/>
    <w:rsid w:val="00D17454"/>
    <w:rsid w:val="00D208C0"/>
    <w:rsid w:val="00D209B6"/>
    <w:rsid w:val="00D20D3E"/>
    <w:rsid w:val="00D220AC"/>
    <w:rsid w:val="00D22DB2"/>
    <w:rsid w:val="00D23E11"/>
    <w:rsid w:val="00D265A8"/>
    <w:rsid w:val="00D2688D"/>
    <w:rsid w:val="00D26C4A"/>
    <w:rsid w:val="00D276B6"/>
    <w:rsid w:val="00D27725"/>
    <w:rsid w:val="00D303DB"/>
    <w:rsid w:val="00D3097D"/>
    <w:rsid w:val="00D32C74"/>
    <w:rsid w:val="00D3335A"/>
    <w:rsid w:val="00D33C92"/>
    <w:rsid w:val="00D34191"/>
    <w:rsid w:val="00D348A4"/>
    <w:rsid w:val="00D357B1"/>
    <w:rsid w:val="00D367E0"/>
    <w:rsid w:val="00D377BE"/>
    <w:rsid w:val="00D379F6"/>
    <w:rsid w:val="00D403D6"/>
    <w:rsid w:val="00D40AE3"/>
    <w:rsid w:val="00D40B30"/>
    <w:rsid w:val="00D416D3"/>
    <w:rsid w:val="00D423DE"/>
    <w:rsid w:val="00D43E4B"/>
    <w:rsid w:val="00D447E9"/>
    <w:rsid w:val="00D44817"/>
    <w:rsid w:val="00D44F06"/>
    <w:rsid w:val="00D45292"/>
    <w:rsid w:val="00D456F1"/>
    <w:rsid w:val="00D45A56"/>
    <w:rsid w:val="00D46440"/>
    <w:rsid w:val="00D46F1E"/>
    <w:rsid w:val="00D47C35"/>
    <w:rsid w:val="00D507A7"/>
    <w:rsid w:val="00D5091E"/>
    <w:rsid w:val="00D52CC0"/>
    <w:rsid w:val="00D53ED2"/>
    <w:rsid w:val="00D555AB"/>
    <w:rsid w:val="00D561D7"/>
    <w:rsid w:val="00D569BF"/>
    <w:rsid w:val="00D56C47"/>
    <w:rsid w:val="00D57375"/>
    <w:rsid w:val="00D57526"/>
    <w:rsid w:val="00D6019D"/>
    <w:rsid w:val="00D60E31"/>
    <w:rsid w:val="00D61F81"/>
    <w:rsid w:val="00D62720"/>
    <w:rsid w:val="00D62B02"/>
    <w:rsid w:val="00D63270"/>
    <w:rsid w:val="00D63589"/>
    <w:rsid w:val="00D64F10"/>
    <w:rsid w:val="00D650A9"/>
    <w:rsid w:val="00D66301"/>
    <w:rsid w:val="00D67901"/>
    <w:rsid w:val="00D679B0"/>
    <w:rsid w:val="00D70186"/>
    <w:rsid w:val="00D7090C"/>
    <w:rsid w:val="00D70C43"/>
    <w:rsid w:val="00D717C8"/>
    <w:rsid w:val="00D737D2"/>
    <w:rsid w:val="00D73E4B"/>
    <w:rsid w:val="00D73F0D"/>
    <w:rsid w:val="00D7421C"/>
    <w:rsid w:val="00D74377"/>
    <w:rsid w:val="00D745F9"/>
    <w:rsid w:val="00D75AD9"/>
    <w:rsid w:val="00D764FD"/>
    <w:rsid w:val="00D76B9C"/>
    <w:rsid w:val="00D7773E"/>
    <w:rsid w:val="00D778FA"/>
    <w:rsid w:val="00D77B29"/>
    <w:rsid w:val="00D77E14"/>
    <w:rsid w:val="00D80126"/>
    <w:rsid w:val="00D80540"/>
    <w:rsid w:val="00D80640"/>
    <w:rsid w:val="00D81DC6"/>
    <w:rsid w:val="00D8248C"/>
    <w:rsid w:val="00D82C9C"/>
    <w:rsid w:val="00D83C94"/>
    <w:rsid w:val="00D864BF"/>
    <w:rsid w:val="00D86531"/>
    <w:rsid w:val="00D869EE"/>
    <w:rsid w:val="00D87AC5"/>
    <w:rsid w:val="00D87C1C"/>
    <w:rsid w:val="00D91432"/>
    <w:rsid w:val="00D9159B"/>
    <w:rsid w:val="00D915BA"/>
    <w:rsid w:val="00D91921"/>
    <w:rsid w:val="00D9194E"/>
    <w:rsid w:val="00D919E6"/>
    <w:rsid w:val="00D9205A"/>
    <w:rsid w:val="00D932C4"/>
    <w:rsid w:val="00D934EA"/>
    <w:rsid w:val="00D936AE"/>
    <w:rsid w:val="00D9385E"/>
    <w:rsid w:val="00D93CAA"/>
    <w:rsid w:val="00D94624"/>
    <w:rsid w:val="00D946BA"/>
    <w:rsid w:val="00D95F17"/>
    <w:rsid w:val="00D96112"/>
    <w:rsid w:val="00D962ED"/>
    <w:rsid w:val="00D9636D"/>
    <w:rsid w:val="00D96400"/>
    <w:rsid w:val="00D973D6"/>
    <w:rsid w:val="00D97429"/>
    <w:rsid w:val="00D97544"/>
    <w:rsid w:val="00D975DB"/>
    <w:rsid w:val="00D97CDE"/>
    <w:rsid w:val="00DA0BBE"/>
    <w:rsid w:val="00DA1A01"/>
    <w:rsid w:val="00DA2A6F"/>
    <w:rsid w:val="00DA3F74"/>
    <w:rsid w:val="00DA44B7"/>
    <w:rsid w:val="00DA47DC"/>
    <w:rsid w:val="00DA6FF2"/>
    <w:rsid w:val="00DA7022"/>
    <w:rsid w:val="00DA7468"/>
    <w:rsid w:val="00DA75CD"/>
    <w:rsid w:val="00DA7BA1"/>
    <w:rsid w:val="00DB013C"/>
    <w:rsid w:val="00DB07D4"/>
    <w:rsid w:val="00DB0C3F"/>
    <w:rsid w:val="00DB13A5"/>
    <w:rsid w:val="00DB13E9"/>
    <w:rsid w:val="00DB1FA6"/>
    <w:rsid w:val="00DB27D6"/>
    <w:rsid w:val="00DB2864"/>
    <w:rsid w:val="00DB2FCD"/>
    <w:rsid w:val="00DB4B7A"/>
    <w:rsid w:val="00DB561A"/>
    <w:rsid w:val="00DB5695"/>
    <w:rsid w:val="00DB5D0D"/>
    <w:rsid w:val="00DB66A0"/>
    <w:rsid w:val="00DB6706"/>
    <w:rsid w:val="00DB6755"/>
    <w:rsid w:val="00DB70A1"/>
    <w:rsid w:val="00DB729E"/>
    <w:rsid w:val="00DB771D"/>
    <w:rsid w:val="00DB7B39"/>
    <w:rsid w:val="00DC00D6"/>
    <w:rsid w:val="00DC0871"/>
    <w:rsid w:val="00DC08BA"/>
    <w:rsid w:val="00DC0D80"/>
    <w:rsid w:val="00DC129A"/>
    <w:rsid w:val="00DC1679"/>
    <w:rsid w:val="00DC1C34"/>
    <w:rsid w:val="00DC1C8B"/>
    <w:rsid w:val="00DC23EB"/>
    <w:rsid w:val="00DC3771"/>
    <w:rsid w:val="00DC3F1B"/>
    <w:rsid w:val="00DC43C3"/>
    <w:rsid w:val="00DC45A7"/>
    <w:rsid w:val="00DC48E3"/>
    <w:rsid w:val="00DC4CAA"/>
    <w:rsid w:val="00DC5A7F"/>
    <w:rsid w:val="00DC6673"/>
    <w:rsid w:val="00DC7D3B"/>
    <w:rsid w:val="00DD08D3"/>
    <w:rsid w:val="00DD0A45"/>
    <w:rsid w:val="00DD0C07"/>
    <w:rsid w:val="00DD0E7F"/>
    <w:rsid w:val="00DD113F"/>
    <w:rsid w:val="00DD17CD"/>
    <w:rsid w:val="00DD1F53"/>
    <w:rsid w:val="00DD217E"/>
    <w:rsid w:val="00DD2DE4"/>
    <w:rsid w:val="00DD3DD7"/>
    <w:rsid w:val="00DD3E3C"/>
    <w:rsid w:val="00DD440E"/>
    <w:rsid w:val="00DD4D7F"/>
    <w:rsid w:val="00DD5260"/>
    <w:rsid w:val="00DD5505"/>
    <w:rsid w:val="00DD5E99"/>
    <w:rsid w:val="00DD6701"/>
    <w:rsid w:val="00DD6E88"/>
    <w:rsid w:val="00DD7CA4"/>
    <w:rsid w:val="00DE10B5"/>
    <w:rsid w:val="00DE1B89"/>
    <w:rsid w:val="00DE245D"/>
    <w:rsid w:val="00DE37BA"/>
    <w:rsid w:val="00DE39D8"/>
    <w:rsid w:val="00DE3A26"/>
    <w:rsid w:val="00DE44E1"/>
    <w:rsid w:val="00DE4765"/>
    <w:rsid w:val="00DE4B3E"/>
    <w:rsid w:val="00DE503A"/>
    <w:rsid w:val="00DE5052"/>
    <w:rsid w:val="00DE65E7"/>
    <w:rsid w:val="00DE66D3"/>
    <w:rsid w:val="00DE688A"/>
    <w:rsid w:val="00DE6A4B"/>
    <w:rsid w:val="00DE6BBE"/>
    <w:rsid w:val="00DE6E9C"/>
    <w:rsid w:val="00DF060B"/>
    <w:rsid w:val="00DF097B"/>
    <w:rsid w:val="00DF0CAA"/>
    <w:rsid w:val="00DF18F9"/>
    <w:rsid w:val="00DF1953"/>
    <w:rsid w:val="00DF1F4B"/>
    <w:rsid w:val="00DF22C8"/>
    <w:rsid w:val="00DF3C63"/>
    <w:rsid w:val="00DF3D4A"/>
    <w:rsid w:val="00DF3D56"/>
    <w:rsid w:val="00DF3E92"/>
    <w:rsid w:val="00DF3EE9"/>
    <w:rsid w:val="00DF44E7"/>
    <w:rsid w:val="00DF47A0"/>
    <w:rsid w:val="00DF5997"/>
    <w:rsid w:val="00DF5A17"/>
    <w:rsid w:val="00DF5B20"/>
    <w:rsid w:val="00DF5DA2"/>
    <w:rsid w:val="00DF65D5"/>
    <w:rsid w:val="00DF69AA"/>
    <w:rsid w:val="00DF6AC3"/>
    <w:rsid w:val="00DF6C56"/>
    <w:rsid w:val="00DF7887"/>
    <w:rsid w:val="00DF7EA5"/>
    <w:rsid w:val="00E0097F"/>
    <w:rsid w:val="00E011C7"/>
    <w:rsid w:val="00E0263B"/>
    <w:rsid w:val="00E034B7"/>
    <w:rsid w:val="00E03B56"/>
    <w:rsid w:val="00E03BE8"/>
    <w:rsid w:val="00E05854"/>
    <w:rsid w:val="00E05863"/>
    <w:rsid w:val="00E07100"/>
    <w:rsid w:val="00E07A32"/>
    <w:rsid w:val="00E07FEE"/>
    <w:rsid w:val="00E100F7"/>
    <w:rsid w:val="00E10564"/>
    <w:rsid w:val="00E1096F"/>
    <w:rsid w:val="00E128D7"/>
    <w:rsid w:val="00E13F99"/>
    <w:rsid w:val="00E14704"/>
    <w:rsid w:val="00E14A84"/>
    <w:rsid w:val="00E14D56"/>
    <w:rsid w:val="00E15F47"/>
    <w:rsid w:val="00E15F5C"/>
    <w:rsid w:val="00E15FCB"/>
    <w:rsid w:val="00E1645B"/>
    <w:rsid w:val="00E1766F"/>
    <w:rsid w:val="00E17D8F"/>
    <w:rsid w:val="00E20564"/>
    <w:rsid w:val="00E20683"/>
    <w:rsid w:val="00E212C8"/>
    <w:rsid w:val="00E212EF"/>
    <w:rsid w:val="00E213D0"/>
    <w:rsid w:val="00E21422"/>
    <w:rsid w:val="00E21C85"/>
    <w:rsid w:val="00E2368B"/>
    <w:rsid w:val="00E24E98"/>
    <w:rsid w:val="00E25401"/>
    <w:rsid w:val="00E25C1D"/>
    <w:rsid w:val="00E26016"/>
    <w:rsid w:val="00E26055"/>
    <w:rsid w:val="00E26653"/>
    <w:rsid w:val="00E26739"/>
    <w:rsid w:val="00E26A1E"/>
    <w:rsid w:val="00E27066"/>
    <w:rsid w:val="00E27166"/>
    <w:rsid w:val="00E274E3"/>
    <w:rsid w:val="00E27861"/>
    <w:rsid w:val="00E27D33"/>
    <w:rsid w:val="00E301C9"/>
    <w:rsid w:val="00E30577"/>
    <w:rsid w:val="00E313CD"/>
    <w:rsid w:val="00E316F1"/>
    <w:rsid w:val="00E320BA"/>
    <w:rsid w:val="00E322D7"/>
    <w:rsid w:val="00E32671"/>
    <w:rsid w:val="00E32E46"/>
    <w:rsid w:val="00E3403D"/>
    <w:rsid w:val="00E34DAC"/>
    <w:rsid w:val="00E34E81"/>
    <w:rsid w:val="00E35315"/>
    <w:rsid w:val="00E35D3D"/>
    <w:rsid w:val="00E367E9"/>
    <w:rsid w:val="00E36F7A"/>
    <w:rsid w:val="00E41C04"/>
    <w:rsid w:val="00E41EE9"/>
    <w:rsid w:val="00E42431"/>
    <w:rsid w:val="00E4245E"/>
    <w:rsid w:val="00E428CA"/>
    <w:rsid w:val="00E4419D"/>
    <w:rsid w:val="00E441B0"/>
    <w:rsid w:val="00E444B4"/>
    <w:rsid w:val="00E44641"/>
    <w:rsid w:val="00E44AF4"/>
    <w:rsid w:val="00E45151"/>
    <w:rsid w:val="00E4558D"/>
    <w:rsid w:val="00E4727B"/>
    <w:rsid w:val="00E475BD"/>
    <w:rsid w:val="00E47808"/>
    <w:rsid w:val="00E47984"/>
    <w:rsid w:val="00E47DC9"/>
    <w:rsid w:val="00E500AA"/>
    <w:rsid w:val="00E50B61"/>
    <w:rsid w:val="00E51F72"/>
    <w:rsid w:val="00E5210A"/>
    <w:rsid w:val="00E523D0"/>
    <w:rsid w:val="00E530FB"/>
    <w:rsid w:val="00E53210"/>
    <w:rsid w:val="00E533D4"/>
    <w:rsid w:val="00E53D06"/>
    <w:rsid w:val="00E54246"/>
    <w:rsid w:val="00E54851"/>
    <w:rsid w:val="00E56001"/>
    <w:rsid w:val="00E563A3"/>
    <w:rsid w:val="00E5672C"/>
    <w:rsid w:val="00E5693D"/>
    <w:rsid w:val="00E571DC"/>
    <w:rsid w:val="00E5753D"/>
    <w:rsid w:val="00E576B4"/>
    <w:rsid w:val="00E577D0"/>
    <w:rsid w:val="00E57F12"/>
    <w:rsid w:val="00E57F78"/>
    <w:rsid w:val="00E6058A"/>
    <w:rsid w:val="00E616B7"/>
    <w:rsid w:val="00E61E09"/>
    <w:rsid w:val="00E62C58"/>
    <w:rsid w:val="00E6439B"/>
    <w:rsid w:val="00E65031"/>
    <w:rsid w:val="00E661AD"/>
    <w:rsid w:val="00E665E7"/>
    <w:rsid w:val="00E67484"/>
    <w:rsid w:val="00E6785D"/>
    <w:rsid w:val="00E67887"/>
    <w:rsid w:val="00E714C0"/>
    <w:rsid w:val="00E73089"/>
    <w:rsid w:val="00E73C7C"/>
    <w:rsid w:val="00E73DBC"/>
    <w:rsid w:val="00E73EBB"/>
    <w:rsid w:val="00E74DC3"/>
    <w:rsid w:val="00E750E3"/>
    <w:rsid w:val="00E75AD3"/>
    <w:rsid w:val="00E75B51"/>
    <w:rsid w:val="00E75DC9"/>
    <w:rsid w:val="00E75ED1"/>
    <w:rsid w:val="00E760B9"/>
    <w:rsid w:val="00E761F6"/>
    <w:rsid w:val="00E768E1"/>
    <w:rsid w:val="00E76A1B"/>
    <w:rsid w:val="00E776C1"/>
    <w:rsid w:val="00E77925"/>
    <w:rsid w:val="00E77BDE"/>
    <w:rsid w:val="00E77FDE"/>
    <w:rsid w:val="00E802B2"/>
    <w:rsid w:val="00E803B3"/>
    <w:rsid w:val="00E80C3C"/>
    <w:rsid w:val="00E81225"/>
    <w:rsid w:val="00E8154D"/>
    <w:rsid w:val="00E81E0B"/>
    <w:rsid w:val="00E82476"/>
    <w:rsid w:val="00E8380F"/>
    <w:rsid w:val="00E839DB"/>
    <w:rsid w:val="00E83C77"/>
    <w:rsid w:val="00E8563F"/>
    <w:rsid w:val="00E85E08"/>
    <w:rsid w:val="00E8615F"/>
    <w:rsid w:val="00E87117"/>
    <w:rsid w:val="00E91661"/>
    <w:rsid w:val="00E91BE6"/>
    <w:rsid w:val="00E92202"/>
    <w:rsid w:val="00E92FE1"/>
    <w:rsid w:val="00E9366C"/>
    <w:rsid w:val="00E93A47"/>
    <w:rsid w:val="00E94E7A"/>
    <w:rsid w:val="00E95ED5"/>
    <w:rsid w:val="00E960CC"/>
    <w:rsid w:val="00E96D9F"/>
    <w:rsid w:val="00E96E2D"/>
    <w:rsid w:val="00E9759D"/>
    <w:rsid w:val="00E97BFF"/>
    <w:rsid w:val="00EA015E"/>
    <w:rsid w:val="00EA023C"/>
    <w:rsid w:val="00EA0291"/>
    <w:rsid w:val="00EA0D72"/>
    <w:rsid w:val="00EA1337"/>
    <w:rsid w:val="00EA1B36"/>
    <w:rsid w:val="00EA22AE"/>
    <w:rsid w:val="00EA2AF8"/>
    <w:rsid w:val="00EA2D3B"/>
    <w:rsid w:val="00EA3279"/>
    <w:rsid w:val="00EA33DE"/>
    <w:rsid w:val="00EA4407"/>
    <w:rsid w:val="00EA4D17"/>
    <w:rsid w:val="00EA73F1"/>
    <w:rsid w:val="00EA73FE"/>
    <w:rsid w:val="00EA7A6D"/>
    <w:rsid w:val="00EA7C87"/>
    <w:rsid w:val="00EB0065"/>
    <w:rsid w:val="00EB04C6"/>
    <w:rsid w:val="00EB057B"/>
    <w:rsid w:val="00EB083B"/>
    <w:rsid w:val="00EB13BF"/>
    <w:rsid w:val="00EB1763"/>
    <w:rsid w:val="00EB1BEB"/>
    <w:rsid w:val="00EB25D6"/>
    <w:rsid w:val="00EB38FF"/>
    <w:rsid w:val="00EB41BD"/>
    <w:rsid w:val="00EB44C7"/>
    <w:rsid w:val="00EB452C"/>
    <w:rsid w:val="00EB518E"/>
    <w:rsid w:val="00EB57AE"/>
    <w:rsid w:val="00EB5993"/>
    <w:rsid w:val="00EB632F"/>
    <w:rsid w:val="00EB6F9B"/>
    <w:rsid w:val="00EC0302"/>
    <w:rsid w:val="00EC0948"/>
    <w:rsid w:val="00EC0BE4"/>
    <w:rsid w:val="00EC0DD0"/>
    <w:rsid w:val="00EC1C1D"/>
    <w:rsid w:val="00EC1DD2"/>
    <w:rsid w:val="00EC25BC"/>
    <w:rsid w:val="00EC40FD"/>
    <w:rsid w:val="00EC6156"/>
    <w:rsid w:val="00EC7035"/>
    <w:rsid w:val="00ED1781"/>
    <w:rsid w:val="00ED2888"/>
    <w:rsid w:val="00ED2F5D"/>
    <w:rsid w:val="00ED37D2"/>
    <w:rsid w:val="00ED41E7"/>
    <w:rsid w:val="00ED4B07"/>
    <w:rsid w:val="00ED4EAF"/>
    <w:rsid w:val="00ED4F15"/>
    <w:rsid w:val="00ED5417"/>
    <w:rsid w:val="00ED691E"/>
    <w:rsid w:val="00ED6E7D"/>
    <w:rsid w:val="00ED7459"/>
    <w:rsid w:val="00EE04EF"/>
    <w:rsid w:val="00EE06AC"/>
    <w:rsid w:val="00EE0931"/>
    <w:rsid w:val="00EE19A4"/>
    <w:rsid w:val="00EE19DC"/>
    <w:rsid w:val="00EE1FC1"/>
    <w:rsid w:val="00EE2960"/>
    <w:rsid w:val="00EE31DA"/>
    <w:rsid w:val="00EE3200"/>
    <w:rsid w:val="00EE33FB"/>
    <w:rsid w:val="00EE3805"/>
    <w:rsid w:val="00EE4637"/>
    <w:rsid w:val="00EE586B"/>
    <w:rsid w:val="00EE6807"/>
    <w:rsid w:val="00EE6D8C"/>
    <w:rsid w:val="00EE6E80"/>
    <w:rsid w:val="00EE7410"/>
    <w:rsid w:val="00EE7DB0"/>
    <w:rsid w:val="00EF128E"/>
    <w:rsid w:val="00EF2D6E"/>
    <w:rsid w:val="00EF3609"/>
    <w:rsid w:val="00EF3CFA"/>
    <w:rsid w:val="00EF3D6D"/>
    <w:rsid w:val="00EF4351"/>
    <w:rsid w:val="00EF4543"/>
    <w:rsid w:val="00EF4F10"/>
    <w:rsid w:val="00EF6A8D"/>
    <w:rsid w:val="00EF7902"/>
    <w:rsid w:val="00EF7C40"/>
    <w:rsid w:val="00EF7EB1"/>
    <w:rsid w:val="00F00631"/>
    <w:rsid w:val="00F00709"/>
    <w:rsid w:val="00F0153A"/>
    <w:rsid w:val="00F01590"/>
    <w:rsid w:val="00F01DD7"/>
    <w:rsid w:val="00F01E2C"/>
    <w:rsid w:val="00F029EB"/>
    <w:rsid w:val="00F033E7"/>
    <w:rsid w:val="00F03EB4"/>
    <w:rsid w:val="00F0402A"/>
    <w:rsid w:val="00F049DD"/>
    <w:rsid w:val="00F049E8"/>
    <w:rsid w:val="00F066AD"/>
    <w:rsid w:val="00F06C57"/>
    <w:rsid w:val="00F07386"/>
    <w:rsid w:val="00F0762A"/>
    <w:rsid w:val="00F07CAD"/>
    <w:rsid w:val="00F07E0D"/>
    <w:rsid w:val="00F1084E"/>
    <w:rsid w:val="00F10F21"/>
    <w:rsid w:val="00F11743"/>
    <w:rsid w:val="00F11D81"/>
    <w:rsid w:val="00F13F74"/>
    <w:rsid w:val="00F146C8"/>
    <w:rsid w:val="00F14D5A"/>
    <w:rsid w:val="00F15C84"/>
    <w:rsid w:val="00F15CAF"/>
    <w:rsid w:val="00F15F31"/>
    <w:rsid w:val="00F15FA0"/>
    <w:rsid w:val="00F20760"/>
    <w:rsid w:val="00F208E8"/>
    <w:rsid w:val="00F20BBF"/>
    <w:rsid w:val="00F2137C"/>
    <w:rsid w:val="00F21A59"/>
    <w:rsid w:val="00F21B1C"/>
    <w:rsid w:val="00F22FF6"/>
    <w:rsid w:val="00F23342"/>
    <w:rsid w:val="00F23859"/>
    <w:rsid w:val="00F24C58"/>
    <w:rsid w:val="00F24F6F"/>
    <w:rsid w:val="00F25844"/>
    <w:rsid w:val="00F25993"/>
    <w:rsid w:val="00F25A9A"/>
    <w:rsid w:val="00F25C5B"/>
    <w:rsid w:val="00F25E2E"/>
    <w:rsid w:val="00F2637C"/>
    <w:rsid w:val="00F26992"/>
    <w:rsid w:val="00F26AF9"/>
    <w:rsid w:val="00F26B6F"/>
    <w:rsid w:val="00F271AC"/>
    <w:rsid w:val="00F27954"/>
    <w:rsid w:val="00F27B31"/>
    <w:rsid w:val="00F30178"/>
    <w:rsid w:val="00F30203"/>
    <w:rsid w:val="00F3088A"/>
    <w:rsid w:val="00F309D7"/>
    <w:rsid w:val="00F30B12"/>
    <w:rsid w:val="00F31BE5"/>
    <w:rsid w:val="00F31FC4"/>
    <w:rsid w:val="00F328A9"/>
    <w:rsid w:val="00F35902"/>
    <w:rsid w:val="00F35FC0"/>
    <w:rsid w:val="00F36535"/>
    <w:rsid w:val="00F369B7"/>
    <w:rsid w:val="00F36AE0"/>
    <w:rsid w:val="00F37189"/>
    <w:rsid w:val="00F37266"/>
    <w:rsid w:val="00F41D68"/>
    <w:rsid w:val="00F423ED"/>
    <w:rsid w:val="00F42D04"/>
    <w:rsid w:val="00F43271"/>
    <w:rsid w:val="00F4328D"/>
    <w:rsid w:val="00F432A2"/>
    <w:rsid w:val="00F444DB"/>
    <w:rsid w:val="00F44615"/>
    <w:rsid w:val="00F44DAE"/>
    <w:rsid w:val="00F44E03"/>
    <w:rsid w:val="00F45006"/>
    <w:rsid w:val="00F45108"/>
    <w:rsid w:val="00F45A27"/>
    <w:rsid w:val="00F47983"/>
    <w:rsid w:val="00F47B3A"/>
    <w:rsid w:val="00F47C99"/>
    <w:rsid w:val="00F503B1"/>
    <w:rsid w:val="00F50675"/>
    <w:rsid w:val="00F50D73"/>
    <w:rsid w:val="00F51052"/>
    <w:rsid w:val="00F51215"/>
    <w:rsid w:val="00F51C01"/>
    <w:rsid w:val="00F5230B"/>
    <w:rsid w:val="00F5251E"/>
    <w:rsid w:val="00F5317E"/>
    <w:rsid w:val="00F5368A"/>
    <w:rsid w:val="00F545A9"/>
    <w:rsid w:val="00F54A3F"/>
    <w:rsid w:val="00F54DD2"/>
    <w:rsid w:val="00F54FA1"/>
    <w:rsid w:val="00F5602B"/>
    <w:rsid w:val="00F560C7"/>
    <w:rsid w:val="00F5615F"/>
    <w:rsid w:val="00F56E65"/>
    <w:rsid w:val="00F56E8E"/>
    <w:rsid w:val="00F572D4"/>
    <w:rsid w:val="00F5762E"/>
    <w:rsid w:val="00F5779A"/>
    <w:rsid w:val="00F60421"/>
    <w:rsid w:val="00F60BF9"/>
    <w:rsid w:val="00F60DEE"/>
    <w:rsid w:val="00F613CA"/>
    <w:rsid w:val="00F61D98"/>
    <w:rsid w:val="00F621FD"/>
    <w:rsid w:val="00F622FB"/>
    <w:rsid w:val="00F629E2"/>
    <w:rsid w:val="00F636F4"/>
    <w:rsid w:val="00F64534"/>
    <w:rsid w:val="00F64ED9"/>
    <w:rsid w:val="00F653FE"/>
    <w:rsid w:val="00F65BF4"/>
    <w:rsid w:val="00F66E30"/>
    <w:rsid w:val="00F675AD"/>
    <w:rsid w:val="00F700CD"/>
    <w:rsid w:val="00F70751"/>
    <w:rsid w:val="00F709A1"/>
    <w:rsid w:val="00F70C70"/>
    <w:rsid w:val="00F71265"/>
    <w:rsid w:val="00F714F0"/>
    <w:rsid w:val="00F71BC9"/>
    <w:rsid w:val="00F71F1F"/>
    <w:rsid w:val="00F72703"/>
    <w:rsid w:val="00F73027"/>
    <w:rsid w:val="00F7343C"/>
    <w:rsid w:val="00F734EF"/>
    <w:rsid w:val="00F736CA"/>
    <w:rsid w:val="00F73C14"/>
    <w:rsid w:val="00F73D19"/>
    <w:rsid w:val="00F73D93"/>
    <w:rsid w:val="00F74133"/>
    <w:rsid w:val="00F744CD"/>
    <w:rsid w:val="00F74775"/>
    <w:rsid w:val="00F75446"/>
    <w:rsid w:val="00F7548D"/>
    <w:rsid w:val="00F7576B"/>
    <w:rsid w:val="00F75895"/>
    <w:rsid w:val="00F75F9C"/>
    <w:rsid w:val="00F763DB"/>
    <w:rsid w:val="00F76C87"/>
    <w:rsid w:val="00F76E25"/>
    <w:rsid w:val="00F77B03"/>
    <w:rsid w:val="00F807B8"/>
    <w:rsid w:val="00F81243"/>
    <w:rsid w:val="00F8160A"/>
    <w:rsid w:val="00F81BB9"/>
    <w:rsid w:val="00F81ECF"/>
    <w:rsid w:val="00F82120"/>
    <w:rsid w:val="00F82141"/>
    <w:rsid w:val="00F82414"/>
    <w:rsid w:val="00F83561"/>
    <w:rsid w:val="00F83991"/>
    <w:rsid w:val="00F83DC5"/>
    <w:rsid w:val="00F83F75"/>
    <w:rsid w:val="00F84122"/>
    <w:rsid w:val="00F850AC"/>
    <w:rsid w:val="00F8541C"/>
    <w:rsid w:val="00F85F85"/>
    <w:rsid w:val="00F86D4F"/>
    <w:rsid w:val="00F8722F"/>
    <w:rsid w:val="00F87822"/>
    <w:rsid w:val="00F87C07"/>
    <w:rsid w:val="00F90787"/>
    <w:rsid w:val="00F91230"/>
    <w:rsid w:val="00F9159F"/>
    <w:rsid w:val="00F91AB9"/>
    <w:rsid w:val="00F922A1"/>
    <w:rsid w:val="00F934A0"/>
    <w:rsid w:val="00F93511"/>
    <w:rsid w:val="00F93EF2"/>
    <w:rsid w:val="00F944B4"/>
    <w:rsid w:val="00F95E6B"/>
    <w:rsid w:val="00F95E91"/>
    <w:rsid w:val="00F95EF0"/>
    <w:rsid w:val="00F96058"/>
    <w:rsid w:val="00F9612E"/>
    <w:rsid w:val="00F966A4"/>
    <w:rsid w:val="00F9671A"/>
    <w:rsid w:val="00F96C3D"/>
    <w:rsid w:val="00F97575"/>
    <w:rsid w:val="00FA080D"/>
    <w:rsid w:val="00FA0923"/>
    <w:rsid w:val="00FA0AAB"/>
    <w:rsid w:val="00FA1220"/>
    <w:rsid w:val="00FA15C5"/>
    <w:rsid w:val="00FA190E"/>
    <w:rsid w:val="00FA19AF"/>
    <w:rsid w:val="00FA1B39"/>
    <w:rsid w:val="00FA20A3"/>
    <w:rsid w:val="00FA20DD"/>
    <w:rsid w:val="00FA26FF"/>
    <w:rsid w:val="00FA2944"/>
    <w:rsid w:val="00FA2C4C"/>
    <w:rsid w:val="00FA3211"/>
    <w:rsid w:val="00FA3975"/>
    <w:rsid w:val="00FA46DB"/>
    <w:rsid w:val="00FA4ACE"/>
    <w:rsid w:val="00FA5CE3"/>
    <w:rsid w:val="00FA668F"/>
    <w:rsid w:val="00FA6DC5"/>
    <w:rsid w:val="00FB0456"/>
    <w:rsid w:val="00FB05D9"/>
    <w:rsid w:val="00FB0C47"/>
    <w:rsid w:val="00FB1B1A"/>
    <w:rsid w:val="00FB23BE"/>
    <w:rsid w:val="00FB2446"/>
    <w:rsid w:val="00FB291A"/>
    <w:rsid w:val="00FB2F10"/>
    <w:rsid w:val="00FB383B"/>
    <w:rsid w:val="00FB3AD7"/>
    <w:rsid w:val="00FB3B8C"/>
    <w:rsid w:val="00FB3BBE"/>
    <w:rsid w:val="00FB40AD"/>
    <w:rsid w:val="00FB55D4"/>
    <w:rsid w:val="00FB5701"/>
    <w:rsid w:val="00FB637C"/>
    <w:rsid w:val="00FB6806"/>
    <w:rsid w:val="00FB6907"/>
    <w:rsid w:val="00FC19B4"/>
    <w:rsid w:val="00FC1FE0"/>
    <w:rsid w:val="00FC2230"/>
    <w:rsid w:val="00FC2260"/>
    <w:rsid w:val="00FC22BC"/>
    <w:rsid w:val="00FC244D"/>
    <w:rsid w:val="00FC27BE"/>
    <w:rsid w:val="00FC2DA3"/>
    <w:rsid w:val="00FC33D0"/>
    <w:rsid w:val="00FC356E"/>
    <w:rsid w:val="00FC3A5B"/>
    <w:rsid w:val="00FC3E64"/>
    <w:rsid w:val="00FC448E"/>
    <w:rsid w:val="00FC4864"/>
    <w:rsid w:val="00FC4A5F"/>
    <w:rsid w:val="00FC4FD5"/>
    <w:rsid w:val="00FC5F08"/>
    <w:rsid w:val="00FC6096"/>
    <w:rsid w:val="00FC6EDC"/>
    <w:rsid w:val="00FC71A4"/>
    <w:rsid w:val="00FC7BB4"/>
    <w:rsid w:val="00FC7F7D"/>
    <w:rsid w:val="00FD0070"/>
    <w:rsid w:val="00FD0FA7"/>
    <w:rsid w:val="00FD1232"/>
    <w:rsid w:val="00FD1F74"/>
    <w:rsid w:val="00FD2BA1"/>
    <w:rsid w:val="00FD2E92"/>
    <w:rsid w:val="00FD349A"/>
    <w:rsid w:val="00FD394C"/>
    <w:rsid w:val="00FD3E41"/>
    <w:rsid w:val="00FD4626"/>
    <w:rsid w:val="00FD4850"/>
    <w:rsid w:val="00FD5787"/>
    <w:rsid w:val="00FD5EED"/>
    <w:rsid w:val="00FD6B09"/>
    <w:rsid w:val="00FD7B0A"/>
    <w:rsid w:val="00FE039E"/>
    <w:rsid w:val="00FE0756"/>
    <w:rsid w:val="00FE07B9"/>
    <w:rsid w:val="00FE0A7D"/>
    <w:rsid w:val="00FE1BE0"/>
    <w:rsid w:val="00FE22E4"/>
    <w:rsid w:val="00FE239C"/>
    <w:rsid w:val="00FE269B"/>
    <w:rsid w:val="00FE272F"/>
    <w:rsid w:val="00FE2AAE"/>
    <w:rsid w:val="00FE31A0"/>
    <w:rsid w:val="00FE3F2E"/>
    <w:rsid w:val="00FE42B6"/>
    <w:rsid w:val="00FE4BB8"/>
    <w:rsid w:val="00FE4D93"/>
    <w:rsid w:val="00FE51BB"/>
    <w:rsid w:val="00FE563B"/>
    <w:rsid w:val="00FE5CB4"/>
    <w:rsid w:val="00FE63FA"/>
    <w:rsid w:val="00FE7089"/>
    <w:rsid w:val="00FE72A3"/>
    <w:rsid w:val="00FE7776"/>
    <w:rsid w:val="00FE7DCB"/>
    <w:rsid w:val="00FE7E7E"/>
    <w:rsid w:val="00FF05F5"/>
    <w:rsid w:val="00FF0C94"/>
    <w:rsid w:val="00FF0DA1"/>
    <w:rsid w:val="00FF0FDA"/>
    <w:rsid w:val="00FF199B"/>
    <w:rsid w:val="00FF23DC"/>
    <w:rsid w:val="00FF24A2"/>
    <w:rsid w:val="00FF2915"/>
    <w:rsid w:val="00FF3335"/>
    <w:rsid w:val="00FF336F"/>
    <w:rsid w:val="00FF4099"/>
    <w:rsid w:val="00FF4221"/>
    <w:rsid w:val="00FF450E"/>
    <w:rsid w:val="00FF4C81"/>
    <w:rsid w:val="00FF5245"/>
    <w:rsid w:val="00FF6146"/>
    <w:rsid w:val="00FF6681"/>
    <w:rsid w:val="00FF7CF3"/>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新細明體" w:hAnsi="Times New Roman" w:cs="Times New Roman"/>
        <w:lang w:val="en-US" w:eastAsia="zh-TW"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0"/>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annotation text" w:uiPriority="0"/>
    <w:lsdException w:name="caption" w:uiPriority="35" w:qFormat="1"/>
    <w:lsdException w:name="footnote reference" w:uiPriority="0"/>
    <w:lsdException w:name="page number" w:uiPriority="0"/>
    <w:lsdException w:name="Title" w:semiHidden="0" w:uiPriority="10" w:unhideWhenUsed="0" w:qFormat="1"/>
    <w:lsdException w:name="Closing" w:uiPriority="0"/>
    <w:lsdException w:name="Default Paragraph Font" w:uiPriority="1"/>
    <w:lsdException w:name="Body Text" w:uiPriority="0"/>
    <w:lsdException w:name="Body Text Indent" w:uiPriority="0"/>
    <w:lsdException w:name="Subtitle" w:semiHidden="0" w:uiPriority="11" w:unhideWhenUsed="0" w:qFormat="1"/>
    <w:lsdException w:name="Salutation" w:uiPriority="0"/>
    <w:lsdException w:name="Body Text Indent 2" w:uiPriority="0"/>
    <w:lsdException w:name="Body Text Indent 3" w:uiPriority="0"/>
    <w:lsdException w:name="Block Text" w:uiPriority="0"/>
    <w:lsdException w:name="Hyperlink" w:uiPriority="0"/>
    <w:lsdException w:name="FollowedHyperlink" w:uiPriority="0"/>
    <w:lsdException w:name="Strong" w:semiHidden="0" w:uiPriority="22" w:unhideWhenUsed="0" w:qFormat="1"/>
    <w:lsdException w:name="Emphasis" w:semiHidden="0" w:uiPriority="20" w:unhideWhenUsed="0" w:qFormat="1"/>
    <w:lsdException w:name="Document Map" w:uiPriority="0"/>
    <w:lsdException w:name="HTML Preformatted" w:uiPriority="0"/>
    <w:lsdException w:name="Balloon Text"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pPr>
      <w:widowControl w:val="0"/>
      <w:adjustRightInd w:val="0"/>
      <w:spacing w:line="372" w:lineRule="exact"/>
      <w:textAlignment w:val="center"/>
    </w:pPr>
    <w:rPr>
      <w:rFonts w:eastAsia="細明體"/>
    </w:rPr>
  </w:style>
  <w:style w:type="paragraph" w:styleId="11">
    <w:name w:val="heading 1"/>
    <w:basedOn w:val="a0"/>
    <w:link w:val="12"/>
    <w:uiPriority w:val="9"/>
    <w:qFormat/>
    <w:pPr>
      <w:widowControl/>
      <w:adjustRightInd/>
      <w:spacing w:before="100" w:beforeAutospacing="1" w:after="100" w:afterAutospacing="1" w:line="240" w:lineRule="auto"/>
      <w:textAlignment w:val="auto"/>
      <w:outlineLvl w:val="0"/>
    </w:pPr>
    <w:rPr>
      <w:rFonts w:ascii="Arial Unicode MS" w:eastAsia="Arial Unicode MS" w:hAnsi="Arial Unicode MS" w:cs="Arial Unicode MS"/>
      <w:b/>
      <w:bCs/>
      <w:kern w:val="36"/>
      <w:sz w:val="48"/>
      <w:szCs w:val="48"/>
    </w:rPr>
  </w:style>
  <w:style w:type="paragraph" w:styleId="21">
    <w:name w:val="heading 2"/>
    <w:basedOn w:val="a0"/>
    <w:next w:val="a0"/>
    <w:link w:val="22"/>
    <w:qFormat/>
    <w:rsid w:val="00286F49"/>
    <w:pPr>
      <w:keepNext/>
      <w:spacing w:after="240" w:line="720" w:lineRule="atLeast"/>
      <w:ind w:left="397"/>
      <w:textAlignment w:val="baseline"/>
      <w:outlineLvl w:val="1"/>
    </w:pPr>
    <w:rPr>
      <w:rFonts w:ascii="Book Antiqua" w:eastAsia="華康楷書體W5" w:hAnsi="Arial"/>
      <w:b/>
      <w:spacing w:val="10"/>
      <w:sz w:val="40"/>
    </w:rPr>
  </w:style>
  <w:style w:type="paragraph" w:styleId="3">
    <w:name w:val="heading 3"/>
    <w:basedOn w:val="a0"/>
    <w:next w:val="a0"/>
    <w:link w:val="30"/>
    <w:uiPriority w:val="9"/>
    <w:unhideWhenUsed/>
    <w:qFormat/>
    <w:rsid w:val="00E1645B"/>
    <w:pPr>
      <w:keepNext/>
      <w:spacing w:line="720" w:lineRule="atLeast"/>
      <w:outlineLvl w:val="2"/>
    </w:pPr>
    <w:rPr>
      <w:rFonts w:ascii="Cambria" w:eastAsia="新細明體" w:hAnsi="Cambria"/>
      <w:b/>
      <w:bCs/>
      <w:sz w:val="36"/>
      <w:szCs w:val="36"/>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customStyle="1" w:styleId="31">
    <w:name w:val="弟3行"/>
    <w:basedOn w:val="a0"/>
    <w:pPr>
      <w:spacing w:line="300" w:lineRule="exact"/>
    </w:pPr>
    <w:rPr>
      <w:rFonts w:eastAsia=".文鼎中楷"/>
      <w:sz w:val="36"/>
    </w:rPr>
  </w:style>
  <w:style w:type="paragraph" w:customStyle="1" w:styleId="a4">
    <w:name w:val="信內文"/>
    <w:basedOn w:val="31"/>
    <w:pPr>
      <w:spacing w:line="360" w:lineRule="auto"/>
    </w:pPr>
    <w:rPr>
      <w:rFonts w:ascii=".文鼎中楷"/>
      <w:spacing w:val="43"/>
    </w:rPr>
  </w:style>
  <w:style w:type="paragraph" w:styleId="a5">
    <w:name w:val="footer"/>
    <w:basedOn w:val="a0"/>
    <w:link w:val="a6"/>
    <w:uiPriority w:val="99"/>
    <w:pPr>
      <w:tabs>
        <w:tab w:val="center" w:pos="4153"/>
        <w:tab w:val="right" w:pos="8306"/>
      </w:tabs>
      <w:spacing w:line="360" w:lineRule="auto"/>
    </w:pPr>
    <w:rPr>
      <w:sz w:val="18"/>
    </w:rPr>
  </w:style>
  <w:style w:type="paragraph" w:styleId="a7">
    <w:name w:val="header"/>
    <w:basedOn w:val="a0"/>
    <w:link w:val="a8"/>
    <w:uiPriority w:val="99"/>
    <w:pPr>
      <w:tabs>
        <w:tab w:val="center" w:pos="4153"/>
        <w:tab w:val="right" w:pos="8306"/>
      </w:tabs>
    </w:pPr>
  </w:style>
  <w:style w:type="character" w:styleId="a9">
    <w:name w:val="page number"/>
    <w:rPr>
      <w:rFonts w:ascii="Times New Roman" w:hAnsi="Times New Roman" w:cs="Times New Roman"/>
    </w:rPr>
  </w:style>
  <w:style w:type="paragraph" w:customStyle="1" w:styleId="aa">
    <w:name w:val="主旨"/>
    <w:basedOn w:val="a0"/>
    <w:pPr>
      <w:spacing w:line="720" w:lineRule="exact"/>
      <w:ind w:left="1021" w:hanging="1021"/>
    </w:pPr>
    <w:rPr>
      <w:rFonts w:eastAsia=".文鼎中楷"/>
      <w:sz w:val="36"/>
    </w:rPr>
  </w:style>
  <w:style w:type="paragraph" w:customStyle="1" w:styleId="13">
    <w:name w:val="說明1"/>
    <w:basedOn w:val="aa"/>
  </w:style>
  <w:style w:type="paragraph" w:customStyle="1" w:styleId="ab">
    <w:name w:val="說明"/>
    <w:basedOn w:val="aa"/>
    <w:pPr>
      <w:ind w:left="1474" w:hanging="1474"/>
    </w:pPr>
  </w:style>
  <w:style w:type="paragraph" w:customStyle="1" w:styleId="ac">
    <w:name w:val="二"/>
    <w:basedOn w:val="ab"/>
    <w:pPr>
      <w:ind w:left="397" w:hanging="397"/>
    </w:pPr>
  </w:style>
  <w:style w:type="paragraph" w:customStyle="1" w:styleId="ad">
    <w:name w:val="(一)"/>
    <w:basedOn w:val="ac"/>
    <w:pPr>
      <w:ind w:left="794"/>
    </w:pPr>
  </w:style>
  <w:style w:type="paragraph" w:customStyle="1" w:styleId="ae">
    <w:name w:val="案由"/>
    <w:basedOn w:val="a0"/>
    <w:pPr>
      <w:spacing w:line="680" w:lineRule="exact"/>
      <w:ind w:left="1134" w:hanging="1134"/>
      <w:jc w:val="both"/>
    </w:pPr>
    <w:rPr>
      <w:rFonts w:ascii="華康中楷體" w:eastAsia="華康中楷體"/>
      <w:spacing w:val="16"/>
      <w:sz w:val="36"/>
    </w:rPr>
  </w:style>
  <w:style w:type="paragraph" w:customStyle="1" w:styleId="af">
    <w:name w:val="二、"/>
    <w:basedOn w:val="a0"/>
    <w:pPr>
      <w:spacing w:line="680" w:lineRule="exact"/>
      <w:ind w:left="1560" w:hanging="426"/>
      <w:jc w:val="both"/>
    </w:pPr>
    <w:rPr>
      <w:rFonts w:ascii="華康中楷體" w:eastAsia="華康中楷體"/>
      <w:spacing w:val="16"/>
      <w:sz w:val="36"/>
    </w:rPr>
  </w:style>
  <w:style w:type="paragraph" w:customStyle="1" w:styleId="14">
    <w:name w:val="本文縮排1"/>
    <w:basedOn w:val="a0"/>
    <w:pPr>
      <w:spacing w:line="680" w:lineRule="exact"/>
      <w:ind w:left="2002" w:hanging="420"/>
      <w:jc w:val="both"/>
      <w:textDirection w:val="lrTbV"/>
    </w:pPr>
    <w:rPr>
      <w:rFonts w:ascii="華康楷書體W5" w:eastAsia="華康楷書體W5"/>
      <w:spacing w:val="16"/>
      <w:sz w:val="36"/>
    </w:rPr>
  </w:style>
  <w:style w:type="paragraph" w:styleId="23">
    <w:name w:val="Body Text Indent 2"/>
    <w:basedOn w:val="a0"/>
    <w:pPr>
      <w:spacing w:line="640" w:lineRule="exact"/>
      <w:ind w:left="1120"/>
      <w:jc w:val="both"/>
      <w:textDirection w:val="lrTbV"/>
    </w:pPr>
    <w:rPr>
      <w:rFonts w:ascii="華康楷書體W5" w:eastAsia="華康楷書體W5"/>
      <w:spacing w:val="16"/>
      <w:sz w:val="36"/>
    </w:rPr>
  </w:style>
  <w:style w:type="paragraph" w:styleId="32">
    <w:name w:val="Body Text Indent 3"/>
    <w:basedOn w:val="a0"/>
    <w:pPr>
      <w:spacing w:line="680" w:lineRule="exact"/>
      <w:ind w:left="1134"/>
      <w:jc w:val="both"/>
      <w:textDirection w:val="lrTbV"/>
    </w:pPr>
    <w:rPr>
      <w:rFonts w:ascii="華康楷書體W5" w:eastAsia="華康楷書體W5"/>
      <w:spacing w:val="16"/>
      <w:sz w:val="36"/>
    </w:rPr>
  </w:style>
  <w:style w:type="paragraph" w:styleId="af0">
    <w:name w:val="Block Text"/>
    <w:basedOn w:val="a0"/>
    <w:pPr>
      <w:spacing w:line="680" w:lineRule="exact"/>
      <w:ind w:left="1596" w:right="-20" w:hanging="1596"/>
      <w:jc w:val="both"/>
      <w:textDirection w:val="lrTbV"/>
    </w:pPr>
    <w:rPr>
      <w:rFonts w:ascii="華康楷書體W5" w:eastAsia="華康楷書體W5"/>
      <w:spacing w:val="10"/>
      <w:sz w:val="36"/>
    </w:rPr>
  </w:style>
  <w:style w:type="paragraph" w:customStyle="1" w:styleId="BodyTextIndent31">
    <w:name w:val="Body Text Indent 31"/>
    <w:basedOn w:val="a0"/>
    <w:pPr>
      <w:autoSpaceDE w:val="0"/>
      <w:autoSpaceDN w:val="0"/>
      <w:spacing w:line="420" w:lineRule="exact"/>
      <w:ind w:left="624" w:hanging="624"/>
      <w:jc w:val="both"/>
      <w:textDirection w:val="lrTbV"/>
      <w:textAlignment w:val="baseline"/>
    </w:pPr>
    <w:rPr>
      <w:rFonts w:ascii="標楷體" w:eastAsia="標楷體"/>
      <w:sz w:val="32"/>
    </w:rPr>
  </w:style>
  <w:style w:type="paragraph" w:customStyle="1" w:styleId="af1">
    <w:name w:val="一、"/>
    <w:basedOn w:val="a0"/>
    <w:pPr>
      <w:spacing w:line="680" w:lineRule="exact"/>
      <w:ind w:left="425" w:hanging="425"/>
      <w:jc w:val="both"/>
    </w:pPr>
    <w:rPr>
      <w:rFonts w:ascii="華康楷書體W5" w:eastAsia="華康楷書體W5"/>
      <w:spacing w:val="16"/>
      <w:sz w:val="36"/>
    </w:rPr>
  </w:style>
  <w:style w:type="paragraph" w:styleId="Web">
    <w:name w:val="Normal (Web)"/>
    <w:basedOn w:val="a0"/>
    <w:uiPriority w:val="99"/>
    <w:pPr>
      <w:widowControl/>
      <w:adjustRightInd/>
      <w:spacing w:before="100" w:beforeAutospacing="1" w:after="100" w:afterAutospacing="1" w:line="240" w:lineRule="auto"/>
      <w:textAlignment w:val="auto"/>
    </w:pPr>
    <w:rPr>
      <w:rFonts w:ascii="Arial Unicode MS" w:eastAsia="Arial Unicode MS" w:hAnsi="Arial Unicode MS"/>
      <w:sz w:val="24"/>
      <w:szCs w:val="24"/>
    </w:rPr>
  </w:style>
  <w:style w:type="paragraph" w:customStyle="1" w:styleId="bodytextindent310">
    <w:name w:val="bodytextindent31"/>
    <w:basedOn w:val="a0"/>
    <w:pPr>
      <w:widowControl/>
      <w:adjustRightInd/>
      <w:spacing w:before="100" w:beforeAutospacing="1" w:after="100" w:afterAutospacing="1" w:line="240" w:lineRule="auto"/>
      <w:textAlignment w:val="auto"/>
    </w:pPr>
    <w:rPr>
      <w:rFonts w:ascii="Arial Unicode MS" w:eastAsia="Arial Unicode MS" w:hAnsi="Arial Unicode MS"/>
      <w:sz w:val="24"/>
      <w:szCs w:val="24"/>
    </w:rPr>
  </w:style>
  <w:style w:type="paragraph" w:styleId="af2">
    <w:name w:val="Plain Text"/>
    <w:basedOn w:val="a0"/>
    <w:semiHidden/>
    <w:pPr>
      <w:widowControl/>
      <w:adjustRightInd/>
      <w:spacing w:before="100" w:beforeAutospacing="1" w:after="100" w:afterAutospacing="1" w:line="240" w:lineRule="auto"/>
      <w:textAlignment w:val="auto"/>
    </w:pPr>
    <w:rPr>
      <w:rFonts w:ascii="Arial Unicode MS" w:eastAsia="Arial Unicode MS" w:hAnsi="Arial Unicode MS"/>
      <w:sz w:val="24"/>
      <w:szCs w:val="24"/>
    </w:rPr>
  </w:style>
  <w:style w:type="paragraph" w:customStyle="1" w:styleId="bodytextindent3100">
    <w:name w:val="bodytextindent310"/>
    <w:basedOn w:val="a0"/>
    <w:pPr>
      <w:widowControl/>
      <w:adjustRightInd/>
      <w:spacing w:before="100" w:beforeAutospacing="1" w:after="100" w:afterAutospacing="1" w:line="240" w:lineRule="auto"/>
      <w:textAlignment w:val="auto"/>
    </w:pPr>
    <w:rPr>
      <w:rFonts w:ascii="Arial Unicode MS" w:eastAsia="Arial Unicode MS" w:hAnsi="Arial Unicode MS"/>
      <w:sz w:val="24"/>
      <w:szCs w:val="24"/>
    </w:rPr>
  </w:style>
  <w:style w:type="paragraph" w:styleId="af3">
    <w:name w:val="Body Text"/>
    <w:basedOn w:val="a0"/>
    <w:link w:val="af4"/>
    <w:pPr>
      <w:spacing w:before="50" w:line="560" w:lineRule="exact"/>
    </w:pPr>
    <w:rPr>
      <w:rFonts w:eastAsia="標楷體"/>
      <w:sz w:val="32"/>
    </w:rPr>
  </w:style>
  <w:style w:type="paragraph" w:styleId="HTML">
    <w:name w:val="HTML Preformatted"/>
    <w:basedOn w:val="a0"/>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spacing w:line="240" w:lineRule="auto"/>
      <w:textAlignment w:val="auto"/>
    </w:pPr>
    <w:rPr>
      <w:rFonts w:ascii="Arial Unicode MS" w:eastAsia="Arial Unicode MS" w:hAnsi="Arial Unicode MS"/>
    </w:rPr>
  </w:style>
  <w:style w:type="character" w:styleId="af5">
    <w:name w:val="Emphasis"/>
    <w:uiPriority w:val="20"/>
    <w:qFormat/>
    <w:rPr>
      <w:rFonts w:ascii="Times New Roman" w:hAnsi="Times New Roman" w:cs="Times New Roman"/>
      <w:color w:val="CC0033"/>
    </w:rPr>
  </w:style>
  <w:style w:type="character" w:styleId="af6">
    <w:name w:val="annotation reference"/>
    <w:semiHidden/>
    <w:rPr>
      <w:rFonts w:ascii="Times New Roman" w:hAnsi="Times New Roman" w:cs="Times New Roman"/>
      <w:sz w:val="18"/>
      <w:szCs w:val="18"/>
    </w:rPr>
  </w:style>
  <w:style w:type="paragraph" w:styleId="af7">
    <w:name w:val="annotation text"/>
    <w:basedOn w:val="a0"/>
    <w:link w:val="af8"/>
    <w:semiHidden/>
    <w:pPr>
      <w:adjustRightInd/>
      <w:spacing w:line="560" w:lineRule="exact"/>
      <w:textAlignment w:val="auto"/>
    </w:pPr>
    <w:rPr>
      <w:rFonts w:eastAsia="標楷體"/>
      <w:kern w:val="2"/>
      <w:sz w:val="32"/>
      <w:szCs w:val="24"/>
    </w:rPr>
  </w:style>
  <w:style w:type="character" w:customStyle="1" w:styleId="highlight">
    <w:name w:val="highlight"/>
    <w:rPr>
      <w:rFonts w:ascii="Times New Roman" w:hAnsi="Times New Roman" w:cs="Times New Roman"/>
    </w:rPr>
  </w:style>
  <w:style w:type="character" w:styleId="af9">
    <w:name w:val="Strong"/>
    <w:qFormat/>
    <w:rPr>
      <w:rFonts w:ascii="Times New Roman" w:hAnsi="Times New Roman" w:cs="Times New Roman"/>
      <w:b/>
      <w:bCs/>
    </w:rPr>
  </w:style>
  <w:style w:type="paragraph" w:customStyle="1" w:styleId="a">
    <w:name w:val="一"/>
    <w:basedOn w:val="a0"/>
    <w:pPr>
      <w:numPr>
        <w:numId w:val="18"/>
      </w:numPr>
      <w:tabs>
        <w:tab w:val="left" w:leader="hyphen" w:pos="3402"/>
        <w:tab w:val="left" w:leader="hyphen" w:pos="6804"/>
        <w:tab w:val="left" w:leader="hyphen" w:pos="10206"/>
        <w:tab w:val="left" w:leader="hyphen" w:pos="13608"/>
      </w:tabs>
      <w:spacing w:before="50" w:line="560" w:lineRule="exact"/>
      <w:jc w:val="both"/>
      <w:textAlignment w:val="baseline"/>
    </w:pPr>
    <w:rPr>
      <w:rFonts w:eastAsia="標楷體"/>
      <w:spacing w:val="-10"/>
      <w:sz w:val="32"/>
      <w:szCs w:val="32"/>
    </w:rPr>
  </w:style>
  <w:style w:type="paragraph" w:customStyle="1" w:styleId="15">
    <w:name w:val="1"/>
    <w:basedOn w:val="ad"/>
    <w:pPr>
      <w:tabs>
        <w:tab w:val="left" w:leader="hyphen" w:pos="3402"/>
        <w:tab w:val="left" w:leader="hyphen" w:pos="6804"/>
        <w:tab w:val="left" w:leader="hyphen" w:pos="10206"/>
        <w:tab w:val="left" w:leader="hyphen" w:pos="13608"/>
      </w:tabs>
      <w:spacing w:before="50" w:line="240" w:lineRule="auto"/>
      <w:ind w:left="1440" w:hanging="540"/>
      <w:jc w:val="both"/>
      <w:textAlignment w:val="baseline"/>
    </w:pPr>
    <w:rPr>
      <w:rFonts w:eastAsia="標楷體"/>
      <w:spacing w:val="-22"/>
      <w:sz w:val="32"/>
      <w:szCs w:val="32"/>
    </w:rPr>
  </w:style>
  <w:style w:type="paragraph" w:styleId="afa">
    <w:name w:val="Body Text Indent"/>
    <w:basedOn w:val="a0"/>
    <w:pPr>
      <w:spacing w:before="100" w:line="540" w:lineRule="exact"/>
      <w:ind w:left="620"/>
      <w:jc w:val="both"/>
    </w:pPr>
    <w:rPr>
      <w:rFonts w:eastAsia="標楷體"/>
      <w:sz w:val="32"/>
    </w:rPr>
  </w:style>
  <w:style w:type="character" w:customStyle="1" w:styleId="cpt2">
    <w:name w:val="cpt2"/>
    <w:basedOn w:val="a1"/>
  </w:style>
  <w:style w:type="paragraph" w:customStyle="1" w:styleId="Default">
    <w:name w:val="Default"/>
    <w:uiPriority w:val="99"/>
    <w:pPr>
      <w:widowControl w:val="0"/>
      <w:autoSpaceDE w:val="0"/>
      <w:autoSpaceDN w:val="0"/>
      <w:adjustRightInd w:val="0"/>
    </w:pPr>
    <w:rPr>
      <w:rFonts w:ascii="標楷體" w:eastAsia="標楷體"/>
      <w:color w:val="000000"/>
      <w:sz w:val="24"/>
      <w:szCs w:val="24"/>
    </w:rPr>
  </w:style>
  <w:style w:type="character" w:customStyle="1" w:styleId="boldtitle1">
    <w:name w:val="boldtitle1"/>
    <w:rPr>
      <w:b/>
      <w:bCs/>
    </w:rPr>
  </w:style>
  <w:style w:type="paragraph" w:styleId="afb">
    <w:name w:val="footnote text"/>
    <w:basedOn w:val="a0"/>
    <w:link w:val="afc"/>
    <w:pPr>
      <w:adjustRightInd/>
      <w:snapToGrid w:val="0"/>
      <w:spacing w:line="240" w:lineRule="auto"/>
      <w:textAlignment w:val="auto"/>
    </w:pPr>
    <w:rPr>
      <w:rFonts w:eastAsia="新細明體"/>
      <w:kern w:val="2"/>
    </w:rPr>
  </w:style>
  <w:style w:type="character" w:styleId="afd">
    <w:name w:val="footnote reference"/>
    <w:rPr>
      <w:vertAlign w:val="superscript"/>
    </w:rPr>
  </w:style>
  <w:style w:type="paragraph" w:styleId="afe">
    <w:name w:val="annotation subject"/>
    <w:basedOn w:val="af7"/>
    <w:next w:val="af7"/>
    <w:link w:val="aff"/>
    <w:uiPriority w:val="99"/>
    <w:semiHidden/>
    <w:unhideWhenUsed/>
    <w:rsid w:val="001A5E2D"/>
    <w:pPr>
      <w:adjustRightInd w:val="0"/>
      <w:spacing w:line="372" w:lineRule="exact"/>
      <w:textAlignment w:val="center"/>
    </w:pPr>
    <w:rPr>
      <w:rFonts w:eastAsia="細明體"/>
      <w:b/>
      <w:bCs/>
      <w:kern w:val="0"/>
      <w:sz w:val="20"/>
      <w:szCs w:val="20"/>
    </w:rPr>
  </w:style>
  <w:style w:type="character" w:customStyle="1" w:styleId="af8">
    <w:name w:val="註解文字 字元"/>
    <w:link w:val="af7"/>
    <w:semiHidden/>
    <w:rsid w:val="001A5E2D"/>
    <w:rPr>
      <w:rFonts w:eastAsia="標楷體"/>
      <w:kern w:val="2"/>
      <w:sz w:val="32"/>
      <w:szCs w:val="24"/>
    </w:rPr>
  </w:style>
  <w:style w:type="character" w:customStyle="1" w:styleId="aff">
    <w:name w:val="註解主旨 字元"/>
    <w:link w:val="afe"/>
    <w:uiPriority w:val="99"/>
    <w:semiHidden/>
    <w:rsid w:val="001A5E2D"/>
    <w:rPr>
      <w:rFonts w:eastAsia="細明體"/>
      <w:b/>
      <w:bCs/>
      <w:kern w:val="2"/>
      <w:sz w:val="32"/>
      <w:szCs w:val="24"/>
    </w:rPr>
  </w:style>
  <w:style w:type="paragraph" w:styleId="aff0">
    <w:name w:val="Balloon Text"/>
    <w:basedOn w:val="a0"/>
    <w:link w:val="aff1"/>
    <w:unhideWhenUsed/>
    <w:rsid w:val="001A5E2D"/>
    <w:pPr>
      <w:spacing w:line="240" w:lineRule="auto"/>
    </w:pPr>
    <w:rPr>
      <w:rFonts w:ascii="Cambria" w:eastAsia="新細明體" w:hAnsi="Cambria"/>
      <w:sz w:val="18"/>
      <w:szCs w:val="18"/>
    </w:rPr>
  </w:style>
  <w:style w:type="character" w:customStyle="1" w:styleId="aff1">
    <w:name w:val="註解方塊文字 字元"/>
    <w:link w:val="aff0"/>
    <w:rsid w:val="001A5E2D"/>
    <w:rPr>
      <w:rFonts w:ascii="Cambria" w:eastAsia="新細明體" w:hAnsi="Cambria" w:cs="Times New Roman"/>
      <w:sz w:val="18"/>
      <w:szCs w:val="18"/>
    </w:rPr>
  </w:style>
  <w:style w:type="character" w:customStyle="1" w:styleId="30">
    <w:name w:val="標題 3 字元"/>
    <w:link w:val="3"/>
    <w:uiPriority w:val="9"/>
    <w:semiHidden/>
    <w:rsid w:val="00E1645B"/>
    <w:rPr>
      <w:rFonts w:ascii="Cambria" w:eastAsia="新細明體" w:hAnsi="Cambria" w:cs="Times New Roman"/>
      <w:b/>
      <w:bCs/>
      <w:sz w:val="36"/>
      <w:szCs w:val="36"/>
    </w:rPr>
  </w:style>
  <w:style w:type="character" w:customStyle="1" w:styleId="st1">
    <w:name w:val="st1"/>
    <w:rsid w:val="002B4F91"/>
  </w:style>
  <w:style w:type="character" w:customStyle="1" w:styleId="22">
    <w:name w:val="標題 2 字元"/>
    <w:link w:val="21"/>
    <w:rsid w:val="00286F49"/>
    <w:rPr>
      <w:rFonts w:ascii="Book Antiqua" w:eastAsia="華康楷書體W5" w:hAnsi="Arial"/>
      <w:b/>
      <w:spacing w:val="10"/>
      <w:sz w:val="40"/>
    </w:rPr>
  </w:style>
  <w:style w:type="paragraph" w:customStyle="1" w:styleId="aff2">
    <w:name w:val="表附註"/>
    <w:basedOn w:val="24"/>
    <w:rsid w:val="00286F49"/>
    <w:pPr>
      <w:spacing w:after="0" w:line="240" w:lineRule="atLeast"/>
      <w:ind w:left="0"/>
    </w:pPr>
    <w:rPr>
      <w:spacing w:val="0"/>
      <w:sz w:val="24"/>
    </w:rPr>
  </w:style>
  <w:style w:type="paragraph" w:customStyle="1" w:styleId="24">
    <w:name w:val="內文2"/>
    <w:basedOn w:val="a0"/>
    <w:rsid w:val="00286F49"/>
    <w:pPr>
      <w:spacing w:before="120" w:after="120" w:line="324" w:lineRule="auto"/>
      <w:ind w:left="1134"/>
      <w:jc w:val="both"/>
      <w:textAlignment w:val="baseline"/>
    </w:pPr>
    <w:rPr>
      <w:rFonts w:ascii="Book Antiqua" w:eastAsia="華康楷書體W5"/>
      <w:spacing w:val="10"/>
      <w:sz w:val="36"/>
    </w:rPr>
  </w:style>
  <w:style w:type="paragraph" w:customStyle="1" w:styleId="16">
    <w:name w:val="內文1"/>
    <w:basedOn w:val="a0"/>
    <w:rsid w:val="00286F49"/>
    <w:pPr>
      <w:spacing w:before="120" w:after="120" w:line="360" w:lineRule="auto"/>
      <w:ind w:left="964" w:firstLine="397"/>
      <w:jc w:val="both"/>
      <w:textAlignment w:val="baseline"/>
    </w:pPr>
    <w:rPr>
      <w:rFonts w:ascii="Book Antiqua" w:eastAsia="華康中楷體"/>
      <w:spacing w:val="10"/>
      <w:sz w:val="36"/>
    </w:rPr>
  </w:style>
  <w:style w:type="paragraph" w:customStyle="1" w:styleId="33">
    <w:name w:val="內文3"/>
    <w:basedOn w:val="16"/>
    <w:rsid w:val="00286F49"/>
    <w:pPr>
      <w:ind w:left="2042" w:hanging="1021"/>
    </w:pPr>
    <w:rPr>
      <w:rFonts w:eastAsia="華康楷書體W5"/>
    </w:rPr>
  </w:style>
  <w:style w:type="paragraph" w:customStyle="1" w:styleId="4">
    <w:name w:val="內文4"/>
    <w:basedOn w:val="33"/>
    <w:rsid w:val="00286F49"/>
    <w:pPr>
      <w:spacing w:line="680" w:lineRule="exact"/>
      <w:ind w:left="1645" w:hanging="624"/>
    </w:pPr>
  </w:style>
  <w:style w:type="paragraph" w:customStyle="1" w:styleId="5">
    <w:name w:val="內文5"/>
    <w:basedOn w:val="33"/>
    <w:rsid w:val="00286F49"/>
    <w:pPr>
      <w:spacing w:before="240"/>
      <w:ind w:left="1305" w:hanging="284"/>
    </w:pPr>
  </w:style>
  <w:style w:type="paragraph" w:customStyle="1" w:styleId="40">
    <w:name w:val="標題4"/>
    <w:basedOn w:val="3"/>
    <w:rsid w:val="00286F49"/>
    <w:pPr>
      <w:spacing w:before="120" w:after="360"/>
      <w:textAlignment w:val="baseline"/>
      <w:outlineLvl w:val="9"/>
    </w:pPr>
    <w:rPr>
      <w:rFonts w:ascii="Arial" w:eastAsia="華康楷書體W5" w:hAnsi="Arial"/>
      <w:bCs w:val="0"/>
      <w:spacing w:val="10"/>
      <w:sz w:val="40"/>
      <w:szCs w:val="20"/>
    </w:rPr>
  </w:style>
  <w:style w:type="paragraph" w:customStyle="1" w:styleId="6">
    <w:name w:val="內文6"/>
    <w:basedOn w:val="16"/>
    <w:rsid w:val="00286F49"/>
    <w:pPr>
      <w:spacing w:line="680" w:lineRule="exact"/>
      <w:ind w:left="567" w:firstLine="680"/>
    </w:pPr>
    <w:rPr>
      <w:rFonts w:eastAsia="華康楷書體W5"/>
    </w:rPr>
  </w:style>
  <w:style w:type="paragraph" w:customStyle="1" w:styleId="50">
    <w:name w:val="標題5"/>
    <w:basedOn w:val="40"/>
    <w:rsid w:val="00286F49"/>
    <w:pPr>
      <w:ind w:left="567"/>
    </w:pPr>
    <w:rPr>
      <w:rFonts w:ascii="Book Antiqua"/>
      <w:b w:val="0"/>
      <w:sz w:val="32"/>
    </w:rPr>
  </w:style>
  <w:style w:type="paragraph" w:customStyle="1" w:styleId="7">
    <w:name w:val="內文7"/>
    <w:basedOn w:val="4"/>
    <w:rsid w:val="00286F49"/>
    <w:pPr>
      <w:ind w:left="2211" w:hanging="964"/>
    </w:pPr>
  </w:style>
  <w:style w:type="paragraph" w:customStyle="1" w:styleId="60">
    <w:name w:val="標題6"/>
    <w:basedOn w:val="50"/>
    <w:rsid w:val="00286F49"/>
    <w:rPr>
      <w:b/>
    </w:rPr>
  </w:style>
  <w:style w:type="paragraph" w:customStyle="1" w:styleId="70">
    <w:name w:val="標題7"/>
    <w:basedOn w:val="3"/>
    <w:rsid w:val="00286F49"/>
    <w:pPr>
      <w:spacing w:before="120" w:after="360"/>
      <w:ind w:left="794" w:hanging="1247"/>
      <w:jc w:val="both"/>
      <w:textAlignment w:val="baseline"/>
      <w:outlineLvl w:val="9"/>
    </w:pPr>
    <w:rPr>
      <w:rFonts w:ascii="Arial" w:eastAsia="華康楷書體W5" w:hAnsi="Arial"/>
      <w:b w:val="0"/>
      <w:bCs w:val="0"/>
      <w:spacing w:val="10"/>
      <w:szCs w:val="20"/>
    </w:rPr>
  </w:style>
  <w:style w:type="paragraph" w:customStyle="1" w:styleId="8">
    <w:name w:val="內文8"/>
    <w:basedOn w:val="7"/>
    <w:rsid w:val="00286F49"/>
    <w:pPr>
      <w:spacing w:before="0" w:after="0"/>
    </w:pPr>
  </w:style>
  <w:style w:type="paragraph" w:customStyle="1" w:styleId="9">
    <w:name w:val="內文9"/>
    <w:basedOn w:val="4"/>
    <w:rsid w:val="00286F49"/>
    <w:pPr>
      <w:spacing w:before="0" w:after="0"/>
    </w:pPr>
  </w:style>
  <w:style w:type="paragraph" w:customStyle="1" w:styleId="17">
    <w:name w:val="樣式1"/>
    <w:basedOn w:val="a0"/>
    <w:rsid w:val="00286F49"/>
    <w:pPr>
      <w:spacing w:after="240" w:line="680" w:lineRule="exact"/>
      <w:ind w:left="1134" w:firstLine="567"/>
      <w:jc w:val="both"/>
      <w:textAlignment w:val="baseline"/>
    </w:pPr>
    <w:rPr>
      <w:rFonts w:ascii="Book Antiqua" w:eastAsia="華康楷書體W5"/>
      <w:spacing w:val="10"/>
      <w:sz w:val="36"/>
    </w:rPr>
  </w:style>
  <w:style w:type="paragraph" w:customStyle="1" w:styleId="80">
    <w:name w:val="標題8"/>
    <w:basedOn w:val="3"/>
    <w:rsid w:val="00286F49"/>
    <w:pPr>
      <w:spacing w:before="120" w:after="360"/>
      <w:ind w:left="1814" w:hanging="1247"/>
      <w:jc w:val="both"/>
      <w:textAlignment w:val="baseline"/>
      <w:outlineLvl w:val="9"/>
    </w:pPr>
    <w:rPr>
      <w:rFonts w:ascii="Arial" w:eastAsia="華康楷書體W5" w:hAnsi="Arial"/>
      <w:bCs w:val="0"/>
      <w:spacing w:val="10"/>
      <w:sz w:val="40"/>
      <w:szCs w:val="20"/>
    </w:rPr>
  </w:style>
  <w:style w:type="paragraph" w:customStyle="1" w:styleId="90">
    <w:name w:val="標題9"/>
    <w:basedOn w:val="70"/>
    <w:rsid w:val="00286F49"/>
    <w:pPr>
      <w:ind w:left="680" w:firstLine="0"/>
      <w:jc w:val="left"/>
    </w:pPr>
  </w:style>
  <w:style w:type="paragraph" w:customStyle="1" w:styleId="100">
    <w:name w:val="內文10"/>
    <w:basedOn w:val="6"/>
    <w:rsid w:val="00286F49"/>
    <w:pPr>
      <w:ind w:firstLine="454"/>
    </w:pPr>
  </w:style>
  <w:style w:type="paragraph" w:customStyle="1" w:styleId="110">
    <w:name w:val="內文11"/>
    <w:basedOn w:val="100"/>
    <w:rsid w:val="00286F49"/>
  </w:style>
  <w:style w:type="paragraph" w:customStyle="1" w:styleId="120">
    <w:name w:val="內文12"/>
    <w:basedOn w:val="8"/>
    <w:rsid w:val="00286F49"/>
    <w:pPr>
      <w:ind w:left="1248"/>
    </w:pPr>
    <w:rPr>
      <w:spacing w:val="0"/>
    </w:rPr>
  </w:style>
  <w:style w:type="paragraph" w:customStyle="1" w:styleId="aff3">
    <w:name w:val="ｂ（）ｒ"/>
    <w:basedOn w:val="a0"/>
    <w:rsid w:val="00286F49"/>
    <w:pPr>
      <w:spacing w:before="120" w:after="120" w:line="680" w:lineRule="exact"/>
      <w:ind w:left="2042" w:hanging="1021"/>
      <w:jc w:val="both"/>
      <w:textDirection w:val="lrTbV"/>
      <w:textAlignment w:val="baseline"/>
    </w:pPr>
    <w:rPr>
      <w:rFonts w:ascii="Book Antiqua" w:eastAsia="標楷體"/>
      <w:color w:val="000000"/>
      <w:spacing w:val="10"/>
      <w:sz w:val="36"/>
    </w:rPr>
  </w:style>
  <w:style w:type="paragraph" w:customStyle="1" w:styleId="210">
    <w:name w:val="本文 21"/>
    <w:basedOn w:val="a0"/>
    <w:rsid w:val="00286F49"/>
    <w:pPr>
      <w:spacing w:line="240" w:lineRule="auto"/>
      <w:ind w:firstLine="720"/>
      <w:jc w:val="both"/>
      <w:textAlignment w:val="baseline"/>
    </w:pPr>
    <w:rPr>
      <w:rFonts w:ascii="華康仿宋體W6" w:eastAsia="華康仿宋體W6"/>
      <w:kern w:val="2"/>
      <w:sz w:val="36"/>
    </w:rPr>
  </w:style>
  <w:style w:type="paragraph" w:customStyle="1" w:styleId="aff4">
    <w:name w:val="點段"/>
    <w:basedOn w:val="a0"/>
    <w:rsid w:val="00286F49"/>
    <w:pPr>
      <w:tabs>
        <w:tab w:val="left" w:pos="1332"/>
        <w:tab w:val="left" w:pos="11421"/>
      </w:tabs>
      <w:spacing w:before="120" w:after="120" w:line="440" w:lineRule="atLeast"/>
      <w:ind w:left="976" w:hanging="488"/>
      <w:jc w:val="both"/>
      <w:textAlignment w:val="baseline"/>
    </w:pPr>
    <w:rPr>
      <w:rFonts w:ascii="標楷體" w:eastAsia="標楷體"/>
      <w:sz w:val="36"/>
    </w:rPr>
  </w:style>
  <w:style w:type="paragraph" w:customStyle="1" w:styleId="18">
    <w:name w:val="(1)"/>
    <w:basedOn w:val="a0"/>
    <w:rsid w:val="00286F49"/>
    <w:pPr>
      <w:spacing w:before="120" w:after="120" w:line="360" w:lineRule="auto"/>
      <w:ind w:left="960" w:hanging="450"/>
      <w:jc w:val="both"/>
      <w:textAlignment w:val="baseline"/>
    </w:pPr>
    <w:rPr>
      <w:rFonts w:ascii="細明體"/>
      <w:sz w:val="28"/>
    </w:rPr>
  </w:style>
  <w:style w:type="paragraph" w:customStyle="1" w:styleId="aff5">
    <w:name w:val="(一)文"/>
    <w:basedOn w:val="a0"/>
    <w:rsid w:val="00286F49"/>
    <w:pPr>
      <w:spacing w:before="120" w:after="120" w:line="680" w:lineRule="exact"/>
      <w:ind w:right="40" w:firstLine="765"/>
      <w:textAlignment w:val="baseline"/>
    </w:pPr>
    <w:rPr>
      <w:rFonts w:ascii="華康楷書體W5" w:eastAsia="華康楷書體W5"/>
      <w:spacing w:val="20"/>
      <w:sz w:val="36"/>
    </w:rPr>
  </w:style>
  <w:style w:type="paragraph" w:customStyle="1" w:styleId="aff6">
    <w:name w:val="姓名"/>
    <w:basedOn w:val="a0"/>
    <w:rsid w:val="00286F49"/>
    <w:pPr>
      <w:spacing w:before="120" w:after="120" w:line="360" w:lineRule="auto"/>
      <w:ind w:left="510"/>
      <w:jc w:val="center"/>
      <w:textAlignment w:val="baseline"/>
    </w:pPr>
    <w:rPr>
      <w:rFonts w:ascii="Book Antiqua" w:eastAsia="華康隸書體W5"/>
      <w:sz w:val="28"/>
    </w:rPr>
  </w:style>
  <w:style w:type="paragraph" w:customStyle="1" w:styleId="19">
    <w:name w:val="段落1"/>
    <w:basedOn w:val="a0"/>
    <w:rsid w:val="00286F49"/>
    <w:pPr>
      <w:spacing w:before="120" w:after="120" w:line="960" w:lineRule="atLeast"/>
      <w:ind w:firstLine="1080"/>
      <w:jc w:val="both"/>
      <w:textAlignment w:val="baseline"/>
    </w:pPr>
    <w:rPr>
      <w:rFonts w:ascii="華康中楷體" w:eastAsia="華康中楷體"/>
      <w:spacing w:val="5"/>
      <w:sz w:val="54"/>
    </w:rPr>
  </w:style>
  <w:style w:type="paragraph" w:styleId="aff7">
    <w:name w:val="Document Map"/>
    <w:basedOn w:val="a0"/>
    <w:link w:val="aff8"/>
    <w:semiHidden/>
    <w:rsid w:val="00286F49"/>
    <w:pPr>
      <w:shd w:val="clear" w:color="auto" w:fill="000080"/>
      <w:spacing w:after="240" w:line="680" w:lineRule="exact"/>
      <w:ind w:left="1134" w:firstLine="567"/>
      <w:jc w:val="both"/>
      <w:textAlignment w:val="baseline"/>
    </w:pPr>
    <w:rPr>
      <w:rFonts w:ascii="Arial" w:eastAsia="新細明體" w:hAnsi="Arial"/>
      <w:spacing w:val="10"/>
      <w:sz w:val="36"/>
    </w:rPr>
  </w:style>
  <w:style w:type="character" w:customStyle="1" w:styleId="aff8">
    <w:name w:val="文件引導模式 字元"/>
    <w:link w:val="aff7"/>
    <w:semiHidden/>
    <w:rsid w:val="00286F49"/>
    <w:rPr>
      <w:rFonts w:ascii="Arial" w:hAnsi="Arial"/>
      <w:spacing w:val="10"/>
      <w:sz w:val="36"/>
      <w:shd w:val="clear" w:color="auto" w:fill="000080"/>
    </w:rPr>
  </w:style>
  <w:style w:type="paragraph" w:customStyle="1" w:styleId="D4">
    <w:name w:val="陏D4"/>
    <w:basedOn w:val="3"/>
    <w:rsid w:val="00286F49"/>
    <w:pPr>
      <w:spacing w:before="120" w:after="360"/>
      <w:textAlignment w:val="baseline"/>
      <w:outlineLvl w:val="9"/>
    </w:pPr>
    <w:rPr>
      <w:rFonts w:ascii="Arial" w:eastAsia="華康楷書體W5" w:hAnsi="Arial"/>
      <w:bCs w:val="0"/>
      <w:spacing w:val="10"/>
      <w:sz w:val="40"/>
      <w:szCs w:val="20"/>
    </w:rPr>
  </w:style>
  <w:style w:type="paragraph" w:customStyle="1" w:styleId="BodyText22">
    <w:name w:val="Body Text 22"/>
    <w:basedOn w:val="a0"/>
    <w:rsid w:val="00286F49"/>
    <w:pPr>
      <w:spacing w:before="120" w:after="120" w:line="440" w:lineRule="exact"/>
      <w:textAlignment w:val="baseline"/>
    </w:pPr>
    <w:rPr>
      <w:rFonts w:ascii="標楷體" w:eastAsia="標楷體"/>
      <w:sz w:val="30"/>
    </w:rPr>
  </w:style>
  <w:style w:type="paragraph" w:customStyle="1" w:styleId="aff9">
    <w:name w:val="中標題"/>
    <w:basedOn w:val="a0"/>
    <w:rsid w:val="00286F49"/>
    <w:pPr>
      <w:tabs>
        <w:tab w:val="left" w:pos="12960"/>
      </w:tabs>
      <w:spacing w:line="400" w:lineRule="atLeast"/>
      <w:textAlignment w:val="baseline"/>
    </w:pPr>
    <w:rPr>
      <w:sz w:val="22"/>
    </w:rPr>
  </w:style>
  <w:style w:type="paragraph" w:customStyle="1" w:styleId="affa">
    <w:name w:val="大標題本文"/>
    <w:basedOn w:val="a0"/>
    <w:rsid w:val="00286F49"/>
    <w:pPr>
      <w:tabs>
        <w:tab w:val="left" w:pos="13680"/>
      </w:tabs>
      <w:spacing w:before="60" w:after="60" w:line="440" w:lineRule="exact"/>
      <w:ind w:firstLine="476"/>
      <w:jc w:val="both"/>
      <w:textAlignment w:val="baseline"/>
    </w:pPr>
    <w:rPr>
      <w:rFonts w:eastAsia="華康中楷體"/>
      <w:sz w:val="24"/>
    </w:rPr>
  </w:style>
  <w:style w:type="character" w:customStyle="1" w:styleId="textstory1">
    <w:name w:val="text_story1"/>
    <w:rsid w:val="00286F49"/>
    <w:rPr>
      <w:rFonts w:ascii="sө" w:hAnsi="sө" w:hint="default"/>
      <w:i w:val="0"/>
      <w:iCs w:val="0"/>
      <w:strike w:val="0"/>
      <w:dstrike w:val="0"/>
      <w:color w:val="000000"/>
      <w:sz w:val="22"/>
      <w:szCs w:val="22"/>
      <w:u w:val="none"/>
      <w:effect w:val="none"/>
    </w:rPr>
  </w:style>
  <w:style w:type="paragraph" w:customStyle="1" w:styleId="section">
    <w:name w:val="section"/>
    <w:basedOn w:val="a0"/>
    <w:rsid w:val="00286F49"/>
    <w:pPr>
      <w:tabs>
        <w:tab w:val="left" w:pos="5580"/>
      </w:tabs>
      <w:autoSpaceDE w:val="0"/>
      <w:autoSpaceDN w:val="0"/>
      <w:spacing w:before="120" w:after="120" w:line="480" w:lineRule="atLeast"/>
      <w:ind w:firstLine="539"/>
      <w:jc w:val="both"/>
      <w:textAlignment w:val="baseline"/>
    </w:pPr>
    <w:rPr>
      <w:rFonts w:eastAsia="標楷體"/>
      <w:sz w:val="28"/>
    </w:rPr>
  </w:style>
  <w:style w:type="paragraph" w:styleId="affb">
    <w:name w:val="Salutation"/>
    <w:basedOn w:val="a0"/>
    <w:next w:val="a0"/>
    <w:link w:val="affc"/>
    <w:rsid w:val="00286F49"/>
    <w:pPr>
      <w:spacing w:after="240" w:line="680" w:lineRule="exact"/>
      <w:ind w:left="1134" w:firstLine="567"/>
      <w:jc w:val="both"/>
      <w:textAlignment w:val="baseline"/>
    </w:pPr>
    <w:rPr>
      <w:rFonts w:ascii="標楷體" w:eastAsia="標楷體" w:hAnsi="Garamond"/>
      <w:spacing w:val="20"/>
      <w:sz w:val="32"/>
    </w:rPr>
  </w:style>
  <w:style w:type="character" w:customStyle="1" w:styleId="affc">
    <w:name w:val="問候 字元"/>
    <w:link w:val="affb"/>
    <w:rsid w:val="00286F49"/>
    <w:rPr>
      <w:rFonts w:ascii="標楷體" w:eastAsia="標楷體" w:hAnsi="Garamond"/>
      <w:spacing w:val="20"/>
      <w:sz w:val="32"/>
    </w:rPr>
  </w:style>
  <w:style w:type="paragraph" w:styleId="affd">
    <w:name w:val="Closing"/>
    <w:basedOn w:val="a0"/>
    <w:next w:val="a0"/>
    <w:link w:val="affe"/>
    <w:rsid w:val="00286F49"/>
    <w:pPr>
      <w:spacing w:after="240" w:line="680" w:lineRule="exact"/>
      <w:ind w:left="4320" w:firstLine="567"/>
      <w:jc w:val="both"/>
      <w:textAlignment w:val="baseline"/>
    </w:pPr>
    <w:rPr>
      <w:rFonts w:ascii="標楷體" w:eastAsia="標楷體" w:hAnsi="Garamond"/>
      <w:spacing w:val="20"/>
      <w:sz w:val="32"/>
    </w:rPr>
  </w:style>
  <w:style w:type="character" w:customStyle="1" w:styleId="affe">
    <w:name w:val="結語 字元"/>
    <w:link w:val="affd"/>
    <w:rsid w:val="00286F49"/>
    <w:rPr>
      <w:rFonts w:ascii="標楷體" w:eastAsia="標楷體" w:hAnsi="Garamond"/>
      <w:spacing w:val="20"/>
      <w:sz w:val="32"/>
    </w:rPr>
  </w:style>
  <w:style w:type="paragraph" w:customStyle="1" w:styleId="afff">
    <w:name w:val="小段"/>
    <w:basedOn w:val="a0"/>
    <w:rsid w:val="00286F49"/>
    <w:pPr>
      <w:adjustRightInd/>
      <w:snapToGrid w:val="0"/>
      <w:spacing w:before="120" w:after="120" w:line="500" w:lineRule="atLeast"/>
      <w:ind w:right="26" w:firstLine="720"/>
      <w:jc w:val="both"/>
      <w:textAlignment w:val="auto"/>
    </w:pPr>
    <w:rPr>
      <w:rFonts w:eastAsia="標楷體"/>
      <w:kern w:val="2"/>
      <w:sz w:val="32"/>
    </w:rPr>
  </w:style>
  <w:style w:type="paragraph" w:customStyle="1" w:styleId="main">
    <w:name w:val="main"/>
    <w:basedOn w:val="a0"/>
    <w:rsid w:val="00286F49"/>
    <w:pPr>
      <w:adjustRightInd/>
      <w:snapToGrid w:val="0"/>
      <w:spacing w:beforeLines="50" w:before="180" w:afterLines="50" w:after="180" w:line="540" w:lineRule="atLeast"/>
      <w:ind w:firstLineChars="200" w:firstLine="560"/>
      <w:jc w:val="both"/>
      <w:textAlignment w:val="auto"/>
    </w:pPr>
    <w:rPr>
      <w:rFonts w:ascii="標楷體" w:eastAsia="標楷體" w:hAnsi="標楷體"/>
      <w:kern w:val="2"/>
      <w:sz w:val="28"/>
      <w:szCs w:val="24"/>
    </w:rPr>
  </w:style>
  <w:style w:type="paragraph" w:customStyle="1" w:styleId="P0">
    <w:name w:val="P0"/>
    <w:basedOn w:val="afa"/>
    <w:rsid w:val="00286F49"/>
    <w:pPr>
      <w:snapToGrid w:val="0"/>
      <w:spacing w:before="120" w:line="700" w:lineRule="atLeast"/>
      <w:ind w:left="960" w:firstLine="720"/>
      <w:textDirection w:val="lrTbV"/>
      <w:textAlignment w:val="baseline"/>
    </w:pPr>
    <w:rPr>
      <w:rFonts w:ascii="標楷體"/>
      <w:spacing w:val="20"/>
    </w:rPr>
  </w:style>
  <w:style w:type="paragraph" w:customStyle="1" w:styleId="afff0">
    <w:name w:val="表內容"/>
    <w:basedOn w:val="24"/>
    <w:rsid w:val="00286F49"/>
    <w:pPr>
      <w:spacing w:before="0" w:line="240" w:lineRule="atLeast"/>
      <w:ind w:left="0"/>
      <w:jc w:val="center"/>
    </w:pPr>
    <w:rPr>
      <w:spacing w:val="0"/>
      <w:sz w:val="22"/>
    </w:rPr>
  </w:style>
  <w:style w:type="character" w:customStyle="1" w:styleId="text11">
    <w:name w:val="text11"/>
    <w:rsid w:val="00286F49"/>
    <w:rPr>
      <w:color w:val="000000"/>
      <w:sz w:val="22"/>
      <w:szCs w:val="22"/>
    </w:rPr>
  </w:style>
  <w:style w:type="paragraph" w:styleId="20">
    <w:name w:val="toc 2"/>
    <w:aliases w:val="樣式(一)"/>
    <w:basedOn w:val="a0"/>
    <w:autoRedefine/>
    <w:semiHidden/>
    <w:rsid w:val="00286F49"/>
    <w:pPr>
      <w:numPr>
        <w:ilvl w:val="1"/>
        <w:numId w:val="3"/>
      </w:numPr>
      <w:adjustRightInd/>
      <w:spacing w:line="240" w:lineRule="auto"/>
      <w:jc w:val="both"/>
      <w:textAlignment w:val="auto"/>
    </w:pPr>
    <w:rPr>
      <w:rFonts w:eastAsia="標楷體"/>
      <w:b/>
      <w:kern w:val="2"/>
      <w:sz w:val="28"/>
    </w:rPr>
  </w:style>
  <w:style w:type="character" w:styleId="afff1">
    <w:name w:val="Hyperlink"/>
    <w:rsid w:val="00286F49"/>
    <w:rPr>
      <w:strike w:val="0"/>
      <w:dstrike w:val="0"/>
      <w:color w:val="0066CC"/>
      <w:u w:val="none"/>
      <w:effect w:val="none"/>
    </w:rPr>
  </w:style>
  <w:style w:type="character" w:styleId="afff2">
    <w:name w:val="FollowedHyperlink"/>
    <w:rsid w:val="00286F49"/>
    <w:rPr>
      <w:color w:val="800080"/>
      <w:u w:val="single"/>
    </w:rPr>
  </w:style>
  <w:style w:type="character" w:customStyle="1" w:styleId="newscontent1">
    <w:name w:val="news_content1"/>
    <w:rsid w:val="00286F49"/>
    <w:rPr>
      <w:sz w:val="19"/>
      <w:szCs w:val="19"/>
    </w:rPr>
  </w:style>
  <w:style w:type="paragraph" w:customStyle="1" w:styleId="afff3">
    <w:name w:val="內文 + 標楷體"/>
    <w:aliases w:val="16 點,左右對齊,左:  0 cm,凸出:  3.6 字元,行距:  固定行高 30 pt,14 點"/>
    <w:basedOn w:val="a0"/>
    <w:rsid w:val="00286F49"/>
    <w:pPr>
      <w:adjustRightInd/>
      <w:spacing w:line="240" w:lineRule="auto"/>
      <w:textAlignment w:val="auto"/>
    </w:pPr>
    <w:rPr>
      <w:rFonts w:ascii="標楷體" w:eastAsia="標楷體" w:hAnsi="標楷體"/>
      <w:kern w:val="2"/>
      <w:sz w:val="28"/>
      <w:szCs w:val="28"/>
    </w:rPr>
  </w:style>
  <w:style w:type="character" w:customStyle="1" w:styleId="mbody6">
    <w:name w:val="mbody6"/>
    <w:rsid w:val="00286F49"/>
    <w:rPr>
      <w:rFonts w:ascii="Arial" w:hAnsi="Arial" w:cs="Arial" w:hint="default"/>
      <w:sz w:val="24"/>
      <w:szCs w:val="24"/>
    </w:rPr>
  </w:style>
  <w:style w:type="paragraph" w:customStyle="1" w:styleId="afff4">
    <w:name w:val="一'"/>
    <w:basedOn w:val="a0"/>
    <w:rsid w:val="00286F49"/>
    <w:pPr>
      <w:spacing w:line="560" w:lineRule="atLeast"/>
      <w:ind w:firstLine="720"/>
      <w:jc w:val="both"/>
      <w:textAlignment w:val="baseline"/>
    </w:pPr>
    <w:rPr>
      <w:rFonts w:ascii="標楷體" w:eastAsia="標楷體"/>
      <w:sz w:val="36"/>
    </w:rPr>
  </w:style>
  <w:style w:type="paragraph" w:customStyle="1" w:styleId="default0">
    <w:name w:val="default"/>
    <w:basedOn w:val="a0"/>
    <w:rsid w:val="00286F49"/>
    <w:pPr>
      <w:widowControl/>
      <w:adjustRightInd/>
      <w:spacing w:before="100" w:beforeAutospacing="1" w:after="100" w:afterAutospacing="1" w:line="240" w:lineRule="auto"/>
      <w:textAlignment w:val="auto"/>
    </w:pPr>
    <w:rPr>
      <w:rFonts w:ascii="新細明體" w:eastAsia="新細明體" w:hAnsi="新細明體" w:cs="新細明體"/>
      <w:sz w:val="24"/>
      <w:szCs w:val="24"/>
    </w:rPr>
  </w:style>
  <w:style w:type="paragraph" w:customStyle="1" w:styleId="25">
    <w:name w:val="字元 字元2 字元 字元 字元 字元"/>
    <w:basedOn w:val="a0"/>
    <w:semiHidden/>
    <w:rsid w:val="00286F49"/>
    <w:pPr>
      <w:widowControl/>
      <w:adjustRightInd/>
      <w:spacing w:after="160" w:line="240" w:lineRule="exact"/>
      <w:textAlignment w:val="auto"/>
    </w:pPr>
    <w:rPr>
      <w:rFonts w:ascii="Verdana" w:eastAsia="Times New Roman" w:hAnsi="Verdana" w:cs="Mangal"/>
      <w:kern w:val="2"/>
      <w:szCs w:val="24"/>
      <w:lang w:eastAsia="en-US" w:bidi="hi-IN"/>
    </w:rPr>
  </w:style>
  <w:style w:type="character" w:customStyle="1" w:styleId="newmidwordlarge1">
    <w:name w:val="new_mid_word_large1"/>
    <w:rsid w:val="00286F49"/>
    <w:rPr>
      <w:rFonts w:ascii="Arial" w:hAnsi="Arial" w:cs="Arial" w:hint="default"/>
      <w:strike w:val="0"/>
      <w:dstrike w:val="0"/>
      <w:color w:val="555555"/>
      <w:sz w:val="19"/>
      <w:szCs w:val="19"/>
      <w:u w:val="none"/>
      <w:effect w:val="none"/>
    </w:rPr>
  </w:style>
  <w:style w:type="character" w:customStyle="1" w:styleId="12">
    <w:name w:val="標題 1 字元"/>
    <w:link w:val="11"/>
    <w:uiPriority w:val="9"/>
    <w:rsid w:val="00286F49"/>
    <w:rPr>
      <w:rFonts w:ascii="Arial Unicode MS" w:eastAsia="Arial Unicode MS" w:hAnsi="Arial Unicode MS" w:cs="Arial Unicode MS"/>
      <w:b/>
      <w:bCs/>
      <w:kern w:val="36"/>
      <w:sz w:val="48"/>
      <w:szCs w:val="48"/>
    </w:rPr>
  </w:style>
  <w:style w:type="paragraph" w:styleId="afff5">
    <w:name w:val="List Paragraph"/>
    <w:basedOn w:val="a0"/>
    <w:uiPriority w:val="34"/>
    <w:qFormat/>
    <w:rsid w:val="00286F49"/>
    <w:pPr>
      <w:spacing w:after="240" w:line="680" w:lineRule="exact"/>
      <w:ind w:leftChars="200" w:left="480" w:firstLine="567"/>
      <w:jc w:val="both"/>
      <w:textAlignment w:val="baseline"/>
    </w:pPr>
    <w:rPr>
      <w:rFonts w:ascii="Book Antiqua" w:eastAsia="華康楷書體W5"/>
      <w:spacing w:val="10"/>
      <w:sz w:val="36"/>
    </w:rPr>
  </w:style>
  <w:style w:type="table" w:styleId="afff6">
    <w:name w:val="Table Grid"/>
    <w:basedOn w:val="a2"/>
    <w:rsid w:val="00286F49"/>
    <w:rPr>
      <w:rFonts w:eastAsia="細明體"/>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fc">
    <w:name w:val="註腳文字 字元"/>
    <w:link w:val="afb"/>
    <w:rsid w:val="00286F49"/>
    <w:rPr>
      <w:kern w:val="2"/>
    </w:rPr>
  </w:style>
  <w:style w:type="character" w:customStyle="1" w:styleId="a6">
    <w:name w:val="頁尾 字元"/>
    <w:link w:val="a5"/>
    <w:uiPriority w:val="99"/>
    <w:rsid w:val="0091791E"/>
    <w:rPr>
      <w:rFonts w:eastAsia="細明體"/>
      <w:sz w:val="18"/>
    </w:rPr>
  </w:style>
  <w:style w:type="character" w:customStyle="1" w:styleId="a8">
    <w:name w:val="頁首 字元"/>
    <w:link w:val="a7"/>
    <w:uiPriority w:val="99"/>
    <w:rsid w:val="00527E73"/>
    <w:rPr>
      <w:rFonts w:eastAsia="細明體"/>
    </w:rPr>
  </w:style>
  <w:style w:type="paragraph" w:customStyle="1" w:styleId="10">
    <w:name w:val="理監事會第 1層"/>
    <w:basedOn w:val="af0"/>
    <w:qFormat/>
    <w:rsid w:val="006D5EC2"/>
    <w:pPr>
      <w:widowControl/>
      <w:numPr>
        <w:numId w:val="5"/>
      </w:numPr>
      <w:topLinePunct/>
      <w:snapToGrid w:val="0"/>
      <w:spacing w:after="100" w:line="580" w:lineRule="exact"/>
      <w:ind w:left="925" w:right="0" w:hanging="641"/>
      <w:textDirection w:val="lrTb"/>
      <w:textAlignment w:val="auto"/>
    </w:pPr>
    <w:rPr>
      <w:rFonts w:ascii="Times New Roman" w:eastAsia="標楷體"/>
      <w:snapToGrid w:val="0"/>
      <w:spacing w:val="0"/>
      <w:sz w:val="32"/>
    </w:rPr>
  </w:style>
  <w:style w:type="paragraph" w:customStyle="1" w:styleId="2">
    <w:name w:val="理監事會第2層"/>
    <w:basedOn w:val="a0"/>
    <w:qFormat/>
    <w:rsid w:val="006D5EC2"/>
    <w:pPr>
      <w:widowControl/>
      <w:numPr>
        <w:numId w:val="6"/>
      </w:numPr>
      <w:tabs>
        <w:tab w:val="left" w:pos="1276"/>
      </w:tabs>
      <w:topLinePunct/>
      <w:snapToGrid w:val="0"/>
      <w:spacing w:after="100" w:line="580" w:lineRule="exact"/>
      <w:jc w:val="both"/>
      <w:textAlignment w:val="auto"/>
    </w:pPr>
    <w:rPr>
      <w:rFonts w:eastAsia="標楷體"/>
      <w:kern w:val="2"/>
      <w:sz w:val="32"/>
      <w:szCs w:val="24"/>
    </w:rPr>
  </w:style>
  <w:style w:type="paragraph" w:customStyle="1" w:styleId="34">
    <w:name w:val="理監事會第3層"/>
    <w:basedOn w:val="a0"/>
    <w:qFormat/>
    <w:rsid w:val="006D5EC2"/>
    <w:pPr>
      <w:widowControl/>
      <w:topLinePunct/>
      <w:snapToGrid w:val="0"/>
      <w:spacing w:after="100" w:line="580" w:lineRule="exact"/>
      <w:jc w:val="both"/>
      <w:textAlignment w:val="auto"/>
    </w:pPr>
    <w:rPr>
      <w:rFonts w:eastAsia="標楷體"/>
      <w:snapToGrid w:val="0"/>
      <w:sz w:val="32"/>
      <w:szCs w:val="24"/>
    </w:rPr>
  </w:style>
  <w:style w:type="paragraph" w:customStyle="1" w:styleId="1">
    <w:name w:val="1."/>
    <w:basedOn w:val="a0"/>
    <w:autoRedefine/>
    <w:rsid w:val="00EE7DB0"/>
    <w:pPr>
      <w:numPr>
        <w:numId w:val="11"/>
      </w:numPr>
      <w:topLinePunct/>
      <w:adjustRightInd/>
      <w:spacing w:after="100" w:line="580" w:lineRule="exact"/>
      <w:ind w:left="1406" w:right="28" w:hanging="641"/>
      <w:jc w:val="both"/>
      <w:textAlignment w:val="auto"/>
    </w:pPr>
    <w:rPr>
      <w:rFonts w:ascii="標楷體" w:eastAsia="標楷體"/>
      <w:kern w:val="2"/>
      <w:sz w:val="32"/>
      <w:szCs w:val="24"/>
    </w:rPr>
  </w:style>
  <w:style w:type="character" w:customStyle="1" w:styleId="af4">
    <w:name w:val="本文 字元"/>
    <w:basedOn w:val="a1"/>
    <w:link w:val="af3"/>
    <w:locked/>
    <w:rsid w:val="00BD32CA"/>
    <w:rPr>
      <w:rFonts w:eastAsia="標楷體"/>
      <w:sz w:val="32"/>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新細明體" w:hAnsi="Times New Roman" w:cs="Times New Roman"/>
        <w:lang w:val="en-US" w:eastAsia="zh-TW"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0"/>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annotation text" w:uiPriority="0"/>
    <w:lsdException w:name="caption" w:uiPriority="35" w:qFormat="1"/>
    <w:lsdException w:name="footnote reference" w:uiPriority="0"/>
    <w:lsdException w:name="page number" w:uiPriority="0"/>
    <w:lsdException w:name="Title" w:semiHidden="0" w:uiPriority="10" w:unhideWhenUsed="0" w:qFormat="1"/>
    <w:lsdException w:name="Closing" w:uiPriority="0"/>
    <w:lsdException w:name="Default Paragraph Font" w:uiPriority="1"/>
    <w:lsdException w:name="Body Text" w:uiPriority="0"/>
    <w:lsdException w:name="Body Text Indent" w:uiPriority="0"/>
    <w:lsdException w:name="Subtitle" w:semiHidden="0" w:uiPriority="11" w:unhideWhenUsed="0" w:qFormat="1"/>
    <w:lsdException w:name="Salutation" w:uiPriority="0"/>
    <w:lsdException w:name="Body Text Indent 2" w:uiPriority="0"/>
    <w:lsdException w:name="Body Text Indent 3" w:uiPriority="0"/>
    <w:lsdException w:name="Block Text" w:uiPriority="0"/>
    <w:lsdException w:name="Hyperlink" w:uiPriority="0"/>
    <w:lsdException w:name="FollowedHyperlink" w:uiPriority="0"/>
    <w:lsdException w:name="Strong" w:semiHidden="0" w:uiPriority="22" w:unhideWhenUsed="0" w:qFormat="1"/>
    <w:lsdException w:name="Emphasis" w:semiHidden="0" w:uiPriority="20" w:unhideWhenUsed="0" w:qFormat="1"/>
    <w:lsdException w:name="Document Map" w:uiPriority="0"/>
    <w:lsdException w:name="HTML Preformatted" w:uiPriority="0"/>
    <w:lsdException w:name="Balloon Text"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pPr>
      <w:widowControl w:val="0"/>
      <w:adjustRightInd w:val="0"/>
      <w:spacing w:line="372" w:lineRule="exact"/>
      <w:textAlignment w:val="center"/>
    </w:pPr>
    <w:rPr>
      <w:rFonts w:eastAsia="細明體"/>
    </w:rPr>
  </w:style>
  <w:style w:type="paragraph" w:styleId="11">
    <w:name w:val="heading 1"/>
    <w:basedOn w:val="a0"/>
    <w:link w:val="12"/>
    <w:uiPriority w:val="9"/>
    <w:qFormat/>
    <w:pPr>
      <w:widowControl/>
      <w:adjustRightInd/>
      <w:spacing w:before="100" w:beforeAutospacing="1" w:after="100" w:afterAutospacing="1" w:line="240" w:lineRule="auto"/>
      <w:textAlignment w:val="auto"/>
      <w:outlineLvl w:val="0"/>
    </w:pPr>
    <w:rPr>
      <w:rFonts w:ascii="Arial Unicode MS" w:eastAsia="Arial Unicode MS" w:hAnsi="Arial Unicode MS" w:cs="Arial Unicode MS"/>
      <w:b/>
      <w:bCs/>
      <w:kern w:val="36"/>
      <w:sz w:val="48"/>
      <w:szCs w:val="48"/>
    </w:rPr>
  </w:style>
  <w:style w:type="paragraph" w:styleId="21">
    <w:name w:val="heading 2"/>
    <w:basedOn w:val="a0"/>
    <w:next w:val="a0"/>
    <w:link w:val="22"/>
    <w:qFormat/>
    <w:rsid w:val="00286F49"/>
    <w:pPr>
      <w:keepNext/>
      <w:spacing w:after="240" w:line="720" w:lineRule="atLeast"/>
      <w:ind w:left="397"/>
      <w:textAlignment w:val="baseline"/>
      <w:outlineLvl w:val="1"/>
    </w:pPr>
    <w:rPr>
      <w:rFonts w:ascii="Book Antiqua" w:eastAsia="華康楷書體W5" w:hAnsi="Arial"/>
      <w:b/>
      <w:spacing w:val="10"/>
      <w:sz w:val="40"/>
    </w:rPr>
  </w:style>
  <w:style w:type="paragraph" w:styleId="3">
    <w:name w:val="heading 3"/>
    <w:basedOn w:val="a0"/>
    <w:next w:val="a0"/>
    <w:link w:val="30"/>
    <w:uiPriority w:val="9"/>
    <w:unhideWhenUsed/>
    <w:qFormat/>
    <w:rsid w:val="00E1645B"/>
    <w:pPr>
      <w:keepNext/>
      <w:spacing w:line="720" w:lineRule="atLeast"/>
      <w:outlineLvl w:val="2"/>
    </w:pPr>
    <w:rPr>
      <w:rFonts w:ascii="Cambria" w:eastAsia="新細明體" w:hAnsi="Cambria"/>
      <w:b/>
      <w:bCs/>
      <w:sz w:val="36"/>
      <w:szCs w:val="36"/>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customStyle="1" w:styleId="31">
    <w:name w:val="弟3行"/>
    <w:basedOn w:val="a0"/>
    <w:pPr>
      <w:spacing w:line="300" w:lineRule="exact"/>
    </w:pPr>
    <w:rPr>
      <w:rFonts w:eastAsia=".文鼎中楷"/>
      <w:sz w:val="36"/>
    </w:rPr>
  </w:style>
  <w:style w:type="paragraph" w:customStyle="1" w:styleId="a4">
    <w:name w:val="信內文"/>
    <w:basedOn w:val="31"/>
    <w:pPr>
      <w:spacing w:line="360" w:lineRule="auto"/>
    </w:pPr>
    <w:rPr>
      <w:rFonts w:ascii=".文鼎中楷"/>
      <w:spacing w:val="43"/>
    </w:rPr>
  </w:style>
  <w:style w:type="paragraph" w:styleId="a5">
    <w:name w:val="footer"/>
    <w:basedOn w:val="a0"/>
    <w:link w:val="a6"/>
    <w:uiPriority w:val="99"/>
    <w:pPr>
      <w:tabs>
        <w:tab w:val="center" w:pos="4153"/>
        <w:tab w:val="right" w:pos="8306"/>
      </w:tabs>
      <w:spacing w:line="360" w:lineRule="auto"/>
    </w:pPr>
    <w:rPr>
      <w:sz w:val="18"/>
    </w:rPr>
  </w:style>
  <w:style w:type="paragraph" w:styleId="a7">
    <w:name w:val="header"/>
    <w:basedOn w:val="a0"/>
    <w:link w:val="a8"/>
    <w:uiPriority w:val="99"/>
    <w:pPr>
      <w:tabs>
        <w:tab w:val="center" w:pos="4153"/>
        <w:tab w:val="right" w:pos="8306"/>
      </w:tabs>
    </w:pPr>
  </w:style>
  <w:style w:type="character" w:styleId="a9">
    <w:name w:val="page number"/>
    <w:rPr>
      <w:rFonts w:ascii="Times New Roman" w:hAnsi="Times New Roman" w:cs="Times New Roman"/>
    </w:rPr>
  </w:style>
  <w:style w:type="paragraph" w:customStyle="1" w:styleId="aa">
    <w:name w:val="主旨"/>
    <w:basedOn w:val="a0"/>
    <w:pPr>
      <w:spacing w:line="720" w:lineRule="exact"/>
      <w:ind w:left="1021" w:hanging="1021"/>
    </w:pPr>
    <w:rPr>
      <w:rFonts w:eastAsia=".文鼎中楷"/>
      <w:sz w:val="36"/>
    </w:rPr>
  </w:style>
  <w:style w:type="paragraph" w:customStyle="1" w:styleId="13">
    <w:name w:val="說明1"/>
    <w:basedOn w:val="aa"/>
  </w:style>
  <w:style w:type="paragraph" w:customStyle="1" w:styleId="ab">
    <w:name w:val="說明"/>
    <w:basedOn w:val="aa"/>
    <w:pPr>
      <w:ind w:left="1474" w:hanging="1474"/>
    </w:pPr>
  </w:style>
  <w:style w:type="paragraph" w:customStyle="1" w:styleId="ac">
    <w:name w:val="二"/>
    <w:basedOn w:val="ab"/>
    <w:pPr>
      <w:ind w:left="397" w:hanging="397"/>
    </w:pPr>
  </w:style>
  <w:style w:type="paragraph" w:customStyle="1" w:styleId="ad">
    <w:name w:val="(一)"/>
    <w:basedOn w:val="ac"/>
    <w:pPr>
      <w:ind w:left="794"/>
    </w:pPr>
  </w:style>
  <w:style w:type="paragraph" w:customStyle="1" w:styleId="ae">
    <w:name w:val="案由"/>
    <w:basedOn w:val="a0"/>
    <w:pPr>
      <w:spacing w:line="680" w:lineRule="exact"/>
      <w:ind w:left="1134" w:hanging="1134"/>
      <w:jc w:val="both"/>
    </w:pPr>
    <w:rPr>
      <w:rFonts w:ascii="華康中楷體" w:eastAsia="華康中楷體"/>
      <w:spacing w:val="16"/>
      <w:sz w:val="36"/>
    </w:rPr>
  </w:style>
  <w:style w:type="paragraph" w:customStyle="1" w:styleId="af">
    <w:name w:val="二、"/>
    <w:basedOn w:val="a0"/>
    <w:pPr>
      <w:spacing w:line="680" w:lineRule="exact"/>
      <w:ind w:left="1560" w:hanging="426"/>
      <w:jc w:val="both"/>
    </w:pPr>
    <w:rPr>
      <w:rFonts w:ascii="華康中楷體" w:eastAsia="華康中楷體"/>
      <w:spacing w:val="16"/>
      <w:sz w:val="36"/>
    </w:rPr>
  </w:style>
  <w:style w:type="paragraph" w:customStyle="1" w:styleId="14">
    <w:name w:val="本文縮排1"/>
    <w:basedOn w:val="a0"/>
    <w:pPr>
      <w:spacing w:line="680" w:lineRule="exact"/>
      <w:ind w:left="2002" w:hanging="420"/>
      <w:jc w:val="both"/>
      <w:textDirection w:val="lrTbV"/>
    </w:pPr>
    <w:rPr>
      <w:rFonts w:ascii="華康楷書體W5" w:eastAsia="華康楷書體W5"/>
      <w:spacing w:val="16"/>
      <w:sz w:val="36"/>
    </w:rPr>
  </w:style>
  <w:style w:type="paragraph" w:styleId="23">
    <w:name w:val="Body Text Indent 2"/>
    <w:basedOn w:val="a0"/>
    <w:pPr>
      <w:spacing w:line="640" w:lineRule="exact"/>
      <w:ind w:left="1120"/>
      <w:jc w:val="both"/>
      <w:textDirection w:val="lrTbV"/>
    </w:pPr>
    <w:rPr>
      <w:rFonts w:ascii="華康楷書體W5" w:eastAsia="華康楷書體W5"/>
      <w:spacing w:val="16"/>
      <w:sz w:val="36"/>
    </w:rPr>
  </w:style>
  <w:style w:type="paragraph" w:styleId="32">
    <w:name w:val="Body Text Indent 3"/>
    <w:basedOn w:val="a0"/>
    <w:pPr>
      <w:spacing w:line="680" w:lineRule="exact"/>
      <w:ind w:left="1134"/>
      <w:jc w:val="both"/>
      <w:textDirection w:val="lrTbV"/>
    </w:pPr>
    <w:rPr>
      <w:rFonts w:ascii="華康楷書體W5" w:eastAsia="華康楷書體W5"/>
      <w:spacing w:val="16"/>
      <w:sz w:val="36"/>
    </w:rPr>
  </w:style>
  <w:style w:type="paragraph" w:styleId="af0">
    <w:name w:val="Block Text"/>
    <w:basedOn w:val="a0"/>
    <w:pPr>
      <w:spacing w:line="680" w:lineRule="exact"/>
      <w:ind w:left="1596" w:right="-20" w:hanging="1596"/>
      <w:jc w:val="both"/>
      <w:textDirection w:val="lrTbV"/>
    </w:pPr>
    <w:rPr>
      <w:rFonts w:ascii="華康楷書體W5" w:eastAsia="華康楷書體W5"/>
      <w:spacing w:val="10"/>
      <w:sz w:val="36"/>
    </w:rPr>
  </w:style>
  <w:style w:type="paragraph" w:customStyle="1" w:styleId="BodyTextIndent31">
    <w:name w:val="Body Text Indent 31"/>
    <w:basedOn w:val="a0"/>
    <w:pPr>
      <w:autoSpaceDE w:val="0"/>
      <w:autoSpaceDN w:val="0"/>
      <w:spacing w:line="420" w:lineRule="exact"/>
      <w:ind w:left="624" w:hanging="624"/>
      <w:jc w:val="both"/>
      <w:textDirection w:val="lrTbV"/>
      <w:textAlignment w:val="baseline"/>
    </w:pPr>
    <w:rPr>
      <w:rFonts w:ascii="標楷體" w:eastAsia="標楷體"/>
      <w:sz w:val="32"/>
    </w:rPr>
  </w:style>
  <w:style w:type="paragraph" w:customStyle="1" w:styleId="af1">
    <w:name w:val="一、"/>
    <w:basedOn w:val="a0"/>
    <w:pPr>
      <w:spacing w:line="680" w:lineRule="exact"/>
      <w:ind w:left="425" w:hanging="425"/>
      <w:jc w:val="both"/>
    </w:pPr>
    <w:rPr>
      <w:rFonts w:ascii="華康楷書體W5" w:eastAsia="華康楷書體W5"/>
      <w:spacing w:val="16"/>
      <w:sz w:val="36"/>
    </w:rPr>
  </w:style>
  <w:style w:type="paragraph" w:styleId="Web">
    <w:name w:val="Normal (Web)"/>
    <w:basedOn w:val="a0"/>
    <w:uiPriority w:val="99"/>
    <w:pPr>
      <w:widowControl/>
      <w:adjustRightInd/>
      <w:spacing w:before="100" w:beforeAutospacing="1" w:after="100" w:afterAutospacing="1" w:line="240" w:lineRule="auto"/>
      <w:textAlignment w:val="auto"/>
    </w:pPr>
    <w:rPr>
      <w:rFonts w:ascii="Arial Unicode MS" w:eastAsia="Arial Unicode MS" w:hAnsi="Arial Unicode MS"/>
      <w:sz w:val="24"/>
      <w:szCs w:val="24"/>
    </w:rPr>
  </w:style>
  <w:style w:type="paragraph" w:customStyle="1" w:styleId="bodytextindent310">
    <w:name w:val="bodytextindent31"/>
    <w:basedOn w:val="a0"/>
    <w:pPr>
      <w:widowControl/>
      <w:adjustRightInd/>
      <w:spacing w:before="100" w:beforeAutospacing="1" w:after="100" w:afterAutospacing="1" w:line="240" w:lineRule="auto"/>
      <w:textAlignment w:val="auto"/>
    </w:pPr>
    <w:rPr>
      <w:rFonts w:ascii="Arial Unicode MS" w:eastAsia="Arial Unicode MS" w:hAnsi="Arial Unicode MS"/>
      <w:sz w:val="24"/>
      <w:szCs w:val="24"/>
    </w:rPr>
  </w:style>
  <w:style w:type="paragraph" w:styleId="af2">
    <w:name w:val="Plain Text"/>
    <w:basedOn w:val="a0"/>
    <w:semiHidden/>
    <w:pPr>
      <w:widowControl/>
      <w:adjustRightInd/>
      <w:spacing w:before="100" w:beforeAutospacing="1" w:after="100" w:afterAutospacing="1" w:line="240" w:lineRule="auto"/>
      <w:textAlignment w:val="auto"/>
    </w:pPr>
    <w:rPr>
      <w:rFonts w:ascii="Arial Unicode MS" w:eastAsia="Arial Unicode MS" w:hAnsi="Arial Unicode MS"/>
      <w:sz w:val="24"/>
      <w:szCs w:val="24"/>
    </w:rPr>
  </w:style>
  <w:style w:type="paragraph" w:customStyle="1" w:styleId="bodytextindent3100">
    <w:name w:val="bodytextindent310"/>
    <w:basedOn w:val="a0"/>
    <w:pPr>
      <w:widowControl/>
      <w:adjustRightInd/>
      <w:spacing w:before="100" w:beforeAutospacing="1" w:after="100" w:afterAutospacing="1" w:line="240" w:lineRule="auto"/>
      <w:textAlignment w:val="auto"/>
    </w:pPr>
    <w:rPr>
      <w:rFonts w:ascii="Arial Unicode MS" w:eastAsia="Arial Unicode MS" w:hAnsi="Arial Unicode MS"/>
      <w:sz w:val="24"/>
      <w:szCs w:val="24"/>
    </w:rPr>
  </w:style>
  <w:style w:type="paragraph" w:styleId="af3">
    <w:name w:val="Body Text"/>
    <w:basedOn w:val="a0"/>
    <w:link w:val="af4"/>
    <w:pPr>
      <w:spacing w:before="50" w:line="560" w:lineRule="exact"/>
    </w:pPr>
    <w:rPr>
      <w:rFonts w:eastAsia="標楷體"/>
      <w:sz w:val="32"/>
    </w:rPr>
  </w:style>
  <w:style w:type="paragraph" w:styleId="HTML">
    <w:name w:val="HTML Preformatted"/>
    <w:basedOn w:val="a0"/>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spacing w:line="240" w:lineRule="auto"/>
      <w:textAlignment w:val="auto"/>
    </w:pPr>
    <w:rPr>
      <w:rFonts w:ascii="Arial Unicode MS" w:eastAsia="Arial Unicode MS" w:hAnsi="Arial Unicode MS"/>
    </w:rPr>
  </w:style>
  <w:style w:type="character" w:styleId="af5">
    <w:name w:val="Emphasis"/>
    <w:uiPriority w:val="20"/>
    <w:qFormat/>
    <w:rPr>
      <w:rFonts w:ascii="Times New Roman" w:hAnsi="Times New Roman" w:cs="Times New Roman"/>
      <w:color w:val="CC0033"/>
    </w:rPr>
  </w:style>
  <w:style w:type="character" w:styleId="af6">
    <w:name w:val="annotation reference"/>
    <w:semiHidden/>
    <w:rPr>
      <w:rFonts w:ascii="Times New Roman" w:hAnsi="Times New Roman" w:cs="Times New Roman"/>
      <w:sz w:val="18"/>
      <w:szCs w:val="18"/>
    </w:rPr>
  </w:style>
  <w:style w:type="paragraph" w:styleId="af7">
    <w:name w:val="annotation text"/>
    <w:basedOn w:val="a0"/>
    <w:link w:val="af8"/>
    <w:semiHidden/>
    <w:pPr>
      <w:adjustRightInd/>
      <w:spacing w:line="560" w:lineRule="exact"/>
      <w:textAlignment w:val="auto"/>
    </w:pPr>
    <w:rPr>
      <w:rFonts w:eastAsia="標楷體"/>
      <w:kern w:val="2"/>
      <w:sz w:val="32"/>
      <w:szCs w:val="24"/>
    </w:rPr>
  </w:style>
  <w:style w:type="character" w:customStyle="1" w:styleId="highlight">
    <w:name w:val="highlight"/>
    <w:rPr>
      <w:rFonts w:ascii="Times New Roman" w:hAnsi="Times New Roman" w:cs="Times New Roman"/>
    </w:rPr>
  </w:style>
  <w:style w:type="character" w:styleId="af9">
    <w:name w:val="Strong"/>
    <w:qFormat/>
    <w:rPr>
      <w:rFonts w:ascii="Times New Roman" w:hAnsi="Times New Roman" w:cs="Times New Roman"/>
      <w:b/>
      <w:bCs/>
    </w:rPr>
  </w:style>
  <w:style w:type="paragraph" w:customStyle="1" w:styleId="a">
    <w:name w:val="一"/>
    <w:basedOn w:val="a0"/>
    <w:pPr>
      <w:numPr>
        <w:numId w:val="18"/>
      </w:numPr>
      <w:tabs>
        <w:tab w:val="left" w:leader="hyphen" w:pos="3402"/>
        <w:tab w:val="left" w:leader="hyphen" w:pos="6804"/>
        <w:tab w:val="left" w:leader="hyphen" w:pos="10206"/>
        <w:tab w:val="left" w:leader="hyphen" w:pos="13608"/>
      </w:tabs>
      <w:spacing w:before="50" w:line="560" w:lineRule="exact"/>
      <w:jc w:val="both"/>
      <w:textAlignment w:val="baseline"/>
    </w:pPr>
    <w:rPr>
      <w:rFonts w:eastAsia="標楷體"/>
      <w:spacing w:val="-10"/>
      <w:sz w:val="32"/>
      <w:szCs w:val="32"/>
    </w:rPr>
  </w:style>
  <w:style w:type="paragraph" w:customStyle="1" w:styleId="15">
    <w:name w:val="1"/>
    <w:basedOn w:val="ad"/>
    <w:pPr>
      <w:tabs>
        <w:tab w:val="left" w:leader="hyphen" w:pos="3402"/>
        <w:tab w:val="left" w:leader="hyphen" w:pos="6804"/>
        <w:tab w:val="left" w:leader="hyphen" w:pos="10206"/>
        <w:tab w:val="left" w:leader="hyphen" w:pos="13608"/>
      </w:tabs>
      <w:spacing w:before="50" w:line="240" w:lineRule="auto"/>
      <w:ind w:left="1440" w:hanging="540"/>
      <w:jc w:val="both"/>
      <w:textAlignment w:val="baseline"/>
    </w:pPr>
    <w:rPr>
      <w:rFonts w:eastAsia="標楷體"/>
      <w:spacing w:val="-22"/>
      <w:sz w:val="32"/>
      <w:szCs w:val="32"/>
    </w:rPr>
  </w:style>
  <w:style w:type="paragraph" w:styleId="afa">
    <w:name w:val="Body Text Indent"/>
    <w:basedOn w:val="a0"/>
    <w:pPr>
      <w:spacing w:before="100" w:line="540" w:lineRule="exact"/>
      <w:ind w:left="620"/>
      <w:jc w:val="both"/>
    </w:pPr>
    <w:rPr>
      <w:rFonts w:eastAsia="標楷體"/>
      <w:sz w:val="32"/>
    </w:rPr>
  </w:style>
  <w:style w:type="character" w:customStyle="1" w:styleId="cpt2">
    <w:name w:val="cpt2"/>
    <w:basedOn w:val="a1"/>
  </w:style>
  <w:style w:type="paragraph" w:customStyle="1" w:styleId="Default">
    <w:name w:val="Default"/>
    <w:uiPriority w:val="99"/>
    <w:pPr>
      <w:widowControl w:val="0"/>
      <w:autoSpaceDE w:val="0"/>
      <w:autoSpaceDN w:val="0"/>
      <w:adjustRightInd w:val="0"/>
    </w:pPr>
    <w:rPr>
      <w:rFonts w:ascii="標楷體" w:eastAsia="標楷體"/>
      <w:color w:val="000000"/>
      <w:sz w:val="24"/>
      <w:szCs w:val="24"/>
    </w:rPr>
  </w:style>
  <w:style w:type="character" w:customStyle="1" w:styleId="boldtitle1">
    <w:name w:val="boldtitle1"/>
    <w:rPr>
      <w:b/>
      <w:bCs/>
    </w:rPr>
  </w:style>
  <w:style w:type="paragraph" w:styleId="afb">
    <w:name w:val="footnote text"/>
    <w:basedOn w:val="a0"/>
    <w:link w:val="afc"/>
    <w:pPr>
      <w:adjustRightInd/>
      <w:snapToGrid w:val="0"/>
      <w:spacing w:line="240" w:lineRule="auto"/>
      <w:textAlignment w:val="auto"/>
    </w:pPr>
    <w:rPr>
      <w:rFonts w:eastAsia="新細明體"/>
      <w:kern w:val="2"/>
    </w:rPr>
  </w:style>
  <w:style w:type="character" w:styleId="afd">
    <w:name w:val="footnote reference"/>
    <w:rPr>
      <w:vertAlign w:val="superscript"/>
    </w:rPr>
  </w:style>
  <w:style w:type="paragraph" w:styleId="afe">
    <w:name w:val="annotation subject"/>
    <w:basedOn w:val="af7"/>
    <w:next w:val="af7"/>
    <w:link w:val="aff"/>
    <w:uiPriority w:val="99"/>
    <w:semiHidden/>
    <w:unhideWhenUsed/>
    <w:rsid w:val="001A5E2D"/>
    <w:pPr>
      <w:adjustRightInd w:val="0"/>
      <w:spacing w:line="372" w:lineRule="exact"/>
      <w:textAlignment w:val="center"/>
    </w:pPr>
    <w:rPr>
      <w:rFonts w:eastAsia="細明體"/>
      <w:b/>
      <w:bCs/>
      <w:kern w:val="0"/>
      <w:sz w:val="20"/>
      <w:szCs w:val="20"/>
    </w:rPr>
  </w:style>
  <w:style w:type="character" w:customStyle="1" w:styleId="af8">
    <w:name w:val="註解文字 字元"/>
    <w:link w:val="af7"/>
    <w:semiHidden/>
    <w:rsid w:val="001A5E2D"/>
    <w:rPr>
      <w:rFonts w:eastAsia="標楷體"/>
      <w:kern w:val="2"/>
      <w:sz w:val="32"/>
      <w:szCs w:val="24"/>
    </w:rPr>
  </w:style>
  <w:style w:type="character" w:customStyle="1" w:styleId="aff">
    <w:name w:val="註解主旨 字元"/>
    <w:link w:val="afe"/>
    <w:uiPriority w:val="99"/>
    <w:semiHidden/>
    <w:rsid w:val="001A5E2D"/>
    <w:rPr>
      <w:rFonts w:eastAsia="細明體"/>
      <w:b/>
      <w:bCs/>
      <w:kern w:val="2"/>
      <w:sz w:val="32"/>
      <w:szCs w:val="24"/>
    </w:rPr>
  </w:style>
  <w:style w:type="paragraph" w:styleId="aff0">
    <w:name w:val="Balloon Text"/>
    <w:basedOn w:val="a0"/>
    <w:link w:val="aff1"/>
    <w:unhideWhenUsed/>
    <w:rsid w:val="001A5E2D"/>
    <w:pPr>
      <w:spacing w:line="240" w:lineRule="auto"/>
    </w:pPr>
    <w:rPr>
      <w:rFonts w:ascii="Cambria" w:eastAsia="新細明體" w:hAnsi="Cambria"/>
      <w:sz w:val="18"/>
      <w:szCs w:val="18"/>
    </w:rPr>
  </w:style>
  <w:style w:type="character" w:customStyle="1" w:styleId="aff1">
    <w:name w:val="註解方塊文字 字元"/>
    <w:link w:val="aff0"/>
    <w:rsid w:val="001A5E2D"/>
    <w:rPr>
      <w:rFonts w:ascii="Cambria" w:eastAsia="新細明體" w:hAnsi="Cambria" w:cs="Times New Roman"/>
      <w:sz w:val="18"/>
      <w:szCs w:val="18"/>
    </w:rPr>
  </w:style>
  <w:style w:type="character" w:customStyle="1" w:styleId="30">
    <w:name w:val="標題 3 字元"/>
    <w:link w:val="3"/>
    <w:uiPriority w:val="9"/>
    <w:semiHidden/>
    <w:rsid w:val="00E1645B"/>
    <w:rPr>
      <w:rFonts w:ascii="Cambria" w:eastAsia="新細明體" w:hAnsi="Cambria" w:cs="Times New Roman"/>
      <w:b/>
      <w:bCs/>
      <w:sz w:val="36"/>
      <w:szCs w:val="36"/>
    </w:rPr>
  </w:style>
  <w:style w:type="character" w:customStyle="1" w:styleId="st1">
    <w:name w:val="st1"/>
    <w:rsid w:val="002B4F91"/>
  </w:style>
  <w:style w:type="character" w:customStyle="1" w:styleId="22">
    <w:name w:val="標題 2 字元"/>
    <w:link w:val="21"/>
    <w:rsid w:val="00286F49"/>
    <w:rPr>
      <w:rFonts w:ascii="Book Antiqua" w:eastAsia="華康楷書體W5" w:hAnsi="Arial"/>
      <w:b/>
      <w:spacing w:val="10"/>
      <w:sz w:val="40"/>
    </w:rPr>
  </w:style>
  <w:style w:type="paragraph" w:customStyle="1" w:styleId="aff2">
    <w:name w:val="表附註"/>
    <w:basedOn w:val="24"/>
    <w:rsid w:val="00286F49"/>
    <w:pPr>
      <w:spacing w:after="0" w:line="240" w:lineRule="atLeast"/>
      <w:ind w:left="0"/>
    </w:pPr>
    <w:rPr>
      <w:spacing w:val="0"/>
      <w:sz w:val="24"/>
    </w:rPr>
  </w:style>
  <w:style w:type="paragraph" w:customStyle="1" w:styleId="24">
    <w:name w:val="內文2"/>
    <w:basedOn w:val="a0"/>
    <w:rsid w:val="00286F49"/>
    <w:pPr>
      <w:spacing w:before="120" w:after="120" w:line="324" w:lineRule="auto"/>
      <w:ind w:left="1134"/>
      <w:jc w:val="both"/>
      <w:textAlignment w:val="baseline"/>
    </w:pPr>
    <w:rPr>
      <w:rFonts w:ascii="Book Antiqua" w:eastAsia="華康楷書體W5"/>
      <w:spacing w:val="10"/>
      <w:sz w:val="36"/>
    </w:rPr>
  </w:style>
  <w:style w:type="paragraph" w:customStyle="1" w:styleId="16">
    <w:name w:val="內文1"/>
    <w:basedOn w:val="a0"/>
    <w:rsid w:val="00286F49"/>
    <w:pPr>
      <w:spacing w:before="120" w:after="120" w:line="360" w:lineRule="auto"/>
      <w:ind w:left="964" w:firstLine="397"/>
      <w:jc w:val="both"/>
      <w:textAlignment w:val="baseline"/>
    </w:pPr>
    <w:rPr>
      <w:rFonts w:ascii="Book Antiqua" w:eastAsia="華康中楷體"/>
      <w:spacing w:val="10"/>
      <w:sz w:val="36"/>
    </w:rPr>
  </w:style>
  <w:style w:type="paragraph" w:customStyle="1" w:styleId="33">
    <w:name w:val="內文3"/>
    <w:basedOn w:val="16"/>
    <w:rsid w:val="00286F49"/>
    <w:pPr>
      <w:ind w:left="2042" w:hanging="1021"/>
    </w:pPr>
    <w:rPr>
      <w:rFonts w:eastAsia="華康楷書體W5"/>
    </w:rPr>
  </w:style>
  <w:style w:type="paragraph" w:customStyle="1" w:styleId="4">
    <w:name w:val="內文4"/>
    <w:basedOn w:val="33"/>
    <w:rsid w:val="00286F49"/>
    <w:pPr>
      <w:spacing w:line="680" w:lineRule="exact"/>
      <w:ind w:left="1645" w:hanging="624"/>
    </w:pPr>
  </w:style>
  <w:style w:type="paragraph" w:customStyle="1" w:styleId="5">
    <w:name w:val="內文5"/>
    <w:basedOn w:val="33"/>
    <w:rsid w:val="00286F49"/>
    <w:pPr>
      <w:spacing w:before="240"/>
      <w:ind w:left="1305" w:hanging="284"/>
    </w:pPr>
  </w:style>
  <w:style w:type="paragraph" w:customStyle="1" w:styleId="40">
    <w:name w:val="標題4"/>
    <w:basedOn w:val="3"/>
    <w:rsid w:val="00286F49"/>
    <w:pPr>
      <w:spacing w:before="120" w:after="360"/>
      <w:textAlignment w:val="baseline"/>
      <w:outlineLvl w:val="9"/>
    </w:pPr>
    <w:rPr>
      <w:rFonts w:ascii="Arial" w:eastAsia="華康楷書體W5" w:hAnsi="Arial"/>
      <w:bCs w:val="0"/>
      <w:spacing w:val="10"/>
      <w:sz w:val="40"/>
      <w:szCs w:val="20"/>
    </w:rPr>
  </w:style>
  <w:style w:type="paragraph" w:customStyle="1" w:styleId="6">
    <w:name w:val="內文6"/>
    <w:basedOn w:val="16"/>
    <w:rsid w:val="00286F49"/>
    <w:pPr>
      <w:spacing w:line="680" w:lineRule="exact"/>
      <w:ind w:left="567" w:firstLine="680"/>
    </w:pPr>
    <w:rPr>
      <w:rFonts w:eastAsia="華康楷書體W5"/>
    </w:rPr>
  </w:style>
  <w:style w:type="paragraph" w:customStyle="1" w:styleId="50">
    <w:name w:val="標題5"/>
    <w:basedOn w:val="40"/>
    <w:rsid w:val="00286F49"/>
    <w:pPr>
      <w:ind w:left="567"/>
    </w:pPr>
    <w:rPr>
      <w:rFonts w:ascii="Book Antiqua"/>
      <w:b w:val="0"/>
      <w:sz w:val="32"/>
    </w:rPr>
  </w:style>
  <w:style w:type="paragraph" w:customStyle="1" w:styleId="7">
    <w:name w:val="內文7"/>
    <w:basedOn w:val="4"/>
    <w:rsid w:val="00286F49"/>
    <w:pPr>
      <w:ind w:left="2211" w:hanging="964"/>
    </w:pPr>
  </w:style>
  <w:style w:type="paragraph" w:customStyle="1" w:styleId="60">
    <w:name w:val="標題6"/>
    <w:basedOn w:val="50"/>
    <w:rsid w:val="00286F49"/>
    <w:rPr>
      <w:b/>
    </w:rPr>
  </w:style>
  <w:style w:type="paragraph" w:customStyle="1" w:styleId="70">
    <w:name w:val="標題7"/>
    <w:basedOn w:val="3"/>
    <w:rsid w:val="00286F49"/>
    <w:pPr>
      <w:spacing w:before="120" w:after="360"/>
      <w:ind w:left="794" w:hanging="1247"/>
      <w:jc w:val="both"/>
      <w:textAlignment w:val="baseline"/>
      <w:outlineLvl w:val="9"/>
    </w:pPr>
    <w:rPr>
      <w:rFonts w:ascii="Arial" w:eastAsia="華康楷書體W5" w:hAnsi="Arial"/>
      <w:b w:val="0"/>
      <w:bCs w:val="0"/>
      <w:spacing w:val="10"/>
      <w:szCs w:val="20"/>
    </w:rPr>
  </w:style>
  <w:style w:type="paragraph" w:customStyle="1" w:styleId="8">
    <w:name w:val="內文8"/>
    <w:basedOn w:val="7"/>
    <w:rsid w:val="00286F49"/>
    <w:pPr>
      <w:spacing w:before="0" w:after="0"/>
    </w:pPr>
  </w:style>
  <w:style w:type="paragraph" w:customStyle="1" w:styleId="9">
    <w:name w:val="內文9"/>
    <w:basedOn w:val="4"/>
    <w:rsid w:val="00286F49"/>
    <w:pPr>
      <w:spacing w:before="0" w:after="0"/>
    </w:pPr>
  </w:style>
  <w:style w:type="paragraph" w:customStyle="1" w:styleId="17">
    <w:name w:val="樣式1"/>
    <w:basedOn w:val="a0"/>
    <w:rsid w:val="00286F49"/>
    <w:pPr>
      <w:spacing w:after="240" w:line="680" w:lineRule="exact"/>
      <w:ind w:left="1134" w:firstLine="567"/>
      <w:jc w:val="both"/>
      <w:textAlignment w:val="baseline"/>
    </w:pPr>
    <w:rPr>
      <w:rFonts w:ascii="Book Antiqua" w:eastAsia="華康楷書體W5"/>
      <w:spacing w:val="10"/>
      <w:sz w:val="36"/>
    </w:rPr>
  </w:style>
  <w:style w:type="paragraph" w:customStyle="1" w:styleId="80">
    <w:name w:val="標題8"/>
    <w:basedOn w:val="3"/>
    <w:rsid w:val="00286F49"/>
    <w:pPr>
      <w:spacing w:before="120" w:after="360"/>
      <w:ind w:left="1814" w:hanging="1247"/>
      <w:jc w:val="both"/>
      <w:textAlignment w:val="baseline"/>
      <w:outlineLvl w:val="9"/>
    </w:pPr>
    <w:rPr>
      <w:rFonts w:ascii="Arial" w:eastAsia="華康楷書體W5" w:hAnsi="Arial"/>
      <w:bCs w:val="0"/>
      <w:spacing w:val="10"/>
      <w:sz w:val="40"/>
      <w:szCs w:val="20"/>
    </w:rPr>
  </w:style>
  <w:style w:type="paragraph" w:customStyle="1" w:styleId="90">
    <w:name w:val="標題9"/>
    <w:basedOn w:val="70"/>
    <w:rsid w:val="00286F49"/>
    <w:pPr>
      <w:ind w:left="680" w:firstLine="0"/>
      <w:jc w:val="left"/>
    </w:pPr>
  </w:style>
  <w:style w:type="paragraph" w:customStyle="1" w:styleId="100">
    <w:name w:val="內文10"/>
    <w:basedOn w:val="6"/>
    <w:rsid w:val="00286F49"/>
    <w:pPr>
      <w:ind w:firstLine="454"/>
    </w:pPr>
  </w:style>
  <w:style w:type="paragraph" w:customStyle="1" w:styleId="110">
    <w:name w:val="內文11"/>
    <w:basedOn w:val="100"/>
    <w:rsid w:val="00286F49"/>
  </w:style>
  <w:style w:type="paragraph" w:customStyle="1" w:styleId="120">
    <w:name w:val="內文12"/>
    <w:basedOn w:val="8"/>
    <w:rsid w:val="00286F49"/>
    <w:pPr>
      <w:ind w:left="1248"/>
    </w:pPr>
    <w:rPr>
      <w:spacing w:val="0"/>
    </w:rPr>
  </w:style>
  <w:style w:type="paragraph" w:customStyle="1" w:styleId="aff3">
    <w:name w:val="ｂ（）ｒ"/>
    <w:basedOn w:val="a0"/>
    <w:rsid w:val="00286F49"/>
    <w:pPr>
      <w:spacing w:before="120" w:after="120" w:line="680" w:lineRule="exact"/>
      <w:ind w:left="2042" w:hanging="1021"/>
      <w:jc w:val="both"/>
      <w:textDirection w:val="lrTbV"/>
      <w:textAlignment w:val="baseline"/>
    </w:pPr>
    <w:rPr>
      <w:rFonts w:ascii="Book Antiqua" w:eastAsia="標楷體"/>
      <w:color w:val="000000"/>
      <w:spacing w:val="10"/>
      <w:sz w:val="36"/>
    </w:rPr>
  </w:style>
  <w:style w:type="paragraph" w:customStyle="1" w:styleId="210">
    <w:name w:val="本文 21"/>
    <w:basedOn w:val="a0"/>
    <w:rsid w:val="00286F49"/>
    <w:pPr>
      <w:spacing w:line="240" w:lineRule="auto"/>
      <w:ind w:firstLine="720"/>
      <w:jc w:val="both"/>
      <w:textAlignment w:val="baseline"/>
    </w:pPr>
    <w:rPr>
      <w:rFonts w:ascii="華康仿宋體W6" w:eastAsia="華康仿宋體W6"/>
      <w:kern w:val="2"/>
      <w:sz w:val="36"/>
    </w:rPr>
  </w:style>
  <w:style w:type="paragraph" w:customStyle="1" w:styleId="aff4">
    <w:name w:val="點段"/>
    <w:basedOn w:val="a0"/>
    <w:rsid w:val="00286F49"/>
    <w:pPr>
      <w:tabs>
        <w:tab w:val="left" w:pos="1332"/>
        <w:tab w:val="left" w:pos="11421"/>
      </w:tabs>
      <w:spacing w:before="120" w:after="120" w:line="440" w:lineRule="atLeast"/>
      <w:ind w:left="976" w:hanging="488"/>
      <w:jc w:val="both"/>
      <w:textAlignment w:val="baseline"/>
    </w:pPr>
    <w:rPr>
      <w:rFonts w:ascii="標楷體" w:eastAsia="標楷體"/>
      <w:sz w:val="36"/>
    </w:rPr>
  </w:style>
  <w:style w:type="paragraph" w:customStyle="1" w:styleId="18">
    <w:name w:val="(1)"/>
    <w:basedOn w:val="a0"/>
    <w:rsid w:val="00286F49"/>
    <w:pPr>
      <w:spacing w:before="120" w:after="120" w:line="360" w:lineRule="auto"/>
      <w:ind w:left="960" w:hanging="450"/>
      <w:jc w:val="both"/>
      <w:textAlignment w:val="baseline"/>
    </w:pPr>
    <w:rPr>
      <w:rFonts w:ascii="細明體"/>
      <w:sz w:val="28"/>
    </w:rPr>
  </w:style>
  <w:style w:type="paragraph" w:customStyle="1" w:styleId="aff5">
    <w:name w:val="(一)文"/>
    <w:basedOn w:val="a0"/>
    <w:rsid w:val="00286F49"/>
    <w:pPr>
      <w:spacing w:before="120" w:after="120" w:line="680" w:lineRule="exact"/>
      <w:ind w:right="40" w:firstLine="765"/>
      <w:textAlignment w:val="baseline"/>
    </w:pPr>
    <w:rPr>
      <w:rFonts w:ascii="華康楷書體W5" w:eastAsia="華康楷書體W5"/>
      <w:spacing w:val="20"/>
      <w:sz w:val="36"/>
    </w:rPr>
  </w:style>
  <w:style w:type="paragraph" w:customStyle="1" w:styleId="aff6">
    <w:name w:val="姓名"/>
    <w:basedOn w:val="a0"/>
    <w:rsid w:val="00286F49"/>
    <w:pPr>
      <w:spacing w:before="120" w:after="120" w:line="360" w:lineRule="auto"/>
      <w:ind w:left="510"/>
      <w:jc w:val="center"/>
      <w:textAlignment w:val="baseline"/>
    </w:pPr>
    <w:rPr>
      <w:rFonts w:ascii="Book Antiqua" w:eastAsia="華康隸書體W5"/>
      <w:sz w:val="28"/>
    </w:rPr>
  </w:style>
  <w:style w:type="paragraph" w:customStyle="1" w:styleId="19">
    <w:name w:val="段落1"/>
    <w:basedOn w:val="a0"/>
    <w:rsid w:val="00286F49"/>
    <w:pPr>
      <w:spacing w:before="120" w:after="120" w:line="960" w:lineRule="atLeast"/>
      <w:ind w:firstLine="1080"/>
      <w:jc w:val="both"/>
      <w:textAlignment w:val="baseline"/>
    </w:pPr>
    <w:rPr>
      <w:rFonts w:ascii="華康中楷體" w:eastAsia="華康中楷體"/>
      <w:spacing w:val="5"/>
      <w:sz w:val="54"/>
    </w:rPr>
  </w:style>
  <w:style w:type="paragraph" w:styleId="aff7">
    <w:name w:val="Document Map"/>
    <w:basedOn w:val="a0"/>
    <w:link w:val="aff8"/>
    <w:semiHidden/>
    <w:rsid w:val="00286F49"/>
    <w:pPr>
      <w:shd w:val="clear" w:color="auto" w:fill="000080"/>
      <w:spacing w:after="240" w:line="680" w:lineRule="exact"/>
      <w:ind w:left="1134" w:firstLine="567"/>
      <w:jc w:val="both"/>
      <w:textAlignment w:val="baseline"/>
    </w:pPr>
    <w:rPr>
      <w:rFonts w:ascii="Arial" w:eastAsia="新細明體" w:hAnsi="Arial"/>
      <w:spacing w:val="10"/>
      <w:sz w:val="36"/>
    </w:rPr>
  </w:style>
  <w:style w:type="character" w:customStyle="1" w:styleId="aff8">
    <w:name w:val="文件引導模式 字元"/>
    <w:link w:val="aff7"/>
    <w:semiHidden/>
    <w:rsid w:val="00286F49"/>
    <w:rPr>
      <w:rFonts w:ascii="Arial" w:hAnsi="Arial"/>
      <w:spacing w:val="10"/>
      <w:sz w:val="36"/>
      <w:shd w:val="clear" w:color="auto" w:fill="000080"/>
    </w:rPr>
  </w:style>
  <w:style w:type="paragraph" w:customStyle="1" w:styleId="D4">
    <w:name w:val="陏D4"/>
    <w:basedOn w:val="3"/>
    <w:rsid w:val="00286F49"/>
    <w:pPr>
      <w:spacing w:before="120" w:after="360"/>
      <w:textAlignment w:val="baseline"/>
      <w:outlineLvl w:val="9"/>
    </w:pPr>
    <w:rPr>
      <w:rFonts w:ascii="Arial" w:eastAsia="華康楷書體W5" w:hAnsi="Arial"/>
      <w:bCs w:val="0"/>
      <w:spacing w:val="10"/>
      <w:sz w:val="40"/>
      <w:szCs w:val="20"/>
    </w:rPr>
  </w:style>
  <w:style w:type="paragraph" w:customStyle="1" w:styleId="BodyText22">
    <w:name w:val="Body Text 22"/>
    <w:basedOn w:val="a0"/>
    <w:rsid w:val="00286F49"/>
    <w:pPr>
      <w:spacing w:before="120" w:after="120" w:line="440" w:lineRule="exact"/>
      <w:textAlignment w:val="baseline"/>
    </w:pPr>
    <w:rPr>
      <w:rFonts w:ascii="標楷體" w:eastAsia="標楷體"/>
      <w:sz w:val="30"/>
    </w:rPr>
  </w:style>
  <w:style w:type="paragraph" w:customStyle="1" w:styleId="aff9">
    <w:name w:val="中標題"/>
    <w:basedOn w:val="a0"/>
    <w:rsid w:val="00286F49"/>
    <w:pPr>
      <w:tabs>
        <w:tab w:val="left" w:pos="12960"/>
      </w:tabs>
      <w:spacing w:line="400" w:lineRule="atLeast"/>
      <w:textAlignment w:val="baseline"/>
    </w:pPr>
    <w:rPr>
      <w:sz w:val="22"/>
    </w:rPr>
  </w:style>
  <w:style w:type="paragraph" w:customStyle="1" w:styleId="affa">
    <w:name w:val="大標題本文"/>
    <w:basedOn w:val="a0"/>
    <w:rsid w:val="00286F49"/>
    <w:pPr>
      <w:tabs>
        <w:tab w:val="left" w:pos="13680"/>
      </w:tabs>
      <w:spacing w:before="60" w:after="60" w:line="440" w:lineRule="exact"/>
      <w:ind w:firstLine="476"/>
      <w:jc w:val="both"/>
      <w:textAlignment w:val="baseline"/>
    </w:pPr>
    <w:rPr>
      <w:rFonts w:eastAsia="華康中楷體"/>
      <w:sz w:val="24"/>
    </w:rPr>
  </w:style>
  <w:style w:type="character" w:customStyle="1" w:styleId="textstory1">
    <w:name w:val="text_story1"/>
    <w:rsid w:val="00286F49"/>
    <w:rPr>
      <w:rFonts w:ascii="sө" w:hAnsi="sө" w:hint="default"/>
      <w:i w:val="0"/>
      <w:iCs w:val="0"/>
      <w:strike w:val="0"/>
      <w:dstrike w:val="0"/>
      <w:color w:val="000000"/>
      <w:sz w:val="22"/>
      <w:szCs w:val="22"/>
      <w:u w:val="none"/>
      <w:effect w:val="none"/>
    </w:rPr>
  </w:style>
  <w:style w:type="paragraph" w:customStyle="1" w:styleId="section">
    <w:name w:val="section"/>
    <w:basedOn w:val="a0"/>
    <w:rsid w:val="00286F49"/>
    <w:pPr>
      <w:tabs>
        <w:tab w:val="left" w:pos="5580"/>
      </w:tabs>
      <w:autoSpaceDE w:val="0"/>
      <w:autoSpaceDN w:val="0"/>
      <w:spacing w:before="120" w:after="120" w:line="480" w:lineRule="atLeast"/>
      <w:ind w:firstLine="539"/>
      <w:jc w:val="both"/>
      <w:textAlignment w:val="baseline"/>
    </w:pPr>
    <w:rPr>
      <w:rFonts w:eastAsia="標楷體"/>
      <w:sz w:val="28"/>
    </w:rPr>
  </w:style>
  <w:style w:type="paragraph" w:styleId="affb">
    <w:name w:val="Salutation"/>
    <w:basedOn w:val="a0"/>
    <w:next w:val="a0"/>
    <w:link w:val="affc"/>
    <w:rsid w:val="00286F49"/>
    <w:pPr>
      <w:spacing w:after="240" w:line="680" w:lineRule="exact"/>
      <w:ind w:left="1134" w:firstLine="567"/>
      <w:jc w:val="both"/>
      <w:textAlignment w:val="baseline"/>
    </w:pPr>
    <w:rPr>
      <w:rFonts w:ascii="標楷體" w:eastAsia="標楷體" w:hAnsi="Garamond"/>
      <w:spacing w:val="20"/>
      <w:sz w:val="32"/>
    </w:rPr>
  </w:style>
  <w:style w:type="character" w:customStyle="1" w:styleId="affc">
    <w:name w:val="問候 字元"/>
    <w:link w:val="affb"/>
    <w:rsid w:val="00286F49"/>
    <w:rPr>
      <w:rFonts w:ascii="標楷體" w:eastAsia="標楷體" w:hAnsi="Garamond"/>
      <w:spacing w:val="20"/>
      <w:sz w:val="32"/>
    </w:rPr>
  </w:style>
  <w:style w:type="paragraph" w:styleId="affd">
    <w:name w:val="Closing"/>
    <w:basedOn w:val="a0"/>
    <w:next w:val="a0"/>
    <w:link w:val="affe"/>
    <w:rsid w:val="00286F49"/>
    <w:pPr>
      <w:spacing w:after="240" w:line="680" w:lineRule="exact"/>
      <w:ind w:left="4320" w:firstLine="567"/>
      <w:jc w:val="both"/>
      <w:textAlignment w:val="baseline"/>
    </w:pPr>
    <w:rPr>
      <w:rFonts w:ascii="標楷體" w:eastAsia="標楷體" w:hAnsi="Garamond"/>
      <w:spacing w:val="20"/>
      <w:sz w:val="32"/>
    </w:rPr>
  </w:style>
  <w:style w:type="character" w:customStyle="1" w:styleId="affe">
    <w:name w:val="結語 字元"/>
    <w:link w:val="affd"/>
    <w:rsid w:val="00286F49"/>
    <w:rPr>
      <w:rFonts w:ascii="標楷體" w:eastAsia="標楷體" w:hAnsi="Garamond"/>
      <w:spacing w:val="20"/>
      <w:sz w:val="32"/>
    </w:rPr>
  </w:style>
  <w:style w:type="paragraph" w:customStyle="1" w:styleId="afff">
    <w:name w:val="小段"/>
    <w:basedOn w:val="a0"/>
    <w:rsid w:val="00286F49"/>
    <w:pPr>
      <w:adjustRightInd/>
      <w:snapToGrid w:val="0"/>
      <w:spacing w:before="120" w:after="120" w:line="500" w:lineRule="atLeast"/>
      <w:ind w:right="26" w:firstLine="720"/>
      <w:jc w:val="both"/>
      <w:textAlignment w:val="auto"/>
    </w:pPr>
    <w:rPr>
      <w:rFonts w:eastAsia="標楷體"/>
      <w:kern w:val="2"/>
      <w:sz w:val="32"/>
    </w:rPr>
  </w:style>
  <w:style w:type="paragraph" w:customStyle="1" w:styleId="main">
    <w:name w:val="main"/>
    <w:basedOn w:val="a0"/>
    <w:rsid w:val="00286F49"/>
    <w:pPr>
      <w:adjustRightInd/>
      <w:snapToGrid w:val="0"/>
      <w:spacing w:beforeLines="50" w:before="180" w:afterLines="50" w:after="180" w:line="540" w:lineRule="atLeast"/>
      <w:ind w:firstLineChars="200" w:firstLine="560"/>
      <w:jc w:val="both"/>
      <w:textAlignment w:val="auto"/>
    </w:pPr>
    <w:rPr>
      <w:rFonts w:ascii="標楷體" w:eastAsia="標楷體" w:hAnsi="標楷體"/>
      <w:kern w:val="2"/>
      <w:sz w:val="28"/>
      <w:szCs w:val="24"/>
    </w:rPr>
  </w:style>
  <w:style w:type="paragraph" w:customStyle="1" w:styleId="P0">
    <w:name w:val="P0"/>
    <w:basedOn w:val="afa"/>
    <w:rsid w:val="00286F49"/>
    <w:pPr>
      <w:snapToGrid w:val="0"/>
      <w:spacing w:before="120" w:line="700" w:lineRule="atLeast"/>
      <w:ind w:left="960" w:firstLine="720"/>
      <w:textDirection w:val="lrTbV"/>
      <w:textAlignment w:val="baseline"/>
    </w:pPr>
    <w:rPr>
      <w:rFonts w:ascii="標楷體"/>
      <w:spacing w:val="20"/>
    </w:rPr>
  </w:style>
  <w:style w:type="paragraph" w:customStyle="1" w:styleId="afff0">
    <w:name w:val="表內容"/>
    <w:basedOn w:val="24"/>
    <w:rsid w:val="00286F49"/>
    <w:pPr>
      <w:spacing w:before="0" w:line="240" w:lineRule="atLeast"/>
      <w:ind w:left="0"/>
      <w:jc w:val="center"/>
    </w:pPr>
    <w:rPr>
      <w:spacing w:val="0"/>
      <w:sz w:val="22"/>
    </w:rPr>
  </w:style>
  <w:style w:type="character" w:customStyle="1" w:styleId="text11">
    <w:name w:val="text11"/>
    <w:rsid w:val="00286F49"/>
    <w:rPr>
      <w:color w:val="000000"/>
      <w:sz w:val="22"/>
      <w:szCs w:val="22"/>
    </w:rPr>
  </w:style>
  <w:style w:type="paragraph" w:styleId="20">
    <w:name w:val="toc 2"/>
    <w:aliases w:val="樣式(一)"/>
    <w:basedOn w:val="a0"/>
    <w:autoRedefine/>
    <w:semiHidden/>
    <w:rsid w:val="00286F49"/>
    <w:pPr>
      <w:numPr>
        <w:ilvl w:val="1"/>
        <w:numId w:val="3"/>
      </w:numPr>
      <w:adjustRightInd/>
      <w:spacing w:line="240" w:lineRule="auto"/>
      <w:jc w:val="both"/>
      <w:textAlignment w:val="auto"/>
    </w:pPr>
    <w:rPr>
      <w:rFonts w:eastAsia="標楷體"/>
      <w:b/>
      <w:kern w:val="2"/>
      <w:sz w:val="28"/>
    </w:rPr>
  </w:style>
  <w:style w:type="character" w:styleId="afff1">
    <w:name w:val="Hyperlink"/>
    <w:rsid w:val="00286F49"/>
    <w:rPr>
      <w:strike w:val="0"/>
      <w:dstrike w:val="0"/>
      <w:color w:val="0066CC"/>
      <w:u w:val="none"/>
      <w:effect w:val="none"/>
    </w:rPr>
  </w:style>
  <w:style w:type="character" w:styleId="afff2">
    <w:name w:val="FollowedHyperlink"/>
    <w:rsid w:val="00286F49"/>
    <w:rPr>
      <w:color w:val="800080"/>
      <w:u w:val="single"/>
    </w:rPr>
  </w:style>
  <w:style w:type="character" w:customStyle="1" w:styleId="newscontent1">
    <w:name w:val="news_content1"/>
    <w:rsid w:val="00286F49"/>
    <w:rPr>
      <w:sz w:val="19"/>
      <w:szCs w:val="19"/>
    </w:rPr>
  </w:style>
  <w:style w:type="paragraph" w:customStyle="1" w:styleId="afff3">
    <w:name w:val="內文 + 標楷體"/>
    <w:aliases w:val="16 點,左右對齊,左:  0 cm,凸出:  3.6 字元,行距:  固定行高 30 pt,14 點"/>
    <w:basedOn w:val="a0"/>
    <w:rsid w:val="00286F49"/>
    <w:pPr>
      <w:adjustRightInd/>
      <w:spacing w:line="240" w:lineRule="auto"/>
      <w:textAlignment w:val="auto"/>
    </w:pPr>
    <w:rPr>
      <w:rFonts w:ascii="標楷體" w:eastAsia="標楷體" w:hAnsi="標楷體"/>
      <w:kern w:val="2"/>
      <w:sz w:val="28"/>
      <w:szCs w:val="28"/>
    </w:rPr>
  </w:style>
  <w:style w:type="character" w:customStyle="1" w:styleId="mbody6">
    <w:name w:val="mbody6"/>
    <w:rsid w:val="00286F49"/>
    <w:rPr>
      <w:rFonts w:ascii="Arial" w:hAnsi="Arial" w:cs="Arial" w:hint="default"/>
      <w:sz w:val="24"/>
      <w:szCs w:val="24"/>
    </w:rPr>
  </w:style>
  <w:style w:type="paragraph" w:customStyle="1" w:styleId="afff4">
    <w:name w:val="一'"/>
    <w:basedOn w:val="a0"/>
    <w:rsid w:val="00286F49"/>
    <w:pPr>
      <w:spacing w:line="560" w:lineRule="atLeast"/>
      <w:ind w:firstLine="720"/>
      <w:jc w:val="both"/>
      <w:textAlignment w:val="baseline"/>
    </w:pPr>
    <w:rPr>
      <w:rFonts w:ascii="標楷體" w:eastAsia="標楷體"/>
      <w:sz w:val="36"/>
    </w:rPr>
  </w:style>
  <w:style w:type="paragraph" w:customStyle="1" w:styleId="default0">
    <w:name w:val="default"/>
    <w:basedOn w:val="a0"/>
    <w:rsid w:val="00286F49"/>
    <w:pPr>
      <w:widowControl/>
      <w:adjustRightInd/>
      <w:spacing w:before="100" w:beforeAutospacing="1" w:after="100" w:afterAutospacing="1" w:line="240" w:lineRule="auto"/>
      <w:textAlignment w:val="auto"/>
    </w:pPr>
    <w:rPr>
      <w:rFonts w:ascii="新細明體" w:eastAsia="新細明體" w:hAnsi="新細明體" w:cs="新細明體"/>
      <w:sz w:val="24"/>
      <w:szCs w:val="24"/>
    </w:rPr>
  </w:style>
  <w:style w:type="paragraph" w:customStyle="1" w:styleId="25">
    <w:name w:val="字元 字元2 字元 字元 字元 字元"/>
    <w:basedOn w:val="a0"/>
    <w:semiHidden/>
    <w:rsid w:val="00286F49"/>
    <w:pPr>
      <w:widowControl/>
      <w:adjustRightInd/>
      <w:spacing w:after="160" w:line="240" w:lineRule="exact"/>
      <w:textAlignment w:val="auto"/>
    </w:pPr>
    <w:rPr>
      <w:rFonts w:ascii="Verdana" w:eastAsia="Times New Roman" w:hAnsi="Verdana" w:cs="Mangal"/>
      <w:kern w:val="2"/>
      <w:szCs w:val="24"/>
      <w:lang w:eastAsia="en-US" w:bidi="hi-IN"/>
    </w:rPr>
  </w:style>
  <w:style w:type="character" w:customStyle="1" w:styleId="newmidwordlarge1">
    <w:name w:val="new_mid_word_large1"/>
    <w:rsid w:val="00286F49"/>
    <w:rPr>
      <w:rFonts w:ascii="Arial" w:hAnsi="Arial" w:cs="Arial" w:hint="default"/>
      <w:strike w:val="0"/>
      <w:dstrike w:val="0"/>
      <w:color w:val="555555"/>
      <w:sz w:val="19"/>
      <w:szCs w:val="19"/>
      <w:u w:val="none"/>
      <w:effect w:val="none"/>
    </w:rPr>
  </w:style>
  <w:style w:type="character" w:customStyle="1" w:styleId="12">
    <w:name w:val="標題 1 字元"/>
    <w:link w:val="11"/>
    <w:uiPriority w:val="9"/>
    <w:rsid w:val="00286F49"/>
    <w:rPr>
      <w:rFonts w:ascii="Arial Unicode MS" w:eastAsia="Arial Unicode MS" w:hAnsi="Arial Unicode MS" w:cs="Arial Unicode MS"/>
      <w:b/>
      <w:bCs/>
      <w:kern w:val="36"/>
      <w:sz w:val="48"/>
      <w:szCs w:val="48"/>
    </w:rPr>
  </w:style>
  <w:style w:type="paragraph" w:styleId="afff5">
    <w:name w:val="List Paragraph"/>
    <w:basedOn w:val="a0"/>
    <w:uiPriority w:val="34"/>
    <w:qFormat/>
    <w:rsid w:val="00286F49"/>
    <w:pPr>
      <w:spacing w:after="240" w:line="680" w:lineRule="exact"/>
      <w:ind w:leftChars="200" w:left="480" w:firstLine="567"/>
      <w:jc w:val="both"/>
      <w:textAlignment w:val="baseline"/>
    </w:pPr>
    <w:rPr>
      <w:rFonts w:ascii="Book Antiqua" w:eastAsia="華康楷書體W5"/>
      <w:spacing w:val="10"/>
      <w:sz w:val="36"/>
    </w:rPr>
  </w:style>
  <w:style w:type="table" w:styleId="afff6">
    <w:name w:val="Table Grid"/>
    <w:basedOn w:val="a2"/>
    <w:rsid w:val="00286F49"/>
    <w:rPr>
      <w:rFonts w:eastAsia="細明體"/>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fc">
    <w:name w:val="註腳文字 字元"/>
    <w:link w:val="afb"/>
    <w:rsid w:val="00286F49"/>
    <w:rPr>
      <w:kern w:val="2"/>
    </w:rPr>
  </w:style>
  <w:style w:type="character" w:customStyle="1" w:styleId="a6">
    <w:name w:val="頁尾 字元"/>
    <w:link w:val="a5"/>
    <w:uiPriority w:val="99"/>
    <w:rsid w:val="0091791E"/>
    <w:rPr>
      <w:rFonts w:eastAsia="細明體"/>
      <w:sz w:val="18"/>
    </w:rPr>
  </w:style>
  <w:style w:type="character" w:customStyle="1" w:styleId="a8">
    <w:name w:val="頁首 字元"/>
    <w:link w:val="a7"/>
    <w:uiPriority w:val="99"/>
    <w:rsid w:val="00527E73"/>
    <w:rPr>
      <w:rFonts w:eastAsia="細明體"/>
    </w:rPr>
  </w:style>
  <w:style w:type="paragraph" w:customStyle="1" w:styleId="10">
    <w:name w:val="理監事會第 1層"/>
    <w:basedOn w:val="af0"/>
    <w:qFormat/>
    <w:rsid w:val="006D5EC2"/>
    <w:pPr>
      <w:widowControl/>
      <w:numPr>
        <w:numId w:val="5"/>
      </w:numPr>
      <w:topLinePunct/>
      <w:snapToGrid w:val="0"/>
      <w:spacing w:after="100" w:line="580" w:lineRule="exact"/>
      <w:ind w:left="925" w:right="0" w:hanging="641"/>
      <w:textDirection w:val="lrTb"/>
      <w:textAlignment w:val="auto"/>
    </w:pPr>
    <w:rPr>
      <w:rFonts w:ascii="Times New Roman" w:eastAsia="標楷體"/>
      <w:snapToGrid w:val="0"/>
      <w:spacing w:val="0"/>
      <w:sz w:val="32"/>
    </w:rPr>
  </w:style>
  <w:style w:type="paragraph" w:customStyle="1" w:styleId="2">
    <w:name w:val="理監事會第2層"/>
    <w:basedOn w:val="a0"/>
    <w:qFormat/>
    <w:rsid w:val="006D5EC2"/>
    <w:pPr>
      <w:widowControl/>
      <w:numPr>
        <w:numId w:val="6"/>
      </w:numPr>
      <w:tabs>
        <w:tab w:val="left" w:pos="1276"/>
      </w:tabs>
      <w:topLinePunct/>
      <w:snapToGrid w:val="0"/>
      <w:spacing w:after="100" w:line="580" w:lineRule="exact"/>
      <w:jc w:val="both"/>
      <w:textAlignment w:val="auto"/>
    </w:pPr>
    <w:rPr>
      <w:rFonts w:eastAsia="標楷體"/>
      <w:kern w:val="2"/>
      <w:sz w:val="32"/>
      <w:szCs w:val="24"/>
    </w:rPr>
  </w:style>
  <w:style w:type="paragraph" w:customStyle="1" w:styleId="34">
    <w:name w:val="理監事會第3層"/>
    <w:basedOn w:val="a0"/>
    <w:qFormat/>
    <w:rsid w:val="006D5EC2"/>
    <w:pPr>
      <w:widowControl/>
      <w:topLinePunct/>
      <w:snapToGrid w:val="0"/>
      <w:spacing w:after="100" w:line="580" w:lineRule="exact"/>
      <w:jc w:val="both"/>
      <w:textAlignment w:val="auto"/>
    </w:pPr>
    <w:rPr>
      <w:rFonts w:eastAsia="標楷體"/>
      <w:snapToGrid w:val="0"/>
      <w:sz w:val="32"/>
      <w:szCs w:val="24"/>
    </w:rPr>
  </w:style>
  <w:style w:type="paragraph" w:customStyle="1" w:styleId="1">
    <w:name w:val="1."/>
    <w:basedOn w:val="a0"/>
    <w:autoRedefine/>
    <w:rsid w:val="00EE7DB0"/>
    <w:pPr>
      <w:numPr>
        <w:numId w:val="11"/>
      </w:numPr>
      <w:topLinePunct/>
      <w:adjustRightInd/>
      <w:spacing w:after="100" w:line="580" w:lineRule="exact"/>
      <w:ind w:left="1406" w:right="28" w:hanging="641"/>
      <w:jc w:val="both"/>
      <w:textAlignment w:val="auto"/>
    </w:pPr>
    <w:rPr>
      <w:rFonts w:ascii="標楷體" w:eastAsia="標楷體"/>
      <w:kern w:val="2"/>
      <w:sz w:val="32"/>
      <w:szCs w:val="24"/>
    </w:rPr>
  </w:style>
  <w:style w:type="character" w:customStyle="1" w:styleId="af4">
    <w:name w:val="本文 字元"/>
    <w:basedOn w:val="a1"/>
    <w:link w:val="af3"/>
    <w:locked/>
    <w:rsid w:val="00BD32CA"/>
    <w:rPr>
      <w:rFonts w:eastAsia="標楷體"/>
      <w:sz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7827012">
      <w:bodyDiv w:val="1"/>
      <w:marLeft w:val="0"/>
      <w:marRight w:val="0"/>
      <w:marTop w:val="0"/>
      <w:marBottom w:val="0"/>
      <w:divBdr>
        <w:top w:val="none" w:sz="0" w:space="0" w:color="auto"/>
        <w:left w:val="none" w:sz="0" w:space="0" w:color="auto"/>
        <w:bottom w:val="none" w:sz="0" w:space="0" w:color="auto"/>
        <w:right w:val="none" w:sz="0" w:space="0" w:color="auto"/>
      </w:divBdr>
      <w:divsChild>
        <w:div w:id="1287732111">
          <w:marLeft w:val="0"/>
          <w:marRight w:val="0"/>
          <w:marTop w:val="0"/>
          <w:marBottom w:val="0"/>
          <w:divBdr>
            <w:top w:val="none" w:sz="0" w:space="0" w:color="auto"/>
            <w:left w:val="none" w:sz="0" w:space="0" w:color="auto"/>
            <w:bottom w:val="none" w:sz="0" w:space="0" w:color="auto"/>
            <w:right w:val="none" w:sz="0" w:space="0" w:color="auto"/>
          </w:divBdr>
          <w:divsChild>
            <w:div w:id="1354460009">
              <w:marLeft w:val="0"/>
              <w:marRight w:val="0"/>
              <w:marTop w:val="0"/>
              <w:marBottom w:val="0"/>
              <w:divBdr>
                <w:top w:val="none" w:sz="0" w:space="0" w:color="auto"/>
                <w:left w:val="none" w:sz="0" w:space="0" w:color="auto"/>
                <w:bottom w:val="none" w:sz="0" w:space="0" w:color="auto"/>
                <w:right w:val="none" w:sz="0" w:space="0" w:color="auto"/>
              </w:divBdr>
              <w:divsChild>
                <w:div w:id="480732112">
                  <w:marLeft w:val="0"/>
                  <w:marRight w:val="0"/>
                  <w:marTop w:val="0"/>
                  <w:marBottom w:val="0"/>
                  <w:divBdr>
                    <w:top w:val="none" w:sz="0" w:space="0" w:color="auto"/>
                    <w:left w:val="none" w:sz="0" w:space="0" w:color="auto"/>
                    <w:bottom w:val="none" w:sz="0" w:space="0" w:color="auto"/>
                    <w:right w:val="none" w:sz="0" w:space="0" w:color="auto"/>
                  </w:divBdr>
                  <w:divsChild>
                    <w:div w:id="126896340">
                      <w:marLeft w:val="0"/>
                      <w:marRight w:val="0"/>
                      <w:marTop w:val="0"/>
                      <w:marBottom w:val="0"/>
                      <w:divBdr>
                        <w:top w:val="none" w:sz="0" w:space="0" w:color="auto"/>
                        <w:left w:val="none" w:sz="0" w:space="0" w:color="auto"/>
                        <w:bottom w:val="none" w:sz="0" w:space="0" w:color="auto"/>
                        <w:right w:val="none" w:sz="0" w:space="0" w:color="auto"/>
                      </w:divBdr>
                      <w:divsChild>
                        <w:div w:id="266472809">
                          <w:marLeft w:val="0"/>
                          <w:marRight w:val="0"/>
                          <w:marTop w:val="0"/>
                          <w:marBottom w:val="0"/>
                          <w:divBdr>
                            <w:top w:val="none" w:sz="0" w:space="0" w:color="auto"/>
                            <w:left w:val="none" w:sz="0" w:space="0" w:color="auto"/>
                            <w:bottom w:val="none" w:sz="0" w:space="0" w:color="auto"/>
                            <w:right w:val="none" w:sz="0" w:space="0" w:color="auto"/>
                          </w:divBdr>
                          <w:divsChild>
                            <w:div w:id="33966606">
                              <w:marLeft w:val="0"/>
                              <w:marRight w:val="0"/>
                              <w:marTop w:val="0"/>
                              <w:marBottom w:val="0"/>
                              <w:divBdr>
                                <w:top w:val="none" w:sz="0" w:space="0" w:color="auto"/>
                                <w:left w:val="none" w:sz="0" w:space="0" w:color="auto"/>
                                <w:bottom w:val="none" w:sz="0" w:space="0" w:color="auto"/>
                                <w:right w:val="none" w:sz="0" w:space="0" w:color="auto"/>
                              </w:divBdr>
                              <w:divsChild>
                                <w:div w:id="719282890">
                                  <w:marLeft w:val="0"/>
                                  <w:marRight w:val="0"/>
                                  <w:marTop w:val="0"/>
                                  <w:marBottom w:val="0"/>
                                  <w:divBdr>
                                    <w:top w:val="none" w:sz="0" w:space="0" w:color="auto"/>
                                    <w:left w:val="none" w:sz="0" w:space="0" w:color="auto"/>
                                    <w:bottom w:val="none" w:sz="0" w:space="0" w:color="auto"/>
                                    <w:right w:val="none" w:sz="0" w:space="0" w:color="auto"/>
                                  </w:divBdr>
                                  <w:divsChild>
                                    <w:div w:id="2054769483">
                                      <w:marLeft w:val="0"/>
                                      <w:marRight w:val="0"/>
                                      <w:marTop w:val="0"/>
                                      <w:marBottom w:val="0"/>
                                      <w:divBdr>
                                        <w:top w:val="none" w:sz="0" w:space="0" w:color="auto"/>
                                        <w:left w:val="none" w:sz="0" w:space="0" w:color="auto"/>
                                        <w:bottom w:val="none" w:sz="0" w:space="0" w:color="auto"/>
                                        <w:right w:val="none" w:sz="0" w:space="0" w:color="auto"/>
                                      </w:divBdr>
                                      <w:divsChild>
                                        <w:div w:id="1334407986">
                                          <w:marLeft w:val="0"/>
                                          <w:marRight w:val="0"/>
                                          <w:marTop w:val="0"/>
                                          <w:marBottom w:val="525"/>
                                          <w:divBdr>
                                            <w:top w:val="none" w:sz="0" w:space="0" w:color="auto"/>
                                            <w:left w:val="none" w:sz="0" w:space="0" w:color="auto"/>
                                            <w:bottom w:val="none" w:sz="0" w:space="0" w:color="auto"/>
                                            <w:right w:val="none" w:sz="0" w:space="0" w:color="auto"/>
                                          </w:divBdr>
                                          <w:divsChild>
                                            <w:div w:id="1849908556">
                                              <w:marLeft w:val="0"/>
                                              <w:marRight w:val="0"/>
                                              <w:marTop w:val="0"/>
                                              <w:marBottom w:val="0"/>
                                              <w:divBdr>
                                                <w:top w:val="none" w:sz="0" w:space="0" w:color="auto"/>
                                                <w:left w:val="none" w:sz="0" w:space="0" w:color="auto"/>
                                                <w:bottom w:val="none" w:sz="0" w:space="0" w:color="auto"/>
                                                <w:right w:val="none" w:sz="0" w:space="0" w:color="auto"/>
                                              </w:divBdr>
                                              <w:divsChild>
                                                <w:div w:id="1001662720">
                                                  <w:marLeft w:val="0"/>
                                                  <w:marRight w:val="0"/>
                                                  <w:marTop w:val="225"/>
                                                  <w:marBottom w:val="0"/>
                                                  <w:divBdr>
                                                    <w:top w:val="none" w:sz="0" w:space="0" w:color="auto"/>
                                                    <w:left w:val="none" w:sz="0" w:space="0" w:color="auto"/>
                                                    <w:bottom w:val="none" w:sz="0" w:space="0" w:color="auto"/>
                                                    <w:right w:val="none" w:sz="0" w:space="0" w:color="auto"/>
                                                  </w:divBdr>
                                                  <w:divsChild>
                                                    <w:div w:id="13669092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18380650">
      <w:bodyDiv w:val="1"/>
      <w:marLeft w:val="0"/>
      <w:marRight w:val="0"/>
      <w:marTop w:val="0"/>
      <w:marBottom w:val="0"/>
      <w:divBdr>
        <w:top w:val="none" w:sz="0" w:space="0" w:color="auto"/>
        <w:left w:val="none" w:sz="0" w:space="0" w:color="auto"/>
        <w:bottom w:val="none" w:sz="0" w:space="0" w:color="auto"/>
        <w:right w:val="none" w:sz="0" w:space="0" w:color="auto"/>
      </w:divBdr>
    </w:div>
    <w:div w:id="306513676">
      <w:bodyDiv w:val="1"/>
      <w:marLeft w:val="0"/>
      <w:marRight w:val="0"/>
      <w:marTop w:val="0"/>
      <w:marBottom w:val="0"/>
      <w:divBdr>
        <w:top w:val="none" w:sz="0" w:space="0" w:color="auto"/>
        <w:left w:val="none" w:sz="0" w:space="0" w:color="auto"/>
        <w:bottom w:val="none" w:sz="0" w:space="0" w:color="auto"/>
        <w:right w:val="none" w:sz="0" w:space="0" w:color="auto"/>
      </w:divBdr>
    </w:div>
    <w:div w:id="472910718">
      <w:bodyDiv w:val="1"/>
      <w:marLeft w:val="0"/>
      <w:marRight w:val="0"/>
      <w:marTop w:val="0"/>
      <w:marBottom w:val="0"/>
      <w:divBdr>
        <w:top w:val="none" w:sz="0" w:space="0" w:color="auto"/>
        <w:left w:val="none" w:sz="0" w:space="0" w:color="auto"/>
        <w:bottom w:val="none" w:sz="0" w:space="0" w:color="auto"/>
        <w:right w:val="none" w:sz="0" w:space="0" w:color="auto"/>
      </w:divBdr>
    </w:div>
    <w:div w:id="504130895">
      <w:bodyDiv w:val="1"/>
      <w:marLeft w:val="0"/>
      <w:marRight w:val="0"/>
      <w:marTop w:val="0"/>
      <w:marBottom w:val="240"/>
      <w:divBdr>
        <w:top w:val="none" w:sz="0" w:space="0" w:color="auto"/>
        <w:left w:val="none" w:sz="0" w:space="0" w:color="auto"/>
        <w:bottom w:val="none" w:sz="0" w:space="0" w:color="auto"/>
        <w:right w:val="none" w:sz="0" w:space="0" w:color="auto"/>
      </w:divBdr>
      <w:divsChild>
        <w:div w:id="1841000680">
          <w:marLeft w:val="0"/>
          <w:marRight w:val="0"/>
          <w:marTop w:val="0"/>
          <w:marBottom w:val="0"/>
          <w:divBdr>
            <w:top w:val="none" w:sz="0" w:space="0" w:color="auto"/>
            <w:left w:val="none" w:sz="0" w:space="0" w:color="auto"/>
            <w:bottom w:val="none" w:sz="0" w:space="0" w:color="auto"/>
            <w:right w:val="none" w:sz="0" w:space="0" w:color="auto"/>
          </w:divBdr>
          <w:divsChild>
            <w:div w:id="494877479">
              <w:marLeft w:val="150"/>
              <w:marRight w:val="150"/>
              <w:marTop w:val="0"/>
              <w:marBottom w:val="0"/>
              <w:divBdr>
                <w:top w:val="none" w:sz="0" w:space="0" w:color="auto"/>
                <w:left w:val="none" w:sz="0" w:space="0" w:color="auto"/>
                <w:bottom w:val="none" w:sz="0" w:space="0" w:color="auto"/>
                <w:right w:val="none" w:sz="0" w:space="0" w:color="auto"/>
              </w:divBdr>
              <w:divsChild>
                <w:div w:id="1365592283">
                  <w:marLeft w:val="-2400"/>
                  <w:marRight w:val="0"/>
                  <w:marTop w:val="0"/>
                  <w:marBottom w:val="0"/>
                  <w:divBdr>
                    <w:top w:val="none" w:sz="0" w:space="0" w:color="auto"/>
                    <w:left w:val="none" w:sz="0" w:space="0" w:color="auto"/>
                    <w:bottom w:val="none" w:sz="0" w:space="0" w:color="auto"/>
                    <w:right w:val="none" w:sz="0" w:space="0" w:color="auto"/>
                  </w:divBdr>
                  <w:divsChild>
                    <w:div w:id="2115710508">
                      <w:marLeft w:val="2400"/>
                      <w:marRight w:val="0"/>
                      <w:marTop w:val="0"/>
                      <w:marBottom w:val="0"/>
                      <w:divBdr>
                        <w:top w:val="none" w:sz="0" w:space="0" w:color="auto"/>
                        <w:left w:val="none" w:sz="0" w:space="0" w:color="auto"/>
                        <w:bottom w:val="none" w:sz="0" w:space="0" w:color="auto"/>
                        <w:right w:val="none" w:sz="0" w:space="0" w:color="auto"/>
                      </w:divBdr>
                      <w:divsChild>
                        <w:div w:id="72167117">
                          <w:marLeft w:val="0"/>
                          <w:marRight w:val="-2400"/>
                          <w:marTop w:val="0"/>
                          <w:marBottom w:val="0"/>
                          <w:divBdr>
                            <w:top w:val="none" w:sz="0" w:space="0" w:color="auto"/>
                            <w:left w:val="none" w:sz="0" w:space="0" w:color="auto"/>
                            <w:bottom w:val="none" w:sz="0" w:space="0" w:color="auto"/>
                            <w:right w:val="none" w:sz="0" w:space="0" w:color="auto"/>
                          </w:divBdr>
                          <w:divsChild>
                            <w:div w:id="1204975458">
                              <w:marLeft w:val="0"/>
                              <w:marRight w:val="2400"/>
                              <w:marTop w:val="0"/>
                              <w:marBottom w:val="0"/>
                              <w:divBdr>
                                <w:top w:val="none" w:sz="0" w:space="0" w:color="auto"/>
                                <w:left w:val="none" w:sz="0" w:space="0" w:color="auto"/>
                                <w:bottom w:val="none" w:sz="0" w:space="0" w:color="auto"/>
                                <w:right w:val="none" w:sz="0" w:space="0" w:color="auto"/>
                              </w:divBdr>
                              <w:divsChild>
                                <w:div w:id="264383213">
                                  <w:marLeft w:val="0"/>
                                  <w:marRight w:val="0"/>
                                  <w:marTop w:val="0"/>
                                  <w:marBottom w:val="150"/>
                                  <w:divBdr>
                                    <w:top w:val="none" w:sz="0" w:space="0" w:color="auto"/>
                                    <w:left w:val="none" w:sz="0" w:space="0" w:color="auto"/>
                                    <w:bottom w:val="none" w:sz="0" w:space="0" w:color="auto"/>
                                    <w:right w:val="none" w:sz="0" w:space="0" w:color="auto"/>
                                  </w:divBdr>
                                  <w:divsChild>
                                    <w:div w:id="1492139786">
                                      <w:marLeft w:val="0"/>
                                      <w:marRight w:val="0"/>
                                      <w:marTop w:val="0"/>
                                      <w:marBottom w:val="0"/>
                                      <w:divBdr>
                                        <w:top w:val="none" w:sz="0" w:space="0" w:color="auto"/>
                                        <w:left w:val="none" w:sz="0" w:space="0" w:color="auto"/>
                                        <w:bottom w:val="none" w:sz="0" w:space="0" w:color="auto"/>
                                        <w:right w:val="none" w:sz="0" w:space="0" w:color="auto"/>
                                      </w:divBdr>
                                      <w:divsChild>
                                        <w:div w:id="658265426">
                                          <w:marLeft w:val="0"/>
                                          <w:marRight w:val="0"/>
                                          <w:marTop w:val="0"/>
                                          <w:marBottom w:val="0"/>
                                          <w:divBdr>
                                            <w:top w:val="none" w:sz="0" w:space="0" w:color="auto"/>
                                            <w:left w:val="none" w:sz="0" w:space="0" w:color="auto"/>
                                            <w:bottom w:val="none" w:sz="0" w:space="0" w:color="auto"/>
                                            <w:right w:val="none" w:sz="0" w:space="0" w:color="auto"/>
                                          </w:divBdr>
                                          <w:divsChild>
                                            <w:div w:id="540479810">
                                              <w:marLeft w:val="0"/>
                                              <w:marRight w:val="0"/>
                                              <w:marTop w:val="0"/>
                                              <w:marBottom w:val="0"/>
                                              <w:divBdr>
                                                <w:top w:val="none" w:sz="0" w:space="0" w:color="auto"/>
                                                <w:left w:val="none" w:sz="0" w:space="0" w:color="auto"/>
                                                <w:bottom w:val="none" w:sz="0" w:space="0" w:color="auto"/>
                                                <w:right w:val="none" w:sz="0" w:space="0" w:color="auto"/>
                                              </w:divBdr>
                                              <w:divsChild>
                                                <w:div w:id="115682945">
                                                  <w:marLeft w:val="0"/>
                                                  <w:marRight w:val="0"/>
                                                  <w:marTop w:val="0"/>
                                                  <w:marBottom w:val="0"/>
                                                  <w:divBdr>
                                                    <w:top w:val="none" w:sz="0" w:space="0" w:color="auto"/>
                                                    <w:left w:val="none" w:sz="0" w:space="0" w:color="auto"/>
                                                    <w:bottom w:val="none" w:sz="0" w:space="0" w:color="auto"/>
                                                    <w:right w:val="none" w:sz="0" w:space="0" w:color="auto"/>
                                                  </w:divBdr>
                                                  <w:divsChild>
                                                    <w:div w:id="267205383">
                                                      <w:marLeft w:val="0"/>
                                                      <w:marRight w:val="0"/>
                                                      <w:marTop w:val="0"/>
                                                      <w:marBottom w:val="0"/>
                                                      <w:divBdr>
                                                        <w:top w:val="none" w:sz="0" w:space="0" w:color="auto"/>
                                                        <w:left w:val="none" w:sz="0" w:space="0" w:color="auto"/>
                                                        <w:bottom w:val="none" w:sz="0" w:space="0" w:color="auto"/>
                                                        <w:right w:val="none" w:sz="0" w:space="0" w:color="auto"/>
                                                      </w:divBdr>
                                                      <w:divsChild>
                                                        <w:div w:id="449277927">
                                                          <w:marLeft w:val="0"/>
                                                          <w:marRight w:val="0"/>
                                                          <w:marTop w:val="0"/>
                                                          <w:marBottom w:val="75"/>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714811921">
      <w:bodyDiv w:val="1"/>
      <w:marLeft w:val="0"/>
      <w:marRight w:val="0"/>
      <w:marTop w:val="0"/>
      <w:marBottom w:val="0"/>
      <w:divBdr>
        <w:top w:val="none" w:sz="0" w:space="0" w:color="auto"/>
        <w:left w:val="none" w:sz="0" w:space="0" w:color="auto"/>
        <w:bottom w:val="none" w:sz="0" w:space="0" w:color="auto"/>
        <w:right w:val="none" w:sz="0" w:space="0" w:color="auto"/>
      </w:divBdr>
    </w:div>
    <w:div w:id="767770398">
      <w:bodyDiv w:val="1"/>
      <w:marLeft w:val="0"/>
      <w:marRight w:val="0"/>
      <w:marTop w:val="0"/>
      <w:marBottom w:val="0"/>
      <w:divBdr>
        <w:top w:val="none" w:sz="0" w:space="0" w:color="auto"/>
        <w:left w:val="none" w:sz="0" w:space="0" w:color="auto"/>
        <w:bottom w:val="none" w:sz="0" w:space="0" w:color="auto"/>
        <w:right w:val="none" w:sz="0" w:space="0" w:color="auto"/>
      </w:divBdr>
      <w:divsChild>
        <w:div w:id="120613336">
          <w:marLeft w:val="120"/>
          <w:marRight w:val="120"/>
          <w:marTop w:val="120"/>
          <w:marBottom w:val="120"/>
          <w:divBdr>
            <w:top w:val="none" w:sz="0" w:space="0" w:color="auto"/>
            <w:left w:val="none" w:sz="0" w:space="0" w:color="auto"/>
            <w:bottom w:val="none" w:sz="0" w:space="0" w:color="auto"/>
            <w:right w:val="none" w:sz="0" w:space="0" w:color="auto"/>
          </w:divBdr>
          <w:divsChild>
            <w:div w:id="1019311596">
              <w:marLeft w:val="0"/>
              <w:marRight w:val="0"/>
              <w:marTop w:val="0"/>
              <w:marBottom w:val="0"/>
              <w:divBdr>
                <w:top w:val="none" w:sz="0" w:space="0" w:color="auto"/>
                <w:left w:val="none" w:sz="0" w:space="0" w:color="auto"/>
                <w:bottom w:val="none" w:sz="0" w:space="0" w:color="auto"/>
                <w:right w:val="none" w:sz="0" w:space="0" w:color="auto"/>
              </w:divBdr>
              <w:divsChild>
                <w:div w:id="319889021">
                  <w:marLeft w:val="0"/>
                  <w:marRight w:val="0"/>
                  <w:marTop w:val="0"/>
                  <w:marBottom w:val="0"/>
                  <w:divBdr>
                    <w:top w:val="none" w:sz="0" w:space="0" w:color="auto"/>
                    <w:left w:val="none" w:sz="0" w:space="0" w:color="auto"/>
                    <w:bottom w:val="none" w:sz="0" w:space="0" w:color="auto"/>
                    <w:right w:val="none" w:sz="0" w:space="0" w:color="auto"/>
                  </w:divBdr>
                  <w:divsChild>
                    <w:div w:id="179511562">
                      <w:marLeft w:val="0"/>
                      <w:marRight w:val="0"/>
                      <w:marTop w:val="0"/>
                      <w:marBottom w:val="0"/>
                      <w:divBdr>
                        <w:top w:val="none" w:sz="0" w:space="0" w:color="auto"/>
                        <w:left w:val="none" w:sz="0" w:space="0" w:color="auto"/>
                        <w:bottom w:val="none" w:sz="0" w:space="0" w:color="auto"/>
                        <w:right w:val="none" w:sz="0" w:space="0" w:color="auto"/>
                      </w:divBdr>
                      <w:divsChild>
                        <w:div w:id="1933315777">
                          <w:marLeft w:val="0"/>
                          <w:marRight w:val="0"/>
                          <w:marTop w:val="0"/>
                          <w:marBottom w:val="0"/>
                          <w:divBdr>
                            <w:top w:val="none" w:sz="0" w:space="0" w:color="auto"/>
                            <w:left w:val="none" w:sz="0" w:space="0" w:color="auto"/>
                            <w:bottom w:val="none" w:sz="0" w:space="0" w:color="auto"/>
                            <w:right w:val="none" w:sz="0" w:space="0" w:color="auto"/>
                          </w:divBdr>
                          <w:divsChild>
                            <w:div w:id="1083189090">
                              <w:marLeft w:val="0"/>
                              <w:marRight w:val="0"/>
                              <w:marTop w:val="0"/>
                              <w:marBottom w:val="0"/>
                              <w:divBdr>
                                <w:top w:val="none" w:sz="0" w:space="0" w:color="auto"/>
                                <w:left w:val="none" w:sz="0" w:space="0" w:color="auto"/>
                                <w:bottom w:val="none" w:sz="0" w:space="0" w:color="auto"/>
                                <w:right w:val="none" w:sz="0" w:space="0" w:color="auto"/>
                              </w:divBdr>
                              <w:divsChild>
                                <w:div w:id="2125033415">
                                  <w:marLeft w:val="0"/>
                                  <w:marRight w:val="0"/>
                                  <w:marTop w:val="0"/>
                                  <w:marBottom w:val="0"/>
                                  <w:divBdr>
                                    <w:top w:val="none" w:sz="0" w:space="0" w:color="auto"/>
                                    <w:left w:val="none" w:sz="0" w:space="0" w:color="auto"/>
                                    <w:bottom w:val="none" w:sz="0" w:space="0" w:color="auto"/>
                                    <w:right w:val="none" w:sz="0" w:space="0" w:color="auto"/>
                                  </w:divBdr>
                                  <w:divsChild>
                                    <w:div w:id="14870857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781656007">
      <w:bodyDiv w:val="1"/>
      <w:marLeft w:val="0"/>
      <w:marRight w:val="0"/>
      <w:marTop w:val="0"/>
      <w:marBottom w:val="0"/>
      <w:divBdr>
        <w:top w:val="none" w:sz="0" w:space="0" w:color="auto"/>
        <w:left w:val="none" w:sz="0" w:space="0" w:color="auto"/>
        <w:bottom w:val="none" w:sz="0" w:space="0" w:color="auto"/>
        <w:right w:val="none" w:sz="0" w:space="0" w:color="auto"/>
      </w:divBdr>
      <w:divsChild>
        <w:div w:id="872569922">
          <w:marLeft w:val="0"/>
          <w:marRight w:val="0"/>
          <w:marTop w:val="0"/>
          <w:marBottom w:val="0"/>
          <w:divBdr>
            <w:top w:val="none" w:sz="0" w:space="0" w:color="auto"/>
            <w:left w:val="none" w:sz="0" w:space="0" w:color="auto"/>
            <w:bottom w:val="none" w:sz="0" w:space="0" w:color="auto"/>
            <w:right w:val="none" w:sz="0" w:space="0" w:color="auto"/>
          </w:divBdr>
          <w:divsChild>
            <w:div w:id="1643805195">
              <w:marLeft w:val="150"/>
              <w:marRight w:val="0"/>
              <w:marTop w:val="75"/>
              <w:marBottom w:val="75"/>
              <w:divBdr>
                <w:top w:val="none" w:sz="0" w:space="0" w:color="auto"/>
                <w:left w:val="none" w:sz="0" w:space="0" w:color="auto"/>
                <w:bottom w:val="none" w:sz="0" w:space="0" w:color="auto"/>
                <w:right w:val="none" w:sz="0" w:space="0" w:color="auto"/>
              </w:divBdr>
              <w:divsChild>
                <w:div w:id="1816301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31956569">
      <w:bodyDiv w:val="1"/>
      <w:marLeft w:val="0"/>
      <w:marRight w:val="0"/>
      <w:marTop w:val="0"/>
      <w:marBottom w:val="0"/>
      <w:divBdr>
        <w:top w:val="none" w:sz="0" w:space="0" w:color="auto"/>
        <w:left w:val="none" w:sz="0" w:space="0" w:color="auto"/>
        <w:bottom w:val="none" w:sz="0" w:space="0" w:color="auto"/>
        <w:right w:val="none" w:sz="0" w:space="0" w:color="auto"/>
      </w:divBdr>
      <w:divsChild>
        <w:div w:id="669212467">
          <w:marLeft w:val="0"/>
          <w:marRight w:val="0"/>
          <w:marTop w:val="0"/>
          <w:marBottom w:val="0"/>
          <w:divBdr>
            <w:top w:val="none" w:sz="0" w:space="0" w:color="auto"/>
            <w:left w:val="none" w:sz="0" w:space="0" w:color="auto"/>
            <w:bottom w:val="none" w:sz="0" w:space="0" w:color="auto"/>
            <w:right w:val="none" w:sz="0" w:space="0" w:color="auto"/>
          </w:divBdr>
          <w:divsChild>
            <w:div w:id="11199563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58259851">
      <w:bodyDiv w:val="1"/>
      <w:marLeft w:val="0"/>
      <w:marRight w:val="0"/>
      <w:marTop w:val="0"/>
      <w:marBottom w:val="240"/>
      <w:divBdr>
        <w:top w:val="none" w:sz="0" w:space="0" w:color="auto"/>
        <w:left w:val="none" w:sz="0" w:space="0" w:color="auto"/>
        <w:bottom w:val="none" w:sz="0" w:space="0" w:color="auto"/>
        <w:right w:val="none" w:sz="0" w:space="0" w:color="auto"/>
      </w:divBdr>
      <w:divsChild>
        <w:div w:id="2133672186">
          <w:marLeft w:val="0"/>
          <w:marRight w:val="0"/>
          <w:marTop w:val="0"/>
          <w:marBottom w:val="0"/>
          <w:divBdr>
            <w:top w:val="none" w:sz="0" w:space="0" w:color="auto"/>
            <w:left w:val="none" w:sz="0" w:space="0" w:color="auto"/>
            <w:bottom w:val="none" w:sz="0" w:space="0" w:color="auto"/>
            <w:right w:val="none" w:sz="0" w:space="0" w:color="auto"/>
          </w:divBdr>
          <w:divsChild>
            <w:div w:id="1829200916">
              <w:marLeft w:val="150"/>
              <w:marRight w:val="150"/>
              <w:marTop w:val="0"/>
              <w:marBottom w:val="0"/>
              <w:divBdr>
                <w:top w:val="none" w:sz="0" w:space="0" w:color="auto"/>
                <w:left w:val="none" w:sz="0" w:space="0" w:color="auto"/>
                <w:bottom w:val="none" w:sz="0" w:space="0" w:color="auto"/>
                <w:right w:val="none" w:sz="0" w:space="0" w:color="auto"/>
              </w:divBdr>
              <w:divsChild>
                <w:div w:id="2006736792">
                  <w:marLeft w:val="-2400"/>
                  <w:marRight w:val="0"/>
                  <w:marTop w:val="0"/>
                  <w:marBottom w:val="0"/>
                  <w:divBdr>
                    <w:top w:val="none" w:sz="0" w:space="0" w:color="auto"/>
                    <w:left w:val="none" w:sz="0" w:space="0" w:color="auto"/>
                    <w:bottom w:val="none" w:sz="0" w:space="0" w:color="auto"/>
                    <w:right w:val="none" w:sz="0" w:space="0" w:color="auto"/>
                  </w:divBdr>
                  <w:divsChild>
                    <w:div w:id="336346963">
                      <w:marLeft w:val="2400"/>
                      <w:marRight w:val="0"/>
                      <w:marTop w:val="0"/>
                      <w:marBottom w:val="0"/>
                      <w:divBdr>
                        <w:top w:val="none" w:sz="0" w:space="0" w:color="auto"/>
                        <w:left w:val="none" w:sz="0" w:space="0" w:color="auto"/>
                        <w:bottom w:val="none" w:sz="0" w:space="0" w:color="auto"/>
                        <w:right w:val="none" w:sz="0" w:space="0" w:color="auto"/>
                      </w:divBdr>
                      <w:divsChild>
                        <w:div w:id="627013584">
                          <w:marLeft w:val="0"/>
                          <w:marRight w:val="-2400"/>
                          <w:marTop w:val="0"/>
                          <w:marBottom w:val="0"/>
                          <w:divBdr>
                            <w:top w:val="none" w:sz="0" w:space="0" w:color="auto"/>
                            <w:left w:val="none" w:sz="0" w:space="0" w:color="auto"/>
                            <w:bottom w:val="none" w:sz="0" w:space="0" w:color="auto"/>
                            <w:right w:val="none" w:sz="0" w:space="0" w:color="auto"/>
                          </w:divBdr>
                          <w:divsChild>
                            <w:div w:id="1966153551">
                              <w:marLeft w:val="0"/>
                              <w:marRight w:val="2400"/>
                              <w:marTop w:val="0"/>
                              <w:marBottom w:val="0"/>
                              <w:divBdr>
                                <w:top w:val="none" w:sz="0" w:space="0" w:color="auto"/>
                                <w:left w:val="none" w:sz="0" w:space="0" w:color="auto"/>
                                <w:bottom w:val="none" w:sz="0" w:space="0" w:color="auto"/>
                                <w:right w:val="none" w:sz="0" w:space="0" w:color="auto"/>
                              </w:divBdr>
                              <w:divsChild>
                                <w:div w:id="146869302">
                                  <w:marLeft w:val="0"/>
                                  <w:marRight w:val="0"/>
                                  <w:marTop w:val="0"/>
                                  <w:marBottom w:val="150"/>
                                  <w:divBdr>
                                    <w:top w:val="none" w:sz="0" w:space="0" w:color="auto"/>
                                    <w:left w:val="none" w:sz="0" w:space="0" w:color="auto"/>
                                    <w:bottom w:val="none" w:sz="0" w:space="0" w:color="auto"/>
                                    <w:right w:val="none" w:sz="0" w:space="0" w:color="auto"/>
                                  </w:divBdr>
                                  <w:divsChild>
                                    <w:div w:id="1951818746">
                                      <w:marLeft w:val="0"/>
                                      <w:marRight w:val="0"/>
                                      <w:marTop w:val="0"/>
                                      <w:marBottom w:val="0"/>
                                      <w:divBdr>
                                        <w:top w:val="none" w:sz="0" w:space="0" w:color="auto"/>
                                        <w:left w:val="none" w:sz="0" w:space="0" w:color="auto"/>
                                        <w:bottom w:val="none" w:sz="0" w:space="0" w:color="auto"/>
                                        <w:right w:val="none" w:sz="0" w:space="0" w:color="auto"/>
                                      </w:divBdr>
                                      <w:divsChild>
                                        <w:div w:id="92406730">
                                          <w:marLeft w:val="0"/>
                                          <w:marRight w:val="0"/>
                                          <w:marTop w:val="0"/>
                                          <w:marBottom w:val="0"/>
                                          <w:divBdr>
                                            <w:top w:val="none" w:sz="0" w:space="0" w:color="auto"/>
                                            <w:left w:val="none" w:sz="0" w:space="0" w:color="auto"/>
                                            <w:bottom w:val="none" w:sz="0" w:space="0" w:color="auto"/>
                                            <w:right w:val="none" w:sz="0" w:space="0" w:color="auto"/>
                                          </w:divBdr>
                                          <w:divsChild>
                                            <w:div w:id="1241872449">
                                              <w:marLeft w:val="0"/>
                                              <w:marRight w:val="0"/>
                                              <w:marTop w:val="0"/>
                                              <w:marBottom w:val="0"/>
                                              <w:divBdr>
                                                <w:top w:val="none" w:sz="0" w:space="0" w:color="auto"/>
                                                <w:left w:val="none" w:sz="0" w:space="0" w:color="auto"/>
                                                <w:bottom w:val="none" w:sz="0" w:space="0" w:color="auto"/>
                                                <w:right w:val="none" w:sz="0" w:space="0" w:color="auto"/>
                                              </w:divBdr>
                                              <w:divsChild>
                                                <w:div w:id="843326528">
                                                  <w:marLeft w:val="0"/>
                                                  <w:marRight w:val="0"/>
                                                  <w:marTop w:val="0"/>
                                                  <w:marBottom w:val="0"/>
                                                  <w:divBdr>
                                                    <w:top w:val="none" w:sz="0" w:space="0" w:color="auto"/>
                                                    <w:left w:val="none" w:sz="0" w:space="0" w:color="auto"/>
                                                    <w:bottom w:val="none" w:sz="0" w:space="0" w:color="auto"/>
                                                    <w:right w:val="none" w:sz="0" w:space="0" w:color="auto"/>
                                                  </w:divBdr>
                                                  <w:divsChild>
                                                    <w:div w:id="1838764793">
                                                      <w:marLeft w:val="0"/>
                                                      <w:marRight w:val="0"/>
                                                      <w:marTop w:val="0"/>
                                                      <w:marBottom w:val="0"/>
                                                      <w:divBdr>
                                                        <w:top w:val="none" w:sz="0" w:space="0" w:color="auto"/>
                                                        <w:left w:val="none" w:sz="0" w:space="0" w:color="auto"/>
                                                        <w:bottom w:val="none" w:sz="0" w:space="0" w:color="auto"/>
                                                        <w:right w:val="none" w:sz="0" w:space="0" w:color="auto"/>
                                                      </w:divBdr>
                                                      <w:divsChild>
                                                        <w:div w:id="796531743">
                                                          <w:marLeft w:val="0"/>
                                                          <w:marRight w:val="0"/>
                                                          <w:marTop w:val="0"/>
                                                          <w:marBottom w:val="75"/>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1651403611">
      <w:bodyDiv w:val="1"/>
      <w:marLeft w:val="0"/>
      <w:marRight w:val="0"/>
      <w:marTop w:val="0"/>
      <w:marBottom w:val="0"/>
      <w:divBdr>
        <w:top w:val="none" w:sz="0" w:space="0" w:color="auto"/>
        <w:left w:val="none" w:sz="0" w:space="0" w:color="auto"/>
        <w:bottom w:val="none" w:sz="0" w:space="0" w:color="auto"/>
        <w:right w:val="none" w:sz="0" w:space="0" w:color="auto"/>
      </w:divBdr>
    </w:div>
    <w:div w:id="1719546443">
      <w:bodyDiv w:val="1"/>
      <w:marLeft w:val="0"/>
      <w:marRight w:val="0"/>
      <w:marTop w:val="0"/>
      <w:marBottom w:val="0"/>
      <w:divBdr>
        <w:top w:val="none" w:sz="0" w:space="0" w:color="auto"/>
        <w:left w:val="none" w:sz="0" w:space="0" w:color="auto"/>
        <w:bottom w:val="none" w:sz="0" w:space="0" w:color="auto"/>
        <w:right w:val="none" w:sz="0" w:space="0" w:color="auto"/>
      </w:divBdr>
    </w:div>
    <w:div w:id="1744141129">
      <w:bodyDiv w:val="1"/>
      <w:marLeft w:val="0"/>
      <w:marRight w:val="0"/>
      <w:marTop w:val="0"/>
      <w:marBottom w:val="0"/>
      <w:divBdr>
        <w:top w:val="none" w:sz="0" w:space="0" w:color="auto"/>
        <w:left w:val="none" w:sz="0" w:space="0" w:color="auto"/>
        <w:bottom w:val="none" w:sz="0" w:space="0" w:color="auto"/>
        <w:right w:val="none" w:sz="0" w:space="0" w:color="auto"/>
      </w:divBdr>
    </w:div>
    <w:div w:id="1801652802">
      <w:bodyDiv w:val="1"/>
      <w:marLeft w:val="0"/>
      <w:marRight w:val="0"/>
      <w:marTop w:val="0"/>
      <w:marBottom w:val="0"/>
      <w:divBdr>
        <w:top w:val="none" w:sz="0" w:space="0" w:color="auto"/>
        <w:left w:val="none" w:sz="0" w:space="0" w:color="auto"/>
        <w:bottom w:val="none" w:sz="0" w:space="0" w:color="auto"/>
        <w:right w:val="none" w:sz="0" w:space="0" w:color="auto"/>
      </w:divBdr>
    </w:div>
    <w:div w:id="1943878611">
      <w:bodyDiv w:val="1"/>
      <w:marLeft w:val="0"/>
      <w:marRight w:val="0"/>
      <w:marTop w:val="0"/>
      <w:marBottom w:val="0"/>
      <w:divBdr>
        <w:top w:val="none" w:sz="0" w:space="0" w:color="auto"/>
        <w:left w:val="none" w:sz="0" w:space="0" w:color="auto"/>
        <w:bottom w:val="none" w:sz="0" w:space="0" w:color="auto"/>
        <w:right w:val="none" w:sz="0" w:space="0" w:color="auto"/>
      </w:divBdr>
    </w:div>
    <w:div w:id="206753234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chart" Target="charts/chart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3.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2.xml"/><Relationship Id="rId5" Type="http://schemas.openxmlformats.org/officeDocument/2006/relationships/settings" Target="settings.xml"/><Relationship Id="rId15" Type="http://schemas.openxmlformats.org/officeDocument/2006/relationships/footer" Target="footer5.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footer" Target="footer4.xml"/></Relationships>
</file>

<file path=word/charts/_rels/chart1.xml.rels><?xml version="1.0" encoding="UTF-8" standalone="yes"?>
<Relationships xmlns="http://schemas.openxmlformats.org/package/2006/relationships"><Relationship Id="rId2" Type="http://schemas.openxmlformats.org/officeDocument/2006/relationships/chartUserShapes" Target="../drawings/drawing1.xml"/><Relationship Id="rId1" Type="http://schemas.openxmlformats.org/officeDocument/2006/relationships/package" Target="../embeddings/Microsoft_Excel_Worksheet1.xlsx"/></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zh-TW"/>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5.8813405205083318E-2"/>
          <c:y val="0.1112645940809123"/>
          <c:w val="0.9182969431391842"/>
          <c:h val="0.75156674425329584"/>
        </c:manualLayout>
      </c:layout>
      <c:lineChart>
        <c:grouping val="standard"/>
        <c:varyColors val="0"/>
        <c:ser>
          <c:idx val="1"/>
          <c:order val="0"/>
          <c:tx>
            <c:strRef>
              <c:f>CPI表!$G$1</c:f>
              <c:strCache>
                <c:ptCount val="1"/>
                <c:pt idx="0">
                  <c:v>美國</c:v>
                </c:pt>
              </c:strCache>
            </c:strRef>
          </c:tx>
          <c:spPr>
            <a:ln w="19050">
              <a:solidFill>
                <a:schemeClr val="accent1"/>
              </a:solidFill>
              <a:prstDash val="solid"/>
            </a:ln>
          </c:spPr>
          <c:marker>
            <c:symbol val="diamond"/>
            <c:size val="5"/>
            <c:spPr>
              <a:solidFill>
                <a:schemeClr val="accent1"/>
              </a:solidFill>
              <a:ln w="19050">
                <a:solidFill>
                  <a:schemeClr val="accent1"/>
                </a:solidFill>
                <a:prstDash val="solid"/>
              </a:ln>
            </c:spPr>
          </c:marker>
          <c:dLbls>
            <c:dLbl>
              <c:idx val="0"/>
              <c:layout>
                <c:manualLayout>
                  <c:x val="-6.1101582794139943E-2"/>
                  <c:y val="-1.7143050216472822E-2"/>
                </c:manualLayout>
              </c:layout>
              <c:dLblPos val="r"/>
              <c:showLegendKey val="0"/>
              <c:showVal val="1"/>
              <c:showCatName val="0"/>
              <c:showSerName val="0"/>
              <c:showPercent val="0"/>
              <c:showBubbleSize val="0"/>
            </c:dLbl>
            <c:dLbl>
              <c:idx val="1"/>
              <c:layout>
                <c:manualLayout>
                  <c:x val="-2.6174745702263753E-2"/>
                  <c:y val="-4.7580890270077961E-2"/>
                </c:manualLayout>
              </c:layout>
              <c:dLblPos val="r"/>
              <c:showLegendKey val="0"/>
              <c:showVal val="1"/>
              <c:showCatName val="0"/>
              <c:showSerName val="0"/>
              <c:showPercent val="0"/>
              <c:showBubbleSize val="0"/>
            </c:dLbl>
            <c:dLbl>
              <c:idx val="2"/>
              <c:layout>
                <c:manualLayout>
                  <c:x val="-2.6597204125684493E-2"/>
                  <c:y val="-3.3334589911717512E-2"/>
                </c:manualLayout>
              </c:layout>
              <c:dLblPos val="r"/>
              <c:showLegendKey val="0"/>
              <c:showVal val="1"/>
              <c:showCatName val="0"/>
              <c:showSerName val="0"/>
              <c:showPercent val="0"/>
              <c:showBubbleSize val="0"/>
            </c:dLbl>
            <c:dLbl>
              <c:idx val="3"/>
              <c:layout>
                <c:manualLayout>
                  <c:x val="-2.9660250042023495E-2"/>
                  <c:y val="-4.635172100190136E-2"/>
                </c:manualLayout>
              </c:layout>
              <c:dLblPos val="r"/>
              <c:showLegendKey val="0"/>
              <c:showVal val="1"/>
              <c:showCatName val="0"/>
              <c:showSerName val="0"/>
              <c:showPercent val="0"/>
              <c:showBubbleSize val="0"/>
            </c:dLbl>
            <c:dLbl>
              <c:idx val="4"/>
              <c:layout>
                <c:manualLayout>
                  <c:x val="-2.4808870915382912E-2"/>
                  <c:y val="-5.5926612680917837E-2"/>
                </c:manualLayout>
              </c:layout>
              <c:dLblPos val="r"/>
              <c:showLegendKey val="0"/>
              <c:showVal val="1"/>
              <c:showCatName val="0"/>
              <c:showSerName val="0"/>
              <c:showPercent val="0"/>
              <c:showBubbleSize val="0"/>
            </c:dLbl>
            <c:dLbl>
              <c:idx val="5"/>
              <c:layout>
                <c:manualLayout>
                  <c:x val="-2.6268798288109425E-2"/>
                  <c:y val="-3.663593547155853E-2"/>
                </c:manualLayout>
              </c:layout>
              <c:dLblPos val="r"/>
              <c:showLegendKey val="0"/>
              <c:showVal val="1"/>
              <c:showCatName val="0"/>
              <c:showSerName val="0"/>
              <c:showPercent val="0"/>
              <c:showBubbleSize val="0"/>
            </c:dLbl>
            <c:dLbl>
              <c:idx val="6"/>
              <c:dLblPos val="r"/>
              <c:showLegendKey val="0"/>
              <c:showVal val="1"/>
              <c:showCatName val="0"/>
              <c:showSerName val="0"/>
              <c:showPercent val="0"/>
              <c:showBubbleSize val="0"/>
            </c:dLbl>
            <c:numFmt formatCode="0.00_ " sourceLinked="0"/>
            <c:spPr>
              <a:noFill/>
              <a:ln w="25400">
                <a:noFill/>
              </a:ln>
            </c:spPr>
            <c:txPr>
              <a:bodyPr/>
              <a:lstStyle/>
              <a:p>
                <a:pPr>
                  <a:defRPr sz="1200" b="1" i="0" u="none" strike="noStrike" baseline="0">
                    <a:solidFill>
                      <a:schemeClr val="accent1"/>
                    </a:solidFill>
                    <a:latin typeface="Times New Roman" panose="02020603050405020304" pitchFamily="18" charset="0"/>
                    <a:ea typeface="Century Gothic"/>
                    <a:cs typeface="Times New Roman" panose="02020603050405020304" pitchFamily="18" charset="0"/>
                  </a:defRPr>
                </a:pPr>
                <a:endParaRPr lang="zh-TW"/>
              </a:p>
            </c:txPr>
            <c:dLblPos val="t"/>
            <c:showLegendKey val="0"/>
            <c:showVal val="1"/>
            <c:showCatName val="0"/>
            <c:showSerName val="0"/>
            <c:showPercent val="0"/>
            <c:showBubbleSize val="0"/>
            <c:showLeaderLines val="0"/>
          </c:dLbls>
          <c:cat>
            <c:strRef>
              <c:f>(CPI表!$B$3,CPI表!$B$7:$B$9,CPI表!$B$11,CPI表!$B$13)</c:f>
              <c:strCache>
                <c:ptCount val="6"/>
                <c:pt idx="0">
                  <c:v>隔夜拆款
利率</c:v>
                </c:pt>
                <c:pt idx="1">
                  <c:v>1年期
存款利率</c:v>
                </c:pt>
                <c:pt idx="2">
                  <c:v>2年期
公債殖利率</c:v>
                </c:pt>
                <c:pt idx="3">
                  <c:v>5年期
公債殖利率</c:v>
                </c:pt>
                <c:pt idx="4">
                  <c:v>10年期
公債殖利率</c:v>
                </c:pt>
                <c:pt idx="5">
                  <c:v>30年期
公債殖利率</c:v>
                </c:pt>
              </c:strCache>
            </c:strRef>
          </c:cat>
          <c:val>
            <c:numRef>
              <c:f>(CPI表!$G$3,CPI表!$G$7:$G$9,CPI表!$G$11,CPI表!$G$13)</c:f>
              <c:numCache>
                <c:formatCode>#,##0.000_ ;[Red]\-#,##0.000\ </c:formatCode>
                <c:ptCount val="6"/>
                <c:pt idx="0">
                  <c:v>1.93</c:v>
                </c:pt>
                <c:pt idx="1">
                  <c:v>3</c:v>
                </c:pt>
                <c:pt idx="2">
                  <c:v>2.83</c:v>
                </c:pt>
                <c:pt idx="3">
                  <c:v>2.96</c:v>
                </c:pt>
                <c:pt idx="4">
                  <c:v>3.06</c:v>
                </c:pt>
                <c:pt idx="5">
                  <c:v>3.19</c:v>
                </c:pt>
              </c:numCache>
            </c:numRef>
          </c:val>
          <c:smooth val="0"/>
        </c:ser>
        <c:ser>
          <c:idx val="3"/>
          <c:order val="1"/>
          <c:tx>
            <c:strRef>
              <c:f>CPI表!$I$1</c:f>
              <c:strCache>
                <c:ptCount val="1"/>
                <c:pt idx="0">
                  <c:v>台灣</c:v>
                </c:pt>
              </c:strCache>
            </c:strRef>
          </c:tx>
          <c:spPr>
            <a:ln w="19050">
              <a:solidFill>
                <a:srgbClr val="009900"/>
              </a:solidFill>
              <a:prstDash val="solid"/>
            </a:ln>
          </c:spPr>
          <c:marker>
            <c:symbol val="triangle"/>
            <c:size val="6"/>
            <c:spPr>
              <a:solidFill>
                <a:srgbClr val="33CC33"/>
              </a:solidFill>
              <a:ln>
                <a:solidFill>
                  <a:srgbClr val="009900"/>
                </a:solidFill>
                <a:prstDash val="solid"/>
              </a:ln>
            </c:spPr>
          </c:marker>
          <c:dLbls>
            <c:dLbl>
              <c:idx val="0"/>
              <c:layout>
                <c:manualLayout>
                  <c:x val="-6.2615344977750148E-2"/>
                  <c:y val="-1.6996533670393062E-2"/>
                </c:manualLayout>
              </c:layout>
              <c:dLblPos val="r"/>
              <c:showLegendKey val="0"/>
              <c:showVal val="1"/>
              <c:showCatName val="0"/>
              <c:showSerName val="0"/>
              <c:showPercent val="0"/>
              <c:showBubbleSize val="0"/>
            </c:dLbl>
            <c:dLbl>
              <c:idx val="1"/>
              <c:layout>
                <c:manualLayout>
                  <c:x val="-2.73649884179583E-2"/>
                  <c:y val="4.7939783849699213E-2"/>
                </c:manualLayout>
              </c:layout>
              <c:tx>
                <c:rich>
                  <a:bodyPr/>
                  <a:lstStyle/>
                  <a:p>
                    <a:r>
                      <a:rPr lang="en-US" altLang="en-US" sz="1200"/>
                      <a:t>1.07 </a:t>
                    </a:r>
                    <a:endParaRPr lang="en-US" altLang="en-US"/>
                  </a:p>
                </c:rich>
              </c:tx>
              <c:dLblPos val="r"/>
              <c:showLegendKey val="0"/>
              <c:showVal val="1"/>
              <c:showCatName val="0"/>
              <c:showSerName val="0"/>
              <c:showPercent val="0"/>
              <c:showBubbleSize val="0"/>
            </c:dLbl>
            <c:dLbl>
              <c:idx val="2"/>
              <c:layout>
                <c:manualLayout>
                  <c:x val="-2.5499034571329213E-2"/>
                  <c:y val="-3.0013924459219712E-2"/>
                </c:manualLayout>
              </c:layout>
              <c:dLblPos val="r"/>
              <c:showLegendKey val="0"/>
              <c:showVal val="1"/>
              <c:showCatName val="0"/>
              <c:showSerName val="0"/>
              <c:showPercent val="0"/>
              <c:showBubbleSize val="0"/>
            </c:dLbl>
            <c:dLbl>
              <c:idx val="3"/>
              <c:layout>
                <c:manualLayout>
                  <c:x val="-2.2377400342057915E-2"/>
                  <c:y val="-4.1767723056407018E-2"/>
                </c:manualLayout>
              </c:layout>
              <c:dLblPos val="r"/>
              <c:showLegendKey val="0"/>
              <c:showVal val="1"/>
              <c:showCatName val="0"/>
              <c:showSerName val="0"/>
              <c:showPercent val="0"/>
              <c:showBubbleSize val="0"/>
            </c:dLbl>
            <c:dLbl>
              <c:idx val="4"/>
              <c:layout>
                <c:manualLayout>
                  <c:x val="-2.7001374590984475E-2"/>
                  <c:y val="-3.888888888888889E-2"/>
                </c:manualLayout>
              </c:layout>
              <c:dLblPos val="r"/>
              <c:showLegendKey val="0"/>
              <c:showVal val="1"/>
              <c:showCatName val="0"/>
              <c:showSerName val="0"/>
              <c:showPercent val="0"/>
              <c:showBubbleSize val="0"/>
            </c:dLbl>
            <c:dLbl>
              <c:idx val="5"/>
              <c:layout>
                <c:manualLayout>
                  <c:x val="-3.2276741024070285E-2"/>
                  <c:y val="-4.1605793251747146E-2"/>
                </c:manualLayout>
              </c:layout>
              <c:dLblPos val="r"/>
              <c:showLegendKey val="0"/>
              <c:showVal val="1"/>
              <c:showCatName val="0"/>
              <c:showSerName val="0"/>
              <c:showPercent val="0"/>
              <c:showBubbleSize val="0"/>
            </c:dLbl>
            <c:dLbl>
              <c:idx val="6"/>
              <c:dLblPos val="r"/>
              <c:showLegendKey val="0"/>
              <c:showVal val="1"/>
              <c:showCatName val="0"/>
              <c:showSerName val="0"/>
              <c:showPercent val="0"/>
              <c:showBubbleSize val="0"/>
            </c:dLbl>
            <c:numFmt formatCode="0.00_ " sourceLinked="0"/>
            <c:spPr>
              <a:noFill/>
              <a:ln w="25400">
                <a:noFill/>
              </a:ln>
            </c:spPr>
            <c:txPr>
              <a:bodyPr/>
              <a:lstStyle/>
              <a:p>
                <a:pPr>
                  <a:defRPr sz="1200" b="1" i="0" u="none" strike="noStrike" baseline="0">
                    <a:solidFill>
                      <a:srgbClr val="009900"/>
                    </a:solidFill>
                    <a:latin typeface="Times New Roman" panose="02020603050405020304" pitchFamily="18" charset="0"/>
                    <a:ea typeface="Century Gothic"/>
                    <a:cs typeface="Times New Roman" panose="02020603050405020304" pitchFamily="18" charset="0"/>
                  </a:defRPr>
                </a:pPr>
                <a:endParaRPr lang="zh-TW"/>
              </a:p>
            </c:txPr>
            <c:dLblPos val="b"/>
            <c:showLegendKey val="0"/>
            <c:showVal val="1"/>
            <c:showCatName val="0"/>
            <c:showSerName val="0"/>
            <c:showPercent val="0"/>
            <c:showBubbleSize val="0"/>
            <c:showLeaderLines val="0"/>
          </c:dLbls>
          <c:cat>
            <c:strRef>
              <c:f>(CPI表!$B$3,CPI表!$B$7:$B$9,CPI表!$B$11,CPI表!$B$13)</c:f>
              <c:strCache>
                <c:ptCount val="6"/>
                <c:pt idx="0">
                  <c:v>隔夜拆款
利率</c:v>
                </c:pt>
                <c:pt idx="1">
                  <c:v>1年期
存款利率</c:v>
                </c:pt>
                <c:pt idx="2">
                  <c:v>2年期
公債殖利率</c:v>
                </c:pt>
                <c:pt idx="3">
                  <c:v>5年期
公債殖利率</c:v>
                </c:pt>
                <c:pt idx="4">
                  <c:v>10年期
公債殖利率</c:v>
                </c:pt>
                <c:pt idx="5">
                  <c:v>30年期
公債殖利率</c:v>
                </c:pt>
              </c:strCache>
            </c:strRef>
          </c:cat>
          <c:val>
            <c:numRef>
              <c:f>(CPI表!$I$3,CPI表!$I$7:$I$9,CPI表!$I$11,CPI表!$I$13)</c:f>
              <c:numCache>
                <c:formatCode>#,##0.000_ ;[Red]\-#,##0.000\ </c:formatCode>
                <c:ptCount val="6"/>
                <c:pt idx="0">
                  <c:v>0.18099999999999999</c:v>
                </c:pt>
                <c:pt idx="1">
                  <c:v>1.0649999999999999</c:v>
                </c:pt>
                <c:pt idx="2">
                  <c:v>0.50900000000000001</c:v>
                </c:pt>
                <c:pt idx="3">
                  <c:v>0.746</c:v>
                </c:pt>
                <c:pt idx="4">
                  <c:v>0.89</c:v>
                </c:pt>
                <c:pt idx="5">
                  <c:v>1.421</c:v>
                </c:pt>
              </c:numCache>
            </c:numRef>
          </c:val>
          <c:smooth val="0"/>
        </c:ser>
        <c:ser>
          <c:idx val="0"/>
          <c:order val="2"/>
          <c:tx>
            <c:strRef>
              <c:f>CPI表!$E$1</c:f>
              <c:strCache>
                <c:ptCount val="1"/>
                <c:pt idx="0">
                  <c:v>日本</c:v>
                </c:pt>
              </c:strCache>
            </c:strRef>
          </c:tx>
          <c:spPr>
            <a:ln w="19050">
              <a:solidFill>
                <a:srgbClr val="F9B883"/>
              </a:solidFill>
              <a:prstDash val="solid"/>
            </a:ln>
          </c:spPr>
          <c:marker>
            <c:symbol val="star"/>
            <c:size val="7"/>
            <c:spPr>
              <a:noFill/>
              <a:ln w="19050">
                <a:solidFill>
                  <a:srgbClr val="F9B883"/>
                </a:solidFill>
                <a:prstDash val="solid"/>
              </a:ln>
            </c:spPr>
          </c:marker>
          <c:dLbls>
            <c:dLbl>
              <c:idx val="0"/>
              <c:layout>
                <c:manualLayout>
                  <c:x val="-6.5997677812750413E-2"/>
                  <c:y val="7.0277679997497711E-4"/>
                </c:manualLayout>
              </c:layout>
              <c:dLblPos val="r"/>
              <c:showLegendKey val="0"/>
              <c:showVal val="1"/>
              <c:showCatName val="0"/>
              <c:showSerName val="0"/>
              <c:showPercent val="0"/>
              <c:showBubbleSize val="0"/>
            </c:dLbl>
            <c:dLbl>
              <c:idx val="1"/>
              <c:layout>
                <c:manualLayout>
                  <c:x val="-2.9391345057199918E-2"/>
                  <c:y val="1.4940865825506751E-2"/>
                </c:manualLayout>
              </c:layout>
              <c:dLblPos val="r"/>
              <c:showLegendKey val="0"/>
              <c:showVal val="1"/>
              <c:showCatName val="0"/>
              <c:showSerName val="0"/>
              <c:showPercent val="0"/>
              <c:showBubbleSize val="0"/>
            </c:dLbl>
            <c:dLbl>
              <c:idx val="2"/>
              <c:layout>
                <c:manualLayout>
                  <c:x val="-2.7611632690118244E-2"/>
                  <c:y val="-4.7798973201799502E-2"/>
                </c:manualLayout>
              </c:layout>
              <c:dLblPos val="r"/>
              <c:showLegendKey val="0"/>
              <c:showVal val="1"/>
              <c:showCatName val="0"/>
              <c:showSerName val="0"/>
              <c:showPercent val="0"/>
              <c:showBubbleSize val="0"/>
            </c:dLbl>
            <c:dLbl>
              <c:idx val="3"/>
              <c:layout>
                <c:manualLayout>
                  <c:x val="-3.1203090837554223E-2"/>
                  <c:y val="1.9957256848917981E-2"/>
                </c:manualLayout>
              </c:layout>
              <c:dLblPos val="r"/>
              <c:showLegendKey val="0"/>
              <c:showVal val="1"/>
              <c:showCatName val="0"/>
              <c:showSerName val="0"/>
              <c:showPercent val="0"/>
              <c:showBubbleSize val="0"/>
            </c:dLbl>
            <c:dLbl>
              <c:idx val="4"/>
              <c:layout>
                <c:manualLayout>
                  <c:x val="-2.677028393272473E-2"/>
                  <c:y val="-2.5659330234323121E-2"/>
                </c:manualLayout>
              </c:layout>
              <c:dLblPos val="r"/>
              <c:showLegendKey val="0"/>
              <c:showVal val="1"/>
              <c:showCatName val="0"/>
              <c:showSerName val="0"/>
              <c:showPercent val="0"/>
              <c:showBubbleSize val="0"/>
            </c:dLbl>
            <c:dLbl>
              <c:idx val="5"/>
              <c:layout>
                <c:manualLayout>
                  <c:x val="-3.4357646477476321E-2"/>
                  <c:y val="1.5123467032003299E-2"/>
                </c:manualLayout>
              </c:layout>
              <c:dLblPos val="r"/>
              <c:showLegendKey val="0"/>
              <c:showVal val="1"/>
              <c:showCatName val="0"/>
              <c:showSerName val="0"/>
              <c:showPercent val="0"/>
              <c:showBubbleSize val="0"/>
            </c:dLbl>
            <c:dLbl>
              <c:idx val="6"/>
              <c:dLblPos val="r"/>
              <c:showLegendKey val="0"/>
              <c:showVal val="1"/>
              <c:showCatName val="0"/>
              <c:showSerName val="0"/>
              <c:showPercent val="0"/>
              <c:showBubbleSize val="0"/>
            </c:dLbl>
            <c:dLbl>
              <c:idx val="7"/>
              <c:delete val="1"/>
            </c:dLbl>
            <c:numFmt formatCode="0.00_ " sourceLinked="0"/>
            <c:spPr>
              <a:noFill/>
              <a:ln w="25400">
                <a:noFill/>
              </a:ln>
            </c:spPr>
            <c:txPr>
              <a:bodyPr/>
              <a:lstStyle/>
              <a:p>
                <a:pPr>
                  <a:defRPr sz="1200" b="1" i="0" u="none" strike="noStrike" baseline="0">
                    <a:solidFill>
                      <a:schemeClr val="accent6">
                        <a:lumMod val="75000"/>
                      </a:schemeClr>
                    </a:solidFill>
                    <a:latin typeface="Times New Roman" panose="02020603050405020304" pitchFamily="18" charset="0"/>
                    <a:ea typeface="Century Gothic"/>
                    <a:cs typeface="Times New Roman" panose="02020603050405020304" pitchFamily="18" charset="0"/>
                  </a:defRPr>
                </a:pPr>
                <a:endParaRPr lang="zh-TW"/>
              </a:p>
            </c:txPr>
            <c:dLblPos val="b"/>
            <c:showLegendKey val="0"/>
            <c:showVal val="1"/>
            <c:showCatName val="0"/>
            <c:showSerName val="0"/>
            <c:showPercent val="0"/>
            <c:showBubbleSize val="0"/>
            <c:showLeaderLines val="0"/>
          </c:dLbls>
          <c:cat>
            <c:strRef>
              <c:f>(CPI表!$B$3,CPI表!$B$7:$B$9,CPI表!$B$11,CPI表!$B$13)</c:f>
              <c:strCache>
                <c:ptCount val="6"/>
                <c:pt idx="0">
                  <c:v>隔夜拆款
利率</c:v>
                </c:pt>
                <c:pt idx="1">
                  <c:v>1年期
存款利率</c:v>
                </c:pt>
                <c:pt idx="2">
                  <c:v>2年期
公債殖利率</c:v>
                </c:pt>
                <c:pt idx="3">
                  <c:v>5年期
公債殖利率</c:v>
                </c:pt>
                <c:pt idx="4">
                  <c:v>10年期
公債殖利率</c:v>
                </c:pt>
                <c:pt idx="5">
                  <c:v>30年期
公債殖利率</c:v>
                </c:pt>
              </c:strCache>
            </c:strRef>
          </c:cat>
          <c:val>
            <c:numRef>
              <c:f>(CPI表!$E$3,CPI表!$E$7:$E$9,CPI表!$E$11,CPI表!$E$13)</c:f>
              <c:numCache>
                <c:formatCode>#,##0.000_ ;[Red]\-#,##0.000\ </c:formatCode>
                <c:ptCount val="6"/>
                <c:pt idx="0">
                  <c:v>-6.2E-2</c:v>
                </c:pt>
                <c:pt idx="1">
                  <c:v>1.0999999999999999E-2</c:v>
                </c:pt>
                <c:pt idx="2">
                  <c:v>-0.107</c:v>
                </c:pt>
                <c:pt idx="3">
                  <c:v>-0.06</c:v>
                </c:pt>
                <c:pt idx="4">
                  <c:v>0.126</c:v>
                </c:pt>
                <c:pt idx="5">
                  <c:v>0.91</c:v>
                </c:pt>
              </c:numCache>
            </c:numRef>
          </c:val>
          <c:smooth val="0"/>
        </c:ser>
        <c:ser>
          <c:idx val="2"/>
          <c:order val="3"/>
          <c:tx>
            <c:strRef>
              <c:f>CPI表!$C$1</c:f>
              <c:strCache>
                <c:ptCount val="1"/>
                <c:pt idx="0">
                  <c:v>德國</c:v>
                </c:pt>
              </c:strCache>
            </c:strRef>
          </c:tx>
          <c:spPr>
            <a:ln w="19050">
              <a:solidFill>
                <a:schemeClr val="accent2">
                  <a:lumMod val="75000"/>
                </a:schemeClr>
              </a:solidFill>
              <a:prstDash val="solid"/>
            </a:ln>
          </c:spPr>
          <c:marker>
            <c:symbol val="square"/>
            <c:size val="5"/>
            <c:spPr>
              <a:solidFill>
                <a:schemeClr val="accent2"/>
              </a:solidFill>
              <a:ln w="19050">
                <a:solidFill>
                  <a:schemeClr val="accent2">
                    <a:lumMod val="75000"/>
                  </a:schemeClr>
                </a:solidFill>
                <a:prstDash val="solid"/>
              </a:ln>
            </c:spPr>
          </c:marker>
          <c:dLbls>
            <c:dLbl>
              <c:idx val="0"/>
              <c:layout>
                <c:manualLayout>
                  <c:x val="-6.5158185397710885E-2"/>
                  <c:y val="1.6854624562869267E-2"/>
                </c:manualLayout>
              </c:layout>
              <c:dLblPos val="r"/>
              <c:showLegendKey val="0"/>
              <c:showVal val="1"/>
              <c:showCatName val="0"/>
              <c:showSerName val="0"/>
              <c:showPercent val="0"/>
              <c:showBubbleSize val="0"/>
            </c:dLbl>
            <c:dLbl>
              <c:idx val="1"/>
              <c:layout>
                <c:manualLayout>
                  <c:x val="-3.5567417213265798E-2"/>
                  <c:y val="4.2012670102984116E-2"/>
                </c:manualLayout>
              </c:layout>
              <c:dLblPos val="r"/>
              <c:showLegendKey val="0"/>
              <c:showVal val="1"/>
              <c:showCatName val="0"/>
              <c:showSerName val="0"/>
              <c:showPercent val="0"/>
              <c:showBubbleSize val="0"/>
            </c:dLbl>
            <c:dLbl>
              <c:idx val="2"/>
              <c:layout>
                <c:manualLayout>
                  <c:x val="-2.8341631941175349E-2"/>
                  <c:y val="-3.5089944879676739E-2"/>
                </c:manualLayout>
              </c:layout>
              <c:numFmt formatCode="0.00_ " sourceLinked="0"/>
              <c:spPr>
                <a:noFill/>
                <a:ln w="25400">
                  <a:noFill/>
                </a:ln>
              </c:spPr>
              <c:txPr>
                <a:bodyPr/>
                <a:lstStyle/>
                <a:p>
                  <a:pPr>
                    <a:defRPr sz="1200" b="1" i="0" u="none" strike="noStrike" baseline="0">
                      <a:solidFill>
                        <a:schemeClr val="accent2"/>
                      </a:solidFill>
                      <a:latin typeface="Times New Roman" panose="02020603050405020304" pitchFamily="18" charset="0"/>
                      <a:ea typeface="Century Gothic"/>
                      <a:cs typeface="Times New Roman" panose="02020603050405020304" pitchFamily="18" charset="0"/>
                    </a:defRPr>
                  </a:pPr>
                  <a:endParaRPr lang="zh-TW"/>
                </a:p>
              </c:txPr>
              <c:dLblPos val="r"/>
              <c:showLegendKey val="0"/>
              <c:showVal val="1"/>
              <c:showCatName val="0"/>
              <c:showSerName val="0"/>
              <c:showPercent val="0"/>
              <c:showBubbleSize val="0"/>
            </c:dLbl>
            <c:dLbl>
              <c:idx val="3"/>
              <c:layout>
                <c:manualLayout>
                  <c:x val="-2.9124021973534142E-2"/>
                  <c:y val="-3.9754819804150986E-2"/>
                </c:manualLayout>
              </c:layout>
              <c:dLblPos val="r"/>
              <c:showLegendKey val="0"/>
              <c:showVal val="1"/>
              <c:showCatName val="0"/>
              <c:showSerName val="0"/>
              <c:showPercent val="0"/>
              <c:showBubbleSize val="0"/>
            </c:dLbl>
            <c:dLbl>
              <c:idx val="4"/>
              <c:layout>
                <c:manualLayout>
                  <c:x val="-2.5429440104734115E-2"/>
                  <c:y val="-3.575805839790968E-2"/>
                </c:manualLayout>
              </c:layout>
              <c:dLblPos val="r"/>
              <c:showLegendKey val="0"/>
              <c:showVal val="1"/>
              <c:showCatName val="0"/>
              <c:showSerName val="0"/>
              <c:showPercent val="0"/>
              <c:showBubbleSize val="0"/>
            </c:dLbl>
            <c:dLbl>
              <c:idx val="5"/>
              <c:layout>
                <c:manualLayout>
                  <c:x val="-3.0957183482994418E-2"/>
                  <c:y val="-2.886691121441139E-2"/>
                </c:manualLayout>
              </c:layout>
              <c:dLblPos val="r"/>
              <c:showLegendKey val="0"/>
              <c:showVal val="1"/>
              <c:showCatName val="0"/>
              <c:showSerName val="0"/>
              <c:showPercent val="0"/>
              <c:showBubbleSize val="0"/>
            </c:dLbl>
            <c:dLbl>
              <c:idx val="6"/>
              <c:dLblPos val="r"/>
              <c:showLegendKey val="0"/>
              <c:showVal val="1"/>
              <c:showCatName val="0"/>
              <c:showSerName val="0"/>
              <c:showPercent val="0"/>
              <c:showBubbleSize val="0"/>
            </c:dLbl>
            <c:dLbl>
              <c:idx val="7"/>
              <c:delete val="1"/>
            </c:dLbl>
            <c:numFmt formatCode="#,##0.00_ " sourceLinked="0"/>
            <c:spPr>
              <a:noFill/>
              <a:ln w="25400">
                <a:noFill/>
              </a:ln>
            </c:spPr>
            <c:txPr>
              <a:bodyPr/>
              <a:lstStyle/>
              <a:p>
                <a:pPr>
                  <a:defRPr sz="1200" b="1" i="0" u="none" strike="noStrike" baseline="0">
                    <a:solidFill>
                      <a:schemeClr val="accent2"/>
                    </a:solidFill>
                    <a:latin typeface="Times New Roman" panose="02020603050405020304" pitchFamily="18" charset="0"/>
                    <a:ea typeface="Century Gothic"/>
                    <a:cs typeface="Times New Roman" panose="02020603050405020304" pitchFamily="18" charset="0"/>
                  </a:defRPr>
                </a:pPr>
                <a:endParaRPr lang="zh-TW"/>
              </a:p>
            </c:txPr>
            <c:dLblPos val="b"/>
            <c:showLegendKey val="0"/>
            <c:showVal val="1"/>
            <c:showCatName val="0"/>
            <c:showSerName val="0"/>
            <c:showPercent val="0"/>
            <c:showBubbleSize val="0"/>
            <c:showLeaderLines val="0"/>
          </c:dLbls>
          <c:cat>
            <c:strRef>
              <c:f>(CPI表!$B$3,CPI表!$B$7:$B$9,CPI表!$B$11,CPI表!$B$13)</c:f>
              <c:strCache>
                <c:ptCount val="6"/>
                <c:pt idx="0">
                  <c:v>隔夜拆款
利率</c:v>
                </c:pt>
                <c:pt idx="1">
                  <c:v>1年期
存款利率</c:v>
                </c:pt>
                <c:pt idx="2">
                  <c:v>2年期
公債殖利率</c:v>
                </c:pt>
                <c:pt idx="3">
                  <c:v>5年期
公債殖利率</c:v>
                </c:pt>
                <c:pt idx="4">
                  <c:v>10年期
公債殖利率</c:v>
                </c:pt>
                <c:pt idx="5">
                  <c:v>30年期
公債殖利率</c:v>
                </c:pt>
              </c:strCache>
            </c:strRef>
          </c:cat>
          <c:val>
            <c:numRef>
              <c:f>(CPI表!$C$3,CPI表!$C$7:$C$9,CPI表!$C$11,CPI表!$C$13)</c:f>
              <c:numCache>
                <c:formatCode>#,##0.000_ ;[Red]\-#,##0.000\ </c:formatCode>
                <c:ptCount val="6"/>
                <c:pt idx="0">
                  <c:v>-0.42</c:v>
                </c:pt>
                <c:pt idx="1">
                  <c:v>-0.21</c:v>
                </c:pt>
                <c:pt idx="2">
                  <c:v>-0.5</c:v>
                </c:pt>
                <c:pt idx="3">
                  <c:v>-4.2000000000000003E-2</c:v>
                </c:pt>
                <c:pt idx="4">
                  <c:v>0.52600000000000002</c:v>
                </c:pt>
                <c:pt idx="5">
                  <c:v>1.1399999999999999</c:v>
                </c:pt>
              </c:numCache>
            </c:numRef>
          </c:val>
          <c:smooth val="0"/>
        </c:ser>
        <c:ser>
          <c:idx val="4"/>
          <c:order val="4"/>
          <c:tx>
            <c:strRef>
              <c:f>CPI表!$K$1</c:f>
              <c:strCache>
                <c:ptCount val="1"/>
                <c:pt idx="0">
                  <c:v>韓國</c:v>
                </c:pt>
              </c:strCache>
            </c:strRef>
          </c:tx>
          <c:spPr>
            <a:ln w="19050">
              <a:solidFill>
                <a:schemeClr val="tx1">
                  <a:lumMod val="65000"/>
                  <a:lumOff val="35000"/>
                </a:schemeClr>
              </a:solidFill>
              <a:prstDash val="solid"/>
            </a:ln>
          </c:spPr>
          <c:marker>
            <c:symbol val="circle"/>
            <c:size val="5"/>
            <c:spPr>
              <a:solidFill>
                <a:schemeClr val="tx1">
                  <a:lumMod val="65000"/>
                  <a:lumOff val="35000"/>
                </a:schemeClr>
              </a:solidFill>
              <a:ln w="19050">
                <a:solidFill>
                  <a:schemeClr val="tx1">
                    <a:lumMod val="65000"/>
                    <a:lumOff val="35000"/>
                  </a:schemeClr>
                </a:solidFill>
                <a:prstDash val="solid"/>
              </a:ln>
            </c:spPr>
          </c:marker>
          <c:dLbls>
            <c:dLbl>
              <c:idx val="0"/>
              <c:layout>
                <c:manualLayout>
                  <c:x val="-6.1895050654988418E-2"/>
                  <c:y val="1.1895870490748835E-3"/>
                </c:manualLayout>
              </c:layout>
              <c:dLblPos val="r"/>
              <c:showLegendKey val="0"/>
              <c:showVal val="1"/>
              <c:showCatName val="0"/>
              <c:showSerName val="0"/>
              <c:showPercent val="0"/>
              <c:showBubbleSize val="0"/>
            </c:dLbl>
            <c:dLbl>
              <c:idx val="1"/>
              <c:layout>
                <c:manualLayout>
                  <c:x val="-2.5952394954806172E-2"/>
                  <c:y val="-5.2390262332193245E-2"/>
                </c:manualLayout>
              </c:layout>
              <c:dLblPos val="r"/>
              <c:showLegendKey val="0"/>
              <c:showVal val="1"/>
              <c:showCatName val="0"/>
              <c:showSerName val="0"/>
              <c:showPercent val="0"/>
              <c:showBubbleSize val="0"/>
            </c:dLbl>
            <c:dLbl>
              <c:idx val="2"/>
              <c:layout>
                <c:manualLayout>
                  <c:x val="-2.6489087910026018E-2"/>
                  <c:y val="-3.5545774134147071E-2"/>
                </c:manualLayout>
              </c:layout>
              <c:dLblPos val="r"/>
              <c:showLegendKey val="0"/>
              <c:showVal val="1"/>
              <c:showCatName val="0"/>
              <c:showSerName val="0"/>
              <c:showPercent val="0"/>
              <c:showBubbleSize val="0"/>
            </c:dLbl>
            <c:dLbl>
              <c:idx val="3"/>
              <c:layout>
                <c:manualLayout>
                  <c:x val="-3.352400635790119E-2"/>
                  <c:y val="-3.3375670574286496E-2"/>
                </c:manualLayout>
              </c:layout>
              <c:dLblPos val="r"/>
              <c:showLegendKey val="0"/>
              <c:showVal val="1"/>
              <c:showCatName val="0"/>
              <c:showSerName val="0"/>
              <c:showPercent val="0"/>
              <c:showBubbleSize val="0"/>
            </c:dLbl>
            <c:dLbl>
              <c:idx val="4"/>
              <c:layout>
                <c:manualLayout>
                  <c:x val="-2.5558026650215816E-2"/>
                  <c:y val="-4.6004045331052137E-2"/>
                </c:manualLayout>
              </c:layout>
              <c:dLblPos val="r"/>
              <c:showLegendKey val="0"/>
              <c:showVal val="1"/>
              <c:showCatName val="0"/>
              <c:showSerName val="0"/>
              <c:showPercent val="0"/>
              <c:showBubbleSize val="0"/>
            </c:dLbl>
            <c:dLbl>
              <c:idx val="5"/>
              <c:layout>
                <c:manualLayout>
                  <c:x val="-3.1007734564488621E-2"/>
                  <c:y val="-4.9919889531880805E-2"/>
                </c:manualLayout>
              </c:layout>
              <c:dLblPos val="r"/>
              <c:showLegendKey val="0"/>
              <c:showVal val="1"/>
              <c:showCatName val="0"/>
              <c:showSerName val="0"/>
              <c:showPercent val="0"/>
              <c:showBubbleSize val="0"/>
            </c:dLbl>
            <c:dLbl>
              <c:idx val="7"/>
              <c:delete val="1"/>
            </c:dLbl>
            <c:numFmt formatCode="#,##0.00_ " sourceLinked="0"/>
            <c:spPr>
              <a:noFill/>
              <a:ln w="25400">
                <a:noFill/>
              </a:ln>
            </c:spPr>
            <c:txPr>
              <a:bodyPr/>
              <a:lstStyle/>
              <a:p>
                <a:pPr>
                  <a:defRPr sz="1200" b="1" i="0" u="none" strike="noStrike" baseline="0">
                    <a:solidFill>
                      <a:schemeClr val="tx1">
                        <a:lumMod val="65000"/>
                        <a:lumOff val="35000"/>
                      </a:schemeClr>
                    </a:solidFill>
                    <a:latin typeface="Times New Roman" panose="02020603050405020304" pitchFamily="18" charset="0"/>
                    <a:ea typeface="Century Gothic"/>
                    <a:cs typeface="Times New Roman" panose="02020603050405020304" pitchFamily="18" charset="0"/>
                  </a:defRPr>
                </a:pPr>
                <a:endParaRPr lang="zh-TW"/>
              </a:p>
            </c:txPr>
            <c:dLblPos val="b"/>
            <c:showLegendKey val="0"/>
            <c:showVal val="1"/>
            <c:showCatName val="0"/>
            <c:showSerName val="0"/>
            <c:showPercent val="0"/>
            <c:showBubbleSize val="0"/>
            <c:showLeaderLines val="0"/>
          </c:dLbls>
          <c:cat>
            <c:strRef>
              <c:f>(CPI表!$B$3,CPI表!$B$7:$B$9,CPI表!$B$11,CPI表!$B$13)</c:f>
              <c:strCache>
                <c:ptCount val="6"/>
                <c:pt idx="0">
                  <c:v>隔夜拆款
利率</c:v>
                </c:pt>
                <c:pt idx="1">
                  <c:v>1年期
存款利率</c:v>
                </c:pt>
                <c:pt idx="2">
                  <c:v>2年期
公債殖利率</c:v>
                </c:pt>
                <c:pt idx="3">
                  <c:v>5年期
公債殖利率</c:v>
                </c:pt>
                <c:pt idx="4">
                  <c:v>10年期
公債殖利率</c:v>
                </c:pt>
                <c:pt idx="5">
                  <c:v>30年期
公債殖利率</c:v>
                </c:pt>
              </c:strCache>
            </c:strRef>
          </c:cat>
          <c:val>
            <c:numRef>
              <c:f>(CPI表!$K$3,CPI表!$K$7:$K$9,CPI表!$K$11,CPI表!$K$13)</c:f>
              <c:numCache>
                <c:formatCode>#,##0.000_ ;[Red]\-#,##0.000\ </c:formatCode>
                <c:ptCount val="6"/>
                <c:pt idx="0">
                  <c:v>1.65</c:v>
                </c:pt>
                <c:pt idx="1">
                  <c:v>1.3</c:v>
                </c:pt>
                <c:pt idx="2">
                  <c:v>1.9339999999999999</c:v>
                </c:pt>
                <c:pt idx="3">
                  <c:v>2.2149999999999999</c:v>
                </c:pt>
                <c:pt idx="4">
                  <c:v>2.41</c:v>
                </c:pt>
                <c:pt idx="5">
                  <c:v>2.335</c:v>
                </c:pt>
              </c:numCache>
            </c:numRef>
          </c:val>
          <c:smooth val="0"/>
        </c:ser>
        <c:ser>
          <c:idx val="5"/>
          <c:order val="5"/>
          <c:tx>
            <c:strRef>
              <c:f>CPI表!$M$1</c:f>
              <c:strCache>
                <c:ptCount val="1"/>
                <c:pt idx="0">
                  <c:v>中國大陸</c:v>
                </c:pt>
              </c:strCache>
            </c:strRef>
          </c:tx>
          <c:spPr>
            <a:ln w="25400">
              <a:solidFill>
                <a:srgbClr val="800080"/>
              </a:solidFill>
              <a:prstDash val="solid"/>
            </a:ln>
          </c:spPr>
          <c:marker>
            <c:symbol val="diamond"/>
            <c:size val="7"/>
            <c:spPr>
              <a:solidFill>
                <a:srgbClr val="800080"/>
              </a:solidFill>
              <a:ln>
                <a:solidFill>
                  <a:srgbClr val="800080"/>
                </a:solidFill>
                <a:prstDash val="solid"/>
              </a:ln>
            </c:spPr>
          </c:marker>
          <c:dLbls>
            <c:dLbl>
              <c:idx val="0"/>
              <c:layout>
                <c:manualLayout>
                  <c:x val="-4.7807765408634267E-2"/>
                  <c:y val="-3.799838104349106E-3"/>
                </c:manualLayout>
              </c:layout>
              <c:dLblPos val="r"/>
              <c:showLegendKey val="0"/>
              <c:showVal val="1"/>
              <c:showCatName val="0"/>
              <c:showSerName val="0"/>
              <c:showPercent val="0"/>
              <c:showBubbleSize val="0"/>
            </c:dLbl>
            <c:dLbl>
              <c:idx val="1"/>
              <c:layout>
                <c:manualLayout>
                  <c:x val="-2.8731352758273671E-2"/>
                  <c:y val="-3.0516038436371854E-2"/>
                </c:manualLayout>
              </c:layout>
              <c:dLblPos val="r"/>
              <c:showLegendKey val="0"/>
              <c:showVal val="1"/>
              <c:showCatName val="0"/>
              <c:showSerName val="0"/>
              <c:showPercent val="0"/>
              <c:showBubbleSize val="0"/>
            </c:dLbl>
            <c:dLbl>
              <c:idx val="2"/>
              <c:layout>
                <c:manualLayout>
                  <c:x val="-2.6255736037962142E-2"/>
                  <c:y val="-1.8095949285800553E-2"/>
                </c:manualLayout>
              </c:layout>
              <c:dLblPos val="r"/>
              <c:showLegendKey val="0"/>
              <c:showVal val="1"/>
              <c:showCatName val="0"/>
              <c:showSerName val="0"/>
              <c:showPercent val="0"/>
              <c:showBubbleSize val="0"/>
            </c:dLbl>
            <c:dLbl>
              <c:idx val="3"/>
              <c:layout>
                <c:manualLayout>
                  <c:x val="-2.6195225182944846E-2"/>
                  <c:y val="-2.0519720388486793E-2"/>
                </c:manualLayout>
              </c:layout>
              <c:dLblPos val="r"/>
              <c:showLegendKey val="0"/>
              <c:showVal val="1"/>
              <c:showCatName val="0"/>
              <c:showSerName val="0"/>
              <c:showPercent val="0"/>
              <c:showBubbleSize val="0"/>
            </c:dLbl>
            <c:dLbl>
              <c:idx val="4"/>
              <c:layout>
                <c:manualLayout>
                  <c:x val="-2.4816942709747387E-2"/>
                  <c:y val="-2.0527779821914786E-2"/>
                </c:manualLayout>
              </c:layout>
              <c:dLblPos val="r"/>
              <c:showLegendKey val="0"/>
              <c:showVal val="1"/>
              <c:showCatName val="0"/>
              <c:showSerName val="0"/>
              <c:showPercent val="0"/>
              <c:showBubbleSize val="0"/>
            </c:dLbl>
            <c:dLbl>
              <c:idx val="5"/>
              <c:layout>
                <c:manualLayout>
                  <c:x val="-2.6221976643975034E-2"/>
                  <c:y val="-1.8657667791526059E-2"/>
                </c:manualLayout>
              </c:layout>
              <c:showLegendKey val="0"/>
              <c:showVal val="1"/>
              <c:showCatName val="0"/>
              <c:showSerName val="0"/>
              <c:showPercent val="0"/>
              <c:showBubbleSize val="0"/>
            </c:dLbl>
            <c:numFmt formatCode="#,##0.00_ ;[Red]\-#,##0.00\ " sourceLinked="0"/>
            <c:spPr>
              <a:noFill/>
              <a:ln w="25400">
                <a:noFill/>
              </a:ln>
            </c:spPr>
            <c:txPr>
              <a:bodyPr/>
              <a:lstStyle/>
              <a:p>
                <a:pPr>
                  <a:defRPr sz="1100" b="0" i="0" u="none" strike="noStrike" baseline="0">
                    <a:solidFill>
                      <a:srgbClr val="800080"/>
                    </a:solidFill>
                    <a:latin typeface="Times New Roman" panose="02020603050405020304" pitchFamily="18" charset="0"/>
                    <a:ea typeface="BatangChe" panose="02030609000101010101" pitchFamily="49" charset="-127"/>
                    <a:cs typeface="Times New Roman" panose="02020603050405020304" pitchFamily="18" charset="0"/>
                  </a:defRPr>
                </a:pPr>
                <a:endParaRPr lang="zh-TW"/>
              </a:p>
            </c:txPr>
            <c:showLegendKey val="0"/>
            <c:showVal val="1"/>
            <c:showCatName val="0"/>
            <c:showSerName val="0"/>
            <c:showPercent val="0"/>
            <c:showBubbleSize val="0"/>
            <c:showLeaderLines val="0"/>
          </c:dLbls>
          <c:cat>
            <c:strRef>
              <c:f>(CPI表!$B$3,CPI表!$B$7:$B$9,CPI表!$B$11,CPI表!$B$13)</c:f>
              <c:strCache>
                <c:ptCount val="6"/>
                <c:pt idx="0">
                  <c:v>隔夜拆款
利率</c:v>
                </c:pt>
                <c:pt idx="1">
                  <c:v>1年期
存款利率</c:v>
                </c:pt>
                <c:pt idx="2">
                  <c:v>2年期
公債殖利率</c:v>
                </c:pt>
                <c:pt idx="3">
                  <c:v>5年期
公債殖利率</c:v>
                </c:pt>
                <c:pt idx="4">
                  <c:v>10年期
公債殖利率</c:v>
                </c:pt>
                <c:pt idx="5">
                  <c:v>30年期
公債殖利率</c:v>
                </c:pt>
              </c:strCache>
            </c:strRef>
          </c:cat>
          <c:val>
            <c:numRef>
              <c:f>(CPI表!$M$3,CPI表!$M$7:$M$9,CPI表!$M$11,CPI表!$M$13)</c:f>
            </c:numRef>
          </c:val>
          <c:smooth val="0"/>
        </c:ser>
        <c:ser>
          <c:idx val="12"/>
          <c:order val="6"/>
          <c:tx>
            <c:v>義大利</c:v>
          </c:tx>
          <c:spPr>
            <a:ln w="28575">
              <a:solidFill>
                <a:srgbClr val="00B0F0"/>
              </a:solidFill>
            </a:ln>
          </c:spPr>
          <c:marker>
            <c:symbol val="diamond"/>
            <c:size val="7"/>
            <c:spPr>
              <a:solidFill>
                <a:srgbClr val="00B0F0"/>
              </a:solidFill>
              <a:ln>
                <a:solidFill>
                  <a:srgbClr val="00B0F0"/>
                </a:solidFill>
              </a:ln>
            </c:spPr>
          </c:marker>
          <c:dLbls>
            <c:dLbl>
              <c:idx val="0"/>
              <c:layout>
                <c:manualLayout>
                  <c:x val="-5.3773183153430326E-2"/>
                  <c:y val="-9.3474847630578162E-3"/>
                </c:manualLayout>
              </c:layout>
              <c:showLegendKey val="0"/>
              <c:showVal val="1"/>
              <c:showCatName val="0"/>
              <c:showSerName val="0"/>
              <c:showPercent val="0"/>
              <c:showBubbleSize val="0"/>
            </c:dLbl>
            <c:dLbl>
              <c:idx val="1"/>
              <c:layout>
                <c:manualLayout>
                  <c:x val="1.4271653543307086E-3"/>
                  <c:y val="-8.0809553687943882E-3"/>
                </c:manualLayout>
              </c:layout>
              <c:dLblPos val="r"/>
              <c:showLegendKey val="0"/>
              <c:showVal val="1"/>
              <c:showCatName val="0"/>
              <c:showSerName val="0"/>
              <c:showPercent val="0"/>
              <c:showBubbleSize val="0"/>
            </c:dLbl>
            <c:dLbl>
              <c:idx val="2"/>
              <c:layout>
                <c:manualLayout>
                  <c:x val="-2.4898967513166816E-2"/>
                  <c:y val="-2.4213408509121546E-2"/>
                </c:manualLayout>
              </c:layout>
              <c:showLegendKey val="0"/>
              <c:showVal val="1"/>
              <c:showCatName val="0"/>
              <c:showSerName val="0"/>
              <c:showPercent val="0"/>
              <c:showBubbleSize val="0"/>
            </c:dLbl>
            <c:dLbl>
              <c:idx val="3"/>
              <c:layout>
                <c:manualLayout>
                  <c:x val="-2.6215323043228867E-2"/>
                  <c:y val="-2.0416913374043732E-2"/>
                </c:manualLayout>
              </c:layout>
              <c:showLegendKey val="0"/>
              <c:showVal val="1"/>
              <c:showCatName val="0"/>
              <c:showSerName val="0"/>
              <c:showPercent val="0"/>
              <c:showBubbleSize val="0"/>
            </c:dLbl>
            <c:dLbl>
              <c:idx val="4"/>
              <c:layout>
                <c:manualLayout>
                  <c:x val="-4.5525564478281273E-2"/>
                  <c:y val="-7.3054841208821959E-3"/>
                </c:manualLayout>
              </c:layout>
              <c:showLegendKey val="0"/>
              <c:showVal val="1"/>
              <c:showCatName val="0"/>
              <c:showSerName val="0"/>
              <c:showPercent val="0"/>
              <c:showBubbleSize val="0"/>
            </c:dLbl>
            <c:dLbl>
              <c:idx val="5"/>
              <c:layout>
                <c:manualLayout>
                  <c:x val="-2.4810102379586658E-2"/>
                  <c:y val="-2.2567317974142121E-2"/>
                </c:manualLayout>
              </c:layout>
              <c:showLegendKey val="0"/>
              <c:showVal val="1"/>
              <c:showCatName val="0"/>
              <c:showSerName val="0"/>
              <c:showPercent val="0"/>
              <c:showBubbleSize val="0"/>
            </c:dLbl>
            <c:numFmt formatCode="#,##0.00_ " sourceLinked="0"/>
            <c:txPr>
              <a:bodyPr/>
              <a:lstStyle/>
              <a:p>
                <a:pPr>
                  <a:defRPr sz="1100">
                    <a:solidFill>
                      <a:srgbClr val="00B0F0"/>
                    </a:solidFill>
                    <a:latin typeface="Times New Roman" panose="02020603050405020304" pitchFamily="18" charset="0"/>
                    <a:cs typeface="Times New Roman" panose="02020603050405020304" pitchFamily="18" charset="0"/>
                  </a:defRPr>
                </a:pPr>
                <a:endParaRPr lang="zh-TW"/>
              </a:p>
            </c:txPr>
            <c:showLegendKey val="0"/>
            <c:showVal val="1"/>
            <c:showCatName val="0"/>
            <c:showSerName val="0"/>
            <c:showPercent val="0"/>
            <c:showBubbleSize val="0"/>
            <c:showLeaderLines val="0"/>
          </c:dLbls>
          <c:cat>
            <c:strRef>
              <c:f>(CPI表!$B$3,CPI表!$B$7:$B$9,CPI表!$B$11,CPI表!$B$13)</c:f>
              <c:strCache>
                <c:ptCount val="6"/>
                <c:pt idx="0">
                  <c:v>隔夜拆款
利率</c:v>
                </c:pt>
                <c:pt idx="1">
                  <c:v>1年期
存款利率</c:v>
                </c:pt>
                <c:pt idx="2">
                  <c:v>2年期
公債殖利率</c:v>
                </c:pt>
                <c:pt idx="3">
                  <c:v>5年期
公債殖利率</c:v>
                </c:pt>
                <c:pt idx="4">
                  <c:v>10年期
公債殖利率</c:v>
                </c:pt>
                <c:pt idx="5">
                  <c:v>30年期
公債殖利率</c:v>
                </c:pt>
              </c:strCache>
            </c:strRef>
          </c:cat>
          <c:val>
            <c:numRef>
              <c:f>(CPI表!$O$3,CPI表!$O$7:$O$9,CPI表!$O$11,CPI表!$O$13)</c:f>
            </c:numRef>
          </c:val>
          <c:smooth val="0"/>
        </c:ser>
        <c:ser>
          <c:idx val="6"/>
          <c:order val="7"/>
          <c:tx>
            <c:strRef>
              <c:f>CPI表!$Q$1</c:f>
              <c:strCache>
                <c:ptCount val="1"/>
                <c:pt idx="0">
                  <c:v>瑞士</c:v>
                </c:pt>
              </c:strCache>
            </c:strRef>
          </c:tx>
          <c:spPr>
            <a:ln w="19050">
              <a:solidFill>
                <a:srgbClr val="FF66FF"/>
              </a:solidFill>
            </a:ln>
          </c:spPr>
          <c:marker>
            <c:spPr>
              <a:ln w="19050">
                <a:solidFill>
                  <a:srgbClr val="FF66FF"/>
                </a:solidFill>
              </a:ln>
            </c:spPr>
          </c:marker>
          <c:dLbls>
            <c:dLbl>
              <c:idx val="0"/>
              <c:layout>
                <c:manualLayout>
                  <c:x val="-6.3398961075733604E-2"/>
                  <c:y val="1.5603858576209337E-2"/>
                </c:manualLayout>
              </c:layout>
              <c:showLegendKey val="0"/>
              <c:showVal val="1"/>
              <c:showCatName val="0"/>
              <c:showSerName val="0"/>
              <c:showPercent val="0"/>
              <c:showBubbleSize val="0"/>
            </c:dLbl>
            <c:dLbl>
              <c:idx val="1"/>
              <c:layout>
                <c:manualLayout>
                  <c:x val="-2.7895510340963412E-2"/>
                  <c:y val="-2.8750112587521984E-2"/>
                </c:manualLayout>
              </c:layout>
              <c:showLegendKey val="0"/>
              <c:showVal val="1"/>
              <c:showCatName val="0"/>
              <c:showSerName val="0"/>
              <c:showPercent val="0"/>
              <c:showBubbleSize val="0"/>
            </c:dLbl>
            <c:dLbl>
              <c:idx val="2"/>
              <c:layout>
                <c:manualLayout>
                  <c:x val="-2.7567397291657327E-2"/>
                  <c:y val="2.7306865256300793E-2"/>
                </c:manualLayout>
              </c:layout>
              <c:showLegendKey val="0"/>
              <c:showVal val="1"/>
              <c:showCatName val="0"/>
              <c:showSerName val="0"/>
              <c:showPercent val="0"/>
              <c:showBubbleSize val="0"/>
            </c:dLbl>
            <c:dLbl>
              <c:idx val="3"/>
              <c:layout>
                <c:manualLayout>
                  <c:x val="-2.9307671001258601E-2"/>
                  <c:y val="3.5323090634140332E-2"/>
                </c:manualLayout>
              </c:layout>
              <c:showLegendKey val="0"/>
              <c:showVal val="1"/>
              <c:showCatName val="0"/>
              <c:showSerName val="0"/>
              <c:showPercent val="0"/>
              <c:showBubbleSize val="0"/>
            </c:dLbl>
            <c:dLbl>
              <c:idx val="4"/>
              <c:layout>
                <c:manualLayout>
                  <c:x val="-2.2823740889200771E-2"/>
                  <c:y val="4.6473521785092939E-2"/>
                </c:manualLayout>
              </c:layout>
              <c:showLegendKey val="0"/>
              <c:showVal val="1"/>
              <c:showCatName val="0"/>
              <c:showSerName val="0"/>
              <c:showPercent val="0"/>
              <c:showBubbleSize val="0"/>
            </c:dLbl>
            <c:dLbl>
              <c:idx val="5"/>
              <c:layout>
                <c:manualLayout>
                  <c:x val="-3.665702209119634E-2"/>
                  <c:y val="3.3203837930854671E-2"/>
                </c:manualLayout>
              </c:layout>
              <c:showLegendKey val="0"/>
              <c:showVal val="1"/>
              <c:showCatName val="0"/>
              <c:showSerName val="0"/>
              <c:showPercent val="0"/>
              <c:showBubbleSize val="0"/>
            </c:dLbl>
            <c:numFmt formatCode="#,##0.00_ " sourceLinked="0"/>
            <c:txPr>
              <a:bodyPr/>
              <a:lstStyle/>
              <a:p>
                <a:pPr>
                  <a:defRPr sz="1200" b="1">
                    <a:solidFill>
                      <a:srgbClr val="FF66FF"/>
                    </a:solidFill>
                    <a:latin typeface="Times New Roman" panose="02020603050405020304" pitchFamily="18" charset="0"/>
                    <a:cs typeface="Times New Roman" panose="02020603050405020304" pitchFamily="18" charset="0"/>
                  </a:defRPr>
                </a:pPr>
                <a:endParaRPr lang="zh-TW"/>
              </a:p>
            </c:txPr>
            <c:showLegendKey val="0"/>
            <c:showVal val="1"/>
            <c:showCatName val="0"/>
            <c:showSerName val="0"/>
            <c:showPercent val="0"/>
            <c:showBubbleSize val="0"/>
            <c:showLeaderLines val="0"/>
          </c:dLbls>
          <c:val>
            <c:numRef>
              <c:f>(CPI表!$Q$3,CPI表!$Q$7,CPI表!$Q$8,CPI表!$Q$9,CPI表!$Q$11,CPI表!$Q$13)</c:f>
              <c:numCache>
                <c:formatCode>General</c:formatCode>
                <c:ptCount val="6"/>
                <c:pt idx="0">
                  <c:v>-0.75</c:v>
                </c:pt>
                <c:pt idx="1">
                  <c:v>0.16</c:v>
                </c:pt>
                <c:pt idx="2">
                  <c:v>-0.70899999999999996</c:v>
                </c:pt>
                <c:pt idx="3">
                  <c:v>-0.35499999999999998</c:v>
                </c:pt>
                <c:pt idx="4">
                  <c:v>0.06</c:v>
                </c:pt>
                <c:pt idx="5">
                  <c:v>0.68300000000000005</c:v>
                </c:pt>
              </c:numCache>
            </c:numRef>
          </c:val>
          <c:smooth val="0"/>
        </c:ser>
        <c:dLbls>
          <c:showLegendKey val="0"/>
          <c:showVal val="0"/>
          <c:showCatName val="0"/>
          <c:showSerName val="0"/>
          <c:showPercent val="0"/>
          <c:showBubbleSize val="0"/>
        </c:dLbls>
        <c:marker val="1"/>
        <c:smooth val="0"/>
        <c:axId val="219475968"/>
        <c:axId val="219477504"/>
      </c:lineChart>
      <c:catAx>
        <c:axId val="219475968"/>
        <c:scaling>
          <c:orientation val="minMax"/>
        </c:scaling>
        <c:delete val="0"/>
        <c:axPos val="b"/>
        <c:numFmt formatCode="General" sourceLinked="1"/>
        <c:majorTickMark val="in"/>
        <c:minorTickMark val="none"/>
        <c:tickLblPos val="low"/>
        <c:spPr>
          <a:ln w="3175">
            <a:solidFill>
              <a:srgbClr val="000000"/>
            </a:solidFill>
            <a:prstDash val="solid"/>
          </a:ln>
        </c:spPr>
        <c:txPr>
          <a:bodyPr rot="0" vert="horz"/>
          <a:lstStyle/>
          <a:p>
            <a:pPr>
              <a:defRPr sz="1200" b="1" i="0" u="none" strike="noStrike" baseline="0">
                <a:solidFill>
                  <a:srgbClr val="000000"/>
                </a:solidFill>
                <a:latin typeface="Times New Roman" panose="02020603050405020304" pitchFamily="18" charset="0"/>
                <a:ea typeface="標楷體"/>
                <a:cs typeface="Times New Roman" panose="02020603050405020304" pitchFamily="18" charset="0"/>
              </a:defRPr>
            </a:pPr>
            <a:endParaRPr lang="zh-TW"/>
          </a:p>
        </c:txPr>
        <c:crossAx val="219477504"/>
        <c:crossesAt val="0"/>
        <c:auto val="1"/>
        <c:lblAlgn val="ctr"/>
        <c:lblOffset val="100"/>
        <c:tickLblSkip val="1"/>
        <c:tickMarkSkip val="1"/>
        <c:noMultiLvlLbl val="0"/>
      </c:catAx>
      <c:valAx>
        <c:axId val="219477504"/>
        <c:scaling>
          <c:orientation val="minMax"/>
          <c:max val="4"/>
          <c:min val="-1"/>
        </c:scaling>
        <c:delete val="0"/>
        <c:axPos val="l"/>
        <c:numFmt formatCode="0_ " sourceLinked="0"/>
        <c:majorTickMark val="in"/>
        <c:minorTickMark val="none"/>
        <c:tickLblPos val="nextTo"/>
        <c:spPr>
          <a:ln w="3175">
            <a:solidFill>
              <a:srgbClr val="000000"/>
            </a:solidFill>
            <a:prstDash val="solid"/>
          </a:ln>
        </c:spPr>
        <c:txPr>
          <a:bodyPr rot="0" vert="horz"/>
          <a:lstStyle/>
          <a:p>
            <a:pPr>
              <a:defRPr sz="1100" b="0" i="0" u="none" strike="noStrike" baseline="0">
                <a:solidFill>
                  <a:srgbClr val="000000"/>
                </a:solidFill>
                <a:latin typeface="Times New Roman" panose="02020603050405020304" pitchFamily="18" charset="0"/>
                <a:ea typeface="Century Gothic"/>
                <a:cs typeface="Times New Roman" panose="02020603050405020304" pitchFamily="18" charset="0"/>
              </a:defRPr>
            </a:pPr>
            <a:endParaRPr lang="zh-TW"/>
          </a:p>
        </c:txPr>
        <c:crossAx val="219475968"/>
        <c:crosses val="autoZero"/>
        <c:crossBetween val="between"/>
        <c:majorUnit val="1"/>
        <c:minorUnit val="0.2"/>
      </c:valAx>
      <c:spPr>
        <a:noFill/>
        <a:ln>
          <a:solidFill>
            <a:schemeClr val="tx1"/>
          </a:solidFill>
        </a:ln>
      </c:spPr>
    </c:plotArea>
    <c:plotVisOnly val="1"/>
    <c:dispBlanksAs val="gap"/>
    <c:showDLblsOverMax val="0"/>
  </c:chart>
  <c:spPr>
    <a:noFill/>
    <a:ln w="9525">
      <a:noFill/>
    </a:ln>
  </c:spPr>
  <c:txPr>
    <a:bodyPr/>
    <a:lstStyle/>
    <a:p>
      <a:pPr>
        <a:defRPr sz="1200" b="0" i="0" u="none" strike="noStrike" baseline="0">
          <a:solidFill>
            <a:srgbClr val="000000"/>
          </a:solidFill>
          <a:latin typeface="標楷體"/>
          <a:ea typeface="標楷體"/>
          <a:cs typeface="標楷體"/>
        </a:defRPr>
      </a:pPr>
      <a:endParaRPr lang="zh-TW"/>
    </a:p>
  </c:txPr>
  <c:externalData r:id="rId1">
    <c:autoUpdate val="0"/>
  </c:externalData>
  <c:userShapes r:id="rId2"/>
</c:chartSpace>
</file>

<file path=word/drawings/drawing1.xml><?xml version="1.0" encoding="utf-8"?>
<c:userShapes xmlns:c="http://schemas.openxmlformats.org/drawingml/2006/chart">
  <cdr:relSizeAnchor xmlns:cdr="http://schemas.openxmlformats.org/drawingml/2006/chartDrawing">
    <cdr:from>
      <cdr:x>0.00851</cdr:x>
      <cdr:y>0.01264</cdr:y>
    </cdr:from>
    <cdr:to>
      <cdr:x>0.07484</cdr:x>
      <cdr:y>0.11584</cdr:y>
    </cdr:to>
    <cdr:sp macro="" textlink="">
      <cdr:nvSpPr>
        <cdr:cNvPr id="6145" name="Text Box 1"/>
        <cdr:cNvSpPr txBox="1">
          <a:spLocks xmlns:a="http://schemas.openxmlformats.org/drawingml/2006/main" noChangeArrowheads="1"/>
        </cdr:cNvSpPr>
      </cdr:nvSpPr>
      <cdr:spPr bwMode="auto">
        <a:xfrm xmlns:a="http://schemas.openxmlformats.org/drawingml/2006/main">
          <a:off x="76532" y="53340"/>
          <a:ext cx="596527" cy="435382"/>
        </a:xfrm>
        <a:prstGeom xmlns:a="http://schemas.openxmlformats.org/drawingml/2006/main" prst="rect">
          <a:avLst/>
        </a:prstGeom>
        <a:noFill xmlns:a="http://schemas.openxmlformats.org/drawingml/2006/main"/>
        <a:ln xmlns:a="http://schemas.openxmlformats.org/drawingml/2006/main">
          <a:noFill/>
        </a:ln>
        <a:extLst xmlns:a="http://schemas.openxmlformats.org/drawingml/2006/main">
          <a:ext uri="{909E8E84-426E-40DD-AFC4-6F175D3DCCD1}">
            <a14:hiddenFill xmlns:a14="http://schemas.microsoft.com/office/drawing/2010/main">
              <a:solidFill>
                <a:srgbClr xmlns:mc="http://schemas.openxmlformats.org/markup-compatibility/2006" val="FFFFFF" mc:Ignorable="a14" a14:legacySpreadsheetColorIndex="9"/>
              </a:solidFill>
            </a14:hiddenFill>
          </a:ext>
          <a:ext uri="{91240B29-F687-4F45-9708-019B960494DF}">
            <a14:hiddenLine xmlns:a14="http://schemas.microsoft.com/office/drawing/2010/main" w="9525">
              <a:solidFill>
                <a:srgbClr xmlns:mc="http://schemas.openxmlformats.org/markup-compatibility/2006" val="000000" mc:Ignorable="a14" a14:legacySpreadsheetColorIndex="64"/>
              </a:solidFill>
              <a:miter lim="800000"/>
              <a:headEnd/>
              <a:tailEnd/>
            </a14:hiddenLine>
          </a:ext>
        </a:extLst>
      </cdr:spPr>
      <cdr:txBody>
        <a:bodyPr xmlns:a="http://schemas.openxmlformats.org/drawingml/2006/main" vertOverflow="clip" wrap="square" lIns="36576" tIns="32004" rIns="36576" bIns="0" anchor="t" upright="1"/>
        <a:lstStyle xmlns:a="http://schemas.openxmlformats.org/drawingml/2006/main"/>
        <a:p xmlns:a="http://schemas.openxmlformats.org/drawingml/2006/main">
          <a:pPr algn="ctr" rtl="0">
            <a:defRPr sz="1000"/>
          </a:pPr>
          <a:r>
            <a:rPr lang="en-US" altLang="zh-TW" sz="1200" b="0" i="0" u="none" strike="noStrike" baseline="0" dirty="0" smtClean="0">
              <a:solidFill>
                <a:srgbClr val="000000"/>
              </a:solidFill>
              <a:latin typeface="Times New Roman" panose="02020603050405020304" pitchFamily="18" charset="0"/>
              <a:ea typeface="細明體"/>
              <a:cs typeface="Times New Roman" panose="02020603050405020304" pitchFamily="18" charset="0"/>
            </a:rPr>
            <a:t>%</a:t>
          </a:r>
          <a:endParaRPr lang="zh-TW" altLang="en-US" sz="900" dirty="0">
            <a:latin typeface="Times New Roman" panose="02020603050405020304" pitchFamily="18" charset="0"/>
            <a:cs typeface="Times New Roman" panose="02020603050405020304" pitchFamily="18" charset="0"/>
          </a:endParaRPr>
        </a:p>
      </cdr:txBody>
    </cdr:sp>
  </cdr:relSizeAnchor>
  <cdr:relSizeAnchor xmlns:cdr="http://schemas.openxmlformats.org/drawingml/2006/chartDrawing">
    <cdr:from>
      <cdr:x>0.92926</cdr:x>
      <cdr:y>0.17137</cdr:y>
    </cdr:from>
    <cdr:to>
      <cdr:x>0.97591</cdr:x>
      <cdr:y>0.23972</cdr:y>
    </cdr:to>
    <cdr:sp macro="" textlink="">
      <cdr:nvSpPr>
        <cdr:cNvPr id="6" name="文字方塊 1"/>
        <cdr:cNvSpPr txBox="1"/>
      </cdr:nvSpPr>
      <cdr:spPr>
        <a:xfrm xmlns:a="http://schemas.openxmlformats.org/drawingml/2006/main">
          <a:off x="7809696" y="649865"/>
          <a:ext cx="392057" cy="259198"/>
        </a:xfrm>
        <a:prstGeom xmlns:a="http://schemas.openxmlformats.org/drawingml/2006/main" prst="rect">
          <a:avLst/>
        </a:prstGeom>
      </cdr:spPr>
      <cdr:txBody>
        <a:bodyPr xmlns:a="http://schemas.openxmlformats.org/drawingml/2006/main" wrap="square" lIns="0" tIns="0" rIns="0" bIns="0" rtlCol="0"/>
        <a:lstStyle xmlns:a="http://schemas.openxmlformats.org/drawingml/2006/main">
          <a:lvl1pPr marL="0" indent="0">
            <a:defRPr sz="1100">
              <a:latin typeface="+mn-lt"/>
              <a:ea typeface="+mn-ea"/>
              <a:cs typeface="+mn-cs"/>
            </a:defRPr>
          </a:lvl1pPr>
          <a:lvl2pPr marL="457200" indent="0">
            <a:defRPr sz="1100">
              <a:latin typeface="+mn-lt"/>
              <a:ea typeface="+mn-ea"/>
              <a:cs typeface="+mn-cs"/>
            </a:defRPr>
          </a:lvl2pPr>
          <a:lvl3pPr marL="914400" indent="0">
            <a:defRPr sz="1100">
              <a:latin typeface="+mn-lt"/>
              <a:ea typeface="+mn-ea"/>
              <a:cs typeface="+mn-cs"/>
            </a:defRPr>
          </a:lvl3pPr>
          <a:lvl4pPr marL="1371600" indent="0">
            <a:defRPr sz="1100">
              <a:latin typeface="+mn-lt"/>
              <a:ea typeface="+mn-ea"/>
              <a:cs typeface="+mn-cs"/>
            </a:defRPr>
          </a:lvl4pPr>
          <a:lvl5pPr marL="1828800" indent="0">
            <a:defRPr sz="1100">
              <a:latin typeface="+mn-lt"/>
              <a:ea typeface="+mn-ea"/>
              <a:cs typeface="+mn-cs"/>
            </a:defRPr>
          </a:lvl5pPr>
          <a:lvl6pPr marL="2286000" indent="0">
            <a:defRPr sz="1100">
              <a:latin typeface="+mn-lt"/>
              <a:ea typeface="+mn-ea"/>
              <a:cs typeface="+mn-cs"/>
            </a:defRPr>
          </a:lvl6pPr>
          <a:lvl7pPr marL="2743200" indent="0">
            <a:defRPr sz="1100">
              <a:latin typeface="+mn-lt"/>
              <a:ea typeface="+mn-ea"/>
              <a:cs typeface="+mn-cs"/>
            </a:defRPr>
          </a:lvl7pPr>
          <a:lvl8pPr marL="3200400" indent="0">
            <a:defRPr sz="1100">
              <a:latin typeface="+mn-lt"/>
              <a:ea typeface="+mn-ea"/>
              <a:cs typeface="+mn-cs"/>
            </a:defRPr>
          </a:lvl8pPr>
          <a:lvl9pPr marL="3657600" indent="0">
            <a:defRPr sz="1100">
              <a:latin typeface="+mn-lt"/>
              <a:ea typeface="+mn-ea"/>
              <a:cs typeface="+mn-cs"/>
            </a:defRPr>
          </a:lvl9pPr>
        </a:lstStyle>
        <a:p xmlns:a="http://schemas.openxmlformats.org/drawingml/2006/main">
          <a:r>
            <a:rPr lang="en-US" altLang="zh-TW" sz="1000" b="1" i="0" u="none" strike="noStrike" kern="1200" baseline="0" dirty="0">
              <a:solidFill>
                <a:schemeClr val="accent1"/>
              </a:solidFill>
              <a:latin typeface="Times New Roman" panose="02020603050405020304" pitchFamily="18" charset="0"/>
              <a:ea typeface="標楷體" panose="03000509000000000000" pitchFamily="65" charset="-120"/>
              <a:cs typeface="Times New Roman" panose="02020603050405020304" pitchFamily="18" charset="0"/>
            </a:rPr>
            <a:t>U.S.</a:t>
          </a:r>
          <a:endParaRPr lang="zh-TW" altLang="en-US" sz="1000" b="1" i="0" u="none" strike="noStrike" kern="1200" baseline="0" dirty="0">
            <a:solidFill>
              <a:schemeClr val="accent1"/>
            </a:solidFill>
            <a:latin typeface="Times New Roman" panose="02020603050405020304" pitchFamily="18" charset="0"/>
            <a:ea typeface="標楷體" panose="03000509000000000000" pitchFamily="65" charset="-120"/>
            <a:cs typeface="Times New Roman" panose="02020603050405020304" pitchFamily="18" charset="0"/>
          </a:endParaRPr>
        </a:p>
      </cdr:txBody>
    </cdr:sp>
  </cdr:relSizeAnchor>
  <cdr:relSizeAnchor xmlns:cdr="http://schemas.openxmlformats.org/drawingml/2006/chartDrawing">
    <cdr:from>
      <cdr:x>0.91893</cdr:x>
      <cdr:y>0.29039</cdr:y>
    </cdr:from>
    <cdr:to>
      <cdr:x>0.9764</cdr:x>
      <cdr:y>0.37886</cdr:y>
    </cdr:to>
    <cdr:sp macro="" textlink="">
      <cdr:nvSpPr>
        <cdr:cNvPr id="7" name="文字方塊 1"/>
        <cdr:cNvSpPr txBox="1"/>
      </cdr:nvSpPr>
      <cdr:spPr>
        <a:xfrm xmlns:a="http://schemas.openxmlformats.org/drawingml/2006/main">
          <a:off x="7722894" y="1101212"/>
          <a:ext cx="482991" cy="335498"/>
        </a:xfrm>
        <a:prstGeom xmlns:a="http://schemas.openxmlformats.org/drawingml/2006/main" prst="rect">
          <a:avLst/>
        </a:prstGeom>
      </cdr:spPr>
      <cdr:txBody>
        <a:bodyPr xmlns:a="http://schemas.openxmlformats.org/drawingml/2006/main" wrap="square" lIns="0" tIns="0" rIns="0" bIns="0" rtlCol="0"/>
        <a:lstStyle xmlns:a="http://schemas.openxmlformats.org/drawingml/2006/main">
          <a:lvl1pPr marL="0" indent="0">
            <a:defRPr sz="1100">
              <a:latin typeface="+mn-lt"/>
              <a:ea typeface="+mn-ea"/>
              <a:cs typeface="+mn-cs"/>
            </a:defRPr>
          </a:lvl1pPr>
          <a:lvl2pPr marL="457200" indent="0">
            <a:defRPr sz="1100">
              <a:latin typeface="+mn-lt"/>
              <a:ea typeface="+mn-ea"/>
              <a:cs typeface="+mn-cs"/>
            </a:defRPr>
          </a:lvl2pPr>
          <a:lvl3pPr marL="914400" indent="0">
            <a:defRPr sz="1100">
              <a:latin typeface="+mn-lt"/>
              <a:ea typeface="+mn-ea"/>
              <a:cs typeface="+mn-cs"/>
            </a:defRPr>
          </a:lvl3pPr>
          <a:lvl4pPr marL="1371600" indent="0">
            <a:defRPr sz="1100">
              <a:latin typeface="+mn-lt"/>
              <a:ea typeface="+mn-ea"/>
              <a:cs typeface="+mn-cs"/>
            </a:defRPr>
          </a:lvl4pPr>
          <a:lvl5pPr marL="1828800" indent="0">
            <a:defRPr sz="1100">
              <a:latin typeface="+mn-lt"/>
              <a:ea typeface="+mn-ea"/>
              <a:cs typeface="+mn-cs"/>
            </a:defRPr>
          </a:lvl5pPr>
          <a:lvl6pPr marL="2286000" indent="0">
            <a:defRPr sz="1100">
              <a:latin typeface="+mn-lt"/>
              <a:ea typeface="+mn-ea"/>
              <a:cs typeface="+mn-cs"/>
            </a:defRPr>
          </a:lvl6pPr>
          <a:lvl7pPr marL="2743200" indent="0">
            <a:defRPr sz="1100">
              <a:latin typeface="+mn-lt"/>
              <a:ea typeface="+mn-ea"/>
              <a:cs typeface="+mn-cs"/>
            </a:defRPr>
          </a:lvl7pPr>
          <a:lvl8pPr marL="3200400" indent="0">
            <a:defRPr sz="1100">
              <a:latin typeface="+mn-lt"/>
              <a:ea typeface="+mn-ea"/>
              <a:cs typeface="+mn-cs"/>
            </a:defRPr>
          </a:lvl8pPr>
          <a:lvl9pPr marL="3657600" indent="0">
            <a:defRPr sz="1100">
              <a:latin typeface="+mn-lt"/>
              <a:ea typeface="+mn-ea"/>
              <a:cs typeface="+mn-cs"/>
            </a:defRPr>
          </a:lvl9pPr>
        </a:lstStyle>
        <a:p xmlns:a="http://schemas.openxmlformats.org/drawingml/2006/main">
          <a:pPr algn="ctr"/>
          <a:r>
            <a:rPr lang="en-US" altLang="zh-TW" sz="1000" b="1" i="0" u="none" strike="noStrike" kern="1200" baseline="0" dirty="0" smtClean="0">
              <a:solidFill>
                <a:schemeClr val="tx1">
                  <a:lumMod val="65000"/>
                  <a:lumOff val="35000"/>
                </a:schemeClr>
              </a:solidFill>
              <a:latin typeface="Times New Roman" panose="02020603050405020304" pitchFamily="18" charset="0"/>
              <a:ea typeface="標楷體" panose="03000509000000000000" pitchFamily="65" charset="-120"/>
              <a:cs typeface="Times New Roman" panose="02020603050405020304" pitchFamily="18" charset="0"/>
            </a:rPr>
            <a:t>South Korea</a:t>
          </a:r>
          <a:endParaRPr lang="zh-TW" altLang="en-US" sz="1000" b="1" i="0" u="none" strike="noStrike" kern="1200" baseline="0" dirty="0">
            <a:solidFill>
              <a:schemeClr val="tx1">
                <a:lumMod val="65000"/>
                <a:lumOff val="35000"/>
              </a:schemeClr>
            </a:solidFill>
            <a:latin typeface="Times New Roman" panose="02020603050405020304" pitchFamily="18" charset="0"/>
            <a:ea typeface="標楷體" panose="03000509000000000000" pitchFamily="65" charset="-120"/>
            <a:cs typeface="Times New Roman" panose="02020603050405020304" pitchFamily="18" charset="0"/>
          </a:endParaRPr>
        </a:p>
      </cdr:txBody>
    </cdr:sp>
  </cdr:relSizeAnchor>
  <cdr:relSizeAnchor xmlns:cdr="http://schemas.openxmlformats.org/drawingml/2006/chartDrawing">
    <cdr:from>
      <cdr:x>0.92473</cdr:x>
      <cdr:y>0.43235</cdr:y>
    </cdr:from>
    <cdr:to>
      <cdr:x>0.98939</cdr:x>
      <cdr:y>0.48857</cdr:y>
    </cdr:to>
    <cdr:sp macro="" textlink="">
      <cdr:nvSpPr>
        <cdr:cNvPr id="8" name="文字方塊 1"/>
        <cdr:cNvSpPr txBox="1"/>
      </cdr:nvSpPr>
      <cdr:spPr>
        <a:xfrm xmlns:a="http://schemas.openxmlformats.org/drawingml/2006/main">
          <a:off x="7771639" y="1639566"/>
          <a:ext cx="543417" cy="213199"/>
        </a:xfrm>
        <a:prstGeom xmlns:a="http://schemas.openxmlformats.org/drawingml/2006/main" prst="rect">
          <a:avLst/>
        </a:prstGeom>
      </cdr:spPr>
      <cdr:txBody>
        <a:bodyPr xmlns:a="http://schemas.openxmlformats.org/drawingml/2006/main" wrap="square" lIns="0" tIns="0" rIns="0" bIns="0" rtlCol="0"/>
        <a:lstStyle xmlns:a="http://schemas.openxmlformats.org/drawingml/2006/main">
          <a:lvl1pPr marL="0" indent="0">
            <a:defRPr sz="1100">
              <a:latin typeface="+mn-lt"/>
              <a:ea typeface="+mn-ea"/>
              <a:cs typeface="+mn-cs"/>
            </a:defRPr>
          </a:lvl1pPr>
          <a:lvl2pPr marL="457200" indent="0">
            <a:defRPr sz="1100">
              <a:latin typeface="+mn-lt"/>
              <a:ea typeface="+mn-ea"/>
              <a:cs typeface="+mn-cs"/>
            </a:defRPr>
          </a:lvl2pPr>
          <a:lvl3pPr marL="914400" indent="0">
            <a:defRPr sz="1100">
              <a:latin typeface="+mn-lt"/>
              <a:ea typeface="+mn-ea"/>
              <a:cs typeface="+mn-cs"/>
            </a:defRPr>
          </a:lvl3pPr>
          <a:lvl4pPr marL="1371600" indent="0">
            <a:defRPr sz="1100">
              <a:latin typeface="+mn-lt"/>
              <a:ea typeface="+mn-ea"/>
              <a:cs typeface="+mn-cs"/>
            </a:defRPr>
          </a:lvl4pPr>
          <a:lvl5pPr marL="1828800" indent="0">
            <a:defRPr sz="1100">
              <a:latin typeface="+mn-lt"/>
              <a:ea typeface="+mn-ea"/>
              <a:cs typeface="+mn-cs"/>
            </a:defRPr>
          </a:lvl5pPr>
          <a:lvl6pPr marL="2286000" indent="0">
            <a:defRPr sz="1100">
              <a:latin typeface="+mn-lt"/>
              <a:ea typeface="+mn-ea"/>
              <a:cs typeface="+mn-cs"/>
            </a:defRPr>
          </a:lvl6pPr>
          <a:lvl7pPr marL="2743200" indent="0">
            <a:defRPr sz="1100">
              <a:latin typeface="+mn-lt"/>
              <a:ea typeface="+mn-ea"/>
              <a:cs typeface="+mn-cs"/>
            </a:defRPr>
          </a:lvl7pPr>
          <a:lvl8pPr marL="3200400" indent="0">
            <a:defRPr sz="1100">
              <a:latin typeface="+mn-lt"/>
              <a:ea typeface="+mn-ea"/>
              <a:cs typeface="+mn-cs"/>
            </a:defRPr>
          </a:lvl8pPr>
          <a:lvl9pPr marL="3657600" indent="0">
            <a:defRPr sz="1100">
              <a:latin typeface="+mn-lt"/>
              <a:ea typeface="+mn-ea"/>
              <a:cs typeface="+mn-cs"/>
            </a:defRPr>
          </a:lvl9pPr>
        </a:lstStyle>
        <a:p xmlns:a="http://schemas.openxmlformats.org/drawingml/2006/main">
          <a:r>
            <a:rPr lang="en-US" altLang="zh-TW" sz="1000" b="1" i="0" u="none" strike="noStrike" kern="1200" baseline="0" dirty="0">
              <a:solidFill>
                <a:srgbClr val="009900"/>
              </a:solidFill>
              <a:latin typeface="Times New Roman" panose="02020603050405020304" pitchFamily="18" charset="0"/>
              <a:ea typeface="標楷體" panose="03000509000000000000" pitchFamily="65" charset="-120"/>
              <a:cs typeface="Times New Roman" panose="02020603050405020304" pitchFamily="18" charset="0"/>
            </a:rPr>
            <a:t>Taiwan</a:t>
          </a:r>
          <a:endParaRPr lang="zh-TW" altLang="en-US" sz="1000" b="1" i="0" u="none" strike="noStrike" kern="1200" baseline="0" dirty="0">
            <a:solidFill>
              <a:srgbClr val="009900"/>
            </a:solidFill>
            <a:latin typeface="Times New Roman" panose="02020603050405020304" pitchFamily="18" charset="0"/>
            <a:ea typeface="標楷體" panose="03000509000000000000" pitchFamily="65" charset="-120"/>
            <a:cs typeface="Times New Roman" panose="02020603050405020304" pitchFamily="18" charset="0"/>
          </a:endParaRPr>
        </a:p>
      </cdr:txBody>
    </cdr:sp>
  </cdr:relSizeAnchor>
  <cdr:relSizeAnchor xmlns:cdr="http://schemas.openxmlformats.org/drawingml/2006/chartDrawing">
    <cdr:from>
      <cdr:x>0.91417</cdr:x>
      <cdr:y>0.49769</cdr:y>
    </cdr:from>
    <cdr:to>
      <cdr:x>0.97922</cdr:x>
      <cdr:y>0.55354</cdr:y>
    </cdr:to>
    <cdr:sp macro="" textlink="">
      <cdr:nvSpPr>
        <cdr:cNvPr id="9" name="文字方塊 1"/>
        <cdr:cNvSpPr txBox="1"/>
      </cdr:nvSpPr>
      <cdr:spPr>
        <a:xfrm xmlns:a="http://schemas.openxmlformats.org/drawingml/2006/main">
          <a:off x="7682905" y="1887340"/>
          <a:ext cx="546696" cy="211804"/>
        </a:xfrm>
        <a:prstGeom xmlns:a="http://schemas.openxmlformats.org/drawingml/2006/main" prst="rect">
          <a:avLst/>
        </a:prstGeom>
      </cdr:spPr>
      <cdr:txBody>
        <a:bodyPr xmlns:a="http://schemas.openxmlformats.org/drawingml/2006/main" wrap="square" lIns="0" tIns="0" rIns="0" bIns="0" rtlCol="0"/>
        <a:lstStyle xmlns:a="http://schemas.openxmlformats.org/drawingml/2006/main">
          <a:lvl1pPr marL="0" indent="0">
            <a:defRPr sz="1100">
              <a:latin typeface="+mn-lt"/>
              <a:ea typeface="+mn-ea"/>
              <a:cs typeface="+mn-cs"/>
            </a:defRPr>
          </a:lvl1pPr>
          <a:lvl2pPr marL="457200" indent="0">
            <a:defRPr sz="1100">
              <a:latin typeface="+mn-lt"/>
              <a:ea typeface="+mn-ea"/>
              <a:cs typeface="+mn-cs"/>
            </a:defRPr>
          </a:lvl2pPr>
          <a:lvl3pPr marL="914400" indent="0">
            <a:defRPr sz="1100">
              <a:latin typeface="+mn-lt"/>
              <a:ea typeface="+mn-ea"/>
              <a:cs typeface="+mn-cs"/>
            </a:defRPr>
          </a:lvl3pPr>
          <a:lvl4pPr marL="1371600" indent="0">
            <a:defRPr sz="1100">
              <a:latin typeface="+mn-lt"/>
              <a:ea typeface="+mn-ea"/>
              <a:cs typeface="+mn-cs"/>
            </a:defRPr>
          </a:lvl4pPr>
          <a:lvl5pPr marL="1828800" indent="0">
            <a:defRPr sz="1100">
              <a:latin typeface="+mn-lt"/>
              <a:ea typeface="+mn-ea"/>
              <a:cs typeface="+mn-cs"/>
            </a:defRPr>
          </a:lvl5pPr>
          <a:lvl6pPr marL="2286000" indent="0">
            <a:defRPr sz="1100">
              <a:latin typeface="+mn-lt"/>
              <a:ea typeface="+mn-ea"/>
              <a:cs typeface="+mn-cs"/>
            </a:defRPr>
          </a:lvl6pPr>
          <a:lvl7pPr marL="2743200" indent="0">
            <a:defRPr sz="1100">
              <a:latin typeface="+mn-lt"/>
              <a:ea typeface="+mn-ea"/>
              <a:cs typeface="+mn-cs"/>
            </a:defRPr>
          </a:lvl7pPr>
          <a:lvl8pPr marL="3200400" indent="0">
            <a:defRPr sz="1100">
              <a:latin typeface="+mn-lt"/>
              <a:ea typeface="+mn-ea"/>
              <a:cs typeface="+mn-cs"/>
            </a:defRPr>
          </a:lvl8pPr>
          <a:lvl9pPr marL="3657600" indent="0">
            <a:defRPr sz="1100">
              <a:latin typeface="+mn-lt"/>
              <a:ea typeface="+mn-ea"/>
              <a:cs typeface="+mn-cs"/>
            </a:defRPr>
          </a:lvl9pPr>
        </a:lstStyle>
        <a:p xmlns:a="http://schemas.openxmlformats.org/drawingml/2006/main">
          <a:r>
            <a:rPr lang="en-US" altLang="zh-TW" sz="1000" b="1" i="0" u="none" strike="noStrike" kern="1200" baseline="0" dirty="0">
              <a:solidFill>
                <a:schemeClr val="accent2">
                  <a:lumMod val="75000"/>
                </a:schemeClr>
              </a:solidFill>
              <a:latin typeface="Times New Roman" panose="02020603050405020304" pitchFamily="18" charset="0"/>
              <a:ea typeface="標楷體" panose="03000509000000000000" pitchFamily="65" charset="-120"/>
              <a:cs typeface="Times New Roman" panose="02020603050405020304" pitchFamily="18" charset="0"/>
            </a:rPr>
            <a:t>Germany</a:t>
          </a:r>
          <a:endParaRPr lang="zh-TW" altLang="en-US" sz="1000" b="1" i="0" u="none" strike="noStrike" kern="1200" baseline="0" dirty="0">
            <a:solidFill>
              <a:schemeClr val="accent2">
                <a:lumMod val="75000"/>
              </a:schemeClr>
            </a:solidFill>
            <a:latin typeface="Times New Roman" panose="02020603050405020304" pitchFamily="18" charset="0"/>
            <a:ea typeface="標楷體" panose="03000509000000000000" pitchFamily="65" charset="-120"/>
            <a:cs typeface="Times New Roman" panose="02020603050405020304" pitchFamily="18" charset="0"/>
          </a:endParaRPr>
        </a:p>
      </cdr:txBody>
    </cdr:sp>
  </cdr:relSizeAnchor>
  <cdr:relSizeAnchor xmlns:cdr="http://schemas.openxmlformats.org/drawingml/2006/chartDrawing">
    <cdr:from>
      <cdr:x>0.9137</cdr:x>
      <cdr:y>0.55841</cdr:y>
    </cdr:from>
    <cdr:to>
      <cdr:x>0.97056</cdr:x>
      <cdr:y>0.61529</cdr:y>
    </cdr:to>
    <cdr:sp macro="" textlink="">
      <cdr:nvSpPr>
        <cdr:cNvPr id="10" name="文字方塊 1"/>
        <cdr:cNvSpPr txBox="1"/>
      </cdr:nvSpPr>
      <cdr:spPr>
        <a:xfrm xmlns:a="http://schemas.openxmlformats.org/drawingml/2006/main">
          <a:off x="7678937" y="2117599"/>
          <a:ext cx="477864" cy="215701"/>
        </a:xfrm>
        <a:prstGeom xmlns:a="http://schemas.openxmlformats.org/drawingml/2006/main" prst="rect">
          <a:avLst/>
        </a:prstGeom>
      </cdr:spPr>
      <cdr:txBody>
        <a:bodyPr xmlns:a="http://schemas.openxmlformats.org/drawingml/2006/main" wrap="square" lIns="0" tIns="0" rIns="0" bIns="0" rtlCol="0"/>
        <a:lstStyle xmlns:a="http://schemas.openxmlformats.org/drawingml/2006/main">
          <a:lvl1pPr marL="0" indent="0">
            <a:defRPr sz="1100">
              <a:latin typeface="+mn-lt"/>
              <a:ea typeface="+mn-ea"/>
              <a:cs typeface="+mn-cs"/>
            </a:defRPr>
          </a:lvl1pPr>
          <a:lvl2pPr marL="457200" indent="0">
            <a:defRPr sz="1100">
              <a:latin typeface="+mn-lt"/>
              <a:ea typeface="+mn-ea"/>
              <a:cs typeface="+mn-cs"/>
            </a:defRPr>
          </a:lvl2pPr>
          <a:lvl3pPr marL="914400" indent="0">
            <a:defRPr sz="1100">
              <a:latin typeface="+mn-lt"/>
              <a:ea typeface="+mn-ea"/>
              <a:cs typeface="+mn-cs"/>
            </a:defRPr>
          </a:lvl3pPr>
          <a:lvl4pPr marL="1371600" indent="0">
            <a:defRPr sz="1100">
              <a:latin typeface="+mn-lt"/>
              <a:ea typeface="+mn-ea"/>
              <a:cs typeface="+mn-cs"/>
            </a:defRPr>
          </a:lvl4pPr>
          <a:lvl5pPr marL="1828800" indent="0">
            <a:defRPr sz="1100">
              <a:latin typeface="+mn-lt"/>
              <a:ea typeface="+mn-ea"/>
              <a:cs typeface="+mn-cs"/>
            </a:defRPr>
          </a:lvl5pPr>
          <a:lvl6pPr marL="2286000" indent="0">
            <a:defRPr sz="1100">
              <a:latin typeface="+mn-lt"/>
              <a:ea typeface="+mn-ea"/>
              <a:cs typeface="+mn-cs"/>
            </a:defRPr>
          </a:lvl6pPr>
          <a:lvl7pPr marL="2743200" indent="0">
            <a:defRPr sz="1100">
              <a:latin typeface="+mn-lt"/>
              <a:ea typeface="+mn-ea"/>
              <a:cs typeface="+mn-cs"/>
            </a:defRPr>
          </a:lvl7pPr>
          <a:lvl8pPr marL="3200400" indent="0">
            <a:defRPr sz="1100">
              <a:latin typeface="+mn-lt"/>
              <a:ea typeface="+mn-ea"/>
              <a:cs typeface="+mn-cs"/>
            </a:defRPr>
          </a:lvl8pPr>
          <a:lvl9pPr marL="3657600" indent="0">
            <a:defRPr sz="1100">
              <a:latin typeface="+mn-lt"/>
              <a:ea typeface="+mn-ea"/>
              <a:cs typeface="+mn-cs"/>
            </a:defRPr>
          </a:lvl9pPr>
        </a:lstStyle>
        <a:p xmlns:a="http://schemas.openxmlformats.org/drawingml/2006/main">
          <a:pPr algn="ctr"/>
          <a:r>
            <a:rPr lang="en-US" altLang="zh-TW" sz="1000" b="1" i="0" u="none" strike="noStrike" kern="1200" baseline="0" dirty="0">
              <a:solidFill>
                <a:schemeClr val="accent6">
                  <a:lumMod val="75000"/>
                </a:schemeClr>
              </a:solidFill>
              <a:latin typeface="Times New Roman" panose="02020603050405020304" pitchFamily="18" charset="0"/>
              <a:ea typeface="標楷體" panose="03000509000000000000" pitchFamily="65" charset="-120"/>
              <a:cs typeface="Times New Roman" panose="02020603050405020304" pitchFamily="18" charset="0"/>
            </a:rPr>
            <a:t>Japan</a:t>
          </a:r>
          <a:endParaRPr lang="zh-TW" altLang="en-US" sz="1000" b="1" i="0" u="none" strike="noStrike" kern="1200" baseline="0" dirty="0">
            <a:solidFill>
              <a:schemeClr val="accent6">
                <a:lumMod val="75000"/>
              </a:schemeClr>
            </a:solidFill>
            <a:latin typeface="Times New Roman" panose="02020603050405020304" pitchFamily="18" charset="0"/>
            <a:ea typeface="標楷體" panose="03000509000000000000" pitchFamily="65" charset="-120"/>
            <a:cs typeface="Times New Roman" panose="02020603050405020304" pitchFamily="18" charset="0"/>
          </a:endParaRPr>
        </a:p>
      </cdr:txBody>
    </cdr:sp>
  </cdr:relSizeAnchor>
  <cdr:relSizeAnchor xmlns:cdr="http://schemas.openxmlformats.org/drawingml/2006/chartDrawing">
    <cdr:from>
      <cdr:x>0.8988</cdr:x>
      <cdr:y>0.65209</cdr:y>
    </cdr:from>
    <cdr:to>
      <cdr:x>0.97856</cdr:x>
      <cdr:y>0.72193</cdr:y>
    </cdr:to>
    <cdr:sp macro="" textlink="">
      <cdr:nvSpPr>
        <cdr:cNvPr id="11" name="文字方塊 1"/>
        <cdr:cNvSpPr txBox="1"/>
      </cdr:nvSpPr>
      <cdr:spPr>
        <a:xfrm xmlns:a="http://schemas.openxmlformats.org/drawingml/2006/main">
          <a:off x="7553728" y="2472855"/>
          <a:ext cx="670288" cy="264853"/>
        </a:xfrm>
        <a:prstGeom xmlns:a="http://schemas.openxmlformats.org/drawingml/2006/main" prst="rect">
          <a:avLst/>
        </a:prstGeom>
      </cdr:spPr>
      <cdr:txBody>
        <a:bodyPr xmlns:a="http://schemas.openxmlformats.org/drawingml/2006/main" wrap="square" lIns="0" tIns="0" rIns="0" bIns="0" rtlCol="0"/>
        <a:lstStyle xmlns:a="http://schemas.openxmlformats.org/drawingml/2006/main">
          <a:lvl1pPr marL="0" indent="0">
            <a:defRPr sz="1100">
              <a:latin typeface="+mn-lt"/>
              <a:ea typeface="+mn-ea"/>
              <a:cs typeface="+mn-cs"/>
            </a:defRPr>
          </a:lvl1pPr>
          <a:lvl2pPr marL="457200" indent="0">
            <a:defRPr sz="1100">
              <a:latin typeface="+mn-lt"/>
              <a:ea typeface="+mn-ea"/>
              <a:cs typeface="+mn-cs"/>
            </a:defRPr>
          </a:lvl2pPr>
          <a:lvl3pPr marL="914400" indent="0">
            <a:defRPr sz="1100">
              <a:latin typeface="+mn-lt"/>
              <a:ea typeface="+mn-ea"/>
              <a:cs typeface="+mn-cs"/>
            </a:defRPr>
          </a:lvl3pPr>
          <a:lvl4pPr marL="1371600" indent="0">
            <a:defRPr sz="1100">
              <a:latin typeface="+mn-lt"/>
              <a:ea typeface="+mn-ea"/>
              <a:cs typeface="+mn-cs"/>
            </a:defRPr>
          </a:lvl4pPr>
          <a:lvl5pPr marL="1828800" indent="0">
            <a:defRPr sz="1100">
              <a:latin typeface="+mn-lt"/>
              <a:ea typeface="+mn-ea"/>
              <a:cs typeface="+mn-cs"/>
            </a:defRPr>
          </a:lvl5pPr>
          <a:lvl6pPr marL="2286000" indent="0">
            <a:defRPr sz="1100">
              <a:latin typeface="+mn-lt"/>
              <a:ea typeface="+mn-ea"/>
              <a:cs typeface="+mn-cs"/>
            </a:defRPr>
          </a:lvl6pPr>
          <a:lvl7pPr marL="2743200" indent="0">
            <a:defRPr sz="1100">
              <a:latin typeface="+mn-lt"/>
              <a:ea typeface="+mn-ea"/>
              <a:cs typeface="+mn-cs"/>
            </a:defRPr>
          </a:lvl7pPr>
          <a:lvl8pPr marL="3200400" indent="0">
            <a:defRPr sz="1100">
              <a:latin typeface="+mn-lt"/>
              <a:ea typeface="+mn-ea"/>
              <a:cs typeface="+mn-cs"/>
            </a:defRPr>
          </a:lvl8pPr>
          <a:lvl9pPr marL="3657600" indent="0">
            <a:defRPr sz="1100">
              <a:latin typeface="+mn-lt"/>
              <a:ea typeface="+mn-ea"/>
              <a:cs typeface="+mn-cs"/>
            </a:defRPr>
          </a:lvl9pPr>
        </a:lstStyle>
        <a:p xmlns:a="http://schemas.openxmlformats.org/drawingml/2006/main">
          <a:pPr algn="ctr"/>
          <a:r>
            <a:rPr lang="en-US" altLang="zh-TW" sz="1000" b="1" i="0" u="none" strike="noStrike" kern="1200" baseline="0" dirty="0">
              <a:solidFill>
                <a:srgbClr val="FF66FF"/>
              </a:solidFill>
              <a:latin typeface="Times New Roman" panose="02020603050405020304" pitchFamily="18" charset="0"/>
              <a:ea typeface="標楷體" panose="03000509000000000000" pitchFamily="65" charset="-120"/>
              <a:cs typeface="Times New Roman" panose="02020603050405020304" pitchFamily="18" charset="0"/>
            </a:rPr>
            <a:t>Switzerland</a:t>
          </a:r>
          <a:endParaRPr lang="zh-TW" altLang="en-US" sz="1000" b="1" i="0" u="none" strike="noStrike" kern="1200" baseline="0" dirty="0">
            <a:solidFill>
              <a:srgbClr val="FF66FF"/>
            </a:solidFill>
            <a:latin typeface="Times New Roman" panose="02020603050405020304" pitchFamily="18" charset="0"/>
            <a:ea typeface="標楷體" panose="03000509000000000000" pitchFamily="65" charset="-120"/>
            <a:cs typeface="Times New Roman" panose="02020603050405020304" pitchFamily="18" charset="0"/>
          </a:endParaRPr>
        </a:p>
      </cdr:txBody>
    </cdr:sp>
  </cdr:relSizeAnchor>
</c:userShape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7060F90-BADA-4457-9B55-9879FC2F8A2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14</TotalTime>
  <Pages>19</Pages>
  <Words>5358</Words>
  <Characters>30544</Characters>
  <Application>Microsoft Office Word</Application>
  <DocSecurity>0</DocSecurity>
  <Lines>254</Lines>
  <Paragraphs>71</Paragraphs>
  <ScaleCrop>false</ScaleCrop>
  <HeadingPairs>
    <vt:vector size="2" baseType="variant">
      <vt:variant>
        <vt:lpstr>Title</vt:lpstr>
      </vt:variant>
      <vt:variant>
        <vt:i4>1</vt:i4>
      </vt:variant>
    </vt:vector>
  </HeadingPairs>
  <TitlesOfParts>
    <vt:vector size="1" baseType="lpstr">
      <vt:lpstr>人事評審會提案</vt:lpstr>
    </vt:vector>
  </TitlesOfParts>
  <Company>cbc</Company>
  <LinksUpToDate>false</LinksUpToDate>
  <CharactersWithSpaces>35831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107Q3</dc:title>
  <dc:creator>ssliao</dc:creator>
  <cp:lastModifiedBy>陳勝傑</cp:lastModifiedBy>
  <cp:revision>4</cp:revision>
  <cp:lastPrinted>2018-11-06T06:47:00Z</cp:lastPrinted>
  <dcterms:created xsi:type="dcterms:W3CDTF">2018-11-08T01:54:00Z</dcterms:created>
  <dcterms:modified xsi:type="dcterms:W3CDTF">2018-11-08T05:51:00Z</dcterms:modified>
</cp:coreProperties>
</file>