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54348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181D76" w:rsidRPr="00543487" w:rsidRDefault="00181D76" w:rsidP="00181D76">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181D76" w:rsidRPr="00543487" w:rsidRDefault="004E3052"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June</w:t>
      </w:r>
      <w:r w:rsidR="00181D76" w:rsidRPr="00543487">
        <w:rPr>
          <w:rFonts w:eastAsia="標楷體" w:hint="eastAsia"/>
          <w:spacing w:val="-24"/>
          <w:sz w:val="40"/>
          <w:szCs w:val="48"/>
        </w:rPr>
        <w:t xml:space="preserve"> 2</w:t>
      </w:r>
      <w:r>
        <w:rPr>
          <w:rFonts w:eastAsia="標楷體" w:hint="eastAsia"/>
          <w:spacing w:val="-24"/>
          <w:sz w:val="40"/>
          <w:szCs w:val="48"/>
        </w:rPr>
        <w:t>1</w:t>
      </w:r>
      <w:r w:rsidR="00181D76" w:rsidRPr="00543487">
        <w:rPr>
          <w:rFonts w:eastAsia="標楷體" w:hint="eastAsia"/>
          <w:spacing w:val="-24"/>
          <w:sz w:val="40"/>
          <w:szCs w:val="48"/>
        </w:rPr>
        <w:t>, 201</w:t>
      </w:r>
      <w:r w:rsidR="00776325">
        <w:rPr>
          <w:rFonts w:eastAsia="標楷體" w:hint="eastAsia"/>
          <w:spacing w:val="-24"/>
          <w:sz w:val="40"/>
          <w:szCs w:val="48"/>
        </w:rPr>
        <w:t>8</w:t>
      </w:r>
    </w:p>
    <w:p w:rsidR="00C82C46" w:rsidRPr="00181D76"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543487" w:rsidRDefault="00181D76" w:rsidP="00181D76">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C82C46" w:rsidRDefault="00C82C46" w:rsidP="00D052FE">
      <w:pPr>
        <w:spacing w:before="100" w:line="640" w:lineRule="exact"/>
        <w:ind w:leftChars="252" w:left="504" w:rightChars="231" w:right="462"/>
        <w:jc w:val="both"/>
        <w:textDirection w:val="lrTbV"/>
        <w:rPr>
          <w:rFonts w:eastAsia="標楷體"/>
          <w:sz w:val="52"/>
          <w:szCs w:val="52"/>
        </w:rPr>
        <w:sectPr w:rsidR="00C82C46"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363599" w:rsidRDefault="00363599" w:rsidP="00554255">
      <w:pPr>
        <w:spacing w:line="440" w:lineRule="exact"/>
        <w:jc w:val="center"/>
        <w:textDirection w:val="lrTbV"/>
        <w:rPr>
          <w:rFonts w:eastAsia="標楷體"/>
          <w:b/>
          <w:sz w:val="28"/>
          <w:szCs w:val="28"/>
        </w:rPr>
      </w:pPr>
      <w:r w:rsidRPr="00543487">
        <w:rPr>
          <w:rFonts w:eastAsia="標楷體"/>
          <w:b/>
          <w:sz w:val="28"/>
          <w:szCs w:val="28"/>
        </w:rPr>
        <w:lastRenderedPageBreak/>
        <w:t>Minutes</w:t>
      </w:r>
      <w:r w:rsidRPr="00543487">
        <w:rPr>
          <w:rStyle w:val="afd"/>
          <w:rFonts w:eastAsia="標楷體"/>
          <w:b/>
          <w:sz w:val="28"/>
          <w:szCs w:val="28"/>
        </w:rPr>
        <w:footnoteReference w:id="1"/>
      </w:r>
      <w:r w:rsidRPr="00543487">
        <w:rPr>
          <w:rFonts w:eastAsia="標楷體"/>
          <w:b/>
          <w:sz w:val="28"/>
          <w:szCs w:val="28"/>
        </w:rPr>
        <w:t xml:space="preserve"> of </w:t>
      </w:r>
      <w:r w:rsidRPr="0015302E">
        <w:rPr>
          <w:rFonts w:eastAsia="標楷體"/>
          <w:b/>
          <w:sz w:val="28"/>
          <w:szCs w:val="28"/>
        </w:rPr>
        <w:t xml:space="preserve">the Joint Meeting of the Board of Directors and </w:t>
      </w:r>
    </w:p>
    <w:p w:rsidR="00363599" w:rsidRPr="00543487" w:rsidRDefault="00363599" w:rsidP="00554255">
      <w:pPr>
        <w:spacing w:line="440" w:lineRule="exact"/>
        <w:jc w:val="center"/>
        <w:textDirection w:val="lrTbV"/>
        <w:rPr>
          <w:rFonts w:eastAsia="標楷體"/>
          <w:b/>
          <w:sz w:val="28"/>
          <w:szCs w:val="28"/>
        </w:rPr>
      </w:pPr>
      <w:proofErr w:type="gramStart"/>
      <w:r w:rsidRPr="0015302E">
        <w:rPr>
          <w:rFonts w:eastAsia="標楷體"/>
          <w:b/>
          <w:sz w:val="28"/>
          <w:szCs w:val="28"/>
        </w:rPr>
        <w:t>the</w:t>
      </w:r>
      <w:proofErr w:type="gramEnd"/>
      <w:r w:rsidRPr="0015302E">
        <w:rPr>
          <w:rFonts w:eastAsia="標楷體"/>
          <w:b/>
          <w:sz w:val="28"/>
          <w:szCs w:val="28"/>
        </w:rPr>
        <w:t xml:space="preserve"> Board of Supervisors on</w:t>
      </w:r>
      <w:r w:rsidR="00776325">
        <w:rPr>
          <w:rFonts w:eastAsia="標楷體" w:hint="eastAsia"/>
          <w:b/>
          <w:sz w:val="28"/>
          <w:szCs w:val="28"/>
        </w:rPr>
        <w:t xml:space="preserve"> </w:t>
      </w:r>
      <w:r w:rsidR="004E3052">
        <w:rPr>
          <w:rFonts w:eastAsia="標楷體" w:hint="eastAsia"/>
          <w:b/>
          <w:sz w:val="28"/>
          <w:szCs w:val="28"/>
        </w:rPr>
        <w:t>June</w:t>
      </w:r>
      <w:r w:rsidR="00776325">
        <w:rPr>
          <w:rFonts w:eastAsia="標楷體" w:hint="eastAsia"/>
          <w:b/>
          <w:sz w:val="28"/>
          <w:szCs w:val="28"/>
        </w:rPr>
        <w:t xml:space="preserve"> 2</w:t>
      </w:r>
      <w:r w:rsidR="004E3052">
        <w:rPr>
          <w:rFonts w:eastAsia="標楷體" w:hint="eastAsia"/>
          <w:b/>
          <w:sz w:val="28"/>
          <w:szCs w:val="28"/>
        </w:rPr>
        <w:t>1</w:t>
      </w:r>
      <w:r w:rsidR="00776325">
        <w:rPr>
          <w:rFonts w:eastAsia="標楷體"/>
          <w:b/>
          <w:sz w:val="28"/>
          <w:szCs w:val="28"/>
        </w:rPr>
        <w:t>, 201</w:t>
      </w:r>
      <w:r w:rsidR="00776325">
        <w:rPr>
          <w:rFonts w:eastAsia="標楷體" w:hint="eastAsia"/>
          <w:b/>
          <w:sz w:val="28"/>
          <w:szCs w:val="28"/>
        </w:rPr>
        <w:t>8</w:t>
      </w:r>
    </w:p>
    <w:p w:rsidR="00363599" w:rsidRPr="00506662" w:rsidRDefault="00363599" w:rsidP="00554255">
      <w:pPr>
        <w:spacing w:line="440" w:lineRule="exact"/>
        <w:jc w:val="both"/>
        <w:textDirection w:val="lrTbV"/>
        <w:rPr>
          <w:rFonts w:eastAsia="標楷體"/>
          <w:sz w:val="24"/>
          <w:szCs w:val="28"/>
        </w:rPr>
      </w:pPr>
      <w:r w:rsidRPr="00506662">
        <w:rPr>
          <w:rFonts w:eastAsia="標楷體" w:hint="eastAsia"/>
          <w:b/>
          <w:sz w:val="24"/>
          <w:szCs w:val="28"/>
        </w:rPr>
        <w:t>Date and Time</w:t>
      </w:r>
      <w:r w:rsidRPr="00506662">
        <w:rPr>
          <w:rFonts w:eastAsia="標楷體" w:hint="eastAsia"/>
          <w:sz w:val="24"/>
          <w:szCs w:val="28"/>
        </w:rPr>
        <w:t xml:space="preserve">: </w:t>
      </w:r>
      <w:r w:rsidR="004E3052">
        <w:rPr>
          <w:rFonts w:eastAsia="標楷體" w:hint="eastAsia"/>
          <w:sz w:val="24"/>
          <w:szCs w:val="28"/>
        </w:rPr>
        <w:t>June</w:t>
      </w:r>
      <w:r w:rsidRPr="00506662">
        <w:rPr>
          <w:rFonts w:eastAsia="標楷體" w:hint="eastAsia"/>
          <w:sz w:val="24"/>
          <w:szCs w:val="28"/>
        </w:rPr>
        <w:t xml:space="preserve"> 2</w:t>
      </w:r>
      <w:r w:rsidR="004E3052">
        <w:rPr>
          <w:rFonts w:eastAsia="標楷體" w:hint="eastAsia"/>
          <w:sz w:val="24"/>
          <w:szCs w:val="28"/>
        </w:rPr>
        <w:t>1</w:t>
      </w:r>
      <w:r w:rsidRPr="00506662">
        <w:rPr>
          <w:rFonts w:eastAsia="標楷體" w:hint="eastAsia"/>
          <w:sz w:val="24"/>
          <w:szCs w:val="28"/>
        </w:rPr>
        <w:t>, 201</w:t>
      </w:r>
      <w:r w:rsidR="00776325">
        <w:rPr>
          <w:rFonts w:eastAsia="標楷體" w:hint="eastAsia"/>
          <w:sz w:val="24"/>
          <w:szCs w:val="28"/>
        </w:rPr>
        <w:t>8</w:t>
      </w:r>
      <w:r w:rsidRPr="00506662">
        <w:rPr>
          <w:rFonts w:eastAsia="標楷體" w:hint="eastAsia"/>
          <w:sz w:val="24"/>
          <w:szCs w:val="28"/>
        </w:rPr>
        <w:t>, at 3 p.m.</w:t>
      </w:r>
    </w:p>
    <w:p w:rsidR="00363599" w:rsidRPr="00506662" w:rsidRDefault="00363599" w:rsidP="00554255">
      <w:pPr>
        <w:spacing w:line="440" w:lineRule="exact"/>
        <w:ind w:left="745" w:hangingChars="310" w:hanging="745"/>
        <w:jc w:val="both"/>
        <w:textDirection w:val="lrTbV"/>
        <w:rPr>
          <w:rFonts w:eastAsia="標楷體"/>
          <w:sz w:val="24"/>
          <w:szCs w:val="28"/>
        </w:rPr>
      </w:pPr>
      <w:r w:rsidRPr="00506662">
        <w:rPr>
          <w:rFonts w:eastAsia="標楷體" w:hint="eastAsia"/>
          <w:b/>
          <w:sz w:val="24"/>
          <w:szCs w:val="28"/>
        </w:rPr>
        <w:t>Location:</w:t>
      </w:r>
      <w:r w:rsidRPr="00506662">
        <w:rPr>
          <w:rFonts w:eastAsia="標楷體" w:hint="eastAsia"/>
          <w:sz w:val="24"/>
          <w:szCs w:val="28"/>
        </w:rPr>
        <w:t xml:space="preserve"> Room A606, Main Building, </w:t>
      </w:r>
      <w:r w:rsidRPr="00506662">
        <w:rPr>
          <w:rFonts w:eastAsia="標楷體"/>
          <w:sz w:val="24"/>
          <w:szCs w:val="28"/>
        </w:rPr>
        <w:t>Central Bank of the R.O.C. (Taiwan)</w:t>
      </w:r>
    </w:p>
    <w:p w:rsidR="00363599" w:rsidRPr="00506662" w:rsidRDefault="00363599" w:rsidP="00554255">
      <w:pPr>
        <w:pStyle w:val="31"/>
        <w:spacing w:line="440" w:lineRule="exact"/>
        <w:textDirection w:val="lrTbV"/>
        <w:rPr>
          <w:rFonts w:eastAsia="標楷體"/>
          <w:sz w:val="24"/>
          <w:szCs w:val="28"/>
        </w:rPr>
      </w:pPr>
      <w:r w:rsidRPr="00506662">
        <w:rPr>
          <w:rFonts w:eastAsia="標楷體" w:hint="eastAsia"/>
          <w:b/>
          <w:sz w:val="24"/>
          <w:szCs w:val="28"/>
        </w:rPr>
        <w:t>Members Present:</w:t>
      </w:r>
      <w:r w:rsidRPr="00506662">
        <w:rPr>
          <w:rFonts w:eastAsia="標楷體" w:hint="eastAsia"/>
          <w:sz w:val="24"/>
          <w:szCs w:val="28"/>
        </w:rPr>
        <w:t xml:space="preserve"> </w:t>
      </w:r>
    </w:p>
    <w:p w:rsidR="00363599" w:rsidRPr="00506662" w:rsidRDefault="00363599" w:rsidP="00554255">
      <w:pPr>
        <w:pStyle w:val="31"/>
        <w:spacing w:line="440" w:lineRule="exact"/>
        <w:ind w:leftChars="200" w:left="400"/>
        <w:textDirection w:val="lrTbV"/>
        <w:rPr>
          <w:rFonts w:eastAsia="標楷體"/>
          <w:sz w:val="24"/>
          <w:szCs w:val="28"/>
        </w:rPr>
      </w:pPr>
      <w:r w:rsidRPr="00506662">
        <w:rPr>
          <w:rFonts w:eastAsia="標楷體" w:hint="eastAsia"/>
          <w:b/>
          <w:sz w:val="24"/>
          <w:szCs w:val="28"/>
        </w:rPr>
        <w:t>Chairman, Board of Directors</w:t>
      </w:r>
      <w:r w:rsidRPr="00506662">
        <w:rPr>
          <w:rFonts w:eastAsia="標楷體" w:hint="eastAsia"/>
          <w:sz w:val="24"/>
          <w:szCs w:val="28"/>
        </w:rPr>
        <w:t xml:space="preserve">: </w:t>
      </w:r>
      <w:r w:rsidR="00776325" w:rsidRPr="00776325">
        <w:rPr>
          <w:rFonts w:eastAsia="標楷體"/>
          <w:sz w:val="24"/>
          <w:szCs w:val="28"/>
        </w:rPr>
        <w:t>Chin-long Yang</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hint="eastAsia"/>
          <w:b/>
          <w:sz w:val="24"/>
          <w:szCs w:val="28"/>
        </w:rPr>
        <w:t>Executive Directors</w:t>
      </w:r>
      <w:r w:rsidRPr="00251F63">
        <w:rPr>
          <w:rFonts w:eastAsia="標楷體" w:hint="eastAsia"/>
          <w:sz w:val="24"/>
          <w:szCs w:val="28"/>
        </w:rPr>
        <w:t xml:space="preserve">: </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hint="eastAsia"/>
          <w:sz w:val="24"/>
          <w:szCs w:val="28"/>
        </w:rPr>
        <w:t>Yu-</w:t>
      </w:r>
      <w:proofErr w:type="spellStart"/>
      <w:r w:rsidRPr="00251F63">
        <w:rPr>
          <w:rFonts w:eastAsia="標楷體" w:hint="eastAsia"/>
          <w:sz w:val="24"/>
          <w:szCs w:val="28"/>
        </w:rPr>
        <w:t>jer</w:t>
      </w:r>
      <w:proofErr w:type="spellEnd"/>
      <w:r w:rsidRPr="00251F63">
        <w:rPr>
          <w:rFonts w:eastAsia="標楷體" w:hint="eastAsia"/>
          <w:sz w:val="24"/>
          <w:szCs w:val="28"/>
        </w:rPr>
        <w:t xml:space="preserve"> </w:t>
      </w:r>
      <w:proofErr w:type="spellStart"/>
      <w:r w:rsidRPr="00251F63">
        <w:rPr>
          <w:rFonts w:eastAsia="標楷體" w:hint="eastAsia"/>
          <w:sz w:val="24"/>
          <w:szCs w:val="28"/>
        </w:rPr>
        <w:t>Sheu</w:t>
      </w:r>
      <w:proofErr w:type="spellEnd"/>
      <w:r w:rsidRPr="00251F63">
        <w:rPr>
          <w:rFonts w:eastAsia="標楷體" w:hint="eastAsia"/>
          <w:sz w:val="24"/>
          <w:szCs w:val="28"/>
        </w:rPr>
        <w:t xml:space="preserve">, </w:t>
      </w:r>
      <w:r w:rsidR="009B29AD" w:rsidRPr="00251F63">
        <w:rPr>
          <w:rFonts w:eastAsia="標楷體"/>
          <w:sz w:val="24"/>
          <w:szCs w:val="28"/>
        </w:rPr>
        <w:t>Jong-</w:t>
      </w:r>
      <w:r w:rsidR="00B612D9">
        <w:rPr>
          <w:rFonts w:eastAsia="標楷體" w:hint="eastAsia"/>
          <w:sz w:val="24"/>
          <w:szCs w:val="28"/>
        </w:rPr>
        <w:t>c</w:t>
      </w:r>
      <w:r w:rsidR="009B29AD" w:rsidRPr="00251F63">
        <w:rPr>
          <w:rFonts w:eastAsia="標楷體"/>
          <w:sz w:val="24"/>
          <w:szCs w:val="28"/>
        </w:rPr>
        <w:t>hin Shen</w:t>
      </w:r>
      <w:r w:rsidRPr="00251F63">
        <w:rPr>
          <w:rFonts w:eastAsia="標楷體" w:hint="eastAsia"/>
          <w:sz w:val="24"/>
          <w:szCs w:val="28"/>
        </w:rPr>
        <w:t xml:space="preserve">, </w:t>
      </w:r>
      <w:proofErr w:type="spellStart"/>
      <w:r w:rsidRPr="00251F63">
        <w:rPr>
          <w:rFonts w:eastAsia="標楷體" w:hint="eastAsia"/>
          <w:sz w:val="24"/>
          <w:szCs w:val="28"/>
        </w:rPr>
        <w:t>Tzung</w:t>
      </w:r>
      <w:proofErr w:type="spellEnd"/>
      <w:r w:rsidRPr="00251F63">
        <w:rPr>
          <w:rFonts w:eastAsia="標楷體" w:hint="eastAsia"/>
          <w:sz w:val="24"/>
          <w:szCs w:val="28"/>
        </w:rPr>
        <w:t xml:space="preserve">-ta Yen, </w:t>
      </w:r>
      <w:r w:rsidR="00776325" w:rsidRPr="00251F63">
        <w:rPr>
          <w:rFonts w:eastAsia="標楷體" w:hint="eastAsia"/>
          <w:sz w:val="24"/>
          <w:szCs w:val="28"/>
        </w:rPr>
        <w:t>Nan-</w:t>
      </w:r>
      <w:proofErr w:type="spellStart"/>
      <w:r w:rsidR="00776325" w:rsidRPr="00251F63">
        <w:rPr>
          <w:rFonts w:eastAsia="標楷體" w:hint="eastAsia"/>
          <w:sz w:val="24"/>
          <w:szCs w:val="28"/>
        </w:rPr>
        <w:t>kuan</w:t>
      </w:r>
      <w:r w:rsidR="00C961E6" w:rsidRPr="00251F63">
        <w:rPr>
          <w:rFonts w:eastAsia="標楷體" w:hint="eastAsia"/>
          <w:sz w:val="24"/>
          <w:szCs w:val="28"/>
        </w:rPr>
        <w:t>g</w:t>
      </w:r>
      <w:proofErr w:type="spellEnd"/>
      <w:r w:rsidR="00776325" w:rsidRPr="00251F63">
        <w:rPr>
          <w:rFonts w:eastAsia="標楷體" w:hint="eastAsia"/>
          <w:sz w:val="24"/>
          <w:szCs w:val="28"/>
        </w:rPr>
        <w:t xml:space="preserve"> Chen, </w:t>
      </w:r>
      <w:r w:rsidRPr="00251F63">
        <w:rPr>
          <w:rFonts w:eastAsia="標楷體" w:hint="eastAsia"/>
          <w:sz w:val="24"/>
          <w:szCs w:val="28"/>
        </w:rPr>
        <w:t>Ming-</w:t>
      </w:r>
      <w:proofErr w:type="spellStart"/>
      <w:r w:rsidRPr="00251F63">
        <w:rPr>
          <w:rFonts w:eastAsia="標楷體" w:hint="eastAsia"/>
          <w:sz w:val="24"/>
          <w:szCs w:val="28"/>
        </w:rPr>
        <w:t>yih</w:t>
      </w:r>
      <w:proofErr w:type="spellEnd"/>
      <w:r w:rsidRPr="00251F63">
        <w:rPr>
          <w:rFonts w:eastAsia="標楷體" w:hint="eastAsia"/>
          <w:sz w:val="24"/>
          <w:szCs w:val="28"/>
        </w:rPr>
        <w:t xml:space="preserve"> Liang, Sheng-</w:t>
      </w:r>
      <w:proofErr w:type="spellStart"/>
      <w:r w:rsidRPr="00251F63">
        <w:rPr>
          <w:rFonts w:eastAsia="標楷體" w:hint="eastAsia"/>
          <w:sz w:val="24"/>
          <w:szCs w:val="28"/>
        </w:rPr>
        <w:t>cheng</w:t>
      </w:r>
      <w:proofErr w:type="spellEnd"/>
      <w:r w:rsidRPr="00251F63">
        <w:rPr>
          <w:rFonts w:eastAsia="標楷體" w:hint="eastAsia"/>
          <w:sz w:val="24"/>
          <w:szCs w:val="28"/>
        </w:rPr>
        <w:t xml:space="preserve"> Hu</w:t>
      </w:r>
      <w:r w:rsidR="004E3052"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r w:rsidRPr="00251F63">
        <w:rPr>
          <w:rFonts w:eastAsia="標楷體" w:hint="eastAsia"/>
          <w:b/>
          <w:sz w:val="24"/>
          <w:szCs w:val="28"/>
        </w:rPr>
        <w:t>Directors</w:t>
      </w:r>
      <w:r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proofErr w:type="spellStart"/>
      <w:r w:rsidRPr="00251F63">
        <w:rPr>
          <w:rFonts w:eastAsia="標楷體" w:hint="eastAsia"/>
          <w:sz w:val="24"/>
          <w:szCs w:val="28"/>
        </w:rPr>
        <w:t>Tsung-hsien</w:t>
      </w:r>
      <w:proofErr w:type="spellEnd"/>
      <w:r w:rsidRPr="00251F63">
        <w:rPr>
          <w:rFonts w:eastAsia="標楷體" w:hint="eastAsia"/>
          <w:sz w:val="24"/>
          <w:szCs w:val="28"/>
        </w:rPr>
        <w:t xml:space="preserve"> Lin</w:t>
      </w:r>
      <w:r w:rsidR="004E3052" w:rsidRPr="00251F63">
        <w:rPr>
          <w:rFonts w:eastAsia="標楷體" w:hint="eastAsia"/>
          <w:sz w:val="24"/>
          <w:szCs w:val="28"/>
        </w:rPr>
        <w:t xml:space="preserve"> </w:t>
      </w:r>
      <w:r w:rsidR="004E3052" w:rsidRPr="00251F63">
        <w:rPr>
          <w:rFonts w:eastAsia="標楷體"/>
          <w:sz w:val="24"/>
          <w:szCs w:val="28"/>
        </w:rPr>
        <w:t xml:space="preserve">(excused, appointing </w:t>
      </w:r>
      <w:proofErr w:type="spellStart"/>
      <w:r w:rsidR="004E3052" w:rsidRPr="00251F63">
        <w:rPr>
          <w:rFonts w:eastAsia="標楷體"/>
          <w:sz w:val="24"/>
          <w:szCs w:val="28"/>
        </w:rPr>
        <w:t>T</w:t>
      </w:r>
      <w:r w:rsidR="00F75895">
        <w:rPr>
          <w:rFonts w:eastAsia="標楷體" w:hint="eastAsia"/>
          <w:sz w:val="24"/>
          <w:szCs w:val="28"/>
        </w:rPr>
        <w:t>z</w:t>
      </w:r>
      <w:r w:rsidR="004E3052" w:rsidRPr="00251F63">
        <w:rPr>
          <w:rFonts w:eastAsia="標楷體"/>
          <w:sz w:val="24"/>
          <w:szCs w:val="28"/>
        </w:rPr>
        <w:t>ung</w:t>
      </w:r>
      <w:proofErr w:type="spellEnd"/>
      <w:r w:rsidR="004E3052" w:rsidRPr="00251F63">
        <w:rPr>
          <w:rFonts w:eastAsia="標楷體"/>
          <w:sz w:val="24"/>
          <w:szCs w:val="28"/>
        </w:rPr>
        <w:t>-ta Yen as proxy)</w:t>
      </w:r>
      <w:r w:rsidRPr="00251F63">
        <w:rPr>
          <w:rFonts w:eastAsia="標楷體" w:hint="eastAsia"/>
          <w:sz w:val="24"/>
          <w:szCs w:val="28"/>
        </w:rPr>
        <w:t xml:space="preserve">, Chen-chia Lee, </w:t>
      </w:r>
      <w:r w:rsidR="006B2E6B" w:rsidRPr="00251F63">
        <w:rPr>
          <w:rFonts w:eastAsia="標楷體"/>
          <w:sz w:val="24"/>
          <w:szCs w:val="28"/>
        </w:rPr>
        <w:t>Chung-</w:t>
      </w:r>
      <w:proofErr w:type="spellStart"/>
      <w:r w:rsidR="005B6EB5" w:rsidRPr="00251F63">
        <w:rPr>
          <w:rFonts w:eastAsia="標楷體" w:hint="eastAsia"/>
          <w:sz w:val="24"/>
          <w:szCs w:val="28"/>
        </w:rPr>
        <w:t>d</w:t>
      </w:r>
      <w:r w:rsidR="006B2E6B" w:rsidRPr="00251F63">
        <w:rPr>
          <w:rFonts w:eastAsia="標楷體"/>
          <w:sz w:val="24"/>
          <w:szCs w:val="28"/>
        </w:rPr>
        <w:t>ar</w:t>
      </w:r>
      <w:proofErr w:type="spellEnd"/>
      <w:r w:rsidR="006B2E6B" w:rsidRPr="00251F63">
        <w:rPr>
          <w:rFonts w:eastAsia="標楷體"/>
          <w:sz w:val="24"/>
          <w:szCs w:val="28"/>
        </w:rPr>
        <w:t xml:space="preserve"> Lei</w:t>
      </w:r>
      <w:r w:rsidRPr="00251F63">
        <w:rPr>
          <w:rFonts w:eastAsia="標楷體" w:hint="eastAsia"/>
          <w:sz w:val="24"/>
          <w:szCs w:val="28"/>
        </w:rPr>
        <w:t xml:space="preserve">, </w:t>
      </w:r>
      <w:proofErr w:type="spellStart"/>
      <w:r w:rsidR="006333E8" w:rsidRPr="00251F63">
        <w:rPr>
          <w:rFonts w:eastAsia="標楷體" w:hint="eastAsia"/>
          <w:sz w:val="24"/>
          <w:szCs w:val="28"/>
        </w:rPr>
        <w:t>Jin</w:t>
      </w:r>
      <w:proofErr w:type="spellEnd"/>
      <w:r w:rsidR="006333E8" w:rsidRPr="00251F63">
        <w:rPr>
          <w:rFonts w:eastAsia="標楷體" w:hint="eastAsia"/>
          <w:sz w:val="24"/>
          <w:szCs w:val="28"/>
        </w:rPr>
        <w:t xml:space="preserve">-lung Lin, </w:t>
      </w:r>
      <w:r w:rsidRPr="00251F63">
        <w:rPr>
          <w:rFonts w:eastAsia="標楷體" w:hint="eastAsia"/>
          <w:sz w:val="24"/>
          <w:szCs w:val="28"/>
        </w:rPr>
        <w:t>Mei-lie Chu, Chao-</w:t>
      </w:r>
      <w:proofErr w:type="spellStart"/>
      <w:r w:rsidRPr="00251F63">
        <w:rPr>
          <w:rFonts w:eastAsia="標楷體" w:hint="eastAsia"/>
          <w:sz w:val="24"/>
          <w:szCs w:val="28"/>
        </w:rPr>
        <w:t>h</w:t>
      </w:r>
      <w:r w:rsidRPr="00251F63">
        <w:rPr>
          <w:rFonts w:eastAsia="標楷體"/>
          <w:sz w:val="24"/>
          <w:szCs w:val="28"/>
        </w:rPr>
        <w:t>s</w:t>
      </w:r>
      <w:r w:rsidRPr="00251F63">
        <w:rPr>
          <w:rFonts w:eastAsia="標楷體" w:hint="eastAsia"/>
          <w:sz w:val="24"/>
          <w:szCs w:val="28"/>
        </w:rPr>
        <w:t>i</w:t>
      </w:r>
      <w:proofErr w:type="spellEnd"/>
      <w:r w:rsidRPr="00251F63">
        <w:rPr>
          <w:rFonts w:eastAsia="標楷體" w:hint="eastAsia"/>
          <w:sz w:val="24"/>
          <w:szCs w:val="28"/>
        </w:rPr>
        <w:t xml:space="preserve"> Huang, </w:t>
      </w:r>
      <w:proofErr w:type="spellStart"/>
      <w:r w:rsidRPr="00251F63">
        <w:rPr>
          <w:rFonts w:eastAsia="標楷體" w:hint="eastAsia"/>
          <w:sz w:val="24"/>
          <w:szCs w:val="28"/>
        </w:rPr>
        <w:t>Bih</w:t>
      </w:r>
      <w:proofErr w:type="spellEnd"/>
      <w:r w:rsidRPr="00251F63">
        <w:rPr>
          <w:rFonts w:eastAsia="標楷體" w:hint="eastAsia"/>
          <w:sz w:val="24"/>
          <w:szCs w:val="28"/>
        </w:rPr>
        <w:t>-jane Liu</w:t>
      </w:r>
      <w:r w:rsidR="00251F63" w:rsidRPr="00251F63">
        <w:rPr>
          <w:rFonts w:eastAsia="標楷體" w:hint="eastAsia"/>
          <w:sz w:val="24"/>
          <w:szCs w:val="28"/>
        </w:rPr>
        <w:t xml:space="preserve">, </w:t>
      </w:r>
      <w:proofErr w:type="spellStart"/>
      <w:r w:rsidR="00251F63" w:rsidRPr="00251F63">
        <w:rPr>
          <w:rFonts w:eastAsia="標楷體"/>
          <w:sz w:val="24"/>
          <w:szCs w:val="28"/>
        </w:rPr>
        <w:t>Shiu</w:t>
      </w:r>
      <w:proofErr w:type="spellEnd"/>
      <w:r w:rsidR="00251F63" w:rsidRPr="00251F63">
        <w:rPr>
          <w:rFonts w:eastAsia="標楷體"/>
          <w:sz w:val="24"/>
          <w:szCs w:val="28"/>
        </w:rPr>
        <w:t>-</w:t>
      </w:r>
      <w:r w:rsidR="00251F63" w:rsidRPr="00251F63">
        <w:rPr>
          <w:rFonts w:eastAsia="標楷體" w:hint="eastAsia"/>
          <w:sz w:val="24"/>
          <w:szCs w:val="28"/>
        </w:rPr>
        <w:t>s</w:t>
      </w:r>
      <w:r w:rsidR="00251F63" w:rsidRPr="00251F63">
        <w:rPr>
          <w:rFonts w:eastAsia="標楷體"/>
          <w:sz w:val="24"/>
          <w:szCs w:val="28"/>
        </w:rPr>
        <w:t>heng Chen</w:t>
      </w:r>
      <w:r w:rsidR="00251F63" w:rsidRPr="00251F63">
        <w:rPr>
          <w:rFonts w:eastAsia="標楷體" w:hint="eastAsia"/>
          <w:sz w:val="24"/>
          <w:szCs w:val="28"/>
        </w:rPr>
        <w:t xml:space="preserve"> </w:t>
      </w:r>
      <w:r w:rsidR="004E3052"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textDirection w:val="lrTbV"/>
        <w:rPr>
          <w:rFonts w:eastAsia="標楷體"/>
          <w:sz w:val="24"/>
          <w:szCs w:val="28"/>
        </w:rPr>
      </w:pPr>
      <w:r w:rsidRPr="00251F63">
        <w:rPr>
          <w:rFonts w:eastAsia="標楷體" w:hint="eastAsia"/>
          <w:b/>
          <w:sz w:val="24"/>
          <w:szCs w:val="28"/>
        </w:rPr>
        <w:t>Chairman, Board of Supervisors</w:t>
      </w:r>
      <w:r w:rsidRPr="00251F63">
        <w:rPr>
          <w:rFonts w:eastAsia="標楷體" w:hint="eastAsia"/>
          <w:sz w:val="24"/>
          <w:szCs w:val="28"/>
        </w:rPr>
        <w:t xml:space="preserve">: </w:t>
      </w:r>
      <w:proofErr w:type="spellStart"/>
      <w:r w:rsidRPr="00251F63">
        <w:rPr>
          <w:rFonts w:eastAsia="標楷體" w:hint="eastAsia"/>
          <w:sz w:val="24"/>
          <w:szCs w:val="28"/>
        </w:rPr>
        <w:t>Tzer-ming</w:t>
      </w:r>
      <w:proofErr w:type="spellEnd"/>
      <w:r w:rsidRPr="00251F63">
        <w:rPr>
          <w:rFonts w:eastAsia="標楷體" w:hint="eastAsia"/>
          <w:sz w:val="24"/>
          <w:szCs w:val="28"/>
        </w:rPr>
        <w:t xml:space="preserve"> Chu</w:t>
      </w:r>
    </w:p>
    <w:p w:rsidR="00363599" w:rsidRPr="00251F63" w:rsidRDefault="00363599" w:rsidP="00554255">
      <w:pPr>
        <w:spacing w:line="440" w:lineRule="exact"/>
        <w:ind w:leftChars="200" w:left="400" w:rightChars="5" w:right="10"/>
        <w:jc w:val="both"/>
        <w:textDirection w:val="lrTbV"/>
        <w:rPr>
          <w:rFonts w:eastAsia="標楷體"/>
          <w:sz w:val="24"/>
          <w:szCs w:val="28"/>
        </w:rPr>
      </w:pPr>
      <w:r w:rsidRPr="00251F63">
        <w:rPr>
          <w:rFonts w:eastAsia="標楷體" w:hint="eastAsia"/>
          <w:b/>
          <w:sz w:val="24"/>
          <w:szCs w:val="28"/>
        </w:rPr>
        <w:t>Supervisors</w:t>
      </w:r>
      <w:r w:rsidRPr="00251F63">
        <w:rPr>
          <w:rFonts w:eastAsia="標楷體" w:hint="eastAsia"/>
          <w:sz w:val="24"/>
          <w:szCs w:val="28"/>
        </w:rPr>
        <w:t xml:space="preserve">: </w:t>
      </w:r>
    </w:p>
    <w:p w:rsidR="00363599" w:rsidRPr="00251F63" w:rsidRDefault="00363599" w:rsidP="00554255">
      <w:pPr>
        <w:spacing w:line="440" w:lineRule="exact"/>
        <w:ind w:leftChars="200" w:left="400" w:rightChars="5" w:right="10"/>
        <w:jc w:val="both"/>
        <w:textDirection w:val="lrTbV"/>
        <w:rPr>
          <w:rFonts w:eastAsia="標楷體"/>
          <w:sz w:val="24"/>
          <w:szCs w:val="28"/>
        </w:rPr>
      </w:pPr>
      <w:r w:rsidRPr="00251F63">
        <w:rPr>
          <w:rFonts w:eastAsia="標楷體" w:hint="eastAsia"/>
          <w:sz w:val="24"/>
          <w:szCs w:val="28"/>
        </w:rPr>
        <w:t xml:space="preserve">Chi-yuan Liang, </w:t>
      </w:r>
      <w:proofErr w:type="spellStart"/>
      <w:r w:rsidRPr="00251F63">
        <w:rPr>
          <w:rFonts w:eastAsia="標楷體" w:hint="eastAsia"/>
          <w:sz w:val="24"/>
          <w:szCs w:val="28"/>
        </w:rPr>
        <w:t>Tsung-jung</w:t>
      </w:r>
      <w:proofErr w:type="spellEnd"/>
      <w:r w:rsidRPr="00251F63">
        <w:rPr>
          <w:rFonts w:eastAsia="標楷體" w:hint="eastAsia"/>
          <w:sz w:val="24"/>
          <w:szCs w:val="28"/>
        </w:rPr>
        <w:t xml:space="preserve"> Liu, </w:t>
      </w:r>
      <w:r w:rsidR="002A7BBD" w:rsidRPr="00251F63">
        <w:rPr>
          <w:rFonts w:eastAsia="標楷體" w:hint="eastAsia"/>
          <w:sz w:val="24"/>
          <w:szCs w:val="28"/>
        </w:rPr>
        <w:t>Ching-fan Chung</w:t>
      </w:r>
      <w:r w:rsidRPr="00251F63">
        <w:rPr>
          <w:rFonts w:eastAsia="標楷體" w:hint="eastAsia"/>
          <w:sz w:val="24"/>
          <w:szCs w:val="28"/>
        </w:rPr>
        <w:t>,</w:t>
      </w:r>
      <w:r w:rsidR="00251F63" w:rsidRPr="00251F63">
        <w:rPr>
          <w:rFonts w:eastAsia="標楷體" w:hint="eastAsia"/>
          <w:sz w:val="24"/>
          <w:szCs w:val="28"/>
        </w:rPr>
        <w:t xml:space="preserve"> </w:t>
      </w:r>
      <w:r w:rsidR="002A7BBD" w:rsidRPr="00251F63">
        <w:rPr>
          <w:rFonts w:eastAsia="標楷體" w:hint="eastAsia"/>
          <w:sz w:val="24"/>
          <w:szCs w:val="28"/>
        </w:rPr>
        <w:t>Ping-</w:t>
      </w:r>
      <w:proofErr w:type="spellStart"/>
      <w:r w:rsidR="002A7BBD" w:rsidRPr="00251F63">
        <w:rPr>
          <w:rFonts w:eastAsia="標楷體" w:hint="eastAsia"/>
          <w:sz w:val="24"/>
          <w:szCs w:val="28"/>
        </w:rPr>
        <w:t>yung</w:t>
      </w:r>
      <w:proofErr w:type="spellEnd"/>
      <w:r w:rsidR="002A7BBD" w:rsidRPr="00251F63">
        <w:rPr>
          <w:rFonts w:eastAsia="標楷體" w:hint="eastAsia"/>
          <w:sz w:val="24"/>
          <w:szCs w:val="28"/>
        </w:rPr>
        <w:t xml:space="preserve"> Chiu </w:t>
      </w:r>
      <w:r w:rsidR="00251F63" w:rsidRPr="00251F63">
        <w:rPr>
          <w:rFonts w:eastAsia="標楷體" w:hint="eastAsia"/>
          <w:sz w:val="24"/>
          <w:szCs w:val="28"/>
        </w:rPr>
        <w:t xml:space="preserve">(excused) </w:t>
      </w:r>
    </w:p>
    <w:p w:rsidR="00363599" w:rsidRPr="00251F63" w:rsidRDefault="00363599" w:rsidP="00370E54">
      <w:pPr>
        <w:pStyle w:val="31"/>
        <w:spacing w:beforeLines="50" w:before="120" w:line="440" w:lineRule="exact"/>
        <w:textDirection w:val="lrTbV"/>
        <w:rPr>
          <w:rFonts w:eastAsia="標楷體"/>
          <w:sz w:val="24"/>
          <w:szCs w:val="28"/>
        </w:rPr>
      </w:pPr>
      <w:r w:rsidRPr="00251F63">
        <w:rPr>
          <w:rFonts w:eastAsia="標楷體" w:hint="eastAsia"/>
          <w:b/>
          <w:sz w:val="24"/>
          <w:szCs w:val="28"/>
        </w:rPr>
        <w:t xml:space="preserve">Staff Present: </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E-</w:t>
      </w:r>
      <w:r w:rsidRPr="00251F63">
        <w:rPr>
          <w:rFonts w:eastAsia="標楷體" w:hint="eastAsia"/>
          <w:sz w:val="24"/>
          <w:szCs w:val="28"/>
        </w:rPr>
        <w:t>d</w:t>
      </w:r>
      <w:r w:rsidRPr="00251F63">
        <w:rPr>
          <w:rFonts w:eastAsia="標楷體"/>
          <w:sz w:val="24"/>
          <w:szCs w:val="28"/>
        </w:rPr>
        <w:t>awn Chen</w:t>
      </w:r>
      <w:r w:rsidRPr="00251F63">
        <w:rPr>
          <w:rFonts w:eastAsia="標楷體" w:hint="eastAsia"/>
          <w:sz w:val="24"/>
          <w:szCs w:val="28"/>
        </w:rPr>
        <w:t>,</w:t>
      </w:r>
      <w:r w:rsidRPr="00251F63">
        <w:rPr>
          <w:rFonts w:eastAsia="標楷體"/>
          <w:sz w:val="24"/>
          <w:szCs w:val="28"/>
        </w:rPr>
        <w:t xml:space="preserve"> Director General</w:t>
      </w:r>
      <w:r w:rsidRPr="00251F63">
        <w:rPr>
          <w:rFonts w:eastAsia="標楷體" w:hint="eastAsia"/>
          <w:sz w:val="24"/>
          <w:szCs w:val="28"/>
        </w:rPr>
        <w:t>,</w:t>
      </w:r>
      <w:r w:rsidRPr="00251F63">
        <w:rPr>
          <w:rFonts w:eastAsia="標楷體"/>
          <w:sz w:val="24"/>
          <w:szCs w:val="28"/>
        </w:rPr>
        <w:t xml:space="preserve"> Department of Banking</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James T.H. Shih</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006F25E5" w:rsidRPr="00251F63">
        <w:rPr>
          <w:rFonts w:eastAsia="標楷體" w:hint="eastAsia"/>
          <w:sz w:val="24"/>
          <w:szCs w:val="28"/>
        </w:rPr>
        <w:t xml:space="preserve"> </w:t>
      </w:r>
      <w:r w:rsidRPr="00251F63">
        <w:rPr>
          <w:rFonts w:eastAsia="標楷體"/>
          <w:sz w:val="24"/>
          <w:szCs w:val="28"/>
        </w:rPr>
        <w:t xml:space="preserve">Department of Issuing </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Hui-</w:t>
      </w:r>
      <w:proofErr w:type="spellStart"/>
      <w:r w:rsidRPr="00251F63">
        <w:rPr>
          <w:rFonts w:eastAsia="標楷體" w:hint="eastAsia"/>
          <w:sz w:val="24"/>
          <w:szCs w:val="28"/>
        </w:rPr>
        <w:t>h</w:t>
      </w:r>
      <w:r w:rsidRPr="00251F63">
        <w:rPr>
          <w:rFonts w:eastAsia="標楷體"/>
          <w:sz w:val="24"/>
          <w:szCs w:val="28"/>
        </w:rPr>
        <w:t>uang</w:t>
      </w:r>
      <w:proofErr w:type="spellEnd"/>
      <w:r w:rsidRPr="00251F63">
        <w:rPr>
          <w:rFonts w:eastAsia="標楷體"/>
          <w:sz w:val="24"/>
          <w:szCs w:val="28"/>
        </w:rPr>
        <w:t xml:space="preserve"> Yen</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Department of Foreign</w:t>
      </w:r>
      <w:r w:rsidRPr="00251F63">
        <w:rPr>
          <w:rFonts w:eastAsia="標楷體" w:hint="eastAsia"/>
          <w:sz w:val="24"/>
          <w:szCs w:val="28"/>
        </w:rPr>
        <w:t xml:space="preserve"> </w:t>
      </w:r>
      <w:r w:rsidRPr="00251F63">
        <w:rPr>
          <w:rFonts w:eastAsia="標楷體"/>
          <w:sz w:val="24"/>
          <w:szCs w:val="28"/>
        </w:rPr>
        <w:t>Exchange</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Yue-</w:t>
      </w:r>
      <w:r w:rsidRPr="00251F63">
        <w:rPr>
          <w:rFonts w:eastAsia="標楷體" w:hint="eastAsia"/>
          <w:sz w:val="24"/>
          <w:szCs w:val="28"/>
        </w:rPr>
        <w:t>m</w:t>
      </w:r>
      <w:r w:rsidRPr="00251F63">
        <w:rPr>
          <w:rFonts w:eastAsia="標楷體"/>
          <w:sz w:val="24"/>
          <w:szCs w:val="28"/>
        </w:rPr>
        <w:t>in Chen</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 xml:space="preserve">, </w:t>
      </w:r>
      <w:r w:rsidRPr="00251F63">
        <w:rPr>
          <w:rFonts w:eastAsia="標楷體"/>
          <w:sz w:val="24"/>
          <w:szCs w:val="28"/>
        </w:rPr>
        <w:t>Department of the Treasury</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Tsuey</w:t>
      </w:r>
      <w:proofErr w:type="spellEnd"/>
      <w:r w:rsidRPr="00251F63">
        <w:rPr>
          <w:rFonts w:eastAsia="標楷體"/>
          <w:sz w:val="24"/>
          <w:szCs w:val="28"/>
        </w:rPr>
        <w:t>-</w:t>
      </w:r>
      <w:r w:rsidRPr="00251F63">
        <w:rPr>
          <w:rFonts w:eastAsia="標楷體" w:hint="eastAsia"/>
          <w:sz w:val="24"/>
          <w:szCs w:val="28"/>
        </w:rPr>
        <w:t>l</w:t>
      </w:r>
      <w:r w:rsidRPr="00251F63">
        <w:rPr>
          <w:rFonts w:eastAsia="標楷體"/>
          <w:sz w:val="24"/>
          <w:szCs w:val="28"/>
        </w:rPr>
        <w:t>ing Hsiao</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 D</w:t>
      </w:r>
      <w:r w:rsidRPr="00251F63">
        <w:rPr>
          <w:rFonts w:eastAsia="標楷體"/>
          <w:sz w:val="24"/>
          <w:szCs w:val="28"/>
        </w:rPr>
        <w:t>epartment of Financial</w:t>
      </w:r>
      <w:r w:rsidRPr="00251F63">
        <w:rPr>
          <w:rFonts w:eastAsia="標楷體" w:hint="eastAsia"/>
          <w:sz w:val="24"/>
          <w:szCs w:val="28"/>
        </w:rPr>
        <w:t xml:space="preserve"> </w:t>
      </w:r>
      <w:r w:rsidRPr="00251F63">
        <w:rPr>
          <w:rFonts w:eastAsia="標楷體"/>
          <w:sz w:val="24"/>
          <w:szCs w:val="28"/>
        </w:rPr>
        <w:t>Inspection</w:t>
      </w:r>
      <w:r w:rsidRPr="00251F63">
        <w:rPr>
          <w:rFonts w:eastAsia="標楷體" w:hint="eastAsia"/>
          <w:sz w:val="24"/>
          <w:szCs w:val="28"/>
        </w:rPr>
        <w:t xml:space="preserve"> </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Tzong-</w:t>
      </w:r>
      <w:r w:rsidRPr="00251F63">
        <w:rPr>
          <w:rFonts w:eastAsia="標楷體" w:hint="eastAsia"/>
          <w:sz w:val="24"/>
          <w:szCs w:val="28"/>
        </w:rPr>
        <w:t>y</w:t>
      </w:r>
      <w:r w:rsidRPr="00251F63">
        <w:rPr>
          <w:rFonts w:eastAsia="標楷體"/>
          <w:sz w:val="24"/>
          <w:szCs w:val="28"/>
        </w:rPr>
        <w:t>au</w:t>
      </w:r>
      <w:proofErr w:type="spellEnd"/>
      <w:r w:rsidRPr="00251F63">
        <w:rPr>
          <w:rFonts w:eastAsia="標楷體"/>
          <w:sz w:val="24"/>
          <w:szCs w:val="28"/>
        </w:rPr>
        <w:t xml:space="preserve"> Lin</w:t>
      </w:r>
      <w:r w:rsidRPr="00251F63">
        <w:rPr>
          <w:rFonts w:eastAsia="標楷體" w:hint="eastAsia"/>
          <w:sz w:val="24"/>
          <w:szCs w:val="28"/>
        </w:rPr>
        <w:t>,</w:t>
      </w:r>
      <w:r w:rsidRPr="00251F63">
        <w:rPr>
          <w:rFonts w:eastAsia="標楷體"/>
          <w:sz w:val="24"/>
          <w:szCs w:val="28"/>
        </w:rPr>
        <w:t xml:space="preserve"> Director General</w:t>
      </w:r>
      <w:r w:rsidRPr="00251F63">
        <w:rPr>
          <w:rFonts w:eastAsia="標楷體" w:hint="eastAsia"/>
          <w:sz w:val="24"/>
          <w:szCs w:val="28"/>
        </w:rPr>
        <w:t xml:space="preserve">, </w:t>
      </w:r>
      <w:r w:rsidRPr="00251F63">
        <w:rPr>
          <w:rFonts w:eastAsia="標楷體"/>
          <w:sz w:val="24"/>
          <w:szCs w:val="28"/>
        </w:rPr>
        <w:t>Department of Economic Research</w:t>
      </w:r>
      <w:r w:rsidRPr="00251F63">
        <w:rPr>
          <w:rFonts w:eastAsia="標楷體" w:hint="eastAsia"/>
          <w:sz w:val="24"/>
          <w:szCs w:val="28"/>
        </w:rPr>
        <w:t xml:space="preserve"> </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Chien-</w:t>
      </w:r>
      <w:r w:rsidRPr="00251F63">
        <w:rPr>
          <w:rFonts w:eastAsia="標楷體" w:hint="eastAsia"/>
          <w:sz w:val="24"/>
          <w:szCs w:val="28"/>
        </w:rPr>
        <w:t>c</w:t>
      </w:r>
      <w:r w:rsidRPr="00251F63">
        <w:rPr>
          <w:rFonts w:eastAsia="標楷體"/>
          <w:sz w:val="24"/>
          <w:szCs w:val="28"/>
        </w:rPr>
        <w:t>hing</w:t>
      </w:r>
      <w:proofErr w:type="spellEnd"/>
      <w:r w:rsidRPr="00251F63">
        <w:rPr>
          <w:rFonts w:eastAsia="標楷體"/>
          <w:sz w:val="24"/>
          <w:szCs w:val="28"/>
        </w:rPr>
        <w:t xml:space="preserve"> Liang</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Secretariat</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Kuei-</w:t>
      </w:r>
      <w:r w:rsidRPr="00251F63">
        <w:rPr>
          <w:rFonts w:eastAsia="標楷體" w:hint="eastAsia"/>
          <w:sz w:val="24"/>
          <w:szCs w:val="28"/>
        </w:rPr>
        <w:t>c</w:t>
      </w:r>
      <w:r w:rsidRPr="00251F63">
        <w:rPr>
          <w:rFonts w:eastAsia="標楷體"/>
          <w:sz w:val="24"/>
          <w:szCs w:val="28"/>
        </w:rPr>
        <w:t>hou</w:t>
      </w:r>
      <w:proofErr w:type="spellEnd"/>
      <w:r w:rsidRPr="00251F63">
        <w:rPr>
          <w:rFonts w:eastAsia="標楷體"/>
          <w:sz w:val="24"/>
          <w:szCs w:val="28"/>
        </w:rPr>
        <w:t xml:space="preserve"> Huang</w:t>
      </w:r>
      <w:r w:rsidRPr="00251F63">
        <w:rPr>
          <w:rFonts w:eastAsia="標楷體" w:hint="eastAsia"/>
          <w:sz w:val="24"/>
          <w:szCs w:val="28"/>
        </w:rPr>
        <w:t xml:space="preserve">, </w:t>
      </w:r>
      <w:r w:rsidRPr="00251F63">
        <w:rPr>
          <w:rFonts w:eastAsia="標楷體"/>
          <w:sz w:val="24"/>
          <w:szCs w:val="28"/>
        </w:rPr>
        <w:t>Director General</w:t>
      </w:r>
      <w:r w:rsidRPr="00251F63">
        <w:rPr>
          <w:rFonts w:eastAsia="標楷體" w:hint="eastAsia"/>
          <w:sz w:val="24"/>
          <w:szCs w:val="28"/>
        </w:rPr>
        <w:t>,</w:t>
      </w:r>
      <w:r w:rsidRPr="00251F63">
        <w:rPr>
          <w:rFonts w:eastAsia="標楷體"/>
          <w:sz w:val="24"/>
          <w:szCs w:val="28"/>
        </w:rPr>
        <w:t xml:space="preserve"> Department of Accounting</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sz w:val="24"/>
          <w:szCs w:val="28"/>
        </w:rPr>
        <w:t>Jhih-</w:t>
      </w:r>
      <w:r w:rsidRPr="00251F63">
        <w:rPr>
          <w:rFonts w:eastAsia="標楷體" w:hint="eastAsia"/>
          <w:sz w:val="24"/>
          <w:szCs w:val="28"/>
        </w:rPr>
        <w:t>c</w:t>
      </w:r>
      <w:r w:rsidRPr="00251F63">
        <w:rPr>
          <w:rFonts w:eastAsia="標楷體"/>
          <w:sz w:val="24"/>
          <w:szCs w:val="28"/>
        </w:rPr>
        <w:t>heng</w:t>
      </w:r>
      <w:proofErr w:type="spellEnd"/>
      <w:r w:rsidRPr="00251F63">
        <w:rPr>
          <w:rFonts w:eastAsia="標楷體"/>
          <w:sz w:val="24"/>
          <w:szCs w:val="28"/>
        </w:rPr>
        <w:t xml:space="preserve"> Hong</w:t>
      </w:r>
      <w:r w:rsidRPr="00251F63">
        <w:rPr>
          <w:rFonts w:eastAsia="標楷體" w:hint="eastAsia"/>
          <w:sz w:val="24"/>
          <w:szCs w:val="28"/>
        </w:rPr>
        <w:t xml:space="preserve">, </w:t>
      </w:r>
      <w:r w:rsidRPr="00251F63">
        <w:rPr>
          <w:rFonts w:eastAsia="標楷體"/>
          <w:sz w:val="24"/>
          <w:szCs w:val="28"/>
        </w:rPr>
        <w:t>Director</w:t>
      </w:r>
      <w:r w:rsidRPr="00251F63">
        <w:rPr>
          <w:rFonts w:eastAsia="標楷體" w:hint="eastAsia"/>
          <w:sz w:val="24"/>
          <w:szCs w:val="28"/>
        </w:rPr>
        <w:t>,</w:t>
      </w:r>
      <w:r w:rsidRPr="00251F63">
        <w:rPr>
          <w:rFonts w:eastAsia="標楷體"/>
          <w:sz w:val="24"/>
          <w:szCs w:val="28"/>
        </w:rPr>
        <w:t xml:space="preserve"> Personnel Office</w:t>
      </w:r>
    </w:p>
    <w:p w:rsidR="00363599" w:rsidRPr="00251F63" w:rsidRDefault="00363599" w:rsidP="00554255">
      <w:pPr>
        <w:pStyle w:val="31"/>
        <w:spacing w:line="440" w:lineRule="exact"/>
        <w:ind w:leftChars="200" w:left="400"/>
        <w:textDirection w:val="lrTbV"/>
        <w:rPr>
          <w:rFonts w:eastAsia="標楷體"/>
          <w:sz w:val="24"/>
          <w:szCs w:val="28"/>
        </w:rPr>
      </w:pPr>
      <w:r w:rsidRPr="00251F63">
        <w:rPr>
          <w:rFonts w:eastAsia="標楷體"/>
          <w:sz w:val="24"/>
          <w:szCs w:val="28"/>
        </w:rPr>
        <w:t>Kun-</w:t>
      </w:r>
      <w:proofErr w:type="spellStart"/>
      <w:r w:rsidRPr="00251F63">
        <w:rPr>
          <w:rFonts w:eastAsia="標楷體" w:hint="eastAsia"/>
          <w:sz w:val="24"/>
          <w:szCs w:val="28"/>
        </w:rPr>
        <w:t>s</w:t>
      </w:r>
      <w:r w:rsidRPr="00251F63">
        <w:rPr>
          <w:rFonts w:eastAsia="標楷體"/>
          <w:sz w:val="24"/>
          <w:szCs w:val="28"/>
        </w:rPr>
        <w:t>han</w:t>
      </w:r>
      <w:proofErr w:type="spellEnd"/>
      <w:r w:rsidRPr="00251F63">
        <w:rPr>
          <w:rFonts w:eastAsia="標楷體"/>
          <w:sz w:val="24"/>
          <w:szCs w:val="28"/>
        </w:rPr>
        <w:t xml:space="preserve"> Wu</w:t>
      </w:r>
      <w:r w:rsidRPr="00251F63">
        <w:rPr>
          <w:rFonts w:eastAsia="標楷體" w:hint="eastAsia"/>
          <w:sz w:val="24"/>
          <w:szCs w:val="28"/>
        </w:rPr>
        <w:t>,</w:t>
      </w:r>
      <w:r w:rsidRPr="00251F63">
        <w:rPr>
          <w:rFonts w:eastAsia="標楷體"/>
          <w:sz w:val="24"/>
          <w:szCs w:val="28"/>
        </w:rPr>
        <w:t xml:space="preserve"> Director</w:t>
      </w:r>
      <w:r w:rsidRPr="00251F63">
        <w:rPr>
          <w:rFonts w:eastAsia="標楷體" w:hint="eastAsia"/>
          <w:sz w:val="24"/>
          <w:szCs w:val="28"/>
        </w:rPr>
        <w:t>,</w:t>
      </w:r>
      <w:r w:rsidRPr="00251F63">
        <w:rPr>
          <w:rFonts w:eastAsia="標楷體"/>
          <w:sz w:val="24"/>
          <w:szCs w:val="28"/>
        </w:rPr>
        <w:t xml:space="preserve"> Legal Affairs Office </w:t>
      </w:r>
    </w:p>
    <w:p w:rsidR="00363599" w:rsidRPr="00251F63" w:rsidRDefault="00251F63" w:rsidP="00554255">
      <w:pPr>
        <w:pStyle w:val="31"/>
        <w:spacing w:line="440" w:lineRule="exact"/>
        <w:ind w:leftChars="200" w:left="400"/>
        <w:textDirection w:val="lrTbV"/>
        <w:rPr>
          <w:rFonts w:eastAsia="標楷體"/>
          <w:sz w:val="24"/>
          <w:szCs w:val="28"/>
        </w:rPr>
      </w:pPr>
      <w:r w:rsidRPr="00251F63">
        <w:rPr>
          <w:rFonts w:eastAsia="標楷體" w:hint="eastAsia"/>
          <w:sz w:val="24"/>
          <w:szCs w:val="28"/>
        </w:rPr>
        <w:t>Yu-</w:t>
      </w:r>
      <w:proofErr w:type="spellStart"/>
      <w:r w:rsidRPr="00251F63">
        <w:rPr>
          <w:rFonts w:eastAsia="標楷體" w:hint="eastAsia"/>
          <w:sz w:val="24"/>
          <w:szCs w:val="28"/>
        </w:rPr>
        <w:t>ming</w:t>
      </w:r>
      <w:proofErr w:type="spellEnd"/>
      <w:r w:rsidRPr="00251F63">
        <w:rPr>
          <w:rFonts w:eastAsia="標楷體" w:hint="eastAsia"/>
          <w:sz w:val="24"/>
          <w:szCs w:val="28"/>
        </w:rPr>
        <w:t xml:space="preserve"> Chang</w:t>
      </w:r>
      <w:r w:rsidR="00363599" w:rsidRPr="00251F63">
        <w:rPr>
          <w:rFonts w:eastAsia="標楷體" w:hint="eastAsia"/>
          <w:sz w:val="24"/>
          <w:szCs w:val="28"/>
        </w:rPr>
        <w:t>, Secretary, Board of Supervisors</w:t>
      </w:r>
    </w:p>
    <w:p w:rsidR="00363599" w:rsidRPr="00251F63" w:rsidRDefault="00363599" w:rsidP="00554255">
      <w:pPr>
        <w:pStyle w:val="31"/>
        <w:spacing w:line="440" w:lineRule="exact"/>
        <w:ind w:leftChars="200" w:left="400"/>
        <w:textDirection w:val="lrTbV"/>
        <w:rPr>
          <w:rFonts w:eastAsia="標楷體"/>
          <w:sz w:val="24"/>
          <w:szCs w:val="28"/>
        </w:rPr>
      </w:pPr>
      <w:proofErr w:type="spellStart"/>
      <w:r w:rsidRPr="00251F63">
        <w:rPr>
          <w:rFonts w:eastAsia="標楷體" w:hint="eastAsia"/>
          <w:sz w:val="24"/>
          <w:szCs w:val="28"/>
        </w:rPr>
        <w:t>Chih-cheng</w:t>
      </w:r>
      <w:proofErr w:type="spellEnd"/>
      <w:r w:rsidRPr="00251F63">
        <w:rPr>
          <w:rFonts w:eastAsia="標楷體" w:hint="eastAsia"/>
          <w:sz w:val="24"/>
          <w:szCs w:val="28"/>
        </w:rPr>
        <w:t xml:space="preserve"> Hu, Secretary, Board of Directors</w:t>
      </w:r>
    </w:p>
    <w:p w:rsidR="005E27CD" w:rsidRDefault="00363599" w:rsidP="00370E54">
      <w:pPr>
        <w:spacing w:beforeLines="50" w:before="120" w:line="440" w:lineRule="exact"/>
        <w:textDirection w:val="lrTbV"/>
        <w:rPr>
          <w:rFonts w:eastAsia="標楷體"/>
          <w:sz w:val="32"/>
          <w:szCs w:val="32"/>
        </w:rPr>
      </w:pPr>
      <w:r w:rsidRPr="00506662">
        <w:rPr>
          <w:rFonts w:eastAsia="標楷體" w:hint="eastAsia"/>
          <w:b/>
          <w:sz w:val="24"/>
          <w:szCs w:val="28"/>
        </w:rPr>
        <w:t>Presiding:</w:t>
      </w:r>
      <w:r w:rsidRPr="00506662">
        <w:rPr>
          <w:rFonts w:eastAsia="標楷體" w:hint="eastAsia"/>
          <w:sz w:val="24"/>
          <w:szCs w:val="28"/>
        </w:rPr>
        <w:t xml:space="preserve"> </w:t>
      </w:r>
      <w:r w:rsidR="00776325" w:rsidRPr="00776325">
        <w:rPr>
          <w:rFonts w:eastAsia="標楷體"/>
          <w:sz w:val="24"/>
          <w:szCs w:val="28"/>
        </w:rPr>
        <w:t>Chin-long Yang</w:t>
      </w:r>
      <w:r w:rsidRPr="00506662">
        <w:rPr>
          <w:rFonts w:eastAsia="標楷體" w:hint="eastAsia"/>
          <w:sz w:val="24"/>
          <w:szCs w:val="28"/>
        </w:rPr>
        <w:t xml:space="preserve">　　</w:t>
      </w:r>
      <w:r w:rsidRPr="00543487">
        <w:rPr>
          <w:rFonts w:eastAsia="標楷體" w:hint="eastAsia"/>
          <w:sz w:val="28"/>
          <w:szCs w:val="28"/>
        </w:rPr>
        <w:t xml:space="preserve">　　</w:t>
      </w:r>
      <w:r w:rsidR="005E27CD">
        <w:rPr>
          <w:rFonts w:eastAsia="標楷體"/>
          <w:sz w:val="32"/>
          <w:szCs w:val="32"/>
        </w:rPr>
        <w:br w:type="page"/>
      </w:r>
    </w:p>
    <w:p w:rsidR="002570BA" w:rsidRPr="00EB1763" w:rsidRDefault="005E27CD" w:rsidP="002570BA">
      <w:pPr>
        <w:adjustRightInd/>
        <w:snapToGrid w:val="0"/>
        <w:spacing w:before="240" w:line="520" w:lineRule="exact"/>
        <w:jc w:val="both"/>
        <w:textDirection w:val="lrTbV"/>
        <w:rPr>
          <w:rFonts w:eastAsia="標楷體"/>
          <w:sz w:val="28"/>
          <w:szCs w:val="28"/>
        </w:rPr>
      </w:pPr>
      <w:r>
        <w:rPr>
          <w:rFonts w:eastAsia="標楷體" w:hint="eastAsia"/>
          <w:b/>
          <w:sz w:val="28"/>
          <w:szCs w:val="28"/>
        </w:rPr>
        <w:lastRenderedPageBreak/>
        <w:t>Agenda Item</w:t>
      </w:r>
      <w:r w:rsidR="00EB1763" w:rsidRPr="00EB1763">
        <w:rPr>
          <w:rFonts w:eastAsia="標楷體" w:hint="eastAsia"/>
          <w:b/>
          <w:sz w:val="28"/>
          <w:szCs w:val="28"/>
        </w:rPr>
        <w:t xml:space="preserve">: </w:t>
      </w:r>
      <w:r w:rsidR="002570BA" w:rsidRPr="00EB1763">
        <w:rPr>
          <w:rFonts w:eastAsia="標楷體"/>
          <w:b/>
          <w:sz w:val="28"/>
          <w:szCs w:val="28"/>
        </w:rPr>
        <w:t xml:space="preserve">Economic </w:t>
      </w:r>
      <w:r w:rsidR="002570BA" w:rsidRPr="00EB1763">
        <w:rPr>
          <w:rFonts w:eastAsia="標楷體" w:hint="eastAsia"/>
          <w:b/>
          <w:sz w:val="28"/>
          <w:szCs w:val="28"/>
        </w:rPr>
        <w:t>and Financial Conditions and Monetary Policy</w:t>
      </w:r>
      <w:r w:rsidR="00653A10">
        <w:rPr>
          <w:rFonts w:eastAsia="標楷體" w:hint="eastAsia"/>
          <w:b/>
          <w:sz w:val="28"/>
          <w:szCs w:val="28"/>
        </w:rPr>
        <w:t xml:space="preserve"> Decision</w:t>
      </w:r>
    </w:p>
    <w:p w:rsidR="002570BA" w:rsidRPr="00EB1763" w:rsidRDefault="00EB1763" w:rsidP="00EB1763">
      <w:pPr>
        <w:adjustRightInd/>
        <w:snapToGrid w:val="0"/>
        <w:spacing w:before="240" w:line="520" w:lineRule="exact"/>
        <w:jc w:val="both"/>
        <w:rPr>
          <w:rFonts w:eastAsia="標楷體"/>
          <w:b/>
          <w:sz w:val="28"/>
          <w:szCs w:val="28"/>
        </w:rPr>
      </w:pPr>
      <w:r w:rsidRPr="00EB1763">
        <w:rPr>
          <w:rFonts w:eastAsia="標楷體" w:hint="eastAsia"/>
          <w:b/>
          <w:sz w:val="28"/>
          <w:szCs w:val="28"/>
        </w:rPr>
        <w:t xml:space="preserve">I. </w:t>
      </w:r>
      <w:r w:rsidR="00653A10">
        <w:rPr>
          <w:rFonts w:eastAsia="標楷體" w:hint="eastAsia"/>
          <w:b/>
          <w:sz w:val="28"/>
          <w:szCs w:val="28"/>
        </w:rPr>
        <w:t xml:space="preserve">Review of </w:t>
      </w:r>
      <w:r w:rsidR="002570BA" w:rsidRPr="00EB1763">
        <w:rPr>
          <w:rFonts w:eastAsia="標楷體"/>
          <w:b/>
          <w:sz w:val="28"/>
          <w:szCs w:val="28"/>
        </w:rPr>
        <w:t xml:space="preserve">Economic </w:t>
      </w:r>
      <w:r w:rsidR="002570BA" w:rsidRPr="00EB1763">
        <w:rPr>
          <w:rFonts w:eastAsia="標楷體" w:hint="eastAsia"/>
          <w:b/>
          <w:sz w:val="28"/>
          <w:szCs w:val="28"/>
        </w:rPr>
        <w:t>a</w:t>
      </w:r>
      <w:r w:rsidR="002570BA" w:rsidRPr="00EB1763">
        <w:rPr>
          <w:rFonts w:eastAsia="標楷體"/>
          <w:b/>
          <w:sz w:val="28"/>
          <w:szCs w:val="28"/>
        </w:rPr>
        <w:t xml:space="preserve">nd Financial Conditions </w:t>
      </w:r>
    </w:p>
    <w:p w:rsidR="00EB1763" w:rsidRPr="00506662" w:rsidRDefault="0043506F" w:rsidP="00EB1763">
      <w:pPr>
        <w:adjustRightInd/>
        <w:snapToGrid w:val="0"/>
        <w:spacing w:before="240" w:line="520" w:lineRule="exact"/>
        <w:jc w:val="both"/>
        <w:textDirection w:val="lrTbV"/>
        <w:rPr>
          <w:rFonts w:eastAsia="標楷體"/>
          <w:sz w:val="24"/>
          <w:szCs w:val="28"/>
        </w:rPr>
      </w:pPr>
      <w:r w:rsidRPr="00506662">
        <w:rPr>
          <w:rFonts w:eastAsia="標楷體" w:hint="eastAsia"/>
          <w:sz w:val="24"/>
          <w:szCs w:val="28"/>
        </w:rPr>
        <w:t xml:space="preserve">The </w:t>
      </w:r>
      <w:r w:rsidR="00EB1763" w:rsidRPr="00506662">
        <w:rPr>
          <w:rFonts w:eastAsia="標楷體" w:hint="eastAsia"/>
          <w:sz w:val="24"/>
          <w:szCs w:val="28"/>
        </w:rPr>
        <w:t xml:space="preserve">Department of Economic Research </w:t>
      </w:r>
      <w:r w:rsidR="00653A10" w:rsidRPr="00506662">
        <w:rPr>
          <w:rFonts w:eastAsia="標楷體" w:hint="eastAsia"/>
          <w:sz w:val="24"/>
          <w:szCs w:val="28"/>
        </w:rPr>
        <w:t xml:space="preserve">presented </w:t>
      </w:r>
      <w:r w:rsidRPr="00506662">
        <w:rPr>
          <w:rFonts w:eastAsia="標楷體" w:hint="eastAsia"/>
          <w:sz w:val="24"/>
          <w:szCs w:val="28"/>
        </w:rPr>
        <w:t>the following review</w:t>
      </w:r>
      <w:r w:rsidR="00653A10" w:rsidRPr="00506662">
        <w:rPr>
          <w:rFonts w:eastAsia="標楷體" w:hint="eastAsia"/>
          <w:sz w:val="24"/>
          <w:szCs w:val="28"/>
        </w:rPr>
        <w:t>:</w:t>
      </w:r>
      <w:r w:rsidRPr="00506662">
        <w:rPr>
          <w:rFonts w:eastAsia="標楷體" w:hint="eastAsia"/>
          <w:sz w:val="24"/>
          <w:szCs w:val="28"/>
        </w:rPr>
        <w:t xml:space="preserve"> </w:t>
      </w:r>
    </w:p>
    <w:p w:rsidR="00EB1763" w:rsidRPr="00506662" w:rsidRDefault="00EB1763" w:rsidP="0043506F">
      <w:pPr>
        <w:numPr>
          <w:ilvl w:val="0"/>
          <w:numId w:val="30"/>
        </w:numPr>
        <w:overflowPunct w:val="0"/>
        <w:autoSpaceDE w:val="0"/>
        <w:autoSpaceDN w:val="0"/>
        <w:snapToGrid w:val="0"/>
        <w:spacing w:before="240" w:line="520" w:lineRule="exact"/>
        <w:ind w:left="426" w:hanging="426"/>
        <w:jc w:val="both"/>
        <w:rPr>
          <w:rFonts w:eastAsia="標楷體"/>
          <w:b/>
          <w:spacing w:val="-2"/>
          <w:sz w:val="24"/>
          <w:szCs w:val="24"/>
        </w:rPr>
      </w:pPr>
      <w:r w:rsidRPr="00506662">
        <w:rPr>
          <w:rFonts w:eastAsia="標楷體" w:hint="eastAsia"/>
          <w:b/>
          <w:spacing w:val="-2"/>
          <w:sz w:val="24"/>
          <w:szCs w:val="24"/>
        </w:rPr>
        <w:t xml:space="preserve">International </w:t>
      </w:r>
      <w:r w:rsidRPr="00506662">
        <w:rPr>
          <w:rFonts w:eastAsia="標楷體"/>
          <w:b/>
          <w:spacing w:val="-2"/>
          <w:sz w:val="24"/>
          <w:szCs w:val="24"/>
        </w:rPr>
        <w:t xml:space="preserve">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C32282" w:rsidRDefault="0044761E" w:rsidP="007F55D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the March 2018 Board meeting, </w:t>
      </w:r>
      <w:r w:rsidR="00C32282">
        <w:rPr>
          <w:rFonts w:ascii="Times New Roman" w:eastAsia="標楷體" w:hint="eastAsia"/>
          <w:spacing w:val="0"/>
          <w:sz w:val="24"/>
          <w:szCs w:val="24"/>
        </w:rPr>
        <w:t xml:space="preserve">growth in </w:t>
      </w:r>
      <w:r w:rsidR="007C4E17">
        <w:rPr>
          <w:rFonts w:ascii="Times New Roman" w:eastAsia="標楷體" w:hint="eastAsia"/>
          <w:spacing w:val="0"/>
          <w:sz w:val="24"/>
          <w:szCs w:val="24"/>
        </w:rPr>
        <w:t xml:space="preserve">both </w:t>
      </w:r>
      <w:r w:rsidR="00C32282">
        <w:rPr>
          <w:rFonts w:ascii="Times New Roman" w:eastAsia="標楷體" w:hint="eastAsia"/>
          <w:spacing w:val="0"/>
          <w:sz w:val="24"/>
          <w:szCs w:val="24"/>
        </w:rPr>
        <w:t xml:space="preserve">advanced and emerging market economies showed steady expansion. Global growth this year will likely advance at </w:t>
      </w:r>
      <w:r w:rsidR="001C4EB1">
        <w:rPr>
          <w:rFonts w:ascii="Times New Roman" w:eastAsia="標楷體" w:hint="eastAsia"/>
          <w:spacing w:val="0"/>
          <w:sz w:val="24"/>
          <w:szCs w:val="24"/>
        </w:rPr>
        <w:t>a similar</w:t>
      </w:r>
      <w:r w:rsidR="00C32282">
        <w:rPr>
          <w:rFonts w:ascii="Times New Roman" w:eastAsia="標楷體" w:hint="eastAsia"/>
          <w:spacing w:val="0"/>
          <w:sz w:val="24"/>
          <w:szCs w:val="24"/>
        </w:rPr>
        <w:t xml:space="preserve"> pace as the previous year, according to international forecasting institutions. </w:t>
      </w:r>
      <w:r w:rsidR="001C4EB1">
        <w:rPr>
          <w:rFonts w:ascii="Times New Roman" w:eastAsia="標楷體" w:hint="eastAsia"/>
          <w:spacing w:val="0"/>
          <w:sz w:val="24"/>
          <w:szCs w:val="24"/>
        </w:rPr>
        <w:t xml:space="preserve">While the US economy is projected to gather steam, the euro area, Japan, China, and </w:t>
      </w:r>
      <w:r w:rsidR="001C4EB1">
        <w:rPr>
          <w:rFonts w:ascii="Times New Roman" w:eastAsia="標楷體"/>
          <w:spacing w:val="0"/>
          <w:sz w:val="24"/>
          <w:szCs w:val="24"/>
        </w:rPr>
        <w:t>other</w:t>
      </w:r>
      <w:r w:rsidR="001C4EB1">
        <w:rPr>
          <w:rFonts w:ascii="Times New Roman" w:eastAsia="標楷體" w:hint="eastAsia"/>
          <w:spacing w:val="0"/>
          <w:sz w:val="24"/>
          <w:szCs w:val="24"/>
        </w:rPr>
        <w:t xml:space="preserve"> Asian economies will likely register slower growth than the previous year. </w:t>
      </w:r>
      <w:r w:rsidR="00710AAE">
        <w:rPr>
          <w:rFonts w:ascii="Times New Roman" w:eastAsia="標楷體" w:hint="eastAsia"/>
          <w:spacing w:val="0"/>
          <w:sz w:val="24"/>
          <w:szCs w:val="24"/>
        </w:rPr>
        <w:t xml:space="preserve">With global trade liberalization facing possible hurdles, </w:t>
      </w:r>
      <w:r w:rsidR="007F55DA">
        <w:rPr>
          <w:rFonts w:ascii="Times New Roman" w:eastAsia="標楷體" w:hint="eastAsia"/>
          <w:spacing w:val="0"/>
          <w:sz w:val="24"/>
          <w:szCs w:val="24"/>
        </w:rPr>
        <w:t>w</w:t>
      </w:r>
      <w:r w:rsidR="001C4EB1">
        <w:rPr>
          <w:rFonts w:ascii="Times New Roman" w:eastAsia="標楷體" w:hint="eastAsia"/>
          <w:spacing w:val="0"/>
          <w:sz w:val="24"/>
          <w:szCs w:val="24"/>
        </w:rPr>
        <w:t>orld trade volume</w:t>
      </w:r>
      <w:r w:rsidR="00710AAE">
        <w:rPr>
          <w:rFonts w:ascii="Times New Roman" w:eastAsia="標楷體" w:hint="eastAsia"/>
          <w:spacing w:val="0"/>
          <w:sz w:val="24"/>
          <w:szCs w:val="24"/>
        </w:rPr>
        <w:t xml:space="preserve"> might post narrower expansion</w:t>
      </w:r>
      <w:r w:rsidR="007F55DA">
        <w:rPr>
          <w:rFonts w:ascii="Times New Roman" w:eastAsia="標楷體" w:hint="eastAsia"/>
          <w:spacing w:val="0"/>
          <w:sz w:val="24"/>
          <w:szCs w:val="24"/>
        </w:rPr>
        <w:t xml:space="preserve">. Global inflation is expected to trend up slightly this year amid continued economic growth and price increases in international oil and other raw materials. </w:t>
      </w:r>
    </w:p>
    <w:p w:rsidR="007F55DA" w:rsidRDefault="00552EB2" w:rsidP="002E2AE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monetary policy in major economies, the US Federal Reserve </w:t>
      </w:r>
      <w:r w:rsidR="002E2AEA">
        <w:rPr>
          <w:rFonts w:ascii="Times New Roman" w:eastAsia="標楷體" w:hint="eastAsia"/>
          <w:spacing w:val="0"/>
          <w:sz w:val="24"/>
          <w:szCs w:val="24"/>
        </w:rPr>
        <w:t xml:space="preserve">just announced a fresh rate hike but said that the </w:t>
      </w:r>
      <w:r w:rsidRPr="00552EB2">
        <w:rPr>
          <w:rFonts w:ascii="Times New Roman" w:eastAsia="標楷體"/>
          <w:spacing w:val="0"/>
          <w:sz w:val="24"/>
          <w:szCs w:val="24"/>
        </w:rPr>
        <w:t>stance of monetary policy remain</w:t>
      </w:r>
      <w:r w:rsidR="007C4E17">
        <w:rPr>
          <w:rFonts w:ascii="Times New Roman" w:eastAsia="標楷體" w:hint="eastAsia"/>
          <w:spacing w:val="0"/>
          <w:sz w:val="24"/>
          <w:szCs w:val="24"/>
        </w:rPr>
        <w:t>ed</w:t>
      </w:r>
      <w:r w:rsidRPr="00552EB2">
        <w:rPr>
          <w:rFonts w:ascii="Times New Roman" w:eastAsia="標楷體"/>
          <w:spacing w:val="0"/>
          <w:sz w:val="24"/>
          <w:szCs w:val="24"/>
        </w:rPr>
        <w:t xml:space="preserve"> accommodative</w:t>
      </w:r>
      <w:r w:rsidR="002E2AEA">
        <w:rPr>
          <w:rFonts w:ascii="Times New Roman" w:eastAsia="標楷體" w:hint="eastAsia"/>
          <w:spacing w:val="0"/>
          <w:sz w:val="24"/>
          <w:szCs w:val="24"/>
        </w:rPr>
        <w:t xml:space="preserve">. The ECB decided to end its asset purchases by the end of this year </w:t>
      </w:r>
      <w:r w:rsidR="007C4E17">
        <w:rPr>
          <w:rFonts w:ascii="Times New Roman" w:eastAsia="標楷體" w:hint="eastAsia"/>
          <w:spacing w:val="0"/>
          <w:sz w:val="24"/>
          <w:szCs w:val="24"/>
        </w:rPr>
        <w:t>but its</w:t>
      </w:r>
      <w:r w:rsidR="002E2AEA">
        <w:rPr>
          <w:rFonts w:ascii="Times New Roman" w:eastAsia="標楷體" w:hint="eastAsia"/>
          <w:spacing w:val="0"/>
          <w:sz w:val="24"/>
          <w:szCs w:val="24"/>
        </w:rPr>
        <w:t xml:space="preserve"> current low interest rate policy w</w:t>
      </w:r>
      <w:r w:rsidR="007C4E17">
        <w:rPr>
          <w:rFonts w:ascii="Times New Roman" w:eastAsia="標楷體" w:hint="eastAsia"/>
          <w:spacing w:val="0"/>
          <w:sz w:val="24"/>
          <w:szCs w:val="24"/>
        </w:rPr>
        <w:t>ould</w:t>
      </w:r>
      <w:r w:rsidR="002E2AEA">
        <w:rPr>
          <w:rFonts w:ascii="Times New Roman" w:eastAsia="標楷體" w:hint="eastAsia"/>
          <w:spacing w:val="0"/>
          <w:sz w:val="24"/>
          <w:szCs w:val="24"/>
        </w:rPr>
        <w:t xml:space="preserve"> carry forward till at least next summer. Meanwhile, the </w:t>
      </w:r>
      <w:proofErr w:type="spellStart"/>
      <w:r w:rsidR="002E2AEA">
        <w:rPr>
          <w:rFonts w:ascii="Times New Roman" w:eastAsia="標楷體" w:hint="eastAsia"/>
          <w:spacing w:val="0"/>
          <w:sz w:val="24"/>
          <w:szCs w:val="24"/>
        </w:rPr>
        <w:t>BoJ</w:t>
      </w:r>
      <w:proofErr w:type="spellEnd"/>
      <w:r w:rsidR="002E2AEA">
        <w:rPr>
          <w:rFonts w:ascii="Times New Roman" w:eastAsia="標楷體" w:hint="eastAsia"/>
          <w:spacing w:val="0"/>
          <w:sz w:val="24"/>
          <w:szCs w:val="24"/>
        </w:rPr>
        <w:t xml:space="preserve"> and the </w:t>
      </w:r>
      <w:proofErr w:type="spellStart"/>
      <w:r w:rsidR="002E2AEA">
        <w:rPr>
          <w:rFonts w:ascii="Times New Roman" w:eastAsia="標楷體" w:hint="eastAsia"/>
          <w:spacing w:val="0"/>
          <w:sz w:val="24"/>
          <w:szCs w:val="24"/>
        </w:rPr>
        <w:t>PBoC</w:t>
      </w:r>
      <w:proofErr w:type="spellEnd"/>
      <w:r w:rsidR="002E2AEA">
        <w:rPr>
          <w:rFonts w:ascii="Times New Roman" w:eastAsia="標楷體" w:hint="eastAsia"/>
          <w:spacing w:val="0"/>
          <w:sz w:val="24"/>
          <w:szCs w:val="24"/>
        </w:rPr>
        <w:t xml:space="preserve"> both kept their policy rates unchanged. These developments indicate</w:t>
      </w:r>
      <w:r w:rsidR="00920658">
        <w:rPr>
          <w:rFonts w:ascii="Times New Roman" w:eastAsia="標楷體" w:hint="eastAsia"/>
          <w:spacing w:val="0"/>
          <w:sz w:val="24"/>
          <w:szCs w:val="24"/>
        </w:rPr>
        <w:t>d</w:t>
      </w:r>
      <w:r w:rsidR="002E2AEA">
        <w:rPr>
          <w:rFonts w:ascii="Times New Roman" w:eastAsia="標楷體" w:hint="eastAsia"/>
          <w:spacing w:val="0"/>
          <w:sz w:val="24"/>
          <w:szCs w:val="24"/>
        </w:rPr>
        <w:t xml:space="preserve"> that major economies </w:t>
      </w:r>
      <w:r w:rsidR="007C4E17">
        <w:rPr>
          <w:rFonts w:ascii="Times New Roman" w:eastAsia="標楷體"/>
          <w:spacing w:val="0"/>
          <w:sz w:val="24"/>
          <w:szCs w:val="24"/>
        </w:rPr>
        <w:t>maintain</w:t>
      </w:r>
      <w:r w:rsidR="007C4E17">
        <w:rPr>
          <w:rFonts w:ascii="Times New Roman" w:eastAsia="標楷體" w:hint="eastAsia"/>
          <w:spacing w:val="0"/>
          <w:sz w:val="24"/>
          <w:szCs w:val="24"/>
        </w:rPr>
        <w:t>ed</w:t>
      </w:r>
      <w:r w:rsidR="002E2AEA">
        <w:rPr>
          <w:rFonts w:ascii="Times New Roman" w:eastAsia="標楷體" w:hint="eastAsia"/>
          <w:spacing w:val="0"/>
          <w:sz w:val="24"/>
          <w:szCs w:val="24"/>
        </w:rPr>
        <w:t xml:space="preserve"> an easy monetary policy stance.</w:t>
      </w:r>
    </w:p>
    <w:p w:rsidR="00753F08" w:rsidRDefault="00D1368A" w:rsidP="0044761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the international financial markets, expectations of faster Fed rate hikes and escalating US-China trade disputes</w:t>
      </w:r>
      <w:r w:rsidR="00753F08">
        <w:rPr>
          <w:rFonts w:ascii="Times New Roman" w:eastAsia="標楷體" w:hint="eastAsia"/>
          <w:spacing w:val="0"/>
          <w:sz w:val="24"/>
          <w:szCs w:val="24"/>
        </w:rPr>
        <w:t xml:space="preserve"> have encouraged capital flows into US dollar assets in recent months. Consequently, emerging market</w:t>
      </w:r>
      <w:r w:rsidR="00072A43">
        <w:rPr>
          <w:rFonts w:ascii="Times New Roman" w:eastAsia="標楷體" w:hint="eastAsia"/>
          <w:spacing w:val="0"/>
          <w:sz w:val="24"/>
          <w:szCs w:val="24"/>
        </w:rPr>
        <w:t xml:space="preserve"> economie</w:t>
      </w:r>
      <w:r w:rsidR="00753F08">
        <w:rPr>
          <w:rFonts w:ascii="Times New Roman" w:eastAsia="標楷體" w:hint="eastAsia"/>
          <w:spacing w:val="0"/>
          <w:sz w:val="24"/>
          <w:szCs w:val="24"/>
        </w:rPr>
        <w:t xml:space="preserve">s </w:t>
      </w:r>
      <w:r w:rsidR="00072A43">
        <w:rPr>
          <w:rFonts w:ascii="Times New Roman" w:eastAsia="標楷體" w:hint="eastAsia"/>
          <w:spacing w:val="0"/>
          <w:sz w:val="24"/>
          <w:szCs w:val="24"/>
        </w:rPr>
        <w:t>such as</w:t>
      </w:r>
      <w:r w:rsidR="00753F08">
        <w:rPr>
          <w:rFonts w:ascii="Times New Roman" w:eastAsia="標楷體" w:hint="eastAsia"/>
          <w:spacing w:val="0"/>
          <w:sz w:val="24"/>
          <w:szCs w:val="24"/>
        </w:rPr>
        <w:t xml:space="preserve"> Argentina, Turkey, and Brazil </w:t>
      </w:r>
      <w:r w:rsidR="00072A43">
        <w:rPr>
          <w:rFonts w:ascii="Times New Roman" w:eastAsia="標楷體" w:hint="eastAsia"/>
          <w:spacing w:val="0"/>
          <w:sz w:val="24"/>
          <w:szCs w:val="24"/>
        </w:rPr>
        <w:t xml:space="preserve">have seen </w:t>
      </w:r>
      <w:r w:rsidR="007C4E17">
        <w:rPr>
          <w:rFonts w:ascii="Times New Roman" w:eastAsia="標楷體" w:hint="eastAsia"/>
          <w:spacing w:val="0"/>
          <w:sz w:val="24"/>
          <w:szCs w:val="24"/>
        </w:rPr>
        <w:t xml:space="preserve">stock market crashes, </w:t>
      </w:r>
      <w:r w:rsidR="00753F08">
        <w:rPr>
          <w:rFonts w:ascii="Times New Roman" w:eastAsia="標楷體" w:hint="eastAsia"/>
          <w:spacing w:val="0"/>
          <w:sz w:val="24"/>
          <w:szCs w:val="24"/>
        </w:rPr>
        <w:t>capital outflows, and heav</w:t>
      </w:r>
      <w:r w:rsidR="00FD5787">
        <w:rPr>
          <w:rFonts w:ascii="Times New Roman" w:eastAsia="標楷體" w:hint="eastAsia"/>
          <w:spacing w:val="0"/>
          <w:sz w:val="24"/>
          <w:szCs w:val="24"/>
        </w:rPr>
        <w:t>y</w:t>
      </w:r>
      <w:r w:rsidR="00753F08">
        <w:rPr>
          <w:rFonts w:ascii="Times New Roman" w:eastAsia="標楷體" w:hint="eastAsia"/>
          <w:spacing w:val="0"/>
          <w:sz w:val="24"/>
          <w:szCs w:val="24"/>
        </w:rPr>
        <w:t xml:space="preserve"> currency devaluation. </w:t>
      </w:r>
      <w:r w:rsidR="00A52CC6">
        <w:rPr>
          <w:rFonts w:ascii="Times New Roman" w:eastAsia="標楷體" w:hint="eastAsia"/>
          <w:spacing w:val="0"/>
          <w:sz w:val="24"/>
          <w:szCs w:val="24"/>
        </w:rPr>
        <w:t xml:space="preserve">Volatility in global </w:t>
      </w:r>
      <w:r w:rsidR="00753F08">
        <w:rPr>
          <w:rFonts w:ascii="Times New Roman" w:eastAsia="標楷體"/>
          <w:spacing w:val="0"/>
          <w:sz w:val="24"/>
          <w:szCs w:val="24"/>
        </w:rPr>
        <w:t>financial</w:t>
      </w:r>
      <w:r w:rsidR="00753F08">
        <w:rPr>
          <w:rFonts w:ascii="Times New Roman" w:eastAsia="標楷體" w:hint="eastAsia"/>
          <w:spacing w:val="0"/>
          <w:sz w:val="24"/>
          <w:szCs w:val="24"/>
        </w:rPr>
        <w:t xml:space="preserve"> </w:t>
      </w:r>
      <w:r w:rsidR="00A52CC6">
        <w:rPr>
          <w:rFonts w:ascii="Times New Roman" w:eastAsia="標楷體" w:hint="eastAsia"/>
          <w:spacing w:val="0"/>
          <w:sz w:val="24"/>
          <w:szCs w:val="24"/>
        </w:rPr>
        <w:t xml:space="preserve">markets has heightened. </w:t>
      </w:r>
    </w:p>
    <w:p w:rsidR="00585BCD" w:rsidRDefault="00FE31A0" w:rsidP="0073781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While </w:t>
      </w:r>
      <w:r w:rsidR="00684A54">
        <w:rPr>
          <w:rFonts w:ascii="Times New Roman" w:eastAsia="標楷體"/>
          <w:spacing w:val="0"/>
          <w:sz w:val="24"/>
          <w:szCs w:val="24"/>
        </w:rPr>
        <w:t xml:space="preserve">on track for steady </w:t>
      </w:r>
      <w:r w:rsidR="00511F72">
        <w:rPr>
          <w:rFonts w:ascii="Times New Roman" w:eastAsia="標楷體"/>
          <w:spacing w:val="0"/>
          <w:sz w:val="24"/>
          <w:szCs w:val="24"/>
        </w:rPr>
        <w:t xml:space="preserve">expansion </w:t>
      </w:r>
      <w:r w:rsidR="00684A54">
        <w:rPr>
          <w:rFonts w:ascii="Times New Roman" w:eastAsia="標楷體"/>
          <w:spacing w:val="0"/>
          <w:sz w:val="24"/>
          <w:szCs w:val="24"/>
        </w:rPr>
        <w:t>this year, global economic growth still faces four</w:t>
      </w:r>
      <w:r w:rsidR="00810EC8">
        <w:rPr>
          <w:rFonts w:ascii="Times New Roman" w:eastAsia="標楷體" w:hint="eastAsia"/>
          <w:spacing w:val="0"/>
          <w:sz w:val="24"/>
          <w:szCs w:val="24"/>
        </w:rPr>
        <w:t xml:space="preserve"> major risks</w:t>
      </w:r>
      <w:r w:rsidR="00810EC8" w:rsidRPr="00EB057B">
        <w:rPr>
          <w:rFonts w:ascii="Times New Roman" w:eastAsia="標楷體" w:hint="eastAsia"/>
          <w:spacing w:val="0"/>
          <w:sz w:val="24"/>
          <w:szCs w:val="24"/>
        </w:rPr>
        <w:t>:</w:t>
      </w:r>
      <w:r w:rsidR="00810EC8" w:rsidRPr="00EB057B">
        <w:rPr>
          <w:rFonts w:ascii="Times New Roman" w:eastAsia="標楷體"/>
          <w:spacing w:val="0"/>
          <w:sz w:val="24"/>
          <w:szCs w:val="24"/>
        </w:rPr>
        <w:t xml:space="preserve"> </w:t>
      </w:r>
      <w:r w:rsidR="00810EC8" w:rsidRPr="00EB057B">
        <w:rPr>
          <w:rFonts w:ascii="Times New Roman" w:eastAsia="標楷體" w:hint="eastAsia"/>
          <w:spacing w:val="0"/>
          <w:sz w:val="24"/>
          <w:szCs w:val="24"/>
        </w:rPr>
        <w:t xml:space="preserve">(1) </w:t>
      </w:r>
      <w:r w:rsidR="00EF4543">
        <w:rPr>
          <w:rFonts w:ascii="Times New Roman" w:eastAsia="標楷體"/>
          <w:spacing w:val="0"/>
          <w:sz w:val="24"/>
          <w:szCs w:val="24"/>
        </w:rPr>
        <w:t xml:space="preserve">further actions towards </w:t>
      </w:r>
      <w:r w:rsidR="00684A54">
        <w:rPr>
          <w:rFonts w:ascii="Times New Roman" w:eastAsia="標楷體"/>
          <w:spacing w:val="0"/>
          <w:sz w:val="24"/>
          <w:szCs w:val="24"/>
        </w:rPr>
        <w:t>monetary policy normalization in major economies, which could</w:t>
      </w:r>
      <w:r w:rsidR="00EF4543">
        <w:rPr>
          <w:rFonts w:ascii="Times New Roman" w:eastAsia="標楷體"/>
          <w:spacing w:val="0"/>
          <w:sz w:val="24"/>
          <w:szCs w:val="24"/>
        </w:rPr>
        <w:t xml:space="preserve"> in turn</w:t>
      </w:r>
      <w:r w:rsidR="00684A54">
        <w:rPr>
          <w:rFonts w:ascii="Times New Roman" w:eastAsia="標楷體"/>
          <w:spacing w:val="0"/>
          <w:sz w:val="24"/>
          <w:szCs w:val="24"/>
        </w:rPr>
        <w:t xml:space="preserve"> impact those emerging market economies with higher debt levels, adding to global financial vulnerabilities</w:t>
      </w:r>
      <w:r w:rsidR="00567730">
        <w:rPr>
          <w:rFonts w:ascii="Times New Roman" w:eastAsia="標楷體" w:hint="eastAsia"/>
          <w:spacing w:val="0"/>
          <w:sz w:val="24"/>
          <w:szCs w:val="24"/>
        </w:rPr>
        <w:t>;</w:t>
      </w:r>
      <w:r w:rsidR="00DF18F9">
        <w:rPr>
          <w:rFonts w:ascii="Times New Roman" w:eastAsia="標楷體" w:hint="eastAsia"/>
          <w:spacing w:val="0"/>
          <w:sz w:val="24"/>
          <w:szCs w:val="24"/>
        </w:rPr>
        <w:t xml:space="preserve"> </w:t>
      </w:r>
      <w:r w:rsidR="00585BCD" w:rsidRPr="00506662">
        <w:rPr>
          <w:rFonts w:ascii="Times New Roman" w:eastAsia="標楷體" w:hint="eastAsia"/>
          <w:spacing w:val="0"/>
          <w:sz w:val="24"/>
          <w:szCs w:val="24"/>
        </w:rPr>
        <w:t>(2)</w:t>
      </w:r>
      <w:r w:rsidR="00204BDB">
        <w:rPr>
          <w:rFonts w:ascii="Times New Roman" w:eastAsia="標楷體" w:hint="eastAsia"/>
          <w:spacing w:val="0"/>
          <w:sz w:val="24"/>
          <w:szCs w:val="24"/>
        </w:rPr>
        <w:t xml:space="preserve"> </w:t>
      </w:r>
      <w:r w:rsidR="00EF4543">
        <w:rPr>
          <w:rFonts w:ascii="Times New Roman" w:eastAsia="標楷體"/>
          <w:spacing w:val="0"/>
          <w:sz w:val="24"/>
          <w:szCs w:val="24"/>
        </w:rPr>
        <w:t xml:space="preserve">escalation in trade frictions among major economies, </w:t>
      </w:r>
      <w:r w:rsidR="00EF4543">
        <w:rPr>
          <w:rFonts w:ascii="Times New Roman" w:eastAsia="標楷體"/>
          <w:spacing w:val="0"/>
          <w:sz w:val="24"/>
          <w:szCs w:val="24"/>
        </w:rPr>
        <w:lastRenderedPageBreak/>
        <w:t xml:space="preserve">with adverse implications </w:t>
      </w:r>
      <w:r w:rsidR="00B06261">
        <w:rPr>
          <w:rFonts w:ascii="Times New Roman" w:eastAsia="標楷體" w:hint="eastAsia"/>
          <w:spacing w:val="0"/>
          <w:sz w:val="24"/>
          <w:szCs w:val="24"/>
        </w:rPr>
        <w:t xml:space="preserve">for </w:t>
      </w:r>
      <w:r w:rsidR="00EF4543">
        <w:rPr>
          <w:rFonts w:ascii="Times New Roman" w:eastAsia="標楷體"/>
          <w:spacing w:val="0"/>
          <w:sz w:val="24"/>
          <w:szCs w:val="24"/>
        </w:rPr>
        <w:t>international economic</w:t>
      </w:r>
      <w:r w:rsidR="00511F72">
        <w:rPr>
          <w:rFonts w:ascii="Times New Roman" w:eastAsia="標楷體"/>
          <w:spacing w:val="0"/>
          <w:sz w:val="24"/>
          <w:szCs w:val="24"/>
        </w:rPr>
        <w:t xml:space="preserve"> and trade activity and destabilizing forces over </w:t>
      </w:r>
      <w:r w:rsidR="000943B8">
        <w:rPr>
          <w:rFonts w:ascii="Times New Roman" w:eastAsia="標楷體" w:hint="eastAsia"/>
          <w:spacing w:val="0"/>
          <w:sz w:val="24"/>
          <w:szCs w:val="24"/>
        </w:rPr>
        <w:t xml:space="preserve">the </w:t>
      </w:r>
      <w:r w:rsidR="00511F72">
        <w:rPr>
          <w:rFonts w:ascii="Times New Roman" w:eastAsia="標楷體"/>
          <w:spacing w:val="0"/>
          <w:sz w:val="24"/>
          <w:szCs w:val="24"/>
        </w:rPr>
        <w:t>global economy and financial markets</w:t>
      </w:r>
      <w:r w:rsidR="006703CA" w:rsidRPr="00506662">
        <w:rPr>
          <w:rFonts w:ascii="Times New Roman" w:eastAsia="標楷體" w:hint="eastAsia"/>
          <w:spacing w:val="0"/>
          <w:sz w:val="24"/>
          <w:szCs w:val="24"/>
        </w:rPr>
        <w:t>; (3)</w:t>
      </w:r>
      <w:r w:rsidR="00567730">
        <w:rPr>
          <w:rFonts w:ascii="Times New Roman" w:eastAsia="標楷體" w:hint="eastAsia"/>
          <w:spacing w:val="0"/>
          <w:sz w:val="24"/>
          <w:szCs w:val="24"/>
        </w:rPr>
        <w:t xml:space="preserve"> </w:t>
      </w:r>
      <w:r w:rsidR="00B06261">
        <w:rPr>
          <w:rFonts w:ascii="Times New Roman" w:eastAsia="標楷體" w:hint="eastAsia"/>
          <w:spacing w:val="0"/>
          <w:sz w:val="24"/>
          <w:szCs w:val="24"/>
        </w:rPr>
        <w:t xml:space="preserve">mounting </w:t>
      </w:r>
      <w:r w:rsidR="00043E3C">
        <w:rPr>
          <w:rFonts w:ascii="Times New Roman" w:eastAsia="標楷體" w:hint="eastAsia"/>
          <w:spacing w:val="0"/>
          <w:sz w:val="24"/>
          <w:szCs w:val="24"/>
        </w:rPr>
        <w:t>global debt</w:t>
      </w:r>
      <w:r w:rsidR="00E3403D">
        <w:rPr>
          <w:rFonts w:ascii="Times New Roman" w:eastAsia="標楷體" w:hint="eastAsia"/>
          <w:spacing w:val="0"/>
          <w:sz w:val="24"/>
          <w:szCs w:val="24"/>
        </w:rPr>
        <w:t xml:space="preserve"> levels</w:t>
      </w:r>
      <w:r w:rsidR="00043E3C">
        <w:rPr>
          <w:rFonts w:ascii="Times New Roman" w:eastAsia="標楷體" w:hint="eastAsia"/>
          <w:spacing w:val="0"/>
          <w:sz w:val="24"/>
          <w:szCs w:val="24"/>
        </w:rPr>
        <w:t xml:space="preserve"> that could  crimp government capabilities </w:t>
      </w:r>
      <w:r w:rsidR="000943B8">
        <w:rPr>
          <w:rFonts w:ascii="Times New Roman" w:eastAsia="標楷體" w:hint="eastAsia"/>
          <w:spacing w:val="0"/>
          <w:sz w:val="24"/>
          <w:szCs w:val="24"/>
        </w:rPr>
        <w:t xml:space="preserve">to </w:t>
      </w:r>
      <w:r w:rsidR="00043E3C">
        <w:rPr>
          <w:rFonts w:ascii="Times New Roman" w:eastAsia="標楷體" w:hint="eastAsia"/>
          <w:spacing w:val="0"/>
          <w:sz w:val="24"/>
          <w:szCs w:val="24"/>
        </w:rPr>
        <w:t>financ</w:t>
      </w:r>
      <w:r w:rsidR="000943B8">
        <w:rPr>
          <w:rFonts w:ascii="Times New Roman" w:eastAsia="標楷體" w:hint="eastAsia"/>
          <w:spacing w:val="0"/>
          <w:sz w:val="24"/>
          <w:szCs w:val="24"/>
        </w:rPr>
        <w:t>e</w:t>
      </w:r>
      <w:r w:rsidR="00043E3C">
        <w:rPr>
          <w:rFonts w:ascii="Times New Roman" w:eastAsia="標楷體" w:hint="eastAsia"/>
          <w:spacing w:val="0"/>
          <w:sz w:val="24"/>
          <w:szCs w:val="24"/>
        </w:rPr>
        <w:t xml:space="preserve"> stimulus programs; (4) geopolitical risks </w:t>
      </w:r>
      <w:r w:rsidR="000943B8">
        <w:rPr>
          <w:rFonts w:ascii="Times New Roman" w:eastAsia="標楷體" w:hint="eastAsia"/>
          <w:spacing w:val="0"/>
          <w:sz w:val="24"/>
          <w:szCs w:val="24"/>
        </w:rPr>
        <w:t>that could</w:t>
      </w:r>
      <w:r w:rsidR="00737817">
        <w:rPr>
          <w:rFonts w:ascii="Times New Roman" w:eastAsia="標楷體" w:hint="eastAsia"/>
          <w:spacing w:val="0"/>
          <w:sz w:val="24"/>
          <w:szCs w:val="24"/>
        </w:rPr>
        <w:t xml:space="preserve"> impair investor confidence and climate change </w:t>
      </w:r>
      <w:r w:rsidR="000943B8">
        <w:rPr>
          <w:rFonts w:ascii="Times New Roman" w:eastAsia="標楷體" w:hint="eastAsia"/>
          <w:spacing w:val="0"/>
          <w:sz w:val="24"/>
          <w:szCs w:val="24"/>
        </w:rPr>
        <w:t xml:space="preserve">that might </w:t>
      </w:r>
      <w:r w:rsidR="00737817">
        <w:rPr>
          <w:rFonts w:ascii="Times New Roman" w:eastAsia="標楷體" w:hint="eastAsia"/>
          <w:spacing w:val="0"/>
          <w:sz w:val="24"/>
          <w:szCs w:val="24"/>
        </w:rPr>
        <w:t xml:space="preserve">cause economic loss and more displacement and migration. These risks could </w:t>
      </w:r>
      <w:r w:rsidR="00705A48" w:rsidRPr="00506662">
        <w:rPr>
          <w:rFonts w:ascii="Times New Roman" w:eastAsia="標楷體" w:hint="eastAsia"/>
          <w:spacing w:val="0"/>
          <w:sz w:val="24"/>
          <w:szCs w:val="24"/>
        </w:rPr>
        <w:t xml:space="preserve">compound the uncertainties </w:t>
      </w:r>
      <w:r w:rsidR="0069742E">
        <w:rPr>
          <w:rFonts w:ascii="Times New Roman" w:eastAsia="標楷體" w:hint="eastAsia"/>
          <w:spacing w:val="0"/>
          <w:sz w:val="24"/>
          <w:szCs w:val="24"/>
        </w:rPr>
        <w:t>surrounding</w:t>
      </w:r>
      <w:r w:rsidR="00705A48" w:rsidRPr="00506662">
        <w:rPr>
          <w:rFonts w:ascii="Times New Roman" w:eastAsia="標楷體" w:hint="eastAsia"/>
          <w:spacing w:val="0"/>
          <w:sz w:val="24"/>
          <w:szCs w:val="24"/>
        </w:rPr>
        <w:t xml:space="preserve"> the global </w:t>
      </w:r>
      <w:r w:rsidR="00705A48" w:rsidRPr="00506662">
        <w:rPr>
          <w:rFonts w:ascii="Times New Roman" w:eastAsia="標楷體"/>
          <w:spacing w:val="0"/>
          <w:sz w:val="24"/>
          <w:szCs w:val="24"/>
        </w:rPr>
        <w:t>economic</w:t>
      </w:r>
      <w:r w:rsidR="00705A48" w:rsidRPr="00506662">
        <w:rPr>
          <w:rFonts w:ascii="Times New Roman" w:eastAsia="標楷體" w:hint="eastAsia"/>
          <w:spacing w:val="0"/>
          <w:sz w:val="24"/>
          <w:szCs w:val="24"/>
        </w:rPr>
        <w:t xml:space="preserve"> </w:t>
      </w:r>
      <w:r w:rsidR="00737817">
        <w:rPr>
          <w:rFonts w:ascii="Times New Roman" w:eastAsia="標楷體" w:hint="eastAsia"/>
          <w:spacing w:val="0"/>
          <w:sz w:val="24"/>
          <w:szCs w:val="24"/>
        </w:rPr>
        <w:t xml:space="preserve">and financial </w:t>
      </w:r>
      <w:r w:rsidR="00567730">
        <w:rPr>
          <w:rFonts w:ascii="Times New Roman" w:eastAsia="標楷體" w:hint="eastAsia"/>
          <w:spacing w:val="0"/>
          <w:sz w:val="24"/>
          <w:szCs w:val="24"/>
        </w:rPr>
        <w:t xml:space="preserve">outlook. </w:t>
      </w:r>
      <w:r w:rsidR="00BB5F5D" w:rsidRPr="00506662">
        <w:rPr>
          <w:rFonts w:ascii="Times New Roman" w:eastAsia="標楷體" w:hint="eastAsia"/>
          <w:spacing w:val="0"/>
          <w:sz w:val="24"/>
          <w:szCs w:val="24"/>
        </w:rPr>
        <w:t xml:space="preserve"> </w:t>
      </w:r>
    </w:p>
    <w:p w:rsidR="00D46F1E" w:rsidRPr="00506662"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506662">
        <w:rPr>
          <w:rFonts w:eastAsia="標楷體" w:hint="eastAsia"/>
          <w:b/>
          <w:spacing w:val="-2"/>
          <w:sz w:val="24"/>
          <w:szCs w:val="24"/>
        </w:rPr>
        <w:t>Domestic</w:t>
      </w:r>
      <w:r w:rsidRPr="00506662">
        <w:rPr>
          <w:rFonts w:eastAsia="標楷體"/>
          <w:b/>
          <w:spacing w:val="-2"/>
          <w:sz w:val="24"/>
          <w:szCs w:val="24"/>
        </w:rPr>
        <w:t xml:space="preserve"> 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D46F1E" w:rsidRPr="00506662" w:rsidRDefault="00D46F1E" w:rsidP="00506662">
      <w:pPr>
        <w:adjustRightInd/>
        <w:spacing w:before="120" w:line="440" w:lineRule="exact"/>
        <w:textAlignment w:val="auto"/>
        <w:rPr>
          <w:rFonts w:eastAsia="標楷體"/>
          <w:spacing w:val="-2"/>
          <w:kern w:val="2"/>
          <w:sz w:val="24"/>
          <w:szCs w:val="24"/>
        </w:rPr>
      </w:pPr>
      <w:r w:rsidRPr="00506662">
        <w:rPr>
          <w:rFonts w:eastAsia="標楷體"/>
          <w:spacing w:val="-2"/>
          <w:kern w:val="2"/>
          <w:sz w:val="24"/>
          <w:szCs w:val="24"/>
        </w:rPr>
        <w:t>(</w:t>
      </w:r>
      <w:r w:rsidRPr="00506662">
        <w:rPr>
          <w:rFonts w:eastAsia="標楷體" w:hint="eastAsia"/>
          <w:spacing w:val="-2"/>
          <w:kern w:val="2"/>
          <w:sz w:val="24"/>
          <w:szCs w:val="24"/>
        </w:rPr>
        <w:t>1</w:t>
      </w:r>
      <w:r w:rsidRPr="00506662">
        <w:rPr>
          <w:rFonts w:eastAsia="標楷體"/>
          <w:spacing w:val="-2"/>
          <w:kern w:val="2"/>
          <w:sz w:val="24"/>
          <w:szCs w:val="24"/>
        </w:rPr>
        <w:t>)</w:t>
      </w:r>
      <w:r w:rsidRPr="00506662">
        <w:rPr>
          <w:rFonts w:eastAsia="標楷體" w:hint="eastAsia"/>
          <w:spacing w:val="-2"/>
          <w:kern w:val="2"/>
          <w:sz w:val="24"/>
          <w:szCs w:val="24"/>
        </w:rPr>
        <w:t xml:space="preserve"> Economic situation </w:t>
      </w:r>
    </w:p>
    <w:p w:rsidR="00A46FB8" w:rsidRDefault="005D3D55" w:rsidP="00144512">
      <w:pPr>
        <w:pStyle w:val="6"/>
        <w:overflowPunct w:val="0"/>
        <w:snapToGrid w:val="0"/>
        <w:spacing w:after="0" w:line="440" w:lineRule="exact"/>
        <w:ind w:left="0" w:firstLineChars="200" w:firstLine="480"/>
        <w:rPr>
          <w:rFonts w:ascii="Times New Roman" w:eastAsia="標楷體"/>
          <w:b/>
          <w:spacing w:val="0"/>
          <w:sz w:val="24"/>
          <w:szCs w:val="24"/>
        </w:rPr>
      </w:pPr>
      <w:r w:rsidRPr="005D3D55">
        <w:rPr>
          <w:rFonts w:ascii="Times New Roman" w:eastAsia="標楷體" w:hint="eastAsia"/>
          <w:spacing w:val="0"/>
          <w:sz w:val="24"/>
          <w:szCs w:val="24"/>
        </w:rPr>
        <w:t>D</w:t>
      </w:r>
      <w:r w:rsidR="00A46FB8" w:rsidRPr="005D3D55">
        <w:rPr>
          <w:rFonts w:ascii="Times New Roman" w:eastAsia="標楷體" w:hint="eastAsia"/>
          <w:spacing w:val="0"/>
          <w:sz w:val="24"/>
          <w:szCs w:val="24"/>
        </w:rPr>
        <w:t xml:space="preserve">evelopments </w:t>
      </w:r>
      <w:r w:rsidRPr="005D3D55">
        <w:rPr>
          <w:rFonts w:ascii="Times New Roman" w:eastAsia="標楷體" w:hint="eastAsia"/>
          <w:spacing w:val="0"/>
          <w:sz w:val="24"/>
          <w:szCs w:val="24"/>
        </w:rPr>
        <w:t>in the year to date point</w:t>
      </w:r>
      <w:r>
        <w:rPr>
          <w:rFonts w:ascii="Times New Roman" w:eastAsia="標楷體" w:hint="eastAsia"/>
          <w:spacing w:val="0"/>
          <w:sz w:val="24"/>
          <w:szCs w:val="24"/>
        </w:rPr>
        <w:t>ed</w:t>
      </w:r>
      <w:r w:rsidRPr="005D3D55">
        <w:rPr>
          <w:rFonts w:ascii="Times New Roman" w:eastAsia="標楷體" w:hint="eastAsia"/>
          <w:spacing w:val="0"/>
          <w:sz w:val="24"/>
          <w:szCs w:val="24"/>
        </w:rPr>
        <w:t xml:space="preserve"> to mild expansion of the domestic economy</w:t>
      </w:r>
      <w:r w:rsidR="00144512">
        <w:rPr>
          <w:rFonts w:ascii="Times New Roman" w:eastAsia="標楷體" w:hint="eastAsia"/>
          <w:spacing w:val="0"/>
          <w:sz w:val="24"/>
          <w:szCs w:val="24"/>
        </w:rPr>
        <w:t>,</w:t>
      </w:r>
      <w:r w:rsidRPr="005D3D55">
        <w:rPr>
          <w:rFonts w:ascii="Times New Roman" w:eastAsia="標楷體" w:hint="eastAsia"/>
          <w:spacing w:val="0"/>
          <w:sz w:val="24"/>
          <w:szCs w:val="24"/>
        </w:rPr>
        <w:t xml:space="preserve"> with robust exports, rising consumption, and continued </w:t>
      </w:r>
      <w:r>
        <w:rPr>
          <w:rFonts w:ascii="Times New Roman" w:eastAsia="標楷體" w:hint="eastAsia"/>
          <w:spacing w:val="0"/>
          <w:sz w:val="24"/>
          <w:szCs w:val="24"/>
        </w:rPr>
        <w:t>stable outlook (</w:t>
      </w:r>
      <w:r>
        <w:rPr>
          <w:rFonts w:ascii="Times New Roman" w:eastAsia="標楷體"/>
          <w:spacing w:val="0"/>
          <w:sz w:val="24"/>
          <w:szCs w:val="24"/>
        </w:rPr>
        <w:t>“</w:t>
      </w:r>
      <w:r>
        <w:rPr>
          <w:rFonts w:ascii="Times New Roman" w:eastAsia="標楷體" w:hint="eastAsia"/>
          <w:spacing w:val="0"/>
          <w:sz w:val="24"/>
          <w:szCs w:val="24"/>
        </w:rPr>
        <w:t>green light</w:t>
      </w:r>
      <w:r>
        <w:rPr>
          <w:rFonts w:ascii="Times New Roman" w:eastAsia="標楷體"/>
          <w:spacing w:val="0"/>
          <w:sz w:val="24"/>
          <w:szCs w:val="24"/>
        </w:rPr>
        <w:t>”</w:t>
      </w:r>
      <w:r>
        <w:rPr>
          <w:rFonts w:ascii="Times New Roman" w:eastAsia="標楷體" w:hint="eastAsia"/>
          <w:spacing w:val="0"/>
          <w:sz w:val="24"/>
          <w:szCs w:val="24"/>
        </w:rPr>
        <w:t xml:space="preserve">) </w:t>
      </w:r>
      <w:r w:rsidR="00144512">
        <w:rPr>
          <w:rFonts w:ascii="Times New Roman" w:eastAsia="標楷體" w:hint="eastAsia"/>
          <w:spacing w:val="0"/>
          <w:sz w:val="24"/>
          <w:szCs w:val="24"/>
        </w:rPr>
        <w:t xml:space="preserve">in recent months </w:t>
      </w:r>
      <w:r>
        <w:rPr>
          <w:rFonts w:ascii="Times New Roman" w:eastAsia="標楷體" w:hint="eastAsia"/>
          <w:spacing w:val="0"/>
          <w:sz w:val="24"/>
          <w:szCs w:val="24"/>
        </w:rPr>
        <w:t>as reflected by the government</w:t>
      </w:r>
      <w:r>
        <w:rPr>
          <w:rFonts w:ascii="Times New Roman" w:eastAsia="標楷體"/>
          <w:spacing w:val="0"/>
          <w:sz w:val="24"/>
          <w:szCs w:val="24"/>
        </w:rPr>
        <w:t>’</w:t>
      </w:r>
      <w:r>
        <w:rPr>
          <w:rFonts w:ascii="Times New Roman" w:eastAsia="標楷體" w:hint="eastAsia"/>
          <w:spacing w:val="0"/>
          <w:sz w:val="24"/>
          <w:szCs w:val="24"/>
        </w:rPr>
        <w:t xml:space="preserve">s </w:t>
      </w:r>
      <w:r w:rsidR="001E3222">
        <w:rPr>
          <w:rFonts w:ascii="Times New Roman" w:eastAsia="標楷體" w:hint="eastAsia"/>
          <w:spacing w:val="0"/>
          <w:sz w:val="24"/>
          <w:szCs w:val="24"/>
        </w:rPr>
        <w:t>monitoring indicators</w:t>
      </w:r>
      <w:r>
        <w:rPr>
          <w:rFonts w:ascii="Times New Roman" w:eastAsia="標楷體" w:hint="eastAsia"/>
          <w:spacing w:val="0"/>
          <w:sz w:val="24"/>
          <w:szCs w:val="24"/>
        </w:rPr>
        <w:t>. However, leading indicator</w:t>
      </w:r>
      <w:r w:rsidR="001E3222">
        <w:rPr>
          <w:rFonts w:ascii="Times New Roman" w:eastAsia="標楷體" w:hint="eastAsia"/>
          <w:spacing w:val="0"/>
          <w:sz w:val="24"/>
          <w:szCs w:val="24"/>
        </w:rPr>
        <w:t>s were trending down,</w:t>
      </w:r>
      <w:r w:rsidR="001E3222">
        <w:rPr>
          <w:rFonts w:ascii="Times New Roman" w:eastAsia="標楷體"/>
          <w:spacing w:val="0"/>
          <w:sz w:val="24"/>
          <w:szCs w:val="24"/>
        </w:rPr>
        <w:t xml:space="preserve"> a sign for possible weakening</w:t>
      </w:r>
      <w:r w:rsidR="001E3222">
        <w:rPr>
          <w:rFonts w:ascii="Times New Roman" w:eastAsia="標楷體" w:hint="eastAsia"/>
          <w:spacing w:val="0"/>
          <w:sz w:val="24"/>
          <w:szCs w:val="24"/>
        </w:rPr>
        <w:t xml:space="preserve"> in growth momentum in the second half of 2018. In particular, </w:t>
      </w:r>
      <w:r w:rsidR="001E3222">
        <w:rPr>
          <w:rFonts w:ascii="Times New Roman" w:eastAsia="標楷體"/>
          <w:spacing w:val="0"/>
          <w:sz w:val="24"/>
          <w:szCs w:val="24"/>
        </w:rPr>
        <w:t>export</w:t>
      </w:r>
      <w:r w:rsidR="001E3222">
        <w:rPr>
          <w:rFonts w:ascii="Times New Roman" w:eastAsia="標楷體" w:hint="eastAsia"/>
          <w:spacing w:val="0"/>
          <w:sz w:val="24"/>
          <w:szCs w:val="24"/>
        </w:rPr>
        <w:t xml:space="preserve"> growth might be dampened by a higher base effect, </w:t>
      </w:r>
      <w:r w:rsidR="00BE3C6B">
        <w:rPr>
          <w:rFonts w:ascii="Times New Roman" w:eastAsia="標楷體" w:hint="eastAsia"/>
          <w:spacing w:val="0"/>
          <w:sz w:val="24"/>
          <w:szCs w:val="24"/>
        </w:rPr>
        <w:t>whereas</w:t>
      </w:r>
      <w:r w:rsidR="001E3222">
        <w:rPr>
          <w:rFonts w:ascii="Times New Roman" w:eastAsia="標楷體" w:hint="eastAsia"/>
          <w:spacing w:val="0"/>
          <w:sz w:val="24"/>
          <w:szCs w:val="24"/>
        </w:rPr>
        <w:t xml:space="preserve"> domestic demand will remain the driving force for economic growth. </w:t>
      </w:r>
      <w:r w:rsidR="00144512" w:rsidRPr="00706207">
        <w:rPr>
          <w:rFonts w:ascii="Times New Roman" w:eastAsia="標楷體" w:hint="eastAsia"/>
          <w:b/>
          <w:spacing w:val="0"/>
          <w:sz w:val="24"/>
          <w:szCs w:val="24"/>
        </w:rPr>
        <w:t xml:space="preserve">The Bank revised up its forecast for the 2018 domestic </w:t>
      </w:r>
      <w:r w:rsidR="00144512" w:rsidRPr="00706207">
        <w:rPr>
          <w:rFonts w:ascii="Times New Roman" w:eastAsia="標楷體"/>
          <w:b/>
          <w:spacing w:val="0"/>
          <w:sz w:val="24"/>
          <w:szCs w:val="24"/>
        </w:rPr>
        <w:t>economic</w:t>
      </w:r>
      <w:r w:rsidR="00144512" w:rsidRPr="00706207">
        <w:rPr>
          <w:rFonts w:ascii="Times New Roman" w:eastAsia="標楷體" w:hint="eastAsia"/>
          <w:b/>
          <w:spacing w:val="0"/>
          <w:sz w:val="24"/>
          <w:szCs w:val="24"/>
        </w:rPr>
        <w:t xml:space="preserve"> growth rate to 2.68%</w:t>
      </w:r>
      <w:r w:rsidR="00144512">
        <w:rPr>
          <w:rFonts w:ascii="Times New Roman" w:eastAsia="標楷體" w:hint="eastAsia"/>
          <w:spacing w:val="0"/>
          <w:sz w:val="24"/>
          <w:szCs w:val="24"/>
        </w:rPr>
        <w:t>, citing better-</w:t>
      </w:r>
      <w:r w:rsidR="00144512">
        <w:rPr>
          <w:rFonts w:ascii="Times New Roman" w:eastAsia="標楷體"/>
          <w:spacing w:val="0"/>
          <w:sz w:val="24"/>
          <w:szCs w:val="24"/>
        </w:rPr>
        <w:t>than</w:t>
      </w:r>
      <w:r w:rsidR="00144512">
        <w:rPr>
          <w:rFonts w:ascii="Times New Roman" w:eastAsia="標楷體" w:hint="eastAsia"/>
          <w:spacing w:val="0"/>
          <w:sz w:val="24"/>
          <w:szCs w:val="24"/>
        </w:rPr>
        <w:t>-expected first quarter growth and the upward revision to the Bank</w:t>
      </w:r>
      <w:r w:rsidR="00144512">
        <w:rPr>
          <w:rFonts w:ascii="Times New Roman" w:eastAsia="標楷體"/>
          <w:spacing w:val="0"/>
          <w:sz w:val="24"/>
          <w:szCs w:val="24"/>
        </w:rPr>
        <w:t>’</w:t>
      </w:r>
      <w:r w:rsidR="00144512">
        <w:rPr>
          <w:rFonts w:ascii="Times New Roman" w:eastAsia="標楷體" w:hint="eastAsia"/>
          <w:spacing w:val="0"/>
          <w:sz w:val="24"/>
          <w:szCs w:val="24"/>
        </w:rPr>
        <w:t xml:space="preserve">s forecasts for </w:t>
      </w:r>
      <w:r w:rsidR="00C24FCB">
        <w:rPr>
          <w:rFonts w:ascii="Times New Roman" w:eastAsia="標楷體" w:hint="eastAsia"/>
          <w:spacing w:val="0"/>
          <w:sz w:val="24"/>
          <w:szCs w:val="24"/>
        </w:rPr>
        <w:t>this year</w:t>
      </w:r>
      <w:r w:rsidR="00C24FCB">
        <w:rPr>
          <w:rFonts w:ascii="Times New Roman" w:eastAsia="標楷體"/>
          <w:spacing w:val="0"/>
          <w:sz w:val="24"/>
          <w:szCs w:val="24"/>
        </w:rPr>
        <w:t>’</w:t>
      </w:r>
      <w:r w:rsidR="00C24FCB">
        <w:rPr>
          <w:rFonts w:ascii="Times New Roman" w:eastAsia="標楷體" w:hint="eastAsia"/>
          <w:spacing w:val="0"/>
          <w:sz w:val="24"/>
          <w:szCs w:val="24"/>
        </w:rPr>
        <w:t xml:space="preserve">s export and private investment growth. </w:t>
      </w:r>
    </w:p>
    <w:p w:rsidR="0072003B" w:rsidRDefault="00197CD3" w:rsidP="00AD14B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first </w:t>
      </w:r>
      <w:r w:rsidR="00C24FCB">
        <w:rPr>
          <w:rFonts w:ascii="Times New Roman" w:eastAsia="標楷體" w:hint="eastAsia"/>
          <w:spacing w:val="0"/>
          <w:sz w:val="24"/>
          <w:szCs w:val="24"/>
        </w:rPr>
        <w:t xml:space="preserve">five </w:t>
      </w:r>
      <w:r>
        <w:rPr>
          <w:rFonts w:ascii="Times New Roman" w:eastAsia="標楷體" w:hint="eastAsia"/>
          <w:spacing w:val="0"/>
          <w:sz w:val="24"/>
          <w:szCs w:val="24"/>
        </w:rPr>
        <w:t xml:space="preserve">months of the year, exports </w:t>
      </w:r>
      <w:r w:rsidR="00C24FCB">
        <w:rPr>
          <w:rFonts w:ascii="Times New Roman" w:eastAsia="標楷體" w:hint="eastAsia"/>
          <w:spacing w:val="0"/>
          <w:sz w:val="24"/>
          <w:szCs w:val="24"/>
        </w:rPr>
        <w:t>firmed up</w:t>
      </w:r>
      <w:r>
        <w:rPr>
          <w:rFonts w:ascii="Times New Roman" w:eastAsia="標楷體" w:hint="eastAsia"/>
          <w:spacing w:val="0"/>
          <w:sz w:val="24"/>
          <w:szCs w:val="24"/>
        </w:rPr>
        <w:t xml:space="preserve"> </w:t>
      </w:r>
      <w:r w:rsidR="0069742E">
        <w:rPr>
          <w:rFonts w:ascii="Times New Roman" w:eastAsia="標楷體" w:hint="eastAsia"/>
          <w:spacing w:val="0"/>
          <w:sz w:val="24"/>
          <w:szCs w:val="24"/>
        </w:rPr>
        <w:t xml:space="preserve">by </w:t>
      </w:r>
      <w:r w:rsidR="00C24FCB">
        <w:rPr>
          <w:rFonts w:ascii="Times New Roman" w:eastAsia="標楷體" w:hint="eastAsia"/>
          <w:spacing w:val="0"/>
          <w:sz w:val="24"/>
          <w:szCs w:val="24"/>
        </w:rPr>
        <w:t>11</w:t>
      </w:r>
      <w:r>
        <w:rPr>
          <w:rFonts w:ascii="Times New Roman" w:eastAsia="標楷體" w:hint="eastAsia"/>
          <w:spacing w:val="0"/>
          <w:sz w:val="24"/>
          <w:szCs w:val="24"/>
        </w:rPr>
        <w:t>.</w:t>
      </w:r>
      <w:r w:rsidR="00C24FCB">
        <w:rPr>
          <w:rFonts w:ascii="Times New Roman" w:eastAsia="標楷體" w:hint="eastAsia"/>
          <w:spacing w:val="0"/>
          <w:sz w:val="24"/>
          <w:szCs w:val="24"/>
        </w:rPr>
        <w:t>2</w:t>
      </w:r>
      <w:r>
        <w:rPr>
          <w:rFonts w:ascii="Times New Roman" w:eastAsia="標楷體" w:hint="eastAsia"/>
          <w:spacing w:val="0"/>
          <w:sz w:val="24"/>
          <w:szCs w:val="24"/>
        </w:rPr>
        <w:t>%</w:t>
      </w:r>
      <w:r w:rsidR="00C24FCB">
        <w:rPr>
          <w:rFonts w:ascii="Times New Roman" w:eastAsia="標楷體" w:hint="eastAsia"/>
          <w:spacing w:val="0"/>
          <w:sz w:val="24"/>
          <w:szCs w:val="24"/>
        </w:rPr>
        <w:t xml:space="preserve"> on the back of </w:t>
      </w:r>
      <w:r>
        <w:rPr>
          <w:rFonts w:ascii="Times New Roman" w:eastAsia="標楷體" w:hint="eastAsia"/>
          <w:spacing w:val="0"/>
          <w:sz w:val="24"/>
          <w:szCs w:val="24"/>
        </w:rPr>
        <w:t xml:space="preserve">global </w:t>
      </w:r>
      <w:r>
        <w:rPr>
          <w:rFonts w:ascii="Times New Roman" w:eastAsia="標楷體"/>
          <w:spacing w:val="0"/>
          <w:sz w:val="24"/>
          <w:szCs w:val="24"/>
        </w:rPr>
        <w:t>economic</w:t>
      </w:r>
      <w:r>
        <w:rPr>
          <w:rFonts w:ascii="Times New Roman" w:eastAsia="標楷體" w:hint="eastAsia"/>
          <w:spacing w:val="0"/>
          <w:sz w:val="24"/>
          <w:szCs w:val="24"/>
        </w:rPr>
        <w:t xml:space="preserve"> expansion and </w:t>
      </w:r>
      <w:r>
        <w:rPr>
          <w:rFonts w:ascii="Times New Roman" w:eastAsia="標楷體"/>
          <w:spacing w:val="0"/>
          <w:sz w:val="24"/>
          <w:szCs w:val="24"/>
        </w:rPr>
        <w:t>international</w:t>
      </w:r>
      <w:r>
        <w:rPr>
          <w:rFonts w:ascii="Times New Roman" w:eastAsia="標楷體" w:hint="eastAsia"/>
          <w:spacing w:val="0"/>
          <w:sz w:val="24"/>
          <w:szCs w:val="24"/>
        </w:rPr>
        <w:t xml:space="preserve"> raw material price</w:t>
      </w:r>
      <w:r w:rsidR="00C24FCB">
        <w:rPr>
          <w:rFonts w:ascii="Times New Roman" w:eastAsia="標楷體" w:hint="eastAsia"/>
          <w:spacing w:val="0"/>
          <w:sz w:val="24"/>
          <w:szCs w:val="24"/>
        </w:rPr>
        <w:t xml:space="preserve"> rise</w:t>
      </w:r>
      <w:r>
        <w:rPr>
          <w:rFonts w:ascii="Times New Roman" w:eastAsia="標楷體" w:hint="eastAsia"/>
          <w:spacing w:val="0"/>
          <w:sz w:val="24"/>
          <w:szCs w:val="24"/>
        </w:rPr>
        <w:t xml:space="preserve">s. By product, </w:t>
      </w:r>
      <w:r w:rsidR="00C24FCB">
        <w:rPr>
          <w:rFonts w:ascii="Times New Roman" w:eastAsia="標楷體" w:hint="eastAsia"/>
          <w:spacing w:val="0"/>
          <w:sz w:val="24"/>
          <w:szCs w:val="24"/>
        </w:rPr>
        <w:t xml:space="preserve">electronics parts and components and </w:t>
      </w:r>
      <w:r>
        <w:rPr>
          <w:rFonts w:ascii="Times New Roman" w:eastAsia="標楷體" w:hint="eastAsia"/>
          <w:spacing w:val="0"/>
          <w:sz w:val="24"/>
          <w:szCs w:val="24"/>
        </w:rPr>
        <w:t>base metal</w:t>
      </w:r>
      <w:r w:rsidR="00410700">
        <w:rPr>
          <w:rFonts w:ascii="Times New Roman" w:eastAsia="標楷體" w:hint="eastAsia"/>
          <w:spacing w:val="0"/>
          <w:sz w:val="24"/>
          <w:szCs w:val="24"/>
        </w:rPr>
        <w:t xml:space="preserve"> were the main contributors to export growth. By market, exports to major destination economies registered </w:t>
      </w:r>
      <w:r w:rsidR="00410700">
        <w:rPr>
          <w:rFonts w:ascii="Times New Roman" w:eastAsia="標楷體"/>
          <w:spacing w:val="0"/>
          <w:sz w:val="24"/>
          <w:szCs w:val="24"/>
        </w:rPr>
        <w:t>positive</w:t>
      </w:r>
      <w:r w:rsidR="00410700">
        <w:rPr>
          <w:rFonts w:ascii="Times New Roman" w:eastAsia="標楷體" w:hint="eastAsia"/>
          <w:spacing w:val="0"/>
          <w:sz w:val="24"/>
          <w:szCs w:val="24"/>
        </w:rPr>
        <w:t xml:space="preserve"> growth. </w:t>
      </w:r>
      <w:r w:rsidR="00C24FCB">
        <w:rPr>
          <w:rFonts w:ascii="Times New Roman" w:eastAsia="標楷體" w:hint="eastAsia"/>
          <w:spacing w:val="0"/>
          <w:sz w:val="24"/>
          <w:szCs w:val="24"/>
        </w:rPr>
        <w:t xml:space="preserve">Looking to the second half of the year, a higher base effect will weigh on export performance despite steady global economic growth </w:t>
      </w:r>
      <w:r w:rsidR="00AD14BA">
        <w:rPr>
          <w:rFonts w:ascii="Times New Roman" w:eastAsia="標楷體" w:hint="eastAsia"/>
          <w:spacing w:val="0"/>
          <w:sz w:val="24"/>
          <w:szCs w:val="24"/>
        </w:rPr>
        <w:t xml:space="preserve">and </w:t>
      </w:r>
      <w:r w:rsidR="00CF5D64">
        <w:rPr>
          <w:rFonts w:ascii="Times New Roman" w:eastAsia="標楷體" w:hint="eastAsia"/>
          <w:spacing w:val="0"/>
          <w:sz w:val="24"/>
          <w:szCs w:val="24"/>
        </w:rPr>
        <w:t>increased</w:t>
      </w:r>
      <w:r w:rsidR="00AD14BA">
        <w:rPr>
          <w:rFonts w:ascii="Times New Roman" w:eastAsia="標楷體" w:hint="eastAsia"/>
          <w:spacing w:val="0"/>
          <w:sz w:val="24"/>
          <w:szCs w:val="24"/>
        </w:rPr>
        <w:t xml:space="preserve"> demand for emerging technology applications. For the year as a whole, </w:t>
      </w:r>
      <w:r w:rsidR="00807F5E">
        <w:rPr>
          <w:rFonts w:ascii="Times New Roman" w:eastAsia="標楷體" w:hint="eastAsia"/>
          <w:spacing w:val="0"/>
          <w:sz w:val="24"/>
          <w:szCs w:val="24"/>
        </w:rPr>
        <w:t>Taiwan</w:t>
      </w:r>
      <w:r w:rsidR="00807F5E">
        <w:rPr>
          <w:rFonts w:ascii="Times New Roman" w:eastAsia="標楷體"/>
          <w:spacing w:val="0"/>
          <w:sz w:val="24"/>
          <w:szCs w:val="24"/>
        </w:rPr>
        <w:t>’</w:t>
      </w:r>
      <w:r w:rsidR="00807F5E">
        <w:rPr>
          <w:rFonts w:ascii="Times New Roman" w:eastAsia="標楷體" w:hint="eastAsia"/>
          <w:spacing w:val="0"/>
          <w:sz w:val="24"/>
          <w:szCs w:val="24"/>
        </w:rPr>
        <w:t xml:space="preserve">s exports are </w:t>
      </w:r>
      <w:r w:rsidR="00807F5E">
        <w:rPr>
          <w:rFonts w:ascii="Times New Roman" w:eastAsia="標楷體"/>
          <w:spacing w:val="0"/>
          <w:sz w:val="24"/>
          <w:szCs w:val="24"/>
        </w:rPr>
        <w:t>expected</w:t>
      </w:r>
      <w:r w:rsidR="00807F5E">
        <w:rPr>
          <w:rFonts w:ascii="Times New Roman" w:eastAsia="標楷體" w:hint="eastAsia"/>
          <w:spacing w:val="0"/>
          <w:sz w:val="24"/>
          <w:szCs w:val="24"/>
        </w:rPr>
        <w:t xml:space="preserve"> to register mild growth. </w:t>
      </w:r>
    </w:p>
    <w:p w:rsidR="005217D2" w:rsidRPr="005217D2" w:rsidRDefault="00AD14BA" w:rsidP="009B1E8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Consumer confidence dipped in recent months and </w:t>
      </w:r>
      <w:r w:rsidR="00E3403D">
        <w:rPr>
          <w:rFonts w:ascii="Times New Roman" w:eastAsia="標楷體" w:hint="eastAsia"/>
          <w:spacing w:val="0"/>
          <w:sz w:val="24"/>
          <w:szCs w:val="24"/>
        </w:rPr>
        <w:t xml:space="preserve">the </w:t>
      </w:r>
      <w:r>
        <w:rPr>
          <w:rFonts w:ascii="Times New Roman" w:eastAsia="標楷體" w:hint="eastAsia"/>
          <w:spacing w:val="0"/>
          <w:sz w:val="24"/>
          <w:szCs w:val="24"/>
        </w:rPr>
        <w:t>willingness to spend could be dented after the public se</w:t>
      </w:r>
      <w:r w:rsidR="009B1E81">
        <w:rPr>
          <w:rFonts w:ascii="Times New Roman" w:eastAsia="標楷體" w:hint="eastAsia"/>
          <w:spacing w:val="0"/>
          <w:sz w:val="24"/>
          <w:szCs w:val="24"/>
        </w:rPr>
        <w:t>ctor pension reforms take effect in July. However, improving labor market conditions, including increased employment, lower unemployment rates,</w:t>
      </w:r>
      <w:r w:rsidR="00BE3C6B">
        <w:rPr>
          <w:rFonts w:ascii="Times New Roman" w:eastAsia="標楷體" w:hint="eastAsia"/>
          <w:spacing w:val="0"/>
          <w:sz w:val="24"/>
          <w:szCs w:val="24"/>
        </w:rPr>
        <w:t xml:space="preserve"> and mild wage growth, coupled with</w:t>
      </w:r>
      <w:r w:rsidR="009B1E81">
        <w:rPr>
          <w:rFonts w:ascii="Times New Roman" w:eastAsia="標楷體" w:hint="eastAsia"/>
          <w:spacing w:val="0"/>
          <w:sz w:val="24"/>
          <w:szCs w:val="24"/>
        </w:rPr>
        <w:t xml:space="preserve"> record high cash dividends from </w:t>
      </w:r>
      <w:r w:rsidR="001F2962">
        <w:rPr>
          <w:rFonts w:ascii="Times New Roman" w:eastAsia="標楷體" w:hint="eastAsia"/>
          <w:spacing w:val="0"/>
          <w:sz w:val="24"/>
          <w:szCs w:val="24"/>
        </w:rPr>
        <w:t xml:space="preserve">exchange- </w:t>
      </w:r>
      <w:r w:rsidR="004A773A">
        <w:rPr>
          <w:rFonts w:ascii="Times New Roman" w:eastAsia="標楷體" w:hint="eastAsia"/>
          <w:spacing w:val="0"/>
          <w:sz w:val="24"/>
          <w:szCs w:val="24"/>
        </w:rPr>
        <w:t>or</w:t>
      </w:r>
      <w:r w:rsidR="001F2962">
        <w:rPr>
          <w:rFonts w:ascii="Times New Roman" w:eastAsia="標楷體" w:hint="eastAsia"/>
          <w:spacing w:val="0"/>
          <w:sz w:val="24"/>
          <w:szCs w:val="24"/>
        </w:rPr>
        <w:t xml:space="preserve"> OTC-</w:t>
      </w:r>
      <w:r w:rsidR="009B1E81">
        <w:rPr>
          <w:rFonts w:ascii="Times New Roman" w:eastAsia="標楷體" w:hint="eastAsia"/>
          <w:spacing w:val="0"/>
          <w:sz w:val="24"/>
          <w:szCs w:val="24"/>
        </w:rPr>
        <w:t xml:space="preserve">listed companies, </w:t>
      </w:r>
      <w:r w:rsidR="00E3403D">
        <w:rPr>
          <w:rFonts w:ascii="Times New Roman" w:eastAsia="標楷體" w:hint="eastAsia"/>
          <w:spacing w:val="0"/>
          <w:sz w:val="24"/>
          <w:szCs w:val="24"/>
        </w:rPr>
        <w:t>will likely</w:t>
      </w:r>
      <w:r w:rsidR="009B1E81">
        <w:rPr>
          <w:rFonts w:ascii="Times New Roman" w:eastAsia="標楷體" w:hint="eastAsia"/>
          <w:spacing w:val="0"/>
          <w:sz w:val="24"/>
          <w:szCs w:val="24"/>
        </w:rPr>
        <w:t xml:space="preserve"> buttress private consumption in the second half of the year</w:t>
      </w:r>
      <w:r w:rsidR="00BE3C6B">
        <w:rPr>
          <w:rFonts w:ascii="Times New Roman" w:eastAsia="標楷體" w:hint="eastAsia"/>
          <w:spacing w:val="0"/>
          <w:sz w:val="24"/>
          <w:szCs w:val="24"/>
        </w:rPr>
        <w:t xml:space="preserve">; </w:t>
      </w:r>
      <w:r w:rsidR="009B1E81">
        <w:rPr>
          <w:rFonts w:ascii="Times New Roman" w:eastAsia="標楷體" w:hint="eastAsia"/>
          <w:spacing w:val="0"/>
          <w:sz w:val="24"/>
          <w:szCs w:val="24"/>
        </w:rPr>
        <w:t xml:space="preserve">steady growth is projected for the year as whole. </w:t>
      </w:r>
    </w:p>
    <w:p w:rsidR="00606C1E" w:rsidRDefault="00606C1E" w:rsidP="005217D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lastRenderedPageBreak/>
        <w:t xml:space="preserve">Private investment </w:t>
      </w:r>
      <w:r w:rsidR="004A773A">
        <w:rPr>
          <w:rFonts w:ascii="Times New Roman" w:eastAsia="標楷體" w:hint="eastAsia"/>
          <w:spacing w:val="0"/>
          <w:sz w:val="24"/>
          <w:szCs w:val="24"/>
        </w:rPr>
        <w:t xml:space="preserve">growth </w:t>
      </w:r>
      <w:r w:rsidR="007E1638">
        <w:rPr>
          <w:rFonts w:ascii="Times New Roman" w:eastAsia="標楷體" w:hint="eastAsia"/>
          <w:spacing w:val="0"/>
          <w:sz w:val="24"/>
          <w:szCs w:val="24"/>
        </w:rPr>
        <w:t>is likely to</w:t>
      </w:r>
      <w:r>
        <w:rPr>
          <w:rFonts w:ascii="Times New Roman" w:eastAsia="標楷體" w:hint="eastAsia"/>
          <w:spacing w:val="0"/>
          <w:sz w:val="24"/>
          <w:szCs w:val="24"/>
        </w:rPr>
        <w:t xml:space="preserve"> rebound in the second half of 2018. This is based on the expectation </w:t>
      </w:r>
      <w:r w:rsidR="007E1638">
        <w:rPr>
          <w:rFonts w:ascii="Times New Roman" w:eastAsia="標楷體" w:hint="eastAsia"/>
          <w:spacing w:val="0"/>
          <w:sz w:val="24"/>
          <w:szCs w:val="24"/>
        </w:rPr>
        <w:t xml:space="preserve">of increased semi-conductor capital outlay, </w:t>
      </w:r>
      <w:r w:rsidR="004A773A">
        <w:rPr>
          <w:rFonts w:ascii="Times New Roman" w:eastAsia="標楷體" w:hint="eastAsia"/>
          <w:spacing w:val="0"/>
          <w:sz w:val="24"/>
          <w:szCs w:val="24"/>
        </w:rPr>
        <w:t>higher investment in construction works</w:t>
      </w:r>
      <w:r w:rsidR="004A773A">
        <w:rPr>
          <w:rFonts w:ascii="Times New Roman" w:eastAsia="標楷體"/>
          <w:spacing w:val="0"/>
          <w:sz w:val="24"/>
          <w:szCs w:val="24"/>
        </w:rPr>
        <w:t xml:space="preserve"> </w:t>
      </w:r>
      <w:r w:rsidR="004A773A">
        <w:rPr>
          <w:rFonts w:ascii="Times New Roman" w:eastAsia="標楷體" w:hint="eastAsia"/>
          <w:spacing w:val="0"/>
          <w:sz w:val="24"/>
          <w:szCs w:val="24"/>
        </w:rPr>
        <w:t xml:space="preserve">owing to </w:t>
      </w:r>
      <w:r w:rsidR="007E1638">
        <w:rPr>
          <w:rFonts w:ascii="Times New Roman" w:eastAsia="標楷體"/>
          <w:spacing w:val="0"/>
          <w:sz w:val="24"/>
          <w:szCs w:val="24"/>
        </w:rPr>
        <w:t>stronger</w:t>
      </w:r>
      <w:r w:rsidR="007E1638">
        <w:rPr>
          <w:rFonts w:ascii="Times New Roman" w:eastAsia="標楷體" w:hint="eastAsia"/>
          <w:spacing w:val="0"/>
          <w:sz w:val="24"/>
          <w:szCs w:val="24"/>
        </w:rPr>
        <w:t xml:space="preserve"> demand for residential housing, and a lower base of the previous year. Growth in private investment in 2018 is projected to exceed the previous year. </w:t>
      </w:r>
    </w:p>
    <w:p w:rsidR="00750B45" w:rsidRPr="00506662" w:rsidRDefault="00D46F1E"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(2) Financial conditions</w:t>
      </w:r>
      <w:r w:rsidR="00590406" w:rsidRPr="00506662">
        <w:rPr>
          <w:rFonts w:eastAsia="標楷體"/>
          <w:spacing w:val="-2"/>
          <w:sz w:val="24"/>
          <w:szCs w:val="24"/>
        </w:rPr>
        <w:t xml:space="preserve"> </w:t>
      </w:r>
    </w:p>
    <w:p w:rsidR="00681EFC" w:rsidRDefault="00891D9F" w:rsidP="00506662">
      <w:pPr>
        <w:pStyle w:val="6"/>
        <w:overflowPunct w:val="0"/>
        <w:snapToGrid w:val="0"/>
        <w:spacing w:after="0" w:line="440" w:lineRule="exact"/>
        <w:ind w:left="0" w:firstLineChars="200" w:firstLine="480"/>
        <w:rPr>
          <w:rFonts w:ascii="Times New Roman" w:eastAsia="標楷體"/>
          <w:spacing w:val="0"/>
          <w:sz w:val="24"/>
          <w:szCs w:val="24"/>
        </w:rPr>
      </w:pPr>
      <w:r w:rsidRPr="00A15173">
        <w:rPr>
          <w:rFonts w:ascii="Times New Roman" w:eastAsia="標楷體" w:hint="eastAsia"/>
          <w:spacing w:val="0"/>
          <w:sz w:val="24"/>
          <w:szCs w:val="24"/>
        </w:rPr>
        <w:t>T</w:t>
      </w:r>
      <w:r w:rsidR="00921785">
        <w:rPr>
          <w:rFonts w:ascii="Times New Roman" w:eastAsia="標楷體"/>
          <w:spacing w:val="0"/>
          <w:sz w:val="24"/>
          <w:szCs w:val="24"/>
        </w:rPr>
        <w:t>aiwan’s</w:t>
      </w:r>
      <w:r w:rsidRPr="00A15173">
        <w:rPr>
          <w:rFonts w:ascii="Times New Roman" w:eastAsia="標楷體" w:hint="eastAsia"/>
          <w:spacing w:val="0"/>
          <w:sz w:val="24"/>
          <w:szCs w:val="24"/>
        </w:rPr>
        <w:t xml:space="preserve"> nominal market interest rates remained stable</w:t>
      </w:r>
      <w:r w:rsidR="00921785">
        <w:rPr>
          <w:rFonts w:ascii="Times New Roman" w:eastAsia="標楷體"/>
          <w:spacing w:val="0"/>
          <w:sz w:val="24"/>
          <w:szCs w:val="24"/>
        </w:rPr>
        <w:t xml:space="preserve">. Against a backdrop of </w:t>
      </w:r>
      <w:r w:rsidR="004A773A">
        <w:rPr>
          <w:rFonts w:ascii="Times New Roman" w:eastAsia="標楷體" w:hint="eastAsia"/>
          <w:spacing w:val="0"/>
          <w:sz w:val="24"/>
          <w:szCs w:val="24"/>
        </w:rPr>
        <w:t xml:space="preserve">foreign capital outflows as a result of </w:t>
      </w:r>
      <w:r w:rsidR="00921785">
        <w:rPr>
          <w:rFonts w:ascii="Times New Roman" w:eastAsia="標楷體"/>
          <w:spacing w:val="0"/>
          <w:sz w:val="24"/>
          <w:szCs w:val="24"/>
        </w:rPr>
        <w:t xml:space="preserve">net </w:t>
      </w:r>
      <w:r w:rsidR="004A773A">
        <w:rPr>
          <w:rFonts w:ascii="Times New Roman" w:eastAsia="標楷體" w:hint="eastAsia"/>
          <w:spacing w:val="0"/>
          <w:sz w:val="24"/>
          <w:szCs w:val="24"/>
        </w:rPr>
        <w:t xml:space="preserve">foreign </w:t>
      </w:r>
      <w:r w:rsidR="00C74751">
        <w:rPr>
          <w:rFonts w:ascii="Times New Roman" w:eastAsia="標楷體" w:hint="eastAsia"/>
          <w:spacing w:val="0"/>
          <w:sz w:val="24"/>
          <w:szCs w:val="24"/>
        </w:rPr>
        <w:t xml:space="preserve">selling in the </w:t>
      </w:r>
      <w:r w:rsidR="00921785">
        <w:rPr>
          <w:rFonts w:ascii="Times New Roman" w:eastAsia="標楷體"/>
          <w:spacing w:val="0"/>
          <w:sz w:val="24"/>
          <w:szCs w:val="24"/>
        </w:rPr>
        <w:t>stock market and</w:t>
      </w:r>
      <w:r w:rsidR="00CF5D64">
        <w:rPr>
          <w:rFonts w:ascii="Times New Roman" w:eastAsia="標楷體" w:hint="eastAsia"/>
          <w:spacing w:val="0"/>
          <w:sz w:val="24"/>
          <w:szCs w:val="24"/>
        </w:rPr>
        <w:t xml:space="preserve"> </w:t>
      </w:r>
      <w:r w:rsidR="00C74751">
        <w:rPr>
          <w:rFonts w:ascii="Times New Roman" w:eastAsia="標楷體" w:hint="eastAsia"/>
          <w:spacing w:val="0"/>
          <w:sz w:val="24"/>
          <w:szCs w:val="24"/>
        </w:rPr>
        <w:t xml:space="preserve">the flow of tax revenue into </w:t>
      </w:r>
      <w:r w:rsidR="00CF5D64">
        <w:rPr>
          <w:rFonts w:ascii="Times New Roman" w:eastAsia="標楷體" w:hint="eastAsia"/>
          <w:spacing w:val="0"/>
          <w:sz w:val="24"/>
          <w:szCs w:val="24"/>
        </w:rPr>
        <w:t>the national treasury</w:t>
      </w:r>
      <w:r w:rsidR="00921785">
        <w:rPr>
          <w:rFonts w:ascii="Times New Roman" w:eastAsia="標楷體"/>
          <w:spacing w:val="0"/>
          <w:sz w:val="24"/>
          <w:szCs w:val="24"/>
        </w:rPr>
        <w:t xml:space="preserve">, </w:t>
      </w:r>
      <w:r w:rsidR="00921785" w:rsidRPr="00921785">
        <w:rPr>
          <w:rFonts w:ascii="Times New Roman" w:eastAsia="標楷體"/>
          <w:spacing w:val="0"/>
          <w:sz w:val="24"/>
          <w:szCs w:val="24"/>
        </w:rPr>
        <w:t>the</w:t>
      </w:r>
      <w:r w:rsidRPr="00921785">
        <w:rPr>
          <w:rFonts w:ascii="Times New Roman" w:eastAsia="標楷體" w:hint="eastAsia"/>
          <w:spacing w:val="0"/>
          <w:sz w:val="24"/>
          <w:szCs w:val="24"/>
        </w:rPr>
        <w:t xml:space="preserve"> Bank </w:t>
      </w:r>
      <w:r w:rsidR="00921785" w:rsidRPr="00921785">
        <w:rPr>
          <w:rFonts w:ascii="Times New Roman" w:eastAsia="標楷體"/>
          <w:spacing w:val="0"/>
          <w:sz w:val="24"/>
          <w:szCs w:val="24"/>
        </w:rPr>
        <w:t xml:space="preserve">has </w:t>
      </w:r>
      <w:r w:rsidR="004A773A">
        <w:rPr>
          <w:rFonts w:ascii="Times New Roman" w:eastAsia="標楷體"/>
          <w:spacing w:val="0"/>
          <w:sz w:val="24"/>
          <w:szCs w:val="24"/>
        </w:rPr>
        <w:t>continued</w:t>
      </w:r>
      <w:r w:rsidR="004A773A">
        <w:rPr>
          <w:rFonts w:ascii="Times New Roman" w:eastAsia="標楷體" w:hint="eastAsia"/>
          <w:spacing w:val="0"/>
          <w:sz w:val="24"/>
          <w:szCs w:val="24"/>
        </w:rPr>
        <w:t xml:space="preserve"> to </w:t>
      </w:r>
      <w:r w:rsidR="00862B05" w:rsidRPr="00921785">
        <w:rPr>
          <w:rFonts w:ascii="Times New Roman" w:eastAsia="標楷體" w:hint="eastAsia"/>
          <w:spacing w:val="0"/>
          <w:sz w:val="24"/>
          <w:szCs w:val="24"/>
        </w:rPr>
        <w:t xml:space="preserve">manage market liquidity </w:t>
      </w:r>
      <w:r w:rsidR="003323BD">
        <w:rPr>
          <w:rFonts w:ascii="Times New Roman" w:eastAsia="標楷體"/>
          <w:spacing w:val="0"/>
          <w:sz w:val="24"/>
          <w:szCs w:val="24"/>
        </w:rPr>
        <w:t xml:space="preserve">through open market operations since April. As a result, the interbank overnight call loan rate merely edged up and </w:t>
      </w:r>
      <w:r w:rsidR="00862B05" w:rsidRPr="00921785">
        <w:rPr>
          <w:rFonts w:ascii="Times New Roman" w:eastAsia="標楷體" w:hint="eastAsia"/>
          <w:spacing w:val="0"/>
          <w:sz w:val="24"/>
          <w:szCs w:val="24"/>
        </w:rPr>
        <w:t>bank</w:t>
      </w:r>
      <w:r w:rsidR="003323BD">
        <w:rPr>
          <w:rFonts w:ascii="Times New Roman" w:eastAsia="標楷體"/>
          <w:spacing w:val="0"/>
          <w:sz w:val="24"/>
          <w:szCs w:val="24"/>
        </w:rPr>
        <w:t>s’ excess</w:t>
      </w:r>
      <w:r w:rsidR="00862B05" w:rsidRPr="00921785">
        <w:rPr>
          <w:rFonts w:ascii="Times New Roman" w:eastAsia="標楷體" w:hint="eastAsia"/>
          <w:spacing w:val="0"/>
          <w:sz w:val="24"/>
          <w:szCs w:val="24"/>
        </w:rPr>
        <w:t xml:space="preserve"> reserves </w:t>
      </w:r>
      <w:r w:rsidR="003323BD">
        <w:rPr>
          <w:rFonts w:ascii="Times New Roman" w:eastAsia="標楷體"/>
          <w:spacing w:val="0"/>
          <w:sz w:val="24"/>
          <w:szCs w:val="24"/>
        </w:rPr>
        <w:t xml:space="preserve">were on average kept </w:t>
      </w:r>
      <w:r w:rsidR="00862B05" w:rsidRPr="00921785">
        <w:rPr>
          <w:rFonts w:ascii="Times New Roman" w:eastAsia="標楷體" w:hint="eastAsia"/>
          <w:spacing w:val="0"/>
          <w:sz w:val="24"/>
          <w:szCs w:val="24"/>
        </w:rPr>
        <w:t xml:space="preserve">at </w:t>
      </w:r>
      <w:r w:rsidR="003323BD">
        <w:rPr>
          <w:rFonts w:ascii="Times New Roman" w:eastAsia="標楷體"/>
          <w:spacing w:val="0"/>
          <w:sz w:val="24"/>
          <w:szCs w:val="24"/>
        </w:rPr>
        <w:t xml:space="preserve">a level similar to that of the previous year. </w:t>
      </w:r>
      <w:r w:rsidR="00862B05" w:rsidRPr="00921785">
        <w:rPr>
          <w:rFonts w:ascii="Times New Roman" w:eastAsia="標楷體" w:hint="eastAsia"/>
          <w:spacing w:val="0"/>
          <w:sz w:val="24"/>
          <w:szCs w:val="24"/>
        </w:rPr>
        <w:t>Taiwan</w:t>
      </w:r>
      <w:r w:rsidR="00862B05" w:rsidRPr="00921785">
        <w:rPr>
          <w:rFonts w:ascii="Times New Roman" w:eastAsia="標楷體"/>
          <w:spacing w:val="0"/>
          <w:sz w:val="24"/>
          <w:szCs w:val="24"/>
        </w:rPr>
        <w:t>’</w:t>
      </w:r>
      <w:r w:rsidR="00862B05" w:rsidRPr="00921785">
        <w:rPr>
          <w:rFonts w:ascii="Times New Roman" w:eastAsia="標楷體" w:hint="eastAsia"/>
          <w:spacing w:val="0"/>
          <w:sz w:val="24"/>
          <w:szCs w:val="24"/>
        </w:rPr>
        <w:t xml:space="preserve">s real interest rate, though </w:t>
      </w:r>
      <w:r w:rsidR="003323BD">
        <w:rPr>
          <w:rFonts w:ascii="Times New Roman" w:eastAsia="標楷體"/>
          <w:spacing w:val="0"/>
          <w:sz w:val="24"/>
          <w:szCs w:val="24"/>
        </w:rPr>
        <w:t>still in</w:t>
      </w:r>
      <w:r w:rsidR="00862B05" w:rsidRPr="00921785">
        <w:rPr>
          <w:rFonts w:ascii="Times New Roman" w:eastAsia="標楷體" w:hint="eastAsia"/>
          <w:spacing w:val="0"/>
          <w:sz w:val="24"/>
          <w:szCs w:val="24"/>
        </w:rPr>
        <w:t xml:space="preserve"> negative territory, is </w:t>
      </w:r>
      <w:r w:rsidR="00E322D7" w:rsidRPr="00921785">
        <w:rPr>
          <w:rFonts w:ascii="Times New Roman" w:eastAsia="標楷體" w:hint="eastAsia"/>
          <w:spacing w:val="0"/>
          <w:sz w:val="24"/>
          <w:szCs w:val="24"/>
        </w:rPr>
        <w:t>relatively moderate compared to a host of major economies</w:t>
      </w:r>
      <w:r w:rsidR="00E322D7">
        <w:rPr>
          <w:rFonts w:ascii="Times New Roman" w:eastAsia="標楷體" w:hint="eastAsia"/>
          <w:spacing w:val="0"/>
          <w:sz w:val="24"/>
          <w:szCs w:val="24"/>
        </w:rPr>
        <w:t xml:space="preserve">. </w:t>
      </w:r>
    </w:p>
    <w:p w:rsidR="003107C8" w:rsidRDefault="004133BD" w:rsidP="00837396">
      <w:pPr>
        <w:pStyle w:val="6"/>
        <w:overflowPunct w:val="0"/>
        <w:snapToGrid w:val="0"/>
        <w:spacing w:after="0" w:line="440" w:lineRule="exact"/>
        <w:ind w:left="0" w:firstLineChars="200" w:firstLine="480"/>
        <w:rPr>
          <w:rFonts w:ascii="Times New Roman" w:eastAsia="標楷體"/>
          <w:spacing w:val="0"/>
          <w:sz w:val="24"/>
          <w:szCs w:val="24"/>
        </w:rPr>
      </w:pPr>
      <w:r w:rsidRPr="005914CC">
        <w:rPr>
          <w:rFonts w:ascii="Times New Roman" w:eastAsia="標楷體" w:hint="eastAsia"/>
          <w:spacing w:val="0"/>
          <w:sz w:val="24"/>
          <w:szCs w:val="24"/>
        </w:rPr>
        <w:t xml:space="preserve">In terms of </w:t>
      </w:r>
      <w:r w:rsidR="00E322D7" w:rsidRPr="005914CC">
        <w:rPr>
          <w:rFonts w:ascii="Times New Roman" w:eastAsia="標楷體" w:hint="eastAsia"/>
          <w:spacing w:val="0"/>
          <w:sz w:val="24"/>
          <w:szCs w:val="24"/>
        </w:rPr>
        <w:t>monetary growth, the M2 annual growth rate averaged 3.6</w:t>
      </w:r>
      <w:r w:rsidR="005914CC" w:rsidRPr="005914CC">
        <w:rPr>
          <w:rFonts w:ascii="Times New Roman" w:eastAsia="標楷體"/>
          <w:spacing w:val="0"/>
          <w:sz w:val="24"/>
          <w:szCs w:val="24"/>
        </w:rPr>
        <w:t>2</w:t>
      </w:r>
      <w:r w:rsidR="00E322D7" w:rsidRPr="005914CC">
        <w:rPr>
          <w:rFonts w:ascii="Times New Roman" w:eastAsia="標楷體" w:hint="eastAsia"/>
          <w:spacing w:val="0"/>
          <w:sz w:val="24"/>
          <w:szCs w:val="24"/>
        </w:rPr>
        <w:t xml:space="preserve">% for the first </w:t>
      </w:r>
      <w:r w:rsidR="005914CC" w:rsidRPr="005914CC">
        <w:rPr>
          <w:rFonts w:ascii="Times New Roman" w:eastAsia="標楷體"/>
          <w:spacing w:val="0"/>
          <w:sz w:val="24"/>
          <w:szCs w:val="24"/>
        </w:rPr>
        <w:t>five</w:t>
      </w:r>
      <w:r w:rsidR="00E322D7" w:rsidRPr="005914CC">
        <w:rPr>
          <w:rFonts w:ascii="Times New Roman" w:eastAsia="標楷體" w:hint="eastAsia"/>
          <w:spacing w:val="0"/>
          <w:sz w:val="24"/>
          <w:szCs w:val="24"/>
        </w:rPr>
        <w:t xml:space="preserve"> months of the year, within the Bank</w:t>
      </w:r>
      <w:r w:rsidR="00E322D7" w:rsidRPr="005914CC">
        <w:rPr>
          <w:rFonts w:ascii="Times New Roman" w:eastAsia="標楷體"/>
          <w:spacing w:val="0"/>
          <w:sz w:val="24"/>
          <w:szCs w:val="24"/>
        </w:rPr>
        <w:t>’</w:t>
      </w:r>
      <w:r w:rsidR="00E322D7" w:rsidRPr="005914CC">
        <w:rPr>
          <w:rFonts w:ascii="Times New Roman" w:eastAsia="標楷體" w:hint="eastAsia"/>
          <w:spacing w:val="0"/>
          <w:sz w:val="24"/>
          <w:szCs w:val="24"/>
        </w:rPr>
        <w:t>s target range.</w:t>
      </w:r>
      <w:r w:rsidR="00E322D7" w:rsidRPr="003107C8">
        <w:rPr>
          <w:rFonts w:ascii="Times New Roman" w:eastAsia="標楷體" w:hint="eastAsia"/>
          <w:spacing w:val="0"/>
          <w:sz w:val="24"/>
          <w:szCs w:val="24"/>
        </w:rPr>
        <w:t xml:space="preserve"> </w:t>
      </w:r>
      <w:r w:rsidR="009B5538" w:rsidRPr="003107C8">
        <w:rPr>
          <w:rFonts w:ascii="Times New Roman" w:eastAsia="標楷體" w:hint="eastAsia"/>
          <w:spacing w:val="0"/>
          <w:sz w:val="24"/>
          <w:szCs w:val="24"/>
        </w:rPr>
        <w:t>In regard</w:t>
      </w:r>
      <w:r w:rsidR="003107C8" w:rsidRPr="003107C8">
        <w:rPr>
          <w:rFonts w:ascii="Times New Roman" w:eastAsia="標楷體" w:hint="eastAsia"/>
          <w:spacing w:val="0"/>
          <w:sz w:val="24"/>
          <w:szCs w:val="24"/>
        </w:rPr>
        <w:t xml:space="preserve"> to bank credit</w:t>
      </w:r>
      <w:r w:rsidR="003107C8" w:rsidRPr="003107C8">
        <w:rPr>
          <w:rFonts w:ascii="Times New Roman" w:eastAsia="標楷體"/>
          <w:spacing w:val="0"/>
          <w:sz w:val="24"/>
          <w:szCs w:val="24"/>
        </w:rPr>
        <w:t xml:space="preserve">, </w:t>
      </w:r>
      <w:r w:rsidR="00455A9C" w:rsidRPr="003107C8">
        <w:rPr>
          <w:rFonts w:ascii="Times New Roman" w:eastAsia="標楷體" w:hint="eastAsia"/>
          <w:spacing w:val="0"/>
          <w:sz w:val="24"/>
          <w:szCs w:val="24"/>
        </w:rPr>
        <w:t xml:space="preserve">bank </w:t>
      </w:r>
      <w:r w:rsidR="00C43DB5" w:rsidRPr="003107C8">
        <w:rPr>
          <w:rFonts w:ascii="Times New Roman" w:eastAsia="標楷體" w:hint="eastAsia"/>
          <w:spacing w:val="0"/>
          <w:sz w:val="24"/>
          <w:szCs w:val="24"/>
        </w:rPr>
        <w:t>lending</w:t>
      </w:r>
      <w:r w:rsidR="00E322D7" w:rsidRPr="003107C8">
        <w:rPr>
          <w:rFonts w:ascii="Times New Roman" w:eastAsia="標楷體" w:hint="eastAsia"/>
          <w:spacing w:val="0"/>
          <w:sz w:val="24"/>
          <w:szCs w:val="24"/>
        </w:rPr>
        <w:t xml:space="preserve"> to the private sector grew steadily</w:t>
      </w:r>
      <w:r w:rsidR="0026616B">
        <w:rPr>
          <w:rFonts w:ascii="Times New Roman" w:eastAsia="標楷體" w:hint="eastAsia"/>
          <w:spacing w:val="0"/>
          <w:sz w:val="24"/>
          <w:szCs w:val="24"/>
        </w:rPr>
        <w:t xml:space="preserve"> amid continued </w:t>
      </w:r>
      <w:r w:rsidR="0026616B">
        <w:rPr>
          <w:rFonts w:ascii="Times New Roman" w:eastAsia="標楷體"/>
          <w:spacing w:val="0"/>
          <w:sz w:val="24"/>
          <w:szCs w:val="24"/>
        </w:rPr>
        <w:t>economic</w:t>
      </w:r>
      <w:r w:rsidR="0026616B">
        <w:rPr>
          <w:rFonts w:ascii="Times New Roman" w:eastAsia="標楷體" w:hint="eastAsia"/>
          <w:spacing w:val="0"/>
          <w:sz w:val="24"/>
          <w:szCs w:val="24"/>
        </w:rPr>
        <w:t xml:space="preserve"> expansion at home</w:t>
      </w:r>
      <w:r w:rsidR="00652DAF">
        <w:rPr>
          <w:rFonts w:ascii="Times New Roman" w:eastAsia="標楷體" w:hint="eastAsia"/>
          <w:spacing w:val="0"/>
          <w:sz w:val="24"/>
          <w:szCs w:val="24"/>
        </w:rPr>
        <w:t>. B</w:t>
      </w:r>
      <w:r w:rsidR="003107C8" w:rsidRPr="003107C8">
        <w:rPr>
          <w:rFonts w:ascii="Times New Roman" w:eastAsia="標楷體"/>
          <w:spacing w:val="0"/>
          <w:sz w:val="24"/>
          <w:szCs w:val="24"/>
        </w:rPr>
        <w:t>ank loans and investment</w:t>
      </w:r>
      <w:r w:rsidR="003107C8">
        <w:rPr>
          <w:rFonts w:ascii="Times New Roman" w:eastAsia="標楷體"/>
          <w:spacing w:val="0"/>
          <w:sz w:val="24"/>
          <w:szCs w:val="24"/>
        </w:rPr>
        <w:t>s</w:t>
      </w:r>
      <w:r w:rsidR="003107C8" w:rsidRPr="003107C8">
        <w:rPr>
          <w:rFonts w:ascii="Times New Roman" w:eastAsia="標楷體"/>
          <w:spacing w:val="0"/>
          <w:sz w:val="24"/>
          <w:szCs w:val="24"/>
        </w:rPr>
        <w:t xml:space="preserve"> </w:t>
      </w:r>
      <w:r w:rsidR="003107C8">
        <w:rPr>
          <w:rFonts w:ascii="Times New Roman" w:eastAsia="標楷體"/>
          <w:spacing w:val="0"/>
          <w:sz w:val="24"/>
          <w:szCs w:val="24"/>
        </w:rPr>
        <w:t>posted an average annual growth rate of</w:t>
      </w:r>
      <w:r w:rsidR="003107C8" w:rsidRPr="003107C8">
        <w:rPr>
          <w:rFonts w:ascii="Times New Roman" w:eastAsia="標楷體"/>
          <w:spacing w:val="0"/>
          <w:sz w:val="24"/>
          <w:szCs w:val="24"/>
        </w:rPr>
        <w:t xml:space="preserve"> 4.93% </w:t>
      </w:r>
      <w:r w:rsidR="00652DAF">
        <w:rPr>
          <w:rFonts w:ascii="Times New Roman" w:eastAsia="標楷體"/>
          <w:spacing w:val="0"/>
          <w:sz w:val="24"/>
          <w:szCs w:val="24"/>
        </w:rPr>
        <w:t>in the January-May period, which indicate</w:t>
      </w:r>
      <w:r w:rsidR="00652DAF">
        <w:rPr>
          <w:rFonts w:ascii="Times New Roman" w:eastAsia="標楷體" w:hint="eastAsia"/>
          <w:spacing w:val="0"/>
          <w:sz w:val="24"/>
          <w:szCs w:val="24"/>
        </w:rPr>
        <w:t xml:space="preserve">d </w:t>
      </w:r>
      <w:r w:rsidR="00BF5375">
        <w:rPr>
          <w:rFonts w:ascii="Times New Roman" w:eastAsia="標楷體" w:hint="eastAsia"/>
          <w:spacing w:val="0"/>
          <w:sz w:val="24"/>
          <w:szCs w:val="24"/>
        </w:rPr>
        <w:t>ample supply of credit</w:t>
      </w:r>
      <w:r w:rsidR="00652DAF">
        <w:rPr>
          <w:rFonts w:ascii="Times New Roman" w:eastAsia="標楷體" w:hint="eastAsia"/>
          <w:spacing w:val="0"/>
          <w:sz w:val="24"/>
          <w:szCs w:val="24"/>
        </w:rPr>
        <w:t>. In recent months, markets rates held steady, domestic stock market swung high, and the NT doll</w:t>
      </w:r>
      <w:r w:rsidR="004C2A35">
        <w:rPr>
          <w:rFonts w:ascii="Times New Roman" w:eastAsia="標楷體" w:hint="eastAsia"/>
          <w:spacing w:val="0"/>
          <w:sz w:val="24"/>
          <w:szCs w:val="24"/>
        </w:rPr>
        <w:t xml:space="preserve">ar real effective exchange rate went lower. Overall financial conditions were still easy. </w:t>
      </w:r>
    </w:p>
    <w:p w:rsidR="004133BD" w:rsidRPr="00E6058A" w:rsidRDefault="004C2A35" w:rsidP="002F3748">
      <w:pPr>
        <w:pStyle w:val="6"/>
        <w:overflowPunct w:val="0"/>
        <w:snapToGrid w:val="0"/>
        <w:spacing w:after="0" w:line="440" w:lineRule="exact"/>
        <w:ind w:left="0" w:firstLineChars="200" w:firstLine="480"/>
        <w:rPr>
          <w:rFonts w:ascii="Times New Roman" w:eastAsia="標楷體"/>
          <w:strike/>
          <w:spacing w:val="0"/>
          <w:sz w:val="24"/>
          <w:szCs w:val="24"/>
        </w:rPr>
      </w:pPr>
      <w:r>
        <w:rPr>
          <w:rFonts w:ascii="Times New Roman" w:eastAsia="標楷體" w:hint="eastAsia"/>
          <w:spacing w:val="0"/>
          <w:sz w:val="24"/>
          <w:szCs w:val="24"/>
        </w:rPr>
        <w:t xml:space="preserve">Looking ahead, </w:t>
      </w:r>
      <w:r w:rsidR="009173D8">
        <w:rPr>
          <w:rFonts w:ascii="Times New Roman" w:eastAsia="標楷體" w:hint="eastAsia"/>
          <w:spacing w:val="0"/>
          <w:sz w:val="24"/>
          <w:szCs w:val="24"/>
        </w:rPr>
        <w:t xml:space="preserve">rapid cross-border capital flows </w:t>
      </w:r>
      <w:r w:rsidR="001031E0">
        <w:rPr>
          <w:rFonts w:ascii="Times New Roman" w:eastAsia="標楷體" w:hint="eastAsia"/>
          <w:spacing w:val="0"/>
          <w:sz w:val="24"/>
          <w:szCs w:val="24"/>
        </w:rPr>
        <w:t>induced by</w:t>
      </w:r>
      <w:r w:rsidR="009173D8">
        <w:rPr>
          <w:rFonts w:ascii="Times New Roman" w:eastAsia="標楷體" w:hint="eastAsia"/>
          <w:spacing w:val="0"/>
          <w:sz w:val="24"/>
          <w:szCs w:val="24"/>
        </w:rPr>
        <w:t xml:space="preserve"> continued US monetary policy normalization and trade conflicts among major economies </w:t>
      </w:r>
      <w:r w:rsidR="00486D32">
        <w:rPr>
          <w:rFonts w:ascii="Times New Roman" w:eastAsia="標楷體" w:hint="eastAsia"/>
          <w:spacing w:val="0"/>
          <w:sz w:val="24"/>
          <w:szCs w:val="24"/>
        </w:rPr>
        <w:t>will</w:t>
      </w:r>
      <w:r w:rsidR="009173D8">
        <w:rPr>
          <w:rFonts w:ascii="Times New Roman" w:eastAsia="標楷體" w:hint="eastAsia"/>
          <w:spacing w:val="0"/>
          <w:sz w:val="24"/>
          <w:szCs w:val="24"/>
        </w:rPr>
        <w:t xml:space="preserve"> play a key role in dictating Taiwan</w:t>
      </w:r>
      <w:r w:rsidR="009173D8">
        <w:rPr>
          <w:rFonts w:ascii="Times New Roman" w:eastAsia="標楷體"/>
          <w:spacing w:val="0"/>
          <w:sz w:val="24"/>
          <w:szCs w:val="24"/>
        </w:rPr>
        <w:t>’</w:t>
      </w:r>
      <w:r w:rsidR="009173D8">
        <w:rPr>
          <w:rFonts w:ascii="Times New Roman" w:eastAsia="標楷體" w:hint="eastAsia"/>
          <w:spacing w:val="0"/>
          <w:sz w:val="24"/>
          <w:szCs w:val="24"/>
        </w:rPr>
        <w:t xml:space="preserve">s monetary growth trend. </w:t>
      </w:r>
      <w:r w:rsidR="00486D32">
        <w:rPr>
          <w:rFonts w:ascii="Times New Roman" w:eastAsia="標楷體" w:hint="eastAsia"/>
          <w:spacing w:val="0"/>
          <w:sz w:val="24"/>
          <w:szCs w:val="24"/>
        </w:rPr>
        <w:t>Meanwhile,</w:t>
      </w:r>
      <w:r w:rsidR="002F3748">
        <w:rPr>
          <w:rFonts w:ascii="Times New Roman" w:eastAsia="標楷體" w:hint="eastAsia"/>
          <w:spacing w:val="0"/>
          <w:sz w:val="24"/>
          <w:szCs w:val="24"/>
        </w:rPr>
        <w:t xml:space="preserve"> bank loans and investments will likely increase steadily </w:t>
      </w:r>
      <w:r w:rsidR="00486D32">
        <w:rPr>
          <w:rFonts w:ascii="Times New Roman" w:eastAsia="標楷體" w:hint="eastAsia"/>
          <w:spacing w:val="0"/>
          <w:sz w:val="24"/>
          <w:szCs w:val="24"/>
        </w:rPr>
        <w:t xml:space="preserve">as funding needs stay bolstered by </w:t>
      </w:r>
      <w:r w:rsidR="002F3748">
        <w:rPr>
          <w:rFonts w:ascii="Times New Roman" w:eastAsia="標楷體" w:hint="eastAsia"/>
          <w:spacing w:val="0"/>
          <w:sz w:val="24"/>
          <w:szCs w:val="24"/>
        </w:rPr>
        <w:t xml:space="preserve">sustained economic growth. </w:t>
      </w:r>
    </w:p>
    <w:p w:rsidR="00750B45" w:rsidRPr="00506662" w:rsidRDefault="00D46F1E"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 xml:space="preserve">(3) Price Trends </w:t>
      </w:r>
    </w:p>
    <w:p w:rsidR="00E6058A" w:rsidRDefault="002F3748" w:rsidP="00AE544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Since April, international oil prices trended up to hit the highest level in more than three years but then slipped back to swing</w:t>
      </w:r>
      <w:r w:rsidR="00BF5375">
        <w:rPr>
          <w:rFonts w:ascii="Times New Roman" w:eastAsia="標楷體" w:hint="eastAsia"/>
          <w:spacing w:val="0"/>
          <w:sz w:val="24"/>
          <w:szCs w:val="24"/>
        </w:rPr>
        <w:t xml:space="preserve"> within a narrow range</w:t>
      </w:r>
      <w:r>
        <w:rPr>
          <w:rFonts w:ascii="Times New Roman" w:eastAsia="標楷體" w:hint="eastAsia"/>
          <w:spacing w:val="0"/>
          <w:sz w:val="24"/>
          <w:szCs w:val="24"/>
        </w:rPr>
        <w:t xml:space="preserve"> as Saudi Arabia and Russia mulled over </w:t>
      </w:r>
      <w:r w:rsidR="007168C8">
        <w:rPr>
          <w:rFonts w:ascii="Times New Roman" w:eastAsia="標楷體" w:hint="eastAsia"/>
          <w:spacing w:val="0"/>
          <w:sz w:val="24"/>
          <w:szCs w:val="24"/>
        </w:rPr>
        <w:t>increasing oil production and the US oil s</w:t>
      </w:r>
      <w:r w:rsidR="00D77B29">
        <w:rPr>
          <w:rFonts w:ascii="Times New Roman" w:eastAsia="標楷體" w:hint="eastAsia"/>
          <w:spacing w:val="0"/>
          <w:sz w:val="24"/>
          <w:szCs w:val="24"/>
        </w:rPr>
        <w:t xml:space="preserve">upply rose further. </w:t>
      </w:r>
      <w:r w:rsidR="00EF2D6E">
        <w:rPr>
          <w:rFonts w:ascii="Times New Roman" w:eastAsia="標楷體" w:hint="eastAsia"/>
          <w:spacing w:val="0"/>
          <w:sz w:val="24"/>
          <w:szCs w:val="24"/>
        </w:rPr>
        <w:t>International institutions revised up their oil price projections, which would exceed those of last year.</w:t>
      </w:r>
      <w:r w:rsidR="00933066">
        <w:rPr>
          <w:rFonts w:ascii="Times New Roman" w:eastAsia="標楷體" w:hint="eastAsia"/>
          <w:spacing w:val="0"/>
          <w:sz w:val="24"/>
          <w:szCs w:val="24"/>
        </w:rPr>
        <w:t xml:space="preserve"> International grain futures prices in recent months fell lower after</w:t>
      </w:r>
      <w:r w:rsidR="00FE1BE0">
        <w:rPr>
          <w:rFonts w:ascii="Times New Roman" w:eastAsia="標楷體" w:hint="eastAsia"/>
          <w:spacing w:val="0"/>
          <w:sz w:val="24"/>
          <w:szCs w:val="24"/>
        </w:rPr>
        <w:t xml:space="preserve"> ticking up, largely tracking the changes in expected crop yields. </w:t>
      </w:r>
    </w:p>
    <w:p w:rsidR="009956C7" w:rsidRPr="00E6058A" w:rsidRDefault="00FE1BE0" w:rsidP="00140B74">
      <w:pPr>
        <w:pStyle w:val="6"/>
        <w:overflowPunct w:val="0"/>
        <w:snapToGrid w:val="0"/>
        <w:spacing w:after="0" w:line="440" w:lineRule="exact"/>
        <w:ind w:left="0" w:firstLineChars="200" w:firstLine="480"/>
        <w:rPr>
          <w:rFonts w:ascii="Times New Roman" w:eastAsia="標楷體"/>
          <w:strike/>
          <w:spacing w:val="0"/>
          <w:sz w:val="24"/>
          <w:szCs w:val="24"/>
        </w:rPr>
      </w:pPr>
      <w:r w:rsidRPr="00FE1BE0">
        <w:rPr>
          <w:rFonts w:ascii="Times New Roman" w:eastAsia="標楷體" w:hint="eastAsia"/>
          <w:spacing w:val="0"/>
          <w:sz w:val="24"/>
          <w:szCs w:val="24"/>
        </w:rPr>
        <w:lastRenderedPageBreak/>
        <w:t>In terms of d</w:t>
      </w:r>
      <w:r w:rsidR="00042F01" w:rsidRPr="00FE1BE0">
        <w:rPr>
          <w:rFonts w:ascii="Times New Roman" w:eastAsia="標楷體" w:hint="eastAsia"/>
          <w:spacing w:val="0"/>
          <w:sz w:val="24"/>
          <w:szCs w:val="24"/>
        </w:rPr>
        <w:t xml:space="preserve">omestic </w:t>
      </w:r>
      <w:r w:rsidR="009956C7" w:rsidRPr="00FE1BE0">
        <w:rPr>
          <w:rFonts w:ascii="Times New Roman" w:eastAsia="標楷體" w:hint="eastAsia"/>
          <w:spacing w:val="0"/>
          <w:sz w:val="24"/>
          <w:szCs w:val="24"/>
        </w:rPr>
        <w:t>prices</w:t>
      </w:r>
      <w:r w:rsidR="00140B74">
        <w:rPr>
          <w:rFonts w:ascii="Times New Roman" w:eastAsia="標楷體" w:hint="eastAsia"/>
          <w:spacing w:val="0"/>
          <w:sz w:val="24"/>
          <w:szCs w:val="24"/>
        </w:rPr>
        <w:t>, vegetable and cigarette prices</w:t>
      </w:r>
      <w:r w:rsidR="00C74751">
        <w:rPr>
          <w:rFonts w:ascii="Times New Roman" w:eastAsia="標楷體" w:hint="eastAsia"/>
          <w:spacing w:val="0"/>
          <w:sz w:val="24"/>
          <w:szCs w:val="24"/>
        </w:rPr>
        <w:t xml:space="preserve"> hiked, and import prices were pushed up by</w:t>
      </w:r>
      <w:r w:rsidR="00140B74">
        <w:rPr>
          <w:rFonts w:ascii="Times New Roman" w:eastAsia="標楷體" w:hint="eastAsia"/>
          <w:spacing w:val="0"/>
          <w:sz w:val="24"/>
          <w:szCs w:val="24"/>
        </w:rPr>
        <w:t xml:space="preserve"> higher-than-expected global oil price rises. However, year-on-year NT dollar appreciation </w:t>
      </w:r>
      <w:r w:rsidR="00140B74">
        <w:rPr>
          <w:rFonts w:ascii="Times New Roman" w:eastAsia="標楷體"/>
          <w:spacing w:val="0"/>
          <w:sz w:val="24"/>
          <w:szCs w:val="24"/>
        </w:rPr>
        <w:t>vis-à-vis</w:t>
      </w:r>
      <w:r w:rsidR="00140B74">
        <w:rPr>
          <w:rFonts w:ascii="Times New Roman" w:eastAsia="標楷體" w:hint="eastAsia"/>
          <w:spacing w:val="0"/>
          <w:sz w:val="24"/>
          <w:szCs w:val="24"/>
        </w:rPr>
        <w:t xml:space="preserve"> the USD helped ease imported inflation</w:t>
      </w:r>
      <w:r w:rsidR="00140B74" w:rsidRPr="00140B74">
        <w:rPr>
          <w:rFonts w:ascii="Times New Roman" w:eastAsia="標楷體" w:hint="eastAsia"/>
          <w:spacing w:val="0"/>
          <w:sz w:val="24"/>
          <w:szCs w:val="24"/>
        </w:rPr>
        <w:t xml:space="preserve">ary pressures. </w:t>
      </w:r>
      <w:r w:rsidR="002A15EC" w:rsidRPr="00140B74">
        <w:rPr>
          <w:rFonts w:ascii="Times New Roman" w:eastAsia="標楷體" w:hint="eastAsia"/>
          <w:spacing w:val="0"/>
          <w:sz w:val="24"/>
          <w:szCs w:val="24"/>
        </w:rPr>
        <w:t xml:space="preserve">For the first </w:t>
      </w:r>
      <w:r w:rsidR="00140B74" w:rsidRPr="00140B74">
        <w:rPr>
          <w:rFonts w:ascii="Times New Roman" w:eastAsia="標楷體" w:hint="eastAsia"/>
          <w:spacing w:val="0"/>
          <w:sz w:val="24"/>
          <w:szCs w:val="24"/>
        </w:rPr>
        <w:t>five</w:t>
      </w:r>
      <w:r w:rsidR="002A15EC" w:rsidRPr="00140B74">
        <w:rPr>
          <w:rFonts w:ascii="Times New Roman" w:eastAsia="標楷體" w:hint="eastAsia"/>
          <w:spacing w:val="0"/>
          <w:sz w:val="24"/>
          <w:szCs w:val="24"/>
        </w:rPr>
        <w:t xml:space="preserve"> months of the year, Taiwan</w:t>
      </w:r>
      <w:r w:rsidR="002A15EC" w:rsidRPr="00140B74">
        <w:rPr>
          <w:rFonts w:ascii="Times New Roman" w:eastAsia="標楷體"/>
          <w:spacing w:val="0"/>
          <w:sz w:val="24"/>
          <w:szCs w:val="24"/>
        </w:rPr>
        <w:t>’</w:t>
      </w:r>
      <w:r w:rsidR="002A15EC" w:rsidRPr="00140B74">
        <w:rPr>
          <w:rFonts w:ascii="Times New Roman" w:eastAsia="標楷體" w:hint="eastAsia"/>
          <w:spacing w:val="0"/>
          <w:sz w:val="24"/>
          <w:szCs w:val="24"/>
        </w:rPr>
        <w:t>s consumer price index (CPI) posted an average annual growth rate of 1.</w:t>
      </w:r>
      <w:r w:rsidR="00140B74" w:rsidRPr="00140B74">
        <w:rPr>
          <w:rFonts w:ascii="Times New Roman" w:eastAsia="標楷體" w:hint="eastAsia"/>
          <w:spacing w:val="0"/>
          <w:sz w:val="24"/>
          <w:szCs w:val="24"/>
        </w:rPr>
        <w:t>66</w:t>
      </w:r>
      <w:r w:rsidR="002A15EC" w:rsidRPr="00140B74">
        <w:rPr>
          <w:rFonts w:ascii="Times New Roman" w:eastAsia="標楷體" w:hint="eastAsia"/>
          <w:spacing w:val="0"/>
          <w:sz w:val="24"/>
          <w:szCs w:val="24"/>
        </w:rPr>
        <w:t>%, while the core CPI (excluding vegetables, fruit, and energy) grew 1.</w:t>
      </w:r>
      <w:r w:rsidR="00140B74" w:rsidRPr="00140B74">
        <w:rPr>
          <w:rFonts w:ascii="Times New Roman" w:eastAsia="標楷體" w:hint="eastAsia"/>
          <w:spacing w:val="0"/>
          <w:sz w:val="24"/>
          <w:szCs w:val="24"/>
        </w:rPr>
        <w:t>40</w:t>
      </w:r>
      <w:r w:rsidR="002A15EC" w:rsidRPr="00140B74">
        <w:rPr>
          <w:rFonts w:ascii="Times New Roman" w:eastAsia="標楷體" w:hint="eastAsia"/>
          <w:spacing w:val="0"/>
          <w:sz w:val="24"/>
          <w:szCs w:val="24"/>
        </w:rPr>
        <w:t xml:space="preserve">%. </w:t>
      </w:r>
      <w:r w:rsidR="00140B74" w:rsidRPr="00140B74">
        <w:rPr>
          <w:rFonts w:ascii="Times New Roman" w:eastAsia="標楷體" w:hint="eastAsia"/>
          <w:spacing w:val="0"/>
          <w:sz w:val="24"/>
          <w:szCs w:val="24"/>
        </w:rPr>
        <w:t>I</w:t>
      </w:r>
      <w:r w:rsidR="002A15EC" w:rsidRPr="00140B74">
        <w:rPr>
          <w:rFonts w:ascii="Times New Roman" w:eastAsia="標楷體" w:hint="eastAsia"/>
          <w:spacing w:val="0"/>
          <w:sz w:val="24"/>
          <w:szCs w:val="24"/>
        </w:rPr>
        <w:t xml:space="preserve">nflation </w:t>
      </w:r>
      <w:r w:rsidR="00140B74" w:rsidRPr="00140B74">
        <w:rPr>
          <w:rFonts w:ascii="Times New Roman" w:eastAsia="標楷體" w:hint="eastAsia"/>
          <w:spacing w:val="0"/>
          <w:sz w:val="24"/>
          <w:szCs w:val="24"/>
        </w:rPr>
        <w:t xml:space="preserve">remained </w:t>
      </w:r>
      <w:r w:rsidR="002A15EC" w:rsidRPr="00140B74">
        <w:rPr>
          <w:rFonts w:ascii="Times New Roman" w:eastAsia="標楷體" w:hint="eastAsia"/>
          <w:spacing w:val="0"/>
          <w:sz w:val="24"/>
          <w:szCs w:val="24"/>
        </w:rPr>
        <w:t xml:space="preserve">mild. </w:t>
      </w:r>
    </w:p>
    <w:p w:rsidR="006544DD" w:rsidRPr="0059341F" w:rsidRDefault="006544DD" w:rsidP="00F3726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Inflation outlook for the second half of the year ind</w:t>
      </w:r>
      <w:r w:rsidR="00F37266">
        <w:rPr>
          <w:rFonts w:ascii="Times New Roman" w:eastAsia="標楷體" w:hint="eastAsia"/>
          <w:spacing w:val="0"/>
          <w:sz w:val="24"/>
          <w:szCs w:val="24"/>
        </w:rPr>
        <w:t>icates slower CPI annual growth, reflecting cuts in mobile communication charges and the waning of the deferred effect from last year</w:t>
      </w:r>
      <w:r w:rsidR="00F37266">
        <w:rPr>
          <w:rFonts w:ascii="Times New Roman" w:eastAsia="標楷體"/>
          <w:spacing w:val="0"/>
          <w:sz w:val="24"/>
          <w:szCs w:val="24"/>
        </w:rPr>
        <w:t>’</w:t>
      </w:r>
      <w:r w:rsidR="00F37266">
        <w:rPr>
          <w:rFonts w:ascii="Times New Roman" w:eastAsia="標楷體" w:hint="eastAsia"/>
          <w:spacing w:val="0"/>
          <w:sz w:val="24"/>
          <w:szCs w:val="24"/>
        </w:rPr>
        <w:t xml:space="preserve">s cigarette tax hike. </w:t>
      </w:r>
      <w:r w:rsidR="002E3408">
        <w:rPr>
          <w:rFonts w:ascii="Times New Roman" w:eastAsia="標楷體" w:hint="eastAsia"/>
          <w:spacing w:val="0"/>
          <w:sz w:val="24"/>
          <w:szCs w:val="24"/>
        </w:rPr>
        <w:t xml:space="preserve">As a key indicator of future inflation, </w:t>
      </w:r>
      <w:r w:rsidR="009E2B22">
        <w:rPr>
          <w:rFonts w:ascii="Times New Roman" w:eastAsia="標楷體" w:hint="eastAsia"/>
          <w:spacing w:val="0"/>
          <w:sz w:val="24"/>
          <w:szCs w:val="24"/>
        </w:rPr>
        <w:t>the</w:t>
      </w:r>
      <w:r w:rsidR="002E3408">
        <w:rPr>
          <w:rFonts w:ascii="Times New Roman" w:eastAsia="標楷體" w:hint="eastAsia"/>
          <w:spacing w:val="0"/>
          <w:sz w:val="24"/>
          <w:szCs w:val="24"/>
        </w:rPr>
        <w:t xml:space="preserve"> still negative output gap this year, albeit narrower on the back of steady domestic demand growth, suggests </w:t>
      </w:r>
      <w:r w:rsidR="002E3408" w:rsidRPr="002E3408">
        <w:rPr>
          <w:rFonts w:ascii="Times New Roman" w:eastAsia="標楷體" w:hint="eastAsia"/>
          <w:spacing w:val="0"/>
          <w:sz w:val="24"/>
          <w:szCs w:val="24"/>
        </w:rPr>
        <w:t>inflationary pressure</w:t>
      </w:r>
      <w:r w:rsidR="002E3408">
        <w:rPr>
          <w:rFonts w:ascii="Times New Roman" w:eastAsia="標楷體" w:hint="eastAsia"/>
          <w:spacing w:val="0"/>
          <w:sz w:val="24"/>
          <w:szCs w:val="24"/>
        </w:rPr>
        <w:t xml:space="preserve">s will be moderate. The </w:t>
      </w:r>
      <w:r w:rsidR="002E3408" w:rsidRPr="0059341F">
        <w:rPr>
          <w:rFonts w:ascii="Times New Roman" w:eastAsia="標楷體" w:hint="eastAsia"/>
          <w:spacing w:val="-2"/>
          <w:sz w:val="24"/>
          <w:szCs w:val="24"/>
        </w:rPr>
        <w:t>median of domestic institutions</w:t>
      </w:r>
      <w:r w:rsidR="002E3408" w:rsidRPr="0059341F">
        <w:rPr>
          <w:rFonts w:ascii="Times New Roman" w:eastAsia="標楷體"/>
          <w:spacing w:val="-2"/>
          <w:sz w:val="24"/>
          <w:szCs w:val="24"/>
        </w:rPr>
        <w:t>’</w:t>
      </w:r>
      <w:r w:rsidR="002E3408" w:rsidRPr="0059341F">
        <w:rPr>
          <w:rFonts w:ascii="Times New Roman" w:eastAsia="標楷體" w:hint="eastAsia"/>
          <w:spacing w:val="-2"/>
          <w:sz w:val="24"/>
          <w:szCs w:val="24"/>
        </w:rPr>
        <w:t xml:space="preserve"> CPI forecasts is 1.40% and that of international institutions</w:t>
      </w:r>
      <w:r w:rsidR="002E3408" w:rsidRPr="0059341F">
        <w:rPr>
          <w:rFonts w:ascii="Times New Roman" w:eastAsia="標楷體"/>
          <w:spacing w:val="-2"/>
          <w:sz w:val="24"/>
          <w:szCs w:val="24"/>
        </w:rPr>
        <w:t>’</w:t>
      </w:r>
      <w:r w:rsidR="002E3408" w:rsidRPr="0059341F">
        <w:rPr>
          <w:rFonts w:ascii="Times New Roman" w:eastAsia="標楷體" w:hint="eastAsia"/>
          <w:spacing w:val="-2"/>
          <w:sz w:val="24"/>
          <w:szCs w:val="24"/>
        </w:rPr>
        <w:t xml:space="preserve"> forecasts is 1.50%.</w:t>
      </w:r>
      <w:r w:rsidR="002E3408" w:rsidRPr="0059341F">
        <w:rPr>
          <w:rFonts w:ascii="Times New Roman" w:eastAsia="標楷體" w:hint="eastAsia"/>
          <w:b/>
          <w:spacing w:val="-2"/>
          <w:sz w:val="24"/>
          <w:szCs w:val="24"/>
        </w:rPr>
        <w:t xml:space="preserve"> </w:t>
      </w:r>
      <w:r w:rsidR="0059341F" w:rsidRPr="0059341F">
        <w:rPr>
          <w:rFonts w:ascii="Times New Roman" w:eastAsia="標楷體"/>
          <w:spacing w:val="-2"/>
          <w:sz w:val="24"/>
          <w:szCs w:val="24"/>
        </w:rPr>
        <w:t>Taking into account of international oil price increases,</w:t>
      </w:r>
      <w:r w:rsidR="0059341F" w:rsidRPr="00706207">
        <w:rPr>
          <w:rFonts w:ascii="Times New Roman" w:eastAsia="標楷體"/>
          <w:b/>
          <w:spacing w:val="-2"/>
          <w:sz w:val="24"/>
          <w:szCs w:val="24"/>
        </w:rPr>
        <w:t xml:space="preserve"> the </w:t>
      </w:r>
      <w:r w:rsidR="0059341F" w:rsidRPr="00706207">
        <w:rPr>
          <w:rFonts w:ascii="Times New Roman" w:eastAsia="標楷體" w:hint="eastAsia"/>
          <w:b/>
          <w:spacing w:val="-2"/>
          <w:sz w:val="24"/>
          <w:szCs w:val="24"/>
        </w:rPr>
        <w:t>Bank</w:t>
      </w:r>
      <w:r w:rsidR="0059341F" w:rsidRPr="00706207">
        <w:rPr>
          <w:rFonts w:ascii="Times New Roman" w:eastAsia="標楷體"/>
          <w:b/>
          <w:spacing w:val="-2"/>
          <w:sz w:val="24"/>
          <w:szCs w:val="24"/>
        </w:rPr>
        <w:t xml:space="preserve"> revise</w:t>
      </w:r>
      <w:r w:rsidR="009E2B22">
        <w:rPr>
          <w:rFonts w:ascii="Times New Roman" w:eastAsia="標楷體" w:hint="eastAsia"/>
          <w:b/>
          <w:spacing w:val="-2"/>
          <w:sz w:val="24"/>
          <w:szCs w:val="24"/>
        </w:rPr>
        <w:t>s</w:t>
      </w:r>
      <w:r w:rsidR="0059341F" w:rsidRPr="00706207">
        <w:rPr>
          <w:rFonts w:ascii="Times New Roman" w:eastAsia="標楷體"/>
          <w:b/>
          <w:spacing w:val="-2"/>
          <w:sz w:val="24"/>
          <w:szCs w:val="24"/>
        </w:rPr>
        <w:t xml:space="preserve"> up its forecast of CPI inflation to 1.40%</w:t>
      </w:r>
      <w:r w:rsidR="0059341F" w:rsidRPr="0059341F">
        <w:rPr>
          <w:rFonts w:ascii="Times New Roman" w:eastAsia="標楷體"/>
          <w:spacing w:val="-2"/>
          <w:sz w:val="24"/>
          <w:szCs w:val="24"/>
        </w:rPr>
        <w:t>, with a lower forecast</w:t>
      </w:r>
      <w:r w:rsidR="009E2B22">
        <w:rPr>
          <w:rFonts w:ascii="Times New Roman" w:eastAsia="標楷體" w:hint="eastAsia"/>
          <w:spacing w:val="-2"/>
          <w:sz w:val="24"/>
          <w:szCs w:val="24"/>
        </w:rPr>
        <w:t xml:space="preserve"> of</w:t>
      </w:r>
      <w:r w:rsidR="0059341F" w:rsidRPr="0059341F">
        <w:rPr>
          <w:rFonts w:ascii="Times New Roman" w:eastAsia="標楷體"/>
          <w:spacing w:val="-2"/>
          <w:sz w:val="24"/>
          <w:szCs w:val="24"/>
        </w:rPr>
        <w:t xml:space="preserve"> </w:t>
      </w:r>
      <w:r w:rsidR="0052095B">
        <w:rPr>
          <w:rFonts w:ascii="Times New Roman" w:eastAsia="標楷體" w:hint="eastAsia"/>
          <w:spacing w:val="-2"/>
          <w:sz w:val="24"/>
          <w:szCs w:val="24"/>
        </w:rPr>
        <w:t xml:space="preserve">about </w:t>
      </w:r>
      <w:r w:rsidR="0059341F" w:rsidRPr="0059341F">
        <w:rPr>
          <w:rFonts w:ascii="Times New Roman" w:eastAsia="標楷體"/>
          <w:spacing w:val="-2"/>
          <w:sz w:val="24"/>
          <w:szCs w:val="24"/>
        </w:rPr>
        <w:t>1.00% if the cigarette tax hike effect</w:t>
      </w:r>
      <w:r w:rsidR="009E2B22">
        <w:rPr>
          <w:rFonts w:ascii="Times New Roman" w:eastAsia="標楷體" w:hint="eastAsia"/>
          <w:spacing w:val="-2"/>
          <w:sz w:val="24"/>
          <w:szCs w:val="24"/>
        </w:rPr>
        <w:t xml:space="preserve"> is excluded</w:t>
      </w:r>
      <w:r w:rsidR="0059341F" w:rsidRPr="0059341F">
        <w:rPr>
          <w:rFonts w:ascii="Times New Roman" w:eastAsia="標楷體"/>
          <w:spacing w:val="-2"/>
          <w:sz w:val="24"/>
          <w:szCs w:val="24"/>
        </w:rPr>
        <w:t>.</w:t>
      </w:r>
      <w:r w:rsidR="0059341F" w:rsidRPr="00706207">
        <w:rPr>
          <w:rFonts w:ascii="Times New Roman" w:eastAsia="標楷體"/>
          <w:b/>
          <w:spacing w:val="-2"/>
          <w:sz w:val="24"/>
          <w:szCs w:val="24"/>
        </w:rPr>
        <w:t xml:space="preserve"> The core CPI forecast </w:t>
      </w:r>
      <w:r w:rsidR="009E2B22">
        <w:rPr>
          <w:rFonts w:ascii="Times New Roman" w:eastAsia="標楷體" w:hint="eastAsia"/>
          <w:b/>
          <w:spacing w:val="-2"/>
          <w:sz w:val="24"/>
          <w:szCs w:val="24"/>
        </w:rPr>
        <w:t>i</w:t>
      </w:r>
      <w:r w:rsidR="0059341F" w:rsidRPr="00706207">
        <w:rPr>
          <w:rFonts w:ascii="Times New Roman" w:eastAsia="標楷體"/>
          <w:b/>
          <w:spacing w:val="-2"/>
          <w:sz w:val="24"/>
          <w:szCs w:val="24"/>
        </w:rPr>
        <w:t xml:space="preserve">s revised down to 1.16% </w:t>
      </w:r>
      <w:r w:rsidR="0059341F" w:rsidRPr="0059341F">
        <w:rPr>
          <w:rFonts w:ascii="Times New Roman" w:eastAsia="標楷體"/>
          <w:spacing w:val="-2"/>
          <w:sz w:val="24"/>
          <w:szCs w:val="24"/>
        </w:rPr>
        <w:t xml:space="preserve">owing to reductions in telecommunication rates. </w:t>
      </w:r>
      <w:r w:rsidR="002E3408" w:rsidRPr="0059341F">
        <w:rPr>
          <w:rFonts w:ascii="Times New Roman" w:eastAsia="標楷體" w:hint="eastAsia"/>
          <w:spacing w:val="-2"/>
          <w:sz w:val="24"/>
          <w:szCs w:val="24"/>
        </w:rPr>
        <w:t>The inflation outlook remains mild.</w:t>
      </w:r>
    </w:p>
    <w:p w:rsidR="0058549D" w:rsidRPr="00F60BF9" w:rsidRDefault="0058549D" w:rsidP="00F60BF9">
      <w:pPr>
        <w:pStyle w:val="6"/>
        <w:overflowPunct w:val="0"/>
        <w:snapToGrid w:val="0"/>
        <w:spacing w:after="0" w:line="440" w:lineRule="exact"/>
        <w:ind w:left="0" w:firstLineChars="200" w:firstLine="480"/>
        <w:rPr>
          <w:rFonts w:ascii="Times New Roman" w:eastAsia="標楷體"/>
          <w:spacing w:val="0"/>
          <w:sz w:val="24"/>
          <w:szCs w:val="24"/>
        </w:rPr>
      </w:pPr>
      <w:r w:rsidRPr="003B0E4E">
        <w:rPr>
          <w:rFonts w:ascii="Times New Roman" w:eastAsia="標楷體" w:hint="eastAsia"/>
          <w:spacing w:val="0"/>
          <w:sz w:val="24"/>
          <w:szCs w:val="24"/>
        </w:rPr>
        <w:t xml:space="preserve">As for </w:t>
      </w:r>
      <w:r w:rsidR="009E2B22">
        <w:rPr>
          <w:rFonts w:ascii="Times New Roman" w:eastAsia="標楷體" w:hint="eastAsia"/>
          <w:spacing w:val="0"/>
          <w:sz w:val="24"/>
          <w:szCs w:val="24"/>
        </w:rPr>
        <w:t xml:space="preserve">the </w:t>
      </w:r>
      <w:r w:rsidR="003B0E4E" w:rsidRPr="003B0E4E">
        <w:rPr>
          <w:rFonts w:ascii="Times New Roman" w:eastAsia="標楷體" w:hint="eastAsia"/>
          <w:spacing w:val="0"/>
          <w:sz w:val="24"/>
          <w:szCs w:val="24"/>
        </w:rPr>
        <w:t>primary</w:t>
      </w:r>
      <w:r w:rsidRPr="003B0E4E">
        <w:rPr>
          <w:rFonts w:ascii="Times New Roman" w:eastAsia="標楷體" w:hint="eastAsia"/>
          <w:spacing w:val="0"/>
          <w:sz w:val="24"/>
          <w:szCs w:val="24"/>
        </w:rPr>
        <w:t xml:space="preserve"> factors behind this year</w:t>
      </w:r>
      <w:r w:rsidRPr="003B0E4E">
        <w:rPr>
          <w:rFonts w:ascii="Times New Roman" w:eastAsia="標楷體"/>
          <w:spacing w:val="0"/>
          <w:sz w:val="24"/>
          <w:szCs w:val="24"/>
        </w:rPr>
        <w:t>’</w:t>
      </w:r>
      <w:r w:rsidRPr="003B0E4E">
        <w:rPr>
          <w:rFonts w:ascii="Times New Roman" w:eastAsia="標楷體" w:hint="eastAsia"/>
          <w:spacing w:val="0"/>
          <w:sz w:val="24"/>
          <w:szCs w:val="24"/>
        </w:rPr>
        <w:t xml:space="preserve">s price trends, </w:t>
      </w:r>
      <w:r w:rsidR="003B0E4E" w:rsidRPr="003B0E4E">
        <w:rPr>
          <w:rFonts w:ascii="Times New Roman" w:eastAsia="標楷體" w:hint="eastAsia"/>
          <w:spacing w:val="0"/>
          <w:sz w:val="24"/>
          <w:szCs w:val="24"/>
        </w:rPr>
        <w:t xml:space="preserve">sources of </w:t>
      </w:r>
      <w:r w:rsidRPr="003B0E4E">
        <w:rPr>
          <w:rFonts w:ascii="Times New Roman" w:eastAsia="標楷體" w:hint="eastAsia"/>
          <w:spacing w:val="0"/>
          <w:sz w:val="24"/>
          <w:szCs w:val="24"/>
        </w:rPr>
        <w:t xml:space="preserve">upside pressures </w:t>
      </w:r>
      <w:r w:rsidR="003B0E4E" w:rsidRPr="003B0E4E">
        <w:rPr>
          <w:rFonts w:ascii="Times New Roman" w:eastAsia="標楷體" w:hint="eastAsia"/>
          <w:spacing w:val="0"/>
          <w:sz w:val="24"/>
          <w:szCs w:val="24"/>
        </w:rPr>
        <w:t xml:space="preserve">include </w:t>
      </w:r>
      <w:r w:rsidR="0069742E" w:rsidRPr="003B0E4E">
        <w:rPr>
          <w:rFonts w:ascii="Times New Roman" w:eastAsia="標楷體" w:hint="eastAsia"/>
          <w:spacing w:val="0"/>
          <w:sz w:val="24"/>
          <w:szCs w:val="24"/>
        </w:rPr>
        <w:t xml:space="preserve">(1) </w:t>
      </w:r>
      <w:r w:rsidR="003B0E4E" w:rsidRPr="003B0E4E">
        <w:rPr>
          <w:rFonts w:ascii="Times New Roman" w:eastAsia="標楷體" w:hint="eastAsia"/>
          <w:spacing w:val="0"/>
          <w:sz w:val="24"/>
          <w:szCs w:val="24"/>
        </w:rPr>
        <w:t>elevated international oil</w:t>
      </w:r>
      <w:r w:rsidR="003B0E4E">
        <w:rPr>
          <w:rFonts w:ascii="Times New Roman" w:eastAsia="標楷體" w:hint="eastAsia"/>
          <w:spacing w:val="0"/>
          <w:sz w:val="24"/>
          <w:szCs w:val="24"/>
        </w:rPr>
        <w:t xml:space="preserve"> price</w:t>
      </w:r>
      <w:r w:rsidR="003B0E4E" w:rsidRPr="003B0E4E">
        <w:rPr>
          <w:rFonts w:ascii="Times New Roman" w:eastAsia="標楷體" w:hint="eastAsia"/>
          <w:spacing w:val="0"/>
          <w:sz w:val="24"/>
          <w:szCs w:val="24"/>
        </w:rPr>
        <w:t xml:space="preserve">s </w:t>
      </w:r>
      <w:r w:rsidR="003B0E4E">
        <w:rPr>
          <w:rFonts w:ascii="Times New Roman" w:eastAsia="標楷體" w:hint="eastAsia"/>
          <w:spacing w:val="0"/>
          <w:sz w:val="24"/>
          <w:szCs w:val="24"/>
        </w:rPr>
        <w:t>owing to</w:t>
      </w:r>
      <w:r w:rsidR="003B0E4E" w:rsidRPr="003B0E4E">
        <w:rPr>
          <w:rFonts w:ascii="Times New Roman" w:eastAsia="標楷體" w:hint="eastAsia"/>
          <w:spacing w:val="0"/>
          <w:sz w:val="24"/>
          <w:szCs w:val="24"/>
        </w:rPr>
        <w:t xml:space="preserve"> geopolitical risks in the Middle East, (2) a lingering deferred effect from the cigarette tax hike through to the end of this year, albeit gradually waning in the latter half of the year</w:t>
      </w:r>
      <w:r w:rsidR="003B0E4E">
        <w:rPr>
          <w:rFonts w:ascii="Times New Roman" w:eastAsia="標楷體" w:hint="eastAsia"/>
          <w:spacing w:val="0"/>
          <w:sz w:val="24"/>
          <w:szCs w:val="24"/>
        </w:rPr>
        <w:t xml:space="preserve">, (3) higher inflation expectations, stoked by rises in oil, electricity, and fuel prices as well as price hikes for some daily necessities, and (4) </w:t>
      </w:r>
      <w:r w:rsidR="00F60BF9">
        <w:rPr>
          <w:rFonts w:ascii="Times New Roman" w:eastAsia="標楷體" w:hint="eastAsia"/>
          <w:spacing w:val="0"/>
          <w:sz w:val="24"/>
          <w:szCs w:val="24"/>
        </w:rPr>
        <w:t>faster wage growth</w:t>
      </w:r>
      <w:r w:rsidR="003B0E4E">
        <w:rPr>
          <w:rFonts w:ascii="Times New Roman" w:eastAsia="標楷體" w:hint="eastAsia"/>
          <w:spacing w:val="0"/>
          <w:sz w:val="24"/>
          <w:szCs w:val="24"/>
        </w:rPr>
        <w:t xml:space="preserve"> </w:t>
      </w:r>
      <w:r w:rsidR="00F60BF9">
        <w:rPr>
          <w:rFonts w:ascii="Times New Roman" w:eastAsia="標楷體" w:hint="eastAsia"/>
          <w:spacing w:val="0"/>
          <w:sz w:val="24"/>
          <w:szCs w:val="24"/>
        </w:rPr>
        <w:t xml:space="preserve">since the beginning of this year. </w:t>
      </w:r>
      <w:r w:rsidR="0001085A" w:rsidRPr="00F60BF9">
        <w:rPr>
          <w:rFonts w:ascii="Times New Roman" w:eastAsia="標楷體"/>
          <w:spacing w:val="0"/>
          <w:sz w:val="24"/>
          <w:szCs w:val="24"/>
        </w:rPr>
        <w:t>S</w:t>
      </w:r>
      <w:r w:rsidR="0001085A" w:rsidRPr="00F60BF9">
        <w:rPr>
          <w:rFonts w:ascii="Times New Roman" w:eastAsia="標楷體" w:hint="eastAsia"/>
          <w:spacing w:val="0"/>
          <w:sz w:val="24"/>
          <w:szCs w:val="24"/>
        </w:rPr>
        <w:t xml:space="preserve">ources of downside pressures include a continued downtrend of telecommunication rates and </w:t>
      </w:r>
      <w:r w:rsidR="00F60BF9">
        <w:rPr>
          <w:rFonts w:ascii="Times New Roman" w:eastAsia="標楷體" w:hint="eastAsia"/>
          <w:spacing w:val="0"/>
          <w:sz w:val="24"/>
          <w:szCs w:val="24"/>
        </w:rPr>
        <w:t xml:space="preserve">a still </w:t>
      </w:r>
      <w:r w:rsidR="006435B6" w:rsidRPr="00F60BF9">
        <w:rPr>
          <w:rFonts w:ascii="Times New Roman" w:eastAsia="標楷體" w:hint="eastAsia"/>
          <w:spacing w:val="0"/>
          <w:sz w:val="24"/>
          <w:szCs w:val="24"/>
        </w:rPr>
        <w:t xml:space="preserve">negative </w:t>
      </w:r>
      <w:r w:rsidR="0001085A" w:rsidRPr="00F60BF9">
        <w:rPr>
          <w:rFonts w:ascii="Times New Roman" w:eastAsia="標楷體" w:hint="eastAsia"/>
          <w:spacing w:val="0"/>
          <w:sz w:val="24"/>
          <w:szCs w:val="24"/>
        </w:rPr>
        <w:t xml:space="preserve">output gap. </w:t>
      </w:r>
    </w:p>
    <w:p w:rsidR="00D46F1E" w:rsidRPr="00EB057B"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EB057B">
        <w:rPr>
          <w:rFonts w:eastAsia="標楷體" w:hint="eastAsia"/>
          <w:b/>
          <w:spacing w:val="-2"/>
          <w:sz w:val="24"/>
          <w:szCs w:val="24"/>
        </w:rPr>
        <w:t>Considerations for Monetary Policy</w:t>
      </w:r>
    </w:p>
    <w:p w:rsidR="000E700C" w:rsidRDefault="00D46F1E" w:rsidP="00506662">
      <w:pPr>
        <w:adjustRightInd/>
        <w:spacing w:before="120" w:line="440" w:lineRule="exact"/>
        <w:ind w:left="363" w:hangingChars="154" w:hanging="363"/>
        <w:textAlignment w:val="auto"/>
        <w:rPr>
          <w:rFonts w:eastAsia="標楷體"/>
          <w:spacing w:val="-2"/>
          <w:kern w:val="2"/>
          <w:sz w:val="24"/>
          <w:szCs w:val="24"/>
        </w:rPr>
      </w:pPr>
      <w:r w:rsidRPr="00506662">
        <w:rPr>
          <w:rFonts w:eastAsia="標楷體" w:hint="eastAsia"/>
          <w:spacing w:val="-2"/>
          <w:kern w:val="2"/>
          <w:sz w:val="24"/>
          <w:szCs w:val="24"/>
        </w:rPr>
        <w:t xml:space="preserve">(1) </w:t>
      </w:r>
      <w:r w:rsidR="00D96112">
        <w:rPr>
          <w:rFonts w:eastAsia="標楷體" w:hint="eastAsia"/>
          <w:spacing w:val="-2"/>
          <w:kern w:val="2"/>
          <w:sz w:val="24"/>
          <w:szCs w:val="24"/>
        </w:rPr>
        <w:t>Domestic inflation remains steady; inflation outlook for 2018 is mild</w:t>
      </w:r>
      <w:r w:rsidR="00706207">
        <w:rPr>
          <w:rFonts w:eastAsia="標楷體"/>
          <w:spacing w:val="-2"/>
          <w:kern w:val="2"/>
          <w:sz w:val="24"/>
          <w:szCs w:val="24"/>
        </w:rPr>
        <w:t xml:space="preserve"> </w:t>
      </w:r>
    </w:p>
    <w:p w:rsidR="00FB1B1A" w:rsidRPr="00D96112" w:rsidRDefault="00D12F1E" w:rsidP="00B963CD">
      <w:pPr>
        <w:pStyle w:val="6"/>
        <w:overflowPunct w:val="0"/>
        <w:snapToGrid w:val="0"/>
        <w:spacing w:after="0" w:line="440" w:lineRule="exact"/>
        <w:ind w:left="0" w:firstLineChars="200" w:firstLine="480"/>
        <w:rPr>
          <w:rFonts w:ascii="Times New Roman" w:eastAsia="標楷體"/>
          <w:spacing w:val="0"/>
          <w:sz w:val="24"/>
          <w:szCs w:val="24"/>
        </w:rPr>
      </w:pPr>
      <w:r w:rsidRPr="00D96112">
        <w:rPr>
          <w:rFonts w:ascii="Times New Roman" w:eastAsia="標楷體" w:hint="eastAsia"/>
          <w:spacing w:val="0"/>
          <w:sz w:val="24"/>
          <w:szCs w:val="24"/>
        </w:rPr>
        <w:t>The annual CPI growth rate averaged 1.</w:t>
      </w:r>
      <w:r w:rsidR="00D96112" w:rsidRPr="00D96112">
        <w:rPr>
          <w:rFonts w:ascii="Times New Roman" w:eastAsia="標楷體" w:hint="eastAsia"/>
          <w:spacing w:val="0"/>
          <w:sz w:val="24"/>
          <w:szCs w:val="24"/>
        </w:rPr>
        <w:t>66</w:t>
      </w:r>
      <w:r w:rsidRPr="00D96112">
        <w:rPr>
          <w:rFonts w:ascii="Times New Roman" w:eastAsia="標楷體" w:hint="eastAsia"/>
          <w:spacing w:val="0"/>
          <w:sz w:val="24"/>
          <w:szCs w:val="24"/>
        </w:rPr>
        <w:t xml:space="preserve">% for the first </w:t>
      </w:r>
      <w:r w:rsidR="00D96112" w:rsidRPr="00D96112">
        <w:rPr>
          <w:rFonts w:ascii="Times New Roman" w:eastAsia="標楷體" w:hint="eastAsia"/>
          <w:spacing w:val="0"/>
          <w:sz w:val="24"/>
          <w:szCs w:val="24"/>
        </w:rPr>
        <w:t>five</w:t>
      </w:r>
      <w:r w:rsidRPr="00D96112">
        <w:rPr>
          <w:rFonts w:ascii="Times New Roman" w:eastAsia="標楷體" w:hint="eastAsia"/>
          <w:spacing w:val="0"/>
          <w:sz w:val="24"/>
          <w:szCs w:val="24"/>
        </w:rPr>
        <w:t xml:space="preserve"> months of the year</w:t>
      </w:r>
      <w:r w:rsidR="00D96112" w:rsidRPr="00D96112">
        <w:rPr>
          <w:rFonts w:ascii="Times New Roman" w:eastAsia="標楷體" w:hint="eastAsia"/>
          <w:spacing w:val="0"/>
          <w:sz w:val="24"/>
          <w:szCs w:val="24"/>
        </w:rPr>
        <w:t xml:space="preserve"> and is forecast by the Bank to ease to 1.21% for the latter half of the year as the deferred effect from the cigarette tax hike gradually fades away. </w:t>
      </w:r>
      <w:r w:rsidR="00B963CD" w:rsidRPr="00D96112">
        <w:rPr>
          <w:rFonts w:ascii="Times New Roman" w:eastAsia="標楷體" w:hint="eastAsia"/>
          <w:spacing w:val="0"/>
          <w:sz w:val="24"/>
          <w:szCs w:val="24"/>
        </w:rPr>
        <w:t>Overall, t</w:t>
      </w:r>
      <w:r w:rsidR="00FB1B1A" w:rsidRPr="00D96112">
        <w:rPr>
          <w:rFonts w:ascii="Times New Roman" w:eastAsia="標楷體" w:hint="eastAsia"/>
          <w:spacing w:val="0"/>
          <w:sz w:val="24"/>
          <w:szCs w:val="24"/>
        </w:rPr>
        <w:t xml:space="preserve">he inflation outlook is </w:t>
      </w:r>
      <w:r w:rsidR="00D96112" w:rsidRPr="00D96112">
        <w:rPr>
          <w:rFonts w:ascii="Times New Roman" w:eastAsia="標楷體" w:hint="eastAsia"/>
          <w:spacing w:val="0"/>
          <w:sz w:val="24"/>
          <w:szCs w:val="24"/>
        </w:rPr>
        <w:t>mild</w:t>
      </w:r>
      <w:r w:rsidR="00B963CD" w:rsidRPr="00D96112">
        <w:rPr>
          <w:rFonts w:ascii="Times New Roman" w:eastAsia="標楷體" w:hint="eastAsia"/>
          <w:spacing w:val="0"/>
          <w:sz w:val="24"/>
          <w:szCs w:val="24"/>
        </w:rPr>
        <w:t>,</w:t>
      </w:r>
      <w:r w:rsidR="00FB1B1A" w:rsidRPr="00D96112">
        <w:rPr>
          <w:rFonts w:ascii="Times New Roman" w:eastAsia="標楷體" w:hint="eastAsia"/>
          <w:spacing w:val="0"/>
          <w:sz w:val="24"/>
          <w:szCs w:val="24"/>
        </w:rPr>
        <w:t xml:space="preserve"> </w:t>
      </w:r>
      <w:r w:rsidR="00B963CD" w:rsidRPr="00D96112">
        <w:rPr>
          <w:rFonts w:ascii="Times New Roman" w:eastAsia="標楷體" w:hint="eastAsia"/>
          <w:spacing w:val="0"/>
          <w:sz w:val="24"/>
          <w:szCs w:val="24"/>
        </w:rPr>
        <w:t>with the 2018 annual growth rate projected to be 1.</w:t>
      </w:r>
      <w:r w:rsidR="00D96112" w:rsidRPr="00D96112">
        <w:rPr>
          <w:rFonts w:ascii="Times New Roman" w:eastAsia="標楷體" w:hint="eastAsia"/>
          <w:spacing w:val="0"/>
          <w:sz w:val="24"/>
          <w:szCs w:val="24"/>
        </w:rPr>
        <w:t>40</w:t>
      </w:r>
      <w:r w:rsidR="00B963CD" w:rsidRPr="00D96112">
        <w:rPr>
          <w:rFonts w:ascii="Times New Roman" w:eastAsia="標楷體" w:hint="eastAsia"/>
          <w:spacing w:val="0"/>
          <w:sz w:val="24"/>
          <w:szCs w:val="24"/>
        </w:rPr>
        <w:t xml:space="preserve">% </w:t>
      </w:r>
      <w:r w:rsidR="00D96112" w:rsidRPr="00D96112">
        <w:rPr>
          <w:rFonts w:ascii="Times New Roman" w:eastAsia="標楷體" w:hint="eastAsia"/>
          <w:spacing w:val="0"/>
          <w:sz w:val="24"/>
          <w:szCs w:val="24"/>
        </w:rPr>
        <w:t>for CPI and 1.16% for core CPI</w:t>
      </w:r>
      <w:r w:rsidR="00B963CD" w:rsidRPr="00D96112">
        <w:rPr>
          <w:rFonts w:ascii="Times New Roman" w:eastAsia="標楷體" w:hint="eastAsia"/>
          <w:spacing w:val="0"/>
          <w:sz w:val="24"/>
          <w:szCs w:val="24"/>
        </w:rPr>
        <w:t xml:space="preserve">. </w:t>
      </w:r>
    </w:p>
    <w:p w:rsidR="00706207" w:rsidRPr="00706207" w:rsidRDefault="00706207" w:rsidP="00706207">
      <w:pPr>
        <w:adjustRightInd/>
        <w:spacing w:before="120" w:line="440" w:lineRule="exact"/>
        <w:ind w:left="363" w:hangingChars="154" w:hanging="363"/>
        <w:textAlignment w:val="auto"/>
        <w:rPr>
          <w:rFonts w:eastAsia="標楷體"/>
          <w:spacing w:val="-2"/>
          <w:kern w:val="2"/>
          <w:sz w:val="24"/>
          <w:szCs w:val="24"/>
        </w:rPr>
      </w:pPr>
      <w:r>
        <w:rPr>
          <w:rFonts w:eastAsia="標楷體" w:hint="eastAsia"/>
          <w:spacing w:val="-2"/>
          <w:kern w:val="2"/>
          <w:sz w:val="24"/>
          <w:szCs w:val="24"/>
        </w:rPr>
        <w:lastRenderedPageBreak/>
        <w:t xml:space="preserve">(2) </w:t>
      </w:r>
      <w:r w:rsidR="0083790F">
        <w:rPr>
          <w:rFonts w:eastAsia="標楷體" w:hint="eastAsia"/>
          <w:spacing w:val="-2"/>
          <w:kern w:val="2"/>
          <w:sz w:val="24"/>
          <w:szCs w:val="24"/>
        </w:rPr>
        <w:t>S</w:t>
      </w:r>
      <w:r w:rsidRPr="00706207">
        <w:rPr>
          <w:rFonts w:eastAsia="標楷體" w:hint="eastAsia"/>
          <w:spacing w:val="-2"/>
          <w:kern w:val="2"/>
          <w:sz w:val="24"/>
          <w:szCs w:val="24"/>
        </w:rPr>
        <w:t>light moderation in domestic growth in the next half year</w:t>
      </w:r>
      <w:r w:rsidR="0083790F">
        <w:rPr>
          <w:rFonts w:eastAsia="標楷體" w:hint="eastAsia"/>
          <w:spacing w:val="-2"/>
          <w:kern w:val="2"/>
          <w:sz w:val="24"/>
          <w:szCs w:val="24"/>
        </w:rPr>
        <w:t xml:space="preserve"> owing to l</w:t>
      </w:r>
      <w:r w:rsidR="0083790F" w:rsidRPr="00706207">
        <w:rPr>
          <w:rFonts w:eastAsia="標楷體" w:hint="eastAsia"/>
          <w:spacing w:val="-2"/>
          <w:kern w:val="2"/>
          <w:sz w:val="24"/>
          <w:szCs w:val="24"/>
        </w:rPr>
        <w:t xml:space="preserve">ingering uncertainties </w:t>
      </w:r>
      <w:r w:rsidR="0083790F">
        <w:rPr>
          <w:rFonts w:eastAsia="標楷體" w:hint="eastAsia"/>
          <w:spacing w:val="-2"/>
          <w:kern w:val="2"/>
          <w:sz w:val="24"/>
          <w:szCs w:val="24"/>
        </w:rPr>
        <w:t xml:space="preserve">over </w:t>
      </w:r>
      <w:r w:rsidR="0083790F" w:rsidRPr="00706207">
        <w:rPr>
          <w:rFonts w:eastAsia="標楷體" w:hint="eastAsia"/>
          <w:spacing w:val="-2"/>
          <w:kern w:val="2"/>
          <w:sz w:val="24"/>
          <w:szCs w:val="24"/>
        </w:rPr>
        <w:t xml:space="preserve">global </w:t>
      </w:r>
      <w:r w:rsidR="0083790F" w:rsidRPr="00706207">
        <w:rPr>
          <w:rFonts w:eastAsia="標楷體"/>
          <w:spacing w:val="-2"/>
          <w:kern w:val="2"/>
          <w:sz w:val="24"/>
          <w:szCs w:val="24"/>
        </w:rPr>
        <w:t>economic</w:t>
      </w:r>
      <w:r w:rsidR="0083790F" w:rsidRPr="00706207">
        <w:rPr>
          <w:rFonts w:eastAsia="標楷體" w:hint="eastAsia"/>
          <w:spacing w:val="-2"/>
          <w:kern w:val="2"/>
          <w:sz w:val="24"/>
          <w:szCs w:val="24"/>
        </w:rPr>
        <w:t xml:space="preserve"> outlook; </w:t>
      </w:r>
      <w:r w:rsidRPr="00706207">
        <w:rPr>
          <w:rFonts w:eastAsia="標楷體" w:hint="eastAsia"/>
          <w:spacing w:val="-2"/>
          <w:kern w:val="2"/>
          <w:sz w:val="24"/>
          <w:szCs w:val="24"/>
        </w:rPr>
        <w:t>a narrower but still negative output gap for 2018, with gentle growth momentum</w:t>
      </w:r>
      <w:r w:rsidR="0083790F">
        <w:rPr>
          <w:rFonts w:eastAsia="標楷體" w:hint="eastAsia"/>
          <w:spacing w:val="-2"/>
          <w:kern w:val="2"/>
          <w:sz w:val="24"/>
          <w:szCs w:val="24"/>
        </w:rPr>
        <w:t>.</w:t>
      </w:r>
      <w:r w:rsidRPr="00706207">
        <w:rPr>
          <w:rFonts w:eastAsia="標楷體" w:hint="eastAsia"/>
          <w:spacing w:val="-2"/>
          <w:kern w:val="2"/>
          <w:sz w:val="24"/>
          <w:szCs w:val="24"/>
        </w:rPr>
        <w:t xml:space="preserve"> </w:t>
      </w:r>
    </w:p>
    <w:p w:rsidR="004110FF" w:rsidRPr="00706207" w:rsidRDefault="005114D4" w:rsidP="00706207">
      <w:pPr>
        <w:pStyle w:val="6"/>
        <w:overflowPunct w:val="0"/>
        <w:snapToGrid w:val="0"/>
        <w:spacing w:after="0" w:line="440" w:lineRule="exact"/>
        <w:ind w:left="0" w:firstLineChars="200" w:firstLine="480"/>
        <w:rPr>
          <w:rFonts w:ascii="Times New Roman" w:eastAsia="標楷體"/>
          <w:spacing w:val="0"/>
          <w:sz w:val="24"/>
          <w:szCs w:val="24"/>
        </w:rPr>
      </w:pPr>
      <w:r w:rsidRPr="00706207">
        <w:rPr>
          <w:rFonts w:ascii="Times New Roman" w:eastAsia="標楷體" w:hint="eastAsia"/>
          <w:spacing w:val="0"/>
          <w:sz w:val="24"/>
          <w:szCs w:val="24"/>
        </w:rPr>
        <w:t xml:space="preserve">Despite the ongoing steady global </w:t>
      </w:r>
      <w:r w:rsidRPr="00706207">
        <w:rPr>
          <w:rFonts w:ascii="Times New Roman" w:eastAsia="標楷體"/>
          <w:spacing w:val="0"/>
          <w:sz w:val="24"/>
          <w:szCs w:val="24"/>
        </w:rPr>
        <w:t>economic</w:t>
      </w:r>
      <w:r w:rsidRPr="00706207">
        <w:rPr>
          <w:rFonts w:ascii="Times New Roman" w:eastAsia="標楷體" w:hint="eastAsia"/>
          <w:spacing w:val="0"/>
          <w:sz w:val="24"/>
          <w:szCs w:val="24"/>
        </w:rPr>
        <w:t xml:space="preserve"> expansion, future risks, including heightening financial vulnerabilities, continued debt buildup, escalating trade friction, and geopolitical conflicts, could intensify uncertainties over the world</w:t>
      </w:r>
      <w:r w:rsidRPr="00706207">
        <w:rPr>
          <w:rFonts w:ascii="Times New Roman" w:eastAsia="標楷體"/>
          <w:spacing w:val="0"/>
          <w:sz w:val="24"/>
          <w:szCs w:val="24"/>
        </w:rPr>
        <w:t>’</w:t>
      </w:r>
      <w:r w:rsidRPr="00706207">
        <w:rPr>
          <w:rFonts w:ascii="Times New Roman" w:eastAsia="標楷體" w:hint="eastAsia"/>
          <w:spacing w:val="0"/>
          <w:sz w:val="24"/>
          <w:szCs w:val="24"/>
        </w:rPr>
        <w:t>s economic and financial outlook, with possible impact on dom</w:t>
      </w:r>
      <w:r w:rsidR="004110FF" w:rsidRPr="00706207">
        <w:rPr>
          <w:rFonts w:ascii="Times New Roman" w:eastAsia="標楷體" w:hint="eastAsia"/>
          <w:spacing w:val="0"/>
          <w:sz w:val="24"/>
          <w:szCs w:val="24"/>
        </w:rPr>
        <w:t xml:space="preserve">estic economic growth momentum. In view of these factors, as well as a higher base effect, the Bank projected the economy to expand slower at 2.30% for the second half of 2018, with a mild 2.68% pace for the year as a whole. </w:t>
      </w:r>
    </w:p>
    <w:p w:rsidR="00B963CD" w:rsidRPr="007B5F91" w:rsidRDefault="008E1411" w:rsidP="00706207">
      <w:pPr>
        <w:adjustRightInd/>
        <w:spacing w:before="120" w:line="440" w:lineRule="exact"/>
        <w:ind w:left="401" w:hangingChars="170" w:hanging="401"/>
        <w:textAlignment w:val="auto"/>
        <w:rPr>
          <w:rFonts w:eastAsia="標楷體"/>
          <w:sz w:val="24"/>
          <w:szCs w:val="24"/>
        </w:rPr>
      </w:pPr>
      <w:r w:rsidRPr="00506662">
        <w:rPr>
          <w:rFonts w:eastAsia="標楷體" w:hint="eastAsia"/>
          <w:spacing w:val="-2"/>
          <w:kern w:val="2"/>
          <w:sz w:val="24"/>
          <w:szCs w:val="24"/>
        </w:rPr>
        <w:t>(3)</w:t>
      </w:r>
      <w:r w:rsidR="00E6058A">
        <w:rPr>
          <w:rFonts w:eastAsia="標楷體" w:hint="eastAsia"/>
          <w:spacing w:val="-2"/>
          <w:kern w:val="2"/>
          <w:sz w:val="24"/>
          <w:szCs w:val="24"/>
        </w:rPr>
        <w:t xml:space="preserve"> </w:t>
      </w:r>
      <w:r w:rsidR="00D96112">
        <w:rPr>
          <w:rFonts w:eastAsia="標楷體" w:hint="eastAsia"/>
          <w:sz w:val="24"/>
          <w:szCs w:val="24"/>
        </w:rPr>
        <w:t xml:space="preserve">Major economies including the US, the euro area, Japan, and China have maintained an accommodative monetary policy stance. </w:t>
      </w:r>
    </w:p>
    <w:p w:rsidR="00E6058A" w:rsidRPr="00EB057B" w:rsidRDefault="001C5A3A" w:rsidP="00E6058A">
      <w:pPr>
        <w:adjustRightInd/>
        <w:spacing w:before="120" w:line="440" w:lineRule="exact"/>
        <w:ind w:left="363" w:hangingChars="154" w:hanging="363"/>
        <w:textAlignment w:val="auto"/>
        <w:rPr>
          <w:rFonts w:eastAsia="標楷體"/>
          <w:sz w:val="24"/>
          <w:szCs w:val="24"/>
        </w:rPr>
      </w:pPr>
      <w:r w:rsidRPr="00506662">
        <w:rPr>
          <w:rFonts w:eastAsia="標楷體" w:hint="eastAsia"/>
          <w:spacing w:val="-2"/>
          <w:kern w:val="2"/>
          <w:sz w:val="24"/>
          <w:szCs w:val="24"/>
        </w:rPr>
        <w:t xml:space="preserve">(4) </w:t>
      </w:r>
      <w:r w:rsidR="00E6058A" w:rsidRPr="00DB27D6">
        <w:rPr>
          <w:rFonts w:eastAsia="標楷體" w:hint="eastAsia"/>
          <w:spacing w:val="-2"/>
          <w:kern w:val="2"/>
          <w:sz w:val="24"/>
          <w:szCs w:val="24"/>
        </w:rPr>
        <w:t>Taiwan</w:t>
      </w:r>
      <w:r w:rsidR="00E6058A" w:rsidRPr="00DB27D6">
        <w:rPr>
          <w:rFonts w:eastAsia="標楷體"/>
          <w:spacing w:val="-2"/>
          <w:kern w:val="2"/>
          <w:sz w:val="24"/>
          <w:szCs w:val="24"/>
        </w:rPr>
        <w:t>’</w:t>
      </w:r>
      <w:r w:rsidR="00E6058A" w:rsidRPr="00DB27D6">
        <w:rPr>
          <w:rFonts w:eastAsia="標楷體" w:hint="eastAsia"/>
          <w:spacing w:val="-2"/>
          <w:kern w:val="2"/>
          <w:sz w:val="24"/>
          <w:szCs w:val="24"/>
        </w:rPr>
        <w:t xml:space="preserve">s </w:t>
      </w:r>
      <w:r w:rsidR="00DB27D6" w:rsidRPr="00DB27D6">
        <w:rPr>
          <w:rFonts w:eastAsia="標楷體" w:hint="eastAsia"/>
          <w:spacing w:val="-2"/>
          <w:kern w:val="2"/>
          <w:sz w:val="24"/>
          <w:szCs w:val="24"/>
        </w:rPr>
        <w:t xml:space="preserve">nominal and </w:t>
      </w:r>
      <w:r w:rsidR="00E6058A" w:rsidRPr="00DB27D6">
        <w:rPr>
          <w:rFonts w:eastAsia="標楷體" w:hint="eastAsia"/>
          <w:spacing w:val="-2"/>
          <w:kern w:val="2"/>
          <w:sz w:val="24"/>
          <w:szCs w:val="24"/>
        </w:rPr>
        <w:t>real interest rat</w:t>
      </w:r>
      <w:r w:rsidR="001031E0">
        <w:rPr>
          <w:rFonts w:eastAsia="標楷體" w:hint="eastAsia"/>
          <w:spacing w:val="-2"/>
          <w:kern w:val="2"/>
          <w:sz w:val="24"/>
          <w:szCs w:val="24"/>
        </w:rPr>
        <w:t>es</w:t>
      </w:r>
      <w:r w:rsidR="00E6058A" w:rsidRPr="00DB27D6">
        <w:rPr>
          <w:rFonts w:eastAsia="標楷體" w:hint="eastAsia"/>
          <w:spacing w:val="-2"/>
          <w:kern w:val="2"/>
          <w:sz w:val="24"/>
          <w:szCs w:val="24"/>
        </w:rPr>
        <w:t xml:space="preserve"> stands at </w:t>
      </w:r>
      <w:r w:rsidR="00E6058A" w:rsidRPr="00DB27D6">
        <w:rPr>
          <w:rFonts w:eastAsia="標楷體"/>
          <w:spacing w:val="-2"/>
          <w:kern w:val="2"/>
          <w:sz w:val="24"/>
          <w:szCs w:val="24"/>
        </w:rPr>
        <w:t>appropriate</w:t>
      </w:r>
      <w:r w:rsidR="00DB27D6" w:rsidRPr="00DB27D6">
        <w:rPr>
          <w:rFonts w:eastAsia="標楷體" w:hint="eastAsia"/>
          <w:spacing w:val="-2"/>
          <w:kern w:val="2"/>
          <w:sz w:val="24"/>
          <w:szCs w:val="24"/>
        </w:rPr>
        <w:t>, moderate</w:t>
      </w:r>
      <w:r w:rsidR="00E6058A" w:rsidRPr="00DB27D6">
        <w:rPr>
          <w:rFonts w:eastAsia="標楷體" w:hint="eastAsia"/>
          <w:spacing w:val="-2"/>
          <w:kern w:val="2"/>
          <w:sz w:val="24"/>
          <w:szCs w:val="24"/>
        </w:rPr>
        <w:t xml:space="preserve"> level</w:t>
      </w:r>
      <w:r w:rsidR="00DB27D6" w:rsidRPr="00DB27D6">
        <w:rPr>
          <w:rFonts w:eastAsia="標楷體" w:hint="eastAsia"/>
          <w:spacing w:val="-2"/>
          <w:kern w:val="2"/>
          <w:sz w:val="24"/>
          <w:szCs w:val="24"/>
        </w:rPr>
        <w:t>s</w:t>
      </w:r>
      <w:r w:rsidR="00E6058A" w:rsidRPr="00DB27D6">
        <w:rPr>
          <w:rFonts w:eastAsia="標楷體" w:hint="eastAsia"/>
          <w:spacing w:val="-2"/>
          <w:kern w:val="2"/>
          <w:sz w:val="24"/>
          <w:szCs w:val="24"/>
        </w:rPr>
        <w:t xml:space="preserve"> compared to those of major economies</w:t>
      </w:r>
      <w:r w:rsidR="0083790F">
        <w:rPr>
          <w:rFonts w:eastAsia="標楷體" w:hint="eastAsia"/>
          <w:spacing w:val="-2"/>
          <w:kern w:val="2"/>
          <w:sz w:val="24"/>
          <w:szCs w:val="24"/>
        </w:rPr>
        <w:t>.</w:t>
      </w:r>
    </w:p>
    <w:p w:rsidR="002319A2" w:rsidRPr="00EB057B" w:rsidRDefault="002319A2" w:rsidP="00E6058A">
      <w:pPr>
        <w:pStyle w:val="6"/>
        <w:overflowPunct w:val="0"/>
        <w:snapToGrid w:val="0"/>
        <w:spacing w:after="0" w:line="440" w:lineRule="exact"/>
        <w:ind w:left="0" w:firstLineChars="200" w:firstLine="480"/>
        <w:rPr>
          <w:rFonts w:ascii="Times New Roman" w:eastAsia="標楷體"/>
          <w:spacing w:val="0"/>
          <w:sz w:val="24"/>
          <w:szCs w:val="24"/>
        </w:rPr>
      </w:pPr>
    </w:p>
    <w:p w:rsidR="00D46F1E" w:rsidRPr="00543487" w:rsidRDefault="00D46F1E" w:rsidP="00D46F1E">
      <w:pPr>
        <w:adjustRightInd/>
        <w:snapToGrid w:val="0"/>
        <w:spacing w:before="240" w:line="520" w:lineRule="exact"/>
        <w:jc w:val="both"/>
        <w:textDirection w:val="lrTbV"/>
        <w:rPr>
          <w:rFonts w:eastAsia="標楷體"/>
          <w:b/>
          <w:sz w:val="28"/>
          <w:szCs w:val="28"/>
        </w:rPr>
      </w:pPr>
      <w:r w:rsidRPr="00AF5634">
        <w:rPr>
          <w:rFonts w:eastAsia="標楷體" w:hint="eastAsia"/>
          <w:b/>
          <w:sz w:val="28"/>
          <w:szCs w:val="28"/>
        </w:rPr>
        <w:t>II. Proposition and Decision about Monetary Policy</w:t>
      </w:r>
      <w:r w:rsidRPr="00543487">
        <w:rPr>
          <w:rFonts w:eastAsia="標楷體" w:hint="eastAsia"/>
          <w:b/>
          <w:sz w:val="28"/>
          <w:szCs w:val="28"/>
        </w:rPr>
        <w:t xml:space="preserve"> </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b/>
          <w:spacing w:val="-2"/>
          <w:sz w:val="24"/>
          <w:szCs w:val="24"/>
        </w:rPr>
      </w:pPr>
      <w:r w:rsidRPr="00506662">
        <w:rPr>
          <w:rFonts w:eastAsia="標楷體" w:hint="eastAsia"/>
          <w:b/>
          <w:spacing w:val="-2"/>
          <w:sz w:val="24"/>
          <w:szCs w:val="24"/>
        </w:rPr>
        <w:t>Policy Proposition: To keep t</w:t>
      </w:r>
      <w:r w:rsidRPr="00506662">
        <w:rPr>
          <w:rFonts w:eastAsia="標楷體"/>
          <w:b/>
          <w:spacing w:val="-2"/>
          <w:sz w:val="24"/>
          <w:szCs w:val="24"/>
        </w:rPr>
        <w:t>he discount rate, the rate on accommodations with collateral, and the rate on accommodations without collateral unchanged at 1.375%, 1.75%, and 3.625%, respectively.</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spacing w:val="-2"/>
          <w:sz w:val="24"/>
          <w:szCs w:val="24"/>
        </w:rPr>
      </w:pPr>
      <w:r w:rsidRPr="00506662">
        <w:rPr>
          <w:rFonts w:eastAsia="標楷體" w:hint="eastAsia"/>
          <w:spacing w:val="-2"/>
          <w:sz w:val="24"/>
          <w:szCs w:val="24"/>
        </w:rPr>
        <w:t xml:space="preserve">All </w:t>
      </w:r>
      <w:r w:rsidR="00AA5E71" w:rsidRPr="00506662">
        <w:rPr>
          <w:rFonts w:eastAsia="標楷體" w:hint="eastAsia"/>
          <w:spacing w:val="-2"/>
          <w:sz w:val="24"/>
          <w:szCs w:val="24"/>
        </w:rPr>
        <w:t>b</w:t>
      </w:r>
      <w:r w:rsidRPr="00506662">
        <w:rPr>
          <w:rFonts w:eastAsia="標楷體" w:hint="eastAsia"/>
          <w:spacing w:val="-2"/>
          <w:sz w:val="24"/>
          <w:szCs w:val="24"/>
        </w:rPr>
        <w:t>oard members approved of keeping policy rates unchanged.</w:t>
      </w:r>
      <w:r w:rsidR="00AC5849" w:rsidRPr="00506662">
        <w:rPr>
          <w:rFonts w:eastAsia="標楷體" w:hint="eastAsia"/>
          <w:spacing w:val="-2"/>
          <w:sz w:val="24"/>
          <w:szCs w:val="24"/>
        </w:rPr>
        <w:t xml:space="preserve"> </w:t>
      </w:r>
      <w:r w:rsidRPr="00506662">
        <w:rPr>
          <w:rFonts w:eastAsia="標楷體" w:hint="eastAsia"/>
          <w:spacing w:val="-2"/>
          <w:sz w:val="24"/>
          <w:szCs w:val="24"/>
        </w:rPr>
        <w:t>The discussions are summarized as follows.</w:t>
      </w:r>
    </w:p>
    <w:p w:rsidR="00E6058A" w:rsidRDefault="00700892" w:rsidP="00271360">
      <w:pPr>
        <w:pStyle w:val="6"/>
        <w:overflowPunct w:val="0"/>
        <w:snapToGrid w:val="0"/>
        <w:spacing w:after="0" w:line="440" w:lineRule="exact"/>
        <w:ind w:left="0" w:firstLineChars="200" w:firstLine="472"/>
        <w:textDirection w:val="lrTbV"/>
        <w:rPr>
          <w:rFonts w:ascii="Times New Roman" w:eastAsia="標楷體"/>
          <w:spacing w:val="-2"/>
          <w:sz w:val="24"/>
          <w:szCs w:val="24"/>
        </w:rPr>
      </w:pPr>
      <w:r>
        <w:rPr>
          <w:rFonts w:ascii="Times New Roman" w:eastAsia="標楷體"/>
          <w:spacing w:val="-2"/>
          <w:sz w:val="24"/>
          <w:szCs w:val="24"/>
        </w:rPr>
        <w:t xml:space="preserve">In respect of international economic conditions, several board </w:t>
      </w:r>
      <w:r w:rsidR="00214083">
        <w:rPr>
          <w:rFonts w:ascii="Times New Roman" w:eastAsia="標楷體"/>
          <w:spacing w:val="-2"/>
          <w:sz w:val="24"/>
          <w:szCs w:val="24"/>
        </w:rPr>
        <w:t>directors</w:t>
      </w:r>
      <w:r>
        <w:rPr>
          <w:rFonts w:ascii="Times New Roman" w:eastAsia="標楷體"/>
          <w:spacing w:val="-2"/>
          <w:sz w:val="24"/>
          <w:szCs w:val="24"/>
        </w:rPr>
        <w:t xml:space="preserve"> expressed concern about the effect </w:t>
      </w:r>
      <w:r w:rsidR="0052095B">
        <w:rPr>
          <w:rFonts w:ascii="Times New Roman" w:eastAsia="標楷體" w:hint="eastAsia"/>
          <w:spacing w:val="-2"/>
          <w:sz w:val="24"/>
          <w:szCs w:val="24"/>
        </w:rPr>
        <w:t xml:space="preserve">that </w:t>
      </w:r>
      <w:r>
        <w:rPr>
          <w:rFonts w:ascii="Times New Roman" w:eastAsia="標楷體"/>
          <w:spacing w:val="-2"/>
          <w:sz w:val="24"/>
          <w:szCs w:val="24"/>
        </w:rPr>
        <w:t>global trade friction might</w:t>
      </w:r>
      <w:r w:rsidR="00214083">
        <w:rPr>
          <w:rFonts w:ascii="Times New Roman" w:eastAsia="標楷體"/>
          <w:spacing w:val="-2"/>
          <w:sz w:val="24"/>
          <w:szCs w:val="24"/>
        </w:rPr>
        <w:t xml:space="preserve"> exert on Taiwan’s economic prospects. One board </w:t>
      </w:r>
      <w:r w:rsidR="00756EC3">
        <w:rPr>
          <w:rFonts w:ascii="Times New Roman" w:eastAsia="標楷體"/>
          <w:spacing w:val="-2"/>
          <w:sz w:val="24"/>
          <w:szCs w:val="24"/>
        </w:rPr>
        <w:t>director pointed out that the developments in the looming trade battle that the US engage</w:t>
      </w:r>
      <w:r w:rsidR="0052095B">
        <w:rPr>
          <w:rFonts w:ascii="Times New Roman" w:eastAsia="標楷體" w:hint="eastAsia"/>
          <w:spacing w:val="-2"/>
          <w:sz w:val="24"/>
          <w:szCs w:val="24"/>
        </w:rPr>
        <w:t>d</w:t>
      </w:r>
      <w:r w:rsidR="00756EC3">
        <w:rPr>
          <w:rFonts w:ascii="Times New Roman" w:eastAsia="標楷體"/>
          <w:spacing w:val="-2"/>
          <w:sz w:val="24"/>
          <w:szCs w:val="24"/>
        </w:rPr>
        <w:t xml:space="preserve"> with China and Europe pose</w:t>
      </w:r>
      <w:r w:rsidR="0052095B">
        <w:rPr>
          <w:rFonts w:ascii="Times New Roman" w:eastAsia="標楷體" w:hint="eastAsia"/>
          <w:spacing w:val="-2"/>
          <w:sz w:val="24"/>
          <w:szCs w:val="24"/>
        </w:rPr>
        <w:t>d</w:t>
      </w:r>
      <w:r w:rsidR="00756EC3">
        <w:rPr>
          <w:rFonts w:ascii="Times New Roman" w:eastAsia="標楷體"/>
          <w:spacing w:val="-2"/>
          <w:sz w:val="24"/>
          <w:szCs w:val="24"/>
        </w:rPr>
        <w:t xml:space="preserve"> uncertainty to domestic economic growth.</w:t>
      </w:r>
      <w:r w:rsidR="005A766E">
        <w:rPr>
          <w:rFonts w:ascii="Times New Roman" w:eastAsia="標楷體"/>
          <w:spacing w:val="-2"/>
          <w:sz w:val="24"/>
          <w:szCs w:val="24"/>
        </w:rPr>
        <w:t xml:space="preserve"> </w:t>
      </w:r>
      <w:r w:rsidR="003A4CF5">
        <w:rPr>
          <w:rFonts w:ascii="Times New Roman" w:eastAsia="標楷體"/>
          <w:spacing w:val="-2"/>
          <w:sz w:val="24"/>
          <w:szCs w:val="24"/>
        </w:rPr>
        <w:t xml:space="preserve">Another board director added that, before the US-China tariff measures </w:t>
      </w:r>
      <w:r w:rsidR="00AB2AD8">
        <w:rPr>
          <w:rFonts w:ascii="Times New Roman" w:eastAsia="標楷體" w:hint="eastAsia"/>
          <w:spacing w:val="-2"/>
          <w:sz w:val="24"/>
          <w:szCs w:val="24"/>
        </w:rPr>
        <w:t>take effect</w:t>
      </w:r>
      <w:r w:rsidR="003A4CF5">
        <w:rPr>
          <w:rFonts w:ascii="Times New Roman" w:eastAsia="標楷體"/>
          <w:spacing w:val="-2"/>
          <w:sz w:val="24"/>
          <w:szCs w:val="24"/>
        </w:rPr>
        <w:t xml:space="preserve"> on July 6, the stock markets </w:t>
      </w:r>
      <w:r w:rsidR="00AB2AD8">
        <w:rPr>
          <w:rFonts w:ascii="Times New Roman" w:eastAsia="標楷體" w:hint="eastAsia"/>
          <w:spacing w:val="-2"/>
          <w:sz w:val="24"/>
          <w:szCs w:val="24"/>
        </w:rPr>
        <w:t xml:space="preserve">had already felt the shocks. </w:t>
      </w:r>
      <w:r w:rsidR="000B46D3">
        <w:rPr>
          <w:rFonts w:ascii="Times New Roman" w:eastAsia="標楷體" w:hint="eastAsia"/>
          <w:spacing w:val="-2"/>
          <w:sz w:val="24"/>
          <w:szCs w:val="24"/>
        </w:rPr>
        <w:t xml:space="preserve">Furthermore, </w:t>
      </w:r>
      <w:r w:rsidR="004F79F1">
        <w:rPr>
          <w:rFonts w:ascii="Times New Roman" w:eastAsia="標楷體" w:hint="eastAsia"/>
          <w:spacing w:val="-2"/>
          <w:sz w:val="24"/>
          <w:szCs w:val="24"/>
        </w:rPr>
        <w:t xml:space="preserve">though </w:t>
      </w:r>
      <w:r w:rsidR="00D7090C" w:rsidRPr="00E577D0">
        <w:rPr>
          <w:rFonts w:ascii="Times New Roman" w:eastAsia="標楷體" w:hint="eastAsia"/>
          <w:spacing w:val="-2"/>
          <w:sz w:val="24"/>
          <w:szCs w:val="24"/>
        </w:rPr>
        <w:t>the partnership the US and Europe have forged over the years ha</w:t>
      </w:r>
      <w:r w:rsidR="00E577D0">
        <w:rPr>
          <w:rFonts w:ascii="Times New Roman" w:eastAsia="標楷體" w:hint="eastAsia"/>
          <w:spacing w:val="-2"/>
          <w:sz w:val="24"/>
          <w:szCs w:val="24"/>
        </w:rPr>
        <w:t>s</w:t>
      </w:r>
      <w:r w:rsidR="00D7090C" w:rsidRPr="00E577D0">
        <w:rPr>
          <w:rFonts w:ascii="Times New Roman" w:eastAsia="標楷體" w:hint="eastAsia"/>
          <w:spacing w:val="-2"/>
          <w:sz w:val="24"/>
          <w:szCs w:val="24"/>
        </w:rPr>
        <w:t xml:space="preserve"> been a </w:t>
      </w:r>
      <w:r w:rsidR="00D7090C" w:rsidRPr="00E577D0">
        <w:rPr>
          <w:rFonts w:ascii="Times New Roman" w:eastAsia="標楷體"/>
          <w:spacing w:val="-2"/>
          <w:sz w:val="24"/>
          <w:szCs w:val="24"/>
        </w:rPr>
        <w:t>stabilizing</w:t>
      </w:r>
      <w:r w:rsidR="00D7090C" w:rsidRPr="00E577D0">
        <w:rPr>
          <w:rFonts w:ascii="Times New Roman" w:eastAsia="標楷體" w:hint="eastAsia"/>
          <w:spacing w:val="-2"/>
          <w:sz w:val="24"/>
          <w:szCs w:val="24"/>
        </w:rPr>
        <w:t xml:space="preserve"> force for the global </w:t>
      </w:r>
      <w:r w:rsidR="00D7090C" w:rsidRPr="00E577D0">
        <w:rPr>
          <w:rFonts w:ascii="Times New Roman" w:eastAsia="標楷體"/>
          <w:spacing w:val="-2"/>
          <w:sz w:val="24"/>
          <w:szCs w:val="24"/>
        </w:rPr>
        <w:t>economic</w:t>
      </w:r>
      <w:r w:rsidR="00D7090C" w:rsidRPr="00E577D0">
        <w:rPr>
          <w:rFonts w:ascii="Times New Roman" w:eastAsia="標楷體" w:hint="eastAsia"/>
          <w:spacing w:val="-2"/>
          <w:sz w:val="24"/>
          <w:szCs w:val="24"/>
        </w:rPr>
        <w:t xml:space="preserve"> and trade systems, </w:t>
      </w:r>
      <w:r w:rsidR="00E577D0">
        <w:rPr>
          <w:rFonts w:ascii="Times New Roman" w:eastAsia="標楷體" w:hint="eastAsia"/>
          <w:spacing w:val="-2"/>
          <w:sz w:val="24"/>
          <w:szCs w:val="24"/>
        </w:rPr>
        <w:t xml:space="preserve">allowing </w:t>
      </w:r>
      <w:r w:rsidR="00E577D0" w:rsidRPr="00E577D0">
        <w:rPr>
          <w:rFonts w:ascii="Times New Roman" w:eastAsia="標楷體"/>
          <w:spacing w:val="-2"/>
          <w:sz w:val="24"/>
          <w:szCs w:val="24"/>
        </w:rPr>
        <w:lastRenderedPageBreak/>
        <w:t>world trade to expand faster than the global economy</w:t>
      </w:r>
      <w:r w:rsidR="00E577D0">
        <w:rPr>
          <w:rFonts w:ascii="Times New Roman" w:eastAsia="標楷體" w:hint="eastAsia"/>
          <w:spacing w:val="-2"/>
          <w:sz w:val="24"/>
          <w:szCs w:val="24"/>
        </w:rPr>
        <w:t>, that partnership has taken a turn</w:t>
      </w:r>
      <w:r w:rsidR="007D0BA7">
        <w:rPr>
          <w:rFonts w:ascii="Times New Roman" w:eastAsia="標楷體" w:hint="eastAsia"/>
          <w:spacing w:val="-2"/>
          <w:sz w:val="24"/>
          <w:szCs w:val="24"/>
        </w:rPr>
        <w:t xml:space="preserve">, with the two sides laying blame and retaliation on each other </w:t>
      </w:r>
      <w:r w:rsidR="00B00F38">
        <w:rPr>
          <w:rFonts w:ascii="Times New Roman" w:eastAsia="標楷體" w:hint="eastAsia"/>
          <w:spacing w:val="-2"/>
          <w:sz w:val="24"/>
          <w:szCs w:val="24"/>
        </w:rPr>
        <w:t>since the beginning of the year</w:t>
      </w:r>
      <w:r w:rsidR="007D0BA7">
        <w:rPr>
          <w:rFonts w:ascii="Times New Roman" w:eastAsia="標楷體" w:hint="eastAsia"/>
          <w:spacing w:val="-2"/>
          <w:sz w:val="24"/>
          <w:szCs w:val="24"/>
        </w:rPr>
        <w:t xml:space="preserve">. This will have implications for the global </w:t>
      </w:r>
      <w:r w:rsidR="007D0BA7">
        <w:rPr>
          <w:rFonts w:ascii="Times New Roman" w:eastAsia="標楷體"/>
          <w:spacing w:val="-2"/>
          <w:sz w:val="24"/>
          <w:szCs w:val="24"/>
        </w:rPr>
        <w:t>economic</w:t>
      </w:r>
      <w:r w:rsidR="007D0BA7">
        <w:rPr>
          <w:rFonts w:ascii="Times New Roman" w:eastAsia="標楷體" w:hint="eastAsia"/>
          <w:spacing w:val="-2"/>
          <w:sz w:val="24"/>
          <w:szCs w:val="24"/>
        </w:rPr>
        <w:t xml:space="preserve"> and trade stability and development, as well as for the domestic economy. </w:t>
      </w:r>
    </w:p>
    <w:p w:rsidR="00E6058A" w:rsidRDefault="004B0499" w:rsidP="00A67B75">
      <w:pPr>
        <w:pStyle w:val="6"/>
        <w:overflowPunct w:val="0"/>
        <w:snapToGrid w:val="0"/>
        <w:spacing w:after="0" w:line="440" w:lineRule="exact"/>
        <w:ind w:left="0" w:firstLineChars="200" w:firstLine="472"/>
        <w:textDirection w:val="lrTbV"/>
        <w:rPr>
          <w:rFonts w:eastAsia="標楷體"/>
          <w:sz w:val="24"/>
          <w:szCs w:val="24"/>
        </w:rPr>
      </w:pPr>
      <w:r w:rsidRPr="007D0BA7">
        <w:rPr>
          <w:rFonts w:ascii="Times New Roman" w:eastAsia="標楷體" w:hint="eastAsia"/>
          <w:spacing w:val="-2"/>
          <w:sz w:val="24"/>
          <w:szCs w:val="24"/>
        </w:rPr>
        <w:t xml:space="preserve">With regard to domestic </w:t>
      </w:r>
      <w:r w:rsidRPr="007D0BA7">
        <w:rPr>
          <w:rFonts w:ascii="Times New Roman" w:eastAsia="標楷體"/>
          <w:spacing w:val="-2"/>
          <w:sz w:val="24"/>
          <w:szCs w:val="24"/>
        </w:rPr>
        <w:t>economic</w:t>
      </w:r>
      <w:r w:rsidRPr="007D0BA7">
        <w:rPr>
          <w:rFonts w:ascii="Times New Roman" w:eastAsia="標楷體" w:hint="eastAsia"/>
          <w:spacing w:val="-2"/>
          <w:sz w:val="24"/>
          <w:szCs w:val="24"/>
        </w:rPr>
        <w:t xml:space="preserve"> conditions,</w:t>
      </w:r>
      <w:r w:rsidR="00307BA0">
        <w:rPr>
          <w:rFonts w:ascii="Times New Roman" w:eastAsia="標楷體" w:hint="eastAsia"/>
          <w:spacing w:val="-2"/>
          <w:sz w:val="24"/>
          <w:szCs w:val="24"/>
        </w:rPr>
        <w:t xml:space="preserve"> several board directors shared views on the current situation and future prospects. One board director noted that Taiwan</w:t>
      </w:r>
      <w:r w:rsidR="00307BA0">
        <w:rPr>
          <w:rFonts w:ascii="Times New Roman" w:eastAsia="標楷體"/>
          <w:spacing w:val="-2"/>
          <w:sz w:val="24"/>
          <w:szCs w:val="24"/>
        </w:rPr>
        <w:t>’</w:t>
      </w:r>
      <w:r w:rsidR="00307BA0">
        <w:rPr>
          <w:rFonts w:ascii="Times New Roman" w:eastAsia="標楷體" w:hint="eastAsia"/>
          <w:spacing w:val="-2"/>
          <w:sz w:val="24"/>
          <w:szCs w:val="24"/>
        </w:rPr>
        <w:t xml:space="preserve">s </w:t>
      </w:r>
      <w:r w:rsidR="00307BA0">
        <w:rPr>
          <w:rFonts w:ascii="Times New Roman" w:eastAsia="標楷體"/>
          <w:spacing w:val="-2"/>
          <w:sz w:val="24"/>
          <w:szCs w:val="24"/>
        </w:rPr>
        <w:t>economic</w:t>
      </w:r>
      <w:r w:rsidR="00307BA0">
        <w:rPr>
          <w:rFonts w:ascii="Times New Roman" w:eastAsia="標楷體" w:hint="eastAsia"/>
          <w:spacing w:val="-2"/>
          <w:sz w:val="24"/>
          <w:szCs w:val="24"/>
        </w:rPr>
        <w:t xml:space="preserve"> recovery was still moderate. Another board director pointed out that</w:t>
      </w:r>
      <w:r w:rsidR="007369EB">
        <w:rPr>
          <w:rFonts w:ascii="Times New Roman" w:eastAsia="標楷體" w:hint="eastAsia"/>
          <w:spacing w:val="-2"/>
          <w:sz w:val="24"/>
          <w:szCs w:val="24"/>
        </w:rPr>
        <w:t>, though</w:t>
      </w:r>
      <w:r w:rsidR="00D208C0">
        <w:rPr>
          <w:rFonts w:ascii="Times New Roman" w:eastAsia="標楷體" w:hint="eastAsia"/>
          <w:spacing w:val="-2"/>
          <w:sz w:val="24"/>
          <w:szCs w:val="24"/>
        </w:rPr>
        <w:t xml:space="preserve"> having</w:t>
      </w:r>
      <w:r w:rsidR="007369EB">
        <w:rPr>
          <w:rFonts w:ascii="Times New Roman" w:eastAsia="標楷體" w:hint="eastAsia"/>
          <w:spacing w:val="-2"/>
          <w:sz w:val="24"/>
          <w:szCs w:val="24"/>
        </w:rPr>
        <w:t xml:space="preserve"> performed </w:t>
      </w:r>
      <w:r w:rsidR="00D208C0">
        <w:rPr>
          <w:rFonts w:ascii="Times New Roman" w:eastAsia="標楷體" w:hint="eastAsia"/>
          <w:spacing w:val="-2"/>
          <w:sz w:val="24"/>
          <w:szCs w:val="24"/>
        </w:rPr>
        <w:t xml:space="preserve">well </w:t>
      </w:r>
      <w:r w:rsidR="00307BA0">
        <w:rPr>
          <w:rFonts w:ascii="Times New Roman" w:eastAsia="標楷體" w:hint="eastAsia"/>
          <w:spacing w:val="-2"/>
          <w:sz w:val="24"/>
          <w:szCs w:val="24"/>
        </w:rPr>
        <w:t>in the first half of the year</w:t>
      </w:r>
      <w:r w:rsidR="007369EB">
        <w:rPr>
          <w:rFonts w:ascii="Times New Roman" w:eastAsia="標楷體" w:hint="eastAsia"/>
          <w:spacing w:val="-2"/>
          <w:sz w:val="24"/>
          <w:szCs w:val="24"/>
        </w:rPr>
        <w:t xml:space="preserve">, economic growth in the second half year will trend down from quarter to quarter. This board director </w:t>
      </w:r>
      <w:r w:rsidR="00A67B75">
        <w:rPr>
          <w:rFonts w:ascii="Times New Roman" w:eastAsia="標楷體" w:hint="eastAsia"/>
          <w:spacing w:val="-2"/>
          <w:sz w:val="24"/>
          <w:szCs w:val="24"/>
        </w:rPr>
        <w:t xml:space="preserve">called for </w:t>
      </w:r>
      <w:r w:rsidR="00D208C0">
        <w:rPr>
          <w:rFonts w:ascii="Times New Roman" w:eastAsia="標楷體" w:hint="eastAsia"/>
          <w:spacing w:val="-2"/>
          <w:sz w:val="24"/>
          <w:szCs w:val="24"/>
        </w:rPr>
        <w:t xml:space="preserve">a </w:t>
      </w:r>
      <w:r w:rsidR="00A67B75">
        <w:rPr>
          <w:rFonts w:ascii="Times New Roman" w:eastAsia="標楷體" w:hint="eastAsia"/>
          <w:spacing w:val="-2"/>
          <w:sz w:val="24"/>
          <w:szCs w:val="24"/>
        </w:rPr>
        <w:t>close watch o</w:t>
      </w:r>
      <w:r w:rsidR="00D208C0">
        <w:rPr>
          <w:rFonts w:ascii="Times New Roman" w:eastAsia="標楷體" w:hint="eastAsia"/>
          <w:spacing w:val="-2"/>
          <w:sz w:val="24"/>
          <w:szCs w:val="24"/>
        </w:rPr>
        <w:t>n</w:t>
      </w:r>
      <w:r w:rsidR="00A67B75">
        <w:rPr>
          <w:rFonts w:ascii="Times New Roman" w:eastAsia="標楷體" w:hint="eastAsia"/>
          <w:spacing w:val="-2"/>
          <w:sz w:val="24"/>
          <w:szCs w:val="24"/>
        </w:rPr>
        <w:t xml:space="preserve"> </w:t>
      </w:r>
      <w:r w:rsidR="007369EB">
        <w:rPr>
          <w:rFonts w:ascii="Times New Roman" w:eastAsia="標楷體" w:hint="eastAsia"/>
          <w:spacing w:val="-2"/>
          <w:sz w:val="24"/>
          <w:szCs w:val="24"/>
        </w:rPr>
        <w:t>the impact of public sector pension reforms on domestic demand, as some industries including food services and hotels already felt the impact since</w:t>
      </w:r>
      <w:r w:rsidR="00A67B75">
        <w:rPr>
          <w:rFonts w:ascii="Times New Roman" w:eastAsia="標楷體" w:hint="eastAsia"/>
          <w:spacing w:val="-2"/>
          <w:sz w:val="24"/>
          <w:szCs w:val="24"/>
        </w:rPr>
        <w:t xml:space="preserve"> the enactment of the reforms.</w:t>
      </w:r>
    </w:p>
    <w:p w:rsidR="00E6058A" w:rsidRDefault="00F93511" w:rsidP="00173C75">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In terms of domestic price trends, one board director </w:t>
      </w:r>
      <w:r w:rsidR="00BB1281">
        <w:rPr>
          <w:rFonts w:eastAsia="標楷體" w:hint="eastAsia"/>
          <w:sz w:val="24"/>
          <w:szCs w:val="24"/>
        </w:rPr>
        <w:t xml:space="preserve">stated that inflation was still considered to be mild at present, despite a rising annual CPI growth rate for the first five months of the year. Inflation expectations for the entire year will also be subdued as the annual CPI growth rate is expected to decline in the fourth quarter. </w:t>
      </w:r>
    </w:p>
    <w:p w:rsidR="00BB1281" w:rsidRDefault="003D66E0" w:rsidP="00A95517">
      <w:pPr>
        <w:adjustRightInd/>
        <w:snapToGrid w:val="0"/>
        <w:spacing w:before="120" w:line="440" w:lineRule="exact"/>
        <w:ind w:firstLineChars="200" w:firstLine="480"/>
        <w:jc w:val="both"/>
        <w:rPr>
          <w:rFonts w:eastAsia="標楷體"/>
          <w:sz w:val="24"/>
          <w:szCs w:val="24"/>
        </w:rPr>
      </w:pPr>
      <w:r>
        <w:rPr>
          <w:rFonts w:eastAsia="標楷體" w:hint="eastAsia"/>
          <w:sz w:val="24"/>
          <w:szCs w:val="24"/>
        </w:rPr>
        <w:t>During</w:t>
      </w:r>
      <w:r w:rsidR="00BB1281">
        <w:rPr>
          <w:rFonts w:eastAsia="標楷體" w:hint="eastAsia"/>
          <w:sz w:val="24"/>
          <w:szCs w:val="24"/>
        </w:rPr>
        <w:t xml:space="preserve"> </w:t>
      </w:r>
      <w:r w:rsidR="00D208C0">
        <w:rPr>
          <w:rFonts w:eastAsia="標楷體" w:hint="eastAsia"/>
          <w:sz w:val="24"/>
          <w:szCs w:val="24"/>
        </w:rPr>
        <w:t xml:space="preserve">the </w:t>
      </w:r>
      <w:r w:rsidR="00BB1281">
        <w:rPr>
          <w:rFonts w:eastAsia="標楷體" w:hint="eastAsia"/>
          <w:sz w:val="24"/>
          <w:szCs w:val="24"/>
        </w:rPr>
        <w:t>discuss</w:t>
      </w:r>
      <w:r>
        <w:rPr>
          <w:rFonts w:eastAsia="標楷體" w:hint="eastAsia"/>
          <w:sz w:val="24"/>
          <w:szCs w:val="24"/>
        </w:rPr>
        <w:t>ion about</w:t>
      </w:r>
      <w:r w:rsidR="00BB1281">
        <w:rPr>
          <w:rFonts w:eastAsia="標楷體" w:hint="eastAsia"/>
          <w:sz w:val="24"/>
          <w:szCs w:val="24"/>
        </w:rPr>
        <w:t xml:space="preserve"> </w:t>
      </w:r>
      <w:r>
        <w:rPr>
          <w:rFonts w:eastAsia="標楷體" w:hint="eastAsia"/>
          <w:sz w:val="24"/>
          <w:szCs w:val="24"/>
        </w:rPr>
        <w:t xml:space="preserve">the </w:t>
      </w:r>
      <w:r w:rsidR="00BB1281">
        <w:rPr>
          <w:rFonts w:eastAsia="標楷體" w:hint="eastAsia"/>
          <w:sz w:val="24"/>
          <w:szCs w:val="24"/>
        </w:rPr>
        <w:t xml:space="preserve">interest rate decision, several board directors noted that macroeconomic conditions have stayed </w:t>
      </w:r>
      <w:r w:rsidR="004F79F1">
        <w:rPr>
          <w:rFonts w:eastAsia="標楷體" w:hint="eastAsia"/>
          <w:sz w:val="24"/>
          <w:szCs w:val="24"/>
        </w:rPr>
        <w:t>largely the same since the B</w:t>
      </w:r>
      <w:r w:rsidR="004E3F8B">
        <w:rPr>
          <w:rFonts w:eastAsia="標楷體" w:hint="eastAsia"/>
          <w:sz w:val="24"/>
          <w:szCs w:val="24"/>
        </w:rPr>
        <w:t xml:space="preserve">oard last convened. </w:t>
      </w:r>
      <w:r w:rsidR="00401CAA">
        <w:rPr>
          <w:rFonts w:eastAsia="標楷體" w:hint="eastAsia"/>
          <w:sz w:val="24"/>
          <w:szCs w:val="24"/>
        </w:rPr>
        <w:t xml:space="preserve">They recognized that </w:t>
      </w:r>
      <w:r w:rsidR="004E3F8B">
        <w:rPr>
          <w:rFonts w:eastAsia="標楷體" w:hint="eastAsia"/>
          <w:sz w:val="24"/>
          <w:szCs w:val="24"/>
        </w:rPr>
        <w:t xml:space="preserve">actual and expected inflation rates were mild, the output gap remained negative, </w:t>
      </w:r>
      <w:r w:rsidR="00401CAA">
        <w:rPr>
          <w:rFonts w:eastAsia="標楷體" w:hint="eastAsia"/>
          <w:sz w:val="24"/>
          <w:szCs w:val="24"/>
        </w:rPr>
        <w:t xml:space="preserve">and </w:t>
      </w:r>
      <w:r w:rsidR="004E3F8B">
        <w:rPr>
          <w:rFonts w:eastAsia="標楷體" w:hint="eastAsia"/>
          <w:sz w:val="24"/>
          <w:szCs w:val="24"/>
        </w:rPr>
        <w:t>uncertain</w:t>
      </w:r>
      <w:r w:rsidR="00401CAA">
        <w:rPr>
          <w:rFonts w:eastAsia="標楷體" w:hint="eastAsia"/>
          <w:sz w:val="24"/>
          <w:szCs w:val="24"/>
        </w:rPr>
        <w:t xml:space="preserve">ties over </w:t>
      </w:r>
      <w:r w:rsidR="00401CAA">
        <w:rPr>
          <w:rFonts w:eastAsia="標楷體"/>
          <w:sz w:val="24"/>
          <w:szCs w:val="24"/>
        </w:rPr>
        <w:t>economic</w:t>
      </w:r>
      <w:r w:rsidR="00401CAA">
        <w:rPr>
          <w:rFonts w:eastAsia="標楷體" w:hint="eastAsia"/>
          <w:sz w:val="24"/>
          <w:szCs w:val="24"/>
        </w:rPr>
        <w:t xml:space="preserve"> prospects lingered both at home and abroad; meanwhile, domestic economic growth showed moderate strength and Taiwan</w:t>
      </w:r>
      <w:r w:rsidR="00401CAA">
        <w:rPr>
          <w:rFonts w:eastAsia="標楷體"/>
          <w:sz w:val="24"/>
          <w:szCs w:val="24"/>
        </w:rPr>
        <w:t>’</w:t>
      </w:r>
      <w:r w:rsidR="00401CAA">
        <w:rPr>
          <w:rFonts w:eastAsia="標楷體" w:hint="eastAsia"/>
          <w:sz w:val="24"/>
          <w:szCs w:val="24"/>
        </w:rPr>
        <w:t xml:space="preserve">s real interest rate was at an </w:t>
      </w:r>
      <w:r w:rsidR="00401CAA">
        <w:rPr>
          <w:rFonts w:eastAsia="標楷體"/>
          <w:sz w:val="24"/>
          <w:szCs w:val="24"/>
        </w:rPr>
        <w:t>appropriate</w:t>
      </w:r>
      <w:r w:rsidR="00401CAA">
        <w:rPr>
          <w:rFonts w:eastAsia="標楷體" w:hint="eastAsia"/>
          <w:sz w:val="24"/>
          <w:szCs w:val="24"/>
        </w:rPr>
        <w:t xml:space="preserve"> level. </w:t>
      </w:r>
      <w:r>
        <w:rPr>
          <w:rFonts w:eastAsia="標楷體" w:hint="eastAsia"/>
          <w:sz w:val="24"/>
          <w:szCs w:val="24"/>
        </w:rPr>
        <w:t>In this consideration, the board director</w:t>
      </w:r>
      <w:r w:rsidR="00D208C0">
        <w:rPr>
          <w:rFonts w:eastAsia="標楷體" w:hint="eastAsia"/>
          <w:sz w:val="24"/>
          <w:szCs w:val="24"/>
        </w:rPr>
        <w:t>s</w:t>
      </w:r>
      <w:r>
        <w:rPr>
          <w:rFonts w:eastAsia="標楷體" w:hint="eastAsia"/>
          <w:sz w:val="24"/>
          <w:szCs w:val="24"/>
        </w:rPr>
        <w:t xml:space="preserve"> w</w:t>
      </w:r>
      <w:r w:rsidR="00D208C0">
        <w:rPr>
          <w:rFonts w:eastAsia="標楷體" w:hint="eastAsia"/>
          <w:sz w:val="24"/>
          <w:szCs w:val="24"/>
        </w:rPr>
        <w:t>ere</w:t>
      </w:r>
      <w:r>
        <w:rPr>
          <w:rFonts w:eastAsia="標楷體" w:hint="eastAsia"/>
          <w:sz w:val="24"/>
          <w:szCs w:val="24"/>
        </w:rPr>
        <w:t xml:space="preserve"> in favor of a rate hold. </w:t>
      </w:r>
      <w:r w:rsidR="00BB1281">
        <w:rPr>
          <w:rFonts w:eastAsia="標楷體" w:hint="eastAsia"/>
          <w:sz w:val="24"/>
          <w:szCs w:val="24"/>
        </w:rPr>
        <w:t xml:space="preserve"> </w:t>
      </w:r>
    </w:p>
    <w:p w:rsidR="00BB1281" w:rsidRDefault="003D66E0" w:rsidP="004B7456">
      <w:pPr>
        <w:adjustRightInd/>
        <w:snapToGrid w:val="0"/>
        <w:spacing w:before="120" w:line="440" w:lineRule="exact"/>
        <w:ind w:firstLineChars="200" w:firstLine="480"/>
        <w:jc w:val="both"/>
        <w:rPr>
          <w:rFonts w:eastAsia="標楷體"/>
          <w:sz w:val="24"/>
          <w:szCs w:val="24"/>
        </w:rPr>
      </w:pPr>
      <w:r>
        <w:rPr>
          <w:rFonts w:eastAsia="標楷體" w:hint="eastAsia"/>
          <w:sz w:val="24"/>
          <w:szCs w:val="24"/>
        </w:rPr>
        <w:t>This view was shared by several other board directors</w:t>
      </w:r>
      <w:r w:rsidR="00025D35">
        <w:rPr>
          <w:rFonts w:eastAsia="標楷體" w:hint="eastAsia"/>
          <w:sz w:val="24"/>
          <w:szCs w:val="24"/>
        </w:rPr>
        <w:t xml:space="preserve">, who also expressed their opinions on </w:t>
      </w:r>
      <w:r w:rsidR="00D208C0">
        <w:rPr>
          <w:rFonts w:eastAsia="標楷體" w:hint="eastAsia"/>
          <w:sz w:val="24"/>
          <w:szCs w:val="24"/>
        </w:rPr>
        <w:t xml:space="preserve">the </w:t>
      </w:r>
      <w:r w:rsidR="00025D35">
        <w:rPr>
          <w:rFonts w:eastAsia="標楷體" w:hint="eastAsia"/>
          <w:sz w:val="24"/>
          <w:szCs w:val="24"/>
        </w:rPr>
        <w:t xml:space="preserve">future calibration of monetary policy. One board director </w:t>
      </w:r>
      <w:r w:rsidR="00C203F7">
        <w:rPr>
          <w:rFonts w:eastAsia="標楷體" w:hint="eastAsia"/>
          <w:sz w:val="24"/>
          <w:szCs w:val="24"/>
        </w:rPr>
        <w:t>showed</w:t>
      </w:r>
      <w:r w:rsidR="00D208C0">
        <w:rPr>
          <w:rFonts w:eastAsia="標楷體" w:hint="eastAsia"/>
          <w:sz w:val="24"/>
          <w:szCs w:val="24"/>
        </w:rPr>
        <w:t xml:space="preserve"> </w:t>
      </w:r>
      <w:r w:rsidR="00025D35">
        <w:rPr>
          <w:rFonts w:eastAsia="標楷體" w:hint="eastAsia"/>
          <w:sz w:val="24"/>
          <w:szCs w:val="24"/>
        </w:rPr>
        <w:t>approval f</w:t>
      </w:r>
      <w:r w:rsidR="00C203F7">
        <w:rPr>
          <w:rFonts w:eastAsia="標楷體" w:hint="eastAsia"/>
          <w:sz w:val="24"/>
          <w:szCs w:val="24"/>
        </w:rPr>
        <w:t>or</w:t>
      </w:r>
      <w:r w:rsidR="00025D35">
        <w:rPr>
          <w:rFonts w:eastAsia="標楷體" w:hint="eastAsia"/>
          <w:sz w:val="24"/>
          <w:szCs w:val="24"/>
        </w:rPr>
        <w:t xml:space="preserve"> a rate hold, mainly based on the projection of slower domestic growth, stable inflation, and persisting </w:t>
      </w:r>
      <w:r w:rsidR="00E44641">
        <w:rPr>
          <w:rFonts w:eastAsia="標楷體" w:hint="eastAsia"/>
          <w:sz w:val="24"/>
          <w:szCs w:val="24"/>
        </w:rPr>
        <w:t xml:space="preserve">international </w:t>
      </w:r>
      <w:r w:rsidR="00025D35">
        <w:rPr>
          <w:rFonts w:eastAsia="標楷體" w:hint="eastAsia"/>
          <w:sz w:val="24"/>
          <w:szCs w:val="24"/>
        </w:rPr>
        <w:t xml:space="preserve">uncertainties </w:t>
      </w:r>
      <w:r w:rsidR="00E44641">
        <w:rPr>
          <w:rFonts w:eastAsia="標楷體" w:hint="eastAsia"/>
          <w:sz w:val="24"/>
          <w:szCs w:val="24"/>
        </w:rPr>
        <w:t>in the second half of 2018. This member further pointed out the divergen</w:t>
      </w:r>
      <w:r w:rsidR="00D208C0">
        <w:rPr>
          <w:rFonts w:eastAsia="標楷體" w:hint="eastAsia"/>
          <w:sz w:val="24"/>
          <w:szCs w:val="24"/>
        </w:rPr>
        <w:t>t</w:t>
      </w:r>
      <w:r w:rsidR="00E44641">
        <w:rPr>
          <w:rFonts w:eastAsia="標楷體" w:hint="eastAsia"/>
          <w:sz w:val="24"/>
          <w:szCs w:val="24"/>
        </w:rPr>
        <w:t xml:space="preserve"> signals from financial indicators: (1) Taiwan</w:t>
      </w:r>
      <w:r w:rsidR="00E44641">
        <w:rPr>
          <w:rFonts w:eastAsia="標楷體"/>
          <w:sz w:val="24"/>
          <w:szCs w:val="24"/>
        </w:rPr>
        <w:t>’</w:t>
      </w:r>
      <w:r w:rsidR="00E44641">
        <w:rPr>
          <w:rFonts w:eastAsia="標楷體" w:hint="eastAsia"/>
          <w:sz w:val="24"/>
          <w:szCs w:val="24"/>
        </w:rPr>
        <w:t xml:space="preserve">s annual M2 growth rate has basically been higher than the sum of the real GDP growth rate and the annual CPI growth rate, meaning it has typically exceeded the nominal GDP </w:t>
      </w:r>
      <w:r w:rsidR="00E44641">
        <w:rPr>
          <w:rFonts w:eastAsia="標楷體"/>
          <w:sz w:val="24"/>
          <w:szCs w:val="24"/>
        </w:rPr>
        <w:t>growth</w:t>
      </w:r>
      <w:r w:rsidR="00E44641">
        <w:rPr>
          <w:rFonts w:eastAsia="標楷體" w:hint="eastAsia"/>
          <w:sz w:val="24"/>
          <w:szCs w:val="24"/>
        </w:rPr>
        <w:t xml:space="preserve"> rate, which was not the case for the Jan.-May period this year; (2) compared to the time when the Board last convened, the </w:t>
      </w:r>
      <w:r w:rsidR="00E44641">
        <w:rPr>
          <w:rFonts w:eastAsia="標楷體" w:hint="eastAsia"/>
          <w:sz w:val="24"/>
          <w:szCs w:val="24"/>
        </w:rPr>
        <w:lastRenderedPageBreak/>
        <w:t xml:space="preserve">Financial Conditions Index (compiled by the Bank) </w:t>
      </w:r>
      <w:r w:rsidR="00195F8A">
        <w:rPr>
          <w:rFonts w:eastAsia="標楷體" w:hint="eastAsia"/>
          <w:sz w:val="24"/>
          <w:szCs w:val="24"/>
        </w:rPr>
        <w:t xml:space="preserve">in June </w:t>
      </w:r>
      <w:r w:rsidR="00A759CA">
        <w:rPr>
          <w:rFonts w:eastAsia="標楷體" w:hint="eastAsia"/>
          <w:sz w:val="24"/>
          <w:szCs w:val="24"/>
        </w:rPr>
        <w:t xml:space="preserve">indicated </w:t>
      </w:r>
      <w:r w:rsidR="00195F8A">
        <w:rPr>
          <w:rFonts w:eastAsia="標楷體" w:hint="eastAsia"/>
          <w:sz w:val="24"/>
          <w:szCs w:val="24"/>
        </w:rPr>
        <w:t xml:space="preserve">less comfortably loose </w:t>
      </w:r>
      <w:r w:rsidR="00A759CA">
        <w:rPr>
          <w:rFonts w:eastAsia="標楷體" w:hint="eastAsia"/>
          <w:sz w:val="24"/>
          <w:szCs w:val="24"/>
        </w:rPr>
        <w:t>conditions</w:t>
      </w:r>
      <w:r w:rsidR="00195F8A">
        <w:rPr>
          <w:rFonts w:eastAsia="標楷體" w:hint="eastAsia"/>
          <w:sz w:val="24"/>
          <w:szCs w:val="24"/>
        </w:rPr>
        <w:t xml:space="preserve">. </w:t>
      </w:r>
      <w:r w:rsidR="00CD12F9">
        <w:rPr>
          <w:rFonts w:eastAsia="標楷體" w:hint="eastAsia"/>
          <w:sz w:val="24"/>
          <w:szCs w:val="24"/>
        </w:rPr>
        <w:t xml:space="preserve">Taking observations </w:t>
      </w:r>
      <w:r w:rsidR="00195F8A">
        <w:rPr>
          <w:rFonts w:eastAsia="標楷體" w:hint="eastAsia"/>
          <w:sz w:val="24"/>
          <w:szCs w:val="24"/>
        </w:rPr>
        <w:t>(1) and (2) together, it showed</w:t>
      </w:r>
      <w:r w:rsidR="00C771B5">
        <w:rPr>
          <w:rFonts w:eastAsia="標楷體" w:hint="eastAsia"/>
          <w:sz w:val="24"/>
          <w:szCs w:val="24"/>
        </w:rPr>
        <w:t xml:space="preserve"> a less accommodative liquidity level. (3) </w:t>
      </w:r>
      <w:r w:rsidR="004B7456">
        <w:rPr>
          <w:rFonts w:eastAsia="標楷體" w:hint="eastAsia"/>
          <w:sz w:val="24"/>
          <w:szCs w:val="24"/>
        </w:rPr>
        <w:t>The Fed</w:t>
      </w:r>
      <w:r w:rsidR="004B7456">
        <w:rPr>
          <w:rFonts w:eastAsia="標楷體"/>
          <w:sz w:val="24"/>
          <w:szCs w:val="24"/>
        </w:rPr>
        <w:t>’</w:t>
      </w:r>
      <w:r w:rsidR="004B7456">
        <w:rPr>
          <w:rFonts w:eastAsia="標楷體" w:hint="eastAsia"/>
          <w:sz w:val="24"/>
          <w:szCs w:val="24"/>
        </w:rPr>
        <w:t>s rate hikes have led to a widening spread between US and Taiwan</w:t>
      </w:r>
      <w:r w:rsidR="004B7456">
        <w:rPr>
          <w:rFonts w:eastAsia="標楷體"/>
          <w:sz w:val="24"/>
          <w:szCs w:val="24"/>
        </w:rPr>
        <w:t>’</w:t>
      </w:r>
      <w:r w:rsidR="004B7456">
        <w:rPr>
          <w:rFonts w:eastAsia="標楷體" w:hint="eastAsia"/>
          <w:sz w:val="24"/>
          <w:szCs w:val="24"/>
        </w:rPr>
        <w:t>s 10-year government bond yields since September 2017; the ensuing capital outflows and an increase in foreign currency deposits suggested an adjustment in funding behavior</w:t>
      </w:r>
      <w:r w:rsidR="00BA654F">
        <w:rPr>
          <w:rFonts w:eastAsia="標楷體" w:hint="eastAsia"/>
          <w:sz w:val="24"/>
          <w:szCs w:val="24"/>
        </w:rPr>
        <w:t xml:space="preserve"> among the general public</w:t>
      </w:r>
      <w:r w:rsidR="004B7456">
        <w:rPr>
          <w:rFonts w:eastAsia="標楷體" w:hint="eastAsia"/>
          <w:sz w:val="24"/>
          <w:szCs w:val="24"/>
        </w:rPr>
        <w:t xml:space="preserve">. (4) </w:t>
      </w:r>
      <w:r w:rsidR="00B776B1">
        <w:rPr>
          <w:rFonts w:eastAsia="標楷體" w:hint="eastAsia"/>
          <w:sz w:val="24"/>
          <w:szCs w:val="24"/>
        </w:rPr>
        <w:t>With Taiwan</w:t>
      </w:r>
      <w:r w:rsidR="00B776B1">
        <w:rPr>
          <w:rFonts w:eastAsia="標楷體"/>
          <w:sz w:val="24"/>
          <w:szCs w:val="24"/>
        </w:rPr>
        <w:t>’</w:t>
      </w:r>
      <w:r w:rsidR="00B776B1">
        <w:rPr>
          <w:rFonts w:eastAsia="標楷體" w:hint="eastAsia"/>
          <w:sz w:val="24"/>
          <w:szCs w:val="24"/>
        </w:rPr>
        <w:t xml:space="preserve">s real interest rate deeper into the negative territory, coupled with </w:t>
      </w:r>
      <w:r w:rsidR="00433B76">
        <w:rPr>
          <w:rFonts w:eastAsia="標楷體" w:hint="eastAsia"/>
          <w:sz w:val="24"/>
          <w:szCs w:val="24"/>
        </w:rPr>
        <w:t>the aforementioned change in funding behavior</w:t>
      </w:r>
      <w:r w:rsidR="00B776B1">
        <w:rPr>
          <w:rFonts w:eastAsia="標楷體" w:hint="eastAsia"/>
          <w:sz w:val="24"/>
          <w:szCs w:val="24"/>
        </w:rPr>
        <w:t xml:space="preserve">, </w:t>
      </w:r>
      <w:r w:rsidR="00B82FD8">
        <w:rPr>
          <w:rFonts w:eastAsia="標楷體" w:hint="eastAsia"/>
          <w:sz w:val="24"/>
          <w:szCs w:val="24"/>
        </w:rPr>
        <w:t xml:space="preserve">future interest rate considerations will be even more complicated and require further deliberations. </w:t>
      </w:r>
    </w:p>
    <w:p w:rsidR="00175A07" w:rsidRDefault="00175A07" w:rsidP="00175A07">
      <w:pPr>
        <w:adjustRightInd/>
        <w:snapToGrid w:val="0"/>
        <w:spacing w:before="120" w:line="440" w:lineRule="exact"/>
        <w:ind w:firstLineChars="200" w:firstLine="480"/>
        <w:jc w:val="both"/>
        <w:textDirection w:val="lrTbV"/>
        <w:rPr>
          <w:rFonts w:eastAsia="標楷體"/>
          <w:sz w:val="24"/>
          <w:szCs w:val="24"/>
        </w:rPr>
      </w:pPr>
      <w:r>
        <w:rPr>
          <w:rFonts w:eastAsia="標楷體" w:hint="eastAsia"/>
          <w:sz w:val="24"/>
          <w:szCs w:val="24"/>
        </w:rPr>
        <w:t xml:space="preserve">Another board director also favored a rate hold, citing mild, manageable inflation and a still unsettled </w:t>
      </w:r>
      <w:r>
        <w:rPr>
          <w:rFonts w:eastAsia="標楷體"/>
          <w:sz w:val="24"/>
          <w:szCs w:val="24"/>
        </w:rPr>
        <w:t>economic</w:t>
      </w:r>
      <w:r>
        <w:rPr>
          <w:rFonts w:eastAsia="標楷體" w:hint="eastAsia"/>
          <w:sz w:val="24"/>
          <w:szCs w:val="24"/>
        </w:rPr>
        <w:t xml:space="preserve"> outlook at home, as well as the impact from trade </w:t>
      </w:r>
      <w:r>
        <w:rPr>
          <w:rFonts w:eastAsia="標楷體"/>
          <w:sz w:val="24"/>
          <w:szCs w:val="24"/>
        </w:rPr>
        <w:t>friction</w:t>
      </w:r>
      <w:r>
        <w:rPr>
          <w:rFonts w:eastAsia="標楷體" w:hint="eastAsia"/>
          <w:sz w:val="24"/>
          <w:szCs w:val="24"/>
        </w:rPr>
        <w:t xml:space="preserve"> </w:t>
      </w:r>
      <w:r w:rsidR="005B140A">
        <w:rPr>
          <w:rFonts w:eastAsia="標楷體" w:hint="eastAsia"/>
          <w:sz w:val="24"/>
          <w:szCs w:val="24"/>
        </w:rPr>
        <w:t>overseas</w:t>
      </w:r>
      <w:r>
        <w:rPr>
          <w:rFonts w:eastAsia="標楷體" w:hint="eastAsia"/>
          <w:sz w:val="24"/>
          <w:szCs w:val="24"/>
        </w:rPr>
        <w:t xml:space="preserve">. </w:t>
      </w:r>
      <w:r w:rsidR="00BD653D">
        <w:rPr>
          <w:rFonts w:eastAsia="標楷體" w:hint="eastAsia"/>
          <w:sz w:val="24"/>
          <w:szCs w:val="24"/>
        </w:rPr>
        <w:t>Based on previous monetary policy-making of the Bank</w:t>
      </w:r>
      <w:r w:rsidR="00BD653D">
        <w:rPr>
          <w:rFonts w:eastAsia="標楷體"/>
          <w:sz w:val="24"/>
          <w:szCs w:val="24"/>
        </w:rPr>
        <w:t>’</w:t>
      </w:r>
      <w:r w:rsidR="00BD653D">
        <w:rPr>
          <w:rFonts w:eastAsia="標楷體" w:hint="eastAsia"/>
          <w:sz w:val="24"/>
          <w:szCs w:val="24"/>
        </w:rPr>
        <w:t xml:space="preserve">s Board, a rate change has often been followed by multiple adjustments in a row, a pattern that future rate hike discussions </w:t>
      </w:r>
      <w:r w:rsidR="00CD12F9">
        <w:rPr>
          <w:rFonts w:eastAsia="標楷體" w:hint="eastAsia"/>
          <w:sz w:val="24"/>
          <w:szCs w:val="24"/>
        </w:rPr>
        <w:t xml:space="preserve">should </w:t>
      </w:r>
      <w:r w:rsidR="00BD653D">
        <w:rPr>
          <w:rFonts w:eastAsia="標楷體" w:hint="eastAsia"/>
          <w:sz w:val="24"/>
          <w:szCs w:val="24"/>
        </w:rPr>
        <w:t xml:space="preserve">take into account. </w:t>
      </w:r>
      <w:r w:rsidR="00C37479">
        <w:rPr>
          <w:rFonts w:eastAsia="標楷體" w:hint="eastAsia"/>
          <w:sz w:val="24"/>
          <w:szCs w:val="24"/>
        </w:rPr>
        <w:t>Yet</w:t>
      </w:r>
      <w:r w:rsidR="00D87C1C">
        <w:rPr>
          <w:rFonts w:eastAsia="標楷體" w:hint="eastAsia"/>
          <w:sz w:val="24"/>
          <w:szCs w:val="24"/>
        </w:rPr>
        <w:t>, c</w:t>
      </w:r>
      <w:r w:rsidR="0004156F">
        <w:rPr>
          <w:rFonts w:eastAsia="標楷體" w:hint="eastAsia"/>
          <w:sz w:val="24"/>
          <w:szCs w:val="24"/>
        </w:rPr>
        <w:t xml:space="preserve">urrent considerations seemed to support a wait-and-see approach for the time being. A rate hike might be in order </w:t>
      </w:r>
      <w:r w:rsidR="00FD2BA1">
        <w:rPr>
          <w:rFonts w:eastAsia="標楷體" w:hint="eastAsia"/>
          <w:sz w:val="24"/>
          <w:szCs w:val="24"/>
        </w:rPr>
        <w:t xml:space="preserve">if inflation becomes unanchored or other unfavorable situations, such as an excessively wide yield spread, come to light. </w:t>
      </w:r>
      <w:r w:rsidR="00BD653D">
        <w:rPr>
          <w:rFonts w:eastAsia="標楷體" w:hint="eastAsia"/>
          <w:sz w:val="24"/>
          <w:szCs w:val="24"/>
        </w:rPr>
        <w:t xml:space="preserve"> </w:t>
      </w:r>
    </w:p>
    <w:p w:rsidR="00395724" w:rsidRDefault="00395724" w:rsidP="00A95517">
      <w:pPr>
        <w:adjustRightInd/>
        <w:snapToGrid w:val="0"/>
        <w:spacing w:before="120" w:line="440" w:lineRule="exact"/>
        <w:ind w:firstLineChars="200" w:firstLine="480"/>
        <w:jc w:val="both"/>
        <w:rPr>
          <w:rFonts w:eastAsia="標楷體"/>
          <w:sz w:val="24"/>
          <w:szCs w:val="24"/>
        </w:rPr>
      </w:pPr>
      <w:r>
        <w:rPr>
          <w:rFonts w:eastAsia="標楷體" w:hint="eastAsia"/>
          <w:sz w:val="24"/>
          <w:szCs w:val="24"/>
        </w:rPr>
        <w:t xml:space="preserve">A number of board directors said they agreed that </w:t>
      </w:r>
      <w:r w:rsidRPr="00395724">
        <w:rPr>
          <w:rFonts w:eastAsia="標楷體"/>
          <w:sz w:val="24"/>
          <w:szCs w:val="24"/>
        </w:rPr>
        <w:t>maintaining the current policy rate levels would be appropriate</w:t>
      </w:r>
      <w:r>
        <w:rPr>
          <w:rFonts w:eastAsia="標楷體" w:hint="eastAsia"/>
          <w:sz w:val="24"/>
          <w:szCs w:val="24"/>
        </w:rPr>
        <w:t xml:space="preserve"> but </w:t>
      </w:r>
      <w:r w:rsidR="00555DBC">
        <w:rPr>
          <w:rFonts w:eastAsia="標楷體" w:hint="eastAsia"/>
          <w:sz w:val="24"/>
          <w:szCs w:val="24"/>
        </w:rPr>
        <w:t xml:space="preserve">pointed out that future rate decisions should also be weighed against </w:t>
      </w:r>
      <w:r>
        <w:rPr>
          <w:rFonts w:eastAsia="標楷體" w:hint="eastAsia"/>
          <w:sz w:val="24"/>
          <w:szCs w:val="24"/>
        </w:rPr>
        <w:t>the influence of exchange rate movements on future domestic prices</w:t>
      </w:r>
      <w:r w:rsidR="00555DBC">
        <w:rPr>
          <w:rFonts w:eastAsia="標楷體" w:hint="eastAsia"/>
          <w:sz w:val="24"/>
          <w:szCs w:val="24"/>
        </w:rPr>
        <w:t xml:space="preserve">. One board director based the consent </w:t>
      </w:r>
      <w:r w:rsidR="001A622E">
        <w:rPr>
          <w:rFonts w:eastAsia="標楷體" w:hint="eastAsia"/>
          <w:sz w:val="24"/>
          <w:szCs w:val="24"/>
        </w:rPr>
        <w:t xml:space="preserve">on the lack of urgency in a rate change as inflationary pressures would likely be muted in </w:t>
      </w:r>
      <w:r w:rsidR="001A622E">
        <w:rPr>
          <w:rFonts w:eastAsia="標楷體"/>
          <w:sz w:val="24"/>
          <w:szCs w:val="24"/>
        </w:rPr>
        <w:t>the</w:t>
      </w:r>
      <w:r w:rsidR="001A622E">
        <w:rPr>
          <w:rFonts w:eastAsia="標楷體" w:hint="eastAsia"/>
          <w:sz w:val="24"/>
          <w:szCs w:val="24"/>
        </w:rPr>
        <w:t xml:space="preserve"> second half of the year; however, future price trends </w:t>
      </w:r>
      <w:r w:rsidR="002B6448">
        <w:rPr>
          <w:rFonts w:eastAsia="標楷體" w:hint="eastAsia"/>
          <w:sz w:val="24"/>
          <w:szCs w:val="24"/>
        </w:rPr>
        <w:t>will</w:t>
      </w:r>
      <w:r w:rsidR="001A622E">
        <w:rPr>
          <w:rFonts w:eastAsia="標楷體" w:hint="eastAsia"/>
          <w:sz w:val="24"/>
          <w:szCs w:val="24"/>
        </w:rPr>
        <w:t xml:space="preserve"> face amplified influences from exchange rate movements</w:t>
      </w:r>
      <w:r w:rsidR="000062BD">
        <w:rPr>
          <w:rFonts w:eastAsia="標楷體" w:hint="eastAsia"/>
          <w:sz w:val="24"/>
          <w:szCs w:val="24"/>
        </w:rPr>
        <w:t xml:space="preserve"> as </w:t>
      </w:r>
      <w:r w:rsidR="001A622E">
        <w:rPr>
          <w:rFonts w:eastAsia="標楷體" w:hint="eastAsia"/>
          <w:sz w:val="24"/>
          <w:szCs w:val="24"/>
        </w:rPr>
        <w:t xml:space="preserve">the effect </w:t>
      </w:r>
      <w:r w:rsidR="002B6448">
        <w:rPr>
          <w:rFonts w:eastAsia="標楷體" w:hint="eastAsia"/>
          <w:sz w:val="24"/>
          <w:szCs w:val="24"/>
        </w:rPr>
        <w:t xml:space="preserve">of NTD appreciation </w:t>
      </w:r>
      <w:r w:rsidR="000062BD">
        <w:rPr>
          <w:rFonts w:eastAsia="標楷體" w:hint="eastAsia"/>
          <w:sz w:val="24"/>
          <w:szCs w:val="24"/>
        </w:rPr>
        <w:t xml:space="preserve">to </w:t>
      </w:r>
      <w:r w:rsidR="004B7542">
        <w:rPr>
          <w:rFonts w:eastAsia="標楷體" w:hint="eastAsia"/>
          <w:sz w:val="24"/>
          <w:szCs w:val="24"/>
        </w:rPr>
        <w:t xml:space="preserve">contain </w:t>
      </w:r>
      <w:r w:rsidR="002B6448">
        <w:rPr>
          <w:rFonts w:eastAsia="標楷體" w:hint="eastAsia"/>
          <w:sz w:val="24"/>
          <w:szCs w:val="24"/>
        </w:rPr>
        <w:t xml:space="preserve">imported inflation </w:t>
      </w:r>
      <w:r w:rsidR="004B7542">
        <w:rPr>
          <w:rFonts w:eastAsia="標楷體" w:hint="eastAsia"/>
          <w:sz w:val="24"/>
          <w:szCs w:val="24"/>
        </w:rPr>
        <w:t xml:space="preserve">is expected to </w:t>
      </w:r>
      <w:r w:rsidR="002B6448">
        <w:rPr>
          <w:rFonts w:eastAsia="標楷體" w:hint="eastAsia"/>
          <w:sz w:val="24"/>
          <w:szCs w:val="24"/>
        </w:rPr>
        <w:t xml:space="preserve">recede. Moreover, foreign research shows that after the global </w:t>
      </w:r>
      <w:r w:rsidR="002B6448">
        <w:rPr>
          <w:rFonts w:eastAsia="標楷體"/>
          <w:sz w:val="24"/>
          <w:szCs w:val="24"/>
        </w:rPr>
        <w:t xml:space="preserve">financial crisis </w:t>
      </w:r>
      <w:r w:rsidR="002B6448">
        <w:rPr>
          <w:rFonts w:eastAsia="標楷體" w:hint="eastAsia"/>
          <w:sz w:val="24"/>
          <w:szCs w:val="24"/>
        </w:rPr>
        <w:t xml:space="preserve">oil price changes have a significant influence on inflation expectations, i.e., inflation expectations have become more susceptible to oil price changes. In the case of Taiwan, </w:t>
      </w:r>
      <w:r w:rsidR="003C613B">
        <w:rPr>
          <w:rFonts w:eastAsia="標楷體" w:hint="eastAsia"/>
          <w:sz w:val="24"/>
          <w:szCs w:val="24"/>
        </w:rPr>
        <w:t xml:space="preserve">import prices of raw materials and commodities could affect inflation and inflation expectations more easily in the future. This indeed calls for attention and such factors should be taken into </w:t>
      </w:r>
      <w:r w:rsidR="00CA0D7D">
        <w:rPr>
          <w:rFonts w:eastAsia="標楷體" w:hint="eastAsia"/>
          <w:sz w:val="24"/>
          <w:szCs w:val="24"/>
        </w:rPr>
        <w:t>account</w:t>
      </w:r>
      <w:r w:rsidR="003C613B">
        <w:rPr>
          <w:rFonts w:eastAsia="標楷體" w:hint="eastAsia"/>
          <w:sz w:val="24"/>
          <w:szCs w:val="24"/>
        </w:rPr>
        <w:t xml:space="preserve"> in future rate change deliberations. </w:t>
      </w:r>
    </w:p>
    <w:p w:rsidR="00101882" w:rsidRPr="00A95517" w:rsidRDefault="003C613B" w:rsidP="00376342">
      <w:pPr>
        <w:adjustRightInd/>
        <w:snapToGrid w:val="0"/>
        <w:spacing w:before="120" w:line="440" w:lineRule="exact"/>
        <w:ind w:firstLineChars="200" w:firstLine="480"/>
        <w:jc w:val="both"/>
        <w:rPr>
          <w:rFonts w:eastAsia="標楷體"/>
          <w:sz w:val="24"/>
          <w:szCs w:val="24"/>
        </w:rPr>
      </w:pPr>
      <w:r>
        <w:rPr>
          <w:rFonts w:eastAsia="標楷體" w:hint="eastAsia"/>
          <w:sz w:val="24"/>
          <w:szCs w:val="24"/>
        </w:rPr>
        <w:t xml:space="preserve">Another board director contended that, despite oil price rises and recent NTD devaluation, the NT dollar maintained a year-on-year appreciation </w:t>
      </w:r>
      <w:r w:rsidR="007D30CB">
        <w:rPr>
          <w:rFonts w:eastAsia="標楷體" w:hint="eastAsia"/>
          <w:sz w:val="24"/>
          <w:szCs w:val="24"/>
        </w:rPr>
        <w:t xml:space="preserve">trend </w:t>
      </w:r>
      <w:r>
        <w:rPr>
          <w:rFonts w:eastAsia="標楷體" w:hint="eastAsia"/>
          <w:sz w:val="24"/>
          <w:szCs w:val="24"/>
        </w:rPr>
        <w:t xml:space="preserve">since the beginning of 2018, conducive to easing imported inflationary pressures. To date, imported inflation has not </w:t>
      </w:r>
      <w:r w:rsidR="00CA5002">
        <w:rPr>
          <w:rFonts w:eastAsia="標楷體" w:hint="eastAsia"/>
          <w:sz w:val="24"/>
          <w:szCs w:val="24"/>
        </w:rPr>
        <w:t xml:space="preserve">presented a </w:t>
      </w:r>
      <w:r>
        <w:rPr>
          <w:rFonts w:eastAsia="標楷體" w:hint="eastAsia"/>
          <w:sz w:val="24"/>
          <w:szCs w:val="24"/>
        </w:rPr>
        <w:t>cause</w:t>
      </w:r>
      <w:r w:rsidR="00CA5002">
        <w:rPr>
          <w:rFonts w:eastAsia="標楷體" w:hint="eastAsia"/>
          <w:sz w:val="24"/>
          <w:szCs w:val="24"/>
        </w:rPr>
        <w:t xml:space="preserve"> for</w:t>
      </w:r>
      <w:r>
        <w:rPr>
          <w:rFonts w:eastAsia="標楷體" w:hint="eastAsia"/>
          <w:sz w:val="24"/>
          <w:szCs w:val="24"/>
        </w:rPr>
        <w:t xml:space="preserve"> concern </w:t>
      </w:r>
      <w:r w:rsidR="00CA5002">
        <w:rPr>
          <w:rFonts w:eastAsia="標楷體" w:hint="eastAsia"/>
          <w:sz w:val="24"/>
          <w:szCs w:val="24"/>
        </w:rPr>
        <w:t>in</w:t>
      </w:r>
      <w:r>
        <w:rPr>
          <w:rFonts w:eastAsia="標楷體" w:hint="eastAsia"/>
          <w:sz w:val="24"/>
          <w:szCs w:val="24"/>
        </w:rPr>
        <w:t xml:space="preserve"> Taiwan. This board director showed support </w:t>
      </w:r>
      <w:r w:rsidR="00CA0D7D">
        <w:rPr>
          <w:rFonts w:eastAsia="標楷體" w:hint="eastAsia"/>
          <w:sz w:val="24"/>
          <w:szCs w:val="24"/>
        </w:rPr>
        <w:t>for</w:t>
      </w:r>
      <w:r>
        <w:rPr>
          <w:rFonts w:eastAsia="標楷體" w:hint="eastAsia"/>
          <w:sz w:val="24"/>
          <w:szCs w:val="24"/>
        </w:rPr>
        <w:t xml:space="preserve"> a rate </w:t>
      </w:r>
      <w:r>
        <w:rPr>
          <w:rFonts w:eastAsia="標楷體" w:hint="eastAsia"/>
          <w:sz w:val="24"/>
          <w:szCs w:val="24"/>
        </w:rPr>
        <w:lastRenderedPageBreak/>
        <w:t>hold, mainly on account of a still negative output gap and mild</w:t>
      </w:r>
      <w:r w:rsidR="00376342">
        <w:rPr>
          <w:rFonts w:eastAsia="標楷體" w:hint="eastAsia"/>
          <w:sz w:val="24"/>
          <w:szCs w:val="24"/>
        </w:rPr>
        <w:t xml:space="preserve"> and</w:t>
      </w:r>
      <w:r>
        <w:rPr>
          <w:rFonts w:eastAsia="標楷體" w:hint="eastAsia"/>
          <w:sz w:val="24"/>
          <w:szCs w:val="24"/>
        </w:rPr>
        <w:t xml:space="preserve"> stable inflation. </w:t>
      </w:r>
      <w:r w:rsidR="00101882">
        <w:rPr>
          <w:rFonts w:eastAsia="標楷體" w:hint="eastAsia"/>
          <w:sz w:val="24"/>
          <w:szCs w:val="24"/>
        </w:rPr>
        <w:t xml:space="preserve">Future policy rate </w:t>
      </w:r>
      <w:r w:rsidR="00101882">
        <w:rPr>
          <w:rFonts w:eastAsia="標楷體"/>
          <w:sz w:val="24"/>
          <w:szCs w:val="24"/>
        </w:rPr>
        <w:t>adjustment</w:t>
      </w:r>
      <w:r w:rsidR="00101882">
        <w:rPr>
          <w:rFonts w:eastAsia="標楷體" w:hint="eastAsia"/>
          <w:sz w:val="24"/>
          <w:szCs w:val="24"/>
        </w:rPr>
        <w:t xml:space="preserve">s will depend importantly on changes in the output gap and prices. For example, if effective demand increases, domestic output and </w:t>
      </w:r>
      <w:r w:rsidR="00101882">
        <w:rPr>
          <w:rFonts w:eastAsia="標楷體"/>
          <w:sz w:val="24"/>
          <w:szCs w:val="24"/>
        </w:rPr>
        <w:t>econom</w:t>
      </w:r>
      <w:r w:rsidR="00101882">
        <w:rPr>
          <w:rFonts w:eastAsia="標楷體" w:hint="eastAsia"/>
          <w:sz w:val="24"/>
          <w:szCs w:val="24"/>
        </w:rPr>
        <w:t xml:space="preserve">y post strong growth, or larger wage hikes occur, which in turn boost production costs and lead prices to turn upwards, </w:t>
      </w:r>
      <w:proofErr w:type="gramStart"/>
      <w:r w:rsidR="00101882">
        <w:rPr>
          <w:rFonts w:eastAsia="標楷體" w:hint="eastAsia"/>
          <w:sz w:val="24"/>
          <w:szCs w:val="24"/>
        </w:rPr>
        <w:t>then</w:t>
      </w:r>
      <w:proofErr w:type="gramEnd"/>
      <w:r w:rsidR="00101882">
        <w:rPr>
          <w:rFonts w:eastAsia="標楷體" w:hint="eastAsia"/>
          <w:sz w:val="24"/>
          <w:szCs w:val="24"/>
        </w:rPr>
        <w:t xml:space="preserve"> a rate rise can be put under consideration. </w:t>
      </w:r>
    </w:p>
    <w:p w:rsidR="00D70C43" w:rsidRDefault="00D70C43" w:rsidP="00A95517">
      <w:pPr>
        <w:adjustRightInd/>
        <w:snapToGrid w:val="0"/>
        <w:spacing w:before="240" w:line="500" w:lineRule="exact"/>
        <w:ind w:firstLineChars="200" w:firstLine="480"/>
        <w:jc w:val="both"/>
        <w:rPr>
          <w:rFonts w:eastAsia="標楷體"/>
          <w:sz w:val="24"/>
          <w:szCs w:val="24"/>
        </w:rPr>
      </w:pPr>
      <w:r>
        <w:rPr>
          <w:rFonts w:eastAsia="標楷體" w:hint="eastAsia"/>
          <w:sz w:val="24"/>
          <w:szCs w:val="24"/>
        </w:rPr>
        <w:t xml:space="preserve">Another board director also approved of keeping rates unchanged and suggested that responses should be considered </w:t>
      </w:r>
      <w:r w:rsidR="008D51F1">
        <w:rPr>
          <w:rFonts w:eastAsia="標楷體" w:hint="eastAsia"/>
          <w:sz w:val="24"/>
          <w:szCs w:val="24"/>
        </w:rPr>
        <w:t>for the case when</w:t>
      </w:r>
      <w:r w:rsidR="00D16B93">
        <w:rPr>
          <w:rFonts w:eastAsia="標楷體" w:hint="eastAsia"/>
          <w:sz w:val="24"/>
          <w:szCs w:val="24"/>
        </w:rPr>
        <w:t xml:space="preserve"> the domestic inflation rate exceeds 2%. Accordingly, a forward guidance approach, similar to the US Fed</w:t>
      </w:r>
      <w:r w:rsidR="00D16B93">
        <w:rPr>
          <w:rFonts w:eastAsia="標楷體"/>
          <w:sz w:val="24"/>
          <w:szCs w:val="24"/>
        </w:rPr>
        <w:t>’</w:t>
      </w:r>
      <w:r w:rsidR="00D16B93">
        <w:rPr>
          <w:rFonts w:eastAsia="標楷體" w:hint="eastAsia"/>
          <w:sz w:val="24"/>
          <w:szCs w:val="24"/>
        </w:rPr>
        <w:t xml:space="preserve">s, may be adopted to </w:t>
      </w:r>
      <w:r w:rsidR="00474531">
        <w:rPr>
          <w:rFonts w:eastAsia="標楷體" w:hint="eastAsia"/>
          <w:sz w:val="24"/>
          <w:szCs w:val="24"/>
        </w:rPr>
        <w:t>signal</w:t>
      </w:r>
      <w:r w:rsidR="00D16B93">
        <w:rPr>
          <w:rFonts w:eastAsia="標楷體" w:hint="eastAsia"/>
          <w:sz w:val="24"/>
          <w:szCs w:val="24"/>
        </w:rPr>
        <w:t xml:space="preserve"> how policy rates would be adjusted in response to future inflation rate changes. In terms of ways to adjust policy rates, some forward guidance approaches might be more transparent and better than others.</w:t>
      </w:r>
    </w:p>
    <w:p w:rsidR="00383F20" w:rsidRDefault="00474531" w:rsidP="00A32638">
      <w:pPr>
        <w:spacing w:before="240" w:line="500" w:lineRule="exact"/>
        <w:ind w:firstLineChars="200" w:firstLine="480"/>
        <w:jc w:val="both"/>
        <w:rPr>
          <w:rFonts w:eastAsia="標楷體"/>
          <w:sz w:val="24"/>
          <w:szCs w:val="24"/>
        </w:rPr>
      </w:pPr>
      <w:r>
        <w:rPr>
          <w:rFonts w:eastAsia="標楷體" w:hint="eastAsia"/>
          <w:sz w:val="24"/>
          <w:szCs w:val="24"/>
        </w:rPr>
        <w:t>Furthermore, several</w:t>
      </w:r>
      <w:r w:rsidR="00A32638">
        <w:rPr>
          <w:rFonts w:eastAsia="標楷體" w:hint="eastAsia"/>
          <w:sz w:val="24"/>
          <w:szCs w:val="24"/>
        </w:rPr>
        <w:t xml:space="preserve"> board directors stated the importance to recognize the possibility of a rate change once </w:t>
      </w:r>
      <w:r>
        <w:rPr>
          <w:rFonts w:eastAsia="標楷體" w:hint="eastAsia"/>
          <w:sz w:val="24"/>
          <w:szCs w:val="24"/>
        </w:rPr>
        <w:t>the</w:t>
      </w:r>
      <w:r w:rsidR="00A32638">
        <w:rPr>
          <w:rFonts w:eastAsia="標楷體" w:hint="eastAsia"/>
          <w:sz w:val="24"/>
          <w:szCs w:val="24"/>
        </w:rPr>
        <w:t xml:space="preserve"> developments </w:t>
      </w:r>
      <w:r w:rsidR="00A32638">
        <w:rPr>
          <w:rFonts w:eastAsia="標楷體"/>
          <w:sz w:val="24"/>
          <w:szCs w:val="24"/>
        </w:rPr>
        <w:t>warrant</w:t>
      </w:r>
      <w:r w:rsidR="00A32638">
        <w:rPr>
          <w:rFonts w:eastAsia="標楷體" w:hint="eastAsia"/>
          <w:sz w:val="24"/>
          <w:szCs w:val="24"/>
        </w:rPr>
        <w:t xml:space="preserve"> such a move. </w:t>
      </w:r>
      <w:r w:rsidR="00B34068">
        <w:rPr>
          <w:rFonts w:eastAsia="標楷體" w:hint="eastAsia"/>
          <w:sz w:val="24"/>
          <w:szCs w:val="24"/>
        </w:rPr>
        <w:t>One board director pointed out that, unlike the March Board Meeting, the Fed</w:t>
      </w:r>
      <w:r w:rsidR="00B34068">
        <w:rPr>
          <w:rFonts w:eastAsia="標楷體"/>
          <w:sz w:val="24"/>
          <w:szCs w:val="24"/>
        </w:rPr>
        <w:t>’</w:t>
      </w:r>
      <w:r w:rsidR="00B34068">
        <w:rPr>
          <w:rFonts w:eastAsia="標楷體" w:hint="eastAsia"/>
          <w:sz w:val="24"/>
          <w:szCs w:val="24"/>
        </w:rPr>
        <w:t xml:space="preserve">s fresh 0.25% rate hike brought up a new factor to be considered in this Meeting; however, this board director still expressed support for a rate hold, mainly because other major central banks including the ECB, the </w:t>
      </w:r>
      <w:proofErr w:type="spellStart"/>
      <w:r w:rsidR="00B34068">
        <w:rPr>
          <w:rFonts w:eastAsia="標楷體" w:hint="eastAsia"/>
          <w:sz w:val="24"/>
          <w:szCs w:val="24"/>
        </w:rPr>
        <w:t>BoJ</w:t>
      </w:r>
      <w:proofErr w:type="spellEnd"/>
      <w:r w:rsidR="00B34068">
        <w:rPr>
          <w:rFonts w:eastAsia="標楷體" w:hint="eastAsia"/>
          <w:sz w:val="24"/>
          <w:szCs w:val="24"/>
        </w:rPr>
        <w:t xml:space="preserve">, and the </w:t>
      </w:r>
      <w:proofErr w:type="spellStart"/>
      <w:r w:rsidR="00B34068">
        <w:rPr>
          <w:rFonts w:eastAsia="標楷體" w:hint="eastAsia"/>
          <w:sz w:val="24"/>
          <w:szCs w:val="24"/>
        </w:rPr>
        <w:t>PBoC</w:t>
      </w:r>
      <w:proofErr w:type="spellEnd"/>
      <w:r w:rsidR="00B34068">
        <w:rPr>
          <w:rFonts w:eastAsia="標楷體" w:hint="eastAsia"/>
          <w:sz w:val="24"/>
          <w:szCs w:val="24"/>
        </w:rPr>
        <w:t xml:space="preserve"> all kept their policy rates unchanged. </w:t>
      </w:r>
      <w:r w:rsidR="004D7D0F">
        <w:rPr>
          <w:rFonts w:eastAsia="標楷體" w:hint="eastAsia"/>
          <w:sz w:val="24"/>
          <w:szCs w:val="24"/>
        </w:rPr>
        <w:t>If the large aircraft carriers have chosen to stay steady, a smaller boat like Taiwan</w:t>
      </w:r>
      <w:r w:rsidR="004D7D0F">
        <w:rPr>
          <w:rFonts w:eastAsia="標楷體"/>
          <w:sz w:val="24"/>
          <w:szCs w:val="24"/>
        </w:rPr>
        <w:t>’</w:t>
      </w:r>
      <w:r w:rsidR="004D7D0F">
        <w:rPr>
          <w:rFonts w:eastAsia="標楷體" w:hint="eastAsia"/>
          <w:sz w:val="24"/>
          <w:szCs w:val="24"/>
        </w:rPr>
        <w:t>s economy would be better off to wait and see. Nevertheless, it should be worth noting that, while this year</w:t>
      </w:r>
      <w:r w:rsidR="004D7D0F">
        <w:rPr>
          <w:rFonts w:eastAsia="標楷體"/>
          <w:sz w:val="24"/>
          <w:szCs w:val="24"/>
        </w:rPr>
        <w:t>’</w:t>
      </w:r>
      <w:r w:rsidR="004D7D0F">
        <w:rPr>
          <w:rFonts w:eastAsia="標楷體" w:hint="eastAsia"/>
          <w:sz w:val="24"/>
          <w:szCs w:val="24"/>
        </w:rPr>
        <w:t>s inflation is expected to register under 1.5%, the average CPI annual growth rate for the first five months of the year already climbed over 1.5%, which was rarely seen for the same period</w:t>
      </w:r>
      <w:r w:rsidR="001603B4">
        <w:rPr>
          <w:rFonts w:eastAsia="標楷體" w:hint="eastAsia"/>
          <w:sz w:val="24"/>
          <w:szCs w:val="24"/>
        </w:rPr>
        <w:t xml:space="preserve"> as shown in</w:t>
      </w:r>
      <w:r w:rsidR="004D7D0F">
        <w:rPr>
          <w:rFonts w:eastAsia="標楷體" w:hint="eastAsia"/>
          <w:sz w:val="24"/>
          <w:szCs w:val="24"/>
        </w:rPr>
        <w:t xml:space="preserve"> figures </w:t>
      </w:r>
      <w:r w:rsidR="001603B4">
        <w:rPr>
          <w:rFonts w:eastAsia="標楷體" w:hint="eastAsia"/>
          <w:sz w:val="24"/>
          <w:szCs w:val="24"/>
        </w:rPr>
        <w:t>of the past decade and more</w:t>
      </w:r>
      <w:r w:rsidR="004D7D0F">
        <w:rPr>
          <w:rFonts w:eastAsia="標楷體" w:hint="eastAsia"/>
          <w:sz w:val="24"/>
          <w:szCs w:val="24"/>
        </w:rPr>
        <w:t>. In this view, it would be crucial to closely mon</w:t>
      </w:r>
      <w:bookmarkStart w:id="0" w:name="_GoBack"/>
      <w:bookmarkEnd w:id="0"/>
      <w:r w:rsidR="004D7D0F">
        <w:rPr>
          <w:rFonts w:eastAsia="標楷體" w:hint="eastAsia"/>
          <w:sz w:val="24"/>
          <w:szCs w:val="24"/>
        </w:rPr>
        <w:t xml:space="preserve">itor inflation trends, particularly an uptrend </w:t>
      </w:r>
      <w:r w:rsidR="00FC2230">
        <w:rPr>
          <w:rFonts w:eastAsia="標楷體" w:hint="eastAsia"/>
          <w:sz w:val="24"/>
          <w:szCs w:val="24"/>
        </w:rPr>
        <w:t>which would then warrant contemplating a rate change. Meanwhile, as the Fed might announce more rate hikes in the future, given Taiwan</w:t>
      </w:r>
      <w:r w:rsidR="00FC2230">
        <w:rPr>
          <w:rFonts w:eastAsia="標楷體"/>
          <w:sz w:val="24"/>
          <w:szCs w:val="24"/>
        </w:rPr>
        <w:t>’</w:t>
      </w:r>
      <w:r w:rsidR="00FC2230">
        <w:rPr>
          <w:rFonts w:eastAsia="標楷體" w:hint="eastAsia"/>
          <w:sz w:val="24"/>
          <w:szCs w:val="24"/>
        </w:rPr>
        <w:t xml:space="preserve">s susceptibility to foreign capital flows, monetary policymakers need to be prepared and watchful in the second half of the year for appropriate adjustments as needed.  </w:t>
      </w:r>
    </w:p>
    <w:p w:rsidR="00FC2230" w:rsidRDefault="00FC2230" w:rsidP="00A95517">
      <w:pPr>
        <w:adjustRightInd/>
        <w:snapToGrid w:val="0"/>
        <w:spacing w:before="240" w:line="500" w:lineRule="exact"/>
        <w:ind w:firstLineChars="200" w:firstLine="480"/>
        <w:jc w:val="both"/>
        <w:rPr>
          <w:rFonts w:eastAsia="標楷體"/>
          <w:sz w:val="24"/>
          <w:szCs w:val="24"/>
        </w:rPr>
      </w:pPr>
      <w:r>
        <w:rPr>
          <w:rFonts w:eastAsia="標楷體" w:hint="eastAsia"/>
          <w:sz w:val="24"/>
          <w:szCs w:val="24"/>
        </w:rPr>
        <w:t xml:space="preserve">One other board director also </w:t>
      </w:r>
      <w:r w:rsidR="00497C89">
        <w:rPr>
          <w:rFonts w:eastAsia="標楷體" w:hint="eastAsia"/>
          <w:sz w:val="24"/>
          <w:szCs w:val="24"/>
        </w:rPr>
        <w:t>gave</w:t>
      </w:r>
      <w:r w:rsidR="00CA5002">
        <w:rPr>
          <w:rFonts w:eastAsia="標楷體" w:hint="eastAsia"/>
          <w:sz w:val="24"/>
          <w:szCs w:val="24"/>
        </w:rPr>
        <w:t xml:space="preserve"> </w:t>
      </w:r>
      <w:r w:rsidRPr="00A95517">
        <w:rPr>
          <w:rFonts w:eastAsia="標楷體" w:hint="eastAsia"/>
          <w:sz w:val="24"/>
          <w:szCs w:val="24"/>
        </w:rPr>
        <w:t>approv</w:t>
      </w:r>
      <w:r>
        <w:rPr>
          <w:rFonts w:eastAsia="標楷體" w:hint="eastAsia"/>
          <w:sz w:val="24"/>
          <w:szCs w:val="24"/>
        </w:rPr>
        <w:t>al</w:t>
      </w:r>
      <w:r w:rsidRPr="00A95517">
        <w:rPr>
          <w:rFonts w:eastAsia="標楷體" w:hint="eastAsia"/>
          <w:sz w:val="24"/>
          <w:szCs w:val="24"/>
        </w:rPr>
        <w:t xml:space="preserve"> </w:t>
      </w:r>
      <w:r w:rsidR="00C203F7">
        <w:rPr>
          <w:rFonts w:eastAsia="標楷體" w:hint="eastAsia"/>
          <w:sz w:val="24"/>
          <w:szCs w:val="24"/>
        </w:rPr>
        <w:t>for</w:t>
      </w:r>
      <w:r w:rsidRPr="00A95517">
        <w:rPr>
          <w:rFonts w:eastAsia="標楷體" w:hint="eastAsia"/>
          <w:sz w:val="24"/>
          <w:szCs w:val="24"/>
        </w:rPr>
        <w:t xml:space="preserve"> keeping rates steady</w:t>
      </w:r>
      <w:r>
        <w:rPr>
          <w:rFonts w:eastAsia="標楷體" w:hint="eastAsia"/>
          <w:sz w:val="24"/>
          <w:szCs w:val="24"/>
        </w:rPr>
        <w:t xml:space="preserve"> and pointed out that, </w:t>
      </w:r>
      <w:r>
        <w:rPr>
          <w:rFonts w:eastAsia="標楷體" w:hint="eastAsia"/>
          <w:sz w:val="24"/>
          <w:szCs w:val="24"/>
        </w:rPr>
        <w:lastRenderedPageBreak/>
        <w:t xml:space="preserve">besides being prepared for possible future policy rate changes, the Board could also </w:t>
      </w:r>
      <w:r>
        <w:rPr>
          <w:rFonts w:eastAsia="標楷體"/>
          <w:sz w:val="24"/>
          <w:szCs w:val="24"/>
        </w:rPr>
        <w:t>attempt</w:t>
      </w:r>
      <w:r>
        <w:rPr>
          <w:rFonts w:eastAsia="標楷體" w:hint="eastAsia"/>
          <w:sz w:val="24"/>
          <w:szCs w:val="24"/>
        </w:rPr>
        <w:t xml:space="preserve"> some ways to communicate this to the public and prepare them for such </w:t>
      </w:r>
      <w:r>
        <w:rPr>
          <w:rFonts w:eastAsia="標楷體"/>
          <w:sz w:val="24"/>
          <w:szCs w:val="24"/>
        </w:rPr>
        <w:t>possibilities</w:t>
      </w:r>
      <w:r>
        <w:rPr>
          <w:rFonts w:eastAsia="標楷體" w:hint="eastAsia"/>
          <w:sz w:val="24"/>
          <w:szCs w:val="24"/>
        </w:rPr>
        <w:t>. This would align market expectations better with the implementation of monetary policy should such scenarios materialize. Another</w:t>
      </w:r>
      <w:r w:rsidR="00154F72">
        <w:rPr>
          <w:rFonts w:eastAsia="標楷體" w:hint="eastAsia"/>
          <w:sz w:val="24"/>
          <w:szCs w:val="24"/>
        </w:rPr>
        <w:t xml:space="preserve"> board director added that the world is about to </w:t>
      </w:r>
      <w:r w:rsidR="00822466">
        <w:rPr>
          <w:rFonts w:eastAsia="標楷體" w:hint="eastAsia"/>
          <w:sz w:val="24"/>
          <w:szCs w:val="24"/>
        </w:rPr>
        <w:t>enter</w:t>
      </w:r>
      <w:r w:rsidR="00154F72">
        <w:rPr>
          <w:rFonts w:eastAsia="標楷體" w:hint="eastAsia"/>
          <w:sz w:val="24"/>
          <w:szCs w:val="24"/>
        </w:rPr>
        <w:t xml:space="preserve"> a rate hike cycle as the Fed has begun rate rises and the ECB and the </w:t>
      </w:r>
      <w:proofErr w:type="spellStart"/>
      <w:r w:rsidR="00154F72">
        <w:rPr>
          <w:rFonts w:eastAsia="標楷體" w:hint="eastAsia"/>
          <w:sz w:val="24"/>
          <w:szCs w:val="24"/>
        </w:rPr>
        <w:t>BoJ</w:t>
      </w:r>
      <w:proofErr w:type="spellEnd"/>
      <w:r w:rsidR="00154F72">
        <w:rPr>
          <w:rFonts w:eastAsia="標楷體" w:hint="eastAsia"/>
          <w:sz w:val="24"/>
          <w:szCs w:val="24"/>
        </w:rPr>
        <w:t xml:space="preserve"> are expected to hike rates gradually; in this light, domestic borrowers are advised to pay attention to interest rate-associated risks in case of a rate increase by the Bank. </w:t>
      </w:r>
    </w:p>
    <w:p w:rsidR="00A86EA4" w:rsidRPr="001F5A7F" w:rsidRDefault="00A86EA4" w:rsidP="00506662">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Based on the assessment of domestic and international </w:t>
      </w:r>
      <w:r w:rsidRPr="001F5A7F">
        <w:rPr>
          <w:rFonts w:eastAsia="標楷體"/>
          <w:sz w:val="24"/>
          <w:szCs w:val="24"/>
        </w:rPr>
        <w:t>economic</w:t>
      </w:r>
      <w:r w:rsidRPr="001F5A7F">
        <w:rPr>
          <w:rFonts w:eastAsia="標楷體" w:hint="eastAsia"/>
          <w:sz w:val="24"/>
          <w:szCs w:val="24"/>
        </w:rPr>
        <w:t xml:space="preserve"> and financial conditions and prospects, the </w:t>
      </w:r>
      <w:r w:rsidR="00CE3BC5" w:rsidRPr="001F5A7F">
        <w:rPr>
          <w:rFonts w:eastAsia="標楷體" w:hint="eastAsia"/>
          <w:sz w:val="24"/>
          <w:szCs w:val="24"/>
        </w:rPr>
        <w:t>b</w:t>
      </w:r>
      <w:r w:rsidRPr="001F5A7F">
        <w:rPr>
          <w:rFonts w:eastAsia="標楷體" w:hint="eastAsia"/>
          <w:sz w:val="24"/>
          <w:szCs w:val="24"/>
        </w:rPr>
        <w:t xml:space="preserve">oard </w:t>
      </w:r>
      <w:r w:rsidR="00CE3BC5" w:rsidRPr="001F5A7F">
        <w:rPr>
          <w:rFonts w:eastAsia="標楷體" w:hint="eastAsia"/>
          <w:sz w:val="24"/>
          <w:szCs w:val="24"/>
        </w:rPr>
        <w:t>d</w:t>
      </w:r>
      <w:r w:rsidRPr="001F5A7F">
        <w:rPr>
          <w:rFonts w:eastAsia="標楷體" w:hint="eastAsia"/>
          <w:sz w:val="24"/>
          <w:szCs w:val="24"/>
        </w:rPr>
        <w:t xml:space="preserve">irectors </w:t>
      </w:r>
      <w:r w:rsidR="00B90D93" w:rsidRPr="001F5A7F">
        <w:rPr>
          <w:rFonts w:eastAsia="標楷體" w:hint="eastAsia"/>
          <w:sz w:val="24"/>
          <w:szCs w:val="24"/>
        </w:rPr>
        <w:t xml:space="preserve">all </w:t>
      </w:r>
      <w:r w:rsidRPr="001F5A7F">
        <w:rPr>
          <w:rFonts w:eastAsia="標楷體" w:hint="eastAsia"/>
          <w:sz w:val="24"/>
          <w:szCs w:val="24"/>
        </w:rPr>
        <w:t xml:space="preserve">expressed approval </w:t>
      </w:r>
      <w:r w:rsidR="00C203F7">
        <w:rPr>
          <w:rFonts w:eastAsia="標楷體" w:hint="eastAsia"/>
          <w:sz w:val="24"/>
          <w:szCs w:val="24"/>
        </w:rPr>
        <w:t>for</w:t>
      </w:r>
      <w:r w:rsidRPr="001F5A7F">
        <w:rPr>
          <w:rFonts w:eastAsia="標楷體" w:hint="eastAsia"/>
          <w:sz w:val="24"/>
          <w:szCs w:val="24"/>
        </w:rPr>
        <w:t xml:space="preserve"> keeping policy rates unchanged. </w:t>
      </w:r>
    </w:p>
    <w:p w:rsidR="006A083A" w:rsidRPr="00506662" w:rsidRDefault="006A083A" w:rsidP="00506662">
      <w:pPr>
        <w:adjustRightInd/>
        <w:snapToGrid w:val="0"/>
        <w:spacing w:before="240" w:line="540" w:lineRule="exact"/>
        <w:ind w:left="320" w:hangingChars="133" w:hanging="320"/>
        <w:jc w:val="both"/>
        <w:textDirection w:val="lrTbV"/>
        <w:rPr>
          <w:rFonts w:eastAsia="標楷體"/>
          <w:sz w:val="24"/>
          <w:szCs w:val="24"/>
        </w:rPr>
      </w:pPr>
      <w:r w:rsidRPr="00506662">
        <w:rPr>
          <w:rFonts w:eastAsia="標楷體" w:hint="eastAsia"/>
          <w:b/>
          <w:sz w:val="24"/>
          <w:szCs w:val="24"/>
        </w:rPr>
        <w:t xml:space="preserve">3. Monetary Policy Decision: </w:t>
      </w:r>
      <w:r w:rsidR="00CE3BC5" w:rsidRPr="00E0263B">
        <w:rPr>
          <w:rFonts w:eastAsia="標楷體" w:hint="eastAsia"/>
          <w:b/>
          <w:sz w:val="24"/>
          <w:szCs w:val="24"/>
        </w:rPr>
        <w:t xml:space="preserve">The board directors </w:t>
      </w:r>
      <w:r w:rsidRPr="00E0263B">
        <w:rPr>
          <w:rFonts w:eastAsia="標楷體" w:hint="eastAsia"/>
          <w:b/>
          <w:sz w:val="24"/>
          <w:szCs w:val="24"/>
        </w:rPr>
        <w:t>reached a unanimous vote t</w:t>
      </w:r>
      <w:r w:rsidRPr="00E0263B">
        <w:rPr>
          <w:rFonts w:eastAsia="標楷體"/>
          <w:b/>
          <w:sz w:val="24"/>
          <w:szCs w:val="24"/>
        </w:rPr>
        <w:t>o keep the discount rate, the rate on accommodations with collateral, and the rate on accommodations without collateral unchanged at 1.375%, 1.75%, and 3.625%, respectively.</w:t>
      </w:r>
    </w:p>
    <w:p w:rsidR="00445262" w:rsidRDefault="00445262" w:rsidP="00506662">
      <w:pPr>
        <w:snapToGrid w:val="0"/>
        <w:spacing w:before="240" w:line="440" w:lineRule="exact"/>
        <w:ind w:left="961" w:hangingChars="400" w:hanging="961"/>
        <w:jc w:val="both"/>
        <w:textDirection w:val="lrTbV"/>
        <w:rPr>
          <w:rFonts w:eastAsia="標楷體"/>
          <w:b/>
          <w:sz w:val="24"/>
          <w:szCs w:val="24"/>
        </w:rPr>
      </w:pPr>
    </w:p>
    <w:p w:rsidR="006A083A" w:rsidRPr="00506662" w:rsidRDefault="006A083A" w:rsidP="00506662">
      <w:pPr>
        <w:snapToGrid w:val="0"/>
        <w:spacing w:before="240" w:line="440" w:lineRule="exact"/>
        <w:ind w:left="961" w:hangingChars="400" w:hanging="961"/>
        <w:jc w:val="both"/>
        <w:textDirection w:val="lrTbV"/>
        <w:rPr>
          <w:rFonts w:eastAsia="標楷體"/>
          <w:b/>
          <w:sz w:val="24"/>
          <w:szCs w:val="24"/>
        </w:rPr>
      </w:pPr>
      <w:r w:rsidRPr="00506662">
        <w:rPr>
          <w:rFonts w:eastAsia="標楷體" w:hint="eastAsia"/>
          <w:b/>
          <w:sz w:val="24"/>
          <w:szCs w:val="24"/>
        </w:rPr>
        <w:t xml:space="preserve">Voting for the proposition: </w:t>
      </w:r>
    </w:p>
    <w:p w:rsidR="00251F63" w:rsidRPr="00251F63" w:rsidRDefault="00251F63" w:rsidP="00251F63">
      <w:pPr>
        <w:adjustRightInd/>
        <w:snapToGrid w:val="0"/>
        <w:spacing w:before="120" w:afterLines="50" w:after="120" w:line="440" w:lineRule="exact"/>
        <w:jc w:val="both"/>
        <w:textDirection w:val="lrTbV"/>
        <w:rPr>
          <w:rFonts w:eastAsia="標楷體"/>
          <w:sz w:val="24"/>
          <w:szCs w:val="24"/>
        </w:rPr>
      </w:pPr>
      <w:r w:rsidRPr="00251F63">
        <w:rPr>
          <w:rFonts w:eastAsia="標楷體"/>
          <w:sz w:val="24"/>
          <w:szCs w:val="24"/>
        </w:rPr>
        <w:t>Chin-long Yang</w:t>
      </w:r>
      <w:r>
        <w:rPr>
          <w:rFonts w:eastAsia="標楷體" w:hint="eastAsia"/>
          <w:sz w:val="24"/>
          <w:szCs w:val="24"/>
        </w:rPr>
        <w:t>,</w:t>
      </w:r>
      <w:r w:rsidRPr="00251F63">
        <w:rPr>
          <w:rFonts w:eastAsia="標楷體"/>
          <w:sz w:val="24"/>
          <w:szCs w:val="24"/>
        </w:rPr>
        <w:t xml:space="preserve"> Yu-</w:t>
      </w:r>
      <w:proofErr w:type="spellStart"/>
      <w:r w:rsidRPr="00251F63">
        <w:rPr>
          <w:rFonts w:eastAsia="標楷體"/>
          <w:sz w:val="24"/>
          <w:szCs w:val="24"/>
        </w:rPr>
        <w:t>jer</w:t>
      </w:r>
      <w:proofErr w:type="spellEnd"/>
      <w:r w:rsidRPr="00251F63">
        <w:rPr>
          <w:rFonts w:eastAsia="標楷體"/>
          <w:sz w:val="24"/>
          <w:szCs w:val="24"/>
        </w:rPr>
        <w:t xml:space="preserve"> </w:t>
      </w:r>
      <w:proofErr w:type="spellStart"/>
      <w:r w:rsidRPr="00251F63">
        <w:rPr>
          <w:rFonts w:eastAsia="標楷體"/>
          <w:sz w:val="24"/>
          <w:szCs w:val="24"/>
        </w:rPr>
        <w:t>Sheu</w:t>
      </w:r>
      <w:proofErr w:type="spellEnd"/>
      <w:r w:rsidRPr="00251F63">
        <w:rPr>
          <w:rFonts w:eastAsia="標楷體"/>
          <w:sz w:val="24"/>
          <w:szCs w:val="24"/>
        </w:rPr>
        <w:t>, Jong-</w:t>
      </w:r>
      <w:r w:rsidR="0007239A">
        <w:rPr>
          <w:rFonts w:eastAsia="標楷體" w:hint="eastAsia"/>
          <w:sz w:val="24"/>
          <w:szCs w:val="24"/>
        </w:rPr>
        <w:t>c</w:t>
      </w:r>
      <w:r w:rsidRPr="00251F63">
        <w:rPr>
          <w:rFonts w:eastAsia="標楷體"/>
          <w:sz w:val="24"/>
          <w:szCs w:val="24"/>
        </w:rPr>
        <w:t xml:space="preserve">hin Shen, </w:t>
      </w:r>
      <w:proofErr w:type="spellStart"/>
      <w:r w:rsidRPr="00251F63">
        <w:rPr>
          <w:rFonts w:eastAsia="標楷體"/>
          <w:sz w:val="24"/>
          <w:szCs w:val="24"/>
        </w:rPr>
        <w:t>Tzung</w:t>
      </w:r>
      <w:proofErr w:type="spellEnd"/>
      <w:r w:rsidRPr="00251F63">
        <w:rPr>
          <w:rFonts w:eastAsia="標楷體"/>
          <w:sz w:val="24"/>
          <w:szCs w:val="24"/>
        </w:rPr>
        <w:t>-ta Yen, Nan-</w:t>
      </w:r>
      <w:proofErr w:type="spellStart"/>
      <w:r w:rsidRPr="00251F63">
        <w:rPr>
          <w:rFonts w:eastAsia="標楷體"/>
          <w:sz w:val="24"/>
          <w:szCs w:val="24"/>
        </w:rPr>
        <w:t>kuang</w:t>
      </w:r>
      <w:proofErr w:type="spellEnd"/>
      <w:r w:rsidRPr="00251F63">
        <w:rPr>
          <w:rFonts w:eastAsia="標楷體"/>
          <w:sz w:val="24"/>
          <w:szCs w:val="24"/>
        </w:rPr>
        <w:t xml:space="preserve"> Chen, Ming-</w:t>
      </w:r>
      <w:proofErr w:type="spellStart"/>
      <w:r w:rsidRPr="00251F63">
        <w:rPr>
          <w:rFonts w:eastAsia="標楷體"/>
          <w:sz w:val="24"/>
          <w:szCs w:val="24"/>
        </w:rPr>
        <w:t>yih</w:t>
      </w:r>
      <w:proofErr w:type="spellEnd"/>
      <w:r w:rsidRPr="00251F63">
        <w:rPr>
          <w:rFonts w:eastAsia="標楷體"/>
          <w:sz w:val="24"/>
          <w:szCs w:val="24"/>
        </w:rPr>
        <w:t xml:space="preserve"> Liang, Sheng-</w:t>
      </w:r>
      <w:proofErr w:type="spellStart"/>
      <w:r w:rsidRPr="00251F63">
        <w:rPr>
          <w:rFonts w:eastAsia="標楷體"/>
          <w:sz w:val="24"/>
          <w:szCs w:val="24"/>
        </w:rPr>
        <w:t>cheng</w:t>
      </w:r>
      <w:proofErr w:type="spellEnd"/>
      <w:r w:rsidRPr="00251F63">
        <w:rPr>
          <w:rFonts w:eastAsia="標楷體"/>
          <w:sz w:val="24"/>
          <w:szCs w:val="24"/>
        </w:rPr>
        <w:t xml:space="preserve"> Hu</w:t>
      </w:r>
      <w:r>
        <w:rPr>
          <w:rFonts w:eastAsia="標楷體" w:hint="eastAsia"/>
          <w:sz w:val="24"/>
          <w:szCs w:val="24"/>
        </w:rPr>
        <w:t xml:space="preserve">, </w:t>
      </w:r>
      <w:proofErr w:type="spellStart"/>
      <w:r w:rsidRPr="00251F63">
        <w:rPr>
          <w:rFonts w:eastAsia="標楷體"/>
          <w:sz w:val="24"/>
          <w:szCs w:val="24"/>
        </w:rPr>
        <w:t>Tsung-hsien</w:t>
      </w:r>
      <w:proofErr w:type="spellEnd"/>
      <w:r w:rsidRPr="00251F63">
        <w:rPr>
          <w:rFonts w:eastAsia="標楷體"/>
          <w:sz w:val="24"/>
          <w:szCs w:val="24"/>
        </w:rPr>
        <w:t xml:space="preserve"> Lin (</w:t>
      </w:r>
      <w:r>
        <w:rPr>
          <w:rFonts w:eastAsia="標楷體" w:hint="eastAsia"/>
          <w:sz w:val="24"/>
          <w:szCs w:val="24"/>
        </w:rPr>
        <w:t>voting by proxy</w:t>
      </w:r>
      <w:r w:rsidRPr="00251F63">
        <w:rPr>
          <w:rFonts w:eastAsia="標楷體"/>
          <w:sz w:val="24"/>
          <w:szCs w:val="24"/>
        </w:rPr>
        <w:t>), Chen-chia Lee, Chung-</w:t>
      </w:r>
      <w:proofErr w:type="spellStart"/>
      <w:r w:rsidRPr="00251F63">
        <w:rPr>
          <w:rFonts w:eastAsia="標楷體"/>
          <w:sz w:val="24"/>
          <w:szCs w:val="24"/>
        </w:rPr>
        <w:t>dar</w:t>
      </w:r>
      <w:proofErr w:type="spellEnd"/>
      <w:r w:rsidRPr="00251F63">
        <w:rPr>
          <w:rFonts w:eastAsia="標楷體"/>
          <w:sz w:val="24"/>
          <w:szCs w:val="24"/>
        </w:rPr>
        <w:t xml:space="preserve"> Lei, </w:t>
      </w:r>
      <w:proofErr w:type="spellStart"/>
      <w:r w:rsidRPr="00251F63">
        <w:rPr>
          <w:rFonts w:eastAsia="標楷體"/>
          <w:sz w:val="24"/>
          <w:szCs w:val="24"/>
        </w:rPr>
        <w:t>Jin</w:t>
      </w:r>
      <w:proofErr w:type="spellEnd"/>
      <w:r w:rsidRPr="00251F63">
        <w:rPr>
          <w:rFonts w:eastAsia="標楷體"/>
          <w:sz w:val="24"/>
          <w:szCs w:val="24"/>
        </w:rPr>
        <w:t>-lung Lin, Mei-lie Chu, Chao-</w:t>
      </w:r>
      <w:proofErr w:type="spellStart"/>
      <w:r w:rsidRPr="00251F63">
        <w:rPr>
          <w:rFonts w:eastAsia="標楷體"/>
          <w:sz w:val="24"/>
          <w:szCs w:val="24"/>
        </w:rPr>
        <w:t>hsi</w:t>
      </w:r>
      <w:proofErr w:type="spellEnd"/>
      <w:r w:rsidRPr="00251F63">
        <w:rPr>
          <w:rFonts w:eastAsia="標楷體"/>
          <w:sz w:val="24"/>
          <w:szCs w:val="24"/>
        </w:rPr>
        <w:t xml:space="preserve"> Huang, </w:t>
      </w:r>
      <w:proofErr w:type="spellStart"/>
      <w:r w:rsidRPr="00251F63">
        <w:rPr>
          <w:rFonts w:eastAsia="標楷體"/>
          <w:sz w:val="24"/>
          <w:szCs w:val="24"/>
        </w:rPr>
        <w:t>Bih</w:t>
      </w:r>
      <w:proofErr w:type="spellEnd"/>
      <w:r w:rsidRPr="00251F63">
        <w:rPr>
          <w:rFonts w:eastAsia="標楷體"/>
          <w:sz w:val="24"/>
          <w:szCs w:val="24"/>
        </w:rPr>
        <w:t xml:space="preserve">-jane Liu, </w:t>
      </w:r>
      <w:proofErr w:type="spellStart"/>
      <w:r w:rsidRPr="00251F63">
        <w:rPr>
          <w:rFonts w:eastAsia="標楷體"/>
          <w:sz w:val="24"/>
          <w:szCs w:val="24"/>
        </w:rPr>
        <w:t>Shiu</w:t>
      </w:r>
      <w:proofErr w:type="spellEnd"/>
      <w:r w:rsidRPr="00251F63">
        <w:rPr>
          <w:rFonts w:eastAsia="標楷體"/>
          <w:sz w:val="24"/>
          <w:szCs w:val="24"/>
        </w:rPr>
        <w:t xml:space="preserve">-sheng Chen  </w:t>
      </w:r>
    </w:p>
    <w:p w:rsidR="00251F63" w:rsidRPr="00AD6370" w:rsidRDefault="00251F63" w:rsidP="00506662">
      <w:pPr>
        <w:adjustRightInd/>
        <w:snapToGrid w:val="0"/>
        <w:spacing w:before="120" w:afterLines="50" w:after="120" w:line="440" w:lineRule="exact"/>
        <w:jc w:val="both"/>
        <w:textDirection w:val="lrTbV"/>
        <w:rPr>
          <w:rFonts w:eastAsia="標楷體"/>
          <w:sz w:val="24"/>
          <w:szCs w:val="24"/>
        </w:rPr>
      </w:pPr>
    </w:p>
    <w:p w:rsidR="006A083A" w:rsidRPr="00506662" w:rsidRDefault="006A083A" w:rsidP="00506662">
      <w:pPr>
        <w:snapToGrid w:val="0"/>
        <w:spacing w:before="240" w:line="440" w:lineRule="exact"/>
        <w:ind w:left="961" w:hangingChars="400" w:hanging="961"/>
        <w:jc w:val="both"/>
        <w:textDirection w:val="lrTbV"/>
        <w:rPr>
          <w:rFonts w:eastAsia="標楷體"/>
          <w:b/>
          <w:sz w:val="24"/>
          <w:szCs w:val="24"/>
        </w:rPr>
      </w:pPr>
      <w:proofErr w:type="gramStart"/>
      <w:r w:rsidRPr="00506662">
        <w:rPr>
          <w:rFonts w:eastAsia="標楷體" w:hint="eastAsia"/>
          <w:b/>
          <w:sz w:val="24"/>
          <w:szCs w:val="24"/>
        </w:rPr>
        <w:t>Voting against the proposition: None.</w:t>
      </w:r>
      <w:proofErr w:type="gramEnd"/>
      <w:r w:rsidRPr="00506662">
        <w:rPr>
          <w:rFonts w:eastAsia="標楷體" w:hint="eastAsia"/>
          <w:b/>
          <w:sz w:val="24"/>
          <w:szCs w:val="24"/>
        </w:rPr>
        <w:t xml:space="preserve"> </w:t>
      </w:r>
    </w:p>
    <w:p w:rsidR="006A083A" w:rsidRDefault="006A083A" w:rsidP="006A083A">
      <w:pPr>
        <w:widowControl/>
        <w:adjustRightInd/>
        <w:spacing w:line="240" w:lineRule="auto"/>
        <w:textAlignment w:val="auto"/>
        <w:rPr>
          <w:rFonts w:eastAsia="標楷體"/>
          <w:b/>
          <w:snapToGrid w:val="0"/>
          <w:sz w:val="28"/>
          <w:szCs w:val="28"/>
        </w:rPr>
      </w:pPr>
    </w:p>
    <w:p w:rsidR="006A083A" w:rsidRPr="00543487" w:rsidRDefault="006A083A" w:rsidP="00994414">
      <w:pPr>
        <w:widowControl/>
        <w:adjustRightInd/>
        <w:spacing w:beforeLines="50" w:before="120" w:line="240" w:lineRule="auto"/>
        <w:textAlignment w:val="auto"/>
        <w:rPr>
          <w:rFonts w:eastAsia="標楷體"/>
          <w:b/>
          <w:sz w:val="28"/>
          <w:szCs w:val="28"/>
        </w:rPr>
      </w:pPr>
      <w:r w:rsidRPr="00543487">
        <w:rPr>
          <w:rFonts w:eastAsia="標楷體" w:hint="eastAsia"/>
          <w:b/>
          <w:snapToGrid w:val="0"/>
          <w:sz w:val="28"/>
          <w:szCs w:val="28"/>
        </w:rPr>
        <w:t xml:space="preserve">III. The Press Release </w:t>
      </w:r>
    </w:p>
    <w:p w:rsidR="0069082D" w:rsidRDefault="006A083A" w:rsidP="00766E4B">
      <w:pPr>
        <w:spacing w:before="120" w:line="440" w:lineRule="exact"/>
        <w:ind w:firstLineChars="200" w:firstLine="480"/>
        <w:jc w:val="both"/>
        <w:rPr>
          <w:rFonts w:eastAsia="標楷體"/>
          <w:sz w:val="24"/>
          <w:szCs w:val="28"/>
        </w:rPr>
      </w:pPr>
      <w:r w:rsidRPr="00766E4B">
        <w:rPr>
          <w:rFonts w:eastAsia="標楷體" w:hint="eastAsia"/>
          <w:sz w:val="24"/>
          <w:szCs w:val="28"/>
        </w:rPr>
        <w:t xml:space="preserve">The </w:t>
      </w:r>
      <w:r w:rsidR="00CE3BC5" w:rsidRPr="00766E4B">
        <w:rPr>
          <w:rFonts w:eastAsia="標楷體" w:hint="eastAsia"/>
          <w:sz w:val="24"/>
          <w:szCs w:val="28"/>
        </w:rPr>
        <w:t>b</w:t>
      </w:r>
      <w:r w:rsidRPr="00766E4B">
        <w:rPr>
          <w:rFonts w:eastAsia="標楷體" w:hint="eastAsia"/>
          <w:sz w:val="24"/>
          <w:szCs w:val="28"/>
        </w:rPr>
        <w:t xml:space="preserve">oard </w:t>
      </w:r>
      <w:r w:rsidR="00CE3BC5" w:rsidRPr="00766E4B">
        <w:rPr>
          <w:rFonts w:eastAsia="標楷體" w:hint="eastAsia"/>
          <w:sz w:val="24"/>
          <w:szCs w:val="28"/>
        </w:rPr>
        <w:t>d</w:t>
      </w:r>
      <w:r w:rsidRPr="00766E4B">
        <w:rPr>
          <w:rFonts w:eastAsia="標楷體" w:hint="eastAsia"/>
          <w:sz w:val="24"/>
          <w:szCs w:val="28"/>
        </w:rPr>
        <w:t xml:space="preserve">irectors and </w:t>
      </w:r>
      <w:r w:rsidR="00CE3BC5" w:rsidRPr="00766E4B">
        <w:rPr>
          <w:rFonts w:eastAsia="標楷體" w:hint="eastAsia"/>
          <w:sz w:val="24"/>
          <w:szCs w:val="28"/>
        </w:rPr>
        <w:t>s</w:t>
      </w:r>
      <w:r w:rsidRPr="00766E4B">
        <w:rPr>
          <w:rFonts w:eastAsia="標楷體" w:hint="eastAsia"/>
          <w:sz w:val="24"/>
          <w:szCs w:val="28"/>
        </w:rPr>
        <w:t xml:space="preserve">upervisors approved unanimously to issue the following press release in the post-meeting press conference, together with the </w:t>
      </w:r>
      <w:r w:rsidRPr="00766E4B">
        <w:rPr>
          <w:rFonts w:eastAsia="標楷體"/>
          <w:sz w:val="24"/>
          <w:szCs w:val="28"/>
        </w:rPr>
        <w:t xml:space="preserve">Supplementary Materials for the </w:t>
      </w:r>
      <w:r w:rsidRPr="00766E4B">
        <w:rPr>
          <w:rFonts w:eastAsia="標楷體" w:hint="eastAsia"/>
          <w:sz w:val="24"/>
          <w:szCs w:val="28"/>
        </w:rPr>
        <w:t>Post-Monetary Policy M</w:t>
      </w:r>
      <w:r w:rsidRPr="00766E4B">
        <w:rPr>
          <w:rFonts w:eastAsia="標楷體"/>
          <w:sz w:val="24"/>
          <w:szCs w:val="28"/>
        </w:rPr>
        <w:t>e</w:t>
      </w:r>
      <w:r w:rsidRPr="00766E4B">
        <w:rPr>
          <w:rFonts w:eastAsia="標楷體" w:hint="eastAsia"/>
          <w:sz w:val="24"/>
          <w:szCs w:val="28"/>
        </w:rPr>
        <w:t xml:space="preserve">eting Press Conference prepared by the Bank. </w:t>
      </w:r>
    </w:p>
    <w:p w:rsidR="006A083A" w:rsidRDefault="006A083A">
      <w:pPr>
        <w:widowControl/>
        <w:adjustRightInd/>
        <w:spacing w:line="240" w:lineRule="auto"/>
        <w:textAlignment w:val="auto"/>
        <w:rPr>
          <w:rFonts w:eastAsia="標楷體"/>
          <w:b/>
          <w:sz w:val="32"/>
        </w:rPr>
      </w:pPr>
      <w:r>
        <w:rPr>
          <w:rFonts w:eastAsia="標楷體"/>
          <w:b/>
          <w:sz w:val="32"/>
        </w:rPr>
        <w:br w:type="page"/>
      </w:r>
    </w:p>
    <w:p w:rsidR="006A083A" w:rsidRPr="00766E4B" w:rsidRDefault="006A083A" w:rsidP="006A083A">
      <w:pPr>
        <w:spacing w:afterLines="100" w:after="240" w:line="520" w:lineRule="exact"/>
        <w:ind w:leftChars="330" w:left="660"/>
        <w:jc w:val="right"/>
        <w:rPr>
          <w:rFonts w:eastAsia="標楷體"/>
          <w:sz w:val="24"/>
          <w:szCs w:val="28"/>
        </w:rPr>
      </w:pPr>
      <w:r w:rsidRPr="00766E4B">
        <w:rPr>
          <w:rFonts w:eastAsia="標楷體" w:hint="eastAsia"/>
          <w:sz w:val="24"/>
          <w:szCs w:val="28"/>
        </w:rPr>
        <w:lastRenderedPageBreak/>
        <w:t xml:space="preserve">Date: </w:t>
      </w:r>
      <w:proofErr w:type="spellStart"/>
      <w:r w:rsidR="00DD3E3C">
        <w:rPr>
          <w:rFonts w:eastAsia="標楷體" w:hint="eastAsia"/>
          <w:sz w:val="24"/>
          <w:szCs w:val="28"/>
        </w:rPr>
        <w:t>Juen</w:t>
      </w:r>
      <w:proofErr w:type="spellEnd"/>
      <w:r w:rsidRPr="00766E4B">
        <w:rPr>
          <w:rFonts w:eastAsia="標楷體" w:hint="eastAsia"/>
          <w:sz w:val="24"/>
          <w:szCs w:val="28"/>
        </w:rPr>
        <w:t xml:space="preserve"> 2</w:t>
      </w:r>
      <w:r w:rsidR="00DD3E3C">
        <w:rPr>
          <w:rFonts w:eastAsia="標楷體" w:hint="eastAsia"/>
          <w:sz w:val="24"/>
          <w:szCs w:val="28"/>
        </w:rPr>
        <w:t>1</w:t>
      </w:r>
      <w:r w:rsidR="00AD6370">
        <w:rPr>
          <w:rFonts w:eastAsia="標楷體" w:hint="eastAsia"/>
          <w:sz w:val="24"/>
          <w:szCs w:val="28"/>
        </w:rPr>
        <w:t>, 2018</w:t>
      </w:r>
    </w:p>
    <w:p w:rsidR="006A083A" w:rsidRPr="00543487" w:rsidRDefault="006A083A" w:rsidP="00766E4B">
      <w:pPr>
        <w:spacing w:afterLines="100" w:after="240" w:line="440" w:lineRule="exact"/>
        <w:ind w:leftChars="330" w:left="660"/>
        <w:jc w:val="center"/>
        <w:rPr>
          <w:rFonts w:eastAsia="標楷體"/>
          <w:b/>
          <w:sz w:val="28"/>
          <w:szCs w:val="28"/>
        </w:rPr>
      </w:pPr>
      <w:r w:rsidRPr="00543487">
        <w:rPr>
          <w:rFonts w:eastAsia="標楷體"/>
          <w:b/>
          <w:sz w:val="28"/>
          <w:szCs w:val="28"/>
        </w:rPr>
        <w:t>Central Bank of the Republic of China (Taiwan)</w:t>
      </w:r>
    </w:p>
    <w:p w:rsidR="006A083A" w:rsidRPr="00543487" w:rsidRDefault="006A083A" w:rsidP="00766E4B">
      <w:pPr>
        <w:spacing w:afterLines="100" w:after="240" w:line="440" w:lineRule="exact"/>
        <w:ind w:leftChars="330" w:left="660"/>
        <w:jc w:val="center"/>
        <w:rPr>
          <w:rFonts w:eastAsia="標楷體"/>
          <w:b/>
          <w:sz w:val="28"/>
          <w:szCs w:val="28"/>
        </w:rPr>
      </w:pPr>
      <w:r w:rsidRPr="00543487">
        <w:rPr>
          <w:rFonts w:eastAsia="標楷體"/>
          <w:b/>
          <w:sz w:val="28"/>
          <w:szCs w:val="28"/>
        </w:rPr>
        <w:t xml:space="preserve">PRESS RELEASE </w:t>
      </w:r>
    </w:p>
    <w:p w:rsidR="00BD32CA" w:rsidRDefault="006A083A" w:rsidP="00766E4B">
      <w:pPr>
        <w:spacing w:afterLines="150" w:after="360" w:line="440" w:lineRule="exact"/>
        <w:ind w:leftChars="330" w:left="660"/>
        <w:jc w:val="center"/>
        <w:rPr>
          <w:rFonts w:eastAsia="標楷體"/>
          <w:b/>
          <w:sz w:val="28"/>
          <w:szCs w:val="28"/>
        </w:rPr>
      </w:pPr>
      <w:r w:rsidRPr="00543487">
        <w:rPr>
          <w:rFonts w:eastAsia="標楷體"/>
          <w:b/>
          <w:sz w:val="28"/>
          <w:szCs w:val="28"/>
        </w:rPr>
        <w:t>Monetary Policy Decision of the Board Meeting</w:t>
      </w:r>
    </w:p>
    <w:p w:rsidR="00BD32CA" w:rsidRPr="00766E4B" w:rsidRDefault="00055735" w:rsidP="00766E4B">
      <w:pPr>
        <w:spacing w:before="120" w:line="440" w:lineRule="exact"/>
        <w:jc w:val="both"/>
        <w:rPr>
          <w:rFonts w:eastAsia="標楷體"/>
          <w:sz w:val="24"/>
          <w:szCs w:val="24"/>
        </w:rPr>
      </w:pPr>
      <w:r w:rsidRPr="00766E4B">
        <w:rPr>
          <w:rFonts w:eastAsia="標楷體" w:hint="eastAsia"/>
          <w:sz w:val="24"/>
          <w:szCs w:val="24"/>
        </w:rPr>
        <w:t xml:space="preserve">I. </w:t>
      </w:r>
      <w:r w:rsidR="00BD32CA" w:rsidRPr="00766E4B">
        <w:rPr>
          <w:rFonts w:eastAsia="標楷體"/>
          <w:sz w:val="24"/>
          <w:szCs w:val="24"/>
        </w:rPr>
        <w:t>Global economic and financial conditions</w:t>
      </w:r>
    </w:p>
    <w:p w:rsidR="00853BAF" w:rsidRPr="00853BAF" w:rsidRDefault="00853BAF" w:rsidP="00853BAF">
      <w:pPr>
        <w:spacing w:before="120" w:line="440" w:lineRule="exact"/>
        <w:ind w:leftChars="142" w:left="284"/>
        <w:jc w:val="both"/>
        <w:rPr>
          <w:rFonts w:eastAsia="標楷體"/>
          <w:sz w:val="24"/>
          <w:szCs w:val="24"/>
        </w:rPr>
      </w:pPr>
      <w:r w:rsidRPr="00853BAF">
        <w:rPr>
          <w:rFonts w:eastAsia="標楷體"/>
          <w:sz w:val="24"/>
          <w:szCs w:val="24"/>
        </w:rPr>
        <w:t xml:space="preserve">Since the Board met in late March this year, the global economy has experienced a robust expansion. Among major economies, growth in the US economy has accelerated, whereas the euro area, Japan and China have shown signs of slight moderation. An uptrend in commodity prices including oil prices has led global inflation to rise. Meanwhile, markets expected a faster pace of the US Fed's rate </w:t>
      </w:r>
      <w:proofErr w:type="gramStart"/>
      <w:r w:rsidRPr="00853BAF">
        <w:rPr>
          <w:rFonts w:eastAsia="標楷體"/>
          <w:sz w:val="24"/>
          <w:szCs w:val="24"/>
        </w:rPr>
        <w:t>hikes,</w:t>
      </w:r>
      <w:proofErr w:type="gramEnd"/>
      <w:r w:rsidRPr="00853BAF">
        <w:rPr>
          <w:rFonts w:eastAsia="標楷體"/>
          <w:sz w:val="24"/>
          <w:szCs w:val="24"/>
        </w:rPr>
        <w:t xml:space="preserve"> and trade conflicts between the US and China raised concern. These developments have induced capital outflows and declines in stock prices and currency values in some emerging market economies, heightening the volatility in global financial markets.</w:t>
      </w:r>
    </w:p>
    <w:p w:rsidR="00853BAF" w:rsidRPr="00853BAF" w:rsidRDefault="00853BAF" w:rsidP="00853BAF">
      <w:pPr>
        <w:spacing w:before="120" w:line="440" w:lineRule="exact"/>
        <w:ind w:leftChars="142" w:left="284"/>
        <w:jc w:val="both"/>
        <w:rPr>
          <w:rFonts w:eastAsia="標楷體"/>
          <w:sz w:val="24"/>
          <w:szCs w:val="24"/>
        </w:rPr>
      </w:pPr>
      <w:r w:rsidRPr="00853BAF">
        <w:rPr>
          <w:rFonts w:eastAsia="標楷體"/>
          <w:sz w:val="24"/>
          <w:szCs w:val="24"/>
        </w:rPr>
        <w:t>The Fed announced another rate increase last week, yet its policy stance remains accommodative. The ECB decided to phase out its asset purchase program by the end of the year and maintain policy rates at present levels at least until the summer of 2019. Moreover, central banks in Japan and China both kept their policy rates unchanged. This indicates that major economies still held an accommodative monetary policy stance.</w:t>
      </w:r>
    </w:p>
    <w:p w:rsidR="00853BAF" w:rsidRPr="00766E4B" w:rsidRDefault="00853BAF" w:rsidP="00853BAF">
      <w:pPr>
        <w:spacing w:before="120" w:line="440" w:lineRule="exact"/>
        <w:ind w:leftChars="142" w:left="284"/>
        <w:jc w:val="both"/>
        <w:rPr>
          <w:rFonts w:eastAsia="標楷體"/>
          <w:sz w:val="24"/>
          <w:szCs w:val="24"/>
        </w:rPr>
      </w:pPr>
      <w:r w:rsidRPr="00853BAF">
        <w:rPr>
          <w:rFonts w:eastAsia="標楷體"/>
          <w:sz w:val="24"/>
          <w:szCs w:val="24"/>
        </w:rPr>
        <w:t>Looking ahead, the continuation of the path toward monetary policy normalization by major central banks may have a further impact on debt-laden emerging market economies and could raise global financial fragilities. This, combined with escalating trade frictions among major economies, will all increase the uncertainties over the global economic and financial outlook.</w:t>
      </w:r>
    </w:p>
    <w:p w:rsidR="00BD32CA" w:rsidRPr="00766E4B" w:rsidRDefault="00055735" w:rsidP="00766E4B">
      <w:pPr>
        <w:spacing w:before="120" w:line="440" w:lineRule="exact"/>
        <w:jc w:val="both"/>
        <w:rPr>
          <w:rFonts w:eastAsia="標楷體"/>
          <w:sz w:val="24"/>
          <w:szCs w:val="24"/>
        </w:rPr>
      </w:pPr>
      <w:r w:rsidRPr="00766E4B">
        <w:rPr>
          <w:rFonts w:eastAsia="標楷體" w:hint="eastAsia"/>
          <w:sz w:val="24"/>
          <w:szCs w:val="24"/>
        </w:rPr>
        <w:t xml:space="preserve">II. </w:t>
      </w:r>
      <w:r w:rsidR="00BD32CA" w:rsidRPr="00766E4B">
        <w:rPr>
          <w:rFonts w:eastAsia="標楷體"/>
          <w:sz w:val="24"/>
          <w:szCs w:val="24"/>
        </w:rPr>
        <w:t>Domestic economic and financial conditions</w:t>
      </w:r>
    </w:p>
    <w:p w:rsidR="004A7DAA" w:rsidRPr="004A7DAA" w:rsidRDefault="004A7DAA" w:rsidP="004A7DAA">
      <w:pPr>
        <w:spacing w:before="120" w:line="440" w:lineRule="exact"/>
        <w:ind w:left="285" w:hanging="285"/>
        <w:jc w:val="both"/>
        <w:rPr>
          <w:rFonts w:eastAsia="標楷體"/>
          <w:sz w:val="24"/>
          <w:szCs w:val="24"/>
        </w:rPr>
      </w:pPr>
      <w:r w:rsidRPr="004A7DAA">
        <w:rPr>
          <w:rFonts w:eastAsia="標楷體"/>
          <w:sz w:val="24"/>
          <w:szCs w:val="24"/>
        </w:rPr>
        <w:t>1.</w:t>
      </w:r>
      <w:r w:rsidRPr="004A7DAA">
        <w:rPr>
          <w:rFonts w:eastAsia="標楷體"/>
          <w:sz w:val="24"/>
          <w:szCs w:val="24"/>
        </w:rPr>
        <w:tab/>
      </w:r>
      <w:r w:rsidR="00853BAF" w:rsidRPr="00853BAF">
        <w:rPr>
          <w:rFonts w:eastAsia="標楷體"/>
          <w:sz w:val="24"/>
          <w:szCs w:val="24"/>
        </w:rPr>
        <w:t xml:space="preserve">For the year to </w:t>
      </w:r>
      <w:proofErr w:type="gramStart"/>
      <w:r w:rsidR="00853BAF" w:rsidRPr="00853BAF">
        <w:rPr>
          <w:rFonts w:eastAsia="標楷體"/>
          <w:sz w:val="24"/>
          <w:szCs w:val="24"/>
        </w:rPr>
        <w:t>date,</w:t>
      </w:r>
      <w:proofErr w:type="gramEnd"/>
      <w:r w:rsidR="00853BAF" w:rsidRPr="00853BAF">
        <w:rPr>
          <w:rFonts w:eastAsia="標楷體"/>
          <w:sz w:val="24"/>
          <w:szCs w:val="24"/>
        </w:rPr>
        <w:t xml:space="preserve"> exports have posted solid growth and private consumption has picked up. The domestic economy advanced at a steady pace. As for the second half of the year, it is expected that export growth momentum may soften because of a higher base effect, whereas domestic demand will continue to serve as the primary driver of economic growth</w:t>
      </w:r>
      <w:r w:rsidRPr="004A7DAA">
        <w:rPr>
          <w:rFonts w:eastAsia="標楷體"/>
          <w:sz w:val="24"/>
          <w:szCs w:val="24"/>
        </w:rPr>
        <w:t>.</w:t>
      </w:r>
    </w:p>
    <w:p w:rsidR="00853BAF" w:rsidRPr="00853BAF" w:rsidRDefault="00853BAF" w:rsidP="00853BAF">
      <w:pPr>
        <w:spacing w:before="120" w:line="440" w:lineRule="exact"/>
        <w:ind w:leftChars="142" w:left="284"/>
        <w:jc w:val="both"/>
        <w:rPr>
          <w:rFonts w:eastAsia="標楷體"/>
          <w:sz w:val="24"/>
          <w:szCs w:val="24"/>
        </w:rPr>
      </w:pPr>
      <w:r w:rsidRPr="00853BAF">
        <w:rPr>
          <w:rFonts w:eastAsia="標楷體"/>
          <w:sz w:val="24"/>
          <w:szCs w:val="24"/>
        </w:rPr>
        <w:lastRenderedPageBreak/>
        <w:t>With regard to private consumption, the upcoming enforcement of the public sector pension reform may slightly affect consumers' willingness to spend. Nevertheless, bolstered by a gradual improvement in labor market conditions, such as increased employment, declining unemployment rate, and mild wage growth, private consumption is likely to grow steadily. In addition, private investment growth may rebound on account of an anticipated rise in capital expenditure by domestic manufacturers and a lower base effect. As a result, the CBC forecasts Taiwan's economy to advance by 2.30% for the second half of the year.</w:t>
      </w:r>
    </w:p>
    <w:p w:rsidR="00BD32CA" w:rsidRPr="00766E4B" w:rsidRDefault="00853BAF" w:rsidP="00853BAF">
      <w:pPr>
        <w:spacing w:before="120" w:line="440" w:lineRule="exact"/>
        <w:ind w:leftChars="142" w:left="284"/>
        <w:jc w:val="both"/>
        <w:rPr>
          <w:rFonts w:eastAsia="標楷體"/>
          <w:sz w:val="24"/>
          <w:szCs w:val="24"/>
        </w:rPr>
      </w:pPr>
      <w:r w:rsidRPr="00853BAF">
        <w:rPr>
          <w:rFonts w:eastAsia="標楷體"/>
          <w:sz w:val="24"/>
          <w:szCs w:val="24"/>
        </w:rPr>
        <w:t>For the year as a whole, the CBC has revised up the economic growth projection to 2.68%, reflecting a better-than-expected performance in the domestic economy in the first quarter and the CBC's upward revisions in export and private investment growth.</w:t>
      </w:r>
    </w:p>
    <w:p w:rsidR="004A7DAA" w:rsidRPr="004A7DAA" w:rsidRDefault="004A7DAA" w:rsidP="004A7DAA">
      <w:pPr>
        <w:spacing w:before="120" w:line="440" w:lineRule="exact"/>
        <w:ind w:left="285" w:hanging="285"/>
        <w:jc w:val="both"/>
        <w:rPr>
          <w:rFonts w:eastAsia="標楷體"/>
          <w:sz w:val="24"/>
          <w:szCs w:val="24"/>
        </w:rPr>
      </w:pPr>
      <w:r w:rsidRPr="004A7DAA">
        <w:rPr>
          <w:rFonts w:eastAsia="標楷體"/>
          <w:sz w:val="24"/>
          <w:szCs w:val="24"/>
        </w:rPr>
        <w:t>2.</w:t>
      </w:r>
      <w:r w:rsidRPr="004A7DAA">
        <w:rPr>
          <w:rFonts w:eastAsia="標楷體"/>
          <w:sz w:val="24"/>
          <w:szCs w:val="24"/>
        </w:rPr>
        <w:tab/>
      </w:r>
      <w:r w:rsidR="00853BAF" w:rsidRPr="00853BAF">
        <w:rPr>
          <w:rFonts w:eastAsia="標楷體"/>
          <w:sz w:val="24"/>
          <w:szCs w:val="24"/>
        </w:rPr>
        <w:t>The increase in international oil prices was larger than expected, pushing up domestic import prices. Furthermore, rising vegetable prices and the hike in cigarette prices also contributed to a greater increase in CPI inflation in recent months. For the first five months of the year, the average CPI annual growth rate was 1.66%, while core inflation (excluding vegetables, fruit, and energy items) averaged 1.40%, suggesting that current inflationary pressures remain mild</w:t>
      </w:r>
      <w:r w:rsidRPr="004A7DAA">
        <w:rPr>
          <w:rFonts w:eastAsia="標楷體"/>
          <w:sz w:val="24"/>
          <w:szCs w:val="24"/>
        </w:rPr>
        <w:t>.</w:t>
      </w:r>
    </w:p>
    <w:p w:rsidR="00EA1B36" w:rsidRPr="00766E4B" w:rsidRDefault="00853BAF" w:rsidP="004A7DAA">
      <w:pPr>
        <w:spacing w:before="120" w:line="440" w:lineRule="exact"/>
        <w:ind w:leftChars="142" w:left="284"/>
        <w:jc w:val="both"/>
        <w:rPr>
          <w:rFonts w:eastAsia="標楷體"/>
          <w:sz w:val="24"/>
          <w:szCs w:val="24"/>
        </w:rPr>
      </w:pPr>
      <w:r w:rsidRPr="00853BAF">
        <w:rPr>
          <w:rFonts w:eastAsia="標楷體"/>
          <w:sz w:val="24"/>
          <w:szCs w:val="24"/>
        </w:rPr>
        <w:t>In terms of the inflation outlook in the second half of 2018, the annual growth rate of CPI is expected to moderate to 1.21% as telecommunication rates were pared down and the deferred effect from last year's cigarette tax hike fades away. The CBC, taking into account of international oil price increases, has revised up its forecast of CPI inflation to 1.40% and revised its core CPI forecast downwards to 1.16% in view of reductions in telecommunication rates (see Table 1 in Appendix for major institution projections).</w:t>
      </w:r>
    </w:p>
    <w:p w:rsidR="00853BAF" w:rsidRPr="00853BAF" w:rsidRDefault="00EA1B36" w:rsidP="00853BAF">
      <w:pPr>
        <w:spacing w:before="120" w:line="440" w:lineRule="exact"/>
        <w:ind w:left="285" w:hanging="285"/>
        <w:jc w:val="both"/>
        <w:rPr>
          <w:rFonts w:eastAsia="標楷體"/>
          <w:sz w:val="24"/>
          <w:szCs w:val="24"/>
        </w:rPr>
      </w:pPr>
      <w:r w:rsidRPr="00766E4B">
        <w:rPr>
          <w:rFonts w:eastAsia="標楷體"/>
          <w:sz w:val="24"/>
          <w:szCs w:val="24"/>
        </w:rPr>
        <w:t>3.</w:t>
      </w:r>
      <w:r w:rsidRPr="00766E4B">
        <w:rPr>
          <w:rFonts w:eastAsia="標楷體"/>
          <w:sz w:val="24"/>
          <w:szCs w:val="24"/>
        </w:rPr>
        <w:tab/>
      </w:r>
      <w:r w:rsidR="00853BAF" w:rsidRPr="00853BAF">
        <w:rPr>
          <w:rFonts w:eastAsia="標楷體"/>
          <w:sz w:val="24"/>
          <w:szCs w:val="24"/>
        </w:rPr>
        <w:t>The CBC has managed market liquidity through open market operations in response to domestic economic conditions. Banks' reserves have remained at an appropriate level. In recent months, an uptick in short-term market rates was accompanied by small declines in the 10-year government bond yield, and the NT dollar weakened against the US dollar, pointing to continued easy financial conditions.</w:t>
      </w:r>
    </w:p>
    <w:p w:rsidR="00EA1B36" w:rsidRPr="00766E4B" w:rsidRDefault="00853BAF" w:rsidP="00853BAF">
      <w:pPr>
        <w:spacing w:before="120" w:line="440" w:lineRule="exact"/>
        <w:ind w:leftChars="142" w:left="284"/>
        <w:jc w:val="both"/>
        <w:rPr>
          <w:rFonts w:eastAsia="標楷體"/>
          <w:sz w:val="24"/>
          <w:szCs w:val="24"/>
        </w:rPr>
      </w:pPr>
      <w:r w:rsidRPr="00853BAF">
        <w:rPr>
          <w:rFonts w:eastAsia="標楷體"/>
          <w:sz w:val="24"/>
          <w:szCs w:val="24"/>
        </w:rPr>
        <w:t xml:space="preserve">For the first five months of the year, bank credit registered steady growth, expanding by 4.93% year on year, while the monetary aggregate M2 posted an average annual growth </w:t>
      </w:r>
      <w:r w:rsidRPr="00853BAF">
        <w:rPr>
          <w:rFonts w:eastAsia="標楷體"/>
          <w:sz w:val="24"/>
          <w:szCs w:val="24"/>
        </w:rPr>
        <w:lastRenderedPageBreak/>
        <w:t>rate of 3.62%, within this year's target range.</w:t>
      </w:r>
      <w:r w:rsidR="00EA1B36" w:rsidRPr="00766E4B">
        <w:rPr>
          <w:rFonts w:eastAsia="標楷體"/>
          <w:sz w:val="24"/>
          <w:szCs w:val="24"/>
        </w:rPr>
        <w:t xml:space="preserve">  </w:t>
      </w:r>
    </w:p>
    <w:p w:rsidR="00EA1B36" w:rsidRPr="00766E4B" w:rsidRDefault="00EA1B36" w:rsidP="00766E4B">
      <w:pPr>
        <w:spacing w:before="120" w:line="440" w:lineRule="exact"/>
        <w:jc w:val="both"/>
        <w:rPr>
          <w:rFonts w:eastAsia="標楷體"/>
          <w:sz w:val="24"/>
          <w:szCs w:val="24"/>
        </w:rPr>
      </w:pPr>
      <w:r w:rsidRPr="00766E4B">
        <w:rPr>
          <w:rFonts w:eastAsia="標楷體"/>
          <w:sz w:val="24"/>
          <w:szCs w:val="24"/>
        </w:rPr>
        <w:t>III.</w:t>
      </w:r>
      <w:r w:rsidRPr="00766E4B">
        <w:rPr>
          <w:rFonts w:eastAsia="標楷體"/>
          <w:sz w:val="24"/>
          <w:szCs w:val="24"/>
        </w:rPr>
        <w:tab/>
      </w:r>
      <w:r w:rsidR="00853BAF">
        <w:rPr>
          <w:rFonts w:eastAsia="標楷體" w:hint="eastAsia"/>
          <w:sz w:val="24"/>
          <w:szCs w:val="24"/>
        </w:rPr>
        <w:t>Interest rate</w:t>
      </w:r>
      <w:r w:rsidRPr="00766E4B">
        <w:rPr>
          <w:rFonts w:eastAsia="標楷體"/>
          <w:sz w:val="24"/>
          <w:szCs w:val="24"/>
        </w:rPr>
        <w:t xml:space="preserve"> decision </w:t>
      </w:r>
    </w:p>
    <w:p w:rsidR="00C441C7" w:rsidRPr="00C441C7" w:rsidRDefault="00853BAF" w:rsidP="00C441C7">
      <w:pPr>
        <w:spacing w:before="120" w:line="440" w:lineRule="exact"/>
        <w:ind w:leftChars="142" w:left="284"/>
        <w:jc w:val="both"/>
        <w:rPr>
          <w:rFonts w:eastAsia="標楷體"/>
          <w:sz w:val="24"/>
          <w:szCs w:val="24"/>
        </w:rPr>
      </w:pPr>
      <w:r w:rsidRPr="00853BAF">
        <w:rPr>
          <w:rFonts w:eastAsia="標楷體"/>
          <w:sz w:val="24"/>
          <w:szCs w:val="24"/>
        </w:rPr>
        <w:t>In sum, the inflation outlook for the year of 2018 is mild, along with gentle rises in domestic prices. As uncertainties over the global economy linger on the horizon, domestic economic growth is expected to slow slightly in the latter half of the year. For the year as a whole, the output gap is likely to close further but remain negative, with moderate momentum for economic expansion. It is also noted that the world’s major economies have continued with an accommodative monetary policy stance. Meanwhile, Taiwan's nominal and real interest rates register around the middle range among a host of economies (see Figure 1 and Table 2 in Appendix). Based on the above assessments, the Board judged that a policy rate hold and a continued accommodative monetary policy stance will help ensure price stability and foster steady economic and financial development.</w:t>
      </w:r>
    </w:p>
    <w:p w:rsidR="00C441C7" w:rsidRPr="00C441C7" w:rsidRDefault="00C441C7" w:rsidP="00C441C7">
      <w:pPr>
        <w:spacing w:before="120" w:line="440" w:lineRule="exact"/>
        <w:ind w:leftChars="142" w:left="284"/>
        <w:jc w:val="both"/>
        <w:rPr>
          <w:rFonts w:eastAsia="標楷體"/>
          <w:sz w:val="24"/>
          <w:szCs w:val="24"/>
        </w:rPr>
      </w:pPr>
      <w:r w:rsidRPr="00C441C7">
        <w:rPr>
          <w:rFonts w:eastAsia="標楷體"/>
          <w:sz w:val="24"/>
          <w:szCs w:val="24"/>
        </w:rPr>
        <w:t>The Board reached the following decision unanimously at the Meeting today:</w:t>
      </w:r>
    </w:p>
    <w:p w:rsidR="00C441C7" w:rsidRPr="00C441C7" w:rsidRDefault="00C441C7" w:rsidP="00294E15">
      <w:pPr>
        <w:spacing w:before="120" w:line="440" w:lineRule="exact"/>
        <w:ind w:leftChars="342" w:left="684"/>
        <w:jc w:val="both"/>
        <w:rPr>
          <w:rFonts w:eastAsia="標楷體"/>
          <w:sz w:val="24"/>
          <w:szCs w:val="24"/>
        </w:rPr>
      </w:pPr>
      <w:r w:rsidRPr="00C441C7">
        <w:rPr>
          <w:rFonts w:eastAsia="標楷體"/>
          <w:sz w:val="24"/>
          <w:szCs w:val="24"/>
        </w:rPr>
        <w:t>The discount rate, the rate on accommodations with collateral, and the rate on accommodations without collateral are kept unchanged at 1.375%, 1.75%, and 3.625%, respectively.</w:t>
      </w:r>
    </w:p>
    <w:p w:rsidR="00C441C7" w:rsidRPr="00C441C7" w:rsidRDefault="00294E15" w:rsidP="00C441C7">
      <w:pPr>
        <w:spacing w:before="120" w:line="440" w:lineRule="exact"/>
        <w:ind w:leftChars="142" w:left="284"/>
        <w:jc w:val="both"/>
        <w:rPr>
          <w:rFonts w:eastAsia="標楷體"/>
          <w:sz w:val="24"/>
          <w:szCs w:val="24"/>
        </w:rPr>
      </w:pPr>
      <w:r w:rsidRPr="00294E15">
        <w:rPr>
          <w:rFonts w:eastAsia="標楷體"/>
          <w:sz w:val="24"/>
          <w:szCs w:val="24"/>
        </w:rPr>
        <w:t>The CBC will continue monitoring the latest domestic economic and financial conditions and stay vigilant on the developments in monetary policy in other economies and global trade protectionism and their implications for Taiwan's economic prospects and financial market stability. We will timely undertake appropriate monetary policy actions as warranted in order to fulfill the central bank's statutory mandate</w:t>
      </w:r>
      <w:r w:rsidR="00C441C7" w:rsidRPr="00C441C7">
        <w:rPr>
          <w:rFonts w:eastAsia="標楷體"/>
          <w:sz w:val="24"/>
          <w:szCs w:val="24"/>
        </w:rPr>
        <w:t>.</w:t>
      </w:r>
    </w:p>
    <w:p w:rsidR="00294E15" w:rsidRPr="00294E15" w:rsidRDefault="00C441C7" w:rsidP="00294E15">
      <w:pPr>
        <w:spacing w:before="120" w:line="440" w:lineRule="exact"/>
        <w:ind w:left="242" w:hangingChars="101" w:hanging="242"/>
        <w:jc w:val="both"/>
        <w:rPr>
          <w:rFonts w:eastAsia="標楷體"/>
          <w:sz w:val="24"/>
          <w:szCs w:val="24"/>
        </w:rPr>
      </w:pPr>
      <w:r w:rsidRPr="00C441C7">
        <w:rPr>
          <w:rFonts w:eastAsia="標楷體"/>
          <w:sz w:val="24"/>
          <w:szCs w:val="24"/>
        </w:rPr>
        <w:t>IV.</w:t>
      </w:r>
      <w:r w:rsidRPr="00C441C7">
        <w:rPr>
          <w:rFonts w:eastAsia="標楷體"/>
          <w:sz w:val="24"/>
          <w:szCs w:val="24"/>
        </w:rPr>
        <w:tab/>
      </w:r>
      <w:r w:rsidR="00294E15" w:rsidRPr="00294E15">
        <w:rPr>
          <w:rFonts w:eastAsia="標楷體"/>
          <w:sz w:val="24"/>
          <w:szCs w:val="24"/>
        </w:rPr>
        <w:t>Against a backdrop of amplified volatility in global financial markets recently, the NT dollar exchange rate vis-à-vis the US dollar has experienced greater fluctuations, albeit to a less extent compared to other major currencies.</w:t>
      </w:r>
    </w:p>
    <w:p w:rsidR="00226DAD" w:rsidRDefault="00294E15" w:rsidP="00294E15">
      <w:pPr>
        <w:spacing w:before="120" w:line="440" w:lineRule="exact"/>
        <w:ind w:leftChars="142" w:left="284"/>
        <w:jc w:val="both"/>
        <w:rPr>
          <w:rFonts w:eastAsia="標楷體"/>
          <w:sz w:val="24"/>
          <w:szCs w:val="24"/>
        </w:rPr>
      </w:pPr>
      <w:r w:rsidRPr="00294E15">
        <w:rPr>
          <w:rFonts w:eastAsia="標楷體"/>
          <w:sz w:val="24"/>
          <w:szCs w:val="24"/>
        </w:rPr>
        <w:t>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in line with its mandate, step in to maintain an orderly market so as to ensure economic and financial stability.</w:t>
      </w:r>
    </w:p>
    <w:p w:rsidR="00226DAD" w:rsidRDefault="00226DAD">
      <w:pPr>
        <w:widowControl/>
        <w:adjustRightInd/>
        <w:spacing w:line="240" w:lineRule="auto"/>
        <w:textAlignment w:val="auto"/>
        <w:rPr>
          <w:rFonts w:eastAsia="標楷體"/>
          <w:sz w:val="24"/>
          <w:szCs w:val="24"/>
        </w:rPr>
      </w:pPr>
      <w:r>
        <w:rPr>
          <w:rFonts w:eastAsia="標楷體"/>
          <w:sz w:val="24"/>
          <w:szCs w:val="24"/>
        </w:rPr>
        <w:br w:type="page"/>
      </w:r>
    </w:p>
    <w:p w:rsidR="00226DAD" w:rsidRDefault="00226DAD" w:rsidP="00220196">
      <w:pPr>
        <w:spacing w:line="480" w:lineRule="exact"/>
        <w:jc w:val="center"/>
        <w:rPr>
          <w:rFonts w:eastAsia="標楷體"/>
          <w:b/>
          <w:sz w:val="28"/>
          <w:szCs w:val="28"/>
        </w:rPr>
      </w:pPr>
      <w:r>
        <w:rPr>
          <w:rFonts w:eastAsia="標楷體" w:hint="eastAsia"/>
          <w:b/>
          <w:sz w:val="28"/>
          <w:szCs w:val="28"/>
        </w:rPr>
        <w:lastRenderedPageBreak/>
        <w:t>Appendix</w:t>
      </w:r>
    </w:p>
    <w:p w:rsidR="00226DAD" w:rsidRPr="00220196" w:rsidRDefault="00226DAD" w:rsidP="00220196">
      <w:pPr>
        <w:spacing w:line="480" w:lineRule="exact"/>
        <w:jc w:val="center"/>
        <w:rPr>
          <w:rFonts w:eastAsia="標楷體"/>
          <w:b/>
          <w:sz w:val="28"/>
          <w:szCs w:val="28"/>
        </w:rPr>
      </w:pP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sidRPr="009032EE">
        <w:rPr>
          <w:rFonts w:eastAsia="標楷體"/>
          <w:b/>
          <w:sz w:val="28"/>
          <w:szCs w:val="28"/>
        </w:rPr>
        <w:t>s</w:t>
      </w:r>
      <w:proofErr w:type="gramEnd"/>
      <w:r w:rsidRPr="009032EE">
        <w:rPr>
          <w:rFonts w:eastAsia="標楷體"/>
          <w:b/>
          <w:sz w:val="28"/>
          <w:szCs w:val="28"/>
        </w:rPr>
        <w:t xml:space="preserve"> Inflation and Inflation Outlook</w:t>
      </w:r>
    </w:p>
    <w:tbl>
      <w:tblPr>
        <w:tblpPr w:leftFromText="180" w:rightFromText="180" w:vertAnchor="text" w:horzAnchor="margin" w:tblpX="111" w:tblpY="264"/>
        <w:tblW w:w="8080" w:type="dxa"/>
        <w:tblLayout w:type="fixed"/>
        <w:tblCellMar>
          <w:left w:w="28" w:type="dxa"/>
          <w:right w:w="28" w:type="dxa"/>
        </w:tblCellMar>
        <w:tblLook w:val="04A0" w:firstRow="1" w:lastRow="0" w:firstColumn="1" w:lastColumn="0" w:noHBand="0" w:noVBand="1"/>
      </w:tblPr>
      <w:tblGrid>
        <w:gridCol w:w="1304"/>
        <w:gridCol w:w="3091"/>
        <w:gridCol w:w="1701"/>
        <w:gridCol w:w="1984"/>
      </w:tblGrid>
      <w:tr w:rsidR="00226DAD" w:rsidRPr="004F16D5" w:rsidTr="00101A2C">
        <w:trPr>
          <w:trHeight w:val="694"/>
        </w:trPr>
        <w:tc>
          <w:tcPr>
            <w:tcW w:w="4395"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226DAD" w:rsidRPr="00952082" w:rsidRDefault="00226DAD" w:rsidP="005545EC">
            <w:pPr>
              <w:widowControl/>
              <w:snapToGrid w:val="0"/>
              <w:jc w:val="center"/>
              <w:rPr>
                <w:rFonts w:ascii="標楷體" w:eastAsia="標楷體" w:hAnsi="標楷體"/>
                <w:sz w:val="22"/>
                <w:szCs w:val="22"/>
              </w:rPr>
            </w:pPr>
            <w:r w:rsidRPr="00220196">
              <w:rPr>
                <w:rFonts w:eastAsia="標楷體" w:hint="eastAsia"/>
                <w:b/>
                <w:bCs/>
                <w:sz w:val="22"/>
                <w:szCs w:val="22"/>
              </w:rPr>
              <w:t>Forecast institutions</w:t>
            </w:r>
          </w:p>
        </w:tc>
        <w:tc>
          <w:tcPr>
            <w:tcW w:w="1701"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226DAD" w:rsidRPr="006551F7" w:rsidRDefault="00226DAD" w:rsidP="003E38A9">
            <w:pPr>
              <w:widowControl/>
              <w:snapToGrid w:val="0"/>
              <w:jc w:val="center"/>
              <w:rPr>
                <w:rFonts w:ascii="標楷體" w:eastAsia="標楷體" w:hAnsi="標楷體" w:cs="新細明體"/>
                <w:b/>
                <w:bCs/>
                <w:sz w:val="22"/>
                <w:szCs w:val="22"/>
              </w:rPr>
            </w:pPr>
            <w:r w:rsidRPr="00F356BE">
              <w:rPr>
                <w:rFonts w:eastAsia="標楷體"/>
                <w:b/>
                <w:bCs/>
                <w:sz w:val="22"/>
                <w:szCs w:val="22"/>
              </w:rPr>
              <w:t>Inflation</w:t>
            </w:r>
          </w:p>
        </w:tc>
        <w:tc>
          <w:tcPr>
            <w:tcW w:w="1984" w:type="dxa"/>
            <w:tcBorders>
              <w:top w:val="single" w:sz="8" w:space="0" w:color="auto"/>
              <w:left w:val="single" w:sz="6" w:space="0" w:color="auto"/>
              <w:bottom w:val="single" w:sz="6" w:space="0" w:color="auto"/>
              <w:right w:val="single" w:sz="6" w:space="0" w:color="auto"/>
            </w:tcBorders>
            <w:shd w:val="clear" w:color="000000" w:fill="FFFFFF"/>
            <w:vAlign w:val="center"/>
          </w:tcPr>
          <w:p w:rsidR="00226DAD" w:rsidRPr="00F356BE" w:rsidRDefault="00226DAD" w:rsidP="005545EC">
            <w:pPr>
              <w:widowControl/>
              <w:snapToGrid w:val="0"/>
              <w:jc w:val="center"/>
              <w:rPr>
                <w:rFonts w:eastAsia="標楷體"/>
                <w:b/>
                <w:bCs/>
                <w:sz w:val="22"/>
                <w:szCs w:val="22"/>
              </w:rPr>
            </w:pPr>
            <w:r w:rsidRPr="00F356BE">
              <w:rPr>
                <w:rFonts w:eastAsia="標楷體"/>
                <w:b/>
                <w:bCs/>
                <w:sz w:val="22"/>
                <w:szCs w:val="22"/>
              </w:rPr>
              <w:t xml:space="preserve">Inflation </w:t>
            </w:r>
          </w:p>
          <w:p w:rsidR="00226DAD" w:rsidRPr="006551F7" w:rsidRDefault="00226DAD" w:rsidP="005545EC">
            <w:pPr>
              <w:widowControl/>
              <w:snapToGrid w:val="0"/>
              <w:jc w:val="center"/>
              <w:rPr>
                <w:rFonts w:ascii="標楷體" w:eastAsia="標楷體" w:hAnsi="標楷體" w:cs="新細明體"/>
                <w:b/>
                <w:bCs/>
                <w:sz w:val="22"/>
                <w:szCs w:val="22"/>
              </w:rPr>
            </w:pPr>
            <w:r w:rsidRPr="00F356BE">
              <w:rPr>
                <w:rFonts w:eastAsia="標楷體"/>
                <w:b/>
                <w:bCs/>
                <w:sz w:val="22"/>
                <w:szCs w:val="22"/>
              </w:rPr>
              <w:t>outlook</w:t>
            </w:r>
          </w:p>
        </w:tc>
      </w:tr>
      <w:tr w:rsidR="00226DAD" w:rsidRPr="004F16D5" w:rsidTr="005545EC">
        <w:trPr>
          <w:trHeight w:val="420"/>
        </w:trPr>
        <w:tc>
          <w:tcPr>
            <w:tcW w:w="4395" w:type="dxa"/>
            <w:gridSpan w:val="2"/>
            <w:vMerge/>
            <w:tcBorders>
              <w:left w:val="single" w:sz="6" w:space="0" w:color="auto"/>
              <w:bottom w:val="single" w:sz="6" w:space="0" w:color="auto"/>
              <w:right w:val="single" w:sz="6" w:space="0" w:color="auto"/>
            </w:tcBorders>
            <w:shd w:val="clear" w:color="000000" w:fill="FFFFFF"/>
            <w:noWrap/>
            <w:vAlign w:val="bottom"/>
            <w:hideMark/>
          </w:tcPr>
          <w:p w:rsidR="00226DAD" w:rsidRPr="004F16D5" w:rsidRDefault="00226DAD" w:rsidP="005545EC">
            <w:pPr>
              <w:widowControl/>
              <w:snapToGrid w:val="0"/>
              <w:rPr>
                <w:rFonts w:ascii="標楷體" w:eastAsia="標楷體" w:hAnsi="標楷體" w:cs="新細明體"/>
                <w:bCs/>
                <w:sz w:val="22"/>
                <w:szCs w:val="22"/>
              </w:rPr>
            </w:pPr>
          </w:p>
        </w:tc>
        <w:tc>
          <w:tcPr>
            <w:tcW w:w="170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4F16D5" w:rsidRDefault="00226DAD" w:rsidP="008B1363">
            <w:pPr>
              <w:widowControl/>
              <w:snapToGrid w:val="0"/>
              <w:jc w:val="center"/>
              <w:rPr>
                <w:bCs/>
                <w:sz w:val="22"/>
                <w:szCs w:val="22"/>
              </w:rPr>
            </w:pPr>
            <w:r>
              <w:rPr>
                <w:bCs/>
                <w:sz w:val="22"/>
                <w:szCs w:val="22"/>
              </w:rPr>
              <w:t>Jan.-</w:t>
            </w:r>
            <w:r>
              <w:rPr>
                <w:rFonts w:hint="eastAsia"/>
                <w:bCs/>
                <w:sz w:val="22"/>
                <w:szCs w:val="22"/>
              </w:rPr>
              <w:t>May</w:t>
            </w:r>
            <w:r>
              <w:rPr>
                <w:bCs/>
                <w:sz w:val="22"/>
                <w:szCs w:val="22"/>
              </w:rPr>
              <w:t xml:space="preserve"> 201</w:t>
            </w:r>
            <w:r>
              <w:rPr>
                <w:rFonts w:hint="eastAsia"/>
                <w:bCs/>
                <w:sz w:val="22"/>
                <w:szCs w:val="22"/>
              </w:rPr>
              <w:t>8</w:t>
            </w: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226DAD" w:rsidRPr="004F16D5" w:rsidRDefault="00226DAD" w:rsidP="005545EC">
            <w:pPr>
              <w:widowControl/>
              <w:snapToGrid w:val="0"/>
              <w:jc w:val="center"/>
              <w:rPr>
                <w:rFonts w:eastAsia="標楷體"/>
                <w:bCs/>
                <w:sz w:val="22"/>
                <w:szCs w:val="22"/>
              </w:rPr>
            </w:pPr>
            <w:r w:rsidRPr="004F16D5">
              <w:rPr>
                <w:rFonts w:eastAsia="標楷體"/>
                <w:bCs/>
                <w:sz w:val="22"/>
                <w:szCs w:val="22"/>
              </w:rPr>
              <w:t>2018</w:t>
            </w:r>
            <w:r>
              <w:rPr>
                <w:rFonts w:eastAsia="標楷體" w:hint="eastAsia"/>
                <w:bCs/>
                <w:sz w:val="22"/>
                <w:szCs w:val="22"/>
              </w:rPr>
              <w:t xml:space="preserve"> </w:t>
            </w:r>
            <w:r w:rsidRPr="004F16D5">
              <w:rPr>
                <w:rFonts w:eastAsia="標楷體"/>
                <w:bCs/>
                <w:sz w:val="22"/>
                <w:szCs w:val="22"/>
              </w:rPr>
              <w:t>(f)</w:t>
            </w:r>
          </w:p>
        </w:tc>
      </w:tr>
      <w:tr w:rsidR="00226DAD" w:rsidRPr="004F16D5" w:rsidTr="00485FD5">
        <w:trPr>
          <w:trHeight w:val="456"/>
        </w:trPr>
        <w:tc>
          <w:tcPr>
            <w:tcW w:w="1304" w:type="dxa"/>
            <w:vMerge w:val="restart"/>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20196" w:rsidRDefault="00226DAD" w:rsidP="005545EC">
            <w:pPr>
              <w:widowControl/>
              <w:snapToGrid w:val="0"/>
              <w:jc w:val="center"/>
              <w:rPr>
                <w:rFonts w:eastAsia="標楷體"/>
                <w:b/>
                <w:bCs/>
                <w:sz w:val="22"/>
                <w:szCs w:val="22"/>
              </w:rPr>
            </w:pPr>
            <w:r w:rsidRPr="00F356BE">
              <w:rPr>
                <w:rFonts w:eastAsia="標楷體"/>
                <w:b/>
                <w:bCs/>
                <w:sz w:val="22"/>
                <w:szCs w:val="22"/>
              </w:rPr>
              <w:t>Domestic institutions</w:t>
            </w: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20196" w:rsidRDefault="00226DAD" w:rsidP="005545EC">
            <w:pPr>
              <w:jc w:val="both"/>
              <w:rPr>
                <w:rFonts w:eastAsia="標楷體"/>
                <w:bCs/>
                <w:sz w:val="22"/>
                <w:szCs w:val="22"/>
              </w:rPr>
            </w:pPr>
            <w:proofErr w:type="spellStart"/>
            <w:r w:rsidRPr="00220196">
              <w:rPr>
                <w:rFonts w:eastAsia="標楷體"/>
                <w:bCs/>
                <w:sz w:val="22"/>
                <w:szCs w:val="22"/>
              </w:rPr>
              <w:t>Yuanta</w:t>
            </w:r>
            <w:proofErr w:type="spellEnd"/>
            <w:r w:rsidRPr="00220196">
              <w:rPr>
                <w:rFonts w:eastAsia="標楷體"/>
                <w:bCs/>
                <w:sz w:val="22"/>
                <w:szCs w:val="22"/>
              </w:rPr>
              <w:t>-Polaris (</w:t>
            </w:r>
            <w:r w:rsidRPr="009659C6">
              <w:rPr>
                <w:rFonts w:eastAsia="標楷體"/>
                <w:sz w:val="22"/>
              </w:rPr>
              <w:t>2018/3/28</w:t>
            </w:r>
            <w:r w:rsidRPr="00220196">
              <w:rPr>
                <w:rFonts w:eastAsia="標楷體"/>
                <w:bCs/>
                <w:sz w:val="22"/>
                <w:szCs w:val="22"/>
              </w:rPr>
              <w:t>)</w:t>
            </w:r>
          </w:p>
        </w:tc>
        <w:tc>
          <w:tcPr>
            <w:tcW w:w="1701" w:type="dxa"/>
            <w:vMerge w:val="restart"/>
            <w:tcBorders>
              <w:top w:val="single" w:sz="6" w:space="0" w:color="auto"/>
              <w:left w:val="single" w:sz="6" w:space="0" w:color="auto"/>
              <w:right w:val="single" w:sz="6" w:space="0" w:color="auto"/>
            </w:tcBorders>
            <w:shd w:val="clear" w:color="000000" w:fill="FFFFFF"/>
            <w:hideMark/>
          </w:tcPr>
          <w:p w:rsidR="00226DAD" w:rsidRDefault="00226DAD" w:rsidP="009157B2">
            <w:pPr>
              <w:widowControl/>
              <w:snapToGrid w:val="0"/>
              <w:spacing w:beforeLines="50" w:before="120"/>
              <w:jc w:val="center"/>
              <w:rPr>
                <w:b/>
                <w:bCs/>
                <w:sz w:val="22"/>
                <w:szCs w:val="22"/>
              </w:rPr>
            </w:pPr>
          </w:p>
          <w:p w:rsidR="00226DAD" w:rsidRDefault="00226DAD" w:rsidP="009157B2">
            <w:pPr>
              <w:widowControl/>
              <w:snapToGrid w:val="0"/>
              <w:spacing w:beforeLines="50" w:before="120"/>
              <w:jc w:val="center"/>
              <w:rPr>
                <w:b/>
                <w:bCs/>
                <w:sz w:val="22"/>
                <w:szCs w:val="22"/>
              </w:rPr>
            </w:pPr>
          </w:p>
          <w:p w:rsidR="00226DAD" w:rsidRDefault="00226DAD" w:rsidP="009157B2">
            <w:pPr>
              <w:widowControl/>
              <w:snapToGrid w:val="0"/>
              <w:spacing w:beforeLines="50" w:before="120"/>
              <w:jc w:val="center"/>
              <w:rPr>
                <w:b/>
                <w:bCs/>
                <w:sz w:val="22"/>
                <w:szCs w:val="22"/>
              </w:rPr>
            </w:pPr>
          </w:p>
          <w:p w:rsidR="00226DAD" w:rsidRDefault="00226DAD" w:rsidP="009157B2">
            <w:pPr>
              <w:widowControl/>
              <w:snapToGrid w:val="0"/>
              <w:spacing w:beforeLines="50" w:before="120"/>
              <w:jc w:val="center"/>
              <w:rPr>
                <w:b/>
                <w:bCs/>
                <w:sz w:val="22"/>
                <w:szCs w:val="22"/>
              </w:rPr>
            </w:pPr>
          </w:p>
          <w:p w:rsidR="00226DAD" w:rsidRDefault="00226DAD" w:rsidP="009157B2">
            <w:pPr>
              <w:widowControl/>
              <w:snapToGrid w:val="0"/>
              <w:spacing w:beforeLines="70" w:before="168"/>
              <w:jc w:val="center"/>
              <w:rPr>
                <w:b/>
                <w:bCs/>
                <w:sz w:val="22"/>
                <w:szCs w:val="22"/>
              </w:rPr>
            </w:pPr>
            <w:r>
              <w:rPr>
                <w:rFonts w:hint="eastAsia"/>
                <w:b/>
                <w:bCs/>
                <w:sz w:val="22"/>
                <w:szCs w:val="22"/>
              </w:rPr>
              <w:t>1.66</w:t>
            </w:r>
          </w:p>
          <w:p w:rsidR="00226DAD" w:rsidRPr="006551F7" w:rsidRDefault="00226DAD" w:rsidP="009157B2">
            <w:pPr>
              <w:widowControl/>
              <w:snapToGrid w:val="0"/>
              <w:spacing w:beforeLines="25" w:before="60"/>
              <w:jc w:val="center"/>
              <w:rPr>
                <w:b/>
                <w:bCs/>
                <w:sz w:val="22"/>
                <w:szCs w:val="22"/>
              </w:rPr>
            </w:pPr>
            <w:r w:rsidRPr="006551F7">
              <w:rPr>
                <w:rFonts w:hint="eastAsia"/>
                <w:b/>
                <w:bCs/>
                <w:sz w:val="22"/>
                <w:szCs w:val="22"/>
              </w:rPr>
              <w:t xml:space="preserve"> (</w:t>
            </w:r>
            <w:r w:rsidRPr="006551F7">
              <w:rPr>
                <w:b/>
                <w:bCs/>
                <w:sz w:val="22"/>
                <w:szCs w:val="22"/>
              </w:rPr>
              <w:t>CPI)</w:t>
            </w:r>
          </w:p>
          <w:p w:rsidR="00226DAD" w:rsidRDefault="00226DAD" w:rsidP="009157B2">
            <w:pPr>
              <w:widowControl/>
              <w:snapToGrid w:val="0"/>
              <w:spacing w:beforeLines="20" w:before="48"/>
              <w:jc w:val="center"/>
              <w:rPr>
                <w:b/>
                <w:bCs/>
                <w:sz w:val="22"/>
                <w:szCs w:val="22"/>
              </w:rPr>
            </w:pPr>
          </w:p>
          <w:p w:rsidR="00226DAD" w:rsidRDefault="00226DAD" w:rsidP="009157B2">
            <w:pPr>
              <w:widowControl/>
              <w:snapToGrid w:val="0"/>
              <w:spacing w:beforeLines="20" w:before="48"/>
              <w:jc w:val="center"/>
              <w:rPr>
                <w:b/>
                <w:bCs/>
                <w:sz w:val="22"/>
                <w:szCs w:val="22"/>
              </w:rPr>
            </w:pPr>
            <w:r>
              <w:rPr>
                <w:rFonts w:hint="eastAsia"/>
                <w:b/>
                <w:bCs/>
                <w:sz w:val="22"/>
                <w:szCs w:val="22"/>
              </w:rPr>
              <w:t>1.40</w:t>
            </w:r>
          </w:p>
          <w:p w:rsidR="00226DAD" w:rsidRPr="004F16D5" w:rsidRDefault="00226DAD" w:rsidP="009157B2">
            <w:pPr>
              <w:widowControl/>
              <w:snapToGrid w:val="0"/>
              <w:spacing w:beforeLines="20" w:before="48"/>
              <w:jc w:val="center"/>
              <w:rPr>
                <w:bCs/>
                <w:sz w:val="22"/>
                <w:szCs w:val="22"/>
              </w:rPr>
            </w:pPr>
            <w:r w:rsidRPr="006551F7">
              <w:rPr>
                <w:b/>
                <w:bCs/>
                <w:sz w:val="22"/>
                <w:szCs w:val="22"/>
              </w:rPr>
              <w:t xml:space="preserve"> (</w:t>
            </w:r>
            <w:r>
              <w:rPr>
                <w:rFonts w:eastAsia="標楷體" w:hint="eastAsia"/>
                <w:b/>
                <w:bCs/>
                <w:sz w:val="22"/>
                <w:szCs w:val="22"/>
              </w:rPr>
              <w:t xml:space="preserve">Core </w:t>
            </w:r>
            <w:r w:rsidRPr="006551F7">
              <w:rPr>
                <w:b/>
                <w:bCs/>
                <w:sz w:val="22"/>
                <w:szCs w:val="22"/>
              </w:rPr>
              <w:t>CPI*</w:t>
            </w:r>
            <w:r>
              <w:rPr>
                <w:rFonts w:hint="eastAsia"/>
                <w:b/>
                <w:bCs/>
                <w:sz w:val="22"/>
                <w:szCs w:val="22"/>
              </w:rPr>
              <w:t>*</w:t>
            </w:r>
            <w:r w:rsidRPr="006551F7">
              <w:rPr>
                <w:b/>
                <w:bCs/>
                <w:sz w:val="22"/>
                <w:szCs w:val="22"/>
              </w:rPr>
              <w:t>)</w:t>
            </w: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D47C2A" w:rsidRDefault="00226DAD" w:rsidP="0019512C">
            <w:pPr>
              <w:jc w:val="center"/>
              <w:rPr>
                <w:sz w:val="22"/>
              </w:rPr>
            </w:pPr>
            <w:r w:rsidRPr="00D47C2A">
              <w:rPr>
                <w:sz w:val="22"/>
              </w:rPr>
              <w:t>1.</w:t>
            </w:r>
            <w:r>
              <w:rPr>
                <w:rFonts w:hint="eastAsia"/>
                <w:sz w:val="22"/>
              </w:rPr>
              <w:t>3</w:t>
            </w:r>
            <w:r w:rsidRPr="00D47C2A">
              <w:rPr>
                <w:sz w:val="22"/>
              </w:rPr>
              <w:t>0</w:t>
            </w:r>
          </w:p>
        </w:tc>
      </w:tr>
      <w:tr w:rsidR="00226DAD" w:rsidRPr="004F16D5" w:rsidTr="00485FD5">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226DAD" w:rsidRPr="00220196" w:rsidRDefault="00226DAD"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20196" w:rsidRDefault="00226DAD" w:rsidP="00D25BA7">
            <w:pPr>
              <w:jc w:val="both"/>
              <w:rPr>
                <w:rFonts w:eastAsia="標楷體"/>
                <w:bCs/>
                <w:sz w:val="22"/>
                <w:szCs w:val="22"/>
              </w:rPr>
            </w:pPr>
            <w:r w:rsidRPr="00F356BE">
              <w:rPr>
                <w:rFonts w:eastAsia="標楷體"/>
                <w:bCs/>
                <w:sz w:val="22"/>
                <w:szCs w:val="22"/>
              </w:rPr>
              <w:t>TIER</w:t>
            </w:r>
            <w:r w:rsidRPr="00220196">
              <w:rPr>
                <w:rFonts w:eastAsia="標楷體"/>
                <w:bCs/>
                <w:sz w:val="22"/>
                <w:szCs w:val="22"/>
              </w:rPr>
              <w:t xml:space="preserve"> (</w:t>
            </w:r>
            <w:r w:rsidRPr="009659C6">
              <w:rPr>
                <w:rFonts w:eastAsia="標楷體"/>
                <w:sz w:val="22"/>
              </w:rPr>
              <w:t>2018/</w:t>
            </w:r>
            <w:r>
              <w:rPr>
                <w:rFonts w:eastAsia="標楷體" w:hint="eastAsia"/>
                <w:sz w:val="22"/>
              </w:rPr>
              <w:t>4</w:t>
            </w:r>
            <w:r w:rsidRPr="009659C6">
              <w:rPr>
                <w:rFonts w:eastAsia="標楷體"/>
                <w:sz w:val="22"/>
              </w:rPr>
              <w:t>/2</w:t>
            </w:r>
            <w:r>
              <w:rPr>
                <w:rFonts w:eastAsia="標楷體" w:hint="eastAsia"/>
                <w:sz w:val="22"/>
              </w:rPr>
              <w:t>5</w:t>
            </w:r>
            <w:r w:rsidRPr="00220196">
              <w:rPr>
                <w:rFonts w:eastAsia="標楷體"/>
                <w:bCs/>
                <w:sz w:val="22"/>
                <w:szCs w:val="22"/>
              </w:rPr>
              <w:t>)</w:t>
            </w:r>
          </w:p>
        </w:tc>
        <w:tc>
          <w:tcPr>
            <w:tcW w:w="1701" w:type="dxa"/>
            <w:vMerge/>
            <w:tcBorders>
              <w:left w:val="single" w:sz="6" w:space="0" w:color="auto"/>
              <w:right w:val="single" w:sz="6" w:space="0" w:color="auto"/>
            </w:tcBorders>
            <w:vAlign w:val="center"/>
            <w:hideMark/>
          </w:tcPr>
          <w:p w:rsidR="00226DAD" w:rsidRPr="004F16D5" w:rsidRDefault="00226DAD" w:rsidP="005545E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D47C2A" w:rsidRDefault="00226DAD" w:rsidP="0019512C">
            <w:pPr>
              <w:jc w:val="center"/>
              <w:rPr>
                <w:sz w:val="22"/>
              </w:rPr>
            </w:pPr>
            <w:r w:rsidRPr="00D47C2A">
              <w:rPr>
                <w:sz w:val="22"/>
              </w:rPr>
              <w:t>1.</w:t>
            </w:r>
            <w:r>
              <w:rPr>
                <w:rFonts w:hint="eastAsia"/>
                <w:sz w:val="22"/>
              </w:rPr>
              <w:t>34</w:t>
            </w:r>
          </w:p>
        </w:tc>
      </w:tr>
      <w:tr w:rsidR="00226DAD" w:rsidRPr="004F16D5" w:rsidTr="00485FD5">
        <w:trPr>
          <w:trHeight w:val="911"/>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226DAD" w:rsidRPr="00220196" w:rsidRDefault="00226DAD"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20196" w:rsidRDefault="00226DAD" w:rsidP="00D25BA7">
            <w:pPr>
              <w:jc w:val="both"/>
              <w:rPr>
                <w:rFonts w:eastAsia="標楷體"/>
                <w:bCs/>
                <w:sz w:val="22"/>
                <w:szCs w:val="22"/>
              </w:rPr>
            </w:pPr>
            <w:r>
              <w:rPr>
                <w:rFonts w:eastAsia="標楷體" w:hint="eastAsia"/>
                <w:b/>
                <w:sz w:val="22"/>
                <w:szCs w:val="22"/>
              </w:rPr>
              <w:t xml:space="preserve">CBC </w:t>
            </w:r>
            <w:r w:rsidRPr="00F60FD5">
              <w:rPr>
                <w:rFonts w:eastAsia="標楷體"/>
                <w:b/>
                <w:sz w:val="22"/>
                <w:szCs w:val="22"/>
              </w:rPr>
              <w:t>(2018/</w:t>
            </w:r>
            <w:r>
              <w:rPr>
                <w:rFonts w:eastAsia="標楷體" w:hint="eastAsia"/>
                <w:b/>
                <w:sz w:val="22"/>
                <w:szCs w:val="22"/>
              </w:rPr>
              <w:t>6</w:t>
            </w:r>
            <w:r w:rsidRPr="00F60FD5">
              <w:rPr>
                <w:rFonts w:eastAsia="標楷體"/>
                <w:b/>
                <w:sz w:val="22"/>
                <w:szCs w:val="22"/>
              </w:rPr>
              <w:t>/8)</w:t>
            </w:r>
          </w:p>
        </w:tc>
        <w:tc>
          <w:tcPr>
            <w:tcW w:w="1701" w:type="dxa"/>
            <w:vMerge/>
            <w:tcBorders>
              <w:left w:val="single" w:sz="6" w:space="0" w:color="auto"/>
              <w:right w:val="single" w:sz="6" w:space="0" w:color="auto"/>
            </w:tcBorders>
            <w:vAlign w:val="center"/>
            <w:hideMark/>
          </w:tcPr>
          <w:p w:rsidR="00226DAD" w:rsidRPr="004F16D5" w:rsidRDefault="00226DAD" w:rsidP="005545E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226DAD" w:rsidRDefault="00226DAD" w:rsidP="00D2061A">
            <w:pPr>
              <w:widowControl/>
              <w:snapToGrid w:val="0"/>
              <w:jc w:val="center"/>
              <w:rPr>
                <w:b/>
                <w:bCs/>
                <w:sz w:val="22"/>
              </w:rPr>
            </w:pPr>
            <w:r w:rsidRPr="00F60FD5">
              <w:rPr>
                <w:b/>
                <w:bCs/>
                <w:sz w:val="22"/>
              </w:rPr>
              <w:t>1.</w:t>
            </w:r>
            <w:r>
              <w:rPr>
                <w:rFonts w:hint="eastAsia"/>
                <w:b/>
                <w:bCs/>
                <w:sz w:val="22"/>
              </w:rPr>
              <w:t>40*</w:t>
            </w:r>
          </w:p>
          <w:p w:rsidR="00226DAD" w:rsidRPr="00F60FD5" w:rsidRDefault="00226DAD" w:rsidP="00D2061A">
            <w:pPr>
              <w:widowControl/>
              <w:snapToGrid w:val="0"/>
              <w:jc w:val="center"/>
              <w:rPr>
                <w:b/>
                <w:bCs/>
                <w:sz w:val="22"/>
              </w:rPr>
            </w:pPr>
            <w:r w:rsidRPr="00F60FD5">
              <w:rPr>
                <w:b/>
                <w:bCs/>
                <w:sz w:val="22"/>
              </w:rPr>
              <w:t>(CPI)</w:t>
            </w:r>
          </w:p>
          <w:p w:rsidR="00226DAD" w:rsidRDefault="00226DAD" w:rsidP="009157B2">
            <w:pPr>
              <w:spacing w:beforeLines="25" w:before="60" w:line="240" w:lineRule="exact"/>
              <w:jc w:val="center"/>
              <w:rPr>
                <w:b/>
                <w:bCs/>
                <w:sz w:val="22"/>
              </w:rPr>
            </w:pPr>
            <w:r w:rsidRPr="00F60FD5">
              <w:rPr>
                <w:b/>
                <w:bCs/>
                <w:sz w:val="22"/>
              </w:rPr>
              <w:t>1.</w:t>
            </w:r>
            <w:r>
              <w:rPr>
                <w:rFonts w:hint="eastAsia"/>
                <w:b/>
                <w:bCs/>
                <w:sz w:val="22"/>
              </w:rPr>
              <w:t>1</w:t>
            </w:r>
            <w:r w:rsidRPr="00F60FD5">
              <w:rPr>
                <w:rFonts w:hint="eastAsia"/>
                <w:b/>
                <w:bCs/>
                <w:sz w:val="22"/>
              </w:rPr>
              <w:t>6</w:t>
            </w:r>
          </w:p>
          <w:p w:rsidR="00226DAD" w:rsidRPr="00D47C2A" w:rsidRDefault="00226DAD" w:rsidP="00D25BA7">
            <w:pPr>
              <w:jc w:val="center"/>
              <w:rPr>
                <w:sz w:val="22"/>
              </w:rPr>
            </w:pPr>
            <w:r w:rsidRPr="00F60FD5">
              <w:rPr>
                <w:b/>
                <w:bCs/>
                <w:sz w:val="22"/>
              </w:rPr>
              <w:t>(</w:t>
            </w:r>
            <w:r>
              <w:rPr>
                <w:rFonts w:eastAsia="標楷體" w:hint="eastAsia"/>
                <w:b/>
                <w:bCs/>
                <w:sz w:val="22"/>
              </w:rPr>
              <w:t xml:space="preserve">Core </w:t>
            </w:r>
            <w:r w:rsidRPr="00F60FD5">
              <w:rPr>
                <w:b/>
                <w:bCs/>
                <w:sz w:val="22"/>
              </w:rPr>
              <w:t>CPI</w:t>
            </w:r>
            <w:r>
              <w:rPr>
                <w:rFonts w:hint="eastAsia"/>
                <w:b/>
                <w:bCs/>
                <w:sz w:val="22"/>
              </w:rPr>
              <w:t>*</w:t>
            </w:r>
            <w:r w:rsidRPr="00F60FD5">
              <w:rPr>
                <w:b/>
                <w:bCs/>
                <w:sz w:val="22"/>
              </w:rPr>
              <w:t>*)</w:t>
            </w:r>
          </w:p>
        </w:tc>
      </w:tr>
      <w:tr w:rsidR="00226DAD" w:rsidRPr="004F16D5" w:rsidTr="00485FD5">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226DAD" w:rsidRPr="00220196" w:rsidRDefault="00226DAD" w:rsidP="0019512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20196" w:rsidRDefault="00226DAD" w:rsidP="0019512C">
            <w:pPr>
              <w:jc w:val="both"/>
              <w:rPr>
                <w:rFonts w:eastAsia="標楷體"/>
                <w:bCs/>
                <w:sz w:val="22"/>
                <w:szCs w:val="22"/>
              </w:rPr>
            </w:pPr>
            <w:r w:rsidRPr="00F356BE">
              <w:rPr>
                <w:rFonts w:eastAsia="標楷體"/>
                <w:bCs/>
                <w:sz w:val="22"/>
                <w:szCs w:val="22"/>
              </w:rPr>
              <w:t>DGBAS</w:t>
            </w:r>
            <w:r w:rsidRPr="00220196">
              <w:rPr>
                <w:rFonts w:eastAsia="標楷體"/>
                <w:bCs/>
                <w:sz w:val="22"/>
                <w:szCs w:val="22"/>
              </w:rPr>
              <w:t xml:space="preserve"> (2018/</w:t>
            </w:r>
            <w:r>
              <w:rPr>
                <w:rFonts w:eastAsia="標楷體" w:hint="eastAsia"/>
                <w:bCs/>
                <w:sz w:val="22"/>
                <w:szCs w:val="22"/>
              </w:rPr>
              <w:t>5</w:t>
            </w:r>
            <w:r w:rsidRPr="00220196">
              <w:rPr>
                <w:rFonts w:eastAsia="標楷體"/>
                <w:bCs/>
                <w:sz w:val="22"/>
                <w:szCs w:val="22"/>
              </w:rPr>
              <w:t>/</w:t>
            </w:r>
            <w:r>
              <w:rPr>
                <w:rFonts w:eastAsia="標楷體" w:hint="eastAsia"/>
                <w:bCs/>
                <w:sz w:val="22"/>
                <w:szCs w:val="22"/>
              </w:rPr>
              <w:t>25</w:t>
            </w:r>
            <w:r w:rsidRPr="00220196">
              <w:rPr>
                <w:rFonts w:eastAsia="標楷體"/>
                <w:bCs/>
                <w:sz w:val="22"/>
                <w:szCs w:val="22"/>
              </w:rPr>
              <w:t>)</w:t>
            </w:r>
          </w:p>
        </w:tc>
        <w:tc>
          <w:tcPr>
            <w:tcW w:w="1701" w:type="dxa"/>
            <w:vMerge/>
            <w:tcBorders>
              <w:left w:val="single" w:sz="6" w:space="0" w:color="auto"/>
              <w:right w:val="single" w:sz="6" w:space="0" w:color="auto"/>
            </w:tcBorders>
            <w:vAlign w:val="center"/>
          </w:tcPr>
          <w:p w:rsidR="00226DAD" w:rsidRPr="004F16D5" w:rsidRDefault="00226DAD" w:rsidP="0019512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tcPr>
          <w:p w:rsidR="00226DAD" w:rsidRPr="009659C6" w:rsidRDefault="00226DAD" w:rsidP="0019512C">
            <w:pPr>
              <w:jc w:val="center"/>
              <w:rPr>
                <w:sz w:val="22"/>
              </w:rPr>
            </w:pPr>
            <w:r w:rsidRPr="009659C6">
              <w:rPr>
                <w:rFonts w:hint="eastAsia"/>
                <w:sz w:val="22"/>
              </w:rPr>
              <w:t>1.49</w:t>
            </w:r>
          </w:p>
        </w:tc>
      </w:tr>
      <w:tr w:rsidR="00226DAD" w:rsidRPr="004F16D5" w:rsidTr="00485FD5">
        <w:trPr>
          <w:trHeight w:val="456"/>
        </w:trPr>
        <w:tc>
          <w:tcPr>
            <w:tcW w:w="1304" w:type="dxa"/>
            <w:vMerge/>
            <w:tcBorders>
              <w:top w:val="single" w:sz="6" w:space="0" w:color="auto"/>
              <w:left w:val="single" w:sz="6" w:space="0" w:color="auto"/>
              <w:bottom w:val="double" w:sz="4" w:space="0" w:color="auto"/>
              <w:right w:val="single" w:sz="6" w:space="0" w:color="auto"/>
            </w:tcBorders>
            <w:vAlign w:val="center"/>
            <w:hideMark/>
          </w:tcPr>
          <w:p w:rsidR="00226DAD" w:rsidRPr="00220196" w:rsidRDefault="00226DAD" w:rsidP="0019512C">
            <w:pPr>
              <w:widowControl/>
              <w:snapToGrid w:val="0"/>
              <w:jc w:val="center"/>
              <w:rPr>
                <w:rFonts w:eastAsia="標楷體"/>
                <w:b/>
                <w:bCs/>
                <w:sz w:val="22"/>
                <w:szCs w:val="22"/>
              </w:rPr>
            </w:pPr>
          </w:p>
        </w:tc>
        <w:tc>
          <w:tcPr>
            <w:tcW w:w="3091"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226DAD" w:rsidRPr="00F60FD5" w:rsidRDefault="00226DAD" w:rsidP="0019512C">
            <w:pPr>
              <w:jc w:val="both"/>
              <w:rPr>
                <w:rFonts w:eastAsia="標楷體"/>
                <w:b/>
                <w:sz w:val="22"/>
                <w:szCs w:val="22"/>
              </w:rPr>
            </w:pPr>
            <w:r>
              <w:rPr>
                <w:rFonts w:eastAsia="標楷體" w:hint="eastAsia"/>
                <w:bCs/>
                <w:sz w:val="22"/>
                <w:szCs w:val="22"/>
              </w:rPr>
              <w:t>C</w:t>
            </w:r>
            <w:r w:rsidRPr="00F356BE">
              <w:rPr>
                <w:rFonts w:eastAsia="標楷體"/>
                <w:bCs/>
                <w:sz w:val="22"/>
                <w:szCs w:val="22"/>
              </w:rPr>
              <w:t>IER</w:t>
            </w:r>
            <w:r w:rsidRPr="00220196">
              <w:rPr>
                <w:rFonts w:eastAsia="標楷體"/>
                <w:bCs/>
                <w:sz w:val="22"/>
                <w:szCs w:val="22"/>
              </w:rPr>
              <w:t xml:space="preserve"> (</w:t>
            </w:r>
            <w:r w:rsidRPr="009659C6">
              <w:rPr>
                <w:rFonts w:eastAsia="標楷體"/>
                <w:sz w:val="22"/>
              </w:rPr>
              <w:t>2018/</w:t>
            </w:r>
            <w:r>
              <w:rPr>
                <w:rFonts w:eastAsia="標楷體" w:hint="eastAsia"/>
                <w:sz w:val="22"/>
              </w:rPr>
              <w:t>4</w:t>
            </w:r>
            <w:r>
              <w:rPr>
                <w:rFonts w:eastAsia="標楷體"/>
                <w:sz w:val="22"/>
              </w:rPr>
              <w:t>/</w:t>
            </w:r>
            <w:r>
              <w:rPr>
                <w:rFonts w:eastAsia="標楷體" w:hint="eastAsia"/>
                <w:sz w:val="22"/>
              </w:rPr>
              <w:t>1</w:t>
            </w:r>
            <w:r w:rsidRPr="009659C6">
              <w:rPr>
                <w:rFonts w:eastAsia="標楷體"/>
                <w:sz w:val="22"/>
              </w:rPr>
              <w:t>8</w:t>
            </w:r>
            <w:r w:rsidRPr="00220196">
              <w:rPr>
                <w:rFonts w:eastAsia="標楷體"/>
                <w:bCs/>
                <w:sz w:val="22"/>
                <w:szCs w:val="22"/>
              </w:rPr>
              <w:t>)</w:t>
            </w:r>
          </w:p>
        </w:tc>
        <w:tc>
          <w:tcPr>
            <w:tcW w:w="1701" w:type="dxa"/>
            <w:vMerge/>
            <w:tcBorders>
              <w:left w:val="single" w:sz="6" w:space="0" w:color="auto"/>
              <w:right w:val="single" w:sz="6" w:space="0" w:color="auto"/>
            </w:tcBorders>
            <w:vAlign w:val="center"/>
            <w:hideMark/>
          </w:tcPr>
          <w:p w:rsidR="00226DAD" w:rsidRPr="00F60FD5" w:rsidRDefault="00226DAD" w:rsidP="0019512C">
            <w:pPr>
              <w:widowControl/>
              <w:snapToGrid w:val="0"/>
              <w:rPr>
                <w:b/>
                <w:bCs/>
                <w:sz w:val="22"/>
                <w:szCs w:val="22"/>
              </w:rPr>
            </w:pPr>
          </w:p>
        </w:tc>
        <w:tc>
          <w:tcPr>
            <w:tcW w:w="1984"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226DAD" w:rsidRPr="009659C6" w:rsidRDefault="00226DAD" w:rsidP="0019512C">
            <w:pPr>
              <w:widowControl/>
              <w:snapToGrid w:val="0"/>
              <w:jc w:val="center"/>
              <w:rPr>
                <w:b/>
                <w:bCs/>
                <w:sz w:val="22"/>
              </w:rPr>
            </w:pPr>
            <w:r w:rsidRPr="009659C6">
              <w:rPr>
                <w:rFonts w:eastAsia="標楷體" w:hint="eastAsia"/>
                <w:sz w:val="22"/>
              </w:rPr>
              <w:t>1.63</w:t>
            </w:r>
          </w:p>
        </w:tc>
      </w:tr>
      <w:tr w:rsidR="00226DAD" w:rsidRPr="004F16D5" w:rsidTr="00485FD5">
        <w:trPr>
          <w:trHeight w:val="456"/>
        </w:trPr>
        <w:tc>
          <w:tcPr>
            <w:tcW w:w="1304" w:type="dxa"/>
            <w:vMerge w:val="restart"/>
            <w:tcBorders>
              <w:top w:val="double" w:sz="4" w:space="0" w:color="auto"/>
              <w:left w:val="single" w:sz="6" w:space="0" w:color="auto"/>
              <w:right w:val="single" w:sz="6" w:space="0" w:color="auto"/>
            </w:tcBorders>
            <w:shd w:val="clear" w:color="000000" w:fill="FFFFFF"/>
            <w:vAlign w:val="center"/>
            <w:hideMark/>
          </w:tcPr>
          <w:p w:rsidR="00226DAD" w:rsidRDefault="00226DAD" w:rsidP="0019512C">
            <w:pPr>
              <w:widowControl/>
              <w:snapToGrid w:val="0"/>
              <w:jc w:val="center"/>
              <w:rPr>
                <w:rFonts w:eastAsia="標楷體"/>
                <w:b/>
                <w:bCs/>
                <w:sz w:val="22"/>
                <w:szCs w:val="22"/>
              </w:rPr>
            </w:pPr>
          </w:p>
          <w:p w:rsidR="00226DAD" w:rsidRPr="00220196" w:rsidRDefault="00226DAD" w:rsidP="0019512C">
            <w:pPr>
              <w:widowControl/>
              <w:snapToGrid w:val="0"/>
              <w:jc w:val="center"/>
              <w:rPr>
                <w:rFonts w:eastAsia="標楷體"/>
                <w:b/>
                <w:bCs/>
                <w:sz w:val="22"/>
                <w:szCs w:val="22"/>
              </w:rPr>
            </w:pPr>
            <w:r w:rsidRPr="00F356BE">
              <w:rPr>
                <w:rFonts w:eastAsia="標楷體"/>
                <w:b/>
                <w:bCs/>
                <w:sz w:val="22"/>
                <w:szCs w:val="22"/>
              </w:rPr>
              <w:t>Foreign institutions</w:t>
            </w:r>
          </w:p>
          <w:p w:rsidR="00226DAD" w:rsidRDefault="00226DAD" w:rsidP="0019512C">
            <w:pPr>
              <w:widowControl/>
              <w:snapToGrid w:val="0"/>
              <w:rPr>
                <w:rFonts w:eastAsia="標楷體"/>
                <w:bCs/>
                <w:sz w:val="22"/>
                <w:szCs w:val="22"/>
              </w:rPr>
            </w:pPr>
          </w:p>
          <w:p w:rsidR="00226DAD" w:rsidRPr="00220196" w:rsidRDefault="00226DAD" w:rsidP="0019512C">
            <w:pPr>
              <w:snapToGrid w:val="0"/>
              <w:rPr>
                <w:rFonts w:eastAsia="標楷體"/>
                <w:b/>
                <w:bCs/>
                <w:sz w:val="22"/>
                <w:szCs w:val="22"/>
              </w:rPr>
            </w:pPr>
          </w:p>
        </w:tc>
        <w:tc>
          <w:tcPr>
            <w:tcW w:w="3091"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ADB</w:t>
            </w:r>
            <w:r>
              <w:rPr>
                <w:rFonts w:hint="eastAsia"/>
                <w:sz w:val="22"/>
                <w:szCs w:val="22"/>
              </w:rPr>
              <w:t xml:space="preserve"> </w:t>
            </w:r>
            <w:r w:rsidRPr="002C29BA">
              <w:rPr>
                <w:rFonts w:hint="eastAsia"/>
                <w:sz w:val="22"/>
                <w:szCs w:val="22"/>
              </w:rPr>
              <w:t>(2018/4/11)</w:t>
            </w:r>
          </w:p>
        </w:tc>
        <w:tc>
          <w:tcPr>
            <w:tcW w:w="1701" w:type="dxa"/>
            <w:vMerge/>
            <w:tcBorders>
              <w:left w:val="single" w:sz="6" w:space="0" w:color="auto"/>
              <w:right w:val="single" w:sz="6" w:space="0" w:color="auto"/>
            </w:tcBorders>
            <w:vAlign w:val="center"/>
            <w:hideMark/>
          </w:tcPr>
          <w:p w:rsidR="00226DAD" w:rsidRPr="004F16D5" w:rsidRDefault="00226DAD" w:rsidP="0019512C">
            <w:pPr>
              <w:widowControl/>
              <w:snapToGrid w:val="0"/>
              <w:jc w:val="center"/>
              <w:rPr>
                <w:bCs/>
                <w:sz w:val="22"/>
                <w:szCs w:val="22"/>
              </w:rPr>
            </w:pPr>
          </w:p>
        </w:tc>
        <w:tc>
          <w:tcPr>
            <w:tcW w:w="1984"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1.10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Credit Suisse</w:t>
            </w:r>
            <w:r>
              <w:rPr>
                <w:rFonts w:hint="eastAsia"/>
                <w:sz w:val="22"/>
                <w:szCs w:val="22"/>
              </w:rPr>
              <w:t xml:space="preserve"> </w:t>
            </w:r>
            <w:r w:rsidRPr="002C29BA">
              <w:rPr>
                <w:rFonts w:hint="eastAsia"/>
                <w:sz w:val="22"/>
                <w:szCs w:val="22"/>
              </w:rPr>
              <w:t>(2018/6/14)</w:t>
            </w:r>
          </w:p>
        </w:tc>
        <w:tc>
          <w:tcPr>
            <w:tcW w:w="1701" w:type="dxa"/>
            <w:vMerge/>
            <w:tcBorders>
              <w:left w:val="single" w:sz="6" w:space="0" w:color="auto"/>
              <w:right w:val="single" w:sz="6" w:space="0" w:color="auto"/>
            </w:tcBorders>
            <w:vAlign w:val="center"/>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1.20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Citi</w:t>
            </w:r>
            <w:r>
              <w:rPr>
                <w:rFonts w:hint="eastAsia"/>
                <w:sz w:val="22"/>
                <w:szCs w:val="22"/>
              </w:rPr>
              <w:t xml:space="preserve"> </w:t>
            </w:r>
            <w:r w:rsidRPr="002C29BA">
              <w:rPr>
                <w:rFonts w:hint="eastAsia"/>
                <w:sz w:val="22"/>
                <w:szCs w:val="22"/>
              </w:rPr>
              <w:t>(2018/5/15)</w:t>
            </w:r>
          </w:p>
        </w:tc>
        <w:tc>
          <w:tcPr>
            <w:tcW w:w="1701" w:type="dxa"/>
            <w:vMerge/>
            <w:tcBorders>
              <w:left w:val="single" w:sz="6" w:space="0" w:color="auto"/>
              <w:right w:val="single" w:sz="6" w:space="0" w:color="auto"/>
            </w:tcBorders>
            <w:vAlign w:val="center"/>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1.20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Goldman Sachs</w:t>
            </w:r>
            <w:r>
              <w:rPr>
                <w:rFonts w:hint="eastAsia"/>
                <w:sz w:val="22"/>
                <w:szCs w:val="22"/>
              </w:rPr>
              <w:t xml:space="preserve"> </w:t>
            </w:r>
            <w:r w:rsidRPr="002C29BA">
              <w:rPr>
                <w:rFonts w:hint="eastAsia"/>
                <w:sz w:val="22"/>
                <w:szCs w:val="22"/>
              </w:rPr>
              <w:t>(2018/6/19)</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1.30</w:t>
            </w:r>
          </w:p>
        </w:tc>
      </w:tr>
      <w:tr w:rsidR="00226DAD" w:rsidRPr="004F16D5" w:rsidTr="00485FD5">
        <w:trPr>
          <w:trHeight w:val="43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IMF</w:t>
            </w:r>
            <w:r>
              <w:rPr>
                <w:rFonts w:hint="eastAsia"/>
                <w:sz w:val="22"/>
                <w:szCs w:val="22"/>
              </w:rPr>
              <w:t xml:space="preserve"> </w:t>
            </w:r>
            <w:r w:rsidRPr="002C29BA">
              <w:rPr>
                <w:rFonts w:hint="eastAsia"/>
                <w:sz w:val="22"/>
                <w:szCs w:val="22"/>
              </w:rPr>
              <w:t>(2018/5/9)</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4F16D5">
              <w:rPr>
                <w:rFonts w:eastAsia="標楷體" w:hint="eastAsia"/>
                <w:noProof/>
                <w:szCs w:val="28"/>
              </w:rPr>
              <mc:AlternateContent>
                <mc:Choice Requires="wps">
                  <w:drawing>
                    <wp:anchor distT="0" distB="0" distL="114300" distR="114300" simplePos="0" relativeHeight="251673600" behindDoc="0" locked="0" layoutInCell="1" allowOverlap="1" wp14:anchorId="0DC0880C" wp14:editId="2E2FF579">
                      <wp:simplePos x="0" y="0"/>
                      <wp:positionH relativeFrom="column">
                        <wp:posOffset>1371600</wp:posOffset>
                      </wp:positionH>
                      <wp:positionV relativeFrom="paragraph">
                        <wp:posOffset>-52070</wp:posOffset>
                      </wp:positionV>
                      <wp:extent cx="1022985" cy="103695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1022985" cy="1036955"/>
                              </a:xfrm>
                              <a:prstGeom prst="rect">
                                <a:avLst/>
                              </a:prstGeom>
                              <a:noFill/>
                              <a:ln w="6350">
                                <a:noFill/>
                              </a:ln>
                              <a:effectLst/>
                            </wps:spPr>
                            <wps:txbx>
                              <w:txbxContent>
                                <w:p w:rsidR="00226DAD" w:rsidRPr="00A43F98" w:rsidRDefault="00226DAD" w:rsidP="005545EC">
                                  <w:pPr>
                                    <w:jc w:val="center"/>
                                    <w:rPr>
                                      <w:rFonts w:eastAsia="標楷體"/>
                                      <w:b/>
                                      <w:u w:val="single"/>
                                    </w:rPr>
                                  </w:pPr>
                                  <w:r w:rsidRPr="00220196">
                                    <w:rPr>
                                      <w:rFonts w:eastAsia="標楷體"/>
                                      <w:b/>
                                      <w:bCs/>
                                      <w:u w:val="single"/>
                                    </w:rPr>
                                    <w:t>Median:</w:t>
                                  </w:r>
                                </w:p>
                                <w:p w:rsidR="00226DAD" w:rsidRDefault="00226DAD" w:rsidP="005545EC">
                                  <w:pPr>
                                    <w:jc w:val="center"/>
                                    <w:rPr>
                                      <w:rFonts w:eastAsia="標楷體"/>
                                      <w:b/>
                                    </w:rPr>
                                  </w:pPr>
                                  <w:r>
                                    <w:rPr>
                                      <w:rFonts w:eastAsia="標楷體" w:hint="eastAsia"/>
                                      <w:b/>
                                    </w:rPr>
                                    <w:t>1.50</w:t>
                                  </w:r>
                                  <w:r w:rsidRPr="00054C51">
                                    <w:rPr>
                                      <w:rFonts w:eastAsia="標楷體"/>
                                      <w:b/>
                                    </w:rPr>
                                    <w:t>%</w:t>
                                  </w:r>
                                </w:p>
                                <w:p w:rsidR="00226DAD" w:rsidRPr="00054C51" w:rsidRDefault="00226DAD" w:rsidP="005545EC">
                                  <w:pPr>
                                    <w:jc w:val="center"/>
                                    <w:rPr>
                                      <w:rFonts w:eastAsia="標楷體"/>
                                      <w:b/>
                                    </w:rPr>
                                  </w:pPr>
                                  <w:r>
                                    <w:t>(</w:t>
                                  </w:r>
                                  <w:proofErr w:type="gramStart"/>
                                  <w:r>
                                    <w:rPr>
                                      <w:rFonts w:hint="eastAsia"/>
                                    </w:rPr>
                                    <w:t>foreign</w:t>
                                  </w:r>
                                  <w:proofErr w:type="gramEnd"/>
                                  <w:r w:rsidRPr="00176384">
                                    <w:t xml:space="preser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108pt;margin-top:-4.1pt;width:80.55pt;height:8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" filled="f" stroked="f" strokeweight=".5pt">
                      <v:textbox>
                        <w:txbxContent>
                          <w:p w:rsidR="00226DAD" w:rsidRPr="00A43F98" w:rsidRDefault="00226DAD" w:rsidP="005545EC">
                            <w:pPr>
                              <w:jc w:val="center"/>
                              <w:rPr>
                                <w:rFonts w:eastAsia="標楷體"/>
                                <w:b/>
                                <w:u w:val="single"/>
                              </w:rPr>
                            </w:pPr>
                            <w:r w:rsidRPr="00220196">
                              <w:rPr>
                                <w:rFonts w:eastAsia="標楷體"/>
                                <w:b/>
                                <w:bCs/>
                                <w:u w:val="single"/>
                              </w:rPr>
                              <w:t>Median:</w:t>
                            </w:r>
                          </w:p>
                          <w:p w:rsidR="00226DAD" w:rsidRDefault="00226DAD" w:rsidP="005545EC">
                            <w:pPr>
                              <w:jc w:val="center"/>
                              <w:rPr>
                                <w:rFonts w:eastAsia="標楷體"/>
                                <w:b/>
                              </w:rPr>
                            </w:pPr>
                            <w:r>
                              <w:rPr>
                                <w:rFonts w:eastAsia="標楷體" w:hint="eastAsia"/>
                                <w:b/>
                              </w:rPr>
                              <w:t>1.50</w:t>
                            </w:r>
                            <w:r w:rsidRPr="00054C51">
                              <w:rPr>
                                <w:rFonts w:eastAsia="標楷體"/>
                                <w:b/>
                              </w:rPr>
                              <w:t>%</w:t>
                            </w:r>
                          </w:p>
                          <w:p w:rsidR="00226DAD" w:rsidRPr="00054C51" w:rsidRDefault="00226DAD" w:rsidP="005545EC">
                            <w:pPr>
                              <w:jc w:val="center"/>
                              <w:rPr>
                                <w:rFonts w:eastAsia="標楷體"/>
                                <w:b/>
                              </w:rPr>
                            </w:pPr>
                            <w:r>
                              <w:t>(</w:t>
                            </w:r>
                            <w:proofErr w:type="gramStart"/>
                            <w:r>
                              <w:rPr>
                                <w:rFonts w:hint="eastAsia"/>
                              </w:rPr>
                              <w:t>foreign</w:t>
                            </w:r>
                            <w:proofErr w:type="gramEnd"/>
                            <w:r w:rsidRPr="00176384">
                              <w:t xml:space="preserve"> institutions)</w:t>
                            </w:r>
                          </w:p>
                        </w:txbxContent>
                      </v:textbox>
                    </v:shape>
                  </w:pict>
                </mc:Fallback>
              </mc:AlternateContent>
            </w:r>
            <w:r w:rsidRPr="002C29BA">
              <w:rPr>
                <w:sz w:val="22"/>
                <w:szCs w:val="22"/>
              </w:rPr>
              <w:t>1.30</w:t>
            </w:r>
          </w:p>
        </w:tc>
      </w:tr>
      <w:tr w:rsidR="00226DAD" w:rsidRPr="004F16D5" w:rsidTr="00485FD5">
        <w:trPr>
          <w:trHeight w:val="468"/>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proofErr w:type="spellStart"/>
            <w:r w:rsidRPr="002C29BA">
              <w:rPr>
                <w:rFonts w:hint="eastAsia"/>
                <w:sz w:val="22"/>
                <w:szCs w:val="22"/>
              </w:rPr>
              <w:t>BoA</w:t>
            </w:r>
            <w:proofErr w:type="spellEnd"/>
            <w:r w:rsidRPr="002C29BA">
              <w:rPr>
                <w:rFonts w:hint="eastAsia"/>
                <w:sz w:val="22"/>
                <w:szCs w:val="22"/>
              </w:rPr>
              <w:t xml:space="preserve"> Merrill Lynch</w:t>
            </w:r>
            <w:r>
              <w:rPr>
                <w:rFonts w:hint="eastAsia"/>
                <w:sz w:val="22"/>
                <w:szCs w:val="22"/>
              </w:rPr>
              <w:t xml:space="preserve"> </w:t>
            </w:r>
            <w:r w:rsidRPr="002C29BA">
              <w:rPr>
                <w:rFonts w:hint="eastAsia"/>
                <w:sz w:val="22"/>
                <w:szCs w:val="22"/>
              </w:rPr>
              <w:t>(2018/6/19)</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8B1363">
            <w:pPr>
              <w:snapToGrid w:val="0"/>
              <w:jc w:val="both"/>
              <w:rPr>
                <w:sz w:val="22"/>
                <w:szCs w:val="22"/>
              </w:rPr>
            </w:pPr>
            <w:r w:rsidRPr="002C29BA">
              <w:rPr>
                <w:rFonts w:hint="eastAsia"/>
                <w:sz w:val="22"/>
                <w:szCs w:val="22"/>
              </w:rPr>
              <w:t>Barclays Capital</w:t>
            </w:r>
            <w:r>
              <w:rPr>
                <w:rFonts w:hint="eastAsia"/>
                <w:sz w:val="22"/>
                <w:szCs w:val="22"/>
              </w:rPr>
              <w:t xml:space="preserve"> </w:t>
            </w:r>
            <w:r w:rsidRPr="002C29BA">
              <w:rPr>
                <w:rFonts w:hint="eastAsia"/>
                <w:sz w:val="22"/>
                <w:szCs w:val="22"/>
              </w:rPr>
              <w:t>(2018/6/18)</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Nomura</w:t>
            </w:r>
            <w:r>
              <w:rPr>
                <w:rFonts w:hint="eastAsia"/>
                <w:sz w:val="22"/>
                <w:szCs w:val="22"/>
              </w:rPr>
              <w:t xml:space="preserve"> </w:t>
            </w:r>
            <w:r w:rsidRPr="002C29BA">
              <w:rPr>
                <w:rFonts w:hint="eastAsia"/>
                <w:sz w:val="22"/>
                <w:szCs w:val="22"/>
              </w:rPr>
              <w:t>(2018/6/15)</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EIU</w:t>
            </w:r>
            <w:r>
              <w:rPr>
                <w:rFonts w:hint="eastAsia"/>
                <w:sz w:val="22"/>
                <w:szCs w:val="22"/>
              </w:rPr>
              <w:t xml:space="preserve"> </w:t>
            </w:r>
            <w:r w:rsidRPr="002C29BA">
              <w:rPr>
                <w:rFonts w:hint="eastAsia"/>
                <w:sz w:val="22"/>
                <w:szCs w:val="22"/>
              </w:rPr>
              <w:t>(2018/6/1)</w:t>
            </w:r>
          </w:p>
        </w:tc>
        <w:tc>
          <w:tcPr>
            <w:tcW w:w="1701" w:type="dxa"/>
            <w:vMerge/>
            <w:tcBorders>
              <w:left w:val="single" w:sz="6" w:space="0" w:color="auto"/>
              <w:right w:val="single" w:sz="6" w:space="0" w:color="auto"/>
            </w:tcBorders>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Morgan Stanley</w:t>
            </w:r>
            <w:r>
              <w:rPr>
                <w:rFonts w:hint="eastAsia"/>
                <w:sz w:val="22"/>
                <w:szCs w:val="22"/>
              </w:rPr>
              <w:t xml:space="preserve"> </w:t>
            </w:r>
            <w:r w:rsidRPr="002C29BA">
              <w:rPr>
                <w:rFonts w:hint="eastAsia"/>
                <w:sz w:val="22"/>
                <w:szCs w:val="22"/>
              </w:rPr>
              <w:t>(2018/4/16)</w:t>
            </w:r>
          </w:p>
        </w:tc>
        <w:tc>
          <w:tcPr>
            <w:tcW w:w="1701" w:type="dxa"/>
            <w:vMerge/>
            <w:tcBorders>
              <w:left w:val="single" w:sz="6" w:space="0" w:color="auto"/>
              <w:right w:val="single" w:sz="6" w:space="0" w:color="auto"/>
            </w:tcBorders>
            <w:vAlign w:val="center"/>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1.50</w:t>
            </w:r>
          </w:p>
        </w:tc>
      </w:tr>
      <w:tr w:rsidR="00226DAD" w:rsidRPr="004F16D5" w:rsidTr="00485FD5">
        <w:trPr>
          <w:trHeight w:val="456"/>
        </w:trPr>
        <w:tc>
          <w:tcPr>
            <w:tcW w:w="1304" w:type="dxa"/>
            <w:vMerge/>
            <w:tcBorders>
              <w:left w:val="single" w:sz="6" w:space="0" w:color="auto"/>
              <w:right w:val="single" w:sz="6" w:space="0" w:color="auto"/>
            </w:tcBorders>
            <w:vAlign w:val="center"/>
            <w:hideMark/>
          </w:tcPr>
          <w:p w:rsidR="00226DAD" w:rsidRPr="004F16D5" w:rsidRDefault="00226DAD" w:rsidP="0019512C">
            <w:pPr>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both"/>
              <w:rPr>
                <w:sz w:val="22"/>
                <w:szCs w:val="22"/>
              </w:rPr>
            </w:pPr>
            <w:r w:rsidRPr="002C29BA">
              <w:rPr>
                <w:rFonts w:hint="eastAsia"/>
                <w:sz w:val="22"/>
                <w:szCs w:val="22"/>
              </w:rPr>
              <w:t xml:space="preserve">IHS </w:t>
            </w:r>
            <w:proofErr w:type="spellStart"/>
            <w:r w:rsidRPr="002C29BA">
              <w:rPr>
                <w:rFonts w:hint="eastAsia"/>
                <w:sz w:val="22"/>
                <w:szCs w:val="22"/>
              </w:rPr>
              <w:t>Markit</w:t>
            </w:r>
            <w:proofErr w:type="spellEnd"/>
            <w:r>
              <w:rPr>
                <w:rFonts w:hint="eastAsia"/>
                <w:sz w:val="22"/>
                <w:szCs w:val="22"/>
              </w:rPr>
              <w:t xml:space="preserve"> </w:t>
            </w:r>
            <w:r w:rsidRPr="002C29BA">
              <w:rPr>
                <w:rFonts w:hint="eastAsia"/>
                <w:sz w:val="22"/>
                <w:szCs w:val="22"/>
              </w:rPr>
              <w:t>(2018/6/15)</w:t>
            </w:r>
          </w:p>
        </w:tc>
        <w:tc>
          <w:tcPr>
            <w:tcW w:w="1701" w:type="dxa"/>
            <w:vMerge/>
            <w:tcBorders>
              <w:left w:val="single" w:sz="6" w:space="0" w:color="auto"/>
              <w:right w:val="single" w:sz="6" w:space="0" w:color="auto"/>
            </w:tcBorders>
            <w:vAlign w:val="center"/>
            <w:hideMark/>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226DAD" w:rsidRPr="002C29BA" w:rsidRDefault="00226DAD" w:rsidP="0019512C">
            <w:pPr>
              <w:snapToGrid w:val="0"/>
              <w:jc w:val="center"/>
              <w:rPr>
                <w:sz w:val="22"/>
                <w:szCs w:val="22"/>
              </w:rPr>
            </w:pPr>
            <w:r w:rsidRPr="002C29BA">
              <w:rPr>
                <w:sz w:val="22"/>
                <w:szCs w:val="22"/>
              </w:rPr>
              <w:t>1.53</w:t>
            </w:r>
          </w:p>
        </w:tc>
      </w:tr>
      <w:tr w:rsidR="00226DAD" w:rsidRPr="004F16D5" w:rsidTr="00485FD5">
        <w:trPr>
          <w:trHeight w:val="456"/>
        </w:trPr>
        <w:tc>
          <w:tcPr>
            <w:tcW w:w="1304" w:type="dxa"/>
            <w:vMerge/>
            <w:tcBorders>
              <w:left w:val="single" w:sz="6" w:space="0" w:color="auto"/>
              <w:right w:val="single" w:sz="6" w:space="0" w:color="auto"/>
            </w:tcBorders>
            <w:vAlign w:val="center"/>
          </w:tcPr>
          <w:p w:rsidR="00226DAD" w:rsidRPr="004F16D5" w:rsidRDefault="00226DAD" w:rsidP="0019512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both"/>
              <w:rPr>
                <w:sz w:val="22"/>
                <w:szCs w:val="22"/>
              </w:rPr>
            </w:pPr>
            <w:r w:rsidRPr="002C29BA">
              <w:rPr>
                <w:rFonts w:hint="eastAsia"/>
                <w:sz w:val="22"/>
                <w:szCs w:val="22"/>
              </w:rPr>
              <w:t>UBS</w:t>
            </w:r>
            <w:r>
              <w:rPr>
                <w:rFonts w:hint="eastAsia"/>
                <w:sz w:val="22"/>
                <w:szCs w:val="22"/>
              </w:rPr>
              <w:t xml:space="preserve"> </w:t>
            </w:r>
            <w:r w:rsidRPr="002C29BA">
              <w:rPr>
                <w:rFonts w:hint="eastAsia"/>
                <w:sz w:val="22"/>
                <w:szCs w:val="22"/>
              </w:rPr>
              <w:t>(2018/6/18)</w:t>
            </w:r>
          </w:p>
        </w:tc>
        <w:tc>
          <w:tcPr>
            <w:tcW w:w="1701" w:type="dxa"/>
            <w:vMerge/>
            <w:tcBorders>
              <w:left w:val="single" w:sz="6" w:space="0" w:color="auto"/>
              <w:right w:val="single" w:sz="6" w:space="0" w:color="auto"/>
            </w:tcBorders>
            <w:vAlign w:val="center"/>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center"/>
              <w:rPr>
                <w:sz w:val="22"/>
                <w:szCs w:val="22"/>
              </w:rPr>
            </w:pPr>
            <w:r w:rsidRPr="002C29BA">
              <w:rPr>
                <w:sz w:val="22"/>
                <w:szCs w:val="22"/>
              </w:rPr>
              <w:t>1.55</w:t>
            </w:r>
          </w:p>
        </w:tc>
      </w:tr>
      <w:tr w:rsidR="00226DAD" w:rsidRPr="004F16D5" w:rsidTr="00485FD5">
        <w:trPr>
          <w:trHeight w:val="456"/>
        </w:trPr>
        <w:tc>
          <w:tcPr>
            <w:tcW w:w="1304" w:type="dxa"/>
            <w:vMerge/>
            <w:tcBorders>
              <w:left w:val="single" w:sz="6" w:space="0" w:color="auto"/>
              <w:right w:val="single" w:sz="6" w:space="0" w:color="auto"/>
            </w:tcBorders>
            <w:vAlign w:val="center"/>
          </w:tcPr>
          <w:p w:rsidR="00226DAD" w:rsidRPr="004F16D5" w:rsidRDefault="00226DAD" w:rsidP="0019512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both"/>
              <w:rPr>
                <w:sz w:val="22"/>
                <w:szCs w:val="22"/>
              </w:rPr>
            </w:pPr>
            <w:r w:rsidRPr="002C29BA">
              <w:rPr>
                <w:rFonts w:hint="eastAsia"/>
                <w:sz w:val="22"/>
                <w:szCs w:val="22"/>
              </w:rPr>
              <w:t>HSBC</w:t>
            </w:r>
            <w:r>
              <w:rPr>
                <w:rFonts w:hint="eastAsia"/>
                <w:sz w:val="22"/>
                <w:szCs w:val="22"/>
              </w:rPr>
              <w:t xml:space="preserve"> </w:t>
            </w:r>
            <w:r w:rsidRPr="002C29BA">
              <w:rPr>
                <w:rFonts w:hint="eastAsia"/>
                <w:sz w:val="22"/>
                <w:szCs w:val="22"/>
              </w:rPr>
              <w:t>(2018/6/18)</w:t>
            </w:r>
          </w:p>
        </w:tc>
        <w:tc>
          <w:tcPr>
            <w:tcW w:w="1701" w:type="dxa"/>
            <w:vMerge/>
            <w:tcBorders>
              <w:left w:val="single" w:sz="6" w:space="0" w:color="auto"/>
              <w:right w:val="single" w:sz="6" w:space="0" w:color="auto"/>
            </w:tcBorders>
            <w:vAlign w:val="center"/>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center"/>
              <w:rPr>
                <w:sz w:val="22"/>
                <w:szCs w:val="22"/>
              </w:rPr>
            </w:pPr>
            <w:r w:rsidRPr="002C29BA">
              <w:rPr>
                <w:sz w:val="22"/>
                <w:szCs w:val="22"/>
              </w:rPr>
              <w:t>1.60</w:t>
            </w:r>
          </w:p>
        </w:tc>
      </w:tr>
      <w:tr w:rsidR="00226DAD" w:rsidRPr="004F16D5" w:rsidTr="00485FD5">
        <w:trPr>
          <w:trHeight w:val="456"/>
        </w:trPr>
        <w:tc>
          <w:tcPr>
            <w:tcW w:w="1304" w:type="dxa"/>
            <w:vMerge/>
            <w:tcBorders>
              <w:left w:val="single" w:sz="6" w:space="0" w:color="auto"/>
              <w:right w:val="single" w:sz="6" w:space="0" w:color="auto"/>
            </w:tcBorders>
            <w:vAlign w:val="center"/>
          </w:tcPr>
          <w:p w:rsidR="00226DAD" w:rsidRPr="004F16D5" w:rsidRDefault="00226DAD" w:rsidP="0019512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both"/>
              <w:rPr>
                <w:sz w:val="22"/>
                <w:szCs w:val="22"/>
              </w:rPr>
            </w:pPr>
            <w:r w:rsidRPr="002C29BA">
              <w:rPr>
                <w:rFonts w:hint="eastAsia"/>
                <w:sz w:val="22"/>
                <w:szCs w:val="22"/>
              </w:rPr>
              <w:t>Deutsche Bank</w:t>
            </w:r>
            <w:r>
              <w:rPr>
                <w:rFonts w:hint="eastAsia"/>
                <w:sz w:val="22"/>
                <w:szCs w:val="22"/>
              </w:rPr>
              <w:t xml:space="preserve"> </w:t>
            </w:r>
            <w:r w:rsidRPr="002C29BA">
              <w:rPr>
                <w:rFonts w:hint="eastAsia"/>
                <w:sz w:val="22"/>
                <w:szCs w:val="22"/>
              </w:rPr>
              <w:t>(2018/6/7)</w:t>
            </w:r>
          </w:p>
        </w:tc>
        <w:tc>
          <w:tcPr>
            <w:tcW w:w="1701" w:type="dxa"/>
            <w:vMerge/>
            <w:tcBorders>
              <w:left w:val="single" w:sz="6" w:space="0" w:color="auto"/>
              <w:right w:val="single" w:sz="6" w:space="0" w:color="auto"/>
            </w:tcBorders>
            <w:vAlign w:val="center"/>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center"/>
              <w:rPr>
                <w:sz w:val="22"/>
                <w:szCs w:val="22"/>
              </w:rPr>
            </w:pPr>
            <w:r w:rsidRPr="002C29BA">
              <w:rPr>
                <w:sz w:val="22"/>
                <w:szCs w:val="22"/>
              </w:rPr>
              <w:t>1.60</w:t>
            </w:r>
          </w:p>
        </w:tc>
      </w:tr>
      <w:tr w:rsidR="00226DAD" w:rsidRPr="004F16D5" w:rsidTr="00485FD5">
        <w:trPr>
          <w:trHeight w:val="456"/>
        </w:trPr>
        <w:tc>
          <w:tcPr>
            <w:tcW w:w="1304" w:type="dxa"/>
            <w:vMerge/>
            <w:tcBorders>
              <w:left w:val="single" w:sz="6" w:space="0" w:color="auto"/>
              <w:bottom w:val="single" w:sz="6" w:space="0" w:color="auto"/>
              <w:right w:val="single" w:sz="6" w:space="0" w:color="auto"/>
            </w:tcBorders>
            <w:vAlign w:val="center"/>
          </w:tcPr>
          <w:p w:rsidR="00226DAD" w:rsidRPr="004F16D5" w:rsidRDefault="00226DAD" w:rsidP="0019512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both"/>
              <w:rPr>
                <w:sz w:val="22"/>
                <w:szCs w:val="22"/>
              </w:rPr>
            </w:pPr>
            <w:r w:rsidRPr="002C29BA">
              <w:rPr>
                <w:rFonts w:hint="eastAsia"/>
                <w:sz w:val="22"/>
                <w:szCs w:val="22"/>
              </w:rPr>
              <w:t>Standard Chartered</w:t>
            </w:r>
            <w:r>
              <w:rPr>
                <w:rFonts w:hint="eastAsia"/>
                <w:sz w:val="22"/>
                <w:szCs w:val="22"/>
              </w:rPr>
              <w:t xml:space="preserve"> </w:t>
            </w:r>
            <w:r w:rsidRPr="002C29BA">
              <w:rPr>
                <w:rFonts w:hint="eastAsia"/>
                <w:sz w:val="22"/>
                <w:szCs w:val="22"/>
              </w:rPr>
              <w:t>(2018/6/19)</w:t>
            </w:r>
          </w:p>
        </w:tc>
        <w:tc>
          <w:tcPr>
            <w:tcW w:w="1701" w:type="dxa"/>
            <w:vMerge/>
            <w:tcBorders>
              <w:left w:val="single" w:sz="6" w:space="0" w:color="auto"/>
              <w:bottom w:val="single" w:sz="6" w:space="0" w:color="auto"/>
              <w:right w:val="single" w:sz="6" w:space="0" w:color="auto"/>
            </w:tcBorders>
            <w:vAlign w:val="center"/>
          </w:tcPr>
          <w:p w:rsidR="00226DAD" w:rsidRPr="004F16D5" w:rsidRDefault="00226DAD" w:rsidP="0019512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226DAD" w:rsidRPr="002C29BA" w:rsidRDefault="00226DAD" w:rsidP="0019512C">
            <w:pPr>
              <w:snapToGrid w:val="0"/>
              <w:jc w:val="center"/>
              <w:rPr>
                <w:sz w:val="22"/>
                <w:szCs w:val="22"/>
              </w:rPr>
            </w:pPr>
            <w:r w:rsidRPr="002C29BA">
              <w:rPr>
                <w:sz w:val="22"/>
                <w:szCs w:val="22"/>
              </w:rPr>
              <w:t>1.80</w:t>
            </w:r>
          </w:p>
        </w:tc>
      </w:tr>
    </w:tbl>
    <w:p w:rsidR="00226DAD" w:rsidRPr="004F16D5" w:rsidRDefault="00226DAD" w:rsidP="009157B2">
      <w:pPr>
        <w:widowControl/>
        <w:snapToGrid w:val="0"/>
        <w:spacing w:beforeLines="50" w:before="120"/>
        <w:rPr>
          <w:rFonts w:eastAsia="標楷體"/>
          <w:szCs w:val="28"/>
        </w:rPr>
      </w:pPr>
      <w:r w:rsidRPr="001E3D02">
        <w:rPr>
          <w:rFonts w:eastAsia="標楷體"/>
          <w:b/>
          <w:noProof/>
          <w:sz w:val="28"/>
          <w:szCs w:val="28"/>
        </w:rPr>
        <mc:AlternateContent>
          <mc:Choice Requires="wps">
            <w:drawing>
              <wp:anchor distT="0" distB="0" distL="114300" distR="114300" simplePos="0" relativeHeight="251675648" behindDoc="0" locked="0" layoutInCell="1" allowOverlap="1" wp14:anchorId="401DB28A" wp14:editId="4E5741B5">
                <wp:simplePos x="0" y="0"/>
                <wp:positionH relativeFrom="column">
                  <wp:posOffset>-553085</wp:posOffset>
                </wp:positionH>
                <wp:positionV relativeFrom="paragraph">
                  <wp:posOffset>11430</wp:posOffset>
                </wp:positionV>
                <wp:extent cx="545465" cy="142875"/>
                <wp:effectExtent l="0" t="0" r="6985"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42875"/>
                        </a:xfrm>
                        <a:prstGeom prst="rect">
                          <a:avLst/>
                        </a:prstGeom>
                        <a:solidFill>
                          <a:srgbClr val="FFFFFF"/>
                        </a:solidFill>
                        <a:ln w="9525">
                          <a:noFill/>
                          <a:miter lim="800000"/>
                          <a:headEnd/>
                          <a:tailEnd/>
                        </a:ln>
                      </wps:spPr>
                      <wps:txbx>
                        <w:txbxContent>
                          <w:p w:rsidR="00226DAD" w:rsidRPr="001E3D02" w:rsidRDefault="00226DAD" w:rsidP="001E3D02">
                            <w:pPr>
                              <w:spacing w:line="240" w:lineRule="exact"/>
                              <w:rPr>
                                <w:sz w:val="18"/>
                              </w:rPr>
                            </w:pPr>
                            <w:r w:rsidRPr="001E3D02">
                              <w:rPr>
                                <w:rFonts w:eastAsia="標楷體"/>
                                <w:sz w:val="16"/>
                              </w:rPr>
                              <w:t>Unit: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43.55pt;margin-top:.9pt;width:42.9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" stroked="f">
                <v:textbox inset="0,0,0,0">
                  <w:txbxContent>
                    <w:p w:rsidR="00226DAD" w:rsidRPr="001E3D02" w:rsidRDefault="00226DAD" w:rsidP="001E3D02">
                      <w:pPr>
                        <w:spacing w:line="240" w:lineRule="exact"/>
                        <w:rPr>
                          <w:sz w:val="18"/>
                        </w:rPr>
                      </w:pPr>
                      <w:r w:rsidRPr="001E3D02">
                        <w:rPr>
                          <w:rFonts w:eastAsia="標楷體"/>
                          <w:sz w:val="16"/>
                        </w:rPr>
                        <w:t>Unit: %</w:t>
                      </w:r>
                    </w:p>
                  </w:txbxContent>
                </v:textbox>
              </v:shape>
            </w:pict>
          </mc:Fallback>
        </mc:AlternateContent>
      </w:r>
    </w:p>
    <w:p w:rsidR="00226DAD" w:rsidRPr="004F16D5" w:rsidRDefault="00226DAD" w:rsidP="009157B2">
      <w:pPr>
        <w:widowControl/>
        <w:snapToGrid w:val="0"/>
        <w:spacing w:beforeLines="20" w:before="48"/>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r w:rsidRPr="004F16D5">
        <w:rPr>
          <w:rFonts w:eastAsia="標楷體" w:hint="eastAsia"/>
          <w:noProof/>
          <w:szCs w:val="28"/>
        </w:rPr>
        <mc:AlternateContent>
          <mc:Choice Requires="wps">
            <w:drawing>
              <wp:anchor distT="0" distB="0" distL="114300" distR="114300" simplePos="0" relativeHeight="251672576" behindDoc="1" locked="0" layoutInCell="1" allowOverlap="1" wp14:anchorId="048093F9" wp14:editId="53B97B6B">
                <wp:simplePos x="0" y="0"/>
                <wp:positionH relativeFrom="column">
                  <wp:posOffset>20320</wp:posOffset>
                </wp:positionH>
                <wp:positionV relativeFrom="paragraph">
                  <wp:posOffset>263525</wp:posOffset>
                </wp:positionV>
                <wp:extent cx="948055" cy="1029970"/>
                <wp:effectExtent l="0" t="0" r="0" b="0"/>
                <wp:wrapTight wrapText="bothSides">
                  <wp:wrapPolygon edited="0">
                    <wp:start x="1302" y="0"/>
                    <wp:lineTo x="1302" y="21174"/>
                    <wp:lineTo x="19965" y="21174"/>
                    <wp:lineTo x="19965" y="0"/>
                    <wp:lineTo x="1302" y="0"/>
                  </wp:wrapPolygon>
                </wp:wrapTight>
                <wp:docPr id="4" name="文字方塊 4"/>
                <wp:cNvGraphicFramePr/>
                <a:graphic xmlns:a="http://schemas.openxmlformats.org/drawingml/2006/main">
                  <a:graphicData uri="http://schemas.microsoft.com/office/word/2010/wordprocessingShape">
                    <wps:wsp>
                      <wps:cNvSpPr txBox="1"/>
                      <wps:spPr>
                        <a:xfrm>
                          <a:off x="0" y="0"/>
                          <a:ext cx="948055" cy="1029970"/>
                        </a:xfrm>
                        <a:prstGeom prst="rect">
                          <a:avLst/>
                        </a:prstGeom>
                        <a:noFill/>
                        <a:ln w="6350">
                          <a:noFill/>
                        </a:ln>
                        <a:effectLst/>
                      </wps:spPr>
                      <wps:txbx>
                        <w:txbxContent>
                          <w:p w:rsidR="00226DAD" w:rsidRPr="00A43F98" w:rsidRDefault="00226DAD" w:rsidP="00C62420">
                            <w:pPr>
                              <w:jc w:val="center"/>
                              <w:rPr>
                                <w:rFonts w:eastAsia="標楷體"/>
                                <w:b/>
                                <w:u w:val="single"/>
                              </w:rPr>
                            </w:pPr>
                            <w:r w:rsidRPr="00220196">
                              <w:rPr>
                                <w:rFonts w:eastAsia="標楷體"/>
                                <w:b/>
                                <w:bCs/>
                                <w:u w:val="single"/>
                              </w:rPr>
                              <w:t>Median:</w:t>
                            </w:r>
                          </w:p>
                          <w:p w:rsidR="00226DAD" w:rsidRDefault="00226DAD" w:rsidP="00C62420">
                            <w:pPr>
                              <w:jc w:val="center"/>
                              <w:rPr>
                                <w:rFonts w:eastAsia="標楷體"/>
                                <w:b/>
                              </w:rPr>
                            </w:pPr>
                            <w:r>
                              <w:rPr>
                                <w:rFonts w:eastAsia="標楷體" w:hint="eastAsia"/>
                                <w:b/>
                              </w:rPr>
                              <w:t>1.40</w:t>
                            </w:r>
                            <w:r w:rsidRPr="00054C51">
                              <w:rPr>
                                <w:rFonts w:eastAsia="標楷體"/>
                                <w:b/>
                              </w:rPr>
                              <w:t>%</w:t>
                            </w:r>
                          </w:p>
                          <w:p w:rsidR="00226DAD" w:rsidRPr="00054C51" w:rsidRDefault="00226DAD" w:rsidP="005545EC">
                            <w:pPr>
                              <w:jc w:val="center"/>
                              <w:rPr>
                                <w:rFonts w:eastAsia="標楷體"/>
                                <w:b/>
                              </w:rPr>
                            </w:pPr>
                            <w:r>
                              <w:t>(</w:t>
                            </w:r>
                            <w:proofErr w:type="gramStart"/>
                            <w:r>
                              <w:t>domestic</w:t>
                            </w:r>
                            <w:proofErr w:type="gramEnd"/>
                            <w:r>
                              <w:rPr>
                                <w:rFonts w:hint="eastAsia"/>
                              </w:rPr>
                              <w:t xml:space="preserve"> </w:t>
                            </w:r>
                            <w:r w:rsidRPr="00176384">
                              <w:t>institutions)</w:t>
                            </w:r>
                          </w:p>
                          <w:p w:rsidR="00226DAD" w:rsidRPr="00054C51" w:rsidRDefault="00226DAD" w:rsidP="005545EC">
                            <w:pPr>
                              <w:jc w:val="center"/>
                              <w:rPr>
                                <w:rFonts w:eastAsia="標楷體"/>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8" type="#_x0000_t202" style="position:absolute;margin-left:1.6pt;margin-top:20.75pt;width:74.65pt;height:81.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" filled="f" stroked="f" strokeweight=".5pt">
                <v:textbox>
                  <w:txbxContent>
                    <w:p w:rsidR="00226DAD" w:rsidRPr="00A43F98" w:rsidRDefault="00226DAD" w:rsidP="00C62420">
                      <w:pPr>
                        <w:jc w:val="center"/>
                        <w:rPr>
                          <w:rFonts w:eastAsia="標楷體"/>
                          <w:b/>
                          <w:u w:val="single"/>
                        </w:rPr>
                      </w:pPr>
                      <w:r w:rsidRPr="00220196">
                        <w:rPr>
                          <w:rFonts w:eastAsia="標楷體"/>
                          <w:b/>
                          <w:bCs/>
                          <w:u w:val="single"/>
                        </w:rPr>
                        <w:t>Median:</w:t>
                      </w:r>
                    </w:p>
                    <w:p w:rsidR="00226DAD" w:rsidRDefault="00226DAD" w:rsidP="00C62420">
                      <w:pPr>
                        <w:jc w:val="center"/>
                        <w:rPr>
                          <w:rFonts w:eastAsia="標楷體"/>
                          <w:b/>
                        </w:rPr>
                      </w:pPr>
                      <w:r>
                        <w:rPr>
                          <w:rFonts w:eastAsia="標楷體" w:hint="eastAsia"/>
                          <w:b/>
                        </w:rPr>
                        <w:t>1.40</w:t>
                      </w:r>
                      <w:r w:rsidRPr="00054C51">
                        <w:rPr>
                          <w:rFonts w:eastAsia="標楷體"/>
                          <w:b/>
                        </w:rPr>
                        <w:t>%</w:t>
                      </w:r>
                    </w:p>
                    <w:p w:rsidR="00226DAD" w:rsidRPr="00054C51" w:rsidRDefault="00226DAD" w:rsidP="005545EC">
                      <w:pPr>
                        <w:jc w:val="center"/>
                        <w:rPr>
                          <w:rFonts w:eastAsia="標楷體"/>
                          <w:b/>
                        </w:rPr>
                      </w:pPr>
                      <w:r>
                        <w:t>(</w:t>
                      </w:r>
                      <w:proofErr w:type="gramStart"/>
                      <w:r>
                        <w:t>domestic</w:t>
                      </w:r>
                      <w:proofErr w:type="gramEnd"/>
                      <w:r>
                        <w:rPr>
                          <w:rFonts w:hint="eastAsia"/>
                        </w:rPr>
                        <w:t xml:space="preserve"> </w:t>
                      </w:r>
                      <w:r w:rsidRPr="00176384">
                        <w:t>institutions)</w:t>
                      </w:r>
                    </w:p>
                    <w:p w:rsidR="00226DAD" w:rsidRPr="00054C51" w:rsidRDefault="00226DAD" w:rsidP="005545EC">
                      <w:pPr>
                        <w:jc w:val="center"/>
                        <w:rPr>
                          <w:rFonts w:eastAsia="標楷體"/>
                          <w:b/>
                        </w:rPr>
                      </w:pPr>
                    </w:p>
                  </w:txbxContent>
                </v:textbox>
                <w10:wrap type="tight"/>
              </v:shape>
            </w:pict>
          </mc:Fallback>
        </mc:AlternateContent>
      </w: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C62420">
      <w:pPr>
        <w:spacing w:line="400" w:lineRule="exact"/>
        <w:rPr>
          <w:rFonts w:eastAsia="標楷體"/>
          <w:szCs w:val="28"/>
        </w:rPr>
      </w:pPr>
    </w:p>
    <w:p w:rsidR="00226DAD" w:rsidRPr="004F16D5" w:rsidRDefault="00226DAD" w:rsidP="00A43F98">
      <w:pPr>
        <w:snapToGrid w:val="0"/>
        <w:spacing w:line="360" w:lineRule="exact"/>
        <w:rPr>
          <w:rFonts w:eastAsia="標楷體"/>
          <w:szCs w:val="28"/>
        </w:rPr>
      </w:pPr>
    </w:p>
    <w:p w:rsidR="00226DAD" w:rsidRPr="004F16D5" w:rsidRDefault="00226DAD" w:rsidP="00A43F98">
      <w:pPr>
        <w:snapToGrid w:val="0"/>
        <w:spacing w:line="360" w:lineRule="exact"/>
        <w:rPr>
          <w:rFonts w:eastAsia="標楷體"/>
          <w:szCs w:val="28"/>
        </w:rPr>
      </w:pPr>
    </w:p>
    <w:p w:rsidR="00226DAD" w:rsidRDefault="00226DAD" w:rsidP="00A43F98">
      <w:pPr>
        <w:snapToGrid w:val="0"/>
        <w:spacing w:line="360" w:lineRule="exact"/>
        <w:rPr>
          <w:rFonts w:eastAsia="標楷體"/>
          <w:szCs w:val="28"/>
        </w:rPr>
      </w:pPr>
    </w:p>
    <w:p w:rsidR="00226DAD" w:rsidRPr="004F16D5" w:rsidRDefault="00226DAD" w:rsidP="00A43F98">
      <w:pPr>
        <w:snapToGrid w:val="0"/>
        <w:spacing w:line="360" w:lineRule="exact"/>
        <w:rPr>
          <w:rFonts w:eastAsia="標楷體"/>
          <w:szCs w:val="28"/>
        </w:rPr>
      </w:pPr>
    </w:p>
    <w:p w:rsidR="00226DAD" w:rsidRDefault="00226DAD" w:rsidP="00C62420">
      <w:pPr>
        <w:spacing w:line="400" w:lineRule="exact"/>
        <w:rPr>
          <w:rFonts w:eastAsia="標楷體"/>
          <w:szCs w:val="28"/>
        </w:rPr>
        <w:sectPr w:rsidR="00226DAD" w:rsidSect="009157B2">
          <w:footerReference w:type="default" r:id="rId12"/>
          <w:pgSz w:w="11907" w:h="16840" w:code="9"/>
          <w:pgMar w:top="1304" w:right="1418" w:bottom="1418" w:left="1418" w:header="0" w:footer="454" w:gutter="0"/>
          <w:paperSrc w:first="15" w:other="15"/>
          <w:pgNumType w:start="1"/>
          <w:cols w:space="425"/>
          <w:docGrid w:linePitch="272"/>
        </w:sectPr>
      </w:pPr>
      <w:r>
        <w:rPr>
          <w:rFonts w:eastAsia="標楷體"/>
          <w:noProof/>
          <w:szCs w:val="28"/>
        </w:rPr>
        <mc:AlternateContent>
          <mc:Choice Requires="wps">
            <w:drawing>
              <wp:anchor distT="0" distB="0" distL="114300" distR="114300" simplePos="0" relativeHeight="251674624" behindDoc="0" locked="0" layoutInCell="1" allowOverlap="1" wp14:anchorId="33C946E0" wp14:editId="4BB0CD86">
                <wp:simplePos x="0" y="0"/>
                <wp:positionH relativeFrom="column">
                  <wp:posOffset>-5252034</wp:posOffset>
                </wp:positionH>
                <wp:positionV relativeFrom="paragraph">
                  <wp:posOffset>1398371</wp:posOffset>
                </wp:positionV>
                <wp:extent cx="5474525" cy="866898"/>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5474525" cy="866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6DAD" w:rsidRPr="00101A2C" w:rsidRDefault="00226DAD" w:rsidP="00101A2C">
                            <w:pPr>
                              <w:widowControl/>
                              <w:snapToGrid w:val="0"/>
                              <w:ind w:left="283" w:hangingChars="135" w:hanging="283"/>
                              <w:rPr>
                                <w:rFonts w:eastAsia="標楷體"/>
                                <w:sz w:val="21"/>
                                <w:szCs w:val="21"/>
                              </w:rPr>
                            </w:pPr>
                            <w:r w:rsidRPr="00101A2C">
                              <w:rPr>
                                <w:rFonts w:eastAsia="標楷體"/>
                                <w:sz w:val="21"/>
                                <w:szCs w:val="21"/>
                              </w:rPr>
                              <w:t>*</w:t>
                            </w:r>
                            <w:r>
                              <w:rPr>
                                <w:rFonts w:eastAsia="標楷體"/>
                                <w:sz w:val="21"/>
                                <w:szCs w:val="21"/>
                              </w:rPr>
                              <w:t xml:space="preserve"> The CBC</w:t>
                            </w:r>
                            <w:r w:rsidRPr="000515AE">
                              <w:rPr>
                                <w:rFonts w:eastAsia="標楷體"/>
                                <w:sz w:val="22"/>
                                <w:szCs w:val="22"/>
                              </w:rPr>
                              <w:t>'</w:t>
                            </w:r>
                            <w:r w:rsidRPr="00101A2C">
                              <w:rPr>
                                <w:rFonts w:eastAsia="標楷體"/>
                                <w:sz w:val="21"/>
                                <w:szCs w:val="21"/>
                              </w:rPr>
                              <w:t xml:space="preserve">s forecast </w:t>
                            </w:r>
                            <w:r>
                              <w:rPr>
                                <w:rFonts w:eastAsia="標楷體" w:hint="eastAsia"/>
                                <w:sz w:val="21"/>
                                <w:szCs w:val="21"/>
                              </w:rPr>
                              <w:t>for 2018</w:t>
                            </w:r>
                            <w:r w:rsidRPr="00101A2C">
                              <w:rPr>
                                <w:rFonts w:eastAsia="標楷體"/>
                                <w:sz w:val="21"/>
                                <w:szCs w:val="21"/>
                              </w:rPr>
                              <w:t xml:space="preserve"> CPI inflation is 1.40%, with a lower</w:t>
                            </w:r>
                            <w:r>
                              <w:rPr>
                                <w:rFonts w:eastAsia="標楷體" w:hint="eastAsia"/>
                                <w:sz w:val="21"/>
                                <w:szCs w:val="21"/>
                              </w:rPr>
                              <w:t xml:space="preserve"> projection of</w:t>
                            </w:r>
                            <w:r w:rsidRPr="00101A2C">
                              <w:rPr>
                                <w:rFonts w:eastAsia="標楷體"/>
                                <w:sz w:val="21"/>
                                <w:szCs w:val="21"/>
                              </w:rPr>
                              <w:t xml:space="preserve"> 1.00% if excluding the cigarette tax hike effect.</w:t>
                            </w:r>
                          </w:p>
                          <w:p w:rsidR="00226DAD" w:rsidRPr="00101A2C" w:rsidRDefault="00226DAD" w:rsidP="00226DAD">
                            <w:pPr>
                              <w:widowControl/>
                              <w:snapToGrid w:val="0"/>
                              <w:spacing w:beforeLines="25" w:before="60"/>
                              <w:ind w:left="283" w:hangingChars="135" w:hanging="283"/>
                              <w:rPr>
                                <w:rFonts w:eastAsia="標楷體"/>
                                <w:sz w:val="21"/>
                                <w:szCs w:val="21"/>
                              </w:rPr>
                            </w:pPr>
                            <w:r w:rsidRPr="00101A2C">
                              <w:rPr>
                                <w:rFonts w:eastAsia="標楷體"/>
                                <w:sz w:val="21"/>
                                <w:szCs w:val="21"/>
                              </w:rPr>
                              <w:t xml:space="preserve">**Excluding vegetables, fruit, and energy. </w:t>
                            </w:r>
                          </w:p>
                          <w:p w:rsidR="00226DAD" w:rsidRPr="00101A2C" w:rsidRDefault="00226DAD" w:rsidP="00101A2C">
                            <w:pPr>
                              <w:spacing w:line="400" w:lineRule="exact"/>
                              <w:ind w:left="283" w:hangingChars="135" w:hanging="283"/>
                              <w:rPr>
                                <w:rFonts w:eastAsia="標楷體"/>
                                <w:sz w:val="21"/>
                                <w:szCs w:val="21"/>
                              </w:rPr>
                            </w:pPr>
                            <w:r w:rsidRPr="00101A2C">
                              <w:rPr>
                                <w:rFonts w:eastAsia="標楷體"/>
                                <w:sz w:val="21"/>
                                <w:szCs w:val="21"/>
                              </w:rPr>
                              <w:t>Sources: DGBAS, Executive Yuan; forecasts by respective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 o:spid="_x0000_s1029" type="#_x0000_t202" style="position:absolute;margin-left:-413.55pt;margin-top:110.1pt;width:431.05pt;height:6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" filled="f" stroked="f" strokeweight=".5pt">
                <v:textbox>
                  <w:txbxContent>
                    <w:p w:rsidR="00226DAD" w:rsidRPr="00101A2C" w:rsidRDefault="00226DAD" w:rsidP="00101A2C">
                      <w:pPr>
                        <w:widowControl/>
                        <w:snapToGrid w:val="0"/>
                        <w:ind w:left="283" w:hangingChars="135" w:hanging="283"/>
                        <w:rPr>
                          <w:rFonts w:eastAsia="標楷體"/>
                          <w:sz w:val="21"/>
                          <w:szCs w:val="21"/>
                        </w:rPr>
                      </w:pPr>
                      <w:r w:rsidRPr="00101A2C">
                        <w:rPr>
                          <w:rFonts w:eastAsia="標楷體"/>
                          <w:sz w:val="21"/>
                          <w:szCs w:val="21"/>
                        </w:rPr>
                        <w:t>*</w:t>
                      </w:r>
                      <w:r>
                        <w:rPr>
                          <w:rFonts w:eastAsia="標楷體"/>
                          <w:sz w:val="21"/>
                          <w:szCs w:val="21"/>
                        </w:rPr>
                        <w:t xml:space="preserve"> The CBC</w:t>
                      </w:r>
                      <w:r w:rsidRPr="000515AE">
                        <w:rPr>
                          <w:rFonts w:eastAsia="標楷體"/>
                          <w:sz w:val="22"/>
                          <w:szCs w:val="22"/>
                        </w:rPr>
                        <w:t>'</w:t>
                      </w:r>
                      <w:r w:rsidRPr="00101A2C">
                        <w:rPr>
                          <w:rFonts w:eastAsia="標楷體"/>
                          <w:sz w:val="21"/>
                          <w:szCs w:val="21"/>
                        </w:rPr>
                        <w:t xml:space="preserve">s forecast </w:t>
                      </w:r>
                      <w:r>
                        <w:rPr>
                          <w:rFonts w:eastAsia="標楷體" w:hint="eastAsia"/>
                          <w:sz w:val="21"/>
                          <w:szCs w:val="21"/>
                        </w:rPr>
                        <w:t>for 2018</w:t>
                      </w:r>
                      <w:r w:rsidRPr="00101A2C">
                        <w:rPr>
                          <w:rFonts w:eastAsia="標楷體"/>
                          <w:sz w:val="21"/>
                          <w:szCs w:val="21"/>
                        </w:rPr>
                        <w:t xml:space="preserve"> CPI inflation is 1.40%, with a lower</w:t>
                      </w:r>
                      <w:r>
                        <w:rPr>
                          <w:rFonts w:eastAsia="標楷體" w:hint="eastAsia"/>
                          <w:sz w:val="21"/>
                          <w:szCs w:val="21"/>
                        </w:rPr>
                        <w:t xml:space="preserve"> projection of</w:t>
                      </w:r>
                      <w:r w:rsidRPr="00101A2C">
                        <w:rPr>
                          <w:rFonts w:eastAsia="標楷體"/>
                          <w:sz w:val="21"/>
                          <w:szCs w:val="21"/>
                        </w:rPr>
                        <w:t xml:space="preserve"> 1.00% if excluding the cigarette tax hike effect.</w:t>
                      </w:r>
                    </w:p>
                    <w:p w:rsidR="00226DAD" w:rsidRPr="00101A2C" w:rsidRDefault="00226DAD" w:rsidP="00226DAD">
                      <w:pPr>
                        <w:widowControl/>
                        <w:snapToGrid w:val="0"/>
                        <w:spacing w:beforeLines="25" w:before="60"/>
                        <w:ind w:left="283" w:hangingChars="135" w:hanging="283"/>
                        <w:rPr>
                          <w:rFonts w:eastAsia="標楷體"/>
                          <w:sz w:val="21"/>
                          <w:szCs w:val="21"/>
                        </w:rPr>
                      </w:pPr>
                      <w:r w:rsidRPr="00101A2C">
                        <w:rPr>
                          <w:rFonts w:eastAsia="標楷體"/>
                          <w:sz w:val="21"/>
                          <w:szCs w:val="21"/>
                        </w:rPr>
                        <w:t xml:space="preserve">**Excluding vegetables, fruit, and energy. </w:t>
                      </w:r>
                    </w:p>
                    <w:p w:rsidR="00226DAD" w:rsidRPr="00101A2C" w:rsidRDefault="00226DAD" w:rsidP="00101A2C">
                      <w:pPr>
                        <w:spacing w:line="400" w:lineRule="exact"/>
                        <w:ind w:left="283" w:hangingChars="135" w:hanging="283"/>
                        <w:rPr>
                          <w:rFonts w:eastAsia="標楷體"/>
                          <w:sz w:val="21"/>
                          <w:szCs w:val="21"/>
                        </w:rPr>
                      </w:pPr>
                      <w:r w:rsidRPr="00101A2C">
                        <w:rPr>
                          <w:rFonts w:eastAsia="標楷體"/>
                          <w:sz w:val="21"/>
                          <w:szCs w:val="21"/>
                        </w:rPr>
                        <w:t>Sources: DGBAS, Executive Yuan; forecasts by respective institutions.</w:t>
                      </w:r>
                    </w:p>
                  </w:txbxContent>
                </v:textbox>
              </v:shape>
            </w:pict>
          </mc:Fallback>
        </mc:AlternateContent>
      </w:r>
      <w:r w:rsidRPr="004F16D5">
        <w:rPr>
          <w:rFonts w:eastAsia="標楷體"/>
          <w:szCs w:val="28"/>
        </w:rPr>
        <w:br w:type="page"/>
      </w:r>
    </w:p>
    <w:p w:rsidR="00226DAD" w:rsidRPr="00CB4A42" w:rsidRDefault="00226DAD" w:rsidP="00CB4A42">
      <w:pPr>
        <w:spacing w:line="480" w:lineRule="exact"/>
        <w:jc w:val="center"/>
        <w:rPr>
          <w:rFonts w:eastAsia="標楷體"/>
          <w:b/>
          <w:sz w:val="32"/>
          <w:szCs w:val="28"/>
        </w:rPr>
      </w:pPr>
      <w:r w:rsidRPr="00CB4A42">
        <w:rPr>
          <w:rFonts w:eastAsia="標楷體" w:hint="eastAsia"/>
          <w:b/>
          <w:sz w:val="32"/>
          <w:szCs w:val="28"/>
        </w:rPr>
        <w:lastRenderedPageBreak/>
        <w:t xml:space="preserve">  Figure 1 </w:t>
      </w:r>
    </w:p>
    <w:p w:rsidR="00226DAD" w:rsidRDefault="00226DAD" w:rsidP="00CB4A42">
      <w:pPr>
        <w:snapToGrid w:val="0"/>
        <w:spacing w:beforeLines="50" w:before="180"/>
        <w:jc w:val="center"/>
        <w:rPr>
          <w:rFonts w:eastAsia="標楷體"/>
          <w:b/>
          <w:sz w:val="32"/>
          <w:szCs w:val="28"/>
        </w:rPr>
      </w:pPr>
      <w:r>
        <w:rPr>
          <w:noProof/>
        </w:rPr>
        <w:drawing>
          <wp:anchor distT="0" distB="0" distL="114300" distR="114300" simplePos="0" relativeHeight="251676672" behindDoc="0" locked="0" layoutInCell="1" allowOverlap="1" wp14:anchorId="049660FC" wp14:editId="18136749">
            <wp:simplePos x="0" y="0"/>
            <wp:positionH relativeFrom="column">
              <wp:posOffset>228600</wp:posOffset>
            </wp:positionH>
            <wp:positionV relativeFrom="paragraph">
              <wp:posOffset>393065</wp:posOffset>
            </wp:positionV>
            <wp:extent cx="8382000" cy="4592320"/>
            <wp:effectExtent l="0" t="0" r="0" b="0"/>
            <wp:wrapSquare wrapText="bothSides"/>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rFonts w:eastAsia="標楷體" w:hint="eastAsia"/>
          <w:b/>
          <w:sz w:val="32"/>
          <w:szCs w:val="28"/>
        </w:rPr>
        <w:t xml:space="preserve"> Nominal </w:t>
      </w:r>
      <w:r>
        <w:rPr>
          <w:rFonts w:eastAsia="標楷體"/>
          <w:b/>
          <w:sz w:val="32"/>
          <w:szCs w:val="28"/>
        </w:rPr>
        <w:t xml:space="preserve">Interest Rates </w:t>
      </w:r>
      <w:r>
        <w:rPr>
          <w:rFonts w:eastAsia="標楷體" w:hint="eastAsia"/>
          <w:b/>
          <w:sz w:val="32"/>
          <w:szCs w:val="28"/>
        </w:rPr>
        <w:t>o</w:t>
      </w:r>
      <w:r>
        <w:rPr>
          <w:rFonts w:eastAsia="標楷體"/>
          <w:b/>
          <w:sz w:val="32"/>
          <w:szCs w:val="28"/>
        </w:rPr>
        <w:t>f Selected Economies</w:t>
      </w:r>
      <w:r>
        <w:rPr>
          <w:rFonts w:eastAsia="標楷體" w:hint="eastAsia"/>
          <w:b/>
          <w:sz w:val="32"/>
          <w:szCs w:val="28"/>
        </w:rPr>
        <w:t xml:space="preserve"> (2018/6/21)</w:t>
      </w:r>
    </w:p>
    <w:p w:rsidR="00226DAD" w:rsidRPr="00CB4A42" w:rsidRDefault="00226DAD" w:rsidP="00C62420">
      <w:pPr>
        <w:spacing w:line="400" w:lineRule="exact"/>
        <w:rPr>
          <w:rFonts w:eastAsia="標楷體"/>
          <w:szCs w:val="28"/>
        </w:rPr>
        <w:sectPr w:rsidR="00226DAD" w:rsidRPr="00CB4A42" w:rsidSect="00CB4A42">
          <w:pgSz w:w="16838" w:h="11906" w:orient="landscape" w:code="9"/>
          <w:pgMar w:top="1418" w:right="1418" w:bottom="1418" w:left="1418" w:header="851" w:footer="851" w:gutter="0"/>
          <w:cols w:space="425"/>
          <w:docGrid w:type="lines" w:linePitch="360"/>
        </w:sectPr>
      </w:pPr>
    </w:p>
    <w:p w:rsidR="00226DAD" w:rsidRPr="004F16D5" w:rsidRDefault="00226DAD" w:rsidP="00C62420">
      <w:pPr>
        <w:spacing w:line="400" w:lineRule="exact"/>
        <w:rPr>
          <w:rFonts w:eastAsia="標楷體"/>
          <w:szCs w:val="28"/>
        </w:rPr>
      </w:pPr>
    </w:p>
    <w:p w:rsidR="00226DAD" w:rsidRPr="005545EC" w:rsidRDefault="00226DAD" w:rsidP="00C62420">
      <w:pPr>
        <w:spacing w:line="480" w:lineRule="exact"/>
        <w:jc w:val="center"/>
        <w:rPr>
          <w:rFonts w:eastAsia="標楷體"/>
          <w:b/>
          <w:sz w:val="28"/>
          <w:szCs w:val="28"/>
        </w:rPr>
      </w:pPr>
      <w:r>
        <w:rPr>
          <w:rFonts w:eastAsia="標楷體" w:hint="eastAsia"/>
          <w:b/>
          <w:sz w:val="28"/>
          <w:szCs w:val="28"/>
        </w:rPr>
        <w:t>Table 2</w:t>
      </w:r>
    </w:p>
    <w:p w:rsidR="00226DAD" w:rsidRPr="005545EC" w:rsidRDefault="00226DAD" w:rsidP="00C62420">
      <w:pPr>
        <w:spacing w:line="480" w:lineRule="exact"/>
        <w:jc w:val="center"/>
        <w:rPr>
          <w:rFonts w:eastAsia="標楷體"/>
          <w:b/>
          <w:sz w:val="28"/>
          <w:szCs w:val="28"/>
        </w:rPr>
      </w:pPr>
      <w:r>
        <w:rPr>
          <w:rFonts w:eastAsia="標楷體" w:hint="eastAsia"/>
          <w:b/>
          <w:sz w:val="28"/>
          <w:szCs w:val="28"/>
        </w:rPr>
        <w:t>Real Interest Rates and Economic Growth of Selected Economies</w:t>
      </w:r>
    </w:p>
    <w:tbl>
      <w:tblPr>
        <w:tblW w:w="9371" w:type="dxa"/>
        <w:tblInd w:w="13" w:type="dxa"/>
        <w:tblCellMar>
          <w:left w:w="28" w:type="dxa"/>
          <w:right w:w="28" w:type="dxa"/>
        </w:tblCellMar>
        <w:tblLook w:val="04A0" w:firstRow="1" w:lastRow="0" w:firstColumn="1" w:lastColumn="0" w:noHBand="0" w:noVBand="1"/>
      </w:tblPr>
      <w:tblGrid>
        <w:gridCol w:w="1433"/>
        <w:gridCol w:w="2207"/>
        <w:gridCol w:w="1860"/>
        <w:gridCol w:w="1860"/>
        <w:gridCol w:w="2011"/>
      </w:tblGrid>
      <w:tr w:rsidR="00226DAD" w:rsidRPr="004F16D5" w:rsidTr="00B579AA">
        <w:trPr>
          <w:trHeight w:val="721"/>
        </w:trPr>
        <w:tc>
          <w:tcPr>
            <w:tcW w:w="1433" w:type="dxa"/>
            <w:tcBorders>
              <w:top w:val="nil"/>
              <w:left w:val="nil"/>
              <w:bottom w:val="nil"/>
              <w:right w:val="nil"/>
            </w:tcBorders>
            <w:shd w:val="clear" w:color="auto" w:fill="auto"/>
            <w:noWrap/>
            <w:vAlign w:val="bottom"/>
            <w:hideMark/>
          </w:tcPr>
          <w:p w:rsidR="00226DAD" w:rsidRPr="004F16D5" w:rsidRDefault="00226DAD" w:rsidP="00390CF3">
            <w:pPr>
              <w:widowControl/>
              <w:jc w:val="center"/>
              <w:rPr>
                <w:sz w:val="32"/>
                <w:szCs w:val="32"/>
              </w:rPr>
            </w:pPr>
          </w:p>
        </w:tc>
        <w:tc>
          <w:tcPr>
            <w:tcW w:w="2207" w:type="dxa"/>
            <w:tcBorders>
              <w:top w:val="nil"/>
              <w:left w:val="nil"/>
              <w:bottom w:val="nil"/>
              <w:right w:val="nil"/>
            </w:tcBorders>
            <w:shd w:val="clear" w:color="auto" w:fill="auto"/>
            <w:noWrap/>
            <w:vAlign w:val="bottom"/>
            <w:hideMark/>
          </w:tcPr>
          <w:p w:rsidR="00226DAD" w:rsidRPr="004F16D5" w:rsidRDefault="00226DAD" w:rsidP="00390CF3">
            <w:pPr>
              <w:widowControl/>
              <w:jc w:val="center"/>
            </w:pPr>
          </w:p>
        </w:tc>
        <w:tc>
          <w:tcPr>
            <w:tcW w:w="1860" w:type="dxa"/>
            <w:tcBorders>
              <w:top w:val="nil"/>
              <w:left w:val="nil"/>
              <w:bottom w:val="nil"/>
              <w:right w:val="nil"/>
            </w:tcBorders>
            <w:shd w:val="clear" w:color="auto" w:fill="auto"/>
            <w:noWrap/>
            <w:vAlign w:val="bottom"/>
            <w:hideMark/>
          </w:tcPr>
          <w:p w:rsidR="00226DAD" w:rsidRPr="004F16D5" w:rsidRDefault="00226DAD" w:rsidP="00390CF3">
            <w:pPr>
              <w:widowControl/>
              <w:jc w:val="center"/>
            </w:pPr>
          </w:p>
        </w:tc>
        <w:tc>
          <w:tcPr>
            <w:tcW w:w="1860" w:type="dxa"/>
            <w:tcBorders>
              <w:top w:val="nil"/>
              <w:left w:val="nil"/>
              <w:bottom w:val="nil"/>
              <w:right w:val="nil"/>
            </w:tcBorders>
            <w:shd w:val="clear" w:color="auto" w:fill="auto"/>
            <w:noWrap/>
            <w:vAlign w:val="bottom"/>
            <w:hideMark/>
          </w:tcPr>
          <w:p w:rsidR="00226DAD" w:rsidRPr="004F16D5" w:rsidRDefault="00226DAD" w:rsidP="00390CF3">
            <w:pPr>
              <w:widowControl/>
              <w:jc w:val="center"/>
            </w:pPr>
          </w:p>
        </w:tc>
        <w:tc>
          <w:tcPr>
            <w:tcW w:w="2011" w:type="dxa"/>
            <w:tcBorders>
              <w:top w:val="nil"/>
              <w:left w:val="nil"/>
              <w:bottom w:val="nil"/>
              <w:right w:val="nil"/>
            </w:tcBorders>
            <w:shd w:val="clear" w:color="auto" w:fill="auto"/>
            <w:noWrap/>
            <w:vAlign w:val="bottom"/>
            <w:hideMark/>
          </w:tcPr>
          <w:p w:rsidR="00226DAD" w:rsidRPr="005545EC" w:rsidRDefault="00226DAD" w:rsidP="005545EC">
            <w:pPr>
              <w:widowControl/>
              <w:wordWrap w:val="0"/>
              <w:jc w:val="right"/>
              <w:rPr>
                <w:rFonts w:eastAsia="標楷體"/>
                <w:sz w:val="22"/>
              </w:rPr>
            </w:pPr>
            <w:r w:rsidRPr="005545EC">
              <w:rPr>
                <w:rFonts w:eastAsia="標楷體"/>
                <w:sz w:val="22"/>
              </w:rPr>
              <w:t>Unit: %</w:t>
            </w:r>
          </w:p>
        </w:tc>
      </w:tr>
      <w:tr w:rsidR="00226DAD" w:rsidRPr="004F16D5" w:rsidTr="00B579AA">
        <w:trPr>
          <w:trHeight w:val="232"/>
        </w:trPr>
        <w:tc>
          <w:tcPr>
            <w:tcW w:w="1433"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226DAD" w:rsidRPr="000515AE" w:rsidRDefault="00226DAD" w:rsidP="001C730C">
            <w:pPr>
              <w:widowControl/>
              <w:snapToGrid w:val="0"/>
              <w:jc w:val="center"/>
              <w:rPr>
                <w:rFonts w:eastAsia="標楷體"/>
              </w:rPr>
            </w:pPr>
            <w:r w:rsidRPr="000515AE">
              <w:rPr>
                <w:rFonts w:eastAsia="標楷體"/>
              </w:rPr>
              <w:t>Economies</w:t>
            </w:r>
          </w:p>
        </w:tc>
        <w:tc>
          <w:tcPr>
            <w:tcW w:w="2207" w:type="dxa"/>
            <w:tcBorders>
              <w:top w:val="single" w:sz="8" w:space="0" w:color="auto"/>
              <w:left w:val="nil"/>
              <w:bottom w:val="nil"/>
              <w:right w:val="single" w:sz="4" w:space="0" w:color="auto"/>
            </w:tcBorders>
            <w:shd w:val="clear" w:color="auto" w:fill="auto"/>
            <w:noWrap/>
            <w:vAlign w:val="center"/>
            <w:hideMark/>
          </w:tcPr>
          <w:p w:rsidR="00226DAD" w:rsidRPr="00E20FEE" w:rsidRDefault="00226DAD" w:rsidP="001C730C">
            <w:pPr>
              <w:widowControl/>
              <w:snapToGrid w:val="0"/>
              <w:jc w:val="center"/>
            </w:pPr>
            <w:r w:rsidRPr="00E20FEE">
              <w:t>(1)</w:t>
            </w:r>
          </w:p>
        </w:tc>
        <w:tc>
          <w:tcPr>
            <w:tcW w:w="1860" w:type="dxa"/>
            <w:tcBorders>
              <w:top w:val="single" w:sz="8" w:space="0" w:color="auto"/>
              <w:left w:val="nil"/>
              <w:bottom w:val="nil"/>
              <w:right w:val="single" w:sz="4" w:space="0" w:color="auto"/>
            </w:tcBorders>
            <w:shd w:val="clear" w:color="auto" w:fill="auto"/>
            <w:noWrap/>
            <w:vAlign w:val="center"/>
            <w:hideMark/>
          </w:tcPr>
          <w:p w:rsidR="00226DAD" w:rsidRPr="00E20FEE" w:rsidRDefault="00226DAD" w:rsidP="001C730C">
            <w:pPr>
              <w:widowControl/>
              <w:snapToGrid w:val="0"/>
              <w:jc w:val="center"/>
            </w:pPr>
            <w:r w:rsidRPr="00E20FEE">
              <w:t>(2)</w:t>
            </w:r>
          </w:p>
        </w:tc>
        <w:tc>
          <w:tcPr>
            <w:tcW w:w="1860" w:type="dxa"/>
            <w:tcBorders>
              <w:top w:val="single" w:sz="8" w:space="0" w:color="auto"/>
              <w:left w:val="nil"/>
              <w:bottom w:val="nil"/>
              <w:right w:val="nil"/>
            </w:tcBorders>
            <w:shd w:val="clear" w:color="auto" w:fill="auto"/>
            <w:noWrap/>
            <w:vAlign w:val="center"/>
            <w:hideMark/>
          </w:tcPr>
          <w:p w:rsidR="00226DAD" w:rsidRPr="00E20FEE" w:rsidRDefault="00226DAD" w:rsidP="001C730C">
            <w:pPr>
              <w:widowControl/>
              <w:snapToGrid w:val="0"/>
              <w:jc w:val="center"/>
            </w:pPr>
            <w:r w:rsidRPr="00E20FEE">
              <w:t>(3)=(1)-(2)</w:t>
            </w:r>
          </w:p>
        </w:tc>
        <w:tc>
          <w:tcPr>
            <w:tcW w:w="2011"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226DAD" w:rsidRPr="008E2538" w:rsidRDefault="00226DAD" w:rsidP="001C730C">
            <w:pPr>
              <w:widowControl/>
              <w:snapToGrid w:val="0"/>
              <w:jc w:val="center"/>
            </w:pPr>
            <w:r w:rsidRPr="008E2538">
              <w:rPr>
                <w:rFonts w:hint="eastAsia"/>
              </w:rPr>
              <w:t xml:space="preserve">Real GDP </w:t>
            </w:r>
          </w:p>
          <w:p w:rsidR="00226DAD" w:rsidRPr="008E2538" w:rsidRDefault="00226DAD" w:rsidP="001C730C">
            <w:pPr>
              <w:widowControl/>
              <w:snapToGrid w:val="0"/>
              <w:jc w:val="center"/>
            </w:pPr>
            <w:r w:rsidRPr="008E2538">
              <w:rPr>
                <w:rFonts w:hint="eastAsia"/>
              </w:rPr>
              <w:t>growth rate</w:t>
            </w:r>
            <w:r w:rsidRPr="008E2538">
              <w:t>**</w:t>
            </w:r>
            <w:r w:rsidRPr="008E2538">
              <w:rPr>
                <w:rFonts w:hint="eastAsia"/>
              </w:rPr>
              <w:t xml:space="preserve"> </w:t>
            </w:r>
          </w:p>
          <w:p w:rsidR="00226DAD" w:rsidRPr="00E20FEE" w:rsidRDefault="00226DAD" w:rsidP="008E2538">
            <w:pPr>
              <w:widowControl/>
              <w:snapToGrid w:val="0"/>
              <w:jc w:val="center"/>
            </w:pPr>
            <w:r w:rsidRPr="008E2538">
              <w:rPr>
                <w:rFonts w:hint="eastAsia"/>
              </w:rPr>
              <w:t>(2018 forecast)</w:t>
            </w:r>
            <w:r w:rsidRPr="008E2538">
              <w:rPr>
                <w:rFonts w:eastAsia="標楷體"/>
              </w:rPr>
              <w:t xml:space="preserve"> </w:t>
            </w:r>
          </w:p>
        </w:tc>
      </w:tr>
      <w:tr w:rsidR="00226DAD" w:rsidRPr="004F16D5" w:rsidTr="00B579AA">
        <w:trPr>
          <w:trHeight w:val="368"/>
        </w:trPr>
        <w:tc>
          <w:tcPr>
            <w:tcW w:w="1433" w:type="dxa"/>
            <w:vMerge/>
            <w:tcBorders>
              <w:top w:val="single" w:sz="8" w:space="0" w:color="auto"/>
              <w:left w:val="single" w:sz="8" w:space="0" w:color="auto"/>
              <w:bottom w:val="single" w:sz="4" w:space="0" w:color="000000"/>
              <w:right w:val="single" w:sz="4" w:space="0" w:color="auto"/>
            </w:tcBorders>
            <w:vAlign w:val="center"/>
            <w:hideMark/>
          </w:tcPr>
          <w:p w:rsidR="00226DAD" w:rsidRPr="000515AE" w:rsidRDefault="00226DAD" w:rsidP="00390CF3">
            <w:pPr>
              <w:widowControl/>
              <w:snapToGrid w:val="0"/>
              <w:rPr>
                <w:rFonts w:ascii="標楷體" w:eastAsia="標楷體" w:hAnsi="標楷體" w:cs="Arial"/>
              </w:rPr>
            </w:pPr>
          </w:p>
        </w:tc>
        <w:tc>
          <w:tcPr>
            <w:tcW w:w="2207" w:type="dxa"/>
            <w:tcBorders>
              <w:top w:val="nil"/>
              <w:left w:val="nil"/>
              <w:right w:val="single" w:sz="4" w:space="0" w:color="auto"/>
            </w:tcBorders>
            <w:shd w:val="clear" w:color="auto" w:fill="auto"/>
            <w:vAlign w:val="center"/>
            <w:hideMark/>
          </w:tcPr>
          <w:p w:rsidR="00226DAD" w:rsidRPr="004F16D5" w:rsidRDefault="00226DAD" w:rsidP="00390CF3">
            <w:pPr>
              <w:widowControl/>
              <w:snapToGrid w:val="0"/>
              <w:jc w:val="center"/>
            </w:pPr>
            <w:r w:rsidRPr="008E2538">
              <w:t xml:space="preserve">1-year </w:t>
            </w:r>
            <w:r w:rsidRPr="008E2538">
              <w:rPr>
                <w:b/>
              </w:rPr>
              <w:t>time deposit rate</w:t>
            </w:r>
            <w:r>
              <w:rPr>
                <w:rFonts w:hint="eastAsia"/>
              </w:rPr>
              <w:t xml:space="preserve">* </w:t>
            </w:r>
          </w:p>
        </w:tc>
        <w:tc>
          <w:tcPr>
            <w:tcW w:w="1860" w:type="dxa"/>
            <w:tcBorders>
              <w:top w:val="nil"/>
              <w:left w:val="nil"/>
              <w:right w:val="single" w:sz="4" w:space="0" w:color="auto"/>
            </w:tcBorders>
            <w:shd w:val="clear" w:color="auto" w:fill="auto"/>
            <w:noWrap/>
            <w:vAlign w:val="center"/>
            <w:hideMark/>
          </w:tcPr>
          <w:p w:rsidR="00226DAD" w:rsidRPr="004F16D5" w:rsidRDefault="00226DAD" w:rsidP="00390CF3">
            <w:pPr>
              <w:widowControl/>
              <w:snapToGrid w:val="0"/>
              <w:jc w:val="center"/>
            </w:pPr>
            <w:r>
              <w:t>CPI annual growth rate</w:t>
            </w:r>
            <w:r w:rsidRPr="00E20FEE">
              <w:rPr>
                <w:rFonts w:eastAsia="標楷體"/>
              </w:rPr>
              <w:t>*</w:t>
            </w:r>
            <w:r w:rsidRPr="00E20FEE">
              <w:t>*</w:t>
            </w:r>
          </w:p>
        </w:tc>
        <w:tc>
          <w:tcPr>
            <w:tcW w:w="18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26DAD" w:rsidRPr="004F16D5" w:rsidRDefault="00226DAD" w:rsidP="00390CF3">
            <w:pPr>
              <w:widowControl/>
              <w:snapToGrid w:val="0"/>
              <w:jc w:val="center"/>
              <w:rPr>
                <w:rFonts w:ascii="標楷體" w:eastAsia="標楷體" w:hAnsi="標楷體" w:cs="Arial"/>
                <w:b/>
                <w:bCs/>
              </w:rPr>
            </w:pPr>
            <w:r w:rsidRPr="00667364">
              <w:rPr>
                <w:rFonts w:eastAsia="標楷體"/>
                <w:b/>
              </w:rPr>
              <w:t>Real interest rate</w:t>
            </w:r>
          </w:p>
        </w:tc>
        <w:tc>
          <w:tcPr>
            <w:tcW w:w="2011" w:type="dxa"/>
            <w:vMerge/>
            <w:tcBorders>
              <w:top w:val="single" w:sz="8" w:space="0" w:color="auto"/>
              <w:left w:val="single" w:sz="8" w:space="0" w:color="auto"/>
              <w:bottom w:val="single" w:sz="4" w:space="0" w:color="000000"/>
              <w:right w:val="single" w:sz="8" w:space="0" w:color="auto"/>
            </w:tcBorders>
            <w:vAlign w:val="center"/>
            <w:hideMark/>
          </w:tcPr>
          <w:p w:rsidR="00226DAD" w:rsidRPr="004F16D5" w:rsidRDefault="00226DAD" w:rsidP="00390CF3">
            <w:pPr>
              <w:widowControl/>
              <w:snapToGrid w:val="0"/>
            </w:pPr>
          </w:p>
        </w:tc>
      </w:tr>
      <w:tr w:rsidR="00226DAD" w:rsidRPr="004F16D5" w:rsidTr="00B579AA">
        <w:trPr>
          <w:trHeight w:val="270"/>
        </w:trPr>
        <w:tc>
          <w:tcPr>
            <w:tcW w:w="1433" w:type="dxa"/>
            <w:vMerge/>
            <w:tcBorders>
              <w:top w:val="single" w:sz="8" w:space="0" w:color="auto"/>
              <w:left w:val="single" w:sz="8" w:space="0" w:color="auto"/>
              <w:bottom w:val="single" w:sz="4" w:space="0" w:color="000000"/>
              <w:right w:val="single" w:sz="4" w:space="0" w:color="auto"/>
            </w:tcBorders>
            <w:vAlign w:val="center"/>
            <w:hideMark/>
          </w:tcPr>
          <w:p w:rsidR="00226DAD" w:rsidRPr="000515AE" w:rsidRDefault="00226DAD" w:rsidP="00390CF3">
            <w:pPr>
              <w:widowControl/>
              <w:snapToGrid w:val="0"/>
              <w:rPr>
                <w:rFonts w:ascii="標楷體" w:eastAsia="標楷體" w:hAnsi="標楷體" w:cs="Arial"/>
              </w:rPr>
            </w:pPr>
          </w:p>
        </w:tc>
        <w:tc>
          <w:tcPr>
            <w:tcW w:w="2207" w:type="dxa"/>
            <w:tcBorders>
              <w:top w:val="nil"/>
              <w:left w:val="nil"/>
              <w:bottom w:val="single" w:sz="4" w:space="0" w:color="auto"/>
              <w:right w:val="single" w:sz="4" w:space="0" w:color="auto"/>
            </w:tcBorders>
            <w:shd w:val="clear" w:color="auto" w:fill="auto"/>
            <w:noWrap/>
            <w:vAlign w:val="center"/>
            <w:hideMark/>
          </w:tcPr>
          <w:p w:rsidR="00226DAD" w:rsidRPr="004F16D5" w:rsidRDefault="00226DAD" w:rsidP="00DE7BF3">
            <w:pPr>
              <w:widowControl/>
              <w:snapToGrid w:val="0"/>
              <w:jc w:val="center"/>
            </w:pPr>
            <w:r w:rsidRPr="00E20FEE">
              <w:t>(</w:t>
            </w:r>
            <w:r>
              <w:rPr>
                <w:rFonts w:hint="eastAsia"/>
              </w:rPr>
              <w:t xml:space="preserve">As of </w:t>
            </w:r>
            <w:r>
              <w:t>201</w:t>
            </w:r>
            <w:r>
              <w:rPr>
                <w:rFonts w:hint="eastAsia"/>
              </w:rPr>
              <w:t>8</w:t>
            </w:r>
            <w:r>
              <w:rPr>
                <w:rFonts w:eastAsia="標楷體" w:hint="eastAsia"/>
              </w:rPr>
              <w:t>/</w:t>
            </w:r>
            <w:r>
              <w:rPr>
                <w:rFonts w:hint="eastAsia"/>
              </w:rPr>
              <w:t>6</w:t>
            </w:r>
            <w:r>
              <w:rPr>
                <w:rFonts w:eastAsia="標楷體" w:hint="eastAsia"/>
              </w:rPr>
              <w:t>/</w:t>
            </w:r>
            <w:r>
              <w:t>2</w:t>
            </w:r>
            <w:r>
              <w:rPr>
                <w:rFonts w:hint="eastAsia"/>
              </w:rPr>
              <w:t>1</w:t>
            </w:r>
            <w:r w:rsidRPr="00E20FEE">
              <w:t>)</w:t>
            </w:r>
          </w:p>
        </w:tc>
        <w:tc>
          <w:tcPr>
            <w:tcW w:w="1860" w:type="dxa"/>
            <w:tcBorders>
              <w:top w:val="nil"/>
              <w:left w:val="nil"/>
              <w:bottom w:val="single" w:sz="4" w:space="0" w:color="auto"/>
              <w:right w:val="single" w:sz="4" w:space="0" w:color="auto"/>
            </w:tcBorders>
            <w:shd w:val="clear" w:color="auto" w:fill="auto"/>
            <w:noWrap/>
            <w:vAlign w:val="center"/>
            <w:hideMark/>
          </w:tcPr>
          <w:p w:rsidR="00226DAD" w:rsidRPr="004F16D5" w:rsidRDefault="00226DAD" w:rsidP="00390CF3">
            <w:pPr>
              <w:widowControl/>
              <w:snapToGrid w:val="0"/>
              <w:jc w:val="center"/>
            </w:pPr>
            <w:r>
              <w:t>(201</w:t>
            </w:r>
            <w:r>
              <w:rPr>
                <w:rFonts w:hint="eastAsia"/>
              </w:rPr>
              <w:t>8</w:t>
            </w:r>
            <w:r>
              <w:rPr>
                <w:rFonts w:eastAsia="標楷體" w:hint="eastAsia"/>
              </w:rPr>
              <w:t xml:space="preserve"> forecast</w:t>
            </w:r>
            <w:r w:rsidRPr="00E20FEE">
              <w:t>)</w:t>
            </w:r>
          </w:p>
        </w:tc>
        <w:tc>
          <w:tcPr>
            <w:tcW w:w="1860" w:type="dxa"/>
            <w:vMerge/>
            <w:tcBorders>
              <w:top w:val="nil"/>
              <w:left w:val="single" w:sz="4" w:space="0" w:color="auto"/>
              <w:bottom w:val="single" w:sz="4" w:space="0" w:color="000000"/>
              <w:right w:val="single" w:sz="8" w:space="0" w:color="auto"/>
            </w:tcBorders>
            <w:vAlign w:val="center"/>
            <w:hideMark/>
          </w:tcPr>
          <w:p w:rsidR="00226DAD" w:rsidRPr="004F16D5" w:rsidRDefault="00226DAD" w:rsidP="00390CF3">
            <w:pPr>
              <w:widowControl/>
              <w:snapToGrid w:val="0"/>
              <w:rPr>
                <w:rFonts w:ascii="標楷體" w:eastAsia="標楷體" w:hAnsi="標楷體" w:cs="Arial"/>
                <w:b/>
                <w:bCs/>
              </w:rPr>
            </w:pPr>
          </w:p>
        </w:tc>
        <w:tc>
          <w:tcPr>
            <w:tcW w:w="2011" w:type="dxa"/>
            <w:vMerge/>
            <w:tcBorders>
              <w:top w:val="single" w:sz="8" w:space="0" w:color="auto"/>
              <w:left w:val="single" w:sz="8" w:space="0" w:color="auto"/>
              <w:bottom w:val="single" w:sz="4" w:space="0" w:color="000000"/>
              <w:right w:val="single" w:sz="8" w:space="0" w:color="auto"/>
            </w:tcBorders>
            <w:vAlign w:val="center"/>
            <w:hideMark/>
          </w:tcPr>
          <w:p w:rsidR="00226DAD" w:rsidRPr="004F16D5" w:rsidRDefault="00226DAD" w:rsidP="00390CF3">
            <w:pPr>
              <w:widowControl/>
              <w:snapToGrid w:val="0"/>
            </w:pP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Malaysia</w:t>
            </w:r>
          </w:p>
        </w:tc>
        <w:tc>
          <w:tcPr>
            <w:tcW w:w="2207" w:type="dxa"/>
            <w:tcBorders>
              <w:top w:val="single" w:sz="4" w:space="0" w:color="auto"/>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2.950</w:t>
            </w:r>
          </w:p>
        </w:tc>
        <w:tc>
          <w:tcPr>
            <w:tcW w:w="1860" w:type="dxa"/>
            <w:tcBorders>
              <w:top w:val="single" w:sz="4" w:space="0" w:color="auto"/>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1.29</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1.660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5.1</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auto" w:fill="auto"/>
            <w:noWrap/>
            <w:vAlign w:val="center"/>
          </w:tcPr>
          <w:p w:rsidR="00226DAD" w:rsidRPr="000515AE" w:rsidRDefault="00226DAD" w:rsidP="001A4442">
            <w:pPr>
              <w:jc w:val="center"/>
              <w:rPr>
                <w:rFonts w:eastAsia="標楷體"/>
              </w:rPr>
            </w:pPr>
            <w:r w:rsidRPr="000515AE">
              <w:rPr>
                <w:rFonts w:eastAsia="標楷體" w:hint="eastAsia"/>
              </w:rPr>
              <w:t>Indonesia</w:t>
            </w:r>
          </w:p>
        </w:tc>
        <w:tc>
          <w:tcPr>
            <w:tcW w:w="2207" w:type="dxa"/>
            <w:tcBorders>
              <w:top w:val="nil"/>
              <w:left w:val="nil"/>
              <w:bottom w:val="single" w:sz="4" w:space="0" w:color="auto"/>
              <w:right w:val="single" w:sz="4" w:space="0" w:color="auto"/>
            </w:tcBorders>
            <w:shd w:val="clear" w:color="auto" w:fill="auto"/>
            <w:vAlign w:val="center"/>
          </w:tcPr>
          <w:p w:rsidR="00226DAD" w:rsidRPr="00EC07C3" w:rsidRDefault="00226DAD" w:rsidP="00D65CBA">
            <w:pPr>
              <w:jc w:val="center"/>
              <w:rPr>
                <w:rFonts w:eastAsia="標楷體"/>
              </w:rPr>
            </w:pPr>
            <w:r w:rsidRPr="00EC07C3">
              <w:rPr>
                <w:rFonts w:eastAsia="標楷體"/>
              </w:rPr>
              <w:t>4.750</w:t>
            </w:r>
          </w:p>
        </w:tc>
        <w:tc>
          <w:tcPr>
            <w:tcW w:w="1860" w:type="dxa"/>
            <w:tcBorders>
              <w:top w:val="nil"/>
              <w:left w:val="nil"/>
              <w:bottom w:val="single" w:sz="4" w:space="0" w:color="auto"/>
              <w:right w:val="single" w:sz="4" w:space="0" w:color="auto"/>
            </w:tcBorders>
            <w:shd w:val="clear" w:color="auto" w:fill="auto"/>
            <w:vAlign w:val="center"/>
          </w:tcPr>
          <w:p w:rsidR="00226DAD" w:rsidRPr="00EC07C3" w:rsidRDefault="00226DAD" w:rsidP="00D65CBA">
            <w:pPr>
              <w:jc w:val="center"/>
              <w:rPr>
                <w:rFonts w:eastAsia="標楷體"/>
              </w:rPr>
            </w:pPr>
            <w:r w:rsidRPr="00EC07C3">
              <w:rPr>
                <w:rFonts w:eastAsia="標楷體"/>
              </w:rPr>
              <w:t>3.60</w:t>
            </w:r>
          </w:p>
        </w:tc>
        <w:tc>
          <w:tcPr>
            <w:tcW w:w="1860" w:type="dxa"/>
            <w:tcBorders>
              <w:top w:val="nil"/>
              <w:left w:val="nil"/>
              <w:bottom w:val="single" w:sz="4" w:space="0" w:color="auto"/>
              <w:right w:val="single" w:sz="8" w:space="0" w:color="auto"/>
            </w:tcBorders>
            <w:shd w:val="clear" w:color="auto" w:fill="auto"/>
            <w:vAlign w:val="center"/>
          </w:tcPr>
          <w:p w:rsidR="00226DAD" w:rsidRPr="00EC07C3" w:rsidRDefault="00226DAD" w:rsidP="00D65CBA">
            <w:pPr>
              <w:jc w:val="center"/>
              <w:rPr>
                <w:rFonts w:eastAsia="標楷體"/>
              </w:rPr>
            </w:pPr>
            <w:r w:rsidRPr="00EC07C3">
              <w:rPr>
                <w:rFonts w:eastAsia="標楷體"/>
              </w:rPr>
              <w:t>1.150</w:t>
            </w:r>
          </w:p>
        </w:tc>
        <w:tc>
          <w:tcPr>
            <w:tcW w:w="2011" w:type="dxa"/>
            <w:tcBorders>
              <w:top w:val="nil"/>
              <w:left w:val="single" w:sz="4" w:space="0" w:color="auto"/>
              <w:bottom w:val="single" w:sz="4" w:space="0" w:color="auto"/>
              <w:right w:val="single" w:sz="8" w:space="0" w:color="auto"/>
            </w:tcBorders>
            <w:shd w:val="clear" w:color="auto" w:fill="auto"/>
            <w:vAlign w:val="center"/>
          </w:tcPr>
          <w:p w:rsidR="00226DAD" w:rsidRPr="00EC07C3" w:rsidRDefault="00226DAD" w:rsidP="00D65CBA">
            <w:pPr>
              <w:jc w:val="center"/>
              <w:rPr>
                <w:rFonts w:eastAsia="標楷體"/>
              </w:rPr>
            </w:pPr>
            <w:r w:rsidRPr="00EC07C3">
              <w:rPr>
                <w:rFonts w:eastAsia="標楷體"/>
              </w:rPr>
              <w:t>5.1</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auto" w:fill="auto"/>
            <w:noWrap/>
            <w:vAlign w:val="center"/>
            <w:hideMark/>
          </w:tcPr>
          <w:p w:rsidR="00226DAD" w:rsidRPr="008B1363" w:rsidRDefault="00226DAD" w:rsidP="00390CF3">
            <w:pPr>
              <w:jc w:val="center"/>
              <w:rPr>
                <w:rFonts w:eastAsia="標楷體"/>
                <w:b/>
              </w:rPr>
            </w:pPr>
            <w:r w:rsidRPr="008B1363">
              <w:rPr>
                <w:rFonts w:eastAsia="標楷體" w:hint="eastAsia"/>
                <w:b/>
              </w:rPr>
              <w:t>US</w:t>
            </w:r>
          </w:p>
        </w:tc>
        <w:tc>
          <w:tcPr>
            <w:tcW w:w="2207" w:type="dxa"/>
            <w:tcBorders>
              <w:top w:val="nil"/>
              <w:left w:val="nil"/>
              <w:bottom w:val="single" w:sz="4" w:space="0" w:color="auto"/>
              <w:right w:val="single" w:sz="4" w:space="0" w:color="auto"/>
            </w:tcBorders>
            <w:shd w:val="clear" w:color="auto" w:fill="auto"/>
            <w:vAlign w:val="center"/>
            <w:hideMark/>
          </w:tcPr>
          <w:p w:rsidR="00226DAD" w:rsidRPr="00EC07C3" w:rsidRDefault="00226DAD" w:rsidP="00D65CBA">
            <w:pPr>
              <w:jc w:val="center"/>
              <w:rPr>
                <w:rFonts w:eastAsia="標楷體"/>
                <w:b/>
              </w:rPr>
            </w:pPr>
            <w:r w:rsidRPr="00EC07C3">
              <w:rPr>
                <w:rFonts w:eastAsia="標楷體"/>
                <w:b/>
              </w:rPr>
              <w:t>2.790</w:t>
            </w:r>
          </w:p>
        </w:tc>
        <w:tc>
          <w:tcPr>
            <w:tcW w:w="1860" w:type="dxa"/>
            <w:tcBorders>
              <w:top w:val="nil"/>
              <w:left w:val="nil"/>
              <w:bottom w:val="single" w:sz="4" w:space="0" w:color="auto"/>
              <w:right w:val="single" w:sz="4" w:space="0" w:color="auto"/>
            </w:tcBorders>
            <w:shd w:val="clear" w:color="auto" w:fill="auto"/>
            <w:vAlign w:val="center"/>
            <w:hideMark/>
          </w:tcPr>
          <w:p w:rsidR="00226DAD" w:rsidRPr="00EC07C3" w:rsidRDefault="00226DAD" w:rsidP="00D65CBA">
            <w:pPr>
              <w:jc w:val="center"/>
              <w:rPr>
                <w:rFonts w:eastAsia="標楷體"/>
                <w:b/>
              </w:rPr>
            </w:pPr>
            <w:r w:rsidRPr="00EC07C3">
              <w:rPr>
                <w:rFonts w:eastAsia="標楷體"/>
                <w:b/>
              </w:rPr>
              <w:t>2.52</w:t>
            </w:r>
          </w:p>
        </w:tc>
        <w:tc>
          <w:tcPr>
            <w:tcW w:w="1860" w:type="dxa"/>
            <w:tcBorders>
              <w:top w:val="nil"/>
              <w:left w:val="nil"/>
              <w:bottom w:val="single" w:sz="4" w:space="0" w:color="auto"/>
              <w:right w:val="single" w:sz="8" w:space="0" w:color="auto"/>
            </w:tcBorders>
            <w:shd w:val="clear" w:color="auto" w:fill="auto"/>
            <w:vAlign w:val="center"/>
            <w:hideMark/>
          </w:tcPr>
          <w:p w:rsidR="00226DAD" w:rsidRPr="00EC07C3" w:rsidRDefault="00226DAD" w:rsidP="00D65CBA">
            <w:pPr>
              <w:jc w:val="center"/>
              <w:rPr>
                <w:rFonts w:eastAsia="標楷體"/>
                <w:b/>
              </w:rPr>
            </w:pPr>
            <w:r w:rsidRPr="00EC07C3">
              <w:rPr>
                <w:rFonts w:eastAsia="標楷體"/>
                <w:b/>
              </w:rPr>
              <w:t>0.270</w:t>
            </w:r>
          </w:p>
        </w:tc>
        <w:tc>
          <w:tcPr>
            <w:tcW w:w="2011" w:type="dxa"/>
            <w:tcBorders>
              <w:top w:val="nil"/>
              <w:left w:val="single" w:sz="4" w:space="0" w:color="auto"/>
              <w:bottom w:val="single" w:sz="4" w:space="0" w:color="auto"/>
              <w:right w:val="single" w:sz="8" w:space="0" w:color="auto"/>
            </w:tcBorders>
            <w:shd w:val="clear" w:color="auto" w:fill="auto"/>
            <w:vAlign w:val="center"/>
            <w:hideMark/>
          </w:tcPr>
          <w:p w:rsidR="00226DAD" w:rsidRPr="00EC07C3" w:rsidRDefault="00226DAD" w:rsidP="00D65CBA">
            <w:pPr>
              <w:jc w:val="center"/>
              <w:rPr>
                <w:rFonts w:eastAsia="標楷體"/>
                <w:b/>
              </w:rPr>
            </w:pPr>
            <w:r w:rsidRPr="00EC07C3">
              <w:rPr>
                <w:rFonts w:eastAsia="標楷體"/>
                <w:b/>
              </w:rPr>
              <w:t>3.0</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Thailand</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1.32</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0.180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4.1</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South Korea</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1.300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1.49</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-0.190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3.0</w:t>
            </w:r>
          </w:p>
        </w:tc>
      </w:tr>
      <w:tr w:rsidR="00226DAD" w:rsidRPr="00381284" w:rsidTr="00B579AA">
        <w:trPr>
          <w:trHeight w:val="609"/>
        </w:trPr>
        <w:tc>
          <w:tcPr>
            <w:tcW w:w="1433" w:type="dxa"/>
            <w:tcBorders>
              <w:top w:val="nil"/>
              <w:left w:val="single" w:sz="8" w:space="0" w:color="auto"/>
              <w:bottom w:val="single" w:sz="4" w:space="0" w:color="auto"/>
              <w:right w:val="single" w:sz="4" w:space="0" w:color="auto"/>
            </w:tcBorders>
            <w:shd w:val="clear" w:color="auto" w:fill="FFFFCC"/>
            <w:noWrap/>
            <w:vAlign w:val="center"/>
            <w:hideMark/>
          </w:tcPr>
          <w:p w:rsidR="00226DAD" w:rsidRPr="000515AE" w:rsidRDefault="00226DAD" w:rsidP="00390CF3">
            <w:pPr>
              <w:jc w:val="center"/>
              <w:rPr>
                <w:rFonts w:eastAsia="標楷體"/>
                <w:b/>
              </w:rPr>
            </w:pPr>
            <w:r w:rsidRPr="000515AE">
              <w:rPr>
                <w:rFonts w:eastAsia="標楷體" w:hint="eastAsia"/>
                <w:b/>
              </w:rPr>
              <w:t>Taiwan</w:t>
            </w:r>
          </w:p>
        </w:tc>
        <w:tc>
          <w:tcPr>
            <w:tcW w:w="2207" w:type="dxa"/>
            <w:tcBorders>
              <w:top w:val="nil"/>
              <w:left w:val="nil"/>
              <w:bottom w:val="single" w:sz="4" w:space="0" w:color="auto"/>
              <w:right w:val="nil"/>
            </w:tcBorders>
            <w:shd w:val="clear" w:color="auto" w:fill="FFFFCC"/>
            <w:noWrap/>
            <w:vAlign w:val="center"/>
            <w:hideMark/>
          </w:tcPr>
          <w:p w:rsidR="00226DAD" w:rsidRPr="00EC07C3" w:rsidRDefault="00226DAD" w:rsidP="00D65CBA">
            <w:pPr>
              <w:jc w:val="center"/>
              <w:rPr>
                <w:rFonts w:eastAsia="標楷體"/>
                <w:b/>
              </w:rPr>
            </w:pPr>
            <w:r w:rsidRPr="00EC07C3">
              <w:rPr>
                <w:rFonts w:eastAsia="標楷體"/>
                <w:b/>
              </w:rPr>
              <w:t>1.065</w:t>
            </w:r>
          </w:p>
        </w:tc>
        <w:tc>
          <w:tcPr>
            <w:tcW w:w="1860" w:type="dxa"/>
            <w:tcBorders>
              <w:top w:val="nil"/>
              <w:left w:val="single" w:sz="4" w:space="0" w:color="auto"/>
              <w:bottom w:val="single" w:sz="4" w:space="0" w:color="auto"/>
              <w:right w:val="nil"/>
            </w:tcBorders>
            <w:shd w:val="clear" w:color="auto" w:fill="FFFFCC"/>
            <w:noWrap/>
            <w:vAlign w:val="center"/>
            <w:hideMark/>
          </w:tcPr>
          <w:p w:rsidR="00226DAD" w:rsidRPr="00EC07C3" w:rsidRDefault="00226DAD" w:rsidP="00D65CBA">
            <w:pPr>
              <w:jc w:val="center"/>
              <w:rPr>
                <w:rFonts w:eastAsia="標楷體"/>
                <w:b/>
              </w:rPr>
            </w:pPr>
            <w:r w:rsidRPr="00EC07C3">
              <w:rPr>
                <w:rFonts w:eastAsia="標楷體"/>
                <w:b/>
              </w:rPr>
              <w:t>1.40</w:t>
            </w:r>
          </w:p>
        </w:tc>
        <w:tc>
          <w:tcPr>
            <w:tcW w:w="1860" w:type="dxa"/>
            <w:tcBorders>
              <w:top w:val="nil"/>
              <w:left w:val="single" w:sz="4" w:space="0" w:color="auto"/>
              <w:bottom w:val="single" w:sz="4" w:space="0" w:color="auto"/>
              <w:right w:val="nil"/>
            </w:tcBorders>
            <w:shd w:val="clear" w:color="auto" w:fill="FFFFCC"/>
            <w:noWrap/>
            <w:vAlign w:val="center"/>
            <w:hideMark/>
          </w:tcPr>
          <w:p w:rsidR="00226DAD" w:rsidRPr="00EC07C3" w:rsidRDefault="00226DAD" w:rsidP="00D65CBA">
            <w:pPr>
              <w:jc w:val="center"/>
              <w:rPr>
                <w:rFonts w:eastAsia="標楷體"/>
                <w:b/>
              </w:rPr>
            </w:pPr>
            <w:r w:rsidRPr="00EC07C3">
              <w:rPr>
                <w:rFonts w:eastAsia="標楷體"/>
                <w:b/>
              </w:rPr>
              <w:t>-0.335</w:t>
            </w:r>
          </w:p>
        </w:tc>
        <w:tc>
          <w:tcPr>
            <w:tcW w:w="2011" w:type="dxa"/>
            <w:tcBorders>
              <w:top w:val="nil"/>
              <w:left w:val="single" w:sz="8" w:space="0" w:color="auto"/>
              <w:bottom w:val="single" w:sz="4" w:space="0" w:color="auto"/>
              <w:right w:val="single" w:sz="8" w:space="0" w:color="auto"/>
            </w:tcBorders>
            <w:shd w:val="clear" w:color="auto" w:fill="FFFFCC"/>
            <w:noWrap/>
            <w:vAlign w:val="center"/>
            <w:hideMark/>
          </w:tcPr>
          <w:p w:rsidR="00226DAD" w:rsidRPr="00EC07C3" w:rsidRDefault="00226DAD" w:rsidP="00D65CBA">
            <w:pPr>
              <w:jc w:val="center"/>
              <w:rPr>
                <w:rFonts w:eastAsia="標楷體"/>
                <w:b/>
              </w:rPr>
            </w:pPr>
            <w:r w:rsidRPr="00EC07C3">
              <w:rPr>
                <w:rFonts w:eastAsia="標楷體"/>
                <w:b/>
              </w:rPr>
              <w:t>2.68</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tcPr>
          <w:p w:rsidR="00226DAD" w:rsidRPr="000515AE" w:rsidRDefault="00226DAD" w:rsidP="00390CF3">
            <w:pPr>
              <w:jc w:val="center"/>
              <w:rPr>
                <w:rFonts w:eastAsia="標楷體"/>
              </w:rPr>
            </w:pPr>
            <w:r>
              <w:rPr>
                <w:rFonts w:eastAsia="標楷體" w:hint="eastAsia"/>
              </w:rPr>
              <w:t>China</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2.06</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-0.560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6.7</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tcPr>
          <w:p w:rsidR="00226DAD" w:rsidRPr="000515AE" w:rsidRDefault="00226DAD" w:rsidP="00D65CBA">
            <w:pPr>
              <w:jc w:val="center"/>
              <w:rPr>
                <w:rFonts w:eastAsia="標楷體"/>
              </w:rPr>
            </w:pPr>
            <w:r w:rsidRPr="000515AE">
              <w:rPr>
                <w:rFonts w:eastAsia="標楷體" w:hint="eastAsia"/>
              </w:rPr>
              <w:t>Singapore</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0.250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1.03</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-0.780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3.0</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D65CBA">
            <w:pPr>
              <w:jc w:val="center"/>
              <w:rPr>
                <w:rFonts w:eastAsia="標楷體"/>
              </w:rPr>
            </w:pPr>
            <w:r w:rsidRPr="000515AE">
              <w:rPr>
                <w:rFonts w:eastAsia="標楷體" w:hint="eastAsia"/>
              </w:rPr>
              <w:t>Switzerland</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0.160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1.03</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-0.870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2.2</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8B1363" w:rsidRDefault="00226DAD" w:rsidP="00390CF3">
            <w:pPr>
              <w:jc w:val="center"/>
              <w:rPr>
                <w:rFonts w:eastAsia="標楷體"/>
                <w:b/>
              </w:rPr>
            </w:pPr>
            <w:r w:rsidRPr="008B1363">
              <w:rPr>
                <w:rFonts w:eastAsia="標楷體" w:hint="eastAsia"/>
                <w:b/>
              </w:rPr>
              <w:t>Japan</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0.011</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0.96</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-0.949</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1.1</w:t>
            </w:r>
          </w:p>
        </w:tc>
      </w:tr>
      <w:tr w:rsidR="00226DAD" w:rsidRPr="004F16D5" w:rsidTr="00B579AA">
        <w:trPr>
          <w:trHeight w:val="609"/>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UK</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1.030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2.78</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-1.750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1.1</w:t>
            </w:r>
          </w:p>
        </w:tc>
      </w:tr>
      <w:tr w:rsidR="00226DAD" w:rsidRPr="004F16D5" w:rsidTr="00B579AA">
        <w:trPr>
          <w:trHeight w:val="609"/>
        </w:trPr>
        <w:tc>
          <w:tcPr>
            <w:tcW w:w="1433" w:type="dxa"/>
            <w:tcBorders>
              <w:top w:val="nil"/>
              <w:left w:val="single" w:sz="8" w:space="0" w:color="auto"/>
              <w:bottom w:val="nil"/>
              <w:right w:val="single" w:sz="4" w:space="0" w:color="auto"/>
            </w:tcBorders>
            <w:shd w:val="clear" w:color="auto" w:fill="auto"/>
            <w:noWrap/>
            <w:vAlign w:val="center"/>
            <w:hideMark/>
          </w:tcPr>
          <w:p w:rsidR="00226DAD" w:rsidRPr="008B1363" w:rsidRDefault="00226DAD" w:rsidP="00390CF3">
            <w:pPr>
              <w:jc w:val="center"/>
              <w:rPr>
                <w:rFonts w:eastAsia="標楷體"/>
                <w:b/>
              </w:rPr>
            </w:pPr>
            <w:r w:rsidRPr="008B1363">
              <w:rPr>
                <w:rFonts w:eastAsia="標楷體" w:hint="eastAsia"/>
                <w:b/>
              </w:rPr>
              <w:t>Euro A</w:t>
            </w:r>
            <w:r w:rsidRPr="008B1363">
              <w:rPr>
                <w:rFonts w:eastAsia="標楷體"/>
                <w:b/>
              </w:rPr>
              <w:t>r</w:t>
            </w:r>
            <w:r w:rsidRPr="008B1363">
              <w:rPr>
                <w:rFonts w:eastAsia="標楷體" w:hint="eastAsia"/>
                <w:b/>
              </w:rPr>
              <w:t>ea</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-0.240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1.76</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-2.000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b/>
              </w:rPr>
            </w:pPr>
            <w:r w:rsidRPr="00EC07C3">
              <w:rPr>
                <w:rFonts w:eastAsia="標楷體"/>
                <w:b/>
              </w:rPr>
              <w:t>2.1</w:t>
            </w:r>
          </w:p>
        </w:tc>
      </w:tr>
      <w:tr w:rsidR="00226DAD" w:rsidRPr="004F16D5" w:rsidTr="00B579AA">
        <w:trPr>
          <w:trHeight w:val="609"/>
        </w:trPr>
        <w:tc>
          <w:tcPr>
            <w:tcW w:w="1433"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Hong Kong</w:t>
            </w:r>
          </w:p>
        </w:tc>
        <w:tc>
          <w:tcPr>
            <w:tcW w:w="2207" w:type="dxa"/>
            <w:tcBorders>
              <w:top w:val="nil"/>
              <w:left w:val="nil"/>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0.050</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2.33</w:t>
            </w:r>
          </w:p>
        </w:tc>
        <w:tc>
          <w:tcPr>
            <w:tcW w:w="1860" w:type="dxa"/>
            <w:tcBorders>
              <w:top w:val="nil"/>
              <w:left w:val="single" w:sz="4" w:space="0" w:color="auto"/>
              <w:bottom w:val="single" w:sz="4"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-2.280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3.5</w:t>
            </w:r>
          </w:p>
        </w:tc>
      </w:tr>
      <w:tr w:rsidR="00226DAD" w:rsidRPr="004F16D5" w:rsidTr="00B579AA">
        <w:trPr>
          <w:trHeight w:val="609"/>
        </w:trPr>
        <w:tc>
          <w:tcPr>
            <w:tcW w:w="1433" w:type="dxa"/>
            <w:tcBorders>
              <w:top w:val="nil"/>
              <w:left w:val="single" w:sz="8" w:space="0" w:color="auto"/>
              <w:bottom w:val="single" w:sz="8" w:space="0" w:color="auto"/>
              <w:right w:val="single" w:sz="4" w:space="0" w:color="auto"/>
            </w:tcBorders>
            <w:shd w:val="clear" w:color="FFFFFF" w:fill="FFFFFF"/>
            <w:noWrap/>
            <w:vAlign w:val="center"/>
            <w:hideMark/>
          </w:tcPr>
          <w:p w:rsidR="00226DAD" w:rsidRPr="000515AE" w:rsidRDefault="00226DAD" w:rsidP="00390CF3">
            <w:pPr>
              <w:jc w:val="center"/>
              <w:rPr>
                <w:rFonts w:eastAsia="標楷體"/>
              </w:rPr>
            </w:pPr>
            <w:r w:rsidRPr="000515AE">
              <w:rPr>
                <w:rFonts w:eastAsia="標楷體" w:hint="eastAsia"/>
              </w:rPr>
              <w:t>The Philippines</w:t>
            </w:r>
          </w:p>
        </w:tc>
        <w:tc>
          <w:tcPr>
            <w:tcW w:w="2207" w:type="dxa"/>
            <w:tcBorders>
              <w:top w:val="nil"/>
              <w:left w:val="nil"/>
              <w:bottom w:val="single" w:sz="8" w:space="0" w:color="auto"/>
              <w:right w:val="single" w:sz="4"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0.500</w:t>
            </w:r>
          </w:p>
        </w:tc>
        <w:tc>
          <w:tcPr>
            <w:tcW w:w="1860" w:type="dxa"/>
            <w:tcBorders>
              <w:top w:val="nil"/>
              <w:left w:val="nil"/>
              <w:bottom w:val="single" w:sz="8" w:space="0" w:color="auto"/>
              <w:right w:val="single" w:sz="4"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4.27</w:t>
            </w:r>
          </w:p>
        </w:tc>
        <w:tc>
          <w:tcPr>
            <w:tcW w:w="1860" w:type="dxa"/>
            <w:tcBorders>
              <w:top w:val="nil"/>
              <w:left w:val="nil"/>
              <w:bottom w:val="single" w:sz="8" w:space="0" w:color="auto"/>
              <w:right w:val="nil"/>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-3.770</w:t>
            </w:r>
          </w:p>
        </w:tc>
        <w:tc>
          <w:tcPr>
            <w:tcW w:w="2011" w:type="dxa"/>
            <w:tcBorders>
              <w:top w:val="nil"/>
              <w:left w:val="single" w:sz="8" w:space="0" w:color="auto"/>
              <w:bottom w:val="single" w:sz="8" w:space="0" w:color="auto"/>
              <w:right w:val="single" w:sz="8" w:space="0" w:color="auto"/>
            </w:tcBorders>
            <w:shd w:val="clear" w:color="auto" w:fill="auto"/>
            <w:noWrap/>
            <w:vAlign w:val="center"/>
            <w:hideMark/>
          </w:tcPr>
          <w:p w:rsidR="00226DAD" w:rsidRPr="00EC07C3" w:rsidRDefault="00226DAD" w:rsidP="00D65CBA">
            <w:pPr>
              <w:jc w:val="center"/>
              <w:rPr>
                <w:rFonts w:eastAsia="標楷體"/>
              </w:rPr>
            </w:pPr>
            <w:r w:rsidRPr="00EC07C3">
              <w:rPr>
                <w:rFonts w:eastAsia="標楷體"/>
              </w:rPr>
              <w:t>6.6</w:t>
            </w:r>
          </w:p>
        </w:tc>
      </w:tr>
    </w:tbl>
    <w:p w:rsidR="00226DAD" w:rsidRDefault="00226DAD" w:rsidP="000515AE">
      <w:pPr>
        <w:widowControl/>
        <w:rPr>
          <w:rFonts w:eastAsia="標楷體"/>
          <w:sz w:val="22"/>
          <w:szCs w:val="22"/>
        </w:rPr>
      </w:pPr>
    </w:p>
    <w:p w:rsidR="00226DAD" w:rsidRPr="000515AE" w:rsidRDefault="00226DAD" w:rsidP="000515AE">
      <w:pPr>
        <w:widowControl/>
        <w:rPr>
          <w:rFonts w:eastAsia="標楷體"/>
          <w:sz w:val="22"/>
          <w:szCs w:val="22"/>
        </w:rPr>
      </w:pPr>
      <w:r w:rsidRPr="000515AE">
        <w:rPr>
          <w:rFonts w:eastAsia="標楷體" w:hint="eastAsia"/>
          <w:sz w:val="22"/>
          <w:szCs w:val="22"/>
        </w:rPr>
        <w:t xml:space="preserve">* </w:t>
      </w:r>
      <w:r w:rsidRPr="000515AE">
        <w:rPr>
          <w:rFonts w:eastAsia="標楷體"/>
          <w:sz w:val="22"/>
          <w:szCs w:val="22"/>
        </w:rPr>
        <w:t>1</w:t>
      </w:r>
      <w:r w:rsidRPr="000515AE">
        <w:rPr>
          <w:rFonts w:eastAsia="標楷體" w:hint="eastAsia"/>
          <w:sz w:val="22"/>
          <w:szCs w:val="22"/>
        </w:rPr>
        <w:t>-</w:t>
      </w:r>
      <w:r w:rsidRPr="000515AE">
        <w:rPr>
          <w:rFonts w:eastAsia="標楷體"/>
          <w:sz w:val="22"/>
          <w:szCs w:val="22"/>
        </w:rPr>
        <w:t>y</w:t>
      </w:r>
      <w:r w:rsidRPr="000515AE">
        <w:rPr>
          <w:rFonts w:eastAsia="標楷體" w:hint="eastAsia"/>
          <w:sz w:val="22"/>
          <w:szCs w:val="22"/>
        </w:rPr>
        <w:t>ear</w:t>
      </w:r>
      <w:r w:rsidRPr="000515AE">
        <w:rPr>
          <w:rFonts w:eastAsia="標楷體"/>
          <w:sz w:val="22"/>
          <w:szCs w:val="22"/>
        </w:rPr>
        <w:t xml:space="preserve"> time-deposit</w:t>
      </w:r>
      <w:r w:rsidRPr="000515AE">
        <w:rPr>
          <w:rFonts w:eastAsia="標楷體" w:hint="eastAsia"/>
          <w:sz w:val="22"/>
          <w:szCs w:val="22"/>
        </w:rPr>
        <w:t xml:space="preserve"> floating</w:t>
      </w:r>
      <w:r w:rsidRPr="000515AE">
        <w:rPr>
          <w:rFonts w:eastAsia="標楷體"/>
          <w:sz w:val="22"/>
          <w:szCs w:val="22"/>
        </w:rPr>
        <w:t xml:space="preserve"> rate of the five major domestic banks</w:t>
      </w:r>
      <w:r w:rsidRPr="000515AE">
        <w:rPr>
          <w:rFonts w:eastAsia="標楷體" w:hint="eastAsia"/>
          <w:sz w:val="22"/>
          <w:szCs w:val="22"/>
        </w:rPr>
        <w:t xml:space="preserve">. </w:t>
      </w:r>
    </w:p>
    <w:p w:rsidR="00226DAD" w:rsidRPr="000515AE" w:rsidRDefault="00226DAD" w:rsidP="00A53E80">
      <w:pPr>
        <w:snapToGrid w:val="0"/>
        <w:ind w:left="284" w:hangingChars="129" w:hanging="284"/>
        <w:rPr>
          <w:rFonts w:eastAsia="標楷體"/>
          <w:sz w:val="22"/>
          <w:szCs w:val="22"/>
        </w:rPr>
      </w:pPr>
      <w:r w:rsidRPr="000515AE">
        <w:rPr>
          <w:rFonts w:eastAsia="標楷體" w:hint="eastAsia"/>
          <w:sz w:val="22"/>
          <w:szCs w:val="22"/>
        </w:rPr>
        <w:t xml:space="preserve">** </w:t>
      </w:r>
      <w:r w:rsidRPr="000515AE">
        <w:rPr>
          <w:rFonts w:eastAsia="標楷體"/>
          <w:sz w:val="22"/>
          <w:szCs w:val="22"/>
        </w:rPr>
        <w:t>I</w:t>
      </w:r>
      <w:r w:rsidRPr="000515AE">
        <w:rPr>
          <w:rFonts w:eastAsia="標楷體" w:hint="eastAsia"/>
          <w:sz w:val="22"/>
          <w:szCs w:val="22"/>
        </w:rPr>
        <w:t>H</w:t>
      </w:r>
      <w:r w:rsidRPr="000515AE">
        <w:rPr>
          <w:rFonts w:eastAsia="標楷體"/>
          <w:sz w:val="22"/>
          <w:szCs w:val="22"/>
        </w:rPr>
        <w:t>S</w:t>
      </w:r>
      <w:r w:rsidRPr="000515AE">
        <w:rPr>
          <w:rFonts w:eastAsia="標楷體" w:hint="eastAsia"/>
          <w:sz w:val="22"/>
          <w:szCs w:val="22"/>
        </w:rPr>
        <w:t xml:space="preserve"> </w:t>
      </w:r>
      <w:proofErr w:type="spellStart"/>
      <w:r w:rsidRPr="000515AE">
        <w:rPr>
          <w:rFonts w:eastAsia="標楷體" w:hint="eastAsia"/>
          <w:sz w:val="22"/>
          <w:szCs w:val="22"/>
        </w:rPr>
        <w:t>Markit</w:t>
      </w:r>
      <w:proofErr w:type="spellEnd"/>
      <w:r w:rsidRPr="000515AE">
        <w:rPr>
          <w:rFonts w:eastAsia="標楷體"/>
          <w:sz w:val="22"/>
          <w:szCs w:val="22"/>
        </w:rPr>
        <w:t xml:space="preserve"> projections, as of </w:t>
      </w:r>
      <w:r>
        <w:rPr>
          <w:rFonts w:eastAsia="標楷體" w:hint="eastAsia"/>
          <w:sz w:val="22"/>
          <w:szCs w:val="22"/>
        </w:rPr>
        <w:t>Jun</w:t>
      </w:r>
      <w:r w:rsidRPr="000515AE">
        <w:rPr>
          <w:rFonts w:eastAsia="標楷體" w:hint="eastAsia"/>
          <w:sz w:val="22"/>
          <w:szCs w:val="22"/>
        </w:rPr>
        <w:t>.</w:t>
      </w:r>
      <w:r w:rsidRPr="000515AE">
        <w:rPr>
          <w:rFonts w:eastAsia="標楷體"/>
          <w:sz w:val="22"/>
          <w:szCs w:val="22"/>
        </w:rPr>
        <w:t xml:space="preserve"> 15, 201</w:t>
      </w:r>
      <w:r>
        <w:rPr>
          <w:rFonts w:eastAsia="標楷體" w:hint="eastAsia"/>
          <w:sz w:val="22"/>
          <w:szCs w:val="22"/>
        </w:rPr>
        <w:t>8</w:t>
      </w:r>
      <w:r w:rsidRPr="000515AE">
        <w:rPr>
          <w:rFonts w:eastAsia="標楷體"/>
          <w:sz w:val="22"/>
          <w:szCs w:val="22"/>
        </w:rPr>
        <w:t>. Forecast</w:t>
      </w:r>
      <w:r w:rsidRPr="000515AE">
        <w:rPr>
          <w:rFonts w:eastAsia="標楷體" w:hint="eastAsia"/>
          <w:sz w:val="22"/>
          <w:szCs w:val="22"/>
        </w:rPr>
        <w:t>s</w:t>
      </w:r>
      <w:r w:rsidRPr="000515AE">
        <w:rPr>
          <w:rFonts w:eastAsia="標楷體"/>
          <w:sz w:val="22"/>
          <w:szCs w:val="22"/>
        </w:rPr>
        <w:t xml:space="preserve"> for Taiwan'</w:t>
      </w:r>
      <w:r w:rsidRPr="000515AE">
        <w:rPr>
          <w:rFonts w:eastAsia="標楷體" w:hint="eastAsia"/>
          <w:sz w:val="22"/>
          <w:szCs w:val="22"/>
        </w:rPr>
        <w:t>s CPI annual growth rate and the real GDP growth rate are CBC</w:t>
      </w:r>
      <w:r w:rsidRPr="000515AE">
        <w:rPr>
          <w:rFonts w:eastAsia="標楷體"/>
          <w:sz w:val="22"/>
          <w:szCs w:val="22"/>
        </w:rPr>
        <w:t>'</w:t>
      </w:r>
      <w:r w:rsidRPr="000515AE">
        <w:rPr>
          <w:rFonts w:eastAsia="標楷體" w:hint="eastAsia"/>
          <w:sz w:val="22"/>
          <w:szCs w:val="22"/>
        </w:rPr>
        <w:t>s projections.</w:t>
      </w:r>
    </w:p>
    <w:sectPr w:rsidR="00226DAD" w:rsidRPr="000515AE" w:rsidSect="005F213D">
      <w:footerReference w:type="default" r:id="rId14"/>
      <w:footerReference w:type="first" r:id="rId15"/>
      <w:pgSz w:w="11907" w:h="16840" w:code="9"/>
      <w:pgMar w:top="1304" w:right="1418" w:bottom="1418"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38A" w:rsidRDefault="0022438A">
      <w:r>
        <w:separator/>
      </w:r>
    </w:p>
  </w:endnote>
  <w:endnote w:type="continuationSeparator" w:id="0">
    <w:p w:rsidR="0022438A" w:rsidRDefault="0022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微軟正黑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Times New Roman"/>
    <w:charset w:val="00"/>
    <w:family w:val="auto"/>
    <w:pitch w:val="variable"/>
    <w:sig w:usb0="00000001" w:usb1="5000785B" w:usb2="00000000" w:usb3="00000000" w:csb0="0000019F" w:csb1="00000000"/>
  </w:font>
  <w:font w:name="華康中楷體">
    <w:altName w:val="Arial Unicode MS"/>
    <w:charset w:val="88"/>
    <w:family w:val="auto"/>
    <w:pitch w:val="variable"/>
    <w:sig w:usb0="80000001" w:usb1="28091800" w:usb2="00000016"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8A" w:rsidRDefault="00195F8A">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195F8A" w:rsidRDefault="00195F8A">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8A" w:rsidRDefault="00195F8A">
    <w:pPr>
      <w:pStyle w:val="a5"/>
      <w:jc w:val="center"/>
    </w:pPr>
  </w:p>
  <w:p w:rsidR="00195F8A" w:rsidRDefault="00195F8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796903"/>
      <w:docPartObj>
        <w:docPartGallery w:val="Page Numbers (Bottom of Page)"/>
        <w:docPartUnique/>
      </w:docPartObj>
    </w:sdtPr>
    <w:sdtEndPr/>
    <w:sdtContent>
      <w:p w:rsidR="00226DAD" w:rsidRDefault="00226DAD">
        <w:pPr>
          <w:pStyle w:val="a5"/>
          <w:jc w:val="center"/>
        </w:pPr>
        <w:r>
          <w:fldChar w:fldCharType="begin"/>
        </w:r>
        <w:r>
          <w:instrText>PAGE   \* MERGEFORMAT</w:instrText>
        </w:r>
        <w:r>
          <w:fldChar w:fldCharType="separate"/>
        </w:r>
        <w:r w:rsidR="00C203F7" w:rsidRPr="00C203F7">
          <w:rPr>
            <w:noProof/>
            <w:lang w:val="zh-TW"/>
          </w:rPr>
          <w:t>10</w:t>
        </w:r>
        <w:r>
          <w:fldChar w:fldCharType="end"/>
        </w:r>
      </w:p>
    </w:sdtContent>
  </w:sdt>
  <w:p w:rsidR="00226DAD" w:rsidRDefault="00226DAD">
    <w:pPr>
      <w:pStyle w:val="a5"/>
    </w:pPr>
  </w:p>
  <w:p w:rsidR="00226DAD" w:rsidRDefault="00226DA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389707"/>
      <w:docPartObj>
        <w:docPartGallery w:val="Page Numbers (Bottom of Page)"/>
        <w:docPartUnique/>
      </w:docPartObj>
    </w:sdtPr>
    <w:sdtEndPr/>
    <w:sdtContent>
      <w:p w:rsidR="00195F8A" w:rsidRDefault="00195F8A">
        <w:pPr>
          <w:pStyle w:val="a5"/>
          <w:jc w:val="center"/>
        </w:pPr>
        <w:r>
          <w:fldChar w:fldCharType="begin"/>
        </w:r>
        <w:r>
          <w:instrText>PAGE   \* MERGEFORMAT</w:instrText>
        </w:r>
        <w:r>
          <w:fldChar w:fldCharType="separate"/>
        </w:r>
        <w:r w:rsidR="00A759CA" w:rsidRPr="00A759CA">
          <w:rPr>
            <w:noProof/>
            <w:lang w:val="zh-TW"/>
          </w:rPr>
          <w:t>16</w:t>
        </w:r>
        <w:r>
          <w:fldChar w:fldCharType="end"/>
        </w:r>
      </w:p>
    </w:sdtContent>
  </w:sdt>
  <w:p w:rsidR="00195F8A" w:rsidRDefault="00195F8A">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933915"/>
      <w:docPartObj>
        <w:docPartGallery w:val="Page Numbers (Bottom of Page)"/>
        <w:docPartUnique/>
      </w:docPartObj>
    </w:sdtPr>
    <w:sdtEndPr/>
    <w:sdtContent>
      <w:p w:rsidR="00195F8A" w:rsidRDefault="00195F8A">
        <w:pPr>
          <w:pStyle w:val="a5"/>
          <w:jc w:val="center"/>
        </w:pPr>
        <w:r>
          <w:fldChar w:fldCharType="begin"/>
        </w:r>
        <w:r>
          <w:instrText>PAGE   \* MERGEFORMAT</w:instrText>
        </w:r>
        <w:r>
          <w:fldChar w:fldCharType="separate"/>
        </w:r>
        <w:r w:rsidRPr="00590406">
          <w:rPr>
            <w:noProof/>
            <w:lang w:val="zh-TW"/>
          </w:rPr>
          <w:t>1</w:t>
        </w:r>
        <w:r>
          <w:fldChar w:fldCharType="end"/>
        </w:r>
      </w:p>
    </w:sdtContent>
  </w:sdt>
  <w:p w:rsidR="00195F8A" w:rsidRDefault="00195F8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38A" w:rsidRDefault="0022438A">
      <w:r>
        <w:separator/>
      </w:r>
    </w:p>
  </w:footnote>
  <w:footnote w:type="continuationSeparator" w:id="0">
    <w:p w:rsidR="0022438A" w:rsidRDefault="0022438A">
      <w:r>
        <w:continuationSeparator/>
      </w:r>
    </w:p>
  </w:footnote>
  <w:footnote w:id="1">
    <w:p w:rsidR="00195F8A" w:rsidRDefault="00195F8A" w:rsidP="00363599">
      <w:pPr>
        <w:pStyle w:val="afb"/>
      </w:pPr>
      <w:r w:rsidRPr="00554255">
        <w:rPr>
          <w:rStyle w:val="afd"/>
          <w:sz w:val="21"/>
        </w:rPr>
        <w:footnoteRef/>
      </w:r>
      <w:r w:rsidRPr="00554255">
        <w:rPr>
          <w:sz w:val="21"/>
        </w:rPr>
        <w:t xml:space="preserve"> This English translation is provided for information purposes only</w:t>
      </w:r>
      <w:r w:rsidRPr="00554255">
        <w:rPr>
          <w:rFonts w:hint="eastAsia"/>
          <w:sz w:val="21"/>
        </w:rPr>
        <w:t>;</w:t>
      </w:r>
      <w:r w:rsidRPr="00554255">
        <w:rPr>
          <w:sz w:val="21"/>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8A" w:rsidRDefault="00195F8A" w:rsidP="00527E73">
    <w:pPr>
      <w:jc w:val="right"/>
      <w:rPr>
        <w:rFonts w:eastAsia="標楷體"/>
      </w:rPr>
    </w:pPr>
  </w:p>
  <w:p w:rsidR="00195F8A" w:rsidRPr="00A76EF5" w:rsidRDefault="00195F8A"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2">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6">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9">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2">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27">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0">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7"/>
  </w:num>
  <w:num w:numId="3">
    <w:abstractNumId w:val="20"/>
  </w:num>
  <w:num w:numId="4">
    <w:abstractNumId w:val="27"/>
  </w:num>
  <w:num w:numId="5">
    <w:abstractNumId w:val="19"/>
  </w:num>
  <w:num w:numId="6">
    <w:abstractNumId w:val="4"/>
  </w:num>
  <w:num w:numId="7">
    <w:abstractNumId w:val="14"/>
  </w:num>
  <w:num w:numId="8">
    <w:abstractNumId w:val="5"/>
  </w:num>
  <w:num w:numId="9">
    <w:abstractNumId w:val="10"/>
  </w:num>
  <w:num w:numId="10">
    <w:abstractNumId w:val="16"/>
  </w:num>
  <w:num w:numId="11">
    <w:abstractNumId w:val="11"/>
  </w:num>
  <w:num w:numId="12">
    <w:abstractNumId w:val="9"/>
  </w:num>
  <w:num w:numId="13">
    <w:abstractNumId w:val="6"/>
  </w:num>
  <w:num w:numId="14">
    <w:abstractNumId w:val="15"/>
  </w:num>
  <w:num w:numId="15">
    <w:abstractNumId w:val="25"/>
  </w:num>
  <w:num w:numId="16">
    <w:abstractNumId w:val="0"/>
  </w:num>
  <w:num w:numId="17">
    <w:abstractNumId w:val="12"/>
  </w:num>
  <w:num w:numId="18">
    <w:abstractNumId w:val="29"/>
  </w:num>
  <w:num w:numId="19">
    <w:abstractNumId w:val="21"/>
  </w:num>
  <w:num w:numId="20">
    <w:abstractNumId w:val="29"/>
  </w:num>
  <w:num w:numId="21">
    <w:abstractNumId w:val="29"/>
  </w:num>
  <w:num w:numId="22">
    <w:abstractNumId w:val="29"/>
  </w:num>
  <w:num w:numId="23">
    <w:abstractNumId w:val="30"/>
  </w:num>
  <w:num w:numId="24">
    <w:abstractNumId w:val="29"/>
  </w:num>
  <w:num w:numId="25">
    <w:abstractNumId w:val="29"/>
  </w:num>
  <w:num w:numId="26">
    <w:abstractNumId w:val="17"/>
  </w:num>
  <w:num w:numId="27">
    <w:abstractNumId w:val="23"/>
  </w:num>
  <w:num w:numId="28">
    <w:abstractNumId w:val="2"/>
  </w:num>
  <w:num w:numId="29">
    <w:abstractNumId w:val="28"/>
  </w:num>
  <w:num w:numId="30">
    <w:abstractNumId w:val="24"/>
  </w:num>
  <w:num w:numId="31">
    <w:abstractNumId w:val="26"/>
  </w:num>
  <w:num w:numId="32">
    <w:abstractNumId w:val="1"/>
  </w:num>
  <w:num w:numId="33">
    <w:abstractNumId w:val="8"/>
  </w:num>
  <w:num w:numId="34">
    <w:abstractNumId w:val="3"/>
  </w:num>
  <w:num w:numId="35">
    <w:abstractNumId w:val="22"/>
  </w:num>
  <w:num w:numId="36">
    <w:abstractNumId w:val="13"/>
  </w:num>
  <w:num w:numId="37">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893"/>
    <w:rsid w:val="00000C8B"/>
    <w:rsid w:val="000011A0"/>
    <w:rsid w:val="00001514"/>
    <w:rsid w:val="000015F2"/>
    <w:rsid w:val="00001A47"/>
    <w:rsid w:val="0000343F"/>
    <w:rsid w:val="00003746"/>
    <w:rsid w:val="0000408E"/>
    <w:rsid w:val="00004D84"/>
    <w:rsid w:val="00004ECA"/>
    <w:rsid w:val="000062BD"/>
    <w:rsid w:val="00007267"/>
    <w:rsid w:val="00007492"/>
    <w:rsid w:val="00007912"/>
    <w:rsid w:val="0001085A"/>
    <w:rsid w:val="00011A1D"/>
    <w:rsid w:val="0001263F"/>
    <w:rsid w:val="00012AE8"/>
    <w:rsid w:val="00012CF6"/>
    <w:rsid w:val="00013028"/>
    <w:rsid w:val="00013734"/>
    <w:rsid w:val="00014832"/>
    <w:rsid w:val="00015948"/>
    <w:rsid w:val="000172D1"/>
    <w:rsid w:val="00017CFB"/>
    <w:rsid w:val="0002139D"/>
    <w:rsid w:val="00021C4D"/>
    <w:rsid w:val="00022D53"/>
    <w:rsid w:val="000234E1"/>
    <w:rsid w:val="0002361C"/>
    <w:rsid w:val="00023B97"/>
    <w:rsid w:val="00024563"/>
    <w:rsid w:val="00024918"/>
    <w:rsid w:val="00024E21"/>
    <w:rsid w:val="00025945"/>
    <w:rsid w:val="00025D35"/>
    <w:rsid w:val="000261D7"/>
    <w:rsid w:val="00026B66"/>
    <w:rsid w:val="000273DC"/>
    <w:rsid w:val="00030F1C"/>
    <w:rsid w:val="00030F57"/>
    <w:rsid w:val="000313D2"/>
    <w:rsid w:val="0003181C"/>
    <w:rsid w:val="00031EE6"/>
    <w:rsid w:val="00033A27"/>
    <w:rsid w:val="000347CA"/>
    <w:rsid w:val="00034A01"/>
    <w:rsid w:val="000352E7"/>
    <w:rsid w:val="000354D4"/>
    <w:rsid w:val="00035AF2"/>
    <w:rsid w:val="00035C93"/>
    <w:rsid w:val="000364D7"/>
    <w:rsid w:val="00036C01"/>
    <w:rsid w:val="00036F7E"/>
    <w:rsid w:val="00037CF9"/>
    <w:rsid w:val="00037E4C"/>
    <w:rsid w:val="000409C7"/>
    <w:rsid w:val="00040A99"/>
    <w:rsid w:val="00040D8D"/>
    <w:rsid w:val="0004156F"/>
    <w:rsid w:val="00041971"/>
    <w:rsid w:val="00041B34"/>
    <w:rsid w:val="00041F4E"/>
    <w:rsid w:val="00041F79"/>
    <w:rsid w:val="0004218D"/>
    <w:rsid w:val="00042C02"/>
    <w:rsid w:val="00042EF3"/>
    <w:rsid w:val="00042F01"/>
    <w:rsid w:val="00043817"/>
    <w:rsid w:val="00043DEB"/>
    <w:rsid w:val="00043E3C"/>
    <w:rsid w:val="00044455"/>
    <w:rsid w:val="000447BE"/>
    <w:rsid w:val="00045291"/>
    <w:rsid w:val="00045DC9"/>
    <w:rsid w:val="00045E43"/>
    <w:rsid w:val="000465FC"/>
    <w:rsid w:val="00047470"/>
    <w:rsid w:val="0005062A"/>
    <w:rsid w:val="000506F7"/>
    <w:rsid w:val="00050E8E"/>
    <w:rsid w:val="00051573"/>
    <w:rsid w:val="00051C4F"/>
    <w:rsid w:val="00052499"/>
    <w:rsid w:val="00052542"/>
    <w:rsid w:val="000527ED"/>
    <w:rsid w:val="00052D7F"/>
    <w:rsid w:val="00054C75"/>
    <w:rsid w:val="00054F23"/>
    <w:rsid w:val="0005572F"/>
    <w:rsid w:val="00055735"/>
    <w:rsid w:val="00055A5B"/>
    <w:rsid w:val="00055AA1"/>
    <w:rsid w:val="00055BEF"/>
    <w:rsid w:val="00055BFA"/>
    <w:rsid w:val="00057456"/>
    <w:rsid w:val="00057824"/>
    <w:rsid w:val="00057FAE"/>
    <w:rsid w:val="00060393"/>
    <w:rsid w:val="0006043D"/>
    <w:rsid w:val="00060E8F"/>
    <w:rsid w:val="000615FB"/>
    <w:rsid w:val="00061C22"/>
    <w:rsid w:val="00062A2E"/>
    <w:rsid w:val="00062DAF"/>
    <w:rsid w:val="00063420"/>
    <w:rsid w:val="00063487"/>
    <w:rsid w:val="00064A6F"/>
    <w:rsid w:val="00065BAE"/>
    <w:rsid w:val="00065C34"/>
    <w:rsid w:val="00065E78"/>
    <w:rsid w:val="0006645E"/>
    <w:rsid w:val="000665A2"/>
    <w:rsid w:val="00066C48"/>
    <w:rsid w:val="00067450"/>
    <w:rsid w:val="000677F4"/>
    <w:rsid w:val="0006788A"/>
    <w:rsid w:val="00067E09"/>
    <w:rsid w:val="00070988"/>
    <w:rsid w:val="000714E9"/>
    <w:rsid w:val="0007178B"/>
    <w:rsid w:val="00071AEF"/>
    <w:rsid w:val="0007239A"/>
    <w:rsid w:val="000725FA"/>
    <w:rsid w:val="00072A43"/>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5353"/>
    <w:rsid w:val="000857AB"/>
    <w:rsid w:val="00086D52"/>
    <w:rsid w:val="00090AFA"/>
    <w:rsid w:val="00091367"/>
    <w:rsid w:val="000919E1"/>
    <w:rsid w:val="00091C5C"/>
    <w:rsid w:val="00091D81"/>
    <w:rsid w:val="0009218B"/>
    <w:rsid w:val="0009286B"/>
    <w:rsid w:val="00092E6C"/>
    <w:rsid w:val="00092EE8"/>
    <w:rsid w:val="000941DE"/>
    <w:rsid w:val="00094254"/>
    <w:rsid w:val="000943B8"/>
    <w:rsid w:val="00094699"/>
    <w:rsid w:val="0009482E"/>
    <w:rsid w:val="00094953"/>
    <w:rsid w:val="00094D1C"/>
    <w:rsid w:val="000957B8"/>
    <w:rsid w:val="00096ADB"/>
    <w:rsid w:val="00097ECB"/>
    <w:rsid w:val="000A244B"/>
    <w:rsid w:val="000A3D31"/>
    <w:rsid w:val="000A434A"/>
    <w:rsid w:val="000A48C6"/>
    <w:rsid w:val="000A5575"/>
    <w:rsid w:val="000A5E81"/>
    <w:rsid w:val="000A6B23"/>
    <w:rsid w:val="000A7644"/>
    <w:rsid w:val="000A767D"/>
    <w:rsid w:val="000B0AD9"/>
    <w:rsid w:val="000B0F2C"/>
    <w:rsid w:val="000B302B"/>
    <w:rsid w:val="000B3944"/>
    <w:rsid w:val="000B3F80"/>
    <w:rsid w:val="000B46D3"/>
    <w:rsid w:val="000B5270"/>
    <w:rsid w:val="000B556E"/>
    <w:rsid w:val="000B5C1F"/>
    <w:rsid w:val="000B6BEB"/>
    <w:rsid w:val="000B6D6B"/>
    <w:rsid w:val="000B7BA4"/>
    <w:rsid w:val="000B7DCC"/>
    <w:rsid w:val="000C1802"/>
    <w:rsid w:val="000C4BEE"/>
    <w:rsid w:val="000C65AF"/>
    <w:rsid w:val="000C66CA"/>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887"/>
    <w:rsid w:val="000E09BC"/>
    <w:rsid w:val="000E0D17"/>
    <w:rsid w:val="000E0E71"/>
    <w:rsid w:val="000E1D3F"/>
    <w:rsid w:val="000E23F1"/>
    <w:rsid w:val="000E2D42"/>
    <w:rsid w:val="000E3124"/>
    <w:rsid w:val="000E3587"/>
    <w:rsid w:val="000E3CFE"/>
    <w:rsid w:val="000E3DCC"/>
    <w:rsid w:val="000E4351"/>
    <w:rsid w:val="000E55EF"/>
    <w:rsid w:val="000E658A"/>
    <w:rsid w:val="000E6FDF"/>
    <w:rsid w:val="000E700C"/>
    <w:rsid w:val="000E753C"/>
    <w:rsid w:val="000E7BD6"/>
    <w:rsid w:val="000E7CC3"/>
    <w:rsid w:val="000E7DB4"/>
    <w:rsid w:val="000F01A7"/>
    <w:rsid w:val="000F063A"/>
    <w:rsid w:val="000F0C2A"/>
    <w:rsid w:val="000F1501"/>
    <w:rsid w:val="000F1CF6"/>
    <w:rsid w:val="000F1F88"/>
    <w:rsid w:val="000F259C"/>
    <w:rsid w:val="000F385F"/>
    <w:rsid w:val="000F4AA1"/>
    <w:rsid w:val="000F4FA1"/>
    <w:rsid w:val="000F598A"/>
    <w:rsid w:val="000F5AD6"/>
    <w:rsid w:val="000F5C7A"/>
    <w:rsid w:val="000F6FE9"/>
    <w:rsid w:val="000F7B28"/>
    <w:rsid w:val="000F7D64"/>
    <w:rsid w:val="00100323"/>
    <w:rsid w:val="001011D0"/>
    <w:rsid w:val="00101882"/>
    <w:rsid w:val="00101BE5"/>
    <w:rsid w:val="00101F97"/>
    <w:rsid w:val="001020BA"/>
    <w:rsid w:val="001022B6"/>
    <w:rsid w:val="001022EF"/>
    <w:rsid w:val="00102B34"/>
    <w:rsid w:val="001031BF"/>
    <w:rsid w:val="001031E0"/>
    <w:rsid w:val="00104994"/>
    <w:rsid w:val="00105328"/>
    <w:rsid w:val="00107214"/>
    <w:rsid w:val="0010768E"/>
    <w:rsid w:val="00110D2C"/>
    <w:rsid w:val="001119A4"/>
    <w:rsid w:val="00111E15"/>
    <w:rsid w:val="00112359"/>
    <w:rsid w:val="00112600"/>
    <w:rsid w:val="00112CF9"/>
    <w:rsid w:val="00113380"/>
    <w:rsid w:val="00114C52"/>
    <w:rsid w:val="00115389"/>
    <w:rsid w:val="00115C6D"/>
    <w:rsid w:val="00115DC5"/>
    <w:rsid w:val="00117A5A"/>
    <w:rsid w:val="00117EC2"/>
    <w:rsid w:val="0012038E"/>
    <w:rsid w:val="0012072E"/>
    <w:rsid w:val="00120F63"/>
    <w:rsid w:val="00121303"/>
    <w:rsid w:val="001213DE"/>
    <w:rsid w:val="00122786"/>
    <w:rsid w:val="001231AB"/>
    <w:rsid w:val="00123C8A"/>
    <w:rsid w:val="001241D3"/>
    <w:rsid w:val="001245E9"/>
    <w:rsid w:val="00124DC3"/>
    <w:rsid w:val="001252DD"/>
    <w:rsid w:val="00125319"/>
    <w:rsid w:val="00125CC6"/>
    <w:rsid w:val="00131ACC"/>
    <w:rsid w:val="00131D07"/>
    <w:rsid w:val="00131D75"/>
    <w:rsid w:val="001326F6"/>
    <w:rsid w:val="00132907"/>
    <w:rsid w:val="00132F22"/>
    <w:rsid w:val="0013358A"/>
    <w:rsid w:val="00133822"/>
    <w:rsid w:val="00133E71"/>
    <w:rsid w:val="001340BB"/>
    <w:rsid w:val="001340F4"/>
    <w:rsid w:val="001342A6"/>
    <w:rsid w:val="0013462E"/>
    <w:rsid w:val="001348DC"/>
    <w:rsid w:val="00134E75"/>
    <w:rsid w:val="00136651"/>
    <w:rsid w:val="00136CB9"/>
    <w:rsid w:val="001373B9"/>
    <w:rsid w:val="0013768F"/>
    <w:rsid w:val="00140B74"/>
    <w:rsid w:val="001414C1"/>
    <w:rsid w:val="0014153F"/>
    <w:rsid w:val="00141A58"/>
    <w:rsid w:val="00142723"/>
    <w:rsid w:val="00142813"/>
    <w:rsid w:val="00142D07"/>
    <w:rsid w:val="00143869"/>
    <w:rsid w:val="001443CF"/>
    <w:rsid w:val="00144512"/>
    <w:rsid w:val="00144899"/>
    <w:rsid w:val="0014532B"/>
    <w:rsid w:val="00146F87"/>
    <w:rsid w:val="0014756F"/>
    <w:rsid w:val="00147E3F"/>
    <w:rsid w:val="00147E6F"/>
    <w:rsid w:val="00147EEA"/>
    <w:rsid w:val="001515BF"/>
    <w:rsid w:val="00151838"/>
    <w:rsid w:val="00151948"/>
    <w:rsid w:val="00151F8D"/>
    <w:rsid w:val="001525CE"/>
    <w:rsid w:val="00153334"/>
    <w:rsid w:val="0015353E"/>
    <w:rsid w:val="0015391F"/>
    <w:rsid w:val="00153B79"/>
    <w:rsid w:val="00153BD7"/>
    <w:rsid w:val="00153C34"/>
    <w:rsid w:val="001542A7"/>
    <w:rsid w:val="001542D3"/>
    <w:rsid w:val="00154AFB"/>
    <w:rsid w:val="00154F72"/>
    <w:rsid w:val="00157142"/>
    <w:rsid w:val="001574EF"/>
    <w:rsid w:val="00157C06"/>
    <w:rsid w:val="001603B4"/>
    <w:rsid w:val="00161D79"/>
    <w:rsid w:val="00162E0A"/>
    <w:rsid w:val="00163118"/>
    <w:rsid w:val="00163395"/>
    <w:rsid w:val="0016414B"/>
    <w:rsid w:val="00164410"/>
    <w:rsid w:val="00164974"/>
    <w:rsid w:val="00164D4A"/>
    <w:rsid w:val="00164F08"/>
    <w:rsid w:val="00165455"/>
    <w:rsid w:val="00166265"/>
    <w:rsid w:val="001668A5"/>
    <w:rsid w:val="00166B5D"/>
    <w:rsid w:val="00166C8F"/>
    <w:rsid w:val="0016700B"/>
    <w:rsid w:val="00167270"/>
    <w:rsid w:val="0016734E"/>
    <w:rsid w:val="001674BA"/>
    <w:rsid w:val="001676FA"/>
    <w:rsid w:val="00170030"/>
    <w:rsid w:val="001703A9"/>
    <w:rsid w:val="001705D2"/>
    <w:rsid w:val="00170CC4"/>
    <w:rsid w:val="0017166B"/>
    <w:rsid w:val="00171792"/>
    <w:rsid w:val="001721A3"/>
    <w:rsid w:val="00172490"/>
    <w:rsid w:val="0017263E"/>
    <w:rsid w:val="0017312A"/>
    <w:rsid w:val="00173370"/>
    <w:rsid w:val="001739DA"/>
    <w:rsid w:val="00173B4A"/>
    <w:rsid w:val="00173C75"/>
    <w:rsid w:val="001741BC"/>
    <w:rsid w:val="0017420B"/>
    <w:rsid w:val="0017439E"/>
    <w:rsid w:val="00174B14"/>
    <w:rsid w:val="00175547"/>
    <w:rsid w:val="00175A07"/>
    <w:rsid w:val="00175D7F"/>
    <w:rsid w:val="00175F1A"/>
    <w:rsid w:val="00175FA7"/>
    <w:rsid w:val="00176AFC"/>
    <w:rsid w:val="00176B8E"/>
    <w:rsid w:val="0017744D"/>
    <w:rsid w:val="001801FF"/>
    <w:rsid w:val="00180541"/>
    <w:rsid w:val="001807F2"/>
    <w:rsid w:val="00180999"/>
    <w:rsid w:val="00180DAC"/>
    <w:rsid w:val="00181D76"/>
    <w:rsid w:val="00181E16"/>
    <w:rsid w:val="00182097"/>
    <w:rsid w:val="00182818"/>
    <w:rsid w:val="001828C2"/>
    <w:rsid w:val="00182B4F"/>
    <w:rsid w:val="00183391"/>
    <w:rsid w:val="00183517"/>
    <w:rsid w:val="001837D2"/>
    <w:rsid w:val="0018387C"/>
    <w:rsid w:val="001839B2"/>
    <w:rsid w:val="00183CD3"/>
    <w:rsid w:val="001843BA"/>
    <w:rsid w:val="00184629"/>
    <w:rsid w:val="0018476B"/>
    <w:rsid w:val="00184FA4"/>
    <w:rsid w:val="00186753"/>
    <w:rsid w:val="00187092"/>
    <w:rsid w:val="001875E7"/>
    <w:rsid w:val="001877A8"/>
    <w:rsid w:val="00191290"/>
    <w:rsid w:val="00192B84"/>
    <w:rsid w:val="00192C54"/>
    <w:rsid w:val="00193A3A"/>
    <w:rsid w:val="00194133"/>
    <w:rsid w:val="0019447E"/>
    <w:rsid w:val="00194A19"/>
    <w:rsid w:val="00194FA2"/>
    <w:rsid w:val="00195C33"/>
    <w:rsid w:val="00195D02"/>
    <w:rsid w:val="00195D8C"/>
    <w:rsid w:val="00195F8A"/>
    <w:rsid w:val="001962A4"/>
    <w:rsid w:val="001962C6"/>
    <w:rsid w:val="00197320"/>
    <w:rsid w:val="001977C8"/>
    <w:rsid w:val="00197C61"/>
    <w:rsid w:val="00197CD3"/>
    <w:rsid w:val="00197D46"/>
    <w:rsid w:val="00197E56"/>
    <w:rsid w:val="001A1067"/>
    <w:rsid w:val="001A25A4"/>
    <w:rsid w:val="001A301A"/>
    <w:rsid w:val="001A3613"/>
    <w:rsid w:val="001A3644"/>
    <w:rsid w:val="001A3986"/>
    <w:rsid w:val="001A518F"/>
    <w:rsid w:val="001A5E2D"/>
    <w:rsid w:val="001A622E"/>
    <w:rsid w:val="001A65DE"/>
    <w:rsid w:val="001A6625"/>
    <w:rsid w:val="001A6889"/>
    <w:rsid w:val="001A7280"/>
    <w:rsid w:val="001B044C"/>
    <w:rsid w:val="001B05CF"/>
    <w:rsid w:val="001B2D69"/>
    <w:rsid w:val="001B3000"/>
    <w:rsid w:val="001B3517"/>
    <w:rsid w:val="001B3DCC"/>
    <w:rsid w:val="001B4224"/>
    <w:rsid w:val="001B44D6"/>
    <w:rsid w:val="001B4712"/>
    <w:rsid w:val="001B47C7"/>
    <w:rsid w:val="001B5AF3"/>
    <w:rsid w:val="001B62E4"/>
    <w:rsid w:val="001B66F6"/>
    <w:rsid w:val="001B6A9C"/>
    <w:rsid w:val="001C022A"/>
    <w:rsid w:val="001C04A1"/>
    <w:rsid w:val="001C10E8"/>
    <w:rsid w:val="001C1185"/>
    <w:rsid w:val="001C167F"/>
    <w:rsid w:val="001C17EC"/>
    <w:rsid w:val="001C27C4"/>
    <w:rsid w:val="001C2BDC"/>
    <w:rsid w:val="001C2D88"/>
    <w:rsid w:val="001C309E"/>
    <w:rsid w:val="001C3FA6"/>
    <w:rsid w:val="001C46ED"/>
    <w:rsid w:val="001C4EB1"/>
    <w:rsid w:val="001C53F8"/>
    <w:rsid w:val="001C5965"/>
    <w:rsid w:val="001C5A3A"/>
    <w:rsid w:val="001C5F3D"/>
    <w:rsid w:val="001C61BE"/>
    <w:rsid w:val="001C6C22"/>
    <w:rsid w:val="001C7A48"/>
    <w:rsid w:val="001C7D4E"/>
    <w:rsid w:val="001C7D9C"/>
    <w:rsid w:val="001C7DB6"/>
    <w:rsid w:val="001D0265"/>
    <w:rsid w:val="001D055E"/>
    <w:rsid w:val="001D0A4D"/>
    <w:rsid w:val="001D13D7"/>
    <w:rsid w:val="001D1A43"/>
    <w:rsid w:val="001D21A9"/>
    <w:rsid w:val="001D25DA"/>
    <w:rsid w:val="001D3862"/>
    <w:rsid w:val="001D3B96"/>
    <w:rsid w:val="001D5531"/>
    <w:rsid w:val="001D58AA"/>
    <w:rsid w:val="001D5AF5"/>
    <w:rsid w:val="001D6019"/>
    <w:rsid w:val="001D611E"/>
    <w:rsid w:val="001D6167"/>
    <w:rsid w:val="001D631A"/>
    <w:rsid w:val="001D7AE6"/>
    <w:rsid w:val="001E0258"/>
    <w:rsid w:val="001E156A"/>
    <w:rsid w:val="001E1763"/>
    <w:rsid w:val="001E2139"/>
    <w:rsid w:val="001E2423"/>
    <w:rsid w:val="001E28A0"/>
    <w:rsid w:val="001E3222"/>
    <w:rsid w:val="001E418B"/>
    <w:rsid w:val="001E4867"/>
    <w:rsid w:val="001E4D1F"/>
    <w:rsid w:val="001E5463"/>
    <w:rsid w:val="001E5B95"/>
    <w:rsid w:val="001E6348"/>
    <w:rsid w:val="001E6D06"/>
    <w:rsid w:val="001E738B"/>
    <w:rsid w:val="001E750E"/>
    <w:rsid w:val="001F0DB3"/>
    <w:rsid w:val="001F1F15"/>
    <w:rsid w:val="001F2962"/>
    <w:rsid w:val="001F42E5"/>
    <w:rsid w:val="001F47FD"/>
    <w:rsid w:val="001F4ADB"/>
    <w:rsid w:val="001F4AEA"/>
    <w:rsid w:val="001F4C4D"/>
    <w:rsid w:val="001F4C56"/>
    <w:rsid w:val="001F5A7F"/>
    <w:rsid w:val="001F5C30"/>
    <w:rsid w:val="001F60DD"/>
    <w:rsid w:val="001F7BDB"/>
    <w:rsid w:val="001F7E58"/>
    <w:rsid w:val="00201BBE"/>
    <w:rsid w:val="00201ED0"/>
    <w:rsid w:val="0020242D"/>
    <w:rsid w:val="00202D36"/>
    <w:rsid w:val="00202D7F"/>
    <w:rsid w:val="00203094"/>
    <w:rsid w:val="0020329A"/>
    <w:rsid w:val="002038BA"/>
    <w:rsid w:val="00204BDB"/>
    <w:rsid w:val="002050E1"/>
    <w:rsid w:val="002056E8"/>
    <w:rsid w:val="002059E7"/>
    <w:rsid w:val="002063FD"/>
    <w:rsid w:val="00206BDE"/>
    <w:rsid w:val="00206E29"/>
    <w:rsid w:val="00206F30"/>
    <w:rsid w:val="00207F13"/>
    <w:rsid w:val="002107E1"/>
    <w:rsid w:val="00210A96"/>
    <w:rsid w:val="0021189D"/>
    <w:rsid w:val="00211BFD"/>
    <w:rsid w:val="00212B7B"/>
    <w:rsid w:val="00212BFD"/>
    <w:rsid w:val="00212E9B"/>
    <w:rsid w:val="00212FC8"/>
    <w:rsid w:val="00214052"/>
    <w:rsid w:val="00214083"/>
    <w:rsid w:val="0021415C"/>
    <w:rsid w:val="0021482C"/>
    <w:rsid w:val="0021483E"/>
    <w:rsid w:val="002158DB"/>
    <w:rsid w:val="00216094"/>
    <w:rsid w:val="002162B4"/>
    <w:rsid w:val="00216925"/>
    <w:rsid w:val="002176AC"/>
    <w:rsid w:val="00220108"/>
    <w:rsid w:val="00220919"/>
    <w:rsid w:val="00221565"/>
    <w:rsid w:val="00221CFE"/>
    <w:rsid w:val="00222297"/>
    <w:rsid w:val="002225F6"/>
    <w:rsid w:val="00223006"/>
    <w:rsid w:val="002230B7"/>
    <w:rsid w:val="00223135"/>
    <w:rsid w:val="002238CA"/>
    <w:rsid w:val="00223B29"/>
    <w:rsid w:val="00223DB8"/>
    <w:rsid w:val="00223E20"/>
    <w:rsid w:val="00224249"/>
    <w:rsid w:val="0022438A"/>
    <w:rsid w:val="00224E4E"/>
    <w:rsid w:val="00225717"/>
    <w:rsid w:val="00225927"/>
    <w:rsid w:val="00225D05"/>
    <w:rsid w:val="00226968"/>
    <w:rsid w:val="00226DAD"/>
    <w:rsid w:val="0022715A"/>
    <w:rsid w:val="00227DF7"/>
    <w:rsid w:val="00230037"/>
    <w:rsid w:val="00230114"/>
    <w:rsid w:val="00230704"/>
    <w:rsid w:val="002316D1"/>
    <w:rsid w:val="002319A2"/>
    <w:rsid w:val="00231E84"/>
    <w:rsid w:val="002339EB"/>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56E3"/>
    <w:rsid w:val="002464BC"/>
    <w:rsid w:val="00246C14"/>
    <w:rsid w:val="0024725E"/>
    <w:rsid w:val="00247510"/>
    <w:rsid w:val="00247C69"/>
    <w:rsid w:val="00250860"/>
    <w:rsid w:val="00251572"/>
    <w:rsid w:val="002515AF"/>
    <w:rsid w:val="00251E62"/>
    <w:rsid w:val="00251F63"/>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16B"/>
    <w:rsid w:val="002662A1"/>
    <w:rsid w:val="00266515"/>
    <w:rsid w:val="0026669B"/>
    <w:rsid w:val="00267200"/>
    <w:rsid w:val="00267B9C"/>
    <w:rsid w:val="00267F7A"/>
    <w:rsid w:val="0027002B"/>
    <w:rsid w:val="002703DD"/>
    <w:rsid w:val="002709A5"/>
    <w:rsid w:val="00270D30"/>
    <w:rsid w:val="00271360"/>
    <w:rsid w:val="002713F4"/>
    <w:rsid w:val="0027180C"/>
    <w:rsid w:val="00272F3D"/>
    <w:rsid w:val="00273CCC"/>
    <w:rsid w:val="00276900"/>
    <w:rsid w:val="002772B5"/>
    <w:rsid w:val="0027781B"/>
    <w:rsid w:val="00280099"/>
    <w:rsid w:val="002808FC"/>
    <w:rsid w:val="0028097C"/>
    <w:rsid w:val="00282555"/>
    <w:rsid w:val="00283495"/>
    <w:rsid w:val="002835EF"/>
    <w:rsid w:val="00283B1E"/>
    <w:rsid w:val="0028460D"/>
    <w:rsid w:val="002848E2"/>
    <w:rsid w:val="00285CC6"/>
    <w:rsid w:val="002860A7"/>
    <w:rsid w:val="00286473"/>
    <w:rsid w:val="002865A1"/>
    <w:rsid w:val="00286B11"/>
    <w:rsid w:val="00286F49"/>
    <w:rsid w:val="0028744F"/>
    <w:rsid w:val="0029094E"/>
    <w:rsid w:val="002912A6"/>
    <w:rsid w:val="00291FFB"/>
    <w:rsid w:val="00293126"/>
    <w:rsid w:val="00293361"/>
    <w:rsid w:val="00293807"/>
    <w:rsid w:val="002940BF"/>
    <w:rsid w:val="002940D7"/>
    <w:rsid w:val="0029444E"/>
    <w:rsid w:val="00294E15"/>
    <w:rsid w:val="00295040"/>
    <w:rsid w:val="002951B1"/>
    <w:rsid w:val="002955CB"/>
    <w:rsid w:val="00295C1B"/>
    <w:rsid w:val="00295D7F"/>
    <w:rsid w:val="002962EF"/>
    <w:rsid w:val="00296386"/>
    <w:rsid w:val="002975C2"/>
    <w:rsid w:val="00297E48"/>
    <w:rsid w:val="002A0679"/>
    <w:rsid w:val="002A1060"/>
    <w:rsid w:val="002A14C4"/>
    <w:rsid w:val="002A15EC"/>
    <w:rsid w:val="002A1926"/>
    <w:rsid w:val="002A1BFA"/>
    <w:rsid w:val="002A27CF"/>
    <w:rsid w:val="002A3602"/>
    <w:rsid w:val="002A4398"/>
    <w:rsid w:val="002A4F38"/>
    <w:rsid w:val="002A56F3"/>
    <w:rsid w:val="002A5825"/>
    <w:rsid w:val="002A596B"/>
    <w:rsid w:val="002A6781"/>
    <w:rsid w:val="002A6DDB"/>
    <w:rsid w:val="002A6FEB"/>
    <w:rsid w:val="002A72E5"/>
    <w:rsid w:val="002A7BBD"/>
    <w:rsid w:val="002A7FD7"/>
    <w:rsid w:val="002B22B2"/>
    <w:rsid w:val="002B2369"/>
    <w:rsid w:val="002B2A52"/>
    <w:rsid w:val="002B2DF5"/>
    <w:rsid w:val="002B386F"/>
    <w:rsid w:val="002B47FD"/>
    <w:rsid w:val="002B4F91"/>
    <w:rsid w:val="002B5020"/>
    <w:rsid w:val="002B57F3"/>
    <w:rsid w:val="002B5ED8"/>
    <w:rsid w:val="002B640E"/>
    <w:rsid w:val="002B6448"/>
    <w:rsid w:val="002B6711"/>
    <w:rsid w:val="002B6C76"/>
    <w:rsid w:val="002B6DE2"/>
    <w:rsid w:val="002B7641"/>
    <w:rsid w:val="002C0156"/>
    <w:rsid w:val="002C0930"/>
    <w:rsid w:val="002C0DF3"/>
    <w:rsid w:val="002C0E0B"/>
    <w:rsid w:val="002C113C"/>
    <w:rsid w:val="002C1467"/>
    <w:rsid w:val="002C2F8A"/>
    <w:rsid w:val="002C402F"/>
    <w:rsid w:val="002C4D66"/>
    <w:rsid w:val="002C5484"/>
    <w:rsid w:val="002C5589"/>
    <w:rsid w:val="002C5931"/>
    <w:rsid w:val="002C5BCD"/>
    <w:rsid w:val="002C5EE6"/>
    <w:rsid w:val="002C60C7"/>
    <w:rsid w:val="002C641D"/>
    <w:rsid w:val="002C6445"/>
    <w:rsid w:val="002C67E4"/>
    <w:rsid w:val="002C782F"/>
    <w:rsid w:val="002D06E0"/>
    <w:rsid w:val="002D0D2A"/>
    <w:rsid w:val="002D1452"/>
    <w:rsid w:val="002D15CE"/>
    <w:rsid w:val="002D21F6"/>
    <w:rsid w:val="002D26E7"/>
    <w:rsid w:val="002D371F"/>
    <w:rsid w:val="002D376B"/>
    <w:rsid w:val="002D3E57"/>
    <w:rsid w:val="002D43BB"/>
    <w:rsid w:val="002D45D3"/>
    <w:rsid w:val="002D4DAF"/>
    <w:rsid w:val="002D4F30"/>
    <w:rsid w:val="002D5B26"/>
    <w:rsid w:val="002D5D00"/>
    <w:rsid w:val="002D633A"/>
    <w:rsid w:val="002D77D7"/>
    <w:rsid w:val="002E089F"/>
    <w:rsid w:val="002E0A9A"/>
    <w:rsid w:val="002E14E2"/>
    <w:rsid w:val="002E1817"/>
    <w:rsid w:val="002E23C8"/>
    <w:rsid w:val="002E26A7"/>
    <w:rsid w:val="002E2977"/>
    <w:rsid w:val="002E2AEA"/>
    <w:rsid w:val="002E3408"/>
    <w:rsid w:val="002E3792"/>
    <w:rsid w:val="002E3F88"/>
    <w:rsid w:val="002E43E1"/>
    <w:rsid w:val="002E497E"/>
    <w:rsid w:val="002E59D6"/>
    <w:rsid w:val="002E59E1"/>
    <w:rsid w:val="002E5FAB"/>
    <w:rsid w:val="002E6172"/>
    <w:rsid w:val="002E69BE"/>
    <w:rsid w:val="002E6DB3"/>
    <w:rsid w:val="002E6EB1"/>
    <w:rsid w:val="002E758B"/>
    <w:rsid w:val="002E7C82"/>
    <w:rsid w:val="002F04F2"/>
    <w:rsid w:val="002F30B1"/>
    <w:rsid w:val="002F3263"/>
    <w:rsid w:val="002F34C1"/>
    <w:rsid w:val="002F36A1"/>
    <w:rsid w:val="002F3748"/>
    <w:rsid w:val="002F3AA9"/>
    <w:rsid w:val="002F3E31"/>
    <w:rsid w:val="002F4137"/>
    <w:rsid w:val="002F47ED"/>
    <w:rsid w:val="002F4ABA"/>
    <w:rsid w:val="002F51AC"/>
    <w:rsid w:val="002F54DD"/>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555E"/>
    <w:rsid w:val="003055F3"/>
    <w:rsid w:val="00305EB6"/>
    <w:rsid w:val="0030677B"/>
    <w:rsid w:val="0030749C"/>
    <w:rsid w:val="00307764"/>
    <w:rsid w:val="00307BA0"/>
    <w:rsid w:val="00307C7C"/>
    <w:rsid w:val="003107C8"/>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1CF"/>
    <w:rsid w:val="003224D6"/>
    <w:rsid w:val="003230F8"/>
    <w:rsid w:val="0032447F"/>
    <w:rsid w:val="00324683"/>
    <w:rsid w:val="00324BC7"/>
    <w:rsid w:val="00325ADF"/>
    <w:rsid w:val="0032633E"/>
    <w:rsid w:val="00327169"/>
    <w:rsid w:val="003273CC"/>
    <w:rsid w:val="00327607"/>
    <w:rsid w:val="00331AD3"/>
    <w:rsid w:val="00332284"/>
    <w:rsid w:val="003323BD"/>
    <w:rsid w:val="003327D4"/>
    <w:rsid w:val="00332B14"/>
    <w:rsid w:val="00332C61"/>
    <w:rsid w:val="00333026"/>
    <w:rsid w:val="0033362B"/>
    <w:rsid w:val="00333F25"/>
    <w:rsid w:val="00334399"/>
    <w:rsid w:val="003343B0"/>
    <w:rsid w:val="003348A5"/>
    <w:rsid w:val="00335922"/>
    <w:rsid w:val="00335B45"/>
    <w:rsid w:val="00336567"/>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C31"/>
    <w:rsid w:val="0035053B"/>
    <w:rsid w:val="00350D44"/>
    <w:rsid w:val="003526A7"/>
    <w:rsid w:val="00352CA9"/>
    <w:rsid w:val="00352CCD"/>
    <w:rsid w:val="00353484"/>
    <w:rsid w:val="003539BF"/>
    <w:rsid w:val="00355A68"/>
    <w:rsid w:val="00356626"/>
    <w:rsid w:val="00356B2E"/>
    <w:rsid w:val="00357A7F"/>
    <w:rsid w:val="00357D03"/>
    <w:rsid w:val="00360657"/>
    <w:rsid w:val="003608D4"/>
    <w:rsid w:val="00360F0C"/>
    <w:rsid w:val="00361064"/>
    <w:rsid w:val="0036198D"/>
    <w:rsid w:val="003628CA"/>
    <w:rsid w:val="00363599"/>
    <w:rsid w:val="003638DB"/>
    <w:rsid w:val="00363EAB"/>
    <w:rsid w:val="0036410D"/>
    <w:rsid w:val="003644EA"/>
    <w:rsid w:val="0036598B"/>
    <w:rsid w:val="00367AA8"/>
    <w:rsid w:val="00370B57"/>
    <w:rsid w:val="00370E54"/>
    <w:rsid w:val="0037223C"/>
    <w:rsid w:val="00373258"/>
    <w:rsid w:val="00374181"/>
    <w:rsid w:val="00375FB8"/>
    <w:rsid w:val="00376342"/>
    <w:rsid w:val="0037678D"/>
    <w:rsid w:val="0037692C"/>
    <w:rsid w:val="00376CD0"/>
    <w:rsid w:val="00376CED"/>
    <w:rsid w:val="00377EAF"/>
    <w:rsid w:val="00380046"/>
    <w:rsid w:val="003818F8"/>
    <w:rsid w:val="00381CE0"/>
    <w:rsid w:val="00381E04"/>
    <w:rsid w:val="00382388"/>
    <w:rsid w:val="003832F4"/>
    <w:rsid w:val="003835ED"/>
    <w:rsid w:val="00383C17"/>
    <w:rsid w:val="00383C55"/>
    <w:rsid w:val="00383F20"/>
    <w:rsid w:val="003848DC"/>
    <w:rsid w:val="00385464"/>
    <w:rsid w:val="00385D32"/>
    <w:rsid w:val="003864EF"/>
    <w:rsid w:val="0038665E"/>
    <w:rsid w:val="00386DAD"/>
    <w:rsid w:val="00387A8E"/>
    <w:rsid w:val="00387F2F"/>
    <w:rsid w:val="00390401"/>
    <w:rsid w:val="00390578"/>
    <w:rsid w:val="003908D3"/>
    <w:rsid w:val="00391373"/>
    <w:rsid w:val="00391567"/>
    <w:rsid w:val="003929E7"/>
    <w:rsid w:val="00394865"/>
    <w:rsid w:val="00395542"/>
    <w:rsid w:val="00395724"/>
    <w:rsid w:val="00395BB6"/>
    <w:rsid w:val="003963A1"/>
    <w:rsid w:val="00396913"/>
    <w:rsid w:val="003971BD"/>
    <w:rsid w:val="00397E84"/>
    <w:rsid w:val="00397EEB"/>
    <w:rsid w:val="003A0D1F"/>
    <w:rsid w:val="003A0D2F"/>
    <w:rsid w:val="003A0D9C"/>
    <w:rsid w:val="003A135F"/>
    <w:rsid w:val="003A13DE"/>
    <w:rsid w:val="003A197C"/>
    <w:rsid w:val="003A2948"/>
    <w:rsid w:val="003A3022"/>
    <w:rsid w:val="003A313A"/>
    <w:rsid w:val="003A3CD1"/>
    <w:rsid w:val="003A4CF5"/>
    <w:rsid w:val="003A588B"/>
    <w:rsid w:val="003A5ECF"/>
    <w:rsid w:val="003A64CF"/>
    <w:rsid w:val="003A78E7"/>
    <w:rsid w:val="003A7908"/>
    <w:rsid w:val="003B0670"/>
    <w:rsid w:val="003B0D3B"/>
    <w:rsid w:val="003B0E4E"/>
    <w:rsid w:val="003B1759"/>
    <w:rsid w:val="003B1A92"/>
    <w:rsid w:val="003B2659"/>
    <w:rsid w:val="003B3640"/>
    <w:rsid w:val="003B3849"/>
    <w:rsid w:val="003B41EE"/>
    <w:rsid w:val="003B4744"/>
    <w:rsid w:val="003B47BA"/>
    <w:rsid w:val="003B4948"/>
    <w:rsid w:val="003B5DD6"/>
    <w:rsid w:val="003B6789"/>
    <w:rsid w:val="003B6EC8"/>
    <w:rsid w:val="003B7531"/>
    <w:rsid w:val="003B7A73"/>
    <w:rsid w:val="003C0535"/>
    <w:rsid w:val="003C0539"/>
    <w:rsid w:val="003C1DF1"/>
    <w:rsid w:val="003C2A6C"/>
    <w:rsid w:val="003C2BA9"/>
    <w:rsid w:val="003C3153"/>
    <w:rsid w:val="003C4217"/>
    <w:rsid w:val="003C48C9"/>
    <w:rsid w:val="003C4AE7"/>
    <w:rsid w:val="003C52DA"/>
    <w:rsid w:val="003C545A"/>
    <w:rsid w:val="003C613B"/>
    <w:rsid w:val="003C695D"/>
    <w:rsid w:val="003C6CDA"/>
    <w:rsid w:val="003C6F48"/>
    <w:rsid w:val="003C75AA"/>
    <w:rsid w:val="003C75C0"/>
    <w:rsid w:val="003C7E65"/>
    <w:rsid w:val="003D01FF"/>
    <w:rsid w:val="003D1F7E"/>
    <w:rsid w:val="003D2F3C"/>
    <w:rsid w:val="003D3434"/>
    <w:rsid w:val="003D3F94"/>
    <w:rsid w:val="003D4287"/>
    <w:rsid w:val="003D464D"/>
    <w:rsid w:val="003D5538"/>
    <w:rsid w:val="003D5AB4"/>
    <w:rsid w:val="003D5FC4"/>
    <w:rsid w:val="003D66E0"/>
    <w:rsid w:val="003D6CD4"/>
    <w:rsid w:val="003D7006"/>
    <w:rsid w:val="003E03B6"/>
    <w:rsid w:val="003E15C7"/>
    <w:rsid w:val="003E1801"/>
    <w:rsid w:val="003E227F"/>
    <w:rsid w:val="003E242C"/>
    <w:rsid w:val="003E2A43"/>
    <w:rsid w:val="003E2B2C"/>
    <w:rsid w:val="003E383B"/>
    <w:rsid w:val="003E4866"/>
    <w:rsid w:val="003E51F7"/>
    <w:rsid w:val="003E5792"/>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1CAA"/>
    <w:rsid w:val="0040234D"/>
    <w:rsid w:val="004033AF"/>
    <w:rsid w:val="00403482"/>
    <w:rsid w:val="00403DEF"/>
    <w:rsid w:val="00403EF9"/>
    <w:rsid w:val="0040497D"/>
    <w:rsid w:val="00405BEB"/>
    <w:rsid w:val="00405D1A"/>
    <w:rsid w:val="00406056"/>
    <w:rsid w:val="004068E6"/>
    <w:rsid w:val="00406D8D"/>
    <w:rsid w:val="00406FCC"/>
    <w:rsid w:val="0040738E"/>
    <w:rsid w:val="00410700"/>
    <w:rsid w:val="00410C4F"/>
    <w:rsid w:val="004110FF"/>
    <w:rsid w:val="0041111F"/>
    <w:rsid w:val="00411618"/>
    <w:rsid w:val="004117EC"/>
    <w:rsid w:val="00412200"/>
    <w:rsid w:val="00412A8F"/>
    <w:rsid w:val="00412BE5"/>
    <w:rsid w:val="00412F16"/>
    <w:rsid w:val="004130A0"/>
    <w:rsid w:val="0041326F"/>
    <w:rsid w:val="004133BD"/>
    <w:rsid w:val="0041617F"/>
    <w:rsid w:val="004170D1"/>
    <w:rsid w:val="00420019"/>
    <w:rsid w:val="00420090"/>
    <w:rsid w:val="0042021D"/>
    <w:rsid w:val="00420CC7"/>
    <w:rsid w:val="004214A0"/>
    <w:rsid w:val="00421927"/>
    <w:rsid w:val="00421A37"/>
    <w:rsid w:val="00421ABE"/>
    <w:rsid w:val="00421D80"/>
    <w:rsid w:val="004223AD"/>
    <w:rsid w:val="00422AE5"/>
    <w:rsid w:val="00422B19"/>
    <w:rsid w:val="00424203"/>
    <w:rsid w:val="00424254"/>
    <w:rsid w:val="00424279"/>
    <w:rsid w:val="00424C56"/>
    <w:rsid w:val="004256D6"/>
    <w:rsid w:val="00425726"/>
    <w:rsid w:val="00425A70"/>
    <w:rsid w:val="00426081"/>
    <w:rsid w:val="00426607"/>
    <w:rsid w:val="004275D1"/>
    <w:rsid w:val="0043017B"/>
    <w:rsid w:val="00430212"/>
    <w:rsid w:val="004313CF"/>
    <w:rsid w:val="00431632"/>
    <w:rsid w:val="0043171C"/>
    <w:rsid w:val="004325A5"/>
    <w:rsid w:val="00433B76"/>
    <w:rsid w:val="00434AF4"/>
    <w:rsid w:val="00434C55"/>
    <w:rsid w:val="0043506F"/>
    <w:rsid w:val="00437ABA"/>
    <w:rsid w:val="004402A5"/>
    <w:rsid w:val="0044066B"/>
    <w:rsid w:val="0044149B"/>
    <w:rsid w:val="004418B6"/>
    <w:rsid w:val="00441FC1"/>
    <w:rsid w:val="004428D5"/>
    <w:rsid w:val="00442A9F"/>
    <w:rsid w:val="004430F4"/>
    <w:rsid w:val="004435A0"/>
    <w:rsid w:val="00443999"/>
    <w:rsid w:val="0044428F"/>
    <w:rsid w:val="00444AAF"/>
    <w:rsid w:val="00444DFF"/>
    <w:rsid w:val="00445023"/>
    <w:rsid w:val="004451D9"/>
    <w:rsid w:val="00445262"/>
    <w:rsid w:val="00445410"/>
    <w:rsid w:val="00445A49"/>
    <w:rsid w:val="00445FDE"/>
    <w:rsid w:val="00446649"/>
    <w:rsid w:val="0044761E"/>
    <w:rsid w:val="00450B65"/>
    <w:rsid w:val="00451098"/>
    <w:rsid w:val="00451BA0"/>
    <w:rsid w:val="00452CA7"/>
    <w:rsid w:val="00453B90"/>
    <w:rsid w:val="00453E1A"/>
    <w:rsid w:val="00454CDD"/>
    <w:rsid w:val="00455A9C"/>
    <w:rsid w:val="00456E7E"/>
    <w:rsid w:val="004570FA"/>
    <w:rsid w:val="004604A3"/>
    <w:rsid w:val="004608DA"/>
    <w:rsid w:val="00460B12"/>
    <w:rsid w:val="00460BF8"/>
    <w:rsid w:val="004619F4"/>
    <w:rsid w:val="00461A24"/>
    <w:rsid w:val="00462191"/>
    <w:rsid w:val="00462DE7"/>
    <w:rsid w:val="00464943"/>
    <w:rsid w:val="00465C7B"/>
    <w:rsid w:val="00465E19"/>
    <w:rsid w:val="004672E2"/>
    <w:rsid w:val="00467D10"/>
    <w:rsid w:val="00470F20"/>
    <w:rsid w:val="00471C0B"/>
    <w:rsid w:val="00471F4F"/>
    <w:rsid w:val="00472B64"/>
    <w:rsid w:val="004742EF"/>
    <w:rsid w:val="00474531"/>
    <w:rsid w:val="0047598A"/>
    <w:rsid w:val="004769A5"/>
    <w:rsid w:val="00477612"/>
    <w:rsid w:val="004776A0"/>
    <w:rsid w:val="0047784B"/>
    <w:rsid w:val="00477A82"/>
    <w:rsid w:val="00477E3F"/>
    <w:rsid w:val="00477E66"/>
    <w:rsid w:val="00483E53"/>
    <w:rsid w:val="00484509"/>
    <w:rsid w:val="004848BE"/>
    <w:rsid w:val="00484D39"/>
    <w:rsid w:val="00484F2E"/>
    <w:rsid w:val="004854BA"/>
    <w:rsid w:val="00486D32"/>
    <w:rsid w:val="0048724A"/>
    <w:rsid w:val="004877FC"/>
    <w:rsid w:val="00487C00"/>
    <w:rsid w:val="00487C5E"/>
    <w:rsid w:val="00487D45"/>
    <w:rsid w:val="00487E76"/>
    <w:rsid w:val="0049000A"/>
    <w:rsid w:val="00491078"/>
    <w:rsid w:val="00491661"/>
    <w:rsid w:val="004918EE"/>
    <w:rsid w:val="00491C7B"/>
    <w:rsid w:val="00492160"/>
    <w:rsid w:val="00492B29"/>
    <w:rsid w:val="00493047"/>
    <w:rsid w:val="00493266"/>
    <w:rsid w:val="00494474"/>
    <w:rsid w:val="00495A1E"/>
    <w:rsid w:val="00495B13"/>
    <w:rsid w:val="004962A8"/>
    <w:rsid w:val="00496742"/>
    <w:rsid w:val="00496976"/>
    <w:rsid w:val="00496A1D"/>
    <w:rsid w:val="00496A5F"/>
    <w:rsid w:val="00497313"/>
    <w:rsid w:val="00497C89"/>
    <w:rsid w:val="004A1408"/>
    <w:rsid w:val="004A18C8"/>
    <w:rsid w:val="004A1BE4"/>
    <w:rsid w:val="004A1EB0"/>
    <w:rsid w:val="004A2717"/>
    <w:rsid w:val="004A3269"/>
    <w:rsid w:val="004A3960"/>
    <w:rsid w:val="004A3BC2"/>
    <w:rsid w:val="004A3D87"/>
    <w:rsid w:val="004A4BFC"/>
    <w:rsid w:val="004A5358"/>
    <w:rsid w:val="004A5D8B"/>
    <w:rsid w:val="004A6101"/>
    <w:rsid w:val="004A6987"/>
    <w:rsid w:val="004A6DF8"/>
    <w:rsid w:val="004A6FAE"/>
    <w:rsid w:val="004A773A"/>
    <w:rsid w:val="004A7A52"/>
    <w:rsid w:val="004A7B37"/>
    <w:rsid w:val="004A7DAA"/>
    <w:rsid w:val="004B0499"/>
    <w:rsid w:val="004B0532"/>
    <w:rsid w:val="004B0C53"/>
    <w:rsid w:val="004B0CEB"/>
    <w:rsid w:val="004B0DF2"/>
    <w:rsid w:val="004B1E1C"/>
    <w:rsid w:val="004B3531"/>
    <w:rsid w:val="004B41BC"/>
    <w:rsid w:val="004B44E8"/>
    <w:rsid w:val="004B5FCB"/>
    <w:rsid w:val="004B6007"/>
    <w:rsid w:val="004B66A8"/>
    <w:rsid w:val="004B7456"/>
    <w:rsid w:val="004B7542"/>
    <w:rsid w:val="004B7920"/>
    <w:rsid w:val="004C04F1"/>
    <w:rsid w:val="004C0AE5"/>
    <w:rsid w:val="004C0C3F"/>
    <w:rsid w:val="004C1370"/>
    <w:rsid w:val="004C164B"/>
    <w:rsid w:val="004C19FD"/>
    <w:rsid w:val="004C1E14"/>
    <w:rsid w:val="004C2A35"/>
    <w:rsid w:val="004C2B60"/>
    <w:rsid w:val="004C385A"/>
    <w:rsid w:val="004C3A2D"/>
    <w:rsid w:val="004C4206"/>
    <w:rsid w:val="004C45D1"/>
    <w:rsid w:val="004C4EB4"/>
    <w:rsid w:val="004C52D2"/>
    <w:rsid w:val="004C5884"/>
    <w:rsid w:val="004C6FEA"/>
    <w:rsid w:val="004D09F6"/>
    <w:rsid w:val="004D18C3"/>
    <w:rsid w:val="004D2130"/>
    <w:rsid w:val="004D219C"/>
    <w:rsid w:val="004D2699"/>
    <w:rsid w:val="004D3477"/>
    <w:rsid w:val="004D3A67"/>
    <w:rsid w:val="004D415F"/>
    <w:rsid w:val="004D43D9"/>
    <w:rsid w:val="004D4975"/>
    <w:rsid w:val="004D5773"/>
    <w:rsid w:val="004D5859"/>
    <w:rsid w:val="004D5BD3"/>
    <w:rsid w:val="004D7D0F"/>
    <w:rsid w:val="004D7FAC"/>
    <w:rsid w:val="004E018E"/>
    <w:rsid w:val="004E021A"/>
    <w:rsid w:val="004E060F"/>
    <w:rsid w:val="004E06E8"/>
    <w:rsid w:val="004E0A6A"/>
    <w:rsid w:val="004E1841"/>
    <w:rsid w:val="004E234E"/>
    <w:rsid w:val="004E23DA"/>
    <w:rsid w:val="004E2C14"/>
    <w:rsid w:val="004E3052"/>
    <w:rsid w:val="004E3F8B"/>
    <w:rsid w:val="004E45D4"/>
    <w:rsid w:val="004E4BE9"/>
    <w:rsid w:val="004E5480"/>
    <w:rsid w:val="004E598E"/>
    <w:rsid w:val="004E7F53"/>
    <w:rsid w:val="004E7FB6"/>
    <w:rsid w:val="004F0458"/>
    <w:rsid w:val="004F09FC"/>
    <w:rsid w:val="004F0C5D"/>
    <w:rsid w:val="004F0EA3"/>
    <w:rsid w:val="004F12F3"/>
    <w:rsid w:val="004F1BA3"/>
    <w:rsid w:val="004F2C75"/>
    <w:rsid w:val="004F2DF8"/>
    <w:rsid w:val="004F3229"/>
    <w:rsid w:val="004F4143"/>
    <w:rsid w:val="004F6A97"/>
    <w:rsid w:val="004F71AE"/>
    <w:rsid w:val="004F79F1"/>
    <w:rsid w:val="004F7F0F"/>
    <w:rsid w:val="005000C7"/>
    <w:rsid w:val="00501049"/>
    <w:rsid w:val="005022FE"/>
    <w:rsid w:val="00502E95"/>
    <w:rsid w:val="005032F6"/>
    <w:rsid w:val="0050345E"/>
    <w:rsid w:val="005035DF"/>
    <w:rsid w:val="005039E0"/>
    <w:rsid w:val="00504177"/>
    <w:rsid w:val="00504BC6"/>
    <w:rsid w:val="00505335"/>
    <w:rsid w:val="005058BB"/>
    <w:rsid w:val="00505E62"/>
    <w:rsid w:val="00505ECE"/>
    <w:rsid w:val="00506662"/>
    <w:rsid w:val="00506CDC"/>
    <w:rsid w:val="00506EE0"/>
    <w:rsid w:val="00507620"/>
    <w:rsid w:val="00511132"/>
    <w:rsid w:val="005114D4"/>
    <w:rsid w:val="00511F72"/>
    <w:rsid w:val="005130ED"/>
    <w:rsid w:val="005133F4"/>
    <w:rsid w:val="0051380B"/>
    <w:rsid w:val="00513D66"/>
    <w:rsid w:val="00514174"/>
    <w:rsid w:val="00515D1C"/>
    <w:rsid w:val="00516651"/>
    <w:rsid w:val="005176B5"/>
    <w:rsid w:val="0051797D"/>
    <w:rsid w:val="00520691"/>
    <w:rsid w:val="0052095B"/>
    <w:rsid w:val="00520D44"/>
    <w:rsid w:val="005213BD"/>
    <w:rsid w:val="005217D2"/>
    <w:rsid w:val="005217F7"/>
    <w:rsid w:val="0052193B"/>
    <w:rsid w:val="005223AE"/>
    <w:rsid w:val="00522953"/>
    <w:rsid w:val="00522B8E"/>
    <w:rsid w:val="00523009"/>
    <w:rsid w:val="005230C3"/>
    <w:rsid w:val="00523749"/>
    <w:rsid w:val="00523C34"/>
    <w:rsid w:val="0052576E"/>
    <w:rsid w:val="00525964"/>
    <w:rsid w:val="00525D16"/>
    <w:rsid w:val="005264AA"/>
    <w:rsid w:val="00526856"/>
    <w:rsid w:val="005272D6"/>
    <w:rsid w:val="00527E73"/>
    <w:rsid w:val="005305D9"/>
    <w:rsid w:val="005309DE"/>
    <w:rsid w:val="00531FED"/>
    <w:rsid w:val="005321AE"/>
    <w:rsid w:val="005322CA"/>
    <w:rsid w:val="00532CDE"/>
    <w:rsid w:val="0053301D"/>
    <w:rsid w:val="005332F6"/>
    <w:rsid w:val="00533C6B"/>
    <w:rsid w:val="00534178"/>
    <w:rsid w:val="0053433B"/>
    <w:rsid w:val="00534853"/>
    <w:rsid w:val="005353BC"/>
    <w:rsid w:val="00535AD3"/>
    <w:rsid w:val="00535FDD"/>
    <w:rsid w:val="00540045"/>
    <w:rsid w:val="00540141"/>
    <w:rsid w:val="005408AC"/>
    <w:rsid w:val="00540A00"/>
    <w:rsid w:val="00541236"/>
    <w:rsid w:val="00541497"/>
    <w:rsid w:val="00541699"/>
    <w:rsid w:val="0054170A"/>
    <w:rsid w:val="00542071"/>
    <w:rsid w:val="00542147"/>
    <w:rsid w:val="00542CE8"/>
    <w:rsid w:val="00542E55"/>
    <w:rsid w:val="00543ADE"/>
    <w:rsid w:val="00544025"/>
    <w:rsid w:val="00544501"/>
    <w:rsid w:val="00544823"/>
    <w:rsid w:val="00544FE1"/>
    <w:rsid w:val="005462D4"/>
    <w:rsid w:val="00546C3B"/>
    <w:rsid w:val="00547F74"/>
    <w:rsid w:val="00547F76"/>
    <w:rsid w:val="005509D2"/>
    <w:rsid w:val="00550BAF"/>
    <w:rsid w:val="00551908"/>
    <w:rsid w:val="00551AD2"/>
    <w:rsid w:val="00552196"/>
    <w:rsid w:val="0055259A"/>
    <w:rsid w:val="00552E48"/>
    <w:rsid w:val="00552EB2"/>
    <w:rsid w:val="00553066"/>
    <w:rsid w:val="005534C8"/>
    <w:rsid w:val="00553A0E"/>
    <w:rsid w:val="00553CE8"/>
    <w:rsid w:val="00553F3F"/>
    <w:rsid w:val="00554255"/>
    <w:rsid w:val="005544FE"/>
    <w:rsid w:val="00554A4B"/>
    <w:rsid w:val="00554A71"/>
    <w:rsid w:val="0055524B"/>
    <w:rsid w:val="0055598B"/>
    <w:rsid w:val="00555DBC"/>
    <w:rsid w:val="00556C6D"/>
    <w:rsid w:val="00556D20"/>
    <w:rsid w:val="005570F8"/>
    <w:rsid w:val="00557DF2"/>
    <w:rsid w:val="00563586"/>
    <w:rsid w:val="00564E44"/>
    <w:rsid w:val="0056575F"/>
    <w:rsid w:val="00566EF1"/>
    <w:rsid w:val="00567719"/>
    <w:rsid w:val="00567730"/>
    <w:rsid w:val="005679F3"/>
    <w:rsid w:val="00570934"/>
    <w:rsid w:val="00570F5B"/>
    <w:rsid w:val="00571623"/>
    <w:rsid w:val="00571747"/>
    <w:rsid w:val="005730DD"/>
    <w:rsid w:val="00574B3F"/>
    <w:rsid w:val="00574F8E"/>
    <w:rsid w:val="00574FB2"/>
    <w:rsid w:val="00575239"/>
    <w:rsid w:val="00575C4F"/>
    <w:rsid w:val="005771CB"/>
    <w:rsid w:val="00580033"/>
    <w:rsid w:val="00581542"/>
    <w:rsid w:val="00581AFE"/>
    <w:rsid w:val="0058244F"/>
    <w:rsid w:val="00583317"/>
    <w:rsid w:val="00583A6D"/>
    <w:rsid w:val="00583D77"/>
    <w:rsid w:val="005843D5"/>
    <w:rsid w:val="0058549D"/>
    <w:rsid w:val="00585ABF"/>
    <w:rsid w:val="00585BCD"/>
    <w:rsid w:val="0058619D"/>
    <w:rsid w:val="00586351"/>
    <w:rsid w:val="005863F5"/>
    <w:rsid w:val="005867B6"/>
    <w:rsid w:val="00586E00"/>
    <w:rsid w:val="00586EA0"/>
    <w:rsid w:val="00587159"/>
    <w:rsid w:val="00590406"/>
    <w:rsid w:val="005914CC"/>
    <w:rsid w:val="00591ED6"/>
    <w:rsid w:val="005920A2"/>
    <w:rsid w:val="005929A3"/>
    <w:rsid w:val="0059300E"/>
    <w:rsid w:val="0059341F"/>
    <w:rsid w:val="00593E33"/>
    <w:rsid w:val="00593E67"/>
    <w:rsid w:val="00594121"/>
    <w:rsid w:val="00594255"/>
    <w:rsid w:val="005943DA"/>
    <w:rsid w:val="00594547"/>
    <w:rsid w:val="005946B4"/>
    <w:rsid w:val="00594D5D"/>
    <w:rsid w:val="00596368"/>
    <w:rsid w:val="00596F47"/>
    <w:rsid w:val="0059799F"/>
    <w:rsid w:val="005A0050"/>
    <w:rsid w:val="005A0FE8"/>
    <w:rsid w:val="005A0FFE"/>
    <w:rsid w:val="005A1F5F"/>
    <w:rsid w:val="005A2F68"/>
    <w:rsid w:val="005A2F9E"/>
    <w:rsid w:val="005A3770"/>
    <w:rsid w:val="005A4911"/>
    <w:rsid w:val="005A497A"/>
    <w:rsid w:val="005A5601"/>
    <w:rsid w:val="005A59BB"/>
    <w:rsid w:val="005A64E8"/>
    <w:rsid w:val="005A71F6"/>
    <w:rsid w:val="005A766E"/>
    <w:rsid w:val="005A7A93"/>
    <w:rsid w:val="005A7B89"/>
    <w:rsid w:val="005B028B"/>
    <w:rsid w:val="005B06EE"/>
    <w:rsid w:val="005B0AB1"/>
    <w:rsid w:val="005B0B38"/>
    <w:rsid w:val="005B0D8E"/>
    <w:rsid w:val="005B140A"/>
    <w:rsid w:val="005B2D3E"/>
    <w:rsid w:val="005B33DB"/>
    <w:rsid w:val="005B41E7"/>
    <w:rsid w:val="005B46DE"/>
    <w:rsid w:val="005B4ACC"/>
    <w:rsid w:val="005B50D8"/>
    <w:rsid w:val="005B6B7B"/>
    <w:rsid w:val="005B6EB5"/>
    <w:rsid w:val="005C0132"/>
    <w:rsid w:val="005C0335"/>
    <w:rsid w:val="005C06ED"/>
    <w:rsid w:val="005C1652"/>
    <w:rsid w:val="005C2074"/>
    <w:rsid w:val="005C316C"/>
    <w:rsid w:val="005C4138"/>
    <w:rsid w:val="005C46EB"/>
    <w:rsid w:val="005C47B6"/>
    <w:rsid w:val="005C4C97"/>
    <w:rsid w:val="005C5445"/>
    <w:rsid w:val="005C54F9"/>
    <w:rsid w:val="005C5A43"/>
    <w:rsid w:val="005C6D73"/>
    <w:rsid w:val="005C7149"/>
    <w:rsid w:val="005C734C"/>
    <w:rsid w:val="005C7984"/>
    <w:rsid w:val="005D01A9"/>
    <w:rsid w:val="005D06D1"/>
    <w:rsid w:val="005D0A4A"/>
    <w:rsid w:val="005D15C6"/>
    <w:rsid w:val="005D19FD"/>
    <w:rsid w:val="005D241E"/>
    <w:rsid w:val="005D37D4"/>
    <w:rsid w:val="005D3D55"/>
    <w:rsid w:val="005D4118"/>
    <w:rsid w:val="005D4B1C"/>
    <w:rsid w:val="005D50F5"/>
    <w:rsid w:val="005D5461"/>
    <w:rsid w:val="005D5855"/>
    <w:rsid w:val="005D5D15"/>
    <w:rsid w:val="005D5F81"/>
    <w:rsid w:val="005D723A"/>
    <w:rsid w:val="005D72DC"/>
    <w:rsid w:val="005E024F"/>
    <w:rsid w:val="005E02BF"/>
    <w:rsid w:val="005E0C8F"/>
    <w:rsid w:val="005E2507"/>
    <w:rsid w:val="005E27CD"/>
    <w:rsid w:val="005E3BB5"/>
    <w:rsid w:val="005E5073"/>
    <w:rsid w:val="005E5092"/>
    <w:rsid w:val="005E5714"/>
    <w:rsid w:val="005E6D85"/>
    <w:rsid w:val="005E748D"/>
    <w:rsid w:val="005E7E76"/>
    <w:rsid w:val="005F213D"/>
    <w:rsid w:val="005F4983"/>
    <w:rsid w:val="005F502D"/>
    <w:rsid w:val="005F5102"/>
    <w:rsid w:val="005F55B4"/>
    <w:rsid w:val="005F56DC"/>
    <w:rsid w:val="005F57F1"/>
    <w:rsid w:val="005F60A7"/>
    <w:rsid w:val="005F7472"/>
    <w:rsid w:val="005F7D93"/>
    <w:rsid w:val="006014CE"/>
    <w:rsid w:val="00601517"/>
    <w:rsid w:val="00601FF1"/>
    <w:rsid w:val="00602492"/>
    <w:rsid w:val="0060263E"/>
    <w:rsid w:val="00603315"/>
    <w:rsid w:val="00603D4B"/>
    <w:rsid w:val="00604949"/>
    <w:rsid w:val="0060658F"/>
    <w:rsid w:val="00606C1E"/>
    <w:rsid w:val="00607F14"/>
    <w:rsid w:val="00610305"/>
    <w:rsid w:val="00610A70"/>
    <w:rsid w:val="00610F9E"/>
    <w:rsid w:val="00610FD1"/>
    <w:rsid w:val="00612321"/>
    <w:rsid w:val="006129BA"/>
    <w:rsid w:val="00612EF7"/>
    <w:rsid w:val="0061395E"/>
    <w:rsid w:val="006161E0"/>
    <w:rsid w:val="0061632E"/>
    <w:rsid w:val="0061747F"/>
    <w:rsid w:val="00617963"/>
    <w:rsid w:val="00617A0C"/>
    <w:rsid w:val="00617D9F"/>
    <w:rsid w:val="00620DE3"/>
    <w:rsid w:val="00621119"/>
    <w:rsid w:val="00621D50"/>
    <w:rsid w:val="006225D3"/>
    <w:rsid w:val="0062353D"/>
    <w:rsid w:val="006235F6"/>
    <w:rsid w:val="0062392F"/>
    <w:rsid w:val="00623D1E"/>
    <w:rsid w:val="00623F0B"/>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DAD"/>
    <w:rsid w:val="00635EE7"/>
    <w:rsid w:val="006365EB"/>
    <w:rsid w:val="00636ED7"/>
    <w:rsid w:val="0063750A"/>
    <w:rsid w:val="0064060C"/>
    <w:rsid w:val="00642361"/>
    <w:rsid w:val="00642372"/>
    <w:rsid w:val="006435B6"/>
    <w:rsid w:val="00643925"/>
    <w:rsid w:val="00643DA7"/>
    <w:rsid w:val="00644DDF"/>
    <w:rsid w:val="00645DCE"/>
    <w:rsid w:val="006461AB"/>
    <w:rsid w:val="00646C5A"/>
    <w:rsid w:val="00646E7C"/>
    <w:rsid w:val="00647193"/>
    <w:rsid w:val="006503F4"/>
    <w:rsid w:val="006513B3"/>
    <w:rsid w:val="00652A78"/>
    <w:rsid w:val="00652A8F"/>
    <w:rsid w:val="00652DAF"/>
    <w:rsid w:val="00653507"/>
    <w:rsid w:val="00653581"/>
    <w:rsid w:val="006535E6"/>
    <w:rsid w:val="00653A10"/>
    <w:rsid w:val="00653A24"/>
    <w:rsid w:val="00653E50"/>
    <w:rsid w:val="006544DD"/>
    <w:rsid w:val="0065483C"/>
    <w:rsid w:val="006551BA"/>
    <w:rsid w:val="00655A1E"/>
    <w:rsid w:val="00655AAE"/>
    <w:rsid w:val="00655AE7"/>
    <w:rsid w:val="0065636A"/>
    <w:rsid w:val="006568FC"/>
    <w:rsid w:val="00657426"/>
    <w:rsid w:val="00660568"/>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1B82"/>
    <w:rsid w:val="00681E5A"/>
    <w:rsid w:val="00681EFC"/>
    <w:rsid w:val="00682541"/>
    <w:rsid w:val="00682E11"/>
    <w:rsid w:val="00683C72"/>
    <w:rsid w:val="00684A54"/>
    <w:rsid w:val="00684A76"/>
    <w:rsid w:val="00684B92"/>
    <w:rsid w:val="00687108"/>
    <w:rsid w:val="00687D64"/>
    <w:rsid w:val="00690599"/>
    <w:rsid w:val="0069082D"/>
    <w:rsid w:val="006909AB"/>
    <w:rsid w:val="00691CB0"/>
    <w:rsid w:val="00691FFA"/>
    <w:rsid w:val="00692AEE"/>
    <w:rsid w:val="00692CF6"/>
    <w:rsid w:val="00693662"/>
    <w:rsid w:val="006939A6"/>
    <w:rsid w:val="00693BF9"/>
    <w:rsid w:val="006957DB"/>
    <w:rsid w:val="00696828"/>
    <w:rsid w:val="00697051"/>
    <w:rsid w:val="0069734C"/>
    <w:rsid w:val="0069742E"/>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08DB"/>
    <w:rsid w:val="006B1A1A"/>
    <w:rsid w:val="006B2BA3"/>
    <w:rsid w:val="006B2E6B"/>
    <w:rsid w:val="006B2EE9"/>
    <w:rsid w:val="006B59E9"/>
    <w:rsid w:val="006B62AE"/>
    <w:rsid w:val="006B635D"/>
    <w:rsid w:val="006B6FBE"/>
    <w:rsid w:val="006B7B45"/>
    <w:rsid w:val="006B7B7E"/>
    <w:rsid w:val="006C0160"/>
    <w:rsid w:val="006C01AF"/>
    <w:rsid w:val="006C0B21"/>
    <w:rsid w:val="006C1A26"/>
    <w:rsid w:val="006C1EEB"/>
    <w:rsid w:val="006C3ACC"/>
    <w:rsid w:val="006C3FD2"/>
    <w:rsid w:val="006C483B"/>
    <w:rsid w:val="006C4841"/>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6D1"/>
    <w:rsid w:val="006F0CDB"/>
    <w:rsid w:val="006F1B9B"/>
    <w:rsid w:val="006F23E9"/>
    <w:rsid w:val="006F259A"/>
    <w:rsid w:val="006F25E5"/>
    <w:rsid w:val="006F2714"/>
    <w:rsid w:val="006F29B7"/>
    <w:rsid w:val="006F2A70"/>
    <w:rsid w:val="006F31E1"/>
    <w:rsid w:val="006F3497"/>
    <w:rsid w:val="006F41DA"/>
    <w:rsid w:val="006F48EF"/>
    <w:rsid w:val="006F52CB"/>
    <w:rsid w:val="006F572A"/>
    <w:rsid w:val="006F57DE"/>
    <w:rsid w:val="006F614A"/>
    <w:rsid w:val="006F70F7"/>
    <w:rsid w:val="007000A5"/>
    <w:rsid w:val="007003AA"/>
    <w:rsid w:val="0070047A"/>
    <w:rsid w:val="00700833"/>
    <w:rsid w:val="00700892"/>
    <w:rsid w:val="00702685"/>
    <w:rsid w:val="00702A32"/>
    <w:rsid w:val="00704F5D"/>
    <w:rsid w:val="00705A48"/>
    <w:rsid w:val="00705BA0"/>
    <w:rsid w:val="00706050"/>
    <w:rsid w:val="00706207"/>
    <w:rsid w:val="00706850"/>
    <w:rsid w:val="0070721E"/>
    <w:rsid w:val="0070742B"/>
    <w:rsid w:val="00707BA5"/>
    <w:rsid w:val="00710789"/>
    <w:rsid w:val="007107B9"/>
    <w:rsid w:val="00710A58"/>
    <w:rsid w:val="00710AAE"/>
    <w:rsid w:val="00710DF2"/>
    <w:rsid w:val="007118B8"/>
    <w:rsid w:val="0071206F"/>
    <w:rsid w:val="00712B60"/>
    <w:rsid w:val="0071504F"/>
    <w:rsid w:val="00715E14"/>
    <w:rsid w:val="007168C8"/>
    <w:rsid w:val="00716DA7"/>
    <w:rsid w:val="007171CA"/>
    <w:rsid w:val="00717CC9"/>
    <w:rsid w:val="00720006"/>
    <w:rsid w:val="0072003B"/>
    <w:rsid w:val="007206DD"/>
    <w:rsid w:val="0072085F"/>
    <w:rsid w:val="00720909"/>
    <w:rsid w:val="00720C30"/>
    <w:rsid w:val="00721CD1"/>
    <w:rsid w:val="00723970"/>
    <w:rsid w:val="007247A6"/>
    <w:rsid w:val="00725203"/>
    <w:rsid w:val="00725BBE"/>
    <w:rsid w:val="00726997"/>
    <w:rsid w:val="00727342"/>
    <w:rsid w:val="00727D0E"/>
    <w:rsid w:val="00727F01"/>
    <w:rsid w:val="007307AA"/>
    <w:rsid w:val="00730982"/>
    <w:rsid w:val="007319CB"/>
    <w:rsid w:val="0073248F"/>
    <w:rsid w:val="007324D4"/>
    <w:rsid w:val="00732911"/>
    <w:rsid w:val="00732BF7"/>
    <w:rsid w:val="00733D53"/>
    <w:rsid w:val="00734626"/>
    <w:rsid w:val="00735361"/>
    <w:rsid w:val="007354D8"/>
    <w:rsid w:val="007356DB"/>
    <w:rsid w:val="007359F9"/>
    <w:rsid w:val="00735BA0"/>
    <w:rsid w:val="00735DDF"/>
    <w:rsid w:val="007368C2"/>
    <w:rsid w:val="007369EB"/>
    <w:rsid w:val="00736B89"/>
    <w:rsid w:val="00736D7B"/>
    <w:rsid w:val="0073711D"/>
    <w:rsid w:val="00737817"/>
    <w:rsid w:val="00737FD3"/>
    <w:rsid w:val="007411D6"/>
    <w:rsid w:val="00741587"/>
    <w:rsid w:val="00741C6C"/>
    <w:rsid w:val="0074210F"/>
    <w:rsid w:val="007422CF"/>
    <w:rsid w:val="00743315"/>
    <w:rsid w:val="00743AD9"/>
    <w:rsid w:val="00743F7B"/>
    <w:rsid w:val="00744335"/>
    <w:rsid w:val="00744A48"/>
    <w:rsid w:val="00745262"/>
    <w:rsid w:val="00745E1D"/>
    <w:rsid w:val="00746FDE"/>
    <w:rsid w:val="007470B9"/>
    <w:rsid w:val="0074758D"/>
    <w:rsid w:val="007476A9"/>
    <w:rsid w:val="007476C1"/>
    <w:rsid w:val="00750678"/>
    <w:rsid w:val="00750B45"/>
    <w:rsid w:val="00750F14"/>
    <w:rsid w:val="007511CC"/>
    <w:rsid w:val="00751443"/>
    <w:rsid w:val="00751721"/>
    <w:rsid w:val="00751A55"/>
    <w:rsid w:val="00752089"/>
    <w:rsid w:val="007531A0"/>
    <w:rsid w:val="00753736"/>
    <w:rsid w:val="00753F08"/>
    <w:rsid w:val="00754352"/>
    <w:rsid w:val="00754AA7"/>
    <w:rsid w:val="0075647A"/>
    <w:rsid w:val="007568DC"/>
    <w:rsid w:val="00756C35"/>
    <w:rsid w:val="00756EC3"/>
    <w:rsid w:val="00757582"/>
    <w:rsid w:val="0076074B"/>
    <w:rsid w:val="00761E57"/>
    <w:rsid w:val="00763236"/>
    <w:rsid w:val="00763817"/>
    <w:rsid w:val="00763C39"/>
    <w:rsid w:val="00763EE0"/>
    <w:rsid w:val="007643C0"/>
    <w:rsid w:val="00764615"/>
    <w:rsid w:val="00765A36"/>
    <w:rsid w:val="007661D2"/>
    <w:rsid w:val="00766E4B"/>
    <w:rsid w:val="00767D58"/>
    <w:rsid w:val="007706FD"/>
    <w:rsid w:val="00770801"/>
    <w:rsid w:val="00770B78"/>
    <w:rsid w:val="00771CD0"/>
    <w:rsid w:val="00772337"/>
    <w:rsid w:val="00774621"/>
    <w:rsid w:val="00774690"/>
    <w:rsid w:val="00774805"/>
    <w:rsid w:val="00774C90"/>
    <w:rsid w:val="00776325"/>
    <w:rsid w:val="0077654B"/>
    <w:rsid w:val="00776E22"/>
    <w:rsid w:val="00781F7D"/>
    <w:rsid w:val="00782073"/>
    <w:rsid w:val="00783530"/>
    <w:rsid w:val="007844C8"/>
    <w:rsid w:val="0078467D"/>
    <w:rsid w:val="007850DE"/>
    <w:rsid w:val="00785FA4"/>
    <w:rsid w:val="00787C48"/>
    <w:rsid w:val="0079093A"/>
    <w:rsid w:val="00791133"/>
    <w:rsid w:val="00791143"/>
    <w:rsid w:val="00792223"/>
    <w:rsid w:val="00792C03"/>
    <w:rsid w:val="00792D10"/>
    <w:rsid w:val="00793944"/>
    <w:rsid w:val="00793B10"/>
    <w:rsid w:val="00793B77"/>
    <w:rsid w:val="007946AF"/>
    <w:rsid w:val="007959B8"/>
    <w:rsid w:val="00795A01"/>
    <w:rsid w:val="00796717"/>
    <w:rsid w:val="00796C3B"/>
    <w:rsid w:val="00797351"/>
    <w:rsid w:val="0079743D"/>
    <w:rsid w:val="00797772"/>
    <w:rsid w:val="00797DA2"/>
    <w:rsid w:val="007A1319"/>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2E05"/>
    <w:rsid w:val="007B3BC0"/>
    <w:rsid w:val="007B3CEF"/>
    <w:rsid w:val="007B4D5C"/>
    <w:rsid w:val="007B4FFD"/>
    <w:rsid w:val="007B590C"/>
    <w:rsid w:val="007B5F91"/>
    <w:rsid w:val="007B60BD"/>
    <w:rsid w:val="007B7A92"/>
    <w:rsid w:val="007B7E9F"/>
    <w:rsid w:val="007C0C12"/>
    <w:rsid w:val="007C12E8"/>
    <w:rsid w:val="007C232C"/>
    <w:rsid w:val="007C2CB2"/>
    <w:rsid w:val="007C2E23"/>
    <w:rsid w:val="007C3139"/>
    <w:rsid w:val="007C3565"/>
    <w:rsid w:val="007C42BB"/>
    <w:rsid w:val="007C45CA"/>
    <w:rsid w:val="007C46A0"/>
    <w:rsid w:val="007C4E17"/>
    <w:rsid w:val="007C4EBC"/>
    <w:rsid w:val="007C5070"/>
    <w:rsid w:val="007C663D"/>
    <w:rsid w:val="007D008E"/>
    <w:rsid w:val="007D07C4"/>
    <w:rsid w:val="007D0AF0"/>
    <w:rsid w:val="007D0BA7"/>
    <w:rsid w:val="007D224B"/>
    <w:rsid w:val="007D30CB"/>
    <w:rsid w:val="007D4E85"/>
    <w:rsid w:val="007D50EF"/>
    <w:rsid w:val="007D69E1"/>
    <w:rsid w:val="007D6A1E"/>
    <w:rsid w:val="007E0064"/>
    <w:rsid w:val="007E04A2"/>
    <w:rsid w:val="007E09E9"/>
    <w:rsid w:val="007E0A8F"/>
    <w:rsid w:val="007E0B3E"/>
    <w:rsid w:val="007E12A2"/>
    <w:rsid w:val="007E12D3"/>
    <w:rsid w:val="007E13EB"/>
    <w:rsid w:val="007E1638"/>
    <w:rsid w:val="007E2155"/>
    <w:rsid w:val="007E3446"/>
    <w:rsid w:val="007E4D1E"/>
    <w:rsid w:val="007E66D0"/>
    <w:rsid w:val="007E6835"/>
    <w:rsid w:val="007E6F46"/>
    <w:rsid w:val="007F04B2"/>
    <w:rsid w:val="007F1DAE"/>
    <w:rsid w:val="007F24B9"/>
    <w:rsid w:val="007F26C7"/>
    <w:rsid w:val="007F3388"/>
    <w:rsid w:val="007F347D"/>
    <w:rsid w:val="007F3571"/>
    <w:rsid w:val="007F497A"/>
    <w:rsid w:val="007F4D6C"/>
    <w:rsid w:val="007F55DA"/>
    <w:rsid w:val="007F58A8"/>
    <w:rsid w:val="007F5CF0"/>
    <w:rsid w:val="007F5DC6"/>
    <w:rsid w:val="007F5EAC"/>
    <w:rsid w:val="007F6251"/>
    <w:rsid w:val="007F6461"/>
    <w:rsid w:val="007F6BAE"/>
    <w:rsid w:val="007F7B5C"/>
    <w:rsid w:val="007F7D2F"/>
    <w:rsid w:val="00801B8F"/>
    <w:rsid w:val="0080256F"/>
    <w:rsid w:val="00802BF1"/>
    <w:rsid w:val="00802FF1"/>
    <w:rsid w:val="008034DB"/>
    <w:rsid w:val="008041E6"/>
    <w:rsid w:val="008041FF"/>
    <w:rsid w:val="0080453B"/>
    <w:rsid w:val="00806471"/>
    <w:rsid w:val="00807263"/>
    <w:rsid w:val="0080751A"/>
    <w:rsid w:val="0080752D"/>
    <w:rsid w:val="00807F5E"/>
    <w:rsid w:val="00807F81"/>
    <w:rsid w:val="00810EC8"/>
    <w:rsid w:val="008123CB"/>
    <w:rsid w:val="00812892"/>
    <w:rsid w:val="008129F2"/>
    <w:rsid w:val="008137C4"/>
    <w:rsid w:val="00813B83"/>
    <w:rsid w:val="008150EA"/>
    <w:rsid w:val="0081516B"/>
    <w:rsid w:val="00815355"/>
    <w:rsid w:val="00815869"/>
    <w:rsid w:val="00815EF5"/>
    <w:rsid w:val="00816175"/>
    <w:rsid w:val="00816809"/>
    <w:rsid w:val="00817C2F"/>
    <w:rsid w:val="00820059"/>
    <w:rsid w:val="00820AAF"/>
    <w:rsid w:val="00820D3A"/>
    <w:rsid w:val="00821900"/>
    <w:rsid w:val="00821A21"/>
    <w:rsid w:val="00821B0A"/>
    <w:rsid w:val="00821D52"/>
    <w:rsid w:val="00822140"/>
    <w:rsid w:val="00822285"/>
    <w:rsid w:val="00822350"/>
    <w:rsid w:val="00822466"/>
    <w:rsid w:val="008228D5"/>
    <w:rsid w:val="00823081"/>
    <w:rsid w:val="0082315F"/>
    <w:rsid w:val="0082471D"/>
    <w:rsid w:val="00824957"/>
    <w:rsid w:val="00824986"/>
    <w:rsid w:val="00824FA1"/>
    <w:rsid w:val="00825E5A"/>
    <w:rsid w:val="0082623F"/>
    <w:rsid w:val="0082649C"/>
    <w:rsid w:val="00827A57"/>
    <w:rsid w:val="00830BFA"/>
    <w:rsid w:val="008318D7"/>
    <w:rsid w:val="0083217B"/>
    <w:rsid w:val="00833015"/>
    <w:rsid w:val="0083304A"/>
    <w:rsid w:val="0083382A"/>
    <w:rsid w:val="00834071"/>
    <w:rsid w:val="0083555E"/>
    <w:rsid w:val="00837396"/>
    <w:rsid w:val="00837874"/>
    <w:rsid w:val="0083790F"/>
    <w:rsid w:val="008409CC"/>
    <w:rsid w:val="00840BAF"/>
    <w:rsid w:val="00842723"/>
    <w:rsid w:val="00842B65"/>
    <w:rsid w:val="00842CFE"/>
    <w:rsid w:val="00843259"/>
    <w:rsid w:val="0084352C"/>
    <w:rsid w:val="00844B24"/>
    <w:rsid w:val="00845105"/>
    <w:rsid w:val="008465BB"/>
    <w:rsid w:val="008472A2"/>
    <w:rsid w:val="00850A25"/>
    <w:rsid w:val="0085169E"/>
    <w:rsid w:val="00851C15"/>
    <w:rsid w:val="00852846"/>
    <w:rsid w:val="00852990"/>
    <w:rsid w:val="0085398C"/>
    <w:rsid w:val="00853BAF"/>
    <w:rsid w:val="00853EF1"/>
    <w:rsid w:val="0085419D"/>
    <w:rsid w:val="008541D3"/>
    <w:rsid w:val="0085445A"/>
    <w:rsid w:val="00854BF1"/>
    <w:rsid w:val="00855207"/>
    <w:rsid w:val="008552A2"/>
    <w:rsid w:val="008553FF"/>
    <w:rsid w:val="008558F8"/>
    <w:rsid w:val="00855984"/>
    <w:rsid w:val="00857C2E"/>
    <w:rsid w:val="008600F0"/>
    <w:rsid w:val="008601F7"/>
    <w:rsid w:val="00860607"/>
    <w:rsid w:val="00860B35"/>
    <w:rsid w:val="00861A9E"/>
    <w:rsid w:val="008626B5"/>
    <w:rsid w:val="00862B05"/>
    <w:rsid w:val="00862CE5"/>
    <w:rsid w:val="00863D5F"/>
    <w:rsid w:val="00863E40"/>
    <w:rsid w:val="00863E6E"/>
    <w:rsid w:val="0086426F"/>
    <w:rsid w:val="008642EA"/>
    <w:rsid w:val="00864893"/>
    <w:rsid w:val="008648B1"/>
    <w:rsid w:val="00864CEE"/>
    <w:rsid w:val="00865929"/>
    <w:rsid w:val="00867A31"/>
    <w:rsid w:val="00870520"/>
    <w:rsid w:val="008707D7"/>
    <w:rsid w:val="00872366"/>
    <w:rsid w:val="008725E4"/>
    <w:rsid w:val="008730D2"/>
    <w:rsid w:val="00873286"/>
    <w:rsid w:val="00873657"/>
    <w:rsid w:val="0087400B"/>
    <w:rsid w:val="0087440C"/>
    <w:rsid w:val="00875114"/>
    <w:rsid w:val="008753AD"/>
    <w:rsid w:val="00875AFE"/>
    <w:rsid w:val="00875F91"/>
    <w:rsid w:val="00876985"/>
    <w:rsid w:val="00876A95"/>
    <w:rsid w:val="00876FB2"/>
    <w:rsid w:val="00877AA9"/>
    <w:rsid w:val="008801C4"/>
    <w:rsid w:val="0088027D"/>
    <w:rsid w:val="00881B29"/>
    <w:rsid w:val="00881C9D"/>
    <w:rsid w:val="00881F1B"/>
    <w:rsid w:val="00883438"/>
    <w:rsid w:val="008837C5"/>
    <w:rsid w:val="00883A24"/>
    <w:rsid w:val="00884D6F"/>
    <w:rsid w:val="00885BE9"/>
    <w:rsid w:val="008873C5"/>
    <w:rsid w:val="00887437"/>
    <w:rsid w:val="0088749C"/>
    <w:rsid w:val="00887C19"/>
    <w:rsid w:val="008903B0"/>
    <w:rsid w:val="008907D3"/>
    <w:rsid w:val="008908AD"/>
    <w:rsid w:val="0089115F"/>
    <w:rsid w:val="0089174E"/>
    <w:rsid w:val="00891D9F"/>
    <w:rsid w:val="00891E6D"/>
    <w:rsid w:val="00892127"/>
    <w:rsid w:val="00894CE2"/>
    <w:rsid w:val="00895BA7"/>
    <w:rsid w:val="00895BCD"/>
    <w:rsid w:val="00895C33"/>
    <w:rsid w:val="00895EAD"/>
    <w:rsid w:val="00895EFD"/>
    <w:rsid w:val="00896D8A"/>
    <w:rsid w:val="0089723D"/>
    <w:rsid w:val="008A0515"/>
    <w:rsid w:val="008A054E"/>
    <w:rsid w:val="008A074C"/>
    <w:rsid w:val="008A1ED6"/>
    <w:rsid w:val="008A2539"/>
    <w:rsid w:val="008A3343"/>
    <w:rsid w:val="008A38AE"/>
    <w:rsid w:val="008A4688"/>
    <w:rsid w:val="008A4969"/>
    <w:rsid w:val="008A4A3C"/>
    <w:rsid w:val="008A5036"/>
    <w:rsid w:val="008B07B3"/>
    <w:rsid w:val="008B0BD1"/>
    <w:rsid w:val="008B0E7D"/>
    <w:rsid w:val="008B24CA"/>
    <w:rsid w:val="008B2B82"/>
    <w:rsid w:val="008B3365"/>
    <w:rsid w:val="008B3493"/>
    <w:rsid w:val="008B4034"/>
    <w:rsid w:val="008B4602"/>
    <w:rsid w:val="008B4B6A"/>
    <w:rsid w:val="008B4D3C"/>
    <w:rsid w:val="008B5192"/>
    <w:rsid w:val="008B5D53"/>
    <w:rsid w:val="008B60E6"/>
    <w:rsid w:val="008B7F3D"/>
    <w:rsid w:val="008C0081"/>
    <w:rsid w:val="008C1539"/>
    <w:rsid w:val="008C1962"/>
    <w:rsid w:val="008C27CF"/>
    <w:rsid w:val="008C2D32"/>
    <w:rsid w:val="008C306A"/>
    <w:rsid w:val="008C328D"/>
    <w:rsid w:val="008C33E1"/>
    <w:rsid w:val="008C38A8"/>
    <w:rsid w:val="008C3AC8"/>
    <w:rsid w:val="008C3B27"/>
    <w:rsid w:val="008C512F"/>
    <w:rsid w:val="008C5163"/>
    <w:rsid w:val="008C63C3"/>
    <w:rsid w:val="008C6539"/>
    <w:rsid w:val="008C6976"/>
    <w:rsid w:val="008C6DDF"/>
    <w:rsid w:val="008C7830"/>
    <w:rsid w:val="008C7B77"/>
    <w:rsid w:val="008D0200"/>
    <w:rsid w:val="008D159E"/>
    <w:rsid w:val="008D16E0"/>
    <w:rsid w:val="008D1912"/>
    <w:rsid w:val="008D2189"/>
    <w:rsid w:val="008D2437"/>
    <w:rsid w:val="008D29F2"/>
    <w:rsid w:val="008D3159"/>
    <w:rsid w:val="008D31C3"/>
    <w:rsid w:val="008D38AC"/>
    <w:rsid w:val="008D40EE"/>
    <w:rsid w:val="008D42DC"/>
    <w:rsid w:val="008D51F1"/>
    <w:rsid w:val="008D550E"/>
    <w:rsid w:val="008D63B1"/>
    <w:rsid w:val="008D66C1"/>
    <w:rsid w:val="008D6A6B"/>
    <w:rsid w:val="008D6F01"/>
    <w:rsid w:val="008D7D35"/>
    <w:rsid w:val="008D7E8A"/>
    <w:rsid w:val="008E0053"/>
    <w:rsid w:val="008E0D78"/>
    <w:rsid w:val="008E1411"/>
    <w:rsid w:val="008E1F21"/>
    <w:rsid w:val="008E2322"/>
    <w:rsid w:val="008E2CC2"/>
    <w:rsid w:val="008E373B"/>
    <w:rsid w:val="008E395A"/>
    <w:rsid w:val="008E4747"/>
    <w:rsid w:val="008E4909"/>
    <w:rsid w:val="008E4A2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74C"/>
    <w:rsid w:val="008F7A5F"/>
    <w:rsid w:val="009001EE"/>
    <w:rsid w:val="00901302"/>
    <w:rsid w:val="00901BB6"/>
    <w:rsid w:val="00901F77"/>
    <w:rsid w:val="00902515"/>
    <w:rsid w:val="00902C48"/>
    <w:rsid w:val="00903C62"/>
    <w:rsid w:val="00903F0C"/>
    <w:rsid w:val="00903FCB"/>
    <w:rsid w:val="00904DC6"/>
    <w:rsid w:val="00906BFC"/>
    <w:rsid w:val="00907D56"/>
    <w:rsid w:val="0091123E"/>
    <w:rsid w:val="00911BD4"/>
    <w:rsid w:val="0091365C"/>
    <w:rsid w:val="00913946"/>
    <w:rsid w:val="00913D35"/>
    <w:rsid w:val="00914284"/>
    <w:rsid w:val="00914D7A"/>
    <w:rsid w:val="009153D2"/>
    <w:rsid w:val="009154B3"/>
    <w:rsid w:val="00915772"/>
    <w:rsid w:val="0091608B"/>
    <w:rsid w:val="0091626F"/>
    <w:rsid w:val="00916AE8"/>
    <w:rsid w:val="009173D8"/>
    <w:rsid w:val="0091791E"/>
    <w:rsid w:val="00917EBE"/>
    <w:rsid w:val="00920658"/>
    <w:rsid w:val="00920D1B"/>
    <w:rsid w:val="00921037"/>
    <w:rsid w:val="00921785"/>
    <w:rsid w:val="0092199A"/>
    <w:rsid w:val="0092242C"/>
    <w:rsid w:val="009224AC"/>
    <w:rsid w:val="0092291F"/>
    <w:rsid w:val="00922EDC"/>
    <w:rsid w:val="009244F2"/>
    <w:rsid w:val="009246A5"/>
    <w:rsid w:val="00925113"/>
    <w:rsid w:val="00925DE2"/>
    <w:rsid w:val="0092609D"/>
    <w:rsid w:val="00927005"/>
    <w:rsid w:val="00927329"/>
    <w:rsid w:val="00930077"/>
    <w:rsid w:val="009301A2"/>
    <w:rsid w:val="009306E5"/>
    <w:rsid w:val="009314D7"/>
    <w:rsid w:val="009316CE"/>
    <w:rsid w:val="00933066"/>
    <w:rsid w:val="009337B9"/>
    <w:rsid w:val="00934400"/>
    <w:rsid w:val="00934BDB"/>
    <w:rsid w:val="00934CE9"/>
    <w:rsid w:val="00935BC6"/>
    <w:rsid w:val="00936830"/>
    <w:rsid w:val="0093703D"/>
    <w:rsid w:val="00937175"/>
    <w:rsid w:val="00937A27"/>
    <w:rsid w:val="00937CF8"/>
    <w:rsid w:val="009400F5"/>
    <w:rsid w:val="00940DA0"/>
    <w:rsid w:val="00943DD3"/>
    <w:rsid w:val="00944989"/>
    <w:rsid w:val="00945E50"/>
    <w:rsid w:val="00946097"/>
    <w:rsid w:val="00946BDA"/>
    <w:rsid w:val="009474D1"/>
    <w:rsid w:val="009477C4"/>
    <w:rsid w:val="00947C1D"/>
    <w:rsid w:val="00950C5D"/>
    <w:rsid w:val="00951266"/>
    <w:rsid w:val="00951836"/>
    <w:rsid w:val="0095190C"/>
    <w:rsid w:val="00953725"/>
    <w:rsid w:val="009538B8"/>
    <w:rsid w:val="00953BED"/>
    <w:rsid w:val="00953D0D"/>
    <w:rsid w:val="009550E2"/>
    <w:rsid w:val="00955BEE"/>
    <w:rsid w:val="00955FC9"/>
    <w:rsid w:val="00956443"/>
    <w:rsid w:val="00960046"/>
    <w:rsid w:val="00960C47"/>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DF4"/>
    <w:rsid w:val="00970377"/>
    <w:rsid w:val="0097107C"/>
    <w:rsid w:val="009711B9"/>
    <w:rsid w:val="00972748"/>
    <w:rsid w:val="0097397B"/>
    <w:rsid w:val="00973F76"/>
    <w:rsid w:val="009747A6"/>
    <w:rsid w:val="00974A66"/>
    <w:rsid w:val="00974BF8"/>
    <w:rsid w:val="00974CD2"/>
    <w:rsid w:val="00975445"/>
    <w:rsid w:val="00975C68"/>
    <w:rsid w:val="00975FFC"/>
    <w:rsid w:val="00976DE8"/>
    <w:rsid w:val="0097759E"/>
    <w:rsid w:val="00980BD7"/>
    <w:rsid w:val="00980E55"/>
    <w:rsid w:val="0098108A"/>
    <w:rsid w:val="00981BEF"/>
    <w:rsid w:val="00981F4A"/>
    <w:rsid w:val="009820F0"/>
    <w:rsid w:val="00982614"/>
    <w:rsid w:val="00982969"/>
    <w:rsid w:val="0098330A"/>
    <w:rsid w:val="00984710"/>
    <w:rsid w:val="00985050"/>
    <w:rsid w:val="0098584D"/>
    <w:rsid w:val="00986021"/>
    <w:rsid w:val="0098613A"/>
    <w:rsid w:val="00986DD9"/>
    <w:rsid w:val="009873F6"/>
    <w:rsid w:val="00987752"/>
    <w:rsid w:val="00987995"/>
    <w:rsid w:val="00991A10"/>
    <w:rsid w:val="00991C5F"/>
    <w:rsid w:val="009926DF"/>
    <w:rsid w:val="00993575"/>
    <w:rsid w:val="00993A20"/>
    <w:rsid w:val="00994414"/>
    <w:rsid w:val="00994662"/>
    <w:rsid w:val="00994677"/>
    <w:rsid w:val="009946D8"/>
    <w:rsid w:val="009952FB"/>
    <w:rsid w:val="00995606"/>
    <w:rsid w:val="009956C7"/>
    <w:rsid w:val="0099628B"/>
    <w:rsid w:val="00996F8A"/>
    <w:rsid w:val="009A10AF"/>
    <w:rsid w:val="009A25D6"/>
    <w:rsid w:val="009A2FAE"/>
    <w:rsid w:val="009A532D"/>
    <w:rsid w:val="009A5414"/>
    <w:rsid w:val="009A5E8A"/>
    <w:rsid w:val="009A79DA"/>
    <w:rsid w:val="009B0854"/>
    <w:rsid w:val="009B08F5"/>
    <w:rsid w:val="009B1C83"/>
    <w:rsid w:val="009B1CD5"/>
    <w:rsid w:val="009B1E81"/>
    <w:rsid w:val="009B200B"/>
    <w:rsid w:val="009B24A5"/>
    <w:rsid w:val="009B2560"/>
    <w:rsid w:val="009B29AD"/>
    <w:rsid w:val="009B2EC2"/>
    <w:rsid w:val="009B31DB"/>
    <w:rsid w:val="009B3408"/>
    <w:rsid w:val="009B3D5A"/>
    <w:rsid w:val="009B4301"/>
    <w:rsid w:val="009B49B6"/>
    <w:rsid w:val="009B5538"/>
    <w:rsid w:val="009B5682"/>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4F1E"/>
    <w:rsid w:val="009C5060"/>
    <w:rsid w:val="009C54DF"/>
    <w:rsid w:val="009C5B09"/>
    <w:rsid w:val="009C5CF4"/>
    <w:rsid w:val="009C63AB"/>
    <w:rsid w:val="009C6AA8"/>
    <w:rsid w:val="009C74FA"/>
    <w:rsid w:val="009D0258"/>
    <w:rsid w:val="009D0684"/>
    <w:rsid w:val="009D3294"/>
    <w:rsid w:val="009D42E7"/>
    <w:rsid w:val="009D49ED"/>
    <w:rsid w:val="009D4A7B"/>
    <w:rsid w:val="009D4F12"/>
    <w:rsid w:val="009D511E"/>
    <w:rsid w:val="009D7296"/>
    <w:rsid w:val="009D75EB"/>
    <w:rsid w:val="009D7725"/>
    <w:rsid w:val="009D78C3"/>
    <w:rsid w:val="009E07DA"/>
    <w:rsid w:val="009E160F"/>
    <w:rsid w:val="009E1BE8"/>
    <w:rsid w:val="009E2166"/>
    <w:rsid w:val="009E235B"/>
    <w:rsid w:val="009E2B22"/>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6368"/>
    <w:rsid w:val="009F69B8"/>
    <w:rsid w:val="009F725D"/>
    <w:rsid w:val="009F76A8"/>
    <w:rsid w:val="009F78B1"/>
    <w:rsid w:val="009F7B6E"/>
    <w:rsid w:val="00A00D80"/>
    <w:rsid w:val="00A0177A"/>
    <w:rsid w:val="00A04CEC"/>
    <w:rsid w:val="00A04E86"/>
    <w:rsid w:val="00A052F6"/>
    <w:rsid w:val="00A0580B"/>
    <w:rsid w:val="00A05FD4"/>
    <w:rsid w:val="00A070D6"/>
    <w:rsid w:val="00A072A3"/>
    <w:rsid w:val="00A0755D"/>
    <w:rsid w:val="00A106DC"/>
    <w:rsid w:val="00A10E92"/>
    <w:rsid w:val="00A10EA0"/>
    <w:rsid w:val="00A12484"/>
    <w:rsid w:val="00A12735"/>
    <w:rsid w:val="00A12F3F"/>
    <w:rsid w:val="00A13244"/>
    <w:rsid w:val="00A15173"/>
    <w:rsid w:val="00A15C66"/>
    <w:rsid w:val="00A173F4"/>
    <w:rsid w:val="00A17641"/>
    <w:rsid w:val="00A17B6F"/>
    <w:rsid w:val="00A21EA6"/>
    <w:rsid w:val="00A22630"/>
    <w:rsid w:val="00A23897"/>
    <w:rsid w:val="00A23A90"/>
    <w:rsid w:val="00A25C8C"/>
    <w:rsid w:val="00A25D30"/>
    <w:rsid w:val="00A25FC1"/>
    <w:rsid w:val="00A26356"/>
    <w:rsid w:val="00A2641E"/>
    <w:rsid w:val="00A26D3E"/>
    <w:rsid w:val="00A304CB"/>
    <w:rsid w:val="00A305E4"/>
    <w:rsid w:val="00A30B55"/>
    <w:rsid w:val="00A31364"/>
    <w:rsid w:val="00A32638"/>
    <w:rsid w:val="00A3321C"/>
    <w:rsid w:val="00A334E1"/>
    <w:rsid w:val="00A3371D"/>
    <w:rsid w:val="00A339BC"/>
    <w:rsid w:val="00A355C0"/>
    <w:rsid w:val="00A356A1"/>
    <w:rsid w:val="00A356C2"/>
    <w:rsid w:val="00A35994"/>
    <w:rsid w:val="00A35A77"/>
    <w:rsid w:val="00A36208"/>
    <w:rsid w:val="00A36DAF"/>
    <w:rsid w:val="00A3726B"/>
    <w:rsid w:val="00A37901"/>
    <w:rsid w:val="00A4060F"/>
    <w:rsid w:val="00A40BEE"/>
    <w:rsid w:val="00A41843"/>
    <w:rsid w:val="00A418E0"/>
    <w:rsid w:val="00A41FB8"/>
    <w:rsid w:val="00A4392D"/>
    <w:rsid w:val="00A43ABE"/>
    <w:rsid w:val="00A44B84"/>
    <w:rsid w:val="00A44C04"/>
    <w:rsid w:val="00A44FB7"/>
    <w:rsid w:val="00A4522B"/>
    <w:rsid w:val="00A45BD0"/>
    <w:rsid w:val="00A460AD"/>
    <w:rsid w:val="00A46FB8"/>
    <w:rsid w:val="00A47004"/>
    <w:rsid w:val="00A47B5E"/>
    <w:rsid w:val="00A47C5A"/>
    <w:rsid w:val="00A47F42"/>
    <w:rsid w:val="00A5030A"/>
    <w:rsid w:val="00A508EF"/>
    <w:rsid w:val="00A509D3"/>
    <w:rsid w:val="00A50EF6"/>
    <w:rsid w:val="00A51B6C"/>
    <w:rsid w:val="00A51FEF"/>
    <w:rsid w:val="00A52CC6"/>
    <w:rsid w:val="00A52F9D"/>
    <w:rsid w:val="00A530CC"/>
    <w:rsid w:val="00A53289"/>
    <w:rsid w:val="00A53439"/>
    <w:rsid w:val="00A5404D"/>
    <w:rsid w:val="00A5472C"/>
    <w:rsid w:val="00A54D59"/>
    <w:rsid w:val="00A566A4"/>
    <w:rsid w:val="00A56A4E"/>
    <w:rsid w:val="00A57023"/>
    <w:rsid w:val="00A57417"/>
    <w:rsid w:val="00A57587"/>
    <w:rsid w:val="00A6032A"/>
    <w:rsid w:val="00A61374"/>
    <w:rsid w:val="00A6144D"/>
    <w:rsid w:val="00A6192D"/>
    <w:rsid w:val="00A61FED"/>
    <w:rsid w:val="00A621D8"/>
    <w:rsid w:val="00A62237"/>
    <w:rsid w:val="00A63646"/>
    <w:rsid w:val="00A64B38"/>
    <w:rsid w:val="00A67B75"/>
    <w:rsid w:val="00A7074B"/>
    <w:rsid w:val="00A7089F"/>
    <w:rsid w:val="00A70B44"/>
    <w:rsid w:val="00A72086"/>
    <w:rsid w:val="00A741B7"/>
    <w:rsid w:val="00A74457"/>
    <w:rsid w:val="00A746B2"/>
    <w:rsid w:val="00A75596"/>
    <w:rsid w:val="00A75725"/>
    <w:rsid w:val="00A759CA"/>
    <w:rsid w:val="00A75A88"/>
    <w:rsid w:val="00A76CE6"/>
    <w:rsid w:val="00A76EF5"/>
    <w:rsid w:val="00A77492"/>
    <w:rsid w:val="00A77843"/>
    <w:rsid w:val="00A779DC"/>
    <w:rsid w:val="00A800E4"/>
    <w:rsid w:val="00A80E0A"/>
    <w:rsid w:val="00A811C7"/>
    <w:rsid w:val="00A811F1"/>
    <w:rsid w:val="00A81F12"/>
    <w:rsid w:val="00A828BD"/>
    <w:rsid w:val="00A8295C"/>
    <w:rsid w:val="00A83122"/>
    <w:rsid w:val="00A832B2"/>
    <w:rsid w:val="00A83729"/>
    <w:rsid w:val="00A83C57"/>
    <w:rsid w:val="00A84526"/>
    <w:rsid w:val="00A845EF"/>
    <w:rsid w:val="00A846F6"/>
    <w:rsid w:val="00A849C8"/>
    <w:rsid w:val="00A869E0"/>
    <w:rsid w:val="00A86EA4"/>
    <w:rsid w:val="00A87747"/>
    <w:rsid w:val="00A87AAF"/>
    <w:rsid w:val="00A87DC2"/>
    <w:rsid w:val="00A91855"/>
    <w:rsid w:val="00A9208D"/>
    <w:rsid w:val="00A92D03"/>
    <w:rsid w:val="00A937C1"/>
    <w:rsid w:val="00A9390B"/>
    <w:rsid w:val="00A93C6D"/>
    <w:rsid w:val="00A94AF2"/>
    <w:rsid w:val="00A95517"/>
    <w:rsid w:val="00A95A3B"/>
    <w:rsid w:val="00A95EAC"/>
    <w:rsid w:val="00A95F96"/>
    <w:rsid w:val="00A970CE"/>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43C"/>
    <w:rsid w:val="00AA66B7"/>
    <w:rsid w:val="00AA6988"/>
    <w:rsid w:val="00AA760A"/>
    <w:rsid w:val="00AB0371"/>
    <w:rsid w:val="00AB0C46"/>
    <w:rsid w:val="00AB1712"/>
    <w:rsid w:val="00AB1A9E"/>
    <w:rsid w:val="00AB1DD0"/>
    <w:rsid w:val="00AB23EF"/>
    <w:rsid w:val="00AB2672"/>
    <w:rsid w:val="00AB2AD8"/>
    <w:rsid w:val="00AB2D89"/>
    <w:rsid w:val="00AB2E39"/>
    <w:rsid w:val="00AB3346"/>
    <w:rsid w:val="00AB3540"/>
    <w:rsid w:val="00AB38B9"/>
    <w:rsid w:val="00AB3E59"/>
    <w:rsid w:val="00AB4E8F"/>
    <w:rsid w:val="00AB656B"/>
    <w:rsid w:val="00AB6EA2"/>
    <w:rsid w:val="00AB7C3C"/>
    <w:rsid w:val="00AC14E3"/>
    <w:rsid w:val="00AC1532"/>
    <w:rsid w:val="00AC169A"/>
    <w:rsid w:val="00AC1D6D"/>
    <w:rsid w:val="00AC2031"/>
    <w:rsid w:val="00AC292E"/>
    <w:rsid w:val="00AC2AC3"/>
    <w:rsid w:val="00AC2C4F"/>
    <w:rsid w:val="00AC2F72"/>
    <w:rsid w:val="00AC3001"/>
    <w:rsid w:val="00AC31FD"/>
    <w:rsid w:val="00AC3A0B"/>
    <w:rsid w:val="00AC4120"/>
    <w:rsid w:val="00AC4FBD"/>
    <w:rsid w:val="00AC5849"/>
    <w:rsid w:val="00AC5992"/>
    <w:rsid w:val="00AC7149"/>
    <w:rsid w:val="00AC7A60"/>
    <w:rsid w:val="00AC7BBA"/>
    <w:rsid w:val="00AD0228"/>
    <w:rsid w:val="00AD0759"/>
    <w:rsid w:val="00AD0A53"/>
    <w:rsid w:val="00AD0EB2"/>
    <w:rsid w:val="00AD14BA"/>
    <w:rsid w:val="00AD1747"/>
    <w:rsid w:val="00AD1ED6"/>
    <w:rsid w:val="00AD2603"/>
    <w:rsid w:val="00AD3F86"/>
    <w:rsid w:val="00AD3FEC"/>
    <w:rsid w:val="00AD436B"/>
    <w:rsid w:val="00AD4669"/>
    <w:rsid w:val="00AD4D89"/>
    <w:rsid w:val="00AD5B41"/>
    <w:rsid w:val="00AD5BE4"/>
    <w:rsid w:val="00AD6007"/>
    <w:rsid w:val="00AD6370"/>
    <w:rsid w:val="00AD65F9"/>
    <w:rsid w:val="00AD6C79"/>
    <w:rsid w:val="00AD7D74"/>
    <w:rsid w:val="00AD7DAC"/>
    <w:rsid w:val="00AE0069"/>
    <w:rsid w:val="00AE0369"/>
    <w:rsid w:val="00AE0C02"/>
    <w:rsid w:val="00AE3346"/>
    <w:rsid w:val="00AE3B11"/>
    <w:rsid w:val="00AE3CE8"/>
    <w:rsid w:val="00AE3E87"/>
    <w:rsid w:val="00AE41F0"/>
    <w:rsid w:val="00AE431C"/>
    <w:rsid w:val="00AE4FA1"/>
    <w:rsid w:val="00AE5446"/>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0F38"/>
    <w:rsid w:val="00B019EB"/>
    <w:rsid w:val="00B028C3"/>
    <w:rsid w:val="00B02912"/>
    <w:rsid w:val="00B0311A"/>
    <w:rsid w:val="00B04119"/>
    <w:rsid w:val="00B04963"/>
    <w:rsid w:val="00B049F9"/>
    <w:rsid w:val="00B05B82"/>
    <w:rsid w:val="00B06261"/>
    <w:rsid w:val="00B0640C"/>
    <w:rsid w:val="00B06DDF"/>
    <w:rsid w:val="00B071A8"/>
    <w:rsid w:val="00B07B66"/>
    <w:rsid w:val="00B1056D"/>
    <w:rsid w:val="00B111FC"/>
    <w:rsid w:val="00B114BA"/>
    <w:rsid w:val="00B13A63"/>
    <w:rsid w:val="00B1511C"/>
    <w:rsid w:val="00B15996"/>
    <w:rsid w:val="00B15E54"/>
    <w:rsid w:val="00B17805"/>
    <w:rsid w:val="00B17C59"/>
    <w:rsid w:val="00B17FC5"/>
    <w:rsid w:val="00B20693"/>
    <w:rsid w:val="00B20B00"/>
    <w:rsid w:val="00B20F38"/>
    <w:rsid w:val="00B21765"/>
    <w:rsid w:val="00B21963"/>
    <w:rsid w:val="00B21E05"/>
    <w:rsid w:val="00B227BD"/>
    <w:rsid w:val="00B22802"/>
    <w:rsid w:val="00B231C1"/>
    <w:rsid w:val="00B232FD"/>
    <w:rsid w:val="00B238B4"/>
    <w:rsid w:val="00B23EF1"/>
    <w:rsid w:val="00B2489A"/>
    <w:rsid w:val="00B25271"/>
    <w:rsid w:val="00B26551"/>
    <w:rsid w:val="00B30017"/>
    <w:rsid w:val="00B3062F"/>
    <w:rsid w:val="00B30721"/>
    <w:rsid w:val="00B31032"/>
    <w:rsid w:val="00B312DE"/>
    <w:rsid w:val="00B3147B"/>
    <w:rsid w:val="00B315D4"/>
    <w:rsid w:val="00B31BD5"/>
    <w:rsid w:val="00B31EE6"/>
    <w:rsid w:val="00B32FCC"/>
    <w:rsid w:val="00B3322E"/>
    <w:rsid w:val="00B34068"/>
    <w:rsid w:val="00B345A5"/>
    <w:rsid w:val="00B345BE"/>
    <w:rsid w:val="00B34F2B"/>
    <w:rsid w:val="00B3598A"/>
    <w:rsid w:val="00B35E3C"/>
    <w:rsid w:val="00B36595"/>
    <w:rsid w:val="00B368B0"/>
    <w:rsid w:val="00B37861"/>
    <w:rsid w:val="00B37899"/>
    <w:rsid w:val="00B37A71"/>
    <w:rsid w:val="00B37C06"/>
    <w:rsid w:val="00B37C82"/>
    <w:rsid w:val="00B41380"/>
    <w:rsid w:val="00B42BD7"/>
    <w:rsid w:val="00B42C08"/>
    <w:rsid w:val="00B43442"/>
    <w:rsid w:val="00B463F4"/>
    <w:rsid w:val="00B50428"/>
    <w:rsid w:val="00B50A07"/>
    <w:rsid w:val="00B51323"/>
    <w:rsid w:val="00B51604"/>
    <w:rsid w:val="00B523A1"/>
    <w:rsid w:val="00B52F90"/>
    <w:rsid w:val="00B530AB"/>
    <w:rsid w:val="00B54080"/>
    <w:rsid w:val="00B547A7"/>
    <w:rsid w:val="00B557E2"/>
    <w:rsid w:val="00B55C31"/>
    <w:rsid w:val="00B56157"/>
    <w:rsid w:val="00B56CD4"/>
    <w:rsid w:val="00B57B61"/>
    <w:rsid w:val="00B57F91"/>
    <w:rsid w:val="00B601E2"/>
    <w:rsid w:val="00B60370"/>
    <w:rsid w:val="00B6055E"/>
    <w:rsid w:val="00B612D9"/>
    <w:rsid w:val="00B61B8F"/>
    <w:rsid w:val="00B6281F"/>
    <w:rsid w:val="00B629D8"/>
    <w:rsid w:val="00B631E5"/>
    <w:rsid w:val="00B63389"/>
    <w:rsid w:val="00B634AF"/>
    <w:rsid w:val="00B63D9C"/>
    <w:rsid w:val="00B665BF"/>
    <w:rsid w:val="00B67ADE"/>
    <w:rsid w:val="00B70569"/>
    <w:rsid w:val="00B70804"/>
    <w:rsid w:val="00B708AB"/>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70F3"/>
    <w:rsid w:val="00B77180"/>
    <w:rsid w:val="00B776B1"/>
    <w:rsid w:val="00B77866"/>
    <w:rsid w:val="00B80C45"/>
    <w:rsid w:val="00B81151"/>
    <w:rsid w:val="00B8290B"/>
    <w:rsid w:val="00B82966"/>
    <w:rsid w:val="00B82FD8"/>
    <w:rsid w:val="00B83089"/>
    <w:rsid w:val="00B83251"/>
    <w:rsid w:val="00B83D53"/>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E8F"/>
    <w:rsid w:val="00B93B26"/>
    <w:rsid w:val="00B945A3"/>
    <w:rsid w:val="00B94696"/>
    <w:rsid w:val="00B94E16"/>
    <w:rsid w:val="00B951E3"/>
    <w:rsid w:val="00B963CD"/>
    <w:rsid w:val="00B97096"/>
    <w:rsid w:val="00B970C8"/>
    <w:rsid w:val="00B97BEA"/>
    <w:rsid w:val="00B97DAB"/>
    <w:rsid w:val="00B97E15"/>
    <w:rsid w:val="00B97F85"/>
    <w:rsid w:val="00BA086C"/>
    <w:rsid w:val="00BA09AF"/>
    <w:rsid w:val="00BA1587"/>
    <w:rsid w:val="00BA29EB"/>
    <w:rsid w:val="00BA2DA8"/>
    <w:rsid w:val="00BA322B"/>
    <w:rsid w:val="00BA378F"/>
    <w:rsid w:val="00BA3B49"/>
    <w:rsid w:val="00BA3F4F"/>
    <w:rsid w:val="00BA4670"/>
    <w:rsid w:val="00BA4B3E"/>
    <w:rsid w:val="00BA53C7"/>
    <w:rsid w:val="00BA545E"/>
    <w:rsid w:val="00BA589D"/>
    <w:rsid w:val="00BA5D9C"/>
    <w:rsid w:val="00BA6471"/>
    <w:rsid w:val="00BA654F"/>
    <w:rsid w:val="00BA6589"/>
    <w:rsid w:val="00BB0768"/>
    <w:rsid w:val="00BB0806"/>
    <w:rsid w:val="00BB09B8"/>
    <w:rsid w:val="00BB0F5B"/>
    <w:rsid w:val="00BB1281"/>
    <w:rsid w:val="00BB1356"/>
    <w:rsid w:val="00BB1388"/>
    <w:rsid w:val="00BB1436"/>
    <w:rsid w:val="00BB1443"/>
    <w:rsid w:val="00BB1CED"/>
    <w:rsid w:val="00BB1D2A"/>
    <w:rsid w:val="00BB4665"/>
    <w:rsid w:val="00BB50F2"/>
    <w:rsid w:val="00BB5F5D"/>
    <w:rsid w:val="00BB60BC"/>
    <w:rsid w:val="00BB6346"/>
    <w:rsid w:val="00BB6390"/>
    <w:rsid w:val="00BB7A3E"/>
    <w:rsid w:val="00BB7CAB"/>
    <w:rsid w:val="00BC048B"/>
    <w:rsid w:val="00BC04F8"/>
    <w:rsid w:val="00BC0916"/>
    <w:rsid w:val="00BC0F5C"/>
    <w:rsid w:val="00BC1219"/>
    <w:rsid w:val="00BC128E"/>
    <w:rsid w:val="00BC1F86"/>
    <w:rsid w:val="00BC28BE"/>
    <w:rsid w:val="00BC3A9E"/>
    <w:rsid w:val="00BC3AA8"/>
    <w:rsid w:val="00BC431A"/>
    <w:rsid w:val="00BC4F1E"/>
    <w:rsid w:val="00BC639A"/>
    <w:rsid w:val="00BC6713"/>
    <w:rsid w:val="00BC7539"/>
    <w:rsid w:val="00BC75E7"/>
    <w:rsid w:val="00BD0843"/>
    <w:rsid w:val="00BD0E25"/>
    <w:rsid w:val="00BD1E32"/>
    <w:rsid w:val="00BD32CA"/>
    <w:rsid w:val="00BD4069"/>
    <w:rsid w:val="00BD5EDF"/>
    <w:rsid w:val="00BD6265"/>
    <w:rsid w:val="00BD629E"/>
    <w:rsid w:val="00BD653D"/>
    <w:rsid w:val="00BD6A74"/>
    <w:rsid w:val="00BD6BE8"/>
    <w:rsid w:val="00BD739F"/>
    <w:rsid w:val="00BD7856"/>
    <w:rsid w:val="00BD7C3A"/>
    <w:rsid w:val="00BD7DFC"/>
    <w:rsid w:val="00BE067D"/>
    <w:rsid w:val="00BE0BB1"/>
    <w:rsid w:val="00BE19E0"/>
    <w:rsid w:val="00BE1CB3"/>
    <w:rsid w:val="00BE21F3"/>
    <w:rsid w:val="00BE2E01"/>
    <w:rsid w:val="00BE2F11"/>
    <w:rsid w:val="00BE3C6B"/>
    <w:rsid w:val="00BE42EF"/>
    <w:rsid w:val="00BE49D8"/>
    <w:rsid w:val="00BE55CF"/>
    <w:rsid w:val="00BE5F1A"/>
    <w:rsid w:val="00BE7799"/>
    <w:rsid w:val="00BE7BB3"/>
    <w:rsid w:val="00BF00AF"/>
    <w:rsid w:val="00BF05E2"/>
    <w:rsid w:val="00BF08A6"/>
    <w:rsid w:val="00BF1372"/>
    <w:rsid w:val="00BF23F2"/>
    <w:rsid w:val="00BF2BA8"/>
    <w:rsid w:val="00BF31DF"/>
    <w:rsid w:val="00BF4506"/>
    <w:rsid w:val="00BF4B04"/>
    <w:rsid w:val="00BF4B1F"/>
    <w:rsid w:val="00BF5375"/>
    <w:rsid w:val="00BF557A"/>
    <w:rsid w:val="00BF5BC3"/>
    <w:rsid w:val="00BF6AB5"/>
    <w:rsid w:val="00C0077A"/>
    <w:rsid w:val="00C01184"/>
    <w:rsid w:val="00C01658"/>
    <w:rsid w:val="00C01EC4"/>
    <w:rsid w:val="00C05249"/>
    <w:rsid w:val="00C052C4"/>
    <w:rsid w:val="00C0601C"/>
    <w:rsid w:val="00C0620C"/>
    <w:rsid w:val="00C06246"/>
    <w:rsid w:val="00C062C5"/>
    <w:rsid w:val="00C069AE"/>
    <w:rsid w:val="00C077CE"/>
    <w:rsid w:val="00C078BC"/>
    <w:rsid w:val="00C07B15"/>
    <w:rsid w:val="00C07C33"/>
    <w:rsid w:val="00C10258"/>
    <w:rsid w:val="00C10493"/>
    <w:rsid w:val="00C10670"/>
    <w:rsid w:val="00C107FF"/>
    <w:rsid w:val="00C10BEC"/>
    <w:rsid w:val="00C11539"/>
    <w:rsid w:val="00C11E97"/>
    <w:rsid w:val="00C124AE"/>
    <w:rsid w:val="00C12D67"/>
    <w:rsid w:val="00C1416D"/>
    <w:rsid w:val="00C14202"/>
    <w:rsid w:val="00C144BE"/>
    <w:rsid w:val="00C147B3"/>
    <w:rsid w:val="00C14AF0"/>
    <w:rsid w:val="00C14EE5"/>
    <w:rsid w:val="00C15DBE"/>
    <w:rsid w:val="00C16DB8"/>
    <w:rsid w:val="00C16EEB"/>
    <w:rsid w:val="00C170DE"/>
    <w:rsid w:val="00C17237"/>
    <w:rsid w:val="00C17379"/>
    <w:rsid w:val="00C176EF"/>
    <w:rsid w:val="00C17AC9"/>
    <w:rsid w:val="00C203F7"/>
    <w:rsid w:val="00C20E54"/>
    <w:rsid w:val="00C21259"/>
    <w:rsid w:val="00C21FF5"/>
    <w:rsid w:val="00C23AA5"/>
    <w:rsid w:val="00C241C7"/>
    <w:rsid w:val="00C2429C"/>
    <w:rsid w:val="00C24428"/>
    <w:rsid w:val="00C246D4"/>
    <w:rsid w:val="00C24B99"/>
    <w:rsid w:val="00C24F74"/>
    <w:rsid w:val="00C24FCB"/>
    <w:rsid w:val="00C25A3F"/>
    <w:rsid w:val="00C25CF5"/>
    <w:rsid w:val="00C274C1"/>
    <w:rsid w:val="00C27901"/>
    <w:rsid w:val="00C300E0"/>
    <w:rsid w:val="00C304A0"/>
    <w:rsid w:val="00C31C3C"/>
    <w:rsid w:val="00C32282"/>
    <w:rsid w:val="00C331A4"/>
    <w:rsid w:val="00C33280"/>
    <w:rsid w:val="00C333DA"/>
    <w:rsid w:val="00C350EF"/>
    <w:rsid w:val="00C35491"/>
    <w:rsid w:val="00C35991"/>
    <w:rsid w:val="00C35A86"/>
    <w:rsid w:val="00C35B8A"/>
    <w:rsid w:val="00C35EC7"/>
    <w:rsid w:val="00C368B0"/>
    <w:rsid w:val="00C36BEB"/>
    <w:rsid w:val="00C36C7B"/>
    <w:rsid w:val="00C36E16"/>
    <w:rsid w:val="00C37479"/>
    <w:rsid w:val="00C40BA6"/>
    <w:rsid w:val="00C40FC9"/>
    <w:rsid w:val="00C41905"/>
    <w:rsid w:val="00C424E9"/>
    <w:rsid w:val="00C4331B"/>
    <w:rsid w:val="00C434AE"/>
    <w:rsid w:val="00C43DB5"/>
    <w:rsid w:val="00C43FED"/>
    <w:rsid w:val="00C43FF3"/>
    <w:rsid w:val="00C441C7"/>
    <w:rsid w:val="00C45B4A"/>
    <w:rsid w:val="00C45EBD"/>
    <w:rsid w:val="00C45EC6"/>
    <w:rsid w:val="00C46CA7"/>
    <w:rsid w:val="00C47211"/>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D0D"/>
    <w:rsid w:val="00C600E1"/>
    <w:rsid w:val="00C60125"/>
    <w:rsid w:val="00C604F8"/>
    <w:rsid w:val="00C61236"/>
    <w:rsid w:val="00C61DE4"/>
    <w:rsid w:val="00C624A5"/>
    <w:rsid w:val="00C6289B"/>
    <w:rsid w:val="00C636A9"/>
    <w:rsid w:val="00C638B9"/>
    <w:rsid w:val="00C64A3C"/>
    <w:rsid w:val="00C66A49"/>
    <w:rsid w:val="00C67F88"/>
    <w:rsid w:val="00C704DA"/>
    <w:rsid w:val="00C706E5"/>
    <w:rsid w:val="00C7203C"/>
    <w:rsid w:val="00C7215F"/>
    <w:rsid w:val="00C7277B"/>
    <w:rsid w:val="00C72C74"/>
    <w:rsid w:val="00C730FF"/>
    <w:rsid w:val="00C73491"/>
    <w:rsid w:val="00C73F2D"/>
    <w:rsid w:val="00C745E7"/>
    <w:rsid w:val="00C74751"/>
    <w:rsid w:val="00C7489D"/>
    <w:rsid w:val="00C74ACC"/>
    <w:rsid w:val="00C7512D"/>
    <w:rsid w:val="00C759AD"/>
    <w:rsid w:val="00C76DF7"/>
    <w:rsid w:val="00C771B5"/>
    <w:rsid w:val="00C77D4D"/>
    <w:rsid w:val="00C80501"/>
    <w:rsid w:val="00C80B3F"/>
    <w:rsid w:val="00C80C3D"/>
    <w:rsid w:val="00C82C3B"/>
    <w:rsid w:val="00C82C46"/>
    <w:rsid w:val="00C82F37"/>
    <w:rsid w:val="00C83CD5"/>
    <w:rsid w:val="00C849F1"/>
    <w:rsid w:val="00C85DF6"/>
    <w:rsid w:val="00C90106"/>
    <w:rsid w:val="00C90950"/>
    <w:rsid w:val="00C92719"/>
    <w:rsid w:val="00C92A88"/>
    <w:rsid w:val="00C92B94"/>
    <w:rsid w:val="00C92BDE"/>
    <w:rsid w:val="00C92FF1"/>
    <w:rsid w:val="00C937EC"/>
    <w:rsid w:val="00C93838"/>
    <w:rsid w:val="00C9391E"/>
    <w:rsid w:val="00C93CE4"/>
    <w:rsid w:val="00C95507"/>
    <w:rsid w:val="00C955C6"/>
    <w:rsid w:val="00C96042"/>
    <w:rsid w:val="00C961E6"/>
    <w:rsid w:val="00C965EF"/>
    <w:rsid w:val="00C973A3"/>
    <w:rsid w:val="00CA0D7D"/>
    <w:rsid w:val="00CA1671"/>
    <w:rsid w:val="00CA2A74"/>
    <w:rsid w:val="00CA328A"/>
    <w:rsid w:val="00CA3A96"/>
    <w:rsid w:val="00CA3FF2"/>
    <w:rsid w:val="00CA4B22"/>
    <w:rsid w:val="00CA4DD9"/>
    <w:rsid w:val="00CA4DE3"/>
    <w:rsid w:val="00CA4E5D"/>
    <w:rsid w:val="00CA5002"/>
    <w:rsid w:val="00CA50A8"/>
    <w:rsid w:val="00CA6623"/>
    <w:rsid w:val="00CA6764"/>
    <w:rsid w:val="00CA697F"/>
    <w:rsid w:val="00CA70C1"/>
    <w:rsid w:val="00CA78A0"/>
    <w:rsid w:val="00CB0C59"/>
    <w:rsid w:val="00CB1053"/>
    <w:rsid w:val="00CB12A0"/>
    <w:rsid w:val="00CB2922"/>
    <w:rsid w:val="00CB2C0B"/>
    <w:rsid w:val="00CB2D25"/>
    <w:rsid w:val="00CB592E"/>
    <w:rsid w:val="00CB5FD5"/>
    <w:rsid w:val="00CB6A92"/>
    <w:rsid w:val="00CB6A95"/>
    <w:rsid w:val="00CC1861"/>
    <w:rsid w:val="00CC26A1"/>
    <w:rsid w:val="00CC28CC"/>
    <w:rsid w:val="00CC29B1"/>
    <w:rsid w:val="00CC2F3B"/>
    <w:rsid w:val="00CC3B26"/>
    <w:rsid w:val="00CC3F7D"/>
    <w:rsid w:val="00CC544E"/>
    <w:rsid w:val="00CC5563"/>
    <w:rsid w:val="00CC55F8"/>
    <w:rsid w:val="00CC575E"/>
    <w:rsid w:val="00CC69FD"/>
    <w:rsid w:val="00CC6F3B"/>
    <w:rsid w:val="00CD12F9"/>
    <w:rsid w:val="00CD1431"/>
    <w:rsid w:val="00CD3530"/>
    <w:rsid w:val="00CD3CE1"/>
    <w:rsid w:val="00CD4504"/>
    <w:rsid w:val="00CD471F"/>
    <w:rsid w:val="00CD5915"/>
    <w:rsid w:val="00CD5D56"/>
    <w:rsid w:val="00CD7527"/>
    <w:rsid w:val="00CD7E87"/>
    <w:rsid w:val="00CE0420"/>
    <w:rsid w:val="00CE0838"/>
    <w:rsid w:val="00CE2A54"/>
    <w:rsid w:val="00CE3BC5"/>
    <w:rsid w:val="00CE3BFE"/>
    <w:rsid w:val="00CE454B"/>
    <w:rsid w:val="00CE5719"/>
    <w:rsid w:val="00CE577F"/>
    <w:rsid w:val="00CE5C4C"/>
    <w:rsid w:val="00CE6F3C"/>
    <w:rsid w:val="00CE7028"/>
    <w:rsid w:val="00CE7193"/>
    <w:rsid w:val="00CE71CD"/>
    <w:rsid w:val="00CE757F"/>
    <w:rsid w:val="00CE7679"/>
    <w:rsid w:val="00CE7CD8"/>
    <w:rsid w:val="00CF1190"/>
    <w:rsid w:val="00CF1804"/>
    <w:rsid w:val="00CF19CF"/>
    <w:rsid w:val="00CF1F90"/>
    <w:rsid w:val="00CF2107"/>
    <w:rsid w:val="00CF2736"/>
    <w:rsid w:val="00CF2B00"/>
    <w:rsid w:val="00CF4529"/>
    <w:rsid w:val="00CF573F"/>
    <w:rsid w:val="00CF5AA0"/>
    <w:rsid w:val="00CF5D64"/>
    <w:rsid w:val="00CF5E53"/>
    <w:rsid w:val="00CF6022"/>
    <w:rsid w:val="00CF6758"/>
    <w:rsid w:val="00CF678F"/>
    <w:rsid w:val="00CF6D64"/>
    <w:rsid w:val="00CF72B5"/>
    <w:rsid w:val="00CF7DF6"/>
    <w:rsid w:val="00CF7DF7"/>
    <w:rsid w:val="00D0032B"/>
    <w:rsid w:val="00D004E0"/>
    <w:rsid w:val="00D008C8"/>
    <w:rsid w:val="00D015F1"/>
    <w:rsid w:val="00D01AB7"/>
    <w:rsid w:val="00D0246E"/>
    <w:rsid w:val="00D03B9F"/>
    <w:rsid w:val="00D042BC"/>
    <w:rsid w:val="00D04352"/>
    <w:rsid w:val="00D047D4"/>
    <w:rsid w:val="00D04AAA"/>
    <w:rsid w:val="00D052FE"/>
    <w:rsid w:val="00D0547C"/>
    <w:rsid w:val="00D054E5"/>
    <w:rsid w:val="00D077A1"/>
    <w:rsid w:val="00D07B92"/>
    <w:rsid w:val="00D07D7A"/>
    <w:rsid w:val="00D102BA"/>
    <w:rsid w:val="00D10F00"/>
    <w:rsid w:val="00D10F3F"/>
    <w:rsid w:val="00D10FFB"/>
    <w:rsid w:val="00D11002"/>
    <w:rsid w:val="00D124F6"/>
    <w:rsid w:val="00D129AC"/>
    <w:rsid w:val="00D12F1E"/>
    <w:rsid w:val="00D131E4"/>
    <w:rsid w:val="00D1368A"/>
    <w:rsid w:val="00D13A31"/>
    <w:rsid w:val="00D13FE7"/>
    <w:rsid w:val="00D14219"/>
    <w:rsid w:val="00D14B20"/>
    <w:rsid w:val="00D15819"/>
    <w:rsid w:val="00D15A6B"/>
    <w:rsid w:val="00D16505"/>
    <w:rsid w:val="00D1685D"/>
    <w:rsid w:val="00D16B93"/>
    <w:rsid w:val="00D17454"/>
    <w:rsid w:val="00D208C0"/>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191"/>
    <w:rsid w:val="00D348A4"/>
    <w:rsid w:val="00D357B1"/>
    <w:rsid w:val="00D367E0"/>
    <w:rsid w:val="00D377BE"/>
    <w:rsid w:val="00D379F6"/>
    <w:rsid w:val="00D403D6"/>
    <w:rsid w:val="00D40AE3"/>
    <w:rsid w:val="00D40B30"/>
    <w:rsid w:val="00D416D3"/>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BF"/>
    <w:rsid w:val="00D56C47"/>
    <w:rsid w:val="00D57526"/>
    <w:rsid w:val="00D6019D"/>
    <w:rsid w:val="00D60E31"/>
    <w:rsid w:val="00D61F81"/>
    <w:rsid w:val="00D62720"/>
    <w:rsid w:val="00D62B02"/>
    <w:rsid w:val="00D63270"/>
    <w:rsid w:val="00D63589"/>
    <w:rsid w:val="00D64F10"/>
    <w:rsid w:val="00D650A9"/>
    <w:rsid w:val="00D66301"/>
    <w:rsid w:val="00D67901"/>
    <w:rsid w:val="00D679B0"/>
    <w:rsid w:val="00D70186"/>
    <w:rsid w:val="00D7090C"/>
    <w:rsid w:val="00D70C43"/>
    <w:rsid w:val="00D717C8"/>
    <w:rsid w:val="00D737D2"/>
    <w:rsid w:val="00D73E4B"/>
    <w:rsid w:val="00D73F0D"/>
    <w:rsid w:val="00D7421C"/>
    <w:rsid w:val="00D745F9"/>
    <w:rsid w:val="00D75AD9"/>
    <w:rsid w:val="00D764FD"/>
    <w:rsid w:val="00D76B9C"/>
    <w:rsid w:val="00D7773E"/>
    <w:rsid w:val="00D77B29"/>
    <w:rsid w:val="00D77E14"/>
    <w:rsid w:val="00D80126"/>
    <w:rsid w:val="00D80640"/>
    <w:rsid w:val="00D81DC6"/>
    <w:rsid w:val="00D8248C"/>
    <w:rsid w:val="00D82C9C"/>
    <w:rsid w:val="00D83C94"/>
    <w:rsid w:val="00D864BF"/>
    <w:rsid w:val="00D86531"/>
    <w:rsid w:val="00D869EE"/>
    <w:rsid w:val="00D87AC5"/>
    <w:rsid w:val="00D87C1C"/>
    <w:rsid w:val="00D91432"/>
    <w:rsid w:val="00D9159B"/>
    <w:rsid w:val="00D915BA"/>
    <w:rsid w:val="00D91921"/>
    <w:rsid w:val="00D9194E"/>
    <w:rsid w:val="00D919E6"/>
    <w:rsid w:val="00D9205A"/>
    <w:rsid w:val="00D932C4"/>
    <w:rsid w:val="00D934EA"/>
    <w:rsid w:val="00D936AE"/>
    <w:rsid w:val="00D9385E"/>
    <w:rsid w:val="00D93CAA"/>
    <w:rsid w:val="00D94624"/>
    <w:rsid w:val="00D946BA"/>
    <w:rsid w:val="00D95F17"/>
    <w:rsid w:val="00D96112"/>
    <w:rsid w:val="00D962ED"/>
    <w:rsid w:val="00D9636D"/>
    <w:rsid w:val="00D96400"/>
    <w:rsid w:val="00D973D6"/>
    <w:rsid w:val="00D97429"/>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13C"/>
    <w:rsid w:val="00DB0C3F"/>
    <w:rsid w:val="00DB13A5"/>
    <w:rsid w:val="00DB13E9"/>
    <w:rsid w:val="00DB1FA6"/>
    <w:rsid w:val="00DB27D6"/>
    <w:rsid w:val="00DB2864"/>
    <w:rsid w:val="00DB2FCD"/>
    <w:rsid w:val="00DB4B7A"/>
    <w:rsid w:val="00DB561A"/>
    <w:rsid w:val="00DB5695"/>
    <w:rsid w:val="00DB5D0D"/>
    <w:rsid w:val="00DB66A0"/>
    <w:rsid w:val="00DB6706"/>
    <w:rsid w:val="00DB6755"/>
    <w:rsid w:val="00DB70A1"/>
    <w:rsid w:val="00DB729E"/>
    <w:rsid w:val="00DB771D"/>
    <w:rsid w:val="00DB7B39"/>
    <w:rsid w:val="00DC00D6"/>
    <w:rsid w:val="00DC08BA"/>
    <w:rsid w:val="00DC0D80"/>
    <w:rsid w:val="00DC129A"/>
    <w:rsid w:val="00DC1679"/>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3DD7"/>
    <w:rsid w:val="00DD3E3C"/>
    <w:rsid w:val="00DD440E"/>
    <w:rsid w:val="00DD4D7F"/>
    <w:rsid w:val="00DD5260"/>
    <w:rsid w:val="00DD5505"/>
    <w:rsid w:val="00DD5E99"/>
    <w:rsid w:val="00DD6701"/>
    <w:rsid w:val="00DD6E88"/>
    <w:rsid w:val="00DD7CA4"/>
    <w:rsid w:val="00DE10B5"/>
    <w:rsid w:val="00DE1B89"/>
    <w:rsid w:val="00DE245D"/>
    <w:rsid w:val="00DE37BA"/>
    <w:rsid w:val="00DE39D8"/>
    <w:rsid w:val="00DE3A26"/>
    <w:rsid w:val="00DE44E1"/>
    <w:rsid w:val="00DE4765"/>
    <w:rsid w:val="00DE4B3E"/>
    <w:rsid w:val="00DE503A"/>
    <w:rsid w:val="00DE5052"/>
    <w:rsid w:val="00DE65E7"/>
    <w:rsid w:val="00DE688A"/>
    <w:rsid w:val="00DE6A4B"/>
    <w:rsid w:val="00DE6BBE"/>
    <w:rsid w:val="00DE6E9C"/>
    <w:rsid w:val="00DF060B"/>
    <w:rsid w:val="00DF097B"/>
    <w:rsid w:val="00DF0CAA"/>
    <w:rsid w:val="00DF18F9"/>
    <w:rsid w:val="00DF1953"/>
    <w:rsid w:val="00DF1F4B"/>
    <w:rsid w:val="00DF22C8"/>
    <w:rsid w:val="00DF3C63"/>
    <w:rsid w:val="00DF3D4A"/>
    <w:rsid w:val="00DF3D56"/>
    <w:rsid w:val="00DF3E92"/>
    <w:rsid w:val="00DF44E7"/>
    <w:rsid w:val="00DF47A0"/>
    <w:rsid w:val="00DF5997"/>
    <w:rsid w:val="00DF5A17"/>
    <w:rsid w:val="00DF5B20"/>
    <w:rsid w:val="00DF5DA2"/>
    <w:rsid w:val="00DF65D5"/>
    <w:rsid w:val="00DF69AA"/>
    <w:rsid w:val="00DF6AC3"/>
    <w:rsid w:val="00DF6C56"/>
    <w:rsid w:val="00DF7887"/>
    <w:rsid w:val="00DF7EA5"/>
    <w:rsid w:val="00E0097F"/>
    <w:rsid w:val="00E011C7"/>
    <w:rsid w:val="00E0263B"/>
    <w:rsid w:val="00E034B7"/>
    <w:rsid w:val="00E03BE8"/>
    <w:rsid w:val="00E05854"/>
    <w:rsid w:val="00E05863"/>
    <w:rsid w:val="00E07100"/>
    <w:rsid w:val="00E07A32"/>
    <w:rsid w:val="00E07FEE"/>
    <w:rsid w:val="00E100F7"/>
    <w:rsid w:val="00E10564"/>
    <w:rsid w:val="00E1096F"/>
    <w:rsid w:val="00E128D7"/>
    <w:rsid w:val="00E13F99"/>
    <w:rsid w:val="00E14704"/>
    <w:rsid w:val="00E14D56"/>
    <w:rsid w:val="00E15F47"/>
    <w:rsid w:val="00E15F5C"/>
    <w:rsid w:val="00E15FCB"/>
    <w:rsid w:val="00E1645B"/>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653"/>
    <w:rsid w:val="00E26739"/>
    <w:rsid w:val="00E26A1E"/>
    <w:rsid w:val="00E27166"/>
    <w:rsid w:val="00E274E3"/>
    <w:rsid w:val="00E27861"/>
    <w:rsid w:val="00E27D33"/>
    <w:rsid w:val="00E301C9"/>
    <w:rsid w:val="00E30577"/>
    <w:rsid w:val="00E313CD"/>
    <w:rsid w:val="00E316F1"/>
    <w:rsid w:val="00E320BA"/>
    <w:rsid w:val="00E322D7"/>
    <w:rsid w:val="00E32671"/>
    <w:rsid w:val="00E32E46"/>
    <w:rsid w:val="00E3403D"/>
    <w:rsid w:val="00E34DAC"/>
    <w:rsid w:val="00E34E81"/>
    <w:rsid w:val="00E35315"/>
    <w:rsid w:val="00E367E9"/>
    <w:rsid w:val="00E36F7A"/>
    <w:rsid w:val="00E41C04"/>
    <w:rsid w:val="00E41EE9"/>
    <w:rsid w:val="00E42431"/>
    <w:rsid w:val="00E4245E"/>
    <w:rsid w:val="00E428CA"/>
    <w:rsid w:val="00E4419D"/>
    <w:rsid w:val="00E441B0"/>
    <w:rsid w:val="00E444B4"/>
    <w:rsid w:val="00E44641"/>
    <w:rsid w:val="00E44AF4"/>
    <w:rsid w:val="00E45151"/>
    <w:rsid w:val="00E4558D"/>
    <w:rsid w:val="00E4727B"/>
    <w:rsid w:val="00E475BD"/>
    <w:rsid w:val="00E47808"/>
    <w:rsid w:val="00E47984"/>
    <w:rsid w:val="00E47DC9"/>
    <w:rsid w:val="00E500AA"/>
    <w:rsid w:val="00E50B61"/>
    <w:rsid w:val="00E51F72"/>
    <w:rsid w:val="00E5210A"/>
    <w:rsid w:val="00E523D0"/>
    <w:rsid w:val="00E530FB"/>
    <w:rsid w:val="00E53210"/>
    <w:rsid w:val="00E533D4"/>
    <w:rsid w:val="00E54246"/>
    <w:rsid w:val="00E54851"/>
    <w:rsid w:val="00E56001"/>
    <w:rsid w:val="00E563A3"/>
    <w:rsid w:val="00E5672C"/>
    <w:rsid w:val="00E5693D"/>
    <w:rsid w:val="00E571DC"/>
    <w:rsid w:val="00E5753D"/>
    <w:rsid w:val="00E576B4"/>
    <w:rsid w:val="00E577D0"/>
    <w:rsid w:val="00E57F12"/>
    <w:rsid w:val="00E57F78"/>
    <w:rsid w:val="00E6058A"/>
    <w:rsid w:val="00E61E09"/>
    <w:rsid w:val="00E62C58"/>
    <w:rsid w:val="00E6439B"/>
    <w:rsid w:val="00E65031"/>
    <w:rsid w:val="00E661AD"/>
    <w:rsid w:val="00E665E7"/>
    <w:rsid w:val="00E67484"/>
    <w:rsid w:val="00E6785D"/>
    <w:rsid w:val="00E67887"/>
    <w:rsid w:val="00E714C0"/>
    <w:rsid w:val="00E73C7C"/>
    <w:rsid w:val="00E73DBC"/>
    <w:rsid w:val="00E73EBB"/>
    <w:rsid w:val="00E74DC3"/>
    <w:rsid w:val="00E750E3"/>
    <w:rsid w:val="00E75AD3"/>
    <w:rsid w:val="00E75B51"/>
    <w:rsid w:val="00E75DC9"/>
    <w:rsid w:val="00E75ED1"/>
    <w:rsid w:val="00E760B9"/>
    <w:rsid w:val="00E761F6"/>
    <w:rsid w:val="00E768E1"/>
    <w:rsid w:val="00E76A1B"/>
    <w:rsid w:val="00E776C1"/>
    <w:rsid w:val="00E77925"/>
    <w:rsid w:val="00E77BDE"/>
    <w:rsid w:val="00E77FDE"/>
    <w:rsid w:val="00E803B3"/>
    <w:rsid w:val="00E80C3C"/>
    <w:rsid w:val="00E8154D"/>
    <w:rsid w:val="00E81E0B"/>
    <w:rsid w:val="00E82476"/>
    <w:rsid w:val="00E839DB"/>
    <w:rsid w:val="00E83C77"/>
    <w:rsid w:val="00E8563F"/>
    <w:rsid w:val="00E85E08"/>
    <w:rsid w:val="00E8615F"/>
    <w:rsid w:val="00E87117"/>
    <w:rsid w:val="00E91661"/>
    <w:rsid w:val="00E91BE6"/>
    <w:rsid w:val="00E92FE1"/>
    <w:rsid w:val="00E9366C"/>
    <w:rsid w:val="00E93A47"/>
    <w:rsid w:val="00E94E7A"/>
    <w:rsid w:val="00E95ED5"/>
    <w:rsid w:val="00E960CC"/>
    <w:rsid w:val="00E96D9F"/>
    <w:rsid w:val="00E9759D"/>
    <w:rsid w:val="00E97BFF"/>
    <w:rsid w:val="00EA015E"/>
    <w:rsid w:val="00EA023C"/>
    <w:rsid w:val="00EA0291"/>
    <w:rsid w:val="00EA1337"/>
    <w:rsid w:val="00EA1B36"/>
    <w:rsid w:val="00EA22AE"/>
    <w:rsid w:val="00EA2AF8"/>
    <w:rsid w:val="00EA33DE"/>
    <w:rsid w:val="00EA4407"/>
    <w:rsid w:val="00EA4D17"/>
    <w:rsid w:val="00EA73F1"/>
    <w:rsid w:val="00EA73FE"/>
    <w:rsid w:val="00EA7A6D"/>
    <w:rsid w:val="00EA7C87"/>
    <w:rsid w:val="00EB0065"/>
    <w:rsid w:val="00EB04C6"/>
    <w:rsid w:val="00EB057B"/>
    <w:rsid w:val="00EB083B"/>
    <w:rsid w:val="00EB13BF"/>
    <w:rsid w:val="00EB1763"/>
    <w:rsid w:val="00EB1BEB"/>
    <w:rsid w:val="00EB25D6"/>
    <w:rsid w:val="00EB38FF"/>
    <w:rsid w:val="00EB41BD"/>
    <w:rsid w:val="00EB44C7"/>
    <w:rsid w:val="00EB452C"/>
    <w:rsid w:val="00EB518E"/>
    <w:rsid w:val="00EB57AE"/>
    <w:rsid w:val="00EB5993"/>
    <w:rsid w:val="00EB632F"/>
    <w:rsid w:val="00EB6F9B"/>
    <w:rsid w:val="00EC0302"/>
    <w:rsid w:val="00EC0948"/>
    <w:rsid w:val="00EC0BE4"/>
    <w:rsid w:val="00EC0DD0"/>
    <w:rsid w:val="00EC1C1D"/>
    <w:rsid w:val="00EC1DD2"/>
    <w:rsid w:val="00EC25BC"/>
    <w:rsid w:val="00EC40FD"/>
    <w:rsid w:val="00EC6156"/>
    <w:rsid w:val="00EC7035"/>
    <w:rsid w:val="00ED1781"/>
    <w:rsid w:val="00ED2888"/>
    <w:rsid w:val="00ED2F5D"/>
    <w:rsid w:val="00ED37D2"/>
    <w:rsid w:val="00ED41E7"/>
    <w:rsid w:val="00ED4B07"/>
    <w:rsid w:val="00ED4EAF"/>
    <w:rsid w:val="00ED4F15"/>
    <w:rsid w:val="00ED5417"/>
    <w:rsid w:val="00ED6E7D"/>
    <w:rsid w:val="00ED7459"/>
    <w:rsid w:val="00EE06AC"/>
    <w:rsid w:val="00EE0931"/>
    <w:rsid w:val="00EE19A4"/>
    <w:rsid w:val="00EE19DC"/>
    <w:rsid w:val="00EE1FC1"/>
    <w:rsid w:val="00EE2960"/>
    <w:rsid w:val="00EE31DA"/>
    <w:rsid w:val="00EE3200"/>
    <w:rsid w:val="00EE33FB"/>
    <w:rsid w:val="00EE3805"/>
    <w:rsid w:val="00EE4637"/>
    <w:rsid w:val="00EE586B"/>
    <w:rsid w:val="00EE6807"/>
    <w:rsid w:val="00EE6D8C"/>
    <w:rsid w:val="00EE6E80"/>
    <w:rsid w:val="00EE7410"/>
    <w:rsid w:val="00EE7DB0"/>
    <w:rsid w:val="00EF128E"/>
    <w:rsid w:val="00EF2D6E"/>
    <w:rsid w:val="00EF3609"/>
    <w:rsid w:val="00EF3CFA"/>
    <w:rsid w:val="00EF3D6D"/>
    <w:rsid w:val="00EF4351"/>
    <w:rsid w:val="00EF4543"/>
    <w:rsid w:val="00EF4F10"/>
    <w:rsid w:val="00EF6A8D"/>
    <w:rsid w:val="00EF7902"/>
    <w:rsid w:val="00EF7C40"/>
    <w:rsid w:val="00EF7EB1"/>
    <w:rsid w:val="00F00631"/>
    <w:rsid w:val="00F00709"/>
    <w:rsid w:val="00F0153A"/>
    <w:rsid w:val="00F01590"/>
    <w:rsid w:val="00F01DD7"/>
    <w:rsid w:val="00F029EB"/>
    <w:rsid w:val="00F033E7"/>
    <w:rsid w:val="00F03EB4"/>
    <w:rsid w:val="00F0402A"/>
    <w:rsid w:val="00F049DD"/>
    <w:rsid w:val="00F049E8"/>
    <w:rsid w:val="00F066AD"/>
    <w:rsid w:val="00F06C57"/>
    <w:rsid w:val="00F07386"/>
    <w:rsid w:val="00F0762A"/>
    <w:rsid w:val="00F07CAD"/>
    <w:rsid w:val="00F07E0D"/>
    <w:rsid w:val="00F1084E"/>
    <w:rsid w:val="00F10F21"/>
    <w:rsid w:val="00F11743"/>
    <w:rsid w:val="00F11D81"/>
    <w:rsid w:val="00F13F74"/>
    <w:rsid w:val="00F146C8"/>
    <w:rsid w:val="00F14D5A"/>
    <w:rsid w:val="00F15C84"/>
    <w:rsid w:val="00F15F31"/>
    <w:rsid w:val="00F15FA0"/>
    <w:rsid w:val="00F20760"/>
    <w:rsid w:val="00F208E8"/>
    <w:rsid w:val="00F20BBF"/>
    <w:rsid w:val="00F2137C"/>
    <w:rsid w:val="00F21A59"/>
    <w:rsid w:val="00F21B1C"/>
    <w:rsid w:val="00F22FF6"/>
    <w:rsid w:val="00F23342"/>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88A"/>
    <w:rsid w:val="00F309D7"/>
    <w:rsid w:val="00F30B12"/>
    <w:rsid w:val="00F31BE5"/>
    <w:rsid w:val="00F31FC4"/>
    <w:rsid w:val="00F35902"/>
    <w:rsid w:val="00F35FC0"/>
    <w:rsid w:val="00F36535"/>
    <w:rsid w:val="00F369B7"/>
    <w:rsid w:val="00F36AE0"/>
    <w:rsid w:val="00F37266"/>
    <w:rsid w:val="00F41D68"/>
    <w:rsid w:val="00F423ED"/>
    <w:rsid w:val="00F42D04"/>
    <w:rsid w:val="00F43271"/>
    <w:rsid w:val="00F4328D"/>
    <w:rsid w:val="00F444DB"/>
    <w:rsid w:val="00F44615"/>
    <w:rsid w:val="00F44E03"/>
    <w:rsid w:val="00F45006"/>
    <w:rsid w:val="00F45108"/>
    <w:rsid w:val="00F45A27"/>
    <w:rsid w:val="00F47983"/>
    <w:rsid w:val="00F47B3A"/>
    <w:rsid w:val="00F47C99"/>
    <w:rsid w:val="00F503B1"/>
    <w:rsid w:val="00F50675"/>
    <w:rsid w:val="00F50D73"/>
    <w:rsid w:val="00F51052"/>
    <w:rsid w:val="00F51215"/>
    <w:rsid w:val="00F51C01"/>
    <w:rsid w:val="00F5230B"/>
    <w:rsid w:val="00F5251E"/>
    <w:rsid w:val="00F5317E"/>
    <w:rsid w:val="00F5368A"/>
    <w:rsid w:val="00F545A9"/>
    <w:rsid w:val="00F54A3F"/>
    <w:rsid w:val="00F54DD2"/>
    <w:rsid w:val="00F54FA1"/>
    <w:rsid w:val="00F5602B"/>
    <w:rsid w:val="00F560C7"/>
    <w:rsid w:val="00F5615F"/>
    <w:rsid w:val="00F56E65"/>
    <w:rsid w:val="00F56E8E"/>
    <w:rsid w:val="00F572D4"/>
    <w:rsid w:val="00F5762E"/>
    <w:rsid w:val="00F5779A"/>
    <w:rsid w:val="00F60421"/>
    <w:rsid w:val="00F60BF9"/>
    <w:rsid w:val="00F60DEE"/>
    <w:rsid w:val="00F613CA"/>
    <w:rsid w:val="00F61D98"/>
    <w:rsid w:val="00F621FD"/>
    <w:rsid w:val="00F622FB"/>
    <w:rsid w:val="00F629E2"/>
    <w:rsid w:val="00F636F4"/>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895"/>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822"/>
    <w:rsid w:val="00F87C07"/>
    <w:rsid w:val="00F90787"/>
    <w:rsid w:val="00F91230"/>
    <w:rsid w:val="00F9159F"/>
    <w:rsid w:val="00F91AB9"/>
    <w:rsid w:val="00F922A1"/>
    <w:rsid w:val="00F934A0"/>
    <w:rsid w:val="00F93511"/>
    <w:rsid w:val="00F944B4"/>
    <w:rsid w:val="00F95E6B"/>
    <w:rsid w:val="00F95E91"/>
    <w:rsid w:val="00F96058"/>
    <w:rsid w:val="00F9612E"/>
    <w:rsid w:val="00F966A4"/>
    <w:rsid w:val="00F9671A"/>
    <w:rsid w:val="00F96C3D"/>
    <w:rsid w:val="00F97575"/>
    <w:rsid w:val="00FA0923"/>
    <w:rsid w:val="00FA0AAB"/>
    <w:rsid w:val="00FA1220"/>
    <w:rsid w:val="00FA15C5"/>
    <w:rsid w:val="00FA190E"/>
    <w:rsid w:val="00FA19AF"/>
    <w:rsid w:val="00FA20A3"/>
    <w:rsid w:val="00FA20DD"/>
    <w:rsid w:val="00FA26FF"/>
    <w:rsid w:val="00FA2944"/>
    <w:rsid w:val="00FA2C4C"/>
    <w:rsid w:val="00FA3211"/>
    <w:rsid w:val="00FA3975"/>
    <w:rsid w:val="00FA4ACE"/>
    <w:rsid w:val="00FA5CE3"/>
    <w:rsid w:val="00FA6DC5"/>
    <w:rsid w:val="00FB0456"/>
    <w:rsid w:val="00FB05D9"/>
    <w:rsid w:val="00FB0C47"/>
    <w:rsid w:val="00FB1B1A"/>
    <w:rsid w:val="00FB23BE"/>
    <w:rsid w:val="00FB2446"/>
    <w:rsid w:val="00FB291A"/>
    <w:rsid w:val="00FB2F10"/>
    <w:rsid w:val="00FB383B"/>
    <w:rsid w:val="00FB3AD7"/>
    <w:rsid w:val="00FB3B8C"/>
    <w:rsid w:val="00FB3BBE"/>
    <w:rsid w:val="00FB40AD"/>
    <w:rsid w:val="00FB55D4"/>
    <w:rsid w:val="00FB5701"/>
    <w:rsid w:val="00FB637C"/>
    <w:rsid w:val="00FB6806"/>
    <w:rsid w:val="00FB6907"/>
    <w:rsid w:val="00FC19B4"/>
    <w:rsid w:val="00FC1FE0"/>
    <w:rsid w:val="00FC2230"/>
    <w:rsid w:val="00FC2260"/>
    <w:rsid w:val="00FC22BC"/>
    <w:rsid w:val="00FC244D"/>
    <w:rsid w:val="00FC27BE"/>
    <w:rsid w:val="00FC2DA3"/>
    <w:rsid w:val="00FC33D0"/>
    <w:rsid w:val="00FC356E"/>
    <w:rsid w:val="00FC3A5B"/>
    <w:rsid w:val="00FC3E64"/>
    <w:rsid w:val="00FC448E"/>
    <w:rsid w:val="00FC4864"/>
    <w:rsid w:val="00FC4FD5"/>
    <w:rsid w:val="00FC6096"/>
    <w:rsid w:val="00FC6EDC"/>
    <w:rsid w:val="00FC71A4"/>
    <w:rsid w:val="00FC7BB4"/>
    <w:rsid w:val="00FC7F7D"/>
    <w:rsid w:val="00FD0070"/>
    <w:rsid w:val="00FD1232"/>
    <w:rsid w:val="00FD2BA1"/>
    <w:rsid w:val="00FD2E92"/>
    <w:rsid w:val="00FD349A"/>
    <w:rsid w:val="00FD394C"/>
    <w:rsid w:val="00FD3E41"/>
    <w:rsid w:val="00FD4626"/>
    <w:rsid w:val="00FD4850"/>
    <w:rsid w:val="00FD5787"/>
    <w:rsid w:val="00FD5EED"/>
    <w:rsid w:val="00FE039E"/>
    <w:rsid w:val="00FE0756"/>
    <w:rsid w:val="00FE07B9"/>
    <w:rsid w:val="00FE0A7D"/>
    <w:rsid w:val="00FE1BE0"/>
    <w:rsid w:val="00FE22E4"/>
    <w:rsid w:val="00FE239C"/>
    <w:rsid w:val="00FE269B"/>
    <w:rsid w:val="00FE272F"/>
    <w:rsid w:val="00FE2AAE"/>
    <w:rsid w:val="00FE31A0"/>
    <w:rsid w:val="00FE3F2E"/>
    <w:rsid w:val="00FE42B6"/>
    <w:rsid w:val="00FE4BB8"/>
    <w:rsid w:val="00FE4D93"/>
    <w:rsid w:val="00FE51BB"/>
    <w:rsid w:val="00FE563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74339051989362E-2"/>
          <c:y val="7.4483976539969549E-2"/>
          <c:w val="0.89788257672734262"/>
          <c:h val="0.74286720785459415"/>
        </c:manualLayout>
      </c:layout>
      <c:lineChart>
        <c:grouping val="standard"/>
        <c:varyColors val="0"/>
        <c:ser>
          <c:idx val="6"/>
          <c:order val="7"/>
          <c:tx>
            <c:strRef>
              <c:f>CPI表!$M$1</c:f>
              <c:strCache>
                <c:ptCount val="1"/>
                <c:pt idx="0">
                  <c:v>中國大陸</c:v>
                </c:pt>
              </c:strCache>
            </c:strRef>
          </c:tx>
          <c:spPr>
            <a:ln w="25400">
              <a:solidFill>
                <a:srgbClr val="800080"/>
              </a:solidFill>
              <a:prstDash val="solid"/>
            </a:ln>
          </c:spPr>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(CPI表!$M$3,CPI表!$M$7:$M$9,CPI表!$M$11,CPI表!$M$13)</c:f>
            </c:numRef>
          </c:val>
          <c:smooth val="0"/>
        </c:ser>
        <c:ser>
          <c:idx val="7"/>
          <c:order val="8"/>
          <c:spPr>
            <a:ln w="28575">
              <a:solidFill>
                <a:srgbClr val="00B0F0"/>
              </a:solidFill>
            </a:ln>
          </c:spPr>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(CPI表!$O$3,CPI表!$O$7:$O$9,CPI表!$O$11,CPI表!$O$13)</c:f>
            </c:numRef>
          </c:val>
          <c:smooth val="0"/>
        </c:ser>
        <c:ser>
          <c:idx val="8"/>
          <c:order val="9"/>
          <c:tx>
            <c:strRef>
              <c:f>CPI表!$M$1</c:f>
              <c:strCache>
                <c:ptCount val="1"/>
                <c:pt idx="0">
                  <c:v>中國大陸</c:v>
                </c:pt>
              </c:strCache>
            </c:strRef>
          </c:tx>
          <c:spPr>
            <a:ln w="25400">
              <a:solidFill>
                <a:srgbClr val="800080"/>
              </a:solidFill>
              <a:prstDash val="solid"/>
            </a:ln>
          </c:spPr>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(CPI表!$M$3,CPI表!$M$7:$M$9,CPI表!$M$11,CPI表!$M$13)</c:f>
            </c:numRef>
          </c:val>
          <c:smooth val="0"/>
        </c:ser>
        <c:ser>
          <c:idx val="9"/>
          <c:order val="10"/>
          <c:spPr>
            <a:ln w="28575">
              <a:solidFill>
                <a:srgbClr val="00B0F0"/>
              </a:solidFill>
            </a:ln>
          </c:spPr>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(CPI表!$O$3,CPI表!$O$7:$O$9,CPI表!$O$11,CPI表!$O$13)</c:f>
            </c:numRef>
          </c:val>
          <c:smooth val="0"/>
        </c:ser>
        <c:ser>
          <c:idx val="1"/>
          <c:order val="0"/>
          <c:tx>
            <c:strRef>
              <c:f>CPI表!$G$1</c:f>
              <c:strCache>
                <c:ptCount val="1"/>
                <c:pt idx="0">
                  <c:v>美國</c:v>
                </c:pt>
              </c:strCache>
            </c:strRef>
          </c:tx>
          <c:spPr>
            <a:ln w="25400">
              <a:solidFill>
                <a:srgbClr val="0000FF"/>
              </a:solidFill>
              <a:prstDash val="solid"/>
            </a:ln>
          </c:spPr>
          <c:marker>
            <c:symbol val="diamond"/>
            <c:size val="7"/>
            <c:spPr>
              <a:solidFill>
                <a:srgbClr val="0000FF"/>
              </a:solidFill>
              <a:ln>
                <a:solidFill>
                  <a:srgbClr val="0000FF"/>
                </a:solidFill>
                <a:prstDash val="solid"/>
              </a:ln>
            </c:spPr>
          </c:marker>
          <c:dLbls>
            <c:dLbl>
              <c:idx val="0"/>
              <c:layout>
                <c:manualLayout>
                  <c:x val="-6.210659975804745E-2"/>
                  <c:y val="-1.7143041305267611E-2"/>
                </c:manualLayout>
              </c:layout>
              <c:dLblPos val="r"/>
              <c:showLegendKey val="0"/>
              <c:showVal val="1"/>
              <c:showCatName val="0"/>
              <c:showSerName val="0"/>
              <c:showPercent val="0"/>
              <c:showBubbleSize val="0"/>
            </c:dLbl>
            <c:dLbl>
              <c:idx val="1"/>
              <c:layout>
                <c:manualLayout>
                  <c:x val="-2.4796094285407536E-2"/>
                  <c:y val="-2.5164982946087145E-2"/>
                </c:manualLayout>
              </c:layout>
              <c:dLblPos val="r"/>
              <c:showLegendKey val="0"/>
              <c:showVal val="1"/>
              <c:showCatName val="0"/>
              <c:showSerName val="0"/>
              <c:showPercent val="0"/>
              <c:showBubbleSize val="0"/>
            </c:dLbl>
            <c:dLbl>
              <c:idx val="2"/>
              <c:layout>
                <c:manualLayout>
                  <c:x val="-2.6597204125684493E-2"/>
                  <c:y val="-3.3334589911717512E-2"/>
                </c:manualLayout>
              </c:layout>
              <c:dLblPos val="r"/>
              <c:showLegendKey val="0"/>
              <c:showVal val="1"/>
              <c:showCatName val="0"/>
              <c:showSerName val="0"/>
              <c:showPercent val="0"/>
              <c:showBubbleSize val="0"/>
            </c:dLbl>
            <c:dLbl>
              <c:idx val="3"/>
              <c:layout>
                <c:manualLayout>
                  <c:x val="-2.9660217029738051E-2"/>
                  <c:y val="-2.9539768659837044E-2"/>
                </c:manualLayout>
              </c:layout>
              <c:dLblPos val="r"/>
              <c:showLegendKey val="0"/>
              <c:showVal val="1"/>
              <c:showCatName val="0"/>
              <c:showSerName val="0"/>
              <c:showPercent val="0"/>
              <c:showBubbleSize val="0"/>
            </c:dLbl>
            <c:dLbl>
              <c:idx val="4"/>
              <c:layout>
                <c:manualLayout>
                  <c:x val="-2.7566365633914819E-2"/>
                  <c:y val="-2.6038675147266425E-2"/>
                </c:manualLayout>
              </c:layout>
              <c:dLblPos val="r"/>
              <c:showLegendKey val="0"/>
              <c:showVal val="1"/>
              <c:showCatName val="0"/>
              <c:showSerName val="0"/>
              <c:showPercent val="0"/>
              <c:showBubbleSize val="0"/>
            </c:dLbl>
            <c:dLbl>
              <c:idx val="5"/>
              <c:layout>
                <c:manualLayout>
                  <c:x val="-4.1445372929377208E-2"/>
                  <c:y val="-2.915374214586813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numFmt formatCode="0.00_ " sourceLinked="0"/>
            <c:spPr>
              <a:noFill/>
              <a:ln w="25400">
                <a:noFill/>
              </a:ln>
            </c:spPr>
            <c:txPr>
              <a:bodyPr/>
              <a:lstStyle/>
              <a:p>
                <a:pPr>
                  <a:defRPr sz="1400" b="1" i="0" u="none" strike="noStrike" baseline="0">
                    <a:solidFill>
                      <a:srgbClr val="0000FF"/>
                    </a:solidFill>
                    <a:latin typeface="Times New Roman" panose="02020603050405020304" pitchFamily="18" charset="0"/>
                    <a:ea typeface="Century Gothic"/>
                    <a:cs typeface="Times New Roman" panose="02020603050405020304" pitchFamily="18" charset="0"/>
                  </a:defRPr>
                </a:pPr>
                <a:endParaRPr lang="zh-TW"/>
              </a:p>
            </c:txPr>
            <c:dLblPos val="t"/>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(CPI表!$G$3,CPI表!$G$7:$G$9,CPI表!$G$11,CPI表!$G$13)</c:f>
              <c:numCache>
                <c:formatCode>#,##0.000_ ;[Red]\-#,##0.000\ </c:formatCode>
                <c:ptCount val="6"/>
                <c:pt idx="0">
                  <c:v>1.91</c:v>
                </c:pt>
                <c:pt idx="1">
                  <c:v>2.79</c:v>
                </c:pt>
                <c:pt idx="2">
                  <c:v>2.56</c:v>
                </c:pt>
                <c:pt idx="3">
                  <c:v>2.8</c:v>
                </c:pt>
                <c:pt idx="4">
                  <c:v>2.93</c:v>
                </c:pt>
                <c:pt idx="5">
                  <c:v>3.06</c:v>
                </c:pt>
              </c:numCache>
            </c:numRef>
          </c:val>
          <c:smooth val="0"/>
        </c:ser>
        <c:ser>
          <c:idx val="3"/>
          <c:order val="1"/>
          <c:tx>
            <c:strRef>
              <c:f>CPI表!$I$1</c:f>
              <c:strCache>
                <c:ptCount val="1"/>
                <c:pt idx="0">
                  <c:v>台灣</c:v>
                </c:pt>
              </c:strCache>
            </c:strRef>
          </c:tx>
          <c:spPr>
            <a:ln w="25400">
              <a:solidFill>
                <a:srgbClr val="009900"/>
              </a:solidFill>
              <a:prstDash val="solid"/>
            </a:ln>
          </c:spPr>
          <c:marker>
            <c:symbol val="diamond"/>
            <c:size val="7"/>
            <c:spPr>
              <a:solidFill>
                <a:srgbClr val="009900"/>
              </a:solidFill>
              <a:ln>
                <a:noFill/>
                <a:prstDash val="solid"/>
              </a:ln>
            </c:spPr>
          </c:marker>
          <c:dLbls>
            <c:dLbl>
              <c:idx val="0"/>
              <c:layout>
                <c:manualLayout>
                  <c:x val="-6.2615342266920782E-2"/>
                  <c:y val="-5.2936505879608792E-3"/>
                </c:manualLayout>
              </c:layout>
              <c:dLblPos val="r"/>
              <c:showLegendKey val="0"/>
              <c:showVal val="1"/>
              <c:showCatName val="0"/>
              <c:showSerName val="0"/>
              <c:showPercent val="0"/>
              <c:showBubbleSize val="0"/>
            </c:dLbl>
            <c:dLbl>
              <c:idx val="1"/>
              <c:layout>
                <c:manualLayout>
                  <c:x val="-2.9677478229128643E-2"/>
                  <c:y val="3.7036153309119191E-2"/>
                </c:manualLayout>
              </c:layout>
              <c:dLblPos val="r"/>
              <c:showLegendKey val="0"/>
              <c:showVal val="1"/>
              <c:showCatName val="0"/>
              <c:showSerName val="0"/>
              <c:showPercent val="0"/>
              <c:showBubbleSize val="0"/>
            </c:dLbl>
            <c:dLbl>
              <c:idx val="2"/>
              <c:layout>
                <c:manualLayout>
                  <c:x val="-2.5499034571329213E-2"/>
                  <c:y val="-3.0013924459219712E-2"/>
                </c:manualLayout>
              </c:layout>
              <c:dLblPos val="r"/>
              <c:showLegendKey val="0"/>
              <c:showVal val="1"/>
              <c:showCatName val="0"/>
              <c:showSerName val="0"/>
              <c:showPercent val="0"/>
              <c:showBubbleSize val="0"/>
            </c:dLbl>
            <c:dLbl>
              <c:idx val="3"/>
              <c:layout>
                <c:manualLayout>
                  <c:x val="-2.6791115580171429E-2"/>
                  <c:y val="-2.6067930173120906E-2"/>
                </c:manualLayout>
              </c:layout>
              <c:dLblPos val="r"/>
              <c:showLegendKey val="0"/>
              <c:showVal val="1"/>
              <c:showCatName val="0"/>
              <c:showSerName val="0"/>
              <c:showPercent val="0"/>
              <c:showBubbleSize val="0"/>
            </c:dLbl>
            <c:dLbl>
              <c:idx val="4"/>
              <c:layout>
                <c:manualLayout>
                  <c:x val="-2.5420101550111127E-2"/>
                  <c:y val="-3.1108325695692843E-2"/>
                </c:manualLayout>
              </c:layout>
              <c:dLblPos val="r"/>
              <c:showLegendKey val="0"/>
              <c:showVal val="1"/>
              <c:showCatName val="0"/>
              <c:showSerName val="0"/>
              <c:showPercent val="0"/>
              <c:showBubbleSize val="0"/>
            </c:dLbl>
            <c:dLbl>
              <c:idx val="5"/>
              <c:layout>
                <c:manualLayout>
                  <c:x val="-3.8948632965678465E-2"/>
                  <c:y val="-3.5487616658780946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numFmt formatCode="0.00_ " sourceLinked="0"/>
            <c:spPr>
              <a:noFill/>
              <a:ln w="25400">
                <a:noFill/>
              </a:ln>
            </c:spPr>
            <c:txPr>
              <a:bodyPr/>
              <a:lstStyle/>
              <a:p>
                <a:pPr>
                  <a:defRPr sz="1400" b="1" i="0" u="none" strike="noStrike" baseline="0">
                    <a:solidFill>
                      <a:srgbClr val="0099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(CPI表!$I$3,CPI表!$I$7:$I$9,CPI表!$I$11,CPI表!$I$13)</c:f>
              <c:numCache>
                <c:formatCode>#,##0.000_ ;[Red]\-#,##0.000\ </c:formatCode>
                <c:ptCount val="6"/>
                <c:pt idx="0">
                  <c:v>0.189</c:v>
                </c:pt>
                <c:pt idx="1">
                  <c:v>1.0649999999999999</c:v>
                </c:pt>
                <c:pt idx="2">
                  <c:v>0.46300000000000002</c:v>
                </c:pt>
                <c:pt idx="3">
                  <c:v>0.7</c:v>
                </c:pt>
                <c:pt idx="4">
                  <c:v>0.93600000000000005</c:v>
                </c:pt>
                <c:pt idx="5">
                  <c:v>1.5009999999999999</c:v>
                </c:pt>
              </c:numCache>
            </c:numRef>
          </c:val>
          <c:smooth val="0"/>
        </c:ser>
        <c:ser>
          <c:idx val="0"/>
          <c:order val="2"/>
          <c:tx>
            <c:strRef>
              <c:f>CPI表!$E$1</c:f>
              <c:strCache>
                <c:ptCount val="1"/>
                <c:pt idx="0">
                  <c:v>日本</c:v>
                </c:pt>
              </c:strCache>
            </c:strRef>
          </c:tx>
          <c:spPr>
            <a:ln w="25400">
              <a:solidFill>
                <a:schemeClr val="accent6">
                  <a:lumMod val="75000"/>
                </a:schemeClr>
              </a:solidFill>
              <a:prstDash val="solid"/>
            </a:ln>
          </c:spPr>
          <c:marker>
            <c:symbol val="diamond"/>
            <c:size val="7"/>
            <c:spPr>
              <a:solidFill>
                <a:schemeClr val="accent6">
                  <a:lumMod val="75000"/>
                </a:schemeClr>
              </a:solidFill>
              <a:ln>
                <a:noFill/>
                <a:prstDash val="solid"/>
              </a:ln>
            </c:spPr>
          </c:marker>
          <c:dLbls>
            <c:dLbl>
              <c:idx val="0"/>
              <c:layout>
                <c:manualLayout>
                  <c:x val="-7.0133708825472901E-2"/>
                  <c:y val="2.5707731131668211E-3"/>
                </c:manualLayout>
              </c:layout>
              <c:dLblPos val="r"/>
              <c:showLegendKey val="0"/>
              <c:showVal val="1"/>
              <c:showCatName val="0"/>
              <c:showSerName val="0"/>
              <c:showPercent val="0"/>
              <c:showBubbleSize val="0"/>
            </c:dLbl>
            <c:dLbl>
              <c:idx val="1"/>
              <c:layout>
                <c:manualLayout>
                  <c:x val="-2.6228723737433554E-2"/>
                  <c:y val="-2.3249920242492242E-2"/>
                </c:manualLayout>
              </c:layout>
              <c:dLblPos val="r"/>
              <c:showLegendKey val="0"/>
              <c:showVal val="1"/>
              <c:showCatName val="0"/>
              <c:showSerName val="0"/>
              <c:showPercent val="0"/>
              <c:showBubbleSize val="0"/>
            </c:dLbl>
            <c:dLbl>
              <c:idx val="2"/>
              <c:layout>
                <c:manualLayout>
                  <c:x val="-3.0462435667276896E-2"/>
                  <c:y val="2.5001611421091696E-2"/>
                </c:manualLayout>
              </c:layout>
              <c:dLblPos val="r"/>
              <c:showLegendKey val="0"/>
              <c:showVal val="1"/>
              <c:showCatName val="0"/>
              <c:showSerName val="0"/>
              <c:showPercent val="0"/>
              <c:showBubbleSize val="0"/>
            </c:dLbl>
            <c:dLbl>
              <c:idx val="3"/>
              <c:layout>
                <c:manualLayout>
                  <c:x val="-3.3864175834869253E-2"/>
                  <c:y val="-3.6203943412872391E-2"/>
                </c:manualLayout>
              </c:layout>
              <c:dLblPos val="r"/>
              <c:showLegendKey val="0"/>
              <c:showVal val="1"/>
              <c:showCatName val="0"/>
              <c:showSerName val="0"/>
              <c:showPercent val="0"/>
              <c:showBubbleSize val="0"/>
            </c:dLbl>
            <c:dLbl>
              <c:idx val="4"/>
              <c:layout>
                <c:manualLayout>
                  <c:x val="-2.5653040781504658E-2"/>
                  <c:y val="-3.6819732388407023E-2"/>
                </c:manualLayout>
              </c:layout>
              <c:dLblPos val="r"/>
              <c:showLegendKey val="0"/>
              <c:showVal val="1"/>
              <c:showCatName val="0"/>
              <c:showSerName val="0"/>
              <c:showPercent val="0"/>
              <c:showBubbleSize val="0"/>
            </c:dLbl>
            <c:dLbl>
              <c:idx val="5"/>
              <c:layout>
                <c:manualLayout>
                  <c:x val="-3.3124423457048448E-2"/>
                  <c:y val="-2.2439865070340598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400" b="1" i="0" u="none" strike="noStrike" baseline="0">
                    <a:solidFill>
                      <a:schemeClr val="accent6">
                        <a:lumMod val="75000"/>
                      </a:schemeClr>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(CPI表!$E$3,CPI表!$E$7:$E$9,CPI表!$E$11,CPI表!$E$13)</c:f>
              <c:numCache>
                <c:formatCode>#,##0.000_ ;[Red]\-#,##0.000\ </c:formatCode>
                <c:ptCount val="6"/>
                <c:pt idx="0">
                  <c:v>-7.2999999999999995E-2</c:v>
                </c:pt>
                <c:pt idx="1">
                  <c:v>1.0999999999999999E-2</c:v>
                </c:pt>
                <c:pt idx="2">
                  <c:v>-0.13100000000000001</c:v>
                </c:pt>
                <c:pt idx="3">
                  <c:v>-0.108</c:v>
                </c:pt>
                <c:pt idx="4">
                  <c:v>3.9E-2</c:v>
                </c:pt>
                <c:pt idx="5">
                  <c:v>0.71899999999999997</c:v>
                </c:pt>
              </c:numCache>
            </c:numRef>
          </c:val>
          <c:smooth val="0"/>
        </c:ser>
        <c:ser>
          <c:idx val="2"/>
          <c:order val="3"/>
          <c:tx>
            <c:strRef>
              <c:f>CPI表!$C$1</c:f>
              <c:strCache>
                <c:ptCount val="1"/>
                <c:pt idx="0">
                  <c:v>德國</c:v>
                </c:pt>
              </c:strCache>
            </c:strRef>
          </c:tx>
          <c:spPr>
            <a:ln w="25400">
              <a:solidFill>
                <a:srgbClr val="800000"/>
              </a:solidFill>
              <a:prstDash val="solid"/>
            </a:ln>
          </c:spPr>
          <c:marker>
            <c:symbol val="diamond"/>
            <c:size val="7"/>
            <c:spPr>
              <a:solidFill>
                <a:srgbClr val="800000"/>
              </a:solidFill>
              <a:ln>
                <a:solidFill>
                  <a:srgbClr val="800000"/>
                </a:solidFill>
                <a:prstDash val="solid"/>
              </a:ln>
            </c:spPr>
          </c:marker>
          <c:dLbls>
            <c:dLbl>
              <c:idx val="0"/>
              <c:layout>
                <c:manualLayout>
                  <c:x val="-7.0239049210625321E-2"/>
                  <c:y val="1.2953516809484764E-2"/>
                </c:manualLayout>
              </c:layout>
              <c:dLblPos val="r"/>
              <c:showLegendKey val="0"/>
              <c:showVal val="1"/>
              <c:showCatName val="0"/>
              <c:showSerName val="0"/>
              <c:showPercent val="0"/>
              <c:showBubbleSize val="0"/>
            </c:dLbl>
            <c:dLbl>
              <c:idx val="1"/>
              <c:layout>
                <c:manualLayout>
                  <c:x val="-3.33595209500753E-2"/>
                  <c:y val="2.7750023423481991E-2"/>
                </c:manualLayout>
              </c:layout>
              <c:dLblPos val="r"/>
              <c:showLegendKey val="0"/>
              <c:showVal val="1"/>
              <c:showCatName val="0"/>
              <c:showSerName val="0"/>
              <c:showPercent val="0"/>
              <c:showBubbleSize val="0"/>
            </c:dLbl>
            <c:dLbl>
              <c:idx val="2"/>
              <c:layout>
                <c:manualLayout>
                  <c:x val="-2.8341572644365615E-2"/>
                  <c:y val="2.2216345310221774E-2"/>
                </c:manualLayout>
              </c:layout>
              <c:numFmt formatCode="0.00_ " sourceLinked="0"/>
              <c:spPr>
                <a:noFill/>
                <a:ln w="25400">
                  <a:noFill/>
                </a:ln>
              </c:spPr>
              <c:txPr>
                <a:bodyPr/>
                <a:lstStyle/>
                <a:p>
                  <a:pPr>
                    <a:defRPr sz="1400" b="1" i="0" u="none" strike="noStrike" baseline="0">
                      <a:solidFill>
                        <a:srgbClr val="800000"/>
                      </a:solidFill>
                      <a:latin typeface="Times New Roman" panose="02020603050405020304" pitchFamily="18" charset="0"/>
                      <a:ea typeface="Century Gothic"/>
                      <a:cs typeface="Times New Roman" panose="02020603050405020304" pitchFamily="18" charset="0"/>
                    </a:defRPr>
                  </a:pPr>
                  <a:endParaRPr lang="zh-TW"/>
                </a:p>
              </c:txPr>
              <c:dLblPos val="r"/>
              <c:showLegendKey val="0"/>
              <c:showVal val="1"/>
              <c:showCatName val="0"/>
              <c:showSerName val="0"/>
              <c:showPercent val="0"/>
              <c:showBubbleSize val="0"/>
            </c:dLbl>
            <c:dLbl>
              <c:idx val="3"/>
              <c:layout>
                <c:manualLayout>
                  <c:x val="-3.4899622590625339E-2"/>
                  <c:y val="3.1571664440977365E-2"/>
                </c:manualLayout>
              </c:layout>
              <c:dLblPos val="r"/>
              <c:showLegendKey val="0"/>
              <c:showVal val="1"/>
              <c:showCatName val="0"/>
              <c:showSerName val="0"/>
              <c:showPercent val="0"/>
              <c:showBubbleSize val="0"/>
            </c:dLbl>
            <c:dLbl>
              <c:idx val="4"/>
              <c:layout>
                <c:manualLayout>
                  <c:x val="-2.5429440104734115E-2"/>
                  <c:y val="-3.575805839790968E-2"/>
                </c:manualLayout>
              </c:layout>
              <c:dLblPos val="r"/>
              <c:showLegendKey val="0"/>
              <c:showVal val="1"/>
              <c:showCatName val="0"/>
              <c:showSerName val="0"/>
              <c:showPercent val="0"/>
              <c:showBubbleSize val="0"/>
            </c:dLbl>
            <c:dLbl>
              <c:idx val="5"/>
              <c:layout>
                <c:manualLayout>
                  <c:x val="-3.9856126963297683E-2"/>
                  <c:y val="-2.4711810274061358E-2"/>
                </c:manualLayout>
              </c:layout>
              <c:dLblPos val="r"/>
              <c:showLegendKey val="0"/>
              <c:showVal val="1"/>
              <c:showCatName val="0"/>
              <c:showSerName val="0"/>
              <c:showPercent val="0"/>
              <c:showBubbleSize val="0"/>
            </c:dLbl>
            <c:dLbl>
              <c:idx val="6"/>
              <c:dLblPos val="r"/>
              <c:showLegendKey val="0"/>
              <c:showVal val="1"/>
              <c:showCatName val="0"/>
              <c:showSerName val="0"/>
              <c:showPercent val="0"/>
              <c:showBubbleSize val="0"/>
            </c:dLbl>
            <c:dLbl>
              <c:idx val="7"/>
              <c:delete val="1"/>
            </c:dLbl>
            <c:numFmt formatCode="#,##0.00_ " sourceLinked="0"/>
            <c:spPr>
              <a:noFill/>
              <a:ln w="25400">
                <a:noFill/>
              </a:ln>
            </c:spPr>
            <c:txPr>
              <a:bodyPr/>
              <a:lstStyle/>
              <a:p>
                <a:pPr>
                  <a:defRPr sz="1400" b="1" i="0" u="none" strike="noStrike" baseline="0">
                    <a:solidFill>
                      <a:srgbClr val="8000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(CPI表!$C$3,CPI表!$C$7:$C$9,CPI表!$C$11,CPI表!$C$13)</c:f>
              <c:numCache>
                <c:formatCode>#,##0.000_ ;[Red]\-#,##0.000\ </c:formatCode>
                <c:ptCount val="6"/>
                <c:pt idx="0">
                  <c:v>-0.45</c:v>
                </c:pt>
                <c:pt idx="1">
                  <c:v>-0.24</c:v>
                </c:pt>
                <c:pt idx="2">
                  <c:v>-0.63500000000000001</c:v>
                </c:pt>
                <c:pt idx="3">
                  <c:v>-0.26100000000000001</c:v>
                </c:pt>
                <c:pt idx="4">
                  <c:v>0.377</c:v>
                </c:pt>
                <c:pt idx="5">
                  <c:v>1.151</c:v>
                </c:pt>
              </c:numCache>
            </c:numRef>
          </c:val>
          <c:smooth val="0"/>
        </c:ser>
        <c:ser>
          <c:idx val="4"/>
          <c:order val="4"/>
          <c:tx>
            <c:strRef>
              <c:f>CPI表!$K$1</c:f>
              <c:strCache>
                <c:ptCount val="1"/>
                <c:pt idx="0">
                  <c:v>韓國</c:v>
                </c:pt>
              </c:strCache>
            </c:strRef>
          </c:tx>
          <c:spPr>
            <a:ln w="25400">
              <a:solidFill>
                <a:srgbClr val="000000"/>
              </a:solidFill>
              <a:prstDash val="solid"/>
            </a:ln>
          </c:spPr>
          <c:marker>
            <c:symbol val="diamond"/>
            <c:size val="7"/>
            <c:spPr>
              <a:solidFill>
                <a:srgbClr val="000000"/>
              </a:solidFill>
              <a:ln>
                <a:solidFill>
                  <a:srgbClr val="000000"/>
                </a:solidFill>
                <a:prstDash val="solid"/>
              </a:ln>
            </c:spPr>
          </c:marker>
          <c:dLbls>
            <c:dLbl>
              <c:idx val="0"/>
              <c:layout>
                <c:manualLayout>
                  <c:x val="-6.1895050654988418E-2"/>
                  <c:y val="1.1895870490748835E-3"/>
                </c:manualLayout>
              </c:layout>
              <c:dLblPos val="r"/>
              <c:showLegendKey val="0"/>
              <c:showVal val="1"/>
              <c:showCatName val="0"/>
              <c:showSerName val="0"/>
              <c:showPercent val="0"/>
              <c:showBubbleSize val="0"/>
            </c:dLbl>
            <c:dLbl>
              <c:idx val="1"/>
              <c:layout>
                <c:manualLayout>
                  <c:x val="-2.5952421303297352E-2"/>
                  <c:y val="1.3926226393417994E-2"/>
                </c:manualLayout>
              </c:layout>
              <c:dLblPos val="r"/>
              <c:showLegendKey val="0"/>
              <c:showVal val="1"/>
              <c:showCatName val="0"/>
              <c:showSerName val="0"/>
              <c:showPercent val="0"/>
              <c:showBubbleSize val="0"/>
            </c:dLbl>
            <c:dLbl>
              <c:idx val="2"/>
              <c:layout>
                <c:manualLayout>
                  <c:x val="-2.5218877932639671E-2"/>
                  <c:y val="3.4671667848635762E-2"/>
                </c:manualLayout>
              </c:layout>
              <c:dLblPos val="r"/>
              <c:showLegendKey val="0"/>
              <c:showVal val="1"/>
              <c:showCatName val="0"/>
              <c:showSerName val="0"/>
              <c:showPercent val="0"/>
              <c:showBubbleSize val="0"/>
            </c:dLbl>
            <c:dLbl>
              <c:idx val="3"/>
              <c:layout>
                <c:manualLayout>
                  <c:x val="-2.9713390864759052E-2"/>
                  <c:y val="3.2940888196723632E-2"/>
                </c:manualLayout>
              </c:layout>
              <c:dLblPos val="r"/>
              <c:showLegendKey val="0"/>
              <c:showVal val="1"/>
              <c:showCatName val="0"/>
              <c:showSerName val="0"/>
              <c:showPercent val="0"/>
              <c:showBubbleSize val="0"/>
            </c:dLbl>
            <c:dLbl>
              <c:idx val="4"/>
              <c:layout>
                <c:manualLayout>
                  <c:x val="-2.6828222179334046E-2"/>
                  <c:y val="3.2015161729352953E-2"/>
                </c:manualLayout>
              </c:layout>
              <c:dLblPos val="r"/>
              <c:showLegendKey val="0"/>
              <c:showVal val="1"/>
              <c:showCatName val="0"/>
              <c:showSerName val="0"/>
              <c:showPercent val="0"/>
              <c:showBubbleSize val="0"/>
            </c:dLbl>
            <c:dLbl>
              <c:idx val="5"/>
              <c:layout>
                <c:manualLayout>
                  <c:x val="-4.0050661477053127E-2"/>
                  <c:y val="2.9108364749726161E-2"/>
                </c:manualLayout>
              </c:layout>
              <c:numFmt formatCode="#,##0.00_ " sourceLinked="0"/>
              <c:spPr>
                <a:noFill/>
                <a:ln w="25400">
                  <a:noFill/>
                </a:ln>
              </c:spPr>
              <c:txPr>
                <a:bodyPr/>
                <a:lstStyle/>
                <a:p>
                  <a:pPr>
                    <a:defRPr sz="1400" b="1" i="0" u="none" strike="noStrike" baseline="0">
                      <a:solidFill>
                        <a:schemeClr val="tx1"/>
                      </a:solidFill>
                      <a:latin typeface="Times New Roman" panose="02020603050405020304" pitchFamily="18" charset="0"/>
                      <a:ea typeface="Century Gothic"/>
                      <a:cs typeface="Times New Roman" panose="02020603050405020304" pitchFamily="18" charset="0"/>
                    </a:defRPr>
                  </a:pPr>
                  <a:endParaRPr lang="zh-TW"/>
                </a:p>
              </c:txPr>
              <c:dLblPos val="r"/>
              <c:showLegendKey val="0"/>
              <c:showVal val="1"/>
              <c:showCatName val="0"/>
              <c:showSerName val="0"/>
              <c:showPercent val="0"/>
              <c:showBubbleSize val="0"/>
            </c:dLbl>
            <c:dLbl>
              <c:idx val="6"/>
              <c:numFmt formatCode="#,##0.00_ " sourceLinked="0"/>
              <c:spPr>
                <a:noFill/>
                <a:ln w="25400">
                  <a:noFill/>
                </a:ln>
              </c:spPr>
              <c:txPr>
                <a:bodyPr/>
                <a:lstStyle/>
                <a:p>
                  <a:pPr>
                    <a:defRPr sz="1400" b="1" i="0" u="none" strike="noStrike" baseline="0">
                      <a:solidFill>
                        <a:srgbClr val="FF00FF"/>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dLbl>
            <c:dLbl>
              <c:idx val="7"/>
              <c:delete val="1"/>
            </c:dLbl>
            <c:dLbl>
              <c:idx val="8"/>
              <c:numFmt formatCode="#,##0.00_ " sourceLinked="0"/>
              <c:spPr>
                <a:noFill/>
                <a:ln w="25400">
                  <a:noFill/>
                </a:ln>
              </c:spPr>
              <c:txPr>
                <a:bodyPr/>
                <a:lstStyle/>
                <a:p>
                  <a:pPr>
                    <a:defRPr sz="1400" b="1" i="0" u="none" strike="noStrike" baseline="0">
                      <a:solidFill>
                        <a:srgbClr val="FF00FF"/>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dLbl>
            <c:numFmt formatCode="#,##0.00_ " sourceLinked="0"/>
            <c:spPr>
              <a:noFill/>
              <a:ln w="25400">
                <a:noFill/>
              </a:ln>
            </c:spPr>
            <c:txPr>
              <a:bodyPr/>
              <a:lstStyle/>
              <a:p>
                <a:pPr>
                  <a:defRPr sz="1400" b="1" i="0" u="none" strike="noStrike" baseline="0">
                    <a:solidFill>
                      <a:srgbClr val="000000"/>
                    </a:solidFill>
                    <a:latin typeface="Times New Roman" panose="02020603050405020304" pitchFamily="18" charset="0"/>
                    <a:ea typeface="Century Gothic"/>
                    <a:cs typeface="Times New Roman" panose="02020603050405020304" pitchFamily="18" charset="0"/>
                  </a:defRPr>
                </a:pPr>
                <a:endParaRPr lang="zh-TW"/>
              </a:p>
            </c:txPr>
            <c:dLblPos val="b"/>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(CPI表!$K$3,CPI表!$K$7:$K$9,CPI表!$K$11,CPI表!$K$13)</c:f>
              <c:numCache>
                <c:formatCode>#,##0.000_ ;[Red]\-#,##0.000\ </c:formatCode>
                <c:ptCount val="6"/>
                <c:pt idx="0">
                  <c:v>1.54</c:v>
                </c:pt>
                <c:pt idx="1">
                  <c:v>1.3</c:v>
                </c:pt>
                <c:pt idx="2">
                  <c:v>2.0630000000000002</c:v>
                </c:pt>
                <c:pt idx="3">
                  <c:v>2.407</c:v>
                </c:pt>
                <c:pt idx="4">
                  <c:v>2.6120000000000001</c:v>
                </c:pt>
                <c:pt idx="5">
                  <c:v>2.5870000000000002</c:v>
                </c:pt>
              </c:numCache>
            </c:numRef>
          </c:val>
          <c:smooth val="0"/>
        </c:ser>
        <c:ser>
          <c:idx val="5"/>
          <c:order val="5"/>
          <c:tx>
            <c:strRef>
              <c:f>CPI表!$M$1</c:f>
              <c:strCache>
                <c:ptCount val="1"/>
                <c:pt idx="0">
                  <c:v>中國大陸</c:v>
                </c:pt>
              </c:strCache>
            </c:strRef>
          </c:tx>
          <c:spPr>
            <a:ln w="25400">
              <a:solidFill>
                <a:srgbClr val="800080"/>
              </a:solidFill>
              <a:prstDash val="solid"/>
            </a:ln>
          </c:spPr>
          <c:marker>
            <c:symbol val="diamond"/>
            <c:size val="7"/>
            <c:spPr>
              <a:solidFill>
                <a:srgbClr val="800080"/>
              </a:solidFill>
              <a:ln>
                <a:solidFill>
                  <a:srgbClr val="800080"/>
                </a:solidFill>
                <a:prstDash val="solid"/>
              </a:ln>
            </c:spPr>
          </c:marker>
          <c:dLbls>
            <c:dLbl>
              <c:idx val="0"/>
              <c:layout>
                <c:manualLayout>
                  <c:x val="-4.7807765408634267E-2"/>
                  <c:y val="-3.799838104349106E-3"/>
                </c:manualLayout>
              </c:layout>
              <c:dLblPos val="r"/>
              <c:showLegendKey val="0"/>
              <c:showVal val="1"/>
              <c:showCatName val="0"/>
              <c:showSerName val="0"/>
              <c:showPercent val="0"/>
              <c:showBubbleSize val="0"/>
            </c:dLbl>
            <c:dLbl>
              <c:idx val="1"/>
              <c:layout>
                <c:manualLayout>
                  <c:x val="-2.8731352758273671E-2"/>
                  <c:y val="-3.0516038436371854E-2"/>
                </c:manualLayout>
              </c:layout>
              <c:dLblPos val="r"/>
              <c:showLegendKey val="0"/>
              <c:showVal val="1"/>
              <c:showCatName val="0"/>
              <c:showSerName val="0"/>
              <c:showPercent val="0"/>
              <c:showBubbleSize val="0"/>
            </c:dLbl>
            <c:dLbl>
              <c:idx val="2"/>
              <c:layout>
                <c:manualLayout>
                  <c:x val="-2.6255736037962142E-2"/>
                  <c:y val="-1.8095949285800553E-2"/>
                </c:manualLayout>
              </c:layout>
              <c:dLblPos val="r"/>
              <c:showLegendKey val="0"/>
              <c:showVal val="1"/>
              <c:showCatName val="0"/>
              <c:showSerName val="0"/>
              <c:showPercent val="0"/>
              <c:showBubbleSize val="0"/>
            </c:dLbl>
            <c:dLbl>
              <c:idx val="3"/>
              <c:layout>
                <c:manualLayout>
                  <c:x val="-2.6195225182944846E-2"/>
                  <c:y val="-2.0519720388486793E-2"/>
                </c:manualLayout>
              </c:layout>
              <c:dLblPos val="r"/>
              <c:showLegendKey val="0"/>
              <c:showVal val="1"/>
              <c:showCatName val="0"/>
              <c:showSerName val="0"/>
              <c:showPercent val="0"/>
              <c:showBubbleSize val="0"/>
            </c:dLbl>
            <c:dLbl>
              <c:idx val="4"/>
              <c:layout>
                <c:manualLayout>
                  <c:x val="-2.4816942709747387E-2"/>
                  <c:y val="-2.0527779821914786E-2"/>
                </c:manualLayout>
              </c:layout>
              <c:dLblPos val="r"/>
              <c:showLegendKey val="0"/>
              <c:showVal val="1"/>
              <c:showCatName val="0"/>
              <c:showSerName val="0"/>
              <c:showPercent val="0"/>
              <c:showBubbleSize val="0"/>
            </c:dLbl>
            <c:dLbl>
              <c:idx val="5"/>
              <c:layout>
                <c:manualLayout>
                  <c:x val="-2.6221976643975034E-2"/>
                  <c:y val="-1.8657667791526059E-2"/>
                </c:manualLayout>
              </c:layout>
              <c:showLegendKey val="0"/>
              <c:showVal val="1"/>
              <c:showCatName val="0"/>
              <c:showSerName val="0"/>
              <c:showPercent val="0"/>
              <c:showBubbleSize val="0"/>
            </c:dLbl>
            <c:numFmt formatCode="#,##0.00_ ;[Red]\-#,##0.00\ " sourceLinked="0"/>
            <c:spPr>
              <a:noFill/>
              <a:ln w="25400">
                <a:noFill/>
              </a:ln>
            </c:spPr>
            <c:txPr>
              <a:bodyPr/>
              <a:lstStyle/>
              <a:p>
                <a:pPr>
                  <a:defRPr sz="1100" b="0" i="0" u="none" strike="noStrike" baseline="0">
                    <a:solidFill>
                      <a:srgbClr val="800080"/>
                    </a:solidFill>
                    <a:latin typeface="Times New Roman" panose="02020603050405020304" pitchFamily="18" charset="0"/>
                    <a:ea typeface="BatangChe" panose="02030609000101010101" pitchFamily="49" charset="-127"/>
                    <a:cs typeface="Times New Roman" panose="02020603050405020304" pitchFamily="18" charset="0"/>
                  </a:defRPr>
                </a:pPr>
                <a:endParaRPr lang="zh-TW"/>
              </a:p>
            </c:txPr>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(CPI表!$M$3,CPI表!$M$7:$M$9,CPI表!$M$11,CPI表!$M$13)</c:f>
            </c:numRef>
          </c:val>
          <c:smooth val="0"/>
        </c:ser>
        <c:ser>
          <c:idx val="12"/>
          <c:order val="6"/>
          <c:tx>
            <c:v>義大利</c:v>
          </c:tx>
          <c:spPr>
            <a:ln w="28575">
              <a:solidFill>
                <a:srgbClr val="00B0F0"/>
              </a:solidFill>
            </a:ln>
          </c:spPr>
          <c:marker>
            <c:symbol val="diamond"/>
            <c:size val="7"/>
            <c:spPr>
              <a:solidFill>
                <a:srgbClr val="00B0F0"/>
              </a:solidFill>
              <a:ln>
                <a:solidFill>
                  <a:srgbClr val="00B0F0"/>
                </a:solidFill>
              </a:ln>
            </c:spPr>
          </c:marker>
          <c:dLbls>
            <c:dLbl>
              <c:idx val="0"/>
              <c:layout>
                <c:manualLayout>
                  <c:x val="-5.3773183153430326E-2"/>
                  <c:y val="-9.3474847630578162E-3"/>
                </c:manualLayout>
              </c:layout>
              <c:showLegendKey val="0"/>
              <c:showVal val="1"/>
              <c:showCatName val="0"/>
              <c:showSerName val="0"/>
              <c:showPercent val="0"/>
              <c:showBubbleSize val="0"/>
            </c:dLbl>
            <c:dLbl>
              <c:idx val="1"/>
              <c:layout>
                <c:manualLayout>
                  <c:x val="1.4271653543307086E-3"/>
                  <c:y val="-8.0809553687943882E-3"/>
                </c:manualLayout>
              </c:layout>
              <c:dLblPos val="r"/>
              <c:showLegendKey val="0"/>
              <c:showVal val="1"/>
              <c:showCatName val="0"/>
              <c:showSerName val="0"/>
              <c:showPercent val="0"/>
              <c:showBubbleSize val="0"/>
            </c:dLbl>
            <c:dLbl>
              <c:idx val="2"/>
              <c:layout>
                <c:manualLayout>
                  <c:x val="-2.4898967513166816E-2"/>
                  <c:y val="-2.4213408509121546E-2"/>
                </c:manualLayout>
              </c:layout>
              <c:showLegendKey val="0"/>
              <c:showVal val="1"/>
              <c:showCatName val="0"/>
              <c:showSerName val="0"/>
              <c:showPercent val="0"/>
              <c:showBubbleSize val="0"/>
            </c:dLbl>
            <c:dLbl>
              <c:idx val="3"/>
              <c:layout>
                <c:manualLayout>
                  <c:x val="-2.6215323043228867E-2"/>
                  <c:y val="-2.0416913374043732E-2"/>
                </c:manualLayout>
              </c:layout>
              <c:showLegendKey val="0"/>
              <c:showVal val="1"/>
              <c:showCatName val="0"/>
              <c:showSerName val="0"/>
              <c:showPercent val="0"/>
              <c:showBubbleSize val="0"/>
            </c:dLbl>
            <c:dLbl>
              <c:idx val="4"/>
              <c:layout>
                <c:manualLayout>
                  <c:x val="-4.5525564478281273E-2"/>
                  <c:y val="-7.3054841208821959E-3"/>
                </c:manualLayout>
              </c:layout>
              <c:showLegendKey val="0"/>
              <c:showVal val="1"/>
              <c:showCatName val="0"/>
              <c:showSerName val="0"/>
              <c:showPercent val="0"/>
              <c:showBubbleSize val="0"/>
            </c:dLbl>
            <c:dLbl>
              <c:idx val="5"/>
              <c:layout>
                <c:manualLayout>
                  <c:x val="-2.4810102379586658E-2"/>
                  <c:y val="-2.2567317974142121E-2"/>
                </c:manualLayout>
              </c:layout>
              <c:showLegendKey val="0"/>
              <c:showVal val="1"/>
              <c:showCatName val="0"/>
              <c:showSerName val="0"/>
              <c:showPercent val="0"/>
              <c:showBubbleSize val="0"/>
            </c:dLbl>
            <c:numFmt formatCode="#,##0.00_ " sourceLinked="0"/>
            <c:txPr>
              <a:bodyPr/>
              <a:lstStyle/>
              <a:p>
                <a:pPr>
                  <a:defRPr sz="1100">
                    <a:solidFill>
                      <a:srgbClr val="00B0F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dLbls>
          <c:cat>
            <c:strRef>
              <c:f>(CPI表!$B$3,CPI表!$B$7:$B$9,CPI表!$B$11,CPI表!$B$13)</c:f>
              <c:strCache>
                <c:ptCount val="6"/>
                <c:pt idx="0">
                  <c:v>隔夜拆款
利率</c:v>
                </c:pt>
                <c:pt idx="1">
                  <c:v>1年期
存款利率</c:v>
                </c:pt>
                <c:pt idx="2">
                  <c:v>2年期
公債殖利率</c:v>
                </c:pt>
                <c:pt idx="3">
                  <c:v>5年期
公債殖利率</c:v>
                </c:pt>
                <c:pt idx="4">
                  <c:v>10年期
公債殖利率</c:v>
                </c:pt>
                <c:pt idx="5">
                  <c:v>30年期
公債殖利率</c:v>
                </c:pt>
              </c:strCache>
            </c:strRef>
          </c:cat>
          <c:val>
            <c:numRef>
              <c:f>(CPI表!$O$3,CPI表!$O$7:$O$9,CPI表!$O$11,CPI表!$O$13)</c:f>
            </c:numRef>
          </c:val>
          <c:smooth val="0"/>
        </c:ser>
        <c:dLbls>
          <c:showLegendKey val="0"/>
          <c:showVal val="0"/>
          <c:showCatName val="0"/>
          <c:showSerName val="0"/>
          <c:showPercent val="0"/>
          <c:showBubbleSize val="0"/>
        </c:dLbls>
        <c:marker val="1"/>
        <c:smooth val="0"/>
        <c:axId val="231120256"/>
        <c:axId val="258122880"/>
      </c:lineChart>
      <c:catAx>
        <c:axId val="23112025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Times New Roman" panose="02020603050405020304" pitchFamily="18" charset="0"/>
                <a:ea typeface="標楷體"/>
                <a:cs typeface="Times New Roman" panose="02020603050405020304" pitchFamily="18" charset="0"/>
              </a:defRPr>
            </a:pPr>
            <a:endParaRPr lang="zh-TW"/>
          </a:p>
        </c:txPr>
        <c:crossAx val="258122880"/>
        <c:crossesAt val="0"/>
        <c:auto val="1"/>
        <c:lblAlgn val="ctr"/>
        <c:lblOffset val="100"/>
        <c:tickLblSkip val="1"/>
        <c:tickMarkSkip val="1"/>
        <c:noMultiLvlLbl val="0"/>
      </c:catAx>
      <c:valAx>
        <c:axId val="258122880"/>
        <c:scaling>
          <c:orientation val="minMax"/>
          <c:max val="3.5"/>
          <c:min val="-1"/>
        </c:scaling>
        <c:delete val="0"/>
        <c:axPos val="l"/>
        <c:numFmt formatCode="0.0_ " sourceLinked="0"/>
        <c:majorTickMark val="in"/>
        <c:minorTickMark val="none"/>
        <c:tickLblPos val="nextTo"/>
        <c:spPr>
          <a:ln w="3175">
            <a:solidFill>
              <a:srgbClr val="000000"/>
            </a:solidFill>
            <a:prstDash val="solid"/>
          </a:ln>
        </c:spPr>
        <c:txPr>
          <a:bodyPr rot="0" vert="horz"/>
          <a:lstStyle/>
          <a:p>
            <a:pPr>
              <a:defRPr sz="1300" b="0" i="0" u="none" strike="noStrike" baseline="0">
                <a:solidFill>
                  <a:srgbClr val="000000"/>
                </a:solidFill>
                <a:latin typeface="Times New Roman" panose="02020603050405020304" pitchFamily="18" charset="0"/>
                <a:ea typeface="Century Gothic"/>
                <a:cs typeface="Times New Roman" panose="02020603050405020304" pitchFamily="18" charset="0"/>
              </a:defRPr>
            </a:pPr>
            <a:endParaRPr lang="zh-TW"/>
          </a:p>
        </c:txPr>
        <c:crossAx val="231120256"/>
        <c:crosses val="autoZero"/>
        <c:crossBetween val="between"/>
        <c:majorUnit val="1"/>
        <c:minorUnit val="0.2"/>
      </c:valAx>
      <c:spPr>
        <a:noFill/>
        <a:ln>
          <a:solidFill>
            <a:schemeClr val="tx1"/>
          </a:solidFill>
        </a:ln>
      </c:spPr>
    </c:plotArea>
    <c:plotVisOnly val="1"/>
    <c:dispBlanksAs val="gap"/>
    <c:showDLblsOverMax val="0"/>
  </c:chart>
  <c:spPr>
    <a:noFill/>
    <a:ln w="9525">
      <a:noFill/>
    </a:ln>
  </c:spPr>
  <c:txPr>
    <a:bodyPr/>
    <a:lstStyle/>
    <a:p>
      <a:pPr>
        <a:defRPr sz="1200" b="0" i="0" u="none" strike="noStrike" baseline="0">
          <a:solidFill>
            <a:srgbClr val="000000"/>
          </a:solidFill>
          <a:latin typeface="標楷體"/>
          <a:ea typeface="標楷體"/>
          <a:cs typeface="標楷體"/>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0.04636</cdr:x>
      <cdr:y>0.94894</cdr:y>
    </cdr:from>
    <cdr:to>
      <cdr:x>0.9404</cdr:x>
      <cdr:y>0.99214</cdr:y>
    </cdr:to>
    <cdr:sp macro="" textlink="">
      <cdr:nvSpPr>
        <cdr:cNvPr id="6171" name="Text Box 27"/>
        <cdr:cNvSpPr txBox="1">
          <a:spLocks xmlns:a="http://schemas.openxmlformats.org/drawingml/2006/main" noChangeArrowheads="1"/>
        </cdr:cNvSpPr>
      </cdr:nvSpPr>
      <cdr:spPr bwMode="auto">
        <a:xfrm xmlns:a="http://schemas.openxmlformats.org/drawingml/2006/main">
          <a:off x="427056" y="6451600"/>
          <a:ext cx="8235658" cy="29369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sz="1000"/>
          </a:pPr>
          <a:r>
            <a:rPr lang="en-US" altLang="zh-TW" sz="1100" b="0" i="0" u="none" strike="noStrike" baseline="0">
              <a:solidFill>
                <a:srgbClr val="000000"/>
              </a:solidFill>
              <a:latin typeface="Times New Roman" panose="02020603050405020304" pitchFamily="18" charset="0"/>
              <a:ea typeface="標楷體"/>
              <a:cs typeface="Times New Roman" panose="02020603050405020304" pitchFamily="18" charset="0"/>
            </a:rPr>
            <a:t>Sources: </a:t>
          </a:r>
          <a:r>
            <a:rPr lang="zh-TW" altLang="en-US" sz="1100" b="0" i="0" u="none" strike="noStrike" baseline="0">
              <a:solidFill>
                <a:srgbClr val="000000"/>
              </a:solidFill>
              <a:latin typeface="Times New Roman" panose="02020603050405020304" pitchFamily="18" charset="0"/>
              <a:ea typeface="標楷體"/>
              <a:cs typeface="Times New Roman" panose="02020603050405020304" pitchFamily="18" charset="0"/>
            </a:rPr>
            <a:t>Bloomberg</a:t>
          </a:r>
          <a:r>
            <a:rPr lang="en-US" altLang="zh-TW" sz="1100" b="0" i="0" u="none" strike="noStrike" baseline="0">
              <a:solidFill>
                <a:srgbClr val="000000"/>
              </a:solidFill>
              <a:latin typeface="Times New Roman" panose="02020603050405020304" pitchFamily="18" charset="0"/>
              <a:ea typeface="標楷體"/>
              <a:cs typeface="Times New Roman" panose="02020603050405020304" pitchFamily="18" charset="0"/>
            </a:rPr>
            <a:t>; CBC; Taipei Exchange; Bank of Japan; US Federal Reserve; US Treasury Department.</a:t>
          </a:r>
          <a:endParaRPr lang="zh-TW" altLang="zh-TW" sz="1100">
            <a:effectLst/>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0.01795</cdr:x>
      <cdr:y>0.01505</cdr:y>
    </cdr:from>
    <cdr:to>
      <cdr:x>0.0637</cdr:x>
      <cdr:y>0.0636</cdr:y>
    </cdr:to>
    <cdr:sp macro="" textlink="">
      <cdr:nvSpPr>
        <cdr:cNvPr id="6145" name="Text Box 1"/>
        <cdr:cNvSpPr txBox="1">
          <a:spLocks xmlns:a="http://schemas.openxmlformats.org/drawingml/2006/main" noChangeArrowheads="1"/>
        </cdr:cNvSpPr>
      </cdr:nvSpPr>
      <cdr:spPr bwMode="auto">
        <a:xfrm xmlns:a="http://schemas.openxmlformats.org/drawingml/2006/main">
          <a:off x="165213" y="102170"/>
          <a:ext cx="421127" cy="32963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9"/>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32004" rIns="36576" bIns="0" anchor="t" upright="1"/>
        <a:lstStyle xmlns:a="http://schemas.openxmlformats.org/drawingml/2006/main"/>
        <a:p xmlns:a="http://schemas.openxmlformats.org/drawingml/2006/main">
          <a:pPr algn="ctr" rtl="0">
            <a:defRPr sz="1000"/>
          </a:pPr>
          <a:r>
            <a:rPr lang="en-US" altLang="zh-TW" sz="1400" b="0" i="0" u="none" strike="noStrike" baseline="0" dirty="0" smtClean="0">
              <a:solidFill>
                <a:srgbClr val="000000"/>
              </a:solidFill>
              <a:latin typeface="Times New Roman" panose="02020603050405020304" pitchFamily="18" charset="0"/>
              <a:ea typeface="細明體"/>
              <a:cs typeface="Times New Roman" panose="02020603050405020304" pitchFamily="18" charset="0"/>
            </a:rPr>
            <a:t>%</a:t>
          </a:r>
          <a:endParaRPr lang="zh-TW" altLang="en-US"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0.91421</cdr:x>
      <cdr:y>0.1228</cdr:y>
    </cdr:from>
    <cdr:to>
      <cdr:x>0.96858</cdr:x>
      <cdr:y>0.18157</cdr:y>
    </cdr:to>
    <cdr:sp macro="" textlink="">
      <cdr:nvSpPr>
        <cdr:cNvPr id="6" name="文字方塊 1"/>
        <cdr:cNvSpPr txBox="1"/>
      </cdr:nvSpPr>
      <cdr:spPr>
        <a:xfrm xmlns:a="http://schemas.openxmlformats.org/drawingml/2006/main">
          <a:off x="7891646" y="594347"/>
          <a:ext cx="469332" cy="284427"/>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200" b="1" i="0" u="none" strike="noStrike" kern="1200" baseline="0" dirty="0">
              <a:solidFill>
                <a:srgbClr val="0000FF"/>
              </a:solidFill>
              <a:latin typeface="Times New Roman" panose="02020603050405020304" pitchFamily="18" charset="0"/>
              <a:ea typeface="標楷體" panose="03000509000000000000" pitchFamily="65" charset="-120"/>
              <a:cs typeface="Times New Roman" panose="02020603050405020304" pitchFamily="18" charset="0"/>
            </a:rPr>
            <a:t>U.S.</a:t>
          </a:r>
          <a:endParaRPr lang="zh-TW" altLang="en-US" sz="1200" b="1" i="0" u="none" strike="noStrike" kern="1200" baseline="0" dirty="0">
            <a:solidFill>
              <a:srgbClr val="0000FF"/>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0.91042</cdr:x>
      <cdr:y>0.19418</cdr:y>
    </cdr:from>
    <cdr:to>
      <cdr:x>0.96789</cdr:x>
      <cdr:y>0.25529</cdr:y>
    </cdr:to>
    <cdr:sp macro="" textlink="">
      <cdr:nvSpPr>
        <cdr:cNvPr id="7" name="文字方塊 1"/>
        <cdr:cNvSpPr txBox="1"/>
      </cdr:nvSpPr>
      <cdr:spPr>
        <a:xfrm xmlns:a="http://schemas.openxmlformats.org/drawingml/2006/main">
          <a:off x="7858954" y="939808"/>
          <a:ext cx="496092" cy="295771"/>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200" b="1" i="0" u="none" strike="noStrike" kern="1200" baseline="0" dirty="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South Korea</a:t>
          </a:r>
          <a:endParaRPr lang="zh-TW" altLang="en-US" sz="1600" b="1" i="0" u="none" strike="noStrike" kern="1200" baseline="0" dirty="0">
            <a:solidFill>
              <a:srgbClr val="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0.91003</cdr:x>
      <cdr:y>0.3625</cdr:y>
    </cdr:from>
    <cdr:to>
      <cdr:x>0.98803</cdr:x>
      <cdr:y>0.4073</cdr:y>
    </cdr:to>
    <cdr:sp macro="" textlink="">
      <cdr:nvSpPr>
        <cdr:cNvPr id="8" name="文字方塊 1"/>
        <cdr:cNvSpPr txBox="1"/>
      </cdr:nvSpPr>
      <cdr:spPr>
        <a:xfrm xmlns:a="http://schemas.openxmlformats.org/drawingml/2006/main">
          <a:off x="7627877" y="1664716"/>
          <a:ext cx="653796" cy="205736"/>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2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rPr>
            <a:t>Taiwan</a:t>
          </a:r>
          <a:endParaRPr lang="zh-TW" altLang="en-US" sz="1200" b="1" i="0" u="none" strike="noStrike" kern="1200" baseline="0" dirty="0">
            <a:solidFill>
              <a:srgbClr val="0099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0.90023</cdr:x>
      <cdr:y>0.44689</cdr:y>
    </cdr:from>
    <cdr:to>
      <cdr:x>0.9751</cdr:x>
      <cdr:y>0.49241</cdr:y>
    </cdr:to>
    <cdr:sp macro="" textlink="">
      <cdr:nvSpPr>
        <cdr:cNvPr id="9" name="文字方塊 1"/>
        <cdr:cNvSpPr txBox="1"/>
      </cdr:nvSpPr>
      <cdr:spPr>
        <a:xfrm xmlns:a="http://schemas.openxmlformats.org/drawingml/2006/main">
          <a:off x="7545704" y="2052265"/>
          <a:ext cx="627561" cy="20904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100" b="1" i="0" u="none" strike="noStrike" kern="1200" baseline="0" dirty="0">
              <a:solidFill>
                <a:srgbClr val="800000"/>
              </a:solidFill>
              <a:latin typeface="Times New Roman" panose="02020603050405020304" pitchFamily="18" charset="0"/>
              <a:ea typeface="標楷體" panose="03000509000000000000" pitchFamily="65" charset="-120"/>
              <a:cs typeface="Times New Roman" panose="02020603050405020304" pitchFamily="18" charset="0"/>
            </a:rPr>
            <a:t>Germany</a:t>
          </a:r>
          <a:endParaRPr lang="zh-TW" altLang="en-US" sz="1100" b="1" i="0" u="none" strike="noStrike" kern="1200" baseline="0" dirty="0">
            <a:solidFill>
              <a:srgbClr val="8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0.90996</cdr:x>
      <cdr:y>0.52959</cdr:y>
    </cdr:from>
    <cdr:to>
      <cdr:x>0.96682</cdr:x>
      <cdr:y>0.59745</cdr:y>
    </cdr:to>
    <cdr:sp macro="" textlink="">
      <cdr:nvSpPr>
        <cdr:cNvPr id="10" name="文字方塊 1"/>
        <cdr:cNvSpPr txBox="1"/>
      </cdr:nvSpPr>
      <cdr:spPr>
        <a:xfrm xmlns:a="http://schemas.openxmlformats.org/drawingml/2006/main">
          <a:off x="7854946" y="2563198"/>
          <a:ext cx="490826" cy="3284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200" b="1" i="0" u="none" strike="noStrike" kern="1200" baseline="0" dirty="0">
              <a:solidFill>
                <a:schemeClr val="accent6">
                  <a:lumMod val="75000"/>
                </a:schemeClr>
              </a:solidFill>
              <a:latin typeface="Times New Roman" panose="02020603050405020304" pitchFamily="18" charset="0"/>
              <a:ea typeface="標楷體" panose="03000509000000000000" pitchFamily="65" charset="-120"/>
              <a:cs typeface="Times New Roman" panose="02020603050405020304" pitchFamily="18" charset="0"/>
            </a:rPr>
            <a:t>Japan</a:t>
          </a:r>
          <a:endParaRPr lang="zh-TW" altLang="en-US" sz="1600" b="1" i="0" u="none" strike="noStrike" kern="1200" baseline="0" dirty="0">
            <a:solidFill>
              <a:schemeClr val="accent6">
                <a:lumMod val="75000"/>
              </a:schemeClr>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0.10285</cdr:x>
      <cdr:y>0.8374</cdr:y>
    </cdr:from>
    <cdr:to>
      <cdr:x>0.94636</cdr:x>
      <cdr:y>0.94951</cdr:y>
    </cdr:to>
    <cdr:grpSp>
      <cdr:nvGrpSpPr>
        <cdr:cNvPr id="3" name="群組 2"/>
        <cdr:cNvGrpSpPr/>
      </cdr:nvGrpSpPr>
      <cdr:grpSpPr>
        <a:xfrm xmlns:a="http://schemas.openxmlformats.org/drawingml/2006/main">
          <a:off x="862078" y="3845623"/>
          <a:ext cx="7070310" cy="514815"/>
          <a:chOff x="862078" y="3845623"/>
          <a:chExt cx="7070310" cy="514815"/>
        </a:xfrm>
      </cdr:grpSpPr>
      <cdr:sp macro="" textlink="">
        <cdr:nvSpPr>
          <cdr:cNvPr id="12" name="文字方塊 1"/>
          <cdr:cNvSpPr txBox="1"/>
        </cdr:nvSpPr>
        <cdr:spPr>
          <a:xfrm xmlns:a="http://schemas.openxmlformats.org/drawingml/2006/main">
            <a:off x="862078" y="3864429"/>
            <a:ext cx="755933"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overnight</a:t>
            </a:r>
          </a:p>
          <a:p xmlns:a="http://schemas.openxmlformats.org/drawingml/2006/main">
            <a:pPr algn="ctr"/>
            <a:r>
              <a:rPr lang="en-US" altLang="zh-TW" b="1">
                <a:latin typeface="Times New Roman" panose="02020603050405020304" pitchFamily="18" charset="0"/>
                <a:cs typeface="Times New Roman" panose="02020603050405020304" pitchFamily="18" charset="0"/>
              </a:rPr>
              <a:t>call</a:t>
            </a:r>
            <a:r>
              <a:rPr lang="en-US" altLang="zh-TW" b="1" baseline="0">
                <a:latin typeface="Times New Roman" panose="02020603050405020304" pitchFamily="18" charset="0"/>
                <a:cs typeface="Times New Roman" panose="02020603050405020304" pitchFamily="18" charset="0"/>
              </a:rPr>
              <a:t> loan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rate</a:t>
            </a:r>
            <a:endParaRPr lang="zh-TW" altLang="en-US" b="1">
              <a:latin typeface="Times New Roman" panose="02020603050405020304" pitchFamily="18" charset="0"/>
              <a:cs typeface="Times New Roman" panose="02020603050405020304" pitchFamily="18" charset="0"/>
            </a:endParaRPr>
          </a:p>
        </cdr:txBody>
      </cdr:sp>
      <cdr:sp macro="" textlink="">
        <cdr:nvSpPr>
          <cdr:cNvPr id="14" name="文字方塊 1"/>
          <cdr:cNvSpPr txBox="1"/>
        </cdr:nvSpPr>
        <cdr:spPr>
          <a:xfrm xmlns:a="http://schemas.openxmlformats.org/drawingml/2006/main">
            <a:off x="2153850" y="3848924"/>
            <a:ext cx="755933"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1-year</a:t>
            </a:r>
            <a:r>
              <a:rPr lang="en-US" altLang="zh-TW" b="1" baseline="0">
                <a:latin typeface="Times New Roman" panose="02020603050405020304" pitchFamily="18" charset="0"/>
                <a:cs typeface="Times New Roman" panose="02020603050405020304" pitchFamily="18" charset="0"/>
              </a:rPr>
              <a: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deposit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rate</a:t>
            </a:r>
            <a:endParaRPr lang="zh-TW" altLang="en-US" b="1">
              <a:latin typeface="Times New Roman" panose="02020603050405020304" pitchFamily="18" charset="0"/>
              <a:cs typeface="Times New Roman" panose="02020603050405020304" pitchFamily="18" charset="0"/>
            </a:endParaRPr>
          </a:p>
        </cdr:txBody>
      </cdr:sp>
      <cdr:sp macro="" textlink="">
        <cdr:nvSpPr>
          <cdr:cNvPr id="15" name="文字方塊 1"/>
          <cdr:cNvSpPr txBox="1"/>
        </cdr:nvSpPr>
        <cdr:spPr>
          <a:xfrm xmlns:a="http://schemas.openxmlformats.org/drawingml/2006/main">
            <a:off x="3337754" y="3856180"/>
            <a:ext cx="844339"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2-year</a:t>
            </a:r>
            <a:r>
              <a:rPr lang="en-US" altLang="zh-TW" b="1" baseline="0">
                <a:latin typeface="Times New Roman" panose="02020603050405020304" pitchFamily="18" charset="0"/>
                <a:cs typeface="Times New Roman" panose="02020603050405020304" pitchFamily="18" charset="0"/>
              </a:rPr>
              <a: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bond</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yield</a:t>
            </a:r>
            <a:endParaRPr lang="zh-TW" altLang="en-US" b="1">
              <a:latin typeface="Times New Roman" panose="02020603050405020304" pitchFamily="18" charset="0"/>
              <a:cs typeface="Times New Roman" panose="02020603050405020304" pitchFamily="18" charset="0"/>
            </a:endParaRPr>
          </a:p>
          <a:p xmlns:a="http://schemas.openxmlformats.org/drawingml/2006/main">
            <a:endParaRPr lang="zh-TW" altLang="en-US"/>
          </a:p>
        </cdr:txBody>
      </cdr:sp>
      <cdr:sp macro="" textlink="">
        <cdr:nvSpPr>
          <cdr:cNvPr id="16" name="文字方塊 1"/>
          <cdr:cNvSpPr txBox="1"/>
        </cdr:nvSpPr>
        <cdr:spPr>
          <a:xfrm xmlns:a="http://schemas.openxmlformats.org/drawingml/2006/main">
            <a:off x="4518689" y="3845623"/>
            <a:ext cx="844339"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5-year</a:t>
            </a:r>
            <a:r>
              <a:rPr lang="en-US" altLang="zh-TW" b="1" baseline="0">
                <a:latin typeface="Times New Roman" panose="02020603050405020304" pitchFamily="18" charset="0"/>
                <a:cs typeface="Times New Roman" panose="02020603050405020304" pitchFamily="18" charset="0"/>
              </a:rPr>
              <a: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bond</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yield</a:t>
            </a:r>
            <a:endParaRPr lang="zh-TW" altLang="en-US" b="1">
              <a:latin typeface="Times New Roman" panose="02020603050405020304" pitchFamily="18" charset="0"/>
              <a:cs typeface="Times New Roman" panose="02020603050405020304" pitchFamily="18" charset="0"/>
            </a:endParaRPr>
          </a:p>
          <a:p xmlns:a="http://schemas.openxmlformats.org/drawingml/2006/main">
            <a:endParaRPr lang="zh-TW" altLang="en-US"/>
          </a:p>
        </cdr:txBody>
      </cdr:sp>
      <cdr:sp macro="" textlink="">
        <cdr:nvSpPr>
          <cdr:cNvPr id="17" name="文字方塊 1"/>
          <cdr:cNvSpPr txBox="1"/>
        </cdr:nvSpPr>
        <cdr:spPr>
          <a:xfrm xmlns:a="http://schemas.openxmlformats.org/drawingml/2006/main">
            <a:off x="5871488" y="3866407"/>
            <a:ext cx="844339"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10-year</a:t>
            </a:r>
            <a:r>
              <a:rPr lang="en-US" altLang="zh-TW" b="1" baseline="0">
                <a:latin typeface="Times New Roman" panose="02020603050405020304" pitchFamily="18" charset="0"/>
                <a:cs typeface="Times New Roman" panose="02020603050405020304" pitchFamily="18" charset="0"/>
              </a:rPr>
              <a: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bond</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yield</a:t>
            </a:r>
            <a:endParaRPr lang="zh-TW" altLang="en-US" b="1">
              <a:latin typeface="Times New Roman" panose="02020603050405020304" pitchFamily="18" charset="0"/>
              <a:cs typeface="Times New Roman" panose="02020603050405020304" pitchFamily="18" charset="0"/>
            </a:endParaRPr>
          </a:p>
          <a:p xmlns:a="http://schemas.openxmlformats.org/drawingml/2006/main">
            <a:endParaRPr lang="zh-TW" altLang="en-US"/>
          </a:p>
        </cdr:txBody>
      </cdr:sp>
      <cdr:sp macro="" textlink="">
        <cdr:nvSpPr>
          <cdr:cNvPr id="18" name="文字方塊 1"/>
          <cdr:cNvSpPr txBox="1"/>
        </cdr:nvSpPr>
        <cdr:spPr>
          <a:xfrm xmlns:a="http://schemas.openxmlformats.org/drawingml/2006/main">
            <a:off x="7088049" y="3853872"/>
            <a:ext cx="844339" cy="49403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p xmlns:a="http://schemas.openxmlformats.org/drawingml/2006/main">
            <a:pPr algn="ctr"/>
            <a:r>
              <a:rPr lang="en-US" altLang="zh-TW" b="1">
                <a:latin typeface="Times New Roman" panose="02020603050405020304" pitchFamily="18" charset="0"/>
                <a:cs typeface="Times New Roman" panose="02020603050405020304" pitchFamily="18" charset="0"/>
              </a:rPr>
              <a:t>30-year</a:t>
            </a:r>
            <a:r>
              <a:rPr lang="en-US" altLang="zh-TW" b="1" baseline="0">
                <a:latin typeface="Times New Roman" panose="02020603050405020304" pitchFamily="18" charset="0"/>
                <a:cs typeface="Times New Roman" panose="02020603050405020304" pitchFamily="18" charset="0"/>
              </a:rPr>
              <a:t> </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bond</a:t>
            </a:r>
          </a:p>
          <a:p xmlns:a="http://schemas.openxmlformats.org/drawingml/2006/main">
            <a:pPr algn="ctr"/>
            <a:r>
              <a:rPr lang="en-US" altLang="zh-TW" b="1" baseline="0">
                <a:latin typeface="Times New Roman" panose="02020603050405020304" pitchFamily="18" charset="0"/>
                <a:cs typeface="Times New Roman" panose="02020603050405020304" pitchFamily="18" charset="0"/>
              </a:rPr>
              <a:t>yield</a:t>
            </a:r>
            <a:endParaRPr lang="zh-TW" altLang="en-US" b="1">
              <a:latin typeface="Times New Roman" panose="02020603050405020304" pitchFamily="18" charset="0"/>
              <a:cs typeface="Times New Roman" panose="02020603050405020304" pitchFamily="18" charset="0"/>
            </a:endParaRPr>
          </a:p>
          <a:p xmlns:a="http://schemas.openxmlformats.org/drawingml/2006/main">
            <a:endParaRPr lang="zh-TW" altLang="en-US"/>
          </a:p>
        </cdr:txBody>
      </cdr:sp>
    </cdr:grp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F4199-F3D1-49C9-B01D-B2D909E7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17</Pages>
  <Words>4600</Words>
  <Characters>26224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人事評審會提案</vt:lpstr>
    </vt:vector>
  </TitlesOfParts>
  <Company>cbc</Company>
  <LinksUpToDate>false</LinksUpToDate>
  <CharactersWithSpaces>30763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16</cp:revision>
  <cp:lastPrinted>2018-07-31T03:41:00Z</cp:lastPrinted>
  <dcterms:created xsi:type="dcterms:W3CDTF">2018-07-31T03:42:00Z</dcterms:created>
  <dcterms:modified xsi:type="dcterms:W3CDTF">2018-08-02T06:18:00Z</dcterms:modified>
</cp:coreProperties>
</file>