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E6C" w:rsidRDefault="00F11E6C" w:rsidP="00F11E6C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F11E6C" w:rsidRPr="00F11E6C" w:rsidRDefault="00F11E6C" w:rsidP="00F11E6C">
      <w:pPr>
        <w:spacing w:line="480" w:lineRule="exact"/>
        <w:jc w:val="center"/>
        <w:rPr>
          <w:rFonts w:eastAsia="標楷體" w:hint="eastAsia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3543"/>
        <w:gridCol w:w="2268"/>
        <w:gridCol w:w="2273"/>
      </w:tblGrid>
      <w:tr w:rsidR="00B80613" w:rsidRPr="00F73B90" w:rsidTr="009B5BC1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613" w:rsidRPr="00F73B90" w:rsidRDefault="00B80613" w:rsidP="009B5BC1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0613" w:rsidRPr="00F73B90" w:rsidRDefault="00B80613" w:rsidP="009B5BC1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613" w:rsidRPr="00F73B90" w:rsidRDefault="00F11E6C" w:rsidP="009B5BC1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 xml:space="preserve">nit: </w:t>
            </w:r>
            <w:r w:rsidR="00B80613" w:rsidRPr="00F73B90">
              <w:rPr>
                <w:rFonts w:eastAsia="標楷體"/>
                <w:sz w:val="18"/>
              </w:rPr>
              <w:t>%</w:t>
            </w:r>
          </w:p>
        </w:tc>
      </w:tr>
      <w:tr w:rsidR="00B80613" w:rsidRPr="00F73B90" w:rsidTr="009B5BC1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13" w:rsidRPr="00F73B90" w:rsidRDefault="00F87C2F" w:rsidP="009B5BC1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13" w:rsidRPr="00F73B90" w:rsidRDefault="00B80613" w:rsidP="009B5BC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 w:hint="eastAsia"/>
                <w:b/>
              </w:rPr>
              <w:t>2024</w:t>
            </w:r>
            <w:r w:rsidR="00626F81">
              <w:rPr>
                <w:rFonts w:eastAsia="標楷體" w:hint="eastAsia"/>
                <w:b/>
              </w:rPr>
              <w:t xml:space="preserve"> </w:t>
            </w:r>
            <w:r w:rsidRPr="00F73B90">
              <w:rPr>
                <w:rFonts w:eastAsia="標楷體" w:hint="eastAsia"/>
                <w:b/>
              </w:rPr>
              <w:t>(</w:t>
            </w:r>
            <w:r w:rsidRPr="00F73B90">
              <w:rPr>
                <w:rFonts w:eastAsia="標楷體"/>
                <w:b/>
              </w:rPr>
              <w:t>f</w:t>
            </w:r>
            <w:r w:rsidRPr="00F73B90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2025</w:t>
            </w:r>
            <w:r w:rsidR="00F4716C">
              <w:rPr>
                <w:rFonts w:eastAsia="標楷體" w:hint="eastAsia"/>
                <w:b/>
              </w:rPr>
              <w:t xml:space="preserve"> </w:t>
            </w:r>
            <w:r w:rsidRPr="00F73B90">
              <w:rPr>
                <w:rFonts w:eastAsia="標楷體" w:hint="eastAsia"/>
                <w:b/>
              </w:rPr>
              <w:t>(f)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2D3" w:rsidRDefault="00864704" w:rsidP="00CA501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:rsidR="00B80613" w:rsidRPr="00F73B90" w:rsidRDefault="00864704" w:rsidP="00CA501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80613" w:rsidRPr="00F73B90" w:rsidRDefault="002E544F" w:rsidP="009B5BC1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B80613" w:rsidRPr="00F73B90">
              <w:rPr>
                <w:rFonts w:eastAsia="標楷體"/>
                <w:b/>
              </w:rPr>
              <w:t>(2024/12/19)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4.25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3.13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613" w:rsidRPr="00F73B90" w:rsidRDefault="00B80613" w:rsidP="00CA501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613" w:rsidRPr="00F73B90" w:rsidRDefault="00A54B57" w:rsidP="00A54B57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 w:rsidRPr="00F73B90">
              <w:rPr>
                <w:rFonts w:eastAsia="標楷體"/>
              </w:rPr>
              <w:t xml:space="preserve"> </w:t>
            </w:r>
            <w:r w:rsidR="00B80613" w:rsidRPr="00F73B90">
              <w:rPr>
                <w:rFonts w:eastAsia="標楷體"/>
              </w:rPr>
              <w:t>(2024/12/11)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</w:rPr>
              <w:t>4.10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 w:hint="eastAsia"/>
              </w:rPr>
              <w:t>2.80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A97AD1" w:rsidP="009B5BC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RI</w:t>
            </w:r>
            <w:r w:rsidRPr="00F73B90">
              <w:rPr>
                <w:rFonts w:eastAsia="標楷體"/>
              </w:rPr>
              <w:t xml:space="preserve"> </w:t>
            </w:r>
            <w:r w:rsidR="00B80613" w:rsidRPr="00F73B90">
              <w:rPr>
                <w:rFonts w:eastAsia="標楷體"/>
              </w:rPr>
              <w:t>(2024/12/11)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4.21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3.16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8436D8" w:rsidP="008436D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</w:t>
            </w:r>
            <w:r w:rsidRPr="00F73B90">
              <w:rPr>
                <w:rFonts w:eastAsia="標楷體"/>
              </w:rPr>
              <w:t xml:space="preserve"> </w:t>
            </w:r>
            <w:r w:rsidR="00B80613" w:rsidRPr="00F73B90">
              <w:rPr>
                <w:rFonts w:eastAsia="標楷體"/>
              </w:rPr>
              <w:t>(2024/11/29)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4.27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3.29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921CD6" w:rsidP="009B5BC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 w:rsidRPr="00F73B90">
              <w:rPr>
                <w:rFonts w:eastAsia="標楷體"/>
              </w:rPr>
              <w:t xml:space="preserve"> </w:t>
            </w:r>
            <w:r w:rsidR="00B80613" w:rsidRPr="00F73B90">
              <w:rPr>
                <w:rFonts w:eastAsia="標楷體"/>
              </w:rPr>
              <w:t>(2024/11/7)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4.03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3.15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0C2" w:rsidRDefault="009640C2" w:rsidP="009640C2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B80613" w:rsidRPr="00F73B90" w:rsidRDefault="009640C2" w:rsidP="009640C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Citi</w:t>
            </w:r>
            <w:r w:rsidR="00066645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4.50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3.00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11497D">
            <w:pPr>
              <w:rPr>
                <w:rFonts w:eastAsia="標楷體"/>
              </w:rPr>
            </w:pPr>
            <w:r w:rsidRPr="00F73B90">
              <w:rPr>
                <w:rFonts w:eastAsia="標楷體"/>
              </w:rPr>
              <w:t>S&amp;P Global Market Intelligence</w:t>
            </w:r>
            <w:r w:rsidR="00066645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4.28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2.65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J.P. Morgan</w:t>
            </w:r>
            <w:r w:rsidR="00066645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4.30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2.20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Morgan Stanley</w:t>
            </w:r>
            <w:r w:rsidR="00066645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4.20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3.40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Nomura</w:t>
            </w:r>
            <w:r w:rsidR="00066645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4.20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3.50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 w:hint="eastAsia"/>
              </w:rPr>
              <w:t>ADB</w:t>
            </w:r>
            <w:r w:rsidR="00066645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 w:hint="eastAsia"/>
              </w:rPr>
              <w:t>4.00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 w:hint="eastAsia"/>
              </w:rPr>
              <w:t>2.50</w:t>
            </w:r>
          </w:p>
        </w:tc>
      </w:tr>
      <w:tr w:rsidR="00B80613" w:rsidRPr="00F73B90" w:rsidTr="0012302C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HSBC</w:t>
            </w:r>
            <w:r w:rsidR="00066645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4.10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2.80</w:t>
            </w:r>
          </w:p>
        </w:tc>
      </w:tr>
      <w:tr w:rsidR="00B80613" w:rsidRPr="00F73B90" w:rsidTr="009B5BC1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613" w:rsidRPr="00F73B90" w:rsidRDefault="000C6FB7" w:rsidP="009B5BC1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4.20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2.97</w:t>
            </w:r>
          </w:p>
        </w:tc>
      </w:tr>
      <w:tr w:rsidR="00B80613" w:rsidRPr="00F73B90" w:rsidTr="009B5BC1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0613" w:rsidRPr="00F73B90" w:rsidRDefault="00B80613" w:rsidP="009B5BC1">
            <w:pPr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b/>
              </w:rPr>
            </w:pPr>
          </w:p>
        </w:tc>
      </w:tr>
    </w:tbl>
    <w:p w:rsidR="00B80613" w:rsidRPr="00F73B90" w:rsidRDefault="00B80613" w:rsidP="00B80613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B80613" w:rsidRPr="00F73B90" w:rsidRDefault="00B80613" w:rsidP="00B80613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F73B90">
        <w:rPr>
          <w:rFonts w:eastAsia="標楷體"/>
          <w:b/>
          <w:sz w:val="32"/>
          <w:szCs w:val="28"/>
        </w:rPr>
        <w:br w:type="page"/>
      </w:r>
    </w:p>
    <w:p w:rsidR="00AA6D88" w:rsidRDefault="00AA6D88" w:rsidP="00AA6D88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B80613" w:rsidRPr="00F73B90" w:rsidRDefault="00AA6D88" w:rsidP="00AA6D88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3543"/>
        <w:gridCol w:w="2268"/>
        <w:gridCol w:w="2273"/>
      </w:tblGrid>
      <w:tr w:rsidR="00B80613" w:rsidRPr="00F73B90" w:rsidTr="009B5BC1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613" w:rsidRPr="00F73B90" w:rsidRDefault="00B80613" w:rsidP="009B5BC1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0613" w:rsidRPr="00F73B90" w:rsidRDefault="00B80613" w:rsidP="009B5BC1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613" w:rsidRPr="00F73B90" w:rsidRDefault="00742FF3" w:rsidP="009B5BC1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 xml:space="preserve">nit: </w:t>
            </w:r>
            <w:r w:rsidR="00B80613" w:rsidRPr="00F73B90">
              <w:rPr>
                <w:rFonts w:eastAsia="標楷體"/>
                <w:sz w:val="18"/>
              </w:rPr>
              <w:t>%</w:t>
            </w:r>
          </w:p>
        </w:tc>
      </w:tr>
      <w:tr w:rsidR="00B80613" w:rsidRPr="00F73B90" w:rsidTr="009B5BC1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13" w:rsidRPr="00F73B90" w:rsidRDefault="009672BB" w:rsidP="009B5BC1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13" w:rsidRPr="00F73B90" w:rsidRDefault="00B80613" w:rsidP="009B5BC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 w:hint="eastAsia"/>
                <w:b/>
              </w:rPr>
              <w:t>2024</w:t>
            </w:r>
            <w:r w:rsidR="00742FF3">
              <w:rPr>
                <w:rFonts w:eastAsia="標楷體" w:hint="eastAsia"/>
                <w:b/>
              </w:rPr>
              <w:t xml:space="preserve"> </w:t>
            </w:r>
            <w:r w:rsidRPr="00F73B90">
              <w:rPr>
                <w:rFonts w:eastAsia="標楷體" w:hint="eastAsia"/>
                <w:b/>
              </w:rPr>
              <w:t>(</w:t>
            </w:r>
            <w:r w:rsidRPr="00F73B90">
              <w:rPr>
                <w:rFonts w:eastAsia="標楷體"/>
                <w:b/>
              </w:rPr>
              <w:t>f</w:t>
            </w:r>
            <w:r w:rsidRPr="00F73B90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2025</w:t>
            </w:r>
            <w:r w:rsidR="00327DAE">
              <w:rPr>
                <w:rFonts w:eastAsia="標楷體" w:hint="eastAsia"/>
                <w:b/>
              </w:rPr>
              <w:t xml:space="preserve"> </w:t>
            </w:r>
            <w:r w:rsidRPr="00F73B90">
              <w:rPr>
                <w:rFonts w:eastAsia="標楷體" w:hint="eastAsia"/>
                <w:b/>
              </w:rPr>
              <w:t>(f)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2C" w:rsidRDefault="00864704" w:rsidP="00CA501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:rsidR="00B80613" w:rsidRPr="00F73B90" w:rsidRDefault="00864704" w:rsidP="00CA501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80613" w:rsidRPr="00F73B90" w:rsidRDefault="004272F8" w:rsidP="009B5BC1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B80613" w:rsidRPr="00F73B90">
              <w:rPr>
                <w:rFonts w:eastAsia="標楷體"/>
                <w:b/>
              </w:rPr>
              <w:t>(2024/12/19)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2.18</w:t>
            </w:r>
          </w:p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(CPI)</w:t>
            </w:r>
          </w:p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1.90</w:t>
            </w:r>
          </w:p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(</w:t>
            </w:r>
            <w:r w:rsidR="00B37C1E">
              <w:rPr>
                <w:rFonts w:eastAsia="標楷體" w:hint="eastAsia"/>
                <w:b/>
              </w:rPr>
              <w:t>C</w:t>
            </w:r>
            <w:r w:rsidR="00B37C1E">
              <w:rPr>
                <w:rFonts w:eastAsia="標楷體"/>
                <w:b/>
              </w:rPr>
              <w:t xml:space="preserve">ore </w:t>
            </w:r>
            <w:r w:rsidRPr="00F73B90">
              <w:rPr>
                <w:rFonts w:eastAsia="標楷體" w:hint="eastAsia"/>
                <w:b/>
              </w:rPr>
              <w:t>C</w:t>
            </w:r>
            <w:r w:rsidRPr="00F73B90">
              <w:rPr>
                <w:rFonts w:eastAsia="標楷體"/>
                <w:b/>
              </w:rPr>
              <w:t>PI*)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1.89</w:t>
            </w:r>
          </w:p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(CPI)</w:t>
            </w:r>
          </w:p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1.79</w:t>
            </w:r>
          </w:p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(</w:t>
            </w:r>
            <w:r w:rsidR="00AC2BC9">
              <w:rPr>
                <w:rFonts w:eastAsia="標楷體" w:hint="eastAsia"/>
                <w:b/>
              </w:rPr>
              <w:t>C</w:t>
            </w:r>
            <w:r w:rsidR="00AC2BC9">
              <w:rPr>
                <w:rFonts w:eastAsia="標楷體"/>
                <w:b/>
              </w:rPr>
              <w:t xml:space="preserve">ore </w:t>
            </w:r>
            <w:r w:rsidRPr="00F73B90">
              <w:rPr>
                <w:rFonts w:eastAsia="標楷體" w:hint="eastAsia"/>
                <w:b/>
              </w:rPr>
              <w:t>C</w:t>
            </w:r>
            <w:r w:rsidRPr="00F73B90">
              <w:rPr>
                <w:rFonts w:eastAsia="標楷體"/>
                <w:b/>
              </w:rPr>
              <w:t>PI*)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D965AF" w:rsidP="00D965A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 w:rsidRPr="00F73B90">
              <w:rPr>
                <w:rFonts w:eastAsia="標楷體"/>
              </w:rPr>
              <w:t xml:space="preserve"> </w:t>
            </w:r>
            <w:r w:rsidR="00B80613" w:rsidRPr="00F73B90">
              <w:rPr>
                <w:rFonts w:eastAsia="標楷體"/>
              </w:rPr>
              <w:t>(2024/12/11)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 w:hint="eastAsia"/>
              </w:rPr>
              <w:t>2.10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 w:hint="eastAsia"/>
              </w:rPr>
              <w:t>1.90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9B215D" w:rsidP="009B215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RI</w:t>
            </w:r>
            <w:r w:rsidRPr="00F73B90">
              <w:rPr>
                <w:rFonts w:eastAsia="標楷體"/>
              </w:rPr>
              <w:t xml:space="preserve"> </w:t>
            </w:r>
            <w:r w:rsidR="00B80613" w:rsidRPr="00F73B90">
              <w:rPr>
                <w:rFonts w:eastAsia="標楷體"/>
              </w:rPr>
              <w:t>(2024/12/11)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2.19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1.99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9386A" w:rsidP="009B5BC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B80613" w:rsidRPr="00F73B90">
              <w:rPr>
                <w:rFonts w:eastAsia="標楷體"/>
              </w:rPr>
              <w:t>(2024/11/29)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2.18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</w:rPr>
            </w:pPr>
            <w:r w:rsidRPr="00F73B90">
              <w:rPr>
                <w:rFonts w:eastAsia="標楷體"/>
              </w:rPr>
              <w:t>1.93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601942" w:rsidP="0060194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 w:rsidRPr="00F73B90">
              <w:rPr>
                <w:rFonts w:eastAsia="標楷體"/>
              </w:rPr>
              <w:t xml:space="preserve"> </w:t>
            </w:r>
            <w:r w:rsidR="00B80613" w:rsidRPr="00F73B90">
              <w:rPr>
                <w:rFonts w:eastAsia="標楷體"/>
              </w:rPr>
              <w:t>(2024/11/7)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1.87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0C2" w:rsidRDefault="009640C2" w:rsidP="009640C2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B80613" w:rsidRPr="00F73B90" w:rsidRDefault="009640C2" w:rsidP="009640C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Citi</w:t>
            </w:r>
            <w:r w:rsidR="00FA1ACF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2.10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FA1ACF">
            <w:pPr>
              <w:rPr>
                <w:rFonts w:eastAsia="標楷體"/>
              </w:rPr>
            </w:pPr>
            <w:r w:rsidRPr="00F73B90">
              <w:rPr>
                <w:rFonts w:eastAsia="標楷體"/>
              </w:rPr>
              <w:t>S&amp;P Global Market Intelligence</w:t>
            </w:r>
            <w:r w:rsidR="00FA1ACF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1.86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J.P. Morgan</w:t>
            </w:r>
            <w:r w:rsidR="003B75C9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1.70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Morgan Stanley</w:t>
            </w:r>
            <w:r w:rsidR="003B75C9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2.30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Nomura</w:t>
            </w:r>
            <w:r w:rsidR="003B75C9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2.00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B80613" w:rsidRPr="00F73B90" w:rsidRDefault="00B80613" w:rsidP="009B5B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 w:hint="eastAsia"/>
              </w:rPr>
              <w:t>ADB</w:t>
            </w:r>
            <w:r w:rsidR="003B75C9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rPr>
                <w:rFonts w:hint="eastAsia"/>
              </w:rPr>
              <w:t>2.20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rPr>
                <w:rFonts w:hint="eastAsia"/>
              </w:rPr>
              <w:t>2.00</w:t>
            </w:r>
          </w:p>
        </w:tc>
      </w:tr>
      <w:tr w:rsidR="00B80613" w:rsidRPr="00F73B90" w:rsidTr="00CA5011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613" w:rsidRPr="00F73B90" w:rsidRDefault="00B80613" w:rsidP="009B5B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0613" w:rsidRPr="00F73B90" w:rsidRDefault="00B80613" w:rsidP="009B5BC1">
            <w:pPr>
              <w:jc w:val="both"/>
              <w:rPr>
                <w:rFonts w:eastAsia="標楷體"/>
              </w:rPr>
            </w:pPr>
            <w:r w:rsidRPr="00F73B90">
              <w:rPr>
                <w:rFonts w:eastAsia="標楷體"/>
              </w:rPr>
              <w:t>HSBC</w:t>
            </w:r>
            <w:r w:rsidR="003B75C9">
              <w:rPr>
                <w:rFonts w:eastAsia="標楷體"/>
              </w:rPr>
              <w:t xml:space="preserve"> </w:t>
            </w:r>
            <w:r w:rsidRPr="00F73B90">
              <w:rPr>
                <w:rFonts w:eastAsia="標楷體"/>
              </w:rPr>
              <w:t>(2024/12/6)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2.20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</w:pPr>
            <w:r w:rsidRPr="00F73B90">
              <w:t>1.90</w:t>
            </w:r>
          </w:p>
        </w:tc>
      </w:tr>
      <w:tr w:rsidR="00B80613" w:rsidRPr="00F73B90" w:rsidTr="009B5BC1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613" w:rsidRPr="00F73B90" w:rsidRDefault="000E17AD" w:rsidP="009B5BC1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2.19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613" w:rsidRPr="00F73B90" w:rsidRDefault="00B80613" w:rsidP="009B5BC1">
            <w:pPr>
              <w:jc w:val="center"/>
              <w:rPr>
                <w:rFonts w:eastAsia="標楷體"/>
                <w:b/>
              </w:rPr>
            </w:pPr>
            <w:r w:rsidRPr="00F73B90">
              <w:rPr>
                <w:rFonts w:eastAsia="標楷體"/>
                <w:b/>
              </w:rPr>
              <w:t>1.95</w:t>
            </w:r>
          </w:p>
        </w:tc>
      </w:tr>
      <w:tr w:rsidR="00B80613" w:rsidRPr="00A908B4" w:rsidTr="009B5BC1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506B" w:rsidRPr="00A908B4" w:rsidRDefault="0094506B" w:rsidP="009B5BC1">
            <w:pPr>
              <w:rPr>
                <w:rFonts w:eastAsia="標楷體" w:hint="eastAsia"/>
                <w:b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0613" w:rsidRPr="00A908B4" w:rsidRDefault="00B80613" w:rsidP="009B5BC1">
            <w:pPr>
              <w:jc w:val="center"/>
              <w:rPr>
                <w:b/>
              </w:rPr>
            </w:pPr>
          </w:p>
        </w:tc>
      </w:tr>
    </w:tbl>
    <w:p w:rsidR="001A243F" w:rsidRDefault="001A243F"/>
    <w:sectPr w:rsidR="001A24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7B" w:rsidRDefault="0032177B" w:rsidP="00F11E6C">
      <w:r>
        <w:separator/>
      </w:r>
    </w:p>
  </w:endnote>
  <w:endnote w:type="continuationSeparator" w:id="0">
    <w:p w:rsidR="0032177B" w:rsidRDefault="0032177B" w:rsidP="00F1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7B" w:rsidRDefault="0032177B" w:rsidP="00F11E6C">
      <w:r>
        <w:separator/>
      </w:r>
    </w:p>
  </w:footnote>
  <w:footnote w:type="continuationSeparator" w:id="0">
    <w:p w:rsidR="0032177B" w:rsidRDefault="0032177B" w:rsidP="00F1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13"/>
    <w:rsid w:val="00066645"/>
    <w:rsid w:val="000C6FB7"/>
    <w:rsid w:val="000E17AD"/>
    <w:rsid w:val="0011497D"/>
    <w:rsid w:val="0012302C"/>
    <w:rsid w:val="001832D3"/>
    <w:rsid w:val="001A243F"/>
    <w:rsid w:val="002A1BEE"/>
    <w:rsid w:val="002E544F"/>
    <w:rsid w:val="0032177B"/>
    <w:rsid w:val="00327DAE"/>
    <w:rsid w:val="003B75C9"/>
    <w:rsid w:val="004272F8"/>
    <w:rsid w:val="00521CF4"/>
    <w:rsid w:val="00584D79"/>
    <w:rsid w:val="00601942"/>
    <w:rsid w:val="00626F81"/>
    <w:rsid w:val="00742FF3"/>
    <w:rsid w:val="008436D8"/>
    <w:rsid w:val="00864704"/>
    <w:rsid w:val="00920284"/>
    <w:rsid w:val="00921CD6"/>
    <w:rsid w:val="0094506B"/>
    <w:rsid w:val="009640C2"/>
    <w:rsid w:val="009672BB"/>
    <w:rsid w:val="009B215D"/>
    <w:rsid w:val="00A54B57"/>
    <w:rsid w:val="00A97AD1"/>
    <w:rsid w:val="00AA6D88"/>
    <w:rsid w:val="00AC2BC9"/>
    <w:rsid w:val="00B06709"/>
    <w:rsid w:val="00B37C1E"/>
    <w:rsid w:val="00B4044E"/>
    <w:rsid w:val="00B80613"/>
    <w:rsid w:val="00B9386A"/>
    <w:rsid w:val="00CA5011"/>
    <w:rsid w:val="00CC3284"/>
    <w:rsid w:val="00D22CA8"/>
    <w:rsid w:val="00D3302C"/>
    <w:rsid w:val="00D965AF"/>
    <w:rsid w:val="00F11E6C"/>
    <w:rsid w:val="00F4716C"/>
    <w:rsid w:val="00F87C2F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36BE3"/>
  <w15:chartTrackingRefBased/>
  <w15:docId w15:val="{BDDA3BD6-A72D-4DB4-B396-6C59522F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1E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1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1E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193</Words>
  <Characters>1106</Characters>
  <Application>Microsoft Office Word</Application>
  <DocSecurity>0</DocSecurity>
  <Lines>9</Lines>
  <Paragraphs>2</Paragraphs>
  <ScaleCrop>false</ScaleCrop>
  <Company>cbc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CBC</cp:lastModifiedBy>
  <cp:revision>42</cp:revision>
  <dcterms:created xsi:type="dcterms:W3CDTF">2024-12-19T01:27:00Z</dcterms:created>
  <dcterms:modified xsi:type="dcterms:W3CDTF">2024-12-19T02:01:00Z</dcterms:modified>
</cp:coreProperties>
</file>