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54348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543487">
        <w:rPr>
          <w:rFonts w:eastAsia="標楷體"/>
          <w:b/>
          <w:sz w:val="52"/>
          <w:szCs w:val="64"/>
        </w:rPr>
        <w:t xml:space="preserve">Minutes of the </w:t>
      </w:r>
      <w:r w:rsidRPr="00543487">
        <w:rPr>
          <w:rFonts w:eastAsia="標楷體" w:hint="eastAsia"/>
          <w:b/>
          <w:sz w:val="52"/>
          <w:szCs w:val="64"/>
        </w:rPr>
        <w:t xml:space="preserve">Monetary Policy </w:t>
      </w:r>
      <w:r w:rsidRPr="00543487">
        <w:rPr>
          <w:rFonts w:eastAsia="標楷體"/>
          <w:b/>
          <w:sz w:val="52"/>
          <w:szCs w:val="64"/>
        </w:rPr>
        <w:t>Meeting</w:t>
      </w:r>
    </w:p>
    <w:p w:rsidR="00181D76" w:rsidRPr="00543487" w:rsidRDefault="00181D76" w:rsidP="00181D76">
      <w:pPr>
        <w:pBdr>
          <w:top w:val="single" w:sz="48" w:space="1" w:color="auto"/>
          <w:bottom w:val="single" w:sz="48" w:space="1" w:color="auto"/>
        </w:pBdr>
        <w:spacing w:before="100" w:line="760" w:lineRule="exact"/>
        <w:ind w:leftChars="252" w:left="504" w:rightChars="231" w:right="462"/>
        <w:jc w:val="center"/>
        <w:textDirection w:val="lrTbV"/>
        <w:rPr>
          <w:rFonts w:eastAsia="標楷體"/>
          <w:b/>
          <w:sz w:val="52"/>
          <w:szCs w:val="64"/>
        </w:rPr>
      </w:pPr>
    </w:p>
    <w:p w:rsidR="00181D76" w:rsidRPr="00543487" w:rsidRDefault="00181D76"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spacing w:val="-24"/>
          <w:sz w:val="40"/>
          <w:szCs w:val="48"/>
        </w:rPr>
        <w:t>September</w:t>
      </w:r>
      <w:r w:rsidRPr="00543487">
        <w:rPr>
          <w:rFonts w:eastAsia="標楷體" w:hint="eastAsia"/>
          <w:spacing w:val="-24"/>
          <w:sz w:val="40"/>
          <w:szCs w:val="48"/>
        </w:rPr>
        <w:t xml:space="preserve"> 2</w:t>
      </w:r>
      <w:r>
        <w:rPr>
          <w:rFonts w:eastAsia="標楷體" w:hint="eastAsia"/>
          <w:spacing w:val="-24"/>
          <w:sz w:val="40"/>
          <w:szCs w:val="48"/>
        </w:rPr>
        <w:t>1</w:t>
      </w:r>
      <w:r w:rsidRPr="00543487">
        <w:rPr>
          <w:rFonts w:eastAsia="標楷體" w:hint="eastAsia"/>
          <w:spacing w:val="-24"/>
          <w:sz w:val="40"/>
          <w:szCs w:val="48"/>
        </w:rPr>
        <w:t>, 2017</w:t>
      </w:r>
    </w:p>
    <w:p w:rsidR="00C82C46" w:rsidRPr="00181D76"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2F04F2"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543487" w:rsidRDefault="00181D76" w:rsidP="00181D76">
      <w:pPr>
        <w:spacing w:before="100" w:line="640" w:lineRule="exact"/>
        <w:ind w:leftChars="252" w:left="504" w:rightChars="231" w:right="462"/>
        <w:jc w:val="center"/>
        <w:textDirection w:val="lrTbV"/>
        <w:rPr>
          <w:rFonts w:eastAsia="標楷體"/>
          <w:b/>
          <w:spacing w:val="-24"/>
          <w:sz w:val="44"/>
          <w:szCs w:val="52"/>
        </w:rPr>
      </w:pPr>
      <w:r w:rsidRPr="00543487">
        <w:rPr>
          <w:rFonts w:eastAsia="標楷體" w:hint="eastAsia"/>
          <w:sz w:val="44"/>
          <w:szCs w:val="52"/>
        </w:rPr>
        <w:t>Central Bank of the R.O.C. (Taiwan)</w:t>
      </w:r>
    </w:p>
    <w:p w:rsidR="00C82C46" w:rsidRDefault="00C82C46" w:rsidP="00D052FE">
      <w:pPr>
        <w:spacing w:before="100" w:line="640" w:lineRule="exact"/>
        <w:ind w:leftChars="252" w:left="504" w:rightChars="231" w:right="462"/>
        <w:jc w:val="both"/>
        <w:textDirection w:val="lrTbV"/>
        <w:rPr>
          <w:rFonts w:eastAsia="標楷體"/>
          <w:sz w:val="52"/>
          <w:szCs w:val="52"/>
        </w:rPr>
        <w:sectPr w:rsidR="00C82C46"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10DF2">
        <w:rPr>
          <w:rFonts w:eastAsia="標楷體"/>
          <w:spacing w:val="-24"/>
          <w:sz w:val="44"/>
          <w:szCs w:val="44"/>
        </w:rPr>
        <w:br w:type="page"/>
      </w:r>
    </w:p>
    <w:p w:rsidR="00363599" w:rsidRDefault="00363599" w:rsidP="00363599">
      <w:pPr>
        <w:spacing w:line="640" w:lineRule="exact"/>
        <w:jc w:val="center"/>
        <w:textDirection w:val="lrTbV"/>
        <w:rPr>
          <w:rFonts w:eastAsia="標楷體"/>
          <w:b/>
          <w:sz w:val="28"/>
          <w:szCs w:val="28"/>
        </w:rPr>
      </w:pPr>
      <w:r w:rsidRPr="00543487">
        <w:rPr>
          <w:rFonts w:eastAsia="標楷體"/>
          <w:b/>
          <w:sz w:val="28"/>
          <w:szCs w:val="28"/>
        </w:rPr>
        <w:lastRenderedPageBreak/>
        <w:t>Minutes</w:t>
      </w:r>
      <w:r w:rsidRPr="00543487">
        <w:rPr>
          <w:rStyle w:val="afd"/>
          <w:rFonts w:eastAsia="標楷體"/>
          <w:b/>
          <w:sz w:val="28"/>
          <w:szCs w:val="28"/>
        </w:rPr>
        <w:footnoteReference w:id="1"/>
      </w:r>
      <w:r w:rsidRPr="00543487">
        <w:rPr>
          <w:rFonts w:eastAsia="標楷體"/>
          <w:b/>
          <w:sz w:val="28"/>
          <w:szCs w:val="28"/>
        </w:rPr>
        <w:t xml:space="preserve"> of </w:t>
      </w:r>
      <w:r w:rsidRPr="0015302E">
        <w:rPr>
          <w:rFonts w:eastAsia="標楷體"/>
          <w:b/>
          <w:sz w:val="28"/>
          <w:szCs w:val="28"/>
        </w:rPr>
        <w:t xml:space="preserve">the Joint Meeting of the Board of Directors and </w:t>
      </w:r>
    </w:p>
    <w:p w:rsidR="00363599" w:rsidRPr="00543487" w:rsidRDefault="00363599" w:rsidP="00363599">
      <w:pPr>
        <w:spacing w:line="640" w:lineRule="exact"/>
        <w:jc w:val="center"/>
        <w:textDirection w:val="lrTbV"/>
        <w:rPr>
          <w:rFonts w:eastAsia="標楷體"/>
          <w:b/>
          <w:sz w:val="28"/>
          <w:szCs w:val="28"/>
        </w:rPr>
      </w:pPr>
      <w:proofErr w:type="gramStart"/>
      <w:r w:rsidRPr="0015302E">
        <w:rPr>
          <w:rFonts w:eastAsia="標楷體"/>
          <w:b/>
          <w:sz w:val="28"/>
          <w:szCs w:val="28"/>
        </w:rPr>
        <w:t>the</w:t>
      </w:r>
      <w:proofErr w:type="gramEnd"/>
      <w:r w:rsidRPr="0015302E">
        <w:rPr>
          <w:rFonts w:eastAsia="標楷體"/>
          <w:b/>
          <w:sz w:val="28"/>
          <w:szCs w:val="28"/>
        </w:rPr>
        <w:t xml:space="preserve"> Board of Supervisors on </w:t>
      </w:r>
      <w:r>
        <w:rPr>
          <w:rFonts w:eastAsia="標楷體"/>
          <w:b/>
          <w:sz w:val="28"/>
          <w:szCs w:val="28"/>
        </w:rPr>
        <w:t>September</w:t>
      </w:r>
      <w:r w:rsidRPr="0015302E">
        <w:rPr>
          <w:rFonts w:eastAsia="標楷體"/>
          <w:b/>
          <w:sz w:val="28"/>
          <w:szCs w:val="28"/>
        </w:rPr>
        <w:t xml:space="preserve"> 2</w:t>
      </w:r>
      <w:r>
        <w:rPr>
          <w:rFonts w:eastAsia="標楷體" w:hint="eastAsia"/>
          <w:b/>
          <w:sz w:val="28"/>
          <w:szCs w:val="28"/>
        </w:rPr>
        <w:t>1</w:t>
      </w:r>
      <w:r w:rsidRPr="0015302E">
        <w:rPr>
          <w:rFonts w:eastAsia="標楷體"/>
          <w:b/>
          <w:sz w:val="28"/>
          <w:szCs w:val="28"/>
        </w:rPr>
        <w:t>, 2017</w:t>
      </w:r>
    </w:p>
    <w:p w:rsidR="00363599" w:rsidRPr="00543487" w:rsidRDefault="00363599" w:rsidP="00363599">
      <w:pPr>
        <w:spacing w:before="100" w:line="560" w:lineRule="exact"/>
        <w:jc w:val="both"/>
        <w:textDirection w:val="lrTbV"/>
        <w:rPr>
          <w:rFonts w:eastAsia="標楷體"/>
          <w:sz w:val="28"/>
          <w:szCs w:val="28"/>
        </w:rPr>
      </w:pPr>
      <w:r w:rsidRPr="00543487">
        <w:rPr>
          <w:rFonts w:eastAsia="標楷體" w:hint="eastAsia"/>
          <w:b/>
          <w:sz w:val="28"/>
          <w:szCs w:val="28"/>
        </w:rPr>
        <w:t>Date</w:t>
      </w:r>
      <w:r>
        <w:rPr>
          <w:rFonts w:eastAsia="標楷體" w:hint="eastAsia"/>
          <w:b/>
          <w:sz w:val="28"/>
          <w:szCs w:val="28"/>
        </w:rPr>
        <w:t xml:space="preserve"> and Time</w:t>
      </w:r>
      <w:r w:rsidRPr="00543487">
        <w:rPr>
          <w:rFonts w:eastAsia="標楷體" w:hint="eastAsia"/>
          <w:sz w:val="28"/>
          <w:szCs w:val="28"/>
        </w:rPr>
        <w:t xml:space="preserve">: </w:t>
      </w:r>
      <w:r>
        <w:rPr>
          <w:rFonts w:eastAsia="標楷體"/>
          <w:sz w:val="28"/>
          <w:szCs w:val="28"/>
        </w:rPr>
        <w:t>September</w:t>
      </w:r>
      <w:r w:rsidRPr="00543487">
        <w:rPr>
          <w:rFonts w:eastAsia="標楷體" w:hint="eastAsia"/>
          <w:sz w:val="28"/>
          <w:szCs w:val="28"/>
        </w:rPr>
        <w:t xml:space="preserve"> 2</w:t>
      </w:r>
      <w:r>
        <w:rPr>
          <w:rFonts w:eastAsia="標楷體" w:hint="eastAsia"/>
          <w:sz w:val="28"/>
          <w:szCs w:val="28"/>
        </w:rPr>
        <w:t>1</w:t>
      </w:r>
      <w:r w:rsidRPr="00543487">
        <w:rPr>
          <w:rFonts w:eastAsia="標楷體" w:hint="eastAsia"/>
          <w:sz w:val="28"/>
          <w:szCs w:val="28"/>
        </w:rPr>
        <w:t>, 2017</w:t>
      </w:r>
      <w:r>
        <w:rPr>
          <w:rFonts w:eastAsia="標楷體" w:hint="eastAsia"/>
          <w:sz w:val="28"/>
          <w:szCs w:val="28"/>
        </w:rPr>
        <w:t>, at 3 p.m.</w:t>
      </w:r>
    </w:p>
    <w:p w:rsidR="00363599" w:rsidRPr="00543487" w:rsidRDefault="00363599" w:rsidP="00363599">
      <w:pPr>
        <w:spacing w:before="100" w:line="560" w:lineRule="exact"/>
        <w:ind w:left="869" w:hangingChars="310" w:hanging="869"/>
        <w:jc w:val="both"/>
        <w:textDirection w:val="lrTbV"/>
        <w:rPr>
          <w:rFonts w:eastAsia="標楷體"/>
          <w:sz w:val="28"/>
          <w:szCs w:val="28"/>
        </w:rPr>
      </w:pPr>
      <w:r w:rsidRPr="0015302E">
        <w:rPr>
          <w:rFonts w:eastAsia="標楷體" w:hint="eastAsia"/>
          <w:b/>
          <w:sz w:val="28"/>
          <w:szCs w:val="28"/>
        </w:rPr>
        <w:t>Location:</w:t>
      </w:r>
      <w:r w:rsidRPr="00543487">
        <w:rPr>
          <w:rFonts w:eastAsia="標楷體" w:hint="eastAsia"/>
          <w:sz w:val="28"/>
          <w:szCs w:val="28"/>
        </w:rPr>
        <w:t xml:space="preserve"> Room A606, Main Building, </w:t>
      </w:r>
      <w:r w:rsidRPr="00543487">
        <w:rPr>
          <w:rFonts w:eastAsia="標楷體"/>
          <w:sz w:val="28"/>
          <w:szCs w:val="28"/>
        </w:rPr>
        <w:t>Central Bank of the R.O.C. (Taiwan)</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hint="eastAsia"/>
          <w:b/>
          <w:sz w:val="28"/>
          <w:szCs w:val="28"/>
        </w:rPr>
        <w:t>Members Present:</w:t>
      </w:r>
      <w:r w:rsidRPr="00543487">
        <w:rPr>
          <w:rFonts w:eastAsia="標楷體" w:hint="eastAsia"/>
          <w:sz w:val="28"/>
          <w:szCs w:val="28"/>
        </w:rPr>
        <w:t xml:space="preserve"> </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hint="eastAsia"/>
          <w:b/>
          <w:sz w:val="28"/>
          <w:szCs w:val="28"/>
        </w:rPr>
        <w:t>Chairman, Board of Directors</w:t>
      </w:r>
      <w:r w:rsidRPr="00543487">
        <w:rPr>
          <w:rFonts w:eastAsia="標楷體" w:hint="eastAsia"/>
          <w:sz w:val="28"/>
          <w:szCs w:val="28"/>
        </w:rPr>
        <w:t xml:space="preserve">: Fai-nan </w:t>
      </w:r>
      <w:proofErr w:type="spellStart"/>
      <w:r w:rsidRPr="00543487">
        <w:rPr>
          <w:rFonts w:eastAsia="標楷體" w:hint="eastAsia"/>
          <w:sz w:val="28"/>
          <w:szCs w:val="28"/>
        </w:rPr>
        <w:t>Perng</w:t>
      </w:r>
      <w:proofErr w:type="spellEnd"/>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hint="eastAsia"/>
          <w:b/>
          <w:sz w:val="28"/>
          <w:szCs w:val="28"/>
        </w:rPr>
        <w:t>Executive Directors</w:t>
      </w:r>
      <w:r w:rsidRPr="00543487">
        <w:rPr>
          <w:rFonts w:eastAsia="標楷體" w:hint="eastAsia"/>
          <w:sz w:val="28"/>
          <w:szCs w:val="28"/>
        </w:rPr>
        <w:t xml:space="preserve">: </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hint="eastAsia"/>
          <w:sz w:val="28"/>
          <w:szCs w:val="28"/>
        </w:rPr>
        <w:t>Yu-</w:t>
      </w:r>
      <w:proofErr w:type="spellStart"/>
      <w:r w:rsidRPr="00543487">
        <w:rPr>
          <w:rFonts w:eastAsia="標楷體" w:hint="eastAsia"/>
          <w:sz w:val="28"/>
          <w:szCs w:val="28"/>
        </w:rPr>
        <w:t>jer</w:t>
      </w:r>
      <w:proofErr w:type="spellEnd"/>
      <w:r w:rsidRPr="00543487">
        <w:rPr>
          <w:rFonts w:eastAsia="標楷體" w:hint="eastAsia"/>
          <w:sz w:val="28"/>
          <w:szCs w:val="28"/>
        </w:rPr>
        <w:t xml:space="preserve"> </w:t>
      </w:r>
      <w:proofErr w:type="spellStart"/>
      <w:r w:rsidRPr="00543487">
        <w:rPr>
          <w:rFonts w:eastAsia="標楷體" w:hint="eastAsia"/>
          <w:sz w:val="28"/>
          <w:szCs w:val="28"/>
        </w:rPr>
        <w:t>Sheu</w:t>
      </w:r>
      <w:proofErr w:type="spellEnd"/>
      <w:r w:rsidRPr="00543487">
        <w:rPr>
          <w:rFonts w:eastAsia="標楷體" w:hint="eastAsia"/>
          <w:sz w:val="28"/>
          <w:szCs w:val="28"/>
        </w:rPr>
        <w:t xml:space="preserve">, </w:t>
      </w:r>
      <w:r w:rsidR="009B29AD" w:rsidRPr="009B29AD">
        <w:rPr>
          <w:rFonts w:eastAsia="標楷體"/>
          <w:sz w:val="28"/>
          <w:szCs w:val="28"/>
        </w:rPr>
        <w:t>Jong-Chin Shen</w:t>
      </w:r>
      <w:r w:rsidRPr="00543487">
        <w:rPr>
          <w:rFonts w:eastAsia="標楷體" w:hint="eastAsia"/>
          <w:sz w:val="28"/>
          <w:szCs w:val="28"/>
        </w:rPr>
        <w:t xml:space="preserve">, Chin-long Yang, </w:t>
      </w:r>
      <w:proofErr w:type="spellStart"/>
      <w:r w:rsidRPr="00543487">
        <w:rPr>
          <w:rFonts w:eastAsia="標楷體" w:hint="eastAsia"/>
          <w:sz w:val="28"/>
          <w:szCs w:val="28"/>
        </w:rPr>
        <w:t>Tzung</w:t>
      </w:r>
      <w:proofErr w:type="spellEnd"/>
      <w:r w:rsidRPr="00543487">
        <w:rPr>
          <w:rFonts w:eastAsia="標楷體" w:hint="eastAsia"/>
          <w:sz w:val="28"/>
          <w:szCs w:val="28"/>
        </w:rPr>
        <w:t>-ta Yen, Ming-</w:t>
      </w:r>
      <w:proofErr w:type="spellStart"/>
      <w:r w:rsidRPr="00543487">
        <w:rPr>
          <w:rFonts w:eastAsia="標楷體" w:hint="eastAsia"/>
          <w:sz w:val="28"/>
          <w:szCs w:val="28"/>
        </w:rPr>
        <w:t>yih</w:t>
      </w:r>
      <w:proofErr w:type="spellEnd"/>
      <w:r w:rsidRPr="00543487">
        <w:rPr>
          <w:rFonts w:eastAsia="標楷體" w:hint="eastAsia"/>
          <w:sz w:val="28"/>
          <w:szCs w:val="28"/>
        </w:rPr>
        <w:t xml:space="preserve"> Liang, Sheng-</w:t>
      </w:r>
      <w:proofErr w:type="spellStart"/>
      <w:r w:rsidRPr="00543487">
        <w:rPr>
          <w:rFonts w:eastAsia="標楷體" w:hint="eastAsia"/>
          <w:sz w:val="28"/>
          <w:szCs w:val="28"/>
        </w:rPr>
        <w:t>cheng</w:t>
      </w:r>
      <w:proofErr w:type="spellEnd"/>
      <w:r w:rsidRPr="00543487">
        <w:rPr>
          <w:rFonts w:eastAsia="標楷體" w:hint="eastAsia"/>
          <w:sz w:val="28"/>
          <w:szCs w:val="28"/>
        </w:rPr>
        <w:t xml:space="preserve"> Hu</w:t>
      </w:r>
    </w:p>
    <w:p w:rsidR="00363599" w:rsidRPr="00543487" w:rsidRDefault="00363599" w:rsidP="00363599">
      <w:pPr>
        <w:spacing w:before="100" w:line="560" w:lineRule="exact"/>
        <w:ind w:right="11"/>
        <w:textDirection w:val="lrTbV"/>
        <w:rPr>
          <w:rFonts w:eastAsia="標楷體"/>
          <w:sz w:val="28"/>
          <w:szCs w:val="28"/>
        </w:rPr>
      </w:pPr>
      <w:r w:rsidRPr="00543487">
        <w:rPr>
          <w:rFonts w:eastAsia="標楷體" w:hint="eastAsia"/>
          <w:b/>
          <w:sz w:val="28"/>
          <w:szCs w:val="28"/>
        </w:rPr>
        <w:t>Directors</w:t>
      </w:r>
      <w:r w:rsidRPr="00543487">
        <w:rPr>
          <w:rFonts w:eastAsia="標楷體" w:hint="eastAsia"/>
          <w:sz w:val="28"/>
          <w:szCs w:val="28"/>
        </w:rPr>
        <w:t xml:space="preserve">: </w:t>
      </w:r>
    </w:p>
    <w:p w:rsidR="00363599" w:rsidRPr="00543487" w:rsidRDefault="00363599" w:rsidP="00363599">
      <w:pPr>
        <w:spacing w:before="100" w:line="560" w:lineRule="exact"/>
        <w:ind w:right="11"/>
        <w:textDirection w:val="lrTbV"/>
        <w:rPr>
          <w:rFonts w:eastAsia="標楷體"/>
          <w:sz w:val="28"/>
          <w:szCs w:val="28"/>
        </w:rPr>
      </w:pPr>
      <w:proofErr w:type="spellStart"/>
      <w:r w:rsidRPr="00543487">
        <w:rPr>
          <w:rFonts w:eastAsia="標楷體" w:hint="eastAsia"/>
          <w:sz w:val="28"/>
          <w:szCs w:val="28"/>
        </w:rPr>
        <w:t>Tsung-hsien</w:t>
      </w:r>
      <w:proofErr w:type="spellEnd"/>
      <w:r w:rsidRPr="00543487">
        <w:rPr>
          <w:rFonts w:eastAsia="標楷體" w:hint="eastAsia"/>
          <w:sz w:val="28"/>
          <w:szCs w:val="28"/>
        </w:rPr>
        <w:t xml:space="preserve"> Lin, Chen-chia Lee, </w:t>
      </w:r>
      <w:proofErr w:type="spellStart"/>
      <w:r w:rsidRPr="00543487">
        <w:rPr>
          <w:rFonts w:eastAsia="標楷體" w:hint="eastAsia"/>
          <w:sz w:val="28"/>
          <w:szCs w:val="28"/>
        </w:rPr>
        <w:t>Tsan-chang</w:t>
      </w:r>
      <w:proofErr w:type="spellEnd"/>
      <w:r w:rsidRPr="00543487">
        <w:rPr>
          <w:rFonts w:eastAsia="標楷體" w:hint="eastAsia"/>
          <w:sz w:val="28"/>
          <w:szCs w:val="28"/>
        </w:rPr>
        <w:t xml:space="preserve"> Liao, Chao-</w:t>
      </w:r>
      <w:proofErr w:type="spellStart"/>
      <w:r w:rsidRPr="00543487">
        <w:rPr>
          <w:rFonts w:eastAsia="標楷體" w:hint="eastAsia"/>
          <w:sz w:val="28"/>
          <w:szCs w:val="28"/>
        </w:rPr>
        <w:t>yih</w:t>
      </w:r>
      <w:proofErr w:type="spellEnd"/>
      <w:r w:rsidRPr="00543487">
        <w:rPr>
          <w:rFonts w:eastAsia="標楷體" w:hint="eastAsia"/>
          <w:sz w:val="28"/>
          <w:szCs w:val="28"/>
        </w:rPr>
        <w:t xml:space="preserve"> Chen, </w:t>
      </w:r>
      <w:proofErr w:type="spellStart"/>
      <w:r w:rsidR="006333E8" w:rsidRPr="00543487">
        <w:rPr>
          <w:rFonts w:eastAsia="標楷體" w:hint="eastAsia"/>
          <w:sz w:val="28"/>
          <w:szCs w:val="28"/>
        </w:rPr>
        <w:t>Jin</w:t>
      </w:r>
      <w:proofErr w:type="spellEnd"/>
      <w:r w:rsidR="006333E8" w:rsidRPr="00543487">
        <w:rPr>
          <w:rFonts w:eastAsia="標楷體" w:hint="eastAsia"/>
          <w:sz w:val="28"/>
          <w:szCs w:val="28"/>
        </w:rPr>
        <w:t>-lung Li</w:t>
      </w:r>
      <w:r w:rsidR="006333E8">
        <w:rPr>
          <w:rFonts w:eastAsia="標楷體" w:hint="eastAsia"/>
          <w:sz w:val="28"/>
          <w:szCs w:val="28"/>
        </w:rPr>
        <w:t xml:space="preserve">n, </w:t>
      </w:r>
      <w:r w:rsidRPr="00543487">
        <w:rPr>
          <w:rFonts w:eastAsia="標楷體" w:hint="eastAsia"/>
          <w:sz w:val="28"/>
          <w:szCs w:val="28"/>
        </w:rPr>
        <w:t>Mei-lie Chu, Chao-</w:t>
      </w:r>
      <w:proofErr w:type="spellStart"/>
      <w:r w:rsidRPr="00543487">
        <w:rPr>
          <w:rFonts w:eastAsia="標楷體" w:hint="eastAsia"/>
          <w:sz w:val="28"/>
          <w:szCs w:val="28"/>
        </w:rPr>
        <w:t>h</w:t>
      </w:r>
      <w:r w:rsidRPr="00543487">
        <w:rPr>
          <w:rFonts w:eastAsia="標楷體"/>
          <w:sz w:val="28"/>
          <w:szCs w:val="28"/>
        </w:rPr>
        <w:t>s</w:t>
      </w:r>
      <w:r w:rsidRPr="00543487">
        <w:rPr>
          <w:rFonts w:eastAsia="標楷體" w:hint="eastAsia"/>
          <w:sz w:val="28"/>
          <w:szCs w:val="28"/>
        </w:rPr>
        <w:t>i</w:t>
      </w:r>
      <w:proofErr w:type="spellEnd"/>
      <w:r w:rsidRPr="00543487">
        <w:rPr>
          <w:rFonts w:eastAsia="標楷體" w:hint="eastAsia"/>
          <w:sz w:val="28"/>
          <w:szCs w:val="28"/>
        </w:rPr>
        <w:t xml:space="preserve"> Huang, </w:t>
      </w:r>
      <w:proofErr w:type="spellStart"/>
      <w:r w:rsidRPr="00543487">
        <w:rPr>
          <w:rFonts w:eastAsia="標楷體" w:hint="eastAsia"/>
          <w:sz w:val="28"/>
          <w:szCs w:val="28"/>
        </w:rPr>
        <w:t>Bih</w:t>
      </w:r>
      <w:proofErr w:type="spellEnd"/>
      <w:r w:rsidRPr="00543487">
        <w:rPr>
          <w:rFonts w:eastAsia="標楷體" w:hint="eastAsia"/>
          <w:sz w:val="28"/>
          <w:szCs w:val="28"/>
        </w:rPr>
        <w:t>-jane Liu</w:t>
      </w:r>
    </w:p>
    <w:p w:rsidR="00363599" w:rsidRPr="00543487" w:rsidRDefault="00363599" w:rsidP="00363599">
      <w:pPr>
        <w:spacing w:before="100" w:line="560" w:lineRule="exact"/>
        <w:ind w:right="10"/>
        <w:textDirection w:val="lrTbV"/>
        <w:rPr>
          <w:rFonts w:eastAsia="標楷體"/>
          <w:sz w:val="28"/>
          <w:szCs w:val="28"/>
        </w:rPr>
      </w:pPr>
      <w:r w:rsidRPr="00543487">
        <w:rPr>
          <w:rFonts w:eastAsia="標楷體" w:hint="eastAsia"/>
          <w:b/>
          <w:sz w:val="28"/>
          <w:szCs w:val="28"/>
        </w:rPr>
        <w:t>Chairman, Board of Supervisors</w:t>
      </w:r>
      <w:r w:rsidRPr="00543487">
        <w:rPr>
          <w:rFonts w:eastAsia="標楷體" w:hint="eastAsia"/>
          <w:sz w:val="28"/>
          <w:szCs w:val="28"/>
        </w:rPr>
        <w:t xml:space="preserve">: </w:t>
      </w:r>
      <w:proofErr w:type="spellStart"/>
      <w:r w:rsidRPr="00543487">
        <w:rPr>
          <w:rFonts w:eastAsia="標楷體" w:hint="eastAsia"/>
          <w:sz w:val="28"/>
          <w:szCs w:val="28"/>
        </w:rPr>
        <w:t>Tzer-ming</w:t>
      </w:r>
      <w:proofErr w:type="spellEnd"/>
      <w:r w:rsidRPr="00543487">
        <w:rPr>
          <w:rFonts w:eastAsia="標楷體" w:hint="eastAsia"/>
          <w:sz w:val="28"/>
          <w:szCs w:val="28"/>
        </w:rPr>
        <w:t xml:space="preserve"> Chu</w:t>
      </w:r>
    </w:p>
    <w:p w:rsidR="00363599" w:rsidRPr="00543487" w:rsidRDefault="00363599" w:rsidP="00363599">
      <w:pPr>
        <w:spacing w:before="100" w:line="560" w:lineRule="exact"/>
        <w:ind w:right="10"/>
        <w:jc w:val="both"/>
        <w:textDirection w:val="lrTbV"/>
        <w:rPr>
          <w:rFonts w:eastAsia="標楷體"/>
          <w:sz w:val="28"/>
          <w:szCs w:val="28"/>
        </w:rPr>
      </w:pPr>
      <w:r w:rsidRPr="00543487">
        <w:rPr>
          <w:rFonts w:eastAsia="標楷體" w:hint="eastAsia"/>
          <w:b/>
          <w:sz w:val="28"/>
          <w:szCs w:val="28"/>
        </w:rPr>
        <w:t>Supervisors</w:t>
      </w:r>
      <w:r w:rsidRPr="00543487">
        <w:rPr>
          <w:rFonts w:eastAsia="標楷體" w:hint="eastAsia"/>
          <w:sz w:val="28"/>
          <w:szCs w:val="28"/>
        </w:rPr>
        <w:t xml:space="preserve">: </w:t>
      </w:r>
    </w:p>
    <w:p w:rsidR="00363599" w:rsidRPr="00543487" w:rsidRDefault="00363599" w:rsidP="00363599">
      <w:pPr>
        <w:spacing w:before="100" w:line="560" w:lineRule="exact"/>
        <w:ind w:right="10"/>
        <w:jc w:val="both"/>
        <w:textDirection w:val="lrTbV"/>
        <w:rPr>
          <w:rFonts w:eastAsia="標楷體"/>
          <w:sz w:val="28"/>
          <w:szCs w:val="28"/>
        </w:rPr>
      </w:pPr>
      <w:r w:rsidRPr="00543487">
        <w:rPr>
          <w:rFonts w:eastAsia="標楷體" w:hint="eastAsia"/>
          <w:sz w:val="28"/>
          <w:szCs w:val="28"/>
        </w:rPr>
        <w:t xml:space="preserve">Chi-yuan Liang, </w:t>
      </w:r>
      <w:proofErr w:type="spellStart"/>
      <w:r w:rsidRPr="00543487">
        <w:rPr>
          <w:rFonts w:eastAsia="標楷體" w:hint="eastAsia"/>
          <w:sz w:val="28"/>
          <w:szCs w:val="28"/>
        </w:rPr>
        <w:t>Tsung-jung</w:t>
      </w:r>
      <w:proofErr w:type="spellEnd"/>
      <w:r w:rsidRPr="00543487">
        <w:rPr>
          <w:rFonts w:eastAsia="標楷體" w:hint="eastAsia"/>
          <w:sz w:val="28"/>
          <w:szCs w:val="28"/>
        </w:rPr>
        <w:t xml:space="preserve"> Liu, Ping-</w:t>
      </w:r>
      <w:proofErr w:type="spellStart"/>
      <w:r w:rsidRPr="00543487">
        <w:rPr>
          <w:rFonts w:eastAsia="標楷體" w:hint="eastAsia"/>
          <w:sz w:val="28"/>
          <w:szCs w:val="28"/>
        </w:rPr>
        <w:t>yung</w:t>
      </w:r>
      <w:proofErr w:type="spellEnd"/>
      <w:r w:rsidRPr="00543487">
        <w:rPr>
          <w:rFonts w:eastAsia="標楷體" w:hint="eastAsia"/>
          <w:sz w:val="28"/>
          <w:szCs w:val="28"/>
        </w:rPr>
        <w:t xml:space="preserve"> Chiu, Ching-fan Chung</w:t>
      </w:r>
    </w:p>
    <w:p w:rsidR="00363599" w:rsidRPr="00543487" w:rsidRDefault="00363599" w:rsidP="00363599">
      <w:pPr>
        <w:pStyle w:val="31"/>
        <w:spacing w:before="100" w:line="540" w:lineRule="exact"/>
        <w:textDirection w:val="lrTbV"/>
        <w:rPr>
          <w:rFonts w:eastAsia="標楷體"/>
          <w:b/>
          <w:sz w:val="28"/>
          <w:szCs w:val="28"/>
        </w:rPr>
      </w:pP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hint="eastAsia"/>
          <w:b/>
          <w:sz w:val="28"/>
          <w:szCs w:val="28"/>
        </w:rPr>
        <w:t xml:space="preserve">Staff Present: </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sz w:val="28"/>
          <w:szCs w:val="28"/>
        </w:rPr>
        <w:t>E-</w:t>
      </w:r>
      <w:r w:rsidRPr="00543487">
        <w:rPr>
          <w:rFonts w:eastAsia="標楷體" w:hint="eastAsia"/>
          <w:sz w:val="28"/>
          <w:szCs w:val="28"/>
        </w:rPr>
        <w:t>d</w:t>
      </w:r>
      <w:r w:rsidRPr="00543487">
        <w:rPr>
          <w:rFonts w:eastAsia="標楷體"/>
          <w:sz w:val="28"/>
          <w:szCs w:val="28"/>
        </w:rPr>
        <w:t>awn Chen</w:t>
      </w:r>
      <w:r w:rsidRPr="00543487">
        <w:rPr>
          <w:rFonts w:eastAsia="標楷體" w:hint="eastAsia"/>
          <w:sz w:val="28"/>
          <w:szCs w:val="28"/>
        </w:rPr>
        <w:t>,</w:t>
      </w:r>
      <w:r w:rsidRPr="00543487">
        <w:rPr>
          <w:rFonts w:eastAsia="標楷體"/>
          <w:sz w:val="28"/>
          <w:szCs w:val="28"/>
        </w:rPr>
        <w:t xml:space="preserve"> Director General</w:t>
      </w:r>
      <w:r w:rsidRPr="00543487">
        <w:rPr>
          <w:rFonts w:eastAsia="標楷體" w:hint="eastAsia"/>
          <w:sz w:val="28"/>
          <w:szCs w:val="28"/>
        </w:rPr>
        <w:t>,</w:t>
      </w:r>
      <w:r w:rsidRPr="00543487">
        <w:rPr>
          <w:rFonts w:eastAsia="標楷體"/>
          <w:sz w:val="28"/>
          <w:szCs w:val="28"/>
        </w:rPr>
        <w:t xml:space="preserve"> Department of Banking</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sz w:val="28"/>
          <w:szCs w:val="28"/>
        </w:rPr>
        <w:t>James T.H. Shih</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006F25E5">
        <w:rPr>
          <w:rFonts w:eastAsia="標楷體" w:hint="eastAsia"/>
          <w:sz w:val="28"/>
          <w:szCs w:val="28"/>
        </w:rPr>
        <w:t xml:space="preserve"> </w:t>
      </w:r>
      <w:r w:rsidRPr="00543487">
        <w:rPr>
          <w:rFonts w:eastAsia="標楷體"/>
          <w:sz w:val="28"/>
          <w:szCs w:val="28"/>
        </w:rPr>
        <w:t xml:space="preserve">Department of Issuing </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sz w:val="28"/>
          <w:szCs w:val="28"/>
        </w:rPr>
        <w:t>Hui-</w:t>
      </w:r>
      <w:proofErr w:type="spellStart"/>
      <w:r w:rsidRPr="00543487">
        <w:rPr>
          <w:rFonts w:eastAsia="標楷體" w:hint="eastAsia"/>
          <w:sz w:val="28"/>
          <w:szCs w:val="28"/>
        </w:rPr>
        <w:t>h</w:t>
      </w:r>
      <w:r w:rsidRPr="00543487">
        <w:rPr>
          <w:rFonts w:eastAsia="標楷體"/>
          <w:sz w:val="28"/>
          <w:szCs w:val="28"/>
        </w:rPr>
        <w:t>uang</w:t>
      </w:r>
      <w:proofErr w:type="spellEnd"/>
      <w:r w:rsidRPr="00543487">
        <w:rPr>
          <w:rFonts w:eastAsia="標楷體"/>
          <w:sz w:val="28"/>
          <w:szCs w:val="28"/>
        </w:rPr>
        <w:t xml:space="preserve"> Yen</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Department of Foreign</w:t>
      </w:r>
      <w:r w:rsidRPr="00543487">
        <w:rPr>
          <w:rFonts w:eastAsia="標楷體" w:hint="eastAsia"/>
          <w:sz w:val="28"/>
          <w:szCs w:val="28"/>
        </w:rPr>
        <w:t xml:space="preserve"> </w:t>
      </w:r>
      <w:r w:rsidRPr="00543487">
        <w:rPr>
          <w:rFonts w:eastAsia="標楷體"/>
          <w:sz w:val="28"/>
          <w:szCs w:val="28"/>
        </w:rPr>
        <w:t>Exchange</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sz w:val="28"/>
          <w:szCs w:val="28"/>
        </w:rPr>
        <w:lastRenderedPageBreak/>
        <w:t>Yue-</w:t>
      </w:r>
      <w:r w:rsidRPr="00543487">
        <w:rPr>
          <w:rFonts w:eastAsia="標楷體" w:hint="eastAsia"/>
          <w:sz w:val="28"/>
          <w:szCs w:val="28"/>
        </w:rPr>
        <w:t>m</w:t>
      </w:r>
      <w:r w:rsidRPr="00543487">
        <w:rPr>
          <w:rFonts w:eastAsia="標楷體"/>
          <w:sz w:val="28"/>
          <w:szCs w:val="28"/>
        </w:rPr>
        <w:t>in Chen</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 xml:space="preserve">, </w:t>
      </w:r>
      <w:r w:rsidRPr="00543487">
        <w:rPr>
          <w:rFonts w:eastAsia="標楷體"/>
          <w:sz w:val="28"/>
          <w:szCs w:val="28"/>
        </w:rPr>
        <w:t>Department of the Treasury</w:t>
      </w:r>
    </w:p>
    <w:p w:rsidR="00363599" w:rsidRPr="00543487" w:rsidRDefault="00363599" w:rsidP="00363599">
      <w:pPr>
        <w:pStyle w:val="31"/>
        <w:spacing w:before="100" w:line="540" w:lineRule="exact"/>
        <w:textDirection w:val="lrTbV"/>
        <w:rPr>
          <w:rFonts w:eastAsia="標楷體"/>
          <w:sz w:val="28"/>
          <w:szCs w:val="28"/>
        </w:rPr>
      </w:pPr>
      <w:proofErr w:type="spellStart"/>
      <w:r w:rsidRPr="00543487">
        <w:rPr>
          <w:rFonts w:eastAsia="標楷體"/>
          <w:sz w:val="28"/>
          <w:szCs w:val="28"/>
        </w:rPr>
        <w:t>Tsuey</w:t>
      </w:r>
      <w:proofErr w:type="spellEnd"/>
      <w:r w:rsidRPr="00543487">
        <w:rPr>
          <w:rFonts w:eastAsia="標楷體"/>
          <w:sz w:val="28"/>
          <w:szCs w:val="28"/>
        </w:rPr>
        <w:t>-</w:t>
      </w:r>
      <w:r w:rsidRPr="00543487">
        <w:rPr>
          <w:rFonts w:eastAsia="標楷體" w:hint="eastAsia"/>
          <w:sz w:val="28"/>
          <w:szCs w:val="28"/>
        </w:rPr>
        <w:t>l</w:t>
      </w:r>
      <w:r w:rsidRPr="00543487">
        <w:rPr>
          <w:rFonts w:eastAsia="標楷體"/>
          <w:sz w:val="28"/>
          <w:szCs w:val="28"/>
        </w:rPr>
        <w:t>ing Hsiao</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 D</w:t>
      </w:r>
      <w:r w:rsidRPr="00543487">
        <w:rPr>
          <w:rFonts w:eastAsia="標楷體"/>
          <w:sz w:val="28"/>
          <w:szCs w:val="28"/>
        </w:rPr>
        <w:t>epartment of Financial</w:t>
      </w:r>
      <w:r w:rsidRPr="00543487">
        <w:rPr>
          <w:rFonts w:eastAsia="標楷體" w:hint="eastAsia"/>
          <w:sz w:val="28"/>
          <w:szCs w:val="28"/>
        </w:rPr>
        <w:t xml:space="preserve"> </w:t>
      </w:r>
      <w:r w:rsidRPr="00543487">
        <w:rPr>
          <w:rFonts w:eastAsia="標楷體"/>
          <w:sz w:val="28"/>
          <w:szCs w:val="28"/>
        </w:rPr>
        <w:t>Inspection</w:t>
      </w:r>
      <w:r w:rsidRPr="00543487">
        <w:rPr>
          <w:rFonts w:eastAsia="標楷體" w:hint="eastAsia"/>
          <w:sz w:val="28"/>
          <w:szCs w:val="28"/>
        </w:rPr>
        <w:t xml:space="preserve"> </w:t>
      </w:r>
    </w:p>
    <w:p w:rsidR="00363599" w:rsidRPr="00543487" w:rsidRDefault="00363599" w:rsidP="00363599">
      <w:pPr>
        <w:pStyle w:val="31"/>
        <w:spacing w:before="100" w:line="540" w:lineRule="exact"/>
        <w:textDirection w:val="lrTbV"/>
        <w:rPr>
          <w:rFonts w:eastAsia="標楷體"/>
          <w:sz w:val="28"/>
          <w:szCs w:val="28"/>
        </w:rPr>
      </w:pPr>
      <w:proofErr w:type="spellStart"/>
      <w:r w:rsidRPr="00543487">
        <w:rPr>
          <w:rFonts w:eastAsia="標楷體"/>
          <w:sz w:val="28"/>
          <w:szCs w:val="28"/>
        </w:rPr>
        <w:t>Tzong-</w:t>
      </w:r>
      <w:r w:rsidRPr="00543487">
        <w:rPr>
          <w:rFonts w:eastAsia="標楷體" w:hint="eastAsia"/>
          <w:sz w:val="28"/>
          <w:szCs w:val="28"/>
        </w:rPr>
        <w:t>y</w:t>
      </w:r>
      <w:r w:rsidRPr="00543487">
        <w:rPr>
          <w:rFonts w:eastAsia="標楷體"/>
          <w:sz w:val="28"/>
          <w:szCs w:val="28"/>
        </w:rPr>
        <w:t>au</w:t>
      </w:r>
      <w:proofErr w:type="spellEnd"/>
      <w:r w:rsidRPr="00543487">
        <w:rPr>
          <w:rFonts w:eastAsia="標楷體"/>
          <w:sz w:val="28"/>
          <w:szCs w:val="28"/>
        </w:rPr>
        <w:t xml:space="preserve"> Lin</w:t>
      </w:r>
      <w:r w:rsidRPr="00543487">
        <w:rPr>
          <w:rFonts w:eastAsia="標楷體" w:hint="eastAsia"/>
          <w:sz w:val="28"/>
          <w:szCs w:val="28"/>
        </w:rPr>
        <w:t>,</w:t>
      </w:r>
      <w:r w:rsidRPr="00543487">
        <w:rPr>
          <w:rFonts w:eastAsia="標楷體"/>
          <w:sz w:val="28"/>
          <w:szCs w:val="28"/>
        </w:rPr>
        <w:t xml:space="preserve"> Director General</w:t>
      </w:r>
      <w:r w:rsidRPr="00543487">
        <w:rPr>
          <w:rFonts w:eastAsia="標楷體" w:hint="eastAsia"/>
          <w:sz w:val="28"/>
          <w:szCs w:val="28"/>
        </w:rPr>
        <w:t xml:space="preserve">, </w:t>
      </w:r>
      <w:r w:rsidRPr="00543487">
        <w:rPr>
          <w:rFonts w:eastAsia="標楷體"/>
          <w:sz w:val="28"/>
          <w:szCs w:val="28"/>
        </w:rPr>
        <w:t>Department of Economic Research</w:t>
      </w:r>
      <w:r w:rsidRPr="00543487">
        <w:rPr>
          <w:rFonts w:eastAsia="標楷體" w:hint="eastAsia"/>
          <w:sz w:val="28"/>
          <w:szCs w:val="28"/>
        </w:rPr>
        <w:t xml:space="preserve"> </w:t>
      </w:r>
    </w:p>
    <w:p w:rsidR="00363599" w:rsidRPr="00543487" w:rsidRDefault="00363599" w:rsidP="00363599">
      <w:pPr>
        <w:pStyle w:val="31"/>
        <w:spacing w:before="100" w:line="540" w:lineRule="exact"/>
        <w:textDirection w:val="lrTbV"/>
        <w:rPr>
          <w:rFonts w:eastAsia="標楷體"/>
          <w:sz w:val="28"/>
          <w:szCs w:val="28"/>
        </w:rPr>
      </w:pPr>
      <w:proofErr w:type="spellStart"/>
      <w:r w:rsidRPr="00543487">
        <w:rPr>
          <w:rFonts w:eastAsia="標楷體"/>
          <w:sz w:val="28"/>
          <w:szCs w:val="28"/>
        </w:rPr>
        <w:t>Chien-</w:t>
      </w:r>
      <w:r w:rsidRPr="00543487">
        <w:rPr>
          <w:rFonts w:eastAsia="標楷體" w:hint="eastAsia"/>
          <w:sz w:val="28"/>
          <w:szCs w:val="28"/>
        </w:rPr>
        <w:t>c</w:t>
      </w:r>
      <w:r w:rsidRPr="00543487">
        <w:rPr>
          <w:rFonts w:eastAsia="標楷體"/>
          <w:sz w:val="28"/>
          <w:szCs w:val="28"/>
        </w:rPr>
        <w:t>hing</w:t>
      </w:r>
      <w:proofErr w:type="spellEnd"/>
      <w:r w:rsidRPr="00543487">
        <w:rPr>
          <w:rFonts w:eastAsia="標楷體"/>
          <w:sz w:val="28"/>
          <w:szCs w:val="28"/>
        </w:rPr>
        <w:t xml:space="preserve"> Liang</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Secretariat</w:t>
      </w:r>
    </w:p>
    <w:p w:rsidR="00363599" w:rsidRPr="00543487" w:rsidRDefault="00363599" w:rsidP="00363599">
      <w:pPr>
        <w:pStyle w:val="31"/>
        <w:spacing w:before="100" w:line="540" w:lineRule="exact"/>
        <w:textDirection w:val="lrTbV"/>
        <w:rPr>
          <w:rFonts w:eastAsia="標楷體"/>
          <w:sz w:val="28"/>
          <w:szCs w:val="28"/>
        </w:rPr>
      </w:pPr>
      <w:proofErr w:type="spellStart"/>
      <w:r w:rsidRPr="00543487">
        <w:rPr>
          <w:rFonts w:eastAsia="標楷體"/>
          <w:sz w:val="28"/>
          <w:szCs w:val="28"/>
        </w:rPr>
        <w:t>Kuei-</w:t>
      </w:r>
      <w:r w:rsidRPr="00543487">
        <w:rPr>
          <w:rFonts w:eastAsia="標楷體" w:hint="eastAsia"/>
          <w:sz w:val="28"/>
          <w:szCs w:val="28"/>
        </w:rPr>
        <w:t>c</w:t>
      </w:r>
      <w:r w:rsidRPr="00543487">
        <w:rPr>
          <w:rFonts w:eastAsia="標楷體"/>
          <w:sz w:val="28"/>
          <w:szCs w:val="28"/>
        </w:rPr>
        <w:t>hou</w:t>
      </w:r>
      <w:proofErr w:type="spellEnd"/>
      <w:r w:rsidRPr="00543487">
        <w:rPr>
          <w:rFonts w:eastAsia="標楷體"/>
          <w:sz w:val="28"/>
          <w:szCs w:val="28"/>
        </w:rPr>
        <w:t xml:space="preserve"> Huang</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Department of Accounting</w:t>
      </w:r>
    </w:p>
    <w:p w:rsidR="00363599" w:rsidRPr="00543487" w:rsidRDefault="00363599" w:rsidP="00363599">
      <w:pPr>
        <w:pStyle w:val="31"/>
        <w:spacing w:before="100" w:line="540" w:lineRule="exact"/>
        <w:textDirection w:val="lrTbV"/>
        <w:rPr>
          <w:rFonts w:eastAsia="標楷體"/>
          <w:sz w:val="28"/>
          <w:szCs w:val="28"/>
        </w:rPr>
      </w:pPr>
      <w:proofErr w:type="spellStart"/>
      <w:r w:rsidRPr="00543487">
        <w:rPr>
          <w:rFonts w:eastAsia="標楷體"/>
          <w:sz w:val="28"/>
          <w:szCs w:val="28"/>
        </w:rPr>
        <w:t>Jhih-</w:t>
      </w:r>
      <w:r w:rsidRPr="00543487">
        <w:rPr>
          <w:rFonts w:eastAsia="標楷體" w:hint="eastAsia"/>
          <w:sz w:val="28"/>
          <w:szCs w:val="28"/>
        </w:rPr>
        <w:t>c</w:t>
      </w:r>
      <w:r w:rsidRPr="00543487">
        <w:rPr>
          <w:rFonts w:eastAsia="標楷體"/>
          <w:sz w:val="28"/>
          <w:szCs w:val="28"/>
        </w:rPr>
        <w:t>heng</w:t>
      </w:r>
      <w:proofErr w:type="spellEnd"/>
      <w:r w:rsidRPr="00543487">
        <w:rPr>
          <w:rFonts w:eastAsia="標楷體"/>
          <w:sz w:val="28"/>
          <w:szCs w:val="28"/>
        </w:rPr>
        <w:t xml:space="preserve"> Hong</w:t>
      </w:r>
      <w:r w:rsidRPr="00543487">
        <w:rPr>
          <w:rFonts w:eastAsia="標楷體" w:hint="eastAsia"/>
          <w:sz w:val="28"/>
          <w:szCs w:val="28"/>
        </w:rPr>
        <w:t xml:space="preserve">, </w:t>
      </w:r>
      <w:r w:rsidRPr="00543487">
        <w:rPr>
          <w:rFonts w:eastAsia="標楷體"/>
          <w:sz w:val="28"/>
          <w:szCs w:val="28"/>
        </w:rPr>
        <w:t>Director</w:t>
      </w:r>
      <w:r w:rsidRPr="00543487">
        <w:rPr>
          <w:rFonts w:eastAsia="標楷體" w:hint="eastAsia"/>
          <w:sz w:val="28"/>
          <w:szCs w:val="28"/>
        </w:rPr>
        <w:t>,</w:t>
      </w:r>
      <w:r w:rsidRPr="00543487">
        <w:rPr>
          <w:rFonts w:eastAsia="標楷體"/>
          <w:sz w:val="28"/>
          <w:szCs w:val="28"/>
        </w:rPr>
        <w:t xml:space="preserve"> Personnel Office</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sz w:val="28"/>
          <w:szCs w:val="28"/>
        </w:rPr>
        <w:t>Kun-</w:t>
      </w:r>
      <w:proofErr w:type="spellStart"/>
      <w:r w:rsidRPr="00543487">
        <w:rPr>
          <w:rFonts w:eastAsia="標楷體" w:hint="eastAsia"/>
          <w:sz w:val="28"/>
          <w:szCs w:val="28"/>
        </w:rPr>
        <w:t>s</w:t>
      </w:r>
      <w:r w:rsidRPr="00543487">
        <w:rPr>
          <w:rFonts w:eastAsia="標楷體"/>
          <w:sz w:val="28"/>
          <w:szCs w:val="28"/>
        </w:rPr>
        <w:t>han</w:t>
      </w:r>
      <w:proofErr w:type="spellEnd"/>
      <w:r w:rsidRPr="00543487">
        <w:rPr>
          <w:rFonts w:eastAsia="標楷體"/>
          <w:sz w:val="28"/>
          <w:szCs w:val="28"/>
        </w:rPr>
        <w:t xml:space="preserve"> Wu</w:t>
      </w:r>
      <w:r w:rsidRPr="00543487">
        <w:rPr>
          <w:rFonts w:eastAsia="標楷體" w:hint="eastAsia"/>
          <w:sz w:val="28"/>
          <w:szCs w:val="28"/>
        </w:rPr>
        <w:t>,</w:t>
      </w:r>
      <w:r w:rsidRPr="00543487">
        <w:rPr>
          <w:rFonts w:eastAsia="標楷體"/>
          <w:sz w:val="28"/>
          <w:szCs w:val="28"/>
        </w:rPr>
        <w:t xml:space="preserve"> Director</w:t>
      </w:r>
      <w:r w:rsidRPr="00543487">
        <w:rPr>
          <w:rFonts w:eastAsia="標楷體" w:hint="eastAsia"/>
          <w:sz w:val="28"/>
          <w:szCs w:val="28"/>
        </w:rPr>
        <w:t>,</w:t>
      </w:r>
      <w:r w:rsidRPr="00543487">
        <w:rPr>
          <w:rFonts w:eastAsia="標楷體"/>
          <w:sz w:val="28"/>
          <w:szCs w:val="28"/>
        </w:rPr>
        <w:t xml:space="preserve"> Legal Affairs Office </w:t>
      </w:r>
    </w:p>
    <w:p w:rsidR="00363599" w:rsidRPr="00543487" w:rsidRDefault="00363599" w:rsidP="00363599">
      <w:pPr>
        <w:pStyle w:val="31"/>
        <w:spacing w:before="100" w:line="540" w:lineRule="exact"/>
        <w:textDirection w:val="lrTbV"/>
        <w:rPr>
          <w:rFonts w:eastAsia="標楷體"/>
          <w:sz w:val="28"/>
          <w:szCs w:val="28"/>
        </w:rPr>
      </w:pPr>
      <w:r w:rsidRPr="00543487">
        <w:rPr>
          <w:rFonts w:eastAsia="標楷體"/>
          <w:sz w:val="28"/>
          <w:szCs w:val="28"/>
        </w:rPr>
        <w:t>Lien-Hwa Hsiang</w:t>
      </w:r>
      <w:r w:rsidRPr="00543487">
        <w:rPr>
          <w:rFonts w:eastAsia="標楷體" w:hint="eastAsia"/>
          <w:sz w:val="28"/>
          <w:szCs w:val="28"/>
        </w:rPr>
        <w:t>, Secretary, Board of Supervisors</w:t>
      </w:r>
    </w:p>
    <w:p w:rsidR="00363599" w:rsidRPr="00543487" w:rsidRDefault="00363599" w:rsidP="00363599">
      <w:pPr>
        <w:pStyle w:val="31"/>
        <w:spacing w:before="100" w:line="540" w:lineRule="exact"/>
        <w:textDirection w:val="lrTbV"/>
        <w:rPr>
          <w:rFonts w:eastAsia="標楷體"/>
          <w:sz w:val="28"/>
          <w:szCs w:val="28"/>
        </w:rPr>
      </w:pPr>
      <w:proofErr w:type="spellStart"/>
      <w:r w:rsidRPr="00543487">
        <w:rPr>
          <w:rFonts w:eastAsia="標楷體" w:hint="eastAsia"/>
          <w:sz w:val="28"/>
          <w:szCs w:val="28"/>
        </w:rPr>
        <w:t>Chih-cheng</w:t>
      </w:r>
      <w:proofErr w:type="spellEnd"/>
      <w:r w:rsidRPr="00543487">
        <w:rPr>
          <w:rFonts w:eastAsia="標楷體" w:hint="eastAsia"/>
          <w:sz w:val="28"/>
          <w:szCs w:val="28"/>
        </w:rPr>
        <w:t xml:space="preserve"> Hu, Secretary, Board of Directors</w:t>
      </w:r>
    </w:p>
    <w:p w:rsidR="00363599" w:rsidRPr="00543487" w:rsidRDefault="00363599" w:rsidP="00363599">
      <w:pPr>
        <w:spacing w:before="100" w:line="560" w:lineRule="exact"/>
        <w:ind w:right="11"/>
        <w:jc w:val="both"/>
        <w:textDirection w:val="lrTbV"/>
        <w:rPr>
          <w:rFonts w:eastAsia="標楷體"/>
          <w:b/>
          <w:sz w:val="28"/>
          <w:szCs w:val="28"/>
        </w:rPr>
      </w:pPr>
    </w:p>
    <w:p w:rsidR="00363599" w:rsidRDefault="00363599" w:rsidP="00363599">
      <w:pPr>
        <w:spacing w:before="100" w:line="640" w:lineRule="exact"/>
        <w:textDirection w:val="lrTbV"/>
        <w:rPr>
          <w:rFonts w:eastAsia="標楷體"/>
          <w:b/>
          <w:sz w:val="36"/>
          <w:szCs w:val="36"/>
        </w:rPr>
      </w:pPr>
      <w:r w:rsidRPr="00543487">
        <w:rPr>
          <w:rFonts w:eastAsia="標楷體" w:hint="eastAsia"/>
          <w:b/>
          <w:sz w:val="28"/>
          <w:szCs w:val="28"/>
        </w:rPr>
        <w:t>Presiding:</w:t>
      </w:r>
      <w:r w:rsidRPr="00543487">
        <w:rPr>
          <w:rFonts w:eastAsia="標楷體" w:hint="eastAsia"/>
          <w:sz w:val="28"/>
          <w:szCs w:val="28"/>
        </w:rPr>
        <w:t xml:space="preserve"> Fai-nan </w:t>
      </w:r>
      <w:proofErr w:type="spellStart"/>
      <w:r w:rsidRPr="00543487">
        <w:rPr>
          <w:rFonts w:eastAsia="標楷體" w:hint="eastAsia"/>
          <w:sz w:val="28"/>
          <w:szCs w:val="28"/>
        </w:rPr>
        <w:t>Perng</w:t>
      </w:r>
      <w:proofErr w:type="spellEnd"/>
      <w:r w:rsidRPr="00543487">
        <w:rPr>
          <w:rFonts w:eastAsia="標楷體" w:hint="eastAsia"/>
          <w:sz w:val="28"/>
          <w:szCs w:val="28"/>
        </w:rPr>
        <w:t xml:space="preserve">　　　　</w:t>
      </w: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63599" w:rsidRDefault="00363599" w:rsidP="008F598A">
      <w:pPr>
        <w:spacing w:before="100" w:line="640" w:lineRule="exact"/>
        <w:jc w:val="center"/>
        <w:textDirection w:val="lrTbV"/>
        <w:rPr>
          <w:rFonts w:eastAsia="標楷體"/>
          <w:b/>
          <w:sz w:val="36"/>
          <w:szCs w:val="36"/>
        </w:rPr>
      </w:pPr>
    </w:p>
    <w:p w:rsidR="003E383B" w:rsidRDefault="003E383B" w:rsidP="00DD4D7F">
      <w:pPr>
        <w:spacing w:before="100" w:line="640" w:lineRule="exact"/>
        <w:ind w:right="11" w:firstLineChars="1400" w:firstLine="4480"/>
        <w:jc w:val="both"/>
        <w:textDirection w:val="lrTbV"/>
        <w:rPr>
          <w:rFonts w:eastAsia="標楷體"/>
          <w:sz w:val="32"/>
          <w:szCs w:val="32"/>
        </w:rPr>
      </w:pPr>
    </w:p>
    <w:p w:rsidR="002570BA" w:rsidRPr="00EB1763" w:rsidRDefault="00EB1763" w:rsidP="002570BA">
      <w:pPr>
        <w:adjustRightInd/>
        <w:snapToGrid w:val="0"/>
        <w:spacing w:before="240" w:line="520" w:lineRule="exact"/>
        <w:jc w:val="both"/>
        <w:textDirection w:val="lrTbV"/>
        <w:rPr>
          <w:rFonts w:eastAsia="標楷體"/>
          <w:sz w:val="28"/>
          <w:szCs w:val="28"/>
        </w:rPr>
      </w:pPr>
      <w:r w:rsidRPr="00EB1763">
        <w:rPr>
          <w:rFonts w:eastAsia="標楷體" w:hint="eastAsia"/>
          <w:b/>
          <w:sz w:val="28"/>
          <w:szCs w:val="28"/>
        </w:rPr>
        <w:lastRenderedPageBreak/>
        <w:t xml:space="preserve">Topics: </w:t>
      </w:r>
      <w:r w:rsidR="002570BA" w:rsidRPr="00EB1763">
        <w:rPr>
          <w:rFonts w:eastAsia="標楷體"/>
          <w:b/>
          <w:sz w:val="28"/>
          <w:szCs w:val="28"/>
        </w:rPr>
        <w:t xml:space="preserve">Economic </w:t>
      </w:r>
      <w:r w:rsidR="002570BA" w:rsidRPr="00EB1763">
        <w:rPr>
          <w:rFonts w:eastAsia="標楷體" w:hint="eastAsia"/>
          <w:b/>
          <w:sz w:val="28"/>
          <w:szCs w:val="28"/>
        </w:rPr>
        <w:t>and Financial Conditions and Monetary Policy</w:t>
      </w:r>
    </w:p>
    <w:p w:rsidR="002570BA" w:rsidRPr="00EB1763" w:rsidRDefault="00EB1763" w:rsidP="00EB1763">
      <w:pPr>
        <w:adjustRightInd/>
        <w:snapToGrid w:val="0"/>
        <w:spacing w:before="240" w:line="520" w:lineRule="exact"/>
        <w:jc w:val="both"/>
        <w:rPr>
          <w:rFonts w:eastAsia="標楷體"/>
          <w:b/>
          <w:sz w:val="28"/>
          <w:szCs w:val="28"/>
        </w:rPr>
      </w:pPr>
      <w:r w:rsidRPr="00EB1763">
        <w:rPr>
          <w:rFonts w:eastAsia="標楷體" w:hint="eastAsia"/>
          <w:b/>
          <w:sz w:val="28"/>
          <w:szCs w:val="28"/>
        </w:rPr>
        <w:t xml:space="preserve">I. </w:t>
      </w:r>
      <w:r w:rsidR="002570BA" w:rsidRPr="00EB1763">
        <w:rPr>
          <w:rFonts w:eastAsia="標楷體" w:hint="eastAsia"/>
          <w:b/>
          <w:sz w:val="28"/>
          <w:szCs w:val="28"/>
        </w:rPr>
        <w:t>International</w:t>
      </w:r>
      <w:r w:rsidR="00B41380">
        <w:rPr>
          <w:rFonts w:eastAsia="標楷體" w:hint="eastAsia"/>
          <w:b/>
          <w:sz w:val="28"/>
          <w:szCs w:val="28"/>
        </w:rPr>
        <w:t xml:space="preserve"> and Domestic</w:t>
      </w:r>
      <w:r w:rsidR="002570BA" w:rsidRPr="00EB1763">
        <w:rPr>
          <w:rFonts w:eastAsia="標楷體" w:hint="eastAsia"/>
          <w:b/>
          <w:sz w:val="28"/>
          <w:szCs w:val="28"/>
        </w:rPr>
        <w:t xml:space="preserve"> </w:t>
      </w:r>
      <w:r w:rsidR="002570BA" w:rsidRPr="00EB1763">
        <w:rPr>
          <w:rFonts w:eastAsia="標楷體"/>
          <w:b/>
          <w:sz w:val="28"/>
          <w:szCs w:val="28"/>
        </w:rPr>
        <w:t xml:space="preserve">Economic </w:t>
      </w:r>
      <w:r w:rsidR="002570BA" w:rsidRPr="00EB1763">
        <w:rPr>
          <w:rFonts w:eastAsia="標楷體" w:hint="eastAsia"/>
          <w:b/>
          <w:sz w:val="28"/>
          <w:szCs w:val="28"/>
        </w:rPr>
        <w:t>a</w:t>
      </w:r>
      <w:r w:rsidR="002570BA" w:rsidRPr="00EB1763">
        <w:rPr>
          <w:rFonts w:eastAsia="標楷體"/>
          <w:b/>
          <w:sz w:val="28"/>
          <w:szCs w:val="28"/>
        </w:rPr>
        <w:t xml:space="preserve">nd Financial Conditions </w:t>
      </w:r>
    </w:p>
    <w:p w:rsidR="00EB1763" w:rsidRPr="00EB1763" w:rsidRDefault="00EB1763" w:rsidP="00EB1763">
      <w:pPr>
        <w:adjustRightInd/>
        <w:snapToGrid w:val="0"/>
        <w:spacing w:before="240" w:line="520" w:lineRule="exact"/>
        <w:jc w:val="both"/>
        <w:textDirection w:val="lrTbV"/>
        <w:rPr>
          <w:rFonts w:eastAsia="標楷體"/>
          <w:sz w:val="28"/>
          <w:szCs w:val="28"/>
        </w:rPr>
      </w:pPr>
      <w:r w:rsidRPr="00EB1763">
        <w:rPr>
          <w:rFonts w:eastAsia="標楷體" w:hint="eastAsia"/>
          <w:sz w:val="28"/>
          <w:szCs w:val="28"/>
        </w:rPr>
        <w:t xml:space="preserve">Review by Department of Economic Research </w:t>
      </w:r>
    </w:p>
    <w:p w:rsidR="00EB1763" w:rsidRPr="00EB1763" w:rsidRDefault="00EB1763" w:rsidP="00EB1763">
      <w:pPr>
        <w:numPr>
          <w:ilvl w:val="0"/>
          <w:numId w:val="4"/>
        </w:numPr>
        <w:overflowPunct w:val="0"/>
        <w:autoSpaceDE w:val="0"/>
        <w:autoSpaceDN w:val="0"/>
        <w:snapToGrid w:val="0"/>
        <w:spacing w:before="240" w:line="520" w:lineRule="exact"/>
        <w:ind w:left="426" w:hanging="284"/>
        <w:jc w:val="both"/>
        <w:rPr>
          <w:rFonts w:eastAsia="標楷體"/>
          <w:b/>
          <w:spacing w:val="-2"/>
          <w:sz w:val="28"/>
          <w:szCs w:val="28"/>
        </w:rPr>
      </w:pPr>
      <w:r w:rsidRPr="00EB1763">
        <w:rPr>
          <w:rFonts w:eastAsia="標楷體" w:hint="eastAsia"/>
          <w:b/>
          <w:spacing w:val="-2"/>
          <w:sz w:val="28"/>
          <w:szCs w:val="28"/>
        </w:rPr>
        <w:t xml:space="preserve">International </w:t>
      </w:r>
      <w:r w:rsidRPr="00EB1763">
        <w:rPr>
          <w:rFonts w:eastAsia="標楷體"/>
          <w:b/>
          <w:spacing w:val="-2"/>
          <w:sz w:val="28"/>
          <w:szCs w:val="28"/>
        </w:rPr>
        <w:t xml:space="preserve">Economic </w:t>
      </w:r>
      <w:r w:rsidRPr="00EB1763">
        <w:rPr>
          <w:rFonts w:eastAsia="標楷體" w:hint="eastAsia"/>
          <w:b/>
          <w:spacing w:val="-2"/>
          <w:sz w:val="28"/>
          <w:szCs w:val="28"/>
        </w:rPr>
        <w:t>a</w:t>
      </w:r>
      <w:r w:rsidRPr="00EB1763">
        <w:rPr>
          <w:rFonts w:eastAsia="標楷體"/>
          <w:b/>
          <w:spacing w:val="-2"/>
          <w:sz w:val="28"/>
          <w:szCs w:val="28"/>
        </w:rPr>
        <w:t>nd Financial Conditions</w:t>
      </w:r>
    </w:p>
    <w:p w:rsidR="00974BF8" w:rsidRPr="002C0DF3" w:rsidRDefault="006225D3" w:rsidP="00974BF8">
      <w:pPr>
        <w:pStyle w:val="6"/>
        <w:overflowPunct w:val="0"/>
        <w:snapToGrid w:val="0"/>
        <w:spacing w:before="240" w:after="0" w:line="520" w:lineRule="exact"/>
        <w:ind w:left="0" w:firstLineChars="200" w:firstLine="552"/>
        <w:rPr>
          <w:rFonts w:ascii="Times New Roman" w:eastAsia="標楷體"/>
          <w:spacing w:val="0"/>
          <w:sz w:val="28"/>
          <w:szCs w:val="24"/>
        </w:rPr>
      </w:pPr>
      <w:r>
        <w:rPr>
          <w:rFonts w:ascii="Times New Roman" w:eastAsia="標楷體" w:hint="eastAsia"/>
          <w:spacing w:val="-2"/>
          <w:sz w:val="28"/>
          <w:szCs w:val="28"/>
        </w:rPr>
        <w:t>Developments since</w:t>
      </w:r>
      <w:r w:rsidR="00EB1763" w:rsidRPr="00EB1763">
        <w:rPr>
          <w:rFonts w:ascii="Times New Roman" w:eastAsia="標楷體" w:hint="eastAsia"/>
          <w:spacing w:val="-2"/>
          <w:sz w:val="28"/>
          <w:szCs w:val="28"/>
        </w:rPr>
        <w:t xml:space="preserve"> the previous Board meeting in June 2017</w:t>
      </w:r>
      <w:r>
        <w:rPr>
          <w:rFonts w:ascii="Times New Roman" w:eastAsia="標楷體" w:hint="eastAsia"/>
          <w:spacing w:val="-2"/>
          <w:sz w:val="28"/>
          <w:szCs w:val="28"/>
        </w:rPr>
        <w:t xml:space="preserve"> showed that</w:t>
      </w:r>
      <w:r w:rsidR="00EB1763" w:rsidRPr="00EB1763">
        <w:rPr>
          <w:rFonts w:ascii="Times New Roman" w:eastAsia="標楷體" w:hint="eastAsia"/>
          <w:spacing w:val="-2"/>
          <w:sz w:val="28"/>
          <w:szCs w:val="28"/>
        </w:rPr>
        <w:t xml:space="preserve"> the global recovery</w:t>
      </w:r>
      <w:r w:rsidR="00586351">
        <w:rPr>
          <w:rFonts w:ascii="Times New Roman" w:eastAsia="標楷體" w:hint="eastAsia"/>
          <w:spacing w:val="-2"/>
          <w:sz w:val="28"/>
          <w:szCs w:val="28"/>
        </w:rPr>
        <w:t xml:space="preserve"> </w:t>
      </w:r>
      <w:r w:rsidR="00EB1763" w:rsidRPr="00EB1763">
        <w:rPr>
          <w:rFonts w:ascii="Times New Roman" w:eastAsia="標楷體" w:hint="eastAsia"/>
          <w:spacing w:val="-2"/>
          <w:sz w:val="28"/>
          <w:szCs w:val="28"/>
        </w:rPr>
        <w:t>continued at a solid pace</w:t>
      </w:r>
      <w:r>
        <w:rPr>
          <w:rFonts w:ascii="Times New Roman" w:eastAsia="標楷體" w:hint="eastAsia"/>
          <w:spacing w:val="-2"/>
          <w:sz w:val="28"/>
          <w:szCs w:val="28"/>
        </w:rPr>
        <w:t xml:space="preserve">. </w:t>
      </w:r>
      <w:r w:rsidR="00974BF8">
        <w:rPr>
          <w:rFonts w:ascii="Times New Roman" w:eastAsia="標楷體" w:hint="eastAsia"/>
          <w:spacing w:val="-2"/>
          <w:sz w:val="28"/>
          <w:szCs w:val="28"/>
        </w:rPr>
        <w:t xml:space="preserve">International forecasting institutions slightly revised up global </w:t>
      </w:r>
      <w:r w:rsidR="00974BF8">
        <w:rPr>
          <w:rFonts w:ascii="Times New Roman" w:eastAsia="標楷體"/>
          <w:spacing w:val="-2"/>
          <w:sz w:val="28"/>
          <w:szCs w:val="28"/>
        </w:rPr>
        <w:t>economic</w:t>
      </w:r>
      <w:r w:rsidR="00974BF8">
        <w:rPr>
          <w:rFonts w:ascii="Times New Roman" w:eastAsia="標楷體" w:hint="eastAsia"/>
          <w:spacing w:val="-2"/>
          <w:sz w:val="28"/>
          <w:szCs w:val="28"/>
        </w:rPr>
        <w:t xml:space="preserve"> projections for 2017 and 2018 and expect</w:t>
      </w:r>
      <w:r w:rsidR="001C61BE">
        <w:rPr>
          <w:rFonts w:ascii="Times New Roman" w:eastAsia="標楷體" w:hint="eastAsia"/>
          <w:spacing w:val="-2"/>
          <w:sz w:val="28"/>
          <w:szCs w:val="28"/>
        </w:rPr>
        <w:t>ed</w:t>
      </w:r>
      <w:r w:rsidR="00974BF8">
        <w:rPr>
          <w:rFonts w:ascii="Times New Roman" w:eastAsia="標楷體" w:hint="eastAsia"/>
          <w:spacing w:val="-2"/>
          <w:sz w:val="28"/>
          <w:szCs w:val="28"/>
        </w:rPr>
        <w:t xml:space="preserve"> next year</w:t>
      </w:r>
      <w:r w:rsidR="00974BF8">
        <w:rPr>
          <w:rFonts w:ascii="Times New Roman" w:eastAsia="標楷體"/>
          <w:spacing w:val="-2"/>
          <w:sz w:val="28"/>
          <w:szCs w:val="28"/>
        </w:rPr>
        <w:t>’</w:t>
      </w:r>
      <w:r w:rsidR="00974BF8">
        <w:rPr>
          <w:rFonts w:ascii="Times New Roman" w:eastAsia="標楷體" w:hint="eastAsia"/>
          <w:spacing w:val="-2"/>
          <w:sz w:val="28"/>
          <w:szCs w:val="28"/>
        </w:rPr>
        <w:t>s performance to outpace this year</w:t>
      </w:r>
      <w:r w:rsidR="007C663D">
        <w:rPr>
          <w:rFonts w:ascii="Times New Roman" w:eastAsia="標楷體"/>
          <w:spacing w:val="-2"/>
          <w:sz w:val="28"/>
          <w:szCs w:val="28"/>
        </w:rPr>
        <w:t>’</w:t>
      </w:r>
      <w:r w:rsidR="007C663D">
        <w:rPr>
          <w:rFonts w:ascii="Times New Roman" w:eastAsia="標楷體" w:hint="eastAsia"/>
          <w:spacing w:val="-2"/>
          <w:sz w:val="28"/>
          <w:szCs w:val="28"/>
        </w:rPr>
        <w:t>s</w:t>
      </w:r>
      <w:r w:rsidR="00974BF8">
        <w:rPr>
          <w:rFonts w:ascii="Times New Roman" w:eastAsia="標楷體" w:hint="eastAsia"/>
          <w:spacing w:val="-2"/>
          <w:sz w:val="28"/>
          <w:szCs w:val="28"/>
        </w:rPr>
        <w:t xml:space="preserve">. </w:t>
      </w:r>
      <w:r>
        <w:rPr>
          <w:rFonts w:ascii="Times New Roman" w:eastAsia="標楷體" w:hint="eastAsia"/>
          <w:spacing w:val="-2"/>
          <w:sz w:val="28"/>
          <w:szCs w:val="28"/>
        </w:rPr>
        <w:t xml:space="preserve">World trade </w:t>
      </w:r>
      <w:r w:rsidR="008E2CC2">
        <w:rPr>
          <w:rFonts w:ascii="Times New Roman" w:eastAsia="標楷體" w:hint="eastAsia"/>
          <w:spacing w:val="-2"/>
          <w:sz w:val="28"/>
          <w:szCs w:val="28"/>
        </w:rPr>
        <w:t xml:space="preserve">volume </w:t>
      </w:r>
      <w:r>
        <w:rPr>
          <w:rFonts w:ascii="Times New Roman" w:eastAsia="標楷體" w:hint="eastAsia"/>
          <w:spacing w:val="-2"/>
          <w:sz w:val="28"/>
          <w:szCs w:val="28"/>
        </w:rPr>
        <w:t xml:space="preserve">growth also gained momentum from a recovering global </w:t>
      </w:r>
      <w:r>
        <w:rPr>
          <w:rFonts w:ascii="Times New Roman" w:eastAsia="標楷體"/>
          <w:spacing w:val="-2"/>
          <w:sz w:val="28"/>
          <w:szCs w:val="28"/>
        </w:rPr>
        <w:t>economy</w:t>
      </w:r>
      <w:r w:rsidR="00974BF8">
        <w:rPr>
          <w:rFonts w:ascii="Times New Roman" w:eastAsia="標楷體" w:hint="eastAsia"/>
          <w:spacing w:val="-2"/>
          <w:sz w:val="28"/>
          <w:szCs w:val="28"/>
        </w:rPr>
        <w:t>, with steady growth to continue next year</w:t>
      </w:r>
      <w:r w:rsidR="00BA5D9C">
        <w:rPr>
          <w:rFonts w:ascii="Times New Roman" w:eastAsia="標楷體" w:hint="eastAsia"/>
          <w:spacing w:val="-2"/>
          <w:sz w:val="28"/>
          <w:szCs w:val="28"/>
        </w:rPr>
        <w:t>.</w:t>
      </w:r>
      <w:r w:rsidR="00065BAE">
        <w:rPr>
          <w:rFonts w:ascii="Times New Roman" w:eastAsia="標楷體" w:hint="eastAsia"/>
          <w:spacing w:val="-2"/>
          <w:sz w:val="28"/>
          <w:szCs w:val="28"/>
        </w:rPr>
        <w:t xml:space="preserve"> </w:t>
      </w:r>
      <w:r w:rsidR="00586351">
        <w:rPr>
          <w:rFonts w:ascii="Times New Roman" w:eastAsia="標楷體" w:hint="eastAsia"/>
          <w:spacing w:val="-2"/>
          <w:sz w:val="28"/>
          <w:szCs w:val="28"/>
        </w:rPr>
        <w:t>Economic activity in most m</w:t>
      </w:r>
      <w:r w:rsidR="00065BAE">
        <w:rPr>
          <w:rFonts w:ascii="Times New Roman" w:eastAsia="標楷體" w:hint="eastAsia"/>
          <w:spacing w:val="-2"/>
          <w:sz w:val="28"/>
          <w:szCs w:val="28"/>
        </w:rPr>
        <w:t xml:space="preserve">ajor economies </w:t>
      </w:r>
      <w:r w:rsidR="00586351">
        <w:rPr>
          <w:rFonts w:ascii="Times New Roman" w:eastAsia="標楷體" w:hint="eastAsia"/>
          <w:spacing w:val="-2"/>
          <w:sz w:val="28"/>
          <w:szCs w:val="28"/>
        </w:rPr>
        <w:t xml:space="preserve">picked up this year. As for next year, most of them </w:t>
      </w:r>
      <w:r w:rsidR="00974BF8">
        <w:rPr>
          <w:rFonts w:ascii="Times New Roman" w:eastAsia="標楷體" w:hint="eastAsia"/>
          <w:spacing w:val="-2"/>
          <w:sz w:val="28"/>
          <w:szCs w:val="28"/>
        </w:rPr>
        <w:t xml:space="preserve">are expected </w:t>
      </w:r>
      <w:r w:rsidR="00586351">
        <w:rPr>
          <w:rFonts w:ascii="Times New Roman" w:eastAsia="標楷體" w:hint="eastAsia"/>
          <w:spacing w:val="-2"/>
          <w:sz w:val="28"/>
          <w:szCs w:val="28"/>
        </w:rPr>
        <w:t xml:space="preserve">to grow </w:t>
      </w:r>
      <w:r w:rsidR="007C663D">
        <w:rPr>
          <w:rFonts w:ascii="Times New Roman" w:eastAsia="標楷體" w:hint="eastAsia"/>
          <w:spacing w:val="-2"/>
          <w:sz w:val="28"/>
          <w:szCs w:val="28"/>
        </w:rPr>
        <w:t xml:space="preserve">at a </w:t>
      </w:r>
      <w:r w:rsidR="00586351">
        <w:rPr>
          <w:rFonts w:ascii="Times New Roman" w:eastAsia="標楷體"/>
          <w:spacing w:val="-2"/>
          <w:sz w:val="28"/>
          <w:szCs w:val="28"/>
        </w:rPr>
        <w:t>slightly slower or similar pace</w:t>
      </w:r>
      <w:r w:rsidR="00586351">
        <w:rPr>
          <w:rFonts w:ascii="Times New Roman" w:eastAsia="標楷體" w:hint="eastAsia"/>
          <w:spacing w:val="-2"/>
          <w:sz w:val="28"/>
          <w:szCs w:val="28"/>
        </w:rPr>
        <w:t xml:space="preserve">, except for the U.S. where the </w:t>
      </w:r>
      <w:r w:rsidR="00586351">
        <w:rPr>
          <w:rFonts w:ascii="Times New Roman" w:eastAsia="標楷體"/>
          <w:spacing w:val="-2"/>
          <w:sz w:val="28"/>
          <w:szCs w:val="28"/>
        </w:rPr>
        <w:t>economy</w:t>
      </w:r>
      <w:r w:rsidR="00586351">
        <w:rPr>
          <w:rFonts w:ascii="Times New Roman" w:eastAsia="標楷體" w:hint="eastAsia"/>
          <w:spacing w:val="-2"/>
          <w:sz w:val="28"/>
          <w:szCs w:val="28"/>
        </w:rPr>
        <w:t xml:space="preserve"> is </w:t>
      </w:r>
      <w:r w:rsidR="006D6E3F">
        <w:rPr>
          <w:rFonts w:ascii="Times New Roman" w:eastAsia="標楷體" w:hint="eastAsia"/>
          <w:spacing w:val="-2"/>
          <w:sz w:val="28"/>
          <w:szCs w:val="28"/>
        </w:rPr>
        <w:t>projected</w:t>
      </w:r>
      <w:r w:rsidR="00586351">
        <w:rPr>
          <w:rFonts w:ascii="Times New Roman" w:eastAsia="標楷體" w:hint="eastAsia"/>
          <w:spacing w:val="-2"/>
          <w:sz w:val="28"/>
          <w:szCs w:val="28"/>
        </w:rPr>
        <w:t xml:space="preserve"> to strengthen further. </w:t>
      </w:r>
      <w:r w:rsidR="00974BF8" w:rsidRPr="002C0DF3">
        <w:rPr>
          <w:rFonts w:ascii="Times New Roman" w:eastAsia="標楷體" w:hint="eastAsia"/>
          <w:spacing w:val="0"/>
          <w:sz w:val="28"/>
          <w:szCs w:val="24"/>
        </w:rPr>
        <w:t xml:space="preserve">Recent data pointed to mild inflation in major </w:t>
      </w:r>
      <w:r w:rsidR="00974BF8" w:rsidRPr="002C0DF3">
        <w:rPr>
          <w:rFonts w:ascii="Times New Roman" w:eastAsia="標楷體"/>
          <w:spacing w:val="0"/>
          <w:sz w:val="28"/>
          <w:szCs w:val="24"/>
        </w:rPr>
        <w:t>economies</w:t>
      </w:r>
      <w:r w:rsidR="001C61BE">
        <w:rPr>
          <w:rFonts w:ascii="Times New Roman" w:eastAsia="標楷體" w:hint="eastAsia"/>
          <w:spacing w:val="0"/>
          <w:sz w:val="28"/>
          <w:szCs w:val="24"/>
        </w:rPr>
        <w:t>. Global i</w:t>
      </w:r>
      <w:r w:rsidR="00974BF8" w:rsidRPr="002C0DF3">
        <w:rPr>
          <w:rFonts w:ascii="Times New Roman" w:eastAsia="標楷體" w:hint="eastAsia"/>
          <w:spacing w:val="0"/>
          <w:sz w:val="28"/>
          <w:szCs w:val="24"/>
        </w:rPr>
        <w:t>nflation outlook is stable</w:t>
      </w:r>
      <w:r w:rsidR="00974BF8">
        <w:rPr>
          <w:rFonts w:ascii="Times New Roman" w:eastAsia="標楷體" w:hint="eastAsia"/>
          <w:spacing w:val="0"/>
          <w:sz w:val="28"/>
          <w:szCs w:val="24"/>
        </w:rPr>
        <w:t xml:space="preserve"> for both </w:t>
      </w:r>
      <w:r w:rsidR="00974BF8" w:rsidRPr="002C0DF3">
        <w:rPr>
          <w:rFonts w:ascii="Times New Roman" w:eastAsia="標楷體" w:hint="eastAsia"/>
          <w:spacing w:val="0"/>
          <w:sz w:val="28"/>
          <w:szCs w:val="24"/>
        </w:rPr>
        <w:t xml:space="preserve">2017 and 2018 according to </w:t>
      </w:r>
      <w:r w:rsidR="00974BF8">
        <w:rPr>
          <w:rFonts w:ascii="Times New Roman" w:eastAsia="標楷體" w:hint="eastAsia"/>
          <w:spacing w:val="0"/>
          <w:sz w:val="28"/>
          <w:szCs w:val="24"/>
        </w:rPr>
        <w:t>international forecasting institutions</w:t>
      </w:r>
      <w:r w:rsidR="00974BF8" w:rsidRPr="002C0DF3">
        <w:rPr>
          <w:rFonts w:ascii="Times New Roman" w:eastAsia="標楷體" w:hint="eastAsia"/>
          <w:spacing w:val="0"/>
          <w:sz w:val="28"/>
          <w:szCs w:val="24"/>
        </w:rPr>
        <w:t xml:space="preserve">. </w:t>
      </w:r>
    </w:p>
    <w:p w:rsidR="007A1530" w:rsidRPr="002C0DF3" w:rsidRDefault="006C483B" w:rsidP="002C0DF3">
      <w:pPr>
        <w:pStyle w:val="6"/>
        <w:overflowPunct w:val="0"/>
        <w:snapToGrid w:val="0"/>
        <w:spacing w:before="240" w:after="0" w:line="520" w:lineRule="exact"/>
        <w:ind w:left="0" w:firstLineChars="200" w:firstLine="560"/>
        <w:rPr>
          <w:rFonts w:ascii="Times New Roman" w:eastAsia="標楷體"/>
          <w:spacing w:val="0"/>
          <w:sz w:val="28"/>
          <w:szCs w:val="24"/>
        </w:rPr>
      </w:pPr>
      <w:r w:rsidRPr="002C0DF3">
        <w:rPr>
          <w:rFonts w:ascii="Times New Roman" w:eastAsia="標楷體" w:hint="eastAsia"/>
          <w:spacing w:val="0"/>
          <w:sz w:val="28"/>
          <w:szCs w:val="24"/>
        </w:rPr>
        <w:t xml:space="preserve">In the </w:t>
      </w:r>
      <w:r w:rsidRPr="002C0DF3">
        <w:rPr>
          <w:rFonts w:ascii="Times New Roman" w:eastAsia="標楷體"/>
          <w:spacing w:val="0"/>
          <w:sz w:val="28"/>
          <w:szCs w:val="24"/>
        </w:rPr>
        <w:t>international</w:t>
      </w:r>
      <w:r w:rsidRPr="002C0DF3">
        <w:rPr>
          <w:rFonts w:ascii="Times New Roman" w:eastAsia="標楷體" w:hint="eastAsia"/>
          <w:spacing w:val="0"/>
          <w:sz w:val="28"/>
          <w:szCs w:val="24"/>
        </w:rPr>
        <w:t xml:space="preserve"> </w:t>
      </w:r>
      <w:r w:rsidRPr="002C0DF3">
        <w:rPr>
          <w:rFonts w:ascii="Times New Roman" w:eastAsia="標楷體"/>
          <w:spacing w:val="0"/>
          <w:sz w:val="28"/>
          <w:szCs w:val="24"/>
        </w:rPr>
        <w:t>financial</w:t>
      </w:r>
      <w:r w:rsidRPr="002C0DF3">
        <w:rPr>
          <w:rFonts w:ascii="Times New Roman" w:eastAsia="標楷體" w:hint="eastAsia"/>
          <w:spacing w:val="0"/>
          <w:sz w:val="28"/>
          <w:szCs w:val="24"/>
        </w:rPr>
        <w:t xml:space="preserve"> market</w:t>
      </w:r>
      <w:r w:rsidR="007118B8">
        <w:rPr>
          <w:rFonts w:ascii="Times New Roman" w:eastAsia="標楷體" w:hint="eastAsia"/>
          <w:spacing w:val="0"/>
          <w:sz w:val="28"/>
          <w:szCs w:val="24"/>
        </w:rPr>
        <w:t>s</w:t>
      </w:r>
      <w:r w:rsidRPr="002C0DF3">
        <w:rPr>
          <w:rFonts w:ascii="Times New Roman" w:eastAsia="標楷體" w:hint="eastAsia"/>
          <w:spacing w:val="0"/>
          <w:sz w:val="28"/>
          <w:szCs w:val="24"/>
        </w:rPr>
        <w:t xml:space="preserve">, major currencies </w:t>
      </w:r>
      <w:r w:rsidR="00AA760A" w:rsidRPr="002C0DF3">
        <w:rPr>
          <w:rFonts w:ascii="Times New Roman" w:eastAsia="標楷體" w:hint="eastAsia"/>
          <w:spacing w:val="0"/>
          <w:sz w:val="28"/>
          <w:szCs w:val="24"/>
        </w:rPr>
        <w:t xml:space="preserve">broadly appreciated against the US dollar and the dollar index dipped to a two-year low in early September. The euro and the Japanese yen rose against the US dollar, and </w:t>
      </w:r>
      <w:r w:rsidR="00C0620C" w:rsidRPr="002C0DF3">
        <w:rPr>
          <w:rFonts w:ascii="Times New Roman" w:eastAsia="標楷體" w:hint="eastAsia"/>
          <w:spacing w:val="0"/>
          <w:sz w:val="28"/>
          <w:szCs w:val="24"/>
        </w:rPr>
        <w:t xml:space="preserve">most </w:t>
      </w:r>
      <w:r w:rsidR="00AA760A" w:rsidRPr="002C0DF3">
        <w:rPr>
          <w:rFonts w:ascii="Times New Roman" w:eastAsia="標楷體" w:hint="eastAsia"/>
          <w:spacing w:val="0"/>
          <w:sz w:val="28"/>
          <w:szCs w:val="24"/>
        </w:rPr>
        <w:t xml:space="preserve">Asian currencies </w:t>
      </w:r>
      <w:r w:rsidR="00C0620C" w:rsidRPr="002C0DF3">
        <w:rPr>
          <w:rFonts w:ascii="Times New Roman" w:eastAsia="標楷體" w:hint="eastAsia"/>
          <w:spacing w:val="0"/>
          <w:sz w:val="28"/>
          <w:szCs w:val="24"/>
        </w:rPr>
        <w:t xml:space="preserve">also strengthened. </w:t>
      </w:r>
      <w:r w:rsidR="007118B8">
        <w:rPr>
          <w:rFonts w:ascii="Times New Roman" w:eastAsia="標楷體" w:hint="eastAsia"/>
          <w:spacing w:val="0"/>
          <w:sz w:val="28"/>
          <w:szCs w:val="24"/>
        </w:rPr>
        <w:t>Meanwhile, t</w:t>
      </w:r>
      <w:r w:rsidR="00F8541C">
        <w:rPr>
          <w:rFonts w:ascii="Times New Roman" w:eastAsia="標楷體" w:hint="eastAsia"/>
          <w:spacing w:val="0"/>
          <w:sz w:val="28"/>
          <w:szCs w:val="24"/>
        </w:rPr>
        <w:t>he</w:t>
      </w:r>
      <w:r w:rsidR="00C0620C" w:rsidRPr="002C0DF3">
        <w:rPr>
          <w:rFonts w:ascii="Times New Roman" w:eastAsia="標楷體" w:hint="eastAsia"/>
          <w:spacing w:val="0"/>
          <w:sz w:val="28"/>
          <w:szCs w:val="24"/>
        </w:rPr>
        <w:t xml:space="preserve"> global stock markets</w:t>
      </w:r>
      <w:r w:rsidR="00495A1E" w:rsidRPr="002C0DF3">
        <w:rPr>
          <w:rFonts w:ascii="Times New Roman" w:eastAsia="標楷體"/>
          <w:spacing w:val="0"/>
          <w:sz w:val="28"/>
          <w:szCs w:val="24"/>
        </w:rPr>
        <w:t xml:space="preserve"> </w:t>
      </w:r>
      <w:r w:rsidR="00F56E65" w:rsidRPr="002C0DF3">
        <w:rPr>
          <w:rFonts w:ascii="Times New Roman" w:eastAsia="標楷體" w:hint="eastAsia"/>
          <w:spacing w:val="0"/>
          <w:sz w:val="28"/>
          <w:szCs w:val="24"/>
        </w:rPr>
        <w:t xml:space="preserve">recorded an extended rally on the back of the global </w:t>
      </w:r>
      <w:r w:rsidR="00F56E65" w:rsidRPr="002C0DF3">
        <w:rPr>
          <w:rFonts w:ascii="Times New Roman" w:eastAsia="標楷體"/>
          <w:spacing w:val="0"/>
          <w:sz w:val="28"/>
          <w:szCs w:val="24"/>
        </w:rPr>
        <w:t>economic</w:t>
      </w:r>
      <w:r w:rsidR="00F56E65" w:rsidRPr="002C0DF3">
        <w:rPr>
          <w:rFonts w:ascii="Times New Roman" w:eastAsia="標楷體" w:hint="eastAsia"/>
          <w:spacing w:val="0"/>
          <w:sz w:val="28"/>
          <w:szCs w:val="24"/>
        </w:rPr>
        <w:t xml:space="preserve"> pickup and</w:t>
      </w:r>
      <w:r w:rsidR="00725203" w:rsidRPr="002C0DF3">
        <w:rPr>
          <w:rFonts w:ascii="Times New Roman" w:eastAsia="標楷體" w:hint="eastAsia"/>
          <w:spacing w:val="0"/>
          <w:sz w:val="28"/>
          <w:szCs w:val="24"/>
        </w:rPr>
        <w:t xml:space="preserve"> loose </w:t>
      </w:r>
      <w:r w:rsidR="008E2CC2">
        <w:rPr>
          <w:rFonts w:ascii="Times New Roman" w:eastAsia="標楷體" w:hint="eastAsia"/>
          <w:spacing w:val="0"/>
          <w:sz w:val="28"/>
          <w:szCs w:val="24"/>
        </w:rPr>
        <w:t xml:space="preserve">monetary </w:t>
      </w:r>
      <w:r w:rsidR="00F56E65" w:rsidRPr="002C0DF3">
        <w:rPr>
          <w:rFonts w:ascii="Times New Roman" w:eastAsia="標楷體" w:hint="eastAsia"/>
          <w:spacing w:val="0"/>
          <w:sz w:val="28"/>
          <w:szCs w:val="24"/>
        </w:rPr>
        <w:t xml:space="preserve">conditions. </w:t>
      </w:r>
    </w:p>
    <w:p w:rsidR="00585BCD" w:rsidRPr="002C0DF3" w:rsidRDefault="006D6E3F" w:rsidP="002C0DF3">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Key</w:t>
      </w:r>
      <w:r w:rsidR="000015F2" w:rsidRPr="002C0DF3">
        <w:rPr>
          <w:rFonts w:ascii="Times New Roman" w:eastAsia="標楷體" w:hint="eastAsia"/>
          <w:spacing w:val="0"/>
          <w:sz w:val="28"/>
          <w:szCs w:val="24"/>
        </w:rPr>
        <w:t xml:space="preserve"> risks facing the global </w:t>
      </w:r>
      <w:r w:rsidR="000015F2" w:rsidRPr="002C0DF3">
        <w:rPr>
          <w:rFonts w:ascii="Times New Roman" w:eastAsia="標楷體"/>
          <w:spacing w:val="0"/>
          <w:sz w:val="28"/>
          <w:szCs w:val="24"/>
        </w:rPr>
        <w:t>economy</w:t>
      </w:r>
      <w:r w:rsidR="000015F2" w:rsidRPr="002C0DF3">
        <w:rPr>
          <w:rFonts w:ascii="Times New Roman" w:eastAsia="標楷體" w:hint="eastAsia"/>
          <w:spacing w:val="0"/>
          <w:sz w:val="28"/>
          <w:szCs w:val="24"/>
        </w:rPr>
        <w:t xml:space="preserve"> are threefold</w:t>
      </w:r>
      <w:r w:rsidR="004435A0" w:rsidRPr="002C0DF3">
        <w:rPr>
          <w:rFonts w:ascii="Times New Roman" w:eastAsia="標楷體" w:hint="eastAsia"/>
          <w:spacing w:val="0"/>
          <w:sz w:val="28"/>
          <w:szCs w:val="24"/>
        </w:rPr>
        <w:t>:</w:t>
      </w:r>
      <w:r w:rsidR="000015F2" w:rsidRPr="002C0DF3">
        <w:rPr>
          <w:rFonts w:ascii="Times New Roman" w:eastAsia="標楷體" w:hint="eastAsia"/>
          <w:spacing w:val="0"/>
          <w:sz w:val="28"/>
          <w:szCs w:val="24"/>
        </w:rPr>
        <w:t xml:space="preserve"> (1) </w:t>
      </w:r>
      <w:r w:rsidR="00585BCD" w:rsidRPr="002C0DF3">
        <w:rPr>
          <w:rFonts w:ascii="Times New Roman" w:eastAsia="標楷體" w:hint="eastAsia"/>
          <w:spacing w:val="0"/>
          <w:sz w:val="28"/>
          <w:szCs w:val="24"/>
        </w:rPr>
        <w:t>uncertainties over major econom</w:t>
      </w:r>
      <w:r>
        <w:rPr>
          <w:rFonts w:ascii="Times New Roman" w:eastAsia="標楷體" w:hint="eastAsia"/>
          <w:spacing w:val="0"/>
          <w:sz w:val="28"/>
          <w:szCs w:val="24"/>
        </w:rPr>
        <w:t>ies</w:t>
      </w:r>
      <w:r>
        <w:rPr>
          <w:rFonts w:ascii="Times New Roman" w:eastAsia="標楷體"/>
          <w:spacing w:val="0"/>
          <w:sz w:val="28"/>
          <w:szCs w:val="24"/>
        </w:rPr>
        <w:t>’</w:t>
      </w:r>
      <w:r w:rsidR="00585BCD" w:rsidRPr="002C0DF3">
        <w:rPr>
          <w:rFonts w:ascii="Times New Roman" w:eastAsia="標楷體" w:hint="eastAsia"/>
          <w:spacing w:val="0"/>
          <w:sz w:val="28"/>
          <w:szCs w:val="24"/>
        </w:rPr>
        <w:t xml:space="preserve"> policies</w:t>
      </w:r>
      <w:r w:rsidR="004435A0" w:rsidRPr="002C0DF3">
        <w:rPr>
          <w:rFonts w:ascii="Times New Roman" w:eastAsia="標楷體" w:hint="eastAsia"/>
          <w:spacing w:val="0"/>
          <w:sz w:val="28"/>
          <w:szCs w:val="24"/>
        </w:rPr>
        <w:t>, including</w:t>
      </w:r>
      <w:r w:rsidR="00585BCD" w:rsidRPr="002C0DF3">
        <w:rPr>
          <w:rFonts w:ascii="Times New Roman" w:eastAsia="標楷體" w:hint="eastAsia"/>
          <w:spacing w:val="0"/>
          <w:sz w:val="28"/>
          <w:szCs w:val="24"/>
        </w:rPr>
        <w:t xml:space="preserve"> the U.S. </w:t>
      </w:r>
      <w:r w:rsidR="00585BCD" w:rsidRPr="002C0DF3">
        <w:rPr>
          <w:rFonts w:ascii="Times New Roman" w:eastAsia="標楷體"/>
          <w:spacing w:val="0"/>
          <w:sz w:val="28"/>
          <w:szCs w:val="24"/>
        </w:rPr>
        <w:t>economic</w:t>
      </w:r>
      <w:r w:rsidR="00585BCD" w:rsidRPr="002C0DF3">
        <w:rPr>
          <w:rFonts w:ascii="Times New Roman" w:eastAsia="標楷體" w:hint="eastAsia"/>
          <w:spacing w:val="0"/>
          <w:sz w:val="28"/>
          <w:szCs w:val="24"/>
        </w:rPr>
        <w:t xml:space="preserve"> and fiscal policies, Brexit negotiations, and monetary tightening</w:t>
      </w:r>
      <w:r>
        <w:rPr>
          <w:rFonts w:ascii="Times New Roman" w:eastAsia="標楷體" w:hint="eastAsia"/>
          <w:spacing w:val="0"/>
          <w:sz w:val="28"/>
          <w:szCs w:val="24"/>
        </w:rPr>
        <w:t xml:space="preserve"> by the world</w:t>
      </w:r>
      <w:r>
        <w:rPr>
          <w:rFonts w:ascii="Times New Roman" w:eastAsia="標楷體"/>
          <w:spacing w:val="0"/>
          <w:sz w:val="28"/>
          <w:szCs w:val="24"/>
        </w:rPr>
        <w:t>’</w:t>
      </w:r>
      <w:r>
        <w:rPr>
          <w:rFonts w:ascii="Times New Roman" w:eastAsia="標楷體" w:hint="eastAsia"/>
          <w:spacing w:val="0"/>
          <w:sz w:val="28"/>
          <w:szCs w:val="24"/>
        </w:rPr>
        <w:t>s main central banks</w:t>
      </w:r>
      <w:r w:rsidR="00585BCD" w:rsidRPr="002C0DF3">
        <w:rPr>
          <w:rFonts w:ascii="Times New Roman" w:eastAsia="標楷體" w:hint="eastAsia"/>
          <w:spacing w:val="0"/>
          <w:sz w:val="28"/>
          <w:szCs w:val="24"/>
        </w:rPr>
        <w:t xml:space="preserve"> </w:t>
      </w:r>
      <w:r w:rsidR="00585BCD" w:rsidRPr="002C0DF3">
        <w:rPr>
          <w:rFonts w:ascii="Times New Roman" w:eastAsia="標楷體" w:hint="eastAsia"/>
          <w:spacing w:val="0"/>
          <w:sz w:val="28"/>
          <w:szCs w:val="24"/>
        </w:rPr>
        <w:lastRenderedPageBreak/>
        <w:t>(as the Fed began to r</w:t>
      </w:r>
      <w:r w:rsidR="00585BCD" w:rsidRPr="002C0DF3">
        <w:rPr>
          <w:rFonts w:ascii="Times New Roman" w:eastAsia="標楷體"/>
          <w:spacing w:val="0"/>
          <w:sz w:val="28"/>
          <w:szCs w:val="24"/>
        </w:rPr>
        <w:t xml:space="preserve">educe </w:t>
      </w:r>
      <w:r w:rsidR="00585BCD" w:rsidRPr="002C0DF3">
        <w:rPr>
          <w:rFonts w:ascii="Times New Roman" w:eastAsia="標楷體" w:hint="eastAsia"/>
          <w:spacing w:val="0"/>
          <w:sz w:val="28"/>
          <w:szCs w:val="24"/>
        </w:rPr>
        <w:t>its</w:t>
      </w:r>
      <w:r w:rsidR="00585BCD" w:rsidRPr="002C0DF3">
        <w:rPr>
          <w:rFonts w:ascii="Times New Roman" w:eastAsia="標楷體"/>
          <w:spacing w:val="0"/>
          <w:sz w:val="28"/>
          <w:szCs w:val="24"/>
        </w:rPr>
        <w:t xml:space="preserve"> securities holdings</w:t>
      </w:r>
      <w:r w:rsidR="00585BCD" w:rsidRPr="002C0DF3">
        <w:rPr>
          <w:rFonts w:ascii="Times New Roman" w:eastAsia="標楷體" w:hint="eastAsia"/>
          <w:spacing w:val="0"/>
          <w:sz w:val="28"/>
          <w:szCs w:val="24"/>
        </w:rPr>
        <w:t xml:space="preserve"> and </w:t>
      </w:r>
      <w:r w:rsidR="006F25E5">
        <w:rPr>
          <w:rFonts w:ascii="Times New Roman" w:eastAsia="標楷體" w:hint="eastAsia"/>
          <w:spacing w:val="0"/>
          <w:sz w:val="28"/>
          <w:szCs w:val="24"/>
        </w:rPr>
        <w:t>would likely raise</w:t>
      </w:r>
      <w:r w:rsidR="00A74457" w:rsidRPr="002C0DF3">
        <w:rPr>
          <w:rFonts w:ascii="Times New Roman" w:eastAsia="標楷體" w:hint="eastAsia"/>
          <w:spacing w:val="0"/>
          <w:sz w:val="28"/>
          <w:szCs w:val="24"/>
        </w:rPr>
        <w:t xml:space="preserve"> policy rates</w:t>
      </w:r>
      <w:r w:rsidR="00585BCD" w:rsidRPr="002C0DF3">
        <w:rPr>
          <w:rFonts w:ascii="Times New Roman" w:eastAsia="標楷體" w:hint="eastAsia"/>
          <w:spacing w:val="0"/>
          <w:sz w:val="28"/>
          <w:szCs w:val="24"/>
        </w:rPr>
        <w:t xml:space="preserve"> </w:t>
      </w:r>
      <w:r w:rsidR="00A74457" w:rsidRPr="002C0DF3">
        <w:rPr>
          <w:rFonts w:ascii="Times New Roman" w:eastAsia="標楷體" w:hint="eastAsia"/>
          <w:spacing w:val="0"/>
          <w:sz w:val="28"/>
          <w:szCs w:val="24"/>
        </w:rPr>
        <w:t>further, and the ECB is also expected to review its asset purchase program</w:t>
      </w:r>
      <w:r>
        <w:rPr>
          <w:rFonts w:ascii="Times New Roman" w:eastAsia="標楷體" w:hint="eastAsia"/>
          <w:spacing w:val="0"/>
          <w:sz w:val="28"/>
          <w:szCs w:val="24"/>
        </w:rPr>
        <w:t>)</w:t>
      </w:r>
      <w:r w:rsidR="00A74457" w:rsidRPr="002C0DF3">
        <w:rPr>
          <w:rFonts w:ascii="Times New Roman" w:eastAsia="標楷體" w:hint="eastAsia"/>
          <w:spacing w:val="0"/>
          <w:sz w:val="28"/>
          <w:szCs w:val="24"/>
        </w:rPr>
        <w:t xml:space="preserve">; </w:t>
      </w:r>
      <w:r w:rsidR="00585BCD" w:rsidRPr="002C0DF3">
        <w:rPr>
          <w:rFonts w:ascii="Times New Roman" w:eastAsia="標楷體" w:hint="eastAsia"/>
          <w:spacing w:val="0"/>
          <w:sz w:val="28"/>
          <w:szCs w:val="24"/>
        </w:rPr>
        <w:t xml:space="preserve">(2) </w:t>
      </w:r>
      <w:r w:rsidR="007118B8">
        <w:rPr>
          <w:rFonts w:ascii="Times New Roman" w:eastAsia="標楷體" w:hint="eastAsia"/>
          <w:spacing w:val="0"/>
          <w:sz w:val="28"/>
          <w:szCs w:val="24"/>
        </w:rPr>
        <w:t xml:space="preserve">developments associated with </w:t>
      </w:r>
      <w:r w:rsidR="00243BAF" w:rsidRPr="002C0DF3">
        <w:rPr>
          <w:rFonts w:ascii="Times New Roman" w:eastAsia="標楷體" w:hint="eastAsia"/>
          <w:spacing w:val="0"/>
          <w:sz w:val="28"/>
          <w:szCs w:val="24"/>
        </w:rPr>
        <w:t xml:space="preserve">trade protectionism; </w:t>
      </w:r>
      <w:r w:rsidR="00585BCD" w:rsidRPr="002C0DF3">
        <w:rPr>
          <w:rFonts w:ascii="Times New Roman" w:eastAsia="標楷體" w:hint="eastAsia"/>
          <w:spacing w:val="0"/>
          <w:sz w:val="28"/>
          <w:szCs w:val="24"/>
        </w:rPr>
        <w:t xml:space="preserve">(3) </w:t>
      </w:r>
      <w:r w:rsidR="00443999" w:rsidRPr="002C0DF3">
        <w:rPr>
          <w:rFonts w:ascii="Times New Roman" w:eastAsia="標楷體" w:hint="eastAsia"/>
          <w:spacing w:val="0"/>
          <w:sz w:val="28"/>
          <w:szCs w:val="24"/>
        </w:rPr>
        <w:t>impacts arising from geopolitical conflicts and climate change</w:t>
      </w:r>
      <w:r w:rsidR="004435A0" w:rsidRPr="002C0DF3">
        <w:rPr>
          <w:rFonts w:ascii="Times New Roman" w:eastAsia="標楷體" w:hint="eastAsia"/>
          <w:spacing w:val="0"/>
          <w:sz w:val="28"/>
          <w:szCs w:val="24"/>
        </w:rPr>
        <w:t xml:space="preserve">, </w:t>
      </w:r>
      <w:r w:rsidR="00E51F72" w:rsidRPr="002C0DF3">
        <w:rPr>
          <w:rFonts w:ascii="Times New Roman" w:eastAsia="標楷體" w:hint="eastAsia"/>
          <w:spacing w:val="0"/>
          <w:sz w:val="28"/>
          <w:szCs w:val="24"/>
        </w:rPr>
        <w:t xml:space="preserve">including escalating tensions on the Korean Peninsula, a string of terrorist attacks in Europe, and </w:t>
      </w:r>
      <w:r w:rsidR="00BA322B" w:rsidRPr="002C0DF3">
        <w:rPr>
          <w:rFonts w:ascii="Times New Roman" w:eastAsia="標楷體" w:hint="eastAsia"/>
          <w:spacing w:val="0"/>
          <w:sz w:val="28"/>
          <w:szCs w:val="24"/>
        </w:rPr>
        <w:t xml:space="preserve">disaster-related damage </w:t>
      </w:r>
      <w:r w:rsidR="00BB5F5D" w:rsidRPr="002C0DF3">
        <w:rPr>
          <w:rFonts w:ascii="Times New Roman" w:eastAsia="標楷體" w:hint="eastAsia"/>
          <w:spacing w:val="0"/>
          <w:sz w:val="28"/>
          <w:szCs w:val="24"/>
        </w:rPr>
        <w:t xml:space="preserve">resulting from extreme weather. </w:t>
      </w:r>
    </w:p>
    <w:p w:rsidR="00D46F1E" w:rsidRPr="00543487" w:rsidRDefault="00D46F1E" w:rsidP="00D46F1E">
      <w:pPr>
        <w:numPr>
          <w:ilvl w:val="0"/>
          <w:numId w:val="4"/>
        </w:numPr>
        <w:overflowPunct w:val="0"/>
        <w:autoSpaceDE w:val="0"/>
        <w:autoSpaceDN w:val="0"/>
        <w:snapToGrid w:val="0"/>
        <w:spacing w:before="240" w:line="520" w:lineRule="exact"/>
        <w:ind w:left="426" w:hanging="426"/>
        <w:rPr>
          <w:rFonts w:eastAsia="標楷體"/>
          <w:b/>
          <w:spacing w:val="-2"/>
          <w:sz w:val="28"/>
          <w:szCs w:val="28"/>
        </w:rPr>
      </w:pPr>
      <w:r w:rsidRPr="00543487">
        <w:rPr>
          <w:rFonts w:eastAsia="標楷體" w:hint="eastAsia"/>
          <w:b/>
          <w:spacing w:val="-2"/>
          <w:sz w:val="28"/>
          <w:szCs w:val="28"/>
        </w:rPr>
        <w:t>Domestic</w:t>
      </w:r>
      <w:r w:rsidRPr="00543487">
        <w:rPr>
          <w:rFonts w:eastAsia="標楷體"/>
          <w:b/>
          <w:spacing w:val="-2"/>
          <w:sz w:val="28"/>
          <w:szCs w:val="28"/>
        </w:rPr>
        <w:t xml:space="preserve"> Economic </w:t>
      </w:r>
      <w:r w:rsidRPr="00543487">
        <w:rPr>
          <w:rFonts w:eastAsia="標楷體" w:hint="eastAsia"/>
          <w:b/>
          <w:spacing w:val="-2"/>
          <w:sz w:val="28"/>
          <w:szCs w:val="28"/>
        </w:rPr>
        <w:t>a</w:t>
      </w:r>
      <w:r w:rsidRPr="00543487">
        <w:rPr>
          <w:rFonts w:eastAsia="標楷體"/>
          <w:b/>
          <w:spacing w:val="-2"/>
          <w:sz w:val="28"/>
          <w:szCs w:val="28"/>
        </w:rPr>
        <w:t>nd Financial Conditions</w:t>
      </w:r>
    </w:p>
    <w:p w:rsidR="00D46F1E" w:rsidRPr="00543487" w:rsidRDefault="00D46F1E" w:rsidP="00D46F1E">
      <w:pPr>
        <w:adjustRightInd/>
        <w:spacing w:before="240" w:line="520" w:lineRule="exact"/>
        <w:textAlignment w:val="auto"/>
        <w:rPr>
          <w:rFonts w:eastAsia="標楷體"/>
          <w:spacing w:val="-2"/>
          <w:kern w:val="2"/>
          <w:sz w:val="28"/>
          <w:szCs w:val="28"/>
        </w:rPr>
      </w:pPr>
      <w:r w:rsidRPr="00543487">
        <w:rPr>
          <w:rFonts w:eastAsia="標楷體"/>
          <w:spacing w:val="-2"/>
          <w:kern w:val="2"/>
          <w:sz w:val="28"/>
          <w:szCs w:val="28"/>
        </w:rPr>
        <w:t>(</w:t>
      </w:r>
      <w:r w:rsidRPr="00543487">
        <w:rPr>
          <w:rFonts w:eastAsia="標楷體" w:hint="eastAsia"/>
          <w:spacing w:val="-2"/>
          <w:kern w:val="2"/>
          <w:sz w:val="28"/>
          <w:szCs w:val="28"/>
        </w:rPr>
        <w:t>1</w:t>
      </w:r>
      <w:r w:rsidRPr="00543487">
        <w:rPr>
          <w:rFonts w:eastAsia="標楷體"/>
          <w:spacing w:val="-2"/>
          <w:kern w:val="2"/>
          <w:sz w:val="28"/>
          <w:szCs w:val="28"/>
        </w:rPr>
        <w:t>)</w:t>
      </w:r>
      <w:r w:rsidRPr="00543487">
        <w:rPr>
          <w:rFonts w:eastAsia="標楷體" w:hint="eastAsia"/>
          <w:spacing w:val="-2"/>
          <w:kern w:val="2"/>
          <w:sz w:val="28"/>
          <w:szCs w:val="28"/>
        </w:rPr>
        <w:t xml:space="preserve"> Economic situation </w:t>
      </w:r>
    </w:p>
    <w:p w:rsidR="000506F7" w:rsidRPr="002C0DF3" w:rsidRDefault="00B63D9C" w:rsidP="002C0DF3">
      <w:pPr>
        <w:pStyle w:val="6"/>
        <w:overflowPunct w:val="0"/>
        <w:snapToGrid w:val="0"/>
        <w:spacing w:before="240" w:after="0" w:line="520" w:lineRule="exact"/>
        <w:ind w:left="0" w:firstLineChars="200" w:firstLine="560"/>
        <w:rPr>
          <w:rFonts w:ascii="Times New Roman" w:eastAsia="標楷體"/>
          <w:spacing w:val="0"/>
          <w:sz w:val="28"/>
          <w:szCs w:val="24"/>
        </w:rPr>
      </w:pPr>
      <w:r w:rsidRPr="002C0DF3">
        <w:rPr>
          <w:rFonts w:ascii="Times New Roman" w:eastAsia="標楷體" w:hint="eastAsia"/>
          <w:spacing w:val="0"/>
          <w:sz w:val="28"/>
          <w:szCs w:val="24"/>
        </w:rPr>
        <w:t xml:space="preserve">During the period since the Board last convened, Taiwan enjoyed robust export growth amidst a global </w:t>
      </w:r>
      <w:r w:rsidRPr="002C0DF3">
        <w:rPr>
          <w:rFonts w:ascii="Times New Roman" w:eastAsia="標楷體"/>
          <w:spacing w:val="0"/>
          <w:sz w:val="28"/>
          <w:szCs w:val="24"/>
        </w:rPr>
        <w:t>economic</w:t>
      </w:r>
      <w:r w:rsidRPr="002C0DF3">
        <w:rPr>
          <w:rFonts w:ascii="Times New Roman" w:eastAsia="標楷體" w:hint="eastAsia"/>
          <w:spacing w:val="0"/>
          <w:sz w:val="28"/>
          <w:szCs w:val="24"/>
        </w:rPr>
        <w:t xml:space="preserve"> pickup. </w:t>
      </w:r>
      <w:r w:rsidR="00D47C35" w:rsidRPr="002C0DF3">
        <w:rPr>
          <w:rFonts w:ascii="Times New Roman" w:eastAsia="標楷體" w:hint="eastAsia"/>
          <w:spacing w:val="0"/>
          <w:sz w:val="28"/>
          <w:szCs w:val="24"/>
        </w:rPr>
        <w:t xml:space="preserve">The Manufacturing </w:t>
      </w:r>
      <w:r w:rsidR="00D47C35" w:rsidRPr="002C0DF3">
        <w:rPr>
          <w:rFonts w:ascii="Times New Roman" w:eastAsia="標楷體"/>
          <w:spacing w:val="0"/>
          <w:sz w:val="28"/>
          <w:szCs w:val="24"/>
        </w:rPr>
        <w:t>Purchasing Managers’ Index</w:t>
      </w:r>
      <w:r w:rsidR="00D47C35" w:rsidRPr="002C0DF3">
        <w:rPr>
          <w:rFonts w:ascii="Times New Roman" w:eastAsia="標楷體" w:hint="eastAsia"/>
          <w:spacing w:val="0"/>
          <w:sz w:val="28"/>
          <w:szCs w:val="24"/>
        </w:rPr>
        <w:t xml:space="preserve"> (PMI) </w:t>
      </w:r>
      <w:r w:rsidR="00676274" w:rsidRPr="002C0DF3">
        <w:rPr>
          <w:rFonts w:ascii="Times New Roman" w:eastAsia="標楷體" w:hint="eastAsia"/>
          <w:spacing w:val="0"/>
          <w:sz w:val="28"/>
          <w:szCs w:val="24"/>
        </w:rPr>
        <w:t xml:space="preserve">and </w:t>
      </w:r>
      <w:r w:rsidR="00D47C35" w:rsidRPr="002C0DF3">
        <w:rPr>
          <w:rFonts w:ascii="Times New Roman" w:eastAsia="標楷體" w:hint="eastAsia"/>
          <w:spacing w:val="0"/>
          <w:sz w:val="28"/>
          <w:szCs w:val="24"/>
        </w:rPr>
        <w:t xml:space="preserve">the Non-Manufacturing </w:t>
      </w:r>
      <w:r w:rsidR="00863E6E" w:rsidRPr="002C0DF3">
        <w:rPr>
          <w:rFonts w:ascii="Times New Roman" w:eastAsia="標楷體" w:hint="eastAsia"/>
          <w:spacing w:val="0"/>
          <w:sz w:val="28"/>
          <w:szCs w:val="24"/>
        </w:rPr>
        <w:t>Index</w:t>
      </w:r>
      <w:r w:rsidR="00D47C35" w:rsidRPr="002C0DF3">
        <w:rPr>
          <w:rFonts w:ascii="Times New Roman" w:eastAsia="標楷體" w:hint="eastAsia"/>
          <w:spacing w:val="0"/>
          <w:sz w:val="28"/>
          <w:szCs w:val="24"/>
        </w:rPr>
        <w:t xml:space="preserve"> (</w:t>
      </w:r>
      <w:r w:rsidR="00676274" w:rsidRPr="002C0DF3">
        <w:rPr>
          <w:rFonts w:ascii="Times New Roman" w:eastAsia="標楷體" w:hint="eastAsia"/>
          <w:spacing w:val="0"/>
          <w:sz w:val="28"/>
          <w:szCs w:val="24"/>
        </w:rPr>
        <w:t>NMI</w:t>
      </w:r>
      <w:r w:rsidR="00D47C35" w:rsidRPr="002C0DF3">
        <w:rPr>
          <w:rFonts w:ascii="Times New Roman" w:eastAsia="標楷體" w:hint="eastAsia"/>
          <w:spacing w:val="0"/>
          <w:sz w:val="28"/>
          <w:szCs w:val="24"/>
        </w:rPr>
        <w:t>)</w:t>
      </w:r>
      <w:r w:rsidR="00676274" w:rsidRPr="002C0DF3">
        <w:rPr>
          <w:rFonts w:ascii="Times New Roman" w:eastAsia="標楷體" w:hint="eastAsia"/>
          <w:spacing w:val="0"/>
          <w:sz w:val="28"/>
          <w:szCs w:val="24"/>
        </w:rPr>
        <w:t xml:space="preserve"> </w:t>
      </w:r>
      <w:r w:rsidR="00D47C35" w:rsidRPr="002C0DF3">
        <w:rPr>
          <w:rFonts w:ascii="Times New Roman" w:eastAsia="標楷體" w:hint="eastAsia"/>
          <w:spacing w:val="0"/>
          <w:sz w:val="28"/>
          <w:szCs w:val="24"/>
        </w:rPr>
        <w:t xml:space="preserve">both showed expansion. Nevertheless, </w:t>
      </w:r>
      <w:r w:rsidR="00CC1861" w:rsidRPr="002C0DF3">
        <w:rPr>
          <w:rFonts w:ascii="Times New Roman" w:eastAsia="標楷體" w:hint="eastAsia"/>
          <w:spacing w:val="0"/>
          <w:sz w:val="28"/>
          <w:szCs w:val="24"/>
        </w:rPr>
        <w:t xml:space="preserve">limited wage </w:t>
      </w:r>
      <w:r w:rsidR="008C33E1" w:rsidRPr="002C0DF3">
        <w:rPr>
          <w:rFonts w:ascii="Times New Roman" w:eastAsia="標楷體" w:hint="eastAsia"/>
          <w:spacing w:val="0"/>
          <w:sz w:val="28"/>
          <w:szCs w:val="24"/>
        </w:rPr>
        <w:t>increases</w:t>
      </w:r>
      <w:r w:rsidR="00CC1861" w:rsidRPr="002C0DF3">
        <w:rPr>
          <w:rFonts w:ascii="Times New Roman" w:eastAsia="標楷體" w:hint="eastAsia"/>
          <w:spacing w:val="0"/>
          <w:sz w:val="28"/>
          <w:szCs w:val="24"/>
        </w:rPr>
        <w:t xml:space="preserve"> and </w:t>
      </w:r>
      <w:r w:rsidR="008C33E1" w:rsidRPr="002C0DF3">
        <w:rPr>
          <w:rFonts w:ascii="Times New Roman" w:eastAsia="標楷體" w:hint="eastAsia"/>
          <w:spacing w:val="0"/>
          <w:sz w:val="28"/>
          <w:szCs w:val="24"/>
        </w:rPr>
        <w:t>a</w:t>
      </w:r>
      <w:r w:rsidR="00CC1861" w:rsidRPr="002C0DF3">
        <w:rPr>
          <w:rFonts w:ascii="Times New Roman" w:eastAsia="標楷體" w:hint="eastAsia"/>
          <w:spacing w:val="0"/>
          <w:sz w:val="28"/>
          <w:szCs w:val="24"/>
        </w:rPr>
        <w:t xml:space="preserve"> higher base</w:t>
      </w:r>
      <w:r w:rsidR="008C33E1" w:rsidRPr="002C0DF3">
        <w:rPr>
          <w:rFonts w:ascii="Times New Roman" w:eastAsia="標楷體" w:hint="eastAsia"/>
          <w:spacing w:val="0"/>
          <w:sz w:val="28"/>
          <w:szCs w:val="24"/>
        </w:rPr>
        <w:t>-year</w:t>
      </w:r>
      <w:r w:rsidR="00CC1861" w:rsidRPr="002C0DF3">
        <w:rPr>
          <w:rFonts w:ascii="Times New Roman" w:eastAsia="標楷體" w:hint="eastAsia"/>
          <w:spacing w:val="0"/>
          <w:sz w:val="28"/>
          <w:szCs w:val="24"/>
        </w:rPr>
        <w:t xml:space="preserve"> </w:t>
      </w:r>
      <w:r w:rsidR="008C33E1" w:rsidRPr="002C0DF3">
        <w:rPr>
          <w:rFonts w:ascii="Times New Roman" w:eastAsia="標楷體" w:hint="eastAsia"/>
          <w:spacing w:val="0"/>
          <w:sz w:val="28"/>
          <w:szCs w:val="24"/>
        </w:rPr>
        <w:t>amount of</w:t>
      </w:r>
      <w:r w:rsidR="00CC1861" w:rsidRPr="002C0DF3">
        <w:rPr>
          <w:rFonts w:ascii="Times New Roman" w:eastAsia="標楷體" w:hint="eastAsia"/>
          <w:spacing w:val="0"/>
          <w:sz w:val="28"/>
          <w:szCs w:val="24"/>
        </w:rPr>
        <w:t xml:space="preserve"> machinery/equipment investment</w:t>
      </w:r>
      <w:r w:rsidR="008C33E1" w:rsidRPr="002C0DF3">
        <w:rPr>
          <w:rFonts w:ascii="Times New Roman" w:eastAsia="標楷體" w:hint="eastAsia"/>
          <w:spacing w:val="0"/>
          <w:sz w:val="28"/>
          <w:szCs w:val="24"/>
        </w:rPr>
        <w:t xml:space="preserve"> resulted in moderate growth in private consumption and investment</w:t>
      </w:r>
      <w:r w:rsidR="00A36DAF" w:rsidRPr="002C0DF3">
        <w:rPr>
          <w:rFonts w:ascii="Times New Roman" w:eastAsia="標楷體" w:hint="eastAsia"/>
          <w:spacing w:val="0"/>
          <w:sz w:val="28"/>
          <w:szCs w:val="24"/>
        </w:rPr>
        <w:t xml:space="preserve">, leading to a mild </w:t>
      </w:r>
      <w:r w:rsidR="00A36DAF" w:rsidRPr="002C0DF3">
        <w:rPr>
          <w:rFonts w:ascii="Times New Roman" w:eastAsia="標楷體"/>
          <w:spacing w:val="0"/>
          <w:sz w:val="28"/>
          <w:szCs w:val="24"/>
        </w:rPr>
        <w:t>economic</w:t>
      </w:r>
      <w:r w:rsidR="00A36DAF" w:rsidRPr="002C0DF3">
        <w:rPr>
          <w:rFonts w:ascii="Times New Roman" w:eastAsia="標楷體" w:hint="eastAsia"/>
          <w:spacing w:val="0"/>
          <w:sz w:val="28"/>
          <w:szCs w:val="24"/>
        </w:rPr>
        <w:t xml:space="preserve"> recovery. Projections by major forecasting institutions at home and abroad put Taiwan</w:t>
      </w:r>
      <w:r w:rsidR="00A36DAF" w:rsidRPr="002C0DF3">
        <w:rPr>
          <w:rFonts w:ascii="Times New Roman" w:eastAsia="標楷體"/>
          <w:spacing w:val="0"/>
          <w:sz w:val="28"/>
          <w:szCs w:val="24"/>
        </w:rPr>
        <w:t>’</w:t>
      </w:r>
      <w:r w:rsidR="00A36DAF" w:rsidRPr="002C0DF3">
        <w:rPr>
          <w:rFonts w:ascii="Times New Roman" w:eastAsia="標楷體" w:hint="eastAsia"/>
          <w:spacing w:val="0"/>
          <w:sz w:val="28"/>
          <w:szCs w:val="24"/>
        </w:rPr>
        <w:t xml:space="preserve">s GDP growth rate at 2.08%-2.18% this year and 2.15%-2.27% next year, while the </w:t>
      </w:r>
      <w:r w:rsidR="00133822">
        <w:rPr>
          <w:rFonts w:ascii="Times New Roman" w:eastAsia="標楷體" w:hint="eastAsia"/>
          <w:spacing w:val="0"/>
          <w:sz w:val="28"/>
          <w:szCs w:val="24"/>
        </w:rPr>
        <w:t>Bank</w:t>
      </w:r>
      <w:r w:rsidR="00A36DAF" w:rsidRPr="002C0DF3">
        <w:rPr>
          <w:rFonts w:ascii="Times New Roman" w:eastAsia="標楷體"/>
          <w:spacing w:val="0"/>
          <w:sz w:val="28"/>
          <w:szCs w:val="24"/>
        </w:rPr>
        <w:t>’</w:t>
      </w:r>
      <w:r w:rsidR="00A36DAF" w:rsidRPr="002C0DF3">
        <w:rPr>
          <w:rFonts w:ascii="Times New Roman" w:eastAsia="標楷體" w:hint="eastAsia"/>
          <w:spacing w:val="0"/>
          <w:sz w:val="28"/>
          <w:szCs w:val="24"/>
        </w:rPr>
        <w:t xml:space="preserve">s own forecast is 2.15% this year and 2.20% next year. </w:t>
      </w:r>
      <w:r w:rsidR="00E661AD" w:rsidRPr="002C0DF3">
        <w:rPr>
          <w:rFonts w:ascii="Times New Roman" w:eastAsia="標楷體" w:hint="eastAsia"/>
          <w:spacing w:val="0"/>
          <w:sz w:val="28"/>
          <w:szCs w:val="24"/>
        </w:rPr>
        <w:t>The government</w:t>
      </w:r>
      <w:r w:rsidR="00E661AD" w:rsidRPr="002C0DF3">
        <w:rPr>
          <w:rFonts w:ascii="Times New Roman" w:eastAsia="標楷體"/>
          <w:spacing w:val="0"/>
          <w:sz w:val="28"/>
          <w:szCs w:val="24"/>
        </w:rPr>
        <w:t>’</w:t>
      </w:r>
      <w:r w:rsidR="00E661AD" w:rsidRPr="002C0DF3">
        <w:rPr>
          <w:rFonts w:ascii="Times New Roman" w:eastAsia="標楷體" w:hint="eastAsia"/>
          <w:spacing w:val="0"/>
          <w:sz w:val="28"/>
          <w:szCs w:val="24"/>
        </w:rPr>
        <w:t>s plan to raise wages for the public sector might prompt the private sector to increase wages too. With this potential positive effect on private consumption, next year</w:t>
      </w:r>
      <w:r w:rsidR="00E661AD" w:rsidRPr="002C0DF3">
        <w:rPr>
          <w:rFonts w:ascii="Times New Roman" w:eastAsia="標楷體"/>
          <w:spacing w:val="0"/>
          <w:sz w:val="28"/>
          <w:szCs w:val="24"/>
        </w:rPr>
        <w:t>’</w:t>
      </w:r>
      <w:r w:rsidR="00E661AD" w:rsidRPr="002C0DF3">
        <w:rPr>
          <w:rFonts w:ascii="Times New Roman" w:eastAsia="標楷體" w:hint="eastAsia"/>
          <w:spacing w:val="0"/>
          <w:sz w:val="28"/>
          <w:szCs w:val="24"/>
        </w:rPr>
        <w:t xml:space="preserve">s GDP growth projection is likely to be revised up. </w:t>
      </w:r>
    </w:p>
    <w:p w:rsidR="00E760B9" w:rsidRPr="008B2BF2" w:rsidRDefault="005B46DE" w:rsidP="00216925">
      <w:pPr>
        <w:pStyle w:val="6"/>
        <w:overflowPunct w:val="0"/>
        <w:snapToGrid w:val="0"/>
        <w:spacing w:before="240" w:after="0" w:line="520" w:lineRule="exact"/>
        <w:ind w:left="0" w:firstLineChars="200" w:firstLine="560"/>
        <w:rPr>
          <w:rFonts w:ascii="Times New Roman" w:eastAsia="標楷體"/>
          <w:spacing w:val="0"/>
          <w:sz w:val="32"/>
          <w:szCs w:val="24"/>
        </w:rPr>
      </w:pPr>
      <w:r w:rsidRPr="002C0DF3">
        <w:rPr>
          <w:rFonts w:ascii="Times New Roman" w:eastAsia="標楷體" w:hint="eastAsia"/>
          <w:spacing w:val="0"/>
          <w:sz w:val="28"/>
          <w:szCs w:val="24"/>
        </w:rPr>
        <w:t xml:space="preserve">In terms of </w:t>
      </w:r>
      <w:r w:rsidR="004E06E8" w:rsidRPr="002C0DF3">
        <w:rPr>
          <w:rFonts w:ascii="Times New Roman" w:eastAsia="標楷體" w:hint="eastAsia"/>
          <w:spacing w:val="0"/>
          <w:sz w:val="28"/>
          <w:szCs w:val="24"/>
        </w:rPr>
        <w:t>external</w:t>
      </w:r>
      <w:r w:rsidRPr="002C0DF3">
        <w:rPr>
          <w:rFonts w:ascii="Times New Roman" w:eastAsia="標楷體" w:hint="eastAsia"/>
          <w:spacing w:val="0"/>
          <w:sz w:val="28"/>
          <w:szCs w:val="24"/>
        </w:rPr>
        <w:t xml:space="preserve"> demand, </w:t>
      </w:r>
      <w:r w:rsidR="00BA545E" w:rsidRPr="002C0DF3">
        <w:rPr>
          <w:rFonts w:ascii="Times New Roman" w:eastAsia="標楷體" w:hint="eastAsia"/>
          <w:spacing w:val="0"/>
          <w:sz w:val="28"/>
          <w:szCs w:val="24"/>
        </w:rPr>
        <w:t>bolstered</w:t>
      </w:r>
      <w:r w:rsidRPr="002C0DF3">
        <w:rPr>
          <w:rFonts w:ascii="Times New Roman" w:eastAsia="標楷體" w:hint="eastAsia"/>
          <w:spacing w:val="0"/>
          <w:sz w:val="28"/>
          <w:szCs w:val="24"/>
        </w:rPr>
        <w:t xml:space="preserve"> by </w:t>
      </w:r>
      <w:r w:rsidR="00C144BE" w:rsidRPr="002C0DF3">
        <w:rPr>
          <w:rFonts w:ascii="Times New Roman" w:eastAsia="標楷體" w:hint="eastAsia"/>
          <w:spacing w:val="0"/>
          <w:sz w:val="28"/>
          <w:szCs w:val="24"/>
        </w:rPr>
        <w:t xml:space="preserve">a stronger </w:t>
      </w:r>
      <w:r w:rsidRPr="002C0DF3">
        <w:rPr>
          <w:rFonts w:ascii="Times New Roman" w:eastAsia="標楷體" w:hint="eastAsia"/>
          <w:spacing w:val="0"/>
          <w:sz w:val="28"/>
          <w:szCs w:val="24"/>
        </w:rPr>
        <w:t xml:space="preserve">global </w:t>
      </w:r>
      <w:r w:rsidRPr="002C0DF3">
        <w:rPr>
          <w:rFonts w:ascii="Times New Roman" w:eastAsia="標楷體"/>
          <w:spacing w:val="0"/>
          <w:sz w:val="28"/>
          <w:szCs w:val="24"/>
        </w:rPr>
        <w:t>econom</w:t>
      </w:r>
      <w:r w:rsidR="00C144BE" w:rsidRPr="002C0DF3">
        <w:rPr>
          <w:rFonts w:ascii="Times New Roman" w:eastAsia="標楷體" w:hint="eastAsia"/>
          <w:spacing w:val="0"/>
          <w:sz w:val="28"/>
          <w:szCs w:val="24"/>
        </w:rPr>
        <w:t>y</w:t>
      </w:r>
      <w:r w:rsidRPr="002C0DF3">
        <w:rPr>
          <w:rFonts w:ascii="Times New Roman" w:eastAsia="標楷體" w:hint="eastAsia"/>
          <w:spacing w:val="0"/>
          <w:sz w:val="28"/>
          <w:szCs w:val="24"/>
        </w:rPr>
        <w:t xml:space="preserve"> and a lower base effect, </w:t>
      </w:r>
      <w:r w:rsidR="00C144BE" w:rsidRPr="002C0DF3">
        <w:rPr>
          <w:rFonts w:ascii="Times New Roman" w:eastAsia="標楷體" w:hint="eastAsia"/>
          <w:spacing w:val="0"/>
          <w:sz w:val="28"/>
          <w:szCs w:val="24"/>
        </w:rPr>
        <w:t>Taiwan</w:t>
      </w:r>
      <w:r w:rsidR="00C144BE" w:rsidRPr="002C0DF3">
        <w:rPr>
          <w:rFonts w:ascii="Times New Roman" w:eastAsia="標楷體"/>
          <w:spacing w:val="0"/>
          <w:sz w:val="28"/>
          <w:szCs w:val="24"/>
        </w:rPr>
        <w:t>’</w:t>
      </w:r>
      <w:r w:rsidR="00C144BE" w:rsidRPr="002C0DF3">
        <w:rPr>
          <w:rFonts w:ascii="Times New Roman" w:eastAsia="標楷體" w:hint="eastAsia"/>
          <w:spacing w:val="0"/>
          <w:sz w:val="28"/>
          <w:szCs w:val="24"/>
        </w:rPr>
        <w:t xml:space="preserve">s </w:t>
      </w:r>
      <w:r w:rsidRPr="002C0DF3">
        <w:rPr>
          <w:rFonts w:ascii="Times New Roman" w:eastAsia="標楷體" w:hint="eastAsia"/>
          <w:spacing w:val="0"/>
          <w:sz w:val="28"/>
          <w:szCs w:val="24"/>
        </w:rPr>
        <w:t xml:space="preserve">exports </w:t>
      </w:r>
      <w:r w:rsidR="00C144BE" w:rsidRPr="002C0DF3">
        <w:rPr>
          <w:rFonts w:ascii="Times New Roman" w:eastAsia="標楷體" w:hint="eastAsia"/>
          <w:spacing w:val="0"/>
          <w:sz w:val="28"/>
          <w:szCs w:val="24"/>
        </w:rPr>
        <w:t>grew by 12.5%</w:t>
      </w:r>
      <w:r w:rsidR="004E06E8" w:rsidRPr="002C0DF3">
        <w:rPr>
          <w:rFonts w:ascii="Times New Roman" w:eastAsia="標楷體" w:hint="eastAsia"/>
          <w:spacing w:val="0"/>
          <w:sz w:val="28"/>
          <w:szCs w:val="24"/>
        </w:rPr>
        <w:t xml:space="preserve"> </w:t>
      </w:r>
      <w:r w:rsidR="00C144BE" w:rsidRPr="002C0DF3">
        <w:rPr>
          <w:rFonts w:ascii="Times New Roman" w:eastAsia="標楷體" w:hint="eastAsia"/>
          <w:spacing w:val="0"/>
          <w:sz w:val="28"/>
          <w:szCs w:val="24"/>
        </w:rPr>
        <w:t>during</w:t>
      </w:r>
      <w:r w:rsidRPr="002C0DF3">
        <w:rPr>
          <w:rFonts w:ascii="Times New Roman" w:eastAsia="標楷體" w:hint="eastAsia"/>
          <w:spacing w:val="0"/>
          <w:sz w:val="28"/>
          <w:szCs w:val="24"/>
        </w:rPr>
        <w:t xml:space="preserve"> the first eight months of this year</w:t>
      </w:r>
      <w:r w:rsidR="004E06E8" w:rsidRPr="002C0DF3">
        <w:rPr>
          <w:rFonts w:ascii="Times New Roman" w:eastAsia="標楷體" w:hint="eastAsia"/>
          <w:spacing w:val="0"/>
          <w:sz w:val="28"/>
          <w:szCs w:val="24"/>
        </w:rPr>
        <w:t xml:space="preserve">. </w:t>
      </w:r>
      <w:r w:rsidR="00051573" w:rsidRPr="002C0DF3">
        <w:rPr>
          <w:rFonts w:ascii="Times New Roman" w:eastAsia="標楷體" w:hint="eastAsia"/>
          <w:spacing w:val="0"/>
          <w:sz w:val="28"/>
          <w:szCs w:val="24"/>
        </w:rPr>
        <w:t>The biggest contribut</w:t>
      </w:r>
      <w:r w:rsidR="00216925">
        <w:rPr>
          <w:rFonts w:ascii="Times New Roman" w:eastAsia="標楷體" w:hint="eastAsia"/>
          <w:spacing w:val="0"/>
          <w:sz w:val="28"/>
          <w:szCs w:val="24"/>
        </w:rPr>
        <w:t xml:space="preserve">ion came from </w:t>
      </w:r>
      <w:r w:rsidR="00580033">
        <w:rPr>
          <w:rFonts w:ascii="Times New Roman" w:eastAsia="標楷體" w:hint="eastAsia"/>
          <w:spacing w:val="0"/>
          <w:sz w:val="28"/>
          <w:szCs w:val="24"/>
        </w:rPr>
        <w:t>increased</w:t>
      </w:r>
      <w:r w:rsidR="00216925">
        <w:rPr>
          <w:rFonts w:ascii="Times New Roman" w:eastAsia="標楷體" w:hint="eastAsia"/>
          <w:spacing w:val="0"/>
          <w:sz w:val="28"/>
          <w:szCs w:val="24"/>
        </w:rPr>
        <w:t xml:space="preserve"> exports of</w:t>
      </w:r>
      <w:r w:rsidR="00051573" w:rsidRPr="002C0DF3">
        <w:rPr>
          <w:rFonts w:ascii="Times New Roman" w:eastAsia="標楷體" w:hint="eastAsia"/>
          <w:spacing w:val="0"/>
          <w:sz w:val="28"/>
          <w:szCs w:val="24"/>
        </w:rPr>
        <w:t xml:space="preserve"> e</w:t>
      </w:r>
      <w:r w:rsidR="00216925">
        <w:rPr>
          <w:rFonts w:ascii="Times New Roman" w:eastAsia="標楷體" w:hint="eastAsia"/>
          <w:spacing w:val="0"/>
          <w:sz w:val="28"/>
          <w:szCs w:val="24"/>
        </w:rPr>
        <w:t>lectronic parts and components thanks to</w:t>
      </w:r>
      <w:r w:rsidR="009873F6">
        <w:rPr>
          <w:rFonts w:ascii="Times New Roman" w:eastAsia="標楷體" w:hint="eastAsia"/>
          <w:spacing w:val="0"/>
          <w:sz w:val="28"/>
          <w:szCs w:val="24"/>
        </w:rPr>
        <w:t xml:space="preserve"> </w:t>
      </w:r>
      <w:r w:rsidR="00051573" w:rsidRPr="002C0DF3">
        <w:rPr>
          <w:rFonts w:ascii="Times New Roman" w:eastAsia="標楷體" w:hint="eastAsia"/>
          <w:spacing w:val="0"/>
          <w:sz w:val="28"/>
          <w:szCs w:val="24"/>
        </w:rPr>
        <w:t>s</w:t>
      </w:r>
      <w:r w:rsidR="00BA545E" w:rsidRPr="002C0DF3">
        <w:rPr>
          <w:rFonts w:ascii="Times New Roman" w:eastAsia="標楷體" w:hint="eastAsia"/>
          <w:spacing w:val="0"/>
          <w:sz w:val="28"/>
          <w:szCs w:val="24"/>
        </w:rPr>
        <w:t>olid global demand for semiconductors</w:t>
      </w:r>
      <w:r w:rsidR="00051573" w:rsidRPr="002C0DF3">
        <w:rPr>
          <w:rFonts w:ascii="Times New Roman" w:eastAsia="標楷體" w:hint="eastAsia"/>
          <w:spacing w:val="0"/>
          <w:sz w:val="28"/>
          <w:szCs w:val="24"/>
        </w:rPr>
        <w:t xml:space="preserve">. </w:t>
      </w:r>
      <w:r w:rsidR="00621119" w:rsidRPr="002C0DF3">
        <w:rPr>
          <w:rFonts w:ascii="Times New Roman" w:eastAsia="標楷體" w:hint="eastAsia"/>
          <w:spacing w:val="0"/>
          <w:sz w:val="28"/>
          <w:szCs w:val="24"/>
        </w:rPr>
        <w:t>E</w:t>
      </w:r>
      <w:r w:rsidR="00621119" w:rsidRPr="002C0DF3">
        <w:rPr>
          <w:rFonts w:ascii="Times New Roman" w:eastAsia="標楷體"/>
          <w:spacing w:val="0"/>
          <w:sz w:val="28"/>
          <w:szCs w:val="24"/>
        </w:rPr>
        <w:t>xports to all major destination economies</w:t>
      </w:r>
      <w:r w:rsidR="00621119" w:rsidRPr="002C0DF3">
        <w:rPr>
          <w:rFonts w:ascii="Times New Roman" w:eastAsia="標楷體" w:hint="eastAsia"/>
          <w:spacing w:val="0"/>
          <w:sz w:val="28"/>
          <w:szCs w:val="24"/>
        </w:rPr>
        <w:t xml:space="preserve">, especially South Korea, China, and </w:t>
      </w:r>
      <w:r w:rsidR="00621119" w:rsidRPr="002C0DF3">
        <w:rPr>
          <w:rFonts w:ascii="Times New Roman" w:eastAsia="標楷體" w:hint="eastAsia"/>
          <w:spacing w:val="0"/>
          <w:sz w:val="28"/>
          <w:szCs w:val="24"/>
        </w:rPr>
        <w:lastRenderedPageBreak/>
        <w:t>ASEAN,</w:t>
      </w:r>
      <w:r w:rsidR="00BA545E" w:rsidRPr="002C0DF3">
        <w:rPr>
          <w:rFonts w:ascii="Times New Roman" w:eastAsia="標楷體" w:hint="eastAsia"/>
          <w:spacing w:val="0"/>
          <w:sz w:val="28"/>
          <w:szCs w:val="24"/>
        </w:rPr>
        <w:t xml:space="preserve"> </w:t>
      </w:r>
      <w:r w:rsidR="00621119" w:rsidRPr="002C0DF3">
        <w:rPr>
          <w:rFonts w:ascii="Times New Roman" w:eastAsia="標楷體" w:hint="eastAsia"/>
          <w:spacing w:val="0"/>
          <w:sz w:val="28"/>
          <w:szCs w:val="24"/>
        </w:rPr>
        <w:t xml:space="preserve">registered positive growth. </w:t>
      </w:r>
      <w:r w:rsidR="0025567B" w:rsidRPr="002C0DF3">
        <w:rPr>
          <w:rFonts w:ascii="Times New Roman" w:eastAsia="標楷體" w:hint="eastAsia"/>
          <w:spacing w:val="0"/>
          <w:sz w:val="28"/>
          <w:szCs w:val="24"/>
        </w:rPr>
        <w:t>The outlook for Taiwan</w:t>
      </w:r>
      <w:r w:rsidR="0025567B" w:rsidRPr="002C0DF3">
        <w:rPr>
          <w:rFonts w:ascii="Times New Roman" w:eastAsia="標楷體"/>
          <w:spacing w:val="0"/>
          <w:sz w:val="28"/>
          <w:szCs w:val="24"/>
        </w:rPr>
        <w:t>’</w:t>
      </w:r>
      <w:r w:rsidR="0025567B" w:rsidRPr="002C0DF3">
        <w:rPr>
          <w:rFonts w:ascii="Times New Roman" w:eastAsia="標楷體" w:hint="eastAsia"/>
          <w:spacing w:val="0"/>
          <w:sz w:val="28"/>
          <w:szCs w:val="24"/>
        </w:rPr>
        <w:t>s exports is expected to be supported by</w:t>
      </w:r>
      <w:r w:rsidR="0018476B" w:rsidRPr="002C0DF3">
        <w:rPr>
          <w:rFonts w:ascii="Times New Roman" w:eastAsia="標楷體" w:hint="eastAsia"/>
          <w:spacing w:val="0"/>
          <w:sz w:val="28"/>
          <w:szCs w:val="24"/>
        </w:rPr>
        <w:t xml:space="preserve"> a steady global recovery, </w:t>
      </w:r>
      <w:r w:rsidR="0025567B" w:rsidRPr="002C0DF3">
        <w:rPr>
          <w:rFonts w:ascii="Times New Roman" w:eastAsia="標楷體" w:hint="eastAsia"/>
          <w:spacing w:val="0"/>
          <w:sz w:val="28"/>
          <w:szCs w:val="24"/>
        </w:rPr>
        <w:t xml:space="preserve">strong semiconductor demand, </w:t>
      </w:r>
      <w:r w:rsidR="007118B8">
        <w:rPr>
          <w:rFonts w:ascii="Times New Roman" w:eastAsia="標楷體" w:hint="eastAsia"/>
          <w:spacing w:val="0"/>
          <w:sz w:val="28"/>
          <w:szCs w:val="24"/>
        </w:rPr>
        <w:t>and</w:t>
      </w:r>
      <w:r w:rsidR="008837C5">
        <w:rPr>
          <w:rFonts w:ascii="Times New Roman" w:eastAsia="標楷體" w:hint="eastAsia"/>
          <w:spacing w:val="0"/>
          <w:sz w:val="28"/>
          <w:szCs w:val="24"/>
        </w:rPr>
        <w:t xml:space="preserve"> introduction</w:t>
      </w:r>
      <w:r w:rsidR="007118B8">
        <w:rPr>
          <w:rFonts w:ascii="Times New Roman" w:eastAsia="標楷體" w:hint="eastAsia"/>
          <w:spacing w:val="0"/>
          <w:sz w:val="28"/>
          <w:szCs w:val="24"/>
        </w:rPr>
        <w:t xml:space="preserve"> of new</w:t>
      </w:r>
      <w:r w:rsidR="0025567B" w:rsidRPr="002C0DF3">
        <w:rPr>
          <w:rFonts w:ascii="Times New Roman" w:eastAsia="標楷體" w:hint="eastAsia"/>
          <w:spacing w:val="0"/>
          <w:sz w:val="28"/>
          <w:szCs w:val="24"/>
        </w:rPr>
        <w:t xml:space="preserve"> hand-held mobile devices. However, this momentum could be slowed by uncertainties over the global economic outlook and a dissipating lower base effect.</w:t>
      </w:r>
      <w:r w:rsidR="00F8541C">
        <w:rPr>
          <w:rFonts w:ascii="Times New Roman" w:eastAsia="標楷體" w:hint="eastAsia"/>
          <w:spacing w:val="0"/>
          <w:sz w:val="28"/>
          <w:szCs w:val="24"/>
        </w:rPr>
        <w:t xml:space="preserve"> For 2017 and 2018, Taiwan</w:t>
      </w:r>
      <w:r w:rsidR="00F8541C">
        <w:rPr>
          <w:rFonts w:ascii="Times New Roman" w:eastAsia="標楷體"/>
          <w:spacing w:val="0"/>
          <w:sz w:val="28"/>
          <w:szCs w:val="24"/>
        </w:rPr>
        <w:t>’</w:t>
      </w:r>
      <w:r w:rsidR="00F8541C">
        <w:rPr>
          <w:rFonts w:ascii="Times New Roman" w:eastAsia="標楷體" w:hint="eastAsia"/>
          <w:spacing w:val="0"/>
          <w:sz w:val="28"/>
          <w:szCs w:val="24"/>
        </w:rPr>
        <w:t xml:space="preserve">s exports are expected to post moderate growth. </w:t>
      </w:r>
    </w:p>
    <w:p w:rsidR="00F8541C" w:rsidRPr="002C0DF3" w:rsidRDefault="000F5AD6" w:rsidP="00F8541C">
      <w:pPr>
        <w:pStyle w:val="6"/>
        <w:overflowPunct w:val="0"/>
        <w:snapToGrid w:val="0"/>
        <w:spacing w:before="240" w:after="0" w:line="520" w:lineRule="exact"/>
        <w:ind w:left="0" w:firstLineChars="200" w:firstLine="560"/>
        <w:rPr>
          <w:rFonts w:ascii="Times New Roman" w:eastAsia="標楷體"/>
          <w:spacing w:val="0"/>
          <w:sz w:val="28"/>
          <w:szCs w:val="24"/>
        </w:rPr>
      </w:pPr>
      <w:r w:rsidRPr="002C0DF3">
        <w:rPr>
          <w:rFonts w:ascii="Times New Roman" w:eastAsia="標楷體" w:hint="eastAsia"/>
          <w:spacing w:val="0"/>
          <w:sz w:val="28"/>
          <w:szCs w:val="24"/>
        </w:rPr>
        <w:t xml:space="preserve">In regard to domestic demand, corporate profit gains translated into improvements in the labor market and </w:t>
      </w:r>
      <w:r w:rsidRPr="002C0DF3">
        <w:rPr>
          <w:rFonts w:ascii="Times New Roman" w:eastAsia="標楷體"/>
          <w:spacing w:val="0"/>
          <w:sz w:val="28"/>
          <w:szCs w:val="24"/>
        </w:rPr>
        <w:t>cash dividends to stockholders reached a five-year high</w:t>
      </w:r>
      <w:r w:rsidRPr="002C0DF3">
        <w:rPr>
          <w:rFonts w:ascii="Times New Roman" w:eastAsia="標楷體" w:hint="eastAsia"/>
          <w:spacing w:val="0"/>
          <w:sz w:val="28"/>
          <w:szCs w:val="24"/>
        </w:rPr>
        <w:t xml:space="preserve">. Both were considered conducive to private consumption, though wage growth was moderate. </w:t>
      </w:r>
      <w:r w:rsidR="008D6A6B" w:rsidRPr="002C0DF3">
        <w:rPr>
          <w:rFonts w:ascii="Times New Roman" w:eastAsia="標楷體" w:hint="eastAsia"/>
          <w:spacing w:val="0"/>
          <w:sz w:val="28"/>
          <w:szCs w:val="24"/>
        </w:rPr>
        <w:t>In this view,</w:t>
      </w:r>
      <w:r w:rsidR="00F8541C">
        <w:rPr>
          <w:rFonts w:ascii="Times New Roman" w:eastAsia="標楷體" w:hint="eastAsia"/>
          <w:spacing w:val="0"/>
          <w:sz w:val="28"/>
          <w:szCs w:val="24"/>
        </w:rPr>
        <w:t xml:space="preserve"> private consumption will likely record modest growth this year and </w:t>
      </w:r>
      <w:r w:rsidR="00F8541C" w:rsidRPr="002C0DF3">
        <w:rPr>
          <w:rFonts w:ascii="Times New Roman" w:eastAsia="標楷體" w:hint="eastAsia"/>
          <w:spacing w:val="0"/>
          <w:sz w:val="28"/>
          <w:szCs w:val="24"/>
        </w:rPr>
        <w:t>grow slightly further next year.</w:t>
      </w:r>
    </w:p>
    <w:p w:rsidR="00F8541C" w:rsidRDefault="00C23AA5" w:rsidP="009E3A81">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As for p</w:t>
      </w:r>
      <w:r w:rsidR="000665A2" w:rsidRPr="002C0DF3">
        <w:rPr>
          <w:rFonts w:ascii="Times New Roman" w:eastAsia="標楷體" w:hint="eastAsia"/>
          <w:spacing w:val="0"/>
          <w:sz w:val="28"/>
          <w:szCs w:val="24"/>
        </w:rPr>
        <w:t>rivate investment</w:t>
      </w:r>
      <w:r>
        <w:rPr>
          <w:rFonts w:ascii="Times New Roman" w:eastAsia="標楷體" w:hint="eastAsia"/>
          <w:spacing w:val="0"/>
          <w:sz w:val="28"/>
          <w:szCs w:val="24"/>
        </w:rPr>
        <w:t xml:space="preserve">, </w:t>
      </w:r>
      <w:r w:rsidR="000665A2" w:rsidRPr="002C0DF3">
        <w:rPr>
          <w:rFonts w:ascii="Times New Roman" w:eastAsia="標楷體" w:hint="eastAsia"/>
          <w:spacing w:val="0"/>
          <w:sz w:val="28"/>
          <w:szCs w:val="24"/>
        </w:rPr>
        <w:t>business sentiment was generally positive, commercial real estate saw an increase in demand, and</w:t>
      </w:r>
      <w:r w:rsidR="009E3A81">
        <w:rPr>
          <w:rFonts w:ascii="Times New Roman" w:eastAsia="標楷體" w:hint="eastAsia"/>
          <w:spacing w:val="0"/>
          <w:sz w:val="28"/>
          <w:szCs w:val="24"/>
        </w:rPr>
        <w:t xml:space="preserve"> the government was dedicated to carrying out the </w:t>
      </w:r>
      <w:r w:rsidR="00C64A3C" w:rsidRPr="00C64A3C">
        <w:rPr>
          <w:rFonts w:ascii="Times New Roman" w:eastAsia="標楷體"/>
          <w:spacing w:val="0"/>
          <w:sz w:val="28"/>
          <w:szCs w:val="24"/>
        </w:rPr>
        <w:t>Forward-Looking Infrastructure Development Program</w:t>
      </w:r>
      <w:r w:rsidR="000665A2" w:rsidRPr="002C0DF3">
        <w:rPr>
          <w:rFonts w:ascii="Times New Roman" w:eastAsia="標楷體" w:hint="eastAsia"/>
          <w:spacing w:val="0"/>
          <w:sz w:val="28"/>
          <w:szCs w:val="24"/>
        </w:rPr>
        <w:t xml:space="preserve">. Despite these supportive forces, </w:t>
      </w:r>
      <w:r w:rsidR="00FD5EED" w:rsidRPr="002C0DF3">
        <w:rPr>
          <w:rFonts w:ascii="Times New Roman" w:eastAsia="標楷體" w:hint="eastAsia"/>
          <w:spacing w:val="0"/>
          <w:sz w:val="28"/>
          <w:szCs w:val="24"/>
        </w:rPr>
        <w:t>capital equipment imports dropped sharply in recent months</w:t>
      </w:r>
      <w:r>
        <w:rPr>
          <w:rFonts w:ascii="Times New Roman" w:eastAsia="標楷體" w:hint="eastAsia"/>
          <w:spacing w:val="0"/>
          <w:sz w:val="28"/>
          <w:szCs w:val="24"/>
        </w:rPr>
        <w:t xml:space="preserve"> as </w:t>
      </w:r>
      <w:r w:rsidRPr="002C0DF3">
        <w:rPr>
          <w:rFonts w:ascii="Times New Roman" w:eastAsia="標楷體" w:hint="eastAsia"/>
          <w:spacing w:val="0"/>
          <w:sz w:val="28"/>
          <w:szCs w:val="24"/>
        </w:rPr>
        <w:t xml:space="preserve">investment in semiconductor machinery and equipment </w:t>
      </w:r>
      <w:r>
        <w:rPr>
          <w:rFonts w:ascii="Times New Roman" w:eastAsia="標楷體" w:hint="eastAsia"/>
          <w:spacing w:val="0"/>
          <w:sz w:val="28"/>
          <w:szCs w:val="24"/>
        </w:rPr>
        <w:t>was</w:t>
      </w:r>
      <w:r w:rsidRPr="002C0DF3">
        <w:rPr>
          <w:rFonts w:ascii="Times New Roman" w:eastAsia="標楷體" w:hint="eastAsia"/>
          <w:spacing w:val="0"/>
          <w:sz w:val="28"/>
          <w:szCs w:val="24"/>
        </w:rPr>
        <w:t xml:space="preserve"> compared against a higher base</w:t>
      </w:r>
      <w:r w:rsidR="00FD5EED" w:rsidRPr="002C0DF3">
        <w:rPr>
          <w:rFonts w:ascii="Times New Roman" w:eastAsia="標楷體" w:hint="eastAsia"/>
          <w:spacing w:val="0"/>
          <w:sz w:val="28"/>
          <w:szCs w:val="24"/>
        </w:rPr>
        <w:t xml:space="preserve">. </w:t>
      </w:r>
      <w:r w:rsidR="00922EDC" w:rsidRPr="002C0DF3">
        <w:rPr>
          <w:rFonts w:ascii="Times New Roman" w:eastAsia="標楷體" w:hint="eastAsia"/>
          <w:spacing w:val="0"/>
          <w:sz w:val="28"/>
          <w:szCs w:val="24"/>
        </w:rPr>
        <w:t xml:space="preserve">On balance, </w:t>
      </w:r>
      <w:r w:rsidR="00F8541C">
        <w:rPr>
          <w:rFonts w:ascii="Times New Roman" w:eastAsia="標楷體" w:hint="eastAsia"/>
          <w:spacing w:val="0"/>
          <w:sz w:val="28"/>
          <w:szCs w:val="24"/>
        </w:rPr>
        <w:t xml:space="preserve">the Bank forecast </w:t>
      </w:r>
      <w:r w:rsidR="00F8541C" w:rsidRPr="002C0DF3">
        <w:rPr>
          <w:rFonts w:ascii="Times New Roman" w:eastAsia="標楷體" w:hint="eastAsia"/>
          <w:spacing w:val="0"/>
          <w:sz w:val="28"/>
          <w:szCs w:val="24"/>
        </w:rPr>
        <w:t>Taiwan</w:t>
      </w:r>
      <w:r w:rsidR="00F8541C" w:rsidRPr="002C0DF3">
        <w:rPr>
          <w:rFonts w:ascii="Times New Roman" w:eastAsia="標楷體"/>
          <w:spacing w:val="0"/>
          <w:sz w:val="28"/>
          <w:szCs w:val="24"/>
        </w:rPr>
        <w:t>’</w:t>
      </w:r>
      <w:r w:rsidR="00F8541C" w:rsidRPr="002C0DF3">
        <w:rPr>
          <w:rFonts w:ascii="Times New Roman" w:eastAsia="標楷體" w:hint="eastAsia"/>
          <w:spacing w:val="0"/>
          <w:sz w:val="28"/>
          <w:szCs w:val="24"/>
        </w:rPr>
        <w:t xml:space="preserve">s private investment </w:t>
      </w:r>
      <w:r w:rsidR="00F8541C">
        <w:rPr>
          <w:rFonts w:ascii="Times New Roman" w:eastAsia="標楷體" w:hint="eastAsia"/>
          <w:spacing w:val="0"/>
          <w:sz w:val="28"/>
          <w:szCs w:val="24"/>
        </w:rPr>
        <w:t xml:space="preserve">to grow </w:t>
      </w:r>
      <w:r w:rsidR="00E77BDE">
        <w:rPr>
          <w:rFonts w:ascii="Times New Roman" w:eastAsia="標楷體" w:hint="eastAsia"/>
          <w:spacing w:val="0"/>
          <w:sz w:val="28"/>
          <w:szCs w:val="24"/>
        </w:rPr>
        <w:t>modest</w:t>
      </w:r>
      <w:r w:rsidR="00F8541C">
        <w:rPr>
          <w:rFonts w:ascii="Times New Roman" w:eastAsia="標楷體" w:hint="eastAsia"/>
          <w:spacing w:val="0"/>
          <w:sz w:val="28"/>
          <w:szCs w:val="24"/>
        </w:rPr>
        <w:t>ly in 2017 while next year</w:t>
      </w:r>
      <w:r w:rsidR="00F8541C">
        <w:rPr>
          <w:rFonts w:ascii="Times New Roman" w:eastAsia="標楷體"/>
          <w:spacing w:val="0"/>
          <w:sz w:val="28"/>
          <w:szCs w:val="24"/>
        </w:rPr>
        <w:t>’</w:t>
      </w:r>
      <w:r w:rsidR="00F8541C">
        <w:rPr>
          <w:rFonts w:ascii="Times New Roman" w:eastAsia="標楷體" w:hint="eastAsia"/>
          <w:spacing w:val="0"/>
          <w:sz w:val="28"/>
          <w:szCs w:val="24"/>
        </w:rPr>
        <w:t xml:space="preserve">s growth rate would be slightly lower than this year. </w:t>
      </w:r>
    </w:p>
    <w:p w:rsidR="00DA7468" w:rsidRPr="002C0DF3" w:rsidRDefault="00DA7468" w:rsidP="002C0DF3">
      <w:pPr>
        <w:pStyle w:val="6"/>
        <w:overflowPunct w:val="0"/>
        <w:snapToGrid w:val="0"/>
        <w:spacing w:before="240" w:after="0" w:line="520" w:lineRule="exact"/>
        <w:ind w:left="0" w:firstLineChars="200" w:firstLine="560"/>
        <w:rPr>
          <w:rFonts w:ascii="Times New Roman" w:eastAsia="標楷體"/>
          <w:spacing w:val="0"/>
          <w:sz w:val="28"/>
          <w:szCs w:val="24"/>
        </w:rPr>
      </w:pPr>
      <w:r w:rsidRPr="002C0DF3">
        <w:rPr>
          <w:rFonts w:ascii="Times New Roman" w:eastAsia="標楷體" w:hint="eastAsia"/>
          <w:spacing w:val="0"/>
          <w:sz w:val="28"/>
          <w:szCs w:val="24"/>
        </w:rPr>
        <w:t xml:space="preserve">Labor market conditions continued to improve as the number of employed persons further increased, the unemployment rate fell year on year, and the average wage posted a mild increase. </w:t>
      </w:r>
    </w:p>
    <w:p w:rsidR="00750B45" w:rsidRPr="00F45B47" w:rsidRDefault="00590406" w:rsidP="00D46F1E">
      <w:pPr>
        <w:adjustRightInd/>
        <w:spacing w:before="240" w:line="520" w:lineRule="exact"/>
        <w:textAlignment w:val="auto"/>
        <w:rPr>
          <w:rFonts w:eastAsia="標楷體"/>
          <w:spacing w:val="-2"/>
          <w:sz w:val="32"/>
          <w:szCs w:val="24"/>
        </w:rPr>
      </w:pPr>
      <w:r w:rsidRPr="00543487">
        <w:rPr>
          <w:rFonts w:eastAsia="標楷體" w:hint="eastAsia"/>
          <w:spacing w:val="-2"/>
          <w:sz w:val="28"/>
          <w:szCs w:val="28"/>
        </w:rPr>
        <w:t xml:space="preserve"> </w:t>
      </w:r>
      <w:r w:rsidR="00D46F1E" w:rsidRPr="00543487">
        <w:rPr>
          <w:rFonts w:eastAsia="標楷體" w:hint="eastAsia"/>
          <w:spacing w:val="-2"/>
          <w:sz w:val="28"/>
          <w:szCs w:val="28"/>
        </w:rPr>
        <w:t>(2) Financial conditions</w:t>
      </w:r>
      <w:r w:rsidRPr="00F45B47">
        <w:rPr>
          <w:rFonts w:eastAsia="標楷體"/>
          <w:spacing w:val="-2"/>
          <w:sz w:val="32"/>
          <w:szCs w:val="24"/>
        </w:rPr>
        <w:t xml:space="preserve"> </w:t>
      </w:r>
    </w:p>
    <w:p w:rsidR="002C0DF3" w:rsidRPr="002C0DF3" w:rsidRDefault="002C0DF3" w:rsidP="002C0DF3">
      <w:pPr>
        <w:pStyle w:val="6"/>
        <w:overflowPunct w:val="0"/>
        <w:snapToGrid w:val="0"/>
        <w:spacing w:before="240" w:after="0" w:line="520" w:lineRule="exact"/>
        <w:ind w:left="0" w:firstLineChars="200" w:firstLine="560"/>
        <w:rPr>
          <w:rFonts w:ascii="Times New Roman" w:eastAsia="標楷體"/>
          <w:spacing w:val="0"/>
          <w:sz w:val="28"/>
          <w:szCs w:val="24"/>
        </w:rPr>
      </w:pPr>
      <w:r w:rsidRPr="002C0DF3">
        <w:rPr>
          <w:rFonts w:ascii="Times New Roman" w:eastAsia="標楷體" w:hint="eastAsia"/>
          <w:spacing w:val="0"/>
          <w:sz w:val="28"/>
          <w:szCs w:val="24"/>
        </w:rPr>
        <w:t xml:space="preserve">In the months after June, market liquidity has remained ample, the annual </w:t>
      </w:r>
      <w:r w:rsidRPr="002C0DF3">
        <w:rPr>
          <w:rFonts w:ascii="Times New Roman" w:eastAsia="標楷體" w:hint="eastAsia"/>
          <w:spacing w:val="0"/>
          <w:sz w:val="28"/>
          <w:szCs w:val="24"/>
        </w:rPr>
        <w:lastRenderedPageBreak/>
        <w:t xml:space="preserve">growth rate of M2 has </w:t>
      </w:r>
      <w:r w:rsidRPr="002C0DF3">
        <w:rPr>
          <w:rFonts w:ascii="Times New Roman" w:eastAsia="標楷體"/>
          <w:spacing w:val="0"/>
          <w:sz w:val="28"/>
          <w:szCs w:val="24"/>
        </w:rPr>
        <w:t>stayed within th</w:t>
      </w:r>
      <w:r w:rsidRPr="002C0DF3">
        <w:rPr>
          <w:rFonts w:ascii="Times New Roman" w:eastAsia="標楷體" w:hint="eastAsia"/>
          <w:spacing w:val="0"/>
          <w:sz w:val="28"/>
          <w:szCs w:val="24"/>
        </w:rPr>
        <w:t>is year</w:t>
      </w:r>
      <w:r w:rsidRPr="002C0DF3">
        <w:rPr>
          <w:rFonts w:ascii="Times New Roman" w:eastAsia="標楷體"/>
          <w:spacing w:val="0"/>
          <w:sz w:val="28"/>
          <w:szCs w:val="24"/>
        </w:rPr>
        <w:t>’</w:t>
      </w:r>
      <w:r w:rsidRPr="002C0DF3">
        <w:rPr>
          <w:rFonts w:ascii="Times New Roman" w:eastAsia="標楷體" w:hint="eastAsia"/>
          <w:spacing w:val="0"/>
          <w:sz w:val="28"/>
          <w:szCs w:val="24"/>
        </w:rPr>
        <w:t>s</w:t>
      </w:r>
      <w:r w:rsidRPr="002C0DF3">
        <w:rPr>
          <w:rFonts w:ascii="Times New Roman" w:eastAsia="標楷體"/>
          <w:spacing w:val="0"/>
          <w:sz w:val="28"/>
          <w:szCs w:val="24"/>
        </w:rPr>
        <w:t xml:space="preserve"> target range </w:t>
      </w:r>
      <w:r w:rsidRPr="002C0DF3">
        <w:rPr>
          <w:rFonts w:ascii="Times New Roman" w:eastAsia="標楷體" w:hint="eastAsia"/>
          <w:spacing w:val="0"/>
          <w:sz w:val="28"/>
          <w:szCs w:val="24"/>
        </w:rPr>
        <w:t xml:space="preserve">(2.5%-6.5%), and bank credit has expanded at a slightly slower pace. The NT dollar </w:t>
      </w:r>
      <w:r w:rsidRPr="002C0DF3">
        <w:rPr>
          <w:rFonts w:ascii="Times New Roman" w:eastAsia="標楷體"/>
          <w:spacing w:val="0"/>
          <w:sz w:val="28"/>
          <w:szCs w:val="24"/>
        </w:rPr>
        <w:t xml:space="preserve">appreciated against the US dollar as compared to the same period last year, resulting in </w:t>
      </w:r>
      <w:r w:rsidR="00867A31">
        <w:rPr>
          <w:rFonts w:ascii="Times New Roman" w:eastAsia="標楷體" w:hint="eastAsia"/>
          <w:spacing w:val="0"/>
          <w:sz w:val="28"/>
          <w:szCs w:val="24"/>
        </w:rPr>
        <w:t xml:space="preserve">slightly </w:t>
      </w:r>
      <w:r w:rsidRPr="002C0DF3">
        <w:rPr>
          <w:rFonts w:ascii="Times New Roman" w:eastAsia="標楷體" w:hint="eastAsia"/>
          <w:spacing w:val="0"/>
          <w:sz w:val="28"/>
          <w:szCs w:val="24"/>
        </w:rPr>
        <w:t>tighte</w:t>
      </w:r>
      <w:r w:rsidR="003E242C">
        <w:rPr>
          <w:rFonts w:ascii="Times New Roman" w:eastAsia="標楷體" w:hint="eastAsia"/>
          <w:spacing w:val="0"/>
          <w:sz w:val="28"/>
          <w:szCs w:val="24"/>
        </w:rPr>
        <w:t>r</w:t>
      </w:r>
      <w:r w:rsidRPr="002C0DF3">
        <w:rPr>
          <w:rFonts w:ascii="Times New Roman" w:eastAsia="標楷體" w:hint="eastAsia"/>
          <w:spacing w:val="0"/>
          <w:sz w:val="28"/>
          <w:szCs w:val="24"/>
        </w:rPr>
        <w:t xml:space="preserve"> </w:t>
      </w:r>
      <w:r w:rsidR="001C46ED">
        <w:rPr>
          <w:rFonts w:ascii="Times New Roman" w:eastAsia="標楷體" w:hint="eastAsia"/>
          <w:spacing w:val="0"/>
          <w:sz w:val="28"/>
          <w:szCs w:val="24"/>
        </w:rPr>
        <w:t xml:space="preserve">financial </w:t>
      </w:r>
      <w:r w:rsidRPr="002C0DF3">
        <w:rPr>
          <w:rFonts w:ascii="Times New Roman" w:eastAsia="標楷體" w:hint="eastAsia"/>
          <w:spacing w:val="0"/>
          <w:sz w:val="28"/>
          <w:szCs w:val="24"/>
        </w:rPr>
        <w:t xml:space="preserve">conditions. Nevertheless, a buoyant stock market and steady market interest rates have helped to keep the </w:t>
      </w:r>
      <w:r w:rsidRPr="002C0DF3">
        <w:rPr>
          <w:rFonts w:ascii="Times New Roman" w:eastAsia="標楷體"/>
          <w:spacing w:val="0"/>
          <w:sz w:val="28"/>
          <w:szCs w:val="24"/>
        </w:rPr>
        <w:t>overall</w:t>
      </w:r>
      <w:r w:rsidRPr="002C0DF3">
        <w:rPr>
          <w:rFonts w:ascii="Times New Roman" w:eastAsia="標楷體" w:hint="eastAsia"/>
          <w:spacing w:val="0"/>
          <w:sz w:val="28"/>
          <w:szCs w:val="24"/>
        </w:rPr>
        <w:t xml:space="preserve"> financial conditions </w:t>
      </w:r>
      <w:r>
        <w:rPr>
          <w:rFonts w:ascii="Times New Roman" w:eastAsia="標楷體" w:hint="eastAsia"/>
          <w:spacing w:val="0"/>
          <w:sz w:val="28"/>
          <w:szCs w:val="24"/>
        </w:rPr>
        <w:t>accommodative.</w:t>
      </w:r>
    </w:p>
    <w:p w:rsidR="002C60C7" w:rsidRPr="002C60C7" w:rsidRDefault="002C60C7" w:rsidP="007118B8">
      <w:pPr>
        <w:pStyle w:val="6"/>
        <w:overflowPunct w:val="0"/>
        <w:snapToGrid w:val="0"/>
        <w:spacing w:before="240" w:after="0" w:line="520" w:lineRule="exact"/>
        <w:ind w:left="0" w:firstLineChars="200" w:firstLine="560"/>
        <w:rPr>
          <w:rFonts w:ascii="Times New Roman" w:eastAsia="標楷體"/>
          <w:spacing w:val="-2"/>
          <w:sz w:val="28"/>
          <w:szCs w:val="28"/>
        </w:rPr>
      </w:pPr>
      <w:r w:rsidRPr="002C60C7">
        <w:rPr>
          <w:rFonts w:ascii="Times New Roman" w:eastAsia="標楷體" w:hint="eastAsia"/>
          <w:spacing w:val="0"/>
          <w:sz w:val="28"/>
          <w:szCs w:val="28"/>
        </w:rPr>
        <w:t xml:space="preserve">As mentioned, the </w:t>
      </w:r>
      <w:r w:rsidRPr="002C60C7">
        <w:rPr>
          <w:rFonts w:ascii="Times New Roman" w:eastAsia="標楷體"/>
          <w:spacing w:val="0"/>
          <w:sz w:val="28"/>
          <w:szCs w:val="28"/>
        </w:rPr>
        <w:t>d</w:t>
      </w:r>
      <w:r w:rsidRPr="002C60C7">
        <w:rPr>
          <w:rFonts w:ascii="Times New Roman" w:eastAsia="標楷體" w:hint="eastAsia"/>
          <w:spacing w:val="-2"/>
          <w:sz w:val="28"/>
          <w:szCs w:val="28"/>
        </w:rPr>
        <w:t xml:space="preserve">omestic market interest rates have </w:t>
      </w:r>
      <w:r w:rsidR="0077654B">
        <w:rPr>
          <w:rFonts w:ascii="Times New Roman" w:eastAsia="標楷體" w:hint="eastAsia"/>
          <w:spacing w:val="-2"/>
          <w:sz w:val="28"/>
          <w:szCs w:val="28"/>
        </w:rPr>
        <w:t>remained</w:t>
      </w:r>
      <w:r w:rsidRPr="002C60C7">
        <w:rPr>
          <w:rFonts w:ascii="Times New Roman" w:eastAsia="標楷體" w:hint="eastAsia"/>
          <w:spacing w:val="-2"/>
          <w:sz w:val="28"/>
          <w:szCs w:val="28"/>
        </w:rPr>
        <w:t xml:space="preserve"> steady</w:t>
      </w:r>
      <w:r w:rsidR="0077654B">
        <w:rPr>
          <w:rFonts w:ascii="Times New Roman" w:eastAsia="標楷體" w:hint="eastAsia"/>
          <w:spacing w:val="-2"/>
          <w:sz w:val="28"/>
          <w:szCs w:val="28"/>
        </w:rPr>
        <w:t xml:space="preserve">. The </w:t>
      </w:r>
      <w:r w:rsidR="00133822">
        <w:rPr>
          <w:rFonts w:ascii="Times New Roman" w:eastAsia="標楷體" w:hint="eastAsia"/>
          <w:spacing w:val="-2"/>
          <w:sz w:val="28"/>
          <w:szCs w:val="28"/>
        </w:rPr>
        <w:t>Bank</w:t>
      </w:r>
      <w:r w:rsidR="0077654B">
        <w:rPr>
          <w:rFonts w:ascii="Times New Roman" w:eastAsia="標楷體" w:hint="eastAsia"/>
          <w:spacing w:val="-2"/>
          <w:sz w:val="28"/>
          <w:szCs w:val="28"/>
        </w:rPr>
        <w:t xml:space="preserve"> has managed market liquidity through open market operations and kept banks</w:t>
      </w:r>
      <w:r w:rsidR="0077654B">
        <w:rPr>
          <w:rFonts w:ascii="Times New Roman" w:eastAsia="標楷體"/>
          <w:spacing w:val="-2"/>
          <w:sz w:val="28"/>
          <w:szCs w:val="28"/>
        </w:rPr>
        <w:t>’</w:t>
      </w:r>
      <w:r w:rsidR="0077654B">
        <w:rPr>
          <w:rFonts w:ascii="Times New Roman" w:eastAsia="標楷體" w:hint="eastAsia"/>
          <w:spacing w:val="-2"/>
          <w:sz w:val="28"/>
          <w:szCs w:val="28"/>
        </w:rPr>
        <w:t xml:space="preserve"> excess reserves at an adequately accommodative level. </w:t>
      </w:r>
      <w:r w:rsidR="0077654B">
        <w:rPr>
          <w:rFonts w:ascii="Times New Roman" w:eastAsia="標楷體"/>
          <w:spacing w:val="-2"/>
          <w:sz w:val="28"/>
          <w:szCs w:val="28"/>
        </w:rPr>
        <w:t>T</w:t>
      </w:r>
      <w:r w:rsidR="0077654B">
        <w:rPr>
          <w:rFonts w:ascii="Times New Roman" w:eastAsia="標楷體" w:hint="eastAsia"/>
          <w:spacing w:val="-2"/>
          <w:sz w:val="28"/>
          <w:szCs w:val="28"/>
        </w:rPr>
        <w:t xml:space="preserve">he overnight call loan </w:t>
      </w:r>
      <w:r w:rsidR="00BD7DFC">
        <w:rPr>
          <w:rFonts w:ascii="Times New Roman" w:eastAsia="標楷體" w:hint="eastAsia"/>
          <w:spacing w:val="-2"/>
          <w:sz w:val="28"/>
          <w:szCs w:val="28"/>
        </w:rPr>
        <w:t>rate has also been steady. As a result of mild inflation, Taiwan</w:t>
      </w:r>
      <w:r w:rsidR="00BD7DFC">
        <w:rPr>
          <w:rFonts w:ascii="Times New Roman" w:eastAsia="標楷體"/>
          <w:spacing w:val="-2"/>
          <w:sz w:val="28"/>
          <w:szCs w:val="28"/>
        </w:rPr>
        <w:t>’</w:t>
      </w:r>
      <w:r w:rsidR="00BD7DFC">
        <w:rPr>
          <w:rFonts w:ascii="Times New Roman" w:eastAsia="標楷體" w:hint="eastAsia"/>
          <w:spacing w:val="-2"/>
          <w:sz w:val="28"/>
          <w:szCs w:val="28"/>
        </w:rPr>
        <w:t>s real interest rate has returned to positive territory,</w:t>
      </w:r>
      <w:r w:rsidR="00BD7DFC" w:rsidRPr="00BD7DFC">
        <w:rPr>
          <w:rFonts w:ascii="Times New Roman" w:eastAsia="標楷體" w:hint="eastAsia"/>
          <w:spacing w:val="-2"/>
          <w:sz w:val="28"/>
          <w:szCs w:val="28"/>
        </w:rPr>
        <w:t xml:space="preserve"> </w:t>
      </w:r>
      <w:r w:rsidR="00BD7DFC">
        <w:rPr>
          <w:rFonts w:ascii="Times New Roman" w:eastAsia="標楷體" w:hint="eastAsia"/>
          <w:spacing w:val="-2"/>
          <w:sz w:val="28"/>
          <w:szCs w:val="28"/>
        </w:rPr>
        <w:t xml:space="preserve">whereas many major economies continued to register negative real interest rates. </w:t>
      </w:r>
      <w:r w:rsidR="00BD7DFC" w:rsidRPr="00543487">
        <w:rPr>
          <w:rFonts w:ascii="Times New Roman" w:eastAsia="標楷體" w:hint="eastAsia"/>
          <w:spacing w:val="-2"/>
          <w:sz w:val="28"/>
          <w:szCs w:val="28"/>
        </w:rPr>
        <w:t xml:space="preserve">Assessed against </w:t>
      </w:r>
      <w:r w:rsidR="00BD7DFC" w:rsidRPr="00543487">
        <w:rPr>
          <w:rFonts w:ascii="Times New Roman" w:eastAsia="標楷體"/>
          <w:spacing w:val="-2"/>
          <w:sz w:val="28"/>
          <w:szCs w:val="28"/>
        </w:rPr>
        <w:t>economic</w:t>
      </w:r>
      <w:r w:rsidR="00BD7DFC" w:rsidRPr="00543487">
        <w:rPr>
          <w:rFonts w:ascii="Times New Roman" w:eastAsia="標楷體" w:hint="eastAsia"/>
          <w:spacing w:val="-2"/>
          <w:sz w:val="28"/>
          <w:szCs w:val="28"/>
        </w:rPr>
        <w:t xml:space="preserve"> conditions, some of those economies enjoy</w:t>
      </w:r>
      <w:r w:rsidR="00B368B0">
        <w:rPr>
          <w:rFonts w:ascii="Times New Roman" w:eastAsia="標楷體" w:hint="eastAsia"/>
          <w:spacing w:val="-2"/>
          <w:sz w:val="28"/>
          <w:szCs w:val="28"/>
        </w:rPr>
        <w:t xml:space="preserve"> higher GDP growth </w:t>
      </w:r>
      <w:r w:rsidR="007118B8">
        <w:rPr>
          <w:rFonts w:ascii="Times New Roman" w:eastAsia="標楷體" w:hint="eastAsia"/>
          <w:spacing w:val="-2"/>
          <w:sz w:val="28"/>
          <w:szCs w:val="28"/>
        </w:rPr>
        <w:t xml:space="preserve">than Taiwan while recording a relatively </w:t>
      </w:r>
      <w:r w:rsidR="00B368B0">
        <w:rPr>
          <w:rFonts w:ascii="Times New Roman" w:eastAsia="標楷體" w:hint="eastAsia"/>
          <w:spacing w:val="-2"/>
          <w:sz w:val="28"/>
          <w:szCs w:val="28"/>
        </w:rPr>
        <w:t>lower (</w:t>
      </w:r>
      <w:r w:rsidR="00BD7DFC">
        <w:rPr>
          <w:rFonts w:ascii="Times New Roman" w:eastAsia="標楷體" w:hint="eastAsia"/>
          <w:spacing w:val="-2"/>
          <w:sz w:val="28"/>
          <w:szCs w:val="28"/>
        </w:rPr>
        <w:t>negative</w:t>
      </w:r>
      <w:r w:rsidR="00B368B0">
        <w:rPr>
          <w:rFonts w:ascii="Times New Roman" w:eastAsia="標楷體" w:hint="eastAsia"/>
          <w:spacing w:val="-2"/>
          <w:sz w:val="28"/>
          <w:szCs w:val="28"/>
        </w:rPr>
        <w:t>)</w:t>
      </w:r>
      <w:r w:rsidR="00BD7DFC">
        <w:rPr>
          <w:rFonts w:ascii="Times New Roman" w:eastAsia="標楷體" w:hint="eastAsia"/>
          <w:spacing w:val="-2"/>
          <w:sz w:val="28"/>
          <w:szCs w:val="28"/>
        </w:rPr>
        <w:t xml:space="preserve"> </w:t>
      </w:r>
      <w:r w:rsidR="00BD7DFC" w:rsidRPr="00543487">
        <w:rPr>
          <w:rFonts w:ascii="Times New Roman" w:eastAsia="標楷體" w:hint="eastAsia"/>
          <w:spacing w:val="-2"/>
          <w:sz w:val="28"/>
          <w:szCs w:val="28"/>
        </w:rPr>
        <w:t>real interest rate when compared with Taiwan.</w:t>
      </w:r>
      <w:r w:rsidR="00BD7DFC">
        <w:rPr>
          <w:rFonts w:ascii="Times New Roman" w:eastAsia="標楷體" w:hint="eastAsia"/>
          <w:spacing w:val="-2"/>
          <w:sz w:val="28"/>
          <w:szCs w:val="28"/>
        </w:rPr>
        <w:t xml:space="preserve"> </w:t>
      </w:r>
    </w:p>
    <w:p w:rsidR="00B368B0" w:rsidRPr="00CA70C1" w:rsidRDefault="00164410" w:rsidP="009A532D">
      <w:pPr>
        <w:pStyle w:val="6"/>
        <w:overflowPunct w:val="0"/>
        <w:snapToGrid w:val="0"/>
        <w:spacing w:before="240" w:after="0" w:line="520" w:lineRule="exact"/>
        <w:ind w:left="0" w:firstLineChars="200" w:firstLine="560"/>
        <w:rPr>
          <w:rFonts w:ascii="Times New Roman" w:eastAsia="標楷體"/>
          <w:spacing w:val="0"/>
          <w:sz w:val="28"/>
          <w:szCs w:val="24"/>
        </w:rPr>
      </w:pPr>
      <w:r w:rsidRPr="00CA70C1">
        <w:rPr>
          <w:rFonts w:ascii="Times New Roman" w:eastAsia="標楷體" w:hint="eastAsia"/>
          <w:spacing w:val="0"/>
          <w:sz w:val="28"/>
          <w:szCs w:val="24"/>
        </w:rPr>
        <w:t>The M2 annual growth rate climbed to 3.75% in August, mainly owing to firms</w:t>
      </w:r>
      <w:r w:rsidRPr="00CA70C1">
        <w:rPr>
          <w:rFonts w:ascii="Times New Roman" w:eastAsia="標楷體"/>
          <w:spacing w:val="0"/>
          <w:sz w:val="28"/>
          <w:szCs w:val="24"/>
        </w:rPr>
        <w:t>’</w:t>
      </w:r>
      <w:r w:rsidRPr="00CA70C1">
        <w:rPr>
          <w:rFonts w:ascii="Times New Roman" w:eastAsia="標楷體" w:hint="eastAsia"/>
          <w:spacing w:val="0"/>
          <w:sz w:val="28"/>
          <w:szCs w:val="24"/>
        </w:rPr>
        <w:t xml:space="preserve"> inward remittances of </w:t>
      </w:r>
      <w:r w:rsidR="00055BEF" w:rsidRPr="00CA70C1">
        <w:rPr>
          <w:rFonts w:ascii="Times New Roman" w:eastAsia="標楷體" w:hint="eastAsia"/>
          <w:spacing w:val="0"/>
          <w:sz w:val="28"/>
          <w:szCs w:val="24"/>
        </w:rPr>
        <w:t xml:space="preserve">goods sale proceeds </w:t>
      </w:r>
      <w:r w:rsidRPr="00CA70C1">
        <w:rPr>
          <w:rFonts w:ascii="Times New Roman" w:eastAsia="標楷體" w:hint="eastAsia"/>
          <w:spacing w:val="0"/>
          <w:sz w:val="28"/>
          <w:szCs w:val="24"/>
        </w:rPr>
        <w:t>to meet the needs of</w:t>
      </w:r>
      <w:r w:rsidR="00E77BDE">
        <w:rPr>
          <w:rFonts w:ascii="Times New Roman" w:eastAsia="標楷體" w:hint="eastAsia"/>
          <w:spacing w:val="0"/>
          <w:sz w:val="28"/>
          <w:szCs w:val="24"/>
        </w:rPr>
        <w:t xml:space="preserve"> paying</w:t>
      </w:r>
      <w:r w:rsidRPr="00CA70C1">
        <w:rPr>
          <w:rFonts w:ascii="Times New Roman" w:eastAsia="標楷體" w:hint="eastAsia"/>
          <w:spacing w:val="0"/>
          <w:sz w:val="28"/>
          <w:szCs w:val="24"/>
        </w:rPr>
        <w:t xml:space="preserve"> </w:t>
      </w:r>
      <w:r w:rsidR="00E77BDE">
        <w:rPr>
          <w:rFonts w:ascii="Times New Roman" w:eastAsia="標楷體" w:hint="eastAsia"/>
          <w:spacing w:val="0"/>
          <w:sz w:val="28"/>
          <w:szCs w:val="24"/>
        </w:rPr>
        <w:t>cash</w:t>
      </w:r>
      <w:r w:rsidRPr="00CA70C1">
        <w:rPr>
          <w:rFonts w:ascii="Times New Roman" w:eastAsia="標楷體" w:hint="eastAsia"/>
          <w:spacing w:val="0"/>
          <w:sz w:val="28"/>
          <w:szCs w:val="24"/>
        </w:rPr>
        <w:t xml:space="preserve"> dividend</w:t>
      </w:r>
      <w:r w:rsidR="00E77BDE">
        <w:rPr>
          <w:rFonts w:ascii="Times New Roman" w:eastAsia="標楷體" w:hint="eastAsia"/>
          <w:spacing w:val="0"/>
          <w:sz w:val="28"/>
          <w:szCs w:val="24"/>
        </w:rPr>
        <w:t>s</w:t>
      </w:r>
      <w:r w:rsidRPr="00CA70C1">
        <w:rPr>
          <w:rFonts w:ascii="Times New Roman" w:eastAsia="標楷體" w:hint="eastAsia"/>
          <w:spacing w:val="0"/>
          <w:sz w:val="28"/>
          <w:szCs w:val="24"/>
        </w:rPr>
        <w:t xml:space="preserve">. </w:t>
      </w:r>
      <w:r w:rsidR="00055BEF" w:rsidRPr="00CA70C1">
        <w:rPr>
          <w:rFonts w:ascii="Times New Roman" w:eastAsia="標楷體" w:hint="eastAsia"/>
          <w:spacing w:val="0"/>
          <w:sz w:val="28"/>
          <w:szCs w:val="24"/>
        </w:rPr>
        <w:t>For the first eight months of the year, the M2 annual growth rate averaged 3.71%</w:t>
      </w:r>
      <w:proofErr w:type="gramStart"/>
      <w:r w:rsidR="00055BEF" w:rsidRPr="00CA70C1">
        <w:rPr>
          <w:rFonts w:ascii="Times New Roman" w:eastAsia="標楷體" w:hint="eastAsia"/>
          <w:spacing w:val="0"/>
          <w:sz w:val="28"/>
          <w:szCs w:val="24"/>
        </w:rPr>
        <w:t>,</w:t>
      </w:r>
      <w:proofErr w:type="gramEnd"/>
      <w:r w:rsidR="00055BEF" w:rsidRPr="00CA70C1">
        <w:rPr>
          <w:rFonts w:ascii="Times New Roman" w:eastAsia="標楷體" w:hint="eastAsia"/>
          <w:spacing w:val="0"/>
          <w:sz w:val="28"/>
          <w:szCs w:val="24"/>
        </w:rPr>
        <w:t xml:space="preserve"> lower than the same period last year </w:t>
      </w:r>
      <w:r w:rsidR="00055BEF" w:rsidRPr="00CA70C1">
        <w:rPr>
          <w:rFonts w:ascii="Times New Roman" w:eastAsia="標楷體"/>
          <w:spacing w:val="0"/>
          <w:sz w:val="28"/>
          <w:szCs w:val="24"/>
        </w:rPr>
        <w:t>because</w:t>
      </w:r>
      <w:r w:rsidR="00055BEF" w:rsidRPr="00CA70C1">
        <w:rPr>
          <w:rFonts w:ascii="Times New Roman" w:eastAsia="標楷體" w:hint="eastAsia"/>
          <w:spacing w:val="0"/>
          <w:sz w:val="28"/>
          <w:szCs w:val="24"/>
        </w:rPr>
        <w:t xml:space="preserve"> of a reduced amount of net foreign capital inflows. In terms of bank credit, </w:t>
      </w:r>
      <w:r w:rsidR="006F25E5" w:rsidRPr="00CA70C1">
        <w:rPr>
          <w:rFonts w:ascii="Times New Roman" w:eastAsia="標楷體" w:hint="eastAsia"/>
          <w:spacing w:val="0"/>
          <w:sz w:val="28"/>
          <w:szCs w:val="24"/>
        </w:rPr>
        <w:t xml:space="preserve">the annual growth rate of bank loans and investments decreased slightly to 4.70% in August, mainly attributable to slower growth in bank claims on the government sector as stable gains from </w:t>
      </w:r>
      <w:r w:rsidR="006F25E5" w:rsidRPr="00CA70C1">
        <w:rPr>
          <w:rFonts w:ascii="Times New Roman" w:eastAsia="標楷體"/>
          <w:spacing w:val="0"/>
          <w:sz w:val="28"/>
          <w:szCs w:val="24"/>
        </w:rPr>
        <w:t xml:space="preserve">tax revenue </w:t>
      </w:r>
      <w:r w:rsidR="006F25E5" w:rsidRPr="00CA70C1">
        <w:rPr>
          <w:rFonts w:ascii="Times New Roman" w:eastAsia="標楷體" w:hint="eastAsia"/>
          <w:spacing w:val="0"/>
          <w:sz w:val="28"/>
          <w:szCs w:val="24"/>
        </w:rPr>
        <w:t>weakened the need for financing.</w:t>
      </w:r>
      <w:r w:rsidR="006F25E5">
        <w:rPr>
          <w:rFonts w:ascii="Times New Roman" w:eastAsia="標楷體" w:hint="eastAsia"/>
          <w:spacing w:val="0"/>
          <w:sz w:val="28"/>
          <w:szCs w:val="24"/>
        </w:rPr>
        <w:t xml:space="preserve"> </w:t>
      </w:r>
      <w:r w:rsidR="009A532D">
        <w:rPr>
          <w:rFonts w:ascii="Times New Roman" w:eastAsia="標楷體" w:hint="eastAsia"/>
          <w:spacing w:val="0"/>
          <w:sz w:val="28"/>
          <w:szCs w:val="24"/>
        </w:rPr>
        <w:t xml:space="preserve">Bank loans and investment grew at an average pace of </w:t>
      </w:r>
      <w:r w:rsidR="000D48B4" w:rsidRPr="00CA70C1">
        <w:rPr>
          <w:rFonts w:ascii="Times New Roman" w:eastAsia="標楷體" w:hint="eastAsia"/>
          <w:spacing w:val="0"/>
          <w:sz w:val="28"/>
          <w:szCs w:val="24"/>
        </w:rPr>
        <w:t xml:space="preserve">4.68% </w:t>
      </w:r>
      <w:r w:rsidR="009A532D">
        <w:rPr>
          <w:rFonts w:ascii="Times New Roman" w:eastAsia="標楷體" w:hint="eastAsia"/>
          <w:spacing w:val="0"/>
          <w:sz w:val="28"/>
          <w:szCs w:val="24"/>
        </w:rPr>
        <w:t xml:space="preserve">year on year </w:t>
      </w:r>
      <w:r w:rsidR="000D48B4" w:rsidRPr="00CA70C1">
        <w:rPr>
          <w:rFonts w:ascii="Times New Roman" w:eastAsia="標楷體" w:hint="eastAsia"/>
          <w:spacing w:val="0"/>
          <w:sz w:val="28"/>
          <w:szCs w:val="24"/>
        </w:rPr>
        <w:t>for the first eight months of the year.</w:t>
      </w:r>
      <w:r w:rsidR="009538B8" w:rsidRPr="00CA70C1">
        <w:rPr>
          <w:rFonts w:ascii="Times New Roman" w:eastAsia="標楷體" w:hint="eastAsia"/>
          <w:spacing w:val="0"/>
          <w:sz w:val="28"/>
          <w:szCs w:val="24"/>
        </w:rPr>
        <w:t xml:space="preserve"> </w:t>
      </w:r>
      <w:r w:rsidR="002A14C4" w:rsidRPr="00CA70C1">
        <w:rPr>
          <w:rFonts w:ascii="Times New Roman" w:eastAsia="標楷體" w:hint="eastAsia"/>
          <w:spacing w:val="0"/>
          <w:sz w:val="28"/>
          <w:szCs w:val="24"/>
        </w:rPr>
        <w:t>During the period of January to August 2017, the average annual growth rate of M2</w:t>
      </w:r>
      <w:r w:rsidR="00CA70C1">
        <w:rPr>
          <w:rFonts w:ascii="Times New Roman" w:eastAsia="標楷體" w:hint="eastAsia"/>
          <w:spacing w:val="0"/>
          <w:sz w:val="28"/>
          <w:szCs w:val="24"/>
        </w:rPr>
        <w:t xml:space="preserve"> (3.71%)</w:t>
      </w:r>
      <w:r w:rsidR="002A14C4" w:rsidRPr="00CA70C1">
        <w:rPr>
          <w:rFonts w:ascii="Times New Roman" w:eastAsia="標楷體" w:hint="eastAsia"/>
          <w:spacing w:val="0"/>
          <w:sz w:val="28"/>
          <w:szCs w:val="24"/>
        </w:rPr>
        <w:t xml:space="preserve"> and that of bank loans and investments</w:t>
      </w:r>
      <w:r w:rsidR="00CA70C1">
        <w:rPr>
          <w:rFonts w:ascii="Times New Roman" w:eastAsia="標楷體" w:hint="eastAsia"/>
          <w:spacing w:val="0"/>
          <w:sz w:val="28"/>
          <w:szCs w:val="24"/>
        </w:rPr>
        <w:t xml:space="preserve"> (4.68%)</w:t>
      </w:r>
      <w:r w:rsidR="002A14C4" w:rsidRPr="00CA70C1">
        <w:rPr>
          <w:rFonts w:ascii="Times New Roman" w:eastAsia="標楷體" w:hint="eastAsia"/>
          <w:spacing w:val="0"/>
          <w:sz w:val="28"/>
          <w:szCs w:val="24"/>
        </w:rPr>
        <w:t xml:space="preserve"> </w:t>
      </w:r>
      <w:r w:rsidR="000F1F88" w:rsidRPr="00CA70C1">
        <w:rPr>
          <w:rFonts w:ascii="Times New Roman" w:eastAsia="標楷體" w:hint="eastAsia"/>
          <w:spacing w:val="0"/>
          <w:sz w:val="28"/>
          <w:szCs w:val="24"/>
        </w:rPr>
        <w:t xml:space="preserve">were both higher </w:t>
      </w:r>
      <w:r w:rsidR="00CA70C1" w:rsidRPr="00CA70C1">
        <w:rPr>
          <w:rFonts w:ascii="Times New Roman" w:eastAsia="標楷體" w:hint="eastAsia"/>
          <w:spacing w:val="0"/>
          <w:sz w:val="28"/>
          <w:szCs w:val="24"/>
        </w:rPr>
        <w:t xml:space="preserve">than the </w:t>
      </w:r>
      <w:r w:rsidR="00CA70C1" w:rsidRPr="00CA70C1">
        <w:rPr>
          <w:rFonts w:ascii="Times New Roman" w:eastAsia="標楷體"/>
          <w:spacing w:val="0"/>
          <w:sz w:val="28"/>
          <w:szCs w:val="24"/>
        </w:rPr>
        <w:t>sum of the 2017 projected</w:t>
      </w:r>
      <w:r w:rsidR="00CA70C1">
        <w:rPr>
          <w:rFonts w:ascii="Times New Roman" w:eastAsia="標楷體"/>
          <w:spacing w:val="0"/>
          <w:sz w:val="28"/>
          <w:szCs w:val="24"/>
        </w:rPr>
        <w:t xml:space="preserve"> GDP and CPI </w:t>
      </w:r>
      <w:r w:rsidR="00CA70C1">
        <w:rPr>
          <w:rFonts w:ascii="Times New Roman" w:eastAsia="標楷體"/>
          <w:spacing w:val="0"/>
          <w:sz w:val="28"/>
          <w:szCs w:val="24"/>
        </w:rPr>
        <w:lastRenderedPageBreak/>
        <w:t>annual growth rates</w:t>
      </w:r>
      <w:r w:rsidR="00CA70C1">
        <w:rPr>
          <w:rFonts w:ascii="Times New Roman" w:eastAsia="標楷體" w:hint="eastAsia"/>
          <w:spacing w:val="0"/>
          <w:sz w:val="28"/>
          <w:szCs w:val="24"/>
        </w:rPr>
        <w:t xml:space="preserve"> (2.95%). This indicates </w:t>
      </w:r>
      <w:r w:rsidR="00CA70C1" w:rsidRPr="00CA70C1">
        <w:rPr>
          <w:rFonts w:ascii="Times New Roman" w:eastAsia="標楷體"/>
          <w:spacing w:val="0"/>
          <w:sz w:val="28"/>
          <w:szCs w:val="24"/>
        </w:rPr>
        <w:t>market liquidity conditions are sufficient in meeting the need of economic activity.</w:t>
      </w:r>
    </w:p>
    <w:p w:rsidR="00CA70C1" w:rsidRPr="00E42431" w:rsidRDefault="00CA70C1" w:rsidP="00E42431">
      <w:pPr>
        <w:pStyle w:val="6"/>
        <w:overflowPunct w:val="0"/>
        <w:snapToGrid w:val="0"/>
        <w:spacing w:before="240" w:after="0" w:line="520" w:lineRule="exact"/>
        <w:ind w:left="0" w:firstLineChars="200" w:firstLine="560"/>
        <w:rPr>
          <w:rFonts w:ascii="Times New Roman" w:eastAsia="標楷體"/>
          <w:spacing w:val="0"/>
          <w:sz w:val="28"/>
          <w:szCs w:val="24"/>
        </w:rPr>
      </w:pPr>
      <w:r w:rsidRPr="00E42431">
        <w:rPr>
          <w:rFonts w:ascii="Times New Roman" w:eastAsia="標楷體" w:hint="eastAsia"/>
          <w:spacing w:val="0"/>
          <w:sz w:val="28"/>
          <w:szCs w:val="24"/>
        </w:rPr>
        <w:t xml:space="preserve">Looking ahead, </w:t>
      </w:r>
      <w:r w:rsidR="00BE42EF" w:rsidRPr="00E42431">
        <w:rPr>
          <w:rFonts w:ascii="Times New Roman" w:eastAsia="標楷體" w:hint="eastAsia"/>
          <w:spacing w:val="0"/>
          <w:sz w:val="28"/>
          <w:szCs w:val="24"/>
        </w:rPr>
        <w:t>cross-border capital movements will likely become a major influence behind Taiwan</w:t>
      </w:r>
      <w:r w:rsidR="00BE42EF" w:rsidRPr="00E42431">
        <w:rPr>
          <w:rFonts w:ascii="Times New Roman" w:eastAsia="標楷體"/>
          <w:spacing w:val="0"/>
          <w:sz w:val="28"/>
          <w:szCs w:val="24"/>
        </w:rPr>
        <w:t>’</w:t>
      </w:r>
      <w:r w:rsidR="00BE42EF" w:rsidRPr="00E42431">
        <w:rPr>
          <w:rFonts w:ascii="Times New Roman" w:eastAsia="標楷體" w:hint="eastAsia"/>
          <w:spacing w:val="0"/>
          <w:sz w:val="28"/>
          <w:szCs w:val="24"/>
        </w:rPr>
        <w:t xml:space="preserve">s M2 growth as </w:t>
      </w:r>
      <w:r w:rsidRPr="00E42431">
        <w:rPr>
          <w:rFonts w:ascii="Times New Roman" w:eastAsia="標楷體" w:hint="eastAsia"/>
          <w:spacing w:val="0"/>
          <w:sz w:val="28"/>
          <w:szCs w:val="24"/>
        </w:rPr>
        <w:t xml:space="preserve">the global outlook is still shrouded by uncertainties and the U.S. Fed </w:t>
      </w:r>
      <w:r w:rsidR="00BE42EF" w:rsidRPr="00E42431">
        <w:rPr>
          <w:rFonts w:ascii="Times New Roman" w:eastAsia="標楷體" w:hint="eastAsia"/>
          <w:spacing w:val="0"/>
          <w:sz w:val="28"/>
          <w:szCs w:val="24"/>
        </w:rPr>
        <w:t xml:space="preserve">will move ahead with </w:t>
      </w:r>
      <w:r w:rsidR="0055524B">
        <w:rPr>
          <w:rFonts w:ascii="Times New Roman" w:eastAsia="標楷體" w:hint="eastAsia"/>
          <w:spacing w:val="0"/>
          <w:sz w:val="28"/>
          <w:szCs w:val="24"/>
        </w:rPr>
        <w:t>balance sheet reduction</w:t>
      </w:r>
      <w:r w:rsidR="00BE42EF" w:rsidRPr="00E42431">
        <w:rPr>
          <w:rFonts w:ascii="Times New Roman" w:eastAsia="標楷體" w:hint="eastAsia"/>
          <w:spacing w:val="0"/>
          <w:sz w:val="28"/>
          <w:szCs w:val="24"/>
        </w:rPr>
        <w:t xml:space="preserve"> and rate hikes. </w:t>
      </w:r>
      <w:r w:rsidR="00493266">
        <w:rPr>
          <w:rFonts w:ascii="Times New Roman" w:eastAsia="標楷體" w:hint="eastAsia"/>
          <w:spacing w:val="0"/>
          <w:sz w:val="28"/>
          <w:szCs w:val="24"/>
        </w:rPr>
        <w:t xml:space="preserve">Meanwhile, demand for funds driven by the </w:t>
      </w:r>
      <w:r w:rsidR="00493266">
        <w:rPr>
          <w:rFonts w:ascii="Times New Roman" w:eastAsia="標楷體"/>
          <w:spacing w:val="0"/>
          <w:sz w:val="28"/>
          <w:szCs w:val="24"/>
        </w:rPr>
        <w:t>economic</w:t>
      </w:r>
      <w:r w:rsidR="00493266">
        <w:rPr>
          <w:rFonts w:ascii="Times New Roman" w:eastAsia="標楷體" w:hint="eastAsia"/>
          <w:spacing w:val="0"/>
          <w:sz w:val="28"/>
          <w:szCs w:val="24"/>
        </w:rPr>
        <w:t xml:space="preserve"> recovery is expected to support continued growth in bank loans and investments. </w:t>
      </w:r>
    </w:p>
    <w:p w:rsidR="00750B45" w:rsidRPr="00D46F1E" w:rsidRDefault="00590406" w:rsidP="00D46F1E">
      <w:pPr>
        <w:adjustRightInd/>
        <w:spacing w:before="240" w:line="520" w:lineRule="exact"/>
        <w:textAlignment w:val="auto"/>
        <w:rPr>
          <w:rFonts w:eastAsia="標楷體"/>
          <w:spacing w:val="-2"/>
          <w:sz w:val="28"/>
          <w:szCs w:val="28"/>
        </w:rPr>
      </w:pPr>
      <w:r w:rsidRPr="00543487">
        <w:rPr>
          <w:rFonts w:eastAsia="標楷體" w:hint="eastAsia"/>
          <w:spacing w:val="-2"/>
          <w:sz w:val="28"/>
          <w:szCs w:val="28"/>
        </w:rPr>
        <w:t xml:space="preserve"> </w:t>
      </w:r>
      <w:r w:rsidR="00D46F1E" w:rsidRPr="00543487">
        <w:rPr>
          <w:rFonts w:eastAsia="標楷體" w:hint="eastAsia"/>
          <w:spacing w:val="-2"/>
          <w:sz w:val="28"/>
          <w:szCs w:val="28"/>
        </w:rPr>
        <w:t>(3) Price Trends</w:t>
      </w:r>
      <w:r w:rsidR="00D46F1E">
        <w:rPr>
          <w:rFonts w:eastAsia="標楷體" w:hint="eastAsia"/>
          <w:spacing w:val="-2"/>
          <w:sz w:val="28"/>
          <w:szCs w:val="28"/>
        </w:rPr>
        <w:t xml:space="preserve"> </w:t>
      </w:r>
    </w:p>
    <w:p w:rsidR="00493266" w:rsidRPr="00D932C4" w:rsidRDefault="00D932C4" w:rsidP="00823081">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 xml:space="preserve">The international oil prices have trended upwards since June, spurred by </w:t>
      </w:r>
      <w:r w:rsidR="009E2DD5">
        <w:rPr>
          <w:rFonts w:ascii="Times New Roman" w:eastAsia="標楷體" w:hint="eastAsia"/>
          <w:spacing w:val="0"/>
          <w:sz w:val="28"/>
          <w:szCs w:val="24"/>
        </w:rPr>
        <w:t>Saudi Arabia</w:t>
      </w:r>
      <w:r w:rsidR="009E2DD5">
        <w:rPr>
          <w:rFonts w:ascii="Times New Roman" w:eastAsia="標楷體"/>
          <w:spacing w:val="0"/>
          <w:sz w:val="28"/>
          <w:szCs w:val="24"/>
        </w:rPr>
        <w:t>’</w:t>
      </w:r>
      <w:r w:rsidR="009E2DD5">
        <w:rPr>
          <w:rFonts w:ascii="Times New Roman" w:eastAsia="標楷體" w:hint="eastAsia"/>
          <w:spacing w:val="0"/>
          <w:sz w:val="28"/>
          <w:szCs w:val="24"/>
        </w:rPr>
        <w:t xml:space="preserve">s policy to cut its oil exports and </w:t>
      </w:r>
      <w:r w:rsidR="00267200">
        <w:rPr>
          <w:rFonts w:ascii="Times New Roman" w:eastAsia="標楷體" w:hint="eastAsia"/>
          <w:spacing w:val="0"/>
          <w:sz w:val="28"/>
          <w:szCs w:val="24"/>
        </w:rPr>
        <w:t>a higher</w:t>
      </w:r>
      <w:r w:rsidR="00F24C58">
        <w:rPr>
          <w:rFonts w:ascii="Times New Roman" w:eastAsia="標楷體" w:hint="eastAsia"/>
          <w:spacing w:val="0"/>
          <w:sz w:val="28"/>
          <w:szCs w:val="24"/>
        </w:rPr>
        <w:t xml:space="preserve"> oil demand after </w:t>
      </w:r>
      <w:r w:rsidR="00267200">
        <w:rPr>
          <w:rFonts w:ascii="Times New Roman" w:eastAsia="標楷體" w:hint="eastAsia"/>
          <w:spacing w:val="0"/>
          <w:sz w:val="28"/>
          <w:szCs w:val="24"/>
        </w:rPr>
        <w:t xml:space="preserve">the hard-hit </w:t>
      </w:r>
      <w:r w:rsidR="00F24C58" w:rsidRPr="00F24C58">
        <w:rPr>
          <w:rFonts w:ascii="Times New Roman" w:eastAsia="標楷體"/>
          <w:spacing w:val="0"/>
          <w:sz w:val="28"/>
          <w:szCs w:val="24"/>
        </w:rPr>
        <w:t xml:space="preserve">U.S. refineries </w:t>
      </w:r>
      <w:r w:rsidR="00267200">
        <w:rPr>
          <w:rFonts w:ascii="Times New Roman" w:eastAsia="標楷體" w:hint="eastAsia"/>
          <w:spacing w:val="0"/>
          <w:sz w:val="28"/>
          <w:szCs w:val="24"/>
        </w:rPr>
        <w:t>restored operations</w:t>
      </w:r>
      <w:r w:rsidR="00F24C58" w:rsidRPr="00F24C58">
        <w:rPr>
          <w:rFonts w:ascii="Times New Roman" w:eastAsia="標楷體"/>
          <w:spacing w:val="0"/>
          <w:sz w:val="28"/>
          <w:szCs w:val="24"/>
        </w:rPr>
        <w:t xml:space="preserve"> following Hurricane Harvey</w:t>
      </w:r>
      <w:r w:rsidR="00F24C58">
        <w:rPr>
          <w:rFonts w:ascii="Times New Roman" w:eastAsia="標楷體" w:hint="eastAsia"/>
          <w:spacing w:val="0"/>
          <w:sz w:val="28"/>
          <w:szCs w:val="24"/>
        </w:rPr>
        <w:t>.</w:t>
      </w:r>
      <w:r w:rsidR="00175FA7">
        <w:rPr>
          <w:rFonts w:ascii="Times New Roman" w:eastAsia="標楷體" w:hint="eastAsia"/>
          <w:spacing w:val="0"/>
          <w:sz w:val="28"/>
          <w:szCs w:val="24"/>
        </w:rPr>
        <w:t xml:space="preserve"> Global grain prices</w:t>
      </w:r>
      <w:r w:rsidR="00D717C8">
        <w:rPr>
          <w:rFonts w:ascii="Times New Roman" w:eastAsia="標楷體" w:hint="eastAsia"/>
          <w:spacing w:val="0"/>
          <w:sz w:val="28"/>
          <w:szCs w:val="24"/>
        </w:rPr>
        <w:t xml:space="preserve"> </w:t>
      </w:r>
      <w:r w:rsidR="007C46A0">
        <w:rPr>
          <w:rFonts w:ascii="Times New Roman" w:eastAsia="標楷體" w:hint="eastAsia"/>
          <w:spacing w:val="0"/>
          <w:sz w:val="28"/>
          <w:szCs w:val="24"/>
        </w:rPr>
        <w:t>dropped and stayed</w:t>
      </w:r>
      <w:r w:rsidR="00823081">
        <w:rPr>
          <w:rFonts w:ascii="Times New Roman" w:eastAsia="標楷體" w:hint="eastAsia"/>
          <w:spacing w:val="0"/>
          <w:sz w:val="28"/>
          <w:szCs w:val="24"/>
        </w:rPr>
        <w:t xml:space="preserve"> steadily</w:t>
      </w:r>
      <w:r w:rsidR="007C46A0">
        <w:rPr>
          <w:rFonts w:ascii="Times New Roman" w:eastAsia="標楷體" w:hint="eastAsia"/>
          <w:spacing w:val="0"/>
          <w:sz w:val="28"/>
          <w:szCs w:val="24"/>
        </w:rPr>
        <w:t xml:space="preserve"> low afterwards</w:t>
      </w:r>
      <w:r w:rsidR="00425A70">
        <w:rPr>
          <w:rFonts w:ascii="Times New Roman" w:eastAsia="標楷體" w:hint="eastAsia"/>
          <w:spacing w:val="0"/>
          <w:sz w:val="28"/>
          <w:szCs w:val="24"/>
        </w:rPr>
        <w:t xml:space="preserve"> as supply exceeded demand amid favorable weather conditions in grain producer countries. </w:t>
      </w:r>
    </w:p>
    <w:p w:rsidR="00D64F10" w:rsidRPr="00D64F10" w:rsidRDefault="00D64F10" w:rsidP="00D64F10">
      <w:pPr>
        <w:pStyle w:val="6"/>
        <w:overflowPunct w:val="0"/>
        <w:snapToGrid w:val="0"/>
        <w:spacing w:before="240" w:after="0" w:line="520" w:lineRule="exact"/>
        <w:ind w:left="0" w:firstLineChars="200" w:firstLine="560"/>
        <w:rPr>
          <w:rFonts w:ascii="Times New Roman" w:eastAsia="標楷體"/>
          <w:spacing w:val="0"/>
          <w:sz w:val="28"/>
          <w:szCs w:val="24"/>
        </w:rPr>
      </w:pPr>
      <w:r>
        <w:rPr>
          <w:rFonts w:ascii="Times New Roman" w:eastAsia="標楷體" w:hint="eastAsia"/>
          <w:spacing w:val="0"/>
          <w:sz w:val="28"/>
          <w:szCs w:val="24"/>
        </w:rPr>
        <w:t xml:space="preserve">Reflecting these trends, rebounding food prices have sent the </w:t>
      </w:r>
      <w:r w:rsidRPr="00D64F10">
        <w:rPr>
          <w:rFonts w:ascii="Times New Roman" w:eastAsia="標楷體" w:hint="eastAsia"/>
          <w:spacing w:val="0"/>
          <w:sz w:val="28"/>
          <w:szCs w:val="24"/>
        </w:rPr>
        <w:t xml:space="preserve">domestic </w:t>
      </w:r>
      <w:r>
        <w:rPr>
          <w:rFonts w:ascii="Times New Roman" w:eastAsia="標楷體" w:hint="eastAsia"/>
          <w:spacing w:val="0"/>
          <w:sz w:val="28"/>
          <w:szCs w:val="24"/>
        </w:rPr>
        <w:t xml:space="preserve">consumer price index to rise modestly year on year from June. The annual CPI growth rates averaged 0.72% between January and August, </w:t>
      </w:r>
      <w:r w:rsidR="00BE0BB1">
        <w:rPr>
          <w:rFonts w:ascii="Times New Roman" w:eastAsia="標楷體" w:hint="eastAsia"/>
          <w:spacing w:val="0"/>
          <w:sz w:val="28"/>
          <w:szCs w:val="24"/>
        </w:rPr>
        <w:t xml:space="preserve">mainly because a slump in vegetable prices </w:t>
      </w:r>
      <w:r w:rsidR="002D5D00">
        <w:rPr>
          <w:rFonts w:ascii="Times New Roman" w:eastAsia="標楷體" w:hint="eastAsia"/>
          <w:spacing w:val="0"/>
          <w:sz w:val="28"/>
          <w:szCs w:val="24"/>
        </w:rPr>
        <w:t xml:space="preserve">largely offset the price rises in fuel and </w:t>
      </w:r>
      <w:r w:rsidR="00487C00">
        <w:rPr>
          <w:rFonts w:ascii="Times New Roman" w:eastAsia="標楷體" w:hint="eastAsia"/>
          <w:spacing w:val="0"/>
          <w:sz w:val="28"/>
          <w:szCs w:val="24"/>
        </w:rPr>
        <w:t>food away from home</w:t>
      </w:r>
      <w:r w:rsidR="002D5D00">
        <w:rPr>
          <w:rFonts w:ascii="Times New Roman" w:eastAsia="標楷體" w:hint="eastAsia"/>
          <w:spacing w:val="0"/>
          <w:sz w:val="28"/>
          <w:szCs w:val="24"/>
        </w:rPr>
        <w:t xml:space="preserve">. </w:t>
      </w:r>
      <w:r w:rsidR="006C1A26" w:rsidRPr="006C1A26">
        <w:rPr>
          <w:rFonts w:ascii="Times New Roman" w:eastAsia="標楷體"/>
          <w:spacing w:val="0"/>
          <w:sz w:val="28"/>
          <w:szCs w:val="24"/>
        </w:rPr>
        <w:t>The average core CPI annual growth rate (excluding fruit, vegetables, and energy prices) for the same period was 0.97%.</w:t>
      </w:r>
      <w:r w:rsidR="006C1A26">
        <w:rPr>
          <w:rFonts w:ascii="Times New Roman" w:eastAsia="標楷體" w:hint="eastAsia"/>
          <w:spacing w:val="0"/>
          <w:sz w:val="28"/>
          <w:szCs w:val="24"/>
        </w:rPr>
        <w:t xml:space="preserve"> In sum, current inflation remains mild. </w:t>
      </w:r>
    </w:p>
    <w:p w:rsidR="00133822" w:rsidRPr="00543487" w:rsidRDefault="00041971" w:rsidP="00947C1D">
      <w:pPr>
        <w:pStyle w:val="6"/>
        <w:overflowPunct w:val="0"/>
        <w:snapToGrid w:val="0"/>
        <w:spacing w:before="240" w:after="0" w:line="520" w:lineRule="exact"/>
        <w:ind w:left="0" w:firstLineChars="200" w:firstLine="560"/>
        <w:rPr>
          <w:rFonts w:ascii="Times New Roman" w:eastAsia="標楷體"/>
          <w:spacing w:val="-2"/>
          <w:sz w:val="28"/>
          <w:szCs w:val="28"/>
        </w:rPr>
      </w:pPr>
      <w:r>
        <w:rPr>
          <w:rFonts w:ascii="Times New Roman" w:eastAsia="標楷體" w:hint="eastAsia"/>
          <w:spacing w:val="0"/>
          <w:sz w:val="28"/>
          <w:szCs w:val="24"/>
        </w:rPr>
        <w:t>Soft domestic demand has led t</w:t>
      </w:r>
      <w:r w:rsidR="006C1A26" w:rsidRPr="006C1A26">
        <w:rPr>
          <w:rFonts w:ascii="Times New Roman" w:eastAsia="標楷體" w:hint="eastAsia"/>
          <w:spacing w:val="0"/>
          <w:sz w:val="28"/>
          <w:szCs w:val="24"/>
        </w:rPr>
        <w:t>he output gap, a key factor of infla</w:t>
      </w:r>
      <w:r>
        <w:rPr>
          <w:rFonts w:ascii="Times New Roman" w:eastAsia="標楷體" w:hint="eastAsia"/>
          <w:spacing w:val="0"/>
          <w:sz w:val="28"/>
          <w:szCs w:val="24"/>
        </w:rPr>
        <w:t xml:space="preserve">tionary pressures, </w:t>
      </w:r>
      <w:r w:rsidR="007F5DC6">
        <w:rPr>
          <w:rFonts w:ascii="Times New Roman" w:eastAsia="標楷體" w:hint="eastAsia"/>
          <w:spacing w:val="0"/>
          <w:sz w:val="28"/>
          <w:szCs w:val="24"/>
        </w:rPr>
        <w:t xml:space="preserve">to be negative. Therefore, inflationary pressures were contained. In this view, </w:t>
      </w:r>
      <w:r w:rsidR="00133822">
        <w:rPr>
          <w:rFonts w:ascii="Times New Roman" w:eastAsia="標楷體" w:hint="eastAsia"/>
          <w:spacing w:val="0"/>
          <w:sz w:val="28"/>
          <w:szCs w:val="24"/>
        </w:rPr>
        <w:t>t</w:t>
      </w:r>
      <w:r w:rsidR="00133822" w:rsidRPr="00543487">
        <w:rPr>
          <w:rFonts w:ascii="Times New Roman" w:eastAsia="標楷體" w:hint="eastAsia"/>
          <w:spacing w:val="-2"/>
          <w:sz w:val="28"/>
          <w:szCs w:val="28"/>
        </w:rPr>
        <w:t>he forecasts made by major institutions at home and abroad suggest a mild inflation outlook for Taiwan in 2017. The median</w:t>
      </w:r>
      <w:r w:rsidR="00133822">
        <w:rPr>
          <w:rFonts w:ascii="Times New Roman" w:eastAsia="標楷體" w:hint="eastAsia"/>
          <w:spacing w:val="-2"/>
          <w:sz w:val="28"/>
          <w:szCs w:val="28"/>
        </w:rPr>
        <w:t>s</w:t>
      </w:r>
      <w:r w:rsidR="00133822" w:rsidRPr="00543487">
        <w:rPr>
          <w:rFonts w:ascii="Times New Roman" w:eastAsia="標楷體" w:hint="eastAsia"/>
          <w:spacing w:val="-2"/>
          <w:sz w:val="28"/>
          <w:szCs w:val="28"/>
        </w:rPr>
        <w:t xml:space="preserve"> of domestic institutions</w:t>
      </w:r>
      <w:r w:rsidR="00133822" w:rsidRPr="00543487">
        <w:rPr>
          <w:rFonts w:ascii="Times New Roman" w:eastAsia="標楷體"/>
          <w:spacing w:val="-2"/>
          <w:sz w:val="28"/>
          <w:szCs w:val="28"/>
        </w:rPr>
        <w:t>’</w:t>
      </w:r>
      <w:r w:rsidR="00133822" w:rsidRPr="00543487">
        <w:rPr>
          <w:rFonts w:ascii="Times New Roman" w:eastAsia="標楷體" w:hint="eastAsia"/>
          <w:spacing w:val="-2"/>
          <w:sz w:val="28"/>
          <w:szCs w:val="28"/>
        </w:rPr>
        <w:t xml:space="preserve"> </w:t>
      </w:r>
      <w:r w:rsidR="00133822" w:rsidRPr="00543487">
        <w:rPr>
          <w:rFonts w:ascii="Times New Roman" w:eastAsia="標楷體" w:hint="eastAsia"/>
          <w:spacing w:val="-2"/>
          <w:sz w:val="28"/>
          <w:szCs w:val="28"/>
        </w:rPr>
        <w:lastRenderedPageBreak/>
        <w:t>forecasts</w:t>
      </w:r>
      <w:r w:rsidR="00133822">
        <w:rPr>
          <w:rFonts w:ascii="Times New Roman" w:eastAsia="標楷體" w:hint="eastAsia"/>
          <w:spacing w:val="-2"/>
          <w:sz w:val="28"/>
          <w:szCs w:val="28"/>
        </w:rPr>
        <w:t xml:space="preserve"> for 2017 and 2018</w:t>
      </w:r>
      <w:r w:rsidR="00133822" w:rsidRPr="00543487">
        <w:rPr>
          <w:rFonts w:ascii="Times New Roman" w:eastAsia="標楷體" w:hint="eastAsia"/>
          <w:spacing w:val="-2"/>
          <w:sz w:val="28"/>
          <w:szCs w:val="28"/>
        </w:rPr>
        <w:t xml:space="preserve"> </w:t>
      </w:r>
      <w:r w:rsidR="00133822">
        <w:rPr>
          <w:rFonts w:ascii="Times New Roman" w:eastAsia="標楷體" w:hint="eastAsia"/>
          <w:spacing w:val="-2"/>
          <w:sz w:val="28"/>
          <w:szCs w:val="28"/>
        </w:rPr>
        <w:t>are</w:t>
      </w:r>
      <w:r w:rsidR="00133822" w:rsidRPr="00543487">
        <w:rPr>
          <w:rFonts w:ascii="Times New Roman" w:eastAsia="標楷體" w:hint="eastAsia"/>
          <w:spacing w:val="-2"/>
          <w:sz w:val="28"/>
          <w:szCs w:val="28"/>
        </w:rPr>
        <w:t xml:space="preserve"> 1.</w:t>
      </w:r>
      <w:r w:rsidR="00133822">
        <w:rPr>
          <w:rFonts w:ascii="Times New Roman" w:eastAsia="標楷體" w:hint="eastAsia"/>
          <w:spacing w:val="-2"/>
          <w:sz w:val="28"/>
          <w:szCs w:val="28"/>
        </w:rPr>
        <w:t>0</w:t>
      </w:r>
      <w:r w:rsidR="00133822" w:rsidRPr="00543487">
        <w:rPr>
          <w:rFonts w:ascii="Times New Roman" w:eastAsia="標楷體" w:hint="eastAsia"/>
          <w:spacing w:val="-2"/>
          <w:sz w:val="28"/>
          <w:szCs w:val="28"/>
        </w:rPr>
        <w:t>0%</w:t>
      </w:r>
      <w:r w:rsidR="00133822">
        <w:rPr>
          <w:rFonts w:ascii="Times New Roman" w:eastAsia="標楷體" w:hint="eastAsia"/>
          <w:spacing w:val="-2"/>
          <w:sz w:val="28"/>
          <w:szCs w:val="28"/>
        </w:rPr>
        <w:t xml:space="preserve"> and 1.12%, respectively</w:t>
      </w:r>
      <w:r w:rsidR="00133822" w:rsidRPr="00543487">
        <w:rPr>
          <w:rFonts w:ascii="Times New Roman" w:eastAsia="標楷體" w:hint="eastAsia"/>
          <w:spacing w:val="-2"/>
          <w:sz w:val="28"/>
          <w:szCs w:val="28"/>
        </w:rPr>
        <w:t xml:space="preserve">, </w:t>
      </w:r>
      <w:r w:rsidR="00133822">
        <w:rPr>
          <w:rFonts w:ascii="Times New Roman" w:eastAsia="標楷體" w:hint="eastAsia"/>
          <w:spacing w:val="-2"/>
          <w:sz w:val="28"/>
          <w:szCs w:val="28"/>
        </w:rPr>
        <w:t xml:space="preserve">while those </w:t>
      </w:r>
      <w:r w:rsidR="00133822" w:rsidRPr="00543487">
        <w:rPr>
          <w:rFonts w:ascii="Times New Roman" w:eastAsia="標楷體" w:hint="eastAsia"/>
          <w:spacing w:val="-2"/>
          <w:sz w:val="28"/>
          <w:szCs w:val="28"/>
        </w:rPr>
        <w:t>of international institutions</w:t>
      </w:r>
      <w:r w:rsidR="00133822" w:rsidRPr="00543487">
        <w:rPr>
          <w:rFonts w:ascii="Times New Roman" w:eastAsia="標楷體"/>
          <w:spacing w:val="-2"/>
          <w:sz w:val="28"/>
          <w:szCs w:val="28"/>
        </w:rPr>
        <w:t>’</w:t>
      </w:r>
      <w:r w:rsidR="00133822" w:rsidRPr="00543487">
        <w:rPr>
          <w:rFonts w:ascii="Times New Roman" w:eastAsia="標楷體" w:hint="eastAsia"/>
          <w:spacing w:val="-2"/>
          <w:sz w:val="28"/>
          <w:szCs w:val="28"/>
        </w:rPr>
        <w:t xml:space="preserve"> forecasts </w:t>
      </w:r>
      <w:r w:rsidR="00133822">
        <w:rPr>
          <w:rFonts w:ascii="Times New Roman" w:eastAsia="標楷體" w:hint="eastAsia"/>
          <w:spacing w:val="-2"/>
          <w:sz w:val="28"/>
          <w:szCs w:val="28"/>
        </w:rPr>
        <w:t>are</w:t>
      </w:r>
      <w:r w:rsidR="00133822" w:rsidRPr="00543487">
        <w:rPr>
          <w:rFonts w:ascii="Times New Roman" w:eastAsia="標楷體" w:hint="eastAsia"/>
          <w:spacing w:val="-2"/>
          <w:sz w:val="28"/>
          <w:szCs w:val="28"/>
        </w:rPr>
        <w:t xml:space="preserve"> </w:t>
      </w:r>
      <w:r w:rsidR="00133822">
        <w:rPr>
          <w:rFonts w:ascii="Times New Roman" w:eastAsia="標楷體" w:hint="eastAsia"/>
          <w:spacing w:val="-2"/>
          <w:sz w:val="28"/>
          <w:szCs w:val="28"/>
        </w:rPr>
        <w:t>0</w:t>
      </w:r>
      <w:r w:rsidR="00133822" w:rsidRPr="00543487">
        <w:rPr>
          <w:rFonts w:ascii="Times New Roman" w:eastAsia="標楷體" w:hint="eastAsia"/>
          <w:spacing w:val="-2"/>
          <w:sz w:val="28"/>
          <w:szCs w:val="28"/>
        </w:rPr>
        <w:t>.</w:t>
      </w:r>
      <w:r w:rsidR="00133822">
        <w:rPr>
          <w:rFonts w:ascii="Times New Roman" w:eastAsia="標楷體" w:hint="eastAsia"/>
          <w:spacing w:val="-2"/>
          <w:sz w:val="28"/>
          <w:szCs w:val="28"/>
        </w:rPr>
        <w:t>9</w:t>
      </w:r>
      <w:r w:rsidR="00133822" w:rsidRPr="00543487">
        <w:rPr>
          <w:rFonts w:ascii="Times New Roman" w:eastAsia="標楷體" w:hint="eastAsia"/>
          <w:spacing w:val="-2"/>
          <w:sz w:val="28"/>
          <w:szCs w:val="28"/>
        </w:rPr>
        <w:t>0%</w:t>
      </w:r>
      <w:r w:rsidR="00133822">
        <w:rPr>
          <w:rFonts w:ascii="Times New Roman" w:eastAsia="標楷體" w:hint="eastAsia"/>
          <w:spacing w:val="-2"/>
          <w:sz w:val="28"/>
          <w:szCs w:val="28"/>
        </w:rPr>
        <w:t xml:space="preserve"> for 2017 and 1.30% for 2018</w:t>
      </w:r>
      <w:r w:rsidR="00133822" w:rsidRPr="00543487">
        <w:rPr>
          <w:rFonts w:ascii="Times New Roman" w:eastAsia="標楷體" w:hint="eastAsia"/>
          <w:spacing w:val="-2"/>
          <w:sz w:val="28"/>
          <w:szCs w:val="28"/>
        </w:rPr>
        <w:t xml:space="preserve">. </w:t>
      </w:r>
      <w:r w:rsidR="00947C1D">
        <w:rPr>
          <w:rFonts w:ascii="Times New Roman" w:eastAsia="標楷體" w:hint="eastAsia"/>
          <w:spacing w:val="-2"/>
          <w:sz w:val="28"/>
          <w:szCs w:val="28"/>
        </w:rPr>
        <w:t>According to t</w:t>
      </w:r>
      <w:r w:rsidR="00133822" w:rsidRPr="00543487">
        <w:rPr>
          <w:rFonts w:ascii="Times New Roman" w:eastAsia="標楷體" w:hint="eastAsia"/>
          <w:spacing w:val="-2"/>
          <w:sz w:val="28"/>
          <w:szCs w:val="28"/>
        </w:rPr>
        <w:t>he Bank</w:t>
      </w:r>
      <w:r w:rsidR="00947C1D">
        <w:rPr>
          <w:rFonts w:ascii="Times New Roman" w:eastAsia="標楷體"/>
          <w:spacing w:val="-2"/>
          <w:sz w:val="28"/>
          <w:szCs w:val="28"/>
        </w:rPr>
        <w:t>’</w:t>
      </w:r>
      <w:r w:rsidR="00947C1D">
        <w:rPr>
          <w:rFonts w:ascii="Times New Roman" w:eastAsia="標楷體" w:hint="eastAsia"/>
          <w:spacing w:val="-2"/>
          <w:sz w:val="28"/>
          <w:szCs w:val="28"/>
        </w:rPr>
        <w:t>s own forecasts, the</w:t>
      </w:r>
      <w:r w:rsidR="00133822" w:rsidRPr="00543487">
        <w:rPr>
          <w:rFonts w:ascii="Times New Roman" w:eastAsia="標楷體" w:hint="eastAsia"/>
          <w:spacing w:val="-2"/>
          <w:sz w:val="28"/>
          <w:szCs w:val="28"/>
        </w:rPr>
        <w:t xml:space="preserve"> CPI annual growth rate </w:t>
      </w:r>
      <w:r w:rsidR="00947C1D">
        <w:rPr>
          <w:rFonts w:ascii="Times New Roman" w:eastAsia="標楷體" w:hint="eastAsia"/>
          <w:spacing w:val="-2"/>
          <w:sz w:val="28"/>
          <w:szCs w:val="28"/>
        </w:rPr>
        <w:t>is projected to be</w:t>
      </w:r>
      <w:r w:rsidR="00133822" w:rsidRPr="00543487">
        <w:rPr>
          <w:rFonts w:ascii="Times New Roman" w:eastAsia="標楷體" w:hint="eastAsia"/>
          <w:spacing w:val="-2"/>
          <w:sz w:val="28"/>
          <w:szCs w:val="28"/>
        </w:rPr>
        <w:t xml:space="preserve"> </w:t>
      </w:r>
      <w:r w:rsidR="00947C1D">
        <w:rPr>
          <w:rFonts w:ascii="Times New Roman" w:eastAsia="標楷體" w:hint="eastAsia"/>
          <w:spacing w:val="-2"/>
          <w:sz w:val="28"/>
          <w:szCs w:val="28"/>
        </w:rPr>
        <w:t>0</w:t>
      </w:r>
      <w:r w:rsidR="00133822" w:rsidRPr="00543487">
        <w:rPr>
          <w:rFonts w:ascii="Times New Roman" w:eastAsia="標楷體" w:hint="eastAsia"/>
          <w:spacing w:val="-2"/>
          <w:sz w:val="28"/>
          <w:szCs w:val="28"/>
        </w:rPr>
        <w:t>.</w:t>
      </w:r>
      <w:r w:rsidR="00947C1D">
        <w:rPr>
          <w:rFonts w:ascii="Times New Roman" w:eastAsia="標楷體" w:hint="eastAsia"/>
          <w:spacing w:val="-2"/>
          <w:sz w:val="28"/>
          <w:szCs w:val="28"/>
        </w:rPr>
        <w:t>80</w:t>
      </w:r>
      <w:r w:rsidR="00133822" w:rsidRPr="00543487">
        <w:rPr>
          <w:rFonts w:ascii="Times New Roman" w:eastAsia="標楷體" w:hint="eastAsia"/>
          <w:spacing w:val="-2"/>
          <w:sz w:val="28"/>
          <w:szCs w:val="28"/>
        </w:rPr>
        <w:t xml:space="preserve">% </w:t>
      </w:r>
      <w:r w:rsidR="00947C1D">
        <w:rPr>
          <w:rFonts w:ascii="Times New Roman" w:eastAsia="標楷體" w:hint="eastAsia"/>
          <w:spacing w:val="-2"/>
          <w:sz w:val="28"/>
          <w:szCs w:val="28"/>
        </w:rPr>
        <w:t xml:space="preserve">this year and 1.12% next year, and </w:t>
      </w:r>
      <w:r w:rsidR="00133822" w:rsidRPr="00543487">
        <w:rPr>
          <w:rFonts w:ascii="Times New Roman" w:eastAsia="標楷體" w:hint="eastAsia"/>
          <w:spacing w:val="-2"/>
          <w:sz w:val="28"/>
          <w:szCs w:val="28"/>
        </w:rPr>
        <w:t xml:space="preserve">core CPI </w:t>
      </w:r>
      <w:r w:rsidR="00947C1D">
        <w:rPr>
          <w:rFonts w:ascii="Times New Roman" w:eastAsia="標楷體" w:hint="eastAsia"/>
          <w:spacing w:val="-2"/>
          <w:sz w:val="28"/>
          <w:szCs w:val="28"/>
        </w:rPr>
        <w:t xml:space="preserve">is expected to rise </w:t>
      </w:r>
      <w:r w:rsidR="00133822" w:rsidRPr="00543487">
        <w:rPr>
          <w:rFonts w:ascii="Times New Roman" w:eastAsia="標楷體" w:hint="eastAsia"/>
          <w:spacing w:val="-2"/>
          <w:sz w:val="28"/>
          <w:szCs w:val="28"/>
        </w:rPr>
        <w:t>1.</w:t>
      </w:r>
      <w:r w:rsidR="00947C1D">
        <w:rPr>
          <w:rFonts w:ascii="Times New Roman" w:eastAsia="標楷體" w:hint="eastAsia"/>
          <w:spacing w:val="-2"/>
          <w:sz w:val="28"/>
          <w:szCs w:val="28"/>
        </w:rPr>
        <w:t>04</w:t>
      </w:r>
      <w:r w:rsidR="00133822" w:rsidRPr="00543487">
        <w:rPr>
          <w:rFonts w:ascii="Times New Roman" w:eastAsia="標楷體" w:hint="eastAsia"/>
          <w:spacing w:val="-2"/>
          <w:sz w:val="28"/>
          <w:szCs w:val="28"/>
        </w:rPr>
        <w:t>%</w:t>
      </w:r>
      <w:r w:rsidR="00947C1D">
        <w:rPr>
          <w:rFonts w:ascii="Times New Roman" w:eastAsia="標楷體" w:hint="eastAsia"/>
          <w:spacing w:val="-2"/>
          <w:sz w:val="28"/>
          <w:szCs w:val="28"/>
        </w:rPr>
        <w:t xml:space="preserve"> this year and 1.13% next year</w:t>
      </w:r>
      <w:r w:rsidR="00133822" w:rsidRPr="00543487">
        <w:rPr>
          <w:rFonts w:ascii="Times New Roman" w:eastAsia="標楷體" w:hint="eastAsia"/>
          <w:spacing w:val="-2"/>
          <w:sz w:val="28"/>
          <w:szCs w:val="28"/>
        </w:rPr>
        <w:t xml:space="preserve">. </w:t>
      </w:r>
      <w:r w:rsidR="00947C1D">
        <w:rPr>
          <w:rFonts w:ascii="Times New Roman" w:eastAsia="標楷體" w:hint="eastAsia"/>
          <w:spacing w:val="-2"/>
          <w:sz w:val="28"/>
          <w:szCs w:val="28"/>
        </w:rPr>
        <w:t>T</w:t>
      </w:r>
      <w:r w:rsidR="00133822" w:rsidRPr="00543487">
        <w:rPr>
          <w:rFonts w:ascii="Times New Roman" w:eastAsia="標楷體" w:hint="eastAsia"/>
          <w:spacing w:val="-2"/>
          <w:sz w:val="28"/>
          <w:szCs w:val="28"/>
        </w:rPr>
        <w:t>he inflation outlook remains stable.</w:t>
      </w:r>
    </w:p>
    <w:p w:rsidR="00947C1D" w:rsidRDefault="006C7F4F" w:rsidP="00487C00">
      <w:pPr>
        <w:pStyle w:val="6"/>
        <w:overflowPunct w:val="0"/>
        <w:snapToGrid w:val="0"/>
        <w:spacing w:before="240" w:after="0" w:line="520" w:lineRule="exact"/>
        <w:ind w:left="0" w:firstLineChars="200" w:firstLine="560"/>
        <w:rPr>
          <w:rFonts w:ascii="Times New Roman" w:eastAsia="標楷體"/>
          <w:spacing w:val="0"/>
          <w:sz w:val="32"/>
          <w:szCs w:val="24"/>
        </w:rPr>
      </w:pPr>
      <w:r w:rsidRPr="00487C00">
        <w:rPr>
          <w:rFonts w:ascii="Times New Roman" w:eastAsia="標楷體" w:hint="eastAsia"/>
          <w:spacing w:val="0"/>
          <w:sz w:val="28"/>
          <w:szCs w:val="24"/>
        </w:rPr>
        <w:t xml:space="preserve">As for future determinants of price trends, </w:t>
      </w:r>
      <w:r w:rsidR="00CE5719" w:rsidRPr="00487C00">
        <w:rPr>
          <w:rFonts w:ascii="Times New Roman" w:eastAsia="標楷體" w:hint="eastAsia"/>
          <w:spacing w:val="0"/>
          <w:sz w:val="28"/>
          <w:szCs w:val="24"/>
        </w:rPr>
        <w:t xml:space="preserve">sources of upside pressures include: higher cigarette prices after the recent </w:t>
      </w:r>
      <w:r w:rsidR="004B3531">
        <w:rPr>
          <w:rFonts w:ascii="Times New Roman" w:eastAsia="標楷體" w:hint="eastAsia"/>
          <w:spacing w:val="0"/>
          <w:sz w:val="28"/>
          <w:szCs w:val="24"/>
        </w:rPr>
        <w:t>cigarette</w:t>
      </w:r>
      <w:r w:rsidR="00CE5719" w:rsidRPr="00487C00">
        <w:rPr>
          <w:rFonts w:ascii="Times New Roman" w:eastAsia="標楷體" w:hint="eastAsia"/>
          <w:spacing w:val="0"/>
          <w:sz w:val="28"/>
          <w:szCs w:val="24"/>
        </w:rPr>
        <w:t xml:space="preserve"> tax hike, anticipated mild rises in global oil prices, and</w:t>
      </w:r>
      <w:r w:rsidR="00736D7B" w:rsidRPr="00487C00">
        <w:rPr>
          <w:rFonts w:ascii="Times New Roman" w:eastAsia="標楷體" w:hint="eastAsia"/>
          <w:spacing w:val="0"/>
          <w:sz w:val="28"/>
          <w:szCs w:val="24"/>
        </w:rPr>
        <w:t xml:space="preserve"> the minimum wage increase </w:t>
      </w:r>
      <w:r w:rsidR="00B8290B" w:rsidRPr="00487C00">
        <w:rPr>
          <w:rFonts w:ascii="Times New Roman" w:eastAsia="標楷體" w:hint="eastAsia"/>
          <w:spacing w:val="0"/>
          <w:sz w:val="28"/>
          <w:szCs w:val="24"/>
        </w:rPr>
        <w:t xml:space="preserve">as well as a 3% wage hike for public sector employees from January 2018. Downside pressures might come from a still negative output gap as aggregate demand </w:t>
      </w:r>
      <w:r w:rsidR="001D7AE6">
        <w:rPr>
          <w:rFonts w:ascii="Times New Roman" w:eastAsia="標楷體" w:hint="eastAsia"/>
          <w:spacing w:val="0"/>
          <w:sz w:val="28"/>
          <w:szCs w:val="24"/>
        </w:rPr>
        <w:t xml:space="preserve">could be slightly weaker than needed </w:t>
      </w:r>
      <w:r w:rsidR="00B8290B" w:rsidRPr="00487C00">
        <w:rPr>
          <w:rFonts w:ascii="Times New Roman" w:eastAsia="標楷體" w:hint="eastAsia"/>
          <w:spacing w:val="0"/>
          <w:sz w:val="28"/>
          <w:szCs w:val="24"/>
        </w:rPr>
        <w:t>amid a lukewarm economic recovery, and further reductions in telecommunication rates.</w:t>
      </w:r>
      <w:r w:rsidR="00B8290B">
        <w:rPr>
          <w:rFonts w:ascii="Times New Roman" w:eastAsia="標楷體" w:hint="eastAsia"/>
          <w:spacing w:val="0"/>
          <w:sz w:val="32"/>
          <w:szCs w:val="24"/>
        </w:rPr>
        <w:t xml:space="preserve">  </w:t>
      </w:r>
    </w:p>
    <w:p w:rsidR="00D46F1E" w:rsidRPr="00543487" w:rsidRDefault="00D46F1E" w:rsidP="00D46F1E">
      <w:pPr>
        <w:numPr>
          <w:ilvl w:val="0"/>
          <w:numId w:val="4"/>
        </w:numPr>
        <w:overflowPunct w:val="0"/>
        <w:autoSpaceDE w:val="0"/>
        <w:autoSpaceDN w:val="0"/>
        <w:snapToGrid w:val="0"/>
        <w:spacing w:before="240" w:line="520" w:lineRule="exact"/>
        <w:ind w:left="426" w:hanging="426"/>
        <w:rPr>
          <w:rFonts w:eastAsia="標楷體"/>
          <w:b/>
          <w:spacing w:val="-2"/>
          <w:sz w:val="28"/>
          <w:szCs w:val="28"/>
        </w:rPr>
      </w:pPr>
      <w:r w:rsidRPr="00543487">
        <w:rPr>
          <w:rFonts w:eastAsia="標楷體" w:hint="eastAsia"/>
          <w:b/>
          <w:spacing w:val="-2"/>
          <w:sz w:val="28"/>
          <w:szCs w:val="28"/>
        </w:rPr>
        <w:t>Considerations for Monetary Policy</w:t>
      </w:r>
    </w:p>
    <w:p w:rsidR="00D46F1E" w:rsidRPr="00543487" w:rsidRDefault="00D46F1E" w:rsidP="00D46F1E">
      <w:pPr>
        <w:adjustRightInd/>
        <w:spacing w:before="240" w:line="520" w:lineRule="exact"/>
        <w:ind w:left="469" w:hangingChars="170" w:hanging="469"/>
        <w:textAlignment w:val="auto"/>
        <w:rPr>
          <w:rFonts w:eastAsia="標楷體"/>
          <w:spacing w:val="-2"/>
          <w:kern w:val="2"/>
          <w:sz w:val="28"/>
          <w:szCs w:val="28"/>
        </w:rPr>
      </w:pPr>
      <w:r w:rsidRPr="00543487">
        <w:rPr>
          <w:rFonts w:eastAsia="標楷體" w:hint="eastAsia"/>
          <w:spacing w:val="-2"/>
          <w:kern w:val="2"/>
          <w:sz w:val="28"/>
          <w:szCs w:val="28"/>
        </w:rPr>
        <w:t>(1)</w:t>
      </w:r>
      <w:r>
        <w:rPr>
          <w:rFonts w:eastAsia="標楷體" w:hint="eastAsia"/>
          <w:spacing w:val="-2"/>
          <w:kern w:val="2"/>
          <w:sz w:val="28"/>
          <w:szCs w:val="28"/>
        </w:rPr>
        <w:t xml:space="preserve"> Global recovery is steadily on track</w:t>
      </w:r>
      <w:r w:rsidRPr="00543487">
        <w:rPr>
          <w:rFonts w:eastAsia="標楷體" w:hint="eastAsia"/>
          <w:spacing w:val="-2"/>
          <w:kern w:val="2"/>
          <w:sz w:val="28"/>
          <w:szCs w:val="28"/>
        </w:rPr>
        <w:t xml:space="preserve">, but uncertainties remain. </w:t>
      </w:r>
    </w:p>
    <w:p w:rsidR="00743F7B" w:rsidRPr="00743F7B" w:rsidRDefault="00743F7B" w:rsidP="00743F7B">
      <w:pPr>
        <w:pStyle w:val="6"/>
        <w:overflowPunct w:val="0"/>
        <w:snapToGrid w:val="0"/>
        <w:spacing w:before="240" w:after="0" w:line="520" w:lineRule="exact"/>
        <w:ind w:left="0" w:firstLineChars="200" w:firstLine="560"/>
        <w:rPr>
          <w:rFonts w:ascii="Times New Roman" w:eastAsia="標楷體"/>
          <w:spacing w:val="0"/>
          <w:sz w:val="28"/>
          <w:szCs w:val="24"/>
        </w:rPr>
      </w:pPr>
      <w:r w:rsidRPr="00743F7B">
        <w:rPr>
          <w:rFonts w:ascii="Times New Roman" w:eastAsia="標楷體" w:hint="eastAsia"/>
          <w:spacing w:val="0"/>
          <w:sz w:val="28"/>
          <w:szCs w:val="24"/>
        </w:rPr>
        <w:t xml:space="preserve">Since entering the second half of the year, both advanced and emerging market economies </w:t>
      </w:r>
      <w:r w:rsidR="00863D5F">
        <w:rPr>
          <w:rFonts w:ascii="Times New Roman" w:eastAsia="標楷體" w:hint="eastAsia"/>
          <w:spacing w:val="0"/>
          <w:sz w:val="28"/>
          <w:szCs w:val="24"/>
        </w:rPr>
        <w:t>have experienced a steady recovery and are projected to perform better next year than this year. However, the U.S. Fed will soon begin with</w:t>
      </w:r>
      <w:r w:rsidR="00863D5F" w:rsidRPr="00863D5F">
        <w:rPr>
          <w:rFonts w:ascii="Times New Roman" w:eastAsia="標楷體"/>
          <w:spacing w:val="0"/>
          <w:sz w:val="28"/>
          <w:szCs w:val="24"/>
        </w:rPr>
        <w:t xml:space="preserve"> balance sheet normalization</w:t>
      </w:r>
      <w:r w:rsidR="00863D5F">
        <w:rPr>
          <w:rFonts w:ascii="Times New Roman" w:eastAsia="標楷體" w:hint="eastAsia"/>
          <w:spacing w:val="0"/>
          <w:sz w:val="28"/>
          <w:szCs w:val="24"/>
        </w:rPr>
        <w:t xml:space="preserve"> while the European Central Bank is about to review its asset purchase program. In addition, the U.S. </w:t>
      </w:r>
      <w:r w:rsidR="00863D5F">
        <w:rPr>
          <w:rFonts w:ascii="Times New Roman" w:eastAsia="標楷體"/>
          <w:spacing w:val="0"/>
          <w:sz w:val="28"/>
          <w:szCs w:val="24"/>
        </w:rPr>
        <w:t>economic</w:t>
      </w:r>
      <w:r w:rsidR="00863D5F">
        <w:rPr>
          <w:rFonts w:ascii="Times New Roman" w:eastAsia="標楷體" w:hint="eastAsia"/>
          <w:spacing w:val="0"/>
          <w:sz w:val="28"/>
          <w:szCs w:val="24"/>
        </w:rPr>
        <w:t xml:space="preserve"> and trade policies, trade protectionism, and geopolitical conflicts are also among the factors clouding the global </w:t>
      </w:r>
      <w:r w:rsidR="00863D5F">
        <w:rPr>
          <w:rFonts w:ascii="Times New Roman" w:eastAsia="標楷體"/>
          <w:spacing w:val="0"/>
          <w:sz w:val="28"/>
          <w:szCs w:val="24"/>
        </w:rPr>
        <w:t>economic</w:t>
      </w:r>
      <w:r w:rsidR="00863D5F">
        <w:rPr>
          <w:rFonts w:ascii="Times New Roman" w:eastAsia="標楷體" w:hint="eastAsia"/>
          <w:spacing w:val="0"/>
          <w:sz w:val="28"/>
          <w:szCs w:val="24"/>
        </w:rPr>
        <w:t xml:space="preserve"> and financial prospects. </w:t>
      </w:r>
    </w:p>
    <w:p w:rsidR="00863D5F" w:rsidRDefault="00590406" w:rsidP="00863D5F">
      <w:pPr>
        <w:adjustRightInd/>
        <w:spacing w:before="240" w:line="520" w:lineRule="exact"/>
        <w:ind w:left="469" w:hangingChars="170" w:hanging="469"/>
        <w:textAlignment w:val="auto"/>
        <w:rPr>
          <w:rFonts w:eastAsia="標楷體"/>
          <w:spacing w:val="-2"/>
          <w:kern w:val="2"/>
          <w:sz w:val="28"/>
          <w:szCs w:val="28"/>
        </w:rPr>
      </w:pPr>
      <w:r w:rsidRPr="00543487">
        <w:rPr>
          <w:rFonts w:eastAsia="標楷體" w:hint="eastAsia"/>
          <w:spacing w:val="-2"/>
          <w:kern w:val="2"/>
          <w:sz w:val="28"/>
          <w:szCs w:val="28"/>
        </w:rPr>
        <w:t xml:space="preserve"> </w:t>
      </w:r>
      <w:r w:rsidR="00863D5F" w:rsidRPr="00543487">
        <w:rPr>
          <w:rFonts w:eastAsia="標楷體" w:hint="eastAsia"/>
          <w:spacing w:val="-2"/>
          <w:kern w:val="2"/>
          <w:sz w:val="28"/>
          <w:szCs w:val="28"/>
        </w:rPr>
        <w:t>(</w:t>
      </w:r>
      <w:r w:rsidR="00863D5F">
        <w:rPr>
          <w:rFonts w:eastAsia="標楷體" w:hint="eastAsia"/>
          <w:spacing w:val="-2"/>
          <w:kern w:val="2"/>
          <w:sz w:val="28"/>
          <w:szCs w:val="28"/>
        </w:rPr>
        <w:t>2</w:t>
      </w:r>
      <w:r w:rsidR="00863D5F" w:rsidRPr="00543487">
        <w:rPr>
          <w:rFonts w:eastAsia="標楷體" w:hint="eastAsia"/>
          <w:spacing w:val="-2"/>
          <w:kern w:val="2"/>
          <w:sz w:val="28"/>
          <w:szCs w:val="28"/>
        </w:rPr>
        <w:t>)</w:t>
      </w:r>
      <w:r w:rsidR="00863D5F">
        <w:rPr>
          <w:rFonts w:eastAsia="標楷體" w:hint="eastAsia"/>
          <w:spacing w:val="-2"/>
          <w:kern w:val="2"/>
          <w:sz w:val="28"/>
          <w:szCs w:val="28"/>
        </w:rPr>
        <w:t xml:space="preserve"> From the second half of 2017 to 2018, </w:t>
      </w:r>
      <w:r w:rsidR="00863D5F" w:rsidRPr="00543487">
        <w:rPr>
          <w:rFonts w:eastAsia="標楷體" w:hint="eastAsia"/>
          <w:spacing w:val="-2"/>
          <w:kern w:val="2"/>
          <w:sz w:val="28"/>
          <w:szCs w:val="28"/>
        </w:rPr>
        <w:t>Taiwan</w:t>
      </w:r>
      <w:r w:rsidR="00863D5F" w:rsidRPr="00543487">
        <w:rPr>
          <w:rFonts w:eastAsia="標楷體"/>
          <w:spacing w:val="-2"/>
          <w:kern w:val="2"/>
          <w:sz w:val="28"/>
          <w:szCs w:val="28"/>
        </w:rPr>
        <w:t>’</w:t>
      </w:r>
      <w:r w:rsidR="00863D5F" w:rsidRPr="00543487">
        <w:rPr>
          <w:rFonts w:eastAsia="標楷體" w:hint="eastAsia"/>
          <w:spacing w:val="-2"/>
          <w:kern w:val="2"/>
          <w:sz w:val="28"/>
          <w:szCs w:val="28"/>
        </w:rPr>
        <w:t xml:space="preserve">s </w:t>
      </w:r>
      <w:r w:rsidR="00863D5F">
        <w:rPr>
          <w:rFonts w:eastAsia="標楷體" w:hint="eastAsia"/>
          <w:spacing w:val="-2"/>
          <w:kern w:val="2"/>
          <w:sz w:val="28"/>
          <w:szCs w:val="28"/>
        </w:rPr>
        <w:t xml:space="preserve">economic </w:t>
      </w:r>
      <w:r w:rsidR="00863D5F" w:rsidRPr="00543487">
        <w:rPr>
          <w:rFonts w:eastAsia="標楷體" w:hint="eastAsia"/>
          <w:spacing w:val="-2"/>
          <w:kern w:val="2"/>
          <w:sz w:val="28"/>
          <w:szCs w:val="28"/>
        </w:rPr>
        <w:t>growth</w:t>
      </w:r>
      <w:r w:rsidR="00863D5F">
        <w:rPr>
          <w:rFonts w:eastAsia="標楷體" w:hint="eastAsia"/>
          <w:spacing w:val="-2"/>
          <w:kern w:val="2"/>
          <w:sz w:val="28"/>
          <w:szCs w:val="28"/>
        </w:rPr>
        <w:t xml:space="preserve"> is likely to advance with mild momentum </w:t>
      </w:r>
      <w:r w:rsidR="00EB25D6">
        <w:rPr>
          <w:rFonts w:eastAsia="標楷體" w:hint="eastAsia"/>
          <w:spacing w:val="-2"/>
          <w:kern w:val="2"/>
          <w:sz w:val="28"/>
          <w:szCs w:val="28"/>
        </w:rPr>
        <w:t>and to remain lower than potential</w:t>
      </w:r>
      <w:r w:rsidR="008E1411">
        <w:rPr>
          <w:rFonts w:eastAsia="標楷體" w:hint="eastAsia"/>
          <w:spacing w:val="-2"/>
          <w:kern w:val="2"/>
          <w:sz w:val="28"/>
          <w:szCs w:val="28"/>
        </w:rPr>
        <w:t>.</w:t>
      </w:r>
    </w:p>
    <w:p w:rsidR="00EB25D6" w:rsidRPr="008E1411" w:rsidRDefault="008E1411" w:rsidP="005B6B7B">
      <w:pPr>
        <w:pStyle w:val="6"/>
        <w:overflowPunct w:val="0"/>
        <w:snapToGrid w:val="0"/>
        <w:spacing w:before="240" w:after="0" w:line="520" w:lineRule="exact"/>
        <w:ind w:left="0" w:firstLineChars="200" w:firstLine="560"/>
        <w:rPr>
          <w:rFonts w:ascii="Times New Roman" w:eastAsia="標楷體"/>
          <w:spacing w:val="0"/>
          <w:sz w:val="28"/>
          <w:szCs w:val="24"/>
        </w:rPr>
      </w:pPr>
      <w:r w:rsidRPr="008E1411">
        <w:rPr>
          <w:rFonts w:ascii="Times New Roman" w:eastAsia="標楷體" w:hint="eastAsia"/>
          <w:spacing w:val="0"/>
          <w:sz w:val="28"/>
          <w:szCs w:val="24"/>
        </w:rPr>
        <w:t xml:space="preserve">Lingering </w:t>
      </w:r>
      <w:r w:rsidRPr="008E1411">
        <w:rPr>
          <w:rFonts w:ascii="Times New Roman" w:eastAsia="標楷體"/>
          <w:spacing w:val="0"/>
          <w:sz w:val="28"/>
          <w:szCs w:val="24"/>
        </w:rPr>
        <w:t>uncertainties</w:t>
      </w:r>
      <w:r w:rsidRPr="008E1411">
        <w:rPr>
          <w:rFonts w:ascii="Times New Roman" w:eastAsia="標楷體" w:hint="eastAsia"/>
          <w:spacing w:val="0"/>
          <w:sz w:val="28"/>
          <w:szCs w:val="24"/>
        </w:rPr>
        <w:t xml:space="preserve"> over the global economy could dampen external </w:t>
      </w:r>
      <w:r w:rsidRPr="008E1411">
        <w:rPr>
          <w:rFonts w:ascii="Times New Roman" w:eastAsia="標楷體" w:hint="eastAsia"/>
          <w:spacing w:val="0"/>
          <w:sz w:val="28"/>
          <w:szCs w:val="24"/>
        </w:rPr>
        <w:lastRenderedPageBreak/>
        <w:t xml:space="preserve">demand. </w:t>
      </w:r>
      <w:r w:rsidR="00BE5F1A">
        <w:rPr>
          <w:rFonts w:ascii="Times New Roman" w:eastAsia="標楷體" w:hint="eastAsia"/>
          <w:spacing w:val="0"/>
          <w:sz w:val="28"/>
          <w:szCs w:val="24"/>
        </w:rPr>
        <w:t>Meanwhile</w:t>
      </w:r>
      <w:r w:rsidRPr="008E1411">
        <w:rPr>
          <w:rFonts w:ascii="Times New Roman" w:eastAsia="標楷體" w:hint="eastAsia"/>
          <w:spacing w:val="0"/>
          <w:sz w:val="28"/>
          <w:szCs w:val="24"/>
        </w:rPr>
        <w:t xml:space="preserve">, </w:t>
      </w:r>
      <w:r w:rsidR="00BE5F1A">
        <w:rPr>
          <w:rFonts w:ascii="Times New Roman" w:eastAsia="標楷體" w:hint="eastAsia"/>
          <w:spacing w:val="0"/>
          <w:sz w:val="28"/>
          <w:szCs w:val="24"/>
        </w:rPr>
        <w:t xml:space="preserve">domestic demand was </w:t>
      </w:r>
      <w:r w:rsidR="005B6B7B">
        <w:rPr>
          <w:rFonts w:ascii="Times New Roman" w:eastAsia="標楷體" w:hint="eastAsia"/>
          <w:spacing w:val="0"/>
          <w:sz w:val="28"/>
          <w:szCs w:val="24"/>
        </w:rPr>
        <w:t>tepid</w:t>
      </w:r>
      <w:r w:rsidR="00BE5F1A">
        <w:rPr>
          <w:rFonts w:ascii="Times New Roman" w:eastAsia="標楷體" w:hint="eastAsia"/>
          <w:spacing w:val="0"/>
          <w:sz w:val="28"/>
          <w:szCs w:val="24"/>
        </w:rPr>
        <w:t xml:space="preserve"> as </w:t>
      </w:r>
      <w:r w:rsidRPr="008E1411">
        <w:rPr>
          <w:rFonts w:ascii="Times New Roman" w:eastAsia="標楷體" w:hint="eastAsia"/>
          <w:spacing w:val="0"/>
          <w:sz w:val="28"/>
          <w:szCs w:val="24"/>
        </w:rPr>
        <w:t xml:space="preserve">retail sales continued to contract in recent months, </w:t>
      </w:r>
      <w:r w:rsidR="00BE5F1A">
        <w:rPr>
          <w:rFonts w:ascii="Times New Roman" w:eastAsia="標楷體" w:hint="eastAsia"/>
          <w:spacing w:val="0"/>
          <w:sz w:val="28"/>
          <w:szCs w:val="24"/>
        </w:rPr>
        <w:t xml:space="preserve">and private investment was somewhat reserved </w:t>
      </w:r>
      <w:r w:rsidR="000F598A">
        <w:rPr>
          <w:rFonts w:ascii="Times New Roman" w:eastAsia="標楷體" w:hint="eastAsia"/>
          <w:spacing w:val="0"/>
          <w:sz w:val="28"/>
          <w:szCs w:val="24"/>
        </w:rPr>
        <w:t>as reflected in</w:t>
      </w:r>
      <w:r w:rsidR="00BE5F1A">
        <w:rPr>
          <w:rFonts w:ascii="Times New Roman" w:eastAsia="標楷體" w:hint="eastAsia"/>
          <w:spacing w:val="0"/>
          <w:sz w:val="28"/>
          <w:szCs w:val="24"/>
        </w:rPr>
        <w:t xml:space="preserve"> declin</w:t>
      </w:r>
      <w:r w:rsidR="000F598A">
        <w:rPr>
          <w:rFonts w:ascii="Times New Roman" w:eastAsia="標楷體" w:hint="eastAsia"/>
          <w:spacing w:val="0"/>
          <w:sz w:val="28"/>
          <w:szCs w:val="24"/>
        </w:rPr>
        <w:t>ing</w:t>
      </w:r>
      <w:r w:rsidR="00BE5F1A">
        <w:rPr>
          <w:rFonts w:ascii="Times New Roman" w:eastAsia="標楷體" w:hint="eastAsia"/>
          <w:spacing w:val="0"/>
          <w:sz w:val="28"/>
          <w:szCs w:val="24"/>
        </w:rPr>
        <w:t xml:space="preserve"> </w:t>
      </w:r>
      <w:r w:rsidRPr="008E1411">
        <w:rPr>
          <w:rFonts w:ascii="Times New Roman" w:eastAsia="標楷體" w:hint="eastAsia"/>
          <w:spacing w:val="0"/>
          <w:sz w:val="28"/>
          <w:szCs w:val="24"/>
        </w:rPr>
        <w:t>capital equipment imports</w:t>
      </w:r>
      <w:r w:rsidR="00BE5F1A">
        <w:rPr>
          <w:rFonts w:ascii="Times New Roman" w:eastAsia="標楷體" w:hint="eastAsia"/>
          <w:spacing w:val="0"/>
          <w:sz w:val="28"/>
          <w:szCs w:val="24"/>
        </w:rPr>
        <w:t xml:space="preserve">. </w:t>
      </w:r>
      <w:r w:rsidRPr="008E1411">
        <w:rPr>
          <w:rFonts w:ascii="Times New Roman" w:eastAsia="標楷體" w:hint="eastAsia"/>
          <w:spacing w:val="0"/>
          <w:sz w:val="28"/>
          <w:szCs w:val="24"/>
        </w:rPr>
        <w:t>The economy is expected to advance with</w:t>
      </w:r>
      <w:r w:rsidR="005B6B7B">
        <w:rPr>
          <w:rFonts w:ascii="Times New Roman" w:eastAsia="標楷體" w:hint="eastAsia"/>
          <w:spacing w:val="0"/>
          <w:sz w:val="28"/>
          <w:szCs w:val="24"/>
        </w:rPr>
        <w:t xml:space="preserve"> moderate</w:t>
      </w:r>
      <w:r w:rsidRPr="008E1411">
        <w:rPr>
          <w:rFonts w:ascii="Times New Roman" w:eastAsia="標楷體" w:hint="eastAsia"/>
          <w:spacing w:val="0"/>
          <w:sz w:val="28"/>
          <w:szCs w:val="24"/>
        </w:rPr>
        <w:t xml:space="preserve"> momentum in the second half of 2017 and in 2018. </w:t>
      </w:r>
    </w:p>
    <w:p w:rsidR="008E1411" w:rsidRDefault="00590406" w:rsidP="008E1411">
      <w:pPr>
        <w:overflowPunct w:val="0"/>
        <w:autoSpaceDE w:val="0"/>
        <w:autoSpaceDN w:val="0"/>
        <w:snapToGrid w:val="0"/>
        <w:spacing w:before="240" w:line="520" w:lineRule="exact"/>
        <w:jc w:val="both"/>
        <w:rPr>
          <w:rFonts w:eastAsia="標楷體"/>
          <w:spacing w:val="-2"/>
          <w:kern w:val="2"/>
          <w:sz w:val="32"/>
          <w:szCs w:val="28"/>
        </w:rPr>
      </w:pPr>
      <w:r>
        <w:rPr>
          <w:rFonts w:eastAsia="標楷體" w:hint="eastAsia"/>
          <w:spacing w:val="-2"/>
          <w:kern w:val="2"/>
          <w:sz w:val="28"/>
          <w:szCs w:val="28"/>
        </w:rPr>
        <w:t xml:space="preserve"> </w:t>
      </w:r>
      <w:r w:rsidR="008E1411">
        <w:rPr>
          <w:rFonts w:eastAsia="標楷體" w:hint="eastAsia"/>
          <w:spacing w:val="-2"/>
          <w:kern w:val="2"/>
          <w:sz w:val="28"/>
          <w:szCs w:val="28"/>
        </w:rPr>
        <w:t>(3)</w:t>
      </w:r>
      <w:r w:rsidR="008E1411" w:rsidRPr="00543487">
        <w:rPr>
          <w:rFonts w:eastAsia="標楷體" w:hint="eastAsia"/>
          <w:spacing w:val="-2"/>
          <w:kern w:val="2"/>
          <w:sz w:val="28"/>
          <w:szCs w:val="28"/>
        </w:rPr>
        <w:t xml:space="preserve"> </w:t>
      </w:r>
      <w:r w:rsidR="008E1411">
        <w:rPr>
          <w:rFonts w:eastAsia="標楷體" w:hint="eastAsia"/>
          <w:spacing w:val="-2"/>
          <w:kern w:val="2"/>
          <w:sz w:val="28"/>
          <w:szCs w:val="28"/>
        </w:rPr>
        <w:t>C</w:t>
      </w:r>
      <w:r w:rsidR="008E1411" w:rsidRPr="00543487">
        <w:rPr>
          <w:rFonts w:eastAsia="標楷體" w:hint="eastAsia"/>
          <w:spacing w:val="-2"/>
          <w:kern w:val="2"/>
          <w:sz w:val="28"/>
          <w:szCs w:val="28"/>
        </w:rPr>
        <w:t>urrent inflationary pressures and expected inflation are both mild.</w:t>
      </w:r>
    </w:p>
    <w:p w:rsidR="008E1411" w:rsidRPr="008E1411" w:rsidRDefault="008E1411" w:rsidP="001C5A3A">
      <w:pPr>
        <w:overflowPunct w:val="0"/>
        <w:autoSpaceDE w:val="0"/>
        <w:autoSpaceDN w:val="0"/>
        <w:snapToGrid w:val="0"/>
        <w:spacing w:before="240" w:line="520" w:lineRule="exact"/>
        <w:ind w:firstLineChars="200" w:firstLine="560"/>
        <w:jc w:val="both"/>
        <w:rPr>
          <w:rFonts w:eastAsia="標楷體"/>
          <w:sz w:val="28"/>
          <w:szCs w:val="24"/>
        </w:rPr>
      </w:pPr>
      <w:r w:rsidRPr="008E1411">
        <w:rPr>
          <w:rFonts w:eastAsia="標楷體" w:hint="eastAsia"/>
          <w:sz w:val="28"/>
          <w:szCs w:val="24"/>
        </w:rPr>
        <w:t xml:space="preserve">During the period of January to August, domestic inflation has been mild. </w:t>
      </w:r>
      <w:r w:rsidR="001C5A3A">
        <w:rPr>
          <w:rFonts w:eastAsia="標楷體" w:hint="eastAsia"/>
          <w:sz w:val="28"/>
          <w:szCs w:val="24"/>
        </w:rPr>
        <w:t xml:space="preserve">As moderate oil price rises next year might lead to </w:t>
      </w:r>
      <w:r w:rsidR="00E212EF">
        <w:rPr>
          <w:rFonts w:eastAsia="標楷體" w:hint="eastAsia"/>
          <w:sz w:val="28"/>
          <w:szCs w:val="24"/>
        </w:rPr>
        <w:t>subdued</w:t>
      </w:r>
      <w:r w:rsidR="001C5A3A">
        <w:rPr>
          <w:rFonts w:eastAsia="標楷體" w:hint="eastAsia"/>
          <w:sz w:val="28"/>
          <w:szCs w:val="24"/>
        </w:rPr>
        <w:t xml:space="preserve"> global inflation expectations and soft domestic demand could also cause the output gap to remain negative, the inflation outlook is stable.  </w:t>
      </w:r>
    </w:p>
    <w:p w:rsidR="001C5A3A" w:rsidRDefault="00590406" w:rsidP="001C5A3A">
      <w:pPr>
        <w:overflowPunct w:val="0"/>
        <w:autoSpaceDE w:val="0"/>
        <w:autoSpaceDN w:val="0"/>
        <w:snapToGrid w:val="0"/>
        <w:spacing w:before="240" w:line="520" w:lineRule="exact"/>
        <w:ind w:left="578" w:hanging="578"/>
        <w:jc w:val="both"/>
        <w:rPr>
          <w:rFonts w:eastAsia="標楷體"/>
          <w:spacing w:val="-2"/>
          <w:kern w:val="2"/>
          <w:sz w:val="28"/>
          <w:szCs w:val="28"/>
        </w:rPr>
      </w:pPr>
      <w:r w:rsidRPr="00543487">
        <w:rPr>
          <w:rFonts w:eastAsia="標楷體" w:hint="eastAsia"/>
          <w:spacing w:val="-2"/>
          <w:kern w:val="2"/>
          <w:sz w:val="28"/>
          <w:szCs w:val="28"/>
        </w:rPr>
        <w:t xml:space="preserve"> </w:t>
      </w:r>
      <w:r w:rsidR="001C5A3A" w:rsidRPr="00543487">
        <w:rPr>
          <w:rFonts w:eastAsia="標楷體" w:hint="eastAsia"/>
          <w:spacing w:val="-2"/>
          <w:kern w:val="2"/>
          <w:sz w:val="28"/>
          <w:szCs w:val="28"/>
        </w:rPr>
        <w:t>(</w:t>
      </w:r>
      <w:r w:rsidR="001C5A3A">
        <w:rPr>
          <w:rFonts w:eastAsia="標楷體" w:hint="eastAsia"/>
          <w:spacing w:val="-2"/>
          <w:kern w:val="2"/>
          <w:sz w:val="28"/>
          <w:szCs w:val="28"/>
        </w:rPr>
        <w:t>4</w:t>
      </w:r>
      <w:r w:rsidR="001C5A3A" w:rsidRPr="00543487">
        <w:rPr>
          <w:rFonts w:eastAsia="標楷體" w:hint="eastAsia"/>
          <w:spacing w:val="-2"/>
          <w:kern w:val="2"/>
          <w:sz w:val="28"/>
          <w:szCs w:val="28"/>
        </w:rPr>
        <w:t>) Taiwan</w:t>
      </w:r>
      <w:r w:rsidR="001C5A3A" w:rsidRPr="00543487">
        <w:rPr>
          <w:rFonts w:eastAsia="標楷體"/>
          <w:spacing w:val="-2"/>
          <w:kern w:val="2"/>
          <w:sz w:val="28"/>
          <w:szCs w:val="28"/>
        </w:rPr>
        <w:t>’</w:t>
      </w:r>
      <w:r w:rsidR="001C5A3A" w:rsidRPr="00543487">
        <w:rPr>
          <w:rFonts w:eastAsia="標楷體" w:hint="eastAsia"/>
          <w:spacing w:val="-2"/>
          <w:kern w:val="2"/>
          <w:sz w:val="28"/>
          <w:szCs w:val="28"/>
        </w:rPr>
        <w:t xml:space="preserve">s real interest rate </w:t>
      </w:r>
      <w:r w:rsidR="001C5A3A">
        <w:rPr>
          <w:rFonts w:eastAsia="標楷體" w:hint="eastAsia"/>
          <w:spacing w:val="-2"/>
          <w:kern w:val="2"/>
          <w:sz w:val="28"/>
          <w:szCs w:val="28"/>
        </w:rPr>
        <w:t xml:space="preserve">has reached above zero while many major economies still register negative real interest rates. </w:t>
      </w:r>
    </w:p>
    <w:p w:rsidR="001C5A3A" w:rsidRPr="00543487" w:rsidRDefault="001C5A3A" w:rsidP="002B6DE2">
      <w:pPr>
        <w:overflowPunct w:val="0"/>
        <w:autoSpaceDE w:val="0"/>
        <w:autoSpaceDN w:val="0"/>
        <w:snapToGrid w:val="0"/>
        <w:spacing w:before="240" w:line="520" w:lineRule="exact"/>
        <w:ind w:firstLineChars="200" w:firstLine="560"/>
        <w:jc w:val="both"/>
        <w:rPr>
          <w:rFonts w:eastAsia="標楷體"/>
          <w:spacing w:val="-2"/>
          <w:kern w:val="2"/>
          <w:sz w:val="28"/>
          <w:szCs w:val="28"/>
        </w:rPr>
      </w:pPr>
      <w:r w:rsidRPr="001C5A3A">
        <w:rPr>
          <w:rFonts w:eastAsia="標楷體" w:hint="eastAsia"/>
          <w:sz w:val="28"/>
          <w:szCs w:val="24"/>
        </w:rPr>
        <w:t>As a result of mild domestic inflation, Taiwan</w:t>
      </w:r>
      <w:r w:rsidRPr="001C5A3A">
        <w:rPr>
          <w:rFonts w:eastAsia="標楷體"/>
          <w:sz w:val="28"/>
          <w:szCs w:val="24"/>
        </w:rPr>
        <w:t>’</w:t>
      </w:r>
      <w:r w:rsidRPr="001C5A3A">
        <w:rPr>
          <w:rFonts w:eastAsia="標楷體" w:hint="eastAsia"/>
          <w:sz w:val="28"/>
          <w:szCs w:val="24"/>
        </w:rPr>
        <w:t xml:space="preserve">s real interest rate has returned to positive territory whereas those of many major economies remain negative. </w:t>
      </w:r>
      <w:r w:rsidR="002B6DE2">
        <w:rPr>
          <w:rFonts w:eastAsia="標楷體" w:hint="eastAsia"/>
          <w:sz w:val="28"/>
          <w:szCs w:val="24"/>
        </w:rPr>
        <w:t xml:space="preserve">Compared with Taiwan, some of these economies exhibit higher economic growth rates but lower, and negative, real interest rates. </w:t>
      </w:r>
    </w:p>
    <w:p w:rsidR="00D46F1E" w:rsidRPr="00543487" w:rsidRDefault="00D46F1E" w:rsidP="00D46F1E">
      <w:pPr>
        <w:adjustRightInd/>
        <w:snapToGrid w:val="0"/>
        <w:spacing w:before="240" w:line="520" w:lineRule="exact"/>
        <w:jc w:val="both"/>
        <w:textDirection w:val="lrTbV"/>
        <w:rPr>
          <w:rFonts w:eastAsia="標楷體"/>
          <w:b/>
          <w:sz w:val="28"/>
          <w:szCs w:val="28"/>
        </w:rPr>
      </w:pPr>
      <w:r w:rsidRPr="00543487">
        <w:rPr>
          <w:rFonts w:eastAsia="標楷體" w:hint="eastAsia"/>
          <w:b/>
          <w:sz w:val="28"/>
          <w:szCs w:val="28"/>
        </w:rPr>
        <w:t xml:space="preserve">II. Proposition and Decision about Monetary Policy </w:t>
      </w:r>
    </w:p>
    <w:p w:rsidR="00D46F1E" w:rsidRPr="00543487" w:rsidRDefault="00D46F1E" w:rsidP="00D46F1E">
      <w:pPr>
        <w:adjustRightInd/>
        <w:snapToGrid w:val="0"/>
        <w:spacing w:before="240" w:line="520" w:lineRule="exact"/>
        <w:ind w:left="1"/>
        <w:jc w:val="both"/>
        <w:textDirection w:val="lrTbV"/>
        <w:rPr>
          <w:rFonts w:eastAsia="標楷體"/>
          <w:b/>
          <w:sz w:val="28"/>
          <w:szCs w:val="28"/>
        </w:rPr>
      </w:pPr>
      <w:r w:rsidRPr="00543487">
        <w:rPr>
          <w:rFonts w:eastAsia="標楷體" w:hint="eastAsia"/>
          <w:b/>
          <w:sz w:val="28"/>
          <w:szCs w:val="28"/>
        </w:rPr>
        <w:t>1. Policy Proposition: To keep t</w:t>
      </w:r>
      <w:r w:rsidRPr="00543487">
        <w:rPr>
          <w:rFonts w:eastAsia="標楷體"/>
          <w:b/>
          <w:sz w:val="28"/>
          <w:szCs w:val="28"/>
        </w:rPr>
        <w:t>he discount rate, the rate on accommodations with collateral, and the rate on accommodations without collateral unchanged at 1.375%, 1.75%, and 3.625%, respectively.</w:t>
      </w:r>
    </w:p>
    <w:p w:rsidR="001C5A3A" w:rsidRDefault="00D46F1E" w:rsidP="00D46F1E">
      <w:pPr>
        <w:adjustRightInd/>
        <w:snapToGrid w:val="0"/>
        <w:spacing w:before="240" w:line="520" w:lineRule="exact"/>
        <w:jc w:val="both"/>
        <w:textDirection w:val="lrTbV"/>
        <w:rPr>
          <w:rFonts w:eastAsia="標楷體"/>
          <w:sz w:val="28"/>
          <w:szCs w:val="28"/>
        </w:rPr>
      </w:pPr>
      <w:r w:rsidRPr="00543487">
        <w:rPr>
          <w:rFonts w:eastAsia="標楷體" w:hint="eastAsia"/>
          <w:sz w:val="28"/>
          <w:szCs w:val="28"/>
        </w:rPr>
        <w:t>2. All Board members approved of keeping policy rates unchanged.</w:t>
      </w:r>
      <w:r w:rsidRPr="00543487">
        <w:rPr>
          <w:rFonts w:eastAsia="標楷體" w:hint="eastAsia"/>
          <w:sz w:val="28"/>
          <w:szCs w:val="28"/>
        </w:rPr>
        <w:tab/>
      </w:r>
    </w:p>
    <w:p w:rsidR="00D46F1E" w:rsidRPr="00543487" w:rsidRDefault="00D46F1E" w:rsidP="001C5A3A">
      <w:pPr>
        <w:adjustRightInd/>
        <w:snapToGrid w:val="0"/>
        <w:spacing w:before="240" w:line="520" w:lineRule="exact"/>
        <w:ind w:firstLineChars="100" w:firstLine="280"/>
        <w:jc w:val="both"/>
        <w:textDirection w:val="lrTbV"/>
        <w:rPr>
          <w:rFonts w:eastAsia="標楷體"/>
          <w:sz w:val="28"/>
          <w:szCs w:val="28"/>
        </w:rPr>
      </w:pPr>
      <w:r w:rsidRPr="00543487">
        <w:rPr>
          <w:rFonts w:eastAsia="標楷體" w:hint="eastAsia"/>
          <w:sz w:val="28"/>
          <w:szCs w:val="28"/>
        </w:rPr>
        <w:t>The discussions are summarized as follows.</w:t>
      </w:r>
    </w:p>
    <w:p w:rsidR="000E3DCC" w:rsidRDefault="004776A0" w:rsidP="000E3DCC">
      <w:pPr>
        <w:pStyle w:val="6"/>
        <w:overflowPunct w:val="0"/>
        <w:snapToGrid w:val="0"/>
        <w:spacing w:before="240" w:after="0" w:line="520" w:lineRule="exact"/>
        <w:ind w:left="0" w:firstLineChars="200" w:firstLine="552"/>
        <w:textDirection w:val="lrTbV"/>
        <w:rPr>
          <w:rFonts w:ascii="Times New Roman" w:eastAsia="標楷體"/>
          <w:spacing w:val="-2"/>
          <w:sz w:val="28"/>
          <w:szCs w:val="28"/>
        </w:rPr>
      </w:pPr>
      <w:r>
        <w:rPr>
          <w:rFonts w:ascii="Times New Roman" w:eastAsia="標楷體" w:hint="eastAsia"/>
          <w:spacing w:val="-2"/>
          <w:sz w:val="28"/>
          <w:szCs w:val="28"/>
        </w:rPr>
        <w:t>In respect of</w:t>
      </w:r>
      <w:r w:rsidR="00D46F1E" w:rsidRPr="00543487">
        <w:rPr>
          <w:rFonts w:ascii="Times New Roman" w:eastAsia="標楷體" w:hint="eastAsia"/>
          <w:spacing w:val="-2"/>
          <w:sz w:val="28"/>
          <w:szCs w:val="28"/>
        </w:rPr>
        <w:t xml:space="preserve"> the </w:t>
      </w:r>
      <w:r w:rsidR="00D46F1E" w:rsidRPr="00543487">
        <w:rPr>
          <w:rFonts w:ascii="Times New Roman" w:eastAsia="標楷體"/>
          <w:spacing w:val="-2"/>
          <w:sz w:val="28"/>
          <w:szCs w:val="28"/>
        </w:rPr>
        <w:t>international</w:t>
      </w:r>
      <w:r w:rsidR="00D46F1E" w:rsidRPr="00543487">
        <w:rPr>
          <w:rFonts w:ascii="Times New Roman" w:eastAsia="標楷體" w:hint="eastAsia"/>
          <w:spacing w:val="-2"/>
          <w:sz w:val="28"/>
          <w:szCs w:val="28"/>
        </w:rPr>
        <w:t xml:space="preserve"> </w:t>
      </w:r>
      <w:r w:rsidR="00D46F1E" w:rsidRPr="00543487">
        <w:rPr>
          <w:rFonts w:ascii="Times New Roman" w:eastAsia="標楷體"/>
          <w:spacing w:val="-2"/>
          <w:sz w:val="28"/>
          <w:szCs w:val="28"/>
        </w:rPr>
        <w:t xml:space="preserve">economic situation, </w:t>
      </w:r>
      <w:r w:rsidR="00B634AF">
        <w:rPr>
          <w:rFonts w:ascii="Times New Roman" w:eastAsia="標楷體" w:hint="eastAsia"/>
          <w:spacing w:val="-2"/>
          <w:sz w:val="28"/>
          <w:szCs w:val="28"/>
        </w:rPr>
        <w:t xml:space="preserve">several Board Directors </w:t>
      </w:r>
      <w:r w:rsidR="00B634AF">
        <w:rPr>
          <w:rFonts w:ascii="Times New Roman" w:eastAsia="標楷體" w:hint="eastAsia"/>
          <w:spacing w:val="-2"/>
          <w:sz w:val="28"/>
          <w:szCs w:val="28"/>
        </w:rPr>
        <w:lastRenderedPageBreak/>
        <w:t xml:space="preserve">and Supervisors expressed concern over how global </w:t>
      </w:r>
      <w:r w:rsidR="00B634AF">
        <w:rPr>
          <w:rFonts w:ascii="Times New Roman" w:eastAsia="標楷體"/>
          <w:spacing w:val="-2"/>
          <w:sz w:val="28"/>
          <w:szCs w:val="28"/>
        </w:rPr>
        <w:t>outlook</w:t>
      </w:r>
      <w:r w:rsidR="00B634AF">
        <w:rPr>
          <w:rFonts w:ascii="Times New Roman" w:eastAsia="標楷體" w:hint="eastAsia"/>
          <w:spacing w:val="-2"/>
          <w:sz w:val="28"/>
          <w:szCs w:val="28"/>
        </w:rPr>
        <w:t xml:space="preserve"> risk factors might affect Taiwan</w:t>
      </w:r>
      <w:r w:rsidR="00B634AF">
        <w:rPr>
          <w:rFonts w:ascii="Times New Roman" w:eastAsia="標楷體"/>
          <w:spacing w:val="-2"/>
          <w:sz w:val="28"/>
          <w:szCs w:val="28"/>
        </w:rPr>
        <w:t>’</w:t>
      </w:r>
      <w:r w:rsidR="00B634AF">
        <w:rPr>
          <w:rFonts w:ascii="Times New Roman" w:eastAsia="標楷體" w:hint="eastAsia"/>
          <w:spacing w:val="-2"/>
          <w:sz w:val="28"/>
          <w:szCs w:val="28"/>
        </w:rPr>
        <w:t xml:space="preserve">s </w:t>
      </w:r>
      <w:r w:rsidR="00C60125">
        <w:rPr>
          <w:rFonts w:ascii="Times New Roman" w:eastAsia="標楷體" w:hint="eastAsia"/>
          <w:spacing w:val="-2"/>
          <w:sz w:val="28"/>
          <w:szCs w:val="28"/>
        </w:rPr>
        <w:t xml:space="preserve">economic growth. </w:t>
      </w:r>
      <w:r w:rsidR="00B634AF">
        <w:rPr>
          <w:rFonts w:ascii="Times New Roman" w:eastAsia="標楷體" w:hint="eastAsia"/>
          <w:spacing w:val="-2"/>
          <w:sz w:val="28"/>
          <w:szCs w:val="28"/>
        </w:rPr>
        <w:t xml:space="preserve">One Board Director pointed out </w:t>
      </w:r>
      <w:r w:rsidR="00C60125">
        <w:rPr>
          <w:rFonts w:ascii="Times New Roman" w:eastAsia="標楷體" w:hint="eastAsia"/>
          <w:spacing w:val="-2"/>
          <w:sz w:val="28"/>
          <w:szCs w:val="28"/>
        </w:rPr>
        <w:t xml:space="preserve">multiple uncertainties </w:t>
      </w:r>
      <w:r w:rsidR="00FB291A">
        <w:rPr>
          <w:rFonts w:ascii="Times New Roman" w:eastAsia="標楷體" w:hint="eastAsia"/>
          <w:spacing w:val="-2"/>
          <w:sz w:val="28"/>
          <w:szCs w:val="28"/>
        </w:rPr>
        <w:t xml:space="preserve">looming over the domestic economy, including </w:t>
      </w:r>
      <w:r w:rsidR="000E3DCC">
        <w:rPr>
          <w:rFonts w:ascii="Times New Roman" w:eastAsia="標楷體" w:hint="eastAsia"/>
          <w:spacing w:val="-2"/>
          <w:sz w:val="28"/>
          <w:szCs w:val="28"/>
        </w:rPr>
        <w:t>trade protectionism, Sino-U.S. trade tensions, NAFTA renegotiations, Brexit talks, diverse timeframe</w:t>
      </w:r>
      <w:r w:rsidR="00C60125">
        <w:rPr>
          <w:rFonts w:ascii="Times New Roman" w:eastAsia="標楷體" w:hint="eastAsia"/>
          <w:spacing w:val="-2"/>
          <w:sz w:val="28"/>
          <w:szCs w:val="28"/>
        </w:rPr>
        <w:t xml:space="preserve"> </w:t>
      </w:r>
      <w:r w:rsidR="000E3DCC">
        <w:rPr>
          <w:rFonts w:ascii="Times New Roman" w:eastAsia="標楷體" w:hint="eastAsia"/>
          <w:spacing w:val="-2"/>
          <w:sz w:val="28"/>
          <w:szCs w:val="28"/>
        </w:rPr>
        <w:t xml:space="preserve">and pace to exit quantitative easing policies by major central banks, and frequent cross-border capital movements. One Board Supervisor mentioned that trade protectionism, especially </w:t>
      </w:r>
      <w:r w:rsidR="000E3DCC" w:rsidRPr="000E3DCC">
        <w:rPr>
          <w:rFonts w:ascii="Times New Roman" w:eastAsia="標楷體"/>
          <w:spacing w:val="-2"/>
          <w:sz w:val="28"/>
          <w:szCs w:val="28"/>
        </w:rPr>
        <w:t>trade friction between the U.S. and</w:t>
      </w:r>
      <w:r w:rsidR="000E3DCC">
        <w:rPr>
          <w:rFonts w:ascii="Times New Roman" w:eastAsia="標楷體" w:hint="eastAsia"/>
          <w:spacing w:val="-2"/>
          <w:sz w:val="28"/>
          <w:szCs w:val="28"/>
        </w:rPr>
        <w:t xml:space="preserve"> China, could exert a powerful influence on Taiwan</w:t>
      </w:r>
      <w:r w:rsidR="000E3DCC">
        <w:rPr>
          <w:rFonts w:ascii="Times New Roman" w:eastAsia="標楷體"/>
          <w:spacing w:val="-2"/>
          <w:sz w:val="28"/>
          <w:szCs w:val="28"/>
        </w:rPr>
        <w:t>’</w:t>
      </w:r>
      <w:r w:rsidR="000E3DCC">
        <w:rPr>
          <w:rFonts w:ascii="Times New Roman" w:eastAsia="標楷體" w:hint="eastAsia"/>
          <w:spacing w:val="-2"/>
          <w:sz w:val="28"/>
          <w:szCs w:val="28"/>
        </w:rPr>
        <w:t>s economy. Another Board Director further explained that</w:t>
      </w:r>
      <w:r w:rsidR="00A530CC" w:rsidRPr="00A530CC">
        <w:rPr>
          <w:rFonts w:ascii="Times New Roman" w:eastAsia="標楷體" w:hint="eastAsia"/>
          <w:spacing w:val="-2"/>
          <w:sz w:val="28"/>
          <w:szCs w:val="28"/>
        </w:rPr>
        <w:t xml:space="preserve"> </w:t>
      </w:r>
      <w:r w:rsidR="00A530CC">
        <w:rPr>
          <w:rFonts w:ascii="Times New Roman" w:eastAsia="標楷體" w:hint="eastAsia"/>
          <w:spacing w:val="-2"/>
          <w:sz w:val="28"/>
          <w:szCs w:val="28"/>
        </w:rPr>
        <w:t>considering a high proportion of Taiwanese investment in many of China</w:t>
      </w:r>
      <w:r w:rsidR="00A530CC">
        <w:rPr>
          <w:rFonts w:ascii="Times New Roman" w:eastAsia="標楷體"/>
          <w:spacing w:val="-2"/>
          <w:sz w:val="28"/>
          <w:szCs w:val="28"/>
        </w:rPr>
        <w:t>’</w:t>
      </w:r>
      <w:r w:rsidR="00A530CC">
        <w:rPr>
          <w:rFonts w:ascii="Times New Roman" w:eastAsia="標楷體" w:hint="eastAsia"/>
          <w:spacing w:val="-2"/>
          <w:sz w:val="28"/>
          <w:szCs w:val="28"/>
        </w:rPr>
        <w:t xml:space="preserve">s IT giants among the primary exporters to the U.S., </w:t>
      </w:r>
      <w:r w:rsidR="004604A3">
        <w:rPr>
          <w:rFonts w:ascii="Times New Roman" w:eastAsia="標楷體" w:hint="eastAsia"/>
          <w:spacing w:val="-2"/>
          <w:sz w:val="28"/>
          <w:szCs w:val="28"/>
        </w:rPr>
        <w:t xml:space="preserve">heightened trade protectionism could trigger trade conflicts between the U.S. and China, </w:t>
      </w:r>
      <w:r w:rsidR="008C328D">
        <w:rPr>
          <w:rFonts w:ascii="Times New Roman" w:eastAsia="標楷體" w:hint="eastAsia"/>
          <w:spacing w:val="-2"/>
          <w:sz w:val="28"/>
          <w:szCs w:val="28"/>
        </w:rPr>
        <w:t>with possible indirect negative impact on</w:t>
      </w:r>
      <w:r w:rsidR="004604A3">
        <w:rPr>
          <w:rFonts w:ascii="Times New Roman" w:eastAsia="標楷體" w:hint="eastAsia"/>
          <w:spacing w:val="-2"/>
          <w:sz w:val="28"/>
          <w:szCs w:val="28"/>
        </w:rPr>
        <w:t xml:space="preserve"> Taiwan</w:t>
      </w:r>
      <w:r w:rsidR="004604A3">
        <w:rPr>
          <w:rFonts w:ascii="Times New Roman" w:eastAsia="標楷體"/>
          <w:spacing w:val="-2"/>
          <w:sz w:val="28"/>
          <w:szCs w:val="28"/>
        </w:rPr>
        <w:t>’</w:t>
      </w:r>
      <w:r w:rsidR="004604A3">
        <w:rPr>
          <w:rFonts w:ascii="Times New Roman" w:eastAsia="標楷體" w:hint="eastAsia"/>
          <w:spacing w:val="-2"/>
          <w:sz w:val="28"/>
          <w:szCs w:val="28"/>
        </w:rPr>
        <w:t xml:space="preserve">s </w:t>
      </w:r>
      <w:r w:rsidR="004604A3">
        <w:rPr>
          <w:rFonts w:ascii="Times New Roman" w:eastAsia="標楷體"/>
          <w:spacing w:val="-2"/>
          <w:sz w:val="28"/>
          <w:szCs w:val="28"/>
        </w:rPr>
        <w:t>economy</w:t>
      </w:r>
      <w:r w:rsidR="004604A3">
        <w:rPr>
          <w:rFonts w:ascii="Times New Roman" w:eastAsia="標楷體" w:hint="eastAsia"/>
          <w:spacing w:val="-2"/>
          <w:sz w:val="28"/>
          <w:szCs w:val="28"/>
        </w:rPr>
        <w:t xml:space="preserve">. </w:t>
      </w:r>
    </w:p>
    <w:p w:rsidR="002C0E0B" w:rsidRDefault="004776A0" w:rsidP="00BF31DF">
      <w:pPr>
        <w:adjustRightInd/>
        <w:snapToGrid w:val="0"/>
        <w:spacing w:before="240" w:line="520" w:lineRule="exact"/>
        <w:ind w:firstLineChars="200" w:firstLine="560"/>
        <w:jc w:val="both"/>
        <w:textDirection w:val="lrTbV"/>
        <w:rPr>
          <w:rFonts w:eastAsia="標楷體"/>
          <w:sz w:val="32"/>
        </w:rPr>
      </w:pPr>
      <w:r w:rsidRPr="00543487">
        <w:rPr>
          <w:rFonts w:eastAsia="標楷體" w:hint="eastAsia"/>
          <w:sz w:val="28"/>
          <w:szCs w:val="28"/>
        </w:rPr>
        <w:t>With regard to domestic economic conditions,</w:t>
      </w:r>
      <w:r>
        <w:rPr>
          <w:rFonts w:eastAsia="標楷體" w:hint="eastAsia"/>
          <w:sz w:val="28"/>
          <w:szCs w:val="28"/>
        </w:rPr>
        <w:t xml:space="preserve"> </w:t>
      </w:r>
      <w:r w:rsidR="00C600E1">
        <w:rPr>
          <w:rFonts w:eastAsia="標楷體" w:hint="eastAsia"/>
          <w:sz w:val="28"/>
          <w:szCs w:val="28"/>
        </w:rPr>
        <w:t>several Board Directors and Supervisors</w:t>
      </w:r>
      <w:r w:rsidR="00FA6DC5">
        <w:rPr>
          <w:rFonts w:eastAsia="標楷體" w:hint="eastAsia"/>
          <w:sz w:val="28"/>
          <w:szCs w:val="28"/>
        </w:rPr>
        <w:t xml:space="preserve"> shared</w:t>
      </w:r>
      <w:r w:rsidR="00C600E1">
        <w:rPr>
          <w:rFonts w:eastAsia="標楷體" w:hint="eastAsia"/>
          <w:sz w:val="28"/>
          <w:szCs w:val="28"/>
        </w:rPr>
        <w:t xml:space="preserve"> the view that external demand expansion contributed to a mild domestic recovery, but </w:t>
      </w:r>
      <w:r w:rsidR="001D7AE6">
        <w:rPr>
          <w:rFonts w:eastAsia="標楷體" w:hint="eastAsia"/>
          <w:sz w:val="28"/>
          <w:szCs w:val="28"/>
        </w:rPr>
        <w:t xml:space="preserve">domestic </w:t>
      </w:r>
      <w:r w:rsidR="00C600E1">
        <w:rPr>
          <w:rFonts w:eastAsia="標楷體" w:hint="eastAsia"/>
          <w:sz w:val="28"/>
          <w:szCs w:val="28"/>
        </w:rPr>
        <w:t xml:space="preserve">demand remained subdued; they also </w:t>
      </w:r>
      <w:r w:rsidR="00FA6DC5">
        <w:rPr>
          <w:rFonts w:eastAsia="標楷體" w:hint="eastAsia"/>
          <w:sz w:val="28"/>
          <w:szCs w:val="28"/>
        </w:rPr>
        <w:t xml:space="preserve">expressed concerns over persistently sluggish </w:t>
      </w:r>
      <w:r w:rsidR="002C0E0B">
        <w:rPr>
          <w:rFonts w:eastAsia="標楷體" w:hint="eastAsia"/>
          <w:sz w:val="28"/>
          <w:szCs w:val="28"/>
        </w:rPr>
        <w:t xml:space="preserve">momentum for </w:t>
      </w:r>
      <w:r w:rsidR="00FA6DC5">
        <w:rPr>
          <w:rFonts w:eastAsia="標楷體" w:hint="eastAsia"/>
          <w:sz w:val="28"/>
          <w:szCs w:val="28"/>
        </w:rPr>
        <w:t>investment</w:t>
      </w:r>
      <w:r w:rsidR="002C0E0B">
        <w:rPr>
          <w:rFonts w:eastAsia="標楷體" w:hint="eastAsia"/>
          <w:sz w:val="28"/>
          <w:szCs w:val="28"/>
        </w:rPr>
        <w:t xml:space="preserve"> growth. One Board Director pointed out that major foreign and local institutions forecast in September that Taiwan</w:t>
      </w:r>
      <w:r w:rsidR="002C0E0B">
        <w:rPr>
          <w:rFonts w:eastAsia="標楷體"/>
          <w:sz w:val="28"/>
          <w:szCs w:val="28"/>
        </w:rPr>
        <w:t>’</w:t>
      </w:r>
      <w:r w:rsidR="002C0E0B">
        <w:rPr>
          <w:rFonts w:eastAsia="標楷體" w:hint="eastAsia"/>
          <w:sz w:val="28"/>
          <w:szCs w:val="28"/>
        </w:rPr>
        <w:t xml:space="preserve">s GDP growth rate next year would </w:t>
      </w:r>
      <w:r w:rsidR="00EA33DE">
        <w:rPr>
          <w:rFonts w:eastAsia="標楷體" w:hint="eastAsia"/>
          <w:sz w:val="28"/>
          <w:szCs w:val="28"/>
        </w:rPr>
        <w:t>register</w:t>
      </w:r>
      <w:r w:rsidR="002C0E0B">
        <w:rPr>
          <w:rFonts w:eastAsia="標楷體" w:hint="eastAsia"/>
          <w:sz w:val="28"/>
          <w:szCs w:val="28"/>
        </w:rPr>
        <w:t xml:space="preserve"> between 2.0% and 2.5%, indicating a mild pace of </w:t>
      </w:r>
      <w:r w:rsidR="002C0E0B">
        <w:rPr>
          <w:rFonts w:eastAsia="標楷體"/>
          <w:sz w:val="28"/>
          <w:szCs w:val="28"/>
        </w:rPr>
        <w:t>expansion</w:t>
      </w:r>
      <w:r w:rsidR="002C0E0B">
        <w:rPr>
          <w:rFonts w:eastAsia="標楷體" w:hint="eastAsia"/>
          <w:sz w:val="28"/>
          <w:szCs w:val="28"/>
        </w:rPr>
        <w:t xml:space="preserve">; therefore, it is important to continue monitoring the trend of growth while exploring ways to stimulate private consumption and investment. Another Board Director </w:t>
      </w:r>
      <w:r w:rsidR="00335922">
        <w:rPr>
          <w:rFonts w:eastAsia="標楷體" w:hint="eastAsia"/>
          <w:sz w:val="28"/>
          <w:szCs w:val="28"/>
        </w:rPr>
        <w:t xml:space="preserve">mentioned that </w:t>
      </w:r>
      <w:r w:rsidR="00BF31DF">
        <w:rPr>
          <w:rFonts w:eastAsia="標楷體" w:hint="eastAsia"/>
          <w:sz w:val="28"/>
          <w:szCs w:val="28"/>
        </w:rPr>
        <w:t>a</w:t>
      </w:r>
      <w:r w:rsidR="009C0ECC">
        <w:rPr>
          <w:rFonts w:eastAsia="標楷體" w:hint="eastAsia"/>
          <w:sz w:val="28"/>
          <w:szCs w:val="28"/>
        </w:rPr>
        <w:t xml:space="preserve">lthough </w:t>
      </w:r>
      <w:r w:rsidR="00BF31DF">
        <w:rPr>
          <w:rFonts w:eastAsia="標楷體" w:hint="eastAsia"/>
          <w:sz w:val="28"/>
          <w:szCs w:val="28"/>
        </w:rPr>
        <w:t xml:space="preserve">continued increases in export orders and export growth in recent months have given a thrust to the </w:t>
      </w:r>
      <w:r w:rsidR="00BF31DF">
        <w:rPr>
          <w:rFonts w:eastAsia="標楷體"/>
          <w:sz w:val="28"/>
          <w:szCs w:val="28"/>
        </w:rPr>
        <w:t>economy</w:t>
      </w:r>
      <w:r w:rsidR="00BF31DF">
        <w:rPr>
          <w:rFonts w:eastAsia="標楷體" w:hint="eastAsia"/>
          <w:sz w:val="28"/>
          <w:szCs w:val="28"/>
        </w:rPr>
        <w:t xml:space="preserve">, investment indicators </w:t>
      </w:r>
      <w:r w:rsidR="00981F4A">
        <w:rPr>
          <w:rFonts w:eastAsia="標楷體" w:hint="eastAsia"/>
          <w:sz w:val="28"/>
          <w:szCs w:val="28"/>
        </w:rPr>
        <w:t>associated with</w:t>
      </w:r>
      <w:r w:rsidR="00BF31DF">
        <w:rPr>
          <w:rFonts w:eastAsia="標楷體" w:hint="eastAsia"/>
          <w:sz w:val="28"/>
          <w:szCs w:val="28"/>
        </w:rPr>
        <w:t xml:space="preserve"> sustained growth in the longer term showed that Taiwan</w:t>
      </w:r>
      <w:r w:rsidR="00BF31DF">
        <w:rPr>
          <w:rFonts w:eastAsia="標楷體"/>
          <w:sz w:val="28"/>
          <w:szCs w:val="28"/>
        </w:rPr>
        <w:t>’</w:t>
      </w:r>
      <w:r w:rsidR="00BF31DF">
        <w:rPr>
          <w:rFonts w:eastAsia="標楷體" w:hint="eastAsia"/>
          <w:sz w:val="28"/>
          <w:szCs w:val="28"/>
        </w:rPr>
        <w:t xml:space="preserve">s investment growth has stayed </w:t>
      </w:r>
      <w:r w:rsidR="005B6B7B">
        <w:rPr>
          <w:rFonts w:eastAsia="標楷體" w:hint="eastAsia"/>
          <w:sz w:val="28"/>
          <w:szCs w:val="28"/>
        </w:rPr>
        <w:t xml:space="preserve">at </w:t>
      </w:r>
      <w:r w:rsidR="00BF31DF">
        <w:rPr>
          <w:rFonts w:eastAsia="標楷體" w:hint="eastAsia"/>
          <w:sz w:val="28"/>
          <w:szCs w:val="28"/>
        </w:rPr>
        <w:t>a low level for some time. This could afflict longer-term economic growth because f</w:t>
      </w:r>
      <w:r w:rsidR="009C0ECC">
        <w:rPr>
          <w:rFonts w:eastAsia="標楷體" w:hint="eastAsia"/>
          <w:sz w:val="28"/>
          <w:szCs w:val="28"/>
        </w:rPr>
        <w:t xml:space="preserve">altering investment </w:t>
      </w:r>
      <w:r w:rsidR="00981F4A">
        <w:rPr>
          <w:rFonts w:eastAsia="標楷體" w:hint="eastAsia"/>
          <w:sz w:val="28"/>
          <w:szCs w:val="28"/>
        </w:rPr>
        <w:t>c</w:t>
      </w:r>
      <w:r w:rsidR="00BF31DF">
        <w:rPr>
          <w:rFonts w:eastAsia="標楷體" w:hint="eastAsia"/>
          <w:sz w:val="28"/>
          <w:szCs w:val="28"/>
        </w:rPr>
        <w:t xml:space="preserve">ould </w:t>
      </w:r>
      <w:r w:rsidR="00981F4A">
        <w:rPr>
          <w:rFonts w:eastAsia="標楷體" w:hint="eastAsia"/>
          <w:sz w:val="28"/>
          <w:szCs w:val="28"/>
        </w:rPr>
        <w:t>hinder</w:t>
      </w:r>
      <w:r w:rsidR="00BF31DF">
        <w:rPr>
          <w:rFonts w:eastAsia="標楷體" w:hint="eastAsia"/>
          <w:sz w:val="28"/>
          <w:szCs w:val="28"/>
        </w:rPr>
        <w:t xml:space="preserve"> </w:t>
      </w:r>
      <w:r w:rsidR="00BF31DF">
        <w:rPr>
          <w:rFonts w:eastAsia="標楷體"/>
          <w:sz w:val="28"/>
          <w:szCs w:val="28"/>
        </w:rPr>
        <w:t>acceleration</w:t>
      </w:r>
      <w:r w:rsidR="00BF31DF">
        <w:rPr>
          <w:rFonts w:eastAsia="標楷體" w:hint="eastAsia"/>
          <w:sz w:val="28"/>
          <w:szCs w:val="28"/>
        </w:rPr>
        <w:t xml:space="preserve"> in </w:t>
      </w:r>
      <w:r w:rsidR="00681E5A">
        <w:rPr>
          <w:rFonts w:eastAsia="標楷體" w:hint="eastAsia"/>
          <w:sz w:val="28"/>
          <w:szCs w:val="28"/>
        </w:rPr>
        <w:t xml:space="preserve">labor </w:t>
      </w:r>
      <w:r w:rsidR="00BF31DF">
        <w:rPr>
          <w:rFonts w:eastAsia="標楷體" w:hint="eastAsia"/>
          <w:sz w:val="28"/>
          <w:szCs w:val="28"/>
        </w:rPr>
        <w:lastRenderedPageBreak/>
        <w:t xml:space="preserve">productivity growth. </w:t>
      </w:r>
    </w:p>
    <w:p w:rsidR="00BF5BC3" w:rsidRPr="00DB7B39" w:rsidRDefault="00DB7B39" w:rsidP="00DB7B39">
      <w:pPr>
        <w:adjustRightInd/>
        <w:snapToGrid w:val="0"/>
        <w:spacing w:before="240" w:line="520" w:lineRule="exact"/>
        <w:ind w:firstLineChars="200" w:firstLine="560"/>
        <w:jc w:val="both"/>
        <w:textDirection w:val="lrTbV"/>
        <w:rPr>
          <w:rFonts w:eastAsia="標楷體"/>
          <w:sz w:val="28"/>
          <w:szCs w:val="32"/>
        </w:rPr>
      </w:pPr>
      <w:r w:rsidRPr="00DB7B39">
        <w:rPr>
          <w:rFonts w:eastAsia="標楷體" w:hint="eastAsia"/>
          <w:sz w:val="28"/>
          <w:szCs w:val="32"/>
        </w:rPr>
        <w:t>One Board Director</w:t>
      </w:r>
      <w:r>
        <w:rPr>
          <w:rFonts w:eastAsia="標楷體" w:hint="eastAsia"/>
          <w:sz w:val="28"/>
          <w:szCs w:val="32"/>
        </w:rPr>
        <w:t xml:space="preserve"> noted that investment growth would remain stalled if five </w:t>
      </w:r>
      <w:r w:rsidR="00302422">
        <w:rPr>
          <w:rFonts w:eastAsia="標楷體" w:hint="eastAsia"/>
          <w:sz w:val="28"/>
          <w:szCs w:val="32"/>
        </w:rPr>
        <w:t xml:space="preserve">investment challenges posed by shortages </w:t>
      </w:r>
      <w:r>
        <w:rPr>
          <w:rFonts w:eastAsia="標楷體" w:hint="eastAsia"/>
          <w:sz w:val="28"/>
          <w:szCs w:val="32"/>
        </w:rPr>
        <w:t xml:space="preserve">of </w:t>
      </w:r>
      <w:r w:rsidRPr="00DB7B39">
        <w:rPr>
          <w:rFonts w:eastAsia="標楷體"/>
          <w:sz w:val="28"/>
          <w:szCs w:val="32"/>
        </w:rPr>
        <w:t xml:space="preserve">water, </w:t>
      </w:r>
      <w:r>
        <w:rPr>
          <w:rFonts w:eastAsia="標楷體" w:hint="eastAsia"/>
          <w:sz w:val="28"/>
          <w:szCs w:val="32"/>
        </w:rPr>
        <w:t>electricity</w:t>
      </w:r>
      <w:r w:rsidRPr="00DB7B39">
        <w:rPr>
          <w:rFonts w:eastAsia="標楷體"/>
          <w:sz w:val="28"/>
          <w:szCs w:val="32"/>
        </w:rPr>
        <w:t>, labor, land, and talen</w:t>
      </w:r>
      <w:r>
        <w:rPr>
          <w:rFonts w:eastAsia="標楷體" w:hint="eastAsia"/>
          <w:sz w:val="28"/>
          <w:szCs w:val="32"/>
        </w:rPr>
        <w:t>t</w:t>
      </w:r>
      <w:r w:rsidR="00DE688A">
        <w:rPr>
          <w:rFonts w:eastAsia="標楷體" w:hint="eastAsia"/>
          <w:sz w:val="28"/>
          <w:szCs w:val="32"/>
        </w:rPr>
        <w:t xml:space="preserve"> are not </w:t>
      </w:r>
      <w:r w:rsidR="00285CC6">
        <w:rPr>
          <w:rFonts w:eastAsia="標楷體" w:hint="eastAsia"/>
          <w:sz w:val="28"/>
          <w:szCs w:val="32"/>
        </w:rPr>
        <w:t xml:space="preserve">effectively </w:t>
      </w:r>
      <w:r w:rsidR="00DE688A">
        <w:rPr>
          <w:rFonts w:eastAsia="標楷體" w:hint="eastAsia"/>
          <w:sz w:val="28"/>
          <w:szCs w:val="32"/>
        </w:rPr>
        <w:t>addressed</w:t>
      </w:r>
      <w:r>
        <w:rPr>
          <w:rFonts w:eastAsia="標楷體" w:hint="eastAsia"/>
          <w:sz w:val="28"/>
          <w:szCs w:val="32"/>
        </w:rPr>
        <w:t>. One Board Supervisor stated that among the</w:t>
      </w:r>
      <w:r w:rsidR="00302422">
        <w:rPr>
          <w:rFonts w:eastAsia="標楷體" w:hint="eastAsia"/>
          <w:sz w:val="28"/>
          <w:szCs w:val="32"/>
        </w:rPr>
        <w:t xml:space="preserve"> five challenging issues,</w:t>
      </w:r>
      <w:r>
        <w:rPr>
          <w:rFonts w:eastAsia="標楷體" w:hint="eastAsia"/>
          <w:sz w:val="28"/>
          <w:szCs w:val="32"/>
        </w:rPr>
        <w:t xml:space="preserve"> electricity shortage is a key</w:t>
      </w:r>
      <w:r w:rsidR="004B3531">
        <w:rPr>
          <w:rFonts w:eastAsia="標楷體" w:hint="eastAsia"/>
          <w:sz w:val="28"/>
          <w:szCs w:val="32"/>
        </w:rPr>
        <w:t xml:space="preserve"> concern</w:t>
      </w:r>
      <w:r w:rsidR="00302422">
        <w:rPr>
          <w:rFonts w:eastAsia="標楷體" w:hint="eastAsia"/>
          <w:sz w:val="28"/>
          <w:szCs w:val="32"/>
        </w:rPr>
        <w:t xml:space="preserve"> that could</w:t>
      </w:r>
      <w:r w:rsidR="004B3531">
        <w:rPr>
          <w:rFonts w:eastAsia="標楷體" w:hint="eastAsia"/>
          <w:sz w:val="28"/>
          <w:szCs w:val="32"/>
        </w:rPr>
        <w:t xml:space="preserve"> </w:t>
      </w:r>
      <w:r w:rsidR="00302422">
        <w:rPr>
          <w:rFonts w:eastAsia="標楷體" w:hint="eastAsia"/>
          <w:sz w:val="28"/>
          <w:szCs w:val="32"/>
        </w:rPr>
        <w:t>thwart</w:t>
      </w:r>
      <w:r>
        <w:rPr>
          <w:rFonts w:eastAsia="標楷體" w:hint="eastAsia"/>
          <w:sz w:val="28"/>
          <w:szCs w:val="32"/>
        </w:rPr>
        <w:t xml:space="preserve"> investment. Another Board Director gave the opinion that monetary policy alone cannot overcome </w:t>
      </w:r>
      <w:r w:rsidR="00CF2736">
        <w:rPr>
          <w:rFonts w:eastAsia="標楷體" w:hint="eastAsia"/>
          <w:sz w:val="28"/>
          <w:szCs w:val="32"/>
        </w:rPr>
        <w:t xml:space="preserve">the issue of stagnant investment; it is vital that monetary policy be accompanied by other measures, such as those alleviating shortages of electricity and water. </w:t>
      </w:r>
    </w:p>
    <w:p w:rsidR="009154B3" w:rsidRDefault="00CF2736" w:rsidP="00F75446">
      <w:pPr>
        <w:overflowPunct w:val="0"/>
        <w:adjustRightInd/>
        <w:snapToGrid w:val="0"/>
        <w:spacing w:before="240" w:line="520" w:lineRule="exact"/>
        <w:ind w:firstLineChars="200" w:firstLine="560"/>
        <w:jc w:val="both"/>
        <w:textDirection w:val="lrTbV"/>
        <w:rPr>
          <w:rFonts w:eastAsia="標楷體"/>
          <w:sz w:val="28"/>
        </w:rPr>
      </w:pPr>
      <w:r w:rsidRPr="00CF2736">
        <w:rPr>
          <w:rFonts w:eastAsia="標楷體" w:hint="eastAsia"/>
          <w:sz w:val="28"/>
        </w:rPr>
        <w:t xml:space="preserve">Several </w:t>
      </w:r>
      <w:r>
        <w:rPr>
          <w:rFonts w:eastAsia="標楷體" w:hint="eastAsia"/>
          <w:sz w:val="28"/>
        </w:rPr>
        <w:t xml:space="preserve">Board Directors and Supervisors expressed their views on how the public sector wage increase, effective next year, would affect the </w:t>
      </w:r>
      <w:r>
        <w:rPr>
          <w:rFonts w:eastAsia="標楷體"/>
          <w:sz w:val="28"/>
        </w:rPr>
        <w:t>economic</w:t>
      </w:r>
      <w:r>
        <w:rPr>
          <w:rFonts w:eastAsia="標楷體" w:hint="eastAsia"/>
          <w:sz w:val="28"/>
        </w:rPr>
        <w:t xml:space="preserve"> growth. One Board Director pointed out that this measure would help drive private sect</w:t>
      </w:r>
      <w:r w:rsidR="00293807">
        <w:rPr>
          <w:rFonts w:eastAsia="標楷體" w:hint="eastAsia"/>
          <w:sz w:val="28"/>
        </w:rPr>
        <w:t xml:space="preserve">or </w:t>
      </w:r>
      <w:r w:rsidR="00A50EF6">
        <w:rPr>
          <w:rFonts w:eastAsia="標楷體" w:hint="eastAsia"/>
          <w:sz w:val="28"/>
        </w:rPr>
        <w:t>pay hikes</w:t>
      </w:r>
      <w:r w:rsidR="00293807">
        <w:rPr>
          <w:rFonts w:eastAsia="標楷體" w:hint="eastAsia"/>
          <w:sz w:val="28"/>
        </w:rPr>
        <w:t xml:space="preserve"> and</w:t>
      </w:r>
      <w:r w:rsidR="004B3531">
        <w:rPr>
          <w:rFonts w:eastAsia="標楷體" w:hint="eastAsia"/>
          <w:sz w:val="28"/>
        </w:rPr>
        <w:t>,</w:t>
      </w:r>
      <w:r w:rsidR="00293807">
        <w:rPr>
          <w:rFonts w:eastAsia="標楷體" w:hint="eastAsia"/>
          <w:sz w:val="28"/>
        </w:rPr>
        <w:t xml:space="preserve"> in turn</w:t>
      </w:r>
      <w:r w:rsidR="004B3531">
        <w:rPr>
          <w:rFonts w:eastAsia="標楷體" w:hint="eastAsia"/>
          <w:sz w:val="28"/>
        </w:rPr>
        <w:t>,</w:t>
      </w:r>
      <w:r w:rsidR="00293807">
        <w:rPr>
          <w:rFonts w:eastAsia="標楷體" w:hint="eastAsia"/>
          <w:sz w:val="28"/>
        </w:rPr>
        <w:t xml:space="preserve"> prop up private consumption. One Board Director stated that based on the government</w:t>
      </w:r>
      <w:r w:rsidR="00293807">
        <w:rPr>
          <w:rFonts w:eastAsia="標楷體"/>
          <w:sz w:val="28"/>
        </w:rPr>
        <w:t>’</w:t>
      </w:r>
      <w:r w:rsidR="00293807">
        <w:rPr>
          <w:rFonts w:eastAsia="標楷體" w:hint="eastAsia"/>
          <w:sz w:val="28"/>
        </w:rPr>
        <w:t>s survey r</w:t>
      </w:r>
      <w:r w:rsidR="00F27B31">
        <w:rPr>
          <w:rFonts w:eastAsia="標楷體" w:hint="eastAsia"/>
          <w:sz w:val="28"/>
        </w:rPr>
        <w:t xml:space="preserve">esults, </w:t>
      </w:r>
      <w:r w:rsidR="00A12735">
        <w:rPr>
          <w:rFonts w:eastAsia="標楷體" w:hint="eastAsia"/>
          <w:sz w:val="28"/>
        </w:rPr>
        <w:t>around</w:t>
      </w:r>
      <w:bookmarkStart w:id="0" w:name="_GoBack"/>
      <w:bookmarkEnd w:id="0"/>
      <w:r w:rsidR="00F27B31">
        <w:rPr>
          <w:rFonts w:eastAsia="標楷體" w:hint="eastAsia"/>
          <w:sz w:val="28"/>
        </w:rPr>
        <w:t xml:space="preserve"> 20% of private corporations </w:t>
      </w:r>
      <w:r w:rsidR="00A50EF6">
        <w:rPr>
          <w:rFonts w:eastAsia="標楷體" w:hint="eastAsia"/>
          <w:sz w:val="28"/>
        </w:rPr>
        <w:t xml:space="preserve">increase regular earnings every year regardless of </w:t>
      </w:r>
      <w:r w:rsidR="003B4948">
        <w:rPr>
          <w:rFonts w:eastAsia="標楷體"/>
          <w:sz w:val="28"/>
        </w:rPr>
        <w:t>economic</w:t>
      </w:r>
      <w:r w:rsidR="003B4948">
        <w:rPr>
          <w:rFonts w:eastAsia="標楷體" w:hint="eastAsia"/>
          <w:sz w:val="28"/>
        </w:rPr>
        <w:t xml:space="preserve"> growth; therefore, it remain</w:t>
      </w:r>
      <w:r w:rsidR="00D61F81">
        <w:rPr>
          <w:rFonts w:eastAsia="標楷體" w:hint="eastAsia"/>
          <w:sz w:val="28"/>
        </w:rPr>
        <w:t>s</w:t>
      </w:r>
      <w:r w:rsidR="003B4948">
        <w:rPr>
          <w:rFonts w:eastAsia="標楷體" w:hint="eastAsia"/>
          <w:sz w:val="28"/>
        </w:rPr>
        <w:t xml:space="preserve"> to be seen whether public sector wage increase </w:t>
      </w:r>
      <w:r w:rsidR="00D61F81">
        <w:rPr>
          <w:rFonts w:eastAsia="標楷體" w:hint="eastAsia"/>
          <w:sz w:val="28"/>
        </w:rPr>
        <w:t>will</w:t>
      </w:r>
      <w:r w:rsidR="003B4948">
        <w:rPr>
          <w:rFonts w:eastAsia="標楷體" w:hint="eastAsia"/>
          <w:sz w:val="28"/>
        </w:rPr>
        <w:t xml:space="preserve"> bring forth a broader pay raise across the private sector. </w:t>
      </w:r>
      <w:r w:rsidR="004B6007">
        <w:rPr>
          <w:rFonts w:eastAsia="標楷體" w:hint="eastAsia"/>
          <w:sz w:val="28"/>
        </w:rPr>
        <w:t xml:space="preserve">One Board Director also noted that the positive effect of </w:t>
      </w:r>
      <w:r w:rsidR="00AD7DAC">
        <w:rPr>
          <w:rFonts w:eastAsia="標楷體" w:hint="eastAsia"/>
          <w:sz w:val="28"/>
        </w:rPr>
        <w:t>the</w:t>
      </w:r>
      <w:r w:rsidR="004B6007">
        <w:rPr>
          <w:rFonts w:eastAsia="標楷體" w:hint="eastAsia"/>
          <w:sz w:val="28"/>
        </w:rPr>
        <w:t xml:space="preserve"> public sector wage increase on private consumption could be offset by </w:t>
      </w:r>
      <w:r w:rsidR="00AD7DAC">
        <w:rPr>
          <w:rFonts w:eastAsia="標楷體" w:hint="eastAsia"/>
          <w:sz w:val="28"/>
        </w:rPr>
        <w:t>a</w:t>
      </w:r>
      <w:r w:rsidR="00301644">
        <w:rPr>
          <w:rFonts w:eastAsia="標楷體" w:hint="eastAsia"/>
          <w:sz w:val="28"/>
        </w:rPr>
        <w:t xml:space="preserve"> contraction effect</w:t>
      </w:r>
      <w:r w:rsidR="004B6007">
        <w:rPr>
          <w:rFonts w:eastAsia="標楷體" w:hint="eastAsia"/>
          <w:sz w:val="28"/>
        </w:rPr>
        <w:t xml:space="preserve"> </w:t>
      </w:r>
      <w:r w:rsidR="00301644">
        <w:rPr>
          <w:rFonts w:eastAsia="標楷體" w:hint="eastAsia"/>
          <w:sz w:val="28"/>
        </w:rPr>
        <w:t xml:space="preserve">as </w:t>
      </w:r>
      <w:r w:rsidR="003B41EE">
        <w:rPr>
          <w:rFonts w:eastAsia="標楷體" w:hint="eastAsia"/>
          <w:sz w:val="28"/>
        </w:rPr>
        <w:t xml:space="preserve">civil servants might tighten their purse strings on concern over reduced income post retirement following the pension reform. </w:t>
      </w:r>
    </w:p>
    <w:p w:rsidR="00AC4FBD" w:rsidRPr="00AC4FBD" w:rsidRDefault="00AC4FBD" w:rsidP="00FE272F">
      <w:pPr>
        <w:overflowPunct w:val="0"/>
        <w:adjustRightInd/>
        <w:snapToGrid w:val="0"/>
        <w:spacing w:before="240" w:line="520" w:lineRule="exact"/>
        <w:ind w:firstLineChars="200" w:firstLine="560"/>
        <w:jc w:val="both"/>
        <w:textDirection w:val="lrTbV"/>
        <w:rPr>
          <w:rFonts w:eastAsia="標楷體"/>
          <w:sz w:val="28"/>
        </w:rPr>
      </w:pPr>
      <w:r w:rsidRPr="00AC4FBD">
        <w:rPr>
          <w:rFonts w:eastAsia="標楷體" w:hint="eastAsia"/>
          <w:sz w:val="28"/>
        </w:rPr>
        <w:t>One Board Supervisor</w:t>
      </w:r>
      <w:r>
        <w:rPr>
          <w:rFonts w:eastAsia="標楷體" w:hint="eastAsia"/>
          <w:sz w:val="28"/>
        </w:rPr>
        <w:t xml:space="preserve"> further noted that </w:t>
      </w:r>
      <w:r w:rsidR="00FE272F">
        <w:rPr>
          <w:rFonts w:eastAsia="標楷體" w:hint="eastAsia"/>
          <w:sz w:val="28"/>
        </w:rPr>
        <w:t>the public sector pay raise would have a less aggregate effect on driving consumption growth because</w:t>
      </w:r>
      <w:r w:rsidR="00AD7DAC">
        <w:rPr>
          <w:rFonts w:eastAsia="標楷體" w:hint="eastAsia"/>
          <w:sz w:val="28"/>
        </w:rPr>
        <w:t xml:space="preserve"> </w:t>
      </w:r>
      <w:r w:rsidR="00FE272F">
        <w:rPr>
          <w:rFonts w:eastAsia="標楷體" w:hint="eastAsia"/>
          <w:sz w:val="28"/>
        </w:rPr>
        <w:t xml:space="preserve">it would </w:t>
      </w:r>
      <w:r>
        <w:rPr>
          <w:rFonts w:eastAsia="標楷體" w:hint="eastAsia"/>
          <w:sz w:val="28"/>
        </w:rPr>
        <w:t>be partially financed by curtailing government current spending</w:t>
      </w:r>
      <w:r w:rsidR="00FE272F">
        <w:rPr>
          <w:rFonts w:eastAsia="標楷體" w:hint="eastAsia"/>
          <w:sz w:val="28"/>
        </w:rPr>
        <w:t>; moreover, if a larger part of the increase in consumption goes into outbound t</w:t>
      </w:r>
      <w:r w:rsidR="007470B9">
        <w:rPr>
          <w:rFonts w:eastAsia="標楷體" w:hint="eastAsia"/>
          <w:sz w:val="28"/>
        </w:rPr>
        <w:t xml:space="preserve">ravel or import </w:t>
      </w:r>
      <w:r w:rsidR="007470B9">
        <w:rPr>
          <w:rFonts w:eastAsia="標楷體" w:hint="eastAsia"/>
          <w:sz w:val="28"/>
        </w:rPr>
        <w:lastRenderedPageBreak/>
        <w:t xml:space="preserve">purchases, </w:t>
      </w:r>
      <w:r w:rsidR="00502E95">
        <w:rPr>
          <w:rFonts w:eastAsia="標楷體" w:hint="eastAsia"/>
          <w:sz w:val="28"/>
        </w:rPr>
        <w:t xml:space="preserve">this would mean </w:t>
      </w:r>
      <w:r w:rsidR="007470B9">
        <w:rPr>
          <w:rFonts w:eastAsia="標楷體" w:hint="eastAsia"/>
          <w:sz w:val="28"/>
        </w:rPr>
        <w:t>less contribut</w:t>
      </w:r>
      <w:r w:rsidR="00502E95">
        <w:rPr>
          <w:rFonts w:eastAsia="標楷體" w:hint="eastAsia"/>
          <w:sz w:val="28"/>
        </w:rPr>
        <w:t>ion</w:t>
      </w:r>
      <w:r w:rsidR="007470B9">
        <w:rPr>
          <w:rFonts w:eastAsia="標楷體" w:hint="eastAsia"/>
          <w:sz w:val="28"/>
        </w:rPr>
        <w:t xml:space="preserve"> to domestic </w:t>
      </w:r>
      <w:r w:rsidR="007470B9">
        <w:rPr>
          <w:rFonts w:eastAsia="標楷體"/>
          <w:sz w:val="28"/>
        </w:rPr>
        <w:t>economic</w:t>
      </w:r>
      <w:r w:rsidR="007470B9">
        <w:rPr>
          <w:rFonts w:eastAsia="標楷體" w:hint="eastAsia"/>
          <w:sz w:val="28"/>
        </w:rPr>
        <w:t xml:space="preserve"> growth. </w:t>
      </w:r>
      <w:r w:rsidR="00502E95">
        <w:rPr>
          <w:rFonts w:eastAsia="標楷體" w:hint="eastAsia"/>
          <w:sz w:val="28"/>
        </w:rPr>
        <w:t xml:space="preserve">One Board Director expressed a similar view, saying that </w:t>
      </w:r>
      <w:r w:rsidR="00702685">
        <w:rPr>
          <w:rFonts w:eastAsia="標楷體" w:hint="eastAsia"/>
          <w:sz w:val="28"/>
        </w:rPr>
        <w:t xml:space="preserve">(outbound) travel expenditures have made up an increasingly larger share of GDP </w:t>
      </w:r>
      <w:r w:rsidR="004B0DF2">
        <w:rPr>
          <w:rFonts w:eastAsia="標楷體" w:hint="eastAsia"/>
          <w:sz w:val="28"/>
        </w:rPr>
        <w:t xml:space="preserve">in recent years, and </w:t>
      </w:r>
      <w:r w:rsidR="00702685">
        <w:rPr>
          <w:rFonts w:eastAsia="標楷體" w:hint="eastAsia"/>
          <w:sz w:val="28"/>
        </w:rPr>
        <w:t xml:space="preserve">private </w:t>
      </w:r>
      <w:r w:rsidR="000F598A">
        <w:rPr>
          <w:rFonts w:eastAsia="標楷體" w:hint="eastAsia"/>
          <w:sz w:val="28"/>
        </w:rPr>
        <w:t>consumption</w:t>
      </w:r>
      <w:r w:rsidR="00702685">
        <w:rPr>
          <w:rFonts w:eastAsia="標楷體" w:hint="eastAsia"/>
          <w:sz w:val="28"/>
        </w:rPr>
        <w:t xml:space="preserve"> growth</w:t>
      </w:r>
      <w:r w:rsidR="004B0DF2">
        <w:rPr>
          <w:rFonts w:eastAsia="標楷體" w:hint="eastAsia"/>
          <w:sz w:val="28"/>
        </w:rPr>
        <w:t>, if</w:t>
      </w:r>
      <w:r w:rsidR="00702685">
        <w:rPr>
          <w:rFonts w:eastAsia="標楷體" w:hint="eastAsia"/>
          <w:sz w:val="28"/>
        </w:rPr>
        <w:t xml:space="preserve"> partially offset by growth in imports, </w:t>
      </w:r>
      <w:r w:rsidR="004B0DF2">
        <w:rPr>
          <w:rFonts w:eastAsia="標楷體" w:hint="eastAsia"/>
          <w:sz w:val="28"/>
        </w:rPr>
        <w:t xml:space="preserve">would hardly benefit </w:t>
      </w:r>
      <w:r w:rsidR="000A6B23">
        <w:rPr>
          <w:rFonts w:eastAsia="標楷體" w:hint="eastAsia"/>
          <w:sz w:val="28"/>
        </w:rPr>
        <w:t xml:space="preserve">economic growth. </w:t>
      </w:r>
      <w:r w:rsidR="004B0DF2">
        <w:rPr>
          <w:rFonts w:eastAsia="標楷體" w:hint="eastAsia"/>
          <w:sz w:val="28"/>
        </w:rPr>
        <w:t>Currently available forecasts by major institutions including the Bank have not yet taken into account the effect of next year</w:t>
      </w:r>
      <w:r w:rsidR="004B0DF2">
        <w:rPr>
          <w:rFonts w:eastAsia="標楷體"/>
          <w:sz w:val="28"/>
        </w:rPr>
        <w:t>’</w:t>
      </w:r>
      <w:r w:rsidR="004B0DF2">
        <w:rPr>
          <w:rFonts w:eastAsia="標楷體" w:hint="eastAsia"/>
          <w:sz w:val="28"/>
        </w:rPr>
        <w:t>s public sector wage</w:t>
      </w:r>
      <w:r w:rsidR="006D57FF">
        <w:rPr>
          <w:rFonts w:eastAsia="標楷體" w:hint="eastAsia"/>
          <w:sz w:val="28"/>
        </w:rPr>
        <w:t xml:space="preserve"> hike, which is expected to</w:t>
      </w:r>
      <w:r w:rsidR="001D7AE6">
        <w:rPr>
          <w:rFonts w:eastAsia="標楷體" w:hint="eastAsia"/>
          <w:sz w:val="28"/>
        </w:rPr>
        <w:t xml:space="preserve"> b</w:t>
      </w:r>
      <w:r w:rsidR="006F29B7">
        <w:rPr>
          <w:rFonts w:eastAsia="標楷體" w:hint="eastAsia"/>
          <w:sz w:val="28"/>
        </w:rPr>
        <w:t xml:space="preserve">oost </w:t>
      </w:r>
      <w:r w:rsidR="001D7AE6">
        <w:rPr>
          <w:rFonts w:eastAsia="標楷體" w:hint="eastAsia"/>
          <w:sz w:val="28"/>
        </w:rPr>
        <w:t xml:space="preserve">the 2018 </w:t>
      </w:r>
      <w:r w:rsidR="006F29B7">
        <w:rPr>
          <w:rFonts w:eastAsia="標楷體" w:hint="eastAsia"/>
          <w:sz w:val="28"/>
        </w:rPr>
        <w:t>GDP growth</w:t>
      </w:r>
      <w:r w:rsidR="00913946">
        <w:rPr>
          <w:rFonts w:eastAsia="標楷體" w:hint="eastAsia"/>
          <w:sz w:val="28"/>
        </w:rPr>
        <w:t xml:space="preserve"> </w:t>
      </w:r>
      <w:r w:rsidR="001D7AE6">
        <w:rPr>
          <w:rFonts w:eastAsia="標楷體" w:hint="eastAsia"/>
          <w:sz w:val="28"/>
        </w:rPr>
        <w:t>a little further</w:t>
      </w:r>
      <w:r w:rsidR="006F29B7">
        <w:rPr>
          <w:rFonts w:eastAsia="標楷體" w:hint="eastAsia"/>
          <w:sz w:val="28"/>
        </w:rPr>
        <w:t xml:space="preserve">. </w:t>
      </w:r>
    </w:p>
    <w:p w:rsidR="00913946" w:rsidRPr="00376CD0" w:rsidRDefault="00913946" w:rsidP="00376CD0">
      <w:pPr>
        <w:overflowPunct w:val="0"/>
        <w:adjustRightInd/>
        <w:snapToGrid w:val="0"/>
        <w:spacing w:before="240" w:line="520" w:lineRule="exact"/>
        <w:ind w:firstLineChars="200" w:firstLine="560"/>
        <w:jc w:val="both"/>
        <w:textDirection w:val="lrTbV"/>
        <w:rPr>
          <w:rFonts w:eastAsia="標楷體"/>
          <w:sz w:val="28"/>
          <w:szCs w:val="32"/>
        </w:rPr>
      </w:pPr>
      <w:r w:rsidRPr="00376CD0">
        <w:rPr>
          <w:rFonts w:eastAsia="標楷體" w:hint="eastAsia"/>
          <w:sz w:val="28"/>
          <w:szCs w:val="32"/>
        </w:rPr>
        <w:t xml:space="preserve">On a related note, one Board Director pointed out that there </w:t>
      </w:r>
      <w:proofErr w:type="gramStart"/>
      <w:r w:rsidRPr="00376CD0">
        <w:rPr>
          <w:rFonts w:eastAsia="標楷體" w:hint="eastAsia"/>
          <w:sz w:val="28"/>
          <w:szCs w:val="32"/>
        </w:rPr>
        <w:t>remain</w:t>
      </w:r>
      <w:proofErr w:type="gramEnd"/>
      <w:r w:rsidRPr="00376CD0">
        <w:rPr>
          <w:rFonts w:eastAsia="標楷體" w:hint="eastAsia"/>
          <w:sz w:val="28"/>
          <w:szCs w:val="32"/>
        </w:rPr>
        <w:t xml:space="preserve"> many uncertainties about future economic growth; public sector wage hike and stable electricity supply are both pivotal to </w:t>
      </w:r>
      <w:r w:rsidR="001D7AE6">
        <w:rPr>
          <w:rFonts w:eastAsia="標楷體" w:hint="eastAsia"/>
          <w:sz w:val="28"/>
          <w:szCs w:val="32"/>
        </w:rPr>
        <w:t>domestic</w:t>
      </w:r>
      <w:r w:rsidRPr="00376CD0">
        <w:rPr>
          <w:rFonts w:eastAsia="標楷體" w:hint="eastAsia"/>
          <w:sz w:val="28"/>
          <w:szCs w:val="32"/>
        </w:rPr>
        <w:t xml:space="preserve"> demand strength and production activity. In addition, cross-strait economic and trade developments and </w:t>
      </w:r>
      <w:r w:rsidR="00376CD0" w:rsidRPr="00376CD0">
        <w:rPr>
          <w:rFonts w:eastAsia="標楷體" w:hint="eastAsia"/>
          <w:sz w:val="28"/>
          <w:szCs w:val="32"/>
        </w:rPr>
        <w:t xml:space="preserve">the </w:t>
      </w:r>
      <w:r w:rsidRPr="00376CD0">
        <w:rPr>
          <w:rFonts w:eastAsia="標楷體" w:hint="eastAsia"/>
          <w:sz w:val="28"/>
          <w:szCs w:val="32"/>
        </w:rPr>
        <w:t xml:space="preserve">effectiveness of arch </w:t>
      </w:r>
      <w:r w:rsidR="00376CD0">
        <w:rPr>
          <w:rFonts w:eastAsia="標楷體" w:hint="eastAsia"/>
          <w:sz w:val="28"/>
          <w:szCs w:val="32"/>
        </w:rPr>
        <w:t>government projects including</w:t>
      </w:r>
      <w:r w:rsidR="00376CD0" w:rsidRPr="00376CD0">
        <w:rPr>
          <w:rFonts w:eastAsia="標楷體" w:hint="eastAsia"/>
          <w:sz w:val="28"/>
          <w:szCs w:val="32"/>
        </w:rPr>
        <w:t xml:space="preserve"> </w:t>
      </w:r>
      <w:r w:rsidR="00C64A3C" w:rsidRPr="00C64A3C">
        <w:rPr>
          <w:rFonts w:eastAsia="標楷體"/>
          <w:sz w:val="28"/>
          <w:szCs w:val="32"/>
        </w:rPr>
        <w:t>Forward-Looking Infrastructure Development Program</w:t>
      </w:r>
      <w:r w:rsidR="00376CD0" w:rsidRPr="00376CD0">
        <w:rPr>
          <w:rFonts w:eastAsia="標楷體" w:hint="eastAsia"/>
          <w:sz w:val="28"/>
          <w:szCs w:val="32"/>
        </w:rPr>
        <w:t xml:space="preserve"> and </w:t>
      </w:r>
      <w:r w:rsidR="00E475BD" w:rsidRPr="00E475BD">
        <w:rPr>
          <w:rFonts w:eastAsia="標楷體"/>
          <w:sz w:val="28"/>
          <w:szCs w:val="32"/>
        </w:rPr>
        <w:t>Digital Nation and Innovative Economic Development Plan</w:t>
      </w:r>
      <w:r w:rsidR="00376CD0">
        <w:rPr>
          <w:rFonts w:eastAsia="標楷體" w:hint="eastAsia"/>
          <w:sz w:val="28"/>
          <w:szCs w:val="32"/>
        </w:rPr>
        <w:t xml:space="preserve"> also play a key role in determining domestic growth momentum. Close attention is warranted. </w:t>
      </w:r>
      <w:r w:rsidRPr="00376CD0">
        <w:rPr>
          <w:rFonts w:eastAsia="標楷體" w:hint="eastAsia"/>
          <w:sz w:val="28"/>
          <w:szCs w:val="32"/>
        </w:rPr>
        <w:t xml:space="preserve"> </w:t>
      </w:r>
    </w:p>
    <w:p w:rsidR="001739DA" w:rsidRPr="00C64A3C" w:rsidRDefault="001739DA" w:rsidP="00C64A3C">
      <w:pPr>
        <w:adjustRightInd/>
        <w:snapToGrid w:val="0"/>
        <w:spacing w:before="240" w:line="520" w:lineRule="exact"/>
        <w:ind w:firstLineChars="200" w:firstLine="560"/>
        <w:jc w:val="both"/>
        <w:textDirection w:val="lrTbV"/>
        <w:rPr>
          <w:rFonts w:eastAsia="標楷體"/>
          <w:sz w:val="28"/>
        </w:rPr>
      </w:pPr>
      <w:r w:rsidRPr="00C64A3C">
        <w:rPr>
          <w:rFonts w:eastAsia="標楷體" w:hint="eastAsia"/>
          <w:sz w:val="28"/>
        </w:rPr>
        <w:t xml:space="preserve">The Board Directors also </w:t>
      </w:r>
      <w:r w:rsidR="00C64A3C">
        <w:rPr>
          <w:rFonts w:eastAsia="標楷體" w:hint="eastAsia"/>
          <w:sz w:val="28"/>
        </w:rPr>
        <w:t xml:space="preserve">shared their opinions about the output gap. One Board Director noted </w:t>
      </w:r>
      <w:r w:rsidR="00C64A3C">
        <w:rPr>
          <w:rFonts w:eastAsia="標楷體"/>
          <w:sz w:val="28"/>
        </w:rPr>
        <w:t>that</w:t>
      </w:r>
      <w:r w:rsidR="00C64A3C">
        <w:rPr>
          <w:rFonts w:eastAsia="標楷體" w:hint="eastAsia"/>
          <w:sz w:val="28"/>
        </w:rPr>
        <w:t xml:space="preserve">, according to the estimated potential output growth rate based on </w:t>
      </w:r>
      <w:r w:rsidR="00D61F81">
        <w:rPr>
          <w:rFonts w:eastAsia="標楷體" w:hint="eastAsia"/>
          <w:sz w:val="28"/>
        </w:rPr>
        <w:t xml:space="preserve">GDP </w:t>
      </w:r>
      <w:r w:rsidR="00C64A3C">
        <w:rPr>
          <w:rFonts w:eastAsia="標楷體" w:hint="eastAsia"/>
          <w:sz w:val="28"/>
        </w:rPr>
        <w:t xml:space="preserve">forecasts by the </w:t>
      </w:r>
      <w:r w:rsidR="00C64A3C" w:rsidRPr="00C64A3C">
        <w:rPr>
          <w:rFonts w:eastAsia="標楷體"/>
          <w:sz w:val="28"/>
        </w:rPr>
        <w:t>Directorate General of Budget, Accounting and Statistics</w:t>
      </w:r>
      <w:r w:rsidR="00C64A3C">
        <w:rPr>
          <w:rFonts w:eastAsia="標楷體" w:hint="eastAsia"/>
          <w:sz w:val="28"/>
        </w:rPr>
        <w:t xml:space="preserve"> as well as the Bank, the negative output gap has </w:t>
      </w:r>
      <w:r w:rsidR="00C64A3C">
        <w:rPr>
          <w:rFonts w:eastAsia="標楷體"/>
          <w:sz w:val="28"/>
        </w:rPr>
        <w:t>widened</w:t>
      </w:r>
      <w:r w:rsidR="00C64A3C">
        <w:rPr>
          <w:rFonts w:eastAsia="標楷體" w:hint="eastAsia"/>
          <w:sz w:val="28"/>
        </w:rPr>
        <w:t>. Another Board Director mentioned that while anticipating Taiwan</w:t>
      </w:r>
      <w:r w:rsidR="00C64A3C">
        <w:rPr>
          <w:rFonts w:eastAsia="標楷體"/>
          <w:sz w:val="28"/>
        </w:rPr>
        <w:t>’</w:t>
      </w:r>
      <w:r w:rsidR="00C64A3C">
        <w:rPr>
          <w:rFonts w:eastAsia="標楷體" w:hint="eastAsia"/>
          <w:sz w:val="28"/>
        </w:rPr>
        <w:t xml:space="preserve">s economy to </w:t>
      </w:r>
      <w:r w:rsidR="00C64A3C">
        <w:rPr>
          <w:rFonts w:eastAsia="標楷體"/>
          <w:sz w:val="28"/>
        </w:rPr>
        <w:t>grow</w:t>
      </w:r>
      <w:r w:rsidR="00C64A3C">
        <w:rPr>
          <w:rFonts w:eastAsia="標楷體" w:hint="eastAsia"/>
          <w:sz w:val="28"/>
        </w:rPr>
        <w:t xml:space="preserve"> faster next year than this year amid a bright global </w:t>
      </w:r>
      <w:r w:rsidR="00C64A3C">
        <w:rPr>
          <w:rFonts w:eastAsia="標楷體"/>
          <w:sz w:val="28"/>
        </w:rPr>
        <w:t xml:space="preserve">outlook </w:t>
      </w:r>
      <w:r w:rsidR="00C64A3C">
        <w:rPr>
          <w:rFonts w:eastAsia="標楷體" w:hint="eastAsia"/>
          <w:sz w:val="28"/>
        </w:rPr>
        <w:t xml:space="preserve">and a gradual domestic recovery, the Bank also projects the negative output gap to widen; this </w:t>
      </w:r>
      <w:r w:rsidR="00F01590">
        <w:rPr>
          <w:rFonts w:eastAsia="標楷體" w:hint="eastAsia"/>
          <w:sz w:val="28"/>
        </w:rPr>
        <w:t xml:space="preserve">calls for further in-depth study. </w:t>
      </w:r>
    </w:p>
    <w:p w:rsidR="00F01590" w:rsidRPr="000D4473" w:rsidRDefault="00F01590" w:rsidP="000D4473">
      <w:pPr>
        <w:adjustRightInd/>
        <w:snapToGrid w:val="0"/>
        <w:spacing w:before="240" w:line="520" w:lineRule="exact"/>
        <w:ind w:firstLineChars="200" w:firstLine="560"/>
        <w:jc w:val="both"/>
        <w:textDirection w:val="lrTbV"/>
        <w:rPr>
          <w:rFonts w:eastAsia="標楷體"/>
          <w:sz w:val="28"/>
        </w:rPr>
      </w:pPr>
      <w:r w:rsidRPr="000D4473">
        <w:rPr>
          <w:rFonts w:eastAsia="標楷體" w:hint="eastAsia"/>
          <w:sz w:val="28"/>
        </w:rPr>
        <w:t xml:space="preserve">In discussions about domestic financial conditions, one Board Director </w:t>
      </w:r>
      <w:r w:rsidRPr="000D4473">
        <w:rPr>
          <w:rFonts w:eastAsia="標楷體" w:hint="eastAsia"/>
          <w:sz w:val="28"/>
        </w:rPr>
        <w:lastRenderedPageBreak/>
        <w:t>stated that the Bank has maintained banks</w:t>
      </w:r>
      <w:r w:rsidRPr="000D4473">
        <w:rPr>
          <w:rFonts w:eastAsia="標楷體"/>
          <w:sz w:val="28"/>
        </w:rPr>
        <w:t>’</w:t>
      </w:r>
      <w:r w:rsidRPr="000D4473">
        <w:rPr>
          <w:rFonts w:eastAsia="標楷體" w:hint="eastAsia"/>
          <w:sz w:val="28"/>
        </w:rPr>
        <w:t xml:space="preserve"> excess reserves at an appropriate level, and the overnight call loan rate and the money market rate have been stable. For the first eight months of the year, the average annual growth rate of M2 stayed within this year</w:t>
      </w:r>
      <w:r w:rsidRPr="000D4473">
        <w:rPr>
          <w:rFonts w:eastAsia="標楷體"/>
          <w:sz w:val="28"/>
        </w:rPr>
        <w:t>’</w:t>
      </w:r>
      <w:r w:rsidRPr="000D4473">
        <w:rPr>
          <w:rFonts w:eastAsia="標楷體" w:hint="eastAsia"/>
          <w:sz w:val="28"/>
        </w:rPr>
        <w:t xml:space="preserve">s target range. From June onwards, the annual growth rate of total outstanding loans and investments of monetary financial </w:t>
      </w:r>
      <w:r w:rsidRPr="000D4473">
        <w:rPr>
          <w:rFonts w:eastAsia="標楷體"/>
          <w:sz w:val="28"/>
        </w:rPr>
        <w:t>institutions</w:t>
      </w:r>
      <w:r w:rsidRPr="000D4473">
        <w:rPr>
          <w:rFonts w:eastAsia="標楷體" w:hint="eastAsia"/>
          <w:sz w:val="28"/>
        </w:rPr>
        <w:t xml:space="preserve"> ha</w:t>
      </w:r>
      <w:r w:rsidR="00D423DE">
        <w:rPr>
          <w:rFonts w:eastAsia="標楷體" w:hint="eastAsia"/>
          <w:sz w:val="28"/>
        </w:rPr>
        <w:t>s</w:t>
      </w:r>
      <w:r w:rsidRPr="000D4473">
        <w:rPr>
          <w:rFonts w:eastAsia="標楷體" w:hint="eastAsia"/>
          <w:sz w:val="28"/>
        </w:rPr>
        <w:t xml:space="preserve"> </w:t>
      </w:r>
      <w:r w:rsidR="00D61F81">
        <w:rPr>
          <w:rFonts w:eastAsia="標楷體" w:hint="eastAsia"/>
          <w:sz w:val="28"/>
        </w:rPr>
        <w:t>declined slightly</w:t>
      </w:r>
      <w:r w:rsidR="000D4473">
        <w:rPr>
          <w:rFonts w:eastAsia="標楷體" w:hint="eastAsia"/>
          <w:sz w:val="28"/>
        </w:rPr>
        <w:t xml:space="preserve"> but </w:t>
      </w:r>
      <w:r w:rsidR="00D5091E">
        <w:rPr>
          <w:rFonts w:eastAsia="標楷體" w:hint="eastAsia"/>
          <w:sz w:val="28"/>
        </w:rPr>
        <w:t xml:space="preserve">was </w:t>
      </w:r>
      <w:r w:rsidR="000D4473">
        <w:rPr>
          <w:rFonts w:eastAsia="標楷體" w:hint="eastAsia"/>
          <w:sz w:val="28"/>
        </w:rPr>
        <w:t xml:space="preserve">still higher than the same period of the previous year. </w:t>
      </w:r>
      <w:r w:rsidRPr="000D4473">
        <w:rPr>
          <w:rFonts w:eastAsia="標楷體" w:hint="eastAsia"/>
          <w:sz w:val="28"/>
        </w:rPr>
        <w:t>Another Board Director noted that</w:t>
      </w:r>
      <w:r w:rsidR="000D4473">
        <w:rPr>
          <w:rFonts w:eastAsia="標楷體" w:hint="eastAsia"/>
          <w:sz w:val="28"/>
        </w:rPr>
        <w:t xml:space="preserve"> since the beginning of the year</w:t>
      </w:r>
      <w:r w:rsidRPr="000D4473">
        <w:rPr>
          <w:rFonts w:eastAsia="標楷體" w:hint="eastAsia"/>
          <w:sz w:val="28"/>
        </w:rPr>
        <w:t xml:space="preserve"> </w:t>
      </w:r>
      <w:r w:rsidR="000D4473">
        <w:rPr>
          <w:rFonts w:eastAsia="標楷體" w:hint="eastAsia"/>
          <w:sz w:val="28"/>
        </w:rPr>
        <w:t>both the stock market and the housing market have witnessed stronger trading, compared to the previous year; combined with steady market interest rates, bank lending is expected to register stable growth.</w:t>
      </w:r>
    </w:p>
    <w:p w:rsidR="000D4473" w:rsidRPr="000D4473" w:rsidRDefault="000D4473" w:rsidP="00395BB6">
      <w:pPr>
        <w:adjustRightInd/>
        <w:snapToGrid w:val="0"/>
        <w:spacing w:before="240" w:line="520" w:lineRule="exact"/>
        <w:ind w:firstLineChars="200" w:firstLine="560"/>
        <w:jc w:val="both"/>
        <w:textDirection w:val="lrTbV"/>
        <w:rPr>
          <w:rFonts w:eastAsia="標楷體"/>
          <w:sz w:val="28"/>
        </w:rPr>
      </w:pPr>
      <w:r w:rsidRPr="000D4473">
        <w:rPr>
          <w:rFonts w:eastAsia="標楷體" w:hint="eastAsia"/>
          <w:sz w:val="28"/>
        </w:rPr>
        <w:t xml:space="preserve">The </w:t>
      </w:r>
      <w:r>
        <w:rPr>
          <w:rFonts w:eastAsia="標楷體" w:hint="eastAsia"/>
          <w:sz w:val="28"/>
        </w:rPr>
        <w:t>Board Directors also discussed the Fed</w:t>
      </w:r>
      <w:r>
        <w:rPr>
          <w:rFonts w:eastAsia="標楷體"/>
          <w:sz w:val="28"/>
        </w:rPr>
        <w:t>’</w:t>
      </w:r>
      <w:r>
        <w:rPr>
          <w:rFonts w:eastAsia="標楷體" w:hint="eastAsia"/>
          <w:sz w:val="28"/>
        </w:rPr>
        <w:t xml:space="preserve">s </w:t>
      </w:r>
      <w:r w:rsidR="00FB3BBE">
        <w:rPr>
          <w:rFonts w:eastAsia="標楷體" w:hint="eastAsia"/>
          <w:sz w:val="28"/>
        </w:rPr>
        <w:t>decision</w:t>
      </w:r>
      <w:r>
        <w:rPr>
          <w:rFonts w:eastAsia="標楷體" w:hint="eastAsia"/>
          <w:sz w:val="28"/>
        </w:rPr>
        <w:t xml:space="preserve"> to initiate balance sheet normalization in October and how this might affect the NT dollar exchange rate. </w:t>
      </w:r>
      <w:r w:rsidR="00395BB6">
        <w:rPr>
          <w:rFonts w:eastAsia="標楷體" w:hint="eastAsia"/>
          <w:sz w:val="28"/>
        </w:rPr>
        <w:t xml:space="preserve">Balance sheet </w:t>
      </w:r>
      <w:r w:rsidR="00505335">
        <w:rPr>
          <w:rFonts w:eastAsia="標楷體" w:hint="eastAsia"/>
          <w:sz w:val="28"/>
        </w:rPr>
        <w:t>unwind</w:t>
      </w:r>
      <w:r w:rsidR="00395BB6">
        <w:rPr>
          <w:rFonts w:eastAsia="標楷體" w:hint="eastAsia"/>
          <w:sz w:val="28"/>
        </w:rPr>
        <w:t xml:space="preserve">ing will have a similar effect as raising the fed funds rate and could send the 10-year U.S. </w:t>
      </w:r>
      <w:r w:rsidR="00422B19">
        <w:rPr>
          <w:rFonts w:eastAsia="標楷體" w:hint="eastAsia"/>
          <w:sz w:val="28"/>
        </w:rPr>
        <w:t>T</w:t>
      </w:r>
      <w:r w:rsidR="00395BB6">
        <w:rPr>
          <w:rFonts w:eastAsia="標楷體" w:hint="eastAsia"/>
          <w:sz w:val="28"/>
        </w:rPr>
        <w:t>reasur</w:t>
      </w:r>
      <w:r w:rsidR="00422B19">
        <w:rPr>
          <w:rFonts w:eastAsia="標楷體" w:hint="eastAsia"/>
          <w:sz w:val="28"/>
        </w:rPr>
        <w:t>y</w:t>
      </w:r>
      <w:r w:rsidR="00395BB6">
        <w:rPr>
          <w:rFonts w:eastAsia="標楷體" w:hint="eastAsia"/>
          <w:sz w:val="28"/>
        </w:rPr>
        <w:t xml:space="preserve"> term </w:t>
      </w:r>
      <w:r w:rsidR="00395BB6">
        <w:rPr>
          <w:rFonts w:eastAsia="標楷體"/>
          <w:sz w:val="28"/>
        </w:rPr>
        <w:t>premium</w:t>
      </w:r>
      <w:r w:rsidR="00395BB6">
        <w:rPr>
          <w:rFonts w:eastAsia="標楷體" w:hint="eastAsia"/>
          <w:sz w:val="28"/>
        </w:rPr>
        <w:t xml:space="preserve"> higher. In this view, further US dollar strength would be on the </w:t>
      </w:r>
      <w:r w:rsidR="00395BB6">
        <w:rPr>
          <w:rFonts w:eastAsia="標楷體"/>
          <w:sz w:val="28"/>
        </w:rPr>
        <w:t>horizo</w:t>
      </w:r>
      <w:r w:rsidR="00395BB6">
        <w:rPr>
          <w:rFonts w:eastAsia="標楷體" w:hint="eastAsia"/>
          <w:sz w:val="28"/>
        </w:rPr>
        <w:t>n, as evident in the fact that the US dollar appreciated soon after the Fed</w:t>
      </w:r>
      <w:r w:rsidR="00395BB6">
        <w:rPr>
          <w:rFonts w:eastAsia="標楷體"/>
          <w:sz w:val="28"/>
        </w:rPr>
        <w:t>’</w:t>
      </w:r>
      <w:r w:rsidR="00395BB6">
        <w:rPr>
          <w:rFonts w:eastAsia="標楷體" w:hint="eastAsia"/>
          <w:sz w:val="28"/>
        </w:rPr>
        <w:t xml:space="preserve">s announcement of </w:t>
      </w:r>
      <w:r w:rsidR="00505335">
        <w:rPr>
          <w:rFonts w:eastAsia="標楷體" w:hint="eastAsia"/>
          <w:sz w:val="28"/>
        </w:rPr>
        <w:t>the asset reduction plan</w:t>
      </w:r>
      <w:r w:rsidR="00395BB6">
        <w:rPr>
          <w:rFonts w:eastAsia="標楷體" w:hint="eastAsia"/>
          <w:sz w:val="28"/>
        </w:rPr>
        <w:t>. If the US dollar does strengthen, this might help ease upward pressures on the</w:t>
      </w:r>
      <w:r w:rsidR="00A51FEF">
        <w:rPr>
          <w:rFonts w:eastAsia="標楷體" w:hint="eastAsia"/>
          <w:sz w:val="28"/>
        </w:rPr>
        <w:t xml:space="preserve"> currency value of the</w:t>
      </w:r>
      <w:r w:rsidR="00395BB6">
        <w:rPr>
          <w:rFonts w:eastAsia="標楷體" w:hint="eastAsia"/>
          <w:sz w:val="28"/>
        </w:rPr>
        <w:t xml:space="preserve"> NT dollar. </w:t>
      </w:r>
    </w:p>
    <w:p w:rsidR="00A51FEF" w:rsidRPr="005509D2" w:rsidRDefault="00A51FEF" w:rsidP="005509D2">
      <w:pPr>
        <w:adjustRightInd/>
        <w:snapToGrid w:val="0"/>
        <w:spacing w:before="240" w:line="520" w:lineRule="exact"/>
        <w:ind w:firstLineChars="200" w:firstLine="560"/>
        <w:jc w:val="both"/>
        <w:textDirection w:val="lrTbV"/>
        <w:rPr>
          <w:rFonts w:eastAsia="標楷體"/>
          <w:sz w:val="28"/>
          <w:szCs w:val="32"/>
        </w:rPr>
      </w:pPr>
      <w:r w:rsidRPr="005509D2">
        <w:rPr>
          <w:rFonts w:eastAsia="標楷體" w:hint="eastAsia"/>
          <w:sz w:val="28"/>
          <w:szCs w:val="32"/>
        </w:rPr>
        <w:t xml:space="preserve">In the assessment of major factors on which monetary policy deliberation is based, including domestic inflationary pressures, economic growth, financial conditions, and the real interest rate, several Board Directors expressed the view that against a backdrop of mild inflationary pressures and inflation outlook, lingering uncertainties over </w:t>
      </w:r>
      <w:r w:rsidRPr="005509D2">
        <w:rPr>
          <w:rFonts w:eastAsia="標楷體"/>
          <w:sz w:val="28"/>
          <w:szCs w:val="32"/>
        </w:rPr>
        <w:t>economic</w:t>
      </w:r>
      <w:r w:rsidRPr="005509D2">
        <w:rPr>
          <w:rFonts w:eastAsia="標楷體" w:hint="eastAsia"/>
          <w:sz w:val="28"/>
          <w:szCs w:val="32"/>
        </w:rPr>
        <w:t xml:space="preserve"> and financial trends, a widening negative output gap, and a higher real interest rate compared to many major economies, </w:t>
      </w:r>
      <w:r w:rsidR="00AB2672" w:rsidRPr="005509D2">
        <w:rPr>
          <w:rFonts w:eastAsia="標楷體" w:hint="eastAsia"/>
          <w:sz w:val="28"/>
          <w:szCs w:val="32"/>
        </w:rPr>
        <w:t>keeping the policy rates unchanged is the</w:t>
      </w:r>
      <w:r w:rsidRPr="005509D2">
        <w:rPr>
          <w:rFonts w:eastAsia="標楷體" w:hint="eastAsia"/>
          <w:sz w:val="28"/>
          <w:szCs w:val="32"/>
        </w:rPr>
        <w:t xml:space="preserve"> ap</w:t>
      </w:r>
      <w:r w:rsidR="00AB2672" w:rsidRPr="005509D2">
        <w:rPr>
          <w:rFonts w:eastAsia="標楷體" w:hint="eastAsia"/>
          <w:sz w:val="28"/>
          <w:szCs w:val="32"/>
        </w:rPr>
        <w:t xml:space="preserve">propriate decision. </w:t>
      </w:r>
      <w:r w:rsidR="005509D2" w:rsidRPr="005509D2">
        <w:rPr>
          <w:rFonts w:eastAsia="標楷體" w:hint="eastAsia"/>
          <w:sz w:val="28"/>
          <w:szCs w:val="32"/>
        </w:rPr>
        <w:t xml:space="preserve">One Board Director </w:t>
      </w:r>
      <w:r w:rsidR="005509D2">
        <w:rPr>
          <w:rFonts w:eastAsia="標楷體" w:hint="eastAsia"/>
          <w:sz w:val="28"/>
          <w:szCs w:val="32"/>
        </w:rPr>
        <w:t xml:space="preserve">pointed out particularly that while the government is promoting </w:t>
      </w:r>
      <w:r w:rsidR="005509D2">
        <w:rPr>
          <w:rFonts w:eastAsia="標楷體" w:hint="eastAsia"/>
          <w:sz w:val="28"/>
          <w:szCs w:val="32"/>
        </w:rPr>
        <w:lastRenderedPageBreak/>
        <w:t xml:space="preserve">investment in Taiwan and tackling youth unemployment, a rate hike might constrain private consumption, </w:t>
      </w:r>
      <w:r w:rsidR="005509D2">
        <w:rPr>
          <w:rFonts w:eastAsia="標楷體"/>
          <w:sz w:val="28"/>
          <w:szCs w:val="32"/>
        </w:rPr>
        <w:t>offsetting</w:t>
      </w:r>
      <w:r w:rsidR="005509D2">
        <w:rPr>
          <w:rFonts w:eastAsia="標楷體" w:hint="eastAsia"/>
          <w:sz w:val="28"/>
          <w:szCs w:val="32"/>
        </w:rPr>
        <w:t xml:space="preserve"> the benefit of the upcoming public sector wage increase. In order to help move the moderate </w:t>
      </w:r>
      <w:r w:rsidR="005509D2">
        <w:rPr>
          <w:rFonts w:eastAsia="標楷體"/>
          <w:sz w:val="28"/>
          <w:szCs w:val="32"/>
        </w:rPr>
        <w:t>economic</w:t>
      </w:r>
      <w:r w:rsidR="005509D2">
        <w:rPr>
          <w:rFonts w:eastAsia="標楷體" w:hint="eastAsia"/>
          <w:sz w:val="28"/>
          <w:szCs w:val="32"/>
        </w:rPr>
        <w:t xml:space="preserve"> growth towards further expansion, it is </w:t>
      </w:r>
      <w:r w:rsidR="005509D2">
        <w:rPr>
          <w:rFonts w:eastAsia="標楷體"/>
          <w:sz w:val="28"/>
          <w:szCs w:val="32"/>
        </w:rPr>
        <w:t>appropriate</w:t>
      </w:r>
      <w:r w:rsidR="005509D2">
        <w:rPr>
          <w:rFonts w:eastAsia="標楷體" w:hint="eastAsia"/>
          <w:sz w:val="28"/>
          <w:szCs w:val="32"/>
        </w:rPr>
        <w:t xml:space="preserve"> to maintain the current policy rate level. </w:t>
      </w:r>
    </w:p>
    <w:p w:rsidR="002E6EB1" w:rsidRDefault="005509D2" w:rsidP="002E6EB1">
      <w:pPr>
        <w:adjustRightInd/>
        <w:snapToGrid w:val="0"/>
        <w:spacing w:before="240" w:line="520" w:lineRule="exact"/>
        <w:ind w:firstLineChars="200" w:firstLine="560"/>
        <w:jc w:val="both"/>
        <w:textDirection w:val="lrTbV"/>
        <w:rPr>
          <w:rFonts w:eastAsia="標楷體"/>
          <w:sz w:val="28"/>
          <w:szCs w:val="32"/>
        </w:rPr>
      </w:pPr>
      <w:r w:rsidRPr="005509D2">
        <w:rPr>
          <w:rFonts w:eastAsia="標楷體" w:hint="eastAsia"/>
          <w:sz w:val="28"/>
          <w:szCs w:val="32"/>
        </w:rPr>
        <w:t>Another Board Director express</w:t>
      </w:r>
      <w:r>
        <w:rPr>
          <w:rFonts w:eastAsia="標楷體" w:hint="eastAsia"/>
          <w:sz w:val="28"/>
          <w:szCs w:val="32"/>
        </w:rPr>
        <w:t xml:space="preserve">ed a similar view that, </w:t>
      </w:r>
      <w:r w:rsidR="002E6EB1">
        <w:rPr>
          <w:rFonts w:eastAsia="標楷體" w:hint="eastAsia"/>
          <w:sz w:val="28"/>
          <w:szCs w:val="32"/>
        </w:rPr>
        <w:t xml:space="preserve">in the context of a gradual recovery next year and insufficient momentum for private consumption and investment, </w:t>
      </w:r>
      <w:r>
        <w:rPr>
          <w:rFonts w:eastAsia="標楷體" w:hint="eastAsia"/>
          <w:sz w:val="28"/>
          <w:szCs w:val="32"/>
        </w:rPr>
        <w:t xml:space="preserve">it is even more important to </w:t>
      </w:r>
      <w:r w:rsidR="002E6EB1">
        <w:rPr>
          <w:rFonts w:eastAsia="標楷體" w:hint="eastAsia"/>
          <w:sz w:val="28"/>
          <w:szCs w:val="32"/>
        </w:rPr>
        <w:t xml:space="preserve">maintain a stable financial environment while the government is pressing ahead with expansionary fiscal stimulation. </w:t>
      </w:r>
      <w:r w:rsidR="00D04AAA">
        <w:rPr>
          <w:rFonts w:eastAsia="標楷體" w:hint="eastAsia"/>
          <w:sz w:val="28"/>
          <w:szCs w:val="32"/>
        </w:rPr>
        <w:t xml:space="preserve">A neutral policy stance where the policy rates remain at the same level would also </w:t>
      </w:r>
      <w:r w:rsidR="00E4727B">
        <w:rPr>
          <w:rFonts w:eastAsia="標楷體" w:hint="eastAsia"/>
          <w:sz w:val="28"/>
          <w:szCs w:val="32"/>
        </w:rPr>
        <w:t xml:space="preserve">conform </w:t>
      </w:r>
      <w:r w:rsidR="00E4727B">
        <w:rPr>
          <w:rFonts w:eastAsia="標楷體"/>
          <w:sz w:val="28"/>
          <w:szCs w:val="32"/>
        </w:rPr>
        <w:t>to</w:t>
      </w:r>
      <w:r w:rsidR="00E4727B">
        <w:rPr>
          <w:rFonts w:eastAsia="標楷體" w:hint="eastAsia"/>
          <w:sz w:val="28"/>
          <w:szCs w:val="32"/>
        </w:rPr>
        <w:t xml:space="preserve"> public expectations. </w:t>
      </w:r>
    </w:p>
    <w:p w:rsidR="002F3E31" w:rsidRPr="00A51FEF" w:rsidRDefault="002F3E31" w:rsidP="00A51FEF">
      <w:pPr>
        <w:adjustRightInd/>
        <w:snapToGrid w:val="0"/>
        <w:spacing w:before="240" w:line="520" w:lineRule="exact"/>
        <w:ind w:firstLineChars="200" w:firstLine="560"/>
        <w:jc w:val="both"/>
        <w:textDirection w:val="lrTbV"/>
        <w:rPr>
          <w:rFonts w:eastAsia="標楷體"/>
          <w:sz w:val="28"/>
          <w:szCs w:val="32"/>
        </w:rPr>
      </w:pPr>
      <w:r w:rsidRPr="00A51FEF">
        <w:rPr>
          <w:rFonts w:eastAsia="標楷體" w:hint="eastAsia"/>
          <w:sz w:val="28"/>
          <w:szCs w:val="32"/>
        </w:rPr>
        <w:t>O</w:t>
      </w:r>
      <w:r w:rsidR="00A86EA4" w:rsidRPr="00A51FEF">
        <w:rPr>
          <w:rFonts w:eastAsia="標楷體" w:hint="eastAsia"/>
          <w:sz w:val="28"/>
          <w:szCs w:val="32"/>
        </w:rPr>
        <w:t>ne Board Director showed support for maintaining the current policy rate level</w:t>
      </w:r>
      <w:r w:rsidRPr="00A51FEF">
        <w:rPr>
          <w:rFonts w:eastAsia="標楷體" w:hint="eastAsia"/>
          <w:sz w:val="28"/>
          <w:szCs w:val="32"/>
        </w:rPr>
        <w:t>, saying that caution is warranted as central banks of Taiwan</w:t>
      </w:r>
      <w:r w:rsidRPr="00A51FEF">
        <w:rPr>
          <w:rFonts w:eastAsia="標楷體"/>
          <w:sz w:val="28"/>
          <w:szCs w:val="32"/>
        </w:rPr>
        <w:t>’</w:t>
      </w:r>
      <w:r w:rsidRPr="00A51FEF">
        <w:rPr>
          <w:rFonts w:eastAsia="標楷體" w:hint="eastAsia"/>
          <w:sz w:val="28"/>
          <w:szCs w:val="32"/>
        </w:rPr>
        <w:t xml:space="preserve">s major trading partners, as well as </w:t>
      </w:r>
      <w:r w:rsidR="009F76A8">
        <w:rPr>
          <w:rFonts w:eastAsia="標楷體" w:hint="eastAsia"/>
          <w:sz w:val="28"/>
          <w:szCs w:val="32"/>
        </w:rPr>
        <w:t xml:space="preserve">main </w:t>
      </w:r>
      <w:r w:rsidRPr="00A51FEF">
        <w:rPr>
          <w:rFonts w:eastAsia="標楷體" w:hint="eastAsia"/>
          <w:sz w:val="28"/>
          <w:szCs w:val="32"/>
        </w:rPr>
        <w:t xml:space="preserve">export </w:t>
      </w:r>
      <w:r w:rsidR="009F76A8">
        <w:rPr>
          <w:rFonts w:eastAsia="標楷體" w:hint="eastAsia"/>
          <w:sz w:val="28"/>
          <w:szCs w:val="32"/>
        </w:rPr>
        <w:t>competitors including</w:t>
      </w:r>
      <w:r w:rsidRPr="00A51FEF">
        <w:rPr>
          <w:rFonts w:eastAsia="標楷體" w:hint="eastAsia"/>
          <w:sz w:val="28"/>
          <w:szCs w:val="32"/>
        </w:rPr>
        <w:t xml:space="preserve"> South Korea, also held rates unchanged at the juncture where another Fed rate hike is expected near the end of the year. </w:t>
      </w:r>
    </w:p>
    <w:p w:rsidR="00A86EA4" w:rsidRPr="00543487" w:rsidRDefault="00A86EA4" w:rsidP="00A86EA4">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 xml:space="preserve">Based on the assessment of domestic and international </w:t>
      </w:r>
      <w:r w:rsidRPr="00543487">
        <w:rPr>
          <w:rFonts w:eastAsia="標楷體"/>
          <w:sz w:val="28"/>
          <w:szCs w:val="28"/>
        </w:rPr>
        <w:t>economic</w:t>
      </w:r>
      <w:r w:rsidRPr="00543487">
        <w:rPr>
          <w:rFonts w:eastAsia="標楷體" w:hint="eastAsia"/>
          <w:sz w:val="28"/>
          <w:szCs w:val="28"/>
        </w:rPr>
        <w:t xml:space="preserve"> and financial conditions and prospects, the Board Directors </w:t>
      </w:r>
      <w:r w:rsidR="00B90D93">
        <w:rPr>
          <w:rFonts w:eastAsia="標楷體" w:hint="eastAsia"/>
          <w:sz w:val="28"/>
          <w:szCs w:val="28"/>
        </w:rPr>
        <w:t xml:space="preserve">all </w:t>
      </w:r>
      <w:r w:rsidRPr="00543487">
        <w:rPr>
          <w:rFonts w:eastAsia="標楷體" w:hint="eastAsia"/>
          <w:sz w:val="28"/>
          <w:szCs w:val="28"/>
        </w:rPr>
        <w:t xml:space="preserve">expressed approval of keeping policy rates unchanged. </w:t>
      </w:r>
    </w:p>
    <w:p w:rsidR="006A083A" w:rsidRPr="00543487" w:rsidRDefault="006A083A" w:rsidP="006A083A">
      <w:pPr>
        <w:adjustRightInd/>
        <w:snapToGrid w:val="0"/>
        <w:spacing w:before="240" w:line="540" w:lineRule="exact"/>
        <w:ind w:left="373" w:hangingChars="133" w:hanging="373"/>
        <w:jc w:val="both"/>
        <w:textDirection w:val="lrTbV"/>
        <w:rPr>
          <w:rFonts w:eastAsia="標楷體"/>
          <w:sz w:val="28"/>
          <w:szCs w:val="28"/>
        </w:rPr>
      </w:pPr>
      <w:r w:rsidRPr="00543487">
        <w:rPr>
          <w:rFonts w:eastAsia="標楷體" w:hint="eastAsia"/>
          <w:b/>
          <w:sz w:val="28"/>
          <w:szCs w:val="28"/>
        </w:rPr>
        <w:t xml:space="preserve">3. Monetary Policy Decision: </w:t>
      </w:r>
      <w:r w:rsidRPr="00543487">
        <w:rPr>
          <w:rFonts w:eastAsia="標楷體" w:hint="eastAsia"/>
          <w:sz w:val="28"/>
          <w:szCs w:val="28"/>
        </w:rPr>
        <w:t>Board members reached a unanimous vote t</w:t>
      </w:r>
      <w:r w:rsidRPr="00543487">
        <w:rPr>
          <w:rFonts w:eastAsia="標楷體"/>
          <w:sz w:val="28"/>
          <w:szCs w:val="28"/>
        </w:rPr>
        <w:t>o keep the discount rate, the rate on accommodations with collateral, and the rate on accommodations without collateral unchanged at 1.375%, 1.75%, and 3.625%, respectively.</w:t>
      </w:r>
    </w:p>
    <w:p w:rsidR="006A083A" w:rsidRPr="00543487" w:rsidRDefault="006A083A" w:rsidP="006A083A">
      <w:pPr>
        <w:snapToGrid w:val="0"/>
        <w:spacing w:before="240" w:line="540" w:lineRule="exact"/>
        <w:ind w:left="1121" w:hangingChars="400" w:hanging="1121"/>
        <w:jc w:val="both"/>
        <w:textDirection w:val="lrTbV"/>
        <w:rPr>
          <w:rFonts w:eastAsia="標楷體"/>
          <w:b/>
          <w:sz w:val="28"/>
          <w:szCs w:val="28"/>
        </w:rPr>
      </w:pPr>
      <w:r w:rsidRPr="00543487">
        <w:rPr>
          <w:rFonts w:eastAsia="標楷體" w:hint="eastAsia"/>
          <w:b/>
          <w:sz w:val="28"/>
          <w:szCs w:val="28"/>
        </w:rPr>
        <w:t xml:space="preserve">Voting for the proposition: </w:t>
      </w:r>
    </w:p>
    <w:p w:rsidR="006A083A" w:rsidRPr="00543487" w:rsidRDefault="006A083A" w:rsidP="006A083A">
      <w:pPr>
        <w:adjustRightInd/>
        <w:snapToGrid w:val="0"/>
        <w:spacing w:before="120" w:afterLines="50" w:after="120" w:line="540" w:lineRule="exact"/>
        <w:jc w:val="both"/>
        <w:textDirection w:val="lrTbV"/>
        <w:rPr>
          <w:rFonts w:eastAsia="標楷體"/>
          <w:sz w:val="28"/>
          <w:szCs w:val="28"/>
        </w:rPr>
      </w:pPr>
      <w:r w:rsidRPr="00543487">
        <w:rPr>
          <w:rFonts w:eastAsia="標楷體" w:hint="eastAsia"/>
          <w:sz w:val="28"/>
          <w:szCs w:val="28"/>
        </w:rPr>
        <w:lastRenderedPageBreak/>
        <w:t xml:space="preserve">Fai-nan </w:t>
      </w:r>
      <w:proofErr w:type="spellStart"/>
      <w:r w:rsidRPr="00543487">
        <w:rPr>
          <w:rFonts w:eastAsia="標楷體" w:hint="eastAsia"/>
          <w:sz w:val="28"/>
          <w:szCs w:val="28"/>
        </w:rPr>
        <w:t>Perng</w:t>
      </w:r>
      <w:proofErr w:type="spellEnd"/>
      <w:r w:rsidRPr="00543487">
        <w:rPr>
          <w:rFonts w:eastAsia="標楷體" w:hint="eastAsia"/>
          <w:sz w:val="28"/>
          <w:szCs w:val="28"/>
        </w:rPr>
        <w:t>, Yu-</w:t>
      </w:r>
      <w:proofErr w:type="spellStart"/>
      <w:r w:rsidRPr="00543487">
        <w:rPr>
          <w:rFonts w:eastAsia="標楷體" w:hint="eastAsia"/>
          <w:sz w:val="28"/>
          <w:szCs w:val="28"/>
        </w:rPr>
        <w:t>jer</w:t>
      </w:r>
      <w:proofErr w:type="spellEnd"/>
      <w:r w:rsidRPr="00543487">
        <w:rPr>
          <w:rFonts w:eastAsia="標楷體" w:hint="eastAsia"/>
          <w:sz w:val="28"/>
          <w:szCs w:val="28"/>
        </w:rPr>
        <w:t xml:space="preserve"> </w:t>
      </w:r>
      <w:proofErr w:type="spellStart"/>
      <w:r w:rsidRPr="00543487">
        <w:rPr>
          <w:rFonts w:eastAsia="標楷體" w:hint="eastAsia"/>
          <w:sz w:val="28"/>
          <w:szCs w:val="28"/>
        </w:rPr>
        <w:t>Sheu</w:t>
      </w:r>
      <w:proofErr w:type="spellEnd"/>
      <w:r w:rsidRPr="00543487">
        <w:rPr>
          <w:rFonts w:eastAsia="標楷體" w:hint="eastAsia"/>
          <w:sz w:val="28"/>
          <w:szCs w:val="28"/>
        </w:rPr>
        <w:t xml:space="preserve">, </w:t>
      </w:r>
      <w:r w:rsidRPr="009B29AD">
        <w:rPr>
          <w:rFonts w:eastAsia="標楷體"/>
          <w:sz w:val="28"/>
          <w:szCs w:val="28"/>
        </w:rPr>
        <w:t>Jong-Chin Shen</w:t>
      </w:r>
      <w:r w:rsidRPr="00543487">
        <w:rPr>
          <w:rFonts w:eastAsia="標楷體" w:hint="eastAsia"/>
          <w:sz w:val="28"/>
          <w:szCs w:val="28"/>
        </w:rPr>
        <w:t xml:space="preserve">, Chin-long Yang, </w:t>
      </w:r>
      <w:proofErr w:type="spellStart"/>
      <w:r w:rsidRPr="00543487">
        <w:rPr>
          <w:rFonts w:eastAsia="標楷體" w:hint="eastAsia"/>
          <w:sz w:val="28"/>
          <w:szCs w:val="28"/>
        </w:rPr>
        <w:t>Tzung</w:t>
      </w:r>
      <w:proofErr w:type="spellEnd"/>
      <w:r w:rsidRPr="00543487">
        <w:rPr>
          <w:rFonts w:eastAsia="標楷體" w:hint="eastAsia"/>
          <w:sz w:val="28"/>
          <w:szCs w:val="28"/>
        </w:rPr>
        <w:t>-ta Yen, Ming-</w:t>
      </w:r>
      <w:proofErr w:type="spellStart"/>
      <w:r w:rsidRPr="00543487">
        <w:rPr>
          <w:rFonts w:eastAsia="標楷體" w:hint="eastAsia"/>
          <w:sz w:val="28"/>
          <w:szCs w:val="28"/>
        </w:rPr>
        <w:t>yih</w:t>
      </w:r>
      <w:proofErr w:type="spellEnd"/>
      <w:r w:rsidRPr="00543487">
        <w:rPr>
          <w:rFonts w:eastAsia="標楷體" w:hint="eastAsia"/>
          <w:sz w:val="28"/>
          <w:szCs w:val="28"/>
        </w:rPr>
        <w:t xml:space="preserve"> Liang, Sheng-</w:t>
      </w:r>
      <w:proofErr w:type="spellStart"/>
      <w:r w:rsidRPr="00543487">
        <w:rPr>
          <w:rFonts w:eastAsia="標楷體" w:hint="eastAsia"/>
          <w:sz w:val="28"/>
          <w:szCs w:val="28"/>
        </w:rPr>
        <w:t>cheng</w:t>
      </w:r>
      <w:proofErr w:type="spellEnd"/>
      <w:r w:rsidRPr="00543487">
        <w:rPr>
          <w:rFonts w:eastAsia="標楷體" w:hint="eastAsia"/>
          <w:sz w:val="28"/>
          <w:szCs w:val="28"/>
        </w:rPr>
        <w:t xml:space="preserve"> Hu, </w:t>
      </w:r>
      <w:proofErr w:type="spellStart"/>
      <w:r w:rsidRPr="00543487">
        <w:rPr>
          <w:rFonts w:eastAsia="標楷體" w:hint="eastAsia"/>
          <w:sz w:val="28"/>
          <w:szCs w:val="28"/>
        </w:rPr>
        <w:t>Tsung-hsien</w:t>
      </w:r>
      <w:proofErr w:type="spellEnd"/>
      <w:r w:rsidRPr="00543487">
        <w:rPr>
          <w:rFonts w:eastAsia="標楷體" w:hint="eastAsia"/>
          <w:sz w:val="28"/>
          <w:szCs w:val="28"/>
        </w:rPr>
        <w:t xml:space="preserve"> Lin, Chen-chia Lee, </w:t>
      </w:r>
      <w:proofErr w:type="spellStart"/>
      <w:r w:rsidRPr="00543487">
        <w:rPr>
          <w:rFonts w:eastAsia="標楷體" w:hint="eastAsia"/>
          <w:sz w:val="28"/>
          <w:szCs w:val="28"/>
        </w:rPr>
        <w:t>Tsan-chang</w:t>
      </w:r>
      <w:proofErr w:type="spellEnd"/>
      <w:r w:rsidRPr="00543487">
        <w:rPr>
          <w:rFonts w:eastAsia="標楷體" w:hint="eastAsia"/>
          <w:sz w:val="28"/>
          <w:szCs w:val="28"/>
        </w:rPr>
        <w:t xml:space="preserve"> Liao, Chao-</w:t>
      </w:r>
      <w:proofErr w:type="spellStart"/>
      <w:r w:rsidRPr="00543487">
        <w:rPr>
          <w:rFonts w:eastAsia="標楷體" w:hint="eastAsia"/>
          <w:sz w:val="28"/>
          <w:szCs w:val="28"/>
        </w:rPr>
        <w:t>yih</w:t>
      </w:r>
      <w:proofErr w:type="spellEnd"/>
      <w:r w:rsidRPr="00543487">
        <w:rPr>
          <w:rFonts w:eastAsia="標楷體" w:hint="eastAsia"/>
          <w:sz w:val="28"/>
          <w:szCs w:val="28"/>
        </w:rPr>
        <w:t xml:space="preserve"> Chen, </w:t>
      </w:r>
      <w:proofErr w:type="spellStart"/>
      <w:r w:rsidRPr="00543487">
        <w:rPr>
          <w:rFonts w:eastAsia="標楷體" w:hint="eastAsia"/>
          <w:sz w:val="28"/>
          <w:szCs w:val="28"/>
        </w:rPr>
        <w:t>Jin</w:t>
      </w:r>
      <w:proofErr w:type="spellEnd"/>
      <w:r w:rsidRPr="00543487">
        <w:rPr>
          <w:rFonts w:eastAsia="標楷體" w:hint="eastAsia"/>
          <w:sz w:val="28"/>
          <w:szCs w:val="28"/>
        </w:rPr>
        <w:t>-lung Lin</w:t>
      </w:r>
      <w:r>
        <w:rPr>
          <w:rFonts w:eastAsia="標楷體" w:hint="eastAsia"/>
          <w:sz w:val="28"/>
          <w:szCs w:val="28"/>
        </w:rPr>
        <w:t>,</w:t>
      </w:r>
      <w:r w:rsidRPr="00543487">
        <w:rPr>
          <w:rFonts w:eastAsia="標楷體" w:hint="eastAsia"/>
          <w:sz w:val="28"/>
          <w:szCs w:val="28"/>
        </w:rPr>
        <w:t xml:space="preserve"> Mei-lie Chu, Chao-</w:t>
      </w:r>
      <w:proofErr w:type="spellStart"/>
      <w:r w:rsidRPr="00543487">
        <w:rPr>
          <w:rFonts w:eastAsia="標楷體"/>
          <w:sz w:val="28"/>
          <w:szCs w:val="28"/>
        </w:rPr>
        <w:t>hs</w:t>
      </w:r>
      <w:r w:rsidRPr="00543487">
        <w:rPr>
          <w:rFonts w:eastAsia="標楷體" w:hint="eastAsia"/>
          <w:sz w:val="28"/>
          <w:szCs w:val="28"/>
        </w:rPr>
        <w:t>i</w:t>
      </w:r>
      <w:proofErr w:type="spellEnd"/>
      <w:r w:rsidRPr="00543487">
        <w:rPr>
          <w:rFonts w:eastAsia="標楷體" w:hint="eastAsia"/>
          <w:sz w:val="28"/>
          <w:szCs w:val="28"/>
        </w:rPr>
        <w:t xml:space="preserve"> Huang, </w:t>
      </w:r>
      <w:proofErr w:type="spellStart"/>
      <w:r w:rsidRPr="00543487">
        <w:rPr>
          <w:rFonts w:eastAsia="標楷體" w:hint="eastAsia"/>
          <w:sz w:val="28"/>
          <w:szCs w:val="28"/>
        </w:rPr>
        <w:t>Bih</w:t>
      </w:r>
      <w:proofErr w:type="spellEnd"/>
      <w:r w:rsidRPr="00543487">
        <w:rPr>
          <w:rFonts w:eastAsia="標楷體" w:hint="eastAsia"/>
          <w:sz w:val="28"/>
          <w:szCs w:val="28"/>
        </w:rPr>
        <w:t>-jane Liu</w:t>
      </w:r>
    </w:p>
    <w:p w:rsidR="006A083A" w:rsidRPr="00543487" w:rsidRDefault="006A083A" w:rsidP="006A083A">
      <w:pPr>
        <w:snapToGrid w:val="0"/>
        <w:spacing w:before="240" w:line="540" w:lineRule="exact"/>
        <w:ind w:left="1149" w:hangingChars="410" w:hanging="1149"/>
        <w:textDirection w:val="lrTbV"/>
        <w:rPr>
          <w:rFonts w:eastAsia="標楷體"/>
          <w:sz w:val="28"/>
          <w:szCs w:val="28"/>
        </w:rPr>
      </w:pPr>
      <w:proofErr w:type="gramStart"/>
      <w:r w:rsidRPr="00543487">
        <w:rPr>
          <w:rFonts w:eastAsia="標楷體" w:hint="eastAsia"/>
          <w:b/>
          <w:sz w:val="28"/>
          <w:szCs w:val="28"/>
        </w:rPr>
        <w:t xml:space="preserve">Voting against the proposition: </w:t>
      </w:r>
      <w:r w:rsidRPr="00543487">
        <w:rPr>
          <w:rFonts w:eastAsia="標楷體" w:hint="eastAsia"/>
          <w:sz w:val="28"/>
          <w:szCs w:val="28"/>
        </w:rPr>
        <w:t>None.</w:t>
      </w:r>
      <w:proofErr w:type="gramEnd"/>
      <w:r w:rsidRPr="00543487">
        <w:rPr>
          <w:rFonts w:eastAsia="標楷體" w:hint="eastAsia"/>
          <w:sz w:val="28"/>
          <w:szCs w:val="28"/>
        </w:rPr>
        <w:t xml:space="preserve"> </w:t>
      </w:r>
    </w:p>
    <w:p w:rsidR="006A083A" w:rsidRDefault="006A083A" w:rsidP="006A083A">
      <w:pPr>
        <w:widowControl/>
        <w:adjustRightInd/>
        <w:spacing w:line="240" w:lineRule="auto"/>
        <w:textAlignment w:val="auto"/>
        <w:rPr>
          <w:rFonts w:eastAsia="標楷體"/>
          <w:b/>
          <w:snapToGrid w:val="0"/>
          <w:sz w:val="28"/>
          <w:szCs w:val="28"/>
        </w:rPr>
      </w:pPr>
    </w:p>
    <w:p w:rsidR="006A083A" w:rsidRPr="00543487" w:rsidRDefault="006A083A" w:rsidP="006A083A">
      <w:pPr>
        <w:widowControl/>
        <w:adjustRightInd/>
        <w:spacing w:line="240" w:lineRule="auto"/>
        <w:textAlignment w:val="auto"/>
        <w:rPr>
          <w:rFonts w:eastAsia="標楷體"/>
          <w:b/>
          <w:sz w:val="28"/>
          <w:szCs w:val="28"/>
        </w:rPr>
      </w:pPr>
      <w:r w:rsidRPr="00543487">
        <w:rPr>
          <w:rFonts w:eastAsia="標楷體" w:hint="eastAsia"/>
          <w:b/>
          <w:snapToGrid w:val="0"/>
          <w:sz w:val="28"/>
          <w:szCs w:val="28"/>
        </w:rPr>
        <w:t xml:space="preserve">III. The Press Release </w:t>
      </w:r>
    </w:p>
    <w:p w:rsidR="006A083A" w:rsidRPr="00543487" w:rsidRDefault="006A083A" w:rsidP="006A083A">
      <w:pPr>
        <w:spacing w:before="240" w:line="520" w:lineRule="exact"/>
        <w:ind w:firstLineChars="200" w:firstLine="560"/>
        <w:jc w:val="both"/>
        <w:rPr>
          <w:rFonts w:eastAsia="標楷體"/>
          <w:sz w:val="28"/>
          <w:szCs w:val="28"/>
        </w:rPr>
      </w:pPr>
      <w:r w:rsidRPr="00543487">
        <w:rPr>
          <w:rFonts w:eastAsia="標楷體" w:hint="eastAsia"/>
          <w:sz w:val="28"/>
          <w:szCs w:val="28"/>
        </w:rPr>
        <w:t xml:space="preserve">The Board Directors and Supervisors approved unanimously to issue the following press release in the post-meeting press conference, together with the </w:t>
      </w:r>
      <w:r w:rsidRPr="00543487">
        <w:rPr>
          <w:rFonts w:eastAsia="標楷體"/>
          <w:sz w:val="28"/>
          <w:szCs w:val="28"/>
        </w:rPr>
        <w:t xml:space="preserve">Supplementary Materials for the </w:t>
      </w:r>
      <w:r w:rsidRPr="00543487">
        <w:rPr>
          <w:rFonts w:eastAsia="標楷體" w:hint="eastAsia"/>
          <w:sz w:val="28"/>
          <w:szCs w:val="28"/>
        </w:rPr>
        <w:t>Post-Monetary Policy M</w:t>
      </w:r>
      <w:r w:rsidRPr="00543487">
        <w:rPr>
          <w:rFonts w:eastAsia="標楷體"/>
          <w:sz w:val="28"/>
          <w:szCs w:val="28"/>
        </w:rPr>
        <w:t>e</w:t>
      </w:r>
      <w:r w:rsidRPr="00543487">
        <w:rPr>
          <w:rFonts w:eastAsia="標楷體" w:hint="eastAsia"/>
          <w:sz w:val="28"/>
          <w:szCs w:val="28"/>
        </w:rPr>
        <w:t xml:space="preserve">eting Press Conference prepared by the Bank. </w:t>
      </w:r>
    </w:p>
    <w:p w:rsidR="00484509" w:rsidRPr="0002361C" w:rsidRDefault="00484509" w:rsidP="00FB3B8C">
      <w:pPr>
        <w:spacing w:before="240" w:line="540" w:lineRule="exact"/>
        <w:ind w:firstLineChars="200" w:firstLine="640"/>
        <w:jc w:val="both"/>
        <w:rPr>
          <w:rFonts w:eastAsia="標楷體"/>
          <w:sz w:val="32"/>
        </w:rPr>
      </w:pPr>
    </w:p>
    <w:p w:rsidR="006A083A" w:rsidRDefault="006A083A">
      <w:pPr>
        <w:widowControl/>
        <w:adjustRightInd/>
        <w:spacing w:line="240" w:lineRule="auto"/>
        <w:textAlignment w:val="auto"/>
        <w:rPr>
          <w:rFonts w:eastAsia="標楷體"/>
          <w:b/>
          <w:sz w:val="32"/>
        </w:rPr>
      </w:pPr>
      <w:r>
        <w:rPr>
          <w:rFonts w:eastAsia="標楷體"/>
          <w:b/>
          <w:sz w:val="32"/>
        </w:rPr>
        <w:br w:type="page"/>
      </w:r>
    </w:p>
    <w:p w:rsidR="006A083A" w:rsidRPr="00543487" w:rsidRDefault="006A083A" w:rsidP="006A083A">
      <w:pPr>
        <w:spacing w:afterLines="100" w:after="240" w:line="520" w:lineRule="exact"/>
        <w:ind w:leftChars="330" w:left="660"/>
        <w:jc w:val="right"/>
        <w:rPr>
          <w:rFonts w:eastAsia="標楷體"/>
          <w:sz w:val="28"/>
          <w:szCs w:val="28"/>
        </w:rPr>
      </w:pPr>
      <w:r w:rsidRPr="00543487">
        <w:rPr>
          <w:rFonts w:eastAsia="標楷體" w:hint="eastAsia"/>
          <w:sz w:val="28"/>
          <w:szCs w:val="28"/>
        </w:rPr>
        <w:lastRenderedPageBreak/>
        <w:t xml:space="preserve">Date: </w:t>
      </w:r>
      <w:r>
        <w:rPr>
          <w:rFonts w:eastAsia="標楷體"/>
          <w:sz w:val="28"/>
          <w:szCs w:val="28"/>
        </w:rPr>
        <w:t>September</w:t>
      </w:r>
      <w:r w:rsidRPr="00543487">
        <w:rPr>
          <w:rFonts w:eastAsia="標楷體" w:hint="eastAsia"/>
          <w:sz w:val="28"/>
          <w:szCs w:val="28"/>
        </w:rPr>
        <w:t xml:space="preserve"> 2</w:t>
      </w:r>
      <w:r>
        <w:rPr>
          <w:rFonts w:eastAsia="標楷體" w:hint="eastAsia"/>
          <w:sz w:val="28"/>
          <w:szCs w:val="28"/>
        </w:rPr>
        <w:t>1</w:t>
      </w:r>
      <w:r w:rsidRPr="00543487">
        <w:rPr>
          <w:rFonts w:eastAsia="標楷體" w:hint="eastAsia"/>
          <w:sz w:val="28"/>
          <w:szCs w:val="28"/>
        </w:rPr>
        <w:t>, 2017</w:t>
      </w:r>
    </w:p>
    <w:p w:rsidR="006A083A" w:rsidRPr="00543487" w:rsidRDefault="006A083A" w:rsidP="006A083A">
      <w:pPr>
        <w:spacing w:afterLines="100" w:after="240" w:line="520" w:lineRule="exact"/>
        <w:ind w:leftChars="330" w:left="660"/>
        <w:jc w:val="center"/>
        <w:rPr>
          <w:rFonts w:eastAsia="標楷體"/>
          <w:b/>
          <w:sz w:val="28"/>
          <w:szCs w:val="28"/>
        </w:rPr>
      </w:pPr>
      <w:r w:rsidRPr="00543487">
        <w:rPr>
          <w:rFonts w:eastAsia="標楷體"/>
          <w:b/>
          <w:sz w:val="28"/>
          <w:szCs w:val="28"/>
        </w:rPr>
        <w:t>Central Bank of the Republic of China (Taiwan)</w:t>
      </w:r>
    </w:p>
    <w:p w:rsidR="006A083A" w:rsidRPr="00543487" w:rsidRDefault="006A083A" w:rsidP="006A083A">
      <w:pPr>
        <w:spacing w:afterLines="100" w:after="240" w:line="520" w:lineRule="exact"/>
        <w:ind w:leftChars="330" w:left="660"/>
        <w:jc w:val="center"/>
        <w:rPr>
          <w:rFonts w:eastAsia="標楷體"/>
          <w:b/>
          <w:sz w:val="28"/>
          <w:szCs w:val="28"/>
        </w:rPr>
      </w:pPr>
      <w:r w:rsidRPr="00543487">
        <w:rPr>
          <w:rFonts w:eastAsia="標楷體"/>
          <w:b/>
          <w:sz w:val="28"/>
          <w:szCs w:val="28"/>
        </w:rPr>
        <w:t xml:space="preserve">PRESS RELEASE </w:t>
      </w:r>
    </w:p>
    <w:p w:rsidR="00BD32CA" w:rsidRDefault="006A083A" w:rsidP="00BD32CA">
      <w:pPr>
        <w:spacing w:afterLines="150" w:after="360" w:line="520" w:lineRule="exact"/>
        <w:ind w:leftChars="330" w:left="660"/>
        <w:jc w:val="center"/>
        <w:rPr>
          <w:rFonts w:eastAsia="標楷體"/>
          <w:b/>
          <w:sz w:val="28"/>
          <w:szCs w:val="28"/>
        </w:rPr>
      </w:pPr>
      <w:r w:rsidRPr="00543487">
        <w:rPr>
          <w:rFonts w:eastAsia="標楷體"/>
          <w:b/>
          <w:sz w:val="28"/>
          <w:szCs w:val="28"/>
        </w:rPr>
        <w:t>Monetary Policy Decision of the Board Meeting</w:t>
      </w:r>
    </w:p>
    <w:p w:rsidR="00BD32CA" w:rsidRPr="00055735" w:rsidRDefault="00055735" w:rsidP="00055735">
      <w:pPr>
        <w:spacing w:before="240" w:line="520" w:lineRule="exact"/>
        <w:jc w:val="both"/>
        <w:rPr>
          <w:rFonts w:eastAsia="標楷體"/>
          <w:sz w:val="28"/>
          <w:szCs w:val="28"/>
        </w:rPr>
      </w:pPr>
      <w:r>
        <w:rPr>
          <w:rFonts w:eastAsia="標楷體" w:hint="eastAsia"/>
          <w:sz w:val="28"/>
          <w:szCs w:val="28"/>
        </w:rPr>
        <w:t xml:space="preserve">I. </w:t>
      </w:r>
      <w:r w:rsidR="00BD32CA" w:rsidRPr="00055735">
        <w:rPr>
          <w:rFonts w:eastAsia="標楷體"/>
          <w:sz w:val="28"/>
          <w:szCs w:val="28"/>
        </w:rPr>
        <w:t>Global economic and financial conditions</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Since the Board met in late June this year, advanced economies and emerging market economies have both been recovering at a steady pace. International institutions have revised up global GDP growth forecasts for 2017 and expect the global economy to perform better next year than this year.</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However, the US Fed is about to initiate the balance sheet normalization program, while the ECB may also review its asset purchase scheme. In addition, the US economic and trade policies, the rise in trade protectionism, and geopolitical tension will all add to the risk to the global economic and financial outlook.</w:t>
      </w:r>
    </w:p>
    <w:p w:rsidR="00BD32CA" w:rsidRPr="00055735" w:rsidRDefault="00055735" w:rsidP="00055735">
      <w:pPr>
        <w:spacing w:before="240" w:line="520" w:lineRule="exact"/>
        <w:jc w:val="both"/>
        <w:rPr>
          <w:rFonts w:eastAsia="標楷體"/>
          <w:sz w:val="28"/>
          <w:szCs w:val="28"/>
        </w:rPr>
      </w:pPr>
      <w:r>
        <w:rPr>
          <w:rFonts w:eastAsia="標楷體" w:hint="eastAsia"/>
          <w:sz w:val="28"/>
          <w:szCs w:val="28"/>
        </w:rPr>
        <w:t xml:space="preserve">II. </w:t>
      </w:r>
      <w:r w:rsidR="00BD32CA" w:rsidRPr="00055735">
        <w:rPr>
          <w:rFonts w:eastAsia="標楷體"/>
          <w:sz w:val="28"/>
          <w:szCs w:val="28"/>
        </w:rPr>
        <w:t>Domestic economic and financial conditions</w:t>
      </w:r>
    </w:p>
    <w:p w:rsidR="00BD32CA" w:rsidRPr="00055735" w:rsidRDefault="00055735" w:rsidP="00055735">
      <w:pPr>
        <w:spacing w:before="240" w:line="520" w:lineRule="exact"/>
        <w:ind w:left="285" w:hanging="285"/>
        <w:jc w:val="both"/>
        <w:rPr>
          <w:rFonts w:eastAsia="標楷體"/>
          <w:sz w:val="28"/>
          <w:szCs w:val="28"/>
        </w:rPr>
      </w:pPr>
      <w:r>
        <w:rPr>
          <w:rFonts w:eastAsia="標楷體" w:hint="eastAsia"/>
          <w:sz w:val="28"/>
          <w:szCs w:val="28"/>
        </w:rPr>
        <w:t xml:space="preserve">1. </w:t>
      </w:r>
      <w:r w:rsidR="00BD32CA" w:rsidRPr="00055735">
        <w:rPr>
          <w:rFonts w:eastAsia="標楷體"/>
          <w:sz w:val="28"/>
          <w:szCs w:val="28"/>
        </w:rPr>
        <w:t>Since mid-2017, solid global economic growth has driven up exports. With regard to domestic demand, private consumption recorded limited growth, while declining capital equipment imports reflected the fact that firms were cautious about investment. The CBC forecasts that, in the second half of the year, Taiwan's economy will expand at an annual rate of 1.93%, slower than the first half year's 2.39%. For the year as a whole, the economic growth projection is 2.15%.</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lastRenderedPageBreak/>
        <w:t xml:space="preserve">Export growth is likely to benefit from a firming global economy next year. Meanwhile, the government rolled out the Forward-Looking Infrastructure Development Program to help bolster domestic demand with infrastructure spending. As a result, the CBC forecasts the domestic economy to advance by 2.20% for 2018. Recently-announced pay rise for public sector employees next year may also encourage private enterprises to follow suit, contributing to higher private consumption. This may help the domestic economy to register stronger growth than projected. </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 xml:space="preserve">Labor market conditions improved further and employment increased continuously, with the services sector accounting for a larger increase than others. For the first seven months of the year, the unemployment rate averaged 3.76%, decreasing by 0.15 percentage points compared to the same period last year. </w:t>
      </w:r>
    </w:p>
    <w:p w:rsidR="00BD32CA" w:rsidRPr="00055735" w:rsidRDefault="00055735" w:rsidP="00055735">
      <w:pPr>
        <w:spacing w:before="240" w:line="520" w:lineRule="exact"/>
        <w:ind w:left="285" w:hanging="285"/>
        <w:jc w:val="both"/>
        <w:rPr>
          <w:rFonts w:eastAsia="標楷體"/>
          <w:sz w:val="28"/>
          <w:szCs w:val="28"/>
        </w:rPr>
      </w:pPr>
      <w:r>
        <w:rPr>
          <w:rFonts w:eastAsia="標楷體" w:hint="eastAsia"/>
          <w:sz w:val="28"/>
          <w:szCs w:val="28"/>
        </w:rPr>
        <w:t xml:space="preserve">2. </w:t>
      </w:r>
      <w:r w:rsidR="00BD32CA" w:rsidRPr="00055735">
        <w:rPr>
          <w:rFonts w:eastAsia="標楷體"/>
          <w:sz w:val="28"/>
          <w:szCs w:val="28"/>
        </w:rPr>
        <w:t>From June onwards, on account of the rebound in domestic food prices, the CPI annual growth rate displayed a mild uptrend and reached 0.96% in August. For the first eight months of the year, the CPI annual growth rate averaged 0.72%. Core inflation (excluding vegetables, fruit, and energy items) recorded an average annual growth rate of 0.97%, indicating mild price rises. The CBC forecasts CPI and core inflation for 2017 to rise 0.80% and 1.04% year on year, respectively.</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Looking ahead to 2018, in the context of stabilizing international oil prices, subdued global inflation expectations, moderate domestic demand, and the output gap remaining negative, the CBC projects the annual growth rates of CPI and core CPI for 2018 to be 1.12% and 1.13%, respectively, reflecting a stable inflation outlook.</w:t>
      </w:r>
    </w:p>
    <w:p w:rsidR="00BD32CA" w:rsidRPr="00055735" w:rsidRDefault="00055735" w:rsidP="00055735">
      <w:pPr>
        <w:spacing w:before="240" w:line="520" w:lineRule="exact"/>
        <w:ind w:left="285" w:hanging="285"/>
        <w:jc w:val="both"/>
        <w:rPr>
          <w:rFonts w:eastAsia="標楷體"/>
          <w:sz w:val="28"/>
          <w:szCs w:val="28"/>
        </w:rPr>
      </w:pPr>
      <w:r>
        <w:rPr>
          <w:rFonts w:eastAsia="標楷體" w:hint="eastAsia"/>
          <w:sz w:val="28"/>
          <w:szCs w:val="28"/>
        </w:rPr>
        <w:lastRenderedPageBreak/>
        <w:t xml:space="preserve">3. </w:t>
      </w:r>
      <w:r w:rsidR="00BD32CA" w:rsidRPr="00055735">
        <w:rPr>
          <w:rFonts w:eastAsia="標楷體"/>
          <w:sz w:val="28"/>
          <w:szCs w:val="28"/>
        </w:rPr>
        <w:t xml:space="preserve">The CBC has continued to conduct open market operations to manage market liquidity. In the months from June to August, banks' excess reserves remained well sufficient. For the first eight months of the year, M2 and bank loans and investments posted average annual growth rates of 3.71% and 4.68%, respectively. This suggests that domestic financial conditions have been adequately accommodative and there is ample market liquidity to support expansions in corporate and household spending.     </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 xml:space="preserve">Since the Board last convened, the NT dollar has strengthened slightly against the US dollar, the interbank overnight call loan rates have held steady, and government bond yields have trended down. While many countries registered negative real interest rates, Taiwan has seen its real interest rate return to positive territory (see Appendices 1 and 2). </w:t>
      </w:r>
    </w:p>
    <w:p w:rsidR="00BD32CA" w:rsidRPr="00055735" w:rsidRDefault="00055735" w:rsidP="00055735">
      <w:pPr>
        <w:spacing w:before="240" w:line="520" w:lineRule="exact"/>
        <w:jc w:val="both"/>
        <w:rPr>
          <w:rFonts w:eastAsia="標楷體"/>
          <w:sz w:val="28"/>
          <w:szCs w:val="28"/>
        </w:rPr>
      </w:pPr>
      <w:r>
        <w:rPr>
          <w:rFonts w:eastAsia="標楷體" w:hint="eastAsia"/>
          <w:sz w:val="28"/>
          <w:szCs w:val="28"/>
        </w:rPr>
        <w:t xml:space="preserve">III. </w:t>
      </w:r>
      <w:r w:rsidR="00BD32CA" w:rsidRPr="00055735">
        <w:rPr>
          <w:rFonts w:eastAsia="標楷體"/>
          <w:sz w:val="28"/>
          <w:szCs w:val="28"/>
        </w:rPr>
        <w:t xml:space="preserve">Interest rate decision </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In sum, uncertainties over the global economic outlook still weigh on external demand; domestic demand is mild, and economic growth, though projected to pick up at a moderate pace in the second half of this year and next year, would still run below potential. Meanwhile, the real interest rate has risen above zero, and both current inflation and inflation expectations stay anchored. Against this backdrop, the Board judged that a policy rate hold is conducive to financial stability and economic recovery.</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The Board reached the following decision unanimously at the Meeting today:</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t>The discount rate, the rate on accommodations with collateral, and the rate on accommodations without collateral are kept unchanged at 1.375%, 1.75%, and 3.625%, respectively.</w:t>
      </w:r>
    </w:p>
    <w:p w:rsidR="00BD32CA" w:rsidRPr="00055735" w:rsidRDefault="00BD32CA" w:rsidP="00055735">
      <w:pPr>
        <w:spacing w:before="240" w:line="520" w:lineRule="exact"/>
        <w:ind w:leftChars="142" w:left="284"/>
        <w:jc w:val="both"/>
        <w:rPr>
          <w:rFonts w:eastAsia="標楷體"/>
          <w:sz w:val="28"/>
          <w:szCs w:val="28"/>
        </w:rPr>
      </w:pPr>
      <w:r w:rsidRPr="00055735">
        <w:rPr>
          <w:rFonts w:eastAsia="標楷體"/>
          <w:sz w:val="28"/>
          <w:szCs w:val="28"/>
        </w:rPr>
        <w:lastRenderedPageBreak/>
        <w:t>The CBC will continue to closely monitor the latest developments in both actual and expected inflation, output gap, and other international and domestic economic and financial conditions. We will undertake appropriate monetary policy actions accordingly in an attempt to fulfill the central bank’s statutory mandate.</w:t>
      </w:r>
    </w:p>
    <w:p w:rsidR="00BD32CA" w:rsidRPr="00055735" w:rsidRDefault="00055735" w:rsidP="00055735">
      <w:pPr>
        <w:spacing w:before="240" w:line="520" w:lineRule="exact"/>
        <w:ind w:left="283" w:hangingChars="101" w:hanging="283"/>
        <w:jc w:val="both"/>
        <w:rPr>
          <w:rFonts w:eastAsia="標楷體"/>
          <w:sz w:val="28"/>
          <w:szCs w:val="28"/>
        </w:rPr>
      </w:pPr>
      <w:r>
        <w:rPr>
          <w:rFonts w:eastAsia="標楷體" w:hint="eastAsia"/>
          <w:sz w:val="28"/>
          <w:szCs w:val="28"/>
        </w:rPr>
        <w:t xml:space="preserve">IV. </w:t>
      </w:r>
      <w:r w:rsidR="00BD32CA" w:rsidRPr="00055735">
        <w:rPr>
          <w:rFonts w:eastAsia="標楷體"/>
          <w:sz w:val="28"/>
          <w:szCs w:val="28"/>
        </w:rPr>
        <w:t>In principle, the NT dollar exchange rate is determined by market forces. If irregular factors (such as massive inflows or outflows of short-term capital) lead to excess volatility and disorderly movements in the NT dollar exchange rate with adverse implications for economic and financial stability, the CBC will, in line with its mandate, step in to maintain an orderly market so as to ensure economic and financial stability.</w:t>
      </w:r>
    </w:p>
    <w:p w:rsidR="00BD32CA" w:rsidRDefault="00BD32CA">
      <w:pPr>
        <w:widowControl/>
        <w:adjustRightInd/>
        <w:spacing w:line="240" w:lineRule="auto"/>
        <w:textAlignment w:val="auto"/>
        <w:rPr>
          <w:rFonts w:eastAsia="標楷體"/>
          <w:b/>
          <w:sz w:val="32"/>
        </w:rPr>
      </w:pPr>
    </w:p>
    <w:p w:rsidR="00BD32CA" w:rsidRDefault="00BD32CA">
      <w:pPr>
        <w:widowControl/>
        <w:adjustRightInd/>
        <w:spacing w:line="240" w:lineRule="auto"/>
        <w:textAlignment w:val="auto"/>
        <w:rPr>
          <w:rFonts w:eastAsia="標楷體"/>
          <w:b/>
          <w:sz w:val="32"/>
        </w:rPr>
      </w:pPr>
      <w:r>
        <w:rPr>
          <w:rFonts w:eastAsia="標楷體"/>
          <w:b/>
          <w:sz w:val="32"/>
        </w:rPr>
        <w:br w:type="page"/>
      </w:r>
    </w:p>
    <w:p w:rsidR="00BD32CA" w:rsidRDefault="00BD32CA" w:rsidP="00A73568">
      <w:pPr>
        <w:spacing w:line="480" w:lineRule="exact"/>
        <w:jc w:val="center"/>
        <w:rPr>
          <w:rFonts w:eastAsia="標楷體"/>
          <w:b/>
          <w:sz w:val="28"/>
          <w:szCs w:val="28"/>
        </w:rPr>
      </w:pPr>
      <w:r>
        <w:rPr>
          <w:rFonts w:eastAsia="標楷體" w:hint="eastAsia"/>
          <w:b/>
          <w:sz w:val="28"/>
          <w:szCs w:val="28"/>
        </w:rPr>
        <w:lastRenderedPageBreak/>
        <w:t xml:space="preserve">Appendix 1 </w:t>
      </w:r>
    </w:p>
    <w:p w:rsidR="00BD32CA" w:rsidRDefault="00BD32CA" w:rsidP="00FD4480">
      <w:pPr>
        <w:spacing w:line="480" w:lineRule="exact"/>
        <w:jc w:val="center"/>
        <w:rPr>
          <w:rFonts w:eastAsia="標楷體"/>
          <w:b/>
          <w:sz w:val="28"/>
          <w:szCs w:val="28"/>
        </w:rPr>
      </w:pPr>
      <w:r>
        <w:rPr>
          <w:rFonts w:eastAsia="標楷體" w:hint="eastAsia"/>
          <w:b/>
          <w:sz w:val="28"/>
          <w:szCs w:val="28"/>
        </w:rPr>
        <w:t>Real Interest Rates and Economic Growth of Selected Economies</w:t>
      </w:r>
      <w:r>
        <w:rPr>
          <w:rFonts w:eastAsia="標楷體"/>
          <w:b/>
          <w:sz w:val="28"/>
          <w:szCs w:val="28"/>
        </w:rPr>
        <w:t xml:space="preserve"> </w:t>
      </w:r>
    </w:p>
    <w:tbl>
      <w:tblPr>
        <w:tblW w:w="9220" w:type="dxa"/>
        <w:tblInd w:w="13" w:type="dxa"/>
        <w:tblCellMar>
          <w:left w:w="28" w:type="dxa"/>
          <w:right w:w="28" w:type="dxa"/>
        </w:tblCellMar>
        <w:tblLook w:val="04A0" w:firstRow="1" w:lastRow="0" w:firstColumn="1" w:lastColumn="0" w:noHBand="0" w:noVBand="1"/>
      </w:tblPr>
      <w:tblGrid>
        <w:gridCol w:w="1460"/>
        <w:gridCol w:w="2180"/>
        <w:gridCol w:w="1860"/>
        <w:gridCol w:w="1860"/>
        <w:gridCol w:w="1860"/>
      </w:tblGrid>
      <w:tr w:rsidR="00BD32CA" w:rsidRPr="00323125" w:rsidTr="00323125">
        <w:trPr>
          <w:trHeight w:val="696"/>
        </w:trPr>
        <w:tc>
          <w:tcPr>
            <w:tcW w:w="1460" w:type="dxa"/>
            <w:tcBorders>
              <w:top w:val="nil"/>
              <w:left w:val="nil"/>
              <w:bottom w:val="nil"/>
              <w:right w:val="nil"/>
            </w:tcBorders>
            <w:shd w:val="clear" w:color="auto" w:fill="auto"/>
            <w:noWrap/>
            <w:vAlign w:val="bottom"/>
            <w:hideMark/>
          </w:tcPr>
          <w:p w:rsidR="00BD32CA" w:rsidRPr="00FD4480" w:rsidRDefault="00BD32CA" w:rsidP="00323125">
            <w:pPr>
              <w:widowControl/>
              <w:jc w:val="center"/>
              <w:rPr>
                <w:sz w:val="32"/>
                <w:szCs w:val="32"/>
              </w:rPr>
            </w:pPr>
          </w:p>
        </w:tc>
        <w:tc>
          <w:tcPr>
            <w:tcW w:w="2180" w:type="dxa"/>
            <w:tcBorders>
              <w:top w:val="nil"/>
              <w:left w:val="nil"/>
              <w:bottom w:val="nil"/>
              <w:right w:val="nil"/>
            </w:tcBorders>
            <w:shd w:val="clear" w:color="auto" w:fill="auto"/>
            <w:noWrap/>
            <w:vAlign w:val="bottom"/>
            <w:hideMark/>
          </w:tcPr>
          <w:p w:rsidR="00BD32CA" w:rsidRPr="00323125" w:rsidRDefault="00BD32CA" w:rsidP="00323125">
            <w:pPr>
              <w:widowControl/>
              <w:jc w:val="center"/>
            </w:pPr>
          </w:p>
        </w:tc>
        <w:tc>
          <w:tcPr>
            <w:tcW w:w="1860" w:type="dxa"/>
            <w:tcBorders>
              <w:top w:val="nil"/>
              <w:left w:val="nil"/>
              <w:bottom w:val="nil"/>
              <w:right w:val="nil"/>
            </w:tcBorders>
            <w:shd w:val="clear" w:color="auto" w:fill="auto"/>
            <w:noWrap/>
            <w:vAlign w:val="bottom"/>
            <w:hideMark/>
          </w:tcPr>
          <w:p w:rsidR="00BD32CA" w:rsidRPr="00323125" w:rsidRDefault="00BD32CA" w:rsidP="00323125">
            <w:pPr>
              <w:widowControl/>
              <w:jc w:val="center"/>
            </w:pPr>
          </w:p>
        </w:tc>
        <w:tc>
          <w:tcPr>
            <w:tcW w:w="1860" w:type="dxa"/>
            <w:tcBorders>
              <w:top w:val="nil"/>
              <w:left w:val="nil"/>
              <w:bottom w:val="nil"/>
              <w:right w:val="nil"/>
            </w:tcBorders>
            <w:shd w:val="clear" w:color="auto" w:fill="auto"/>
            <w:noWrap/>
            <w:vAlign w:val="bottom"/>
            <w:hideMark/>
          </w:tcPr>
          <w:p w:rsidR="00BD32CA" w:rsidRPr="00323125" w:rsidRDefault="00BD32CA" w:rsidP="00323125">
            <w:pPr>
              <w:widowControl/>
              <w:jc w:val="center"/>
            </w:pPr>
          </w:p>
        </w:tc>
        <w:tc>
          <w:tcPr>
            <w:tcW w:w="1860" w:type="dxa"/>
            <w:tcBorders>
              <w:top w:val="nil"/>
              <w:left w:val="nil"/>
              <w:bottom w:val="nil"/>
              <w:right w:val="nil"/>
            </w:tcBorders>
            <w:shd w:val="clear" w:color="auto" w:fill="auto"/>
            <w:noWrap/>
            <w:vAlign w:val="bottom"/>
            <w:hideMark/>
          </w:tcPr>
          <w:p w:rsidR="00BD32CA" w:rsidRPr="00323125" w:rsidRDefault="00BD32CA" w:rsidP="00323125">
            <w:pPr>
              <w:widowControl/>
              <w:jc w:val="right"/>
              <w:rPr>
                <w:rFonts w:ascii="標楷體" w:eastAsia="標楷體" w:hAnsi="標楷體" w:cs="Arial"/>
              </w:rPr>
            </w:pPr>
            <w:r w:rsidRPr="00FD4480">
              <w:rPr>
                <w:rFonts w:eastAsia="標楷體"/>
              </w:rPr>
              <w:t>Unit:</w:t>
            </w:r>
            <w:r>
              <w:rPr>
                <w:rFonts w:eastAsia="標楷體" w:hint="eastAsia"/>
              </w:rPr>
              <w:t xml:space="preserve"> </w:t>
            </w:r>
            <w:r w:rsidRPr="00323125">
              <w:rPr>
                <w:rFonts w:eastAsia="標楷體"/>
              </w:rPr>
              <w:t>%</w:t>
            </w:r>
          </w:p>
        </w:tc>
      </w:tr>
      <w:tr w:rsidR="00BD32CA" w:rsidRPr="00FD4480" w:rsidTr="00323125">
        <w:trPr>
          <w:trHeight w:val="504"/>
        </w:trPr>
        <w:tc>
          <w:tcPr>
            <w:tcW w:w="146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BD32CA" w:rsidRPr="00FD4480" w:rsidRDefault="00BD32CA" w:rsidP="00323125">
            <w:pPr>
              <w:widowControl/>
              <w:snapToGrid w:val="0"/>
              <w:jc w:val="center"/>
              <w:rPr>
                <w:rFonts w:eastAsia="標楷體"/>
              </w:rPr>
            </w:pPr>
            <w:r w:rsidRPr="00FD4480">
              <w:rPr>
                <w:rFonts w:eastAsia="標楷體"/>
              </w:rPr>
              <w:t>Economies</w:t>
            </w:r>
          </w:p>
        </w:tc>
        <w:tc>
          <w:tcPr>
            <w:tcW w:w="2180" w:type="dxa"/>
            <w:tcBorders>
              <w:top w:val="single" w:sz="8" w:space="0" w:color="auto"/>
              <w:left w:val="nil"/>
              <w:bottom w:val="nil"/>
              <w:right w:val="single" w:sz="4" w:space="0" w:color="auto"/>
            </w:tcBorders>
            <w:shd w:val="clear" w:color="auto" w:fill="auto"/>
            <w:noWrap/>
            <w:vAlign w:val="bottom"/>
            <w:hideMark/>
          </w:tcPr>
          <w:p w:rsidR="00BD32CA" w:rsidRPr="00FD4480" w:rsidRDefault="00BD32CA" w:rsidP="00323125">
            <w:pPr>
              <w:widowControl/>
              <w:snapToGrid w:val="0"/>
              <w:jc w:val="center"/>
            </w:pPr>
            <w:r w:rsidRPr="00FD4480">
              <w:t>(1)</w:t>
            </w:r>
          </w:p>
        </w:tc>
        <w:tc>
          <w:tcPr>
            <w:tcW w:w="1860" w:type="dxa"/>
            <w:tcBorders>
              <w:top w:val="single" w:sz="8" w:space="0" w:color="auto"/>
              <w:left w:val="nil"/>
              <w:bottom w:val="nil"/>
              <w:right w:val="single" w:sz="4" w:space="0" w:color="auto"/>
            </w:tcBorders>
            <w:shd w:val="clear" w:color="auto" w:fill="auto"/>
            <w:noWrap/>
            <w:vAlign w:val="bottom"/>
            <w:hideMark/>
          </w:tcPr>
          <w:p w:rsidR="00BD32CA" w:rsidRPr="00FD4480" w:rsidRDefault="00BD32CA" w:rsidP="00323125">
            <w:pPr>
              <w:widowControl/>
              <w:snapToGrid w:val="0"/>
              <w:jc w:val="center"/>
            </w:pPr>
            <w:r w:rsidRPr="00FD4480">
              <w:t>(2)</w:t>
            </w:r>
          </w:p>
        </w:tc>
        <w:tc>
          <w:tcPr>
            <w:tcW w:w="1860" w:type="dxa"/>
            <w:tcBorders>
              <w:top w:val="single" w:sz="8" w:space="0" w:color="auto"/>
              <w:left w:val="nil"/>
              <w:bottom w:val="nil"/>
              <w:right w:val="nil"/>
            </w:tcBorders>
            <w:shd w:val="clear" w:color="auto" w:fill="auto"/>
            <w:noWrap/>
            <w:vAlign w:val="bottom"/>
            <w:hideMark/>
          </w:tcPr>
          <w:p w:rsidR="00BD32CA" w:rsidRPr="00FD4480" w:rsidRDefault="00BD32CA" w:rsidP="00323125">
            <w:pPr>
              <w:widowControl/>
              <w:snapToGrid w:val="0"/>
              <w:jc w:val="center"/>
            </w:pPr>
            <w:r w:rsidRPr="00FD4480">
              <w:t>(3)=(1)-(2)</w:t>
            </w:r>
          </w:p>
        </w:tc>
        <w:tc>
          <w:tcPr>
            <w:tcW w:w="186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BD32CA" w:rsidRPr="00FD4480" w:rsidRDefault="00BD32CA" w:rsidP="00FD4480">
            <w:pPr>
              <w:widowControl/>
              <w:snapToGrid w:val="0"/>
              <w:jc w:val="center"/>
              <w:rPr>
                <w:b/>
              </w:rPr>
            </w:pPr>
            <w:r w:rsidRPr="00FD4480">
              <w:rPr>
                <w:b/>
              </w:rPr>
              <w:t xml:space="preserve">GDP </w:t>
            </w:r>
          </w:p>
          <w:p w:rsidR="00BD32CA" w:rsidRPr="00FD4480" w:rsidRDefault="00BD32CA" w:rsidP="00FD4480">
            <w:pPr>
              <w:widowControl/>
              <w:snapToGrid w:val="0"/>
              <w:jc w:val="center"/>
              <w:rPr>
                <w:b/>
              </w:rPr>
            </w:pPr>
            <w:r w:rsidRPr="00FD4480">
              <w:rPr>
                <w:b/>
              </w:rPr>
              <w:t xml:space="preserve">growth rate </w:t>
            </w:r>
          </w:p>
          <w:p w:rsidR="00BD32CA" w:rsidRPr="00FD4480" w:rsidRDefault="00BD32CA" w:rsidP="00FD4480">
            <w:pPr>
              <w:widowControl/>
              <w:snapToGrid w:val="0"/>
              <w:jc w:val="center"/>
            </w:pPr>
            <w:r w:rsidRPr="00FD4480">
              <w:rPr>
                <w:b/>
              </w:rPr>
              <w:t>(2017 forecast)</w:t>
            </w:r>
            <w:r w:rsidRPr="00FD4480">
              <w:t>**</w:t>
            </w:r>
          </w:p>
        </w:tc>
      </w:tr>
      <w:tr w:rsidR="00BD32CA" w:rsidRPr="00323125" w:rsidTr="00323125">
        <w:trPr>
          <w:trHeight w:val="504"/>
        </w:trPr>
        <w:tc>
          <w:tcPr>
            <w:tcW w:w="1460" w:type="dxa"/>
            <w:vMerge/>
            <w:tcBorders>
              <w:top w:val="single" w:sz="8" w:space="0" w:color="auto"/>
              <w:left w:val="single" w:sz="8" w:space="0" w:color="auto"/>
              <w:bottom w:val="single" w:sz="4" w:space="0" w:color="000000"/>
              <w:right w:val="single" w:sz="4" w:space="0" w:color="auto"/>
            </w:tcBorders>
            <w:vAlign w:val="center"/>
            <w:hideMark/>
          </w:tcPr>
          <w:p w:rsidR="00BD32CA" w:rsidRPr="00323125" w:rsidRDefault="00BD32CA" w:rsidP="00323125">
            <w:pPr>
              <w:widowControl/>
              <w:snapToGrid w:val="0"/>
              <w:rPr>
                <w:rFonts w:ascii="標楷體" w:eastAsia="標楷體" w:hAnsi="標楷體" w:cs="Arial"/>
              </w:rPr>
            </w:pPr>
          </w:p>
        </w:tc>
        <w:tc>
          <w:tcPr>
            <w:tcW w:w="2180" w:type="dxa"/>
            <w:tcBorders>
              <w:top w:val="nil"/>
              <w:left w:val="nil"/>
              <w:bottom w:val="nil"/>
              <w:right w:val="single" w:sz="4" w:space="0" w:color="auto"/>
            </w:tcBorders>
            <w:shd w:val="clear" w:color="auto" w:fill="auto"/>
            <w:vAlign w:val="center"/>
            <w:hideMark/>
          </w:tcPr>
          <w:p w:rsidR="00BD32CA" w:rsidRPr="00323125" w:rsidRDefault="00BD32CA" w:rsidP="0046400E">
            <w:pPr>
              <w:widowControl/>
              <w:snapToGrid w:val="0"/>
              <w:jc w:val="center"/>
            </w:pPr>
            <w:r w:rsidRPr="00E20FEE">
              <w:t xml:space="preserve">1-year time deposit rate </w:t>
            </w:r>
          </w:p>
        </w:tc>
        <w:tc>
          <w:tcPr>
            <w:tcW w:w="1860" w:type="dxa"/>
            <w:tcBorders>
              <w:top w:val="nil"/>
              <w:left w:val="nil"/>
              <w:bottom w:val="nil"/>
              <w:right w:val="single" w:sz="4" w:space="0" w:color="auto"/>
            </w:tcBorders>
            <w:shd w:val="clear" w:color="auto" w:fill="auto"/>
            <w:noWrap/>
            <w:vAlign w:val="center"/>
            <w:hideMark/>
          </w:tcPr>
          <w:p w:rsidR="00BD32CA" w:rsidRPr="00FD4480" w:rsidRDefault="00BD32CA" w:rsidP="0046400E">
            <w:pPr>
              <w:widowControl/>
              <w:snapToGrid w:val="0"/>
              <w:jc w:val="center"/>
            </w:pPr>
            <w:r w:rsidRPr="00FD4480">
              <w:t>CPI annual growth rate **</w:t>
            </w:r>
          </w:p>
        </w:tc>
        <w:tc>
          <w:tcPr>
            <w:tcW w:w="186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BD32CA" w:rsidRPr="00FD4480" w:rsidRDefault="00BD32CA" w:rsidP="00323125">
            <w:pPr>
              <w:widowControl/>
              <w:snapToGrid w:val="0"/>
              <w:jc w:val="center"/>
              <w:rPr>
                <w:rFonts w:eastAsia="標楷體"/>
                <w:b/>
                <w:bCs/>
              </w:rPr>
            </w:pPr>
            <w:r w:rsidRPr="00FD4480">
              <w:rPr>
                <w:rFonts w:eastAsia="標楷體"/>
                <w:b/>
                <w:bCs/>
              </w:rPr>
              <w:t>Real interest rate</w:t>
            </w:r>
          </w:p>
        </w:tc>
        <w:tc>
          <w:tcPr>
            <w:tcW w:w="1860" w:type="dxa"/>
            <w:vMerge/>
            <w:tcBorders>
              <w:top w:val="single" w:sz="8" w:space="0" w:color="auto"/>
              <w:left w:val="single" w:sz="8" w:space="0" w:color="auto"/>
              <w:bottom w:val="single" w:sz="4" w:space="0" w:color="000000"/>
              <w:right w:val="single" w:sz="8" w:space="0" w:color="auto"/>
            </w:tcBorders>
            <w:vAlign w:val="center"/>
            <w:hideMark/>
          </w:tcPr>
          <w:p w:rsidR="00BD32CA" w:rsidRPr="00323125" w:rsidRDefault="00BD32CA" w:rsidP="00323125">
            <w:pPr>
              <w:widowControl/>
              <w:snapToGrid w:val="0"/>
            </w:pPr>
          </w:p>
        </w:tc>
      </w:tr>
      <w:tr w:rsidR="00BD32CA" w:rsidRPr="00323125" w:rsidTr="00323125">
        <w:trPr>
          <w:trHeight w:val="504"/>
        </w:trPr>
        <w:tc>
          <w:tcPr>
            <w:tcW w:w="1460" w:type="dxa"/>
            <w:vMerge/>
            <w:tcBorders>
              <w:top w:val="single" w:sz="8" w:space="0" w:color="auto"/>
              <w:left w:val="single" w:sz="8" w:space="0" w:color="auto"/>
              <w:bottom w:val="single" w:sz="4" w:space="0" w:color="000000"/>
              <w:right w:val="single" w:sz="4" w:space="0" w:color="auto"/>
            </w:tcBorders>
            <w:vAlign w:val="center"/>
            <w:hideMark/>
          </w:tcPr>
          <w:p w:rsidR="00BD32CA" w:rsidRPr="00323125" w:rsidRDefault="00BD32CA" w:rsidP="00323125">
            <w:pPr>
              <w:widowControl/>
              <w:snapToGrid w:val="0"/>
              <w:rPr>
                <w:rFonts w:ascii="標楷體" w:eastAsia="標楷體" w:hAnsi="標楷體" w:cs="Arial"/>
              </w:rPr>
            </w:pPr>
          </w:p>
        </w:tc>
        <w:tc>
          <w:tcPr>
            <w:tcW w:w="2180" w:type="dxa"/>
            <w:tcBorders>
              <w:top w:val="nil"/>
              <w:left w:val="nil"/>
              <w:bottom w:val="nil"/>
              <w:right w:val="single" w:sz="4" w:space="0" w:color="auto"/>
            </w:tcBorders>
            <w:shd w:val="clear" w:color="auto" w:fill="auto"/>
            <w:noWrap/>
            <w:vAlign w:val="center"/>
            <w:hideMark/>
          </w:tcPr>
          <w:p w:rsidR="00BD32CA" w:rsidRPr="00323125" w:rsidRDefault="00BD32CA" w:rsidP="0046400E">
            <w:pPr>
              <w:widowControl/>
              <w:snapToGrid w:val="0"/>
              <w:jc w:val="center"/>
            </w:pPr>
            <w:r w:rsidRPr="00323125">
              <w:t>(</w:t>
            </w:r>
            <w:r>
              <w:rPr>
                <w:rFonts w:hint="eastAsia"/>
              </w:rPr>
              <w:t xml:space="preserve">As of </w:t>
            </w:r>
            <w:r w:rsidRPr="00323125">
              <w:t>2017</w:t>
            </w:r>
            <w:r>
              <w:rPr>
                <w:rFonts w:ascii="標楷體" w:eastAsia="標楷體" w:hAnsi="標楷體" w:hint="eastAsia"/>
              </w:rPr>
              <w:t>/</w:t>
            </w:r>
            <w:r w:rsidRPr="00323125">
              <w:t>9</w:t>
            </w:r>
            <w:r>
              <w:rPr>
                <w:rFonts w:ascii="標楷體" w:eastAsia="標楷體" w:hAnsi="標楷體" w:hint="eastAsia"/>
              </w:rPr>
              <w:t>/</w:t>
            </w:r>
            <w:r>
              <w:rPr>
                <w:rFonts w:hint="eastAsia"/>
              </w:rPr>
              <w:t>21</w:t>
            </w:r>
            <w:r w:rsidRPr="00323125">
              <w:t>)</w:t>
            </w:r>
          </w:p>
        </w:tc>
        <w:tc>
          <w:tcPr>
            <w:tcW w:w="1860" w:type="dxa"/>
            <w:tcBorders>
              <w:top w:val="nil"/>
              <w:left w:val="nil"/>
              <w:bottom w:val="nil"/>
              <w:right w:val="single" w:sz="4" w:space="0" w:color="auto"/>
            </w:tcBorders>
            <w:shd w:val="clear" w:color="auto" w:fill="auto"/>
            <w:noWrap/>
            <w:vAlign w:val="center"/>
            <w:hideMark/>
          </w:tcPr>
          <w:p w:rsidR="00BD32CA" w:rsidRPr="00FD4480" w:rsidRDefault="00BD32CA" w:rsidP="00323125">
            <w:pPr>
              <w:widowControl/>
              <w:snapToGrid w:val="0"/>
              <w:jc w:val="center"/>
            </w:pPr>
            <w:r w:rsidRPr="00FD4480">
              <w:t>(2017</w:t>
            </w:r>
            <w:r w:rsidRPr="00FD4480">
              <w:rPr>
                <w:rFonts w:eastAsia="標楷體"/>
              </w:rPr>
              <w:t xml:space="preserve"> forecast</w:t>
            </w:r>
            <w:r w:rsidRPr="00FD4480">
              <w:t>)</w:t>
            </w:r>
          </w:p>
        </w:tc>
        <w:tc>
          <w:tcPr>
            <w:tcW w:w="1860" w:type="dxa"/>
            <w:vMerge/>
            <w:tcBorders>
              <w:top w:val="nil"/>
              <w:left w:val="single" w:sz="4" w:space="0" w:color="auto"/>
              <w:bottom w:val="single" w:sz="4" w:space="0" w:color="000000"/>
              <w:right w:val="single" w:sz="8" w:space="0" w:color="auto"/>
            </w:tcBorders>
            <w:vAlign w:val="center"/>
            <w:hideMark/>
          </w:tcPr>
          <w:p w:rsidR="00BD32CA" w:rsidRPr="00FD4480" w:rsidRDefault="00BD32CA" w:rsidP="00323125">
            <w:pPr>
              <w:widowControl/>
              <w:snapToGrid w:val="0"/>
              <w:rPr>
                <w:rFonts w:eastAsia="標楷體"/>
                <w:b/>
                <w:bCs/>
              </w:rPr>
            </w:pPr>
          </w:p>
        </w:tc>
        <w:tc>
          <w:tcPr>
            <w:tcW w:w="1860" w:type="dxa"/>
            <w:vMerge/>
            <w:tcBorders>
              <w:top w:val="single" w:sz="8" w:space="0" w:color="auto"/>
              <w:left w:val="single" w:sz="8" w:space="0" w:color="auto"/>
              <w:bottom w:val="single" w:sz="4" w:space="0" w:color="000000"/>
              <w:right w:val="single" w:sz="8" w:space="0" w:color="auto"/>
            </w:tcBorders>
            <w:vAlign w:val="center"/>
            <w:hideMark/>
          </w:tcPr>
          <w:p w:rsidR="00BD32CA" w:rsidRPr="00323125" w:rsidRDefault="00BD32CA" w:rsidP="00323125">
            <w:pPr>
              <w:widowControl/>
              <w:snapToGrid w:val="0"/>
            </w:pP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FD4480">
            <w:pPr>
              <w:widowControl/>
              <w:snapToGrid w:val="0"/>
              <w:spacing w:line="280" w:lineRule="exact"/>
              <w:jc w:val="center"/>
              <w:rPr>
                <w:rFonts w:eastAsia="標楷體"/>
                <w:szCs w:val="26"/>
              </w:rPr>
            </w:pPr>
            <w:r w:rsidRPr="00FD4480">
              <w:rPr>
                <w:rFonts w:eastAsia="標楷體" w:hint="eastAsia"/>
                <w:szCs w:val="26"/>
              </w:rPr>
              <w:t>Indonesia</w:t>
            </w:r>
          </w:p>
        </w:tc>
        <w:tc>
          <w:tcPr>
            <w:tcW w:w="2180" w:type="dxa"/>
            <w:tcBorders>
              <w:top w:val="single" w:sz="4" w:space="0" w:color="auto"/>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4.750</w:t>
            </w:r>
          </w:p>
        </w:tc>
        <w:tc>
          <w:tcPr>
            <w:tcW w:w="1860" w:type="dxa"/>
            <w:tcBorders>
              <w:top w:val="single" w:sz="4" w:space="0" w:color="auto"/>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3.88</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0.870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5.0</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szCs w:val="26"/>
              </w:rPr>
              <w:t>Thailand</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1.500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0.67</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0.830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3.5</w:t>
            </w:r>
          </w:p>
        </w:tc>
      </w:tr>
      <w:tr w:rsidR="00BD32CA" w:rsidRPr="001E366D" w:rsidTr="001E366D">
        <w:trPr>
          <w:trHeight w:val="588"/>
        </w:trPr>
        <w:tc>
          <w:tcPr>
            <w:tcW w:w="1460" w:type="dxa"/>
            <w:tcBorders>
              <w:top w:val="nil"/>
              <w:left w:val="single" w:sz="8" w:space="0" w:color="auto"/>
              <w:bottom w:val="single" w:sz="4" w:space="0" w:color="auto"/>
              <w:right w:val="single" w:sz="4" w:space="0" w:color="auto"/>
            </w:tcBorders>
            <w:shd w:val="clear" w:color="auto" w:fill="FFFFCC"/>
            <w:noWrap/>
            <w:vAlign w:val="center"/>
            <w:hideMark/>
          </w:tcPr>
          <w:p w:rsidR="00BD32CA" w:rsidRPr="00FD4480" w:rsidRDefault="00BD32CA" w:rsidP="00A73568">
            <w:pPr>
              <w:widowControl/>
              <w:snapToGrid w:val="0"/>
              <w:spacing w:line="280" w:lineRule="exact"/>
              <w:jc w:val="center"/>
              <w:rPr>
                <w:rFonts w:eastAsia="標楷體"/>
                <w:b/>
                <w:bCs/>
                <w:szCs w:val="26"/>
              </w:rPr>
            </w:pPr>
            <w:r w:rsidRPr="00FD4480">
              <w:rPr>
                <w:rFonts w:eastAsia="標楷體" w:hint="eastAsia"/>
                <w:b/>
                <w:bCs/>
                <w:szCs w:val="26"/>
              </w:rPr>
              <w:t>T</w:t>
            </w:r>
            <w:r w:rsidRPr="00FD4480">
              <w:rPr>
                <w:rFonts w:eastAsia="標楷體"/>
                <w:b/>
                <w:bCs/>
                <w:szCs w:val="26"/>
              </w:rPr>
              <w:t>a</w:t>
            </w:r>
            <w:r w:rsidRPr="00FD4480">
              <w:rPr>
                <w:rFonts w:eastAsia="標楷體" w:hint="eastAsia"/>
                <w:b/>
                <w:bCs/>
                <w:szCs w:val="26"/>
              </w:rPr>
              <w:t xml:space="preserve">iwan </w:t>
            </w:r>
          </w:p>
        </w:tc>
        <w:tc>
          <w:tcPr>
            <w:tcW w:w="2180" w:type="dxa"/>
            <w:tcBorders>
              <w:top w:val="nil"/>
              <w:left w:val="nil"/>
              <w:bottom w:val="single" w:sz="4" w:space="0" w:color="auto"/>
              <w:right w:val="single" w:sz="4" w:space="0" w:color="auto"/>
            </w:tcBorders>
            <w:shd w:val="clear" w:color="auto" w:fill="FFFFCC"/>
            <w:vAlign w:val="center"/>
            <w:hideMark/>
          </w:tcPr>
          <w:p w:rsidR="00BD32CA" w:rsidRPr="001E366D" w:rsidRDefault="00BD32CA" w:rsidP="001E366D">
            <w:pPr>
              <w:jc w:val="center"/>
              <w:rPr>
                <w:rFonts w:eastAsia="標楷體"/>
                <w:b/>
              </w:rPr>
            </w:pPr>
            <w:r w:rsidRPr="001E366D">
              <w:rPr>
                <w:rFonts w:eastAsia="標楷體"/>
                <w:b/>
              </w:rPr>
              <w:t>1.065</w:t>
            </w:r>
            <w:r w:rsidRPr="00323125">
              <w:t>*</w:t>
            </w:r>
          </w:p>
        </w:tc>
        <w:tc>
          <w:tcPr>
            <w:tcW w:w="1860" w:type="dxa"/>
            <w:tcBorders>
              <w:top w:val="nil"/>
              <w:left w:val="nil"/>
              <w:bottom w:val="single" w:sz="4" w:space="0" w:color="auto"/>
              <w:right w:val="single" w:sz="4" w:space="0" w:color="auto"/>
            </w:tcBorders>
            <w:shd w:val="clear" w:color="auto" w:fill="FFFFCC"/>
            <w:vAlign w:val="center"/>
            <w:hideMark/>
          </w:tcPr>
          <w:p w:rsidR="00BD32CA" w:rsidRPr="001E366D" w:rsidRDefault="00BD32CA" w:rsidP="001E366D">
            <w:pPr>
              <w:jc w:val="center"/>
              <w:rPr>
                <w:rFonts w:eastAsia="標楷體"/>
                <w:b/>
              </w:rPr>
            </w:pPr>
            <w:r w:rsidRPr="001E366D">
              <w:rPr>
                <w:rFonts w:eastAsia="標楷體"/>
                <w:b/>
              </w:rPr>
              <w:t>0.80</w:t>
            </w:r>
          </w:p>
        </w:tc>
        <w:tc>
          <w:tcPr>
            <w:tcW w:w="1860" w:type="dxa"/>
            <w:tcBorders>
              <w:top w:val="nil"/>
              <w:left w:val="nil"/>
              <w:bottom w:val="single" w:sz="4" w:space="0" w:color="auto"/>
              <w:right w:val="single" w:sz="8" w:space="0" w:color="auto"/>
            </w:tcBorders>
            <w:shd w:val="clear" w:color="auto" w:fill="FFFFCC"/>
            <w:vAlign w:val="center"/>
            <w:hideMark/>
          </w:tcPr>
          <w:p w:rsidR="00BD32CA" w:rsidRPr="001E366D" w:rsidRDefault="00BD32CA" w:rsidP="001E366D">
            <w:pPr>
              <w:jc w:val="center"/>
              <w:rPr>
                <w:rFonts w:eastAsia="標楷體"/>
                <w:b/>
              </w:rPr>
            </w:pPr>
            <w:r w:rsidRPr="001E366D">
              <w:rPr>
                <w:rFonts w:eastAsia="標楷體"/>
                <w:b/>
              </w:rPr>
              <w:t>0.265</w:t>
            </w:r>
          </w:p>
        </w:tc>
        <w:tc>
          <w:tcPr>
            <w:tcW w:w="1860" w:type="dxa"/>
            <w:tcBorders>
              <w:top w:val="nil"/>
              <w:left w:val="single" w:sz="4" w:space="0" w:color="auto"/>
              <w:bottom w:val="single" w:sz="4" w:space="0" w:color="auto"/>
              <w:right w:val="single" w:sz="8" w:space="0" w:color="auto"/>
            </w:tcBorders>
            <w:shd w:val="clear" w:color="auto" w:fill="FFFFCC"/>
            <w:vAlign w:val="center"/>
            <w:hideMark/>
          </w:tcPr>
          <w:p w:rsidR="00BD32CA" w:rsidRPr="001E366D" w:rsidRDefault="00BD32CA" w:rsidP="001E366D">
            <w:pPr>
              <w:jc w:val="center"/>
              <w:rPr>
                <w:rFonts w:eastAsia="標楷體"/>
                <w:b/>
              </w:rPr>
            </w:pPr>
            <w:r w:rsidRPr="001E366D">
              <w:rPr>
                <w:rFonts w:eastAsia="標楷體"/>
                <w:b/>
              </w:rPr>
              <w:t>2.15</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Singapore</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0.250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0.36</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-0.110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2.7</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Pr>
                <w:rFonts w:eastAsia="標楷體" w:hint="eastAsia"/>
                <w:szCs w:val="26"/>
              </w:rPr>
              <w:t>US</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Pr>
                <w:rFonts w:eastAsia="標楷體"/>
              </w:rPr>
              <w:t>1.7</w:t>
            </w:r>
            <w:r>
              <w:rPr>
                <w:rFonts w:eastAsia="標楷體" w:hint="eastAsia"/>
              </w:rPr>
              <w:t>70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1.97</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Pr>
                <w:rFonts w:eastAsia="標楷體"/>
              </w:rPr>
              <w:t>-0.2</w:t>
            </w:r>
            <w:r>
              <w:rPr>
                <w:rFonts w:eastAsia="標楷體" w:hint="eastAsia"/>
              </w:rPr>
              <w:t>0</w:t>
            </w:r>
            <w:r w:rsidRPr="001E366D">
              <w:rPr>
                <w:rFonts w:eastAsia="標楷體"/>
              </w:rPr>
              <w:t>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2.1</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Switzerland</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0.160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0.49</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-0.330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0.9</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J</w:t>
            </w:r>
            <w:r w:rsidRPr="00FD4480">
              <w:rPr>
                <w:rFonts w:eastAsia="標楷體"/>
                <w:szCs w:val="26"/>
              </w:rPr>
              <w:t>a</w:t>
            </w:r>
            <w:r w:rsidRPr="00FD4480">
              <w:rPr>
                <w:rFonts w:eastAsia="標楷體" w:hint="eastAsia"/>
                <w:szCs w:val="26"/>
              </w:rPr>
              <w:t>pan</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0.012</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0.39</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-0.378</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1.6</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M</w:t>
            </w:r>
            <w:r w:rsidRPr="00FD4480">
              <w:rPr>
                <w:rFonts w:eastAsia="標楷體"/>
                <w:szCs w:val="26"/>
              </w:rPr>
              <w:t>a</w:t>
            </w:r>
            <w:r w:rsidRPr="00FD4480">
              <w:rPr>
                <w:rFonts w:eastAsia="標楷體" w:hint="eastAsia"/>
                <w:szCs w:val="26"/>
              </w:rPr>
              <w:t>laysia</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2.850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3.25</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-0.400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5.5</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Pr>
                <w:rFonts w:eastAsia="標楷體" w:hint="eastAsia"/>
                <w:szCs w:val="26"/>
              </w:rPr>
              <w:t>China</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1.500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2.00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-0.500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6.8</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Pr>
                <w:rFonts w:eastAsia="標楷體" w:hint="eastAsia"/>
                <w:szCs w:val="26"/>
              </w:rPr>
              <w:t>South Korea</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1.000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2.19</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-1.190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3.0</w:t>
            </w:r>
          </w:p>
        </w:tc>
      </w:tr>
      <w:tr w:rsidR="00BD32CA" w:rsidRPr="00323125" w:rsidTr="001E366D">
        <w:trPr>
          <w:trHeight w:val="588"/>
        </w:trPr>
        <w:tc>
          <w:tcPr>
            <w:tcW w:w="1460" w:type="dxa"/>
            <w:tcBorders>
              <w:top w:val="nil"/>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Hong Kong</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0.050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1.71</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-1.660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3.1</w:t>
            </w:r>
          </w:p>
        </w:tc>
      </w:tr>
      <w:tr w:rsidR="00BD32CA" w:rsidRPr="00323125" w:rsidTr="001E366D">
        <w:trPr>
          <w:trHeight w:val="588"/>
        </w:trPr>
        <w:tc>
          <w:tcPr>
            <w:tcW w:w="1460" w:type="dxa"/>
            <w:tcBorders>
              <w:top w:val="nil"/>
              <w:left w:val="single" w:sz="8" w:space="0" w:color="auto"/>
              <w:bottom w:val="nil"/>
              <w:right w:val="single" w:sz="4" w:space="0" w:color="auto"/>
            </w:tcBorders>
            <w:shd w:val="clear" w:color="auto" w:fill="auto"/>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Euro A</w:t>
            </w:r>
            <w:r w:rsidRPr="00FD4480">
              <w:rPr>
                <w:rFonts w:eastAsia="標楷體"/>
                <w:szCs w:val="26"/>
              </w:rPr>
              <w:t>r</w:t>
            </w:r>
            <w:r w:rsidRPr="00FD4480">
              <w:rPr>
                <w:rFonts w:eastAsia="標楷體" w:hint="eastAsia"/>
                <w:szCs w:val="26"/>
              </w:rPr>
              <w:t xml:space="preserve">ea </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-0.250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1.51</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-1.760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2.2</w:t>
            </w:r>
          </w:p>
        </w:tc>
      </w:tr>
      <w:tr w:rsidR="00BD32CA" w:rsidRPr="00323125" w:rsidTr="001E366D">
        <w:trPr>
          <w:trHeight w:val="588"/>
        </w:trPr>
        <w:tc>
          <w:tcPr>
            <w:tcW w:w="1460" w:type="dxa"/>
            <w:tcBorders>
              <w:top w:val="single" w:sz="4" w:space="0" w:color="auto"/>
              <w:left w:val="single" w:sz="8" w:space="0" w:color="auto"/>
              <w:bottom w:val="single" w:sz="4"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UK</w:t>
            </w:r>
          </w:p>
        </w:tc>
        <w:tc>
          <w:tcPr>
            <w:tcW w:w="2180" w:type="dxa"/>
            <w:tcBorders>
              <w:top w:val="nil"/>
              <w:left w:val="nil"/>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Pr>
                <w:rFonts w:eastAsia="標楷體"/>
              </w:rPr>
              <w:t>0.7</w:t>
            </w:r>
            <w:r>
              <w:rPr>
                <w:rFonts w:eastAsia="標楷體" w:hint="eastAsia"/>
              </w:rPr>
              <w:t>50</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2.61</w:t>
            </w:r>
          </w:p>
        </w:tc>
        <w:tc>
          <w:tcPr>
            <w:tcW w:w="1860" w:type="dxa"/>
            <w:tcBorders>
              <w:top w:val="nil"/>
              <w:left w:val="single" w:sz="4" w:space="0" w:color="auto"/>
              <w:bottom w:val="single" w:sz="4" w:space="0" w:color="auto"/>
              <w:right w:val="nil"/>
            </w:tcBorders>
            <w:shd w:val="clear" w:color="auto" w:fill="auto"/>
            <w:noWrap/>
            <w:vAlign w:val="center"/>
            <w:hideMark/>
          </w:tcPr>
          <w:p w:rsidR="00BD32CA" w:rsidRPr="001E366D" w:rsidRDefault="00BD32CA" w:rsidP="006344F7">
            <w:pPr>
              <w:jc w:val="center"/>
              <w:rPr>
                <w:rFonts w:eastAsia="標楷體"/>
              </w:rPr>
            </w:pPr>
            <w:r w:rsidRPr="001E366D">
              <w:rPr>
                <w:rFonts w:eastAsia="標楷體"/>
              </w:rPr>
              <w:t>-1.</w:t>
            </w:r>
            <w:r>
              <w:rPr>
                <w:rFonts w:eastAsia="標楷體" w:hint="eastAsia"/>
              </w:rPr>
              <w:t>860</w:t>
            </w:r>
          </w:p>
        </w:tc>
        <w:tc>
          <w:tcPr>
            <w:tcW w:w="1860" w:type="dxa"/>
            <w:tcBorders>
              <w:top w:val="nil"/>
              <w:left w:val="single" w:sz="8" w:space="0" w:color="auto"/>
              <w:bottom w:val="single" w:sz="4"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1.5</w:t>
            </w:r>
          </w:p>
        </w:tc>
      </w:tr>
      <w:tr w:rsidR="00BD32CA" w:rsidRPr="00323125" w:rsidTr="001E366D">
        <w:trPr>
          <w:trHeight w:val="588"/>
        </w:trPr>
        <w:tc>
          <w:tcPr>
            <w:tcW w:w="1460" w:type="dxa"/>
            <w:tcBorders>
              <w:top w:val="nil"/>
              <w:left w:val="single" w:sz="8" w:space="0" w:color="auto"/>
              <w:bottom w:val="single" w:sz="8" w:space="0" w:color="auto"/>
              <w:right w:val="single" w:sz="4" w:space="0" w:color="auto"/>
            </w:tcBorders>
            <w:shd w:val="clear" w:color="FFFFFF" w:fill="FFFFFF"/>
            <w:noWrap/>
            <w:vAlign w:val="center"/>
            <w:hideMark/>
          </w:tcPr>
          <w:p w:rsidR="00BD32CA" w:rsidRPr="00FD4480" w:rsidRDefault="00BD32CA" w:rsidP="00A73568">
            <w:pPr>
              <w:widowControl/>
              <w:snapToGrid w:val="0"/>
              <w:spacing w:line="280" w:lineRule="exact"/>
              <w:jc w:val="center"/>
              <w:rPr>
                <w:rFonts w:eastAsia="標楷體"/>
                <w:szCs w:val="26"/>
              </w:rPr>
            </w:pPr>
            <w:r w:rsidRPr="00FD4480">
              <w:rPr>
                <w:rFonts w:eastAsia="標楷體" w:hint="eastAsia"/>
                <w:szCs w:val="26"/>
              </w:rPr>
              <w:t>The Philippines</w:t>
            </w:r>
          </w:p>
        </w:tc>
        <w:tc>
          <w:tcPr>
            <w:tcW w:w="2180" w:type="dxa"/>
            <w:tcBorders>
              <w:top w:val="nil"/>
              <w:left w:val="nil"/>
              <w:bottom w:val="single" w:sz="8" w:space="0" w:color="auto"/>
              <w:right w:val="single" w:sz="4"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0.500</w:t>
            </w:r>
          </w:p>
        </w:tc>
        <w:tc>
          <w:tcPr>
            <w:tcW w:w="1860" w:type="dxa"/>
            <w:tcBorders>
              <w:top w:val="nil"/>
              <w:left w:val="nil"/>
              <w:bottom w:val="single" w:sz="8" w:space="0" w:color="auto"/>
              <w:right w:val="single" w:sz="4"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3.08</w:t>
            </w:r>
          </w:p>
        </w:tc>
        <w:tc>
          <w:tcPr>
            <w:tcW w:w="1860" w:type="dxa"/>
            <w:tcBorders>
              <w:top w:val="nil"/>
              <w:left w:val="nil"/>
              <w:bottom w:val="single" w:sz="8" w:space="0" w:color="auto"/>
              <w:right w:val="nil"/>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-2.580</w:t>
            </w:r>
          </w:p>
        </w:tc>
        <w:tc>
          <w:tcPr>
            <w:tcW w:w="1860" w:type="dxa"/>
            <w:tcBorders>
              <w:top w:val="nil"/>
              <w:left w:val="single" w:sz="8" w:space="0" w:color="auto"/>
              <w:bottom w:val="single" w:sz="8" w:space="0" w:color="auto"/>
              <w:right w:val="single" w:sz="8" w:space="0" w:color="auto"/>
            </w:tcBorders>
            <w:shd w:val="clear" w:color="auto" w:fill="auto"/>
            <w:noWrap/>
            <w:vAlign w:val="center"/>
            <w:hideMark/>
          </w:tcPr>
          <w:p w:rsidR="00BD32CA" w:rsidRPr="001E366D" w:rsidRDefault="00BD32CA" w:rsidP="001E366D">
            <w:pPr>
              <w:jc w:val="center"/>
              <w:rPr>
                <w:rFonts w:eastAsia="標楷體"/>
              </w:rPr>
            </w:pPr>
            <w:r w:rsidRPr="001E366D">
              <w:rPr>
                <w:rFonts w:eastAsia="標楷體"/>
              </w:rPr>
              <w:t>6.4</w:t>
            </w:r>
          </w:p>
        </w:tc>
      </w:tr>
    </w:tbl>
    <w:p w:rsidR="00BD32CA" w:rsidRPr="00FD4480" w:rsidRDefault="00BD32CA" w:rsidP="0025333D">
      <w:pPr>
        <w:snapToGrid w:val="0"/>
        <w:spacing w:beforeLines="50" w:before="120"/>
        <w:rPr>
          <w:rFonts w:eastAsia="標楷體"/>
          <w:color w:val="000000" w:themeColor="text1"/>
          <w:sz w:val="22"/>
          <w:szCs w:val="22"/>
        </w:rPr>
      </w:pPr>
      <w:r w:rsidRPr="00FD4480">
        <w:rPr>
          <w:rFonts w:eastAsia="標楷體" w:hint="eastAsia"/>
          <w:color w:val="000000" w:themeColor="text1"/>
          <w:sz w:val="22"/>
          <w:szCs w:val="22"/>
        </w:rPr>
        <w:t xml:space="preserve">* </w:t>
      </w:r>
      <w:r w:rsidRPr="00FD4480">
        <w:rPr>
          <w:rFonts w:eastAsia="標楷體"/>
          <w:color w:val="000000" w:themeColor="text1"/>
          <w:sz w:val="22"/>
          <w:szCs w:val="22"/>
        </w:rPr>
        <w:t>1-year time-deposit floating rate of the five major domestic banks.</w:t>
      </w:r>
    </w:p>
    <w:p w:rsidR="00BD32CA" w:rsidRDefault="00BD32CA" w:rsidP="0025333D">
      <w:pPr>
        <w:snapToGrid w:val="0"/>
        <w:spacing w:beforeLines="30" w:before="72"/>
        <w:ind w:left="312" w:hangingChars="142" w:hanging="312"/>
        <w:rPr>
          <w:rFonts w:eastAsia="標楷體"/>
          <w:sz w:val="22"/>
          <w:szCs w:val="22"/>
        </w:rPr>
      </w:pPr>
      <w:r w:rsidRPr="00FD4480">
        <w:rPr>
          <w:rFonts w:eastAsia="標楷體" w:hint="eastAsia"/>
          <w:color w:val="000000" w:themeColor="text1"/>
          <w:sz w:val="22"/>
          <w:szCs w:val="22"/>
        </w:rPr>
        <w:t xml:space="preserve">** </w:t>
      </w:r>
      <w:r w:rsidRPr="00FD4480">
        <w:rPr>
          <w:rFonts w:eastAsia="標楷體"/>
          <w:sz w:val="22"/>
          <w:szCs w:val="22"/>
        </w:rPr>
        <w:t xml:space="preserve">IHS </w:t>
      </w:r>
      <w:proofErr w:type="spellStart"/>
      <w:r>
        <w:rPr>
          <w:rFonts w:eastAsia="標楷體" w:hint="eastAsia"/>
          <w:sz w:val="22"/>
          <w:szCs w:val="22"/>
        </w:rPr>
        <w:t>Markit</w:t>
      </w:r>
      <w:proofErr w:type="spellEnd"/>
      <w:r w:rsidRPr="00FD4480">
        <w:rPr>
          <w:rFonts w:eastAsia="標楷體"/>
          <w:sz w:val="22"/>
          <w:szCs w:val="22"/>
        </w:rPr>
        <w:t xml:space="preserve"> projections, as of</w:t>
      </w:r>
      <w:r w:rsidRPr="00FD4480">
        <w:rPr>
          <w:rFonts w:eastAsia="標楷體" w:hint="eastAsia"/>
          <w:sz w:val="22"/>
          <w:szCs w:val="22"/>
        </w:rPr>
        <w:t xml:space="preserve"> September </w:t>
      </w:r>
      <w:r w:rsidRPr="00FD4480">
        <w:rPr>
          <w:rFonts w:eastAsia="標楷體"/>
          <w:sz w:val="22"/>
          <w:szCs w:val="22"/>
        </w:rPr>
        <w:t>15, 201</w:t>
      </w:r>
      <w:r w:rsidRPr="00FD4480">
        <w:rPr>
          <w:rFonts w:eastAsia="標楷體" w:hint="eastAsia"/>
          <w:sz w:val="22"/>
          <w:szCs w:val="22"/>
        </w:rPr>
        <w:t>7</w:t>
      </w:r>
      <w:r w:rsidRPr="00FD4480">
        <w:rPr>
          <w:rFonts w:eastAsia="標楷體"/>
          <w:sz w:val="22"/>
          <w:szCs w:val="22"/>
        </w:rPr>
        <w:t>. Forecast</w:t>
      </w:r>
      <w:r w:rsidRPr="00FD4480">
        <w:rPr>
          <w:rFonts w:eastAsia="標楷體" w:hint="eastAsia"/>
          <w:sz w:val="22"/>
          <w:szCs w:val="22"/>
        </w:rPr>
        <w:t>s</w:t>
      </w:r>
      <w:r w:rsidRPr="00FD4480">
        <w:rPr>
          <w:rFonts w:eastAsia="標楷體"/>
          <w:sz w:val="22"/>
          <w:szCs w:val="22"/>
        </w:rPr>
        <w:t xml:space="preserve"> for Taiwan</w:t>
      </w:r>
      <w:r w:rsidRPr="00FD4480">
        <w:rPr>
          <w:rFonts w:eastAsia="標楷體" w:hint="eastAsia"/>
          <w:sz w:val="22"/>
          <w:szCs w:val="22"/>
        </w:rPr>
        <w:t xml:space="preserve"> are CBC</w:t>
      </w:r>
      <w:r w:rsidRPr="00FD4480">
        <w:rPr>
          <w:rFonts w:eastAsia="標楷體"/>
          <w:sz w:val="22"/>
          <w:szCs w:val="22"/>
        </w:rPr>
        <w:t>'</w:t>
      </w:r>
      <w:r w:rsidRPr="00FD4480">
        <w:rPr>
          <w:rFonts w:eastAsia="標楷體" w:hint="eastAsia"/>
          <w:sz w:val="22"/>
          <w:szCs w:val="22"/>
        </w:rPr>
        <w:t>s projections.</w:t>
      </w:r>
    </w:p>
    <w:p w:rsidR="00F560C7" w:rsidRDefault="00F560C7" w:rsidP="0025333D">
      <w:pPr>
        <w:snapToGrid w:val="0"/>
        <w:spacing w:beforeLines="30" w:before="72"/>
        <w:ind w:left="312" w:hangingChars="142" w:hanging="312"/>
        <w:rPr>
          <w:rFonts w:eastAsia="標楷體"/>
          <w:sz w:val="22"/>
          <w:szCs w:val="22"/>
        </w:rPr>
      </w:pPr>
    </w:p>
    <w:p w:rsidR="00F560C7" w:rsidRDefault="00F560C7" w:rsidP="0025333D">
      <w:pPr>
        <w:snapToGrid w:val="0"/>
        <w:spacing w:beforeLines="30" w:before="72"/>
        <w:ind w:left="312" w:hangingChars="142" w:hanging="312"/>
        <w:rPr>
          <w:rFonts w:eastAsia="標楷體"/>
          <w:sz w:val="22"/>
          <w:szCs w:val="22"/>
        </w:rPr>
        <w:sectPr w:rsidR="00F560C7" w:rsidSect="00D9636D">
          <w:footerReference w:type="default" r:id="rId12"/>
          <w:pgSz w:w="11907" w:h="16840" w:code="9"/>
          <w:pgMar w:top="1304" w:right="1418" w:bottom="1418" w:left="1418" w:header="0" w:footer="454" w:gutter="0"/>
          <w:paperSrc w:first="15" w:other="15"/>
          <w:pgNumType w:start="1"/>
          <w:cols w:space="425"/>
          <w:docGrid w:linePitch="272"/>
        </w:sectPr>
      </w:pPr>
    </w:p>
    <w:p w:rsidR="009B5682" w:rsidRPr="009B5682" w:rsidRDefault="00F560C7" w:rsidP="00590406">
      <w:pPr>
        <w:spacing w:afterLines="50" w:after="120" w:line="480" w:lineRule="exact"/>
        <w:jc w:val="center"/>
        <w:rPr>
          <w:rFonts w:eastAsia="標楷體"/>
          <w:b/>
          <w:sz w:val="28"/>
          <w:szCs w:val="28"/>
        </w:rPr>
      </w:pPr>
      <w:r>
        <w:rPr>
          <w:noProof/>
        </w:rPr>
        <w:lastRenderedPageBreak/>
        <w:drawing>
          <wp:anchor distT="0" distB="0" distL="114300" distR="114300" simplePos="0" relativeHeight="251658240" behindDoc="0" locked="0" layoutInCell="1" allowOverlap="1" wp14:anchorId="361FAD7B" wp14:editId="784F18E7">
            <wp:simplePos x="0" y="0"/>
            <wp:positionH relativeFrom="column">
              <wp:posOffset>-8890</wp:posOffset>
            </wp:positionH>
            <wp:positionV relativeFrom="paragraph">
              <wp:posOffset>562610</wp:posOffset>
            </wp:positionV>
            <wp:extent cx="8705850" cy="4956175"/>
            <wp:effectExtent l="0" t="0" r="0" b="15875"/>
            <wp:wrapTopAndBottom/>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D32CA">
        <w:rPr>
          <w:rFonts w:eastAsia="標楷體" w:hint="eastAsia"/>
          <w:b/>
          <w:sz w:val="28"/>
          <w:szCs w:val="28"/>
        </w:rPr>
        <w:t>Appendix 2   Real Interest Rates and Economic Growth of Selected Economies</w:t>
      </w:r>
    </w:p>
    <w:sectPr w:rsidR="009B5682" w:rsidRPr="009B5682" w:rsidSect="009B5682">
      <w:footerReference w:type="default" r:id="rId14"/>
      <w:footerReference w:type="first" r:id="rId15"/>
      <w:pgSz w:w="16840" w:h="11907" w:orient="landscape" w:code="9"/>
      <w:pgMar w:top="1418" w:right="1134" w:bottom="1418" w:left="851" w:header="0" w:footer="510" w:gutter="0"/>
      <w:paperSrc w:first="15" w:other="15"/>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D6" w:rsidRDefault="00AD1ED6">
      <w:r>
        <w:separator/>
      </w:r>
    </w:p>
  </w:endnote>
  <w:endnote w:type="continuationSeparator" w:id="0">
    <w:p w:rsidR="00AD1ED6" w:rsidRDefault="00AD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Arial Unicode MS"/>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細明體"/>
    <w:charset w:val="88"/>
    <w:family w:val="modern"/>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0" w:rsidRDefault="00F01590">
    <w:pPr>
      <w:pStyle w:val="a5"/>
      <w:framePr w:wrap="auto" w:vAnchor="text" w:hAnchor="margin" w:xAlign="right" w:y="1"/>
      <w:textDirection w:val="lrTbV"/>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F01590" w:rsidRDefault="00F01590">
    <w:pPr>
      <w:pStyle w:val="a5"/>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0" w:rsidRDefault="00F01590">
    <w:pPr>
      <w:pStyle w:val="a5"/>
      <w:jc w:val="center"/>
    </w:pPr>
  </w:p>
  <w:p w:rsidR="00F01590" w:rsidRDefault="00F0159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965313"/>
      <w:docPartObj>
        <w:docPartGallery w:val="Page Numbers (Bottom of Page)"/>
        <w:docPartUnique/>
      </w:docPartObj>
    </w:sdtPr>
    <w:sdtEndPr/>
    <w:sdtContent>
      <w:p w:rsidR="00D9636D" w:rsidRDefault="00D9636D">
        <w:pPr>
          <w:pStyle w:val="a5"/>
          <w:jc w:val="center"/>
        </w:pPr>
        <w:r>
          <w:fldChar w:fldCharType="begin"/>
        </w:r>
        <w:r>
          <w:instrText>PAGE   \* MERGEFORMAT</w:instrText>
        </w:r>
        <w:r>
          <w:fldChar w:fldCharType="separate"/>
        </w:r>
        <w:r w:rsidR="00A12735" w:rsidRPr="00A12735">
          <w:rPr>
            <w:noProof/>
            <w:lang w:val="zh-TW"/>
          </w:rPr>
          <w:t>11</w:t>
        </w:r>
        <w:r>
          <w:fldChar w:fldCharType="end"/>
        </w:r>
      </w:p>
    </w:sdtContent>
  </w:sdt>
  <w:p w:rsidR="00BD32CA" w:rsidRDefault="00BD32C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1621"/>
      <w:docPartObj>
        <w:docPartGallery w:val="Page Numbers (Bottom of Page)"/>
        <w:docPartUnique/>
      </w:docPartObj>
    </w:sdtPr>
    <w:sdtEndPr/>
    <w:sdtContent>
      <w:p w:rsidR="00F01590" w:rsidRDefault="00F01590">
        <w:pPr>
          <w:pStyle w:val="a5"/>
          <w:jc w:val="center"/>
        </w:pPr>
        <w:r>
          <w:fldChar w:fldCharType="begin"/>
        </w:r>
        <w:r>
          <w:instrText>PAGE   \* MERGEFORMAT</w:instrText>
        </w:r>
        <w:r>
          <w:fldChar w:fldCharType="separate"/>
        </w:r>
        <w:r w:rsidR="00A12735" w:rsidRPr="00A12735">
          <w:rPr>
            <w:noProof/>
            <w:lang w:val="zh-TW"/>
          </w:rPr>
          <w:t>21</w:t>
        </w:r>
        <w:r>
          <w:fldChar w:fldCharType="end"/>
        </w:r>
      </w:p>
    </w:sdtContent>
  </w:sdt>
  <w:p w:rsidR="00F01590" w:rsidRDefault="00F0159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0469"/>
      <w:docPartObj>
        <w:docPartGallery w:val="Page Numbers (Bottom of Page)"/>
        <w:docPartUnique/>
      </w:docPartObj>
    </w:sdtPr>
    <w:sdtEndPr/>
    <w:sdtContent>
      <w:p w:rsidR="00F01590" w:rsidRDefault="00F01590">
        <w:pPr>
          <w:pStyle w:val="a5"/>
          <w:jc w:val="center"/>
        </w:pPr>
        <w:r>
          <w:fldChar w:fldCharType="begin"/>
        </w:r>
        <w:r>
          <w:instrText>PAGE   \* MERGEFORMAT</w:instrText>
        </w:r>
        <w:r>
          <w:fldChar w:fldCharType="separate"/>
        </w:r>
        <w:r w:rsidR="00590406" w:rsidRPr="00590406">
          <w:rPr>
            <w:noProof/>
            <w:lang w:val="zh-TW"/>
          </w:rPr>
          <w:t>1</w:t>
        </w:r>
        <w:r>
          <w:fldChar w:fldCharType="end"/>
        </w:r>
      </w:p>
    </w:sdtContent>
  </w:sdt>
  <w:p w:rsidR="00F01590" w:rsidRDefault="00F015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D6" w:rsidRDefault="00AD1ED6">
      <w:r>
        <w:separator/>
      </w:r>
    </w:p>
  </w:footnote>
  <w:footnote w:type="continuationSeparator" w:id="0">
    <w:p w:rsidR="00AD1ED6" w:rsidRDefault="00AD1ED6">
      <w:r>
        <w:continuationSeparator/>
      </w:r>
    </w:p>
  </w:footnote>
  <w:footnote w:id="1">
    <w:p w:rsidR="00F01590" w:rsidRDefault="00F01590" w:rsidP="00363599">
      <w:pPr>
        <w:pStyle w:val="afb"/>
      </w:pPr>
      <w:r w:rsidRPr="002D6A8E">
        <w:rPr>
          <w:rStyle w:val="afd"/>
          <w:sz w:val="24"/>
        </w:rPr>
        <w:footnoteRef/>
      </w:r>
      <w:r w:rsidRPr="002D6A8E">
        <w:rPr>
          <w:sz w:val="24"/>
        </w:rPr>
        <w:t xml:space="preserve"> This English translation is provided for information purposes only</w:t>
      </w:r>
      <w:r>
        <w:rPr>
          <w:rFonts w:hint="eastAsia"/>
          <w:sz w:val="24"/>
        </w:rPr>
        <w:t>;</w:t>
      </w:r>
      <w:r w:rsidRPr="002D6A8E">
        <w:rPr>
          <w:sz w:val="24"/>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0" w:rsidRDefault="00F01590" w:rsidP="00527E73">
    <w:pPr>
      <w:jc w:val="right"/>
      <w:rPr>
        <w:rFonts w:eastAsia="標楷體"/>
      </w:rPr>
    </w:pPr>
  </w:p>
  <w:p w:rsidR="00F01590" w:rsidRPr="00A76EF5" w:rsidRDefault="00F01590"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3">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4">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5">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9">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EEB11A3"/>
    <w:multiLevelType w:val="hybridMultilevel"/>
    <w:tmpl w:val="D2441938"/>
    <w:lvl w:ilvl="0" w:tplc="15DCE4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6">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nsid w:val="53373AAB"/>
    <w:multiLevelType w:val="hybridMultilevel"/>
    <w:tmpl w:val="4B3252A6"/>
    <w:lvl w:ilvl="0" w:tplc="B2B0A792">
      <w:start w:val="1"/>
      <w:numFmt w:val="taiwaneseCountingThousand"/>
      <w:lvlText w:val="%1、"/>
      <w:lvlJc w:val="left"/>
      <w:pPr>
        <w:ind w:left="721" w:hanging="720"/>
      </w:pPr>
      <w:rPr>
        <w:rFonts w:hint="default"/>
      </w:rPr>
    </w:lvl>
    <w:lvl w:ilvl="1" w:tplc="20408084">
      <w:start w:val="1"/>
      <w:numFmt w:val="taiwaneseCountingThousand"/>
      <w:lvlText w:val="(%2)"/>
      <w:lvlJc w:val="left"/>
      <w:pPr>
        <w:ind w:left="1201" w:hanging="720"/>
      </w:pPr>
      <w:rPr>
        <w:rFonts w:ascii="Book Antiqua"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nsid w:val="57A8054E"/>
    <w:multiLevelType w:val="hybridMultilevel"/>
    <w:tmpl w:val="C48485EA"/>
    <w:lvl w:ilvl="0" w:tplc="E2D49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6E0043"/>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81A3E47"/>
    <w:multiLevelType w:val="hybridMultilevel"/>
    <w:tmpl w:val="64663490"/>
    <w:lvl w:ilvl="0" w:tplc="33E8C0C6">
      <w:start w:val="1"/>
      <w:numFmt w:val="taiwaneseCountingThousand"/>
      <w:pStyle w:val="a"/>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3">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5"/>
  </w:num>
  <w:num w:numId="3">
    <w:abstractNumId w:val="16"/>
  </w:num>
  <w:num w:numId="4">
    <w:abstractNumId w:val="20"/>
  </w:num>
  <w:num w:numId="5">
    <w:abstractNumId w:val="15"/>
  </w:num>
  <w:num w:numId="6">
    <w:abstractNumId w:val="2"/>
  </w:num>
  <w:num w:numId="7">
    <w:abstractNumId w:val="10"/>
  </w:num>
  <w:num w:numId="8">
    <w:abstractNumId w:val="3"/>
  </w:num>
  <w:num w:numId="9">
    <w:abstractNumId w:val="7"/>
  </w:num>
  <w:num w:numId="10">
    <w:abstractNumId w:val="12"/>
  </w:num>
  <w:num w:numId="11">
    <w:abstractNumId w:val="8"/>
  </w:num>
  <w:num w:numId="12">
    <w:abstractNumId w:val="6"/>
  </w:num>
  <w:num w:numId="13">
    <w:abstractNumId w:val="4"/>
  </w:num>
  <w:num w:numId="14">
    <w:abstractNumId w:val="11"/>
  </w:num>
  <w:num w:numId="15">
    <w:abstractNumId w:val="19"/>
  </w:num>
  <w:num w:numId="16">
    <w:abstractNumId w:val="0"/>
  </w:num>
  <w:num w:numId="17">
    <w:abstractNumId w:val="9"/>
  </w:num>
  <w:num w:numId="18">
    <w:abstractNumId w:val="22"/>
  </w:num>
  <w:num w:numId="19">
    <w:abstractNumId w:val="17"/>
  </w:num>
  <w:num w:numId="20">
    <w:abstractNumId w:val="22"/>
  </w:num>
  <w:num w:numId="21">
    <w:abstractNumId w:val="22"/>
  </w:num>
  <w:num w:numId="22">
    <w:abstractNumId w:val="22"/>
  </w:num>
  <w:num w:numId="23">
    <w:abstractNumId w:val="23"/>
  </w:num>
  <w:num w:numId="24">
    <w:abstractNumId w:val="22"/>
  </w:num>
  <w:num w:numId="25">
    <w:abstractNumId w:val="22"/>
  </w:num>
  <w:num w:numId="26">
    <w:abstractNumId w:val="13"/>
  </w:num>
  <w:num w:numId="27">
    <w:abstractNumId w:val="18"/>
  </w:num>
  <w:num w:numId="28">
    <w:abstractNumId w:val="1"/>
  </w:num>
  <w:num w:numId="2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893"/>
    <w:rsid w:val="00000C8B"/>
    <w:rsid w:val="000011A0"/>
    <w:rsid w:val="00001514"/>
    <w:rsid w:val="000015F2"/>
    <w:rsid w:val="00001A47"/>
    <w:rsid w:val="0000343F"/>
    <w:rsid w:val="00003746"/>
    <w:rsid w:val="00004D84"/>
    <w:rsid w:val="00004ECA"/>
    <w:rsid w:val="00007267"/>
    <w:rsid w:val="00007492"/>
    <w:rsid w:val="00007912"/>
    <w:rsid w:val="00012AE8"/>
    <w:rsid w:val="00012CF6"/>
    <w:rsid w:val="00013734"/>
    <w:rsid w:val="00014832"/>
    <w:rsid w:val="00015948"/>
    <w:rsid w:val="000172D1"/>
    <w:rsid w:val="00017CFB"/>
    <w:rsid w:val="0002139D"/>
    <w:rsid w:val="00021C4D"/>
    <w:rsid w:val="000234E1"/>
    <w:rsid w:val="0002361C"/>
    <w:rsid w:val="00023B97"/>
    <w:rsid w:val="00024563"/>
    <w:rsid w:val="00024918"/>
    <w:rsid w:val="00024E21"/>
    <w:rsid w:val="00025945"/>
    <w:rsid w:val="000261D7"/>
    <w:rsid w:val="00026B66"/>
    <w:rsid w:val="000273DC"/>
    <w:rsid w:val="00030F1C"/>
    <w:rsid w:val="00030F57"/>
    <w:rsid w:val="000313D2"/>
    <w:rsid w:val="0003181C"/>
    <w:rsid w:val="00031EE6"/>
    <w:rsid w:val="00033A27"/>
    <w:rsid w:val="000347CA"/>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218D"/>
    <w:rsid w:val="00042C02"/>
    <w:rsid w:val="00042EF3"/>
    <w:rsid w:val="00043817"/>
    <w:rsid w:val="00043DEB"/>
    <w:rsid w:val="00044455"/>
    <w:rsid w:val="000447BE"/>
    <w:rsid w:val="00045291"/>
    <w:rsid w:val="00045DC9"/>
    <w:rsid w:val="000465FC"/>
    <w:rsid w:val="00047470"/>
    <w:rsid w:val="0005062A"/>
    <w:rsid w:val="000506F7"/>
    <w:rsid w:val="00050E8E"/>
    <w:rsid w:val="00051573"/>
    <w:rsid w:val="00051C4F"/>
    <w:rsid w:val="00052499"/>
    <w:rsid w:val="00052542"/>
    <w:rsid w:val="000527ED"/>
    <w:rsid w:val="00052D7F"/>
    <w:rsid w:val="00054C75"/>
    <w:rsid w:val="0005572F"/>
    <w:rsid w:val="00055735"/>
    <w:rsid w:val="00055A5B"/>
    <w:rsid w:val="00055AA1"/>
    <w:rsid w:val="00055BEF"/>
    <w:rsid w:val="00055BFA"/>
    <w:rsid w:val="00057456"/>
    <w:rsid w:val="00057FAE"/>
    <w:rsid w:val="00060393"/>
    <w:rsid w:val="0006043D"/>
    <w:rsid w:val="00060E8F"/>
    <w:rsid w:val="000615FB"/>
    <w:rsid w:val="00062A2E"/>
    <w:rsid w:val="00063420"/>
    <w:rsid w:val="00063487"/>
    <w:rsid w:val="00064A6F"/>
    <w:rsid w:val="00065BAE"/>
    <w:rsid w:val="00065C34"/>
    <w:rsid w:val="00065E78"/>
    <w:rsid w:val="0006645E"/>
    <w:rsid w:val="000665A2"/>
    <w:rsid w:val="00067450"/>
    <w:rsid w:val="000677F4"/>
    <w:rsid w:val="0006788A"/>
    <w:rsid w:val="000714E9"/>
    <w:rsid w:val="0007178B"/>
    <w:rsid w:val="00071AEF"/>
    <w:rsid w:val="000725FA"/>
    <w:rsid w:val="0007357C"/>
    <w:rsid w:val="00073BC3"/>
    <w:rsid w:val="00073C35"/>
    <w:rsid w:val="00074950"/>
    <w:rsid w:val="00074D40"/>
    <w:rsid w:val="0007575D"/>
    <w:rsid w:val="00076BA5"/>
    <w:rsid w:val="00077397"/>
    <w:rsid w:val="00077E23"/>
    <w:rsid w:val="00080E7D"/>
    <w:rsid w:val="0008208A"/>
    <w:rsid w:val="00085353"/>
    <w:rsid w:val="000857AB"/>
    <w:rsid w:val="00086D52"/>
    <w:rsid w:val="00090AFA"/>
    <w:rsid w:val="00091367"/>
    <w:rsid w:val="000919E1"/>
    <w:rsid w:val="0009218B"/>
    <w:rsid w:val="0009286B"/>
    <w:rsid w:val="000941DE"/>
    <w:rsid w:val="00094254"/>
    <w:rsid w:val="0009482E"/>
    <w:rsid w:val="00094953"/>
    <w:rsid w:val="00094D1C"/>
    <w:rsid w:val="000957B8"/>
    <w:rsid w:val="00096ADB"/>
    <w:rsid w:val="00097ECB"/>
    <w:rsid w:val="000A244B"/>
    <w:rsid w:val="000A3D31"/>
    <w:rsid w:val="000A434A"/>
    <w:rsid w:val="000A48C6"/>
    <w:rsid w:val="000A5E81"/>
    <w:rsid w:val="000A6B23"/>
    <w:rsid w:val="000A7644"/>
    <w:rsid w:val="000A767D"/>
    <w:rsid w:val="000B0F2C"/>
    <w:rsid w:val="000B302B"/>
    <w:rsid w:val="000B3944"/>
    <w:rsid w:val="000B3F80"/>
    <w:rsid w:val="000B5270"/>
    <w:rsid w:val="000B556E"/>
    <w:rsid w:val="000B5C1F"/>
    <w:rsid w:val="000B6BEB"/>
    <w:rsid w:val="000B6D6B"/>
    <w:rsid w:val="000B7BA4"/>
    <w:rsid w:val="000B7DCC"/>
    <w:rsid w:val="000C4BEE"/>
    <w:rsid w:val="000C65AF"/>
    <w:rsid w:val="000C66CA"/>
    <w:rsid w:val="000C7FDE"/>
    <w:rsid w:val="000D0035"/>
    <w:rsid w:val="000D09C1"/>
    <w:rsid w:val="000D235C"/>
    <w:rsid w:val="000D2D5F"/>
    <w:rsid w:val="000D38AC"/>
    <w:rsid w:val="000D3D4F"/>
    <w:rsid w:val="000D3D6D"/>
    <w:rsid w:val="000D438A"/>
    <w:rsid w:val="000D4473"/>
    <w:rsid w:val="000D48B4"/>
    <w:rsid w:val="000D5121"/>
    <w:rsid w:val="000D5A82"/>
    <w:rsid w:val="000D6024"/>
    <w:rsid w:val="000D6AA2"/>
    <w:rsid w:val="000D6E10"/>
    <w:rsid w:val="000D7459"/>
    <w:rsid w:val="000D791E"/>
    <w:rsid w:val="000E031F"/>
    <w:rsid w:val="000E09BC"/>
    <w:rsid w:val="000E0D17"/>
    <w:rsid w:val="000E0E71"/>
    <w:rsid w:val="000E1D3F"/>
    <w:rsid w:val="000E23F1"/>
    <w:rsid w:val="000E3124"/>
    <w:rsid w:val="000E3587"/>
    <w:rsid w:val="000E3CFE"/>
    <w:rsid w:val="000E3DCC"/>
    <w:rsid w:val="000E4351"/>
    <w:rsid w:val="000E55EF"/>
    <w:rsid w:val="000E658A"/>
    <w:rsid w:val="000E6FDF"/>
    <w:rsid w:val="000E753C"/>
    <w:rsid w:val="000E7BD6"/>
    <w:rsid w:val="000E7CC3"/>
    <w:rsid w:val="000E7DB4"/>
    <w:rsid w:val="000F01A7"/>
    <w:rsid w:val="000F063A"/>
    <w:rsid w:val="000F0C2A"/>
    <w:rsid w:val="000F1501"/>
    <w:rsid w:val="000F1CF6"/>
    <w:rsid w:val="000F1F88"/>
    <w:rsid w:val="000F259C"/>
    <w:rsid w:val="000F385F"/>
    <w:rsid w:val="000F4FA1"/>
    <w:rsid w:val="000F598A"/>
    <w:rsid w:val="000F5AD6"/>
    <w:rsid w:val="000F6FE9"/>
    <w:rsid w:val="000F7B28"/>
    <w:rsid w:val="00100323"/>
    <w:rsid w:val="00101BE5"/>
    <w:rsid w:val="00101F97"/>
    <w:rsid w:val="001020BA"/>
    <w:rsid w:val="001022B6"/>
    <w:rsid w:val="00102B34"/>
    <w:rsid w:val="001031BF"/>
    <w:rsid w:val="00104994"/>
    <w:rsid w:val="00105328"/>
    <w:rsid w:val="00107214"/>
    <w:rsid w:val="0010768E"/>
    <w:rsid w:val="00111E15"/>
    <w:rsid w:val="00112CF9"/>
    <w:rsid w:val="00113380"/>
    <w:rsid w:val="00114C52"/>
    <w:rsid w:val="00115389"/>
    <w:rsid w:val="00115DC5"/>
    <w:rsid w:val="00117A5A"/>
    <w:rsid w:val="00117EC2"/>
    <w:rsid w:val="0012072E"/>
    <w:rsid w:val="00120F63"/>
    <w:rsid w:val="00121303"/>
    <w:rsid w:val="001213DE"/>
    <w:rsid w:val="00122786"/>
    <w:rsid w:val="00123C8A"/>
    <w:rsid w:val="001241D3"/>
    <w:rsid w:val="00124DC3"/>
    <w:rsid w:val="00125319"/>
    <w:rsid w:val="00125CC6"/>
    <w:rsid w:val="00131ACC"/>
    <w:rsid w:val="00131D07"/>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723"/>
    <w:rsid w:val="00142813"/>
    <w:rsid w:val="00143869"/>
    <w:rsid w:val="001443CF"/>
    <w:rsid w:val="00144899"/>
    <w:rsid w:val="0014532B"/>
    <w:rsid w:val="00146F87"/>
    <w:rsid w:val="0014756F"/>
    <w:rsid w:val="00147E3F"/>
    <w:rsid w:val="00147E6F"/>
    <w:rsid w:val="00147EEA"/>
    <w:rsid w:val="001515BF"/>
    <w:rsid w:val="00151838"/>
    <w:rsid w:val="00151948"/>
    <w:rsid w:val="00151F8D"/>
    <w:rsid w:val="0015391F"/>
    <w:rsid w:val="00153BD7"/>
    <w:rsid w:val="00153C34"/>
    <w:rsid w:val="001542D3"/>
    <w:rsid w:val="00154AFB"/>
    <w:rsid w:val="00157142"/>
    <w:rsid w:val="00157C06"/>
    <w:rsid w:val="00163118"/>
    <w:rsid w:val="00163395"/>
    <w:rsid w:val="0016414B"/>
    <w:rsid w:val="00164410"/>
    <w:rsid w:val="00164974"/>
    <w:rsid w:val="00164D4A"/>
    <w:rsid w:val="00164F08"/>
    <w:rsid w:val="00165455"/>
    <w:rsid w:val="00166265"/>
    <w:rsid w:val="001668A5"/>
    <w:rsid w:val="00166B5D"/>
    <w:rsid w:val="00166C8F"/>
    <w:rsid w:val="00167270"/>
    <w:rsid w:val="0016734E"/>
    <w:rsid w:val="001674BA"/>
    <w:rsid w:val="00170030"/>
    <w:rsid w:val="001703A9"/>
    <w:rsid w:val="001705D2"/>
    <w:rsid w:val="00170CC4"/>
    <w:rsid w:val="0017166B"/>
    <w:rsid w:val="00171792"/>
    <w:rsid w:val="001721A3"/>
    <w:rsid w:val="00172490"/>
    <w:rsid w:val="0017263E"/>
    <w:rsid w:val="0017312A"/>
    <w:rsid w:val="00173370"/>
    <w:rsid w:val="001739DA"/>
    <w:rsid w:val="001741BC"/>
    <w:rsid w:val="0017420B"/>
    <w:rsid w:val="0017439E"/>
    <w:rsid w:val="00174B14"/>
    <w:rsid w:val="00175547"/>
    <w:rsid w:val="00175D7F"/>
    <w:rsid w:val="00175F1A"/>
    <w:rsid w:val="00175FA7"/>
    <w:rsid w:val="00176AFC"/>
    <w:rsid w:val="00176B8E"/>
    <w:rsid w:val="001801FF"/>
    <w:rsid w:val="001807F2"/>
    <w:rsid w:val="00180999"/>
    <w:rsid w:val="00180DAC"/>
    <w:rsid w:val="00181D76"/>
    <w:rsid w:val="00181E16"/>
    <w:rsid w:val="00182097"/>
    <w:rsid w:val="001828C2"/>
    <w:rsid w:val="00182B4F"/>
    <w:rsid w:val="00183391"/>
    <w:rsid w:val="001837D2"/>
    <w:rsid w:val="0018387C"/>
    <w:rsid w:val="001839B2"/>
    <w:rsid w:val="00183CD3"/>
    <w:rsid w:val="001843BA"/>
    <w:rsid w:val="00184629"/>
    <w:rsid w:val="0018476B"/>
    <w:rsid w:val="00184FA4"/>
    <w:rsid w:val="00186753"/>
    <w:rsid w:val="00187092"/>
    <w:rsid w:val="001875E7"/>
    <w:rsid w:val="001877A8"/>
    <w:rsid w:val="00191290"/>
    <w:rsid w:val="00192B84"/>
    <w:rsid w:val="00192C54"/>
    <w:rsid w:val="00193A3A"/>
    <w:rsid w:val="00194133"/>
    <w:rsid w:val="0019447E"/>
    <w:rsid w:val="00194A19"/>
    <w:rsid w:val="00194FA2"/>
    <w:rsid w:val="00195C33"/>
    <w:rsid w:val="00195D8C"/>
    <w:rsid w:val="001962C6"/>
    <w:rsid w:val="00197320"/>
    <w:rsid w:val="00197C61"/>
    <w:rsid w:val="00197D46"/>
    <w:rsid w:val="00197E56"/>
    <w:rsid w:val="001A25A4"/>
    <w:rsid w:val="001A3613"/>
    <w:rsid w:val="001A3644"/>
    <w:rsid w:val="001A3986"/>
    <w:rsid w:val="001A518F"/>
    <w:rsid w:val="001A5E2D"/>
    <w:rsid w:val="001A65DE"/>
    <w:rsid w:val="001A6625"/>
    <w:rsid w:val="001A7280"/>
    <w:rsid w:val="001B044C"/>
    <w:rsid w:val="001B3000"/>
    <w:rsid w:val="001B3517"/>
    <w:rsid w:val="001B3DCC"/>
    <w:rsid w:val="001B44D6"/>
    <w:rsid w:val="001B4712"/>
    <w:rsid w:val="001B47C7"/>
    <w:rsid w:val="001B5AF3"/>
    <w:rsid w:val="001B62E4"/>
    <w:rsid w:val="001B66F6"/>
    <w:rsid w:val="001C022A"/>
    <w:rsid w:val="001C04A1"/>
    <w:rsid w:val="001C10E8"/>
    <w:rsid w:val="001C1185"/>
    <w:rsid w:val="001C167F"/>
    <w:rsid w:val="001C17EC"/>
    <w:rsid w:val="001C27C4"/>
    <w:rsid w:val="001C2BDC"/>
    <w:rsid w:val="001C2D88"/>
    <w:rsid w:val="001C3FA6"/>
    <w:rsid w:val="001C46ED"/>
    <w:rsid w:val="001C53F8"/>
    <w:rsid w:val="001C5A3A"/>
    <w:rsid w:val="001C5F3D"/>
    <w:rsid w:val="001C61BE"/>
    <w:rsid w:val="001C7A48"/>
    <w:rsid w:val="001C7D4E"/>
    <w:rsid w:val="001D0265"/>
    <w:rsid w:val="001D055E"/>
    <w:rsid w:val="001D0A4D"/>
    <w:rsid w:val="001D13D7"/>
    <w:rsid w:val="001D1A43"/>
    <w:rsid w:val="001D21A9"/>
    <w:rsid w:val="001D25DA"/>
    <w:rsid w:val="001D3862"/>
    <w:rsid w:val="001D3B96"/>
    <w:rsid w:val="001D5531"/>
    <w:rsid w:val="001D58AA"/>
    <w:rsid w:val="001D5AF5"/>
    <w:rsid w:val="001D6019"/>
    <w:rsid w:val="001D611E"/>
    <w:rsid w:val="001D631A"/>
    <w:rsid w:val="001D7AE6"/>
    <w:rsid w:val="001E0258"/>
    <w:rsid w:val="001E156A"/>
    <w:rsid w:val="001E1763"/>
    <w:rsid w:val="001E2139"/>
    <w:rsid w:val="001E2423"/>
    <w:rsid w:val="001E28A0"/>
    <w:rsid w:val="001E418B"/>
    <w:rsid w:val="001E4867"/>
    <w:rsid w:val="001E4D1F"/>
    <w:rsid w:val="001E5463"/>
    <w:rsid w:val="001E5B95"/>
    <w:rsid w:val="001E6348"/>
    <w:rsid w:val="001E6D06"/>
    <w:rsid w:val="001E738B"/>
    <w:rsid w:val="001E750E"/>
    <w:rsid w:val="001F0DB3"/>
    <w:rsid w:val="001F1F15"/>
    <w:rsid w:val="001F42E5"/>
    <w:rsid w:val="001F47FD"/>
    <w:rsid w:val="001F4ADB"/>
    <w:rsid w:val="001F4C4D"/>
    <w:rsid w:val="001F5C30"/>
    <w:rsid w:val="001F60DD"/>
    <w:rsid w:val="001F7E58"/>
    <w:rsid w:val="00201BBE"/>
    <w:rsid w:val="00201ED0"/>
    <w:rsid w:val="0020242D"/>
    <w:rsid w:val="00202D36"/>
    <w:rsid w:val="00202D7F"/>
    <w:rsid w:val="00203094"/>
    <w:rsid w:val="0020329A"/>
    <w:rsid w:val="002038BA"/>
    <w:rsid w:val="002056E8"/>
    <w:rsid w:val="002059E7"/>
    <w:rsid w:val="002063FD"/>
    <w:rsid w:val="00206E29"/>
    <w:rsid w:val="00206F30"/>
    <w:rsid w:val="00207F13"/>
    <w:rsid w:val="002107E1"/>
    <w:rsid w:val="00210A96"/>
    <w:rsid w:val="0021189D"/>
    <w:rsid w:val="00211BFD"/>
    <w:rsid w:val="00212BFD"/>
    <w:rsid w:val="00212FC8"/>
    <w:rsid w:val="00214052"/>
    <w:rsid w:val="0021415C"/>
    <w:rsid w:val="0021482C"/>
    <w:rsid w:val="0021483E"/>
    <w:rsid w:val="00216094"/>
    <w:rsid w:val="002162B4"/>
    <w:rsid w:val="00216925"/>
    <w:rsid w:val="00220108"/>
    <w:rsid w:val="00220919"/>
    <w:rsid w:val="00221565"/>
    <w:rsid w:val="00221CFE"/>
    <w:rsid w:val="00222297"/>
    <w:rsid w:val="002225F6"/>
    <w:rsid w:val="00223006"/>
    <w:rsid w:val="002230B7"/>
    <w:rsid w:val="00223135"/>
    <w:rsid w:val="002238CA"/>
    <w:rsid w:val="00223B29"/>
    <w:rsid w:val="00223DB8"/>
    <w:rsid w:val="00223E20"/>
    <w:rsid w:val="00224249"/>
    <w:rsid w:val="00224E4E"/>
    <w:rsid w:val="00225717"/>
    <w:rsid w:val="00225927"/>
    <w:rsid w:val="00225D05"/>
    <w:rsid w:val="00226968"/>
    <w:rsid w:val="0022715A"/>
    <w:rsid w:val="00227DF7"/>
    <w:rsid w:val="00230037"/>
    <w:rsid w:val="00230114"/>
    <w:rsid w:val="00230704"/>
    <w:rsid w:val="002316D1"/>
    <w:rsid w:val="00231E84"/>
    <w:rsid w:val="00233F4C"/>
    <w:rsid w:val="00235D84"/>
    <w:rsid w:val="00236F1A"/>
    <w:rsid w:val="0023797D"/>
    <w:rsid w:val="002379E1"/>
    <w:rsid w:val="00237CE3"/>
    <w:rsid w:val="00237E38"/>
    <w:rsid w:val="002404E0"/>
    <w:rsid w:val="00240927"/>
    <w:rsid w:val="00240AAF"/>
    <w:rsid w:val="002415B9"/>
    <w:rsid w:val="00241D92"/>
    <w:rsid w:val="002428CE"/>
    <w:rsid w:val="00242FE7"/>
    <w:rsid w:val="00243BAF"/>
    <w:rsid w:val="00243D19"/>
    <w:rsid w:val="002456E3"/>
    <w:rsid w:val="002464BC"/>
    <w:rsid w:val="0024725E"/>
    <w:rsid w:val="00247510"/>
    <w:rsid w:val="00247C69"/>
    <w:rsid w:val="00251572"/>
    <w:rsid w:val="002515AF"/>
    <w:rsid w:val="00251E62"/>
    <w:rsid w:val="0025209D"/>
    <w:rsid w:val="00252132"/>
    <w:rsid w:val="00252F4C"/>
    <w:rsid w:val="002536AE"/>
    <w:rsid w:val="002549F5"/>
    <w:rsid w:val="002552ED"/>
    <w:rsid w:val="0025567B"/>
    <w:rsid w:val="00255C38"/>
    <w:rsid w:val="00255CAC"/>
    <w:rsid w:val="002570BA"/>
    <w:rsid w:val="002573C5"/>
    <w:rsid w:val="0026111C"/>
    <w:rsid w:val="00261626"/>
    <w:rsid w:val="0026163E"/>
    <w:rsid w:val="00261C2A"/>
    <w:rsid w:val="00262357"/>
    <w:rsid w:val="00262C2C"/>
    <w:rsid w:val="00263736"/>
    <w:rsid w:val="00263E9F"/>
    <w:rsid w:val="00264C4E"/>
    <w:rsid w:val="00264DDA"/>
    <w:rsid w:val="00265F0F"/>
    <w:rsid w:val="002662A1"/>
    <w:rsid w:val="0026669B"/>
    <w:rsid w:val="00267200"/>
    <w:rsid w:val="00267B9C"/>
    <w:rsid w:val="00267F7A"/>
    <w:rsid w:val="0027002B"/>
    <w:rsid w:val="002709A5"/>
    <w:rsid w:val="002713F4"/>
    <w:rsid w:val="0027180C"/>
    <w:rsid w:val="00272F3D"/>
    <w:rsid w:val="00273CCC"/>
    <w:rsid w:val="00276900"/>
    <w:rsid w:val="002772B5"/>
    <w:rsid w:val="0027781B"/>
    <w:rsid w:val="00280099"/>
    <w:rsid w:val="002808FC"/>
    <w:rsid w:val="0028097C"/>
    <w:rsid w:val="00283495"/>
    <w:rsid w:val="002835EF"/>
    <w:rsid w:val="00283B1E"/>
    <w:rsid w:val="0028460D"/>
    <w:rsid w:val="002848E2"/>
    <w:rsid w:val="00285CC6"/>
    <w:rsid w:val="002860A7"/>
    <w:rsid w:val="00286473"/>
    <w:rsid w:val="002865A1"/>
    <w:rsid w:val="00286F49"/>
    <w:rsid w:val="0028744F"/>
    <w:rsid w:val="0029094E"/>
    <w:rsid w:val="002912A6"/>
    <w:rsid w:val="00291FFB"/>
    <w:rsid w:val="00293126"/>
    <w:rsid w:val="00293361"/>
    <w:rsid w:val="00293807"/>
    <w:rsid w:val="002940BF"/>
    <w:rsid w:val="00295040"/>
    <w:rsid w:val="002951B1"/>
    <w:rsid w:val="002955CB"/>
    <w:rsid w:val="00295C1B"/>
    <w:rsid w:val="002962EF"/>
    <w:rsid w:val="00296386"/>
    <w:rsid w:val="002975C2"/>
    <w:rsid w:val="002A0679"/>
    <w:rsid w:val="002A14C4"/>
    <w:rsid w:val="002A1926"/>
    <w:rsid w:val="002A1BFA"/>
    <w:rsid w:val="002A27CF"/>
    <w:rsid w:val="002A3602"/>
    <w:rsid w:val="002A4398"/>
    <w:rsid w:val="002A4F38"/>
    <w:rsid w:val="002A56F3"/>
    <w:rsid w:val="002A596B"/>
    <w:rsid w:val="002A6781"/>
    <w:rsid w:val="002A6DDB"/>
    <w:rsid w:val="002A6FEB"/>
    <w:rsid w:val="002A72E5"/>
    <w:rsid w:val="002A7FD7"/>
    <w:rsid w:val="002B22B2"/>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930"/>
    <w:rsid w:val="002C0DF3"/>
    <w:rsid w:val="002C0E0B"/>
    <w:rsid w:val="002C113C"/>
    <w:rsid w:val="002C1467"/>
    <w:rsid w:val="002C2F8A"/>
    <w:rsid w:val="002C402F"/>
    <w:rsid w:val="002C5484"/>
    <w:rsid w:val="002C5589"/>
    <w:rsid w:val="002C5931"/>
    <w:rsid w:val="002C5BCD"/>
    <w:rsid w:val="002C5EE6"/>
    <w:rsid w:val="002C60C7"/>
    <w:rsid w:val="002C641D"/>
    <w:rsid w:val="002C6445"/>
    <w:rsid w:val="002C67E4"/>
    <w:rsid w:val="002C782F"/>
    <w:rsid w:val="002D06E0"/>
    <w:rsid w:val="002D1452"/>
    <w:rsid w:val="002D15CE"/>
    <w:rsid w:val="002D21F6"/>
    <w:rsid w:val="002D26E7"/>
    <w:rsid w:val="002D371F"/>
    <w:rsid w:val="002D376B"/>
    <w:rsid w:val="002D3E57"/>
    <w:rsid w:val="002D43BB"/>
    <w:rsid w:val="002D45D3"/>
    <w:rsid w:val="002D4DAF"/>
    <w:rsid w:val="002D4F30"/>
    <w:rsid w:val="002D5B26"/>
    <w:rsid w:val="002D5D00"/>
    <w:rsid w:val="002D633A"/>
    <w:rsid w:val="002D77D7"/>
    <w:rsid w:val="002E089F"/>
    <w:rsid w:val="002E0A9A"/>
    <w:rsid w:val="002E1817"/>
    <w:rsid w:val="002E26A7"/>
    <w:rsid w:val="002E2977"/>
    <w:rsid w:val="002E3792"/>
    <w:rsid w:val="002E3F88"/>
    <w:rsid w:val="002E43E1"/>
    <w:rsid w:val="002E497E"/>
    <w:rsid w:val="002E59D6"/>
    <w:rsid w:val="002E59E1"/>
    <w:rsid w:val="002E5FAB"/>
    <w:rsid w:val="002E6172"/>
    <w:rsid w:val="002E69BE"/>
    <w:rsid w:val="002E6EB1"/>
    <w:rsid w:val="002E758B"/>
    <w:rsid w:val="002E7C82"/>
    <w:rsid w:val="002F04F2"/>
    <w:rsid w:val="002F30B1"/>
    <w:rsid w:val="002F34C1"/>
    <w:rsid w:val="002F36A1"/>
    <w:rsid w:val="002F3E31"/>
    <w:rsid w:val="002F4137"/>
    <w:rsid w:val="002F47ED"/>
    <w:rsid w:val="002F4ABA"/>
    <w:rsid w:val="002F51AC"/>
    <w:rsid w:val="002F54DD"/>
    <w:rsid w:val="002F68DD"/>
    <w:rsid w:val="002F73BF"/>
    <w:rsid w:val="002F7B6C"/>
    <w:rsid w:val="00300443"/>
    <w:rsid w:val="0030081C"/>
    <w:rsid w:val="003010D7"/>
    <w:rsid w:val="00301144"/>
    <w:rsid w:val="00301644"/>
    <w:rsid w:val="00301FF8"/>
    <w:rsid w:val="00302422"/>
    <w:rsid w:val="00302771"/>
    <w:rsid w:val="00302C62"/>
    <w:rsid w:val="00302E3B"/>
    <w:rsid w:val="003037EC"/>
    <w:rsid w:val="00303D18"/>
    <w:rsid w:val="0030555E"/>
    <w:rsid w:val="003055F3"/>
    <w:rsid w:val="00305EB6"/>
    <w:rsid w:val="0030677B"/>
    <w:rsid w:val="0030749C"/>
    <w:rsid w:val="00307764"/>
    <w:rsid w:val="00310D78"/>
    <w:rsid w:val="00311666"/>
    <w:rsid w:val="003116CE"/>
    <w:rsid w:val="00312202"/>
    <w:rsid w:val="00312243"/>
    <w:rsid w:val="003124DD"/>
    <w:rsid w:val="00312AC0"/>
    <w:rsid w:val="00312CBB"/>
    <w:rsid w:val="00313DAD"/>
    <w:rsid w:val="003145CE"/>
    <w:rsid w:val="003149A3"/>
    <w:rsid w:val="0031525E"/>
    <w:rsid w:val="00315B9D"/>
    <w:rsid w:val="00315BC2"/>
    <w:rsid w:val="00316404"/>
    <w:rsid w:val="0031694B"/>
    <w:rsid w:val="003170FD"/>
    <w:rsid w:val="00317573"/>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7D4"/>
    <w:rsid w:val="00332B14"/>
    <w:rsid w:val="00332C61"/>
    <w:rsid w:val="00333026"/>
    <w:rsid w:val="0033362B"/>
    <w:rsid w:val="00334399"/>
    <w:rsid w:val="003343B0"/>
    <w:rsid w:val="003348A5"/>
    <w:rsid w:val="00335922"/>
    <w:rsid w:val="00335B45"/>
    <w:rsid w:val="00336567"/>
    <w:rsid w:val="003378EA"/>
    <w:rsid w:val="00337B1F"/>
    <w:rsid w:val="00340583"/>
    <w:rsid w:val="0034087B"/>
    <w:rsid w:val="00341190"/>
    <w:rsid w:val="0034299B"/>
    <w:rsid w:val="00343280"/>
    <w:rsid w:val="0034378D"/>
    <w:rsid w:val="0034393A"/>
    <w:rsid w:val="00344127"/>
    <w:rsid w:val="003447B1"/>
    <w:rsid w:val="00345258"/>
    <w:rsid w:val="003464F2"/>
    <w:rsid w:val="00347C31"/>
    <w:rsid w:val="0035053B"/>
    <w:rsid w:val="003526A7"/>
    <w:rsid w:val="00352CA9"/>
    <w:rsid w:val="00352CCD"/>
    <w:rsid w:val="00353484"/>
    <w:rsid w:val="003539BF"/>
    <w:rsid w:val="00355A68"/>
    <w:rsid w:val="00356B2E"/>
    <w:rsid w:val="00357A7F"/>
    <w:rsid w:val="00357D03"/>
    <w:rsid w:val="00360657"/>
    <w:rsid w:val="003608D4"/>
    <w:rsid w:val="00360F0C"/>
    <w:rsid w:val="00361064"/>
    <w:rsid w:val="0036198D"/>
    <w:rsid w:val="003628CA"/>
    <w:rsid w:val="00363599"/>
    <w:rsid w:val="003638DB"/>
    <w:rsid w:val="00363EAB"/>
    <w:rsid w:val="0036410D"/>
    <w:rsid w:val="0036598B"/>
    <w:rsid w:val="00367AA8"/>
    <w:rsid w:val="00370B57"/>
    <w:rsid w:val="0037223C"/>
    <w:rsid w:val="00373258"/>
    <w:rsid w:val="00374181"/>
    <w:rsid w:val="00375FB8"/>
    <w:rsid w:val="0037678D"/>
    <w:rsid w:val="0037692C"/>
    <w:rsid w:val="00376CD0"/>
    <w:rsid w:val="00376CED"/>
    <w:rsid w:val="00377EAF"/>
    <w:rsid w:val="003818F8"/>
    <w:rsid w:val="00381CE0"/>
    <w:rsid w:val="00381E04"/>
    <w:rsid w:val="00382388"/>
    <w:rsid w:val="003832F4"/>
    <w:rsid w:val="003835ED"/>
    <w:rsid w:val="003848DC"/>
    <w:rsid w:val="00385464"/>
    <w:rsid w:val="00385D32"/>
    <w:rsid w:val="003864EF"/>
    <w:rsid w:val="0038665E"/>
    <w:rsid w:val="00387A8E"/>
    <w:rsid w:val="00390401"/>
    <w:rsid w:val="00390578"/>
    <w:rsid w:val="003908D3"/>
    <w:rsid w:val="00391373"/>
    <w:rsid w:val="00391567"/>
    <w:rsid w:val="00394865"/>
    <w:rsid w:val="00395542"/>
    <w:rsid w:val="00395BB6"/>
    <w:rsid w:val="003963A1"/>
    <w:rsid w:val="00396913"/>
    <w:rsid w:val="003971BD"/>
    <w:rsid w:val="00397EEB"/>
    <w:rsid w:val="003A0D1F"/>
    <w:rsid w:val="003A0D2F"/>
    <w:rsid w:val="003A135F"/>
    <w:rsid w:val="003A13DE"/>
    <w:rsid w:val="003A197C"/>
    <w:rsid w:val="003A2948"/>
    <w:rsid w:val="003A3022"/>
    <w:rsid w:val="003A313A"/>
    <w:rsid w:val="003A3CD1"/>
    <w:rsid w:val="003A5ECF"/>
    <w:rsid w:val="003A64CF"/>
    <w:rsid w:val="003A78E7"/>
    <w:rsid w:val="003A7908"/>
    <w:rsid w:val="003B0670"/>
    <w:rsid w:val="003B0D3B"/>
    <w:rsid w:val="003B1759"/>
    <w:rsid w:val="003B1A92"/>
    <w:rsid w:val="003B2659"/>
    <w:rsid w:val="003B3849"/>
    <w:rsid w:val="003B41EE"/>
    <w:rsid w:val="003B4744"/>
    <w:rsid w:val="003B47BA"/>
    <w:rsid w:val="003B4948"/>
    <w:rsid w:val="003B5DD6"/>
    <w:rsid w:val="003B6789"/>
    <w:rsid w:val="003B6EC8"/>
    <w:rsid w:val="003B7531"/>
    <w:rsid w:val="003C0539"/>
    <w:rsid w:val="003C1DF1"/>
    <w:rsid w:val="003C2A6C"/>
    <w:rsid w:val="003C2BA9"/>
    <w:rsid w:val="003C3153"/>
    <w:rsid w:val="003C4217"/>
    <w:rsid w:val="003C48C9"/>
    <w:rsid w:val="003C52DA"/>
    <w:rsid w:val="003C545A"/>
    <w:rsid w:val="003C695D"/>
    <w:rsid w:val="003C6F48"/>
    <w:rsid w:val="003C75AA"/>
    <w:rsid w:val="003C75C0"/>
    <w:rsid w:val="003C7E65"/>
    <w:rsid w:val="003D01FF"/>
    <w:rsid w:val="003D1F7E"/>
    <w:rsid w:val="003D2F3C"/>
    <w:rsid w:val="003D3434"/>
    <w:rsid w:val="003D3F94"/>
    <w:rsid w:val="003D464D"/>
    <w:rsid w:val="003D5AB4"/>
    <w:rsid w:val="003D6CD4"/>
    <w:rsid w:val="003D7006"/>
    <w:rsid w:val="003E03B6"/>
    <w:rsid w:val="003E1801"/>
    <w:rsid w:val="003E227F"/>
    <w:rsid w:val="003E242C"/>
    <w:rsid w:val="003E2B2C"/>
    <w:rsid w:val="003E383B"/>
    <w:rsid w:val="003E4866"/>
    <w:rsid w:val="003E51F7"/>
    <w:rsid w:val="003E5792"/>
    <w:rsid w:val="003E7378"/>
    <w:rsid w:val="003F103D"/>
    <w:rsid w:val="003F1C68"/>
    <w:rsid w:val="003F216C"/>
    <w:rsid w:val="003F258E"/>
    <w:rsid w:val="003F3FF6"/>
    <w:rsid w:val="003F423C"/>
    <w:rsid w:val="003F4E8C"/>
    <w:rsid w:val="003F5145"/>
    <w:rsid w:val="003F5269"/>
    <w:rsid w:val="003F5DAB"/>
    <w:rsid w:val="003F5F0F"/>
    <w:rsid w:val="003F74BA"/>
    <w:rsid w:val="00400361"/>
    <w:rsid w:val="0040234D"/>
    <w:rsid w:val="00403482"/>
    <w:rsid w:val="00403EF9"/>
    <w:rsid w:val="0040497D"/>
    <w:rsid w:val="00405BEB"/>
    <w:rsid w:val="00405D1A"/>
    <w:rsid w:val="00406056"/>
    <w:rsid w:val="004068E6"/>
    <w:rsid w:val="00406D8D"/>
    <w:rsid w:val="00406FCC"/>
    <w:rsid w:val="0040738E"/>
    <w:rsid w:val="00410C4F"/>
    <w:rsid w:val="0041111F"/>
    <w:rsid w:val="00411618"/>
    <w:rsid w:val="004117EC"/>
    <w:rsid w:val="00412200"/>
    <w:rsid w:val="00412A8F"/>
    <w:rsid w:val="00412BE5"/>
    <w:rsid w:val="004130A0"/>
    <w:rsid w:val="0041326F"/>
    <w:rsid w:val="0041617F"/>
    <w:rsid w:val="00420019"/>
    <w:rsid w:val="00420090"/>
    <w:rsid w:val="0042021D"/>
    <w:rsid w:val="004214A0"/>
    <w:rsid w:val="00421927"/>
    <w:rsid w:val="00421A37"/>
    <w:rsid w:val="00421ABE"/>
    <w:rsid w:val="00421D80"/>
    <w:rsid w:val="004223AD"/>
    <w:rsid w:val="00422AE5"/>
    <w:rsid w:val="00422B19"/>
    <w:rsid w:val="00424203"/>
    <w:rsid w:val="00424254"/>
    <w:rsid w:val="00424279"/>
    <w:rsid w:val="00424C56"/>
    <w:rsid w:val="004256D6"/>
    <w:rsid w:val="00425726"/>
    <w:rsid w:val="00425A70"/>
    <w:rsid w:val="00426081"/>
    <w:rsid w:val="00426607"/>
    <w:rsid w:val="0043017B"/>
    <w:rsid w:val="00430212"/>
    <w:rsid w:val="004313CF"/>
    <w:rsid w:val="00431632"/>
    <w:rsid w:val="0043171C"/>
    <w:rsid w:val="004325A5"/>
    <w:rsid w:val="00434AF4"/>
    <w:rsid w:val="00434C55"/>
    <w:rsid w:val="00437ABA"/>
    <w:rsid w:val="004402A5"/>
    <w:rsid w:val="0044066B"/>
    <w:rsid w:val="0044149B"/>
    <w:rsid w:val="00441FC1"/>
    <w:rsid w:val="004428D5"/>
    <w:rsid w:val="004430F4"/>
    <w:rsid w:val="004435A0"/>
    <w:rsid w:val="00443999"/>
    <w:rsid w:val="0044428F"/>
    <w:rsid w:val="00444AAF"/>
    <w:rsid w:val="00444DFF"/>
    <w:rsid w:val="00445023"/>
    <w:rsid w:val="004451D9"/>
    <w:rsid w:val="00445410"/>
    <w:rsid w:val="00445A49"/>
    <w:rsid w:val="00445FDE"/>
    <w:rsid w:val="00446649"/>
    <w:rsid w:val="00450B65"/>
    <w:rsid w:val="00451098"/>
    <w:rsid w:val="00451BA0"/>
    <w:rsid w:val="00452CA7"/>
    <w:rsid w:val="00453B90"/>
    <w:rsid w:val="00453E1A"/>
    <w:rsid w:val="00454CDD"/>
    <w:rsid w:val="004570FA"/>
    <w:rsid w:val="004604A3"/>
    <w:rsid w:val="004608DA"/>
    <w:rsid w:val="00460B12"/>
    <w:rsid w:val="00460BF8"/>
    <w:rsid w:val="00461A24"/>
    <w:rsid w:val="00462191"/>
    <w:rsid w:val="00462DE7"/>
    <w:rsid w:val="00465C7B"/>
    <w:rsid w:val="00465E19"/>
    <w:rsid w:val="00467D10"/>
    <w:rsid w:val="00470F20"/>
    <w:rsid w:val="00471C0B"/>
    <w:rsid w:val="00472B64"/>
    <w:rsid w:val="004742EF"/>
    <w:rsid w:val="0047598A"/>
    <w:rsid w:val="004769A5"/>
    <w:rsid w:val="00477612"/>
    <w:rsid w:val="004776A0"/>
    <w:rsid w:val="0047784B"/>
    <w:rsid w:val="00477A82"/>
    <w:rsid w:val="00477E3F"/>
    <w:rsid w:val="00477E66"/>
    <w:rsid w:val="00483E53"/>
    <w:rsid w:val="00484509"/>
    <w:rsid w:val="004848BE"/>
    <w:rsid w:val="00484D39"/>
    <w:rsid w:val="00484F2E"/>
    <w:rsid w:val="004854BA"/>
    <w:rsid w:val="0048724A"/>
    <w:rsid w:val="004877FC"/>
    <w:rsid w:val="00487C00"/>
    <w:rsid w:val="00487C5E"/>
    <w:rsid w:val="00487D45"/>
    <w:rsid w:val="00487E76"/>
    <w:rsid w:val="0049000A"/>
    <w:rsid w:val="00491078"/>
    <w:rsid w:val="00491661"/>
    <w:rsid w:val="004918EE"/>
    <w:rsid w:val="00491C7B"/>
    <w:rsid w:val="00492160"/>
    <w:rsid w:val="00492B29"/>
    <w:rsid w:val="00493266"/>
    <w:rsid w:val="00495A1E"/>
    <w:rsid w:val="00495B13"/>
    <w:rsid w:val="004962A8"/>
    <w:rsid w:val="00496742"/>
    <w:rsid w:val="00496976"/>
    <w:rsid w:val="00496A1D"/>
    <w:rsid w:val="00496A5F"/>
    <w:rsid w:val="00497313"/>
    <w:rsid w:val="004A1408"/>
    <w:rsid w:val="004A18C8"/>
    <w:rsid w:val="004A1BE4"/>
    <w:rsid w:val="004A1EB0"/>
    <w:rsid w:val="004A2717"/>
    <w:rsid w:val="004A3269"/>
    <w:rsid w:val="004A3960"/>
    <w:rsid w:val="004A3BC2"/>
    <w:rsid w:val="004A3D87"/>
    <w:rsid w:val="004A4BFC"/>
    <w:rsid w:val="004A5358"/>
    <w:rsid w:val="004A6101"/>
    <w:rsid w:val="004A6987"/>
    <w:rsid w:val="004A6DF8"/>
    <w:rsid w:val="004A6FAE"/>
    <w:rsid w:val="004A7A52"/>
    <w:rsid w:val="004B0532"/>
    <w:rsid w:val="004B0CEB"/>
    <w:rsid w:val="004B0DF2"/>
    <w:rsid w:val="004B1E1C"/>
    <w:rsid w:val="004B3531"/>
    <w:rsid w:val="004B41BC"/>
    <w:rsid w:val="004B5FCB"/>
    <w:rsid w:val="004B6007"/>
    <w:rsid w:val="004B66A8"/>
    <w:rsid w:val="004B7920"/>
    <w:rsid w:val="004C04F1"/>
    <w:rsid w:val="004C0C3F"/>
    <w:rsid w:val="004C1370"/>
    <w:rsid w:val="004C164B"/>
    <w:rsid w:val="004C19FD"/>
    <w:rsid w:val="004C1E14"/>
    <w:rsid w:val="004C2B60"/>
    <w:rsid w:val="004C385A"/>
    <w:rsid w:val="004C3A2D"/>
    <w:rsid w:val="004C4206"/>
    <w:rsid w:val="004C4EB4"/>
    <w:rsid w:val="004C52D2"/>
    <w:rsid w:val="004C5884"/>
    <w:rsid w:val="004C6FEA"/>
    <w:rsid w:val="004D18C3"/>
    <w:rsid w:val="004D2130"/>
    <w:rsid w:val="004D219C"/>
    <w:rsid w:val="004D2699"/>
    <w:rsid w:val="004D3477"/>
    <w:rsid w:val="004D3A67"/>
    <w:rsid w:val="004D415F"/>
    <w:rsid w:val="004D43D9"/>
    <w:rsid w:val="004D5859"/>
    <w:rsid w:val="004D5BD3"/>
    <w:rsid w:val="004D7FAC"/>
    <w:rsid w:val="004E018E"/>
    <w:rsid w:val="004E021A"/>
    <w:rsid w:val="004E060F"/>
    <w:rsid w:val="004E06E8"/>
    <w:rsid w:val="004E0A6A"/>
    <w:rsid w:val="004E1841"/>
    <w:rsid w:val="004E234E"/>
    <w:rsid w:val="004E23DA"/>
    <w:rsid w:val="004E2C14"/>
    <w:rsid w:val="004E4BE9"/>
    <w:rsid w:val="004E5480"/>
    <w:rsid w:val="004E598E"/>
    <w:rsid w:val="004E7F53"/>
    <w:rsid w:val="004F0458"/>
    <w:rsid w:val="004F09FC"/>
    <w:rsid w:val="004F0C5D"/>
    <w:rsid w:val="004F0EA3"/>
    <w:rsid w:val="004F12F3"/>
    <w:rsid w:val="004F1BA3"/>
    <w:rsid w:val="004F2C75"/>
    <w:rsid w:val="004F2DF8"/>
    <w:rsid w:val="004F3229"/>
    <w:rsid w:val="004F4143"/>
    <w:rsid w:val="004F6A97"/>
    <w:rsid w:val="004F71AE"/>
    <w:rsid w:val="004F7F0F"/>
    <w:rsid w:val="005000C7"/>
    <w:rsid w:val="00501049"/>
    <w:rsid w:val="00502E95"/>
    <w:rsid w:val="005032F6"/>
    <w:rsid w:val="0050345E"/>
    <w:rsid w:val="005035DF"/>
    <w:rsid w:val="00504BC6"/>
    <w:rsid w:val="00505335"/>
    <w:rsid w:val="005058BB"/>
    <w:rsid w:val="00505E62"/>
    <w:rsid w:val="00505ECE"/>
    <w:rsid w:val="00506CDC"/>
    <w:rsid w:val="00506EE0"/>
    <w:rsid w:val="00507620"/>
    <w:rsid w:val="00511132"/>
    <w:rsid w:val="005130ED"/>
    <w:rsid w:val="005133F4"/>
    <w:rsid w:val="0051380B"/>
    <w:rsid w:val="00514174"/>
    <w:rsid w:val="00515D1C"/>
    <w:rsid w:val="00516651"/>
    <w:rsid w:val="005176B5"/>
    <w:rsid w:val="0051797D"/>
    <w:rsid w:val="00520691"/>
    <w:rsid w:val="005213BD"/>
    <w:rsid w:val="005217F7"/>
    <w:rsid w:val="0052193B"/>
    <w:rsid w:val="005223AE"/>
    <w:rsid w:val="00522953"/>
    <w:rsid w:val="00522B8E"/>
    <w:rsid w:val="00523009"/>
    <w:rsid w:val="005230C3"/>
    <w:rsid w:val="00523749"/>
    <w:rsid w:val="00523C34"/>
    <w:rsid w:val="0052576E"/>
    <w:rsid w:val="00525964"/>
    <w:rsid w:val="005264AA"/>
    <w:rsid w:val="00526856"/>
    <w:rsid w:val="00527E73"/>
    <w:rsid w:val="005305D9"/>
    <w:rsid w:val="005309DE"/>
    <w:rsid w:val="00531FED"/>
    <w:rsid w:val="005321AE"/>
    <w:rsid w:val="005322CA"/>
    <w:rsid w:val="00532CDE"/>
    <w:rsid w:val="0053301D"/>
    <w:rsid w:val="00534178"/>
    <w:rsid w:val="0053433B"/>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823"/>
    <w:rsid w:val="005462D4"/>
    <w:rsid w:val="00546C3B"/>
    <w:rsid w:val="00547F74"/>
    <w:rsid w:val="00547F76"/>
    <w:rsid w:val="005509D2"/>
    <w:rsid w:val="00550BAF"/>
    <w:rsid w:val="00551908"/>
    <w:rsid w:val="00551AD2"/>
    <w:rsid w:val="00552196"/>
    <w:rsid w:val="00552E48"/>
    <w:rsid w:val="00553066"/>
    <w:rsid w:val="005534C8"/>
    <w:rsid w:val="00553A0E"/>
    <w:rsid w:val="00553CE8"/>
    <w:rsid w:val="00553F3F"/>
    <w:rsid w:val="005544FE"/>
    <w:rsid w:val="00554A4B"/>
    <w:rsid w:val="00554A71"/>
    <w:rsid w:val="0055524B"/>
    <w:rsid w:val="0055598B"/>
    <w:rsid w:val="00556C6D"/>
    <w:rsid w:val="00556D20"/>
    <w:rsid w:val="005570F8"/>
    <w:rsid w:val="00557DF2"/>
    <w:rsid w:val="00563586"/>
    <w:rsid w:val="00564E44"/>
    <w:rsid w:val="0056575F"/>
    <w:rsid w:val="00567719"/>
    <w:rsid w:val="005679F3"/>
    <w:rsid w:val="00570934"/>
    <w:rsid w:val="00571623"/>
    <w:rsid w:val="00571747"/>
    <w:rsid w:val="005730DD"/>
    <w:rsid w:val="00574B3F"/>
    <w:rsid w:val="00574F8E"/>
    <w:rsid w:val="00575C4F"/>
    <w:rsid w:val="00580033"/>
    <w:rsid w:val="00581542"/>
    <w:rsid w:val="00581AFE"/>
    <w:rsid w:val="00583317"/>
    <w:rsid w:val="00583A6D"/>
    <w:rsid w:val="00583D77"/>
    <w:rsid w:val="005843D5"/>
    <w:rsid w:val="00585ABF"/>
    <w:rsid w:val="00585BCD"/>
    <w:rsid w:val="0058619D"/>
    <w:rsid w:val="00586351"/>
    <w:rsid w:val="005867B6"/>
    <w:rsid w:val="00586E00"/>
    <w:rsid w:val="00586EA0"/>
    <w:rsid w:val="00587159"/>
    <w:rsid w:val="00590406"/>
    <w:rsid w:val="00591ED6"/>
    <w:rsid w:val="005920A2"/>
    <w:rsid w:val="005929A3"/>
    <w:rsid w:val="0059300E"/>
    <w:rsid w:val="00593E33"/>
    <w:rsid w:val="00593E67"/>
    <w:rsid w:val="00594121"/>
    <w:rsid w:val="00594255"/>
    <w:rsid w:val="00594547"/>
    <w:rsid w:val="005946B4"/>
    <w:rsid w:val="00594D5D"/>
    <w:rsid w:val="00596368"/>
    <w:rsid w:val="00596F47"/>
    <w:rsid w:val="0059799F"/>
    <w:rsid w:val="005A0FE8"/>
    <w:rsid w:val="005A0FFE"/>
    <w:rsid w:val="005A1F5F"/>
    <w:rsid w:val="005A2F68"/>
    <w:rsid w:val="005A2F9E"/>
    <w:rsid w:val="005A3770"/>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46DE"/>
    <w:rsid w:val="005B50D8"/>
    <w:rsid w:val="005B6B7B"/>
    <w:rsid w:val="005C0132"/>
    <w:rsid w:val="005C0335"/>
    <w:rsid w:val="005C06ED"/>
    <w:rsid w:val="005C1652"/>
    <w:rsid w:val="005C2074"/>
    <w:rsid w:val="005C316C"/>
    <w:rsid w:val="005C4138"/>
    <w:rsid w:val="005C46EB"/>
    <w:rsid w:val="005C47B6"/>
    <w:rsid w:val="005C4C97"/>
    <w:rsid w:val="005C5445"/>
    <w:rsid w:val="005C54F9"/>
    <w:rsid w:val="005C5A43"/>
    <w:rsid w:val="005C6D73"/>
    <w:rsid w:val="005C7149"/>
    <w:rsid w:val="005C734C"/>
    <w:rsid w:val="005C7984"/>
    <w:rsid w:val="005D01A9"/>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E024F"/>
    <w:rsid w:val="005E02BF"/>
    <w:rsid w:val="005E0C8F"/>
    <w:rsid w:val="005E2507"/>
    <w:rsid w:val="005E5073"/>
    <w:rsid w:val="005E5092"/>
    <w:rsid w:val="005E5714"/>
    <w:rsid w:val="005E748D"/>
    <w:rsid w:val="005E7E76"/>
    <w:rsid w:val="005F4983"/>
    <w:rsid w:val="005F5102"/>
    <w:rsid w:val="005F55B4"/>
    <w:rsid w:val="005F56DC"/>
    <w:rsid w:val="005F57F1"/>
    <w:rsid w:val="005F7472"/>
    <w:rsid w:val="006014CE"/>
    <w:rsid w:val="00601517"/>
    <w:rsid w:val="00601FF1"/>
    <w:rsid w:val="00602492"/>
    <w:rsid w:val="0060263E"/>
    <w:rsid w:val="00603315"/>
    <w:rsid w:val="00603D4B"/>
    <w:rsid w:val="00604949"/>
    <w:rsid w:val="0060658F"/>
    <w:rsid w:val="00610305"/>
    <w:rsid w:val="00610A70"/>
    <w:rsid w:val="00610FD1"/>
    <w:rsid w:val="00612321"/>
    <w:rsid w:val="006129BA"/>
    <w:rsid w:val="00612EF7"/>
    <w:rsid w:val="0061395E"/>
    <w:rsid w:val="0061632E"/>
    <w:rsid w:val="0061747F"/>
    <w:rsid w:val="00617963"/>
    <w:rsid w:val="00617A0C"/>
    <w:rsid w:val="00620DE3"/>
    <w:rsid w:val="00621119"/>
    <w:rsid w:val="00621D50"/>
    <w:rsid w:val="006225D3"/>
    <w:rsid w:val="0062353D"/>
    <w:rsid w:val="006235F6"/>
    <w:rsid w:val="0062392F"/>
    <w:rsid w:val="00623D1E"/>
    <w:rsid w:val="006247A2"/>
    <w:rsid w:val="00624F0E"/>
    <w:rsid w:val="00625374"/>
    <w:rsid w:val="00625B2F"/>
    <w:rsid w:val="00626302"/>
    <w:rsid w:val="006276FB"/>
    <w:rsid w:val="00627EF0"/>
    <w:rsid w:val="00630489"/>
    <w:rsid w:val="00630AB7"/>
    <w:rsid w:val="00630D39"/>
    <w:rsid w:val="00631012"/>
    <w:rsid w:val="006316FF"/>
    <w:rsid w:val="006333E8"/>
    <w:rsid w:val="006337B5"/>
    <w:rsid w:val="006338A1"/>
    <w:rsid w:val="0063448D"/>
    <w:rsid w:val="00634DB9"/>
    <w:rsid w:val="00635DAD"/>
    <w:rsid w:val="00635EE7"/>
    <w:rsid w:val="006365EB"/>
    <w:rsid w:val="00636ED7"/>
    <w:rsid w:val="0063750A"/>
    <w:rsid w:val="0064060C"/>
    <w:rsid w:val="00642361"/>
    <w:rsid w:val="00642372"/>
    <w:rsid w:val="00643925"/>
    <w:rsid w:val="00643DA7"/>
    <w:rsid w:val="00644DDF"/>
    <w:rsid w:val="00645DCE"/>
    <w:rsid w:val="006461AB"/>
    <w:rsid w:val="00646C5A"/>
    <w:rsid w:val="00646E7C"/>
    <w:rsid w:val="006513B3"/>
    <w:rsid w:val="00652A78"/>
    <w:rsid w:val="00652A8F"/>
    <w:rsid w:val="00653581"/>
    <w:rsid w:val="006535E6"/>
    <w:rsid w:val="00653A24"/>
    <w:rsid w:val="00653E50"/>
    <w:rsid w:val="0065483C"/>
    <w:rsid w:val="006551BA"/>
    <w:rsid w:val="00655A1E"/>
    <w:rsid w:val="00655AAE"/>
    <w:rsid w:val="0065636A"/>
    <w:rsid w:val="006568FC"/>
    <w:rsid w:val="00657426"/>
    <w:rsid w:val="00660568"/>
    <w:rsid w:val="0066092E"/>
    <w:rsid w:val="00661082"/>
    <w:rsid w:val="006613D4"/>
    <w:rsid w:val="006628AC"/>
    <w:rsid w:val="00662E88"/>
    <w:rsid w:val="00663483"/>
    <w:rsid w:val="0066388E"/>
    <w:rsid w:val="00664C63"/>
    <w:rsid w:val="0066595F"/>
    <w:rsid w:val="00665B29"/>
    <w:rsid w:val="00666056"/>
    <w:rsid w:val="006660DB"/>
    <w:rsid w:val="006675E5"/>
    <w:rsid w:val="006701B8"/>
    <w:rsid w:val="00670563"/>
    <w:rsid w:val="00670730"/>
    <w:rsid w:val="00671A3E"/>
    <w:rsid w:val="00673646"/>
    <w:rsid w:val="00673CDA"/>
    <w:rsid w:val="00674802"/>
    <w:rsid w:val="0067490E"/>
    <w:rsid w:val="006749A2"/>
    <w:rsid w:val="00674BED"/>
    <w:rsid w:val="00674ECD"/>
    <w:rsid w:val="006756EA"/>
    <w:rsid w:val="00675C2C"/>
    <w:rsid w:val="00676274"/>
    <w:rsid w:val="00676354"/>
    <w:rsid w:val="00680845"/>
    <w:rsid w:val="00681B82"/>
    <w:rsid w:val="00681E5A"/>
    <w:rsid w:val="00682541"/>
    <w:rsid w:val="00682E11"/>
    <w:rsid w:val="00683C72"/>
    <w:rsid w:val="00684A76"/>
    <w:rsid w:val="00684B92"/>
    <w:rsid w:val="00687108"/>
    <w:rsid w:val="00687D64"/>
    <w:rsid w:val="00690599"/>
    <w:rsid w:val="006909AB"/>
    <w:rsid w:val="00691CB0"/>
    <w:rsid w:val="00691FFA"/>
    <w:rsid w:val="00692CF6"/>
    <w:rsid w:val="006939A6"/>
    <w:rsid w:val="00693BF9"/>
    <w:rsid w:val="006957DB"/>
    <w:rsid w:val="00696828"/>
    <w:rsid w:val="00697051"/>
    <w:rsid w:val="0069734C"/>
    <w:rsid w:val="006976F0"/>
    <w:rsid w:val="006A02E6"/>
    <w:rsid w:val="006A083A"/>
    <w:rsid w:val="006A1AEB"/>
    <w:rsid w:val="006A1BE1"/>
    <w:rsid w:val="006A1CC9"/>
    <w:rsid w:val="006A1FDB"/>
    <w:rsid w:val="006A37E7"/>
    <w:rsid w:val="006A3C04"/>
    <w:rsid w:val="006A47DF"/>
    <w:rsid w:val="006A48F4"/>
    <w:rsid w:val="006A4BA7"/>
    <w:rsid w:val="006A6C03"/>
    <w:rsid w:val="006B022B"/>
    <w:rsid w:val="006B02A8"/>
    <w:rsid w:val="006B0351"/>
    <w:rsid w:val="006B1A1A"/>
    <w:rsid w:val="006B2BA3"/>
    <w:rsid w:val="006B2EE9"/>
    <w:rsid w:val="006B59E9"/>
    <w:rsid w:val="006B635D"/>
    <w:rsid w:val="006B6FBE"/>
    <w:rsid w:val="006B7B45"/>
    <w:rsid w:val="006B7B7E"/>
    <w:rsid w:val="006C0160"/>
    <w:rsid w:val="006C01AF"/>
    <w:rsid w:val="006C1A26"/>
    <w:rsid w:val="006C1EEB"/>
    <w:rsid w:val="006C3ACC"/>
    <w:rsid w:val="006C3FD2"/>
    <w:rsid w:val="006C483B"/>
    <w:rsid w:val="006C4841"/>
    <w:rsid w:val="006C6024"/>
    <w:rsid w:val="006C6271"/>
    <w:rsid w:val="006C634C"/>
    <w:rsid w:val="006C6A76"/>
    <w:rsid w:val="006C73C9"/>
    <w:rsid w:val="006C7F3C"/>
    <w:rsid w:val="006C7F4F"/>
    <w:rsid w:val="006D0BAF"/>
    <w:rsid w:val="006D21B7"/>
    <w:rsid w:val="006D2E88"/>
    <w:rsid w:val="006D3B03"/>
    <w:rsid w:val="006D4211"/>
    <w:rsid w:val="006D4577"/>
    <w:rsid w:val="006D54D3"/>
    <w:rsid w:val="006D57FF"/>
    <w:rsid w:val="006D5EC2"/>
    <w:rsid w:val="006D6360"/>
    <w:rsid w:val="006D6520"/>
    <w:rsid w:val="006D6E3F"/>
    <w:rsid w:val="006D7877"/>
    <w:rsid w:val="006D7F31"/>
    <w:rsid w:val="006E006B"/>
    <w:rsid w:val="006E1891"/>
    <w:rsid w:val="006E3538"/>
    <w:rsid w:val="006E4A76"/>
    <w:rsid w:val="006E4BAB"/>
    <w:rsid w:val="006E5BB7"/>
    <w:rsid w:val="006E5C4F"/>
    <w:rsid w:val="006E6007"/>
    <w:rsid w:val="006E6EAE"/>
    <w:rsid w:val="006E6FF7"/>
    <w:rsid w:val="006E7054"/>
    <w:rsid w:val="006E7956"/>
    <w:rsid w:val="006F0026"/>
    <w:rsid w:val="006F062E"/>
    <w:rsid w:val="006F1B9B"/>
    <w:rsid w:val="006F23E9"/>
    <w:rsid w:val="006F259A"/>
    <w:rsid w:val="006F25E5"/>
    <w:rsid w:val="006F29B7"/>
    <w:rsid w:val="006F31E1"/>
    <w:rsid w:val="006F3497"/>
    <w:rsid w:val="006F41DA"/>
    <w:rsid w:val="006F48EF"/>
    <w:rsid w:val="006F52CB"/>
    <w:rsid w:val="006F572A"/>
    <w:rsid w:val="006F57DE"/>
    <w:rsid w:val="006F614A"/>
    <w:rsid w:val="007000A5"/>
    <w:rsid w:val="007003AA"/>
    <w:rsid w:val="0070047A"/>
    <w:rsid w:val="00700833"/>
    <w:rsid w:val="00702685"/>
    <w:rsid w:val="00702A32"/>
    <w:rsid w:val="00704F5D"/>
    <w:rsid w:val="00705BA0"/>
    <w:rsid w:val="00706050"/>
    <w:rsid w:val="0070721E"/>
    <w:rsid w:val="0070742B"/>
    <w:rsid w:val="00707BA5"/>
    <w:rsid w:val="00710789"/>
    <w:rsid w:val="007107B9"/>
    <w:rsid w:val="00710A58"/>
    <w:rsid w:val="00710DF2"/>
    <w:rsid w:val="007118B8"/>
    <w:rsid w:val="0071206F"/>
    <w:rsid w:val="00712B60"/>
    <w:rsid w:val="0071504F"/>
    <w:rsid w:val="00715E14"/>
    <w:rsid w:val="00716DA7"/>
    <w:rsid w:val="007171CA"/>
    <w:rsid w:val="00717CC9"/>
    <w:rsid w:val="00720006"/>
    <w:rsid w:val="007206DD"/>
    <w:rsid w:val="0072085F"/>
    <w:rsid w:val="00720909"/>
    <w:rsid w:val="00720C30"/>
    <w:rsid w:val="00721CD1"/>
    <w:rsid w:val="00723970"/>
    <w:rsid w:val="00725203"/>
    <w:rsid w:val="00725BBE"/>
    <w:rsid w:val="00727342"/>
    <w:rsid w:val="00727D0E"/>
    <w:rsid w:val="00727F01"/>
    <w:rsid w:val="007307AA"/>
    <w:rsid w:val="007319CB"/>
    <w:rsid w:val="0073248F"/>
    <w:rsid w:val="007324D4"/>
    <w:rsid w:val="00732911"/>
    <w:rsid w:val="00732BF7"/>
    <w:rsid w:val="00734626"/>
    <w:rsid w:val="00735361"/>
    <w:rsid w:val="007354D8"/>
    <w:rsid w:val="00735BA0"/>
    <w:rsid w:val="00735DDF"/>
    <w:rsid w:val="007368C2"/>
    <w:rsid w:val="00736B89"/>
    <w:rsid w:val="00736D7B"/>
    <w:rsid w:val="0073711D"/>
    <w:rsid w:val="00737FD3"/>
    <w:rsid w:val="007411D6"/>
    <w:rsid w:val="00741C6C"/>
    <w:rsid w:val="0074210F"/>
    <w:rsid w:val="007422CF"/>
    <w:rsid w:val="00743315"/>
    <w:rsid w:val="00743AD9"/>
    <w:rsid w:val="00743F7B"/>
    <w:rsid w:val="00744335"/>
    <w:rsid w:val="00745262"/>
    <w:rsid w:val="00745E1D"/>
    <w:rsid w:val="00746FDE"/>
    <w:rsid w:val="007470B9"/>
    <w:rsid w:val="0074758D"/>
    <w:rsid w:val="007476C1"/>
    <w:rsid w:val="00750678"/>
    <w:rsid w:val="00750B45"/>
    <w:rsid w:val="00750F14"/>
    <w:rsid w:val="007511CC"/>
    <w:rsid w:val="00751443"/>
    <w:rsid w:val="00751721"/>
    <w:rsid w:val="00751A55"/>
    <w:rsid w:val="00752089"/>
    <w:rsid w:val="007531A0"/>
    <w:rsid w:val="00754352"/>
    <w:rsid w:val="00754AA7"/>
    <w:rsid w:val="0075647A"/>
    <w:rsid w:val="007568DC"/>
    <w:rsid w:val="00756C35"/>
    <w:rsid w:val="00757582"/>
    <w:rsid w:val="00761E57"/>
    <w:rsid w:val="00763236"/>
    <w:rsid w:val="00763817"/>
    <w:rsid w:val="00763C39"/>
    <w:rsid w:val="00763EE0"/>
    <w:rsid w:val="007643C0"/>
    <w:rsid w:val="00765A36"/>
    <w:rsid w:val="00767D58"/>
    <w:rsid w:val="007706FD"/>
    <w:rsid w:val="00770801"/>
    <w:rsid w:val="00772337"/>
    <w:rsid w:val="00774621"/>
    <w:rsid w:val="00774690"/>
    <w:rsid w:val="00774805"/>
    <w:rsid w:val="0077654B"/>
    <w:rsid w:val="00776E22"/>
    <w:rsid w:val="00781F7D"/>
    <w:rsid w:val="00782073"/>
    <w:rsid w:val="00783530"/>
    <w:rsid w:val="007844C8"/>
    <w:rsid w:val="0078467D"/>
    <w:rsid w:val="007850DE"/>
    <w:rsid w:val="0079093A"/>
    <w:rsid w:val="00791133"/>
    <w:rsid w:val="00791143"/>
    <w:rsid w:val="00792223"/>
    <w:rsid w:val="00792C03"/>
    <w:rsid w:val="00792D10"/>
    <w:rsid w:val="00793944"/>
    <w:rsid w:val="00793B10"/>
    <w:rsid w:val="007946AF"/>
    <w:rsid w:val="007959B8"/>
    <w:rsid w:val="00795A01"/>
    <w:rsid w:val="00796717"/>
    <w:rsid w:val="00796C3B"/>
    <w:rsid w:val="00797351"/>
    <w:rsid w:val="0079743D"/>
    <w:rsid w:val="00797772"/>
    <w:rsid w:val="00797DA2"/>
    <w:rsid w:val="007A1530"/>
    <w:rsid w:val="007A17F1"/>
    <w:rsid w:val="007A1859"/>
    <w:rsid w:val="007A27A6"/>
    <w:rsid w:val="007A38B9"/>
    <w:rsid w:val="007A4FCA"/>
    <w:rsid w:val="007A519B"/>
    <w:rsid w:val="007A5FED"/>
    <w:rsid w:val="007A7CFF"/>
    <w:rsid w:val="007A7D90"/>
    <w:rsid w:val="007B0039"/>
    <w:rsid w:val="007B01CF"/>
    <w:rsid w:val="007B1446"/>
    <w:rsid w:val="007B150C"/>
    <w:rsid w:val="007B3CEF"/>
    <w:rsid w:val="007B4D5C"/>
    <w:rsid w:val="007B4FFD"/>
    <w:rsid w:val="007B590C"/>
    <w:rsid w:val="007B60BD"/>
    <w:rsid w:val="007B7A92"/>
    <w:rsid w:val="007C0C12"/>
    <w:rsid w:val="007C12E8"/>
    <w:rsid w:val="007C2CB2"/>
    <w:rsid w:val="007C2E23"/>
    <w:rsid w:val="007C3139"/>
    <w:rsid w:val="007C3565"/>
    <w:rsid w:val="007C42BB"/>
    <w:rsid w:val="007C45CA"/>
    <w:rsid w:val="007C46A0"/>
    <w:rsid w:val="007C5070"/>
    <w:rsid w:val="007C663D"/>
    <w:rsid w:val="007D008E"/>
    <w:rsid w:val="007D07C4"/>
    <w:rsid w:val="007D0AF0"/>
    <w:rsid w:val="007D224B"/>
    <w:rsid w:val="007D4E85"/>
    <w:rsid w:val="007D50EF"/>
    <w:rsid w:val="007D69E1"/>
    <w:rsid w:val="007D6A1E"/>
    <w:rsid w:val="007E0064"/>
    <w:rsid w:val="007E04A2"/>
    <w:rsid w:val="007E09E9"/>
    <w:rsid w:val="007E0A8F"/>
    <w:rsid w:val="007E0B3E"/>
    <w:rsid w:val="007E12D3"/>
    <w:rsid w:val="007E13EB"/>
    <w:rsid w:val="007E3446"/>
    <w:rsid w:val="007E4D1E"/>
    <w:rsid w:val="007E66D0"/>
    <w:rsid w:val="007E6835"/>
    <w:rsid w:val="007F04B2"/>
    <w:rsid w:val="007F24B9"/>
    <w:rsid w:val="007F26C7"/>
    <w:rsid w:val="007F3388"/>
    <w:rsid w:val="007F347D"/>
    <w:rsid w:val="007F3571"/>
    <w:rsid w:val="007F497A"/>
    <w:rsid w:val="007F4D6C"/>
    <w:rsid w:val="007F5CF0"/>
    <w:rsid w:val="007F5DC6"/>
    <w:rsid w:val="007F5EAC"/>
    <w:rsid w:val="007F6251"/>
    <w:rsid w:val="007F6461"/>
    <w:rsid w:val="007F6BAE"/>
    <w:rsid w:val="007F7B5C"/>
    <w:rsid w:val="007F7D2F"/>
    <w:rsid w:val="00801B8F"/>
    <w:rsid w:val="0080256F"/>
    <w:rsid w:val="00802BF1"/>
    <w:rsid w:val="00802FF1"/>
    <w:rsid w:val="008034DB"/>
    <w:rsid w:val="008041E6"/>
    <w:rsid w:val="008041FF"/>
    <w:rsid w:val="00806471"/>
    <w:rsid w:val="00807263"/>
    <w:rsid w:val="0080751A"/>
    <w:rsid w:val="0080752D"/>
    <w:rsid w:val="00807F81"/>
    <w:rsid w:val="008123CB"/>
    <w:rsid w:val="00812892"/>
    <w:rsid w:val="008129F2"/>
    <w:rsid w:val="008137C4"/>
    <w:rsid w:val="00813B83"/>
    <w:rsid w:val="008150EA"/>
    <w:rsid w:val="0081516B"/>
    <w:rsid w:val="00815355"/>
    <w:rsid w:val="00815EF5"/>
    <w:rsid w:val="00816175"/>
    <w:rsid w:val="00816809"/>
    <w:rsid w:val="00817C2F"/>
    <w:rsid w:val="00820059"/>
    <w:rsid w:val="00820AAF"/>
    <w:rsid w:val="00821900"/>
    <w:rsid w:val="00821A21"/>
    <w:rsid w:val="00821B0A"/>
    <w:rsid w:val="00821D52"/>
    <w:rsid w:val="00822140"/>
    <w:rsid w:val="00822285"/>
    <w:rsid w:val="00822350"/>
    <w:rsid w:val="008228D5"/>
    <w:rsid w:val="00823081"/>
    <w:rsid w:val="0082471D"/>
    <w:rsid w:val="00824957"/>
    <w:rsid w:val="00824986"/>
    <w:rsid w:val="00824FA1"/>
    <w:rsid w:val="00825E5A"/>
    <w:rsid w:val="0082623F"/>
    <w:rsid w:val="0082649C"/>
    <w:rsid w:val="00827A57"/>
    <w:rsid w:val="00830BFA"/>
    <w:rsid w:val="008318D7"/>
    <w:rsid w:val="0083217B"/>
    <w:rsid w:val="00833015"/>
    <w:rsid w:val="0083304A"/>
    <w:rsid w:val="00834071"/>
    <w:rsid w:val="0083555E"/>
    <w:rsid w:val="008409CC"/>
    <w:rsid w:val="00840BAF"/>
    <w:rsid w:val="00842B65"/>
    <w:rsid w:val="00842CFE"/>
    <w:rsid w:val="00843259"/>
    <w:rsid w:val="0084352C"/>
    <w:rsid w:val="00844B24"/>
    <w:rsid w:val="008465BB"/>
    <w:rsid w:val="008472A2"/>
    <w:rsid w:val="0085169E"/>
    <w:rsid w:val="00851C15"/>
    <w:rsid w:val="00852846"/>
    <w:rsid w:val="0085398C"/>
    <w:rsid w:val="00853EF1"/>
    <w:rsid w:val="0085419D"/>
    <w:rsid w:val="008541D3"/>
    <w:rsid w:val="0085445A"/>
    <w:rsid w:val="00854BF1"/>
    <w:rsid w:val="00855207"/>
    <w:rsid w:val="008558F8"/>
    <w:rsid w:val="00855984"/>
    <w:rsid w:val="00857C2E"/>
    <w:rsid w:val="008600F0"/>
    <w:rsid w:val="008601F7"/>
    <w:rsid w:val="00860B35"/>
    <w:rsid w:val="00861A9E"/>
    <w:rsid w:val="008626B5"/>
    <w:rsid w:val="00862CE5"/>
    <w:rsid w:val="00863D5F"/>
    <w:rsid w:val="00863E40"/>
    <w:rsid w:val="00863E6E"/>
    <w:rsid w:val="0086426F"/>
    <w:rsid w:val="008642EA"/>
    <w:rsid w:val="008648B1"/>
    <w:rsid w:val="00864CEE"/>
    <w:rsid w:val="00865929"/>
    <w:rsid w:val="00867A31"/>
    <w:rsid w:val="00870520"/>
    <w:rsid w:val="00872366"/>
    <w:rsid w:val="008725E4"/>
    <w:rsid w:val="008730D2"/>
    <w:rsid w:val="00873286"/>
    <w:rsid w:val="00873657"/>
    <w:rsid w:val="0087400B"/>
    <w:rsid w:val="0087440C"/>
    <w:rsid w:val="00875114"/>
    <w:rsid w:val="008753AD"/>
    <w:rsid w:val="00875AFE"/>
    <w:rsid w:val="00875F91"/>
    <w:rsid w:val="00876985"/>
    <w:rsid w:val="00876A95"/>
    <w:rsid w:val="008801C4"/>
    <w:rsid w:val="0088027D"/>
    <w:rsid w:val="00881B29"/>
    <w:rsid w:val="00881C9D"/>
    <w:rsid w:val="00881F1B"/>
    <w:rsid w:val="00883438"/>
    <w:rsid w:val="008837C5"/>
    <w:rsid w:val="00883A24"/>
    <w:rsid w:val="00884D6F"/>
    <w:rsid w:val="00885BE9"/>
    <w:rsid w:val="008873C5"/>
    <w:rsid w:val="00887437"/>
    <w:rsid w:val="0088749C"/>
    <w:rsid w:val="00887C19"/>
    <w:rsid w:val="008903B0"/>
    <w:rsid w:val="008907D3"/>
    <w:rsid w:val="008908AD"/>
    <w:rsid w:val="0089115F"/>
    <w:rsid w:val="0089174E"/>
    <w:rsid w:val="00891E6D"/>
    <w:rsid w:val="00892127"/>
    <w:rsid w:val="00894CE2"/>
    <w:rsid w:val="00895BA7"/>
    <w:rsid w:val="00895BCD"/>
    <w:rsid w:val="00895C33"/>
    <w:rsid w:val="00895EAD"/>
    <w:rsid w:val="00895EFD"/>
    <w:rsid w:val="00896D8A"/>
    <w:rsid w:val="008A0515"/>
    <w:rsid w:val="008A054E"/>
    <w:rsid w:val="008A074C"/>
    <w:rsid w:val="008A1ED6"/>
    <w:rsid w:val="008A2539"/>
    <w:rsid w:val="008A3343"/>
    <w:rsid w:val="008A38AE"/>
    <w:rsid w:val="008A4688"/>
    <w:rsid w:val="008A4969"/>
    <w:rsid w:val="008A4A3C"/>
    <w:rsid w:val="008A5036"/>
    <w:rsid w:val="008B07B3"/>
    <w:rsid w:val="008B0BD1"/>
    <w:rsid w:val="008B0E7D"/>
    <w:rsid w:val="008B24CA"/>
    <w:rsid w:val="008B2B82"/>
    <w:rsid w:val="008B3365"/>
    <w:rsid w:val="008B4034"/>
    <w:rsid w:val="008B4602"/>
    <w:rsid w:val="008B4B6A"/>
    <w:rsid w:val="008B5192"/>
    <w:rsid w:val="008B5D53"/>
    <w:rsid w:val="008B60E6"/>
    <w:rsid w:val="008B7F3D"/>
    <w:rsid w:val="008C1539"/>
    <w:rsid w:val="008C1962"/>
    <w:rsid w:val="008C27CF"/>
    <w:rsid w:val="008C2D32"/>
    <w:rsid w:val="008C328D"/>
    <w:rsid w:val="008C33E1"/>
    <w:rsid w:val="008C38A8"/>
    <w:rsid w:val="008C3B27"/>
    <w:rsid w:val="008C512F"/>
    <w:rsid w:val="008C63C3"/>
    <w:rsid w:val="008C6539"/>
    <w:rsid w:val="008C6976"/>
    <w:rsid w:val="008C6DDF"/>
    <w:rsid w:val="008C7830"/>
    <w:rsid w:val="008C7B77"/>
    <w:rsid w:val="008D0200"/>
    <w:rsid w:val="008D159E"/>
    <w:rsid w:val="008D16E0"/>
    <w:rsid w:val="008D2189"/>
    <w:rsid w:val="008D2437"/>
    <w:rsid w:val="008D29F2"/>
    <w:rsid w:val="008D3159"/>
    <w:rsid w:val="008D31C3"/>
    <w:rsid w:val="008D38AC"/>
    <w:rsid w:val="008D40EE"/>
    <w:rsid w:val="008D42DC"/>
    <w:rsid w:val="008D63B1"/>
    <w:rsid w:val="008D66C1"/>
    <w:rsid w:val="008D6A6B"/>
    <w:rsid w:val="008D6F01"/>
    <w:rsid w:val="008D7D35"/>
    <w:rsid w:val="008D7E8A"/>
    <w:rsid w:val="008E0D78"/>
    <w:rsid w:val="008E1411"/>
    <w:rsid w:val="008E1F21"/>
    <w:rsid w:val="008E2322"/>
    <w:rsid w:val="008E2CC2"/>
    <w:rsid w:val="008E395A"/>
    <w:rsid w:val="008E4747"/>
    <w:rsid w:val="008E4909"/>
    <w:rsid w:val="008E4B48"/>
    <w:rsid w:val="008E55B7"/>
    <w:rsid w:val="008E59F5"/>
    <w:rsid w:val="008E7596"/>
    <w:rsid w:val="008F08C7"/>
    <w:rsid w:val="008F13B6"/>
    <w:rsid w:val="008F1BC5"/>
    <w:rsid w:val="008F3D05"/>
    <w:rsid w:val="008F43D6"/>
    <w:rsid w:val="008F56E3"/>
    <w:rsid w:val="008F58CE"/>
    <w:rsid w:val="008F598A"/>
    <w:rsid w:val="008F774C"/>
    <w:rsid w:val="008F7A5F"/>
    <w:rsid w:val="009001EE"/>
    <w:rsid w:val="00901302"/>
    <w:rsid w:val="00901BB6"/>
    <w:rsid w:val="00901F77"/>
    <w:rsid w:val="00902515"/>
    <w:rsid w:val="00902C48"/>
    <w:rsid w:val="00903C62"/>
    <w:rsid w:val="00903F0C"/>
    <w:rsid w:val="00903FCB"/>
    <w:rsid w:val="00904DC6"/>
    <w:rsid w:val="00906BFC"/>
    <w:rsid w:val="00911BD4"/>
    <w:rsid w:val="0091365C"/>
    <w:rsid w:val="00913946"/>
    <w:rsid w:val="00913D35"/>
    <w:rsid w:val="00914284"/>
    <w:rsid w:val="00914D7A"/>
    <w:rsid w:val="009153D2"/>
    <w:rsid w:val="009154B3"/>
    <w:rsid w:val="00915772"/>
    <w:rsid w:val="0091608B"/>
    <w:rsid w:val="0091626F"/>
    <w:rsid w:val="0091791E"/>
    <w:rsid w:val="00917EBE"/>
    <w:rsid w:val="00920D1B"/>
    <w:rsid w:val="00921037"/>
    <w:rsid w:val="0092199A"/>
    <w:rsid w:val="009224AC"/>
    <w:rsid w:val="0092291F"/>
    <w:rsid w:val="00922EDC"/>
    <w:rsid w:val="009244F2"/>
    <w:rsid w:val="009246A5"/>
    <w:rsid w:val="00925113"/>
    <w:rsid w:val="00925DE2"/>
    <w:rsid w:val="0092609D"/>
    <w:rsid w:val="00927005"/>
    <w:rsid w:val="00927329"/>
    <w:rsid w:val="00930077"/>
    <w:rsid w:val="009306E5"/>
    <w:rsid w:val="009314D7"/>
    <w:rsid w:val="009316CE"/>
    <w:rsid w:val="00934BDB"/>
    <w:rsid w:val="00935BC6"/>
    <w:rsid w:val="00936830"/>
    <w:rsid w:val="00937175"/>
    <w:rsid w:val="00937A27"/>
    <w:rsid w:val="00937CF8"/>
    <w:rsid w:val="00940DA0"/>
    <w:rsid w:val="00943DD3"/>
    <w:rsid w:val="00944989"/>
    <w:rsid w:val="00945E50"/>
    <w:rsid w:val="00946BDA"/>
    <w:rsid w:val="009477C4"/>
    <w:rsid w:val="00947C1D"/>
    <w:rsid w:val="00950C5D"/>
    <w:rsid w:val="0095190C"/>
    <w:rsid w:val="00953725"/>
    <w:rsid w:val="009538B8"/>
    <w:rsid w:val="00953D0D"/>
    <w:rsid w:val="009550E2"/>
    <w:rsid w:val="00955BEE"/>
    <w:rsid w:val="00955FC9"/>
    <w:rsid w:val="00956443"/>
    <w:rsid w:val="009614CE"/>
    <w:rsid w:val="00961987"/>
    <w:rsid w:val="00961AAD"/>
    <w:rsid w:val="00961B39"/>
    <w:rsid w:val="0096267E"/>
    <w:rsid w:val="00963237"/>
    <w:rsid w:val="00964891"/>
    <w:rsid w:val="009648E8"/>
    <w:rsid w:val="00964D92"/>
    <w:rsid w:val="009652DA"/>
    <w:rsid w:val="00966B08"/>
    <w:rsid w:val="00966C77"/>
    <w:rsid w:val="00966C79"/>
    <w:rsid w:val="00967120"/>
    <w:rsid w:val="00967DF4"/>
    <w:rsid w:val="00970377"/>
    <w:rsid w:val="0097107C"/>
    <w:rsid w:val="009711B9"/>
    <w:rsid w:val="00972748"/>
    <w:rsid w:val="00973F76"/>
    <w:rsid w:val="009747A6"/>
    <w:rsid w:val="00974A66"/>
    <w:rsid w:val="00974BF8"/>
    <w:rsid w:val="00974CD2"/>
    <w:rsid w:val="00975C68"/>
    <w:rsid w:val="00975FFC"/>
    <w:rsid w:val="00976DE8"/>
    <w:rsid w:val="0097759E"/>
    <w:rsid w:val="00980BD7"/>
    <w:rsid w:val="00980E55"/>
    <w:rsid w:val="0098108A"/>
    <w:rsid w:val="00981BEF"/>
    <w:rsid w:val="00981F4A"/>
    <w:rsid w:val="009820F0"/>
    <w:rsid w:val="00982614"/>
    <w:rsid w:val="00982969"/>
    <w:rsid w:val="00984710"/>
    <w:rsid w:val="00985050"/>
    <w:rsid w:val="0098584D"/>
    <w:rsid w:val="00986021"/>
    <w:rsid w:val="0098613A"/>
    <w:rsid w:val="00986DD9"/>
    <w:rsid w:val="009873F6"/>
    <w:rsid w:val="00987995"/>
    <w:rsid w:val="00991C5F"/>
    <w:rsid w:val="009926DF"/>
    <w:rsid w:val="00993575"/>
    <w:rsid w:val="00993A20"/>
    <w:rsid w:val="00994662"/>
    <w:rsid w:val="00994677"/>
    <w:rsid w:val="009946D8"/>
    <w:rsid w:val="009952FB"/>
    <w:rsid w:val="00995606"/>
    <w:rsid w:val="00996F8A"/>
    <w:rsid w:val="009A10AF"/>
    <w:rsid w:val="009A532D"/>
    <w:rsid w:val="009A5414"/>
    <w:rsid w:val="009A5E8A"/>
    <w:rsid w:val="009A79DA"/>
    <w:rsid w:val="009B0854"/>
    <w:rsid w:val="009B08F5"/>
    <w:rsid w:val="009B1CD5"/>
    <w:rsid w:val="009B200B"/>
    <w:rsid w:val="009B24A5"/>
    <w:rsid w:val="009B29AD"/>
    <w:rsid w:val="009B2EC2"/>
    <w:rsid w:val="009B31DB"/>
    <w:rsid w:val="009B3408"/>
    <w:rsid w:val="009B3D5A"/>
    <w:rsid w:val="009B4301"/>
    <w:rsid w:val="009B5682"/>
    <w:rsid w:val="009B72C6"/>
    <w:rsid w:val="009B730F"/>
    <w:rsid w:val="009B74D5"/>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AB"/>
    <w:rsid w:val="009C6AA8"/>
    <w:rsid w:val="009C74FA"/>
    <w:rsid w:val="009D0258"/>
    <w:rsid w:val="009D0684"/>
    <w:rsid w:val="009D3294"/>
    <w:rsid w:val="009D42E7"/>
    <w:rsid w:val="009D49ED"/>
    <w:rsid w:val="009D4A7B"/>
    <w:rsid w:val="009D4F12"/>
    <w:rsid w:val="009D7296"/>
    <w:rsid w:val="009D75EB"/>
    <w:rsid w:val="009D7725"/>
    <w:rsid w:val="009D78C3"/>
    <w:rsid w:val="009E07DA"/>
    <w:rsid w:val="009E160F"/>
    <w:rsid w:val="009E1BE8"/>
    <w:rsid w:val="009E2166"/>
    <w:rsid w:val="009E235B"/>
    <w:rsid w:val="009E2DD5"/>
    <w:rsid w:val="009E3A81"/>
    <w:rsid w:val="009E3BFF"/>
    <w:rsid w:val="009E439C"/>
    <w:rsid w:val="009E6096"/>
    <w:rsid w:val="009E6A48"/>
    <w:rsid w:val="009E6A73"/>
    <w:rsid w:val="009E6C36"/>
    <w:rsid w:val="009E7641"/>
    <w:rsid w:val="009F0D9B"/>
    <w:rsid w:val="009F3A36"/>
    <w:rsid w:val="009F3F48"/>
    <w:rsid w:val="009F6368"/>
    <w:rsid w:val="009F69B8"/>
    <w:rsid w:val="009F725D"/>
    <w:rsid w:val="009F76A8"/>
    <w:rsid w:val="009F78B1"/>
    <w:rsid w:val="009F7B6E"/>
    <w:rsid w:val="00A00D80"/>
    <w:rsid w:val="00A0177A"/>
    <w:rsid w:val="00A04CEC"/>
    <w:rsid w:val="00A04E86"/>
    <w:rsid w:val="00A052F6"/>
    <w:rsid w:val="00A0580B"/>
    <w:rsid w:val="00A070D6"/>
    <w:rsid w:val="00A072A3"/>
    <w:rsid w:val="00A106DC"/>
    <w:rsid w:val="00A10E92"/>
    <w:rsid w:val="00A10EA0"/>
    <w:rsid w:val="00A12484"/>
    <w:rsid w:val="00A12735"/>
    <w:rsid w:val="00A12F3F"/>
    <w:rsid w:val="00A13244"/>
    <w:rsid w:val="00A15C66"/>
    <w:rsid w:val="00A173F4"/>
    <w:rsid w:val="00A17641"/>
    <w:rsid w:val="00A17B6F"/>
    <w:rsid w:val="00A21EA6"/>
    <w:rsid w:val="00A22630"/>
    <w:rsid w:val="00A23897"/>
    <w:rsid w:val="00A23A90"/>
    <w:rsid w:val="00A25FC1"/>
    <w:rsid w:val="00A26356"/>
    <w:rsid w:val="00A2641E"/>
    <w:rsid w:val="00A26D3E"/>
    <w:rsid w:val="00A304CB"/>
    <w:rsid w:val="00A30B55"/>
    <w:rsid w:val="00A31364"/>
    <w:rsid w:val="00A3321C"/>
    <w:rsid w:val="00A334E1"/>
    <w:rsid w:val="00A3371D"/>
    <w:rsid w:val="00A339BC"/>
    <w:rsid w:val="00A355C0"/>
    <w:rsid w:val="00A356A1"/>
    <w:rsid w:val="00A356C2"/>
    <w:rsid w:val="00A35A77"/>
    <w:rsid w:val="00A36208"/>
    <w:rsid w:val="00A36DAF"/>
    <w:rsid w:val="00A3726B"/>
    <w:rsid w:val="00A4060F"/>
    <w:rsid w:val="00A40BEE"/>
    <w:rsid w:val="00A41843"/>
    <w:rsid w:val="00A418E0"/>
    <w:rsid w:val="00A41FB8"/>
    <w:rsid w:val="00A4392D"/>
    <w:rsid w:val="00A43ABE"/>
    <w:rsid w:val="00A44B84"/>
    <w:rsid w:val="00A44FB7"/>
    <w:rsid w:val="00A4522B"/>
    <w:rsid w:val="00A45BD0"/>
    <w:rsid w:val="00A460AD"/>
    <w:rsid w:val="00A47004"/>
    <w:rsid w:val="00A47C5A"/>
    <w:rsid w:val="00A47F42"/>
    <w:rsid w:val="00A508EF"/>
    <w:rsid w:val="00A50EF6"/>
    <w:rsid w:val="00A51B6C"/>
    <w:rsid w:val="00A51FEF"/>
    <w:rsid w:val="00A52F9D"/>
    <w:rsid w:val="00A530CC"/>
    <w:rsid w:val="00A53289"/>
    <w:rsid w:val="00A53439"/>
    <w:rsid w:val="00A5404D"/>
    <w:rsid w:val="00A5472C"/>
    <w:rsid w:val="00A54D59"/>
    <w:rsid w:val="00A566A4"/>
    <w:rsid w:val="00A56A4E"/>
    <w:rsid w:val="00A57023"/>
    <w:rsid w:val="00A57417"/>
    <w:rsid w:val="00A57587"/>
    <w:rsid w:val="00A61374"/>
    <w:rsid w:val="00A6144D"/>
    <w:rsid w:val="00A61FED"/>
    <w:rsid w:val="00A621D8"/>
    <w:rsid w:val="00A62237"/>
    <w:rsid w:val="00A63646"/>
    <w:rsid w:val="00A64B38"/>
    <w:rsid w:val="00A7074B"/>
    <w:rsid w:val="00A7089F"/>
    <w:rsid w:val="00A70B44"/>
    <w:rsid w:val="00A741B7"/>
    <w:rsid w:val="00A74457"/>
    <w:rsid w:val="00A75596"/>
    <w:rsid w:val="00A75725"/>
    <w:rsid w:val="00A76CE6"/>
    <w:rsid w:val="00A76EF5"/>
    <w:rsid w:val="00A77492"/>
    <w:rsid w:val="00A77843"/>
    <w:rsid w:val="00A800E4"/>
    <w:rsid w:val="00A80E0A"/>
    <w:rsid w:val="00A811C7"/>
    <w:rsid w:val="00A811F1"/>
    <w:rsid w:val="00A81F12"/>
    <w:rsid w:val="00A828BD"/>
    <w:rsid w:val="00A8295C"/>
    <w:rsid w:val="00A83122"/>
    <w:rsid w:val="00A832B2"/>
    <w:rsid w:val="00A83729"/>
    <w:rsid w:val="00A84526"/>
    <w:rsid w:val="00A845EF"/>
    <w:rsid w:val="00A846F6"/>
    <w:rsid w:val="00A849C8"/>
    <w:rsid w:val="00A869E0"/>
    <w:rsid w:val="00A86EA4"/>
    <w:rsid w:val="00A87747"/>
    <w:rsid w:val="00A87AAF"/>
    <w:rsid w:val="00A91855"/>
    <w:rsid w:val="00A9208D"/>
    <w:rsid w:val="00A92D03"/>
    <w:rsid w:val="00A937C1"/>
    <w:rsid w:val="00A93C6D"/>
    <w:rsid w:val="00A94AF2"/>
    <w:rsid w:val="00A95A3B"/>
    <w:rsid w:val="00A95EAC"/>
    <w:rsid w:val="00A970CE"/>
    <w:rsid w:val="00AA027A"/>
    <w:rsid w:val="00AA0338"/>
    <w:rsid w:val="00AA1004"/>
    <w:rsid w:val="00AA1F1C"/>
    <w:rsid w:val="00AA22B8"/>
    <w:rsid w:val="00AA2828"/>
    <w:rsid w:val="00AA2E8F"/>
    <w:rsid w:val="00AA3566"/>
    <w:rsid w:val="00AA3A2D"/>
    <w:rsid w:val="00AA4E19"/>
    <w:rsid w:val="00AA4FD5"/>
    <w:rsid w:val="00AA5C95"/>
    <w:rsid w:val="00AA60F6"/>
    <w:rsid w:val="00AA61AE"/>
    <w:rsid w:val="00AA643C"/>
    <w:rsid w:val="00AA66B7"/>
    <w:rsid w:val="00AA760A"/>
    <w:rsid w:val="00AB0371"/>
    <w:rsid w:val="00AB0C46"/>
    <w:rsid w:val="00AB1712"/>
    <w:rsid w:val="00AB1DD0"/>
    <w:rsid w:val="00AB23EF"/>
    <w:rsid w:val="00AB2672"/>
    <w:rsid w:val="00AB2D89"/>
    <w:rsid w:val="00AB2E39"/>
    <w:rsid w:val="00AB3346"/>
    <w:rsid w:val="00AB3540"/>
    <w:rsid w:val="00AB38B9"/>
    <w:rsid w:val="00AB3E59"/>
    <w:rsid w:val="00AB4E8F"/>
    <w:rsid w:val="00AB656B"/>
    <w:rsid w:val="00AB6EA2"/>
    <w:rsid w:val="00AB7C3C"/>
    <w:rsid w:val="00AC14E3"/>
    <w:rsid w:val="00AC169A"/>
    <w:rsid w:val="00AC1D6D"/>
    <w:rsid w:val="00AC2031"/>
    <w:rsid w:val="00AC292E"/>
    <w:rsid w:val="00AC2AC3"/>
    <w:rsid w:val="00AC2C4F"/>
    <w:rsid w:val="00AC2F72"/>
    <w:rsid w:val="00AC3001"/>
    <w:rsid w:val="00AC31FD"/>
    <w:rsid w:val="00AC3A0B"/>
    <w:rsid w:val="00AC4120"/>
    <w:rsid w:val="00AC4FBD"/>
    <w:rsid w:val="00AC7149"/>
    <w:rsid w:val="00AC7A60"/>
    <w:rsid w:val="00AC7BBA"/>
    <w:rsid w:val="00AD0228"/>
    <w:rsid w:val="00AD0759"/>
    <w:rsid w:val="00AD0A53"/>
    <w:rsid w:val="00AD0EB2"/>
    <w:rsid w:val="00AD1747"/>
    <w:rsid w:val="00AD1ED6"/>
    <w:rsid w:val="00AD2603"/>
    <w:rsid w:val="00AD3F86"/>
    <w:rsid w:val="00AD3FEC"/>
    <w:rsid w:val="00AD436B"/>
    <w:rsid w:val="00AD4669"/>
    <w:rsid w:val="00AD4D89"/>
    <w:rsid w:val="00AD5BE4"/>
    <w:rsid w:val="00AD6007"/>
    <w:rsid w:val="00AD6C79"/>
    <w:rsid w:val="00AD7D74"/>
    <w:rsid w:val="00AD7DAC"/>
    <w:rsid w:val="00AE0069"/>
    <w:rsid w:val="00AE0369"/>
    <w:rsid w:val="00AE0C02"/>
    <w:rsid w:val="00AE3346"/>
    <w:rsid w:val="00AE3B11"/>
    <w:rsid w:val="00AE3CE8"/>
    <w:rsid w:val="00AE3E87"/>
    <w:rsid w:val="00AE41F0"/>
    <w:rsid w:val="00AE431C"/>
    <w:rsid w:val="00AE4FA1"/>
    <w:rsid w:val="00AE75E7"/>
    <w:rsid w:val="00AE7799"/>
    <w:rsid w:val="00AF089B"/>
    <w:rsid w:val="00AF123C"/>
    <w:rsid w:val="00AF2C52"/>
    <w:rsid w:val="00AF3057"/>
    <w:rsid w:val="00AF3412"/>
    <w:rsid w:val="00AF34DB"/>
    <w:rsid w:val="00AF4359"/>
    <w:rsid w:val="00AF520E"/>
    <w:rsid w:val="00AF56A5"/>
    <w:rsid w:val="00AF5EEE"/>
    <w:rsid w:val="00AF6360"/>
    <w:rsid w:val="00AF758F"/>
    <w:rsid w:val="00AF759D"/>
    <w:rsid w:val="00AF76A5"/>
    <w:rsid w:val="00AF7EBA"/>
    <w:rsid w:val="00B00A4C"/>
    <w:rsid w:val="00B00C7E"/>
    <w:rsid w:val="00B00E48"/>
    <w:rsid w:val="00B00ED2"/>
    <w:rsid w:val="00B019EB"/>
    <w:rsid w:val="00B028C3"/>
    <w:rsid w:val="00B02912"/>
    <w:rsid w:val="00B0311A"/>
    <w:rsid w:val="00B04119"/>
    <w:rsid w:val="00B04963"/>
    <w:rsid w:val="00B049F9"/>
    <w:rsid w:val="00B05B82"/>
    <w:rsid w:val="00B06DDF"/>
    <w:rsid w:val="00B071A8"/>
    <w:rsid w:val="00B1056D"/>
    <w:rsid w:val="00B114BA"/>
    <w:rsid w:val="00B13A63"/>
    <w:rsid w:val="00B1511C"/>
    <w:rsid w:val="00B15996"/>
    <w:rsid w:val="00B15E54"/>
    <w:rsid w:val="00B17805"/>
    <w:rsid w:val="00B17C59"/>
    <w:rsid w:val="00B17FC5"/>
    <w:rsid w:val="00B20693"/>
    <w:rsid w:val="00B20B00"/>
    <w:rsid w:val="00B20F38"/>
    <w:rsid w:val="00B21765"/>
    <w:rsid w:val="00B21963"/>
    <w:rsid w:val="00B21E05"/>
    <w:rsid w:val="00B22802"/>
    <w:rsid w:val="00B231C1"/>
    <w:rsid w:val="00B232FD"/>
    <w:rsid w:val="00B238B4"/>
    <w:rsid w:val="00B23EF1"/>
    <w:rsid w:val="00B2489A"/>
    <w:rsid w:val="00B25271"/>
    <w:rsid w:val="00B26551"/>
    <w:rsid w:val="00B30017"/>
    <w:rsid w:val="00B31032"/>
    <w:rsid w:val="00B312DE"/>
    <w:rsid w:val="00B3147B"/>
    <w:rsid w:val="00B315D4"/>
    <w:rsid w:val="00B31EE6"/>
    <w:rsid w:val="00B32FCC"/>
    <w:rsid w:val="00B3322E"/>
    <w:rsid w:val="00B345BE"/>
    <w:rsid w:val="00B34F2B"/>
    <w:rsid w:val="00B35E3C"/>
    <w:rsid w:val="00B36595"/>
    <w:rsid w:val="00B368B0"/>
    <w:rsid w:val="00B37861"/>
    <w:rsid w:val="00B37899"/>
    <w:rsid w:val="00B37A71"/>
    <w:rsid w:val="00B37C06"/>
    <w:rsid w:val="00B37C82"/>
    <w:rsid w:val="00B41380"/>
    <w:rsid w:val="00B42BD7"/>
    <w:rsid w:val="00B42C08"/>
    <w:rsid w:val="00B43442"/>
    <w:rsid w:val="00B463F4"/>
    <w:rsid w:val="00B50428"/>
    <w:rsid w:val="00B50A07"/>
    <w:rsid w:val="00B51323"/>
    <w:rsid w:val="00B51604"/>
    <w:rsid w:val="00B523A1"/>
    <w:rsid w:val="00B54080"/>
    <w:rsid w:val="00B557E2"/>
    <w:rsid w:val="00B55C31"/>
    <w:rsid w:val="00B56157"/>
    <w:rsid w:val="00B56CD4"/>
    <w:rsid w:val="00B57B61"/>
    <w:rsid w:val="00B57F91"/>
    <w:rsid w:val="00B601E2"/>
    <w:rsid w:val="00B6055E"/>
    <w:rsid w:val="00B61B8F"/>
    <w:rsid w:val="00B6281F"/>
    <w:rsid w:val="00B629D8"/>
    <w:rsid w:val="00B631E5"/>
    <w:rsid w:val="00B63389"/>
    <w:rsid w:val="00B634AF"/>
    <w:rsid w:val="00B63D9C"/>
    <w:rsid w:val="00B665BF"/>
    <w:rsid w:val="00B67ADE"/>
    <w:rsid w:val="00B708AB"/>
    <w:rsid w:val="00B70E8E"/>
    <w:rsid w:val="00B71345"/>
    <w:rsid w:val="00B7181C"/>
    <w:rsid w:val="00B74535"/>
    <w:rsid w:val="00B74DE9"/>
    <w:rsid w:val="00B7529B"/>
    <w:rsid w:val="00B7581A"/>
    <w:rsid w:val="00B758A3"/>
    <w:rsid w:val="00B75A5E"/>
    <w:rsid w:val="00B764CC"/>
    <w:rsid w:val="00B770F3"/>
    <w:rsid w:val="00B77180"/>
    <w:rsid w:val="00B77866"/>
    <w:rsid w:val="00B80C45"/>
    <w:rsid w:val="00B81151"/>
    <w:rsid w:val="00B8290B"/>
    <w:rsid w:val="00B83089"/>
    <w:rsid w:val="00B83251"/>
    <w:rsid w:val="00B83D53"/>
    <w:rsid w:val="00B84CBF"/>
    <w:rsid w:val="00B8531C"/>
    <w:rsid w:val="00B8532E"/>
    <w:rsid w:val="00B863D2"/>
    <w:rsid w:val="00B86AAA"/>
    <w:rsid w:val="00B86E40"/>
    <w:rsid w:val="00B86EAD"/>
    <w:rsid w:val="00B87550"/>
    <w:rsid w:val="00B87808"/>
    <w:rsid w:val="00B87A1E"/>
    <w:rsid w:val="00B87ECD"/>
    <w:rsid w:val="00B90436"/>
    <w:rsid w:val="00B90D93"/>
    <w:rsid w:val="00B90EEF"/>
    <w:rsid w:val="00B92E8F"/>
    <w:rsid w:val="00B93B26"/>
    <w:rsid w:val="00B94696"/>
    <w:rsid w:val="00B94E16"/>
    <w:rsid w:val="00B951E3"/>
    <w:rsid w:val="00B97096"/>
    <w:rsid w:val="00B97BEA"/>
    <w:rsid w:val="00B97DAB"/>
    <w:rsid w:val="00B97F85"/>
    <w:rsid w:val="00BA09AF"/>
    <w:rsid w:val="00BA1587"/>
    <w:rsid w:val="00BA29EB"/>
    <w:rsid w:val="00BA2DA8"/>
    <w:rsid w:val="00BA322B"/>
    <w:rsid w:val="00BA378F"/>
    <w:rsid w:val="00BA3B49"/>
    <w:rsid w:val="00BA3F4F"/>
    <w:rsid w:val="00BA4B3E"/>
    <w:rsid w:val="00BA53C7"/>
    <w:rsid w:val="00BA545E"/>
    <w:rsid w:val="00BA589D"/>
    <w:rsid w:val="00BA5D9C"/>
    <w:rsid w:val="00BA6471"/>
    <w:rsid w:val="00BA6589"/>
    <w:rsid w:val="00BB0768"/>
    <w:rsid w:val="00BB0806"/>
    <w:rsid w:val="00BB09B8"/>
    <w:rsid w:val="00BB1356"/>
    <w:rsid w:val="00BB1388"/>
    <w:rsid w:val="00BB1436"/>
    <w:rsid w:val="00BB1443"/>
    <w:rsid w:val="00BB1CED"/>
    <w:rsid w:val="00BB1D2A"/>
    <w:rsid w:val="00BB4665"/>
    <w:rsid w:val="00BB50F2"/>
    <w:rsid w:val="00BB5F5D"/>
    <w:rsid w:val="00BB60BC"/>
    <w:rsid w:val="00BB6346"/>
    <w:rsid w:val="00BB6390"/>
    <w:rsid w:val="00BB7A3E"/>
    <w:rsid w:val="00BC04F8"/>
    <w:rsid w:val="00BC0916"/>
    <w:rsid w:val="00BC0F5C"/>
    <w:rsid w:val="00BC128E"/>
    <w:rsid w:val="00BC1F86"/>
    <w:rsid w:val="00BC28BE"/>
    <w:rsid w:val="00BC3A9E"/>
    <w:rsid w:val="00BC3AA8"/>
    <w:rsid w:val="00BC431A"/>
    <w:rsid w:val="00BC4F1E"/>
    <w:rsid w:val="00BC639A"/>
    <w:rsid w:val="00BC6713"/>
    <w:rsid w:val="00BC7539"/>
    <w:rsid w:val="00BC75E7"/>
    <w:rsid w:val="00BD0843"/>
    <w:rsid w:val="00BD0E25"/>
    <w:rsid w:val="00BD1E32"/>
    <w:rsid w:val="00BD32CA"/>
    <w:rsid w:val="00BD5EDF"/>
    <w:rsid w:val="00BD6265"/>
    <w:rsid w:val="00BD6BE8"/>
    <w:rsid w:val="00BD7856"/>
    <w:rsid w:val="00BD7C3A"/>
    <w:rsid w:val="00BD7DFC"/>
    <w:rsid w:val="00BE067D"/>
    <w:rsid w:val="00BE0BB1"/>
    <w:rsid w:val="00BE19E0"/>
    <w:rsid w:val="00BE1CB3"/>
    <w:rsid w:val="00BE21F3"/>
    <w:rsid w:val="00BE2E01"/>
    <w:rsid w:val="00BE2F11"/>
    <w:rsid w:val="00BE42EF"/>
    <w:rsid w:val="00BE49D8"/>
    <w:rsid w:val="00BE55CF"/>
    <w:rsid w:val="00BE5F1A"/>
    <w:rsid w:val="00BE7799"/>
    <w:rsid w:val="00BE7BB3"/>
    <w:rsid w:val="00BF00AF"/>
    <w:rsid w:val="00BF05E2"/>
    <w:rsid w:val="00BF08A6"/>
    <w:rsid w:val="00BF1372"/>
    <w:rsid w:val="00BF23F2"/>
    <w:rsid w:val="00BF2BA8"/>
    <w:rsid w:val="00BF31DF"/>
    <w:rsid w:val="00BF4506"/>
    <w:rsid w:val="00BF4B04"/>
    <w:rsid w:val="00BF4B1F"/>
    <w:rsid w:val="00BF557A"/>
    <w:rsid w:val="00BF5BC3"/>
    <w:rsid w:val="00BF6AB5"/>
    <w:rsid w:val="00C0077A"/>
    <w:rsid w:val="00C01184"/>
    <w:rsid w:val="00C01658"/>
    <w:rsid w:val="00C01EC4"/>
    <w:rsid w:val="00C05249"/>
    <w:rsid w:val="00C052C4"/>
    <w:rsid w:val="00C0601C"/>
    <w:rsid w:val="00C0620C"/>
    <w:rsid w:val="00C06246"/>
    <w:rsid w:val="00C062C5"/>
    <w:rsid w:val="00C069AE"/>
    <w:rsid w:val="00C077CE"/>
    <w:rsid w:val="00C078BC"/>
    <w:rsid w:val="00C07B15"/>
    <w:rsid w:val="00C07C33"/>
    <w:rsid w:val="00C10493"/>
    <w:rsid w:val="00C107FF"/>
    <w:rsid w:val="00C10BEC"/>
    <w:rsid w:val="00C11539"/>
    <w:rsid w:val="00C11E97"/>
    <w:rsid w:val="00C124AE"/>
    <w:rsid w:val="00C1416D"/>
    <w:rsid w:val="00C14202"/>
    <w:rsid w:val="00C144BE"/>
    <w:rsid w:val="00C147B3"/>
    <w:rsid w:val="00C14AF0"/>
    <w:rsid w:val="00C15DBE"/>
    <w:rsid w:val="00C16DB8"/>
    <w:rsid w:val="00C16EEB"/>
    <w:rsid w:val="00C170DE"/>
    <w:rsid w:val="00C17237"/>
    <w:rsid w:val="00C17379"/>
    <w:rsid w:val="00C176EF"/>
    <w:rsid w:val="00C17AC9"/>
    <w:rsid w:val="00C20E54"/>
    <w:rsid w:val="00C21259"/>
    <w:rsid w:val="00C21FF5"/>
    <w:rsid w:val="00C23AA5"/>
    <w:rsid w:val="00C241C7"/>
    <w:rsid w:val="00C2429C"/>
    <w:rsid w:val="00C24428"/>
    <w:rsid w:val="00C246D4"/>
    <w:rsid w:val="00C24B99"/>
    <w:rsid w:val="00C24F74"/>
    <w:rsid w:val="00C25A3F"/>
    <w:rsid w:val="00C25CF5"/>
    <w:rsid w:val="00C274C1"/>
    <w:rsid w:val="00C27901"/>
    <w:rsid w:val="00C304A0"/>
    <w:rsid w:val="00C31C3C"/>
    <w:rsid w:val="00C33280"/>
    <w:rsid w:val="00C333DA"/>
    <w:rsid w:val="00C350EF"/>
    <w:rsid w:val="00C35491"/>
    <w:rsid w:val="00C35A86"/>
    <w:rsid w:val="00C35B8A"/>
    <w:rsid w:val="00C35EC7"/>
    <w:rsid w:val="00C368B0"/>
    <w:rsid w:val="00C36BEB"/>
    <w:rsid w:val="00C36C7B"/>
    <w:rsid w:val="00C36E16"/>
    <w:rsid w:val="00C40BA6"/>
    <w:rsid w:val="00C40FC9"/>
    <w:rsid w:val="00C434AE"/>
    <w:rsid w:val="00C43FED"/>
    <w:rsid w:val="00C43FF3"/>
    <w:rsid w:val="00C45EBD"/>
    <w:rsid w:val="00C45EC6"/>
    <w:rsid w:val="00C46CA7"/>
    <w:rsid w:val="00C504EE"/>
    <w:rsid w:val="00C505F5"/>
    <w:rsid w:val="00C5122F"/>
    <w:rsid w:val="00C51B29"/>
    <w:rsid w:val="00C52B71"/>
    <w:rsid w:val="00C52FB6"/>
    <w:rsid w:val="00C5412F"/>
    <w:rsid w:val="00C544C1"/>
    <w:rsid w:val="00C54DD2"/>
    <w:rsid w:val="00C55031"/>
    <w:rsid w:val="00C55F54"/>
    <w:rsid w:val="00C5637D"/>
    <w:rsid w:val="00C567BD"/>
    <w:rsid w:val="00C56D0D"/>
    <w:rsid w:val="00C600E1"/>
    <w:rsid w:val="00C60125"/>
    <w:rsid w:val="00C604F8"/>
    <w:rsid w:val="00C61236"/>
    <w:rsid w:val="00C61DE4"/>
    <w:rsid w:val="00C624A5"/>
    <w:rsid w:val="00C6289B"/>
    <w:rsid w:val="00C636A9"/>
    <w:rsid w:val="00C64A3C"/>
    <w:rsid w:val="00C67F88"/>
    <w:rsid w:val="00C704DA"/>
    <w:rsid w:val="00C7203C"/>
    <w:rsid w:val="00C7215F"/>
    <w:rsid w:val="00C7277B"/>
    <w:rsid w:val="00C72C74"/>
    <w:rsid w:val="00C730FF"/>
    <w:rsid w:val="00C73491"/>
    <w:rsid w:val="00C745E7"/>
    <w:rsid w:val="00C7512D"/>
    <w:rsid w:val="00C76DF7"/>
    <w:rsid w:val="00C77D4D"/>
    <w:rsid w:val="00C80501"/>
    <w:rsid w:val="00C80B3F"/>
    <w:rsid w:val="00C80C3D"/>
    <w:rsid w:val="00C82C3B"/>
    <w:rsid w:val="00C82C46"/>
    <w:rsid w:val="00C82F37"/>
    <w:rsid w:val="00C83CD5"/>
    <w:rsid w:val="00C849F1"/>
    <w:rsid w:val="00C85DF6"/>
    <w:rsid w:val="00C90106"/>
    <w:rsid w:val="00C90950"/>
    <w:rsid w:val="00C92A88"/>
    <w:rsid w:val="00C92B94"/>
    <w:rsid w:val="00C92BDE"/>
    <w:rsid w:val="00C92FF1"/>
    <w:rsid w:val="00C937EC"/>
    <w:rsid w:val="00C93838"/>
    <w:rsid w:val="00C93CE4"/>
    <w:rsid w:val="00C955C6"/>
    <w:rsid w:val="00C96042"/>
    <w:rsid w:val="00C973A3"/>
    <w:rsid w:val="00CA1671"/>
    <w:rsid w:val="00CA2A74"/>
    <w:rsid w:val="00CA328A"/>
    <w:rsid w:val="00CA3A96"/>
    <w:rsid w:val="00CA3FF2"/>
    <w:rsid w:val="00CA4B22"/>
    <w:rsid w:val="00CA4DD9"/>
    <w:rsid w:val="00CA4DE3"/>
    <w:rsid w:val="00CA4E5D"/>
    <w:rsid w:val="00CA6623"/>
    <w:rsid w:val="00CA6764"/>
    <w:rsid w:val="00CA697F"/>
    <w:rsid w:val="00CA70C1"/>
    <w:rsid w:val="00CA78A0"/>
    <w:rsid w:val="00CB0C59"/>
    <w:rsid w:val="00CB1053"/>
    <w:rsid w:val="00CB12A0"/>
    <w:rsid w:val="00CB2922"/>
    <w:rsid w:val="00CB2D25"/>
    <w:rsid w:val="00CB592E"/>
    <w:rsid w:val="00CB5FD5"/>
    <w:rsid w:val="00CB6A92"/>
    <w:rsid w:val="00CB6A95"/>
    <w:rsid w:val="00CC1861"/>
    <w:rsid w:val="00CC26A1"/>
    <w:rsid w:val="00CC28CC"/>
    <w:rsid w:val="00CC29B1"/>
    <w:rsid w:val="00CC2F3B"/>
    <w:rsid w:val="00CC3B26"/>
    <w:rsid w:val="00CC544E"/>
    <w:rsid w:val="00CC5563"/>
    <w:rsid w:val="00CC55F8"/>
    <w:rsid w:val="00CC575E"/>
    <w:rsid w:val="00CC69FD"/>
    <w:rsid w:val="00CC6F3B"/>
    <w:rsid w:val="00CD3530"/>
    <w:rsid w:val="00CD3CE1"/>
    <w:rsid w:val="00CD4504"/>
    <w:rsid w:val="00CD471F"/>
    <w:rsid w:val="00CD5915"/>
    <w:rsid w:val="00CD7527"/>
    <w:rsid w:val="00CD7E87"/>
    <w:rsid w:val="00CE0420"/>
    <w:rsid w:val="00CE0838"/>
    <w:rsid w:val="00CE2A54"/>
    <w:rsid w:val="00CE454B"/>
    <w:rsid w:val="00CE5719"/>
    <w:rsid w:val="00CE577F"/>
    <w:rsid w:val="00CE5C4C"/>
    <w:rsid w:val="00CE6F3C"/>
    <w:rsid w:val="00CE7028"/>
    <w:rsid w:val="00CE7193"/>
    <w:rsid w:val="00CE757F"/>
    <w:rsid w:val="00CE7679"/>
    <w:rsid w:val="00CE7CD8"/>
    <w:rsid w:val="00CF1804"/>
    <w:rsid w:val="00CF19CF"/>
    <w:rsid w:val="00CF1F90"/>
    <w:rsid w:val="00CF2107"/>
    <w:rsid w:val="00CF2736"/>
    <w:rsid w:val="00CF2B00"/>
    <w:rsid w:val="00CF4529"/>
    <w:rsid w:val="00CF573F"/>
    <w:rsid w:val="00CF5AA0"/>
    <w:rsid w:val="00CF5E53"/>
    <w:rsid w:val="00CF6022"/>
    <w:rsid w:val="00CF6758"/>
    <w:rsid w:val="00CF678F"/>
    <w:rsid w:val="00CF6D64"/>
    <w:rsid w:val="00CF72B5"/>
    <w:rsid w:val="00CF7DF6"/>
    <w:rsid w:val="00CF7DF7"/>
    <w:rsid w:val="00D0032B"/>
    <w:rsid w:val="00D004E0"/>
    <w:rsid w:val="00D008C8"/>
    <w:rsid w:val="00D015F1"/>
    <w:rsid w:val="00D01AB7"/>
    <w:rsid w:val="00D0246E"/>
    <w:rsid w:val="00D03B9F"/>
    <w:rsid w:val="00D042BC"/>
    <w:rsid w:val="00D04352"/>
    <w:rsid w:val="00D04AAA"/>
    <w:rsid w:val="00D052FE"/>
    <w:rsid w:val="00D0547C"/>
    <w:rsid w:val="00D054E5"/>
    <w:rsid w:val="00D077A1"/>
    <w:rsid w:val="00D07B92"/>
    <w:rsid w:val="00D07D7A"/>
    <w:rsid w:val="00D102BA"/>
    <w:rsid w:val="00D10F00"/>
    <w:rsid w:val="00D10F3F"/>
    <w:rsid w:val="00D10FFB"/>
    <w:rsid w:val="00D11002"/>
    <w:rsid w:val="00D124F6"/>
    <w:rsid w:val="00D129AC"/>
    <w:rsid w:val="00D13A31"/>
    <w:rsid w:val="00D13FE7"/>
    <w:rsid w:val="00D14B20"/>
    <w:rsid w:val="00D15819"/>
    <w:rsid w:val="00D15A6B"/>
    <w:rsid w:val="00D16505"/>
    <w:rsid w:val="00D1685D"/>
    <w:rsid w:val="00D17454"/>
    <w:rsid w:val="00D209B6"/>
    <w:rsid w:val="00D20D3E"/>
    <w:rsid w:val="00D220AC"/>
    <w:rsid w:val="00D22DB2"/>
    <w:rsid w:val="00D23E11"/>
    <w:rsid w:val="00D26C4A"/>
    <w:rsid w:val="00D276B6"/>
    <w:rsid w:val="00D27725"/>
    <w:rsid w:val="00D303DB"/>
    <w:rsid w:val="00D32C74"/>
    <w:rsid w:val="00D3335A"/>
    <w:rsid w:val="00D33C92"/>
    <w:rsid w:val="00D348A4"/>
    <w:rsid w:val="00D357B1"/>
    <w:rsid w:val="00D377BE"/>
    <w:rsid w:val="00D379F6"/>
    <w:rsid w:val="00D403D6"/>
    <w:rsid w:val="00D40AE3"/>
    <w:rsid w:val="00D40B30"/>
    <w:rsid w:val="00D416D3"/>
    <w:rsid w:val="00D423DE"/>
    <w:rsid w:val="00D43E4B"/>
    <w:rsid w:val="00D447E9"/>
    <w:rsid w:val="00D44817"/>
    <w:rsid w:val="00D44F06"/>
    <w:rsid w:val="00D45A56"/>
    <w:rsid w:val="00D46440"/>
    <w:rsid w:val="00D46F1E"/>
    <w:rsid w:val="00D47C35"/>
    <w:rsid w:val="00D507A7"/>
    <w:rsid w:val="00D5091E"/>
    <w:rsid w:val="00D52CC0"/>
    <w:rsid w:val="00D53ED2"/>
    <w:rsid w:val="00D555AB"/>
    <w:rsid w:val="00D561D7"/>
    <w:rsid w:val="00D569BF"/>
    <w:rsid w:val="00D56C47"/>
    <w:rsid w:val="00D6019D"/>
    <w:rsid w:val="00D60E31"/>
    <w:rsid w:val="00D61F81"/>
    <w:rsid w:val="00D62720"/>
    <w:rsid w:val="00D62B02"/>
    <w:rsid w:val="00D63270"/>
    <w:rsid w:val="00D63589"/>
    <w:rsid w:val="00D64F10"/>
    <w:rsid w:val="00D66301"/>
    <w:rsid w:val="00D67901"/>
    <w:rsid w:val="00D70186"/>
    <w:rsid w:val="00D717C8"/>
    <w:rsid w:val="00D737D2"/>
    <w:rsid w:val="00D73E4B"/>
    <w:rsid w:val="00D73F0D"/>
    <w:rsid w:val="00D7421C"/>
    <w:rsid w:val="00D745F9"/>
    <w:rsid w:val="00D75AD9"/>
    <w:rsid w:val="00D764FD"/>
    <w:rsid w:val="00D76B9C"/>
    <w:rsid w:val="00D77E14"/>
    <w:rsid w:val="00D80640"/>
    <w:rsid w:val="00D8248C"/>
    <w:rsid w:val="00D82C9C"/>
    <w:rsid w:val="00D83C94"/>
    <w:rsid w:val="00D864BF"/>
    <w:rsid w:val="00D869EE"/>
    <w:rsid w:val="00D87AC5"/>
    <w:rsid w:val="00D91432"/>
    <w:rsid w:val="00D91921"/>
    <w:rsid w:val="00D9194E"/>
    <w:rsid w:val="00D919E6"/>
    <w:rsid w:val="00D932C4"/>
    <w:rsid w:val="00D934EA"/>
    <w:rsid w:val="00D936AE"/>
    <w:rsid w:val="00D9385E"/>
    <w:rsid w:val="00D93CAA"/>
    <w:rsid w:val="00D94624"/>
    <w:rsid w:val="00D946BA"/>
    <w:rsid w:val="00D95F17"/>
    <w:rsid w:val="00D962ED"/>
    <w:rsid w:val="00D9636D"/>
    <w:rsid w:val="00D96400"/>
    <w:rsid w:val="00D973D6"/>
    <w:rsid w:val="00D97544"/>
    <w:rsid w:val="00D975DB"/>
    <w:rsid w:val="00D97CDE"/>
    <w:rsid w:val="00DA0BBE"/>
    <w:rsid w:val="00DA1A01"/>
    <w:rsid w:val="00DA2A6F"/>
    <w:rsid w:val="00DA3F74"/>
    <w:rsid w:val="00DA44B7"/>
    <w:rsid w:val="00DA47DC"/>
    <w:rsid w:val="00DA6FF2"/>
    <w:rsid w:val="00DA7022"/>
    <w:rsid w:val="00DA7468"/>
    <w:rsid w:val="00DA75CD"/>
    <w:rsid w:val="00DA7BA1"/>
    <w:rsid w:val="00DB0C3F"/>
    <w:rsid w:val="00DB13A5"/>
    <w:rsid w:val="00DB1FA6"/>
    <w:rsid w:val="00DB2864"/>
    <w:rsid w:val="00DB561A"/>
    <w:rsid w:val="00DB5695"/>
    <w:rsid w:val="00DB5D0D"/>
    <w:rsid w:val="00DB66A0"/>
    <w:rsid w:val="00DB6706"/>
    <w:rsid w:val="00DB70A1"/>
    <w:rsid w:val="00DB729E"/>
    <w:rsid w:val="00DB771D"/>
    <w:rsid w:val="00DB7B39"/>
    <w:rsid w:val="00DC00D6"/>
    <w:rsid w:val="00DC08BA"/>
    <w:rsid w:val="00DC0D80"/>
    <w:rsid w:val="00DC129A"/>
    <w:rsid w:val="00DC1C34"/>
    <w:rsid w:val="00DC1C8B"/>
    <w:rsid w:val="00DC23EB"/>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DE4"/>
    <w:rsid w:val="00DD440E"/>
    <w:rsid w:val="00DD4D7F"/>
    <w:rsid w:val="00DD5E99"/>
    <w:rsid w:val="00DD6701"/>
    <w:rsid w:val="00DD6E88"/>
    <w:rsid w:val="00DD7CA4"/>
    <w:rsid w:val="00DE10B5"/>
    <w:rsid w:val="00DE1B89"/>
    <w:rsid w:val="00DE245D"/>
    <w:rsid w:val="00DE37BA"/>
    <w:rsid w:val="00DE39D8"/>
    <w:rsid w:val="00DE44E1"/>
    <w:rsid w:val="00DE4B3E"/>
    <w:rsid w:val="00DE503A"/>
    <w:rsid w:val="00DE5052"/>
    <w:rsid w:val="00DE65E7"/>
    <w:rsid w:val="00DE688A"/>
    <w:rsid w:val="00DE6BBE"/>
    <w:rsid w:val="00DE6E9C"/>
    <w:rsid w:val="00DF060B"/>
    <w:rsid w:val="00DF1953"/>
    <w:rsid w:val="00DF1F4B"/>
    <w:rsid w:val="00DF22C8"/>
    <w:rsid w:val="00DF3D4A"/>
    <w:rsid w:val="00DF3D56"/>
    <w:rsid w:val="00DF47A0"/>
    <w:rsid w:val="00DF5997"/>
    <w:rsid w:val="00DF5A17"/>
    <w:rsid w:val="00DF5B20"/>
    <w:rsid w:val="00DF5DA2"/>
    <w:rsid w:val="00DF69AA"/>
    <w:rsid w:val="00DF6AC3"/>
    <w:rsid w:val="00DF6C56"/>
    <w:rsid w:val="00DF7887"/>
    <w:rsid w:val="00DF7EA5"/>
    <w:rsid w:val="00E0097F"/>
    <w:rsid w:val="00E034B7"/>
    <w:rsid w:val="00E03BE8"/>
    <w:rsid w:val="00E05854"/>
    <w:rsid w:val="00E05863"/>
    <w:rsid w:val="00E07100"/>
    <w:rsid w:val="00E07FEE"/>
    <w:rsid w:val="00E100F7"/>
    <w:rsid w:val="00E10564"/>
    <w:rsid w:val="00E1096F"/>
    <w:rsid w:val="00E128D7"/>
    <w:rsid w:val="00E13F99"/>
    <w:rsid w:val="00E14704"/>
    <w:rsid w:val="00E14D56"/>
    <w:rsid w:val="00E15F47"/>
    <w:rsid w:val="00E15F5C"/>
    <w:rsid w:val="00E1645B"/>
    <w:rsid w:val="00E1766F"/>
    <w:rsid w:val="00E20564"/>
    <w:rsid w:val="00E20683"/>
    <w:rsid w:val="00E212C8"/>
    <w:rsid w:val="00E212EF"/>
    <w:rsid w:val="00E21422"/>
    <w:rsid w:val="00E21C85"/>
    <w:rsid w:val="00E2368B"/>
    <w:rsid w:val="00E24E98"/>
    <w:rsid w:val="00E25401"/>
    <w:rsid w:val="00E25C1D"/>
    <w:rsid w:val="00E26055"/>
    <w:rsid w:val="00E26739"/>
    <w:rsid w:val="00E26A1E"/>
    <w:rsid w:val="00E27166"/>
    <w:rsid w:val="00E274E3"/>
    <w:rsid w:val="00E27861"/>
    <w:rsid w:val="00E27D33"/>
    <w:rsid w:val="00E301C9"/>
    <w:rsid w:val="00E30577"/>
    <w:rsid w:val="00E313CD"/>
    <w:rsid w:val="00E320BA"/>
    <w:rsid w:val="00E32671"/>
    <w:rsid w:val="00E32E46"/>
    <w:rsid w:val="00E34E81"/>
    <w:rsid w:val="00E35315"/>
    <w:rsid w:val="00E367E9"/>
    <w:rsid w:val="00E36F7A"/>
    <w:rsid w:val="00E41EE9"/>
    <w:rsid w:val="00E42431"/>
    <w:rsid w:val="00E4245E"/>
    <w:rsid w:val="00E428CA"/>
    <w:rsid w:val="00E441B0"/>
    <w:rsid w:val="00E444B4"/>
    <w:rsid w:val="00E44AF4"/>
    <w:rsid w:val="00E4558D"/>
    <w:rsid w:val="00E4727B"/>
    <w:rsid w:val="00E475BD"/>
    <w:rsid w:val="00E47808"/>
    <w:rsid w:val="00E47984"/>
    <w:rsid w:val="00E47DC9"/>
    <w:rsid w:val="00E500AA"/>
    <w:rsid w:val="00E51F72"/>
    <w:rsid w:val="00E5210A"/>
    <w:rsid w:val="00E530FB"/>
    <w:rsid w:val="00E533D4"/>
    <w:rsid w:val="00E54246"/>
    <w:rsid w:val="00E54851"/>
    <w:rsid w:val="00E56001"/>
    <w:rsid w:val="00E563A3"/>
    <w:rsid w:val="00E5672C"/>
    <w:rsid w:val="00E5753D"/>
    <w:rsid w:val="00E576B4"/>
    <w:rsid w:val="00E57F12"/>
    <w:rsid w:val="00E57F78"/>
    <w:rsid w:val="00E61E09"/>
    <w:rsid w:val="00E62C58"/>
    <w:rsid w:val="00E6439B"/>
    <w:rsid w:val="00E65031"/>
    <w:rsid w:val="00E661AD"/>
    <w:rsid w:val="00E665E7"/>
    <w:rsid w:val="00E67484"/>
    <w:rsid w:val="00E6785D"/>
    <w:rsid w:val="00E714C0"/>
    <w:rsid w:val="00E73DBC"/>
    <w:rsid w:val="00E73EBB"/>
    <w:rsid w:val="00E74DC3"/>
    <w:rsid w:val="00E750E3"/>
    <w:rsid w:val="00E75AD3"/>
    <w:rsid w:val="00E75B51"/>
    <w:rsid w:val="00E75DC9"/>
    <w:rsid w:val="00E75ED1"/>
    <w:rsid w:val="00E760B9"/>
    <w:rsid w:val="00E761F6"/>
    <w:rsid w:val="00E768E1"/>
    <w:rsid w:val="00E76A1B"/>
    <w:rsid w:val="00E77925"/>
    <w:rsid w:val="00E77BDE"/>
    <w:rsid w:val="00E77FDE"/>
    <w:rsid w:val="00E803B3"/>
    <w:rsid w:val="00E80C3C"/>
    <w:rsid w:val="00E8154D"/>
    <w:rsid w:val="00E81E0B"/>
    <w:rsid w:val="00E82476"/>
    <w:rsid w:val="00E83C77"/>
    <w:rsid w:val="00E8563F"/>
    <w:rsid w:val="00E85E08"/>
    <w:rsid w:val="00E8615F"/>
    <w:rsid w:val="00E87117"/>
    <w:rsid w:val="00E91661"/>
    <w:rsid w:val="00E91BE6"/>
    <w:rsid w:val="00E92FE1"/>
    <w:rsid w:val="00E9366C"/>
    <w:rsid w:val="00E93A47"/>
    <w:rsid w:val="00E94E7A"/>
    <w:rsid w:val="00E95ED5"/>
    <w:rsid w:val="00E960CC"/>
    <w:rsid w:val="00E96D9F"/>
    <w:rsid w:val="00E9759D"/>
    <w:rsid w:val="00EA015E"/>
    <w:rsid w:val="00EA023C"/>
    <w:rsid w:val="00EA0291"/>
    <w:rsid w:val="00EA22AE"/>
    <w:rsid w:val="00EA33DE"/>
    <w:rsid w:val="00EA4407"/>
    <w:rsid w:val="00EA4D17"/>
    <w:rsid w:val="00EA73F1"/>
    <w:rsid w:val="00EA73FE"/>
    <w:rsid w:val="00EA7A6D"/>
    <w:rsid w:val="00EA7C87"/>
    <w:rsid w:val="00EB0065"/>
    <w:rsid w:val="00EB04C6"/>
    <w:rsid w:val="00EB083B"/>
    <w:rsid w:val="00EB13BF"/>
    <w:rsid w:val="00EB1763"/>
    <w:rsid w:val="00EB1BEB"/>
    <w:rsid w:val="00EB25D6"/>
    <w:rsid w:val="00EB38FF"/>
    <w:rsid w:val="00EB41BD"/>
    <w:rsid w:val="00EB44C7"/>
    <w:rsid w:val="00EB518E"/>
    <w:rsid w:val="00EB57AE"/>
    <w:rsid w:val="00EB5993"/>
    <w:rsid w:val="00EB632F"/>
    <w:rsid w:val="00EB6F9B"/>
    <w:rsid w:val="00EC0302"/>
    <w:rsid w:val="00EC1C1D"/>
    <w:rsid w:val="00EC1DD2"/>
    <w:rsid w:val="00EC25BC"/>
    <w:rsid w:val="00EC40FD"/>
    <w:rsid w:val="00EC6156"/>
    <w:rsid w:val="00EC7035"/>
    <w:rsid w:val="00ED1781"/>
    <w:rsid w:val="00ED2888"/>
    <w:rsid w:val="00ED2F5D"/>
    <w:rsid w:val="00ED37D2"/>
    <w:rsid w:val="00ED41E7"/>
    <w:rsid w:val="00ED4EAF"/>
    <w:rsid w:val="00ED4F15"/>
    <w:rsid w:val="00ED5417"/>
    <w:rsid w:val="00ED6E7D"/>
    <w:rsid w:val="00EE06AC"/>
    <w:rsid w:val="00EE0931"/>
    <w:rsid w:val="00EE19A4"/>
    <w:rsid w:val="00EE19DC"/>
    <w:rsid w:val="00EE1FC1"/>
    <w:rsid w:val="00EE2960"/>
    <w:rsid w:val="00EE31DA"/>
    <w:rsid w:val="00EE3200"/>
    <w:rsid w:val="00EE33FB"/>
    <w:rsid w:val="00EE4637"/>
    <w:rsid w:val="00EE586B"/>
    <w:rsid w:val="00EE6807"/>
    <w:rsid w:val="00EE6D8C"/>
    <w:rsid w:val="00EE6E80"/>
    <w:rsid w:val="00EE7410"/>
    <w:rsid w:val="00EE7DB0"/>
    <w:rsid w:val="00EF128E"/>
    <w:rsid w:val="00EF3CFA"/>
    <w:rsid w:val="00EF3D6D"/>
    <w:rsid w:val="00EF4351"/>
    <w:rsid w:val="00EF4F10"/>
    <w:rsid w:val="00EF7902"/>
    <w:rsid w:val="00EF7C40"/>
    <w:rsid w:val="00EF7EB1"/>
    <w:rsid w:val="00F00631"/>
    <w:rsid w:val="00F0153A"/>
    <w:rsid w:val="00F01590"/>
    <w:rsid w:val="00F01DD7"/>
    <w:rsid w:val="00F033E7"/>
    <w:rsid w:val="00F03EB4"/>
    <w:rsid w:val="00F049DD"/>
    <w:rsid w:val="00F049E8"/>
    <w:rsid w:val="00F066AD"/>
    <w:rsid w:val="00F06C57"/>
    <w:rsid w:val="00F0762A"/>
    <w:rsid w:val="00F07CAD"/>
    <w:rsid w:val="00F1084E"/>
    <w:rsid w:val="00F10F21"/>
    <w:rsid w:val="00F11743"/>
    <w:rsid w:val="00F11D81"/>
    <w:rsid w:val="00F13F74"/>
    <w:rsid w:val="00F146C8"/>
    <w:rsid w:val="00F14D5A"/>
    <w:rsid w:val="00F15F31"/>
    <w:rsid w:val="00F15FA0"/>
    <w:rsid w:val="00F20760"/>
    <w:rsid w:val="00F208E8"/>
    <w:rsid w:val="00F20BBF"/>
    <w:rsid w:val="00F2137C"/>
    <w:rsid w:val="00F21A59"/>
    <w:rsid w:val="00F21B1C"/>
    <w:rsid w:val="00F22FF6"/>
    <w:rsid w:val="00F23342"/>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88A"/>
    <w:rsid w:val="00F309D7"/>
    <w:rsid w:val="00F30B12"/>
    <w:rsid w:val="00F31BE5"/>
    <w:rsid w:val="00F31FC4"/>
    <w:rsid w:val="00F35902"/>
    <w:rsid w:val="00F35FC0"/>
    <w:rsid w:val="00F36535"/>
    <w:rsid w:val="00F369B7"/>
    <w:rsid w:val="00F41D68"/>
    <w:rsid w:val="00F423ED"/>
    <w:rsid w:val="00F42D04"/>
    <w:rsid w:val="00F43271"/>
    <w:rsid w:val="00F444DB"/>
    <w:rsid w:val="00F44615"/>
    <w:rsid w:val="00F45006"/>
    <w:rsid w:val="00F45108"/>
    <w:rsid w:val="00F45A27"/>
    <w:rsid w:val="00F47983"/>
    <w:rsid w:val="00F47B3A"/>
    <w:rsid w:val="00F47C99"/>
    <w:rsid w:val="00F503B1"/>
    <w:rsid w:val="00F50675"/>
    <w:rsid w:val="00F51052"/>
    <w:rsid w:val="00F51215"/>
    <w:rsid w:val="00F51C01"/>
    <w:rsid w:val="00F5251E"/>
    <w:rsid w:val="00F5317E"/>
    <w:rsid w:val="00F5368A"/>
    <w:rsid w:val="00F545A9"/>
    <w:rsid w:val="00F54A3F"/>
    <w:rsid w:val="00F54DD2"/>
    <w:rsid w:val="00F5602B"/>
    <w:rsid w:val="00F560C7"/>
    <w:rsid w:val="00F5615F"/>
    <w:rsid w:val="00F56E65"/>
    <w:rsid w:val="00F572D4"/>
    <w:rsid w:val="00F5762E"/>
    <w:rsid w:val="00F5779A"/>
    <w:rsid w:val="00F60421"/>
    <w:rsid w:val="00F60DEE"/>
    <w:rsid w:val="00F613CA"/>
    <w:rsid w:val="00F61D98"/>
    <w:rsid w:val="00F621FD"/>
    <w:rsid w:val="00F622FB"/>
    <w:rsid w:val="00F629E2"/>
    <w:rsid w:val="00F636F4"/>
    <w:rsid w:val="00F64534"/>
    <w:rsid w:val="00F653FE"/>
    <w:rsid w:val="00F65BF4"/>
    <w:rsid w:val="00F66E30"/>
    <w:rsid w:val="00F700CD"/>
    <w:rsid w:val="00F709A1"/>
    <w:rsid w:val="00F70C70"/>
    <w:rsid w:val="00F71265"/>
    <w:rsid w:val="00F714F0"/>
    <w:rsid w:val="00F71BC9"/>
    <w:rsid w:val="00F71F1F"/>
    <w:rsid w:val="00F72703"/>
    <w:rsid w:val="00F73027"/>
    <w:rsid w:val="00F734EF"/>
    <w:rsid w:val="00F736CA"/>
    <w:rsid w:val="00F73C14"/>
    <w:rsid w:val="00F73D19"/>
    <w:rsid w:val="00F73D93"/>
    <w:rsid w:val="00F74775"/>
    <w:rsid w:val="00F75446"/>
    <w:rsid w:val="00F7548D"/>
    <w:rsid w:val="00F7576B"/>
    <w:rsid w:val="00F75F9C"/>
    <w:rsid w:val="00F763DB"/>
    <w:rsid w:val="00F76C87"/>
    <w:rsid w:val="00F76E25"/>
    <w:rsid w:val="00F77B03"/>
    <w:rsid w:val="00F807B8"/>
    <w:rsid w:val="00F8160A"/>
    <w:rsid w:val="00F81BB9"/>
    <w:rsid w:val="00F81ECF"/>
    <w:rsid w:val="00F82141"/>
    <w:rsid w:val="00F83561"/>
    <w:rsid w:val="00F83991"/>
    <w:rsid w:val="00F83F75"/>
    <w:rsid w:val="00F84122"/>
    <w:rsid w:val="00F850AC"/>
    <w:rsid w:val="00F8541C"/>
    <w:rsid w:val="00F85F85"/>
    <w:rsid w:val="00F86D4F"/>
    <w:rsid w:val="00F8722F"/>
    <w:rsid w:val="00F87822"/>
    <w:rsid w:val="00F87C07"/>
    <w:rsid w:val="00F90787"/>
    <w:rsid w:val="00F91230"/>
    <w:rsid w:val="00F9159F"/>
    <w:rsid w:val="00F91AB9"/>
    <w:rsid w:val="00F922A1"/>
    <w:rsid w:val="00F944B4"/>
    <w:rsid w:val="00F95E6B"/>
    <w:rsid w:val="00F95E91"/>
    <w:rsid w:val="00F96058"/>
    <w:rsid w:val="00F9612E"/>
    <w:rsid w:val="00F966A4"/>
    <w:rsid w:val="00F9671A"/>
    <w:rsid w:val="00F96C3D"/>
    <w:rsid w:val="00F97575"/>
    <w:rsid w:val="00FA0AAB"/>
    <w:rsid w:val="00FA1220"/>
    <w:rsid w:val="00FA15C5"/>
    <w:rsid w:val="00FA190E"/>
    <w:rsid w:val="00FA19AF"/>
    <w:rsid w:val="00FA20A3"/>
    <w:rsid w:val="00FA20DD"/>
    <w:rsid w:val="00FA26FF"/>
    <w:rsid w:val="00FA2944"/>
    <w:rsid w:val="00FA2C4C"/>
    <w:rsid w:val="00FA3211"/>
    <w:rsid w:val="00FA3975"/>
    <w:rsid w:val="00FA4ACE"/>
    <w:rsid w:val="00FA6DC5"/>
    <w:rsid w:val="00FB0456"/>
    <w:rsid w:val="00FB05D9"/>
    <w:rsid w:val="00FB0C47"/>
    <w:rsid w:val="00FB23BE"/>
    <w:rsid w:val="00FB2446"/>
    <w:rsid w:val="00FB291A"/>
    <w:rsid w:val="00FB2F10"/>
    <w:rsid w:val="00FB383B"/>
    <w:rsid w:val="00FB3AD7"/>
    <w:rsid w:val="00FB3B8C"/>
    <w:rsid w:val="00FB3BBE"/>
    <w:rsid w:val="00FB40AD"/>
    <w:rsid w:val="00FB55D4"/>
    <w:rsid w:val="00FB637C"/>
    <w:rsid w:val="00FB6806"/>
    <w:rsid w:val="00FB6907"/>
    <w:rsid w:val="00FC19B4"/>
    <w:rsid w:val="00FC1FE0"/>
    <w:rsid w:val="00FC2260"/>
    <w:rsid w:val="00FC244D"/>
    <w:rsid w:val="00FC27BE"/>
    <w:rsid w:val="00FC2DA3"/>
    <w:rsid w:val="00FC33D0"/>
    <w:rsid w:val="00FC356E"/>
    <w:rsid w:val="00FC3A5B"/>
    <w:rsid w:val="00FC448E"/>
    <w:rsid w:val="00FC4864"/>
    <w:rsid w:val="00FC4FD5"/>
    <w:rsid w:val="00FC6096"/>
    <w:rsid w:val="00FC6EDC"/>
    <w:rsid w:val="00FC71A4"/>
    <w:rsid w:val="00FC7BB4"/>
    <w:rsid w:val="00FC7F7D"/>
    <w:rsid w:val="00FD0070"/>
    <w:rsid w:val="00FD2E92"/>
    <w:rsid w:val="00FD349A"/>
    <w:rsid w:val="00FD394C"/>
    <w:rsid w:val="00FD4626"/>
    <w:rsid w:val="00FD4850"/>
    <w:rsid w:val="00FD5EED"/>
    <w:rsid w:val="00FE0756"/>
    <w:rsid w:val="00FE07B9"/>
    <w:rsid w:val="00FE0A7D"/>
    <w:rsid w:val="00FE22E4"/>
    <w:rsid w:val="00FE239C"/>
    <w:rsid w:val="00FE269B"/>
    <w:rsid w:val="00FE272F"/>
    <w:rsid w:val="00FE2AAE"/>
    <w:rsid w:val="00FE3F2E"/>
    <w:rsid w:val="00FE42B6"/>
    <w:rsid w:val="00FE4BB8"/>
    <w:rsid w:val="00FE51BB"/>
    <w:rsid w:val="00FE563B"/>
    <w:rsid w:val="00FE7089"/>
    <w:rsid w:val="00FE72A3"/>
    <w:rsid w:val="00FE7776"/>
    <w:rsid w:val="00FE7DCB"/>
    <w:rsid w:val="00FF05F5"/>
    <w:rsid w:val="00FF0C94"/>
    <w:rsid w:val="00FF0DA1"/>
    <w:rsid w:val="00FF0FDA"/>
    <w:rsid w:val="00FF199B"/>
    <w:rsid w:val="00FF23DC"/>
    <w:rsid w:val="00FF24A2"/>
    <w:rsid w:val="00FF2915"/>
    <w:rsid w:val="00FF3335"/>
    <w:rsid w:val="00FF336F"/>
    <w:rsid w:val="00FF4221"/>
    <w:rsid w:val="00FF450E"/>
    <w:rsid w:val="00FF4C81"/>
    <w:rsid w:val="00FF5245"/>
    <w:rsid w:val="00FF6146"/>
    <w:rsid w:val="00FF6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link w:val="af4"/>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5">
    <w:name w:val="Emphasis"/>
    <w:uiPriority w:val="20"/>
    <w:qFormat/>
    <w:rPr>
      <w:rFonts w:ascii="Times New Roman" w:hAnsi="Times New Roman" w:cs="Times New Roman"/>
      <w:color w:val="CC0033"/>
    </w:rPr>
  </w:style>
  <w:style w:type="character" w:styleId="af6">
    <w:name w:val="annotation reference"/>
    <w:semiHidden/>
    <w:rPr>
      <w:rFonts w:ascii="Times New Roman" w:hAnsi="Times New Roman" w:cs="Times New Roman"/>
      <w:sz w:val="18"/>
      <w:szCs w:val="18"/>
    </w:rPr>
  </w:style>
  <w:style w:type="paragraph" w:styleId="af7">
    <w:name w:val="annotation text"/>
    <w:basedOn w:val="a0"/>
    <w:link w:val="af8"/>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9">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a">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b">
    <w:name w:val="footnote text"/>
    <w:basedOn w:val="a0"/>
    <w:link w:val="afc"/>
    <w:pPr>
      <w:adjustRightInd/>
      <w:snapToGrid w:val="0"/>
      <w:spacing w:line="240" w:lineRule="auto"/>
      <w:textAlignment w:val="auto"/>
    </w:pPr>
    <w:rPr>
      <w:rFonts w:eastAsia="新細明體"/>
      <w:kern w:val="2"/>
    </w:rPr>
  </w:style>
  <w:style w:type="character" w:styleId="afd">
    <w:name w:val="footnote reference"/>
    <w:rPr>
      <w:vertAlign w:val="superscript"/>
    </w:rPr>
  </w:style>
  <w:style w:type="paragraph" w:styleId="afe">
    <w:name w:val="annotation subject"/>
    <w:basedOn w:val="af7"/>
    <w:next w:val="af7"/>
    <w:link w:val="aff"/>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8">
    <w:name w:val="註解文字 字元"/>
    <w:link w:val="af7"/>
    <w:semiHidden/>
    <w:rsid w:val="001A5E2D"/>
    <w:rPr>
      <w:rFonts w:eastAsia="標楷體"/>
      <w:kern w:val="2"/>
      <w:sz w:val="32"/>
      <w:szCs w:val="24"/>
    </w:rPr>
  </w:style>
  <w:style w:type="character" w:customStyle="1" w:styleId="aff">
    <w:name w:val="註解主旨 字元"/>
    <w:link w:val="afe"/>
    <w:uiPriority w:val="99"/>
    <w:semiHidden/>
    <w:rsid w:val="001A5E2D"/>
    <w:rPr>
      <w:rFonts w:eastAsia="細明體"/>
      <w:b/>
      <w:bCs/>
      <w:kern w:val="2"/>
      <w:sz w:val="32"/>
      <w:szCs w:val="24"/>
    </w:rPr>
  </w:style>
  <w:style w:type="paragraph" w:styleId="aff0">
    <w:name w:val="Balloon Text"/>
    <w:basedOn w:val="a0"/>
    <w:link w:val="aff1"/>
    <w:unhideWhenUsed/>
    <w:rsid w:val="001A5E2D"/>
    <w:pPr>
      <w:spacing w:line="240" w:lineRule="auto"/>
    </w:pPr>
    <w:rPr>
      <w:rFonts w:ascii="Cambria" w:eastAsia="新細明體" w:hAnsi="Cambria"/>
      <w:sz w:val="18"/>
      <w:szCs w:val="18"/>
    </w:rPr>
  </w:style>
  <w:style w:type="character" w:customStyle="1" w:styleId="aff1">
    <w:name w:val="註解方塊文字 字元"/>
    <w:link w:val="aff0"/>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2">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3">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4">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5">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6">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7">
    <w:name w:val="Document Map"/>
    <w:basedOn w:val="a0"/>
    <w:link w:val="aff8"/>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8">
    <w:name w:val="文件引導模式 字元"/>
    <w:link w:val="aff7"/>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9">
    <w:name w:val="中標題"/>
    <w:basedOn w:val="a0"/>
    <w:rsid w:val="00286F49"/>
    <w:pPr>
      <w:tabs>
        <w:tab w:val="left" w:pos="12960"/>
      </w:tabs>
      <w:spacing w:line="400" w:lineRule="atLeast"/>
      <w:textAlignment w:val="baseline"/>
    </w:pPr>
    <w:rPr>
      <w:sz w:val="22"/>
    </w:rPr>
  </w:style>
  <w:style w:type="paragraph" w:customStyle="1" w:styleId="affa">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b">
    <w:name w:val="Salutation"/>
    <w:basedOn w:val="a0"/>
    <w:next w:val="a0"/>
    <w:link w:val="affc"/>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c">
    <w:name w:val="問候 字元"/>
    <w:link w:val="affb"/>
    <w:rsid w:val="00286F49"/>
    <w:rPr>
      <w:rFonts w:ascii="標楷體" w:eastAsia="標楷體" w:hAnsi="Garamond"/>
      <w:spacing w:val="20"/>
      <w:sz w:val="32"/>
    </w:rPr>
  </w:style>
  <w:style w:type="paragraph" w:styleId="affd">
    <w:name w:val="Closing"/>
    <w:basedOn w:val="a0"/>
    <w:next w:val="a0"/>
    <w:link w:val="affe"/>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e">
    <w:name w:val="結語 字元"/>
    <w:link w:val="affd"/>
    <w:rsid w:val="00286F49"/>
    <w:rPr>
      <w:rFonts w:ascii="標楷體" w:eastAsia="標楷體" w:hAnsi="Garamond"/>
      <w:spacing w:val="20"/>
      <w:sz w:val="32"/>
    </w:rPr>
  </w:style>
  <w:style w:type="paragraph" w:customStyle="1" w:styleId="afff">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a"/>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0">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1">
    <w:name w:val="Hyperlink"/>
    <w:rsid w:val="00286F49"/>
    <w:rPr>
      <w:strike w:val="0"/>
      <w:dstrike w:val="0"/>
      <w:color w:val="0066CC"/>
      <w:u w:val="none"/>
      <w:effect w:val="none"/>
    </w:rPr>
  </w:style>
  <w:style w:type="character" w:styleId="afff2">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3">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4">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5">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6">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註腳文字 字元"/>
    <w:link w:val="afb"/>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4">
    <w:name w:val="本文 字元"/>
    <w:basedOn w:val="a1"/>
    <w:link w:val="af3"/>
    <w:locked/>
    <w:rsid w:val="00BD32CA"/>
    <w:rPr>
      <w:rFonts w:eastAsia="標楷體"/>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link w:val="af4"/>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5">
    <w:name w:val="Emphasis"/>
    <w:uiPriority w:val="20"/>
    <w:qFormat/>
    <w:rPr>
      <w:rFonts w:ascii="Times New Roman" w:hAnsi="Times New Roman" w:cs="Times New Roman"/>
      <w:color w:val="CC0033"/>
    </w:rPr>
  </w:style>
  <w:style w:type="character" w:styleId="af6">
    <w:name w:val="annotation reference"/>
    <w:semiHidden/>
    <w:rPr>
      <w:rFonts w:ascii="Times New Roman" w:hAnsi="Times New Roman" w:cs="Times New Roman"/>
      <w:sz w:val="18"/>
      <w:szCs w:val="18"/>
    </w:rPr>
  </w:style>
  <w:style w:type="paragraph" w:styleId="af7">
    <w:name w:val="annotation text"/>
    <w:basedOn w:val="a0"/>
    <w:link w:val="af8"/>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9">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a">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b">
    <w:name w:val="footnote text"/>
    <w:basedOn w:val="a0"/>
    <w:link w:val="afc"/>
    <w:pPr>
      <w:adjustRightInd/>
      <w:snapToGrid w:val="0"/>
      <w:spacing w:line="240" w:lineRule="auto"/>
      <w:textAlignment w:val="auto"/>
    </w:pPr>
    <w:rPr>
      <w:rFonts w:eastAsia="新細明體"/>
      <w:kern w:val="2"/>
    </w:rPr>
  </w:style>
  <w:style w:type="character" w:styleId="afd">
    <w:name w:val="footnote reference"/>
    <w:rPr>
      <w:vertAlign w:val="superscript"/>
    </w:rPr>
  </w:style>
  <w:style w:type="paragraph" w:styleId="afe">
    <w:name w:val="annotation subject"/>
    <w:basedOn w:val="af7"/>
    <w:next w:val="af7"/>
    <w:link w:val="aff"/>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8">
    <w:name w:val="註解文字 字元"/>
    <w:link w:val="af7"/>
    <w:semiHidden/>
    <w:rsid w:val="001A5E2D"/>
    <w:rPr>
      <w:rFonts w:eastAsia="標楷體"/>
      <w:kern w:val="2"/>
      <w:sz w:val="32"/>
      <w:szCs w:val="24"/>
    </w:rPr>
  </w:style>
  <w:style w:type="character" w:customStyle="1" w:styleId="aff">
    <w:name w:val="註解主旨 字元"/>
    <w:link w:val="afe"/>
    <w:uiPriority w:val="99"/>
    <w:semiHidden/>
    <w:rsid w:val="001A5E2D"/>
    <w:rPr>
      <w:rFonts w:eastAsia="細明體"/>
      <w:b/>
      <w:bCs/>
      <w:kern w:val="2"/>
      <w:sz w:val="32"/>
      <w:szCs w:val="24"/>
    </w:rPr>
  </w:style>
  <w:style w:type="paragraph" w:styleId="aff0">
    <w:name w:val="Balloon Text"/>
    <w:basedOn w:val="a0"/>
    <w:link w:val="aff1"/>
    <w:unhideWhenUsed/>
    <w:rsid w:val="001A5E2D"/>
    <w:pPr>
      <w:spacing w:line="240" w:lineRule="auto"/>
    </w:pPr>
    <w:rPr>
      <w:rFonts w:ascii="Cambria" w:eastAsia="新細明體" w:hAnsi="Cambria"/>
      <w:sz w:val="18"/>
      <w:szCs w:val="18"/>
    </w:rPr>
  </w:style>
  <w:style w:type="character" w:customStyle="1" w:styleId="aff1">
    <w:name w:val="註解方塊文字 字元"/>
    <w:link w:val="aff0"/>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2">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3">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4">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5">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6">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7">
    <w:name w:val="Document Map"/>
    <w:basedOn w:val="a0"/>
    <w:link w:val="aff8"/>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8">
    <w:name w:val="文件引導模式 字元"/>
    <w:link w:val="aff7"/>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9">
    <w:name w:val="中標題"/>
    <w:basedOn w:val="a0"/>
    <w:rsid w:val="00286F49"/>
    <w:pPr>
      <w:tabs>
        <w:tab w:val="left" w:pos="12960"/>
      </w:tabs>
      <w:spacing w:line="400" w:lineRule="atLeast"/>
      <w:textAlignment w:val="baseline"/>
    </w:pPr>
    <w:rPr>
      <w:sz w:val="22"/>
    </w:rPr>
  </w:style>
  <w:style w:type="paragraph" w:customStyle="1" w:styleId="affa">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b">
    <w:name w:val="Salutation"/>
    <w:basedOn w:val="a0"/>
    <w:next w:val="a0"/>
    <w:link w:val="affc"/>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c">
    <w:name w:val="問候 字元"/>
    <w:link w:val="affb"/>
    <w:rsid w:val="00286F49"/>
    <w:rPr>
      <w:rFonts w:ascii="標楷體" w:eastAsia="標楷體" w:hAnsi="Garamond"/>
      <w:spacing w:val="20"/>
      <w:sz w:val="32"/>
    </w:rPr>
  </w:style>
  <w:style w:type="paragraph" w:styleId="affd">
    <w:name w:val="Closing"/>
    <w:basedOn w:val="a0"/>
    <w:next w:val="a0"/>
    <w:link w:val="affe"/>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e">
    <w:name w:val="結語 字元"/>
    <w:link w:val="affd"/>
    <w:rsid w:val="00286F49"/>
    <w:rPr>
      <w:rFonts w:ascii="標楷體" w:eastAsia="標楷體" w:hAnsi="Garamond"/>
      <w:spacing w:val="20"/>
      <w:sz w:val="32"/>
    </w:rPr>
  </w:style>
  <w:style w:type="paragraph" w:customStyle="1" w:styleId="afff">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a"/>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0">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1">
    <w:name w:val="Hyperlink"/>
    <w:rsid w:val="00286F49"/>
    <w:rPr>
      <w:strike w:val="0"/>
      <w:dstrike w:val="0"/>
      <w:color w:val="0066CC"/>
      <w:u w:val="none"/>
      <w:effect w:val="none"/>
    </w:rPr>
  </w:style>
  <w:style w:type="character" w:styleId="afff2">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3">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4">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5">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6">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註腳文字 字元"/>
    <w:link w:val="afb"/>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4">
    <w:name w:val="本文 字元"/>
    <w:basedOn w:val="a1"/>
    <w:link w:val="af3"/>
    <w:locked/>
    <w:rsid w:val="00BD32CA"/>
    <w:rPr>
      <w:rFonts w:eastAsia="標楷體"/>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1334373338602"/>
          <c:y val="0.10939323167563696"/>
          <c:w val="0.78162278674909436"/>
          <c:h val="0.65319182635802808"/>
        </c:manualLayout>
      </c:layout>
      <c:scatterChart>
        <c:scatterStyle val="lineMarker"/>
        <c:varyColors val="0"/>
        <c:ser>
          <c:idx val="0"/>
          <c:order val="0"/>
          <c:spPr>
            <a:ln w="28575">
              <a:noFill/>
            </a:ln>
          </c:spPr>
          <c:dLbls>
            <c:dLbl>
              <c:idx val="0"/>
              <c:layout>
                <c:manualLayout>
                  <c:x val="-4.0297732014267446E-3"/>
                  <c:y val="4.1958434440977892E-3"/>
                </c:manualLayout>
              </c:layout>
              <c:tx>
                <c:rich>
                  <a:bodyPr/>
                  <a:lstStyle/>
                  <a:p>
                    <a:pPr>
                      <a:defRPr b="0"/>
                    </a:pPr>
                    <a:r>
                      <a:rPr lang="en-US" altLang="zh-TW" b="0"/>
                      <a:t>Indonesia</a:t>
                    </a:r>
                  </a:p>
                </c:rich>
              </c:tx>
              <c:spPr/>
              <c:showLegendKey val="0"/>
              <c:showVal val="0"/>
              <c:showCatName val="0"/>
              <c:showSerName val="1"/>
              <c:showPercent val="0"/>
              <c:showBubbleSize val="0"/>
            </c:dLbl>
            <c:dLbl>
              <c:idx val="1"/>
              <c:layout>
                <c:manualLayout>
                  <c:x val="-9.6471633353523122E-3"/>
                  <c:y val="8.3827729081034676E-3"/>
                </c:manualLayout>
              </c:layout>
              <c:tx>
                <c:rich>
                  <a:bodyPr/>
                  <a:lstStyle/>
                  <a:p>
                    <a:pPr>
                      <a:defRPr b="0"/>
                    </a:pPr>
                    <a:r>
                      <a:rPr lang="en-US" altLang="zh-TW" b="0"/>
                      <a:t>Thailand</a:t>
                    </a:r>
                  </a:p>
                </c:rich>
              </c:tx>
              <c:spPr/>
              <c:showLegendKey val="0"/>
              <c:showVal val="0"/>
              <c:showCatName val="0"/>
              <c:showSerName val="1"/>
              <c:showPercent val="0"/>
              <c:showBubbleSize val="0"/>
            </c:dLbl>
            <c:dLbl>
              <c:idx val="2"/>
              <c:layout>
                <c:manualLayout>
                  <c:x val="-3.6676492361531732E-3"/>
                  <c:y val="-1.3705079317915449E-2"/>
                </c:manualLayout>
              </c:layout>
              <c:tx>
                <c:rich>
                  <a:bodyPr/>
                  <a:lstStyle/>
                  <a:p>
                    <a:pPr>
                      <a:defRPr sz="1400" b="1">
                        <a:solidFill>
                          <a:srgbClr val="0070C0"/>
                        </a:solidFill>
                      </a:defRPr>
                    </a:pPr>
                    <a:r>
                      <a:rPr lang="en-US" altLang="zh-TW" sz="1400" b="1">
                        <a:solidFill>
                          <a:srgbClr val="0070C0"/>
                        </a:solidFill>
                      </a:rPr>
                      <a:t>Taiwan</a:t>
                    </a:r>
                    <a:endParaRPr lang="en-US" sz="1400" b="1">
                      <a:solidFill>
                        <a:srgbClr val="0070C0"/>
                      </a:solidFill>
                    </a:endParaRPr>
                  </a:p>
                </c:rich>
              </c:tx>
              <c:spPr/>
              <c:showLegendKey val="0"/>
              <c:showVal val="0"/>
              <c:showCatName val="0"/>
              <c:showSerName val="1"/>
              <c:showPercent val="0"/>
              <c:showBubbleSize val="0"/>
            </c:dLbl>
            <c:dLbl>
              <c:idx val="3"/>
              <c:layout>
                <c:manualLayout>
                  <c:x val="-0.25085798135851473"/>
                  <c:y val="9.530945160299174E-3"/>
                </c:manualLayout>
              </c:layout>
              <c:tx>
                <c:rich>
                  <a:bodyPr/>
                  <a:lstStyle/>
                  <a:p>
                    <a:pPr>
                      <a:defRPr b="0"/>
                    </a:pPr>
                    <a:r>
                      <a:rPr lang="en-US" altLang="zh-TW" b="0"/>
                      <a:t>Switzerland</a:t>
                    </a:r>
                  </a:p>
                </c:rich>
              </c:tx>
              <c:spPr/>
              <c:showLegendKey val="0"/>
              <c:showVal val="0"/>
              <c:showCatName val="0"/>
              <c:showSerName val="1"/>
              <c:showPercent val="0"/>
              <c:showBubbleSize val="0"/>
            </c:dLbl>
            <c:dLbl>
              <c:idx val="4"/>
              <c:layout>
                <c:manualLayout>
                  <c:x val="-3.9011690060655737E-3"/>
                  <c:y val="6.8408159675255919E-3"/>
                </c:manualLayout>
              </c:layout>
              <c:tx>
                <c:rich>
                  <a:bodyPr/>
                  <a:lstStyle/>
                  <a:p>
                    <a:pPr>
                      <a:defRPr b="0"/>
                    </a:pPr>
                    <a:r>
                      <a:rPr lang="en-US" b="0"/>
                      <a:t>US</a:t>
                    </a:r>
                  </a:p>
                </c:rich>
              </c:tx>
              <c:spPr/>
              <c:showLegendKey val="0"/>
              <c:showVal val="0"/>
              <c:showCatName val="0"/>
              <c:showSerName val="1"/>
              <c:showPercent val="0"/>
              <c:showBubbleSize val="0"/>
            </c:dLbl>
            <c:dLbl>
              <c:idx val="5"/>
              <c:layout>
                <c:manualLayout>
                  <c:x val="0.57179018776499091"/>
                  <c:y val="2.8108090262302116E-2"/>
                </c:manualLayout>
              </c:layout>
              <c:tx>
                <c:rich>
                  <a:bodyPr/>
                  <a:lstStyle/>
                  <a:p>
                    <a:r>
                      <a:rPr lang="en-US"/>
                      <a:t>China</a:t>
                    </a:r>
                  </a:p>
                </c:rich>
              </c:tx>
              <c:showLegendKey val="0"/>
              <c:showVal val="0"/>
              <c:showCatName val="0"/>
              <c:showSerName val="1"/>
              <c:showPercent val="0"/>
              <c:showBubbleSize val="0"/>
            </c:dLbl>
            <c:dLbl>
              <c:idx val="6"/>
              <c:layout>
                <c:manualLayout>
                  <c:x val="-2.2181901012246763E-3"/>
                  <c:y val="9.1906191049404562E-3"/>
                </c:manualLayout>
              </c:layout>
              <c:tx>
                <c:rich>
                  <a:bodyPr/>
                  <a:lstStyle/>
                  <a:p>
                    <a:pPr>
                      <a:defRPr b="0"/>
                    </a:pPr>
                    <a:r>
                      <a:rPr lang="en-US" altLang="zh-TW" b="0"/>
                      <a:t>Japan</a:t>
                    </a:r>
                    <a:r>
                      <a:rPr lang="en-US" b="0"/>
                      <a:t> </a:t>
                    </a:r>
                  </a:p>
                </c:rich>
              </c:tx>
              <c:spPr/>
              <c:showLegendKey val="0"/>
              <c:showVal val="1"/>
              <c:showCatName val="0"/>
              <c:showSerName val="1"/>
              <c:showPercent val="0"/>
              <c:showBubbleSize val="0"/>
            </c:dLbl>
            <c:dLbl>
              <c:idx val="7"/>
              <c:layout>
                <c:manualLayout>
                  <c:x val="-0.28307746147116225"/>
                  <c:y val="-2.9898809818583998E-2"/>
                </c:manualLayout>
              </c:layout>
              <c:tx>
                <c:rich>
                  <a:bodyPr/>
                  <a:lstStyle/>
                  <a:p>
                    <a:r>
                      <a:rPr lang="en-US" altLang="zh-TW" b="1"/>
                      <a:t>Singapore</a:t>
                    </a:r>
                    <a:endParaRPr lang="en-US" b="1"/>
                  </a:p>
                </c:rich>
              </c:tx>
              <c:showLegendKey val="0"/>
              <c:showVal val="0"/>
              <c:showCatName val="0"/>
              <c:showSerName val="1"/>
              <c:showPercent val="0"/>
              <c:showBubbleSize val="0"/>
            </c:dLbl>
            <c:dLbl>
              <c:idx val="8"/>
              <c:layout>
                <c:manualLayout>
                  <c:x val="-0.37631463781916169"/>
                  <c:y val="9.5314718810895926E-2"/>
                </c:manualLayout>
              </c:layout>
              <c:tx>
                <c:rich>
                  <a:bodyPr/>
                  <a:lstStyle/>
                  <a:p>
                    <a:r>
                      <a:rPr lang="en-US" altLang="zh-TW" b="1"/>
                      <a:t>South</a:t>
                    </a:r>
                    <a:r>
                      <a:rPr lang="en-US" altLang="zh-TW" b="1" baseline="0"/>
                      <a:t> Korea</a:t>
                    </a:r>
                    <a:endParaRPr lang="en-US"/>
                  </a:p>
                </c:rich>
              </c:tx>
              <c:showLegendKey val="0"/>
              <c:showVal val="0"/>
              <c:showCatName val="0"/>
              <c:showSerName val="1"/>
              <c:showPercent val="0"/>
              <c:showBubbleSize val="0"/>
            </c:dLbl>
            <c:dLbl>
              <c:idx val="9"/>
              <c:layout>
                <c:manualLayout>
                  <c:x val="0.23758380704823451"/>
                  <c:y val="-0.11367514883372389"/>
                </c:manualLayout>
              </c:layout>
              <c:tx>
                <c:rich>
                  <a:bodyPr/>
                  <a:lstStyle/>
                  <a:p>
                    <a:r>
                      <a:rPr lang="en-US" altLang="zh-TW" b="1"/>
                      <a:t>Malaysia</a:t>
                    </a:r>
                    <a:endParaRPr lang="en-US"/>
                  </a:p>
                </c:rich>
              </c:tx>
              <c:showLegendKey val="0"/>
              <c:showVal val="0"/>
              <c:showCatName val="0"/>
              <c:showSerName val="1"/>
              <c:showPercent val="0"/>
              <c:showBubbleSize val="0"/>
            </c:dLbl>
            <c:dLbl>
              <c:idx val="10"/>
              <c:layout>
                <c:manualLayout>
                  <c:x val="-2.7360989476791094E-3"/>
                  <c:y val="2.0945945277316071E-3"/>
                </c:manualLayout>
              </c:layout>
              <c:tx>
                <c:rich>
                  <a:bodyPr/>
                  <a:lstStyle/>
                  <a:p>
                    <a:r>
                      <a:rPr lang="en-US" altLang="zh-TW" b="1"/>
                      <a:t>Hong Kong</a:t>
                    </a:r>
                    <a:endParaRPr lang="en-US"/>
                  </a:p>
                </c:rich>
              </c:tx>
              <c:showLegendKey val="0"/>
              <c:showVal val="0"/>
              <c:showCatName val="0"/>
              <c:showSerName val="1"/>
              <c:showPercent val="0"/>
              <c:showBubbleSize val="0"/>
            </c:dLbl>
            <c:dLbl>
              <c:idx val="11"/>
              <c:layout>
                <c:manualLayout>
                  <c:x val="-1.8045898108890236E-3"/>
                  <c:y val="7.6835206919889732E-3"/>
                </c:manualLayout>
              </c:layout>
              <c:tx>
                <c:rich>
                  <a:bodyPr/>
                  <a:lstStyle/>
                  <a:p>
                    <a:r>
                      <a:rPr lang="en-US" b="1"/>
                      <a:t>Euro Area</a:t>
                    </a:r>
                  </a:p>
                </c:rich>
              </c:tx>
              <c:showLegendKey val="0"/>
              <c:showVal val="0"/>
              <c:showCatName val="0"/>
              <c:showSerName val="1"/>
              <c:showPercent val="0"/>
              <c:showBubbleSize val="0"/>
            </c:dLbl>
            <c:dLbl>
              <c:idx val="12"/>
              <c:layout>
                <c:manualLayout>
                  <c:x val="-1.8397382073677333E-3"/>
                  <c:y val="4.6128604515906866E-3"/>
                </c:manualLayout>
              </c:layout>
              <c:tx>
                <c:rich>
                  <a:bodyPr/>
                  <a:lstStyle/>
                  <a:p>
                    <a:pPr>
                      <a:defRPr b="0"/>
                    </a:pPr>
                    <a:r>
                      <a:rPr lang="en-US" altLang="zh-TW" b="0"/>
                      <a:t>UK</a:t>
                    </a:r>
                    <a:endParaRPr lang="zh-TW" b="0"/>
                  </a:p>
                </c:rich>
              </c:tx>
              <c:spPr/>
              <c:showLegendKey val="0"/>
              <c:showVal val="1"/>
              <c:showCatName val="0"/>
              <c:showSerName val="1"/>
              <c:showPercent val="0"/>
              <c:showBubbleSize val="0"/>
            </c:dLbl>
            <c:dLbl>
              <c:idx val="13"/>
              <c:layout>
                <c:manualLayout>
                  <c:x val="-2.9176396535267016E-3"/>
                  <c:y val="-2.5624460019991113E-3"/>
                </c:manualLayout>
              </c:layout>
              <c:tx>
                <c:rich>
                  <a:bodyPr/>
                  <a:lstStyle/>
                  <a:p>
                    <a:r>
                      <a:rPr lang="en-US" b="1"/>
                      <a:t>Philippines</a:t>
                    </a:r>
                    <a:endParaRPr lang="en-US"/>
                  </a:p>
                </c:rich>
              </c:tx>
              <c:showLegendKey val="0"/>
              <c:showVal val="0"/>
              <c:showCatName val="0"/>
              <c:showSerName val="1"/>
              <c:showPercent val="0"/>
              <c:showBubbleSize val="0"/>
            </c:dLbl>
            <c:txPr>
              <a:bodyPr/>
              <a:lstStyle/>
              <a:p>
                <a:pPr>
                  <a:defRPr b="1"/>
                </a:pPr>
                <a:endParaRPr lang="zh-TW"/>
              </a:p>
            </c:txPr>
            <c:showLegendKey val="0"/>
            <c:showVal val="0"/>
            <c:showCatName val="0"/>
            <c:showSerName val="1"/>
            <c:showPercent val="0"/>
            <c:showBubbleSize val="0"/>
            <c:showLeaderLines val="0"/>
          </c:dLbls>
          <c:xVal>
            <c:numRef>
              <c:f>RR_跨國!$B$2:$B$15</c:f>
              <c:numCache>
                <c:formatCode>0.0_ </c:formatCode>
                <c:ptCount val="14"/>
                <c:pt idx="0">
                  <c:v>5.0130811073716401</c:v>
                </c:pt>
                <c:pt idx="1">
                  <c:v>3.4780918784217598</c:v>
                </c:pt>
                <c:pt idx="2" formatCode="0.00_);[Red]\(0.00\)">
                  <c:v>2.15</c:v>
                </c:pt>
                <c:pt idx="3">
                  <c:v>2.66795133537439</c:v>
                </c:pt>
                <c:pt idx="4">
                  <c:v>2.11874444773468</c:v>
                </c:pt>
                <c:pt idx="5">
                  <c:v>0.88918525960834904</c:v>
                </c:pt>
                <c:pt idx="6">
                  <c:v>1.5503113516400799</c:v>
                </c:pt>
                <c:pt idx="7">
                  <c:v>5.5091581239069098</c:v>
                </c:pt>
                <c:pt idx="8">
                  <c:v>6.7928854827064002</c:v>
                </c:pt>
                <c:pt idx="9">
                  <c:v>3.0013449470017899</c:v>
                </c:pt>
                <c:pt idx="10">
                  <c:v>3.1234086934555099</c:v>
                </c:pt>
                <c:pt idx="11">
                  <c:v>2.1798785670278802</c:v>
                </c:pt>
                <c:pt idx="12">
                  <c:v>1.4539967084984</c:v>
                </c:pt>
                <c:pt idx="13">
                  <c:v>6.4433611575362999</c:v>
                </c:pt>
              </c:numCache>
            </c:numRef>
          </c:xVal>
          <c:yVal>
            <c:numRef>
              <c:f>RR_跨國!$C$2:$C$15</c:f>
              <c:numCache>
                <c:formatCode>0.000_ </c:formatCode>
                <c:ptCount val="14"/>
                <c:pt idx="0">
                  <c:v>0.87000000000000011</c:v>
                </c:pt>
                <c:pt idx="1">
                  <c:v>0.83</c:v>
                </c:pt>
                <c:pt idx="2" formatCode="0.000">
                  <c:v>0.2649999999999999</c:v>
                </c:pt>
                <c:pt idx="3">
                  <c:v>-0.10999999999999999</c:v>
                </c:pt>
                <c:pt idx="4">
                  <c:v>-0.19999999999999996</c:v>
                </c:pt>
                <c:pt idx="5">
                  <c:v>-0.32999999999999996</c:v>
                </c:pt>
                <c:pt idx="6">
                  <c:v>-0.378</c:v>
                </c:pt>
                <c:pt idx="7">
                  <c:v>-0.39999999999999991</c:v>
                </c:pt>
                <c:pt idx="8">
                  <c:v>-0.5</c:v>
                </c:pt>
                <c:pt idx="9">
                  <c:v>-1.19</c:v>
                </c:pt>
                <c:pt idx="10">
                  <c:v>-1.66</c:v>
                </c:pt>
                <c:pt idx="11">
                  <c:v>-1.76</c:v>
                </c:pt>
                <c:pt idx="12">
                  <c:v>-1.8599999999999999</c:v>
                </c:pt>
                <c:pt idx="13">
                  <c:v>-2.58</c:v>
                </c:pt>
              </c:numCache>
            </c:numRef>
          </c:yVal>
          <c:smooth val="0"/>
        </c:ser>
        <c:dLbls>
          <c:showLegendKey val="0"/>
          <c:showVal val="0"/>
          <c:showCatName val="0"/>
          <c:showSerName val="0"/>
          <c:showPercent val="0"/>
          <c:showBubbleSize val="0"/>
        </c:dLbls>
        <c:axId val="46512768"/>
        <c:axId val="45351296"/>
      </c:scatterChart>
      <c:valAx>
        <c:axId val="46512768"/>
        <c:scaling>
          <c:orientation val="minMax"/>
        </c:scaling>
        <c:delete val="0"/>
        <c:axPos val="b"/>
        <c:numFmt formatCode="0.0_ " sourceLinked="1"/>
        <c:majorTickMark val="out"/>
        <c:minorTickMark val="none"/>
        <c:tickLblPos val="low"/>
        <c:crossAx val="45351296"/>
        <c:crosses val="autoZero"/>
        <c:crossBetween val="midCat"/>
      </c:valAx>
      <c:valAx>
        <c:axId val="45351296"/>
        <c:scaling>
          <c:orientation val="minMax"/>
        </c:scaling>
        <c:delete val="0"/>
        <c:axPos val="l"/>
        <c:numFmt formatCode="0.0_ " sourceLinked="0"/>
        <c:majorTickMark val="out"/>
        <c:minorTickMark val="none"/>
        <c:tickLblPos val="nextTo"/>
        <c:crossAx val="46512768"/>
        <c:crosses val="autoZero"/>
        <c:crossBetween val="midCat"/>
      </c:valAx>
    </c:plotArea>
    <c:plotVisOnly val="1"/>
    <c:dispBlanksAs val="gap"/>
    <c:showDLblsOverMax val="0"/>
  </c:chart>
  <c:spPr>
    <a:noFill/>
    <a:ln>
      <a:noFill/>
    </a:ln>
  </c:spPr>
  <c:txPr>
    <a:bodyPr/>
    <a:lstStyle/>
    <a:p>
      <a:pPr>
        <a:defRPr sz="12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0.28577</cdr:x>
      <cdr:y>0.85964</cdr:y>
    </cdr:from>
    <cdr:to>
      <cdr:x>0.6783</cdr:x>
      <cdr:y>0.91444</cdr:y>
    </cdr:to>
    <cdr:sp macro="" textlink="">
      <cdr:nvSpPr>
        <cdr:cNvPr id="3" name="文字方塊 1"/>
        <cdr:cNvSpPr txBox="1"/>
      </cdr:nvSpPr>
      <cdr:spPr>
        <a:xfrm xmlns:a="http://schemas.openxmlformats.org/drawingml/2006/main">
          <a:off x="2487844" y="4260534"/>
          <a:ext cx="3417307" cy="2715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200" b="1" i="0">
              <a:latin typeface="Times New Roman" panose="02020603050405020304" pitchFamily="18" charset="0"/>
              <a:ea typeface="標楷體" panose="03000509000000000000" pitchFamily="65" charset="-120"/>
              <a:cs typeface="Times New Roman" panose="02020603050405020304" pitchFamily="18" charset="0"/>
            </a:rPr>
            <a:t>2017</a:t>
          </a:r>
          <a:r>
            <a:rPr lang="zh-TW" altLang="en-US" sz="1200" b="1" i="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200" b="1" i="0">
              <a:latin typeface="Times New Roman" panose="02020603050405020304" pitchFamily="18" charset="0"/>
              <a:ea typeface="標楷體" panose="03000509000000000000" pitchFamily="65" charset="-120"/>
              <a:cs typeface="Times New Roman" panose="02020603050405020304" pitchFamily="18" charset="0"/>
            </a:rPr>
            <a:t>GDP Growth </a:t>
          </a:r>
          <a:r>
            <a:rPr lang="en-US" altLang="zh-TW" sz="1200" b="1" i="0" baseline="0">
              <a:latin typeface="Times New Roman" panose="02020603050405020304" pitchFamily="18" charset="0"/>
              <a:ea typeface="標楷體" panose="03000509000000000000" pitchFamily="65" charset="-120"/>
              <a:cs typeface="Times New Roman" panose="02020603050405020304" pitchFamily="18" charset="0"/>
            </a:rPr>
            <a:t>Rate </a:t>
          </a:r>
          <a:r>
            <a:rPr lang="en-US" altLang="zh-TW" sz="1200" b="1" i="0">
              <a:latin typeface="Times New Roman" panose="02020603050405020304" pitchFamily="18" charset="0"/>
              <a:ea typeface="標楷體" panose="03000509000000000000" pitchFamily="65" charset="-120"/>
              <a:cs typeface="Times New Roman" panose="02020603050405020304" pitchFamily="18" charset="0"/>
            </a:rPr>
            <a:t>( %, f )</a:t>
          </a:r>
          <a:endParaRPr lang="zh-TW" altLang="en-US" sz="1200" b="1" i="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4"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0.06278</cdr:x>
      <cdr:y>0.23077</cdr:y>
    </cdr:from>
    <cdr:to>
      <cdr:x>0.06278</cdr:x>
      <cdr:y>0.29437</cdr:y>
    </cdr:to>
    <cdr:cxnSp macro="">
      <cdr:nvCxnSpPr>
        <cdr:cNvPr id="11" name="直線單箭頭接點 10"/>
        <cdr:cNvCxnSpPr/>
      </cdr:nvCxnSpPr>
      <cdr:spPr>
        <a:xfrm xmlns:a="http://schemas.openxmlformats.org/drawingml/2006/main" flipV="1">
          <a:off x="583025" y="1397952"/>
          <a:ext cx="0" cy="385283"/>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0.01637</cdr:x>
      <cdr:y>0.02563</cdr:y>
    </cdr:from>
    <cdr:to>
      <cdr:x>0.16509</cdr:x>
      <cdr:y>0.08975</cdr:y>
    </cdr:to>
    <cdr:sp macro="" textlink="">
      <cdr:nvSpPr>
        <cdr:cNvPr id="18" name="文字方塊 1"/>
        <cdr:cNvSpPr txBox="1"/>
      </cdr:nvSpPr>
      <cdr:spPr>
        <a:xfrm xmlns:a="http://schemas.openxmlformats.org/drawingml/2006/main">
          <a:off x="142472" y="127004"/>
          <a:ext cx="1294734" cy="317790"/>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r>
            <a:rPr lang="en-US" altLang="zh-TW" sz="1050" b="1">
              <a:latin typeface="Times New Roman" panose="02020603050405020304" pitchFamily="18" charset="0"/>
              <a:ea typeface="標楷體" panose="03000509000000000000" pitchFamily="65" charset="-120"/>
              <a:cs typeface="Times New Roman" panose="02020603050405020304" pitchFamily="18" charset="0"/>
            </a:rPr>
            <a:t>Real interest rate (%)</a:t>
          </a:r>
          <a:endParaRPr lang="zh-TW" altLang="en-US" sz="1050" b="1">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21"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0.06322</cdr:x>
      <cdr:y>0.44864</cdr:y>
    </cdr:from>
    <cdr:to>
      <cdr:x>0.06322</cdr:x>
      <cdr:y>0.59452</cdr:y>
    </cdr:to>
    <cdr:cxnSp macro="">
      <cdr:nvCxnSpPr>
        <cdr:cNvPr id="25" name="直線單箭頭接點 11"/>
        <cdr:cNvCxnSpPr/>
      </cdr:nvCxnSpPr>
      <cdr:spPr>
        <a:xfrm xmlns:a="http://schemas.openxmlformats.org/drawingml/2006/main" flipH="1">
          <a:off x="587083" y="2717797"/>
          <a:ext cx="0" cy="883726"/>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0.01868</cdr:x>
      <cdr:y>0.23574</cdr:y>
    </cdr:from>
    <cdr:to>
      <cdr:x>0.05928</cdr:x>
      <cdr:y>0.28987</cdr:y>
    </cdr:to>
    <cdr:sp macro="" textlink="">
      <cdr:nvSpPr>
        <cdr:cNvPr id="26" name="文字方塊 14"/>
        <cdr:cNvSpPr txBox="1"/>
      </cdr:nvSpPr>
      <cdr:spPr>
        <a:xfrm xmlns:a="http://schemas.openxmlformats.org/drawingml/2006/main">
          <a:off x="173438" y="1428092"/>
          <a:ext cx="377047" cy="32791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32"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0.01381</cdr:x>
      <cdr:y>0.50514</cdr:y>
    </cdr:from>
    <cdr:to>
      <cdr:x>0.0597</cdr:x>
      <cdr:y>0.55927</cdr:y>
    </cdr:to>
    <cdr:sp macro="" textlink="">
      <cdr:nvSpPr>
        <cdr:cNvPr id="38" name="文字方塊 1"/>
        <cdr:cNvSpPr txBox="1"/>
      </cdr:nvSpPr>
      <cdr:spPr>
        <a:xfrm xmlns:a="http://schemas.openxmlformats.org/drawingml/2006/main">
          <a:off x="128276" y="3060066"/>
          <a:ext cx="426174" cy="327914"/>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0.64437</cdr:x>
      <cdr:y>0.89116</cdr:y>
    </cdr:from>
    <cdr:to>
      <cdr:x>0.82071</cdr:x>
      <cdr:y>0.89198</cdr:y>
    </cdr:to>
    <cdr:cxnSp macro="">
      <cdr:nvCxnSpPr>
        <cdr:cNvPr id="39" name="直線單箭頭接點 38"/>
        <cdr:cNvCxnSpPr/>
      </cdr:nvCxnSpPr>
      <cdr:spPr>
        <a:xfrm xmlns:a="http://schemas.openxmlformats.org/drawingml/2006/main">
          <a:off x="5609766" y="4416763"/>
          <a:ext cx="1535189" cy="4064"/>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0.83339</cdr:x>
      <cdr:y>0.87104</cdr:y>
    </cdr:from>
    <cdr:to>
      <cdr:x>0.87399</cdr:x>
      <cdr:y>0.92517</cdr:y>
    </cdr:to>
    <cdr:sp macro="" textlink="">
      <cdr:nvSpPr>
        <cdr:cNvPr id="42" name="文字方塊 14"/>
        <cdr:cNvSpPr txBox="1"/>
      </cdr:nvSpPr>
      <cdr:spPr>
        <a:xfrm xmlns:a="http://schemas.openxmlformats.org/drawingml/2006/main">
          <a:off x="7255378" y="4317008"/>
          <a:ext cx="353458" cy="268278"/>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0.14213</cdr:x>
      <cdr:y>0.86734</cdr:y>
    </cdr:from>
    <cdr:to>
      <cdr:x>0.18273</cdr:x>
      <cdr:y>0.91849</cdr:y>
    </cdr:to>
    <cdr:sp macro="" textlink="">
      <cdr:nvSpPr>
        <cdr:cNvPr id="45" name="文字方塊 14"/>
        <cdr:cNvSpPr txBox="1"/>
      </cdr:nvSpPr>
      <cdr:spPr>
        <a:xfrm xmlns:a="http://schemas.openxmlformats.org/drawingml/2006/main">
          <a:off x="1237405" y="4298690"/>
          <a:ext cx="353457" cy="253509"/>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0.18607</cdr:x>
      <cdr:y>0.88774</cdr:y>
    </cdr:from>
    <cdr:to>
      <cdr:x>0.31405</cdr:x>
      <cdr:y>0.88774</cdr:y>
    </cdr:to>
    <cdr:cxnSp macro="">
      <cdr:nvCxnSpPr>
        <cdr:cNvPr id="47" name="直線單箭頭接點 46"/>
        <cdr:cNvCxnSpPr/>
      </cdr:nvCxnSpPr>
      <cdr:spPr>
        <a:xfrm xmlns:a="http://schemas.openxmlformats.org/drawingml/2006/main" flipH="1" flipV="1">
          <a:off x="1619879" y="4399809"/>
          <a:ext cx="1114175" cy="0"/>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0.33128</cdr:x>
      <cdr:y>0.19182</cdr:y>
    </cdr:from>
    <cdr:to>
      <cdr:x>0.33128</cdr:x>
      <cdr:y>0.78774</cdr:y>
    </cdr:to>
    <cdr:cxnSp macro="">
      <cdr:nvCxnSpPr>
        <cdr:cNvPr id="17" name="直線接點 16"/>
        <cdr:cNvCxnSpPr/>
      </cdr:nvCxnSpPr>
      <cdr:spPr>
        <a:xfrm xmlns:a="http://schemas.openxmlformats.org/drawingml/2006/main">
          <a:off x="3076575" y="1162050"/>
          <a:ext cx="0" cy="3609975"/>
        </a:xfrm>
        <a:prstGeom xmlns:a="http://schemas.openxmlformats.org/drawingml/2006/main" prst="line">
          <a:avLst/>
        </a:prstGeom>
        <a:ln xmlns:a="http://schemas.openxmlformats.org/drawingml/2006/main">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0.33832</cdr:x>
      <cdr:y>0.35522</cdr:y>
    </cdr:from>
    <cdr:to>
      <cdr:x>0.91371</cdr:x>
      <cdr:y>0.78637</cdr:y>
    </cdr:to>
    <cdr:sp macro="" textlink="">
      <cdr:nvSpPr>
        <cdr:cNvPr id="19" name="矩形 18"/>
        <cdr:cNvSpPr/>
      </cdr:nvSpPr>
      <cdr:spPr>
        <a:xfrm xmlns:a="http://schemas.openxmlformats.org/drawingml/2006/main">
          <a:off x="2945331" y="1760542"/>
          <a:ext cx="5009259" cy="2136855"/>
        </a:xfrm>
        <a:prstGeom xmlns:a="http://schemas.openxmlformats.org/drawingml/2006/main" prst="rect">
          <a:avLst/>
        </a:prstGeom>
        <a:solidFill xmlns:a="http://schemas.openxmlformats.org/drawingml/2006/main">
          <a:srgbClr val="FFFFCC">
            <a:alpha val="14000"/>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zh-TW" altLang="en-US"/>
        </a:p>
      </cdr:txBody>
    </cdr:sp>
  </cdr:relSizeAnchor>
  <cdr:relSizeAnchor xmlns:cdr="http://schemas.openxmlformats.org/drawingml/2006/chartDrawing">
    <cdr:from>
      <cdr:x>0.10062</cdr:x>
      <cdr:y>0.94729</cdr:y>
    </cdr:from>
    <cdr:to>
      <cdr:x>0.41042</cdr:x>
      <cdr:y>1</cdr:y>
    </cdr:to>
    <cdr:sp macro="" textlink="">
      <cdr:nvSpPr>
        <cdr:cNvPr id="2" name="文字方塊 1"/>
        <cdr:cNvSpPr txBox="1"/>
      </cdr:nvSpPr>
      <cdr:spPr>
        <a:xfrm xmlns:a="http://schemas.openxmlformats.org/drawingml/2006/main">
          <a:off x="875979" y="4694945"/>
          <a:ext cx="2697096" cy="2612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TW" sz="1050">
              <a:latin typeface="Times New Roman" panose="02020603050405020304" pitchFamily="18" charset="0"/>
              <a:ea typeface="標楷體" panose="03000509000000000000" pitchFamily="65" charset="-120"/>
              <a:cs typeface="Times New Roman" panose="02020603050405020304" pitchFamily="18" charset="0"/>
            </a:rPr>
            <a:t>Sources: See</a:t>
          </a:r>
          <a:r>
            <a:rPr lang="en-US" altLang="zh-TW" sz="1050" baseline="0">
              <a:latin typeface="Times New Roman" panose="02020603050405020304" pitchFamily="18" charset="0"/>
              <a:ea typeface="標楷體" panose="03000509000000000000" pitchFamily="65" charset="-120"/>
              <a:cs typeface="Times New Roman" panose="02020603050405020304" pitchFamily="18" charset="0"/>
            </a:rPr>
            <a:t> Appendix 1</a:t>
          </a:r>
          <a:endParaRPr lang="zh-TW" altLang="en-US" sz="105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1DBD5-3BDA-4CE9-8A77-E58062A2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22</Pages>
  <Words>4375</Words>
  <Characters>24943</Characters>
  <Application>Microsoft Office Word</Application>
  <DocSecurity>0</DocSecurity>
  <Lines>207</Lines>
  <Paragraphs>58</Paragraphs>
  <ScaleCrop>false</ScaleCrop>
  <Company>cbc</Company>
  <LinksUpToDate>false</LinksUpToDate>
  <CharactersWithSpaces>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ssl</cp:lastModifiedBy>
  <cp:revision>58</cp:revision>
  <cp:lastPrinted>2017-11-01T02:59:00Z</cp:lastPrinted>
  <dcterms:created xsi:type="dcterms:W3CDTF">2017-10-27T07:38:00Z</dcterms:created>
  <dcterms:modified xsi:type="dcterms:W3CDTF">2017-11-01T08:23:00Z</dcterms:modified>
</cp:coreProperties>
</file>