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35" w:rsidRDefault="000F362D" w:rsidP="00981604">
      <w:pPr>
        <w:widowControl/>
        <w:snapToGrid w:val="0"/>
        <w:spacing w:afterLines="50" w:after="180"/>
        <w:ind w:left="1416" w:hangingChars="442" w:hanging="1416"/>
        <w:contextualSpacing/>
        <w:jc w:val="center"/>
        <w:rPr>
          <w:rFonts w:eastAsia="標楷體"/>
          <w:b/>
          <w:kern w:val="0"/>
          <w:sz w:val="32"/>
          <w:szCs w:val="20"/>
        </w:rPr>
      </w:pPr>
      <w:r>
        <w:rPr>
          <w:rFonts w:eastAsia="標楷體" w:hint="eastAsia"/>
          <w:b/>
          <w:kern w:val="0"/>
          <w:sz w:val="32"/>
          <w:szCs w:val="20"/>
        </w:rPr>
        <w:t>A</w:t>
      </w:r>
      <w:r>
        <w:rPr>
          <w:rFonts w:eastAsia="標楷體"/>
          <w:b/>
          <w:kern w:val="0"/>
          <w:sz w:val="32"/>
          <w:szCs w:val="20"/>
        </w:rPr>
        <w:t>ppendix</w:t>
      </w:r>
      <w:r w:rsidR="005B393B">
        <w:rPr>
          <w:rFonts w:eastAsia="標楷體"/>
          <w:b/>
          <w:kern w:val="0"/>
          <w:sz w:val="32"/>
          <w:szCs w:val="20"/>
        </w:rPr>
        <w:t xml:space="preserve"> 1</w:t>
      </w:r>
      <w:r>
        <w:rPr>
          <w:rFonts w:eastAsia="標楷體"/>
          <w:b/>
          <w:kern w:val="0"/>
          <w:sz w:val="32"/>
          <w:szCs w:val="20"/>
        </w:rPr>
        <w:t>:</w:t>
      </w:r>
      <w:r>
        <w:rPr>
          <w:rFonts w:eastAsia="標楷體" w:hint="eastAsia"/>
          <w:b/>
          <w:kern w:val="0"/>
          <w:sz w:val="32"/>
          <w:szCs w:val="20"/>
        </w:rPr>
        <w:t xml:space="preserve"> </w:t>
      </w:r>
      <w:r>
        <w:rPr>
          <w:rFonts w:eastAsia="標楷體"/>
          <w:b/>
          <w:kern w:val="0"/>
          <w:sz w:val="32"/>
          <w:szCs w:val="20"/>
        </w:rPr>
        <w:t xml:space="preserve">Comparison Table of the Amendments to the </w:t>
      </w:r>
      <w:r w:rsidRPr="00A522D2">
        <w:rPr>
          <w:rFonts w:eastAsia="標楷體"/>
          <w:b/>
          <w:i/>
          <w:kern w:val="0"/>
          <w:sz w:val="32"/>
          <w:szCs w:val="20"/>
        </w:rPr>
        <w:t>Regulations Governing the Extension of Mortgage Loans by Financial Institutions</w:t>
      </w:r>
      <w:r w:rsidRPr="00FC3451">
        <w:rPr>
          <w:rFonts w:eastAsia="標楷體"/>
          <w:b/>
          <w:kern w:val="0"/>
          <w:sz w:val="32"/>
          <w:szCs w:val="20"/>
        </w:rPr>
        <w:t xml:space="preserve"> </w:t>
      </w:r>
    </w:p>
    <w:p w:rsidR="00981604" w:rsidRPr="00FC3451" w:rsidRDefault="00981604" w:rsidP="00981604">
      <w:pPr>
        <w:widowControl/>
        <w:snapToGrid w:val="0"/>
        <w:spacing w:line="240" w:lineRule="exact"/>
        <w:ind w:left="1416" w:hangingChars="442" w:hanging="1416"/>
        <w:contextualSpacing/>
        <w:jc w:val="center"/>
        <w:rPr>
          <w:rFonts w:eastAsia="標楷體"/>
          <w:b/>
          <w:kern w:val="0"/>
          <w:sz w:val="32"/>
          <w:szCs w:val="20"/>
        </w:rPr>
      </w:pPr>
    </w:p>
    <w:p w:rsidR="00987D35" w:rsidRPr="00A9141C" w:rsidRDefault="000F362D" w:rsidP="00B8418A">
      <w:pPr>
        <w:widowControl/>
        <w:wordWrap w:val="0"/>
        <w:snapToGrid w:val="0"/>
        <w:spacing w:beforeLines="50" w:before="180" w:line="280" w:lineRule="exact"/>
        <w:ind w:leftChars="-178" w:left="-265" w:rightChars="-437" w:right="-1049" w:hangingChars="58" w:hanging="162"/>
        <w:contextualSpacing/>
        <w:jc w:val="right"/>
        <w:rPr>
          <w:rFonts w:eastAsia="標楷體"/>
          <w:kern w:val="0"/>
          <w:sz w:val="28"/>
          <w:szCs w:val="28"/>
        </w:rPr>
      </w:pPr>
      <w:r w:rsidRPr="00A9141C">
        <w:rPr>
          <w:rFonts w:eastAsia="標楷體" w:hint="eastAsia"/>
          <w:kern w:val="0"/>
          <w:sz w:val="28"/>
          <w:szCs w:val="28"/>
        </w:rPr>
        <w:t>Ef</w:t>
      </w:r>
      <w:r w:rsidR="00B8418A">
        <w:rPr>
          <w:rFonts w:eastAsia="標楷體"/>
          <w:kern w:val="0"/>
          <w:sz w:val="28"/>
          <w:szCs w:val="28"/>
        </w:rPr>
        <w:t>fective D</w:t>
      </w:r>
      <w:r w:rsidRPr="00A9141C">
        <w:rPr>
          <w:rFonts w:eastAsia="標楷體"/>
          <w:kern w:val="0"/>
          <w:sz w:val="28"/>
          <w:szCs w:val="28"/>
        </w:rPr>
        <w:t xml:space="preserve">ate: June </w:t>
      </w:r>
      <w:r w:rsidR="00987D35" w:rsidRPr="00A9141C">
        <w:rPr>
          <w:rFonts w:eastAsia="標楷體" w:hint="eastAsia"/>
          <w:kern w:val="0"/>
          <w:sz w:val="28"/>
          <w:szCs w:val="28"/>
        </w:rPr>
        <w:t>1</w:t>
      </w:r>
      <w:r w:rsidR="00987D35" w:rsidRPr="00A9141C">
        <w:rPr>
          <w:rFonts w:eastAsia="標楷體"/>
          <w:kern w:val="0"/>
          <w:sz w:val="28"/>
          <w:szCs w:val="28"/>
        </w:rPr>
        <w:t>4</w:t>
      </w:r>
      <w:r w:rsidRPr="00A9141C">
        <w:rPr>
          <w:rFonts w:eastAsia="標楷體" w:hint="eastAsia"/>
          <w:kern w:val="0"/>
          <w:sz w:val="28"/>
          <w:szCs w:val="28"/>
        </w:rPr>
        <w:t>,</w:t>
      </w:r>
      <w:r w:rsidRPr="00A9141C">
        <w:rPr>
          <w:rFonts w:eastAsia="標楷體"/>
          <w:kern w:val="0"/>
          <w:sz w:val="28"/>
          <w:szCs w:val="28"/>
        </w:rPr>
        <w:t xml:space="preserve"> 2024</w:t>
      </w:r>
    </w:p>
    <w:tbl>
      <w:tblPr>
        <w:tblW w:w="97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2011"/>
        <w:gridCol w:w="3969"/>
        <w:gridCol w:w="2824"/>
      </w:tblGrid>
      <w:tr w:rsidR="00987D35" w:rsidRPr="00FC3451" w:rsidTr="00AE1590">
        <w:trPr>
          <w:trHeight w:val="588"/>
        </w:trPr>
        <w:tc>
          <w:tcPr>
            <w:tcW w:w="2978" w:type="dxa"/>
            <w:gridSpan w:val="2"/>
            <w:vMerge w:val="restart"/>
            <w:shd w:val="clear" w:color="auto" w:fill="auto"/>
            <w:vAlign w:val="center"/>
          </w:tcPr>
          <w:p w:rsidR="00987D35" w:rsidRPr="00FC3451" w:rsidRDefault="000F362D" w:rsidP="00C23522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b/>
                <w:kern w:val="52"/>
                <w:sz w:val="28"/>
                <w:szCs w:val="28"/>
              </w:rPr>
              <w:t>oans</w:t>
            </w:r>
          </w:p>
        </w:tc>
        <w:tc>
          <w:tcPr>
            <w:tcW w:w="6793" w:type="dxa"/>
            <w:gridSpan w:val="2"/>
            <w:shd w:val="clear" w:color="auto" w:fill="auto"/>
            <w:vAlign w:val="center"/>
          </w:tcPr>
          <w:p w:rsidR="00987D35" w:rsidRPr="00FC3451" w:rsidRDefault="000F362D" w:rsidP="000417A1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b/>
                <w:kern w:val="52"/>
                <w:sz w:val="28"/>
                <w:szCs w:val="28"/>
              </w:rPr>
              <w:t>oan Underwriting Criteria</w:t>
            </w:r>
          </w:p>
        </w:tc>
      </w:tr>
      <w:tr w:rsidR="00AE1590" w:rsidRPr="00FC3451" w:rsidTr="00AE1590">
        <w:tc>
          <w:tcPr>
            <w:tcW w:w="2978" w:type="dxa"/>
            <w:gridSpan w:val="2"/>
            <w:vMerge/>
            <w:shd w:val="clear" w:color="auto" w:fill="auto"/>
            <w:vAlign w:val="center"/>
          </w:tcPr>
          <w:p w:rsidR="00987D35" w:rsidRPr="00FC3451" w:rsidRDefault="00987D35" w:rsidP="00C23522">
            <w:pPr>
              <w:snapToGrid w:val="0"/>
              <w:spacing w:line="400" w:lineRule="exact"/>
              <w:contextualSpacing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87D35" w:rsidRPr="000F362D" w:rsidRDefault="000F362D" w:rsidP="000417A1">
            <w:pPr>
              <w:snapToGrid w:val="0"/>
              <w:spacing w:line="48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 w:rsidRPr="000F362D">
              <w:rPr>
                <w:rFonts w:eastAsia="標楷體" w:hint="eastAsia"/>
                <w:b/>
                <w:kern w:val="52"/>
                <w:sz w:val="28"/>
                <w:szCs w:val="28"/>
              </w:rPr>
              <w:t>C</w:t>
            </w:r>
            <w:r w:rsidRPr="000F362D">
              <w:rPr>
                <w:rFonts w:eastAsia="標楷體"/>
                <w:b/>
                <w:kern w:val="52"/>
                <w:sz w:val="28"/>
                <w:szCs w:val="28"/>
              </w:rPr>
              <w:t>urrent provisions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0F362D" w:rsidRDefault="000F362D" w:rsidP="000417A1">
            <w:pPr>
              <w:snapToGrid w:val="0"/>
              <w:spacing w:line="48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 w:rsidRPr="000F362D">
              <w:rPr>
                <w:rFonts w:eastAsia="標楷體" w:hint="eastAsia"/>
                <w:b/>
                <w:kern w:val="52"/>
                <w:sz w:val="28"/>
                <w:szCs w:val="28"/>
              </w:rPr>
              <w:t>A</w:t>
            </w:r>
            <w:r w:rsidRPr="000F362D">
              <w:rPr>
                <w:rFonts w:eastAsia="標楷體"/>
                <w:b/>
                <w:kern w:val="52"/>
                <w:sz w:val="28"/>
                <w:szCs w:val="28"/>
              </w:rPr>
              <w:t>mendments</w:t>
            </w:r>
          </w:p>
        </w:tc>
      </w:tr>
      <w:tr w:rsidR="00AE1590" w:rsidRPr="00FC3451" w:rsidTr="00AE1590">
        <w:trPr>
          <w:trHeight w:val="680"/>
        </w:trPr>
        <w:tc>
          <w:tcPr>
            <w:tcW w:w="2978" w:type="dxa"/>
            <w:gridSpan w:val="2"/>
            <w:shd w:val="clear" w:color="auto" w:fill="auto"/>
            <w:vAlign w:val="center"/>
          </w:tcPr>
          <w:p w:rsidR="00987D35" w:rsidRPr="00A9141C" w:rsidRDefault="00A9141C" w:rsidP="00C23522">
            <w:pPr>
              <w:snapToGrid w:val="0"/>
              <w:spacing w:line="400" w:lineRule="exact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Ho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using loan taken out by a corporate entity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D35" w:rsidRDefault="00D5186D" w:rsidP="000417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40%; </w:t>
            </w:r>
          </w:p>
          <w:p w:rsidR="00D5186D" w:rsidRPr="00FC3451" w:rsidRDefault="00D5186D" w:rsidP="000417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FC3451" w:rsidRDefault="00D5186D" w:rsidP="00D5186D">
            <w:pPr>
              <w:snapToGrid w:val="0"/>
              <w:spacing w:line="400" w:lineRule="exact"/>
              <w:contextualSpacing/>
              <w:jc w:val="center"/>
              <w:outlineLvl w:val="0"/>
              <w:rPr>
                <w:rFonts w:eastAsia="標楷體"/>
                <w:bCs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:rsidTr="00AE1590">
        <w:trPr>
          <w:trHeight w:val="680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87D35" w:rsidRPr="00FC3451" w:rsidRDefault="00007B23" w:rsidP="00C23522">
            <w:pPr>
              <w:snapToGrid w:val="0"/>
              <w:spacing w:line="400" w:lineRule="exact"/>
              <w:ind w:left="-111" w:firstLineChars="8" w:firstLine="22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Na</w:t>
            </w:r>
            <w:r>
              <w:rPr>
                <w:rFonts w:eastAsia="標楷體"/>
                <w:kern w:val="52"/>
                <w:sz w:val="28"/>
                <w:szCs w:val="28"/>
              </w:rPr>
              <w:t>tural person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007B23" w:rsidRDefault="00007B23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H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igh-value </w:t>
            </w:r>
          </w:p>
          <w:p w:rsidR="00987D35" w:rsidRPr="00FC3451" w:rsidRDefault="00007B23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/>
                <w:kern w:val="52"/>
                <w:sz w:val="28"/>
                <w:szCs w:val="28"/>
              </w:rPr>
              <w:t>housing loan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3BA1" w:rsidRDefault="007E3BA1" w:rsidP="007E3B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40%; </w:t>
            </w:r>
          </w:p>
          <w:p w:rsidR="00987D35" w:rsidRPr="00FC3451" w:rsidRDefault="007E3BA1" w:rsidP="007E3BA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FC3451" w:rsidRDefault="00D5186D" w:rsidP="00D5186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:rsidTr="00AE1590">
        <w:trPr>
          <w:trHeight w:val="680"/>
        </w:trPr>
        <w:tc>
          <w:tcPr>
            <w:tcW w:w="967" w:type="dxa"/>
            <w:vMerge/>
            <w:shd w:val="clear" w:color="auto" w:fill="auto"/>
            <w:vAlign w:val="center"/>
          </w:tcPr>
          <w:p w:rsidR="00987D35" w:rsidRPr="00FC3451" w:rsidRDefault="00987D35" w:rsidP="00C23522">
            <w:pPr>
              <w:snapToGrid w:val="0"/>
              <w:spacing w:line="40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987D35" w:rsidRPr="00FC3451" w:rsidRDefault="00007B23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 w:themeColor="text1"/>
                <w:kern w:val="52"/>
                <w:sz w:val="28"/>
                <w:szCs w:val="28"/>
              </w:rPr>
              <w:t>S</w:t>
            </w:r>
            <w:r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  <w:t xml:space="preserve">econd home loan for housing in specific areas*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3BA1" w:rsidRDefault="007E3BA1" w:rsidP="007E3B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70%; </w:t>
            </w:r>
          </w:p>
          <w:p w:rsidR="00987D35" w:rsidRPr="00FC3451" w:rsidRDefault="007E3BA1" w:rsidP="007E3BA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7E3BA1" w:rsidRDefault="007E3BA1" w:rsidP="007E3BA1">
            <w:pPr>
              <w:snapToGrid w:val="0"/>
              <w:spacing w:line="400" w:lineRule="exact"/>
              <w:ind w:firstLineChars="69" w:firstLine="193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LTV ratio cap:</w:t>
            </w:r>
            <w:r w:rsidR="008E262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E262C" w:rsidRPr="008E262C">
              <w:rPr>
                <w:rFonts w:eastAsia="標楷體"/>
                <w:sz w:val="28"/>
                <w:szCs w:val="28"/>
                <w:u w:val="single"/>
              </w:rPr>
              <w:t>6</w:t>
            </w:r>
            <w:bookmarkStart w:id="0" w:name="_GoBack"/>
            <w:bookmarkEnd w:id="0"/>
            <w:r w:rsidR="008E262C" w:rsidRPr="008E262C">
              <w:rPr>
                <w:rFonts w:eastAsia="標楷體"/>
                <w:sz w:val="28"/>
                <w:szCs w:val="28"/>
                <w:u w:val="single"/>
              </w:rPr>
              <w:t>0</w:t>
            </w:r>
            <w:r w:rsidRPr="008E262C">
              <w:rPr>
                <w:rFonts w:eastAsia="標楷體"/>
                <w:sz w:val="28"/>
                <w:szCs w:val="28"/>
                <w:u w:val="single"/>
              </w:rPr>
              <w:t>%</w:t>
            </w:r>
            <w:r>
              <w:rPr>
                <w:rFonts w:eastAsia="標楷體"/>
                <w:sz w:val="28"/>
                <w:szCs w:val="28"/>
              </w:rPr>
              <w:t xml:space="preserve">; </w:t>
            </w:r>
          </w:p>
          <w:p w:rsidR="00987D35" w:rsidRPr="00FC3451" w:rsidRDefault="007E3BA1" w:rsidP="007E3BA1">
            <w:pPr>
              <w:spacing w:line="400" w:lineRule="exact"/>
              <w:ind w:firstLineChars="69" w:firstLine="193"/>
              <w:jc w:val="both"/>
              <w:rPr>
                <w:rFonts w:eastAsia="標楷體"/>
                <w:b/>
                <w:bCs/>
                <w:color w:val="0000FF"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</w:tr>
      <w:tr w:rsidR="00AE1590" w:rsidRPr="00FC3451" w:rsidTr="00AE1590">
        <w:trPr>
          <w:trHeight w:val="680"/>
        </w:trPr>
        <w:tc>
          <w:tcPr>
            <w:tcW w:w="967" w:type="dxa"/>
            <w:vMerge/>
            <w:shd w:val="clear" w:color="auto" w:fill="auto"/>
            <w:vAlign w:val="center"/>
          </w:tcPr>
          <w:p w:rsidR="00987D35" w:rsidRPr="00FC3451" w:rsidRDefault="00987D35" w:rsidP="00C23522">
            <w:pPr>
              <w:snapToGrid w:val="0"/>
              <w:spacing w:line="40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987D35" w:rsidRPr="00FC3451" w:rsidRDefault="00D5186D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T</w:t>
            </w:r>
            <w:r>
              <w:rPr>
                <w:rFonts w:eastAsia="標楷體"/>
                <w:kern w:val="52"/>
                <w:sz w:val="28"/>
                <w:szCs w:val="28"/>
              </w:rPr>
              <w:t>hird (or more) home loan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3BA1" w:rsidRDefault="007E3BA1" w:rsidP="007E3B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LTV ratio cap: 40%; </w:t>
            </w:r>
          </w:p>
          <w:p w:rsidR="00987D35" w:rsidRPr="00FC3451" w:rsidRDefault="007E3BA1" w:rsidP="007E3BA1">
            <w:pPr>
              <w:spacing w:line="400" w:lineRule="exact"/>
              <w:jc w:val="both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No grace period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FC3451" w:rsidRDefault="00D5186D" w:rsidP="00D5186D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:rsidTr="00AE1590">
        <w:trPr>
          <w:trHeight w:val="680"/>
        </w:trPr>
        <w:tc>
          <w:tcPr>
            <w:tcW w:w="2978" w:type="dxa"/>
            <w:gridSpan w:val="2"/>
            <w:shd w:val="clear" w:color="auto" w:fill="auto"/>
            <w:vAlign w:val="center"/>
          </w:tcPr>
          <w:p w:rsidR="00987D35" w:rsidRPr="00FC3451" w:rsidRDefault="00D5186D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kern w:val="52"/>
                <w:sz w:val="28"/>
                <w:szCs w:val="28"/>
              </w:rPr>
              <w:t>and loans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2C27" w:rsidRPr="0046049D" w:rsidRDefault="00432C27" w:rsidP="0046049D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 w:rsidRPr="0046049D">
              <w:rPr>
                <w:rFonts w:eastAsia="標楷體"/>
                <w:sz w:val="28"/>
                <w:szCs w:val="28"/>
              </w:rPr>
              <w:t>LTV ratio cap: 50% (10%</w:t>
            </w:r>
            <w:r w:rsidR="0046049D" w:rsidRPr="0046049D">
              <w:rPr>
                <w:rFonts w:eastAsia="標楷體"/>
                <w:sz w:val="28"/>
                <w:szCs w:val="28"/>
              </w:rPr>
              <w:t xml:space="preserve"> to be</w:t>
            </w:r>
            <w:r w:rsidRPr="0046049D">
              <w:rPr>
                <w:rFonts w:eastAsia="標楷體"/>
                <w:sz w:val="28"/>
                <w:szCs w:val="28"/>
              </w:rPr>
              <w:t xml:space="preserve"> withheld until construction commences) </w:t>
            </w:r>
          </w:p>
          <w:p w:rsidR="00CA6244" w:rsidRPr="0046049D" w:rsidRDefault="00432C27" w:rsidP="00432C27">
            <w:pPr>
              <w:numPr>
                <w:ilvl w:val="0"/>
                <w:numId w:val="1"/>
              </w:numPr>
              <w:adjustRightInd w:val="0"/>
              <w:spacing w:line="400" w:lineRule="exact"/>
              <w:ind w:left="244" w:hanging="284"/>
              <w:textAlignment w:val="center"/>
              <w:rPr>
                <w:rFonts w:eastAsia="標楷體"/>
                <w:kern w:val="52"/>
                <w:sz w:val="28"/>
                <w:szCs w:val="28"/>
              </w:rPr>
            </w:pPr>
            <w:r w:rsidRPr="0046049D">
              <w:rPr>
                <w:rFonts w:eastAsia="標楷體"/>
                <w:sz w:val="28"/>
                <w:szCs w:val="28"/>
              </w:rPr>
              <w:t xml:space="preserve">Additional requirements: </w:t>
            </w:r>
          </w:p>
          <w:p w:rsidR="0046049D" w:rsidRDefault="00313455" w:rsidP="0046049D">
            <w:pPr>
              <w:pStyle w:val="a3"/>
              <w:numPr>
                <w:ilvl w:val="0"/>
                <w:numId w:val="3"/>
              </w:numPr>
              <w:adjustRightInd w:val="0"/>
              <w:spacing w:line="400" w:lineRule="exact"/>
              <w:ind w:leftChars="0"/>
              <w:textAlignment w:val="center"/>
              <w:rPr>
                <w:rFonts w:eastAsia="標楷體"/>
                <w:szCs w:val="28"/>
              </w:rPr>
            </w:pPr>
            <w:r w:rsidRPr="0046049D">
              <w:rPr>
                <w:rFonts w:eastAsia="標楷體" w:hint="eastAsia"/>
                <w:szCs w:val="28"/>
              </w:rPr>
              <w:t>A s</w:t>
            </w:r>
            <w:r w:rsidR="00432C27" w:rsidRPr="0046049D">
              <w:rPr>
                <w:rFonts w:eastAsia="標楷體"/>
                <w:szCs w:val="28"/>
              </w:rPr>
              <w:t>ubsta</w:t>
            </w:r>
            <w:r w:rsidR="0046049D" w:rsidRPr="0046049D">
              <w:rPr>
                <w:rFonts w:eastAsia="標楷體"/>
                <w:szCs w:val="28"/>
              </w:rPr>
              <w:t>ntive project development plan</w:t>
            </w:r>
          </w:p>
          <w:p w:rsidR="00987D35" w:rsidRPr="0046049D" w:rsidRDefault="0046049D" w:rsidP="0046049D">
            <w:pPr>
              <w:pStyle w:val="a3"/>
              <w:numPr>
                <w:ilvl w:val="0"/>
                <w:numId w:val="3"/>
              </w:numPr>
              <w:adjustRightInd w:val="0"/>
              <w:spacing w:line="400" w:lineRule="exact"/>
              <w:ind w:leftChars="0"/>
              <w:textAlignment w:val="center"/>
              <w:rPr>
                <w:rFonts w:eastAsia="標楷體"/>
                <w:szCs w:val="28"/>
              </w:rPr>
            </w:pPr>
            <w:r w:rsidRPr="0046049D">
              <w:rPr>
                <w:rFonts w:eastAsia="標楷體"/>
                <w:szCs w:val="28"/>
              </w:rPr>
              <w:t xml:space="preserve">A </w:t>
            </w:r>
            <w:r w:rsidR="00432C27" w:rsidRPr="0046049D">
              <w:rPr>
                <w:rFonts w:eastAsia="標楷體"/>
                <w:szCs w:val="28"/>
              </w:rPr>
              <w:t xml:space="preserve">written affidavit </w:t>
            </w:r>
            <w:r w:rsidR="00CA6244" w:rsidRPr="0046049D">
              <w:rPr>
                <w:rFonts w:eastAsia="標楷體"/>
                <w:szCs w:val="28"/>
              </w:rPr>
              <w:t xml:space="preserve">specifying the </w:t>
            </w:r>
            <w:r w:rsidR="00432C27" w:rsidRPr="0046049D">
              <w:rPr>
                <w:rFonts w:eastAsia="標楷體"/>
                <w:szCs w:val="28"/>
              </w:rPr>
              <w:t xml:space="preserve">timeframe to commence construction 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FC3451" w:rsidRDefault="00D5186D" w:rsidP="00D5186D">
            <w:pPr>
              <w:adjustRightInd w:val="0"/>
              <w:spacing w:line="400" w:lineRule="exact"/>
              <w:ind w:left="-40"/>
              <w:jc w:val="center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:rsidTr="00AE1590">
        <w:trPr>
          <w:trHeight w:val="680"/>
        </w:trPr>
        <w:tc>
          <w:tcPr>
            <w:tcW w:w="2978" w:type="dxa"/>
            <w:gridSpan w:val="2"/>
            <w:shd w:val="clear" w:color="auto" w:fill="auto"/>
            <w:vAlign w:val="center"/>
          </w:tcPr>
          <w:p w:rsidR="00987D35" w:rsidRPr="00FC3451" w:rsidRDefault="00D5186D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U</w:t>
            </w:r>
            <w:r>
              <w:rPr>
                <w:rFonts w:eastAsia="標楷體"/>
                <w:kern w:val="52"/>
                <w:sz w:val="28"/>
                <w:szCs w:val="28"/>
              </w:rPr>
              <w:t>nsold housing unit loans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D35" w:rsidRPr="00FC3451" w:rsidRDefault="00AE1590" w:rsidP="000417A1">
            <w:pPr>
              <w:snapToGrid w:val="0"/>
              <w:spacing w:line="400" w:lineRule="exact"/>
              <w:contextualSpacing/>
              <w:jc w:val="both"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LTV ratio cap: 40%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FC3451" w:rsidRDefault="00D5186D" w:rsidP="00D5186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  <w:tr w:rsidR="00AE1590" w:rsidRPr="00FC3451" w:rsidTr="00AE1590">
        <w:trPr>
          <w:trHeight w:val="680"/>
        </w:trPr>
        <w:tc>
          <w:tcPr>
            <w:tcW w:w="2978" w:type="dxa"/>
            <w:gridSpan w:val="2"/>
            <w:shd w:val="clear" w:color="auto" w:fill="auto"/>
            <w:vAlign w:val="center"/>
          </w:tcPr>
          <w:p w:rsidR="00987D35" w:rsidRPr="00FC3451" w:rsidRDefault="00D5186D" w:rsidP="00C23522">
            <w:pPr>
              <w:snapToGrid w:val="0"/>
              <w:spacing w:line="40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M</w:t>
            </w:r>
            <w:r>
              <w:rPr>
                <w:rFonts w:eastAsia="標楷體"/>
                <w:kern w:val="52"/>
                <w:sz w:val="28"/>
                <w:szCs w:val="28"/>
              </w:rPr>
              <w:t>ortgage loans for idle land in industrial districts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E1590" w:rsidRDefault="00AE1590" w:rsidP="000417A1">
            <w:pPr>
              <w:snapToGrid w:val="0"/>
              <w:spacing w:line="400" w:lineRule="exact"/>
              <w:ind w:left="-37"/>
              <w:contextualSpacing/>
              <w:jc w:val="both"/>
              <w:outlineLvl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LTV ratio cap: 40%</w:t>
            </w:r>
            <w:r>
              <w:rPr>
                <w:rFonts w:eastAsia="標楷體" w:hint="eastAsia"/>
                <w:sz w:val="28"/>
                <w:szCs w:val="28"/>
              </w:rPr>
              <w:t>;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87D35" w:rsidRPr="00FC3451" w:rsidRDefault="00AE1590" w:rsidP="000417A1">
            <w:pPr>
              <w:snapToGrid w:val="0"/>
              <w:spacing w:line="400" w:lineRule="exact"/>
              <w:ind w:left="-37"/>
              <w:contextualSpacing/>
              <w:jc w:val="both"/>
              <w:outlineLvl w:val="0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Exemptions applicable when</w:t>
            </w:r>
            <w:r>
              <w:rPr>
                <w:rFonts w:eastAsia="標楷體"/>
                <w:spacing w:val="-20"/>
                <w:kern w:val="52"/>
                <w:sz w:val="28"/>
                <w:szCs w:val="28"/>
              </w:rPr>
              <w:t>:</w:t>
            </w:r>
          </w:p>
          <w:p w:rsidR="00987D35" w:rsidRPr="00AE1590" w:rsidRDefault="00AE1590" w:rsidP="00AE1590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kern w:val="52"/>
                <w:szCs w:val="28"/>
              </w:rPr>
            </w:pPr>
            <w:r w:rsidRPr="00AE1590">
              <w:rPr>
                <w:rFonts w:eastAsia="標楷體" w:hint="eastAsia"/>
                <w:kern w:val="52"/>
                <w:szCs w:val="28"/>
              </w:rPr>
              <w:t>C</w:t>
            </w:r>
            <w:r w:rsidRPr="00AE1590">
              <w:rPr>
                <w:rFonts w:eastAsia="標楷體"/>
                <w:kern w:val="52"/>
                <w:szCs w:val="28"/>
              </w:rPr>
              <w:t xml:space="preserve">onstruction on the collateralized land has commenced; or </w:t>
            </w:r>
          </w:p>
          <w:p w:rsidR="00987D35" w:rsidRPr="00FC3451" w:rsidRDefault="00AE1590" w:rsidP="00AE1590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 w:rsidRPr="00AE1590">
              <w:rPr>
                <w:rFonts w:eastAsia="標楷體"/>
                <w:kern w:val="0"/>
                <w:szCs w:val="28"/>
              </w:rPr>
              <w:t xml:space="preserve">Borrower has submitted a substantive project development plan and a written affidavit stating construction to begin within </w:t>
            </w:r>
            <w:r>
              <w:rPr>
                <w:rFonts w:eastAsia="標楷體"/>
                <w:kern w:val="0"/>
                <w:szCs w:val="28"/>
              </w:rPr>
              <w:t>1</w:t>
            </w:r>
            <w:r w:rsidRPr="00AE1590">
              <w:rPr>
                <w:rFonts w:eastAsia="標楷體"/>
                <w:kern w:val="0"/>
                <w:szCs w:val="28"/>
              </w:rPr>
              <w:t xml:space="preserve"> year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987D35" w:rsidRPr="00FC3451" w:rsidRDefault="00D5186D" w:rsidP="00D5186D">
            <w:pPr>
              <w:adjustRightInd w:val="0"/>
              <w:spacing w:line="400" w:lineRule="exact"/>
              <w:ind w:left="-40"/>
              <w:jc w:val="center"/>
              <w:textAlignment w:val="center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Cs/>
                <w:kern w:val="52"/>
                <w:sz w:val="28"/>
                <w:szCs w:val="28"/>
              </w:rPr>
              <w:t>(</w:t>
            </w:r>
            <w:r>
              <w:rPr>
                <w:rFonts w:eastAsia="標楷體"/>
                <w:bCs/>
                <w:kern w:val="52"/>
                <w:sz w:val="28"/>
                <w:szCs w:val="28"/>
              </w:rPr>
              <w:t>Unchanged)</w:t>
            </w:r>
          </w:p>
        </w:tc>
      </w:tr>
    </w:tbl>
    <w:p w:rsidR="00987D35" w:rsidRDefault="00987D35" w:rsidP="00837D55">
      <w:pPr>
        <w:widowControl/>
        <w:snapToGrid w:val="0"/>
        <w:spacing w:line="360" w:lineRule="exact"/>
        <w:ind w:leftChars="-18" w:left="73" w:rightChars="-195" w:right="-468" w:hangingChars="58" w:hanging="116"/>
        <w:contextualSpacing/>
        <w:jc w:val="both"/>
      </w:pPr>
      <w:r w:rsidRPr="00AE1590">
        <w:rPr>
          <w:rFonts w:eastAsia="標楷體"/>
          <w:color w:val="000000" w:themeColor="text1"/>
          <w:sz w:val="20"/>
        </w:rPr>
        <w:t>*</w:t>
      </w:r>
      <w:r w:rsidR="00AE1590" w:rsidRPr="00AE1590">
        <w:rPr>
          <w:rFonts w:eastAsia="標楷體"/>
          <w:color w:val="000000" w:themeColor="text1"/>
          <w:sz w:val="20"/>
        </w:rPr>
        <w:t xml:space="preserve"> The </w:t>
      </w:r>
      <w:r w:rsidR="00C37F4B" w:rsidRPr="00C16F68">
        <w:rPr>
          <w:color w:val="000000" w:themeColor="text1"/>
          <w:szCs w:val="28"/>
        </w:rPr>
        <w:t>''</w:t>
      </w:r>
      <w:r w:rsidR="00AE1590" w:rsidRPr="00AE1590">
        <w:rPr>
          <w:rFonts w:eastAsia="標楷體"/>
          <w:color w:val="000000" w:themeColor="text1"/>
          <w:sz w:val="20"/>
        </w:rPr>
        <w:t>specific areas</w:t>
      </w:r>
      <w:r w:rsidR="00C37F4B" w:rsidRPr="00C16F68">
        <w:rPr>
          <w:color w:val="000000" w:themeColor="text1"/>
          <w:szCs w:val="28"/>
        </w:rPr>
        <w:t>''</w:t>
      </w:r>
      <w:r w:rsidR="00AE1590" w:rsidRPr="00AE1590">
        <w:rPr>
          <w:rFonts w:eastAsia="標楷體"/>
          <w:color w:val="000000" w:themeColor="text1"/>
          <w:sz w:val="20"/>
        </w:rPr>
        <w:t xml:space="preserve"> prescribed herein include Taipei City, New Taipei City, Taoyuan City, Taichung City, Tainan City, Kaohsiung City, Hsinchu County, and Hsinchu City.</w:t>
      </w:r>
      <w:r w:rsidR="00AE1590" w:rsidRPr="00FC3451">
        <w:rPr>
          <w:rFonts w:eastAsia="標楷體" w:cstheme="minorBidi"/>
          <w:color w:val="000000" w:themeColor="text1"/>
          <w:sz w:val="28"/>
          <w:szCs w:val="28"/>
        </w:rPr>
        <w:t xml:space="preserve"> </w:t>
      </w:r>
    </w:p>
    <w:sectPr w:rsidR="00987D35" w:rsidSect="00981604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E9" w:rsidRDefault="007D23E9" w:rsidP="005B393B">
      <w:r>
        <w:separator/>
      </w:r>
    </w:p>
  </w:endnote>
  <w:endnote w:type="continuationSeparator" w:id="0">
    <w:p w:rsidR="007D23E9" w:rsidRDefault="007D23E9" w:rsidP="005B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E9" w:rsidRDefault="007D23E9" w:rsidP="005B393B">
      <w:r>
        <w:separator/>
      </w:r>
    </w:p>
  </w:footnote>
  <w:footnote w:type="continuationSeparator" w:id="0">
    <w:p w:rsidR="007D23E9" w:rsidRDefault="007D23E9" w:rsidP="005B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37B"/>
    <w:multiLevelType w:val="hybridMultilevel"/>
    <w:tmpl w:val="C9C4DC06"/>
    <w:lvl w:ilvl="0" w:tplc="2534A246">
      <w:start w:val="11"/>
      <w:numFmt w:val="bullet"/>
      <w:lvlText w:val=""/>
      <w:lvlJc w:val="left"/>
      <w:pPr>
        <w:ind w:left="60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CA5453"/>
    <w:multiLevelType w:val="hybridMultilevel"/>
    <w:tmpl w:val="886E738E"/>
    <w:lvl w:ilvl="0" w:tplc="04090001">
      <w:start w:val="1"/>
      <w:numFmt w:val="bullet"/>
      <w:lvlText w:val=""/>
      <w:lvlJc w:val="left"/>
      <w:pPr>
        <w:ind w:left="7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35"/>
    <w:rsid w:val="00007B23"/>
    <w:rsid w:val="000F362D"/>
    <w:rsid w:val="00313455"/>
    <w:rsid w:val="0040342F"/>
    <w:rsid w:val="00432C27"/>
    <w:rsid w:val="0046049D"/>
    <w:rsid w:val="00467BCF"/>
    <w:rsid w:val="005B393B"/>
    <w:rsid w:val="007D23E9"/>
    <w:rsid w:val="007E3BA1"/>
    <w:rsid w:val="00837D55"/>
    <w:rsid w:val="008E262C"/>
    <w:rsid w:val="00981604"/>
    <w:rsid w:val="00987D35"/>
    <w:rsid w:val="00A522D2"/>
    <w:rsid w:val="00A9141C"/>
    <w:rsid w:val="00AE1590"/>
    <w:rsid w:val="00B8418A"/>
    <w:rsid w:val="00C23522"/>
    <w:rsid w:val="00C37F4B"/>
    <w:rsid w:val="00CA6244"/>
    <w:rsid w:val="00D5186D"/>
    <w:rsid w:val="00D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265C2"/>
  <w15:chartTrackingRefBased/>
  <w15:docId w15:val="{0FAC6B63-D45D-4B76-BACC-433B5450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3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39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3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393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0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1180</Characters>
  <Application>Microsoft Office Word</Application>
  <DocSecurity>0</DocSecurity>
  <Lines>9</Lines>
  <Paragraphs>2</Paragraphs>
  <ScaleCrop>false</ScaleCrop>
  <Company>cbc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18</cp:revision>
  <cp:lastPrinted>2024-06-13T08:13:00Z</cp:lastPrinted>
  <dcterms:created xsi:type="dcterms:W3CDTF">2024-06-13T02:24:00Z</dcterms:created>
  <dcterms:modified xsi:type="dcterms:W3CDTF">2024-06-13T08:49:00Z</dcterms:modified>
</cp:coreProperties>
</file>