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ADB" w:rsidRPr="00756969" w:rsidRDefault="00327ADB" w:rsidP="004E2E51">
      <w:pPr>
        <w:pStyle w:val="1"/>
        <w:pBdr>
          <w:bottom w:val="double" w:sz="4" w:space="0" w:color="auto"/>
        </w:pBdr>
        <w:tabs>
          <w:tab w:val="left" w:pos="5040"/>
        </w:tabs>
        <w:spacing w:before="240" w:after="240" w:line="320" w:lineRule="exact"/>
        <w:ind w:rightChars="58" w:right="139"/>
        <w:rPr>
          <w:rFonts w:ascii="Times New Roman" w:eastAsia="華康楷書體W5"/>
          <w:b/>
          <w:bCs/>
          <w:i/>
          <w:iCs/>
          <w:spacing w:val="0"/>
          <w:sz w:val="26"/>
        </w:rPr>
      </w:pPr>
      <w:r>
        <w:rPr>
          <w:rFonts w:ascii="Times New Roman" w:eastAsia="華康楷書體W5" w:hint="eastAsia"/>
          <w:b/>
          <w:bCs/>
          <w:i/>
          <w:iCs/>
          <w:sz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756969">
        <w:rPr>
          <w:rFonts w:ascii="Times New Roman" w:eastAsia="華康楷書體W5"/>
          <w:b/>
          <w:bCs/>
          <w:i/>
          <w:iCs/>
          <w:spacing w:val="0"/>
          <w:sz w:val="26"/>
        </w:rPr>
        <w:t>Condition and Performance of Domestic Banks</w:t>
      </w:r>
    </w:p>
    <w:p w:rsidR="005B0781" w:rsidRDefault="00D617C5" w:rsidP="005B0781">
      <w:pPr>
        <w:pStyle w:val="8"/>
        <w:spacing w:beforeLines="150" w:before="360" w:after="360" w:line="320" w:lineRule="exact"/>
        <w:rPr>
          <w:b/>
          <w:bCs/>
          <w:i/>
          <w:iCs/>
          <w:sz w:val="26"/>
          <w:szCs w:val="26"/>
        </w:rPr>
      </w:pPr>
      <w:r>
        <w:rPr>
          <w:rFonts w:ascii="Times New Roman"/>
          <w:b/>
          <w:i/>
          <w:iCs/>
          <w:szCs w:val="28"/>
        </w:rPr>
        <w:t>Fourth</w:t>
      </w:r>
      <w:r w:rsidR="005B0781">
        <w:rPr>
          <w:rFonts w:ascii="Times New Roman" w:hint="eastAsia"/>
          <w:b/>
          <w:i/>
          <w:iCs/>
          <w:szCs w:val="28"/>
        </w:rPr>
        <w:t xml:space="preserve"> </w:t>
      </w:r>
      <w:r w:rsidR="005B0781" w:rsidRPr="00F77D73">
        <w:rPr>
          <w:rFonts w:ascii="Times New Roman"/>
          <w:b/>
          <w:i/>
          <w:iCs/>
          <w:szCs w:val="28"/>
        </w:rPr>
        <w:t>Quarter 20</w:t>
      </w:r>
      <w:r w:rsidR="005B0781">
        <w:rPr>
          <w:rFonts w:ascii="Times New Roman"/>
          <w:b/>
          <w:i/>
          <w:iCs/>
          <w:szCs w:val="28"/>
        </w:rPr>
        <w:t>20</w:t>
      </w:r>
    </w:p>
    <w:p w:rsidR="005B0781" w:rsidRPr="00DD6A40" w:rsidRDefault="005B0781" w:rsidP="00B86270">
      <w:pPr>
        <w:pStyle w:val="41"/>
        <w:numPr>
          <w:ilvl w:val="0"/>
          <w:numId w:val="12"/>
        </w:numPr>
        <w:tabs>
          <w:tab w:val="clear" w:pos="480"/>
        </w:tabs>
        <w:topLinePunct/>
        <w:spacing w:after="200" w:line="320" w:lineRule="exact"/>
        <w:ind w:left="0" w:firstLine="0"/>
        <w:jc w:val="both"/>
        <w:rPr>
          <w:b/>
          <w:bCs/>
          <w:i/>
          <w:iCs/>
          <w:sz w:val="26"/>
          <w:szCs w:val="26"/>
        </w:rPr>
      </w:pPr>
      <w:r w:rsidRPr="00DD6A40">
        <w:rPr>
          <w:b/>
          <w:bCs/>
          <w:i/>
          <w:iCs/>
          <w:sz w:val="26"/>
          <w:szCs w:val="26"/>
        </w:rPr>
        <w:t>Summary</w:t>
      </w:r>
      <w:r w:rsidRPr="00DD6A40">
        <w:rPr>
          <w:rFonts w:hint="eastAsia"/>
          <w:b/>
          <w:bCs/>
          <w:i/>
          <w:iCs/>
          <w:sz w:val="26"/>
          <w:szCs w:val="26"/>
        </w:rPr>
        <w:t xml:space="preserve"> </w:t>
      </w:r>
      <w:r w:rsidRPr="00DD6A40">
        <w:rPr>
          <w:b/>
          <w:bCs/>
          <w:i/>
          <w:iCs/>
          <w:sz w:val="26"/>
          <w:szCs w:val="26"/>
        </w:rPr>
        <w:t>of</w:t>
      </w:r>
      <w:r w:rsidRPr="00DD6A40">
        <w:rPr>
          <w:rFonts w:hint="eastAsia"/>
          <w:b/>
          <w:bCs/>
          <w:i/>
          <w:iCs/>
          <w:sz w:val="26"/>
          <w:szCs w:val="26"/>
        </w:rPr>
        <w:t xml:space="preserve"> c</w:t>
      </w:r>
      <w:r w:rsidRPr="00DD6A40">
        <w:rPr>
          <w:b/>
          <w:bCs/>
          <w:i/>
          <w:iCs/>
          <w:sz w:val="26"/>
          <w:szCs w:val="26"/>
        </w:rPr>
        <w:t xml:space="preserve">ondition and </w:t>
      </w:r>
      <w:r w:rsidRPr="00DD6A40">
        <w:rPr>
          <w:rFonts w:hint="eastAsia"/>
          <w:b/>
          <w:bCs/>
          <w:i/>
          <w:iCs/>
          <w:sz w:val="26"/>
          <w:szCs w:val="26"/>
        </w:rPr>
        <w:t>p</w:t>
      </w:r>
      <w:r w:rsidRPr="00DD6A40">
        <w:rPr>
          <w:b/>
          <w:bCs/>
          <w:i/>
          <w:iCs/>
          <w:sz w:val="26"/>
          <w:szCs w:val="26"/>
        </w:rPr>
        <w:t>erformance</w:t>
      </w:r>
    </w:p>
    <w:p w:rsidR="002C56FD" w:rsidRPr="00D14418" w:rsidRDefault="005B0781" w:rsidP="002C56FD">
      <w:pPr>
        <w:pStyle w:val="10"/>
        <w:topLinePunct/>
        <w:spacing w:beforeLines="50" w:before="120" w:afterLines="0" w:after="0" w:line="360" w:lineRule="exact"/>
        <w:ind w:rightChars="58" w:right="139" w:firstLineChars="0" w:firstLine="0"/>
      </w:pPr>
      <w:r w:rsidRPr="00A7791A">
        <w:rPr>
          <w:rFonts w:hint="eastAsia"/>
        </w:rPr>
        <w:t>As of end-</w:t>
      </w:r>
      <w:r w:rsidR="00CE78AC">
        <w:rPr>
          <w:rFonts w:hint="eastAsia"/>
        </w:rPr>
        <w:t>December</w:t>
      </w:r>
      <w:r w:rsidRPr="00A7791A">
        <w:rPr>
          <w:rFonts w:hint="eastAsia"/>
        </w:rPr>
        <w:t xml:space="preserve"> 2020, there w</w:t>
      </w:r>
      <w:bookmarkStart w:id="0" w:name="_GoBack"/>
      <w:bookmarkEnd w:id="0"/>
      <w:r w:rsidRPr="00A7791A">
        <w:rPr>
          <w:rFonts w:hint="eastAsia"/>
        </w:rPr>
        <w:t>ere 3</w:t>
      </w:r>
      <w:r w:rsidR="00CE78AC">
        <w:t>8</w:t>
      </w:r>
      <w:r w:rsidRPr="00A7791A">
        <w:rPr>
          <w:rFonts w:hint="eastAsia"/>
        </w:rPr>
        <w:t xml:space="preserve"> domestic banks</w:t>
      </w:r>
      <w:r w:rsidR="00BD5519">
        <w:t xml:space="preserve"> </w:t>
      </w:r>
      <w:r w:rsidRPr="00A7791A">
        <w:rPr>
          <w:rFonts w:hint="eastAsia"/>
        </w:rPr>
        <w:t>with 3,</w:t>
      </w:r>
      <w:r w:rsidR="004953F0" w:rsidRPr="00A7791A">
        <w:t>55</w:t>
      </w:r>
      <w:r w:rsidR="00CE78AC">
        <w:t>5</w:t>
      </w:r>
      <w:r w:rsidRPr="00A7791A">
        <w:rPr>
          <w:rFonts w:hint="eastAsia"/>
        </w:rPr>
        <w:t xml:space="preserve"> branches</w:t>
      </w:r>
      <w:r w:rsidR="002D3BE8" w:rsidRPr="00A7791A">
        <w:t xml:space="preserve"> </w:t>
      </w:r>
      <w:r w:rsidR="00A7791A" w:rsidRPr="00A7791A">
        <w:t>(3,40</w:t>
      </w:r>
      <w:r w:rsidR="00CE78AC">
        <w:t>9</w:t>
      </w:r>
      <w:r w:rsidR="00266B1D" w:rsidRPr="00A7791A">
        <w:t xml:space="preserve"> domestic branches and 146 overseas branches) </w:t>
      </w:r>
      <w:r w:rsidRPr="00A7791A">
        <w:rPr>
          <w:rFonts w:hint="eastAsia"/>
        </w:rPr>
        <w:t>and 36 off-shore banking units.</w:t>
      </w:r>
      <w:r w:rsidR="00D13CB2" w:rsidRPr="00D13CB2">
        <w:t xml:space="preserve"> </w:t>
      </w:r>
      <w:r w:rsidR="00D13CB2">
        <w:t xml:space="preserve">One new </w:t>
      </w:r>
      <w:r w:rsidR="00EB7B8F">
        <w:t>i</w:t>
      </w:r>
      <w:r w:rsidR="00D13CB2">
        <w:t xml:space="preserve">nternet-only bank was added, which commenced operations </w:t>
      </w:r>
      <w:r w:rsidR="00D13CB2" w:rsidRPr="00BD5519">
        <w:t>on December 30, 2020</w:t>
      </w:r>
      <w:r w:rsidR="00D61D45">
        <w:t>.</w:t>
      </w:r>
      <w:r w:rsidR="00CE7F63">
        <w:t xml:space="preserve"> </w:t>
      </w:r>
      <w:r w:rsidR="005659D3" w:rsidRPr="00A7791A">
        <w:t xml:space="preserve">Owing to the growth in </w:t>
      </w:r>
      <w:r w:rsidR="00A7791A">
        <w:t>investment</w:t>
      </w:r>
      <w:r w:rsidR="005659D3" w:rsidRPr="00A7791A">
        <w:t>s, the t</w:t>
      </w:r>
      <w:r w:rsidR="002C56FD" w:rsidRPr="00A7791A">
        <w:t xml:space="preserve">otal </w:t>
      </w:r>
      <w:r w:rsidR="00B33CB6" w:rsidRPr="00A7791A">
        <w:t xml:space="preserve">assets </w:t>
      </w:r>
      <w:r w:rsidR="005659D3" w:rsidRPr="00A7791A">
        <w:t xml:space="preserve">continually expanded in </w:t>
      </w:r>
      <w:r w:rsidR="00893042">
        <w:t xml:space="preserve">the </w:t>
      </w:r>
      <w:r w:rsidR="00CE78AC">
        <w:t>fourth</w:t>
      </w:r>
      <w:r w:rsidR="00893042">
        <w:t xml:space="preserve"> quarter</w:t>
      </w:r>
      <w:r w:rsidR="005659D3" w:rsidRPr="00A7791A">
        <w:t>.</w:t>
      </w:r>
      <w:r w:rsidR="002C56FD" w:rsidRPr="00A7791A">
        <w:t xml:space="preserve"> </w:t>
      </w:r>
      <w:r w:rsidR="001A3208">
        <w:t>A</w:t>
      </w:r>
      <w:r w:rsidR="002C56FD" w:rsidRPr="00A7791A">
        <w:rPr>
          <w:rFonts w:hint="eastAsia"/>
        </w:rPr>
        <w:t xml:space="preserve">sset quality </w:t>
      </w:r>
      <w:r w:rsidR="005659D3" w:rsidRPr="00A7791A">
        <w:t xml:space="preserve">showed </w:t>
      </w:r>
      <w:r w:rsidR="00D72A0A">
        <w:t>mild</w:t>
      </w:r>
      <w:r w:rsidR="00893042">
        <w:t>ly</w:t>
      </w:r>
      <w:r w:rsidR="005659D3" w:rsidRPr="00A7791A">
        <w:t xml:space="preserve"> </w:t>
      </w:r>
      <w:r w:rsidR="00E56ED2">
        <w:t>i</w:t>
      </w:r>
      <w:r w:rsidR="00893042">
        <w:t>mproved</w:t>
      </w:r>
      <w:r w:rsidR="00117F1E">
        <w:t xml:space="preserve"> and</w:t>
      </w:r>
      <w:r w:rsidR="002C56FD" w:rsidRPr="00A7791A">
        <w:t xml:space="preserve"> loan loss</w:t>
      </w:r>
      <w:r w:rsidR="002C56FD" w:rsidRPr="00A7791A">
        <w:rPr>
          <w:rFonts w:hint="eastAsia"/>
        </w:rPr>
        <w:t xml:space="preserve"> provisions were sufficient to cover potential losses</w:t>
      </w:r>
      <w:r w:rsidR="002D3BE8" w:rsidRPr="00A7791A">
        <w:t>.</w:t>
      </w:r>
      <w:r w:rsidR="002C56FD" w:rsidRPr="00A7791A">
        <w:rPr>
          <w:rFonts w:hint="eastAsia"/>
        </w:rPr>
        <w:t xml:space="preserve"> </w:t>
      </w:r>
      <w:r w:rsidR="002D3BE8" w:rsidRPr="00A7791A">
        <w:t>L</w:t>
      </w:r>
      <w:r w:rsidR="002C56FD" w:rsidRPr="00A7791A">
        <w:rPr>
          <w:rFonts w:hint="eastAsia"/>
        </w:rPr>
        <w:t xml:space="preserve">iquidity kept ample with the liquidity </w:t>
      </w:r>
      <w:r w:rsidR="002C56FD" w:rsidRPr="00A7791A">
        <w:t xml:space="preserve">related </w:t>
      </w:r>
      <w:r w:rsidR="002C56FD" w:rsidRPr="00A7791A">
        <w:rPr>
          <w:rFonts w:hint="eastAsia"/>
        </w:rPr>
        <w:t>ratio</w:t>
      </w:r>
      <w:r w:rsidR="002C56FD" w:rsidRPr="00A7791A">
        <w:t>s</w:t>
      </w:r>
      <w:r w:rsidR="002C56FD" w:rsidRPr="00A7791A">
        <w:rPr>
          <w:rFonts w:hint="eastAsia"/>
        </w:rPr>
        <w:t xml:space="preserve"> well above the </w:t>
      </w:r>
      <w:r w:rsidR="002C56FD" w:rsidRPr="00A7791A">
        <w:t>regulatory</w:t>
      </w:r>
      <w:r w:rsidR="002C56FD" w:rsidRPr="00A7791A">
        <w:rPr>
          <w:rFonts w:hint="eastAsia"/>
        </w:rPr>
        <w:t xml:space="preserve"> requirement</w:t>
      </w:r>
      <w:r w:rsidR="00CB51B9" w:rsidRPr="00A7791A">
        <w:t>s</w:t>
      </w:r>
      <w:r w:rsidR="002C56FD" w:rsidRPr="00A7791A">
        <w:rPr>
          <w:rFonts w:hint="eastAsia"/>
        </w:rPr>
        <w:t>. The profitability o</w:t>
      </w:r>
      <w:r w:rsidR="00B21D10" w:rsidRPr="00A7791A">
        <w:t>f</w:t>
      </w:r>
      <w:r w:rsidR="002C56FD" w:rsidRPr="00A7791A">
        <w:rPr>
          <w:rFonts w:hint="eastAsia"/>
        </w:rPr>
        <w:t xml:space="preserve"> domestic banks </w:t>
      </w:r>
      <w:r w:rsidR="00837EB4">
        <w:t>declin</w:t>
      </w:r>
      <w:r w:rsidR="002C56FD" w:rsidRPr="00A7791A">
        <w:t>ed</w:t>
      </w:r>
      <w:r w:rsidR="002C56FD" w:rsidRPr="00A7791A">
        <w:rPr>
          <w:rFonts w:hint="eastAsia"/>
        </w:rPr>
        <w:t xml:space="preserve"> </w:t>
      </w:r>
      <w:r w:rsidR="00B21D10" w:rsidRPr="00A7791A">
        <w:t>in</w:t>
      </w:r>
      <w:r w:rsidR="002C56FD" w:rsidRPr="00A7791A">
        <w:rPr>
          <w:rFonts w:hint="eastAsia"/>
        </w:rPr>
        <w:t xml:space="preserve"> 2020</w:t>
      </w:r>
      <w:r w:rsidR="00031692" w:rsidRPr="00A7791A">
        <w:t>,</w:t>
      </w:r>
      <w:r w:rsidR="002D3BE8" w:rsidRPr="00A7791A">
        <w:t xml:space="preserve"> compared to that of the previous year</w:t>
      </w:r>
      <w:r w:rsidR="002C56FD" w:rsidRPr="00A7791A">
        <w:t xml:space="preserve">. </w:t>
      </w:r>
      <w:r w:rsidR="002D3BE8" w:rsidRPr="00A7791A">
        <w:t>Nevertheless</w:t>
      </w:r>
      <w:r w:rsidR="00031692" w:rsidRPr="00A7791A">
        <w:t>,</w:t>
      </w:r>
      <w:r w:rsidR="002D3BE8" w:rsidRPr="00A7791A">
        <w:t xml:space="preserve"> t</w:t>
      </w:r>
      <w:r w:rsidR="002C56FD" w:rsidRPr="00A7791A">
        <w:rPr>
          <w:rFonts w:hint="eastAsia"/>
        </w:rPr>
        <w:t xml:space="preserve">he average capital adequacy ratio </w:t>
      </w:r>
      <w:r w:rsidR="002C56FD" w:rsidRPr="00A7791A">
        <w:t xml:space="preserve">of </w:t>
      </w:r>
      <w:r w:rsidR="002C56FD" w:rsidRPr="00A7791A">
        <w:rPr>
          <w:rFonts w:hint="eastAsia"/>
        </w:rPr>
        <w:t xml:space="preserve">domestic banks was well above the regulatory </w:t>
      </w:r>
      <w:r w:rsidR="002C56FD" w:rsidRPr="00A7791A">
        <w:t>requirement</w:t>
      </w:r>
      <w:r w:rsidR="002C56FD" w:rsidRPr="00A7791A">
        <w:rPr>
          <w:rFonts w:hint="eastAsia"/>
        </w:rPr>
        <w:t xml:space="preserve"> of 10.5%, </w:t>
      </w:r>
      <w:r w:rsidR="00B21D10" w:rsidRPr="00A7791A">
        <w:t xml:space="preserve">indicating </w:t>
      </w:r>
      <w:r w:rsidR="002C56FD" w:rsidRPr="00A7791A">
        <w:rPr>
          <w:rFonts w:hint="eastAsia"/>
        </w:rPr>
        <w:t>that capital adequacy kept satisfactory</w:t>
      </w:r>
      <w:r w:rsidR="002C56FD" w:rsidRPr="00D14418">
        <w:rPr>
          <w:rFonts w:hint="eastAsia"/>
        </w:rPr>
        <w:t>.</w:t>
      </w:r>
    </w:p>
    <w:p w:rsidR="005B0781" w:rsidRPr="00C21AC7" w:rsidRDefault="005B0781" w:rsidP="00B86270">
      <w:pPr>
        <w:pStyle w:val="41"/>
        <w:numPr>
          <w:ilvl w:val="0"/>
          <w:numId w:val="12"/>
        </w:numPr>
        <w:tabs>
          <w:tab w:val="clear" w:pos="480"/>
        </w:tabs>
        <w:topLinePunct/>
        <w:spacing w:before="360" w:after="200" w:line="320" w:lineRule="exact"/>
        <w:ind w:left="0" w:right="45" w:firstLine="0"/>
        <w:jc w:val="both"/>
        <w:rPr>
          <w:b/>
          <w:bCs/>
          <w:sz w:val="26"/>
          <w:szCs w:val="26"/>
        </w:rPr>
      </w:pPr>
      <w:r w:rsidRPr="00C21AC7">
        <w:rPr>
          <w:rFonts w:hint="eastAsia"/>
          <w:b/>
          <w:bCs/>
          <w:sz w:val="26"/>
          <w:szCs w:val="26"/>
        </w:rPr>
        <w:t>Key trend</w:t>
      </w:r>
      <w:r w:rsidR="00D72A0A">
        <w:rPr>
          <w:rStyle w:val="affb"/>
          <w:b/>
          <w:bCs/>
          <w:sz w:val="26"/>
          <w:szCs w:val="26"/>
        </w:rPr>
        <w:footnoteReference w:id="1"/>
      </w:r>
    </w:p>
    <w:p w:rsidR="00327ADB" w:rsidRPr="002372BA" w:rsidRDefault="00B80447" w:rsidP="00A12856">
      <w:pPr>
        <w:pStyle w:val="Web"/>
        <w:spacing w:before="240" w:after="240" w:line="320" w:lineRule="exact"/>
        <w:jc w:val="both"/>
        <w:rPr>
          <w:color w:val="17365D"/>
          <w:sz w:val="20"/>
          <w:szCs w:val="20"/>
        </w:rPr>
      </w:pPr>
      <w:r w:rsidRPr="000F206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column">
                  <wp:posOffset>3703955</wp:posOffset>
                </wp:positionH>
                <wp:positionV relativeFrom="page">
                  <wp:posOffset>4937760</wp:posOffset>
                </wp:positionV>
                <wp:extent cx="2707640" cy="2159635"/>
                <wp:effectExtent l="0" t="0" r="0" b="0"/>
                <wp:wrapTight wrapText="bothSides">
                  <wp:wrapPolygon edited="0">
                    <wp:start x="0" y="0"/>
                    <wp:lineTo x="0" y="21340"/>
                    <wp:lineTo x="21428" y="21340"/>
                    <wp:lineTo x="21428" y="0"/>
                    <wp:lineTo x="0" y="0"/>
                  </wp:wrapPolygon>
                </wp:wrapTight>
                <wp:docPr id="13" name="Text Box 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7640" cy="2159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ADB" w:rsidRDefault="00327ADB">
                            <w:pPr>
                              <w:spacing w:line="160" w:lineRule="exact"/>
                              <w:jc w:val="both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 xml:space="preserve">Chart </w:t>
                            </w:r>
                            <w:r w:rsidR="00AB3488">
                              <w:rPr>
                                <w:sz w:val="12"/>
                                <w:szCs w:val="12"/>
                              </w:rPr>
                              <w:t>1</w:t>
                            </w:r>
                          </w:p>
                          <w:p w:rsidR="00327ADB" w:rsidRDefault="00327ADB" w:rsidP="00846E2F">
                            <w:pPr>
                              <w:spacing w:line="200" w:lineRule="exact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6"/>
                                <w:szCs w:val="16"/>
                              </w:rPr>
                              <w:t>Loans</w:t>
                            </w:r>
                          </w:p>
                          <w:p w:rsidR="00327ADB" w:rsidRDefault="00CE74AF">
                            <w:pPr>
                              <w:spacing w:line="240" w:lineRule="atLeast"/>
                              <w:jc w:val="both"/>
                            </w:pPr>
                            <w:r w:rsidRPr="00CE74AF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524760" cy="1700706"/>
                                  <wp:effectExtent l="0" t="0" r="8890" b="0"/>
                                  <wp:docPr id="1" name="圖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24760" cy="170070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27ADB" w:rsidRDefault="00327ADB" w:rsidP="006A50FE">
                            <w:pPr>
                              <w:spacing w:line="200" w:lineRule="atLeast"/>
                              <w:jc w:val="both"/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Note: Data are on a quarterly basis</w:t>
                            </w:r>
                            <w:r w:rsidRPr="00D2222A">
                              <w:rPr>
                                <w:rFonts w:hint="eastAsia"/>
                                <w:bCs/>
                                <w:sz w:val="12"/>
                                <w:szCs w:val="1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72" o:spid="_x0000_s1026" type="#_x0000_t202" style="position:absolute;left:0;text-align:left;margin-left:291.65pt;margin-top:388.8pt;width:213.2pt;height:170.05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ICthQIAABM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" stroked="f">
                <v:textbox>
                  <w:txbxContent>
                    <w:p w:rsidR="00327ADB" w:rsidRDefault="00327ADB">
                      <w:pPr>
                        <w:spacing w:line="160" w:lineRule="exact"/>
                        <w:jc w:val="both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rFonts w:hint="eastAsia"/>
                          <w:sz w:val="12"/>
                          <w:szCs w:val="12"/>
                        </w:rPr>
                        <w:t xml:space="preserve">Chart </w:t>
                      </w:r>
                      <w:r w:rsidR="00AB3488">
                        <w:rPr>
                          <w:sz w:val="12"/>
                          <w:szCs w:val="12"/>
                        </w:rPr>
                        <w:t>1</w:t>
                      </w:r>
                    </w:p>
                    <w:p w:rsidR="00327ADB" w:rsidRDefault="00327ADB" w:rsidP="00846E2F">
                      <w:pPr>
                        <w:spacing w:line="200" w:lineRule="exact"/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6"/>
                          <w:szCs w:val="16"/>
                        </w:rPr>
                        <w:t>Loans</w:t>
                      </w:r>
                    </w:p>
                    <w:p w:rsidR="00327ADB" w:rsidRDefault="00CE74AF">
                      <w:pPr>
                        <w:spacing w:line="240" w:lineRule="atLeast"/>
                        <w:jc w:val="both"/>
                      </w:pPr>
                      <w:r w:rsidRPr="00CE74AF">
                        <w:drawing>
                          <wp:inline distT="0" distB="0" distL="0" distR="0">
                            <wp:extent cx="2524760" cy="1700706"/>
                            <wp:effectExtent l="0" t="0" r="8890" b="0"/>
                            <wp:docPr id="1" name="圖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24760" cy="170070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27ADB" w:rsidRDefault="00327ADB" w:rsidP="006A50FE">
                      <w:pPr>
                        <w:spacing w:line="200" w:lineRule="atLeast"/>
                        <w:jc w:val="both"/>
                        <w:rPr>
                          <w:b/>
                          <w:bCs/>
                          <w:sz w:val="12"/>
                          <w:szCs w:val="12"/>
                        </w:rPr>
                      </w:pPr>
                      <w:r>
                        <w:rPr>
                          <w:rFonts w:hint="eastAsia"/>
                          <w:sz w:val="12"/>
                          <w:szCs w:val="12"/>
                        </w:rPr>
                        <w:t>Note: Data are on a quarterly basis</w:t>
                      </w:r>
                      <w:r w:rsidRPr="00D2222A">
                        <w:rPr>
                          <w:rFonts w:hint="eastAsia"/>
                          <w:bCs/>
                          <w:sz w:val="12"/>
                          <w:szCs w:val="12"/>
                        </w:rPr>
                        <w:t>.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  <w:r w:rsidR="002C56FD" w:rsidRPr="002372BA">
        <w:rPr>
          <w:b/>
          <w:bCs/>
          <w:i/>
          <w:iCs/>
          <w:sz w:val="20"/>
          <w:szCs w:val="20"/>
        </w:rPr>
        <w:t>Total asset</w:t>
      </w:r>
      <w:r w:rsidR="002372BA" w:rsidRPr="002372BA">
        <w:rPr>
          <w:b/>
          <w:bCs/>
          <w:i/>
          <w:iCs/>
          <w:sz w:val="20"/>
          <w:szCs w:val="20"/>
        </w:rPr>
        <w:t>s</w:t>
      </w:r>
      <w:r w:rsidR="002C56FD" w:rsidRPr="002372BA">
        <w:rPr>
          <w:rFonts w:hint="eastAsia"/>
          <w:b/>
          <w:bCs/>
          <w:i/>
          <w:iCs/>
          <w:sz w:val="20"/>
          <w:szCs w:val="20"/>
        </w:rPr>
        <w:t xml:space="preserve"> </w:t>
      </w:r>
      <w:r w:rsidR="005659D3">
        <w:rPr>
          <w:b/>
          <w:bCs/>
          <w:i/>
          <w:iCs/>
          <w:sz w:val="20"/>
          <w:szCs w:val="20"/>
        </w:rPr>
        <w:t>continued to expand</w:t>
      </w:r>
    </w:p>
    <w:p w:rsidR="002C56FD" w:rsidRPr="000F2067" w:rsidRDefault="00CF7D96" w:rsidP="00A12856">
      <w:pPr>
        <w:pStyle w:val="10"/>
        <w:topLinePunct/>
        <w:spacing w:beforeLines="50" w:before="120" w:afterLines="0" w:after="0" w:line="360" w:lineRule="exact"/>
        <w:ind w:rightChars="58" w:right="139" w:firstLineChars="0" w:firstLine="0"/>
      </w:pPr>
      <w:r w:rsidRPr="000F2067">
        <w:t>D</w:t>
      </w:r>
      <w:r w:rsidR="002C56FD" w:rsidRPr="000F2067">
        <w:t>omestic banks reported total asset</w:t>
      </w:r>
      <w:r w:rsidR="007649A8" w:rsidRPr="000F2067">
        <w:t>s</w:t>
      </w:r>
      <w:r w:rsidR="002C56FD" w:rsidRPr="000F2067">
        <w:t xml:space="preserve"> of NT</w:t>
      </w:r>
      <w:r w:rsidR="007649A8" w:rsidRPr="000F2067">
        <w:t>$</w:t>
      </w:r>
      <w:r w:rsidR="002C56FD" w:rsidRPr="000F2067">
        <w:t>5</w:t>
      </w:r>
      <w:r w:rsidR="00D81F2E">
        <w:t>6</w:t>
      </w:r>
      <w:r w:rsidR="002C56FD" w:rsidRPr="000F2067">
        <w:t>.</w:t>
      </w:r>
      <w:r w:rsidR="00D81F2E">
        <w:t>4</w:t>
      </w:r>
      <w:r w:rsidR="00D43EC8">
        <w:t>0</w:t>
      </w:r>
      <w:r w:rsidR="002C56FD" w:rsidRPr="000F2067">
        <w:t xml:space="preserve"> trillion </w:t>
      </w:r>
      <w:r w:rsidRPr="000F2067">
        <w:t>as of end-</w:t>
      </w:r>
      <w:r w:rsidR="00CE78AC">
        <w:t>December</w:t>
      </w:r>
      <w:r w:rsidRPr="000F2067">
        <w:t xml:space="preserve"> 2020</w:t>
      </w:r>
      <w:r w:rsidR="002C56FD" w:rsidRPr="000F2067">
        <w:t xml:space="preserve">, an </w:t>
      </w:r>
      <w:r w:rsidR="00E56ED2">
        <w:t>inc</w:t>
      </w:r>
      <w:r w:rsidR="00717A2D">
        <w:t>rease</w:t>
      </w:r>
      <w:r w:rsidR="002C56FD" w:rsidRPr="000F2067">
        <w:t xml:space="preserve"> of NT</w:t>
      </w:r>
      <w:r w:rsidR="005659D3" w:rsidRPr="000F2067">
        <w:t>$</w:t>
      </w:r>
      <w:r w:rsidR="00717A2D">
        <w:t>1</w:t>
      </w:r>
      <w:r w:rsidR="002C56FD" w:rsidRPr="000F2067">
        <w:t>.</w:t>
      </w:r>
      <w:r w:rsidR="009231DC">
        <w:t>7</w:t>
      </w:r>
      <w:r w:rsidR="00D43EC8">
        <w:t>4</w:t>
      </w:r>
      <w:r w:rsidR="002C56FD" w:rsidRPr="000F2067">
        <w:t xml:space="preserve"> </w:t>
      </w:r>
      <w:r w:rsidR="009231DC" w:rsidRPr="000F2067">
        <w:t xml:space="preserve">trillion </w:t>
      </w:r>
      <w:r w:rsidR="002C56FD" w:rsidRPr="000F2067">
        <w:t xml:space="preserve">or </w:t>
      </w:r>
      <w:r w:rsidR="009231DC">
        <w:t>3</w:t>
      </w:r>
      <w:r w:rsidR="002C56FD" w:rsidRPr="000F2067">
        <w:t>.</w:t>
      </w:r>
      <w:r w:rsidR="009231DC">
        <w:t>1</w:t>
      </w:r>
      <w:r w:rsidR="00D43EC8">
        <w:t>7</w:t>
      </w:r>
      <w:r w:rsidR="002C56FD" w:rsidRPr="000F2067">
        <w:t xml:space="preserve">% from </w:t>
      </w:r>
      <w:r w:rsidRPr="000F2067">
        <w:t>the previous quarter</w:t>
      </w:r>
      <w:r w:rsidR="002C56FD" w:rsidRPr="000F2067">
        <w:t xml:space="preserve">, </w:t>
      </w:r>
      <w:r w:rsidR="005659D3" w:rsidRPr="000F2067">
        <w:t xml:space="preserve">mainly </w:t>
      </w:r>
      <w:r w:rsidR="002C56FD" w:rsidRPr="000F2067">
        <w:t xml:space="preserve">due to </w:t>
      </w:r>
      <w:r w:rsidR="005659D3" w:rsidRPr="000F2067">
        <w:t xml:space="preserve">continuous growth </w:t>
      </w:r>
      <w:r w:rsidR="002C56FD" w:rsidRPr="000F2067">
        <w:t xml:space="preserve">in </w:t>
      </w:r>
      <w:r w:rsidR="00255A9E">
        <w:t>investments</w:t>
      </w:r>
      <w:r w:rsidR="002C56FD" w:rsidRPr="000F2067">
        <w:t>.</w:t>
      </w:r>
      <w:r w:rsidR="00C3741F" w:rsidRPr="000F2067">
        <w:t xml:space="preserve"> The top three banks in terms of assets were Bank of Taiwan, Taiwan Cooperative Bank and CTBC Bank.</w:t>
      </w:r>
      <w:r w:rsidR="002C56FD" w:rsidRPr="000F2067">
        <w:t xml:space="preserve"> </w:t>
      </w:r>
      <w:r w:rsidR="005C7700" w:rsidRPr="000F2067">
        <w:t>Total equity of domestic bank</w:t>
      </w:r>
      <w:r w:rsidR="00B21D10" w:rsidRPr="000F2067">
        <w:t>s</w:t>
      </w:r>
      <w:r w:rsidR="005C7700" w:rsidRPr="000F2067">
        <w:t xml:space="preserve"> amounted to </w:t>
      </w:r>
      <w:r w:rsidRPr="000F2067">
        <w:t>NT$</w:t>
      </w:r>
      <w:r w:rsidR="005C7700" w:rsidRPr="000F2067">
        <w:t>4.</w:t>
      </w:r>
      <w:r w:rsidR="00331EB4">
        <w:t>1</w:t>
      </w:r>
      <w:r w:rsidR="00D43EC8">
        <w:t>6</w:t>
      </w:r>
      <w:r w:rsidR="005C7700" w:rsidRPr="000F2067">
        <w:t xml:space="preserve"> trillion </w:t>
      </w:r>
      <w:r w:rsidRPr="000F2067">
        <w:t>as of end-</w:t>
      </w:r>
      <w:r w:rsidR="00CE78AC">
        <w:t>December</w:t>
      </w:r>
      <w:r w:rsidR="005C7700" w:rsidRPr="000F2067">
        <w:t xml:space="preserve">, </w:t>
      </w:r>
      <w:r w:rsidR="00F26DE1" w:rsidRPr="000F2067">
        <w:t xml:space="preserve">with a </w:t>
      </w:r>
      <w:r w:rsidR="00717A2D">
        <w:t>rise</w:t>
      </w:r>
      <w:r w:rsidR="00F26DE1" w:rsidRPr="000F2067">
        <w:t xml:space="preserve"> of NT$</w:t>
      </w:r>
      <w:r w:rsidR="00D43EC8">
        <w:t>8</w:t>
      </w:r>
      <w:r w:rsidR="00717A2D">
        <w:t>5</w:t>
      </w:r>
      <w:r w:rsidR="00F26DE1" w:rsidRPr="000F2067">
        <w:t>.</w:t>
      </w:r>
      <w:r w:rsidR="00D43EC8">
        <w:t>52</w:t>
      </w:r>
      <w:r w:rsidR="00C86C48" w:rsidRPr="000F2067">
        <w:t xml:space="preserve"> billion or</w:t>
      </w:r>
      <w:r w:rsidR="005C7700" w:rsidRPr="000F2067">
        <w:t xml:space="preserve"> </w:t>
      </w:r>
      <w:r w:rsidR="00331EB4">
        <w:t>2</w:t>
      </w:r>
      <w:r w:rsidR="005C7700" w:rsidRPr="000F2067">
        <w:t>.</w:t>
      </w:r>
      <w:r w:rsidR="00D43EC8">
        <w:t>10</w:t>
      </w:r>
      <w:r w:rsidR="005C7700" w:rsidRPr="000F2067">
        <w:t xml:space="preserve">% compared to </w:t>
      </w:r>
      <w:r w:rsidRPr="000F2067">
        <w:t xml:space="preserve">the </w:t>
      </w:r>
      <w:r w:rsidR="005C7700" w:rsidRPr="000F2067">
        <w:t>previous quarter</w:t>
      </w:r>
      <w:r w:rsidR="005659D3" w:rsidRPr="000F2067">
        <w:t>.</w:t>
      </w:r>
      <w:r w:rsidR="00164C0C" w:rsidRPr="000F2067">
        <w:t xml:space="preserve"> </w:t>
      </w:r>
    </w:p>
    <w:p w:rsidR="00EA3642" w:rsidRPr="002372BA" w:rsidRDefault="00B80447" w:rsidP="00705D43">
      <w:pPr>
        <w:pStyle w:val="Web"/>
        <w:spacing w:before="240" w:after="240" w:line="360" w:lineRule="exact"/>
        <w:jc w:val="both"/>
        <w:rPr>
          <w:b/>
          <w:bCs/>
          <w:i/>
          <w:iCs/>
          <w:sz w:val="20"/>
          <w:szCs w:val="20"/>
        </w:rPr>
      </w:pPr>
      <w:r w:rsidRPr="00882A8B">
        <w:rPr>
          <w:rFonts w:hint="eastAsia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column">
                  <wp:posOffset>3701415</wp:posOffset>
                </wp:positionH>
                <wp:positionV relativeFrom="page">
                  <wp:posOffset>7093585</wp:posOffset>
                </wp:positionV>
                <wp:extent cx="2735580" cy="2189480"/>
                <wp:effectExtent l="0" t="0" r="7620" b="1270"/>
                <wp:wrapTight wrapText="bothSides">
                  <wp:wrapPolygon edited="0">
                    <wp:start x="0" y="0"/>
                    <wp:lineTo x="0" y="21425"/>
                    <wp:lineTo x="21510" y="21425"/>
                    <wp:lineTo x="21510" y="0"/>
                    <wp:lineTo x="0" y="0"/>
                  </wp:wrapPolygon>
                </wp:wrapTight>
                <wp:docPr id="12" name="Text Box 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5580" cy="2189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3CB6" w:rsidRDefault="00B33CB6" w:rsidP="00B33CB6">
                            <w:pPr>
                              <w:spacing w:line="160" w:lineRule="exact"/>
                              <w:jc w:val="both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Chart 2</w:t>
                            </w:r>
                          </w:p>
                          <w:p w:rsidR="00B33CB6" w:rsidRDefault="00B33CB6" w:rsidP="00B33CB6">
                            <w:pPr>
                              <w:spacing w:line="200" w:lineRule="exact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6"/>
                                <w:szCs w:val="16"/>
                              </w:rPr>
                              <w:t>Deposits</w:t>
                            </w:r>
                          </w:p>
                          <w:p w:rsidR="00B33CB6" w:rsidRDefault="00CE74AF" w:rsidP="00B33CB6">
                            <w:pPr>
                              <w:spacing w:line="240" w:lineRule="atLeast"/>
                              <w:jc w:val="both"/>
                            </w:pPr>
                            <w:r w:rsidRPr="00CE74AF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552700" cy="1719527"/>
                                  <wp:effectExtent l="0" t="0" r="0" b="0"/>
                                  <wp:docPr id="3" name="圖片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52700" cy="171952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B33CB6" w:rsidRDefault="00B33CB6" w:rsidP="00B33CB6">
                            <w:pPr>
                              <w:spacing w:line="200" w:lineRule="atLeast"/>
                              <w:jc w:val="both"/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Note: Data are on a quarterly basis</w:t>
                            </w:r>
                            <w:r w:rsidRPr="00D2222A">
                              <w:rPr>
                                <w:rFonts w:hint="eastAsia"/>
                                <w:bCs/>
                                <w:sz w:val="12"/>
                                <w:szCs w:val="1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6" o:spid="_x0000_s1027" type="#_x0000_t202" style="position:absolute;left:0;text-align:left;margin-left:291.45pt;margin-top:558.55pt;width:215.4pt;height:172.4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" stroked="f">
                <v:textbox>
                  <w:txbxContent>
                    <w:p w:rsidR="00B33CB6" w:rsidRDefault="00B33CB6" w:rsidP="00B33CB6">
                      <w:pPr>
                        <w:spacing w:line="160" w:lineRule="exact"/>
                        <w:jc w:val="both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rFonts w:hint="eastAsia"/>
                          <w:sz w:val="12"/>
                          <w:szCs w:val="12"/>
                        </w:rPr>
                        <w:t>Chart 2</w:t>
                      </w:r>
                    </w:p>
                    <w:p w:rsidR="00B33CB6" w:rsidRDefault="00B33CB6" w:rsidP="00B33CB6">
                      <w:pPr>
                        <w:spacing w:line="200" w:lineRule="exact"/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6"/>
                          <w:szCs w:val="16"/>
                        </w:rPr>
                        <w:t>Deposits</w:t>
                      </w:r>
                    </w:p>
                    <w:p w:rsidR="00B33CB6" w:rsidRDefault="00CE74AF" w:rsidP="00B33CB6">
                      <w:pPr>
                        <w:spacing w:line="240" w:lineRule="atLeast"/>
                        <w:jc w:val="both"/>
                      </w:pPr>
                      <w:r w:rsidRPr="00CE74AF">
                        <w:drawing>
                          <wp:inline distT="0" distB="0" distL="0" distR="0">
                            <wp:extent cx="2552700" cy="1719527"/>
                            <wp:effectExtent l="0" t="0" r="0" b="0"/>
                            <wp:docPr id="3" name="圖片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52700" cy="171952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B33CB6" w:rsidRDefault="00B33CB6" w:rsidP="00B33CB6">
                      <w:pPr>
                        <w:spacing w:line="200" w:lineRule="atLeast"/>
                        <w:jc w:val="both"/>
                        <w:rPr>
                          <w:b/>
                          <w:bCs/>
                          <w:sz w:val="12"/>
                          <w:szCs w:val="12"/>
                        </w:rPr>
                      </w:pPr>
                      <w:r>
                        <w:rPr>
                          <w:rFonts w:hint="eastAsia"/>
                          <w:sz w:val="12"/>
                          <w:szCs w:val="12"/>
                        </w:rPr>
                        <w:t>Note: Data are on a quarterly basis</w:t>
                      </w:r>
                      <w:r w:rsidRPr="00D2222A">
                        <w:rPr>
                          <w:rFonts w:hint="eastAsia"/>
                          <w:bCs/>
                          <w:sz w:val="12"/>
                          <w:szCs w:val="12"/>
                        </w:rPr>
                        <w:t>.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  <w:r w:rsidR="002C56FD" w:rsidRPr="002372BA">
        <w:rPr>
          <w:b/>
          <w:bCs/>
          <w:i/>
          <w:iCs/>
          <w:sz w:val="20"/>
          <w:szCs w:val="20"/>
        </w:rPr>
        <w:t>Loans</w:t>
      </w:r>
      <w:r w:rsidR="002C56FD" w:rsidRPr="002372BA">
        <w:rPr>
          <w:rFonts w:hint="eastAsia"/>
          <w:b/>
          <w:bCs/>
          <w:i/>
          <w:iCs/>
          <w:sz w:val="20"/>
          <w:szCs w:val="20"/>
        </w:rPr>
        <w:t xml:space="preserve"> kept on rising</w:t>
      </w:r>
    </w:p>
    <w:p w:rsidR="002C56FD" w:rsidRDefault="002C56FD" w:rsidP="001F64EA">
      <w:pPr>
        <w:pStyle w:val="10"/>
        <w:topLinePunct/>
        <w:spacing w:line="360" w:lineRule="exact"/>
        <w:ind w:rightChars="47" w:right="113" w:firstLineChars="0" w:firstLine="0"/>
      </w:pPr>
      <w:r w:rsidRPr="00535B36">
        <w:rPr>
          <w:rFonts w:hint="eastAsia"/>
        </w:rPr>
        <w:t>T</w:t>
      </w:r>
      <w:r w:rsidRPr="00535B36">
        <w:t>otal loans</w:t>
      </w:r>
      <w:r w:rsidR="005659D3">
        <w:rPr>
          <w:color w:val="FF0000"/>
        </w:rPr>
        <w:t xml:space="preserve"> </w:t>
      </w:r>
      <w:r w:rsidR="00031692">
        <w:t xml:space="preserve">kept on rising and </w:t>
      </w:r>
      <w:r>
        <w:t>stood at</w:t>
      </w:r>
      <w:r w:rsidRPr="00535B36">
        <w:rPr>
          <w:rFonts w:hint="eastAsia"/>
        </w:rPr>
        <w:t xml:space="preserve"> </w:t>
      </w:r>
      <w:r w:rsidRPr="00535B36">
        <w:t>NT$</w:t>
      </w:r>
      <w:r>
        <w:t>31.</w:t>
      </w:r>
      <w:r w:rsidR="001F24EA">
        <w:t>7</w:t>
      </w:r>
      <w:r w:rsidR="00717A2D">
        <w:t>8</w:t>
      </w:r>
      <w:r w:rsidRPr="00535B36">
        <w:rPr>
          <w:rFonts w:hint="eastAsia"/>
        </w:rPr>
        <w:t xml:space="preserve"> </w:t>
      </w:r>
      <w:r>
        <w:t>tri</w:t>
      </w:r>
      <w:r w:rsidRPr="00535B36">
        <w:t>llion</w:t>
      </w:r>
      <w:r w:rsidRPr="00535B36">
        <w:rPr>
          <w:rFonts w:hint="eastAsia"/>
        </w:rPr>
        <w:t xml:space="preserve"> as of end-</w:t>
      </w:r>
      <w:r w:rsidR="00CE78AC">
        <w:t>December</w:t>
      </w:r>
      <w:r w:rsidRPr="00535B36">
        <w:rPr>
          <w:rFonts w:hint="eastAsia"/>
        </w:rPr>
        <w:t xml:space="preserve"> </w:t>
      </w:r>
      <w:r>
        <w:rPr>
          <w:rFonts w:hint="eastAsia"/>
        </w:rPr>
        <w:t>2020</w:t>
      </w:r>
      <w:r w:rsidRPr="00535B36">
        <w:rPr>
          <w:rFonts w:hint="eastAsia"/>
        </w:rPr>
        <w:t>,</w:t>
      </w:r>
      <w:r>
        <w:rPr>
          <w:rFonts w:hint="eastAsia"/>
        </w:rPr>
        <w:t xml:space="preserve"> </w:t>
      </w:r>
      <w:r w:rsidR="00117F1E">
        <w:t>with an increase of</w:t>
      </w:r>
      <w:r w:rsidRPr="00535B36">
        <w:rPr>
          <w:rFonts w:hint="eastAsia"/>
        </w:rPr>
        <w:t xml:space="preserve"> </w:t>
      </w:r>
      <w:r w:rsidRPr="00535B36">
        <w:t>NT$</w:t>
      </w:r>
      <w:r w:rsidR="001F24EA">
        <w:t>397</w:t>
      </w:r>
      <w:r w:rsidR="006E293D">
        <w:t>.</w:t>
      </w:r>
      <w:r w:rsidR="001F24EA">
        <w:t>34</w:t>
      </w:r>
      <w:r w:rsidRPr="00535B36">
        <w:rPr>
          <w:rFonts w:hint="eastAsia"/>
        </w:rPr>
        <w:t xml:space="preserve"> </w:t>
      </w:r>
      <w:r w:rsidR="006E293D">
        <w:t>b</w:t>
      </w:r>
      <w:r>
        <w:t>i</w:t>
      </w:r>
      <w:r w:rsidRPr="00535B36">
        <w:t>llion</w:t>
      </w:r>
      <w:r w:rsidRPr="00535B36">
        <w:rPr>
          <w:rFonts w:hint="eastAsia"/>
        </w:rPr>
        <w:t xml:space="preserve"> or </w:t>
      </w:r>
      <w:r w:rsidR="001F24EA">
        <w:t>1</w:t>
      </w:r>
      <w:r w:rsidRPr="00535B36">
        <w:rPr>
          <w:rFonts w:hint="eastAsia"/>
        </w:rPr>
        <w:t>.</w:t>
      </w:r>
      <w:r w:rsidR="001F24EA">
        <w:t>27</w:t>
      </w:r>
      <w:r w:rsidRPr="00535B36">
        <w:rPr>
          <w:rFonts w:hint="eastAsia"/>
        </w:rPr>
        <w:t>%</w:t>
      </w:r>
      <w:r w:rsidRPr="00535B36">
        <w:t xml:space="preserve"> </w:t>
      </w:r>
      <w:r w:rsidRPr="00535B36">
        <w:rPr>
          <w:rFonts w:hint="eastAsia"/>
        </w:rPr>
        <w:t>compared to end-</w:t>
      </w:r>
      <w:r w:rsidR="001F24EA">
        <w:t>September</w:t>
      </w:r>
      <w:r w:rsidRPr="00535B36">
        <w:rPr>
          <w:rFonts w:hint="eastAsia"/>
        </w:rPr>
        <w:t xml:space="preserve">. </w:t>
      </w:r>
      <w:r w:rsidR="00F36010">
        <w:t>Meanwhile</w:t>
      </w:r>
      <w:r>
        <w:t>, t</w:t>
      </w:r>
      <w:r w:rsidRPr="00535B36">
        <w:rPr>
          <w:rFonts w:hint="eastAsia"/>
        </w:rPr>
        <w:t xml:space="preserve">he annual growth rate of loans registered </w:t>
      </w:r>
      <w:r>
        <w:t>4</w:t>
      </w:r>
      <w:r w:rsidRPr="00535B36">
        <w:rPr>
          <w:rFonts w:hint="eastAsia"/>
        </w:rPr>
        <w:t>.</w:t>
      </w:r>
      <w:r w:rsidR="00717A2D">
        <w:t>8</w:t>
      </w:r>
      <w:r w:rsidR="001F24EA">
        <w:t>5</w:t>
      </w:r>
      <w:r w:rsidRPr="00535B36">
        <w:rPr>
          <w:rFonts w:hint="eastAsia"/>
        </w:rPr>
        <w:t>%</w:t>
      </w:r>
      <w:r w:rsidR="005659D3">
        <w:t>,</w:t>
      </w:r>
      <w:r w:rsidRPr="00535B36">
        <w:rPr>
          <w:rFonts w:hint="eastAsia"/>
        </w:rPr>
        <w:t xml:space="preserve"> </w:t>
      </w:r>
      <w:r>
        <w:t xml:space="preserve">slightly </w:t>
      </w:r>
      <w:r w:rsidR="00717A2D">
        <w:t>in</w:t>
      </w:r>
      <w:r>
        <w:rPr>
          <w:rFonts w:hint="eastAsia"/>
        </w:rPr>
        <w:t>c</w:t>
      </w:r>
      <w:r w:rsidRPr="00535B36">
        <w:rPr>
          <w:rFonts w:hint="eastAsia"/>
        </w:rPr>
        <w:t>reasing</w:t>
      </w:r>
      <w:r w:rsidR="00CF7D96">
        <w:t xml:space="preserve"> by</w:t>
      </w:r>
      <w:r w:rsidRPr="00535B36">
        <w:rPr>
          <w:rFonts w:hint="eastAsia"/>
        </w:rPr>
        <w:t xml:space="preserve"> </w:t>
      </w:r>
      <w:r>
        <w:t>0</w:t>
      </w:r>
      <w:r w:rsidRPr="00535B36">
        <w:rPr>
          <w:rFonts w:hint="eastAsia"/>
        </w:rPr>
        <w:t>.</w:t>
      </w:r>
      <w:r w:rsidR="001F24EA">
        <w:t>0</w:t>
      </w:r>
      <w:r w:rsidR="00717A2D">
        <w:t>7</w:t>
      </w:r>
      <w:r w:rsidRPr="00535B36">
        <w:rPr>
          <w:rFonts w:hint="eastAsia"/>
        </w:rPr>
        <w:t xml:space="preserve"> percentage points compared to the previous quarter</w:t>
      </w:r>
      <w:r w:rsidR="005C7C5C">
        <w:t xml:space="preserve"> </w:t>
      </w:r>
      <w:r w:rsidR="00CF7D96" w:rsidRPr="00535B36">
        <w:t>(Chart</w:t>
      </w:r>
      <w:r w:rsidR="00CF7D96" w:rsidRPr="00535B36">
        <w:rPr>
          <w:rFonts w:hint="eastAsia"/>
        </w:rPr>
        <w:t xml:space="preserve"> </w:t>
      </w:r>
      <w:r w:rsidR="00CF7D96">
        <w:t>1</w:t>
      </w:r>
      <w:r w:rsidR="00CF7D96" w:rsidRPr="00535B36">
        <w:rPr>
          <w:rFonts w:hint="eastAsia"/>
        </w:rPr>
        <w:t>)</w:t>
      </w:r>
      <w:r w:rsidRPr="00535B36">
        <w:rPr>
          <w:rFonts w:hint="eastAsia"/>
        </w:rPr>
        <w:t>.</w:t>
      </w:r>
    </w:p>
    <w:p w:rsidR="00B33CB6" w:rsidRDefault="00B33CB6" w:rsidP="001F64EA">
      <w:pPr>
        <w:pStyle w:val="10"/>
        <w:topLinePunct/>
        <w:spacing w:before="240" w:afterLines="0" w:after="240" w:line="360" w:lineRule="exact"/>
        <w:ind w:firstLineChars="0" w:firstLine="0"/>
        <w:rPr>
          <w:b/>
          <w:bCs/>
          <w:i/>
          <w:iCs/>
          <w:color w:val="000000"/>
        </w:rPr>
      </w:pPr>
      <w:r w:rsidRPr="002372BA">
        <w:rPr>
          <w:rFonts w:hint="eastAsia"/>
          <w:b/>
          <w:bCs/>
          <w:i/>
          <w:iCs/>
          <w:color w:val="000000"/>
        </w:rPr>
        <w:t>D</w:t>
      </w:r>
      <w:r w:rsidRPr="002372BA">
        <w:rPr>
          <w:b/>
          <w:bCs/>
          <w:i/>
          <w:iCs/>
          <w:color w:val="000000"/>
        </w:rPr>
        <w:t>eposits</w:t>
      </w:r>
      <w:r w:rsidRPr="002372BA">
        <w:rPr>
          <w:rFonts w:hint="eastAsia"/>
          <w:b/>
          <w:bCs/>
          <w:i/>
          <w:iCs/>
          <w:color w:val="000000"/>
        </w:rPr>
        <w:t xml:space="preserve"> saw </w:t>
      </w:r>
      <w:r w:rsidR="00433FB1" w:rsidRPr="00433FB1">
        <w:rPr>
          <w:b/>
          <w:i/>
        </w:rPr>
        <w:t>significant</w:t>
      </w:r>
      <w:r w:rsidR="00433FB1">
        <w:t xml:space="preserve"> </w:t>
      </w:r>
      <w:r w:rsidRPr="002372BA">
        <w:rPr>
          <w:rFonts w:hint="eastAsia"/>
          <w:b/>
          <w:bCs/>
          <w:i/>
          <w:iCs/>
          <w:color w:val="000000"/>
        </w:rPr>
        <w:t>growth</w:t>
      </w:r>
    </w:p>
    <w:p w:rsidR="00A52B2B" w:rsidRDefault="00E0097E" w:rsidP="00E0097E">
      <w:pPr>
        <w:pStyle w:val="10"/>
        <w:topLinePunct/>
        <w:spacing w:before="240" w:afterLines="0" w:after="240" w:line="360" w:lineRule="exact"/>
        <w:ind w:firstLineChars="0" w:firstLine="0"/>
        <w:rPr>
          <w:color w:val="000000"/>
        </w:rPr>
      </w:pPr>
      <w:r w:rsidRPr="00EA176E">
        <w:rPr>
          <w:rFonts w:hint="eastAsia"/>
          <w:color w:val="000000"/>
        </w:rPr>
        <w:t>T</w:t>
      </w:r>
      <w:r w:rsidRPr="00EA176E">
        <w:rPr>
          <w:color w:val="000000"/>
        </w:rPr>
        <w:t xml:space="preserve">otal deposits </w:t>
      </w:r>
      <w:r w:rsidRPr="00EA176E">
        <w:rPr>
          <w:rFonts w:hint="eastAsia"/>
          <w:color w:val="000000"/>
        </w:rPr>
        <w:t>amounted to NT</w:t>
      </w:r>
      <w:r w:rsidRPr="00EA176E">
        <w:rPr>
          <w:color w:val="000000"/>
        </w:rPr>
        <w:t>$</w:t>
      </w:r>
      <w:r>
        <w:rPr>
          <w:rFonts w:hint="eastAsia"/>
          <w:color w:val="000000"/>
        </w:rPr>
        <w:t>4</w:t>
      </w:r>
      <w:r w:rsidR="00174B64">
        <w:rPr>
          <w:color w:val="000000"/>
        </w:rPr>
        <w:t>5</w:t>
      </w:r>
      <w:r>
        <w:rPr>
          <w:color w:val="000000"/>
        </w:rPr>
        <w:t>.</w:t>
      </w:r>
      <w:r w:rsidR="00174B64">
        <w:rPr>
          <w:color w:val="000000"/>
        </w:rPr>
        <w:t>14</w:t>
      </w:r>
      <w:r w:rsidRPr="00EA176E">
        <w:rPr>
          <w:rFonts w:hint="eastAsia"/>
          <w:color w:val="000000"/>
        </w:rPr>
        <w:t xml:space="preserve"> </w:t>
      </w:r>
      <w:r>
        <w:rPr>
          <w:color w:val="000000"/>
        </w:rPr>
        <w:t>tri</w:t>
      </w:r>
      <w:r w:rsidRPr="00EA176E">
        <w:rPr>
          <w:color w:val="000000"/>
        </w:rPr>
        <w:t>llion</w:t>
      </w:r>
      <w:r w:rsidRPr="00EA176E">
        <w:rPr>
          <w:rFonts w:hint="eastAsia"/>
          <w:color w:val="000000"/>
        </w:rPr>
        <w:t xml:space="preserve"> as of end-</w:t>
      </w:r>
      <w:r w:rsidR="00CE78AC">
        <w:rPr>
          <w:color w:val="000000"/>
        </w:rPr>
        <w:t>December</w:t>
      </w:r>
      <w:r>
        <w:rPr>
          <w:rFonts w:hint="eastAsia"/>
          <w:color w:val="000000"/>
        </w:rPr>
        <w:t xml:space="preserve"> 2020</w:t>
      </w:r>
      <w:r w:rsidRPr="00EA176E">
        <w:rPr>
          <w:rFonts w:hint="eastAsia"/>
          <w:color w:val="000000"/>
        </w:rPr>
        <w:t xml:space="preserve">, </w:t>
      </w:r>
      <w:r>
        <w:rPr>
          <w:rFonts w:hint="eastAsia"/>
          <w:color w:val="000000"/>
        </w:rPr>
        <w:t>in</w:t>
      </w:r>
      <w:r w:rsidRPr="00EA176E">
        <w:rPr>
          <w:rFonts w:hint="eastAsia"/>
          <w:color w:val="000000"/>
        </w:rPr>
        <w:t>creasing by NT</w:t>
      </w:r>
      <w:r w:rsidRPr="00EA176E">
        <w:rPr>
          <w:color w:val="000000"/>
        </w:rPr>
        <w:t>$</w:t>
      </w:r>
      <w:r w:rsidR="00174B64">
        <w:rPr>
          <w:color w:val="000000"/>
        </w:rPr>
        <w:t>1</w:t>
      </w:r>
      <w:r>
        <w:rPr>
          <w:color w:val="000000"/>
        </w:rPr>
        <w:t>.</w:t>
      </w:r>
      <w:r w:rsidR="00174B64">
        <w:rPr>
          <w:color w:val="000000"/>
        </w:rPr>
        <w:t>7</w:t>
      </w:r>
      <w:r>
        <w:rPr>
          <w:color w:val="000000"/>
        </w:rPr>
        <w:t>8</w:t>
      </w:r>
      <w:r>
        <w:rPr>
          <w:rFonts w:hint="eastAsia"/>
          <w:color w:val="000000"/>
        </w:rPr>
        <w:t xml:space="preserve"> </w:t>
      </w:r>
      <w:r w:rsidR="00174B64">
        <w:rPr>
          <w:color w:val="000000"/>
        </w:rPr>
        <w:t>tri</w:t>
      </w:r>
      <w:r w:rsidRPr="00EA176E">
        <w:rPr>
          <w:color w:val="000000"/>
        </w:rPr>
        <w:t>llion</w:t>
      </w:r>
      <w:r w:rsidRPr="00EA176E">
        <w:rPr>
          <w:rFonts w:hint="eastAsia"/>
          <w:color w:val="000000"/>
        </w:rPr>
        <w:t xml:space="preserve"> or </w:t>
      </w:r>
      <w:r w:rsidR="00174B64">
        <w:rPr>
          <w:color w:val="000000"/>
        </w:rPr>
        <w:t>4</w:t>
      </w:r>
      <w:r>
        <w:rPr>
          <w:rFonts w:hint="eastAsia"/>
          <w:color w:val="000000"/>
        </w:rPr>
        <w:t>.</w:t>
      </w:r>
      <w:r w:rsidR="00174B64">
        <w:rPr>
          <w:color w:val="000000"/>
        </w:rPr>
        <w:t>12</w:t>
      </w:r>
      <w:r w:rsidRPr="00EA176E">
        <w:rPr>
          <w:rFonts w:hint="eastAsia"/>
          <w:color w:val="000000"/>
        </w:rPr>
        <w:t xml:space="preserve">% </w:t>
      </w:r>
      <w:r>
        <w:rPr>
          <w:color w:val="000000"/>
        </w:rPr>
        <w:t xml:space="preserve">from the previous </w:t>
      </w:r>
      <w:r>
        <w:rPr>
          <w:color w:val="000000"/>
        </w:rPr>
        <w:lastRenderedPageBreak/>
        <w:t>quarter</w:t>
      </w:r>
      <w:r>
        <w:rPr>
          <w:rFonts w:hint="eastAsia"/>
          <w:color w:val="000000"/>
        </w:rPr>
        <w:t>,</w:t>
      </w:r>
      <w:r>
        <w:rPr>
          <w:color w:val="000000"/>
        </w:rPr>
        <w:t xml:space="preserve"> showing an upward trend in this year.</w:t>
      </w:r>
      <w:r w:rsidRPr="00E0097E">
        <w:rPr>
          <w:color w:val="000000"/>
        </w:rPr>
        <w:t xml:space="preserve"> </w:t>
      </w:r>
      <w:r>
        <w:rPr>
          <w:color w:val="000000"/>
        </w:rPr>
        <w:t>T</w:t>
      </w:r>
      <w:r w:rsidRPr="00EA176E">
        <w:rPr>
          <w:color w:val="000000"/>
        </w:rPr>
        <w:t>h</w:t>
      </w:r>
      <w:r w:rsidRPr="00EA176E">
        <w:rPr>
          <w:rFonts w:hint="eastAsia"/>
          <w:color w:val="000000"/>
        </w:rPr>
        <w:t>e annual growth</w:t>
      </w:r>
      <w:r w:rsidR="00A52B2B" w:rsidRPr="00A52B2B">
        <w:rPr>
          <w:rFonts w:hint="eastAsia"/>
          <w:color w:val="000000"/>
        </w:rPr>
        <w:t xml:space="preserve"> </w:t>
      </w:r>
      <w:r w:rsidR="00A52B2B" w:rsidRPr="00EA176E">
        <w:rPr>
          <w:rFonts w:hint="eastAsia"/>
          <w:color w:val="000000"/>
        </w:rPr>
        <w:t>rate of</w:t>
      </w:r>
      <w:r w:rsidR="00A52B2B">
        <w:rPr>
          <w:color w:val="000000"/>
        </w:rPr>
        <w:t xml:space="preserve"> </w:t>
      </w:r>
      <w:r w:rsidR="00A52B2B" w:rsidRPr="00EA176E">
        <w:rPr>
          <w:rFonts w:hint="eastAsia"/>
          <w:color w:val="000000"/>
        </w:rPr>
        <w:t xml:space="preserve">deposits </w:t>
      </w:r>
      <w:r w:rsidR="00A52B2B">
        <w:t>rose by</w:t>
      </w:r>
      <w:r w:rsidR="00A52B2B" w:rsidRPr="006D1B3B">
        <w:rPr>
          <w:rFonts w:hint="eastAsia"/>
        </w:rPr>
        <w:t xml:space="preserve"> </w:t>
      </w:r>
      <w:r w:rsidR="00A52B2B" w:rsidRPr="006D1B3B">
        <w:t>1</w:t>
      </w:r>
      <w:r w:rsidR="00A52B2B" w:rsidRPr="006D1B3B">
        <w:rPr>
          <w:rFonts w:hint="eastAsia"/>
        </w:rPr>
        <w:t>.</w:t>
      </w:r>
      <w:r w:rsidR="00174B64">
        <w:t>41</w:t>
      </w:r>
      <w:r w:rsidR="00A52B2B" w:rsidRPr="006D1B3B">
        <w:rPr>
          <w:rFonts w:hint="eastAsia"/>
        </w:rPr>
        <w:t xml:space="preserve"> percentage</w:t>
      </w:r>
      <w:r w:rsidR="00A52B2B" w:rsidRPr="00A52B2B">
        <w:rPr>
          <w:rFonts w:hint="eastAsia"/>
        </w:rPr>
        <w:t xml:space="preserve"> </w:t>
      </w:r>
      <w:r w:rsidR="00A52B2B" w:rsidRPr="006D1B3B">
        <w:rPr>
          <w:rFonts w:hint="eastAsia"/>
        </w:rPr>
        <w:t xml:space="preserve">points </w:t>
      </w:r>
      <w:r w:rsidR="00A52B2B">
        <w:t>from</w:t>
      </w:r>
      <w:r w:rsidR="00A52B2B" w:rsidRPr="006D1B3B">
        <w:rPr>
          <w:rFonts w:hint="eastAsia"/>
        </w:rPr>
        <w:t xml:space="preserve"> </w:t>
      </w:r>
      <w:r w:rsidR="003C7545">
        <w:t xml:space="preserve">the </w:t>
      </w:r>
      <w:r w:rsidR="00A52B2B" w:rsidRPr="006D1B3B">
        <w:rPr>
          <w:rFonts w:hint="eastAsia"/>
        </w:rPr>
        <w:t>previous quarter</w:t>
      </w:r>
      <w:r w:rsidR="00A52B2B" w:rsidRPr="00A52B2B">
        <w:t xml:space="preserve"> </w:t>
      </w:r>
      <w:r w:rsidR="00A52B2B">
        <w:t xml:space="preserve">to </w:t>
      </w:r>
      <w:r w:rsidR="00174B64">
        <w:t>8</w:t>
      </w:r>
      <w:r w:rsidR="00A52B2B">
        <w:t>.</w:t>
      </w:r>
      <w:r w:rsidR="00174B64">
        <w:t>5</w:t>
      </w:r>
      <w:r w:rsidR="00A52B2B">
        <w:t>1%</w:t>
      </w:r>
      <w:r w:rsidR="00A52B2B" w:rsidRPr="00EA176E">
        <w:rPr>
          <w:rFonts w:hint="eastAsia"/>
          <w:color w:val="000000"/>
        </w:rPr>
        <w:t xml:space="preserve"> (</w:t>
      </w:r>
      <w:r w:rsidR="00A52B2B" w:rsidRPr="00EA176E">
        <w:rPr>
          <w:color w:val="000000"/>
        </w:rPr>
        <w:t>Cha</w:t>
      </w:r>
      <w:r w:rsidR="001624B1">
        <w:rPr>
          <w:color w:val="000000"/>
        </w:rPr>
        <w:t xml:space="preserve">rt </w:t>
      </w:r>
      <w:r w:rsidR="00A52B2B" w:rsidRPr="00EA176E">
        <w:rPr>
          <w:rFonts w:hint="eastAsia"/>
          <w:color w:val="000000"/>
        </w:rPr>
        <w:t>2)</w:t>
      </w:r>
      <w:r w:rsidR="00A52B2B" w:rsidRPr="006D1B3B">
        <w:rPr>
          <w:rFonts w:hint="eastAsia"/>
        </w:rPr>
        <w:t>.</w:t>
      </w:r>
    </w:p>
    <w:p w:rsidR="00327ADB" w:rsidRPr="003F72A0" w:rsidRDefault="00042B4A" w:rsidP="00462470">
      <w:pPr>
        <w:pStyle w:val="10"/>
        <w:topLinePunct/>
        <w:spacing w:before="240" w:afterLines="0" w:after="240" w:line="360" w:lineRule="exact"/>
        <w:ind w:firstLineChars="0" w:firstLine="0"/>
        <w:rPr>
          <w:b/>
          <w:bCs/>
          <w:i/>
          <w:iCs/>
        </w:rPr>
      </w:pPr>
      <w:r w:rsidRPr="003F72A0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column">
                  <wp:posOffset>3672205</wp:posOffset>
                </wp:positionH>
                <wp:positionV relativeFrom="page">
                  <wp:posOffset>935990</wp:posOffset>
                </wp:positionV>
                <wp:extent cx="2728800" cy="2113200"/>
                <wp:effectExtent l="0" t="0" r="0" b="1905"/>
                <wp:wrapTight wrapText="bothSides">
                  <wp:wrapPolygon edited="0">
                    <wp:start x="0" y="0"/>
                    <wp:lineTo x="0" y="21425"/>
                    <wp:lineTo x="21414" y="21425"/>
                    <wp:lineTo x="21414" y="0"/>
                    <wp:lineTo x="0" y="0"/>
                  </wp:wrapPolygon>
                </wp:wrapTight>
                <wp:docPr id="11" name="Text Box 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8800" cy="211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ADB" w:rsidRDefault="00327ADB">
                            <w:pPr>
                              <w:spacing w:line="160" w:lineRule="exact"/>
                              <w:jc w:val="both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 xml:space="preserve">Chart </w:t>
                            </w:r>
                            <w:r w:rsidR="00AF4AC3">
                              <w:rPr>
                                <w:sz w:val="12"/>
                                <w:szCs w:val="12"/>
                              </w:rPr>
                              <w:t>3</w:t>
                            </w:r>
                          </w:p>
                          <w:p w:rsidR="00327ADB" w:rsidRDefault="00327ADB" w:rsidP="003B5C99">
                            <w:pPr>
                              <w:spacing w:line="200" w:lineRule="exact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6"/>
                                <w:szCs w:val="16"/>
                              </w:rPr>
                              <w:t>Investment</w:t>
                            </w:r>
                            <w:r w:rsidR="000D2835">
                              <w:rPr>
                                <w:rFonts w:hint="eastAsia"/>
                                <w:b/>
                                <w:bCs/>
                                <w:sz w:val="16"/>
                                <w:szCs w:val="16"/>
                              </w:rPr>
                              <w:t>s</w:t>
                            </w:r>
                          </w:p>
                          <w:p w:rsidR="008862B2" w:rsidRDefault="00CE78AC">
                            <w:pPr>
                              <w:spacing w:line="240" w:lineRule="atLeast"/>
                              <w:jc w:val="both"/>
                            </w:pPr>
                            <w:r w:rsidRPr="00CE78AC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545440" cy="1656080"/>
                                  <wp:effectExtent l="0" t="0" r="7620" b="1270"/>
                                  <wp:docPr id="16" name="圖片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48595" cy="165813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27ADB" w:rsidRDefault="00327ADB" w:rsidP="006A50FE">
                            <w:pPr>
                              <w:spacing w:line="200" w:lineRule="atLeast"/>
                              <w:jc w:val="both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Note: Data are on a quarterly basis.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3" o:spid="_x0000_s1028" type="#_x0000_t202" style="position:absolute;left:0;text-align:left;margin-left:289.15pt;margin-top:73.7pt;width:214.85pt;height:166.4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" stroked="f">
                <v:textbox>
                  <w:txbxContent>
                    <w:p w:rsidR="00327ADB" w:rsidRDefault="00327ADB">
                      <w:pPr>
                        <w:spacing w:line="160" w:lineRule="exact"/>
                        <w:jc w:val="both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rFonts w:hint="eastAsia"/>
                          <w:sz w:val="12"/>
                          <w:szCs w:val="12"/>
                        </w:rPr>
                        <w:t xml:space="preserve">Chart </w:t>
                      </w:r>
                      <w:r w:rsidR="00AF4AC3">
                        <w:rPr>
                          <w:sz w:val="12"/>
                          <w:szCs w:val="12"/>
                        </w:rPr>
                        <w:t>3</w:t>
                      </w:r>
                    </w:p>
                    <w:p w:rsidR="00327ADB" w:rsidRDefault="00327ADB" w:rsidP="003B5C99">
                      <w:pPr>
                        <w:spacing w:line="200" w:lineRule="exact"/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6"/>
                          <w:szCs w:val="16"/>
                        </w:rPr>
                        <w:t>Investment</w:t>
                      </w:r>
                      <w:r w:rsidR="000D2835">
                        <w:rPr>
                          <w:rFonts w:hint="eastAsia"/>
                          <w:b/>
                          <w:bCs/>
                          <w:sz w:val="16"/>
                          <w:szCs w:val="16"/>
                        </w:rPr>
                        <w:t>s</w:t>
                      </w:r>
                    </w:p>
                    <w:p w:rsidR="008862B2" w:rsidRDefault="00CE78AC">
                      <w:pPr>
                        <w:spacing w:line="240" w:lineRule="atLeast"/>
                        <w:jc w:val="both"/>
                      </w:pPr>
                      <w:r w:rsidRPr="00CE78AC">
                        <w:drawing>
                          <wp:inline distT="0" distB="0" distL="0" distR="0">
                            <wp:extent cx="2545440" cy="1656080"/>
                            <wp:effectExtent l="0" t="0" r="7620" b="1270"/>
                            <wp:docPr id="16" name="圖片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48595" cy="165813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27ADB" w:rsidRDefault="00327ADB" w:rsidP="006A50FE">
                      <w:pPr>
                        <w:spacing w:line="200" w:lineRule="atLeast"/>
                        <w:jc w:val="both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rFonts w:hint="eastAsia"/>
                          <w:sz w:val="12"/>
                          <w:szCs w:val="12"/>
                        </w:rPr>
                        <w:t>Note: Data are on a quarterly basis.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  <w:r w:rsidR="0067644B" w:rsidRPr="003F72A0">
        <w:rPr>
          <w:b/>
          <w:bCs/>
          <w:i/>
          <w:iCs/>
        </w:rPr>
        <w:t>Investments</w:t>
      </w:r>
      <w:r w:rsidR="0067644B">
        <w:rPr>
          <w:rFonts w:hint="eastAsia"/>
          <w:b/>
          <w:bCs/>
          <w:i/>
          <w:iCs/>
        </w:rPr>
        <w:t xml:space="preserve"> </w:t>
      </w:r>
      <w:r w:rsidR="00A830C9">
        <w:rPr>
          <w:rFonts w:hint="eastAsia"/>
          <w:b/>
          <w:bCs/>
          <w:i/>
          <w:iCs/>
        </w:rPr>
        <w:t>increased</w:t>
      </w:r>
      <w:r w:rsidR="002A7FB9">
        <w:rPr>
          <w:rFonts w:hint="eastAsia"/>
          <w:b/>
          <w:bCs/>
          <w:i/>
          <w:iCs/>
        </w:rPr>
        <w:t xml:space="preserve"> </w:t>
      </w:r>
      <w:r w:rsidR="0020237B">
        <w:rPr>
          <w:b/>
          <w:bCs/>
          <w:i/>
          <w:iCs/>
        </w:rPr>
        <w:t>moderately</w:t>
      </w:r>
    </w:p>
    <w:p w:rsidR="00327ADB" w:rsidRPr="00907E11" w:rsidRDefault="00EE35C3" w:rsidP="00A73400">
      <w:pPr>
        <w:pStyle w:val="10"/>
        <w:topLinePunct/>
        <w:spacing w:line="360" w:lineRule="exact"/>
        <w:ind w:rightChars="47" w:right="113" w:firstLineChars="0" w:firstLine="0"/>
      </w:pPr>
      <w:r w:rsidRPr="00D6517E">
        <w:t>Domestic bank</w:t>
      </w:r>
      <w:r w:rsidR="00877319" w:rsidRPr="00D6517E">
        <w:t>s</w:t>
      </w:r>
      <w:r w:rsidRPr="00D6517E">
        <w:t xml:space="preserve"> increased their investments by </w:t>
      </w:r>
      <w:r w:rsidR="00877319" w:rsidRPr="00D6517E">
        <w:t>NT$</w:t>
      </w:r>
      <w:r w:rsidR="00174B64">
        <w:t>1</w:t>
      </w:r>
      <w:r w:rsidRPr="00D6517E">
        <w:t>.</w:t>
      </w:r>
      <w:r w:rsidR="00174B64">
        <w:t>09</w:t>
      </w:r>
      <w:r w:rsidRPr="00D6517E">
        <w:t xml:space="preserve"> </w:t>
      </w:r>
      <w:r w:rsidR="00174B64">
        <w:t>tri</w:t>
      </w:r>
      <w:r w:rsidRPr="00D6517E">
        <w:t xml:space="preserve">llion or </w:t>
      </w:r>
      <w:r w:rsidR="00174B64">
        <w:t>6</w:t>
      </w:r>
      <w:r w:rsidRPr="00D6517E">
        <w:t>.</w:t>
      </w:r>
      <w:r w:rsidR="00174B64">
        <w:t>77</w:t>
      </w:r>
      <w:r w:rsidRPr="00D6517E">
        <w:t xml:space="preserve">% </w:t>
      </w:r>
      <w:r w:rsidR="00CF7D96" w:rsidRPr="00D6517E">
        <w:t>quarter on</w:t>
      </w:r>
      <w:r w:rsidR="006E293D" w:rsidRPr="00D6517E">
        <w:t xml:space="preserve"> </w:t>
      </w:r>
      <w:r w:rsidR="00CF7D96" w:rsidRPr="00D6517E">
        <w:t>q</w:t>
      </w:r>
      <w:r w:rsidR="006E293D" w:rsidRPr="00D6517E">
        <w:t xml:space="preserve">uarter to </w:t>
      </w:r>
      <w:r w:rsidR="00327ADB" w:rsidRPr="00D6517E">
        <w:t>NT$</w:t>
      </w:r>
      <w:r w:rsidR="001368C1" w:rsidRPr="00D6517E">
        <w:rPr>
          <w:rFonts w:hint="eastAsia"/>
        </w:rPr>
        <w:t>1</w:t>
      </w:r>
      <w:r w:rsidR="00174B64">
        <w:t>7</w:t>
      </w:r>
      <w:r w:rsidR="00A9630E" w:rsidRPr="00D6517E">
        <w:t>.</w:t>
      </w:r>
      <w:r w:rsidR="00174B64">
        <w:t>15</w:t>
      </w:r>
      <w:r w:rsidR="00327ADB" w:rsidRPr="00D6517E">
        <w:rPr>
          <w:rFonts w:hint="eastAsia"/>
        </w:rPr>
        <w:t xml:space="preserve"> </w:t>
      </w:r>
      <w:r w:rsidR="00A9630E" w:rsidRPr="00D6517E">
        <w:t>tri</w:t>
      </w:r>
      <w:r w:rsidR="00327ADB" w:rsidRPr="00D6517E">
        <w:t>llion</w:t>
      </w:r>
      <w:r w:rsidR="00327ADB" w:rsidRPr="00D6517E">
        <w:rPr>
          <w:rFonts w:hint="eastAsia"/>
        </w:rPr>
        <w:t xml:space="preserve"> as </w:t>
      </w:r>
      <w:r w:rsidR="00041096" w:rsidRPr="00D6517E">
        <w:rPr>
          <w:rFonts w:hint="eastAsia"/>
        </w:rPr>
        <w:t xml:space="preserve">of </w:t>
      </w:r>
      <w:r w:rsidR="001A719C" w:rsidRPr="00D6517E">
        <w:rPr>
          <w:rFonts w:hint="eastAsia"/>
        </w:rPr>
        <w:t>end</w:t>
      </w:r>
      <w:r w:rsidR="00C80562" w:rsidRPr="00D6517E">
        <w:rPr>
          <w:rFonts w:hint="eastAsia"/>
        </w:rPr>
        <w:t>-</w:t>
      </w:r>
      <w:r w:rsidR="00CE78AC">
        <w:rPr>
          <w:rFonts w:hint="eastAsia"/>
        </w:rPr>
        <w:t>December</w:t>
      </w:r>
      <w:r w:rsidR="00C2015A" w:rsidRPr="00D6517E">
        <w:rPr>
          <w:rFonts w:hint="eastAsia"/>
        </w:rPr>
        <w:t xml:space="preserve"> </w:t>
      </w:r>
      <w:r w:rsidR="00D77769" w:rsidRPr="00D6517E">
        <w:rPr>
          <w:rFonts w:hint="eastAsia"/>
        </w:rPr>
        <w:t>2020</w:t>
      </w:r>
      <w:r w:rsidR="00A73400">
        <w:rPr>
          <w:rFonts w:hint="eastAsia"/>
        </w:rPr>
        <w:t>.</w:t>
      </w:r>
      <w:r w:rsidR="00327ADB" w:rsidRPr="00D6517E">
        <w:rPr>
          <w:rFonts w:hint="eastAsia"/>
        </w:rPr>
        <w:t xml:space="preserve"> </w:t>
      </w:r>
      <w:r w:rsidR="00A73400">
        <w:t>T</w:t>
      </w:r>
      <w:r w:rsidR="00327ADB" w:rsidRPr="00D6517E">
        <w:rPr>
          <w:rFonts w:hint="eastAsia"/>
        </w:rPr>
        <w:t xml:space="preserve">he annual growth rate of investment reached </w:t>
      </w:r>
      <w:r w:rsidR="00174B64">
        <w:t>11</w:t>
      </w:r>
      <w:r w:rsidR="00F32EF0" w:rsidRPr="00D6517E">
        <w:rPr>
          <w:rFonts w:hint="eastAsia"/>
        </w:rPr>
        <w:t>.</w:t>
      </w:r>
      <w:r w:rsidR="00174B64">
        <w:t>25</w:t>
      </w:r>
      <w:r w:rsidR="00327ADB" w:rsidRPr="00D6517E">
        <w:rPr>
          <w:rFonts w:hint="eastAsia"/>
        </w:rPr>
        <w:t>%</w:t>
      </w:r>
      <w:r w:rsidR="00B9717E">
        <w:t>,</w:t>
      </w:r>
      <w:r w:rsidR="00327ADB" w:rsidRPr="00D6517E">
        <w:rPr>
          <w:rFonts w:hint="eastAsia"/>
        </w:rPr>
        <w:t xml:space="preserve"> </w:t>
      </w:r>
      <w:r w:rsidR="00174B64">
        <w:t>increas</w:t>
      </w:r>
      <w:r w:rsidR="00B9717E">
        <w:t xml:space="preserve">ing </w:t>
      </w:r>
      <w:r w:rsidR="006D42A7" w:rsidRPr="00D6517E">
        <w:rPr>
          <w:rFonts w:hint="eastAsia"/>
        </w:rPr>
        <w:t xml:space="preserve">by </w:t>
      </w:r>
      <w:r w:rsidR="00174B64">
        <w:t>5</w:t>
      </w:r>
      <w:r w:rsidR="00907E11" w:rsidRPr="00D6517E">
        <w:rPr>
          <w:rFonts w:hint="eastAsia"/>
        </w:rPr>
        <w:t>.</w:t>
      </w:r>
      <w:r w:rsidR="00174B64">
        <w:t>2</w:t>
      </w:r>
      <w:r w:rsidR="00717A2D">
        <w:t>4</w:t>
      </w:r>
      <w:r w:rsidR="00106976" w:rsidRPr="00D6517E">
        <w:rPr>
          <w:rFonts w:hint="eastAsia"/>
        </w:rPr>
        <w:t xml:space="preserve"> </w:t>
      </w:r>
      <w:r w:rsidR="006D42A7" w:rsidRPr="00D6517E">
        <w:rPr>
          <w:rFonts w:hint="eastAsia"/>
        </w:rPr>
        <w:t xml:space="preserve">percentage points </w:t>
      </w:r>
      <w:r w:rsidR="00837EB4">
        <w:t xml:space="preserve">compared to the previous </w:t>
      </w:r>
      <w:r w:rsidR="006D42A7" w:rsidRPr="00D6517E">
        <w:rPr>
          <w:rFonts w:hint="eastAsia"/>
        </w:rPr>
        <w:t>quarter</w:t>
      </w:r>
      <w:r w:rsidR="00CF7D96" w:rsidRPr="00D6517E">
        <w:rPr>
          <w:rFonts w:hint="eastAsia"/>
        </w:rPr>
        <w:t xml:space="preserve"> (</w:t>
      </w:r>
      <w:r w:rsidR="00CF7D96" w:rsidRPr="00D6517E">
        <w:t>Chart</w:t>
      </w:r>
      <w:r w:rsidR="00CF7D96" w:rsidRPr="00D6517E">
        <w:rPr>
          <w:rFonts w:hint="eastAsia"/>
        </w:rPr>
        <w:t xml:space="preserve"> </w:t>
      </w:r>
      <w:r w:rsidR="00CF7D96" w:rsidRPr="00D6517E">
        <w:t>3</w:t>
      </w:r>
      <w:r w:rsidR="00CF7D96" w:rsidRPr="00907E11">
        <w:rPr>
          <w:rFonts w:hint="eastAsia"/>
        </w:rPr>
        <w:t>)</w:t>
      </w:r>
      <w:r w:rsidR="006D42A7" w:rsidRPr="00907E11">
        <w:rPr>
          <w:rFonts w:hint="eastAsia"/>
        </w:rPr>
        <w:t>.</w:t>
      </w:r>
    </w:p>
    <w:p w:rsidR="00327ADB" w:rsidRPr="0076411D" w:rsidRDefault="00042B4A" w:rsidP="00616B5F">
      <w:pPr>
        <w:pStyle w:val="a2"/>
        <w:topLinePunct/>
        <w:spacing w:before="240" w:after="240" w:line="360" w:lineRule="exact"/>
        <w:ind w:left="0"/>
        <w:jc w:val="both"/>
        <w:rPr>
          <w:b/>
          <w:bCs/>
          <w:i/>
          <w:iCs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column">
                  <wp:posOffset>3672205</wp:posOffset>
                </wp:positionH>
                <wp:positionV relativeFrom="page">
                  <wp:posOffset>3168650</wp:posOffset>
                </wp:positionV>
                <wp:extent cx="2743200" cy="2156400"/>
                <wp:effectExtent l="0" t="0" r="0" b="0"/>
                <wp:wrapTight wrapText="bothSides">
                  <wp:wrapPolygon edited="0">
                    <wp:start x="0" y="0"/>
                    <wp:lineTo x="0" y="21377"/>
                    <wp:lineTo x="21450" y="21377"/>
                    <wp:lineTo x="21450" y="0"/>
                    <wp:lineTo x="0" y="0"/>
                  </wp:wrapPolygon>
                </wp:wrapTight>
                <wp:docPr id="10" name="Text Box 3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215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24E8A" w:rsidRDefault="00624E8A" w:rsidP="00624E8A">
                            <w:pPr>
                              <w:spacing w:line="160" w:lineRule="exact"/>
                              <w:jc w:val="both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 xml:space="preserve">Chart 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4</w:t>
                            </w:r>
                          </w:p>
                          <w:p w:rsidR="00624E8A" w:rsidRDefault="00624E8A" w:rsidP="00896E31">
                            <w:pPr>
                              <w:spacing w:line="160" w:lineRule="exact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Asset </w:t>
                            </w:r>
                            <w:r w:rsidR="005E4E7B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q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6"/>
                                <w:szCs w:val="16"/>
                              </w:rPr>
                              <w:t>uality</w:t>
                            </w:r>
                          </w:p>
                          <w:p w:rsidR="00624E8A" w:rsidRDefault="00CE74AF" w:rsidP="00624E8A">
                            <w:pPr>
                              <w:spacing w:line="240" w:lineRule="atLeast"/>
                              <w:jc w:val="both"/>
                            </w:pPr>
                            <w:r w:rsidRPr="00CE74AF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560320" cy="1661160"/>
                                  <wp:effectExtent l="0" t="0" r="0" b="0"/>
                                  <wp:docPr id="4" name="圖片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60320" cy="16611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24E8A" w:rsidRDefault="00624E8A" w:rsidP="006A50FE">
                            <w:pPr>
                              <w:spacing w:line="180" w:lineRule="atLeast"/>
                              <w:jc w:val="both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Note</w:t>
                            </w:r>
                            <w:r w:rsidR="00F74017">
                              <w:rPr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:</w:t>
                            </w:r>
                            <w:r w:rsidR="00F74017">
                              <w:rPr>
                                <w:sz w:val="12"/>
                                <w:szCs w:val="12"/>
                              </w:rPr>
                              <w:t>1.</w:t>
                            </w: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Data are on a quarterly basis.</w:t>
                            </w:r>
                          </w:p>
                          <w:p w:rsidR="00F74017" w:rsidRDefault="00F74017" w:rsidP="00CF7D96">
                            <w:pPr>
                              <w:spacing w:line="160" w:lineRule="exact"/>
                              <w:ind w:leftChars="128" w:left="420" w:hangingChars="94" w:hanging="113"/>
                              <w:jc w:val="both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 xml:space="preserve">2.NPL ratio </w:t>
                            </w:r>
                            <w:r w:rsidR="00EF69A9">
                              <w:rPr>
                                <w:sz w:val="12"/>
                                <w:szCs w:val="12"/>
                              </w:rPr>
                              <w:t>is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 xml:space="preserve"> arithmetic mean</w:t>
                            </w:r>
                            <w:r w:rsidR="00CF7D96">
                              <w:rPr>
                                <w:sz w:val="12"/>
                                <w:szCs w:val="12"/>
                              </w:rPr>
                              <w:t xml:space="preserve"> and NPL coverage ratio </w:t>
                            </w:r>
                            <w:r w:rsidR="00EF69A9">
                              <w:rPr>
                                <w:sz w:val="12"/>
                                <w:szCs w:val="12"/>
                              </w:rPr>
                              <w:t>is</w:t>
                            </w:r>
                            <w:r w:rsidR="00CF7D96">
                              <w:rPr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 w:rsidR="00CF7D96">
                              <w:rPr>
                                <w:sz w:val="12"/>
                                <w:szCs w:val="12"/>
                              </w:rPr>
                              <w:t>winsorized</w:t>
                            </w:r>
                            <w:proofErr w:type="spellEnd"/>
                            <w:r w:rsidR="00CF7D96">
                              <w:rPr>
                                <w:sz w:val="12"/>
                                <w:szCs w:val="12"/>
                              </w:rPr>
                              <w:t xml:space="preserve"> mean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1" o:spid="_x0000_s1029" type="#_x0000_t202" style="position:absolute;left:0;text-align:left;margin-left:289.15pt;margin-top:249.5pt;width:3in;height:169.8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" stroked="f">
                <v:textbox>
                  <w:txbxContent>
                    <w:p w:rsidR="00624E8A" w:rsidRDefault="00624E8A" w:rsidP="00624E8A">
                      <w:pPr>
                        <w:spacing w:line="160" w:lineRule="exact"/>
                        <w:jc w:val="both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rFonts w:hint="eastAsia"/>
                          <w:sz w:val="12"/>
                          <w:szCs w:val="12"/>
                        </w:rPr>
                        <w:t xml:space="preserve">Chart </w:t>
                      </w:r>
                      <w:r>
                        <w:rPr>
                          <w:sz w:val="12"/>
                          <w:szCs w:val="12"/>
                        </w:rPr>
                        <w:t>4</w:t>
                      </w:r>
                    </w:p>
                    <w:p w:rsidR="00624E8A" w:rsidRDefault="00624E8A" w:rsidP="00896E31">
                      <w:pPr>
                        <w:spacing w:line="160" w:lineRule="exact"/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6"/>
                          <w:szCs w:val="16"/>
                        </w:rPr>
                        <w:t xml:space="preserve">Asset </w:t>
                      </w:r>
                      <w:r w:rsidR="005E4E7B">
                        <w:rPr>
                          <w:b/>
                          <w:bCs/>
                          <w:sz w:val="16"/>
                          <w:szCs w:val="16"/>
                        </w:rPr>
                        <w:t>q</w:t>
                      </w:r>
                      <w:r>
                        <w:rPr>
                          <w:rFonts w:hint="eastAsia"/>
                          <w:b/>
                          <w:bCs/>
                          <w:sz w:val="16"/>
                          <w:szCs w:val="16"/>
                        </w:rPr>
                        <w:t>uality</w:t>
                      </w:r>
                    </w:p>
                    <w:p w:rsidR="00624E8A" w:rsidRDefault="00CE74AF" w:rsidP="00624E8A">
                      <w:pPr>
                        <w:spacing w:line="240" w:lineRule="atLeast"/>
                        <w:jc w:val="both"/>
                      </w:pPr>
                      <w:r w:rsidRPr="00CE74AF">
                        <w:drawing>
                          <wp:inline distT="0" distB="0" distL="0" distR="0">
                            <wp:extent cx="2560320" cy="1661160"/>
                            <wp:effectExtent l="0" t="0" r="0" b="0"/>
                            <wp:docPr id="4" name="圖片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60320" cy="16611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24E8A" w:rsidRDefault="00624E8A" w:rsidP="006A50FE">
                      <w:pPr>
                        <w:spacing w:line="180" w:lineRule="atLeast"/>
                        <w:jc w:val="both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rFonts w:hint="eastAsia"/>
                          <w:sz w:val="12"/>
                          <w:szCs w:val="12"/>
                        </w:rPr>
                        <w:t>Note</w:t>
                      </w:r>
                      <w:r w:rsidR="00F74017">
                        <w:rPr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hint="eastAsia"/>
                          <w:sz w:val="12"/>
                          <w:szCs w:val="12"/>
                        </w:rPr>
                        <w:t>:</w:t>
                      </w:r>
                      <w:r w:rsidR="00F74017">
                        <w:rPr>
                          <w:sz w:val="12"/>
                          <w:szCs w:val="12"/>
                        </w:rPr>
                        <w:t>1.</w:t>
                      </w:r>
                      <w:r>
                        <w:rPr>
                          <w:rFonts w:hint="eastAsia"/>
                          <w:sz w:val="12"/>
                          <w:szCs w:val="12"/>
                        </w:rPr>
                        <w:t>Data are on a quarterly basis.</w:t>
                      </w:r>
                    </w:p>
                    <w:p w:rsidR="00F74017" w:rsidRDefault="00F74017" w:rsidP="00CF7D96">
                      <w:pPr>
                        <w:spacing w:line="160" w:lineRule="exact"/>
                        <w:ind w:leftChars="128" w:left="420" w:hangingChars="94" w:hanging="113"/>
                        <w:jc w:val="both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 xml:space="preserve">2.NPL ratio </w:t>
                      </w:r>
                      <w:r w:rsidR="00EF69A9">
                        <w:rPr>
                          <w:sz w:val="12"/>
                          <w:szCs w:val="12"/>
                        </w:rPr>
                        <w:t>is</w:t>
                      </w:r>
                      <w:r>
                        <w:rPr>
                          <w:sz w:val="12"/>
                          <w:szCs w:val="12"/>
                        </w:rPr>
                        <w:t xml:space="preserve"> arithmetic mean</w:t>
                      </w:r>
                      <w:r w:rsidR="00CF7D96">
                        <w:rPr>
                          <w:sz w:val="12"/>
                          <w:szCs w:val="12"/>
                        </w:rPr>
                        <w:t xml:space="preserve"> and NPL coverage ratio </w:t>
                      </w:r>
                      <w:r w:rsidR="00EF69A9">
                        <w:rPr>
                          <w:sz w:val="12"/>
                          <w:szCs w:val="12"/>
                        </w:rPr>
                        <w:t>is</w:t>
                      </w:r>
                      <w:r w:rsidR="00CF7D96">
                        <w:rPr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 w:rsidR="00CF7D96">
                        <w:rPr>
                          <w:sz w:val="12"/>
                          <w:szCs w:val="12"/>
                        </w:rPr>
                        <w:t>winsorized</w:t>
                      </w:r>
                      <w:proofErr w:type="spellEnd"/>
                      <w:r w:rsidR="00CF7D96">
                        <w:rPr>
                          <w:sz w:val="12"/>
                          <w:szCs w:val="12"/>
                        </w:rPr>
                        <w:t xml:space="preserve"> mean</w:t>
                      </w:r>
                      <w:r>
                        <w:rPr>
                          <w:sz w:val="12"/>
                          <w:szCs w:val="12"/>
                        </w:rPr>
                        <w:t>.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  <w:r w:rsidR="00327ADB" w:rsidRPr="0076411D">
        <w:rPr>
          <w:rFonts w:hint="eastAsia"/>
          <w:b/>
          <w:bCs/>
          <w:i/>
          <w:iCs/>
          <w:sz w:val="20"/>
        </w:rPr>
        <w:t xml:space="preserve">Asset </w:t>
      </w:r>
      <w:r w:rsidR="00327ADB" w:rsidRPr="0076411D">
        <w:rPr>
          <w:rFonts w:eastAsia="華康楷書體W5" w:hint="eastAsia"/>
          <w:b/>
          <w:bCs/>
          <w:i/>
          <w:iCs/>
          <w:spacing w:val="-10"/>
          <w:sz w:val="20"/>
        </w:rPr>
        <w:t>q</w:t>
      </w:r>
      <w:r w:rsidR="00327ADB" w:rsidRPr="0076411D">
        <w:rPr>
          <w:rFonts w:eastAsia="華康楷書體W5"/>
          <w:b/>
          <w:bCs/>
          <w:i/>
          <w:iCs/>
          <w:spacing w:val="-10"/>
          <w:sz w:val="20"/>
        </w:rPr>
        <w:t>uality</w:t>
      </w:r>
      <w:r w:rsidR="00327ADB" w:rsidRPr="0076411D">
        <w:rPr>
          <w:rFonts w:hint="eastAsia"/>
          <w:b/>
          <w:bCs/>
          <w:i/>
          <w:iCs/>
          <w:sz w:val="20"/>
        </w:rPr>
        <w:t xml:space="preserve"> </w:t>
      </w:r>
      <w:r w:rsidR="00D957F8">
        <w:rPr>
          <w:b/>
          <w:bCs/>
          <w:i/>
          <w:iCs/>
          <w:sz w:val="20"/>
        </w:rPr>
        <w:t>improv</w:t>
      </w:r>
      <w:r w:rsidR="006E293D">
        <w:rPr>
          <w:b/>
          <w:bCs/>
          <w:i/>
          <w:iCs/>
          <w:sz w:val="20"/>
        </w:rPr>
        <w:t xml:space="preserve">ed </w:t>
      </w:r>
      <w:r w:rsidR="00D72A0A">
        <w:rPr>
          <w:b/>
          <w:bCs/>
          <w:i/>
          <w:iCs/>
          <w:sz w:val="20"/>
        </w:rPr>
        <w:t>mild</w:t>
      </w:r>
      <w:r w:rsidR="006E293D">
        <w:rPr>
          <w:b/>
          <w:bCs/>
          <w:i/>
          <w:iCs/>
          <w:sz w:val="20"/>
        </w:rPr>
        <w:t>ly</w:t>
      </w:r>
    </w:p>
    <w:p w:rsidR="00327ADB" w:rsidRPr="00DB5751" w:rsidRDefault="00327ADB" w:rsidP="00F80EAE">
      <w:pPr>
        <w:pStyle w:val="10"/>
        <w:topLinePunct/>
        <w:spacing w:line="360" w:lineRule="exact"/>
        <w:ind w:rightChars="47" w:right="113" w:firstLineChars="0" w:firstLine="0"/>
      </w:pPr>
      <w:r w:rsidRPr="00DB5751">
        <w:t xml:space="preserve">The average </w:t>
      </w:r>
      <w:r w:rsidR="00050C63" w:rsidRPr="00DB5751">
        <w:rPr>
          <w:rFonts w:hint="eastAsia"/>
        </w:rPr>
        <w:t>non-performing loan (</w:t>
      </w:r>
      <w:r w:rsidRPr="00DB5751">
        <w:rPr>
          <w:rFonts w:hint="eastAsia"/>
        </w:rPr>
        <w:t>NPL</w:t>
      </w:r>
      <w:r w:rsidR="00050C63" w:rsidRPr="00DB5751">
        <w:rPr>
          <w:rFonts w:hint="eastAsia"/>
        </w:rPr>
        <w:t>)</w:t>
      </w:r>
      <w:r w:rsidRPr="00DB5751">
        <w:t xml:space="preserve"> ratio </w:t>
      </w:r>
      <w:r w:rsidR="00756969" w:rsidRPr="00DB5751">
        <w:rPr>
          <w:rFonts w:hint="eastAsia"/>
        </w:rPr>
        <w:t>wa</w:t>
      </w:r>
      <w:r w:rsidRPr="00DB5751">
        <w:rPr>
          <w:rFonts w:hint="eastAsia"/>
        </w:rPr>
        <w:t>s 0.</w:t>
      </w:r>
      <w:r w:rsidR="00907E11" w:rsidRPr="00DB5751">
        <w:rPr>
          <w:rFonts w:hint="eastAsia"/>
        </w:rPr>
        <w:t>2</w:t>
      </w:r>
      <w:r w:rsidR="00F64DFC">
        <w:t>2</w:t>
      </w:r>
      <w:r w:rsidRPr="00DB5751">
        <w:rPr>
          <w:rFonts w:hint="eastAsia"/>
        </w:rPr>
        <w:t xml:space="preserve">% as </w:t>
      </w:r>
      <w:r w:rsidR="00F752DA" w:rsidRPr="00DB5751">
        <w:rPr>
          <w:rFonts w:hint="eastAsia"/>
        </w:rPr>
        <w:t xml:space="preserve">of </w:t>
      </w:r>
      <w:r w:rsidR="001A719C" w:rsidRPr="00DB5751">
        <w:rPr>
          <w:rFonts w:hint="eastAsia"/>
        </w:rPr>
        <w:t>end</w:t>
      </w:r>
      <w:r w:rsidR="00C80562" w:rsidRPr="00DB5751">
        <w:rPr>
          <w:rFonts w:hint="eastAsia"/>
        </w:rPr>
        <w:t>-</w:t>
      </w:r>
      <w:r w:rsidR="00CE78AC">
        <w:rPr>
          <w:rFonts w:hint="eastAsia"/>
        </w:rPr>
        <w:t>December</w:t>
      </w:r>
      <w:r w:rsidR="00C2015A" w:rsidRPr="00DB5751">
        <w:rPr>
          <w:rFonts w:hint="eastAsia"/>
        </w:rPr>
        <w:t xml:space="preserve"> </w:t>
      </w:r>
      <w:r w:rsidR="00D77769" w:rsidRPr="00DB5751">
        <w:rPr>
          <w:rFonts w:hint="eastAsia"/>
        </w:rPr>
        <w:t>2020</w:t>
      </w:r>
      <w:r w:rsidRPr="00DB5751">
        <w:rPr>
          <w:rFonts w:hint="eastAsia"/>
        </w:rPr>
        <w:t xml:space="preserve">, </w:t>
      </w:r>
      <w:r w:rsidR="006E293D" w:rsidRPr="00DB5751">
        <w:t xml:space="preserve">slightly </w:t>
      </w:r>
      <w:r w:rsidR="002F1767">
        <w:t>low</w:t>
      </w:r>
      <w:r w:rsidR="006E293D" w:rsidRPr="00DB5751">
        <w:t>er than the 0.2</w:t>
      </w:r>
      <w:r w:rsidR="00F64DFC">
        <w:t>4</w:t>
      </w:r>
      <w:r w:rsidR="006E293D" w:rsidRPr="00DB5751">
        <w:t xml:space="preserve">% of the </w:t>
      </w:r>
      <w:r w:rsidR="00117F1E">
        <w:t xml:space="preserve">end of </w:t>
      </w:r>
      <w:r w:rsidR="006E293D" w:rsidRPr="00DB5751">
        <w:t>previous quarter.</w:t>
      </w:r>
      <w:r w:rsidR="0079757A" w:rsidRPr="00DB5751">
        <w:t xml:space="preserve"> </w:t>
      </w:r>
      <w:r w:rsidR="00215510" w:rsidRPr="00DB5751">
        <w:t>Meanwhile</w:t>
      </w:r>
      <w:r w:rsidR="00080161" w:rsidRPr="00DB5751">
        <w:t>,</w:t>
      </w:r>
      <w:r w:rsidR="00215510" w:rsidRPr="00DB5751">
        <w:t xml:space="preserve"> t</w:t>
      </w:r>
      <w:r w:rsidR="00141B44" w:rsidRPr="00DB5751">
        <w:rPr>
          <w:rFonts w:hint="eastAsia"/>
        </w:rPr>
        <w:t xml:space="preserve">he </w:t>
      </w:r>
      <w:r w:rsidR="00A8291D" w:rsidRPr="00DB5751">
        <w:t xml:space="preserve">average </w:t>
      </w:r>
      <w:r w:rsidR="00756969" w:rsidRPr="00DB5751">
        <w:rPr>
          <w:rFonts w:hint="eastAsia"/>
        </w:rPr>
        <w:t>NPL</w:t>
      </w:r>
      <w:r w:rsidR="00141B44" w:rsidRPr="00DB5751">
        <w:rPr>
          <w:rFonts w:hint="eastAsia"/>
        </w:rPr>
        <w:t xml:space="preserve"> coverage ratio </w:t>
      </w:r>
      <w:r w:rsidR="002F1767">
        <w:t>increas</w:t>
      </w:r>
      <w:r w:rsidR="006E293D" w:rsidRPr="00DB5751">
        <w:t xml:space="preserve">ed to </w:t>
      </w:r>
      <w:r w:rsidR="00B13816">
        <w:t>6</w:t>
      </w:r>
      <w:r w:rsidR="00F64DFC">
        <w:t>9</w:t>
      </w:r>
      <w:r w:rsidR="00B13816">
        <w:t>6</w:t>
      </w:r>
      <w:r w:rsidR="00141B44" w:rsidRPr="00DB5751">
        <w:rPr>
          <w:rFonts w:hint="eastAsia"/>
        </w:rPr>
        <w:t>.</w:t>
      </w:r>
      <w:r w:rsidR="00F64DFC">
        <w:t>63</w:t>
      </w:r>
      <w:r w:rsidR="00141B44" w:rsidRPr="00DB5751">
        <w:rPr>
          <w:rFonts w:hint="eastAsia"/>
        </w:rPr>
        <w:t xml:space="preserve">% </w:t>
      </w:r>
      <w:r w:rsidR="00F151E3" w:rsidRPr="00DB5751">
        <w:rPr>
          <w:rFonts w:hint="eastAsia"/>
        </w:rPr>
        <w:t>as of end-</w:t>
      </w:r>
      <w:r w:rsidR="00CE78AC">
        <w:t>December</w:t>
      </w:r>
      <w:r w:rsidR="00F151E3" w:rsidRPr="00DB5751">
        <w:rPr>
          <w:rFonts w:hint="eastAsia"/>
        </w:rPr>
        <w:t xml:space="preserve"> 2020, </w:t>
      </w:r>
      <w:r w:rsidR="00754F56" w:rsidRPr="00DB5751">
        <w:t xml:space="preserve">with a </w:t>
      </w:r>
      <w:r w:rsidR="00B13816">
        <w:t>rise</w:t>
      </w:r>
      <w:r w:rsidR="00754F56" w:rsidRPr="00DB5751">
        <w:t xml:space="preserve"> </w:t>
      </w:r>
      <w:r w:rsidR="00441A40" w:rsidRPr="00DB5751">
        <w:t>of</w:t>
      </w:r>
      <w:r w:rsidR="00141B44" w:rsidRPr="00DB5751">
        <w:rPr>
          <w:rFonts w:hint="eastAsia"/>
        </w:rPr>
        <w:t xml:space="preserve"> </w:t>
      </w:r>
      <w:r w:rsidR="00F64DFC">
        <w:t>69</w:t>
      </w:r>
      <w:r w:rsidR="00141B44" w:rsidRPr="00DB5751">
        <w:rPr>
          <w:rFonts w:hint="eastAsia"/>
        </w:rPr>
        <w:t>.</w:t>
      </w:r>
      <w:r w:rsidR="00B13816">
        <w:t>6</w:t>
      </w:r>
      <w:r w:rsidR="00F64DFC">
        <w:t>5</w:t>
      </w:r>
      <w:r w:rsidR="00141B44" w:rsidRPr="00DB5751">
        <w:rPr>
          <w:rFonts w:hint="eastAsia"/>
        </w:rPr>
        <w:t xml:space="preserve"> percentage points compared to </w:t>
      </w:r>
      <w:r w:rsidR="006E293D" w:rsidRPr="00DB5751">
        <w:t xml:space="preserve">the </w:t>
      </w:r>
      <w:r w:rsidR="00CF7D96" w:rsidRPr="00DB5751">
        <w:t xml:space="preserve">end of </w:t>
      </w:r>
      <w:r w:rsidR="001F24EA">
        <w:t>September</w:t>
      </w:r>
      <w:r w:rsidR="005C7C5C">
        <w:t xml:space="preserve"> </w:t>
      </w:r>
      <w:r w:rsidR="00CD52A1" w:rsidRPr="00DB5751">
        <w:rPr>
          <w:rFonts w:hint="eastAsia"/>
        </w:rPr>
        <w:t xml:space="preserve">(Chart </w:t>
      </w:r>
      <w:r w:rsidR="00A9630E" w:rsidRPr="00DB5751">
        <w:t>4</w:t>
      </w:r>
      <w:r w:rsidR="00CD52A1" w:rsidRPr="00DB5751">
        <w:rPr>
          <w:rFonts w:hint="eastAsia"/>
        </w:rPr>
        <w:t>)</w:t>
      </w:r>
      <w:r w:rsidR="00141B44" w:rsidRPr="00DB5751">
        <w:rPr>
          <w:rFonts w:hint="eastAsia"/>
        </w:rPr>
        <w:t xml:space="preserve">. </w:t>
      </w:r>
      <w:r w:rsidR="00F80EAE">
        <w:t>This indicate</w:t>
      </w:r>
      <w:r w:rsidR="00837EB4">
        <w:t>d</w:t>
      </w:r>
      <w:r w:rsidR="00F80EAE">
        <w:t xml:space="preserve"> that the overall capability of domestic banks to cope with potential loan losses</w:t>
      </w:r>
      <w:r w:rsidR="00837EB4">
        <w:t xml:space="preserve"> </w:t>
      </w:r>
      <w:r w:rsidR="00F80EAE">
        <w:t>improved.</w:t>
      </w:r>
      <w:r w:rsidR="00C53674" w:rsidRPr="00DB5751">
        <w:rPr>
          <w:rFonts w:hint="eastAsia"/>
        </w:rPr>
        <w:t xml:space="preserve"> </w:t>
      </w:r>
    </w:p>
    <w:bookmarkStart w:id="1" w:name="OLE_LINK1"/>
    <w:p w:rsidR="00327ADB" w:rsidRPr="0076411D" w:rsidRDefault="00042B4A" w:rsidP="001F64EA">
      <w:pPr>
        <w:pStyle w:val="a2"/>
        <w:topLinePunct/>
        <w:spacing w:before="240" w:after="240" w:line="360" w:lineRule="exact"/>
        <w:ind w:left="0"/>
        <w:jc w:val="both"/>
        <w:rPr>
          <w:b/>
          <w:bCs/>
          <w:i/>
          <w:iCs/>
          <w:sz w:val="20"/>
        </w:rPr>
      </w:pPr>
      <w:r w:rsidRPr="00F1230D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column">
                  <wp:posOffset>3672205</wp:posOffset>
                </wp:positionH>
                <wp:positionV relativeFrom="page">
                  <wp:posOffset>5436870</wp:posOffset>
                </wp:positionV>
                <wp:extent cx="2736000" cy="2160000"/>
                <wp:effectExtent l="0" t="0" r="7620" b="0"/>
                <wp:wrapTight wrapText="bothSides">
                  <wp:wrapPolygon edited="0">
                    <wp:start x="0" y="0"/>
                    <wp:lineTo x="0" y="21340"/>
                    <wp:lineTo x="21510" y="21340"/>
                    <wp:lineTo x="21510" y="0"/>
                    <wp:lineTo x="0" y="0"/>
                  </wp:wrapPolygon>
                </wp:wrapTight>
                <wp:docPr id="9" name="Text Box 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6000" cy="21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ADB" w:rsidRDefault="00327ADB" w:rsidP="00116A7A">
                            <w:pPr>
                              <w:spacing w:line="140" w:lineRule="exact"/>
                              <w:jc w:val="both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 xml:space="preserve">Chart </w:t>
                            </w:r>
                            <w:r w:rsidR="00E8326A">
                              <w:rPr>
                                <w:sz w:val="12"/>
                                <w:szCs w:val="12"/>
                              </w:rPr>
                              <w:t>5</w:t>
                            </w:r>
                          </w:p>
                          <w:p w:rsidR="00327ADB" w:rsidRDefault="00327ADB" w:rsidP="00896E31">
                            <w:pPr>
                              <w:spacing w:afterLines="15" w:after="36" w:line="160" w:lineRule="exact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6"/>
                                <w:szCs w:val="16"/>
                              </w:rPr>
                              <w:t>Liquidity ratio</w:t>
                            </w:r>
                            <w:r w:rsidR="00094B3D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s</w:t>
                            </w:r>
                          </w:p>
                          <w:p w:rsidR="00C25154" w:rsidRDefault="00CE74AF">
                            <w:pPr>
                              <w:spacing w:line="240" w:lineRule="atLeast"/>
                              <w:jc w:val="both"/>
                              <w:rPr>
                                <w:sz w:val="12"/>
                                <w:szCs w:val="12"/>
                              </w:rPr>
                            </w:pPr>
                            <w:r w:rsidRPr="00CE74AF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552251" cy="1610360"/>
                                  <wp:effectExtent l="0" t="0" r="635" b="8890"/>
                                  <wp:docPr id="5" name="圖片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56420" cy="161299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73B43" w:rsidRDefault="00327ADB" w:rsidP="00561793">
                            <w:pPr>
                              <w:spacing w:line="180" w:lineRule="atLeast"/>
                              <w:jc w:val="both"/>
                              <w:rPr>
                                <w:bCs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Note</w:t>
                            </w:r>
                            <w:r w:rsidR="00343031">
                              <w:rPr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:</w:t>
                            </w:r>
                            <w:r w:rsidR="00343031">
                              <w:rPr>
                                <w:sz w:val="12"/>
                                <w:szCs w:val="12"/>
                              </w:rPr>
                              <w:t>1.</w:t>
                            </w:r>
                            <w:r w:rsidR="005B4F27">
                              <w:rPr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="00E73B43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Data are on a quarterly basis</w:t>
                            </w:r>
                            <w:r w:rsidR="00E73B43" w:rsidRPr="00D2222A">
                              <w:rPr>
                                <w:rFonts w:hint="eastAsia"/>
                                <w:bCs/>
                                <w:sz w:val="12"/>
                                <w:szCs w:val="12"/>
                              </w:rPr>
                              <w:t>.</w:t>
                            </w:r>
                          </w:p>
                          <w:p w:rsidR="00343031" w:rsidRDefault="00343031" w:rsidP="00561793">
                            <w:pPr>
                              <w:spacing w:line="180" w:lineRule="atLeast"/>
                              <w:ind w:leftChars="128" w:left="307"/>
                              <w:jc w:val="both"/>
                              <w:rPr>
                                <w:bCs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Cs/>
                                <w:sz w:val="12"/>
                                <w:szCs w:val="12"/>
                              </w:rPr>
                              <w:t>2.</w:t>
                            </w:r>
                            <w:r w:rsidR="00561793" w:rsidRPr="00561793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="00561793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 xml:space="preserve">Data are </w:t>
                            </w:r>
                            <w:proofErr w:type="spellStart"/>
                            <w:r w:rsidR="00561793">
                              <w:rPr>
                                <w:sz w:val="12"/>
                                <w:szCs w:val="12"/>
                              </w:rPr>
                              <w:t>winsorized</w:t>
                            </w:r>
                            <w:proofErr w:type="spellEnd"/>
                            <w:r w:rsidR="00561793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="00561793">
                              <w:rPr>
                                <w:sz w:val="12"/>
                                <w:szCs w:val="12"/>
                              </w:rPr>
                              <w:t>mean</w:t>
                            </w:r>
                            <w:r w:rsidR="00561793" w:rsidRPr="00D2222A">
                              <w:rPr>
                                <w:rFonts w:hint="eastAsia"/>
                                <w:bCs/>
                                <w:sz w:val="12"/>
                                <w:szCs w:val="12"/>
                              </w:rPr>
                              <w:t>.</w:t>
                            </w:r>
                          </w:p>
                          <w:p w:rsidR="00343031" w:rsidRDefault="00343031" w:rsidP="003B2D62">
                            <w:pPr>
                              <w:spacing w:line="200" w:lineRule="atLeast"/>
                              <w:jc w:val="both"/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</w:p>
                          <w:p w:rsidR="00E73B43" w:rsidRDefault="00E73B43" w:rsidP="00E73B43">
                            <w:pPr>
                              <w:spacing w:line="240" w:lineRule="atLeast"/>
                              <w:jc w:val="both"/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</w:p>
                          <w:p w:rsidR="00327ADB" w:rsidRPr="00E73B43" w:rsidRDefault="00327ADB">
                            <w:pPr>
                              <w:spacing w:line="240" w:lineRule="atLeast"/>
                              <w:jc w:val="both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0" o:spid="_x0000_s1030" type="#_x0000_t202" style="position:absolute;left:0;text-align:left;margin-left:289.15pt;margin-top:428.1pt;width:215.45pt;height:170.1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" stroked="f">
                <v:textbox>
                  <w:txbxContent>
                    <w:p w:rsidR="00327ADB" w:rsidRDefault="00327ADB" w:rsidP="00116A7A">
                      <w:pPr>
                        <w:spacing w:line="140" w:lineRule="exact"/>
                        <w:jc w:val="both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rFonts w:hint="eastAsia"/>
                          <w:sz w:val="12"/>
                          <w:szCs w:val="12"/>
                        </w:rPr>
                        <w:t xml:space="preserve">Chart </w:t>
                      </w:r>
                      <w:r w:rsidR="00E8326A">
                        <w:rPr>
                          <w:sz w:val="12"/>
                          <w:szCs w:val="12"/>
                        </w:rPr>
                        <w:t>5</w:t>
                      </w:r>
                    </w:p>
                    <w:p w:rsidR="00327ADB" w:rsidRDefault="00327ADB" w:rsidP="00896E31">
                      <w:pPr>
                        <w:spacing w:afterLines="15" w:after="36" w:line="160" w:lineRule="exact"/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6"/>
                          <w:szCs w:val="16"/>
                        </w:rPr>
                        <w:t>Liquidity ratio</w:t>
                      </w:r>
                      <w:r w:rsidR="00094B3D">
                        <w:rPr>
                          <w:b/>
                          <w:bCs/>
                          <w:sz w:val="16"/>
                          <w:szCs w:val="16"/>
                        </w:rPr>
                        <w:t>s</w:t>
                      </w:r>
                    </w:p>
                    <w:p w:rsidR="00C25154" w:rsidRDefault="00CE74AF">
                      <w:pPr>
                        <w:spacing w:line="240" w:lineRule="atLeast"/>
                        <w:jc w:val="both"/>
                        <w:rPr>
                          <w:sz w:val="12"/>
                          <w:szCs w:val="12"/>
                        </w:rPr>
                      </w:pPr>
                      <w:r w:rsidRPr="00CE74AF">
                        <w:drawing>
                          <wp:inline distT="0" distB="0" distL="0" distR="0">
                            <wp:extent cx="2552251" cy="1610360"/>
                            <wp:effectExtent l="0" t="0" r="635" b="8890"/>
                            <wp:docPr id="5" name="圖片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56420" cy="161299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73B43" w:rsidRDefault="00327ADB" w:rsidP="00561793">
                      <w:pPr>
                        <w:spacing w:line="180" w:lineRule="atLeast"/>
                        <w:jc w:val="both"/>
                        <w:rPr>
                          <w:bCs/>
                          <w:sz w:val="12"/>
                          <w:szCs w:val="12"/>
                        </w:rPr>
                      </w:pPr>
                      <w:r>
                        <w:rPr>
                          <w:rFonts w:hint="eastAsia"/>
                          <w:sz w:val="12"/>
                          <w:szCs w:val="12"/>
                        </w:rPr>
                        <w:t>Note</w:t>
                      </w:r>
                      <w:r w:rsidR="00343031">
                        <w:rPr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hint="eastAsia"/>
                          <w:sz w:val="12"/>
                          <w:szCs w:val="12"/>
                        </w:rPr>
                        <w:t>:</w:t>
                      </w:r>
                      <w:r w:rsidR="00343031">
                        <w:rPr>
                          <w:sz w:val="12"/>
                          <w:szCs w:val="12"/>
                        </w:rPr>
                        <w:t>1.</w:t>
                      </w:r>
                      <w:r w:rsidR="005B4F27">
                        <w:rPr>
                          <w:sz w:val="12"/>
                          <w:szCs w:val="12"/>
                        </w:rPr>
                        <w:t xml:space="preserve"> </w:t>
                      </w:r>
                      <w:r w:rsidR="00E73B43">
                        <w:rPr>
                          <w:rFonts w:hint="eastAsia"/>
                          <w:sz w:val="12"/>
                          <w:szCs w:val="12"/>
                        </w:rPr>
                        <w:t>Data are on a quarterly basis</w:t>
                      </w:r>
                      <w:r w:rsidR="00E73B43" w:rsidRPr="00D2222A">
                        <w:rPr>
                          <w:rFonts w:hint="eastAsia"/>
                          <w:bCs/>
                          <w:sz w:val="12"/>
                          <w:szCs w:val="12"/>
                        </w:rPr>
                        <w:t>.</w:t>
                      </w:r>
                    </w:p>
                    <w:p w:rsidR="00343031" w:rsidRDefault="00343031" w:rsidP="00561793">
                      <w:pPr>
                        <w:spacing w:line="180" w:lineRule="atLeast"/>
                        <w:ind w:leftChars="128" w:left="307"/>
                        <w:jc w:val="both"/>
                        <w:rPr>
                          <w:bCs/>
                          <w:sz w:val="12"/>
                          <w:szCs w:val="12"/>
                        </w:rPr>
                      </w:pPr>
                      <w:r>
                        <w:rPr>
                          <w:bCs/>
                          <w:sz w:val="12"/>
                          <w:szCs w:val="12"/>
                        </w:rPr>
                        <w:t>2.</w:t>
                      </w:r>
                      <w:r w:rsidR="00561793" w:rsidRPr="00561793">
                        <w:rPr>
                          <w:rFonts w:hint="eastAsia"/>
                          <w:sz w:val="12"/>
                          <w:szCs w:val="12"/>
                        </w:rPr>
                        <w:t xml:space="preserve"> </w:t>
                      </w:r>
                      <w:r w:rsidR="00561793">
                        <w:rPr>
                          <w:rFonts w:hint="eastAsia"/>
                          <w:sz w:val="12"/>
                          <w:szCs w:val="12"/>
                        </w:rPr>
                        <w:t xml:space="preserve">Data are </w:t>
                      </w:r>
                      <w:proofErr w:type="spellStart"/>
                      <w:r w:rsidR="00561793">
                        <w:rPr>
                          <w:sz w:val="12"/>
                          <w:szCs w:val="12"/>
                        </w:rPr>
                        <w:t>winsorized</w:t>
                      </w:r>
                      <w:proofErr w:type="spellEnd"/>
                      <w:r w:rsidR="00561793">
                        <w:rPr>
                          <w:rFonts w:hint="eastAsia"/>
                          <w:sz w:val="12"/>
                          <w:szCs w:val="12"/>
                        </w:rPr>
                        <w:t xml:space="preserve"> </w:t>
                      </w:r>
                      <w:r w:rsidR="00561793">
                        <w:rPr>
                          <w:sz w:val="12"/>
                          <w:szCs w:val="12"/>
                        </w:rPr>
                        <w:t>mean</w:t>
                      </w:r>
                      <w:r w:rsidR="00561793" w:rsidRPr="00D2222A">
                        <w:rPr>
                          <w:rFonts w:hint="eastAsia"/>
                          <w:bCs/>
                          <w:sz w:val="12"/>
                          <w:szCs w:val="12"/>
                        </w:rPr>
                        <w:t>.</w:t>
                      </w:r>
                    </w:p>
                    <w:p w:rsidR="00343031" w:rsidRDefault="00343031" w:rsidP="003B2D62">
                      <w:pPr>
                        <w:spacing w:line="200" w:lineRule="atLeast"/>
                        <w:jc w:val="both"/>
                        <w:rPr>
                          <w:b/>
                          <w:bCs/>
                          <w:sz w:val="12"/>
                          <w:szCs w:val="12"/>
                        </w:rPr>
                      </w:pPr>
                    </w:p>
                    <w:p w:rsidR="00E73B43" w:rsidRDefault="00E73B43" w:rsidP="00E73B43">
                      <w:pPr>
                        <w:spacing w:line="240" w:lineRule="atLeast"/>
                        <w:jc w:val="both"/>
                        <w:rPr>
                          <w:b/>
                          <w:bCs/>
                          <w:sz w:val="12"/>
                          <w:szCs w:val="12"/>
                        </w:rPr>
                      </w:pPr>
                    </w:p>
                    <w:p w:rsidR="00327ADB" w:rsidRPr="00E73B43" w:rsidRDefault="00327ADB">
                      <w:pPr>
                        <w:spacing w:line="240" w:lineRule="atLeast"/>
                        <w:jc w:val="both"/>
                        <w:rPr>
                          <w:sz w:val="12"/>
                          <w:szCs w:val="12"/>
                        </w:rPr>
                      </w:pPr>
                    </w:p>
                  </w:txbxContent>
                </v:textbox>
                <w10:wrap type="tight" anchory="page"/>
              </v:shape>
            </w:pict>
          </mc:Fallback>
        </mc:AlternateContent>
      </w:r>
      <w:r w:rsidR="00327ADB" w:rsidRPr="0076411D">
        <w:rPr>
          <w:b/>
          <w:bCs/>
          <w:i/>
          <w:iCs/>
          <w:sz w:val="20"/>
        </w:rPr>
        <w:t xml:space="preserve">Liquidity </w:t>
      </w:r>
      <w:r w:rsidR="00754F56" w:rsidRPr="0076411D">
        <w:rPr>
          <w:b/>
          <w:bCs/>
          <w:i/>
          <w:iCs/>
          <w:sz w:val="20"/>
        </w:rPr>
        <w:t xml:space="preserve">remained </w:t>
      </w:r>
      <w:r w:rsidR="00441A40" w:rsidRPr="0076411D">
        <w:rPr>
          <w:b/>
          <w:bCs/>
          <w:i/>
          <w:iCs/>
          <w:sz w:val="20"/>
        </w:rPr>
        <w:t>ample</w:t>
      </w:r>
    </w:p>
    <w:bookmarkEnd w:id="1"/>
    <w:p w:rsidR="00327ADB" w:rsidRPr="003F72A0" w:rsidRDefault="000373AA" w:rsidP="001F64EA">
      <w:pPr>
        <w:pStyle w:val="10"/>
        <w:topLinePunct/>
        <w:snapToGrid w:val="0"/>
        <w:spacing w:line="360" w:lineRule="exact"/>
        <w:ind w:rightChars="47" w:right="113" w:firstLineChars="0" w:firstLine="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column">
                  <wp:posOffset>3723005</wp:posOffset>
                </wp:positionH>
                <wp:positionV relativeFrom="page">
                  <wp:posOffset>7769860</wp:posOffset>
                </wp:positionV>
                <wp:extent cx="2743200" cy="2167200"/>
                <wp:effectExtent l="0" t="0" r="0" b="5080"/>
                <wp:wrapTight wrapText="bothSides">
                  <wp:wrapPolygon edited="0">
                    <wp:start x="0" y="0"/>
                    <wp:lineTo x="0" y="21461"/>
                    <wp:lineTo x="21450" y="21461"/>
                    <wp:lineTo x="21450" y="0"/>
                    <wp:lineTo x="0" y="0"/>
                  </wp:wrapPolygon>
                </wp:wrapTight>
                <wp:docPr id="8" name="Text Box 3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216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B1CDB" w:rsidRDefault="000B1CDB" w:rsidP="000B1CDB">
                            <w:pPr>
                              <w:spacing w:line="160" w:lineRule="exact"/>
                              <w:jc w:val="both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 xml:space="preserve">Chart </w:t>
                            </w:r>
                            <w:r w:rsidR="00504AAA">
                              <w:rPr>
                                <w:sz w:val="12"/>
                                <w:szCs w:val="12"/>
                              </w:rPr>
                              <w:t>6</w:t>
                            </w:r>
                          </w:p>
                          <w:p w:rsidR="000B1CDB" w:rsidRDefault="000B1CDB" w:rsidP="000B1CDB">
                            <w:pPr>
                              <w:spacing w:line="160" w:lineRule="exact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ROE</w:t>
                            </w:r>
                            <w:r w:rsidR="00504AAA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&amp;</w:t>
                            </w:r>
                            <w:r w:rsidR="00504AAA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ROA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0B1CDB" w:rsidRDefault="00CE78AC" w:rsidP="000B1CDB">
                            <w:pPr>
                              <w:spacing w:line="240" w:lineRule="atLeast"/>
                              <w:jc w:val="both"/>
                            </w:pPr>
                            <w:r w:rsidRPr="00CE78AC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559563" cy="1605280"/>
                                  <wp:effectExtent l="0" t="0" r="0" b="0"/>
                                  <wp:docPr id="20" name="圖片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64943" cy="160865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B1CDB" w:rsidRDefault="000B1CDB" w:rsidP="000B1CDB">
                            <w:pPr>
                              <w:jc w:val="both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Note</w:t>
                            </w:r>
                            <w:r w:rsidR="003B2D62">
                              <w:rPr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: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1.ROE = net income before tax/average equity.</w:t>
                            </w: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 xml:space="preserve"> </w:t>
                            </w:r>
                          </w:p>
                          <w:p w:rsidR="000B1CDB" w:rsidRDefault="000B1CDB" w:rsidP="003B2D62">
                            <w:pPr>
                              <w:ind w:leftChars="133" w:left="319" w:firstLine="1"/>
                              <w:jc w:val="both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 xml:space="preserve">ROA </w:t>
                            </w: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=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 xml:space="preserve"> net income before tax/average total assets.</w:t>
                            </w:r>
                          </w:p>
                          <w:p w:rsidR="000B1CDB" w:rsidRDefault="000B1CDB" w:rsidP="003B2D62">
                            <w:pPr>
                              <w:ind w:leftChars="110" w:left="264" w:firstLineChars="48" w:firstLine="58"/>
                              <w:jc w:val="both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3.</w:t>
                            </w: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 xml:space="preserve">Data are </w:t>
                            </w:r>
                            <w:r>
                              <w:rPr>
                                <w:rFonts w:hint="eastAsia"/>
                                <w:bCs/>
                                <w:sz w:val="12"/>
                                <w:szCs w:val="12"/>
                              </w:rPr>
                              <w:t>a</w:t>
                            </w:r>
                            <w:r w:rsidRPr="0031154C">
                              <w:rPr>
                                <w:rFonts w:hint="eastAsia"/>
                                <w:bCs/>
                                <w:sz w:val="12"/>
                                <w:szCs w:val="12"/>
                              </w:rPr>
                              <w:t>rithmetic mean</w:t>
                            </w: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.</w:t>
                            </w:r>
                          </w:p>
                          <w:p w:rsidR="000B1CDB" w:rsidRDefault="000B1CDB" w:rsidP="000B1CDB">
                            <w:pPr>
                              <w:spacing w:line="240" w:lineRule="atLeast"/>
                              <w:jc w:val="both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8" o:spid="_x0000_s1031" type="#_x0000_t202" style="position:absolute;left:0;text-align:left;margin-left:293.15pt;margin-top:611.8pt;width:3in;height:170.6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" stroked="f">
                <v:textbox>
                  <w:txbxContent>
                    <w:p w:rsidR="000B1CDB" w:rsidRDefault="000B1CDB" w:rsidP="000B1CDB">
                      <w:pPr>
                        <w:spacing w:line="160" w:lineRule="exact"/>
                        <w:jc w:val="both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rFonts w:hint="eastAsia"/>
                          <w:sz w:val="12"/>
                          <w:szCs w:val="12"/>
                        </w:rPr>
                        <w:t xml:space="preserve">Chart </w:t>
                      </w:r>
                      <w:r w:rsidR="00504AAA">
                        <w:rPr>
                          <w:sz w:val="12"/>
                          <w:szCs w:val="12"/>
                        </w:rPr>
                        <w:t>6</w:t>
                      </w:r>
                    </w:p>
                    <w:p w:rsidR="000B1CDB" w:rsidRDefault="000B1CDB" w:rsidP="000B1CDB">
                      <w:pPr>
                        <w:spacing w:line="160" w:lineRule="exact"/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ROE</w:t>
                      </w:r>
                      <w:r w:rsidR="00504AAA">
                        <w:rPr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&amp;</w:t>
                      </w:r>
                      <w:r w:rsidR="00504AAA">
                        <w:rPr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ROA</w:t>
                      </w:r>
                      <w:r>
                        <w:rPr>
                          <w:rFonts w:hint="eastAsia"/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</w:p>
                    <w:p w:rsidR="000B1CDB" w:rsidRDefault="00CE78AC" w:rsidP="000B1CDB">
                      <w:pPr>
                        <w:spacing w:line="240" w:lineRule="atLeast"/>
                        <w:jc w:val="both"/>
                      </w:pPr>
                      <w:r w:rsidRPr="00CE78AC">
                        <w:rPr>
                          <w:noProof/>
                        </w:rPr>
                        <w:drawing>
                          <wp:inline distT="0" distB="0" distL="0" distR="0">
                            <wp:extent cx="2559563" cy="1605280"/>
                            <wp:effectExtent l="0" t="0" r="0" b="0"/>
                            <wp:docPr id="20" name="圖片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64943" cy="160865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B1CDB" w:rsidRDefault="000B1CDB" w:rsidP="000B1CDB">
                      <w:pPr>
                        <w:jc w:val="both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rFonts w:hint="eastAsia"/>
                          <w:sz w:val="12"/>
                          <w:szCs w:val="12"/>
                        </w:rPr>
                        <w:t>Note</w:t>
                      </w:r>
                      <w:r w:rsidR="003B2D62">
                        <w:rPr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hint="eastAsia"/>
                          <w:sz w:val="12"/>
                          <w:szCs w:val="12"/>
                        </w:rPr>
                        <w:t>:</w:t>
                      </w:r>
                      <w:r>
                        <w:rPr>
                          <w:sz w:val="12"/>
                          <w:szCs w:val="12"/>
                        </w:rPr>
                        <w:t>1.ROE = net income before tax/average equity.</w:t>
                      </w:r>
                      <w:r>
                        <w:rPr>
                          <w:rFonts w:hint="eastAsia"/>
                          <w:sz w:val="12"/>
                          <w:szCs w:val="12"/>
                        </w:rPr>
                        <w:t xml:space="preserve"> </w:t>
                      </w:r>
                    </w:p>
                    <w:p w:rsidR="000B1CDB" w:rsidRDefault="000B1CDB" w:rsidP="003B2D62">
                      <w:pPr>
                        <w:ind w:leftChars="133" w:left="319" w:firstLine="1"/>
                        <w:jc w:val="both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2</w:t>
                      </w:r>
                      <w:r>
                        <w:rPr>
                          <w:rFonts w:hint="eastAsia"/>
                          <w:sz w:val="12"/>
                          <w:szCs w:val="12"/>
                        </w:rPr>
                        <w:t>.</w:t>
                      </w:r>
                      <w:r>
                        <w:rPr>
                          <w:sz w:val="12"/>
                          <w:szCs w:val="12"/>
                        </w:rPr>
                        <w:t xml:space="preserve">ROA </w:t>
                      </w:r>
                      <w:r>
                        <w:rPr>
                          <w:rFonts w:hint="eastAsia"/>
                          <w:sz w:val="12"/>
                          <w:szCs w:val="12"/>
                        </w:rPr>
                        <w:t>=</w:t>
                      </w:r>
                      <w:r>
                        <w:rPr>
                          <w:sz w:val="12"/>
                          <w:szCs w:val="12"/>
                        </w:rPr>
                        <w:t xml:space="preserve"> net income before tax/average total assets.</w:t>
                      </w:r>
                    </w:p>
                    <w:p w:rsidR="000B1CDB" w:rsidRDefault="000B1CDB" w:rsidP="003B2D62">
                      <w:pPr>
                        <w:ind w:leftChars="110" w:left="264" w:firstLineChars="48" w:firstLine="58"/>
                        <w:jc w:val="both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3.</w:t>
                      </w:r>
                      <w:r>
                        <w:rPr>
                          <w:rFonts w:hint="eastAsia"/>
                          <w:sz w:val="12"/>
                          <w:szCs w:val="12"/>
                        </w:rPr>
                        <w:t xml:space="preserve">Data are </w:t>
                      </w:r>
                      <w:r>
                        <w:rPr>
                          <w:rFonts w:hint="eastAsia"/>
                          <w:bCs/>
                          <w:sz w:val="12"/>
                          <w:szCs w:val="12"/>
                        </w:rPr>
                        <w:t>a</w:t>
                      </w:r>
                      <w:r w:rsidRPr="0031154C">
                        <w:rPr>
                          <w:rFonts w:hint="eastAsia"/>
                          <w:bCs/>
                          <w:sz w:val="12"/>
                          <w:szCs w:val="12"/>
                        </w:rPr>
                        <w:t>rithmetic mean</w:t>
                      </w:r>
                      <w:r>
                        <w:rPr>
                          <w:rFonts w:hint="eastAsia"/>
                          <w:sz w:val="12"/>
                          <w:szCs w:val="12"/>
                        </w:rPr>
                        <w:t>.</w:t>
                      </w:r>
                    </w:p>
                    <w:p w:rsidR="000B1CDB" w:rsidRDefault="000B1CDB" w:rsidP="000B1CDB">
                      <w:pPr>
                        <w:spacing w:line="240" w:lineRule="atLeast"/>
                        <w:jc w:val="both"/>
                        <w:rPr>
                          <w:sz w:val="12"/>
                          <w:szCs w:val="12"/>
                        </w:rPr>
                      </w:pPr>
                    </w:p>
                  </w:txbxContent>
                </v:textbox>
                <w10:wrap type="tight" anchory="page"/>
              </v:shape>
            </w:pict>
          </mc:Fallback>
        </mc:AlternateContent>
      </w:r>
      <w:r w:rsidR="00327ADB" w:rsidRPr="003F72A0">
        <w:t xml:space="preserve">The average </w:t>
      </w:r>
      <w:r w:rsidR="00441A40">
        <w:t>NT dollar liquid</w:t>
      </w:r>
      <w:r w:rsidR="006E293D">
        <w:t>ity</w:t>
      </w:r>
      <w:r w:rsidR="00441A40">
        <w:t xml:space="preserve"> reserve ratio </w:t>
      </w:r>
      <w:r w:rsidR="00117F1E">
        <w:t xml:space="preserve">of domestic banks </w:t>
      </w:r>
      <w:r w:rsidR="00441A40">
        <w:t>was 3</w:t>
      </w:r>
      <w:r w:rsidR="00A4179B">
        <w:t>0</w:t>
      </w:r>
      <w:r w:rsidR="00441A40">
        <w:t>.</w:t>
      </w:r>
      <w:r w:rsidR="00B13816">
        <w:t>8</w:t>
      </w:r>
      <w:r w:rsidR="00A4179B">
        <w:t>5</w:t>
      </w:r>
      <w:r w:rsidR="00441A40">
        <w:t xml:space="preserve">% in </w:t>
      </w:r>
      <w:r w:rsidR="00CE78AC">
        <w:t>December</w:t>
      </w:r>
      <w:r w:rsidR="00441A40">
        <w:t xml:space="preserve"> 2020, with a </w:t>
      </w:r>
      <w:r w:rsidR="00B13816">
        <w:t>d</w:t>
      </w:r>
      <w:r w:rsidR="00C723FB">
        <w:t>e</w:t>
      </w:r>
      <w:r w:rsidR="00B13816">
        <w:t>cline</w:t>
      </w:r>
      <w:r w:rsidR="00441A40">
        <w:t xml:space="preserve"> of </w:t>
      </w:r>
      <w:r w:rsidR="000922E4">
        <w:t>0</w:t>
      </w:r>
      <w:r w:rsidR="00441A40">
        <w:rPr>
          <w:rFonts w:hint="eastAsia"/>
        </w:rPr>
        <w:t>.</w:t>
      </w:r>
      <w:r w:rsidR="00A4179B">
        <w:t>33</w:t>
      </w:r>
      <w:r w:rsidR="00441A40" w:rsidRPr="003F72A0">
        <w:rPr>
          <w:rFonts w:hint="eastAsia"/>
        </w:rPr>
        <w:t xml:space="preserve"> percentage points</w:t>
      </w:r>
      <w:r w:rsidR="00441A40" w:rsidRPr="003F72A0">
        <w:t xml:space="preserve"> </w:t>
      </w:r>
      <w:r w:rsidR="00441A40">
        <w:t xml:space="preserve">compared to that in </w:t>
      </w:r>
      <w:r w:rsidR="001F24EA">
        <w:t>September</w:t>
      </w:r>
      <w:r w:rsidR="00441A40">
        <w:t>.</w:t>
      </w:r>
      <w:r w:rsidR="006E293D" w:rsidRPr="006E293D">
        <w:rPr>
          <w:rFonts w:hint="eastAsia"/>
        </w:rPr>
        <w:t xml:space="preserve"> </w:t>
      </w:r>
      <w:r w:rsidR="006E293D" w:rsidRPr="003F72A0">
        <w:rPr>
          <w:rFonts w:hint="eastAsia"/>
        </w:rPr>
        <w:t>Every domestic bank</w:t>
      </w:r>
      <w:r w:rsidR="006E293D" w:rsidRPr="00B13816">
        <w:t xml:space="preserve"> was well above</w:t>
      </w:r>
      <w:r w:rsidR="006E293D">
        <w:t xml:space="preserve"> the </w:t>
      </w:r>
      <w:r w:rsidR="00094B3D">
        <w:t xml:space="preserve">statutory </w:t>
      </w:r>
      <w:r w:rsidR="006E293D">
        <w:t>min</w:t>
      </w:r>
      <w:r w:rsidR="00094B3D">
        <w:t>imum</w:t>
      </w:r>
      <w:r w:rsidR="006E293D">
        <w:t xml:space="preserve"> </w:t>
      </w:r>
      <w:r w:rsidR="00094B3D">
        <w:t>of 10%.</w:t>
      </w:r>
      <w:r w:rsidR="00441A40">
        <w:t xml:space="preserve"> </w:t>
      </w:r>
      <w:r w:rsidR="00094B3D">
        <w:t>Moreover, t</w:t>
      </w:r>
      <w:r w:rsidR="00CA5EA2">
        <w:t>he average</w:t>
      </w:r>
      <w:r w:rsidR="00441A40">
        <w:t xml:space="preserve"> </w:t>
      </w:r>
      <w:r w:rsidR="00327ADB" w:rsidRPr="003F72A0">
        <w:t xml:space="preserve">liquidity </w:t>
      </w:r>
      <w:r w:rsidR="000A3FD4">
        <w:rPr>
          <w:rFonts w:hint="eastAsia"/>
        </w:rPr>
        <w:t xml:space="preserve">coverage </w:t>
      </w:r>
      <w:r w:rsidR="00327ADB" w:rsidRPr="003F72A0">
        <w:t xml:space="preserve">ratio </w:t>
      </w:r>
      <w:r w:rsidR="00050C63">
        <w:rPr>
          <w:rFonts w:hint="eastAsia"/>
        </w:rPr>
        <w:t xml:space="preserve">(LCR) </w:t>
      </w:r>
      <w:r w:rsidR="00327ADB" w:rsidRPr="003F72A0">
        <w:t xml:space="preserve">was </w:t>
      </w:r>
      <w:r w:rsidR="000A3FD4">
        <w:rPr>
          <w:rFonts w:hint="eastAsia"/>
        </w:rPr>
        <w:t>1</w:t>
      </w:r>
      <w:r w:rsidR="00A4179B">
        <w:t>4</w:t>
      </w:r>
      <w:r w:rsidR="00B13816">
        <w:t>2</w:t>
      </w:r>
      <w:r w:rsidR="00A95EA8">
        <w:rPr>
          <w:rFonts w:hint="eastAsia"/>
        </w:rPr>
        <w:t>.</w:t>
      </w:r>
      <w:r w:rsidR="00B13816">
        <w:t>4</w:t>
      </w:r>
      <w:r w:rsidR="00A4179B">
        <w:t>9</w:t>
      </w:r>
      <w:r w:rsidR="00327ADB" w:rsidRPr="003F72A0">
        <w:rPr>
          <w:rFonts w:hint="eastAsia"/>
        </w:rPr>
        <w:t>%</w:t>
      </w:r>
      <w:r w:rsidR="00327ADB" w:rsidRPr="00110C4F">
        <w:rPr>
          <w:rFonts w:hint="eastAsia"/>
          <w:color w:val="FF0000"/>
        </w:rPr>
        <w:t xml:space="preserve"> </w:t>
      </w:r>
      <w:r w:rsidR="00327ADB" w:rsidRPr="00746146">
        <w:rPr>
          <w:rFonts w:hint="eastAsia"/>
        </w:rPr>
        <w:t xml:space="preserve">as </w:t>
      </w:r>
      <w:r w:rsidR="00D52D92" w:rsidRPr="00746146">
        <w:rPr>
          <w:rFonts w:hint="eastAsia"/>
        </w:rPr>
        <w:t>of</w:t>
      </w:r>
      <w:r w:rsidR="00327ADB" w:rsidRPr="00746146">
        <w:rPr>
          <w:rFonts w:hint="eastAsia"/>
        </w:rPr>
        <w:t xml:space="preserve"> </w:t>
      </w:r>
      <w:r w:rsidR="00D52D92" w:rsidRPr="00746146">
        <w:rPr>
          <w:rFonts w:hint="eastAsia"/>
        </w:rPr>
        <w:t>end-</w:t>
      </w:r>
      <w:r w:rsidR="00CE78AC" w:rsidRPr="00746146">
        <w:t>December</w:t>
      </w:r>
      <w:r w:rsidR="009734A1" w:rsidRPr="00746146">
        <w:rPr>
          <w:rFonts w:hint="eastAsia"/>
        </w:rPr>
        <w:t xml:space="preserve"> </w:t>
      </w:r>
      <w:r w:rsidR="00D77769" w:rsidRPr="00746146">
        <w:rPr>
          <w:rFonts w:hint="eastAsia"/>
        </w:rPr>
        <w:t>2020</w:t>
      </w:r>
      <w:r w:rsidR="00327ADB" w:rsidRPr="00746146">
        <w:rPr>
          <w:rFonts w:hint="eastAsia"/>
        </w:rPr>
        <w:t xml:space="preserve">, </w:t>
      </w:r>
      <w:r w:rsidR="00746146">
        <w:t>ris</w:t>
      </w:r>
      <w:r w:rsidR="00CA5EA2">
        <w:t>ing</w:t>
      </w:r>
      <w:r w:rsidR="00A8291D">
        <w:t xml:space="preserve"> </w:t>
      </w:r>
      <w:r w:rsidR="00094B3D">
        <w:t>by</w:t>
      </w:r>
      <w:r w:rsidR="00A8291D">
        <w:t xml:space="preserve"> </w:t>
      </w:r>
      <w:r w:rsidR="00746146">
        <w:t>9</w:t>
      </w:r>
      <w:r w:rsidR="00F6629E">
        <w:rPr>
          <w:rFonts w:hint="eastAsia"/>
        </w:rPr>
        <w:t>.</w:t>
      </w:r>
      <w:r w:rsidR="00746146">
        <w:t>8</w:t>
      </w:r>
      <w:r w:rsidR="00B13816">
        <w:t>5</w:t>
      </w:r>
      <w:r w:rsidR="00327ADB" w:rsidRPr="003F72A0">
        <w:rPr>
          <w:rFonts w:hint="eastAsia"/>
        </w:rPr>
        <w:t xml:space="preserve"> percentage points </w:t>
      </w:r>
      <w:r w:rsidR="00094B3D">
        <w:t>from t</w:t>
      </w:r>
      <w:r w:rsidR="00A8291D">
        <w:t xml:space="preserve">he </w:t>
      </w:r>
      <w:r w:rsidR="00746146">
        <w:t>third</w:t>
      </w:r>
      <w:r w:rsidR="00A8291D">
        <w:t xml:space="preserve"> quarter </w:t>
      </w:r>
      <w:r w:rsidR="001131A8" w:rsidRPr="003F72A0">
        <w:t>(</w:t>
      </w:r>
      <w:r w:rsidR="001131A8" w:rsidRPr="003F72A0">
        <w:rPr>
          <w:rFonts w:hint="eastAsia"/>
        </w:rPr>
        <w:t>C</w:t>
      </w:r>
      <w:r w:rsidR="001131A8" w:rsidRPr="003F72A0">
        <w:t>hart</w:t>
      </w:r>
      <w:r w:rsidR="001131A8" w:rsidRPr="003F72A0">
        <w:rPr>
          <w:rFonts w:hint="eastAsia"/>
        </w:rPr>
        <w:t xml:space="preserve"> </w:t>
      </w:r>
      <w:r w:rsidR="00080161">
        <w:t>5</w:t>
      </w:r>
      <w:r w:rsidR="001131A8" w:rsidRPr="003F72A0">
        <w:rPr>
          <w:rFonts w:hint="eastAsia"/>
        </w:rPr>
        <w:t>)</w:t>
      </w:r>
      <w:r w:rsidR="00343031">
        <w:t>, while</w:t>
      </w:r>
      <w:r w:rsidR="00094B3D">
        <w:t xml:space="preserve"> </w:t>
      </w:r>
      <w:r w:rsidR="00343031">
        <w:t>t</w:t>
      </w:r>
      <w:r w:rsidR="000922E4">
        <w:t>he net</w:t>
      </w:r>
      <w:r w:rsidR="00B42F9E">
        <w:t xml:space="preserve"> stable</w:t>
      </w:r>
      <w:r w:rsidR="000922E4">
        <w:t xml:space="preserve"> funding ratio (NSFR)</w:t>
      </w:r>
      <w:r w:rsidR="00327ADB" w:rsidRPr="003F72A0">
        <w:t xml:space="preserve"> </w:t>
      </w:r>
      <w:r w:rsidR="000922E4">
        <w:t>s</w:t>
      </w:r>
      <w:r w:rsidR="00343031">
        <w:t>tood at</w:t>
      </w:r>
      <w:r w:rsidR="000922E4">
        <w:t xml:space="preserve"> 13</w:t>
      </w:r>
      <w:r w:rsidR="00746146">
        <w:t>4</w:t>
      </w:r>
      <w:r w:rsidR="000922E4">
        <w:t>.</w:t>
      </w:r>
      <w:r w:rsidR="00746146">
        <w:t>52</w:t>
      </w:r>
      <w:r w:rsidR="000922E4">
        <w:t xml:space="preserve">%. </w:t>
      </w:r>
      <w:r w:rsidR="00094B3D">
        <w:t>A</w:t>
      </w:r>
      <w:r w:rsidR="000922E4">
        <w:t xml:space="preserve">ll banks met the minimum </w:t>
      </w:r>
      <w:r w:rsidR="00050C63">
        <w:rPr>
          <w:rFonts w:hint="eastAsia"/>
        </w:rPr>
        <w:t>LCR</w:t>
      </w:r>
      <w:r w:rsidR="000922E4" w:rsidRPr="000922E4">
        <w:rPr>
          <w:rFonts w:hint="eastAsia"/>
        </w:rPr>
        <w:t xml:space="preserve"> </w:t>
      </w:r>
      <w:r w:rsidR="000922E4">
        <w:rPr>
          <w:rFonts w:hint="eastAsia"/>
        </w:rPr>
        <w:t>and</w:t>
      </w:r>
      <w:r w:rsidR="00327ADB" w:rsidRPr="003F72A0">
        <w:rPr>
          <w:rFonts w:hint="eastAsia"/>
        </w:rPr>
        <w:t xml:space="preserve"> </w:t>
      </w:r>
      <w:r w:rsidR="000922E4">
        <w:t xml:space="preserve">NSFR </w:t>
      </w:r>
      <w:r w:rsidR="00327ADB" w:rsidRPr="003F72A0">
        <w:rPr>
          <w:rFonts w:hint="eastAsia"/>
        </w:rPr>
        <w:t>requirement.</w:t>
      </w:r>
    </w:p>
    <w:p w:rsidR="000B1CDB" w:rsidRPr="00BD198D" w:rsidRDefault="00094B3D" w:rsidP="00705D43">
      <w:pPr>
        <w:pStyle w:val="a2"/>
        <w:topLinePunct/>
        <w:spacing w:before="200" w:after="240" w:line="360" w:lineRule="exact"/>
        <w:ind w:left="0"/>
        <w:jc w:val="both"/>
        <w:rPr>
          <w:rFonts w:eastAsia="華康楷書體W5"/>
          <w:b/>
          <w:bCs/>
          <w:i/>
          <w:iCs/>
          <w:spacing w:val="-10"/>
          <w:sz w:val="20"/>
        </w:rPr>
      </w:pPr>
      <w:r>
        <w:rPr>
          <w:b/>
          <w:bCs/>
          <w:i/>
          <w:iCs/>
          <w:noProof/>
          <w:sz w:val="20"/>
        </w:rPr>
        <w:t>Profitability decreased significantly</w:t>
      </w:r>
    </w:p>
    <w:p w:rsidR="00094B3D" w:rsidRDefault="00B33CB6" w:rsidP="004B508D">
      <w:pPr>
        <w:pStyle w:val="10"/>
        <w:topLinePunct/>
        <w:spacing w:beforeLines="50" w:before="120" w:line="360" w:lineRule="exact"/>
        <w:ind w:rightChars="-27" w:right="-65" w:firstLineChars="0" w:firstLine="0"/>
      </w:pPr>
      <w:r w:rsidRPr="009A3646">
        <w:rPr>
          <w:rFonts w:hint="eastAsia"/>
        </w:rPr>
        <w:t>Domestic banks as a whole posed a net income before tax of NT$</w:t>
      </w:r>
      <w:r w:rsidR="00746146">
        <w:t>314</w:t>
      </w:r>
      <w:r>
        <w:rPr>
          <w:rFonts w:hint="eastAsia"/>
        </w:rPr>
        <w:t>.</w:t>
      </w:r>
      <w:r w:rsidR="00D43EC8">
        <w:t>32</w:t>
      </w:r>
      <w:r>
        <w:rPr>
          <w:rFonts w:hint="eastAsia"/>
        </w:rPr>
        <w:t xml:space="preserve"> b</w:t>
      </w:r>
      <w:r w:rsidRPr="009A3646">
        <w:rPr>
          <w:rFonts w:hint="eastAsia"/>
        </w:rPr>
        <w:t>illion</w:t>
      </w:r>
      <w:r w:rsidRPr="00483CE7">
        <w:rPr>
          <w:rFonts w:hint="eastAsia"/>
        </w:rPr>
        <w:t xml:space="preserve"> </w:t>
      </w:r>
      <w:r w:rsidR="00746146">
        <w:t>in</w:t>
      </w:r>
      <w:r>
        <w:rPr>
          <w:rFonts w:hint="eastAsia"/>
        </w:rPr>
        <w:t xml:space="preserve"> 2020,</w:t>
      </w:r>
      <w:r w:rsidRPr="002A7086">
        <w:rPr>
          <w:rFonts w:hint="eastAsia"/>
          <w:color w:val="FF0000"/>
        </w:rPr>
        <w:t xml:space="preserve"> </w:t>
      </w:r>
      <w:r w:rsidRPr="00D61A41">
        <w:rPr>
          <w:color w:val="000000"/>
        </w:rPr>
        <w:t>significantly</w:t>
      </w:r>
      <w:r>
        <w:rPr>
          <w:color w:val="FF0000"/>
        </w:rPr>
        <w:t xml:space="preserve"> </w:t>
      </w:r>
      <w:r w:rsidRPr="00E7630C">
        <w:t>de</w:t>
      </w:r>
      <w:r w:rsidRPr="00912792">
        <w:rPr>
          <w:rFonts w:hint="eastAsia"/>
        </w:rPr>
        <w:t>creasing</w:t>
      </w:r>
      <w:r w:rsidRPr="001905FA">
        <w:rPr>
          <w:rFonts w:hint="eastAsia"/>
        </w:rPr>
        <w:t xml:space="preserve"> by NT$</w:t>
      </w:r>
      <w:r w:rsidR="00DA7385">
        <w:t>4</w:t>
      </w:r>
      <w:r w:rsidR="00D43EC8">
        <w:t>7</w:t>
      </w:r>
      <w:r>
        <w:rPr>
          <w:rFonts w:hint="eastAsia"/>
        </w:rPr>
        <w:t>.</w:t>
      </w:r>
      <w:r w:rsidR="00D43EC8">
        <w:t>77</w:t>
      </w:r>
      <w:r w:rsidR="00E57641">
        <w:t xml:space="preserve"> </w:t>
      </w:r>
      <w:r w:rsidRPr="001905FA">
        <w:rPr>
          <w:rFonts w:hint="eastAsia"/>
        </w:rPr>
        <w:t xml:space="preserve">billion or </w:t>
      </w:r>
      <w:r>
        <w:t>1</w:t>
      </w:r>
      <w:r w:rsidR="00B838A1">
        <w:t>3</w:t>
      </w:r>
      <w:r>
        <w:rPr>
          <w:rFonts w:hint="eastAsia"/>
        </w:rPr>
        <w:t>.</w:t>
      </w:r>
      <w:r w:rsidR="00D43EC8">
        <w:t>19</w:t>
      </w:r>
      <w:r w:rsidRPr="001905FA">
        <w:rPr>
          <w:rFonts w:hint="eastAsia"/>
        </w:rPr>
        <w:t xml:space="preserve">% </w:t>
      </w:r>
      <w:r w:rsidR="000373AA">
        <w:t>year on</w:t>
      </w:r>
      <w:r w:rsidRPr="001905FA">
        <w:rPr>
          <w:rFonts w:hint="eastAsia"/>
        </w:rPr>
        <w:t xml:space="preserve"> </w:t>
      </w:r>
      <w:r w:rsidR="000373AA">
        <w:t>year</w:t>
      </w:r>
      <w:r w:rsidRPr="001905FA">
        <w:rPr>
          <w:rFonts w:hint="eastAsia"/>
        </w:rPr>
        <w:t>.</w:t>
      </w:r>
      <w:r>
        <w:t xml:space="preserve"> The decline in </w:t>
      </w:r>
      <w:r w:rsidRPr="009A3646">
        <w:rPr>
          <w:rFonts w:hint="eastAsia"/>
        </w:rPr>
        <w:t>net income before tax</w:t>
      </w:r>
      <w:r>
        <w:t xml:space="preserve"> reflect</w:t>
      </w:r>
      <w:r w:rsidR="00094B3D">
        <w:t>ed</w:t>
      </w:r>
      <w:r>
        <w:t xml:space="preserve"> a</w:t>
      </w:r>
      <w:r w:rsidR="00561793">
        <w:t>n</w:t>
      </w:r>
      <w:r>
        <w:t xml:space="preserve"> uncertain economic activity</w:t>
      </w:r>
      <w:r w:rsidR="00F26DE1">
        <w:t xml:space="preserve"> </w:t>
      </w:r>
      <w:r w:rsidR="000F32FD">
        <w:t xml:space="preserve">and </w:t>
      </w:r>
      <w:r w:rsidR="00BA4E76">
        <w:t>fluctuation</w:t>
      </w:r>
      <w:r w:rsidR="00F26DE1">
        <w:t xml:space="preserve"> of financial market</w:t>
      </w:r>
      <w:r w:rsidR="000F32FD">
        <w:t>s</w:t>
      </w:r>
      <w:r>
        <w:t xml:space="preserve">, which drove </w:t>
      </w:r>
      <w:r w:rsidR="00094B3D">
        <w:t xml:space="preserve">a decrease in investment revenue </w:t>
      </w:r>
      <w:r>
        <w:t>an</w:t>
      </w:r>
      <w:r w:rsidR="00094B3D">
        <w:t>d</w:t>
      </w:r>
      <w:r>
        <w:t xml:space="preserve"> </w:t>
      </w:r>
      <w:r w:rsidR="00117F1E">
        <w:t xml:space="preserve">an </w:t>
      </w:r>
      <w:r>
        <w:t>increase in provision expenses.</w:t>
      </w:r>
      <w:r w:rsidR="00CA58CA">
        <w:t xml:space="preserve"> The top three banks in terms of the net</w:t>
      </w:r>
      <w:r w:rsidR="00CA58CA" w:rsidRPr="00CA58CA">
        <w:t xml:space="preserve"> </w:t>
      </w:r>
      <w:r w:rsidR="00CA58CA">
        <w:t xml:space="preserve">income before tax </w:t>
      </w:r>
      <w:r w:rsidR="00DA7385">
        <w:t>in</w:t>
      </w:r>
      <w:r w:rsidR="00CA58CA">
        <w:t xml:space="preserve"> 2020 were </w:t>
      </w:r>
      <w:r w:rsidR="000373AA" w:rsidRPr="000373AA">
        <w:rPr>
          <w:rFonts w:asciiTheme="minorHAnsi" w:eastAsiaTheme="minorEastAsia" w:hAnsiTheme="minorHAnsi" w:cstheme="minorBidi"/>
          <w:b/>
          <w:bCs/>
          <w:i/>
          <w:iCs/>
          <w:noProof/>
          <w:sz w:val="24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7E4121CE" wp14:editId="23BAD6F2">
                <wp:simplePos x="0" y="0"/>
                <wp:positionH relativeFrom="margin">
                  <wp:posOffset>3622040</wp:posOffset>
                </wp:positionH>
                <wp:positionV relativeFrom="page">
                  <wp:posOffset>925195</wp:posOffset>
                </wp:positionV>
                <wp:extent cx="2743200" cy="2352040"/>
                <wp:effectExtent l="0" t="0" r="0" b="0"/>
                <wp:wrapTight wrapText="bothSides">
                  <wp:wrapPolygon edited="0">
                    <wp:start x="0" y="0"/>
                    <wp:lineTo x="0" y="21343"/>
                    <wp:lineTo x="21450" y="21343"/>
                    <wp:lineTo x="21450" y="0"/>
                    <wp:lineTo x="0" y="0"/>
                  </wp:wrapPolygon>
                </wp:wrapTight>
                <wp:docPr id="2" name="Text Box 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2352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373AA" w:rsidRDefault="000373AA" w:rsidP="000373AA">
                            <w:pPr>
                              <w:spacing w:line="160" w:lineRule="exact"/>
                              <w:jc w:val="both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 xml:space="preserve">Chart 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7</w:t>
                            </w:r>
                          </w:p>
                          <w:p w:rsidR="000373AA" w:rsidRDefault="000373AA" w:rsidP="000373AA">
                            <w:pPr>
                              <w:spacing w:afterLines="25" w:after="60" w:line="160" w:lineRule="exact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6"/>
                                <w:szCs w:val="16"/>
                              </w:rPr>
                              <w:t>Capital ratio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s</w:t>
                            </w:r>
                          </w:p>
                          <w:p w:rsidR="000373AA" w:rsidRDefault="000373AA" w:rsidP="000373AA">
                            <w:pPr>
                              <w:spacing w:line="240" w:lineRule="atLeast"/>
                              <w:jc w:val="both"/>
                            </w:pPr>
                            <w:r w:rsidRPr="00CE78AC">
                              <w:rPr>
                                <w:noProof/>
                              </w:rPr>
                              <w:drawing>
                                <wp:inline distT="0" distB="0" distL="0" distR="0" wp14:anchorId="18143963" wp14:editId="5AEA4B07">
                                  <wp:extent cx="2560320" cy="1752600"/>
                                  <wp:effectExtent l="0" t="0" r="0" b="0"/>
                                  <wp:docPr id="21" name="圖片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60320" cy="1752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373AA" w:rsidRDefault="000373AA" w:rsidP="000373AA">
                            <w:pPr>
                              <w:spacing w:line="240" w:lineRule="atLeast"/>
                              <w:jc w:val="both"/>
                              <w:rPr>
                                <w:bCs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Notes:1.Data are on a quarterly basis</w:t>
                            </w:r>
                            <w:r w:rsidRPr="00D2222A">
                              <w:rPr>
                                <w:rFonts w:hint="eastAsia"/>
                                <w:bCs/>
                                <w:sz w:val="12"/>
                                <w:szCs w:val="12"/>
                              </w:rPr>
                              <w:t>.</w:t>
                            </w:r>
                            <w:r w:rsidRPr="0031154C">
                              <w:rPr>
                                <w:rFonts w:hint="eastAsia"/>
                                <w:bCs/>
                                <w:sz w:val="12"/>
                                <w:szCs w:val="12"/>
                              </w:rPr>
                              <w:t xml:space="preserve"> </w:t>
                            </w:r>
                          </w:p>
                          <w:p w:rsidR="000373AA" w:rsidRDefault="000373AA" w:rsidP="000373AA">
                            <w:pPr>
                              <w:spacing w:line="160" w:lineRule="exact"/>
                              <w:ind w:firstLineChars="268" w:firstLine="322"/>
                              <w:jc w:val="both"/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  <w:sz w:val="12"/>
                                <w:szCs w:val="12"/>
                              </w:rPr>
                              <w:t>2.Data are a</w:t>
                            </w:r>
                            <w:r w:rsidRPr="0031154C">
                              <w:rPr>
                                <w:rFonts w:hint="eastAsia"/>
                                <w:bCs/>
                                <w:sz w:val="12"/>
                                <w:szCs w:val="12"/>
                              </w:rPr>
                              <w:t>rithmetic mean</w:t>
                            </w:r>
                            <w:r>
                              <w:rPr>
                                <w:rFonts w:hint="eastAsia"/>
                                <w:bCs/>
                                <w:sz w:val="12"/>
                                <w:szCs w:val="1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4121CE" id="Text Box 381" o:spid="_x0000_s1032" type="#_x0000_t202" style="position:absolute;left:0;text-align:left;margin-left:285.2pt;margin-top:72.85pt;width:3in;height:185.2pt;z-index:-251653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" stroked="f">
                <v:textbox>
                  <w:txbxContent>
                    <w:p w:rsidR="000373AA" w:rsidRDefault="000373AA" w:rsidP="000373AA">
                      <w:pPr>
                        <w:spacing w:line="160" w:lineRule="exact"/>
                        <w:jc w:val="both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rFonts w:hint="eastAsia"/>
                          <w:sz w:val="12"/>
                          <w:szCs w:val="12"/>
                        </w:rPr>
                        <w:t xml:space="preserve">Chart </w:t>
                      </w:r>
                      <w:r>
                        <w:rPr>
                          <w:sz w:val="12"/>
                          <w:szCs w:val="12"/>
                        </w:rPr>
                        <w:t>7</w:t>
                      </w:r>
                    </w:p>
                    <w:p w:rsidR="000373AA" w:rsidRDefault="000373AA" w:rsidP="000373AA">
                      <w:pPr>
                        <w:spacing w:afterLines="25" w:after="60" w:line="160" w:lineRule="exact"/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6"/>
                          <w:szCs w:val="16"/>
                        </w:rPr>
                        <w:t>Capital ratio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s</w:t>
                      </w:r>
                    </w:p>
                    <w:p w:rsidR="000373AA" w:rsidRDefault="000373AA" w:rsidP="000373AA">
                      <w:pPr>
                        <w:spacing w:line="240" w:lineRule="atLeast"/>
                        <w:jc w:val="both"/>
                      </w:pPr>
                      <w:r w:rsidRPr="00CE78AC">
                        <w:rPr>
                          <w:noProof/>
                        </w:rPr>
                        <w:drawing>
                          <wp:inline distT="0" distB="0" distL="0" distR="0" wp14:anchorId="18143963" wp14:editId="5AEA4B07">
                            <wp:extent cx="2560320" cy="1752600"/>
                            <wp:effectExtent l="0" t="0" r="0" b="0"/>
                            <wp:docPr id="21" name="圖片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60320" cy="1752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373AA" w:rsidRDefault="000373AA" w:rsidP="000373AA">
                      <w:pPr>
                        <w:spacing w:line="240" w:lineRule="atLeast"/>
                        <w:jc w:val="both"/>
                        <w:rPr>
                          <w:bCs/>
                          <w:sz w:val="12"/>
                          <w:szCs w:val="12"/>
                        </w:rPr>
                      </w:pPr>
                      <w:r>
                        <w:rPr>
                          <w:rFonts w:hint="eastAsia"/>
                          <w:sz w:val="12"/>
                          <w:szCs w:val="12"/>
                        </w:rPr>
                        <w:t>Notes:1.Data are on a quarterly basis</w:t>
                      </w:r>
                      <w:r w:rsidRPr="00D2222A">
                        <w:rPr>
                          <w:rFonts w:hint="eastAsia"/>
                          <w:bCs/>
                          <w:sz w:val="12"/>
                          <w:szCs w:val="12"/>
                        </w:rPr>
                        <w:t>.</w:t>
                      </w:r>
                      <w:r w:rsidRPr="0031154C">
                        <w:rPr>
                          <w:rFonts w:hint="eastAsia"/>
                          <w:bCs/>
                          <w:sz w:val="12"/>
                          <w:szCs w:val="12"/>
                        </w:rPr>
                        <w:t xml:space="preserve"> </w:t>
                      </w:r>
                    </w:p>
                    <w:p w:rsidR="000373AA" w:rsidRDefault="000373AA" w:rsidP="000373AA">
                      <w:pPr>
                        <w:spacing w:line="160" w:lineRule="exact"/>
                        <w:ind w:firstLineChars="268" w:firstLine="322"/>
                        <w:jc w:val="both"/>
                        <w:rPr>
                          <w:b/>
                          <w:bCs/>
                          <w:sz w:val="12"/>
                          <w:szCs w:val="12"/>
                        </w:rPr>
                      </w:pPr>
                      <w:r>
                        <w:rPr>
                          <w:rFonts w:hint="eastAsia"/>
                          <w:bCs/>
                          <w:sz w:val="12"/>
                          <w:szCs w:val="12"/>
                        </w:rPr>
                        <w:t>2.Data are a</w:t>
                      </w:r>
                      <w:r w:rsidRPr="0031154C">
                        <w:rPr>
                          <w:rFonts w:hint="eastAsia"/>
                          <w:bCs/>
                          <w:sz w:val="12"/>
                          <w:szCs w:val="12"/>
                        </w:rPr>
                        <w:t>rithmetic mean</w:t>
                      </w:r>
                      <w:r>
                        <w:rPr>
                          <w:rFonts w:hint="eastAsia"/>
                          <w:bCs/>
                          <w:sz w:val="12"/>
                          <w:szCs w:val="12"/>
                        </w:rPr>
                        <w:t>.</w:t>
                      </w:r>
                    </w:p>
                  </w:txbxContent>
                </v:textbox>
                <w10:wrap type="tight" anchorx="margin" anchory="page"/>
              </v:shape>
            </w:pict>
          </mc:Fallback>
        </mc:AlternateContent>
      </w:r>
      <w:r w:rsidR="00CA58CA">
        <w:t xml:space="preserve">CTBC Bank, Cathay United Bank and </w:t>
      </w:r>
      <w:r w:rsidR="00B838A1">
        <w:t xml:space="preserve">Mega International </w:t>
      </w:r>
      <w:r w:rsidR="00F80EAE">
        <w:t>C</w:t>
      </w:r>
      <w:r w:rsidR="00B838A1">
        <w:t>ommercial</w:t>
      </w:r>
      <w:r w:rsidR="00CA58CA">
        <w:t xml:space="preserve"> Bank.</w:t>
      </w:r>
      <w:r>
        <w:rPr>
          <w:rFonts w:hint="eastAsia"/>
        </w:rPr>
        <w:t xml:space="preserve"> </w:t>
      </w:r>
      <w:r w:rsidR="002372BA">
        <w:t xml:space="preserve"> </w:t>
      </w:r>
    </w:p>
    <w:p w:rsidR="000B1CDB" w:rsidRPr="00BD198D" w:rsidRDefault="000B1CDB" w:rsidP="001F64EA">
      <w:pPr>
        <w:pStyle w:val="10"/>
        <w:topLinePunct/>
        <w:spacing w:beforeLines="50" w:before="120" w:line="360" w:lineRule="exact"/>
        <w:ind w:rightChars="-27" w:right="-65" w:firstLineChars="0" w:firstLine="0"/>
      </w:pPr>
      <w:r>
        <w:t xml:space="preserve">The average </w:t>
      </w:r>
      <w:r w:rsidR="000F32FD">
        <w:t>return on equity (</w:t>
      </w:r>
      <w:r>
        <w:t>ROE</w:t>
      </w:r>
      <w:r w:rsidR="000F32FD">
        <w:t>)</w:t>
      </w:r>
      <w:r>
        <w:t xml:space="preserve"> and </w:t>
      </w:r>
      <w:r w:rsidR="000F32FD">
        <w:t>return on assets (</w:t>
      </w:r>
      <w:r>
        <w:t>ROA</w:t>
      </w:r>
      <w:r w:rsidR="000F32FD">
        <w:t>)</w:t>
      </w:r>
      <w:r>
        <w:t xml:space="preserve"> of domestic bank was </w:t>
      </w:r>
      <w:r w:rsidR="00DA7385">
        <w:t>7</w:t>
      </w:r>
      <w:r>
        <w:t>.</w:t>
      </w:r>
      <w:r w:rsidR="00DA7385">
        <w:t>8</w:t>
      </w:r>
      <w:r w:rsidR="00B838A1">
        <w:t>4</w:t>
      </w:r>
      <w:r>
        <w:t>% and 0.</w:t>
      </w:r>
      <w:r w:rsidR="00DA7385">
        <w:t>58</w:t>
      </w:r>
      <w:r>
        <w:t>%</w:t>
      </w:r>
      <w:r w:rsidRPr="00BD198D">
        <w:rPr>
          <w:rFonts w:hint="eastAsia"/>
        </w:rPr>
        <w:t xml:space="preserve"> </w:t>
      </w:r>
      <w:r w:rsidR="00DA7385">
        <w:t>in</w:t>
      </w:r>
      <w:r>
        <w:t xml:space="preserve"> </w:t>
      </w:r>
      <w:r>
        <w:rPr>
          <w:rFonts w:hint="eastAsia"/>
        </w:rPr>
        <w:t>2020</w:t>
      </w:r>
      <w:r w:rsidR="00CA58CA">
        <w:t xml:space="preserve"> </w:t>
      </w:r>
      <w:r w:rsidR="00CA58CA" w:rsidRPr="00BD198D">
        <w:rPr>
          <w:rFonts w:hint="eastAsia"/>
        </w:rPr>
        <w:t>(</w:t>
      </w:r>
      <w:r w:rsidR="00CA58CA" w:rsidRPr="00BD198D">
        <w:t>Chart</w:t>
      </w:r>
      <w:r w:rsidR="00CA58CA" w:rsidRPr="00BD198D">
        <w:rPr>
          <w:rFonts w:hint="eastAsia"/>
        </w:rPr>
        <w:t xml:space="preserve"> </w:t>
      </w:r>
      <w:r w:rsidR="00CA58CA">
        <w:t>6</w:t>
      </w:r>
      <w:r w:rsidR="00CA58CA" w:rsidRPr="00BD198D">
        <w:rPr>
          <w:rFonts w:hint="eastAsia"/>
        </w:rPr>
        <w:t>)</w:t>
      </w:r>
      <w:r>
        <w:t xml:space="preserve">, declining by </w:t>
      </w:r>
      <w:r w:rsidR="00DA7385">
        <w:t>0</w:t>
      </w:r>
      <w:r>
        <w:t>.</w:t>
      </w:r>
      <w:r w:rsidR="00DA7385">
        <w:t>5</w:t>
      </w:r>
      <w:r w:rsidR="00837423">
        <w:t>0</w:t>
      </w:r>
      <w:r>
        <w:t xml:space="preserve"> and 0.0</w:t>
      </w:r>
      <w:r w:rsidR="00DA7385">
        <w:t>4</w:t>
      </w:r>
      <w:r>
        <w:t xml:space="preserve"> </w:t>
      </w:r>
      <w:r w:rsidRPr="00504AAA">
        <w:rPr>
          <w:rFonts w:hint="eastAsia"/>
        </w:rPr>
        <w:t>percentage points</w:t>
      </w:r>
      <w:r w:rsidRPr="00504AAA">
        <w:t>, respectively,</w:t>
      </w:r>
      <w:r w:rsidR="000F32FD">
        <w:t xml:space="preserve"> </w:t>
      </w:r>
      <w:r>
        <w:t>compared to</w:t>
      </w:r>
      <w:r w:rsidR="00561793">
        <w:t xml:space="preserve"> the levels of</w:t>
      </w:r>
      <w:r>
        <w:t xml:space="preserve"> 2019. </w:t>
      </w:r>
    </w:p>
    <w:p w:rsidR="002D42FC" w:rsidRPr="003F72A0" w:rsidRDefault="002D42FC" w:rsidP="001F64EA">
      <w:pPr>
        <w:pStyle w:val="a2"/>
        <w:topLinePunct/>
        <w:spacing w:before="240" w:after="240" w:line="360" w:lineRule="exact"/>
        <w:ind w:left="0"/>
        <w:jc w:val="both"/>
        <w:rPr>
          <w:b/>
          <w:bCs/>
          <w:i/>
          <w:iCs/>
          <w:szCs w:val="24"/>
        </w:rPr>
      </w:pPr>
      <w:r w:rsidRPr="007649A8">
        <w:rPr>
          <w:b/>
          <w:bCs/>
          <w:i/>
          <w:iCs/>
          <w:noProof/>
          <w:sz w:val="20"/>
        </w:rPr>
        <w:t>C</w:t>
      </w:r>
      <w:r w:rsidRPr="007649A8">
        <w:rPr>
          <w:rFonts w:hint="eastAsia"/>
          <w:b/>
          <w:bCs/>
          <w:i/>
          <w:iCs/>
          <w:noProof/>
          <w:sz w:val="20"/>
        </w:rPr>
        <w:t>apital</w:t>
      </w:r>
      <w:r w:rsidRPr="007649A8">
        <w:rPr>
          <w:rFonts w:hint="eastAsia"/>
          <w:b/>
          <w:bCs/>
          <w:i/>
          <w:iCs/>
          <w:sz w:val="20"/>
        </w:rPr>
        <w:t xml:space="preserve"> ratio</w:t>
      </w:r>
      <w:r w:rsidR="00094B3D">
        <w:rPr>
          <w:b/>
          <w:bCs/>
          <w:i/>
          <w:iCs/>
          <w:sz w:val="20"/>
        </w:rPr>
        <w:t>s</w:t>
      </w:r>
      <w:r w:rsidR="00B0034E">
        <w:rPr>
          <w:b/>
          <w:bCs/>
          <w:i/>
          <w:iCs/>
          <w:sz w:val="20"/>
        </w:rPr>
        <w:t xml:space="preserve"> r</w:t>
      </w:r>
      <w:r w:rsidR="009A389A">
        <w:rPr>
          <w:b/>
          <w:bCs/>
          <w:i/>
          <w:iCs/>
          <w:sz w:val="20"/>
        </w:rPr>
        <w:t>o</w:t>
      </w:r>
      <w:r w:rsidR="00B0034E">
        <w:rPr>
          <w:b/>
          <w:bCs/>
          <w:i/>
          <w:iCs/>
          <w:sz w:val="20"/>
        </w:rPr>
        <w:t>se</w:t>
      </w:r>
      <w:r w:rsidR="006810BC">
        <w:rPr>
          <w:b/>
          <w:bCs/>
          <w:i/>
          <w:iCs/>
          <w:sz w:val="20"/>
        </w:rPr>
        <w:t xml:space="preserve"> continually</w:t>
      </w:r>
    </w:p>
    <w:p w:rsidR="00AA116F" w:rsidRPr="00F1230D" w:rsidRDefault="002D42FC" w:rsidP="001F64EA">
      <w:pPr>
        <w:pStyle w:val="10"/>
        <w:topLinePunct/>
        <w:spacing w:line="360" w:lineRule="exact"/>
        <w:ind w:rightChars="-27" w:right="-65" w:firstLineChars="0" w:firstLine="0"/>
        <w:rPr>
          <w:color w:val="FF0000"/>
        </w:rPr>
      </w:pPr>
      <w:r w:rsidRPr="003F72A0">
        <w:rPr>
          <w:rFonts w:hint="eastAsia"/>
        </w:rPr>
        <w:t xml:space="preserve">The average </w:t>
      </w:r>
      <w:r>
        <w:t xml:space="preserve">common equity ratio, Tier 1 capital ratio, and </w:t>
      </w:r>
      <w:r>
        <w:rPr>
          <w:rFonts w:hint="eastAsia"/>
        </w:rPr>
        <w:t xml:space="preserve">capital adequacy ratio </w:t>
      </w:r>
      <w:r>
        <w:t>registered</w:t>
      </w:r>
      <w:r w:rsidRPr="003F72A0">
        <w:rPr>
          <w:rFonts w:hint="eastAsia"/>
        </w:rPr>
        <w:t xml:space="preserve"> 1</w:t>
      </w:r>
      <w:r>
        <w:t>1</w:t>
      </w:r>
      <w:r w:rsidRPr="003F72A0">
        <w:rPr>
          <w:rFonts w:hint="eastAsia"/>
        </w:rPr>
        <w:t>.</w:t>
      </w:r>
      <w:r w:rsidR="00011DFA">
        <w:t>84</w:t>
      </w:r>
      <w:r w:rsidRPr="003F72A0">
        <w:rPr>
          <w:rFonts w:hint="eastAsia"/>
        </w:rPr>
        <w:t>%</w:t>
      </w:r>
      <w:r w:rsidR="00B838A1">
        <w:t>, 12</w:t>
      </w:r>
      <w:r>
        <w:t>.</w:t>
      </w:r>
      <w:r w:rsidR="00011DFA">
        <w:t>80</w:t>
      </w:r>
      <w:r>
        <w:t>% and 14.</w:t>
      </w:r>
      <w:r w:rsidR="00011DFA">
        <w:t>85</w:t>
      </w:r>
      <w:r>
        <w:t xml:space="preserve">% </w:t>
      </w:r>
      <w:r w:rsidRPr="003F72A0">
        <w:rPr>
          <w:rFonts w:hint="eastAsia"/>
        </w:rPr>
        <w:t xml:space="preserve">as </w:t>
      </w:r>
      <w:r>
        <w:rPr>
          <w:rFonts w:hint="eastAsia"/>
        </w:rPr>
        <w:t>of</w:t>
      </w:r>
      <w:r w:rsidRPr="003F72A0">
        <w:rPr>
          <w:rFonts w:hint="eastAsia"/>
        </w:rPr>
        <w:t xml:space="preserve"> end-</w:t>
      </w:r>
      <w:r w:rsidR="00CE78AC">
        <w:t>December</w:t>
      </w:r>
      <w:r w:rsidRPr="003F72A0">
        <w:rPr>
          <w:rFonts w:hint="eastAsia"/>
        </w:rPr>
        <w:t xml:space="preserve"> </w:t>
      </w:r>
      <w:r>
        <w:rPr>
          <w:rFonts w:hint="eastAsia"/>
        </w:rPr>
        <w:t>2020</w:t>
      </w:r>
      <w:r w:rsidRPr="003F72A0">
        <w:rPr>
          <w:rFonts w:hint="eastAsia"/>
        </w:rPr>
        <w:t xml:space="preserve">, </w:t>
      </w:r>
      <w:r w:rsidR="00B838A1">
        <w:t>in</w:t>
      </w:r>
      <w:r w:rsidRPr="003F72A0">
        <w:rPr>
          <w:rFonts w:hint="eastAsia"/>
        </w:rPr>
        <w:t xml:space="preserve">creasing by </w:t>
      </w:r>
      <w:r>
        <w:rPr>
          <w:rFonts w:hint="eastAsia"/>
        </w:rPr>
        <w:t>0.</w:t>
      </w:r>
      <w:r w:rsidR="00011DFA">
        <w:t>59</w:t>
      </w:r>
      <w:r w:rsidR="00B838A1">
        <w:t>, 0.</w:t>
      </w:r>
      <w:r w:rsidR="00011DFA">
        <w:t>69</w:t>
      </w:r>
      <w:r>
        <w:t xml:space="preserve"> and 0.</w:t>
      </w:r>
      <w:r w:rsidR="00011DFA">
        <w:t>7</w:t>
      </w:r>
      <w:r w:rsidR="00B838A1">
        <w:t>1</w:t>
      </w:r>
      <w:r w:rsidRPr="003F72A0">
        <w:rPr>
          <w:rFonts w:hint="eastAsia"/>
        </w:rPr>
        <w:t xml:space="preserve"> percentage points</w:t>
      </w:r>
      <w:r>
        <w:t xml:space="preserve">, respectively, </w:t>
      </w:r>
      <w:r w:rsidRPr="003F72A0">
        <w:rPr>
          <w:rFonts w:hint="eastAsia"/>
        </w:rPr>
        <w:t>compared to</w:t>
      </w:r>
      <w:r w:rsidR="00117F1E">
        <w:t xml:space="preserve"> those of</w:t>
      </w:r>
      <w:r w:rsidRPr="003F72A0">
        <w:rPr>
          <w:rFonts w:hint="eastAsia"/>
        </w:rPr>
        <w:t xml:space="preserve"> end-</w:t>
      </w:r>
      <w:r w:rsidR="001F24EA">
        <w:t>September</w:t>
      </w:r>
      <w:r w:rsidRPr="003F72A0">
        <w:rPr>
          <w:rFonts w:hint="eastAsia"/>
        </w:rPr>
        <w:t xml:space="preserve"> </w:t>
      </w:r>
      <w:r w:rsidR="000F32FD" w:rsidRPr="003F72A0">
        <w:t>(</w:t>
      </w:r>
      <w:r w:rsidR="000F32FD" w:rsidRPr="003F72A0">
        <w:rPr>
          <w:rFonts w:hint="eastAsia"/>
        </w:rPr>
        <w:t>C</w:t>
      </w:r>
      <w:r w:rsidR="000F32FD" w:rsidRPr="003F72A0">
        <w:t>hart</w:t>
      </w:r>
      <w:r w:rsidR="000F32FD" w:rsidRPr="003F72A0">
        <w:rPr>
          <w:rFonts w:hint="eastAsia"/>
        </w:rPr>
        <w:t xml:space="preserve"> </w:t>
      </w:r>
      <w:r w:rsidR="000F32FD">
        <w:t>7</w:t>
      </w:r>
      <w:r w:rsidR="000F32FD" w:rsidRPr="003F72A0">
        <w:rPr>
          <w:rFonts w:hint="eastAsia"/>
        </w:rPr>
        <w:t>)</w:t>
      </w:r>
      <w:r w:rsidRPr="003F72A0">
        <w:rPr>
          <w:rFonts w:hint="eastAsia"/>
        </w:rPr>
        <w:t xml:space="preserve">. </w:t>
      </w:r>
      <w:r w:rsidR="001D64B8">
        <w:t>T</w:t>
      </w:r>
      <w:r w:rsidRPr="003F72A0">
        <w:rPr>
          <w:rFonts w:hint="eastAsia"/>
        </w:rPr>
        <w:t xml:space="preserve">he capital </w:t>
      </w:r>
      <w:r w:rsidR="00094B3D">
        <w:t xml:space="preserve">ratios </w:t>
      </w:r>
      <w:r w:rsidRPr="003F72A0">
        <w:rPr>
          <w:rFonts w:hint="eastAsia"/>
        </w:rPr>
        <w:t xml:space="preserve">for </w:t>
      </w:r>
      <w:r w:rsidR="00094B3D">
        <w:t xml:space="preserve">all </w:t>
      </w:r>
      <w:r w:rsidRPr="003F72A0">
        <w:rPr>
          <w:rFonts w:hint="eastAsia"/>
        </w:rPr>
        <w:t xml:space="preserve">domestic banks </w:t>
      </w:r>
      <w:r w:rsidR="001D64B8">
        <w:t>were strong</w:t>
      </w:r>
      <w:r w:rsidRPr="003F72A0">
        <w:rPr>
          <w:rFonts w:hint="eastAsia"/>
        </w:rPr>
        <w:t xml:space="preserve"> above the </w:t>
      </w:r>
      <w:r w:rsidR="00EC41CA">
        <w:t xml:space="preserve">statutory minimum </w:t>
      </w:r>
      <w:r w:rsidRPr="003F72A0">
        <w:rPr>
          <w:rFonts w:hint="eastAsia"/>
        </w:rPr>
        <w:t>regulatory requirement</w:t>
      </w:r>
      <w:r w:rsidR="00EC41CA">
        <w:t>s</w:t>
      </w:r>
      <w:r w:rsidR="00561793">
        <w:t xml:space="preserve"> </w:t>
      </w:r>
      <w:r w:rsidR="00EC41CA">
        <w:t xml:space="preserve">(7.0%, 8.5%, </w:t>
      </w:r>
      <w:r>
        <w:rPr>
          <w:rFonts w:hint="eastAsia"/>
        </w:rPr>
        <w:t>10</w:t>
      </w:r>
      <w:r w:rsidRPr="00907E11">
        <w:rPr>
          <w:rFonts w:hint="eastAsia"/>
        </w:rPr>
        <w:t>.5</w:t>
      </w:r>
      <w:r>
        <w:rPr>
          <w:rFonts w:hint="eastAsia"/>
        </w:rPr>
        <w:t>0</w:t>
      </w:r>
      <w:r w:rsidRPr="003F72A0">
        <w:rPr>
          <w:rFonts w:hint="eastAsia"/>
        </w:rPr>
        <w:t>%</w:t>
      </w:r>
      <w:r w:rsidR="00EC41CA">
        <w:t>)</w:t>
      </w:r>
      <w:r w:rsidR="00A954C9">
        <w:t>.</w:t>
      </w:r>
    </w:p>
    <w:sectPr w:rsidR="00AA116F" w:rsidRPr="00F1230D" w:rsidSect="001D64B8">
      <w:pgSz w:w="11906" w:h="16838" w:code="9"/>
      <w:pgMar w:top="1418" w:right="851" w:bottom="1418" w:left="851" w:header="851" w:footer="992" w:gutter="0"/>
      <w:cols w:space="113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4405" w:rsidRDefault="00664405">
      <w:r>
        <w:separator/>
      </w:r>
    </w:p>
  </w:endnote>
  <w:endnote w:type="continuationSeparator" w:id="0">
    <w:p w:rsidR="00664405" w:rsidRDefault="0066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仿宋體W4">
    <w:altName w:val="Arial Unicode MS"/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楷書體W5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4405" w:rsidRDefault="00664405">
      <w:r>
        <w:separator/>
      </w:r>
    </w:p>
  </w:footnote>
  <w:footnote w:type="continuationSeparator" w:id="0">
    <w:p w:rsidR="00664405" w:rsidRDefault="00664405">
      <w:r>
        <w:continuationSeparator/>
      </w:r>
    </w:p>
  </w:footnote>
  <w:footnote w:id="1">
    <w:p w:rsidR="00D72A0A" w:rsidRDefault="00D72A0A" w:rsidP="00B80447">
      <w:pPr>
        <w:pStyle w:val="afe"/>
        <w:ind w:leftChars="-6" w:left="128" w:rightChars="117" w:right="281" w:hangingChars="71" w:hanging="142"/>
      </w:pPr>
      <w:r>
        <w:rPr>
          <w:rStyle w:val="affb"/>
        </w:rPr>
        <w:footnoteRef/>
      </w:r>
      <w:r w:rsidR="00D81F2E">
        <w:rPr>
          <w:sz w:val="16"/>
          <w:szCs w:val="16"/>
        </w:rPr>
        <w:t xml:space="preserve"> </w:t>
      </w:r>
      <w:r w:rsidR="000913E6">
        <w:rPr>
          <w:rFonts w:hint="eastAsia"/>
          <w:sz w:val="16"/>
          <w:szCs w:val="16"/>
        </w:rPr>
        <w:t>E</w:t>
      </w:r>
      <w:r w:rsidR="00E31B9D">
        <w:rPr>
          <w:sz w:val="16"/>
          <w:szCs w:val="16"/>
        </w:rPr>
        <w:t>x</w:t>
      </w:r>
      <w:r w:rsidR="00D81F2E" w:rsidRPr="00D81F2E">
        <w:rPr>
          <w:sz w:val="16"/>
          <w:szCs w:val="16"/>
        </w:rPr>
        <w:t>clude</w:t>
      </w:r>
      <w:r w:rsidR="000913E6">
        <w:rPr>
          <w:sz w:val="16"/>
          <w:szCs w:val="16"/>
        </w:rPr>
        <w:t>s</w:t>
      </w:r>
      <w:r w:rsidR="00D81F2E" w:rsidRPr="00D81F2E">
        <w:rPr>
          <w:sz w:val="16"/>
          <w:szCs w:val="16"/>
        </w:rPr>
        <w:t xml:space="preserve"> </w:t>
      </w:r>
      <w:proofErr w:type="spellStart"/>
      <w:r w:rsidR="00D81F2E" w:rsidRPr="00D81F2E">
        <w:rPr>
          <w:sz w:val="16"/>
          <w:szCs w:val="16"/>
        </w:rPr>
        <w:t>Rakuten</w:t>
      </w:r>
      <w:proofErr w:type="spellEnd"/>
      <w:r w:rsidR="00D81F2E" w:rsidRPr="00D81F2E">
        <w:rPr>
          <w:sz w:val="16"/>
          <w:szCs w:val="16"/>
        </w:rPr>
        <w:t xml:space="preserve"> International Commercial Bank opened </w:t>
      </w:r>
      <w:r w:rsidR="00CE7F63">
        <w:rPr>
          <w:sz w:val="16"/>
          <w:szCs w:val="16"/>
        </w:rPr>
        <w:t xml:space="preserve">for business </w:t>
      </w:r>
      <w:r w:rsidR="00D81F2E" w:rsidRPr="00D81F2E">
        <w:rPr>
          <w:sz w:val="16"/>
          <w:szCs w:val="16"/>
        </w:rPr>
        <w:t>on December 30, 2020.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F6EAE12"/>
    <w:lvl w:ilvl="0">
      <w:start w:val="1"/>
      <w:numFmt w:val="decimal"/>
      <w:pStyle w:val="5"/>
      <w:lvlText w:val="%1."/>
      <w:lvlJc w:val="left"/>
      <w:pPr>
        <w:tabs>
          <w:tab w:val="num" w:pos="3415"/>
        </w:tabs>
        <w:ind w:leftChars="1000" w:left="3415" w:hangingChars="200" w:hanging="360"/>
      </w:pPr>
    </w:lvl>
  </w:abstractNum>
  <w:abstractNum w:abstractNumId="1" w15:restartNumberingAfterBreak="0">
    <w:nsid w:val="FFFFFF7D"/>
    <w:multiLevelType w:val="singleLevel"/>
    <w:tmpl w:val="A836BDF8"/>
    <w:lvl w:ilvl="0">
      <w:start w:val="1"/>
      <w:numFmt w:val="decimal"/>
      <w:pStyle w:val="4"/>
      <w:lvlText w:val="%1."/>
      <w:lvlJc w:val="left"/>
      <w:pPr>
        <w:tabs>
          <w:tab w:val="num" w:pos="1801"/>
        </w:tabs>
        <w:ind w:leftChars="800" w:left="1801" w:hangingChars="200" w:hanging="360"/>
      </w:pPr>
    </w:lvl>
  </w:abstractNum>
  <w:abstractNum w:abstractNumId="2" w15:restartNumberingAfterBreak="0">
    <w:nsid w:val="FFFFFF7E"/>
    <w:multiLevelType w:val="singleLevel"/>
    <w:tmpl w:val="6734CAF8"/>
    <w:lvl w:ilvl="0">
      <w:start w:val="1"/>
      <w:numFmt w:val="decimal"/>
      <w:pStyle w:val="3"/>
      <w:lvlText w:val="%1."/>
      <w:lvlJc w:val="left"/>
      <w:pPr>
        <w:tabs>
          <w:tab w:val="num" w:pos="1321"/>
        </w:tabs>
        <w:ind w:leftChars="600" w:left="1321" w:hangingChars="200" w:hanging="360"/>
      </w:pPr>
    </w:lvl>
  </w:abstractNum>
  <w:abstractNum w:abstractNumId="3" w15:restartNumberingAfterBreak="0">
    <w:nsid w:val="FFFFFF7F"/>
    <w:multiLevelType w:val="singleLevel"/>
    <w:tmpl w:val="341A4A4E"/>
    <w:lvl w:ilvl="0">
      <w:start w:val="1"/>
      <w:numFmt w:val="decimal"/>
      <w:pStyle w:val="2"/>
      <w:lvlText w:val="%1."/>
      <w:lvlJc w:val="left"/>
      <w:pPr>
        <w:tabs>
          <w:tab w:val="num" w:pos="841"/>
        </w:tabs>
        <w:ind w:leftChars="400" w:left="841" w:hangingChars="200" w:hanging="360"/>
      </w:pPr>
    </w:lvl>
  </w:abstractNum>
  <w:abstractNum w:abstractNumId="4" w15:restartNumberingAfterBreak="0">
    <w:nsid w:val="FFFFFF80"/>
    <w:multiLevelType w:val="singleLevel"/>
    <w:tmpl w:val="76D8A320"/>
    <w:lvl w:ilvl="0">
      <w:start w:val="1"/>
      <w:numFmt w:val="bullet"/>
      <w:pStyle w:val="50"/>
      <w:lvlText w:val=""/>
      <w:lvlJc w:val="left"/>
      <w:pPr>
        <w:tabs>
          <w:tab w:val="num" w:pos="2281"/>
        </w:tabs>
        <w:ind w:leftChars="1000" w:left="228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952894D8"/>
    <w:lvl w:ilvl="0">
      <w:start w:val="1"/>
      <w:numFmt w:val="bullet"/>
      <w:pStyle w:val="40"/>
      <w:lvlText w:val=""/>
      <w:lvlJc w:val="left"/>
      <w:pPr>
        <w:tabs>
          <w:tab w:val="num" w:pos="1801"/>
        </w:tabs>
        <w:ind w:leftChars="800" w:left="180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030ADBF4"/>
    <w:lvl w:ilvl="0">
      <w:start w:val="1"/>
      <w:numFmt w:val="bullet"/>
      <w:pStyle w:val="30"/>
      <w:lvlText w:val=""/>
      <w:lvlJc w:val="left"/>
      <w:pPr>
        <w:tabs>
          <w:tab w:val="num" w:pos="1321"/>
        </w:tabs>
        <w:ind w:leftChars="600" w:left="132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233ACA8A"/>
    <w:lvl w:ilvl="0">
      <w:start w:val="1"/>
      <w:numFmt w:val="bullet"/>
      <w:pStyle w:val="20"/>
      <w:lvlText w:val=""/>
      <w:lvlJc w:val="left"/>
      <w:pPr>
        <w:tabs>
          <w:tab w:val="num" w:pos="841"/>
        </w:tabs>
        <w:ind w:leftChars="400" w:left="841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7E283F66"/>
    <w:lvl w:ilvl="0">
      <w:start w:val="1"/>
      <w:numFmt w:val="decimal"/>
      <w:pStyle w:val="a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C8585DCA"/>
    <w:lvl w:ilvl="0">
      <w:start w:val="1"/>
      <w:numFmt w:val="bullet"/>
      <w:pStyle w:val="a0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1525D5E"/>
    <w:multiLevelType w:val="hybridMultilevel"/>
    <w:tmpl w:val="70B0ADD2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07336345"/>
    <w:multiLevelType w:val="hybridMultilevel"/>
    <w:tmpl w:val="7A569A30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32C2B514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  <w:sz w:val="16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0861244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3" w15:restartNumberingAfterBreak="0">
    <w:nsid w:val="08652ACD"/>
    <w:multiLevelType w:val="multilevel"/>
    <w:tmpl w:val="66DEE6F6"/>
    <w:lvl w:ilvl="0">
      <w:start w:val="1"/>
      <w:numFmt w:val="decimal"/>
      <w:lvlText w:val="%1."/>
      <w:lvlJc w:val="left"/>
      <w:pPr>
        <w:tabs>
          <w:tab w:val="num" w:pos="614"/>
        </w:tabs>
        <w:ind w:left="614" w:hanging="480"/>
      </w:pPr>
    </w:lvl>
    <w:lvl w:ilvl="1" w:tentative="1">
      <w:start w:val="1"/>
      <w:numFmt w:val="ideographTraditional"/>
      <w:lvlText w:val="%2、"/>
      <w:lvlJc w:val="left"/>
      <w:pPr>
        <w:tabs>
          <w:tab w:val="num" w:pos="1094"/>
        </w:tabs>
        <w:ind w:left="1094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574"/>
        </w:tabs>
        <w:ind w:left="1574" w:hanging="480"/>
      </w:pPr>
    </w:lvl>
    <w:lvl w:ilvl="3" w:tentative="1">
      <w:start w:val="1"/>
      <w:numFmt w:val="decimal"/>
      <w:lvlText w:val="%4."/>
      <w:lvlJc w:val="left"/>
      <w:pPr>
        <w:tabs>
          <w:tab w:val="num" w:pos="2054"/>
        </w:tabs>
        <w:ind w:left="2054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534"/>
        </w:tabs>
        <w:ind w:left="2534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014"/>
        </w:tabs>
        <w:ind w:left="3014" w:hanging="480"/>
      </w:pPr>
    </w:lvl>
    <w:lvl w:ilvl="6" w:tentative="1">
      <w:start w:val="1"/>
      <w:numFmt w:val="decimal"/>
      <w:lvlText w:val="%7."/>
      <w:lvlJc w:val="left"/>
      <w:pPr>
        <w:tabs>
          <w:tab w:val="num" w:pos="3494"/>
        </w:tabs>
        <w:ind w:left="3494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3974"/>
        </w:tabs>
        <w:ind w:left="3974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454"/>
        </w:tabs>
        <w:ind w:left="4454" w:hanging="480"/>
      </w:pPr>
    </w:lvl>
  </w:abstractNum>
  <w:abstractNum w:abstractNumId="14" w15:restartNumberingAfterBreak="0">
    <w:nsid w:val="11F92A41"/>
    <w:multiLevelType w:val="hybridMultilevel"/>
    <w:tmpl w:val="44BC6286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32C2B514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  <w:sz w:val="16"/>
      </w:rPr>
    </w:lvl>
    <w:lvl w:ilvl="2" w:tplc="04090003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157017D9"/>
    <w:multiLevelType w:val="hybridMultilevel"/>
    <w:tmpl w:val="1E16AC1C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15AD403D"/>
    <w:multiLevelType w:val="multilevel"/>
    <w:tmpl w:val="6F520C84"/>
    <w:lvl w:ilvl="0">
      <w:start w:val="1"/>
      <w:numFmt w:val="decimal"/>
      <w:lvlText w:val="%1."/>
      <w:lvlJc w:val="left"/>
      <w:pPr>
        <w:tabs>
          <w:tab w:val="num" w:pos="748"/>
        </w:tabs>
        <w:ind w:left="748" w:hanging="480"/>
      </w:pPr>
    </w:lvl>
    <w:lvl w:ilvl="1" w:tentative="1">
      <w:start w:val="1"/>
      <w:numFmt w:val="ideographTraditional"/>
      <w:lvlText w:val="%2、"/>
      <w:lvlJc w:val="left"/>
      <w:pPr>
        <w:tabs>
          <w:tab w:val="num" w:pos="1228"/>
        </w:tabs>
        <w:ind w:left="1228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708"/>
        </w:tabs>
        <w:ind w:left="1708" w:hanging="480"/>
      </w:pPr>
    </w:lvl>
    <w:lvl w:ilvl="3" w:tentative="1">
      <w:start w:val="1"/>
      <w:numFmt w:val="decimal"/>
      <w:lvlText w:val="%4."/>
      <w:lvlJc w:val="left"/>
      <w:pPr>
        <w:tabs>
          <w:tab w:val="num" w:pos="2188"/>
        </w:tabs>
        <w:ind w:left="2188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668"/>
        </w:tabs>
        <w:ind w:left="2668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48"/>
        </w:tabs>
        <w:ind w:left="3148" w:hanging="480"/>
      </w:pPr>
    </w:lvl>
    <w:lvl w:ilvl="6" w:tentative="1">
      <w:start w:val="1"/>
      <w:numFmt w:val="decimal"/>
      <w:lvlText w:val="%7."/>
      <w:lvlJc w:val="left"/>
      <w:pPr>
        <w:tabs>
          <w:tab w:val="num" w:pos="3628"/>
        </w:tabs>
        <w:ind w:left="3628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108"/>
        </w:tabs>
        <w:ind w:left="4108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88"/>
        </w:tabs>
        <w:ind w:left="4588" w:hanging="480"/>
      </w:pPr>
    </w:lvl>
  </w:abstractNum>
  <w:abstractNum w:abstractNumId="17" w15:restartNumberingAfterBreak="0">
    <w:nsid w:val="16B25444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8" w15:restartNumberingAfterBreak="0">
    <w:nsid w:val="19C673F9"/>
    <w:multiLevelType w:val="hybridMultilevel"/>
    <w:tmpl w:val="BA980BF0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1B7D4834"/>
    <w:multiLevelType w:val="hybridMultilevel"/>
    <w:tmpl w:val="7A569A30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1FD73C2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1" w15:restartNumberingAfterBreak="0">
    <w:nsid w:val="272E45FC"/>
    <w:multiLevelType w:val="hybridMultilevel"/>
    <w:tmpl w:val="44BC6286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32C2B514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  <w:sz w:val="16"/>
      </w:rPr>
    </w:lvl>
    <w:lvl w:ilvl="2" w:tplc="04090003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2C45119E"/>
    <w:multiLevelType w:val="hybridMultilevel"/>
    <w:tmpl w:val="2DEC13F0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2CB30845"/>
    <w:multiLevelType w:val="hybridMultilevel"/>
    <w:tmpl w:val="7A569A30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32C2B514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  <w:sz w:val="16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2CBE2BFD"/>
    <w:multiLevelType w:val="hybridMultilevel"/>
    <w:tmpl w:val="44BC6286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32C2B514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  <w:sz w:val="16"/>
      </w:rPr>
    </w:lvl>
    <w:lvl w:ilvl="2" w:tplc="04090003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3ED53EEB"/>
    <w:multiLevelType w:val="hybridMultilevel"/>
    <w:tmpl w:val="7A569A30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48CA3D69"/>
    <w:multiLevelType w:val="hybridMultilevel"/>
    <w:tmpl w:val="7A569A30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32C2B514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  <w:sz w:val="16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622E44D4"/>
    <w:multiLevelType w:val="hybridMultilevel"/>
    <w:tmpl w:val="A008F19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67493B1F"/>
    <w:multiLevelType w:val="hybridMultilevel"/>
    <w:tmpl w:val="7A569A30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71CA1DAF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</w:abstractNum>
  <w:abstractNum w:abstractNumId="30" w15:restartNumberingAfterBreak="0">
    <w:nsid w:val="732D5464"/>
    <w:multiLevelType w:val="multilevel"/>
    <w:tmpl w:val="A2BA6230"/>
    <w:lvl w:ilvl="0">
      <w:start w:val="1"/>
      <w:numFmt w:val="upperLetter"/>
      <w:lvlText w:val="%1."/>
      <w:lvlJc w:val="left"/>
      <w:pPr>
        <w:tabs>
          <w:tab w:val="num" w:pos="1108"/>
        </w:tabs>
        <w:ind w:left="1108" w:hanging="360"/>
      </w:pPr>
      <w:rPr>
        <w:rFonts w:hint="default"/>
      </w:rPr>
    </w:lvl>
    <w:lvl w:ilvl="1" w:tentative="1">
      <w:start w:val="1"/>
      <w:numFmt w:val="ideographTraditional"/>
      <w:lvlText w:val="%2、"/>
      <w:lvlJc w:val="left"/>
      <w:pPr>
        <w:tabs>
          <w:tab w:val="num" w:pos="1708"/>
        </w:tabs>
        <w:ind w:left="1708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2188"/>
        </w:tabs>
        <w:ind w:left="2188" w:hanging="480"/>
      </w:pPr>
    </w:lvl>
    <w:lvl w:ilvl="3" w:tentative="1">
      <w:start w:val="1"/>
      <w:numFmt w:val="decimal"/>
      <w:lvlText w:val="%4."/>
      <w:lvlJc w:val="left"/>
      <w:pPr>
        <w:tabs>
          <w:tab w:val="num" w:pos="2668"/>
        </w:tabs>
        <w:ind w:left="2668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3148"/>
        </w:tabs>
        <w:ind w:left="3148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628"/>
        </w:tabs>
        <w:ind w:left="3628" w:hanging="480"/>
      </w:pPr>
    </w:lvl>
    <w:lvl w:ilvl="6" w:tentative="1">
      <w:start w:val="1"/>
      <w:numFmt w:val="decimal"/>
      <w:lvlText w:val="%7."/>
      <w:lvlJc w:val="left"/>
      <w:pPr>
        <w:tabs>
          <w:tab w:val="num" w:pos="4108"/>
        </w:tabs>
        <w:ind w:left="4108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588"/>
        </w:tabs>
        <w:ind w:left="4588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5068"/>
        </w:tabs>
        <w:ind w:left="5068" w:hanging="480"/>
      </w:pPr>
    </w:lvl>
  </w:abstractNum>
  <w:abstractNum w:abstractNumId="31" w15:restartNumberingAfterBreak="0">
    <w:nsid w:val="78994F69"/>
    <w:multiLevelType w:val="multilevel"/>
    <w:tmpl w:val="C6A2ACA0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upperLetter"/>
      <w:pStyle w:val="7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lowerRoman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 w15:restartNumberingAfterBreak="0">
    <w:nsid w:val="798E02A3"/>
    <w:multiLevelType w:val="hybridMultilevel"/>
    <w:tmpl w:val="A008F196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29"/>
  </w:num>
  <w:num w:numId="2">
    <w:abstractNumId w:val="17"/>
  </w:num>
  <w:num w:numId="3">
    <w:abstractNumId w:val="20"/>
  </w:num>
  <w:num w:numId="4">
    <w:abstractNumId w:val="31"/>
  </w:num>
  <w:num w:numId="5">
    <w:abstractNumId w:val="13"/>
  </w:num>
  <w:num w:numId="6">
    <w:abstractNumId w:val="16"/>
  </w:num>
  <w:num w:numId="7">
    <w:abstractNumId w:val="30"/>
  </w:num>
  <w:num w:numId="8">
    <w:abstractNumId w:val="12"/>
  </w:num>
  <w:num w:numId="9">
    <w:abstractNumId w:val="18"/>
  </w:num>
  <w:num w:numId="10">
    <w:abstractNumId w:val="19"/>
  </w:num>
  <w:num w:numId="11">
    <w:abstractNumId w:val="28"/>
  </w:num>
  <w:num w:numId="12">
    <w:abstractNumId w:val="21"/>
  </w:num>
  <w:num w:numId="13">
    <w:abstractNumId w:val="10"/>
  </w:num>
  <w:num w:numId="14">
    <w:abstractNumId w:val="26"/>
  </w:num>
  <w:num w:numId="15">
    <w:abstractNumId w:val="23"/>
  </w:num>
  <w:num w:numId="16">
    <w:abstractNumId w:val="14"/>
  </w:num>
  <w:num w:numId="17">
    <w:abstractNumId w:val="24"/>
  </w:num>
  <w:num w:numId="18">
    <w:abstractNumId w:val="25"/>
  </w:num>
  <w:num w:numId="19">
    <w:abstractNumId w:val="11"/>
  </w:num>
  <w:num w:numId="20">
    <w:abstractNumId w:val="8"/>
  </w:num>
  <w:num w:numId="21">
    <w:abstractNumId w:val="3"/>
  </w:num>
  <w:num w:numId="22">
    <w:abstractNumId w:val="2"/>
  </w:num>
  <w:num w:numId="23">
    <w:abstractNumId w:val="1"/>
  </w:num>
  <w:num w:numId="24">
    <w:abstractNumId w:val="0"/>
  </w:num>
  <w:num w:numId="25">
    <w:abstractNumId w:val="9"/>
  </w:num>
  <w:num w:numId="26">
    <w:abstractNumId w:val="7"/>
  </w:num>
  <w:num w:numId="27">
    <w:abstractNumId w:val="6"/>
  </w:num>
  <w:num w:numId="28">
    <w:abstractNumId w:val="5"/>
  </w:num>
  <w:num w:numId="29">
    <w:abstractNumId w:val="4"/>
  </w:num>
  <w:num w:numId="30">
    <w:abstractNumId w:val="32"/>
  </w:num>
  <w:num w:numId="31">
    <w:abstractNumId w:val="27"/>
  </w:num>
  <w:num w:numId="32">
    <w:abstractNumId w:val="22"/>
  </w:num>
  <w:num w:numId="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33793" style="mso-position-vertical-relative:page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58A"/>
    <w:rsid w:val="00000B38"/>
    <w:rsid w:val="000020C3"/>
    <w:rsid w:val="0001161A"/>
    <w:rsid w:val="00011DFA"/>
    <w:rsid w:val="00012071"/>
    <w:rsid w:val="000127C8"/>
    <w:rsid w:val="000128AB"/>
    <w:rsid w:val="00012D75"/>
    <w:rsid w:val="000146AC"/>
    <w:rsid w:val="00015B3C"/>
    <w:rsid w:val="00017069"/>
    <w:rsid w:val="00022A09"/>
    <w:rsid w:val="000252F1"/>
    <w:rsid w:val="00025A3B"/>
    <w:rsid w:val="00031692"/>
    <w:rsid w:val="000373AA"/>
    <w:rsid w:val="00041096"/>
    <w:rsid w:val="00041C2D"/>
    <w:rsid w:val="000426F5"/>
    <w:rsid w:val="00042B4A"/>
    <w:rsid w:val="00042BD6"/>
    <w:rsid w:val="00044042"/>
    <w:rsid w:val="000448E8"/>
    <w:rsid w:val="00050028"/>
    <w:rsid w:val="00050A88"/>
    <w:rsid w:val="00050C63"/>
    <w:rsid w:val="000518FB"/>
    <w:rsid w:val="000531BB"/>
    <w:rsid w:val="000616B2"/>
    <w:rsid w:val="00064BAF"/>
    <w:rsid w:val="00075BA8"/>
    <w:rsid w:val="000769D6"/>
    <w:rsid w:val="00077986"/>
    <w:rsid w:val="00080161"/>
    <w:rsid w:val="000807B1"/>
    <w:rsid w:val="00080EDF"/>
    <w:rsid w:val="00082C90"/>
    <w:rsid w:val="0008484C"/>
    <w:rsid w:val="000913E6"/>
    <w:rsid w:val="000922E4"/>
    <w:rsid w:val="000939A4"/>
    <w:rsid w:val="00094356"/>
    <w:rsid w:val="00094B3D"/>
    <w:rsid w:val="000963FE"/>
    <w:rsid w:val="00097940"/>
    <w:rsid w:val="000A13E8"/>
    <w:rsid w:val="000A160A"/>
    <w:rsid w:val="000A3FD4"/>
    <w:rsid w:val="000A696C"/>
    <w:rsid w:val="000A7FF1"/>
    <w:rsid w:val="000B1CDB"/>
    <w:rsid w:val="000B25ED"/>
    <w:rsid w:val="000B6D6A"/>
    <w:rsid w:val="000C01CC"/>
    <w:rsid w:val="000C02AD"/>
    <w:rsid w:val="000C3F8C"/>
    <w:rsid w:val="000D2835"/>
    <w:rsid w:val="000D508F"/>
    <w:rsid w:val="000E1AB9"/>
    <w:rsid w:val="000E4785"/>
    <w:rsid w:val="000E4C42"/>
    <w:rsid w:val="000E6365"/>
    <w:rsid w:val="000F0481"/>
    <w:rsid w:val="000F1012"/>
    <w:rsid w:val="000F2067"/>
    <w:rsid w:val="000F32FD"/>
    <w:rsid w:val="00101B0F"/>
    <w:rsid w:val="00104942"/>
    <w:rsid w:val="00106976"/>
    <w:rsid w:val="001074C8"/>
    <w:rsid w:val="00110C4F"/>
    <w:rsid w:val="001131A8"/>
    <w:rsid w:val="00113726"/>
    <w:rsid w:val="00113816"/>
    <w:rsid w:val="001143AC"/>
    <w:rsid w:val="0011667D"/>
    <w:rsid w:val="00116A7A"/>
    <w:rsid w:val="00117F1E"/>
    <w:rsid w:val="001247D0"/>
    <w:rsid w:val="00124A86"/>
    <w:rsid w:val="0012637F"/>
    <w:rsid w:val="0012645A"/>
    <w:rsid w:val="00126737"/>
    <w:rsid w:val="00127DDA"/>
    <w:rsid w:val="001302A1"/>
    <w:rsid w:val="00131183"/>
    <w:rsid w:val="0013151D"/>
    <w:rsid w:val="00134177"/>
    <w:rsid w:val="0013535E"/>
    <w:rsid w:val="001368C1"/>
    <w:rsid w:val="0014163C"/>
    <w:rsid w:val="00141B44"/>
    <w:rsid w:val="00141B4E"/>
    <w:rsid w:val="001426E4"/>
    <w:rsid w:val="00145D85"/>
    <w:rsid w:val="001523A1"/>
    <w:rsid w:val="00155612"/>
    <w:rsid w:val="00155F68"/>
    <w:rsid w:val="0016052E"/>
    <w:rsid w:val="0016077D"/>
    <w:rsid w:val="00160F46"/>
    <w:rsid w:val="001624B1"/>
    <w:rsid w:val="00164C0C"/>
    <w:rsid w:val="00171956"/>
    <w:rsid w:val="00174B64"/>
    <w:rsid w:val="00176206"/>
    <w:rsid w:val="0018283B"/>
    <w:rsid w:val="00183134"/>
    <w:rsid w:val="0018755E"/>
    <w:rsid w:val="001905FA"/>
    <w:rsid w:val="001934A5"/>
    <w:rsid w:val="001A3208"/>
    <w:rsid w:val="001A7099"/>
    <w:rsid w:val="001A719C"/>
    <w:rsid w:val="001A74C3"/>
    <w:rsid w:val="001B2691"/>
    <w:rsid w:val="001B34DB"/>
    <w:rsid w:val="001B66E7"/>
    <w:rsid w:val="001B712F"/>
    <w:rsid w:val="001C06FB"/>
    <w:rsid w:val="001C138C"/>
    <w:rsid w:val="001C15EB"/>
    <w:rsid w:val="001C1DDC"/>
    <w:rsid w:val="001D11B7"/>
    <w:rsid w:val="001D3373"/>
    <w:rsid w:val="001D64B8"/>
    <w:rsid w:val="001D6AE7"/>
    <w:rsid w:val="001E28A9"/>
    <w:rsid w:val="001E732B"/>
    <w:rsid w:val="001F0675"/>
    <w:rsid w:val="001F0E67"/>
    <w:rsid w:val="001F0E77"/>
    <w:rsid w:val="001F11BE"/>
    <w:rsid w:val="001F2498"/>
    <w:rsid w:val="001F24EA"/>
    <w:rsid w:val="001F4759"/>
    <w:rsid w:val="001F5667"/>
    <w:rsid w:val="001F64EA"/>
    <w:rsid w:val="001F6F14"/>
    <w:rsid w:val="0020237B"/>
    <w:rsid w:val="00203EB6"/>
    <w:rsid w:val="002041C6"/>
    <w:rsid w:val="00204482"/>
    <w:rsid w:val="0020525B"/>
    <w:rsid w:val="00205C82"/>
    <w:rsid w:val="00214233"/>
    <w:rsid w:val="00215510"/>
    <w:rsid w:val="002161F3"/>
    <w:rsid w:val="00216266"/>
    <w:rsid w:val="00217999"/>
    <w:rsid w:val="00220E5A"/>
    <w:rsid w:val="002278B9"/>
    <w:rsid w:val="00235A1E"/>
    <w:rsid w:val="002372BA"/>
    <w:rsid w:val="0023738E"/>
    <w:rsid w:val="0024024A"/>
    <w:rsid w:val="00240DF4"/>
    <w:rsid w:val="00242744"/>
    <w:rsid w:val="00243941"/>
    <w:rsid w:val="00244DF4"/>
    <w:rsid w:val="002502EC"/>
    <w:rsid w:val="00251F83"/>
    <w:rsid w:val="00255A9E"/>
    <w:rsid w:val="002607FF"/>
    <w:rsid w:val="00260B4A"/>
    <w:rsid w:val="0026198B"/>
    <w:rsid w:val="0026315F"/>
    <w:rsid w:val="002635F3"/>
    <w:rsid w:val="00265790"/>
    <w:rsid w:val="002665E7"/>
    <w:rsid w:val="00266B1D"/>
    <w:rsid w:val="0027002B"/>
    <w:rsid w:val="00270402"/>
    <w:rsid w:val="00271169"/>
    <w:rsid w:val="00273A0F"/>
    <w:rsid w:val="00276C4C"/>
    <w:rsid w:val="00280066"/>
    <w:rsid w:val="00281680"/>
    <w:rsid w:val="00291D72"/>
    <w:rsid w:val="00294E4B"/>
    <w:rsid w:val="00296595"/>
    <w:rsid w:val="00297A9B"/>
    <w:rsid w:val="00297ACF"/>
    <w:rsid w:val="002A2C5E"/>
    <w:rsid w:val="002A2E6B"/>
    <w:rsid w:val="002A3691"/>
    <w:rsid w:val="002A425C"/>
    <w:rsid w:val="002A433D"/>
    <w:rsid w:val="002A7086"/>
    <w:rsid w:val="002A7FB9"/>
    <w:rsid w:val="002B0253"/>
    <w:rsid w:val="002B1F4C"/>
    <w:rsid w:val="002B3183"/>
    <w:rsid w:val="002B4AB1"/>
    <w:rsid w:val="002B4CF3"/>
    <w:rsid w:val="002B5A8E"/>
    <w:rsid w:val="002C0A48"/>
    <w:rsid w:val="002C1A66"/>
    <w:rsid w:val="002C1E4B"/>
    <w:rsid w:val="002C4FDB"/>
    <w:rsid w:val="002C56FD"/>
    <w:rsid w:val="002C7ED9"/>
    <w:rsid w:val="002D06E1"/>
    <w:rsid w:val="002D3BE8"/>
    <w:rsid w:val="002D4032"/>
    <w:rsid w:val="002D429F"/>
    <w:rsid w:val="002D42FC"/>
    <w:rsid w:val="002D5426"/>
    <w:rsid w:val="002D6FCA"/>
    <w:rsid w:val="002E0461"/>
    <w:rsid w:val="002E1077"/>
    <w:rsid w:val="002E3926"/>
    <w:rsid w:val="002E5F7B"/>
    <w:rsid w:val="002F1767"/>
    <w:rsid w:val="002F2DA6"/>
    <w:rsid w:val="002F3B71"/>
    <w:rsid w:val="002F71F2"/>
    <w:rsid w:val="002F7224"/>
    <w:rsid w:val="002F739F"/>
    <w:rsid w:val="00300D84"/>
    <w:rsid w:val="00301A8E"/>
    <w:rsid w:val="003025EB"/>
    <w:rsid w:val="00303DB8"/>
    <w:rsid w:val="00304275"/>
    <w:rsid w:val="00306011"/>
    <w:rsid w:val="00307582"/>
    <w:rsid w:val="003079CE"/>
    <w:rsid w:val="0031154C"/>
    <w:rsid w:val="00313A63"/>
    <w:rsid w:val="003154AB"/>
    <w:rsid w:val="0031663F"/>
    <w:rsid w:val="003202D9"/>
    <w:rsid w:val="003263ED"/>
    <w:rsid w:val="00327ADB"/>
    <w:rsid w:val="003301A5"/>
    <w:rsid w:val="0033092A"/>
    <w:rsid w:val="00331520"/>
    <w:rsid w:val="00331EB4"/>
    <w:rsid w:val="00332C03"/>
    <w:rsid w:val="003337DE"/>
    <w:rsid w:val="00334658"/>
    <w:rsid w:val="0033766B"/>
    <w:rsid w:val="00343031"/>
    <w:rsid w:val="003433BC"/>
    <w:rsid w:val="0034457C"/>
    <w:rsid w:val="00350F83"/>
    <w:rsid w:val="00353EE2"/>
    <w:rsid w:val="0035656F"/>
    <w:rsid w:val="0036193D"/>
    <w:rsid w:val="0036328F"/>
    <w:rsid w:val="00363A13"/>
    <w:rsid w:val="00367DB2"/>
    <w:rsid w:val="003703B2"/>
    <w:rsid w:val="00370636"/>
    <w:rsid w:val="0037275A"/>
    <w:rsid w:val="003735EE"/>
    <w:rsid w:val="00373B50"/>
    <w:rsid w:val="003801B8"/>
    <w:rsid w:val="00380BCF"/>
    <w:rsid w:val="00384BC2"/>
    <w:rsid w:val="00384CC1"/>
    <w:rsid w:val="00394E4A"/>
    <w:rsid w:val="00395126"/>
    <w:rsid w:val="003956FE"/>
    <w:rsid w:val="00395B77"/>
    <w:rsid w:val="00396061"/>
    <w:rsid w:val="003A0035"/>
    <w:rsid w:val="003A38AE"/>
    <w:rsid w:val="003A6278"/>
    <w:rsid w:val="003A65D7"/>
    <w:rsid w:val="003A670A"/>
    <w:rsid w:val="003B2D62"/>
    <w:rsid w:val="003B2EA1"/>
    <w:rsid w:val="003B5B96"/>
    <w:rsid w:val="003B5C99"/>
    <w:rsid w:val="003B5E4D"/>
    <w:rsid w:val="003B7F7E"/>
    <w:rsid w:val="003C068C"/>
    <w:rsid w:val="003C128D"/>
    <w:rsid w:val="003C4894"/>
    <w:rsid w:val="003C63BD"/>
    <w:rsid w:val="003C7545"/>
    <w:rsid w:val="003D0C69"/>
    <w:rsid w:val="003D316D"/>
    <w:rsid w:val="003E14B9"/>
    <w:rsid w:val="003F5C06"/>
    <w:rsid w:val="003F6028"/>
    <w:rsid w:val="003F72A0"/>
    <w:rsid w:val="004005DF"/>
    <w:rsid w:val="004007F6"/>
    <w:rsid w:val="00400C17"/>
    <w:rsid w:val="00400D33"/>
    <w:rsid w:val="00401339"/>
    <w:rsid w:val="00402270"/>
    <w:rsid w:val="0040250E"/>
    <w:rsid w:val="004041CE"/>
    <w:rsid w:val="004057AC"/>
    <w:rsid w:val="00406111"/>
    <w:rsid w:val="0041311B"/>
    <w:rsid w:val="00415EE3"/>
    <w:rsid w:val="004165DA"/>
    <w:rsid w:val="00422BD2"/>
    <w:rsid w:val="00426245"/>
    <w:rsid w:val="004273AA"/>
    <w:rsid w:val="00430036"/>
    <w:rsid w:val="004323B8"/>
    <w:rsid w:val="00433FB1"/>
    <w:rsid w:val="00441A40"/>
    <w:rsid w:val="00444D0A"/>
    <w:rsid w:val="00445C67"/>
    <w:rsid w:val="00446581"/>
    <w:rsid w:val="00455294"/>
    <w:rsid w:val="00462470"/>
    <w:rsid w:val="00462542"/>
    <w:rsid w:val="00463DF4"/>
    <w:rsid w:val="0046597D"/>
    <w:rsid w:val="0046732C"/>
    <w:rsid w:val="00471447"/>
    <w:rsid w:val="00473C7A"/>
    <w:rsid w:val="0047663F"/>
    <w:rsid w:val="00476DD4"/>
    <w:rsid w:val="00481BFE"/>
    <w:rsid w:val="0048267A"/>
    <w:rsid w:val="00483CE7"/>
    <w:rsid w:val="00484445"/>
    <w:rsid w:val="00485B4F"/>
    <w:rsid w:val="00486FF0"/>
    <w:rsid w:val="00490E6C"/>
    <w:rsid w:val="0049300A"/>
    <w:rsid w:val="004953F0"/>
    <w:rsid w:val="004960D2"/>
    <w:rsid w:val="004977C7"/>
    <w:rsid w:val="004B070E"/>
    <w:rsid w:val="004B0A76"/>
    <w:rsid w:val="004B1BA7"/>
    <w:rsid w:val="004B508D"/>
    <w:rsid w:val="004B7A37"/>
    <w:rsid w:val="004C1EF6"/>
    <w:rsid w:val="004C3731"/>
    <w:rsid w:val="004D08A5"/>
    <w:rsid w:val="004D0CF6"/>
    <w:rsid w:val="004D21B2"/>
    <w:rsid w:val="004D4688"/>
    <w:rsid w:val="004D5350"/>
    <w:rsid w:val="004E1786"/>
    <w:rsid w:val="004E2E51"/>
    <w:rsid w:val="004F0C16"/>
    <w:rsid w:val="004F31B6"/>
    <w:rsid w:val="004F521A"/>
    <w:rsid w:val="004F5282"/>
    <w:rsid w:val="00500F07"/>
    <w:rsid w:val="00501EED"/>
    <w:rsid w:val="00501F52"/>
    <w:rsid w:val="005026C9"/>
    <w:rsid w:val="00504AAA"/>
    <w:rsid w:val="00505260"/>
    <w:rsid w:val="00507620"/>
    <w:rsid w:val="0050799B"/>
    <w:rsid w:val="00510C22"/>
    <w:rsid w:val="00517CD6"/>
    <w:rsid w:val="0052130A"/>
    <w:rsid w:val="00521483"/>
    <w:rsid w:val="00523106"/>
    <w:rsid w:val="0052519E"/>
    <w:rsid w:val="00525B93"/>
    <w:rsid w:val="00527C9F"/>
    <w:rsid w:val="00534AF6"/>
    <w:rsid w:val="00535273"/>
    <w:rsid w:val="00535B36"/>
    <w:rsid w:val="0053749C"/>
    <w:rsid w:val="00537C17"/>
    <w:rsid w:val="0054271D"/>
    <w:rsid w:val="00551F17"/>
    <w:rsid w:val="00554B4D"/>
    <w:rsid w:val="00555054"/>
    <w:rsid w:val="0055560B"/>
    <w:rsid w:val="00556A85"/>
    <w:rsid w:val="0055703B"/>
    <w:rsid w:val="005579FB"/>
    <w:rsid w:val="00560430"/>
    <w:rsid w:val="00561793"/>
    <w:rsid w:val="00563800"/>
    <w:rsid w:val="00563C1C"/>
    <w:rsid w:val="005659D3"/>
    <w:rsid w:val="005719AA"/>
    <w:rsid w:val="00576A66"/>
    <w:rsid w:val="00577056"/>
    <w:rsid w:val="005775C6"/>
    <w:rsid w:val="00582A37"/>
    <w:rsid w:val="00582ED1"/>
    <w:rsid w:val="00584657"/>
    <w:rsid w:val="00585ECF"/>
    <w:rsid w:val="00586881"/>
    <w:rsid w:val="00586C62"/>
    <w:rsid w:val="00587915"/>
    <w:rsid w:val="005930CA"/>
    <w:rsid w:val="00595E15"/>
    <w:rsid w:val="0059762F"/>
    <w:rsid w:val="00597884"/>
    <w:rsid w:val="005A2292"/>
    <w:rsid w:val="005A650D"/>
    <w:rsid w:val="005B0781"/>
    <w:rsid w:val="005B09C5"/>
    <w:rsid w:val="005B1F28"/>
    <w:rsid w:val="005B4045"/>
    <w:rsid w:val="005B4F27"/>
    <w:rsid w:val="005B6289"/>
    <w:rsid w:val="005C0B04"/>
    <w:rsid w:val="005C7700"/>
    <w:rsid w:val="005C7C5C"/>
    <w:rsid w:val="005D1823"/>
    <w:rsid w:val="005D3D36"/>
    <w:rsid w:val="005D75A6"/>
    <w:rsid w:val="005E2395"/>
    <w:rsid w:val="005E36AD"/>
    <w:rsid w:val="005E4E7B"/>
    <w:rsid w:val="005E7EA6"/>
    <w:rsid w:val="005F27C9"/>
    <w:rsid w:val="005F2C60"/>
    <w:rsid w:val="005F2EAC"/>
    <w:rsid w:val="005F3CF8"/>
    <w:rsid w:val="006049B7"/>
    <w:rsid w:val="00606A6F"/>
    <w:rsid w:val="00606E62"/>
    <w:rsid w:val="00607B7B"/>
    <w:rsid w:val="00610296"/>
    <w:rsid w:val="006135C4"/>
    <w:rsid w:val="0061459D"/>
    <w:rsid w:val="00616B5F"/>
    <w:rsid w:val="006227CC"/>
    <w:rsid w:val="00624E8A"/>
    <w:rsid w:val="00630DA6"/>
    <w:rsid w:val="00633CFA"/>
    <w:rsid w:val="006342FE"/>
    <w:rsid w:val="00636A51"/>
    <w:rsid w:val="00642C3B"/>
    <w:rsid w:val="00644C3E"/>
    <w:rsid w:val="00650156"/>
    <w:rsid w:val="0065305D"/>
    <w:rsid w:val="006533C1"/>
    <w:rsid w:val="00656E46"/>
    <w:rsid w:val="006626C7"/>
    <w:rsid w:val="00664405"/>
    <w:rsid w:val="00666829"/>
    <w:rsid w:val="006724F0"/>
    <w:rsid w:val="00673EF5"/>
    <w:rsid w:val="00674844"/>
    <w:rsid w:val="00674EB1"/>
    <w:rsid w:val="0067644B"/>
    <w:rsid w:val="006810BC"/>
    <w:rsid w:val="00683E5A"/>
    <w:rsid w:val="00684385"/>
    <w:rsid w:val="00692960"/>
    <w:rsid w:val="00694C45"/>
    <w:rsid w:val="006A2EB7"/>
    <w:rsid w:val="006A31CE"/>
    <w:rsid w:val="006A3AA2"/>
    <w:rsid w:val="006A50FE"/>
    <w:rsid w:val="006A53B8"/>
    <w:rsid w:val="006A7660"/>
    <w:rsid w:val="006A7954"/>
    <w:rsid w:val="006B1791"/>
    <w:rsid w:val="006B5BDF"/>
    <w:rsid w:val="006B74D8"/>
    <w:rsid w:val="006B75A0"/>
    <w:rsid w:val="006B7AE1"/>
    <w:rsid w:val="006C017C"/>
    <w:rsid w:val="006C1E5F"/>
    <w:rsid w:val="006C4062"/>
    <w:rsid w:val="006C485A"/>
    <w:rsid w:val="006C7B01"/>
    <w:rsid w:val="006D1256"/>
    <w:rsid w:val="006D1B3B"/>
    <w:rsid w:val="006D211F"/>
    <w:rsid w:val="006D3970"/>
    <w:rsid w:val="006D42A7"/>
    <w:rsid w:val="006D4389"/>
    <w:rsid w:val="006E293D"/>
    <w:rsid w:val="006E2AF5"/>
    <w:rsid w:val="006E5B60"/>
    <w:rsid w:val="006E7354"/>
    <w:rsid w:val="006F2ED8"/>
    <w:rsid w:val="006F3ED2"/>
    <w:rsid w:val="006F61D9"/>
    <w:rsid w:val="006F6CA7"/>
    <w:rsid w:val="007034C1"/>
    <w:rsid w:val="00703562"/>
    <w:rsid w:val="00705D43"/>
    <w:rsid w:val="007063EB"/>
    <w:rsid w:val="00706D36"/>
    <w:rsid w:val="00713581"/>
    <w:rsid w:val="00714764"/>
    <w:rsid w:val="007168A3"/>
    <w:rsid w:val="007169E1"/>
    <w:rsid w:val="00716F4B"/>
    <w:rsid w:val="00717A2D"/>
    <w:rsid w:val="00717F4A"/>
    <w:rsid w:val="007226EF"/>
    <w:rsid w:val="0072328D"/>
    <w:rsid w:val="00725FD5"/>
    <w:rsid w:val="0073159A"/>
    <w:rsid w:val="00732049"/>
    <w:rsid w:val="00734DC5"/>
    <w:rsid w:val="00740993"/>
    <w:rsid w:val="00741701"/>
    <w:rsid w:val="00741BA2"/>
    <w:rsid w:val="00741EC7"/>
    <w:rsid w:val="007424EE"/>
    <w:rsid w:val="00743629"/>
    <w:rsid w:val="00743EFA"/>
    <w:rsid w:val="00744EA3"/>
    <w:rsid w:val="00746146"/>
    <w:rsid w:val="00746A46"/>
    <w:rsid w:val="00752587"/>
    <w:rsid w:val="00752EA8"/>
    <w:rsid w:val="00754F56"/>
    <w:rsid w:val="00756969"/>
    <w:rsid w:val="00760B7A"/>
    <w:rsid w:val="00762DB9"/>
    <w:rsid w:val="0076411D"/>
    <w:rsid w:val="007649A8"/>
    <w:rsid w:val="00764AB0"/>
    <w:rsid w:val="007668F3"/>
    <w:rsid w:val="007678FC"/>
    <w:rsid w:val="00767EAD"/>
    <w:rsid w:val="00772AC6"/>
    <w:rsid w:val="00773D35"/>
    <w:rsid w:val="00781ABE"/>
    <w:rsid w:val="007828C5"/>
    <w:rsid w:val="00783A9F"/>
    <w:rsid w:val="00786040"/>
    <w:rsid w:val="00786609"/>
    <w:rsid w:val="00787067"/>
    <w:rsid w:val="00792399"/>
    <w:rsid w:val="00792B8C"/>
    <w:rsid w:val="007935AB"/>
    <w:rsid w:val="0079757A"/>
    <w:rsid w:val="007A37B9"/>
    <w:rsid w:val="007A4200"/>
    <w:rsid w:val="007A44C3"/>
    <w:rsid w:val="007B07B1"/>
    <w:rsid w:val="007B26EC"/>
    <w:rsid w:val="007B6103"/>
    <w:rsid w:val="007C1324"/>
    <w:rsid w:val="007C28C1"/>
    <w:rsid w:val="007C4CB0"/>
    <w:rsid w:val="007C7293"/>
    <w:rsid w:val="007D2E7E"/>
    <w:rsid w:val="007D3288"/>
    <w:rsid w:val="007D42A6"/>
    <w:rsid w:val="007D6CE1"/>
    <w:rsid w:val="007E5793"/>
    <w:rsid w:val="007E60D5"/>
    <w:rsid w:val="007F3962"/>
    <w:rsid w:val="007F702C"/>
    <w:rsid w:val="007F79F9"/>
    <w:rsid w:val="00801074"/>
    <w:rsid w:val="00802B62"/>
    <w:rsid w:val="00803FC5"/>
    <w:rsid w:val="00805BDB"/>
    <w:rsid w:val="00806413"/>
    <w:rsid w:val="0080698F"/>
    <w:rsid w:val="008073F8"/>
    <w:rsid w:val="00807710"/>
    <w:rsid w:val="00811A8F"/>
    <w:rsid w:val="00813E97"/>
    <w:rsid w:val="00814D57"/>
    <w:rsid w:val="00822EC5"/>
    <w:rsid w:val="00826623"/>
    <w:rsid w:val="0083049C"/>
    <w:rsid w:val="0083171F"/>
    <w:rsid w:val="00832CEF"/>
    <w:rsid w:val="008352A9"/>
    <w:rsid w:val="00836FD5"/>
    <w:rsid w:val="00837423"/>
    <w:rsid w:val="00837EB4"/>
    <w:rsid w:val="00841444"/>
    <w:rsid w:val="00843AD6"/>
    <w:rsid w:val="00844F48"/>
    <w:rsid w:val="0084563F"/>
    <w:rsid w:val="00846E2F"/>
    <w:rsid w:val="00847087"/>
    <w:rsid w:val="0085088F"/>
    <w:rsid w:val="0085235F"/>
    <w:rsid w:val="00852AA3"/>
    <w:rsid w:val="0085454E"/>
    <w:rsid w:val="00856C50"/>
    <w:rsid w:val="008579E0"/>
    <w:rsid w:val="008647F8"/>
    <w:rsid w:val="00865529"/>
    <w:rsid w:val="008678EB"/>
    <w:rsid w:val="0087572E"/>
    <w:rsid w:val="00876FBD"/>
    <w:rsid w:val="00877319"/>
    <w:rsid w:val="0087766F"/>
    <w:rsid w:val="00881CD6"/>
    <w:rsid w:val="00882A8B"/>
    <w:rsid w:val="00884F85"/>
    <w:rsid w:val="00885224"/>
    <w:rsid w:val="008862B2"/>
    <w:rsid w:val="00887014"/>
    <w:rsid w:val="0088762B"/>
    <w:rsid w:val="00892018"/>
    <w:rsid w:val="00892334"/>
    <w:rsid w:val="00892724"/>
    <w:rsid w:val="00893042"/>
    <w:rsid w:val="00894437"/>
    <w:rsid w:val="00896E31"/>
    <w:rsid w:val="008A0719"/>
    <w:rsid w:val="008A08FA"/>
    <w:rsid w:val="008A1F19"/>
    <w:rsid w:val="008A4B6B"/>
    <w:rsid w:val="008B08D1"/>
    <w:rsid w:val="008B1A4D"/>
    <w:rsid w:val="008B238D"/>
    <w:rsid w:val="008B276D"/>
    <w:rsid w:val="008B2F1C"/>
    <w:rsid w:val="008B3696"/>
    <w:rsid w:val="008C5660"/>
    <w:rsid w:val="008C7FA5"/>
    <w:rsid w:val="008D6633"/>
    <w:rsid w:val="008E2A49"/>
    <w:rsid w:val="008E32B5"/>
    <w:rsid w:val="008E4ED2"/>
    <w:rsid w:val="008E5EAB"/>
    <w:rsid w:val="008E69B4"/>
    <w:rsid w:val="008F0C41"/>
    <w:rsid w:val="008F2EC0"/>
    <w:rsid w:val="008F367D"/>
    <w:rsid w:val="008F3B69"/>
    <w:rsid w:val="008F6206"/>
    <w:rsid w:val="00900371"/>
    <w:rsid w:val="0090192C"/>
    <w:rsid w:val="00905C95"/>
    <w:rsid w:val="00907E11"/>
    <w:rsid w:val="00910530"/>
    <w:rsid w:val="00910585"/>
    <w:rsid w:val="00910B91"/>
    <w:rsid w:val="009120AA"/>
    <w:rsid w:val="00912792"/>
    <w:rsid w:val="009146E2"/>
    <w:rsid w:val="00915C67"/>
    <w:rsid w:val="00920C71"/>
    <w:rsid w:val="00921088"/>
    <w:rsid w:val="00922F50"/>
    <w:rsid w:val="00923041"/>
    <w:rsid w:val="009231DC"/>
    <w:rsid w:val="00923E8E"/>
    <w:rsid w:val="009252C3"/>
    <w:rsid w:val="00925C54"/>
    <w:rsid w:val="009265CF"/>
    <w:rsid w:val="00927983"/>
    <w:rsid w:val="009308B6"/>
    <w:rsid w:val="00931579"/>
    <w:rsid w:val="00931605"/>
    <w:rsid w:val="00932C05"/>
    <w:rsid w:val="00933647"/>
    <w:rsid w:val="00935429"/>
    <w:rsid w:val="00940CCF"/>
    <w:rsid w:val="00941748"/>
    <w:rsid w:val="00942E27"/>
    <w:rsid w:val="0094369B"/>
    <w:rsid w:val="00943DB6"/>
    <w:rsid w:val="009452DA"/>
    <w:rsid w:val="00945EFD"/>
    <w:rsid w:val="00950AF0"/>
    <w:rsid w:val="00953045"/>
    <w:rsid w:val="009532C7"/>
    <w:rsid w:val="00953974"/>
    <w:rsid w:val="009543FE"/>
    <w:rsid w:val="0096298F"/>
    <w:rsid w:val="00962B97"/>
    <w:rsid w:val="00964917"/>
    <w:rsid w:val="009713A4"/>
    <w:rsid w:val="009734A1"/>
    <w:rsid w:val="00973999"/>
    <w:rsid w:val="00974233"/>
    <w:rsid w:val="0097490C"/>
    <w:rsid w:val="00974BAA"/>
    <w:rsid w:val="00975196"/>
    <w:rsid w:val="009812B0"/>
    <w:rsid w:val="0098160A"/>
    <w:rsid w:val="00982201"/>
    <w:rsid w:val="00982515"/>
    <w:rsid w:val="00991E43"/>
    <w:rsid w:val="009926D2"/>
    <w:rsid w:val="00997598"/>
    <w:rsid w:val="009978E2"/>
    <w:rsid w:val="009A246C"/>
    <w:rsid w:val="009A3646"/>
    <w:rsid w:val="009A389A"/>
    <w:rsid w:val="009A432B"/>
    <w:rsid w:val="009B20F1"/>
    <w:rsid w:val="009B4AE1"/>
    <w:rsid w:val="009B595A"/>
    <w:rsid w:val="009B5C81"/>
    <w:rsid w:val="009C1675"/>
    <w:rsid w:val="009C18C1"/>
    <w:rsid w:val="009C22FB"/>
    <w:rsid w:val="009C47EE"/>
    <w:rsid w:val="009C65AC"/>
    <w:rsid w:val="009C6C63"/>
    <w:rsid w:val="009D00C8"/>
    <w:rsid w:val="009D1A7B"/>
    <w:rsid w:val="009D1DFD"/>
    <w:rsid w:val="009D4AD9"/>
    <w:rsid w:val="009D54E2"/>
    <w:rsid w:val="009E4796"/>
    <w:rsid w:val="009E538B"/>
    <w:rsid w:val="009F089B"/>
    <w:rsid w:val="009F6914"/>
    <w:rsid w:val="00A0128E"/>
    <w:rsid w:val="00A019E7"/>
    <w:rsid w:val="00A06829"/>
    <w:rsid w:val="00A07125"/>
    <w:rsid w:val="00A1093F"/>
    <w:rsid w:val="00A1113B"/>
    <w:rsid w:val="00A12856"/>
    <w:rsid w:val="00A12FE1"/>
    <w:rsid w:val="00A13E6D"/>
    <w:rsid w:val="00A14921"/>
    <w:rsid w:val="00A21AB7"/>
    <w:rsid w:val="00A2271E"/>
    <w:rsid w:val="00A23143"/>
    <w:rsid w:val="00A24DAC"/>
    <w:rsid w:val="00A25368"/>
    <w:rsid w:val="00A26C80"/>
    <w:rsid w:val="00A26CBA"/>
    <w:rsid w:val="00A3294C"/>
    <w:rsid w:val="00A4179B"/>
    <w:rsid w:val="00A430AD"/>
    <w:rsid w:val="00A434EF"/>
    <w:rsid w:val="00A45DCD"/>
    <w:rsid w:val="00A461E2"/>
    <w:rsid w:val="00A50619"/>
    <w:rsid w:val="00A52B2B"/>
    <w:rsid w:val="00A53D4D"/>
    <w:rsid w:val="00A546FC"/>
    <w:rsid w:val="00A61C1A"/>
    <w:rsid w:val="00A61E09"/>
    <w:rsid w:val="00A64C60"/>
    <w:rsid w:val="00A71F6F"/>
    <w:rsid w:val="00A72898"/>
    <w:rsid w:val="00A73400"/>
    <w:rsid w:val="00A764D0"/>
    <w:rsid w:val="00A77116"/>
    <w:rsid w:val="00A7791A"/>
    <w:rsid w:val="00A8291D"/>
    <w:rsid w:val="00A82FDF"/>
    <w:rsid w:val="00A830C9"/>
    <w:rsid w:val="00A85B01"/>
    <w:rsid w:val="00A8678F"/>
    <w:rsid w:val="00A913C4"/>
    <w:rsid w:val="00A94634"/>
    <w:rsid w:val="00A954C9"/>
    <w:rsid w:val="00A95EA8"/>
    <w:rsid w:val="00A9630E"/>
    <w:rsid w:val="00A97061"/>
    <w:rsid w:val="00AA116F"/>
    <w:rsid w:val="00AA2DE9"/>
    <w:rsid w:val="00AA484E"/>
    <w:rsid w:val="00AA61C0"/>
    <w:rsid w:val="00AB3488"/>
    <w:rsid w:val="00AB3A7E"/>
    <w:rsid w:val="00AB3B70"/>
    <w:rsid w:val="00AB45E2"/>
    <w:rsid w:val="00AC04DC"/>
    <w:rsid w:val="00AC219B"/>
    <w:rsid w:val="00AC3418"/>
    <w:rsid w:val="00AC3D16"/>
    <w:rsid w:val="00AD3DF4"/>
    <w:rsid w:val="00AD4F63"/>
    <w:rsid w:val="00AE3DC0"/>
    <w:rsid w:val="00AE41B1"/>
    <w:rsid w:val="00AF46FA"/>
    <w:rsid w:val="00AF47D3"/>
    <w:rsid w:val="00AF4AC3"/>
    <w:rsid w:val="00AF767F"/>
    <w:rsid w:val="00AF7C22"/>
    <w:rsid w:val="00B0034E"/>
    <w:rsid w:val="00B063D6"/>
    <w:rsid w:val="00B102A6"/>
    <w:rsid w:val="00B13816"/>
    <w:rsid w:val="00B14D57"/>
    <w:rsid w:val="00B21D10"/>
    <w:rsid w:val="00B21F71"/>
    <w:rsid w:val="00B22130"/>
    <w:rsid w:val="00B25476"/>
    <w:rsid w:val="00B26029"/>
    <w:rsid w:val="00B2710D"/>
    <w:rsid w:val="00B30771"/>
    <w:rsid w:val="00B33CB6"/>
    <w:rsid w:val="00B35115"/>
    <w:rsid w:val="00B414DD"/>
    <w:rsid w:val="00B41FFE"/>
    <w:rsid w:val="00B42175"/>
    <w:rsid w:val="00B42F9E"/>
    <w:rsid w:val="00B43DA1"/>
    <w:rsid w:val="00B441CA"/>
    <w:rsid w:val="00B44E30"/>
    <w:rsid w:val="00B450E7"/>
    <w:rsid w:val="00B46FDE"/>
    <w:rsid w:val="00B51FE8"/>
    <w:rsid w:val="00B53E95"/>
    <w:rsid w:val="00B54571"/>
    <w:rsid w:val="00B54EFD"/>
    <w:rsid w:val="00B556B5"/>
    <w:rsid w:val="00B57824"/>
    <w:rsid w:val="00B6306E"/>
    <w:rsid w:val="00B66AE7"/>
    <w:rsid w:val="00B74B57"/>
    <w:rsid w:val="00B74F59"/>
    <w:rsid w:val="00B75A1B"/>
    <w:rsid w:val="00B75E1C"/>
    <w:rsid w:val="00B7630D"/>
    <w:rsid w:val="00B77B1F"/>
    <w:rsid w:val="00B801D4"/>
    <w:rsid w:val="00B80447"/>
    <w:rsid w:val="00B8195C"/>
    <w:rsid w:val="00B828E7"/>
    <w:rsid w:val="00B838A1"/>
    <w:rsid w:val="00B83CA5"/>
    <w:rsid w:val="00B86270"/>
    <w:rsid w:val="00B9068D"/>
    <w:rsid w:val="00B93790"/>
    <w:rsid w:val="00B95991"/>
    <w:rsid w:val="00B96099"/>
    <w:rsid w:val="00B9614F"/>
    <w:rsid w:val="00B967CB"/>
    <w:rsid w:val="00B9717E"/>
    <w:rsid w:val="00BA4735"/>
    <w:rsid w:val="00BA4E76"/>
    <w:rsid w:val="00BA4E80"/>
    <w:rsid w:val="00BA55A5"/>
    <w:rsid w:val="00BA566D"/>
    <w:rsid w:val="00BA6B3A"/>
    <w:rsid w:val="00BA710F"/>
    <w:rsid w:val="00BB0D02"/>
    <w:rsid w:val="00BB72D9"/>
    <w:rsid w:val="00BB7710"/>
    <w:rsid w:val="00BC283C"/>
    <w:rsid w:val="00BC35BC"/>
    <w:rsid w:val="00BC3F09"/>
    <w:rsid w:val="00BC4F4E"/>
    <w:rsid w:val="00BC5B09"/>
    <w:rsid w:val="00BC6EDE"/>
    <w:rsid w:val="00BD090D"/>
    <w:rsid w:val="00BD198D"/>
    <w:rsid w:val="00BD2029"/>
    <w:rsid w:val="00BD346F"/>
    <w:rsid w:val="00BD5519"/>
    <w:rsid w:val="00BD7A22"/>
    <w:rsid w:val="00BE1477"/>
    <w:rsid w:val="00BE2EA5"/>
    <w:rsid w:val="00BE694A"/>
    <w:rsid w:val="00BE6EE4"/>
    <w:rsid w:val="00BE711F"/>
    <w:rsid w:val="00BF253F"/>
    <w:rsid w:val="00C00653"/>
    <w:rsid w:val="00C01E02"/>
    <w:rsid w:val="00C0788F"/>
    <w:rsid w:val="00C103E6"/>
    <w:rsid w:val="00C10C03"/>
    <w:rsid w:val="00C110A0"/>
    <w:rsid w:val="00C124AE"/>
    <w:rsid w:val="00C2015A"/>
    <w:rsid w:val="00C21AC7"/>
    <w:rsid w:val="00C24251"/>
    <w:rsid w:val="00C2466A"/>
    <w:rsid w:val="00C25154"/>
    <w:rsid w:val="00C2574A"/>
    <w:rsid w:val="00C27026"/>
    <w:rsid w:val="00C31277"/>
    <w:rsid w:val="00C31DBE"/>
    <w:rsid w:val="00C33F84"/>
    <w:rsid w:val="00C35145"/>
    <w:rsid w:val="00C3741F"/>
    <w:rsid w:val="00C41549"/>
    <w:rsid w:val="00C43691"/>
    <w:rsid w:val="00C44F69"/>
    <w:rsid w:val="00C46F9B"/>
    <w:rsid w:val="00C52C8E"/>
    <w:rsid w:val="00C534B0"/>
    <w:rsid w:val="00C53674"/>
    <w:rsid w:val="00C55E34"/>
    <w:rsid w:val="00C63723"/>
    <w:rsid w:val="00C65671"/>
    <w:rsid w:val="00C668E8"/>
    <w:rsid w:val="00C71781"/>
    <w:rsid w:val="00C723FB"/>
    <w:rsid w:val="00C7282F"/>
    <w:rsid w:val="00C77CE3"/>
    <w:rsid w:val="00C803E2"/>
    <w:rsid w:val="00C80562"/>
    <w:rsid w:val="00C82137"/>
    <w:rsid w:val="00C82721"/>
    <w:rsid w:val="00C84ACD"/>
    <w:rsid w:val="00C85432"/>
    <w:rsid w:val="00C86C48"/>
    <w:rsid w:val="00C90037"/>
    <w:rsid w:val="00C940D4"/>
    <w:rsid w:val="00C94715"/>
    <w:rsid w:val="00C97CFC"/>
    <w:rsid w:val="00CA02A7"/>
    <w:rsid w:val="00CA0CF6"/>
    <w:rsid w:val="00CA4586"/>
    <w:rsid w:val="00CA4AA3"/>
    <w:rsid w:val="00CA5157"/>
    <w:rsid w:val="00CA58CA"/>
    <w:rsid w:val="00CA5EA2"/>
    <w:rsid w:val="00CA60EF"/>
    <w:rsid w:val="00CA6E9F"/>
    <w:rsid w:val="00CA7598"/>
    <w:rsid w:val="00CB0726"/>
    <w:rsid w:val="00CB0DFC"/>
    <w:rsid w:val="00CB11D0"/>
    <w:rsid w:val="00CB51B9"/>
    <w:rsid w:val="00CB758F"/>
    <w:rsid w:val="00CC091B"/>
    <w:rsid w:val="00CC138A"/>
    <w:rsid w:val="00CC5C5F"/>
    <w:rsid w:val="00CD0D7F"/>
    <w:rsid w:val="00CD2971"/>
    <w:rsid w:val="00CD4DA1"/>
    <w:rsid w:val="00CD52A1"/>
    <w:rsid w:val="00CD6D99"/>
    <w:rsid w:val="00CE0E8A"/>
    <w:rsid w:val="00CE1EBC"/>
    <w:rsid w:val="00CE312E"/>
    <w:rsid w:val="00CE6603"/>
    <w:rsid w:val="00CE74AF"/>
    <w:rsid w:val="00CE78AC"/>
    <w:rsid w:val="00CE7F63"/>
    <w:rsid w:val="00CF0083"/>
    <w:rsid w:val="00CF0B15"/>
    <w:rsid w:val="00CF31E3"/>
    <w:rsid w:val="00CF7025"/>
    <w:rsid w:val="00CF7D96"/>
    <w:rsid w:val="00D01846"/>
    <w:rsid w:val="00D059B4"/>
    <w:rsid w:val="00D10DC6"/>
    <w:rsid w:val="00D13CB2"/>
    <w:rsid w:val="00D14160"/>
    <w:rsid w:val="00D14418"/>
    <w:rsid w:val="00D15E4E"/>
    <w:rsid w:val="00D16535"/>
    <w:rsid w:val="00D168CD"/>
    <w:rsid w:val="00D2222A"/>
    <w:rsid w:val="00D23A9D"/>
    <w:rsid w:val="00D24370"/>
    <w:rsid w:val="00D339FC"/>
    <w:rsid w:val="00D40C2C"/>
    <w:rsid w:val="00D41012"/>
    <w:rsid w:val="00D43EC8"/>
    <w:rsid w:val="00D44CAE"/>
    <w:rsid w:val="00D45479"/>
    <w:rsid w:val="00D45B56"/>
    <w:rsid w:val="00D52D92"/>
    <w:rsid w:val="00D53FCB"/>
    <w:rsid w:val="00D5694D"/>
    <w:rsid w:val="00D617C5"/>
    <w:rsid w:val="00D61A41"/>
    <w:rsid w:val="00D61D45"/>
    <w:rsid w:val="00D62776"/>
    <w:rsid w:val="00D62838"/>
    <w:rsid w:val="00D6517E"/>
    <w:rsid w:val="00D72A0A"/>
    <w:rsid w:val="00D755A7"/>
    <w:rsid w:val="00D77769"/>
    <w:rsid w:val="00D81F2E"/>
    <w:rsid w:val="00D9345F"/>
    <w:rsid w:val="00D935B5"/>
    <w:rsid w:val="00D957F8"/>
    <w:rsid w:val="00DA0C12"/>
    <w:rsid w:val="00DA0C75"/>
    <w:rsid w:val="00DA258A"/>
    <w:rsid w:val="00DA2B4C"/>
    <w:rsid w:val="00DA46BC"/>
    <w:rsid w:val="00DA5670"/>
    <w:rsid w:val="00DA5ACD"/>
    <w:rsid w:val="00DA6F5E"/>
    <w:rsid w:val="00DA7385"/>
    <w:rsid w:val="00DB0985"/>
    <w:rsid w:val="00DB2BE5"/>
    <w:rsid w:val="00DB4DAC"/>
    <w:rsid w:val="00DB5751"/>
    <w:rsid w:val="00DB5FF5"/>
    <w:rsid w:val="00DB7745"/>
    <w:rsid w:val="00DC232B"/>
    <w:rsid w:val="00DC4155"/>
    <w:rsid w:val="00DC6076"/>
    <w:rsid w:val="00DC6AA4"/>
    <w:rsid w:val="00DC784B"/>
    <w:rsid w:val="00DD178D"/>
    <w:rsid w:val="00DD4204"/>
    <w:rsid w:val="00DD6222"/>
    <w:rsid w:val="00DD6A40"/>
    <w:rsid w:val="00DD7C4D"/>
    <w:rsid w:val="00DE16AE"/>
    <w:rsid w:val="00DE18FB"/>
    <w:rsid w:val="00DE1F77"/>
    <w:rsid w:val="00DE2FBB"/>
    <w:rsid w:val="00DE321B"/>
    <w:rsid w:val="00DE3EB9"/>
    <w:rsid w:val="00DE41AA"/>
    <w:rsid w:val="00DE49F9"/>
    <w:rsid w:val="00DE597B"/>
    <w:rsid w:val="00DE790B"/>
    <w:rsid w:val="00DF0B76"/>
    <w:rsid w:val="00DF1144"/>
    <w:rsid w:val="00DF1711"/>
    <w:rsid w:val="00DF5644"/>
    <w:rsid w:val="00DF6082"/>
    <w:rsid w:val="00DF7B1A"/>
    <w:rsid w:val="00E0097E"/>
    <w:rsid w:val="00E009D2"/>
    <w:rsid w:val="00E027AC"/>
    <w:rsid w:val="00E112DE"/>
    <w:rsid w:val="00E14024"/>
    <w:rsid w:val="00E14096"/>
    <w:rsid w:val="00E15B55"/>
    <w:rsid w:val="00E2180F"/>
    <w:rsid w:val="00E240F4"/>
    <w:rsid w:val="00E2417C"/>
    <w:rsid w:val="00E248F1"/>
    <w:rsid w:val="00E256CA"/>
    <w:rsid w:val="00E31611"/>
    <w:rsid w:val="00E31B9D"/>
    <w:rsid w:val="00E36755"/>
    <w:rsid w:val="00E43551"/>
    <w:rsid w:val="00E47FF0"/>
    <w:rsid w:val="00E51685"/>
    <w:rsid w:val="00E5191C"/>
    <w:rsid w:val="00E51ECC"/>
    <w:rsid w:val="00E56ED2"/>
    <w:rsid w:val="00E57641"/>
    <w:rsid w:val="00E57896"/>
    <w:rsid w:val="00E603D8"/>
    <w:rsid w:val="00E63B11"/>
    <w:rsid w:val="00E64281"/>
    <w:rsid w:val="00E66F05"/>
    <w:rsid w:val="00E706BF"/>
    <w:rsid w:val="00E707A5"/>
    <w:rsid w:val="00E723AD"/>
    <w:rsid w:val="00E734F2"/>
    <w:rsid w:val="00E73B43"/>
    <w:rsid w:val="00E7630C"/>
    <w:rsid w:val="00E77455"/>
    <w:rsid w:val="00E80C28"/>
    <w:rsid w:val="00E8177D"/>
    <w:rsid w:val="00E82A18"/>
    <w:rsid w:val="00E82BD2"/>
    <w:rsid w:val="00E8326A"/>
    <w:rsid w:val="00E83963"/>
    <w:rsid w:val="00E86F68"/>
    <w:rsid w:val="00E90A09"/>
    <w:rsid w:val="00E92CF6"/>
    <w:rsid w:val="00E94AAF"/>
    <w:rsid w:val="00EA0C64"/>
    <w:rsid w:val="00EA176E"/>
    <w:rsid w:val="00EA3642"/>
    <w:rsid w:val="00EA45E6"/>
    <w:rsid w:val="00EB575E"/>
    <w:rsid w:val="00EB59AF"/>
    <w:rsid w:val="00EB5C7E"/>
    <w:rsid w:val="00EB7B8F"/>
    <w:rsid w:val="00EC41CA"/>
    <w:rsid w:val="00ED10AF"/>
    <w:rsid w:val="00ED43B6"/>
    <w:rsid w:val="00ED598D"/>
    <w:rsid w:val="00ED60D4"/>
    <w:rsid w:val="00EE316F"/>
    <w:rsid w:val="00EE35C3"/>
    <w:rsid w:val="00EE453C"/>
    <w:rsid w:val="00EE51BA"/>
    <w:rsid w:val="00EE5F06"/>
    <w:rsid w:val="00EE76BC"/>
    <w:rsid w:val="00EF05D1"/>
    <w:rsid w:val="00EF2CA7"/>
    <w:rsid w:val="00EF4607"/>
    <w:rsid w:val="00EF5BBA"/>
    <w:rsid w:val="00EF69A9"/>
    <w:rsid w:val="00F00CAD"/>
    <w:rsid w:val="00F00CC4"/>
    <w:rsid w:val="00F0190D"/>
    <w:rsid w:val="00F1230D"/>
    <w:rsid w:val="00F12CD4"/>
    <w:rsid w:val="00F137F7"/>
    <w:rsid w:val="00F151E3"/>
    <w:rsid w:val="00F17BEC"/>
    <w:rsid w:val="00F25146"/>
    <w:rsid w:val="00F258A8"/>
    <w:rsid w:val="00F26DE1"/>
    <w:rsid w:val="00F30141"/>
    <w:rsid w:val="00F316AB"/>
    <w:rsid w:val="00F31BFF"/>
    <w:rsid w:val="00F32EF0"/>
    <w:rsid w:val="00F34ABC"/>
    <w:rsid w:val="00F35D99"/>
    <w:rsid w:val="00F36010"/>
    <w:rsid w:val="00F36D18"/>
    <w:rsid w:val="00F42492"/>
    <w:rsid w:val="00F42702"/>
    <w:rsid w:val="00F46A73"/>
    <w:rsid w:val="00F46ECC"/>
    <w:rsid w:val="00F503B1"/>
    <w:rsid w:val="00F503D5"/>
    <w:rsid w:val="00F50C26"/>
    <w:rsid w:val="00F51E9F"/>
    <w:rsid w:val="00F53C30"/>
    <w:rsid w:val="00F53F0E"/>
    <w:rsid w:val="00F54014"/>
    <w:rsid w:val="00F552C8"/>
    <w:rsid w:val="00F558B8"/>
    <w:rsid w:val="00F60441"/>
    <w:rsid w:val="00F64DFC"/>
    <w:rsid w:val="00F6629E"/>
    <w:rsid w:val="00F67983"/>
    <w:rsid w:val="00F67A88"/>
    <w:rsid w:val="00F703CD"/>
    <w:rsid w:val="00F71654"/>
    <w:rsid w:val="00F721E8"/>
    <w:rsid w:val="00F725CF"/>
    <w:rsid w:val="00F74017"/>
    <w:rsid w:val="00F750F7"/>
    <w:rsid w:val="00F752DA"/>
    <w:rsid w:val="00F76DEB"/>
    <w:rsid w:val="00F77448"/>
    <w:rsid w:val="00F77D73"/>
    <w:rsid w:val="00F80EAE"/>
    <w:rsid w:val="00F82704"/>
    <w:rsid w:val="00F8613D"/>
    <w:rsid w:val="00F8791C"/>
    <w:rsid w:val="00F909FA"/>
    <w:rsid w:val="00F90DFA"/>
    <w:rsid w:val="00F95D0B"/>
    <w:rsid w:val="00F9684D"/>
    <w:rsid w:val="00F971C8"/>
    <w:rsid w:val="00FA0C8B"/>
    <w:rsid w:val="00FA0D53"/>
    <w:rsid w:val="00FA295E"/>
    <w:rsid w:val="00FA2FBB"/>
    <w:rsid w:val="00FA4A1F"/>
    <w:rsid w:val="00FA4E6C"/>
    <w:rsid w:val="00FA6E54"/>
    <w:rsid w:val="00FB2427"/>
    <w:rsid w:val="00FB307A"/>
    <w:rsid w:val="00FC5E51"/>
    <w:rsid w:val="00FD13F4"/>
    <w:rsid w:val="00FD2252"/>
    <w:rsid w:val="00FE2477"/>
    <w:rsid w:val="00FE2CF2"/>
    <w:rsid w:val="00FE62A0"/>
    <w:rsid w:val="00FE67A7"/>
    <w:rsid w:val="00FE72D7"/>
    <w:rsid w:val="00FF285E"/>
    <w:rsid w:val="00FF4BB9"/>
    <w:rsid w:val="00FF4DAE"/>
    <w:rsid w:val="00FF4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 style="mso-position-vertical-relative:page" fillcolor="white" stroke="f">
      <v:fill color="white"/>
      <v:stroke on="f"/>
    </o:shapedefaults>
    <o:shapelayout v:ext="edit">
      <o:idmap v:ext="edit" data="1"/>
    </o:shapelayout>
  </w:shapeDefaults>
  <w:decimalSymbol w:val="."/>
  <w:listSeparator w:val=","/>
  <w14:docId w14:val="76C62672"/>
  <w15:chartTrackingRefBased/>
  <w15:docId w15:val="{BDC6B01A-FFAD-40AA-82FF-3A6B6EB73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1"/>
    <w:next w:val="a1"/>
    <w:qFormat/>
    <w:pPr>
      <w:keepNext/>
      <w:adjustRightInd w:val="0"/>
      <w:spacing w:line="360" w:lineRule="atLeast"/>
      <w:jc w:val="center"/>
      <w:textAlignment w:val="baseline"/>
      <w:outlineLvl w:val="0"/>
    </w:pPr>
    <w:rPr>
      <w:rFonts w:ascii="華康仿宋體W4" w:eastAsia="華康仿宋體W4"/>
      <w:spacing w:val="70"/>
      <w:kern w:val="0"/>
      <w:sz w:val="96"/>
      <w:szCs w:val="20"/>
    </w:rPr>
  </w:style>
  <w:style w:type="paragraph" w:styleId="21">
    <w:name w:val="heading 2"/>
    <w:basedOn w:val="a1"/>
    <w:next w:val="a2"/>
    <w:qFormat/>
    <w:pPr>
      <w:keepNext/>
      <w:adjustRightInd w:val="0"/>
      <w:spacing w:line="360" w:lineRule="atLeast"/>
      <w:jc w:val="center"/>
      <w:textAlignment w:val="baseline"/>
      <w:outlineLvl w:val="1"/>
    </w:pPr>
    <w:rPr>
      <w:rFonts w:ascii="華康仿宋體W4" w:eastAsia="華康仿宋體W4"/>
      <w:spacing w:val="-10"/>
      <w:kern w:val="0"/>
      <w:sz w:val="36"/>
      <w:szCs w:val="20"/>
    </w:rPr>
  </w:style>
  <w:style w:type="paragraph" w:styleId="31">
    <w:name w:val="heading 3"/>
    <w:basedOn w:val="a1"/>
    <w:next w:val="a2"/>
    <w:qFormat/>
    <w:pPr>
      <w:keepNext/>
      <w:adjustRightInd w:val="0"/>
      <w:spacing w:line="320" w:lineRule="atLeast"/>
      <w:jc w:val="both"/>
      <w:textAlignment w:val="baseline"/>
      <w:outlineLvl w:val="2"/>
    </w:pPr>
    <w:rPr>
      <w:rFonts w:ascii="華康仿宋體W4" w:eastAsia="華康仿宋體W4"/>
      <w:kern w:val="0"/>
      <w:sz w:val="40"/>
      <w:szCs w:val="20"/>
    </w:rPr>
  </w:style>
  <w:style w:type="paragraph" w:styleId="41">
    <w:name w:val="heading 4"/>
    <w:basedOn w:val="a1"/>
    <w:next w:val="a2"/>
    <w:qFormat/>
    <w:pPr>
      <w:keepNext/>
      <w:spacing w:line="400" w:lineRule="exact"/>
      <w:outlineLvl w:val="3"/>
    </w:pPr>
    <w:rPr>
      <w:sz w:val="32"/>
      <w:szCs w:val="20"/>
    </w:rPr>
  </w:style>
  <w:style w:type="paragraph" w:styleId="51">
    <w:name w:val="heading 5"/>
    <w:basedOn w:val="a1"/>
    <w:next w:val="a2"/>
    <w:qFormat/>
    <w:pPr>
      <w:keepNext/>
      <w:outlineLvl w:val="4"/>
    </w:pPr>
    <w:rPr>
      <w:rFonts w:eastAsia="標楷體"/>
      <w:b/>
      <w:sz w:val="32"/>
      <w:szCs w:val="20"/>
    </w:rPr>
  </w:style>
  <w:style w:type="paragraph" w:styleId="6">
    <w:name w:val="heading 6"/>
    <w:basedOn w:val="a1"/>
    <w:next w:val="a1"/>
    <w:qFormat/>
    <w:pPr>
      <w:keepNext/>
      <w:spacing w:afterLines="50" w:after="120" w:line="400" w:lineRule="exact"/>
      <w:jc w:val="both"/>
      <w:outlineLvl w:val="5"/>
    </w:pPr>
    <w:rPr>
      <w:rFonts w:eastAsia="華康楷書體W5"/>
      <w:b/>
      <w:bCs/>
      <w:i/>
      <w:iCs/>
      <w:sz w:val="28"/>
    </w:rPr>
  </w:style>
  <w:style w:type="paragraph" w:styleId="7">
    <w:name w:val="heading 7"/>
    <w:basedOn w:val="a1"/>
    <w:next w:val="a1"/>
    <w:qFormat/>
    <w:pPr>
      <w:keepNext/>
      <w:numPr>
        <w:ilvl w:val="1"/>
        <w:numId w:val="4"/>
      </w:numPr>
      <w:spacing w:line="360" w:lineRule="exact"/>
      <w:jc w:val="both"/>
      <w:outlineLvl w:val="6"/>
    </w:pPr>
    <w:rPr>
      <w:rFonts w:eastAsia="華康楷書體W5"/>
      <w:i/>
      <w:iCs/>
    </w:rPr>
  </w:style>
  <w:style w:type="paragraph" w:styleId="8">
    <w:name w:val="heading 8"/>
    <w:basedOn w:val="a1"/>
    <w:next w:val="a1"/>
    <w:qFormat/>
    <w:pPr>
      <w:keepNext/>
      <w:adjustRightInd w:val="0"/>
      <w:spacing w:line="360" w:lineRule="atLeast"/>
      <w:jc w:val="center"/>
      <w:textAlignment w:val="baseline"/>
      <w:outlineLvl w:val="7"/>
    </w:pPr>
    <w:rPr>
      <w:rFonts w:ascii="華康楷書體W5" w:eastAsia="細明體"/>
      <w:kern w:val="0"/>
      <w:sz w:val="28"/>
      <w:szCs w:val="20"/>
    </w:rPr>
  </w:style>
  <w:style w:type="paragraph" w:styleId="9">
    <w:name w:val="heading 9"/>
    <w:basedOn w:val="a1"/>
    <w:next w:val="a1"/>
    <w:qFormat/>
    <w:pPr>
      <w:keepNext/>
      <w:spacing w:afterLines="100" w:after="240" w:line="320" w:lineRule="exact"/>
      <w:ind w:firstLineChars="225" w:firstLine="541"/>
      <w:outlineLvl w:val="8"/>
    </w:pPr>
    <w:rPr>
      <w:b/>
      <w:bCs/>
      <w:i/>
      <w:iCs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2">
    <w:name w:val="Normal Indent"/>
    <w:basedOn w:val="a1"/>
    <w:semiHidden/>
    <w:pPr>
      <w:adjustRightInd w:val="0"/>
      <w:spacing w:line="360" w:lineRule="atLeast"/>
      <w:ind w:left="480"/>
      <w:textAlignment w:val="baseline"/>
    </w:pPr>
    <w:rPr>
      <w:rFonts w:eastAsia="細明體"/>
      <w:kern w:val="0"/>
      <w:szCs w:val="20"/>
    </w:rPr>
  </w:style>
  <w:style w:type="paragraph" w:styleId="a6">
    <w:name w:val="Body Text"/>
    <w:basedOn w:val="a1"/>
    <w:link w:val="a7"/>
    <w:semiHidden/>
    <w:rPr>
      <w:rFonts w:eastAsia="標楷體"/>
      <w:sz w:val="28"/>
      <w:szCs w:val="20"/>
    </w:rPr>
  </w:style>
  <w:style w:type="paragraph" w:customStyle="1" w:styleId="10">
    <w:name w:val="本文1"/>
    <w:basedOn w:val="a6"/>
    <w:pPr>
      <w:spacing w:afterLines="50" w:after="120" w:line="300" w:lineRule="exact"/>
      <w:ind w:firstLineChars="250" w:firstLine="500"/>
      <w:jc w:val="both"/>
    </w:pPr>
    <w:rPr>
      <w:rFonts w:eastAsia="華康楷書體W5"/>
      <w:sz w:val="20"/>
    </w:rPr>
  </w:style>
  <w:style w:type="paragraph" w:styleId="32">
    <w:name w:val="Body Text Indent 3"/>
    <w:basedOn w:val="a1"/>
    <w:semiHidden/>
    <w:pPr>
      <w:adjustRightInd w:val="0"/>
      <w:spacing w:line="400" w:lineRule="exact"/>
      <w:ind w:leftChars="200" w:left="480"/>
      <w:textAlignment w:val="baseline"/>
    </w:pPr>
    <w:rPr>
      <w:rFonts w:eastAsia="華康楷書體W5"/>
      <w:kern w:val="0"/>
      <w:sz w:val="28"/>
      <w:szCs w:val="20"/>
    </w:rPr>
  </w:style>
  <w:style w:type="paragraph" w:styleId="a8">
    <w:name w:val="Title"/>
    <w:basedOn w:val="a1"/>
    <w:qFormat/>
    <w:pPr>
      <w:jc w:val="center"/>
    </w:pPr>
    <w:rPr>
      <w:rFonts w:eastAsia="標楷體"/>
      <w:b/>
      <w:sz w:val="36"/>
      <w:szCs w:val="20"/>
    </w:rPr>
  </w:style>
  <w:style w:type="paragraph" w:styleId="a9">
    <w:name w:val="Subtitle"/>
    <w:basedOn w:val="a1"/>
    <w:qFormat/>
    <w:rPr>
      <w:rFonts w:eastAsia="標楷體"/>
      <w:b/>
      <w:sz w:val="32"/>
      <w:szCs w:val="20"/>
    </w:rPr>
  </w:style>
  <w:style w:type="paragraph" w:styleId="aa">
    <w:name w:val="Body Text Indent"/>
    <w:basedOn w:val="a1"/>
    <w:semiHidden/>
    <w:pPr>
      <w:spacing w:after="120"/>
      <w:ind w:left="2520" w:hanging="2520"/>
    </w:pPr>
    <w:rPr>
      <w:sz w:val="28"/>
      <w:szCs w:val="20"/>
    </w:rPr>
  </w:style>
  <w:style w:type="paragraph" w:styleId="HTML">
    <w:name w:val="HTML Address"/>
    <w:basedOn w:val="a1"/>
    <w:semiHidden/>
    <w:rPr>
      <w:i/>
      <w:iCs/>
    </w:rPr>
  </w:style>
  <w:style w:type="paragraph" w:styleId="HTML0">
    <w:name w:val="HTML Preformatted"/>
    <w:basedOn w:val="a1"/>
    <w:semiHidden/>
    <w:rPr>
      <w:rFonts w:ascii="Courier New" w:hAnsi="Courier New" w:cs="Courier New"/>
      <w:sz w:val="20"/>
      <w:szCs w:val="20"/>
    </w:rPr>
  </w:style>
  <w:style w:type="paragraph" w:styleId="ab">
    <w:name w:val="Plain Text"/>
    <w:basedOn w:val="a1"/>
    <w:semiHidden/>
    <w:rPr>
      <w:rFonts w:ascii="細明體" w:eastAsia="細明體" w:hAnsi="Courier New" w:cs="Courier New"/>
    </w:rPr>
  </w:style>
  <w:style w:type="paragraph" w:styleId="Web">
    <w:name w:val="Normal (Web)"/>
    <w:basedOn w:val="a1"/>
    <w:semiHidden/>
  </w:style>
  <w:style w:type="paragraph" w:styleId="ac">
    <w:name w:val="Document Map"/>
    <w:basedOn w:val="a1"/>
    <w:semiHidden/>
    <w:pPr>
      <w:shd w:val="clear" w:color="auto" w:fill="000080"/>
    </w:pPr>
    <w:rPr>
      <w:rFonts w:ascii="Arial" w:hAnsi="Arial"/>
    </w:rPr>
  </w:style>
  <w:style w:type="paragraph" w:styleId="ad">
    <w:name w:val="Date"/>
    <w:basedOn w:val="a1"/>
    <w:next w:val="a1"/>
    <w:semiHidden/>
    <w:pPr>
      <w:jc w:val="right"/>
    </w:pPr>
  </w:style>
  <w:style w:type="paragraph" w:styleId="ae">
    <w:name w:val="macro"/>
    <w:semiHidden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24"/>
      <w:szCs w:val="24"/>
    </w:rPr>
  </w:style>
  <w:style w:type="paragraph" w:styleId="22">
    <w:name w:val="Body Text 2"/>
    <w:basedOn w:val="a1"/>
    <w:semiHidden/>
    <w:pPr>
      <w:spacing w:after="120" w:line="480" w:lineRule="auto"/>
    </w:pPr>
  </w:style>
  <w:style w:type="paragraph" w:styleId="33">
    <w:name w:val="Body Text 3"/>
    <w:basedOn w:val="a1"/>
    <w:semiHidden/>
    <w:pPr>
      <w:spacing w:after="120"/>
    </w:pPr>
    <w:rPr>
      <w:sz w:val="16"/>
      <w:szCs w:val="16"/>
    </w:rPr>
  </w:style>
  <w:style w:type="paragraph" w:styleId="af">
    <w:name w:val="Body Text First Indent"/>
    <w:basedOn w:val="a6"/>
    <w:semiHidden/>
    <w:pPr>
      <w:spacing w:after="120"/>
      <w:ind w:firstLineChars="100" w:firstLine="210"/>
    </w:pPr>
    <w:rPr>
      <w:rFonts w:eastAsia="新細明體"/>
      <w:sz w:val="24"/>
      <w:szCs w:val="24"/>
    </w:rPr>
  </w:style>
  <w:style w:type="paragraph" w:styleId="23">
    <w:name w:val="Body Text First Indent 2"/>
    <w:basedOn w:val="aa"/>
    <w:semiHidden/>
    <w:pPr>
      <w:ind w:leftChars="200" w:left="480" w:firstLineChars="100" w:firstLine="210"/>
    </w:pPr>
    <w:rPr>
      <w:sz w:val="24"/>
      <w:szCs w:val="24"/>
    </w:rPr>
  </w:style>
  <w:style w:type="paragraph" w:styleId="24">
    <w:name w:val="Body Text Indent 2"/>
    <w:basedOn w:val="a1"/>
    <w:semiHidden/>
    <w:pPr>
      <w:spacing w:after="120" w:line="480" w:lineRule="auto"/>
      <w:ind w:leftChars="200" w:left="480"/>
    </w:pPr>
  </w:style>
  <w:style w:type="paragraph" w:styleId="11">
    <w:name w:val="toc 1"/>
    <w:basedOn w:val="a1"/>
    <w:next w:val="a1"/>
    <w:autoRedefine/>
    <w:semiHidden/>
  </w:style>
  <w:style w:type="paragraph" w:styleId="25">
    <w:name w:val="toc 2"/>
    <w:basedOn w:val="a1"/>
    <w:next w:val="a1"/>
    <w:autoRedefine/>
    <w:semiHidden/>
    <w:pPr>
      <w:ind w:leftChars="200" w:left="480"/>
    </w:pPr>
  </w:style>
  <w:style w:type="paragraph" w:styleId="34">
    <w:name w:val="toc 3"/>
    <w:basedOn w:val="a1"/>
    <w:next w:val="a1"/>
    <w:autoRedefine/>
    <w:semiHidden/>
    <w:pPr>
      <w:ind w:leftChars="400" w:left="960"/>
    </w:pPr>
  </w:style>
  <w:style w:type="paragraph" w:styleId="42">
    <w:name w:val="toc 4"/>
    <w:basedOn w:val="a1"/>
    <w:next w:val="a1"/>
    <w:autoRedefine/>
    <w:semiHidden/>
    <w:pPr>
      <w:ind w:leftChars="600" w:left="1440"/>
    </w:pPr>
  </w:style>
  <w:style w:type="paragraph" w:styleId="52">
    <w:name w:val="toc 5"/>
    <w:basedOn w:val="a1"/>
    <w:next w:val="a1"/>
    <w:autoRedefine/>
    <w:semiHidden/>
    <w:pPr>
      <w:ind w:leftChars="800" w:left="1920"/>
    </w:pPr>
  </w:style>
  <w:style w:type="paragraph" w:styleId="60">
    <w:name w:val="toc 6"/>
    <w:basedOn w:val="a1"/>
    <w:next w:val="a1"/>
    <w:autoRedefine/>
    <w:semiHidden/>
    <w:pPr>
      <w:ind w:leftChars="1000" w:left="2400"/>
    </w:pPr>
  </w:style>
  <w:style w:type="paragraph" w:styleId="70">
    <w:name w:val="toc 7"/>
    <w:basedOn w:val="a1"/>
    <w:next w:val="a1"/>
    <w:autoRedefine/>
    <w:semiHidden/>
    <w:pPr>
      <w:ind w:leftChars="1200" w:left="2880"/>
    </w:pPr>
  </w:style>
  <w:style w:type="paragraph" w:styleId="80">
    <w:name w:val="toc 8"/>
    <w:basedOn w:val="a1"/>
    <w:next w:val="a1"/>
    <w:autoRedefine/>
    <w:semiHidden/>
    <w:pPr>
      <w:ind w:leftChars="1400" w:left="3360"/>
    </w:pPr>
  </w:style>
  <w:style w:type="paragraph" w:styleId="90">
    <w:name w:val="toc 9"/>
    <w:basedOn w:val="a1"/>
    <w:next w:val="a1"/>
    <w:autoRedefine/>
    <w:semiHidden/>
    <w:pPr>
      <w:ind w:leftChars="1600" w:left="3840"/>
    </w:pPr>
  </w:style>
  <w:style w:type="paragraph" w:styleId="af0">
    <w:name w:val="envelope address"/>
    <w:basedOn w:val="a1"/>
    <w:semiHidden/>
    <w:pPr>
      <w:framePr w:w="7920" w:h="1980" w:hRule="exact" w:hSpace="180" w:wrap="auto" w:hAnchor="page" w:xAlign="center" w:yAlign="bottom"/>
      <w:snapToGrid w:val="0"/>
      <w:ind w:leftChars="1200" w:left="100"/>
    </w:pPr>
    <w:rPr>
      <w:rFonts w:ascii="Arial" w:hAnsi="Arial" w:cs="Arial"/>
    </w:rPr>
  </w:style>
  <w:style w:type="paragraph" w:styleId="af1">
    <w:name w:val="table of authorities"/>
    <w:basedOn w:val="a1"/>
    <w:next w:val="a1"/>
    <w:semiHidden/>
    <w:pPr>
      <w:ind w:leftChars="200" w:left="480"/>
    </w:pPr>
  </w:style>
  <w:style w:type="paragraph" w:styleId="af2">
    <w:name w:val="toa heading"/>
    <w:basedOn w:val="a1"/>
    <w:next w:val="a1"/>
    <w:semiHidden/>
    <w:pPr>
      <w:spacing w:before="120"/>
    </w:pPr>
    <w:rPr>
      <w:rFonts w:ascii="Arial" w:hAnsi="Arial" w:cs="Arial"/>
    </w:rPr>
  </w:style>
  <w:style w:type="paragraph" w:styleId="af3">
    <w:name w:val="footer"/>
    <w:basedOn w:val="a1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4">
    <w:name w:val="header"/>
    <w:basedOn w:val="a1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12">
    <w:name w:val="index 1"/>
    <w:basedOn w:val="a1"/>
    <w:next w:val="a1"/>
    <w:autoRedefine/>
    <w:semiHidden/>
  </w:style>
  <w:style w:type="paragraph" w:styleId="26">
    <w:name w:val="index 2"/>
    <w:basedOn w:val="a1"/>
    <w:next w:val="a1"/>
    <w:autoRedefine/>
    <w:semiHidden/>
    <w:pPr>
      <w:ind w:leftChars="200" w:left="200"/>
    </w:pPr>
  </w:style>
  <w:style w:type="paragraph" w:styleId="35">
    <w:name w:val="index 3"/>
    <w:basedOn w:val="a1"/>
    <w:next w:val="a1"/>
    <w:autoRedefine/>
    <w:semiHidden/>
    <w:pPr>
      <w:ind w:leftChars="400" w:left="400"/>
    </w:pPr>
  </w:style>
  <w:style w:type="paragraph" w:styleId="43">
    <w:name w:val="index 4"/>
    <w:basedOn w:val="a1"/>
    <w:next w:val="a1"/>
    <w:autoRedefine/>
    <w:semiHidden/>
    <w:pPr>
      <w:ind w:leftChars="600" w:left="600"/>
    </w:pPr>
  </w:style>
  <w:style w:type="paragraph" w:styleId="53">
    <w:name w:val="index 5"/>
    <w:basedOn w:val="a1"/>
    <w:next w:val="a1"/>
    <w:autoRedefine/>
    <w:semiHidden/>
    <w:pPr>
      <w:ind w:leftChars="800" w:left="800"/>
    </w:pPr>
  </w:style>
  <w:style w:type="paragraph" w:styleId="61">
    <w:name w:val="index 6"/>
    <w:basedOn w:val="a1"/>
    <w:next w:val="a1"/>
    <w:autoRedefine/>
    <w:semiHidden/>
    <w:pPr>
      <w:ind w:leftChars="1000" w:left="1000"/>
    </w:pPr>
  </w:style>
  <w:style w:type="paragraph" w:styleId="71">
    <w:name w:val="index 7"/>
    <w:basedOn w:val="a1"/>
    <w:next w:val="a1"/>
    <w:autoRedefine/>
    <w:semiHidden/>
    <w:pPr>
      <w:ind w:leftChars="1200" w:left="1200"/>
    </w:pPr>
  </w:style>
  <w:style w:type="paragraph" w:styleId="81">
    <w:name w:val="index 8"/>
    <w:basedOn w:val="a1"/>
    <w:next w:val="a1"/>
    <w:autoRedefine/>
    <w:semiHidden/>
    <w:pPr>
      <w:ind w:leftChars="1400" w:left="1400"/>
    </w:pPr>
  </w:style>
  <w:style w:type="paragraph" w:styleId="91">
    <w:name w:val="index 9"/>
    <w:basedOn w:val="a1"/>
    <w:next w:val="a1"/>
    <w:autoRedefine/>
    <w:semiHidden/>
    <w:pPr>
      <w:ind w:leftChars="1600" w:left="1600"/>
    </w:pPr>
  </w:style>
  <w:style w:type="paragraph" w:styleId="af5">
    <w:name w:val="index heading"/>
    <w:basedOn w:val="a1"/>
    <w:next w:val="12"/>
    <w:semiHidden/>
    <w:rPr>
      <w:rFonts w:ascii="Arial" w:hAnsi="Arial" w:cs="Arial"/>
      <w:b/>
      <w:bCs/>
    </w:rPr>
  </w:style>
  <w:style w:type="paragraph" w:styleId="af6">
    <w:name w:val="Message Header"/>
    <w:basedOn w:val="a1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400" w:left="1080" w:hangingChars="400" w:hanging="1080"/>
    </w:pPr>
    <w:rPr>
      <w:rFonts w:ascii="Arial" w:hAnsi="Arial" w:cs="Arial"/>
    </w:rPr>
  </w:style>
  <w:style w:type="paragraph" w:styleId="af7">
    <w:name w:val="Block Text"/>
    <w:basedOn w:val="a1"/>
    <w:semiHidden/>
    <w:pPr>
      <w:spacing w:after="120"/>
      <w:ind w:leftChars="600" w:left="1440" w:rightChars="600" w:right="1440"/>
    </w:pPr>
  </w:style>
  <w:style w:type="paragraph" w:styleId="af8">
    <w:name w:val="Salutation"/>
    <w:basedOn w:val="a1"/>
    <w:next w:val="a1"/>
    <w:semiHidden/>
  </w:style>
  <w:style w:type="paragraph" w:styleId="af9">
    <w:name w:val="envelope return"/>
    <w:basedOn w:val="a1"/>
    <w:semiHidden/>
    <w:pPr>
      <w:snapToGrid w:val="0"/>
    </w:pPr>
    <w:rPr>
      <w:rFonts w:ascii="Arial" w:hAnsi="Arial" w:cs="Arial"/>
    </w:rPr>
  </w:style>
  <w:style w:type="paragraph" w:styleId="afa">
    <w:name w:val="List Continue"/>
    <w:basedOn w:val="a1"/>
    <w:semiHidden/>
    <w:pPr>
      <w:spacing w:after="120"/>
      <w:ind w:leftChars="200" w:left="480"/>
    </w:pPr>
  </w:style>
  <w:style w:type="paragraph" w:styleId="27">
    <w:name w:val="List Continue 2"/>
    <w:basedOn w:val="a1"/>
    <w:semiHidden/>
    <w:pPr>
      <w:spacing w:after="120"/>
      <w:ind w:leftChars="400" w:left="960"/>
    </w:pPr>
  </w:style>
  <w:style w:type="paragraph" w:styleId="36">
    <w:name w:val="List Continue 3"/>
    <w:basedOn w:val="a1"/>
    <w:semiHidden/>
    <w:pPr>
      <w:spacing w:after="120"/>
      <w:ind w:leftChars="600" w:left="1440"/>
    </w:pPr>
  </w:style>
  <w:style w:type="paragraph" w:styleId="44">
    <w:name w:val="List Continue 4"/>
    <w:basedOn w:val="a1"/>
    <w:semiHidden/>
    <w:pPr>
      <w:spacing w:after="120"/>
      <w:ind w:leftChars="800" w:left="1920"/>
    </w:pPr>
  </w:style>
  <w:style w:type="paragraph" w:styleId="54">
    <w:name w:val="List Continue 5"/>
    <w:basedOn w:val="a1"/>
    <w:semiHidden/>
    <w:pPr>
      <w:spacing w:after="120"/>
      <w:ind w:leftChars="1000" w:left="2400"/>
    </w:pPr>
  </w:style>
  <w:style w:type="paragraph" w:styleId="afb">
    <w:name w:val="List"/>
    <w:basedOn w:val="a1"/>
    <w:semiHidden/>
    <w:pPr>
      <w:ind w:leftChars="200" w:left="100" w:hangingChars="200" w:hanging="200"/>
    </w:pPr>
  </w:style>
  <w:style w:type="paragraph" w:styleId="28">
    <w:name w:val="List 2"/>
    <w:basedOn w:val="a1"/>
    <w:semiHidden/>
    <w:pPr>
      <w:ind w:leftChars="400" w:left="100" w:hangingChars="200" w:hanging="200"/>
    </w:pPr>
  </w:style>
  <w:style w:type="paragraph" w:styleId="37">
    <w:name w:val="List 3"/>
    <w:basedOn w:val="a1"/>
    <w:semiHidden/>
    <w:pPr>
      <w:ind w:leftChars="600" w:left="100" w:hangingChars="200" w:hanging="200"/>
    </w:pPr>
  </w:style>
  <w:style w:type="paragraph" w:styleId="45">
    <w:name w:val="List 4"/>
    <w:basedOn w:val="a1"/>
    <w:semiHidden/>
    <w:pPr>
      <w:ind w:leftChars="800" w:left="100" w:hangingChars="200" w:hanging="200"/>
    </w:pPr>
  </w:style>
  <w:style w:type="paragraph" w:styleId="55">
    <w:name w:val="List 5"/>
    <w:basedOn w:val="a1"/>
    <w:semiHidden/>
    <w:pPr>
      <w:ind w:leftChars="1000" w:left="100" w:hangingChars="200" w:hanging="200"/>
    </w:pPr>
  </w:style>
  <w:style w:type="paragraph" w:styleId="a">
    <w:name w:val="List Number"/>
    <w:basedOn w:val="a1"/>
    <w:semiHidden/>
    <w:pPr>
      <w:numPr>
        <w:numId w:val="20"/>
      </w:numPr>
    </w:pPr>
  </w:style>
  <w:style w:type="paragraph" w:styleId="2">
    <w:name w:val="List Number 2"/>
    <w:basedOn w:val="a1"/>
    <w:semiHidden/>
    <w:pPr>
      <w:numPr>
        <w:numId w:val="21"/>
      </w:numPr>
    </w:pPr>
  </w:style>
  <w:style w:type="paragraph" w:styleId="3">
    <w:name w:val="List Number 3"/>
    <w:basedOn w:val="a1"/>
    <w:semiHidden/>
    <w:pPr>
      <w:numPr>
        <w:numId w:val="22"/>
      </w:numPr>
    </w:pPr>
  </w:style>
  <w:style w:type="paragraph" w:styleId="4">
    <w:name w:val="List Number 4"/>
    <w:basedOn w:val="a1"/>
    <w:semiHidden/>
    <w:pPr>
      <w:numPr>
        <w:numId w:val="23"/>
      </w:numPr>
    </w:pPr>
  </w:style>
  <w:style w:type="paragraph" w:styleId="5">
    <w:name w:val="List Number 5"/>
    <w:basedOn w:val="a1"/>
    <w:semiHidden/>
    <w:pPr>
      <w:numPr>
        <w:numId w:val="24"/>
      </w:numPr>
    </w:pPr>
  </w:style>
  <w:style w:type="paragraph" w:styleId="afc">
    <w:name w:val="endnote text"/>
    <w:basedOn w:val="a1"/>
    <w:semiHidden/>
    <w:pPr>
      <w:snapToGrid w:val="0"/>
    </w:pPr>
  </w:style>
  <w:style w:type="paragraph" w:styleId="afd">
    <w:name w:val="Closing"/>
    <w:basedOn w:val="a1"/>
    <w:semiHidden/>
    <w:pPr>
      <w:ind w:leftChars="1800" w:left="100"/>
    </w:pPr>
  </w:style>
  <w:style w:type="paragraph" w:styleId="afe">
    <w:name w:val="footnote text"/>
    <w:basedOn w:val="a1"/>
    <w:semiHidden/>
    <w:pPr>
      <w:snapToGrid w:val="0"/>
    </w:pPr>
    <w:rPr>
      <w:sz w:val="20"/>
      <w:szCs w:val="20"/>
    </w:rPr>
  </w:style>
  <w:style w:type="paragraph" w:styleId="aff">
    <w:name w:val="annotation text"/>
    <w:basedOn w:val="a1"/>
    <w:link w:val="aff0"/>
    <w:semiHidden/>
  </w:style>
  <w:style w:type="paragraph" w:styleId="aff1">
    <w:name w:val="Note Heading"/>
    <w:basedOn w:val="a1"/>
    <w:next w:val="a1"/>
    <w:semiHidden/>
    <w:pPr>
      <w:jc w:val="center"/>
    </w:pPr>
  </w:style>
  <w:style w:type="paragraph" w:styleId="a0">
    <w:name w:val="List Bullet"/>
    <w:basedOn w:val="a1"/>
    <w:autoRedefine/>
    <w:semiHidden/>
    <w:pPr>
      <w:numPr>
        <w:numId w:val="25"/>
      </w:numPr>
    </w:pPr>
  </w:style>
  <w:style w:type="paragraph" w:styleId="20">
    <w:name w:val="List Bullet 2"/>
    <w:basedOn w:val="a1"/>
    <w:autoRedefine/>
    <w:semiHidden/>
    <w:pPr>
      <w:numPr>
        <w:numId w:val="26"/>
      </w:numPr>
    </w:pPr>
  </w:style>
  <w:style w:type="paragraph" w:styleId="30">
    <w:name w:val="List Bullet 3"/>
    <w:basedOn w:val="a1"/>
    <w:autoRedefine/>
    <w:semiHidden/>
    <w:pPr>
      <w:numPr>
        <w:numId w:val="27"/>
      </w:numPr>
    </w:pPr>
  </w:style>
  <w:style w:type="paragraph" w:styleId="40">
    <w:name w:val="List Bullet 4"/>
    <w:basedOn w:val="a1"/>
    <w:autoRedefine/>
    <w:semiHidden/>
    <w:pPr>
      <w:numPr>
        <w:numId w:val="28"/>
      </w:numPr>
    </w:pPr>
  </w:style>
  <w:style w:type="paragraph" w:styleId="50">
    <w:name w:val="List Bullet 5"/>
    <w:basedOn w:val="a1"/>
    <w:autoRedefine/>
    <w:semiHidden/>
    <w:pPr>
      <w:numPr>
        <w:numId w:val="29"/>
      </w:numPr>
    </w:pPr>
  </w:style>
  <w:style w:type="paragraph" w:styleId="aff2">
    <w:name w:val="E-mail Signature"/>
    <w:basedOn w:val="a1"/>
    <w:semiHidden/>
  </w:style>
  <w:style w:type="paragraph" w:styleId="aff3">
    <w:name w:val="table of figures"/>
    <w:basedOn w:val="a1"/>
    <w:next w:val="a1"/>
    <w:semiHidden/>
    <w:pPr>
      <w:ind w:leftChars="400" w:left="960" w:hangingChars="200" w:hanging="480"/>
    </w:pPr>
  </w:style>
  <w:style w:type="paragraph" w:styleId="aff4">
    <w:name w:val="caption"/>
    <w:basedOn w:val="a1"/>
    <w:next w:val="a1"/>
    <w:qFormat/>
    <w:pPr>
      <w:spacing w:before="120" w:after="120"/>
    </w:pPr>
    <w:rPr>
      <w:sz w:val="20"/>
      <w:szCs w:val="20"/>
    </w:rPr>
  </w:style>
  <w:style w:type="paragraph" w:styleId="aff5">
    <w:name w:val="Signature"/>
    <w:basedOn w:val="a1"/>
    <w:semiHidden/>
    <w:pPr>
      <w:ind w:leftChars="1800" w:left="100"/>
    </w:pPr>
  </w:style>
  <w:style w:type="paragraph" w:styleId="aff6">
    <w:name w:val="Balloon Text"/>
    <w:basedOn w:val="a1"/>
    <w:link w:val="aff7"/>
    <w:uiPriority w:val="99"/>
    <w:semiHidden/>
    <w:unhideWhenUsed/>
    <w:rsid w:val="00217999"/>
    <w:rPr>
      <w:rFonts w:ascii="Cambria" w:hAnsi="Cambria"/>
      <w:sz w:val="18"/>
      <w:szCs w:val="18"/>
    </w:rPr>
  </w:style>
  <w:style w:type="character" w:customStyle="1" w:styleId="aff7">
    <w:name w:val="註解方塊文字 字元"/>
    <w:link w:val="aff6"/>
    <w:uiPriority w:val="99"/>
    <w:semiHidden/>
    <w:rsid w:val="00217999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a7">
    <w:name w:val="本文 字元"/>
    <w:link w:val="a6"/>
    <w:semiHidden/>
    <w:rsid w:val="002D06E1"/>
    <w:rPr>
      <w:rFonts w:eastAsia="標楷體"/>
      <w:kern w:val="2"/>
      <w:sz w:val="28"/>
    </w:rPr>
  </w:style>
  <w:style w:type="character" w:styleId="aff8">
    <w:name w:val="annotation reference"/>
    <w:basedOn w:val="a3"/>
    <w:uiPriority w:val="99"/>
    <w:semiHidden/>
    <w:unhideWhenUsed/>
    <w:rsid w:val="00D72A0A"/>
    <w:rPr>
      <w:sz w:val="18"/>
      <w:szCs w:val="18"/>
    </w:rPr>
  </w:style>
  <w:style w:type="paragraph" w:styleId="aff9">
    <w:name w:val="annotation subject"/>
    <w:basedOn w:val="aff"/>
    <w:next w:val="aff"/>
    <w:link w:val="affa"/>
    <w:uiPriority w:val="99"/>
    <w:semiHidden/>
    <w:unhideWhenUsed/>
    <w:rsid w:val="00D72A0A"/>
    <w:rPr>
      <w:b/>
      <w:bCs/>
    </w:rPr>
  </w:style>
  <w:style w:type="character" w:customStyle="1" w:styleId="aff0">
    <w:name w:val="註解文字 字元"/>
    <w:basedOn w:val="a3"/>
    <w:link w:val="aff"/>
    <w:semiHidden/>
    <w:rsid w:val="00D72A0A"/>
    <w:rPr>
      <w:kern w:val="2"/>
      <w:sz w:val="24"/>
      <w:szCs w:val="24"/>
    </w:rPr>
  </w:style>
  <w:style w:type="character" w:customStyle="1" w:styleId="affa">
    <w:name w:val="註解主旨 字元"/>
    <w:basedOn w:val="aff0"/>
    <w:link w:val="aff9"/>
    <w:uiPriority w:val="99"/>
    <w:semiHidden/>
    <w:rsid w:val="00D72A0A"/>
    <w:rPr>
      <w:b/>
      <w:bCs/>
      <w:kern w:val="2"/>
      <w:sz w:val="24"/>
      <w:szCs w:val="24"/>
    </w:rPr>
  </w:style>
  <w:style w:type="character" w:styleId="affb">
    <w:name w:val="footnote reference"/>
    <w:basedOn w:val="a3"/>
    <w:uiPriority w:val="99"/>
    <w:semiHidden/>
    <w:unhideWhenUsed/>
    <w:rsid w:val="00D72A0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30.wmf"/><Relationship Id="rId18" Type="http://schemas.openxmlformats.org/officeDocument/2006/relationships/image" Target="media/image6.wmf"/><Relationship Id="rId3" Type="http://schemas.openxmlformats.org/officeDocument/2006/relationships/styles" Target="styles.xml"/><Relationship Id="rId21" Type="http://schemas.openxmlformats.org/officeDocument/2006/relationships/image" Target="media/image70.wmf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image" Target="media/image50.wmf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0.wmf"/><Relationship Id="rId5" Type="http://schemas.openxmlformats.org/officeDocument/2006/relationships/webSettings" Target="webSettings.xml"/><Relationship Id="rId15" Type="http://schemas.openxmlformats.org/officeDocument/2006/relationships/image" Target="media/image40.wmf"/><Relationship Id="rId23" Type="http://schemas.openxmlformats.org/officeDocument/2006/relationships/theme" Target="theme/theme1.xml"/><Relationship Id="rId10" Type="http://schemas.openxmlformats.org/officeDocument/2006/relationships/image" Target="media/image2.wmf"/><Relationship Id="rId19" Type="http://schemas.openxmlformats.org/officeDocument/2006/relationships/image" Target="media/image60.wmf"/><Relationship Id="rId4" Type="http://schemas.openxmlformats.org/officeDocument/2006/relationships/settings" Target="settings.xml"/><Relationship Id="rId9" Type="http://schemas.openxmlformats.org/officeDocument/2006/relationships/image" Target="media/image10.wmf"/><Relationship Id="rId14" Type="http://schemas.openxmlformats.org/officeDocument/2006/relationships/image" Target="media/image4.w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43E776-7901-41A3-9434-37F779337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693</Words>
  <Characters>4162</Characters>
  <Application>Microsoft Office Word</Application>
  <DocSecurity>0</DocSecurity>
  <Lines>34</Lines>
  <Paragraphs>9</Paragraphs>
  <ScaleCrop>false</ScaleCrop>
  <Company>Company Name</Company>
  <LinksUpToDate>false</LinksUpToDate>
  <CharactersWithSpaces>4846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Condition and Performance of Domestic Banks</dc:title>
  <dc:subject/>
  <dc:creator>Christina</dc:creator>
  <cp:keywords/>
  <cp:lastModifiedBy>簡麗珍</cp:lastModifiedBy>
  <cp:revision>9</cp:revision>
  <cp:lastPrinted>2021-04-16T08:03:00Z</cp:lastPrinted>
  <dcterms:created xsi:type="dcterms:W3CDTF">2021-04-19T01:40:00Z</dcterms:created>
  <dcterms:modified xsi:type="dcterms:W3CDTF">2021-04-19T08:31:00Z</dcterms:modified>
</cp:coreProperties>
</file>