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9C" w:rsidRPr="00714B18" w:rsidRDefault="00853F9C" w:rsidP="00853F9C">
      <w:pPr>
        <w:widowControl/>
        <w:spacing w:before="100" w:beforeAutospacing="1" w:after="100" w:afterAutospacing="1"/>
        <w:jc w:val="center"/>
        <w:rPr>
          <w:b/>
          <w:bCs/>
          <w:kern w:val="0"/>
          <w:sz w:val="28"/>
        </w:rPr>
      </w:pPr>
      <w:proofErr w:type="gramStart"/>
      <w:r w:rsidRPr="00F75AD2">
        <w:rPr>
          <w:b/>
          <w:bCs/>
          <w:kern w:val="0"/>
          <w:sz w:val="28"/>
        </w:rPr>
        <w:t>Appendix</w:t>
      </w:r>
      <w:r>
        <w:rPr>
          <w:rFonts w:hint="eastAsia"/>
          <w:b/>
          <w:bCs/>
          <w:kern w:val="0"/>
          <w:sz w:val="28"/>
        </w:rPr>
        <w:t xml:space="preserve">  2</w:t>
      </w:r>
      <w:proofErr w:type="gramEnd"/>
    </w:p>
    <w:p w:rsidR="00853F9C" w:rsidRPr="005C6C5B" w:rsidRDefault="00853F9C" w:rsidP="00853F9C">
      <w:pPr>
        <w:widowControl/>
        <w:spacing w:before="100" w:beforeAutospacing="1" w:after="100" w:afterAutospacing="1"/>
        <w:jc w:val="center"/>
        <w:rPr>
          <w:kern w:val="0"/>
          <w:sz w:val="28"/>
        </w:rPr>
      </w:pPr>
      <w:r w:rsidRPr="005C6C5B">
        <w:rPr>
          <w:rFonts w:hint="eastAsia"/>
          <w:b/>
          <w:bCs/>
          <w:kern w:val="0"/>
          <w:sz w:val="28"/>
        </w:rPr>
        <w:t>C</w:t>
      </w:r>
      <w:r>
        <w:rPr>
          <w:rFonts w:hint="eastAsia"/>
          <w:b/>
          <w:bCs/>
          <w:kern w:val="0"/>
          <w:sz w:val="28"/>
        </w:rPr>
        <w:t>onsiderations for</w:t>
      </w:r>
      <w:r w:rsidRPr="005C6C5B">
        <w:rPr>
          <w:rFonts w:hint="eastAsia"/>
          <w:b/>
          <w:bCs/>
          <w:kern w:val="0"/>
          <w:sz w:val="28"/>
        </w:rPr>
        <w:t xml:space="preserve"> </w:t>
      </w:r>
      <w:r w:rsidRPr="005C6C5B">
        <w:rPr>
          <w:b/>
          <w:bCs/>
          <w:kern w:val="0"/>
          <w:sz w:val="28"/>
        </w:rPr>
        <w:t xml:space="preserve">the </w:t>
      </w:r>
      <w:r>
        <w:rPr>
          <w:rFonts w:hint="eastAsia"/>
          <w:b/>
          <w:bCs/>
          <w:kern w:val="0"/>
          <w:sz w:val="28"/>
        </w:rPr>
        <w:t xml:space="preserve">year 2018 </w:t>
      </w:r>
      <w:r w:rsidRPr="005C6C5B">
        <w:rPr>
          <w:b/>
          <w:bCs/>
          <w:kern w:val="0"/>
          <w:sz w:val="28"/>
        </w:rPr>
        <w:t xml:space="preserve">M2 growth target </w:t>
      </w:r>
      <w:r>
        <w:rPr>
          <w:rFonts w:hint="eastAsia"/>
          <w:b/>
          <w:bCs/>
          <w:kern w:val="0"/>
          <w:sz w:val="28"/>
        </w:rPr>
        <w:t>range</w:t>
      </w:r>
    </w:p>
    <w:p w:rsidR="00853F9C" w:rsidRPr="00714B18" w:rsidRDefault="00853F9C" w:rsidP="00853F9C">
      <w:pPr>
        <w:pStyle w:val="a3"/>
        <w:numPr>
          <w:ilvl w:val="0"/>
          <w:numId w:val="1"/>
        </w:numPr>
        <w:tabs>
          <w:tab w:val="clear" w:pos="4080"/>
          <w:tab w:val="clear" w:pos="5640"/>
        </w:tabs>
        <w:snapToGrid/>
        <w:spacing w:afterLines="50" w:after="180" w:line="400" w:lineRule="exact"/>
        <w:ind w:right="0"/>
        <w:rPr>
          <w:rFonts w:ascii="Times New Roman" w:eastAsia="新細明體"/>
          <w:sz w:val="28"/>
        </w:rPr>
      </w:pPr>
      <w:r w:rsidRPr="00714B18">
        <w:rPr>
          <w:rFonts w:ascii="Times New Roman" w:eastAsia="新細明體" w:hint="eastAsia"/>
          <w:sz w:val="28"/>
        </w:rPr>
        <w:t xml:space="preserve">In 2018, the domestic economy is expected to recover moderately along with subdued inflationary pressures. In addition, several areas of concern, including volatile cross-border capital movements amid amplified uncertainties over global financial conditions, </w:t>
      </w:r>
      <w:r w:rsidR="005374ED">
        <w:rPr>
          <w:rFonts w:ascii="Times New Roman" w:eastAsia="新細明體" w:hint="eastAsia"/>
          <w:sz w:val="28"/>
        </w:rPr>
        <w:t>the</w:t>
      </w:r>
      <w:r w:rsidRPr="00714B18">
        <w:rPr>
          <w:rFonts w:ascii="Times New Roman" w:eastAsia="新細明體" w:hint="eastAsia"/>
          <w:sz w:val="28"/>
        </w:rPr>
        <w:t xml:space="preserve"> developments </w:t>
      </w:r>
      <w:r w:rsidR="005374ED">
        <w:rPr>
          <w:rFonts w:ascii="Times New Roman" w:eastAsia="新細明體" w:hint="eastAsia"/>
          <w:sz w:val="28"/>
        </w:rPr>
        <w:t>and impact</w:t>
      </w:r>
      <w:bookmarkStart w:id="0" w:name="_GoBack"/>
      <w:bookmarkEnd w:id="0"/>
      <w:r w:rsidRPr="00714B18">
        <w:rPr>
          <w:rFonts w:ascii="Times New Roman" w:eastAsia="新細明體" w:hint="eastAsia"/>
          <w:sz w:val="28"/>
        </w:rPr>
        <w:t xml:space="preserve"> of the U.S. economic and trade policies, and slower growth in the Chinese economy, could affect Taiwan</w:t>
      </w:r>
      <w:r w:rsidRPr="00714B18">
        <w:rPr>
          <w:rFonts w:ascii="Times New Roman" w:eastAsia="新細明體"/>
          <w:sz w:val="28"/>
        </w:rPr>
        <w:t>'</w:t>
      </w:r>
      <w:r w:rsidRPr="00714B18">
        <w:rPr>
          <w:rFonts w:ascii="Times New Roman" w:eastAsia="新細明體" w:hint="eastAsia"/>
          <w:sz w:val="28"/>
        </w:rPr>
        <w:t xml:space="preserve">s </w:t>
      </w:r>
      <w:r w:rsidRPr="00714B18">
        <w:rPr>
          <w:rFonts w:ascii="Times New Roman" w:eastAsia="新細明體"/>
          <w:sz w:val="28"/>
        </w:rPr>
        <w:t>economic</w:t>
      </w:r>
      <w:r w:rsidRPr="00714B18">
        <w:rPr>
          <w:rFonts w:ascii="Times New Roman" w:eastAsia="新細明體" w:hint="eastAsia"/>
          <w:sz w:val="28"/>
        </w:rPr>
        <w:t xml:space="preserve"> recovery. Based on the assessment, </w:t>
      </w:r>
      <w:r w:rsidRPr="00714B18">
        <w:rPr>
          <w:rFonts w:ascii="Times New Roman" w:eastAsia="新細明體"/>
          <w:sz w:val="28"/>
        </w:rPr>
        <w:t>the M2 growth target range for 201</w:t>
      </w:r>
      <w:r w:rsidRPr="00714B18">
        <w:rPr>
          <w:rFonts w:ascii="Times New Roman" w:eastAsia="新細明體" w:hint="eastAsia"/>
          <w:sz w:val="28"/>
        </w:rPr>
        <w:t>8</w:t>
      </w:r>
      <w:r w:rsidRPr="00714B18">
        <w:rPr>
          <w:rFonts w:ascii="Times New Roman" w:eastAsia="新細明體"/>
          <w:sz w:val="28"/>
        </w:rPr>
        <w:t xml:space="preserve"> is set at 2.5% to 6.5%</w:t>
      </w:r>
      <w:r w:rsidRPr="00714B18">
        <w:rPr>
          <w:rFonts w:ascii="Times New Roman" w:eastAsia="新細明體" w:hint="eastAsia"/>
          <w:sz w:val="28"/>
        </w:rPr>
        <w:t>, unchanged from this year. The CBC will</w:t>
      </w:r>
      <w:r w:rsidRPr="00714B18">
        <w:rPr>
          <w:rFonts w:ascii="Times New Roman" w:eastAsia="新細明體"/>
          <w:sz w:val="28"/>
        </w:rPr>
        <w:t xml:space="preserve"> </w:t>
      </w:r>
      <w:r w:rsidRPr="00714B18">
        <w:rPr>
          <w:rFonts w:ascii="Times New Roman" w:eastAsia="新細明體" w:hint="eastAsia"/>
          <w:sz w:val="28"/>
        </w:rPr>
        <w:t>sufficiently</w:t>
      </w:r>
      <w:r w:rsidRPr="00714B18">
        <w:rPr>
          <w:rFonts w:ascii="Times New Roman" w:eastAsia="新細明體"/>
          <w:sz w:val="28"/>
        </w:rPr>
        <w:t xml:space="preserve"> meet </w:t>
      </w:r>
      <w:r w:rsidRPr="00714B18">
        <w:rPr>
          <w:rFonts w:ascii="Times New Roman" w:eastAsia="新細明體" w:hint="eastAsia"/>
          <w:sz w:val="28"/>
        </w:rPr>
        <w:t xml:space="preserve">the funding </w:t>
      </w:r>
      <w:r w:rsidRPr="00714B18">
        <w:rPr>
          <w:rFonts w:ascii="Times New Roman" w:eastAsia="新細明體"/>
          <w:sz w:val="28"/>
        </w:rPr>
        <w:t>needs</w:t>
      </w:r>
      <w:r w:rsidRPr="00714B18">
        <w:rPr>
          <w:rFonts w:ascii="Times New Roman" w:eastAsia="新細明體" w:hint="eastAsia"/>
          <w:sz w:val="28"/>
        </w:rPr>
        <w:t xml:space="preserve"> of the private sector</w:t>
      </w:r>
      <w:r w:rsidRPr="00714B18">
        <w:rPr>
          <w:rFonts w:ascii="Times New Roman" w:eastAsia="新細明體"/>
          <w:sz w:val="28"/>
        </w:rPr>
        <w:t xml:space="preserve"> </w:t>
      </w:r>
      <w:r w:rsidRPr="00714B18">
        <w:rPr>
          <w:rFonts w:ascii="Times New Roman" w:eastAsia="新細明體" w:hint="eastAsia"/>
          <w:sz w:val="28"/>
        </w:rPr>
        <w:t xml:space="preserve">in order to foster </w:t>
      </w:r>
      <w:r w:rsidRPr="00714B18">
        <w:rPr>
          <w:rFonts w:ascii="Times New Roman" w:eastAsia="新細明體"/>
          <w:sz w:val="28"/>
        </w:rPr>
        <w:t xml:space="preserve">economic </w:t>
      </w:r>
      <w:r w:rsidRPr="00714B18">
        <w:rPr>
          <w:rFonts w:ascii="Times New Roman" w:eastAsia="新細明體" w:hint="eastAsia"/>
          <w:sz w:val="28"/>
        </w:rPr>
        <w:t xml:space="preserve">growth. </w:t>
      </w:r>
    </w:p>
    <w:p w:rsidR="00853F9C" w:rsidRPr="00714B18" w:rsidRDefault="00853F9C" w:rsidP="00853F9C">
      <w:pPr>
        <w:pStyle w:val="a3"/>
        <w:numPr>
          <w:ilvl w:val="0"/>
          <w:numId w:val="1"/>
        </w:numPr>
        <w:tabs>
          <w:tab w:val="clear" w:pos="4080"/>
          <w:tab w:val="clear" w:pos="5640"/>
        </w:tabs>
        <w:snapToGrid/>
        <w:spacing w:afterLines="50" w:after="180" w:line="400" w:lineRule="exact"/>
        <w:ind w:right="0"/>
        <w:rPr>
          <w:rFonts w:ascii="Times New Roman" w:eastAsia="新細明體"/>
          <w:sz w:val="28"/>
        </w:rPr>
      </w:pPr>
      <w:r w:rsidRPr="00714B18">
        <w:rPr>
          <w:rFonts w:ascii="Times New Roman" w:eastAsia="新細明體" w:hint="eastAsia"/>
          <w:sz w:val="28"/>
        </w:rPr>
        <w:t xml:space="preserve">Given the highly uncertain outlook for </w:t>
      </w:r>
      <w:r w:rsidRPr="00714B18">
        <w:rPr>
          <w:rFonts w:ascii="Times New Roman" w:eastAsia="新細明體"/>
          <w:sz w:val="28"/>
        </w:rPr>
        <w:t>international and domestic economic and financial developments</w:t>
      </w:r>
      <w:r w:rsidRPr="00714B18">
        <w:rPr>
          <w:rFonts w:ascii="Times New Roman" w:eastAsia="新細明體" w:hint="eastAsia"/>
          <w:sz w:val="28"/>
        </w:rPr>
        <w:t xml:space="preserve"> in 2018, the CBC will, as usual, review and assess the M2 growth target in mid-year and adjust the target range if necessary. </w:t>
      </w:r>
    </w:p>
    <w:p w:rsidR="00853F9C" w:rsidRPr="00A309A6" w:rsidRDefault="00853F9C" w:rsidP="00853F9C">
      <w:pPr>
        <w:pStyle w:val="a3"/>
        <w:spacing w:afterLines="50" w:after="180" w:line="320" w:lineRule="exact"/>
        <w:ind w:left="300" w:hangingChars="150" w:hanging="300"/>
      </w:pPr>
    </w:p>
    <w:p w:rsidR="00853F9C" w:rsidRPr="00766671" w:rsidRDefault="00853F9C" w:rsidP="00853F9C">
      <w:pPr>
        <w:pStyle w:val="a3"/>
        <w:spacing w:afterLines="50" w:after="180" w:line="400" w:lineRule="exact"/>
        <w:ind w:left="426"/>
        <w:rPr>
          <w:szCs w:val="28"/>
        </w:rPr>
      </w:pPr>
    </w:p>
    <w:p w:rsidR="00853F9C" w:rsidRPr="00714B18" w:rsidRDefault="00853F9C" w:rsidP="00853F9C">
      <w:pPr>
        <w:jc w:val="center"/>
        <w:rPr>
          <w:rFonts w:eastAsia="標楷體"/>
          <w:b/>
          <w:sz w:val="28"/>
          <w:szCs w:val="28"/>
        </w:rPr>
      </w:pPr>
    </w:p>
    <w:p w:rsidR="00A52B07" w:rsidRPr="00853F9C" w:rsidRDefault="00A52B07"/>
    <w:sectPr w:rsidR="00A52B07" w:rsidRPr="00853F9C" w:rsidSect="00853F9C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4ED" w:rsidRDefault="005374ED" w:rsidP="005374ED">
      <w:r>
        <w:separator/>
      </w:r>
    </w:p>
  </w:endnote>
  <w:endnote w:type="continuationSeparator" w:id="0">
    <w:p w:rsidR="005374ED" w:rsidRDefault="005374ED" w:rsidP="0053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4ED" w:rsidRDefault="005374ED" w:rsidP="005374ED">
      <w:r>
        <w:separator/>
      </w:r>
    </w:p>
  </w:footnote>
  <w:footnote w:type="continuationSeparator" w:id="0">
    <w:p w:rsidR="005374ED" w:rsidRDefault="005374ED" w:rsidP="0053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46A57"/>
    <w:multiLevelType w:val="hybridMultilevel"/>
    <w:tmpl w:val="3096582A"/>
    <w:lvl w:ilvl="0" w:tplc="8198089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9C"/>
    <w:rsid w:val="005374ED"/>
    <w:rsid w:val="00853F9C"/>
    <w:rsid w:val="00A5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F9C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4">
    <w:name w:val="本文 字元"/>
    <w:basedOn w:val="a0"/>
    <w:link w:val="a3"/>
    <w:rsid w:val="00853F9C"/>
    <w:rPr>
      <w:rFonts w:ascii="標楷體" w:eastAsia="標楷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3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74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74E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F9C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4">
    <w:name w:val="本文 字元"/>
    <w:basedOn w:val="a0"/>
    <w:link w:val="a3"/>
    <w:rsid w:val="00853F9C"/>
    <w:rPr>
      <w:rFonts w:ascii="標楷體" w:eastAsia="標楷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3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74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74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74E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267ED-1317-4DCE-AECE-53D68A05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cbc</dc:creator>
  <cp:lastModifiedBy>cbc</cp:lastModifiedBy>
  <cp:revision>2</cp:revision>
  <dcterms:created xsi:type="dcterms:W3CDTF">2017-12-21T06:53:00Z</dcterms:created>
  <dcterms:modified xsi:type="dcterms:W3CDTF">2017-12-21T08:19:00Z</dcterms:modified>
</cp:coreProperties>
</file>