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A0" w:rsidRDefault="003E01A0" w:rsidP="00042DED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Appendix </w:t>
      </w:r>
      <w:r w:rsidR="00970855">
        <w:rPr>
          <w:rFonts w:eastAsia="標楷體" w:hint="eastAsia"/>
          <w:b/>
          <w:sz w:val="28"/>
          <w:szCs w:val="28"/>
        </w:rPr>
        <w:t>1</w:t>
      </w:r>
      <w:r w:rsidR="00E20FEE">
        <w:rPr>
          <w:rFonts w:eastAsia="標楷體" w:hint="eastAsia"/>
          <w:b/>
          <w:sz w:val="28"/>
          <w:szCs w:val="28"/>
        </w:rPr>
        <w:t xml:space="preserve"> </w:t>
      </w:r>
    </w:p>
    <w:p w:rsidR="00B97527" w:rsidRPr="009032EE" w:rsidRDefault="00B97527" w:rsidP="00B97527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Table 1 </w:t>
      </w:r>
      <w:r w:rsidR="001F7E02">
        <w:rPr>
          <w:rFonts w:eastAsia="標楷體" w:hint="eastAsia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 w:rsidRPr="009032EE">
        <w:rPr>
          <w:rFonts w:eastAsia="標楷體"/>
          <w:b/>
          <w:sz w:val="28"/>
          <w:szCs w:val="28"/>
        </w:rPr>
        <w:t>s Inflationary Pressures and Inflation Outlook</w:t>
      </w:r>
    </w:p>
    <w:tbl>
      <w:tblPr>
        <w:tblpPr w:leftFromText="180" w:rightFromText="180" w:vertAnchor="text" w:horzAnchor="margin" w:tblpY="453"/>
        <w:tblW w:w="80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9"/>
        <w:gridCol w:w="2976"/>
        <w:gridCol w:w="1276"/>
        <w:gridCol w:w="1276"/>
        <w:gridCol w:w="1276"/>
      </w:tblGrid>
      <w:tr w:rsidR="00B97527" w:rsidRPr="00F356BE" w:rsidTr="00B97527">
        <w:trPr>
          <w:trHeight w:val="516"/>
        </w:trPr>
        <w:tc>
          <w:tcPr>
            <w:tcW w:w="805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527" w:rsidRPr="00F356BE" w:rsidRDefault="00B97527" w:rsidP="00B97527">
            <w:pPr>
              <w:widowControl/>
              <w:wordWrap w:val="0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F356BE">
              <w:rPr>
                <w:kern w:val="0"/>
                <w:sz w:val="22"/>
                <w:szCs w:val="22"/>
              </w:rPr>
              <w:t xml:space="preserve">　</w:t>
            </w:r>
            <w:r w:rsidRPr="00F356BE">
              <w:rPr>
                <w:rFonts w:eastAsia="標楷體"/>
                <w:kern w:val="0"/>
                <w:sz w:val="20"/>
                <w:szCs w:val="20"/>
              </w:rPr>
              <w:t>Unit: %</w:t>
            </w:r>
          </w:p>
        </w:tc>
      </w:tr>
      <w:tr w:rsidR="00B97527" w:rsidRPr="00F356BE" w:rsidTr="00B97527">
        <w:trPr>
          <w:trHeight w:val="444"/>
        </w:trPr>
        <w:tc>
          <w:tcPr>
            <w:tcW w:w="1249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kern w:val="0"/>
                <w:sz w:val="22"/>
                <w:szCs w:val="22"/>
              </w:rPr>
            </w:pPr>
            <w:r w:rsidRPr="00F356BE">
              <w:rPr>
                <w:kern w:val="0"/>
                <w:sz w:val="22"/>
                <w:szCs w:val="22"/>
              </w:rPr>
              <w:t xml:space="preserve">　</w:t>
            </w:r>
          </w:p>
          <w:p w:rsidR="00B97527" w:rsidRPr="00F356BE" w:rsidRDefault="00B97527" w:rsidP="00B97527">
            <w:pPr>
              <w:snapToGrid w:val="0"/>
              <w:rPr>
                <w:kern w:val="0"/>
                <w:sz w:val="22"/>
                <w:szCs w:val="22"/>
              </w:rPr>
            </w:pPr>
            <w:r w:rsidRPr="00F356BE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Inflationary pressures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Inflation </w:t>
            </w:r>
          </w:p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outlook</w:t>
            </w:r>
          </w:p>
        </w:tc>
      </w:tr>
      <w:tr w:rsidR="00B97527" w:rsidRPr="00F356BE" w:rsidTr="00B97527">
        <w:trPr>
          <w:trHeight w:val="420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Jan.-Nov. 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2017 (f)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2018 (f)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TIER (</w:t>
            </w:r>
            <w:r w:rsidRPr="00F356BE">
              <w:rPr>
                <w:bCs/>
                <w:kern w:val="0"/>
                <w:sz w:val="22"/>
                <w:szCs w:val="22"/>
              </w:rPr>
              <w:t>2017/11/15</w:t>
            </w: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:rsidR="00B97527" w:rsidRPr="00F356BE" w:rsidRDefault="00B97527" w:rsidP="00B97527">
            <w:pPr>
              <w:widowControl/>
              <w:snapToGrid w:val="0"/>
              <w:spacing w:beforeLines="50" w:before="18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:rsidR="00B97527" w:rsidRPr="00F356BE" w:rsidRDefault="00B97527" w:rsidP="00B97527">
            <w:pPr>
              <w:widowControl/>
              <w:snapToGrid w:val="0"/>
              <w:spacing w:beforeLines="50" w:before="18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:rsidR="00B97527" w:rsidRPr="00F356BE" w:rsidRDefault="00B97527" w:rsidP="00B97527">
            <w:pPr>
              <w:widowControl/>
              <w:snapToGrid w:val="0"/>
              <w:spacing w:beforeLines="70" w:before="252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b/>
                <w:bCs/>
                <w:kern w:val="0"/>
                <w:sz w:val="22"/>
                <w:szCs w:val="22"/>
              </w:rPr>
              <w:t>0.57</w:t>
            </w:r>
            <w:r w:rsidRPr="00F356BE">
              <w:rPr>
                <w:b/>
                <w:bCs/>
                <w:kern w:val="0"/>
                <w:sz w:val="22"/>
                <w:szCs w:val="22"/>
              </w:rPr>
              <w:br/>
              <w:t>(CPI)</w:t>
            </w:r>
          </w:p>
          <w:p w:rsidR="00B97527" w:rsidRPr="00F356BE" w:rsidRDefault="00B97527" w:rsidP="00B97527">
            <w:pPr>
              <w:widowControl/>
              <w:snapToGrid w:val="0"/>
              <w:spacing w:beforeLines="20" w:before="72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/>
                <w:bCs/>
                <w:kern w:val="0"/>
                <w:sz w:val="22"/>
                <w:szCs w:val="22"/>
              </w:rPr>
              <w:t>0.99</w:t>
            </w:r>
            <w:r w:rsidRPr="00F356BE">
              <w:rPr>
                <w:b/>
                <w:bCs/>
                <w:kern w:val="0"/>
                <w:sz w:val="22"/>
                <w:szCs w:val="22"/>
              </w:rPr>
              <w:br/>
              <w:t>(</w:t>
            </w: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Core </w:t>
            </w:r>
            <w:r w:rsidRPr="00F356BE">
              <w:rPr>
                <w:b/>
                <w:bCs/>
                <w:kern w:val="0"/>
                <w:sz w:val="22"/>
                <w:szCs w:val="22"/>
              </w:rPr>
              <w:t>CPI*)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0.80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TRI (</w:t>
            </w:r>
            <w:r w:rsidRPr="00F356BE">
              <w:rPr>
                <w:bCs/>
                <w:kern w:val="0"/>
                <w:sz w:val="22"/>
                <w:szCs w:val="22"/>
              </w:rPr>
              <w:t>2017/12/14</w:t>
            </w: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0.88</w:t>
            </w:r>
          </w:p>
        </w:tc>
      </w:tr>
      <w:tr w:rsidR="00B97527" w:rsidRPr="00F356BE" w:rsidTr="00B97527">
        <w:trPr>
          <w:trHeight w:val="458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DGBAS (</w:t>
            </w:r>
            <w:r w:rsidRPr="00F356BE">
              <w:rPr>
                <w:bCs/>
                <w:kern w:val="0"/>
                <w:sz w:val="22"/>
                <w:szCs w:val="22"/>
              </w:rPr>
              <w:t>2017/11/24</w:t>
            </w: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spacing w:beforeLines="20" w:before="72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spacing w:beforeLines="20" w:before="72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0.96</w:t>
            </w:r>
          </w:p>
        </w:tc>
      </w:tr>
      <w:tr w:rsidR="00B97527" w:rsidRPr="00F356BE" w:rsidTr="00B97527">
        <w:trPr>
          <w:trHeight w:val="458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CIER (2017/12/19)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B97527" w:rsidRPr="00F356BE" w:rsidRDefault="00B97527" w:rsidP="00B97527">
            <w:pPr>
              <w:widowControl/>
              <w:snapToGrid w:val="0"/>
              <w:spacing w:beforeLines="20" w:before="72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B97527" w:rsidRPr="00F356BE" w:rsidRDefault="00B97527" w:rsidP="00B97527">
            <w:pPr>
              <w:widowControl/>
              <w:snapToGrid w:val="0"/>
              <w:spacing w:beforeLines="20" w:before="72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0.99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CBC (</w:t>
            </w:r>
            <w:r w:rsidRPr="00F356BE">
              <w:rPr>
                <w:bCs/>
                <w:kern w:val="0"/>
                <w:sz w:val="22"/>
                <w:szCs w:val="22"/>
              </w:rPr>
              <w:t>2017/12/5</w:t>
            </w: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0.61</w:t>
            </w:r>
            <w:r w:rsidRPr="00F356BE">
              <w:rPr>
                <w:bCs/>
                <w:kern w:val="0"/>
                <w:sz w:val="22"/>
                <w:szCs w:val="22"/>
              </w:rPr>
              <w:br/>
              <w:t>(CPI)</w:t>
            </w:r>
          </w:p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1.02</w:t>
            </w:r>
            <w:r w:rsidRPr="00F356BE">
              <w:rPr>
                <w:bCs/>
                <w:kern w:val="0"/>
                <w:sz w:val="22"/>
                <w:szCs w:val="22"/>
              </w:rPr>
              <w:br/>
              <w:t>(</w:t>
            </w: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 xml:space="preserve">Core </w:t>
            </w:r>
            <w:r w:rsidRPr="00F356BE">
              <w:rPr>
                <w:bCs/>
                <w:kern w:val="0"/>
                <w:sz w:val="22"/>
                <w:szCs w:val="22"/>
              </w:rPr>
              <w:t>CPI*)</w:t>
            </w:r>
            <w:r w:rsidRPr="00F356BE">
              <w:rPr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1.12</w:t>
            </w:r>
            <w:r w:rsidRPr="00F356BE">
              <w:rPr>
                <w:bCs/>
                <w:kern w:val="0"/>
                <w:sz w:val="22"/>
                <w:szCs w:val="22"/>
              </w:rPr>
              <w:br/>
              <w:t>(CPI)</w:t>
            </w:r>
          </w:p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F356BE">
              <w:rPr>
                <w:bCs/>
                <w:kern w:val="0"/>
                <w:sz w:val="22"/>
                <w:szCs w:val="22"/>
              </w:rPr>
              <w:t>1.12</w:t>
            </w:r>
            <w:r w:rsidRPr="00F356BE">
              <w:rPr>
                <w:bCs/>
                <w:kern w:val="0"/>
                <w:sz w:val="22"/>
                <w:szCs w:val="22"/>
              </w:rPr>
              <w:br/>
              <w:t>(</w:t>
            </w: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 xml:space="preserve">Core </w:t>
            </w:r>
            <w:r w:rsidRPr="00F356BE">
              <w:rPr>
                <w:bCs/>
                <w:kern w:val="0"/>
                <w:sz w:val="22"/>
                <w:szCs w:val="22"/>
              </w:rPr>
              <w:t>CPI*)</w:t>
            </w:r>
            <w:r w:rsidRPr="00F356BE">
              <w:rPr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Foreign institutions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UBS (2017/12/15)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0.64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0.96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EIU (2017/12/16)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1.20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Credit Suisse (2017/12/15)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1.20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HSBC (2017/12/15)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1.20</w:t>
            </w:r>
          </w:p>
        </w:tc>
      </w:tr>
      <w:tr w:rsidR="00B97527" w:rsidRPr="00F356BE" w:rsidTr="00B97527">
        <w:trPr>
          <w:trHeight w:val="43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 xml:space="preserve">IHS </w:t>
            </w:r>
            <w:proofErr w:type="spellStart"/>
            <w:r w:rsidRPr="00F356BE">
              <w:rPr>
                <w:sz w:val="22"/>
                <w:szCs w:val="22"/>
              </w:rPr>
              <w:t>Markit</w:t>
            </w:r>
            <w:proofErr w:type="spellEnd"/>
            <w:r w:rsidRPr="00F356BE">
              <w:rPr>
                <w:sz w:val="22"/>
                <w:szCs w:val="22"/>
              </w:rPr>
              <w:t xml:space="preserve"> (2017/12/15)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1.22</w:t>
            </w:r>
          </w:p>
        </w:tc>
      </w:tr>
      <w:tr w:rsidR="00B97527" w:rsidRPr="00F356BE" w:rsidTr="00B97527">
        <w:trPr>
          <w:trHeight w:val="468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Deutsche Bank (2017/12/8)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1.30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proofErr w:type="spellStart"/>
            <w:r w:rsidRPr="00F356BE">
              <w:rPr>
                <w:sz w:val="22"/>
                <w:szCs w:val="22"/>
              </w:rPr>
              <w:t>BoA</w:t>
            </w:r>
            <w:proofErr w:type="spellEnd"/>
            <w:r w:rsidRPr="00F356BE">
              <w:rPr>
                <w:sz w:val="22"/>
                <w:szCs w:val="22"/>
              </w:rPr>
              <w:t xml:space="preserve"> Merrill Lynch (2017/12/18)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1.30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Goldman Sachs (2017/12/18)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1.30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Barclays Capital (2017/12/15)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1.30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Citi (2017/11/16)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1.30</w:t>
            </w:r>
          </w:p>
        </w:tc>
      </w:tr>
      <w:tr w:rsidR="00B97527" w:rsidRPr="00F356BE" w:rsidTr="00B97527">
        <w:trPr>
          <w:trHeight w:val="456"/>
        </w:trPr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both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Nomura (2017/12/15)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7527" w:rsidRPr="00F356BE" w:rsidRDefault="00B97527" w:rsidP="00B97527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0.60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B97527" w:rsidRPr="00F356BE" w:rsidRDefault="00B97527" w:rsidP="00B97527">
            <w:pPr>
              <w:jc w:val="center"/>
              <w:rPr>
                <w:sz w:val="22"/>
                <w:szCs w:val="22"/>
              </w:rPr>
            </w:pPr>
            <w:r w:rsidRPr="00F356BE">
              <w:rPr>
                <w:sz w:val="22"/>
                <w:szCs w:val="22"/>
              </w:rPr>
              <w:t>1.50</w:t>
            </w:r>
          </w:p>
        </w:tc>
      </w:tr>
    </w:tbl>
    <w:p w:rsidR="00B97527" w:rsidRPr="004F16D5" w:rsidRDefault="00B97527" w:rsidP="00B97527">
      <w:pPr>
        <w:widowControl/>
        <w:snapToGrid w:val="0"/>
        <w:spacing w:beforeLines="50" w:before="180"/>
        <w:rPr>
          <w:rFonts w:eastAsia="標楷體"/>
          <w:szCs w:val="28"/>
        </w:rPr>
      </w:pPr>
    </w:p>
    <w:p w:rsidR="00B97527" w:rsidRPr="004F16D5" w:rsidRDefault="00B97527" w:rsidP="00B97527">
      <w:pPr>
        <w:widowControl/>
        <w:snapToGrid w:val="0"/>
        <w:spacing w:beforeLines="20" w:before="72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176384" w:rsidRDefault="00B97527" w:rsidP="00B97527">
      <w:pPr>
        <w:spacing w:line="400" w:lineRule="exact"/>
        <w:jc w:val="center"/>
        <w:rPr>
          <w:rFonts w:eastAsia="標楷體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  <w:r w:rsidRPr="004F16D5">
        <w:rPr>
          <w:rFonts w:eastAsia="標楷體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D712F2" wp14:editId="25FE769A">
                <wp:simplePos x="0" y="0"/>
                <wp:positionH relativeFrom="column">
                  <wp:posOffset>-8255</wp:posOffset>
                </wp:positionH>
                <wp:positionV relativeFrom="paragraph">
                  <wp:posOffset>40640</wp:posOffset>
                </wp:positionV>
                <wp:extent cx="1216660" cy="1365250"/>
                <wp:effectExtent l="0" t="0" r="0" b="6350"/>
                <wp:wrapTight wrapText="bothSides">
                  <wp:wrapPolygon edited="0">
                    <wp:start x="1015" y="0"/>
                    <wp:lineTo x="1015" y="21399"/>
                    <wp:lineTo x="20292" y="21399"/>
                    <wp:lineTo x="20292" y="0"/>
                    <wp:lineTo x="1015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136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527" w:rsidRPr="00176384" w:rsidRDefault="00B97527" w:rsidP="00B97527">
                            <w:pPr>
                              <w:widowControl/>
                              <w:snapToGrid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kern w:val="0"/>
                              </w:rPr>
                            </w:pPr>
                            <w:r w:rsidRPr="00176384">
                              <w:rPr>
                                <w:rFonts w:eastAsia="標楷體"/>
                                <w:b/>
                                <w:bCs/>
                                <w:kern w:val="0"/>
                              </w:rPr>
                              <w:t xml:space="preserve">Median: </w:t>
                            </w:r>
                          </w:p>
                          <w:p w:rsidR="00B97527" w:rsidRDefault="00B97527" w:rsidP="00B97527">
                            <w:pPr>
                              <w:widowControl/>
                              <w:snapToGrid w:val="0"/>
                              <w:spacing w:line="440" w:lineRule="exact"/>
                              <w:jc w:val="center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 w:rsidRPr="00176384">
                              <w:rPr>
                                <w:rFonts w:hint="eastAsia"/>
                                <w:b/>
                                <w:bCs/>
                                <w:kern w:val="0"/>
                              </w:rPr>
                              <w:t>0.62%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</w:rPr>
                              <w:t xml:space="preserve"> (2017)</w:t>
                            </w:r>
                          </w:p>
                          <w:p w:rsidR="00B97527" w:rsidRPr="00176384" w:rsidRDefault="00B97527" w:rsidP="00B97527">
                            <w:pPr>
                              <w:widowControl/>
                              <w:snapToGrid w:val="0"/>
                              <w:spacing w:line="440" w:lineRule="exact"/>
                              <w:jc w:val="center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</w:rPr>
                              <w:t>0.96% (2018)</w:t>
                            </w:r>
                          </w:p>
                          <w:p w:rsidR="00B97527" w:rsidRPr="00054C51" w:rsidRDefault="00B97527" w:rsidP="00B97527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176384">
                              <w:rPr>
                                <w:kern w:val="0"/>
                              </w:rPr>
                              <w:t>(</w:t>
                            </w:r>
                            <w:proofErr w:type="gramStart"/>
                            <w:r w:rsidRPr="00176384">
                              <w:rPr>
                                <w:kern w:val="0"/>
                              </w:rPr>
                              <w:t>domestic</w:t>
                            </w:r>
                            <w:proofErr w:type="gramEnd"/>
                            <w:r w:rsidRPr="00176384">
                              <w:rPr>
                                <w:kern w:val="0"/>
                              </w:rPr>
                              <w:t xml:space="preserve"> institutions)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65pt;margin-top:3.2pt;width:95.8pt;height:10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" filled="f" stroked="f" strokeweight=".5pt">
                <v:textbox>
                  <w:txbxContent>
                    <w:p w:rsidR="00B97527" w:rsidRPr="00176384" w:rsidRDefault="00B97527" w:rsidP="00B97527">
                      <w:pPr>
                        <w:widowControl/>
                        <w:snapToGrid w:val="0"/>
                        <w:spacing w:line="440" w:lineRule="exact"/>
                        <w:jc w:val="center"/>
                        <w:rPr>
                          <w:rFonts w:eastAsia="標楷體"/>
                          <w:b/>
                          <w:bCs/>
                          <w:kern w:val="0"/>
                        </w:rPr>
                      </w:pPr>
                      <w:r w:rsidRPr="00176384">
                        <w:rPr>
                          <w:rFonts w:eastAsia="標楷體"/>
                          <w:b/>
                          <w:bCs/>
                          <w:kern w:val="0"/>
                        </w:rPr>
                        <w:t xml:space="preserve">Median: </w:t>
                      </w:r>
                    </w:p>
                    <w:p w:rsidR="00B97527" w:rsidRDefault="00B97527" w:rsidP="00B97527">
                      <w:pPr>
                        <w:widowControl/>
                        <w:snapToGrid w:val="0"/>
                        <w:spacing w:line="440" w:lineRule="exact"/>
                        <w:jc w:val="center"/>
                        <w:rPr>
                          <w:b/>
                          <w:bCs/>
                          <w:kern w:val="0"/>
                        </w:rPr>
                      </w:pPr>
                      <w:r w:rsidRPr="00176384">
                        <w:rPr>
                          <w:rFonts w:hint="eastAsia"/>
                          <w:b/>
                          <w:bCs/>
                          <w:kern w:val="0"/>
                        </w:rPr>
                        <w:t>0.62%</w:t>
                      </w:r>
                      <w:r>
                        <w:rPr>
                          <w:rFonts w:hint="eastAsia"/>
                          <w:b/>
                          <w:bCs/>
                          <w:kern w:val="0"/>
                        </w:rPr>
                        <w:t xml:space="preserve"> (2017)</w:t>
                      </w:r>
                    </w:p>
                    <w:p w:rsidR="00B97527" w:rsidRPr="00176384" w:rsidRDefault="00B97527" w:rsidP="00B97527">
                      <w:pPr>
                        <w:widowControl/>
                        <w:snapToGrid w:val="0"/>
                        <w:spacing w:line="440" w:lineRule="exact"/>
                        <w:jc w:val="center"/>
                        <w:rPr>
                          <w:b/>
                          <w:bCs/>
                          <w:kern w:val="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0"/>
                        </w:rPr>
                        <w:t>0.96% (2018)</w:t>
                      </w:r>
                    </w:p>
                    <w:p w:rsidR="00B97527" w:rsidRPr="00054C51" w:rsidRDefault="00B97527" w:rsidP="00B97527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176384">
                        <w:rPr>
                          <w:kern w:val="0"/>
                        </w:rPr>
                        <w:t>(</w:t>
                      </w:r>
                      <w:proofErr w:type="gramStart"/>
                      <w:r w:rsidRPr="00176384">
                        <w:rPr>
                          <w:kern w:val="0"/>
                        </w:rPr>
                        <w:t>domestic</w:t>
                      </w:r>
                      <w:proofErr w:type="gramEnd"/>
                      <w:r w:rsidRPr="00176384">
                        <w:rPr>
                          <w:kern w:val="0"/>
                        </w:rPr>
                        <w:t xml:space="preserve"> institutions)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  <w:r w:rsidRPr="004F16D5">
        <w:rPr>
          <w:rFonts w:eastAsia="標楷體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7C58D" wp14:editId="6CE2A0E4">
                <wp:simplePos x="0" y="0"/>
                <wp:positionH relativeFrom="column">
                  <wp:posOffset>40005</wp:posOffset>
                </wp:positionH>
                <wp:positionV relativeFrom="paragraph">
                  <wp:posOffset>202565</wp:posOffset>
                </wp:positionV>
                <wp:extent cx="1329055" cy="143637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143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7527" w:rsidRPr="00176384" w:rsidRDefault="00B97527" w:rsidP="00B97527">
                            <w:pPr>
                              <w:widowControl/>
                              <w:snapToGrid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kern w:val="0"/>
                              </w:rPr>
                            </w:pPr>
                            <w:r w:rsidRPr="00176384">
                              <w:rPr>
                                <w:rFonts w:eastAsia="標楷體"/>
                                <w:b/>
                                <w:bCs/>
                                <w:kern w:val="0"/>
                              </w:rPr>
                              <w:t xml:space="preserve">Median: </w:t>
                            </w:r>
                          </w:p>
                          <w:p w:rsidR="00B97527" w:rsidRDefault="00B97527" w:rsidP="00B97527">
                            <w:pPr>
                              <w:widowControl/>
                              <w:snapToGrid w:val="0"/>
                              <w:spacing w:line="440" w:lineRule="exact"/>
                              <w:jc w:val="center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</w:rPr>
                              <w:t>0.60</w:t>
                            </w:r>
                            <w:r w:rsidRPr="00176384">
                              <w:rPr>
                                <w:rFonts w:hint="eastAsia"/>
                                <w:b/>
                                <w:bCs/>
                                <w:kern w:val="0"/>
                              </w:rPr>
                              <w:t>%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</w:rPr>
                              <w:t xml:space="preserve"> (2017)</w:t>
                            </w:r>
                          </w:p>
                          <w:p w:rsidR="00B97527" w:rsidRPr="00176384" w:rsidRDefault="00B97527" w:rsidP="00B97527">
                            <w:pPr>
                              <w:widowControl/>
                              <w:snapToGrid w:val="0"/>
                              <w:spacing w:line="440" w:lineRule="exact"/>
                              <w:jc w:val="center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</w:rPr>
                              <w:t>1.30% (2018)</w:t>
                            </w:r>
                          </w:p>
                          <w:p w:rsidR="00B97527" w:rsidRPr="00054C51" w:rsidRDefault="00B97527" w:rsidP="00B97527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kern w:val="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  <w:kern w:val="0"/>
                              </w:rPr>
                              <w:t>foreign</w:t>
                            </w:r>
                            <w:proofErr w:type="gramEnd"/>
                            <w:r w:rsidRPr="00176384">
                              <w:rPr>
                                <w:kern w:val="0"/>
                              </w:rPr>
                              <w:t xml:space="preserve"> institutions)</w:t>
                            </w:r>
                          </w:p>
                          <w:p w:rsidR="00B97527" w:rsidRPr="00054C51" w:rsidRDefault="00B97527" w:rsidP="00B97527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3.15pt;margin-top:15.95pt;width:104.65pt;height:1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" filled="f" stroked="f" strokeweight=".5pt">
                <v:textbox>
                  <w:txbxContent>
                    <w:p w:rsidR="00B97527" w:rsidRPr="00176384" w:rsidRDefault="00B97527" w:rsidP="00B97527">
                      <w:pPr>
                        <w:widowControl/>
                        <w:snapToGrid w:val="0"/>
                        <w:spacing w:line="440" w:lineRule="exact"/>
                        <w:jc w:val="center"/>
                        <w:rPr>
                          <w:rFonts w:eastAsia="標楷體"/>
                          <w:b/>
                          <w:bCs/>
                          <w:kern w:val="0"/>
                        </w:rPr>
                      </w:pPr>
                      <w:r w:rsidRPr="00176384">
                        <w:rPr>
                          <w:rFonts w:eastAsia="標楷體"/>
                          <w:b/>
                          <w:bCs/>
                          <w:kern w:val="0"/>
                        </w:rPr>
                        <w:t xml:space="preserve">Median: </w:t>
                      </w:r>
                    </w:p>
                    <w:p w:rsidR="00B97527" w:rsidRDefault="00B97527" w:rsidP="00B97527">
                      <w:pPr>
                        <w:widowControl/>
                        <w:snapToGrid w:val="0"/>
                        <w:spacing w:line="440" w:lineRule="exact"/>
                        <w:jc w:val="center"/>
                        <w:rPr>
                          <w:b/>
                          <w:bCs/>
                          <w:kern w:val="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0"/>
                        </w:rPr>
                        <w:t>0.60</w:t>
                      </w:r>
                      <w:r w:rsidRPr="00176384">
                        <w:rPr>
                          <w:rFonts w:hint="eastAsia"/>
                          <w:b/>
                          <w:bCs/>
                          <w:kern w:val="0"/>
                        </w:rPr>
                        <w:t>%</w:t>
                      </w:r>
                      <w:r>
                        <w:rPr>
                          <w:rFonts w:hint="eastAsia"/>
                          <w:b/>
                          <w:bCs/>
                          <w:kern w:val="0"/>
                        </w:rPr>
                        <w:t xml:space="preserve"> (2017)</w:t>
                      </w:r>
                    </w:p>
                    <w:p w:rsidR="00B97527" w:rsidRPr="00176384" w:rsidRDefault="00B97527" w:rsidP="00B97527">
                      <w:pPr>
                        <w:widowControl/>
                        <w:snapToGrid w:val="0"/>
                        <w:spacing w:line="440" w:lineRule="exact"/>
                        <w:jc w:val="center"/>
                        <w:rPr>
                          <w:b/>
                          <w:bCs/>
                          <w:kern w:val="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0"/>
                        </w:rPr>
                        <w:t>1.30% (2018)</w:t>
                      </w:r>
                    </w:p>
                    <w:p w:rsidR="00B97527" w:rsidRPr="00054C51" w:rsidRDefault="00B97527" w:rsidP="00B97527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kern w:val="0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  <w:kern w:val="0"/>
                        </w:rPr>
                        <w:t>foreign</w:t>
                      </w:r>
                      <w:proofErr w:type="gramEnd"/>
                      <w:r w:rsidRPr="00176384">
                        <w:rPr>
                          <w:kern w:val="0"/>
                        </w:rPr>
                        <w:t xml:space="preserve"> institutions)</w:t>
                      </w:r>
                    </w:p>
                    <w:p w:rsidR="00B97527" w:rsidRPr="00054C51" w:rsidRDefault="00B97527" w:rsidP="00B97527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</w:p>
    <w:p w:rsidR="00B97527" w:rsidRPr="00F356BE" w:rsidRDefault="00B97527" w:rsidP="00B97527">
      <w:pPr>
        <w:widowControl/>
        <w:snapToGrid w:val="0"/>
        <w:spacing w:beforeLines="50" w:before="180"/>
        <w:ind w:leftChars="-295" w:left="-708" w:firstLineChars="354" w:firstLine="708"/>
        <w:rPr>
          <w:rFonts w:eastAsia="標楷體"/>
          <w:sz w:val="20"/>
          <w:szCs w:val="20"/>
        </w:rPr>
      </w:pPr>
      <w:r w:rsidRPr="00F356BE">
        <w:rPr>
          <w:rFonts w:eastAsia="標楷體" w:hint="eastAsia"/>
          <w:sz w:val="20"/>
          <w:szCs w:val="20"/>
        </w:rPr>
        <w:t xml:space="preserve">*Excluding vegetables, fruit, and energy. </w:t>
      </w:r>
    </w:p>
    <w:p w:rsidR="00B97527" w:rsidRPr="00F356BE" w:rsidRDefault="00B97527" w:rsidP="00B97527">
      <w:pPr>
        <w:spacing w:line="400" w:lineRule="exact"/>
        <w:ind w:leftChars="-295" w:left="-708" w:firstLineChars="354" w:firstLine="708"/>
        <w:rPr>
          <w:rFonts w:eastAsia="標楷體"/>
          <w:sz w:val="20"/>
          <w:szCs w:val="20"/>
        </w:rPr>
      </w:pPr>
      <w:r w:rsidRPr="00F356BE">
        <w:rPr>
          <w:rFonts w:eastAsia="標楷體" w:hint="eastAsia"/>
          <w:sz w:val="20"/>
          <w:szCs w:val="20"/>
        </w:rPr>
        <w:t>Sources: DGBAS, Executive Yuan; forecasts by respective institutions.</w:t>
      </w:r>
    </w:p>
    <w:p w:rsidR="00B97527" w:rsidRPr="004F16D5" w:rsidRDefault="00B97527" w:rsidP="00B97527">
      <w:pPr>
        <w:spacing w:line="400" w:lineRule="exact"/>
        <w:rPr>
          <w:rFonts w:eastAsia="標楷體"/>
          <w:szCs w:val="28"/>
        </w:rPr>
      </w:pPr>
      <w:r w:rsidRPr="004F16D5">
        <w:rPr>
          <w:rFonts w:eastAsia="標楷體"/>
          <w:szCs w:val="28"/>
        </w:rPr>
        <w:br w:type="page"/>
      </w:r>
    </w:p>
    <w:p w:rsidR="00B97527" w:rsidRDefault="00B97527" w:rsidP="00042DED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40B51" wp14:editId="3022FAB1">
                <wp:simplePos x="0" y="0"/>
                <wp:positionH relativeFrom="column">
                  <wp:posOffset>616871</wp:posOffset>
                </wp:positionH>
                <wp:positionV relativeFrom="paragraph">
                  <wp:posOffset>-186997</wp:posOffset>
                </wp:positionV>
                <wp:extent cx="4612194" cy="792480"/>
                <wp:effectExtent l="0" t="0" r="17145" b="266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194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AB" w:rsidRPr="003F32AB" w:rsidRDefault="003F32AB" w:rsidP="003F32AB">
                            <w:pPr>
                              <w:snapToGrid w:val="0"/>
                              <w:spacing w:line="480" w:lineRule="exact"/>
                              <w:ind w:left="2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3F32AB">
                              <w:rPr>
                                <w:rFonts w:eastAsia="標楷體"/>
                                <w:sz w:val="28"/>
                              </w:rPr>
                              <w:t>Compared with other economies, Taiwan’s nominal interest rate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is not low 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and the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real interest rate 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is</w:t>
                            </w:r>
                            <w:r w:rsidR="0095221F">
                              <w:rPr>
                                <w:rFonts w:eastAsia="標楷體" w:hint="eastAsia"/>
                                <w:sz w:val="28"/>
                              </w:rPr>
                              <w:t xml:space="preserve"> relatively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 xml:space="preserve"> higher.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8.55pt;margin-top:-14.7pt;width:363.1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" fillcolor="white [3201]" strokeweight=".5pt">
                <v:textbox>
                  <w:txbxContent>
                    <w:p w:rsidR="003F32AB" w:rsidRPr="003F32AB" w:rsidRDefault="003F32AB" w:rsidP="003F32AB">
                      <w:pPr>
                        <w:snapToGrid w:val="0"/>
                        <w:spacing w:line="480" w:lineRule="exact"/>
                        <w:ind w:left="2"/>
                        <w:rPr>
                          <w:rFonts w:eastAsia="標楷體"/>
                          <w:sz w:val="28"/>
                        </w:rPr>
                      </w:pPr>
                      <w:r w:rsidRPr="003F32AB">
                        <w:rPr>
                          <w:rFonts w:eastAsia="標楷體"/>
                          <w:sz w:val="28"/>
                        </w:rPr>
                        <w:t>Compared with other economies, Taiwan’s nominal interest rate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is not low </w:t>
                      </w:r>
                      <w:r>
                        <w:rPr>
                          <w:rFonts w:eastAsia="標楷體"/>
                          <w:sz w:val="28"/>
                        </w:rPr>
                        <w:t>and the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real interest rate </w:t>
                      </w:r>
                      <w:r>
                        <w:rPr>
                          <w:rFonts w:eastAsia="標楷體"/>
                          <w:sz w:val="28"/>
                        </w:rPr>
                        <w:t>is</w:t>
                      </w:r>
                      <w:r w:rsidR="0095221F">
                        <w:rPr>
                          <w:rFonts w:eastAsia="標楷體" w:hint="eastAsia"/>
                          <w:sz w:val="28"/>
                        </w:rPr>
                        <w:t xml:space="preserve"> relatively</w:t>
                      </w:r>
                      <w:r>
                        <w:rPr>
                          <w:rFonts w:eastAsia="標楷體"/>
                          <w:sz w:val="28"/>
                        </w:rPr>
                        <w:t xml:space="preserve"> higher. </w:t>
                      </w:r>
                    </w:p>
                  </w:txbxContent>
                </v:textbox>
              </v:shape>
            </w:pict>
          </mc:Fallback>
        </mc:AlternateContent>
      </w:r>
    </w:p>
    <w:p w:rsidR="00B97527" w:rsidRDefault="00B97527" w:rsidP="00042DED">
      <w:pPr>
        <w:spacing w:line="480" w:lineRule="exact"/>
        <w:jc w:val="center"/>
        <w:rPr>
          <w:rFonts w:eastAsia="標楷體"/>
          <w:b/>
          <w:sz w:val="28"/>
          <w:szCs w:val="28"/>
        </w:rPr>
      </w:pPr>
    </w:p>
    <w:p w:rsidR="0008370C" w:rsidRDefault="00B97527" w:rsidP="00042DED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>2</w:t>
      </w:r>
      <w:r w:rsidR="001F7E02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 xml:space="preserve"> </w:t>
      </w:r>
      <w:r w:rsidR="00E20FEE">
        <w:rPr>
          <w:rFonts w:eastAsia="標楷體" w:hint="eastAsia"/>
          <w:b/>
          <w:sz w:val="28"/>
          <w:szCs w:val="28"/>
        </w:rPr>
        <w:t>Real</w:t>
      </w:r>
      <w:proofErr w:type="gramEnd"/>
      <w:r w:rsidR="00E20FEE">
        <w:rPr>
          <w:rFonts w:eastAsia="標楷體" w:hint="eastAsia"/>
          <w:b/>
          <w:sz w:val="28"/>
          <w:szCs w:val="28"/>
        </w:rPr>
        <w:t xml:space="preserve"> Interest Rates and Economic Growth of Selected Economies</w:t>
      </w:r>
      <w:r w:rsidR="00E20FEE">
        <w:rPr>
          <w:rFonts w:eastAsia="標楷體"/>
          <w:b/>
          <w:sz w:val="28"/>
          <w:szCs w:val="28"/>
        </w:rPr>
        <w:t xml:space="preserve"> </w:t>
      </w:r>
    </w:p>
    <w:tbl>
      <w:tblPr>
        <w:tblW w:w="9229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1967"/>
        <w:gridCol w:w="420"/>
        <w:gridCol w:w="1547"/>
        <w:gridCol w:w="573"/>
        <w:gridCol w:w="1394"/>
        <w:gridCol w:w="726"/>
        <w:gridCol w:w="1242"/>
      </w:tblGrid>
      <w:tr w:rsidR="00042DED" w:rsidRPr="00042DED" w:rsidTr="00042DED">
        <w:trPr>
          <w:trHeight w:val="432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ED" w:rsidRPr="00042DED" w:rsidRDefault="00042DED" w:rsidP="00042DED"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ED" w:rsidRPr="00042DED" w:rsidRDefault="00042DED" w:rsidP="00042DE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ED" w:rsidRPr="00042DED" w:rsidRDefault="00042DED" w:rsidP="00042DE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ED" w:rsidRPr="00042DED" w:rsidRDefault="00042DED" w:rsidP="00042DED">
            <w:pPr>
              <w:widowControl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ED" w:rsidRPr="00667364" w:rsidRDefault="00E20FEE" w:rsidP="00E20FEE">
            <w:pPr>
              <w:widowControl/>
              <w:snapToGrid w:val="0"/>
              <w:jc w:val="right"/>
              <w:rPr>
                <w:rFonts w:eastAsia="標楷體"/>
                <w:kern w:val="0"/>
                <w:sz w:val="22"/>
                <w:szCs w:val="28"/>
              </w:rPr>
            </w:pPr>
            <w:r w:rsidRPr="00667364">
              <w:rPr>
                <w:rFonts w:eastAsia="標楷體"/>
                <w:kern w:val="0"/>
                <w:sz w:val="22"/>
                <w:szCs w:val="28"/>
              </w:rPr>
              <w:t xml:space="preserve">Unit: </w:t>
            </w:r>
            <w:r w:rsidR="00042DED" w:rsidRPr="00667364">
              <w:rPr>
                <w:rFonts w:eastAsia="標楷體"/>
                <w:kern w:val="0"/>
                <w:sz w:val="22"/>
                <w:szCs w:val="28"/>
              </w:rPr>
              <w:t>%</w:t>
            </w:r>
          </w:p>
        </w:tc>
      </w:tr>
      <w:tr w:rsidR="00042DED" w:rsidRPr="00042DED" w:rsidTr="00042DED">
        <w:trPr>
          <w:trHeight w:val="342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E20FEE" w:rsidP="00042DED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E20FEE">
              <w:rPr>
                <w:rFonts w:eastAsia="標楷體"/>
                <w:kern w:val="0"/>
              </w:rPr>
              <w:t>Economies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(1)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(2)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(3)=(1)-(2)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037" w:rsidRDefault="00074037" w:rsidP="00EA2F01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Real </w:t>
            </w:r>
            <w:r w:rsidR="00667364">
              <w:rPr>
                <w:rFonts w:hint="eastAsia"/>
                <w:b/>
                <w:kern w:val="0"/>
              </w:rPr>
              <w:t xml:space="preserve">GDP </w:t>
            </w:r>
          </w:p>
          <w:p w:rsidR="00074037" w:rsidRDefault="00667364" w:rsidP="00EA2F01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growth </w:t>
            </w:r>
            <w:r w:rsidR="00074037">
              <w:rPr>
                <w:rFonts w:hint="eastAsia"/>
                <w:b/>
                <w:kern w:val="0"/>
              </w:rPr>
              <w:t xml:space="preserve">rate </w:t>
            </w:r>
          </w:p>
          <w:p w:rsidR="00042DED" w:rsidRPr="00E20FEE" w:rsidRDefault="00667364" w:rsidP="00EA2F01"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(</w:t>
            </w:r>
            <w:r w:rsidR="00074037">
              <w:rPr>
                <w:rFonts w:hint="eastAsia"/>
                <w:b/>
                <w:kern w:val="0"/>
              </w:rPr>
              <w:t xml:space="preserve">2017 </w:t>
            </w:r>
            <w:r>
              <w:rPr>
                <w:rFonts w:hint="eastAsia"/>
                <w:b/>
                <w:kern w:val="0"/>
              </w:rPr>
              <w:t>forecast)</w:t>
            </w:r>
            <w:r w:rsidRPr="00E20FEE">
              <w:rPr>
                <w:rFonts w:eastAsia="標楷體"/>
                <w:b/>
                <w:kern w:val="0"/>
              </w:rPr>
              <w:t xml:space="preserve"> </w:t>
            </w:r>
            <w:r w:rsidR="00042DED" w:rsidRPr="00E20FEE">
              <w:rPr>
                <w:kern w:val="0"/>
              </w:rPr>
              <w:t>*</w:t>
            </w:r>
            <w:r w:rsidR="00EA2F01" w:rsidRPr="00E20FEE">
              <w:rPr>
                <w:kern w:val="0"/>
              </w:rPr>
              <w:t>*</w:t>
            </w:r>
          </w:p>
        </w:tc>
      </w:tr>
      <w:tr w:rsidR="00042DED" w:rsidRPr="00042DED" w:rsidTr="00042DED">
        <w:trPr>
          <w:trHeight w:val="276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E20FEE" w:rsidP="00E20FEE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 xml:space="preserve">1-year time deposit rate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E20FEE" w:rsidP="00042DED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 xml:space="preserve">CPI annual growth rate </w:t>
            </w:r>
            <w:r w:rsidR="001661B9" w:rsidRPr="00E20FEE">
              <w:rPr>
                <w:rFonts w:eastAsia="標楷體"/>
                <w:kern w:val="0"/>
              </w:rPr>
              <w:t>*</w:t>
            </w:r>
            <w:r w:rsidR="00042DED" w:rsidRPr="00E20FEE">
              <w:rPr>
                <w:kern w:val="0"/>
              </w:rPr>
              <w:t>*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667364" w:rsidP="00042DED">
            <w:pPr>
              <w:widowControl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67364">
              <w:rPr>
                <w:rFonts w:eastAsia="標楷體"/>
                <w:b/>
                <w:kern w:val="0"/>
              </w:rPr>
              <w:t>Real interest rate</w:t>
            </w:r>
          </w:p>
        </w:tc>
        <w:tc>
          <w:tcPr>
            <w:tcW w:w="1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rPr>
                <w:kern w:val="0"/>
              </w:rPr>
            </w:pPr>
          </w:p>
        </w:tc>
      </w:tr>
      <w:tr w:rsidR="00042DED" w:rsidRPr="00042DED" w:rsidTr="00042DED">
        <w:trPr>
          <w:trHeight w:val="40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042DED" w:rsidP="00E20FEE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</w:t>
            </w:r>
            <w:r w:rsidR="00E20FEE">
              <w:rPr>
                <w:rFonts w:hint="eastAsia"/>
                <w:kern w:val="0"/>
              </w:rPr>
              <w:t xml:space="preserve">As of </w:t>
            </w:r>
            <w:r w:rsidRPr="00E20FEE">
              <w:rPr>
                <w:kern w:val="0"/>
              </w:rPr>
              <w:t>2017</w:t>
            </w:r>
            <w:r w:rsidR="00E20FEE">
              <w:rPr>
                <w:rFonts w:eastAsia="標楷體" w:hint="eastAsia"/>
                <w:kern w:val="0"/>
              </w:rPr>
              <w:t>/</w:t>
            </w:r>
            <w:r w:rsidR="00E35967">
              <w:rPr>
                <w:rFonts w:hint="eastAsia"/>
                <w:kern w:val="0"/>
              </w:rPr>
              <w:t>12</w:t>
            </w:r>
            <w:r w:rsidR="00E20FEE">
              <w:rPr>
                <w:rFonts w:eastAsia="標楷體" w:hint="eastAsia"/>
                <w:kern w:val="0"/>
              </w:rPr>
              <w:t>/</w:t>
            </w:r>
            <w:r w:rsidR="00E35967">
              <w:rPr>
                <w:kern w:val="0"/>
              </w:rPr>
              <w:t>2</w:t>
            </w:r>
            <w:r w:rsidR="00E35967">
              <w:rPr>
                <w:rFonts w:hint="eastAsia"/>
                <w:kern w:val="0"/>
              </w:rPr>
              <w:t>1</w:t>
            </w:r>
            <w:r w:rsidRPr="00E20FEE">
              <w:rPr>
                <w:kern w:val="0"/>
              </w:rPr>
              <w:t>)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DED" w:rsidRPr="00E20FEE" w:rsidRDefault="00042DED" w:rsidP="00E20FEE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(2017</w:t>
            </w:r>
            <w:r w:rsidR="00E20FEE">
              <w:rPr>
                <w:rFonts w:eastAsia="標楷體" w:hint="eastAsia"/>
                <w:kern w:val="0"/>
              </w:rPr>
              <w:t xml:space="preserve"> forecast</w:t>
            </w:r>
            <w:r w:rsidRPr="00E20FEE">
              <w:rPr>
                <w:kern w:val="0"/>
              </w:rPr>
              <w:t>)</w:t>
            </w:r>
          </w:p>
        </w:tc>
        <w:tc>
          <w:tcPr>
            <w:tcW w:w="1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2DED" w:rsidRPr="00E20FEE" w:rsidRDefault="00042DED" w:rsidP="00042DED">
            <w:pPr>
              <w:widowControl/>
              <w:snapToGrid w:val="0"/>
              <w:rPr>
                <w:kern w:val="0"/>
              </w:rPr>
            </w:pPr>
          </w:p>
        </w:tc>
      </w:tr>
      <w:tr w:rsidR="00E35967" w:rsidRPr="00042DED" w:rsidTr="00E35967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35967" w:rsidRPr="00647ECE" w:rsidRDefault="00E35967" w:rsidP="00B7704C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>Indonesia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967" w:rsidRPr="00E20FEE" w:rsidRDefault="00E35967" w:rsidP="00B7704C">
            <w:pPr>
              <w:spacing w:line="280" w:lineRule="exact"/>
              <w:jc w:val="center"/>
            </w:pPr>
            <w:r w:rsidRPr="00E20FEE">
              <w:t>4.750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967" w:rsidRPr="00E20FEE" w:rsidRDefault="00E35967" w:rsidP="00B7704C">
            <w:pPr>
              <w:spacing w:line="280" w:lineRule="exact"/>
              <w:jc w:val="center"/>
            </w:pPr>
            <w:r>
              <w:rPr>
                <w:rFonts w:hint="eastAsia"/>
              </w:rPr>
              <w:t>3.84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967" w:rsidRPr="00E20FEE" w:rsidRDefault="00E35967" w:rsidP="00E35967">
            <w:pPr>
              <w:spacing w:line="280" w:lineRule="exact"/>
              <w:jc w:val="center"/>
            </w:pPr>
            <w:r w:rsidRPr="00E20FEE">
              <w:t>0.</w:t>
            </w:r>
            <w:r>
              <w:rPr>
                <w:rFonts w:hint="eastAsia"/>
              </w:rPr>
              <w:t>910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967" w:rsidRPr="00E20FEE" w:rsidRDefault="00E35967" w:rsidP="00B7704C">
            <w:pPr>
              <w:spacing w:line="280" w:lineRule="exact"/>
              <w:jc w:val="center"/>
            </w:pPr>
            <w:r w:rsidRPr="00E20FEE">
              <w:t>5.0</w:t>
            </w:r>
          </w:p>
        </w:tc>
      </w:tr>
      <w:tr w:rsidR="00E35967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35967" w:rsidRPr="00647ECE" w:rsidRDefault="00E35967" w:rsidP="00B7704C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/>
                <w:kern w:val="0"/>
                <w:sz w:val="26"/>
                <w:szCs w:val="26"/>
              </w:rPr>
              <w:t>Thailand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967" w:rsidRPr="00E20FEE" w:rsidRDefault="00E35967" w:rsidP="00B7704C">
            <w:pPr>
              <w:spacing w:line="280" w:lineRule="exact"/>
              <w:jc w:val="center"/>
            </w:pPr>
            <w:r w:rsidRPr="00E20FEE">
              <w:t>1.500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967" w:rsidRPr="00E20FEE" w:rsidRDefault="00E35967" w:rsidP="00B7704C">
            <w:pPr>
              <w:spacing w:line="280" w:lineRule="exact"/>
              <w:jc w:val="center"/>
            </w:pPr>
            <w:r>
              <w:rPr>
                <w:rFonts w:hint="eastAsia"/>
              </w:rPr>
              <w:t>0.70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5967" w:rsidRPr="00E20FEE" w:rsidRDefault="00E35967" w:rsidP="00E35967">
            <w:pPr>
              <w:spacing w:line="280" w:lineRule="exact"/>
              <w:jc w:val="center"/>
            </w:pPr>
            <w:r w:rsidRPr="00E20FEE">
              <w:t>0.</w:t>
            </w:r>
            <w:r>
              <w:rPr>
                <w:rFonts w:hint="eastAsia"/>
              </w:rPr>
              <w:t>800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967" w:rsidRPr="00E20FEE" w:rsidRDefault="00E35967" w:rsidP="00B7704C">
            <w:pPr>
              <w:spacing w:line="280" w:lineRule="exact"/>
              <w:jc w:val="center"/>
            </w:pPr>
            <w:r>
              <w:t>3.</w:t>
            </w:r>
            <w:r>
              <w:rPr>
                <w:rFonts w:hint="eastAsia"/>
              </w:rPr>
              <w:t>8</w:t>
            </w:r>
          </w:p>
        </w:tc>
      </w:tr>
      <w:tr w:rsidR="00E35967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E35967" w:rsidRPr="00647ECE" w:rsidRDefault="00E35967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T</w:t>
            </w:r>
            <w:r w:rsidRPr="00647ECE">
              <w:rPr>
                <w:rFonts w:eastAsia="標楷體"/>
                <w:b/>
                <w:bCs/>
                <w:kern w:val="0"/>
                <w:sz w:val="26"/>
                <w:szCs w:val="26"/>
              </w:rPr>
              <w:t>a</w:t>
            </w:r>
            <w:r w:rsidRPr="00647ECE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 xml:space="preserve">iwan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35967" w:rsidRPr="00E20FEE" w:rsidRDefault="00E35967" w:rsidP="00375423">
            <w:pPr>
              <w:spacing w:line="280" w:lineRule="exact"/>
              <w:ind w:firstLineChars="18" w:firstLine="43"/>
              <w:jc w:val="center"/>
              <w:rPr>
                <w:b/>
              </w:rPr>
            </w:pPr>
            <w:r w:rsidRPr="00E20FEE">
              <w:rPr>
                <w:b/>
              </w:rPr>
              <w:t>1.065</w:t>
            </w:r>
            <w:r w:rsidRPr="00E20FEE">
              <w:rPr>
                <w:rFonts w:eastAsia="標楷體"/>
                <w:kern w:val="0"/>
              </w:rPr>
              <w:t>*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35967" w:rsidRPr="00E20FEE" w:rsidRDefault="0095221F" w:rsidP="0037542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0.61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E35967" w:rsidRPr="00E20FEE" w:rsidRDefault="0095221F" w:rsidP="0037542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0.455</w:t>
            </w: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E35967" w:rsidRPr="00E20FEE" w:rsidRDefault="0095221F" w:rsidP="0037542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2.61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2.1</w:t>
            </w:r>
            <w:r>
              <w:rPr>
                <w:rFonts w:hint="eastAsia"/>
              </w:rPr>
              <w:t>40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2.14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>
              <w:t>0.0</w:t>
            </w:r>
            <w:r>
              <w:rPr>
                <w:rFonts w:hint="eastAsia"/>
              </w:rPr>
              <w:t>00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2.3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China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1.500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1.73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-0.230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6.8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Singapore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0.250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0.49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-0.240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3.6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>Switzerland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0.160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0.52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-0.360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1.1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J</w:t>
            </w:r>
            <w:r>
              <w:rPr>
                <w:rFonts w:eastAsia="標楷體"/>
                <w:kern w:val="0"/>
                <w:sz w:val="26"/>
                <w:szCs w:val="26"/>
              </w:rPr>
              <w:t>a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 xml:space="preserve">pan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0.011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0.44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-0.429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1.8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AC7237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 xml:space="preserve">South </w:t>
            </w:r>
            <w:r w:rsidR="0095221F" w:rsidRPr="00647ECE">
              <w:rPr>
                <w:rFonts w:eastAsia="標楷體" w:hint="eastAsia"/>
                <w:kern w:val="0"/>
                <w:sz w:val="26"/>
                <w:szCs w:val="26"/>
              </w:rPr>
              <w:t>Korea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1.300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2.04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-0.740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3.2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>M</w:t>
            </w:r>
            <w:r w:rsidRPr="00647ECE">
              <w:rPr>
                <w:rFonts w:eastAsia="標楷體"/>
                <w:kern w:val="0"/>
                <w:sz w:val="26"/>
                <w:szCs w:val="26"/>
              </w:rPr>
              <w:t>a</w:t>
            </w: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 xml:space="preserve">laysia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2.850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3.79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-0.940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5.9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>Hong Kong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0.050</w:t>
            </w:r>
            <w:r w:rsidR="003703D8">
              <w:rPr>
                <w:noProof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1.50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-1.450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3.6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>Euro A</w:t>
            </w:r>
            <w:r w:rsidRPr="00647ECE">
              <w:rPr>
                <w:rFonts w:eastAsia="標楷體"/>
                <w:kern w:val="0"/>
                <w:sz w:val="26"/>
                <w:szCs w:val="26"/>
              </w:rPr>
              <w:t>r</w:t>
            </w: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 xml:space="preserve">ea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-0.270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1.47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-1.740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2.4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>UK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0.860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2.69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-1.830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1.5</w:t>
            </w:r>
          </w:p>
        </w:tc>
      </w:tr>
      <w:tr w:rsidR="0095221F" w:rsidRPr="00042DED" w:rsidTr="00375423">
        <w:trPr>
          <w:trHeight w:val="6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5221F" w:rsidRPr="00647ECE" w:rsidRDefault="0095221F" w:rsidP="00375423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47ECE">
              <w:rPr>
                <w:rFonts w:eastAsia="標楷體" w:hint="eastAsia"/>
                <w:kern w:val="0"/>
                <w:sz w:val="26"/>
                <w:szCs w:val="26"/>
              </w:rPr>
              <w:t>The Philippines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0.500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3.17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21F" w:rsidRPr="005C4360" w:rsidRDefault="0095221F" w:rsidP="00B7704C">
            <w:pPr>
              <w:jc w:val="center"/>
            </w:pPr>
            <w:r w:rsidRPr="005C4360">
              <w:t>-2.670</w:t>
            </w:r>
          </w:p>
        </w:tc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21F" w:rsidRDefault="0095221F" w:rsidP="00B7704C">
            <w:pPr>
              <w:jc w:val="center"/>
            </w:pPr>
            <w:r w:rsidRPr="005C4360">
              <w:t>6.6</w:t>
            </w:r>
          </w:p>
        </w:tc>
      </w:tr>
      <w:tr w:rsidR="00E35967" w:rsidRPr="001661B9" w:rsidTr="00042DED">
        <w:trPr>
          <w:trHeight w:val="792"/>
        </w:trPr>
        <w:tc>
          <w:tcPr>
            <w:tcW w:w="922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967" w:rsidRPr="001661B9" w:rsidRDefault="00E35967" w:rsidP="00E20FEE">
            <w:pPr>
              <w:widowControl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 xml:space="preserve">* </w:t>
            </w:r>
            <w:r w:rsidRPr="00E20FEE">
              <w:rPr>
                <w:rFonts w:eastAsia="標楷體"/>
                <w:kern w:val="0"/>
                <w:sz w:val="22"/>
              </w:rPr>
              <w:t>1</w:t>
            </w:r>
            <w:r>
              <w:rPr>
                <w:rFonts w:eastAsia="標楷體" w:hint="eastAsia"/>
                <w:kern w:val="0"/>
                <w:sz w:val="22"/>
              </w:rPr>
              <w:t>-</w:t>
            </w:r>
            <w:r w:rsidRPr="00E20FEE">
              <w:rPr>
                <w:rFonts w:eastAsia="標楷體"/>
                <w:kern w:val="0"/>
                <w:sz w:val="22"/>
              </w:rPr>
              <w:t>y</w:t>
            </w:r>
            <w:r>
              <w:rPr>
                <w:rFonts w:eastAsia="標楷體" w:hint="eastAsia"/>
                <w:kern w:val="0"/>
                <w:sz w:val="22"/>
              </w:rPr>
              <w:t>ear</w:t>
            </w:r>
            <w:r w:rsidRPr="00E20FEE">
              <w:rPr>
                <w:rFonts w:eastAsia="標楷體"/>
                <w:kern w:val="0"/>
                <w:sz w:val="22"/>
              </w:rPr>
              <w:t xml:space="preserve"> time-deposit</w:t>
            </w:r>
            <w:r>
              <w:rPr>
                <w:rFonts w:eastAsia="標楷體" w:hint="eastAsia"/>
                <w:kern w:val="0"/>
                <w:sz w:val="22"/>
              </w:rPr>
              <w:t xml:space="preserve"> floating</w:t>
            </w:r>
            <w:r w:rsidRPr="00E20FEE">
              <w:rPr>
                <w:rFonts w:eastAsia="標楷體"/>
                <w:kern w:val="0"/>
                <w:sz w:val="22"/>
              </w:rPr>
              <w:t xml:space="preserve"> rate of the five major domestic banks</w:t>
            </w:r>
            <w:r>
              <w:rPr>
                <w:rFonts w:eastAsia="標楷體" w:hint="eastAsia"/>
                <w:kern w:val="0"/>
                <w:sz w:val="22"/>
              </w:rPr>
              <w:t xml:space="preserve">. </w:t>
            </w:r>
          </w:p>
          <w:p w:rsidR="00E35967" w:rsidRPr="001661B9" w:rsidRDefault="00E35967" w:rsidP="00203200">
            <w:pPr>
              <w:widowControl/>
              <w:ind w:leftChars="-5" w:left="272" w:hangingChars="129" w:hanging="284"/>
              <w:rPr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 xml:space="preserve">** </w:t>
            </w:r>
            <w:r w:rsidR="00203200">
              <w:rPr>
                <w:rFonts w:eastAsia="標楷體"/>
                <w:kern w:val="0"/>
                <w:sz w:val="22"/>
              </w:rPr>
              <w:t>I</w:t>
            </w:r>
            <w:r w:rsidR="004B17FA">
              <w:rPr>
                <w:rFonts w:eastAsia="標楷體" w:hint="eastAsia"/>
                <w:kern w:val="0"/>
                <w:sz w:val="22"/>
              </w:rPr>
              <w:t>H</w:t>
            </w:r>
            <w:r w:rsidR="00203200">
              <w:rPr>
                <w:rFonts w:eastAsia="標楷體"/>
                <w:kern w:val="0"/>
                <w:sz w:val="22"/>
              </w:rPr>
              <w:t>S</w:t>
            </w:r>
            <w:r w:rsidR="00203200">
              <w:rPr>
                <w:rFonts w:eastAsia="標楷體" w:hint="eastAsia"/>
                <w:kern w:val="0"/>
                <w:sz w:val="22"/>
              </w:rPr>
              <w:t xml:space="preserve"> </w:t>
            </w:r>
            <w:proofErr w:type="spellStart"/>
            <w:r w:rsidR="00203200">
              <w:rPr>
                <w:rFonts w:eastAsia="標楷體" w:hint="eastAsia"/>
                <w:kern w:val="0"/>
                <w:sz w:val="22"/>
              </w:rPr>
              <w:t>Markit</w:t>
            </w:r>
            <w:proofErr w:type="spellEnd"/>
            <w:r w:rsidRPr="005F718A">
              <w:rPr>
                <w:rFonts w:eastAsia="標楷體"/>
                <w:kern w:val="0"/>
                <w:sz w:val="22"/>
              </w:rPr>
              <w:t xml:space="preserve"> projections, as of </w:t>
            </w:r>
            <w:r w:rsidR="0095221F">
              <w:rPr>
                <w:rFonts w:eastAsia="標楷體" w:hint="eastAsia"/>
                <w:kern w:val="0"/>
                <w:sz w:val="22"/>
              </w:rPr>
              <w:t>Dec.</w:t>
            </w:r>
            <w:r>
              <w:rPr>
                <w:rFonts w:eastAsia="標楷體"/>
                <w:kern w:val="0"/>
                <w:sz w:val="22"/>
              </w:rPr>
              <w:t xml:space="preserve"> 15, 201</w:t>
            </w:r>
            <w:r>
              <w:rPr>
                <w:rFonts w:eastAsia="標楷體" w:hint="eastAsia"/>
                <w:kern w:val="0"/>
                <w:sz w:val="22"/>
              </w:rPr>
              <w:t>7</w:t>
            </w:r>
            <w:r w:rsidRPr="005F718A">
              <w:rPr>
                <w:rFonts w:eastAsia="標楷體"/>
                <w:kern w:val="0"/>
                <w:sz w:val="22"/>
              </w:rPr>
              <w:t>. Forecast</w:t>
            </w:r>
            <w:r>
              <w:rPr>
                <w:rFonts w:eastAsia="標楷體" w:hint="eastAsia"/>
                <w:kern w:val="0"/>
                <w:sz w:val="22"/>
              </w:rPr>
              <w:t>s</w:t>
            </w:r>
            <w:r w:rsidRPr="005F718A">
              <w:rPr>
                <w:rFonts w:eastAsia="標楷體"/>
                <w:kern w:val="0"/>
                <w:sz w:val="22"/>
              </w:rPr>
              <w:t xml:space="preserve"> for Taiwan</w:t>
            </w:r>
            <w:r w:rsidR="00203200">
              <w:rPr>
                <w:rFonts w:eastAsia="標楷體"/>
                <w:sz w:val="27"/>
                <w:szCs w:val="27"/>
              </w:rPr>
              <w:t>'</w:t>
            </w:r>
            <w:r w:rsidR="0095221F">
              <w:rPr>
                <w:rFonts w:eastAsia="標楷體" w:hint="eastAsia"/>
                <w:kern w:val="0"/>
                <w:sz w:val="22"/>
              </w:rPr>
              <w:t>s CPI annual growth rate</w:t>
            </w:r>
            <w:r>
              <w:rPr>
                <w:rFonts w:eastAsia="標楷體" w:hint="eastAsia"/>
                <w:kern w:val="0"/>
                <w:sz w:val="22"/>
              </w:rPr>
              <w:t xml:space="preserve"> </w:t>
            </w:r>
            <w:r w:rsidR="0095221F">
              <w:rPr>
                <w:rFonts w:eastAsia="標楷體" w:hint="eastAsia"/>
                <w:kern w:val="0"/>
                <w:sz w:val="22"/>
              </w:rPr>
              <w:t xml:space="preserve">and the real GDP growth rate </w:t>
            </w:r>
            <w:r>
              <w:rPr>
                <w:rFonts w:eastAsia="標楷體" w:hint="eastAsia"/>
                <w:kern w:val="0"/>
                <w:sz w:val="22"/>
              </w:rPr>
              <w:t>are CBC</w:t>
            </w:r>
            <w:r w:rsidRPr="00EA2F01">
              <w:rPr>
                <w:rFonts w:eastAsia="標楷體"/>
                <w:kern w:val="0"/>
                <w:sz w:val="22"/>
              </w:rPr>
              <w:t>'</w:t>
            </w:r>
            <w:r>
              <w:rPr>
                <w:rFonts w:eastAsia="標楷體" w:hint="eastAsia"/>
                <w:kern w:val="0"/>
                <w:sz w:val="22"/>
              </w:rPr>
              <w:t>s projection</w:t>
            </w:r>
            <w:r w:rsidR="003703D8">
              <w:rPr>
                <w:rFonts w:eastAsia="標楷體" w:hint="eastAsia"/>
                <w:kern w:val="0"/>
                <w:sz w:val="22"/>
              </w:rPr>
              <w:t>s</w:t>
            </w:r>
            <w:r>
              <w:rPr>
                <w:rFonts w:eastAsia="標楷體" w:hint="eastAsia"/>
                <w:kern w:val="0"/>
                <w:sz w:val="22"/>
              </w:rPr>
              <w:t xml:space="preserve">. </w:t>
            </w:r>
          </w:p>
        </w:tc>
      </w:tr>
    </w:tbl>
    <w:p w:rsidR="007312F0" w:rsidRDefault="007312F0" w:rsidP="00652D11">
      <w:pPr>
        <w:spacing w:line="480" w:lineRule="exact"/>
        <w:jc w:val="center"/>
        <w:rPr>
          <w:rFonts w:eastAsia="標楷體"/>
          <w:b/>
          <w:sz w:val="28"/>
          <w:szCs w:val="28"/>
        </w:rPr>
        <w:sectPr w:rsidR="007312F0" w:rsidSect="00FB34FE">
          <w:footerReference w:type="default" r:id="rId9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652D11" w:rsidRDefault="002870D5" w:rsidP="00CA1DBF">
      <w:pPr>
        <w:spacing w:afterLines="50"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   </w:t>
      </w:r>
      <w:r w:rsidR="00A53DE7">
        <w:rPr>
          <w:rFonts w:eastAsia="標楷體" w:hint="eastAsia"/>
          <w:b/>
          <w:sz w:val="28"/>
          <w:szCs w:val="28"/>
        </w:rPr>
        <w:t xml:space="preserve">Figure </w:t>
      </w:r>
      <w:proofErr w:type="gramStart"/>
      <w:r w:rsidR="00A53DE7">
        <w:rPr>
          <w:rFonts w:eastAsia="標楷體" w:hint="eastAsia"/>
          <w:b/>
          <w:sz w:val="28"/>
          <w:szCs w:val="28"/>
        </w:rPr>
        <w:t>1</w:t>
      </w:r>
      <w:r>
        <w:rPr>
          <w:rFonts w:eastAsia="標楷體" w:hint="eastAsia"/>
          <w:b/>
          <w:sz w:val="28"/>
          <w:szCs w:val="28"/>
        </w:rPr>
        <w:t xml:space="preserve">  </w:t>
      </w:r>
      <w:r w:rsidR="004D2D9C">
        <w:rPr>
          <w:rFonts w:eastAsia="標楷體" w:hint="eastAsia"/>
          <w:b/>
          <w:sz w:val="28"/>
          <w:szCs w:val="28"/>
        </w:rPr>
        <w:t>Real</w:t>
      </w:r>
      <w:proofErr w:type="gramEnd"/>
      <w:r w:rsidR="004D2D9C">
        <w:rPr>
          <w:rFonts w:eastAsia="標楷體" w:hint="eastAsia"/>
          <w:b/>
          <w:sz w:val="28"/>
          <w:szCs w:val="28"/>
        </w:rPr>
        <w:t xml:space="preserve"> Interest Rates and Economic Growth of Selected Economies </w:t>
      </w:r>
    </w:p>
    <w:p w:rsidR="00714B18" w:rsidRDefault="00A53DE7" w:rsidP="00A94EA9">
      <w:pPr>
        <w:jc w:val="center"/>
        <w:rPr>
          <w:rFonts w:eastAsia="標楷體"/>
          <w:b/>
          <w:sz w:val="28"/>
          <w:szCs w:val="28"/>
        </w:rPr>
      </w:pPr>
      <w:r w:rsidRPr="003703D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6232F" wp14:editId="6BE0B264">
                <wp:simplePos x="0" y="0"/>
                <wp:positionH relativeFrom="column">
                  <wp:posOffset>2274570</wp:posOffset>
                </wp:positionH>
                <wp:positionV relativeFrom="paragraph">
                  <wp:posOffset>48895</wp:posOffset>
                </wp:positionV>
                <wp:extent cx="5405755" cy="86931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55" cy="869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03D8" w:rsidRDefault="003703D8" w:rsidP="003703D8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7"/>
                                <w:szCs w:val="27"/>
                              </w:rPr>
                              <w:t xml:space="preserve">Taiwan's real interest rate relative to economic growth stands at an appropriate level compared to many economies: some economies have higher economic growth rates but lower, negative real interest rates.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wrap="square" lIns="36000" tIns="0" rIns="3600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5" o:spid="_x0000_s1029" type="#_x0000_t202" style="position:absolute;left:0;text-align:left;margin-left:179.1pt;margin-top:3.85pt;width:425.65pt;height:68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" filled="f" stroked="f">
                <v:textbox inset="1mm,0,1mm,0">
                  <w:txbxContent>
                    <w:p w:rsidR="003703D8" w:rsidRDefault="003703D8" w:rsidP="003703D8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Times New Roman" w:eastAsia="標楷體" w:hAnsi="Times New Roman" w:cs="Times New Roman"/>
                          <w:sz w:val="27"/>
                          <w:szCs w:val="27"/>
                        </w:rPr>
                        <w:t xml:space="preserve">Taiwan's real interest rate relative to economic growth stands at an appropriate level compared to many economies: some economies have higher economic growth rates but lower, negative real interest rates.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703D8">
        <w:rPr>
          <w:noProof/>
        </w:rPr>
        <w:drawing>
          <wp:anchor distT="0" distB="0" distL="114300" distR="114300" simplePos="0" relativeHeight="251665408" behindDoc="0" locked="0" layoutInCell="1" allowOverlap="1" wp14:anchorId="6EB64FC2" wp14:editId="631EB558">
            <wp:simplePos x="0" y="0"/>
            <wp:positionH relativeFrom="column">
              <wp:posOffset>213995</wp:posOffset>
            </wp:positionH>
            <wp:positionV relativeFrom="paragraph">
              <wp:posOffset>607060</wp:posOffset>
            </wp:positionV>
            <wp:extent cx="8001000" cy="4160520"/>
            <wp:effectExtent l="0" t="0" r="0" b="11430"/>
            <wp:wrapSquare wrapText="bothSides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B18" w:rsidRDefault="009942B5">
      <w:pPr>
        <w:widowControl/>
        <w:rPr>
          <w:rFonts w:eastAsia="標楷體"/>
          <w:b/>
          <w:sz w:val="28"/>
          <w:szCs w:val="28"/>
        </w:rPr>
      </w:pPr>
      <w:r w:rsidRPr="009942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F41E4" wp14:editId="76CFA2B7">
                <wp:simplePos x="0" y="0"/>
                <wp:positionH relativeFrom="column">
                  <wp:posOffset>7761612</wp:posOffset>
                </wp:positionH>
                <wp:positionV relativeFrom="paragraph">
                  <wp:posOffset>2209542</wp:posOffset>
                </wp:positionV>
                <wp:extent cx="994417" cy="1104746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7" cy="11047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42B5" w:rsidRPr="00B8094D" w:rsidRDefault="00B8094D" w:rsidP="00B8094D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hint="default"/>
                                <w:sz w:val="28"/>
                              </w:rPr>
                            </w:pPr>
                            <w:r w:rsidRPr="00B8094D">
                              <w:rPr>
                                <w:rFonts w:ascii="Times New Roman" w:eastAsia="標楷體" w:hAnsi="標楷體" w:cs="Times New Roman"/>
                                <w:sz w:val="22"/>
                                <w:szCs w:val="21"/>
                              </w:rPr>
                              <w:t>Economies with a looser monetary policy stance than Taiwan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0" type="#_x0000_t202" style="position:absolute;margin-left:611.15pt;margin-top:174pt;width:78.3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" filled="f" stroked="f">
                <v:textbox>
                  <w:txbxContent>
                    <w:p w:rsidR="009942B5" w:rsidRPr="00B8094D" w:rsidRDefault="00B8094D" w:rsidP="00B8094D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8"/>
                        </w:rPr>
                      </w:pPr>
                      <w:r w:rsidRPr="00B8094D">
                        <w:rPr>
                          <w:rFonts w:ascii="Times New Roman" w:eastAsia="標楷體" w:hAnsi="標楷體" w:cs="Times New Roman"/>
                          <w:sz w:val="22"/>
                          <w:szCs w:val="21"/>
                        </w:rPr>
                        <w:t>Economies with a looser monetary policy stance than Taiwan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4B18" w:rsidSect="007312F0">
      <w:pgSz w:w="16838" w:h="11906" w:orient="landscape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95" w:rsidRDefault="00F47F95" w:rsidP="00392DC7">
      <w:r>
        <w:separator/>
      </w:r>
    </w:p>
  </w:endnote>
  <w:endnote w:type="continuationSeparator" w:id="0">
    <w:p w:rsidR="00F47F95" w:rsidRDefault="00F47F95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41020"/>
      <w:docPartObj>
        <w:docPartGallery w:val="Page Numbers (Bottom of Page)"/>
        <w:docPartUnique/>
      </w:docPartObj>
    </w:sdtPr>
    <w:sdtEndPr/>
    <w:sdtContent>
      <w:p w:rsidR="00392DC7" w:rsidRDefault="00392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E02" w:rsidRPr="001F7E02">
          <w:rPr>
            <w:noProof/>
            <w:lang w:val="zh-TW"/>
          </w:rPr>
          <w:t>1</w:t>
        </w:r>
        <w:r>
          <w:fldChar w:fldCharType="end"/>
        </w:r>
      </w:p>
    </w:sdtContent>
  </w:sdt>
  <w:p w:rsidR="00392DC7" w:rsidRDefault="00392D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95" w:rsidRDefault="00F47F95" w:rsidP="00392DC7">
      <w:r>
        <w:separator/>
      </w:r>
    </w:p>
  </w:footnote>
  <w:footnote w:type="continuationSeparator" w:id="0">
    <w:p w:rsidR="00F47F95" w:rsidRDefault="00F47F95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181940"/>
    <w:multiLevelType w:val="hybridMultilevel"/>
    <w:tmpl w:val="59EE5850"/>
    <w:lvl w:ilvl="0" w:tplc="3DD21746">
      <w:start w:val="6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8846A57"/>
    <w:multiLevelType w:val="hybridMultilevel"/>
    <w:tmpl w:val="3096582A"/>
    <w:lvl w:ilvl="0" w:tplc="8198089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75A"/>
    <w:rsid w:val="00001900"/>
    <w:rsid w:val="000020DE"/>
    <w:rsid w:val="0000368C"/>
    <w:rsid w:val="00003878"/>
    <w:rsid w:val="00003995"/>
    <w:rsid w:val="00003E29"/>
    <w:rsid w:val="00010425"/>
    <w:rsid w:val="00010BE1"/>
    <w:rsid w:val="00011A50"/>
    <w:rsid w:val="00011C6E"/>
    <w:rsid w:val="0001265E"/>
    <w:rsid w:val="00014A75"/>
    <w:rsid w:val="00014E5C"/>
    <w:rsid w:val="00015A14"/>
    <w:rsid w:val="000166AD"/>
    <w:rsid w:val="000172B9"/>
    <w:rsid w:val="00017D1D"/>
    <w:rsid w:val="0002013A"/>
    <w:rsid w:val="000202F5"/>
    <w:rsid w:val="00020557"/>
    <w:rsid w:val="00022071"/>
    <w:rsid w:val="0002266C"/>
    <w:rsid w:val="00023128"/>
    <w:rsid w:val="000264DB"/>
    <w:rsid w:val="00026B01"/>
    <w:rsid w:val="0002703F"/>
    <w:rsid w:val="00027B0B"/>
    <w:rsid w:val="00032FB1"/>
    <w:rsid w:val="00036077"/>
    <w:rsid w:val="00040085"/>
    <w:rsid w:val="000402A5"/>
    <w:rsid w:val="0004031B"/>
    <w:rsid w:val="00040C32"/>
    <w:rsid w:val="00041F4E"/>
    <w:rsid w:val="00042C62"/>
    <w:rsid w:val="00042DED"/>
    <w:rsid w:val="00043438"/>
    <w:rsid w:val="00044011"/>
    <w:rsid w:val="0004416B"/>
    <w:rsid w:val="00044AB9"/>
    <w:rsid w:val="00045D21"/>
    <w:rsid w:val="00046799"/>
    <w:rsid w:val="00046EFD"/>
    <w:rsid w:val="00047065"/>
    <w:rsid w:val="00047B83"/>
    <w:rsid w:val="00047BF2"/>
    <w:rsid w:val="00051626"/>
    <w:rsid w:val="00052C36"/>
    <w:rsid w:val="00055515"/>
    <w:rsid w:val="00055A0E"/>
    <w:rsid w:val="00056734"/>
    <w:rsid w:val="000614A8"/>
    <w:rsid w:val="00061BD7"/>
    <w:rsid w:val="00061F3A"/>
    <w:rsid w:val="000621EE"/>
    <w:rsid w:val="0006303A"/>
    <w:rsid w:val="000631CE"/>
    <w:rsid w:val="000643D3"/>
    <w:rsid w:val="00065A33"/>
    <w:rsid w:val="00065E16"/>
    <w:rsid w:val="000661E6"/>
    <w:rsid w:val="000661F7"/>
    <w:rsid w:val="00070262"/>
    <w:rsid w:val="00070695"/>
    <w:rsid w:val="00070B6D"/>
    <w:rsid w:val="00070CC9"/>
    <w:rsid w:val="00073077"/>
    <w:rsid w:val="000734CC"/>
    <w:rsid w:val="00073DAD"/>
    <w:rsid w:val="00074037"/>
    <w:rsid w:val="00076916"/>
    <w:rsid w:val="0008370C"/>
    <w:rsid w:val="00083D57"/>
    <w:rsid w:val="00084D8F"/>
    <w:rsid w:val="000852BA"/>
    <w:rsid w:val="00085E99"/>
    <w:rsid w:val="0009047C"/>
    <w:rsid w:val="00090AE7"/>
    <w:rsid w:val="00091646"/>
    <w:rsid w:val="00092339"/>
    <w:rsid w:val="00097E17"/>
    <w:rsid w:val="000A2218"/>
    <w:rsid w:val="000A39F4"/>
    <w:rsid w:val="000A3DF7"/>
    <w:rsid w:val="000A4C8F"/>
    <w:rsid w:val="000A5888"/>
    <w:rsid w:val="000A58BA"/>
    <w:rsid w:val="000B0C08"/>
    <w:rsid w:val="000B1FE9"/>
    <w:rsid w:val="000B393E"/>
    <w:rsid w:val="000B3D92"/>
    <w:rsid w:val="000B621B"/>
    <w:rsid w:val="000B769F"/>
    <w:rsid w:val="000C102F"/>
    <w:rsid w:val="000C23F9"/>
    <w:rsid w:val="000C247C"/>
    <w:rsid w:val="000C59F1"/>
    <w:rsid w:val="000C5AA1"/>
    <w:rsid w:val="000C5CCB"/>
    <w:rsid w:val="000C7C1E"/>
    <w:rsid w:val="000C7E69"/>
    <w:rsid w:val="000D0412"/>
    <w:rsid w:val="000D1282"/>
    <w:rsid w:val="000D14EE"/>
    <w:rsid w:val="000D5843"/>
    <w:rsid w:val="000D6CF4"/>
    <w:rsid w:val="000D7E74"/>
    <w:rsid w:val="000E05B0"/>
    <w:rsid w:val="000E31EF"/>
    <w:rsid w:val="000E3C40"/>
    <w:rsid w:val="000E4FE5"/>
    <w:rsid w:val="000E511C"/>
    <w:rsid w:val="000E5247"/>
    <w:rsid w:val="000E5AE6"/>
    <w:rsid w:val="000F0159"/>
    <w:rsid w:val="000F03F9"/>
    <w:rsid w:val="000F0943"/>
    <w:rsid w:val="000F0EC0"/>
    <w:rsid w:val="000F3EFE"/>
    <w:rsid w:val="000F4E5B"/>
    <w:rsid w:val="000F55A5"/>
    <w:rsid w:val="000F5A8E"/>
    <w:rsid w:val="000F6B08"/>
    <w:rsid w:val="000F72CB"/>
    <w:rsid w:val="000F790F"/>
    <w:rsid w:val="00101FB5"/>
    <w:rsid w:val="00104715"/>
    <w:rsid w:val="001054BE"/>
    <w:rsid w:val="00105F9D"/>
    <w:rsid w:val="00106600"/>
    <w:rsid w:val="00106B54"/>
    <w:rsid w:val="00107299"/>
    <w:rsid w:val="00107A1D"/>
    <w:rsid w:val="0011159E"/>
    <w:rsid w:val="0011174F"/>
    <w:rsid w:val="00112AB6"/>
    <w:rsid w:val="00114BAC"/>
    <w:rsid w:val="00114EAE"/>
    <w:rsid w:val="00114FF6"/>
    <w:rsid w:val="0011608D"/>
    <w:rsid w:val="00116DC1"/>
    <w:rsid w:val="00117352"/>
    <w:rsid w:val="00117A26"/>
    <w:rsid w:val="00117AD5"/>
    <w:rsid w:val="0012079A"/>
    <w:rsid w:val="00120A37"/>
    <w:rsid w:val="001221F9"/>
    <w:rsid w:val="00123163"/>
    <w:rsid w:val="00125140"/>
    <w:rsid w:val="00127205"/>
    <w:rsid w:val="001300E9"/>
    <w:rsid w:val="001314E5"/>
    <w:rsid w:val="00131792"/>
    <w:rsid w:val="00131C4B"/>
    <w:rsid w:val="001351E9"/>
    <w:rsid w:val="001377CA"/>
    <w:rsid w:val="001378FE"/>
    <w:rsid w:val="0014022F"/>
    <w:rsid w:val="00140355"/>
    <w:rsid w:val="0014159F"/>
    <w:rsid w:val="00141A1E"/>
    <w:rsid w:val="00141CCA"/>
    <w:rsid w:val="001442CE"/>
    <w:rsid w:val="00145A11"/>
    <w:rsid w:val="00146A43"/>
    <w:rsid w:val="00146ED2"/>
    <w:rsid w:val="00147098"/>
    <w:rsid w:val="001478C9"/>
    <w:rsid w:val="00147B56"/>
    <w:rsid w:val="00150D3C"/>
    <w:rsid w:val="00153C68"/>
    <w:rsid w:val="0015484A"/>
    <w:rsid w:val="00155126"/>
    <w:rsid w:val="001562F0"/>
    <w:rsid w:val="00161088"/>
    <w:rsid w:val="001614E9"/>
    <w:rsid w:val="00161AC8"/>
    <w:rsid w:val="00162393"/>
    <w:rsid w:val="001629A3"/>
    <w:rsid w:val="00163A5D"/>
    <w:rsid w:val="00163CFB"/>
    <w:rsid w:val="001648ED"/>
    <w:rsid w:val="00164CA9"/>
    <w:rsid w:val="001661B9"/>
    <w:rsid w:val="001667F5"/>
    <w:rsid w:val="00166AAB"/>
    <w:rsid w:val="00171E59"/>
    <w:rsid w:val="00173BAE"/>
    <w:rsid w:val="001755A0"/>
    <w:rsid w:val="001758E4"/>
    <w:rsid w:val="00176B44"/>
    <w:rsid w:val="00177BF9"/>
    <w:rsid w:val="00177D9E"/>
    <w:rsid w:val="0018023D"/>
    <w:rsid w:val="00180A07"/>
    <w:rsid w:val="00181836"/>
    <w:rsid w:val="00183FD6"/>
    <w:rsid w:val="00185A35"/>
    <w:rsid w:val="00186147"/>
    <w:rsid w:val="001865BB"/>
    <w:rsid w:val="001865F5"/>
    <w:rsid w:val="00190CF7"/>
    <w:rsid w:val="00190E1A"/>
    <w:rsid w:val="001910C3"/>
    <w:rsid w:val="00191CB5"/>
    <w:rsid w:val="00192BA2"/>
    <w:rsid w:val="001962D7"/>
    <w:rsid w:val="0019698B"/>
    <w:rsid w:val="001A03A6"/>
    <w:rsid w:val="001A0476"/>
    <w:rsid w:val="001A2072"/>
    <w:rsid w:val="001A2AA0"/>
    <w:rsid w:val="001A2D62"/>
    <w:rsid w:val="001A36B7"/>
    <w:rsid w:val="001A4185"/>
    <w:rsid w:val="001A49E7"/>
    <w:rsid w:val="001A4D9E"/>
    <w:rsid w:val="001A65A0"/>
    <w:rsid w:val="001A66A6"/>
    <w:rsid w:val="001A6B64"/>
    <w:rsid w:val="001A7565"/>
    <w:rsid w:val="001A78FA"/>
    <w:rsid w:val="001B15EE"/>
    <w:rsid w:val="001B1756"/>
    <w:rsid w:val="001B3FA6"/>
    <w:rsid w:val="001B4E82"/>
    <w:rsid w:val="001B5AE1"/>
    <w:rsid w:val="001B63D0"/>
    <w:rsid w:val="001B63D7"/>
    <w:rsid w:val="001C3688"/>
    <w:rsid w:val="001C4F8F"/>
    <w:rsid w:val="001C5AB7"/>
    <w:rsid w:val="001C5D6B"/>
    <w:rsid w:val="001C754C"/>
    <w:rsid w:val="001D0C80"/>
    <w:rsid w:val="001D279E"/>
    <w:rsid w:val="001D2A18"/>
    <w:rsid w:val="001D2A5E"/>
    <w:rsid w:val="001D2DF9"/>
    <w:rsid w:val="001D38BA"/>
    <w:rsid w:val="001D497B"/>
    <w:rsid w:val="001D4A31"/>
    <w:rsid w:val="001D5D46"/>
    <w:rsid w:val="001D6E7A"/>
    <w:rsid w:val="001E05E3"/>
    <w:rsid w:val="001E0F73"/>
    <w:rsid w:val="001E1CB5"/>
    <w:rsid w:val="001E2586"/>
    <w:rsid w:val="001E2A61"/>
    <w:rsid w:val="001E3F4B"/>
    <w:rsid w:val="001E57B4"/>
    <w:rsid w:val="001E5B13"/>
    <w:rsid w:val="001E61F2"/>
    <w:rsid w:val="001E63A9"/>
    <w:rsid w:val="001E69D7"/>
    <w:rsid w:val="001E6EF8"/>
    <w:rsid w:val="001E75F2"/>
    <w:rsid w:val="001F0E7C"/>
    <w:rsid w:val="001F14B3"/>
    <w:rsid w:val="001F281E"/>
    <w:rsid w:val="001F3858"/>
    <w:rsid w:val="001F388C"/>
    <w:rsid w:val="001F39C5"/>
    <w:rsid w:val="001F3B4D"/>
    <w:rsid w:val="001F4025"/>
    <w:rsid w:val="001F4A77"/>
    <w:rsid w:val="001F5236"/>
    <w:rsid w:val="001F7E02"/>
    <w:rsid w:val="00201B77"/>
    <w:rsid w:val="00201B9A"/>
    <w:rsid w:val="00202008"/>
    <w:rsid w:val="002025C3"/>
    <w:rsid w:val="00203200"/>
    <w:rsid w:val="00205D1F"/>
    <w:rsid w:val="002061BD"/>
    <w:rsid w:val="00206D3E"/>
    <w:rsid w:val="0020728A"/>
    <w:rsid w:val="0020729D"/>
    <w:rsid w:val="0020738F"/>
    <w:rsid w:val="00207631"/>
    <w:rsid w:val="0021160D"/>
    <w:rsid w:val="00211ABD"/>
    <w:rsid w:val="00214039"/>
    <w:rsid w:val="002157C2"/>
    <w:rsid w:val="00216243"/>
    <w:rsid w:val="00220727"/>
    <w:rsid w:val="00221326"/>
    <w:rsid w:val="002222D0"/>
    <w:rsid w:val="002226C1"/>
    <w:rsid w:val="0022280A"/>
    <w:rsid w:val="0022288E"/>
    <w:rsid w:val="002253B2"/>
    <w:rsid w:val="00227155"/>
    <w:rsid w:val="00227854"/>
    <w:rsid w:val="00231A7D"/>
    <w:rsid w:val="002367C9"/>
    <w:rsid w:val="002368A2"/>
    <w:rsid w:val="00236DDD"/>
    <w:rsid w:val="002400A1"/>
    <w:rsid w:val="0024013F"/>
    <w:rsid w:val="00241387"/>
    <w:rsid w:val="00241FA5"/>
    <w:rsid w:val="0024538D"/>
    <w:rsid w:val="002537D8"/>
    <w:rsid w:val="00254A14"/>
    <w:rsid w:val="002559FC"/>
    <w:rsid w:val="002564C0"/>
    <w:rsid w:val="002568D7"/>
    <w:rsid w:val="00256FD0"/>
    <w:rsid w:val="002570E8"/>
    <w:rsid w:val="00263185"/>
    <w:rsid w:val="002642F4"/>
    <w:rsid w:val="0026566C"/>
    <w:rsid w:val="00270C04"/>
    <w:rsid w:val="00271E2F"/>
    <w:rsid w:val="002748F7"/>
    <w:rsid w:val="00274F36"/>
    <w:rsid w:val="002750AA"/>
    <w:rsid w:val="0027559D"/>
    <w:rsid w:val="00275FCB"/>
    <w:rsid w:val="00277948"/>
    <w:rsid w:val="00280323"/>
    <w:rsid w:val="00280B00"/>
    <w:rsid w:val="0028266E"/>
    <w:rsid w:val="00282C4B"/>
    <w:rsid w:val="002831CD"/>
    <w:rsid w:val="0028487C"/>
    <w:rsid w:val="002870D5"/>
    <w:rsid w:val="00287832"/>
    <w:rsid w:val="00290937"/>
    <w:rsid w:val="002921AB"/>
    <w:rsid w:val="002928C3"/>
    <w:rsid w:val="00293A2E"/>
    <w:rsid w:val="002950D3"/>
    <w:rsid w:val="002968FA"/>
    <w:rsid w:val="00297022"/>
    <w:rsid w:val="00297AAE"/>
    <w:rsid w:val="002A0EC9"/>
    <w:rsid w:val="002A1113"/>
    <w:rsid w:val="002A118C"/>
    <w:rsid w:val="002A31DF"/>
    <w:rsid w:val="002A39CD"/>
    <w:rsid w:val="002A3A4D"/>
    <w:rsid w:val="002A6C0F"/>
    <w:rsid w:val="002A7ECE"/>
    <w:rsid w:val="002B18F7"/>
    <w:rsid w:val="002B23DA"/>
    <w:rsid w:val="002B30A3"/>
    <w:rsid w:val="002B3E8E"/>
    <w:rsid w:val="002B4430"/>
    <w:rsid w:val="002B46C0"/>
    <w:rsid w:val="002B47E7"/>
    <w:rsid w:val="002B61E1"/>
    <w:rsid w:val="002C1E6C"/>
    <w:rsid w:val="002C20F5"/>
    <w:rsid w:val="002C21C2"/>
    <w:rsid w:val="002C2605"/>
    <w:rsid w:val="002C28F3"/>
    <w:rsid w:val="002C317F"/>
    <w:rsid w:val="002C3281"/>
    <w:rsid w:val="002C37BD"/>
    <w:rsid w:val="002C3BD1"/>
    <w:rsid w:val="002C4784"/>
    <w:rsid w:val="002C4859"/>
    <w:rsid w:val="002C48E3"/>
    <w:rsid w:val="002C5F92"/>
    <w:rsid w:val="002C664B"/>
    <w:rsid w:val="002D061A"/>
    <w:rsid w:val="002D10D4"/>
    <w:rsid w:val="002D1CDD"/>
    <w:rsid w:val="002D2F1C"/>
    <w:rsid w:val="002D4E10"/>
    <w:rsid w:val="002D61B6"/>
    <w:rsid w:val="002D6253"/>
    <w:rsid w:val="002D6C6E"/>
    <w:rsid w:val="002E0226"/>
    <w:rsid w:val="002E0771"/>
    <w:rsid w:val="002E08D4"/>
    <w:rsid w:val="002E0AAF"/>
    <w:rsid w:val="002E2FE9"/>
    <w:rsid w:val="002E3426"/>
    <w:rsid w:val="002E3486"/>
    <w:rsid w:val="002E5194"/>
    <w:rsid w:val="002E5E35"/>
    <w:rsid w:val="002E63B9"/>
    <w:rsid w:val="002E78BE"/>
    <w:rsid w:val="002E7AA2"/>
    <w:rsid w:val="002F0ACE"/>
    <w:rsid w:val="002F0E4B"/>
    <w:rsid w:val="002F147B"/>
    <w:rsid w:val="002F5D9D"/>
    <w:rsid w:val="002F6503"/>
    <w:rsid w:val="002F6D63"/>
    <w:rsid w:val="00300D97"/>
    <w:rsid w:val="00302FD1"/>
    <w:rsid w:val="003056FF"/>
    <w:rsid w:val="003057C6"/>
    <w:rsid w:val="00305DF1"/>
    <w:rsid w:val="00305EC9"/>
    <w:rsid w:val="00306A57"/>
    <w:rsid w:val="00306F6D"/>
    <w:rsid w:val="00307C60"/>
    <w:rsid w:val="00311A6F"/>
    <w:rsid w:val="00311ECB"/>
    <w:rsid w:val="003120CE"/>
    <w:rsid w:val="00312234"/>
    <w:rsid w:val="003126B0"/>
    <w:rsid w:val="00313B19"/>
    <w:rsid w:val="003149C7"/>
    <w:rsid w:val="00314C62"/>
    <w:rsid w:val="003159C4"/>
    <w:rsid w:val="00316D7D"/>
    <w:rsid w:val="003171A0"/>
    <w:rsid w:val="00317EBA"/>
    <w:rsid w:val="00323492"/>
    <w:rsid w:val="003241CF"/>
    <w:rsid w:val="0032605F"/>
    <w:rsid w:val="00331D64"/>
    <w:rsid w:val="00332A80"/>
    <w:rsid w:val="00332CDC"/>
    <w:rsid w:val="0033375C"/>
    <w:rsid w:val="00333902"/>
    <w:rsid w:val="00337145"/>
    <w:rsid w:val="003372B4"/>
    <w:rsid w:val="00342044"/>
    <w:rsid w:val="00343279"/>
    <w:rsid w:val="003448CA"/>
    <w:rsid w:val="00345119"/>
    <w:rsid w:val="00345A00"/>
    <w:rsid w:val="00346008"/>
    <w:rsid w:val="003464B8"/>
    <w:rsid w:val="003471F2"/>
    <w:rsid w:val="00350551"/>
    <w:rsid w:val="00351128"/>
    <w:rsid w:val="003520C8"/>
    <w:rsid w:val="003533D4"/>
    <w:rsid w:val="00356AA2"/>
    <w:rsid w:val="003570B1"/>
    <w:rsid w:val="00357E69"/>
    <w:rsid w:val="00361166"/>
    <w:rsid w:val="00361EFE"/>
    <w:rsid w:val="003674EF"/>
    <w:rsid w:val="003703D8"/>
    <w:rsid w:val="00371FA2"/>
    <w:rsid w:val="00372B1E"/>
    <w:rsid w:val="00373810"/>
    <w:rsid w:val="0037541F"/>
    <w:rsid w:val="00375423"/>
    <w:rsid w:val="00375EAA"/>
    <w:rsid w:val="00376128"/>
    <w:rsid w:val="00377308"/>
    <w:rsid w:val="00377442"/>
    <w:rsid w:val="003777A6"/>
    <w:rsid w:val="00380849"/>
    <w:rsid w:val="003827C5"/>
    <w:rsid w:val="0038405D"/>
    <w:rsid w:val="0038550F"/>
    <w:rsid w:val="0038557F"/>
    <w:rsid w:val="003858FF"/>
    <w:rsid w:val="003904A2"/>
    <w:rsid w:val="00392DC7"/>
    <w:rsid w:val="00394F05"/>
    <w:rsid w:val="003966D9"/>
    <w:rsid w:val="0039732E"/>
    <w:rsid w:val="003A039B"/>
    <w:rsid w:val="003A3209"/>
    <w:rsid w:val="003A3555"/>
    <w:rsid w:val="003A3FF5"/>
    <w:rsid w:val="003A699A"/>
    <w:rsid w:val="003B0957"/>
    <w:rsid w:val="003B11A0"/>
    <w:rsid w:val="003B1977"/>
    <w:rsid w:val="003B19F7"/>
    <w:rsid w:val="003B3821"/>
    <w:rsid w:val="003B4871"/>
    <w:rsid w:val="003B4D41"/>
    <w:rsid w:val="003B6637"/>
    <w:rsid w:val="003B7CFA"/>
    <w:rsid w:val="003C072E"/>
    <w:rsid w:val="003C2159"/>
    <w:rsid w:val="003C24F8"/>
    <w:rsid w:val="003C2C87"/>
    <w:rsid w:val="003C393E"/>
    <w:rsid w:val="003C5073"/>
    <w:rsid w:val="003C5287"/>
    <w:rsid w:val="003C602E"/>
    <w:rsid w:val="003D044B"/>
    <w:rsid w:val="003D1520"/>
    <w:rsid w:val="003D16DE"/>
    <w:rsid w:val="003D2B35"/>
    <w:rsid w:val="003D3E22"/>
    <w:rsid w:val="003D3E62"/>
    <w:rsid w:val="003D506E"/>
    <w:rsid w:val="003D7D6E"/>
    <w:rsid w:val="003E01A0"/>
    <w:rsid w:val="003E0217"/>
    <w:rsid w:val="003E2741"/>
    <w:rsid w:val="003E36EA"/>
    <w:rsid w:val="003E3724"/>
    <w:rsid w:val="003E3D0B"/>
    <w:rsid w:val="003E534C"/>
    <w:rsid w:val="003E6961"/>
    <w:rsid w:val="003E70D4"/>
    <w:rsid w:val="003F0143"/>
    <w:rsid w:val="003F32AB"/>
    <w:rsid w:val="003F3E8F"/>
    <w:rsid w:val="003F5DBC"/>
    <w:rsid w:val="003F6076"/>
    <w:rsid w:val="00400A26"/>
    <w:rsid w:val="004015A0"/>
    <w:rsid w:val="00401D10"/>
    <w:rsid w:val="00401F7B"/>
    <w:rsid w:val="004101BD"/>
    <w:rsid w:val="004102A1"/>
    <w:rsid w:val="00410504"/>
    <w:rsid w:val="00410F89"/>
    <w:rsid w:val="00411352"/>
    <w:rsid w:val="00411E71"/>
    <w:rsid w:val="00412C24"/>
    <w:rsid w:val="00416848"/>
    <w:rsid w:val="004203B5"/>
    <w:rsid w:val="0042063B"/>
    <w:rsid w:val="004206FB"/>
    <w:rsid w:val="00420D7A"/>
    <w:rsid w:val="004214E3"/>
    <w:rsid w:val="00421A1D"/>
    <w:rsid w:val="00425EAF"/>
    <w:rsid w:val="00427028"/>
    <w:rsid w:val="00427ACD"/>
    <w:rsid w:val="0043024A"/>
    <w:rsid w:val="00431587"/>
    <w:rsid w:val="00432CEE"/>
    <w:rsid w:val="004343C1"/>
    <w:rsid w:val="00435CD0"/>
    <w:rsid w:val="004364E9"/>
    <w:rsid w:val="00436CDE"/>
    <w:rsid w:val="00440BB2"/>
    <w:rsid w:val="00440D86"/>
    <w:rsid w:val="00442887"/>
    <w:rsid w:val="0044314B"/>
    <w:rsid w:val="004438B9"/>
    <w:rsid w:val="004444CE"/>
    <w:rsid w:val="00444F25"/>
    <w:rsid w:val="00446968"/>
    <w:rsid w:val="004474B7"/>
    <w:rsid w:val="00452BC2"/>
    <w:rsid w:val="004536CF"/>
    <w:rsid w:val="0045390C"/>
    <w:rsid w:val="00453C12"/>
    <w:rsid w:val="004542A3"/>
    <w:rsid w:val="004548EF"/>
    <w:rsid w:val="004568A7"/>
    <w:rsid w:val="004573BC"/>
    <w:rsid w:val="00460562"/>
    <w:rsid w:val="0046199F"/>
    <w:rsid w:val="00461F95"/>
    <w:rsid w:val="00462565"/>
    <w:rsid w:val="004630FC"/>
    <w:rsid w:val="00464524"/>
    <w:rsid w:val="00465192"/>
    <w:rsid w:val="00465B0F"/>
    <w:rsid w:val="00465D23"/>
    <w:rsid w:val="00466786"/>
    <w:rsid w:val="004669CB"/>
    <w:rsid w:val="00466BA0"/>
    <w:rsid w:val="00471D30"/>
    <w:rsid w:val="00471F80"/>
    <w:rsid w:val="00472FCA"/>
    <w:rsid w:val="0047393E"/>
    <w:rsid w:val="00474BFF"/>
    <w:rsid w:val="00475534"/>
    <w:rsid w:val="00475646"/>
    <w:rsid w:val="00475B79"/>
    <w:rsid w:val="00475F5A"/>
    <w:rsid w:val="00475F63"/>
    <w:rsid w:val="00477131"/>
    <w:rsid w:val="004776E1"/>
    <w:rsid w:val="004814C1"/>
    <w:rsid w:val="00482B76"/>
    <w:rsid w:val="0048453E"/>
    <w:rsid w:val="0048534F"/>
    <w:rsid w:val="0048603C"/>
    <w:rsid w:val="00486BE7"/>
    <w:rsid w:val="00486C05"/>
    <w:rsid w:val="0049157C"/>
    <w:rsid w:val="00491984"/>
    <w:rsid w:val="00495975"/>
    <w:rsid w:val="00495EA3"/>
    <w:rsid w:val="00497B64"/>
    <w:rsid w:val="004A5299"/>
    <w:rsid w:val="004B17FA"/>
    <w:rsid w:val="004B1D08"/>
    <w:rsid w:val="004B2506"/>
    <w:rsid w:val="004B4A19"/>
    <w:rsid w:val="004B545C"/>
    <w:rsid w:val="004B637C"/>
    <w:rsid w:val="004B65BD"/>
    <w:rsid w:val="004C06CF"/>
    <w:rsid w:val="004C0991"/>
    <w:rsid w:val="004C1EC2"/>
    <w:rsid w:val="004C203B"/>
    <w:rsid w:val="004C2A36"/>
    <w:rsid w:val="004C3B22"/>
    <w:rsid w:val="004C6C9A"/>
    <w:rsid w:val="004C76A1"/>
    <w:rsid w:val="004C79A0"/>
    <w:rsid w:val="004D0993"/>
    <w:rsid w:val="004D1E72"/>
    <w:rsid w:val="004D2007"/>
    <w:rsid w:val="004D2D9C"/>
    <w:rsid w:val="004D6CEF"/>
    <w:rsid w:val="004D6DE2"/>
    <w:rsid w:val="004D7228"/>
    <w:rsid w:val="004D7BF5"/>
    <w:rsid w:val="004D7D1E"/>
    <w:rsid w:val="004E0040"/>
    <w:rsid w:val="004E13BA"/>
    <w:rsid w:val="004E70E8"/>
    <w:rsid w:val="004F0170"/>
    <w:rsid w:val="004F02EB"/>
    <w:rsid w:val="004F27F9"/>
    <w:rsid w:val="005009D1"/>
    <w:rsid w:val="0050277D"/>
    <w:rsid w:val="00503845"/>
    <w:rsid w:val="00503A5D"/>
    <w:rsid w:val="00504214"/>
    <w:rsid w:val="00507FD0"/>
    <w:rsid w:val="00510CCD"/>
    <w:rsid w:val="00510DAE"/>
    <w:rsid w:val="00512DC8"/>
    <w:rsid w:val="00513DE0"/>
    <w:rsid w:val="0051411A"/>
    <w:rsid w:val="00514473"/>
    <w:rsid w:val="00514664"/>
    <w:rsid w:val="005178A0"/>
    <w:rsid w:val="00520F4F"/>
    <w:rsid w:val="00520F8B"/>
    <w:rsid w:val="005219C1"/>
    <w:rsid w:val="0052281B"/>
    <w:rsid w:val="00523C19"/>
    <w:rsid w:val="00524144"/>
    <w:rsid w:val="00525F23"/>
    <w:rsid w:val="005260B6"/>
    <w:rsid w:val="00527D7B"/>
    <w:rsid w:val="00527E6E"/>
    <w:rsid w:val="0053146A"/>
    <w:rsid w:val="005320EF"/>
    <w:rsid w:val="00534A6D"/>
    <w:rsid w:val="005355FF"/>
    <w:rsid w:val="0053766E"/>
    <w:rsid w:val="0053786E"/>
    <w:rsid w:val="0054041B"/>
    <w:rsid w:val="0054177F"/>
    <w:rsid w:val="00546334"/>
    <w:rsid w:val="005471AD"/>
    <w:rsid w:val="0055124C"/>
    <w:rsid w:val="00554EDA"/>
    <w:rsid w:val="00555EC2"/>
    <w:rsid w:val="00557A43"/>
    <w:rsid w:val="00561A07"/>
    <w:rsid w:val="00563690"/>
    <w:rsid w:val="00566740"/>
    <w:rsid w:val="00567E5A"/>
    <w:rsid w:val="00567FF2"/>
    <w:rsid w:val="005700F7"/>
    <w:rsid w:val="00570858"/>
    <w:rsid w:val="00571045"/>
    <w:rsid w:val="00573584"/>
    <w:rsid w:val="00573BF8"/>
    <w:rsid w:val="0057406D"/>
    <w:rsid w:val="00574BC2"/>
    <w:rsid w:val="00576023"/>
    <w:rsid w:val="005779F8"/>
    <w:rsid w:val="00577E4D"/>
    <w:rsid w:val="00585D19"/>
    <w:rsid w:val="005867DD"/>
    <w:rsid w:val="00590739"/>
    <w:rsid w:val="00590DE0"/>
    <w:rsid w:val="005912C8"/>
    <w:rsid w:val="0059347B"/>
    <w:rsid w:val="005A0073"/>
    <w:rsid w:val="005A00A5"/>
    <w:rsid w:val="005A0A41"/>
    <w:rsid w:val="005A48EC"/>
    <w:rsid w:val="005A4EB0"/>
    <w:rsid w:val="005A5C27"/>
    <w:rsid w:val="005B066A"/>
    <w:rsid w:val="005B0CE3"/>
    <w:rsid w:val="005B175E"/>
    <w:rsid w:val="005B2B1B"/>
    <w:rsid w:val="005B37CD"/>
    <w:rsid w:val="005B5BE1"/>
    <w:rsid w:val="005B5C4A"/>
    <w:rsid w:val="005B6DF0"/>
    <w:rsid w:val="005C02C0"/>
    <w:rsid w:val="005C088B"/>
    <w:rsid w:val="005C1EF0"/>
    <w:rsid w:val="005C3630"/>
    <w:rsid w:val="005C3936"/>
    <w:rsid w:val="005C48D3"/>
    <w:rsid w:val="005C679F"/>
    <w:rsid w:val="005D25B5"/>
    <w:rsid w:val="005D3C3D"/>
    <w:rsid w:val="005D4D5E"/>
    <w:rsid w:val="005D7781"/>
    <w:rsid w:val="005D7AA1"/>
    <w:rsid w:val="005E14C5"/>
    <w:rsid w:val="005E1724"/>
    <w:rsid w:val="005E1E04"/>
    <w:rsid w:val="005E3145"/>
    <w:rsid w:val="005E3A6E"/>
    <w:rsid w:val="005E60FC"/>
    <w:rsid w:val="005E6E13"/>
    <w:rsid w:val="005F0384"/>
    <w:rsid w:val="005F0469"/>
    <w:rsid w:val="005F308D"/>
    <w:rsid w:val="005F35A8"/>
    <w:rsid w:val="005F4857"/>
    <w:rsid w:val="005F4BE7"/>
    <w:rsid w:val="005F5055"/>
    <w:rsid w:val="005F6D54"/>
    <w:rsid w:val="005F6F9F"/>
    <w:rsid w:val="005F718A"/>
    <w:rsid w:val="00600CB7"/>
    <w:rsid w:val="006017A1"/>
    <w:rsid w:val="00604C05"/>
    <w:rsid w:val="00604F15"/>
    <w:rsid w:val="006061B2"/>
    <w:rsid w:val="00606961"/>
    <w:rsid w:val="00611B94"/>
    <w:rsid w:val="0061202C"/>
    <w:rsid w:val="00612372"/>
    <w:rsid w:val="00612550"/>
    <w:rsid w:val="00614605"/>
    <w:rsid w:val="00616CF3"/>
    <w:rsid w:val="00623959"/>
    <w:rsid w:val="00623E70"/>
    <w:rsid w:val="00624294"/>
    <w:rsid w:val="00624B41"/>
    <w:rsid w:val="00627FC7"/>
    <w:rsid w:val="006300E0"/>
    <w:rsid w:val="00631953"/>
    <w:rsid w:val="00632E1C"/>
    <w:rsid w:val="006371F6"/>
    <w:rsid w:val="00637371"/>
    <w:rsid w:val="006374A7"/>
    <w:rsid w:val="0064180E"/>
    <w:rsid w:val="00646B2B"/>
    <w:rsid w:val="00647381"/>
    <w:rsid w:val="0064765F"/>
    <w:rsid w:val="00647ECE"/>
    <w:rsid w:val="00650A89"/>
    <w:rsid w:val="006518A9"/>
    <w:rsid w:val="006519E6"/>
    <w:rsid w:val="00652D11"/>
    <w:rsid w:val="00654E2D"/>
    <w:rsid w:val="00657207"/>
    <w:rsid w:val="00661930"/>
    <w:rsid w:val="006622A3"/>
    <w:rsid w:val="00662F2F"/>
    <w:rsid w:val="00662F56"/>
    <w:rsid w:val="00663254"/>
    <w:rsid w:val="006636C6"/>
    <w:rsid w:val="006638B1"/>
    <w:rsid w:val="00665AFB"/>
    <w:rsid w:val="00667364"/>
    <w:rsid w:val="00670E53"/>
    <w:rsid w:val="00671060"/>
    <w:rsid w:val="00671A9A"/>
    <w:rsid w:val="006724F9"/>
    <w:rsid w:val="0067314D"/>
    <w:rsid w:val="00673504"/>
    <w:rsid w:val="00674122"/>
    <w:rsid w:val="006742E1"/>
    <w:rsid w:val="006770BE"/>
    <w:rsid w:val="006771D6"/>
    <w:rsid w:val="00681E99"/>
    <w:rsid w:val="006828C0"/>
    <w:rsid w:val="00683263"/>
    <w:rsid w:val="006832F3"/>
    <w:rsid w:val="00683512"/>
    <w:rsid w:val="006837AD"/>
    <w:rsid w:val="0068518A"/>
    <w:rsid w:val="00685407"/>
    <w:rsid w:val="00686378"/>
    <w:rsid w:val="006876BF"/>
    <w:rsid w:val="006904C1"/>
    <w:rsid w:val="0069389A"/>
    <w:rsid w:val="0069494C"/>
    <w:rsid w:val="00694B93"/>
    <w:rsid w:val="00694EEE"/>
    <w:rsid w:val="00696F7D"/>
    <w:rsid w:val="006A1246"/>
    <w:rsid w:val="006A2CAE"/>
    <w:rsid w:val="006A4EA9"/>
    <w:rsid w:val="006A50DF"/>
    <w:rsid w:val="006A6EAD"/>
    <w:rsid w:val="006A7234"/>
    <w:rsid w:val="006A78B3"/>
    <w:rsid w:val="006B080A"/>
    <w:rsid w:val="006B1292"/>
    <w:rsid w:val="006B18F3"/>
    <w:rsid w:val="006B29C5"/>
    <w:rsid w:val="006B4282"/>
    <w:rsid w:val="006B42CD"/>
    <w:rsid w:val="006B4DF4"/>
    <w:rsid w:val="006B4EE5"/>
    <w:rsid w:val="006B7DFA"/>
    <w:rsid w:val="006C0F23"/>
    <w:rsid w:val="006C1553"/>
    <w:rsid w:val="006C3C91"/>
    <w:rsid w:val="006C57FB"/>
    <w:rsid w:val="006D3199"/>
    <w:rsid w:val="006D4405"/>
    <w:rsid w:val="006D446C"/>
    <w:rsid w:val="006D465C"/>
    <w:rsid w:val="006D4D36"/>
    <w:rsid w:val="006D50EB"/>
    <w:rsid w:val="006D5127"/>
    <w:rsid w:val="006D64D2"/>
    <w:rsid w:val="006D6857"/>
    <w:rsid w:val="006E23BE"/>
    <w:rsid w:val="006E336A"/>
    <w:rsid w:val="006E5B3F"/>
    <w:rsid w:val="006E5D21"/>
    <w:rsid w:val="006E64A5"/>
    <w:rsid w:val="006F07B3"/>
    <w:rsid w:val="006F0CCB"/>
    <w:rsid w:val="006F1B70"/>
    <w:rsid w:val="006F3EF4"/>
    <w:rsid w:val="006F4BEF"/>
    <w:rsid w:val="006F4C77"/>
    <w:rsid w:val="006F6D68"/>
    <w:rsid w:val="00701F8F"/>
    <w:rsid w:val="00703A80"/>
    <w:rsid w:val="00703C7E"/>
    <w:rsid w:val="00704E06"/>
    <w:rsid w:val="00707AA2"/>
    <w:rsid w:val="00707B1E"/>
    <w:rsid w:val="00711D0E"/>
    <w:rsid w:val="00712EF5"/>
    <w:rsid w:val="007133DF"/>
    <w:rsid w:val="00713814"/>
    <w:rsid w:val="0071465F"/>
    <w:rsid w:val="00714B18"/>
    <w:rsid w:val="00714CA9"/>
    <w:rsid w:val="007169F8"/>
    <w:rsid w:val="00716A18"/>
    <w:rsid w:val="00717328"/>
    <w:rsid w:val="00720036"/>
    <w:rsid w:val="0072005B"/>
    <w:rsid w:val="00723FFD"/>
    <w:rsid w:val="00724BAE"/>
    <w:rsid w:val="00725440"/>
    <w:rsid w:val="00726229"/>
    <w:rsid w:val="0072658B"/>
    <w:rsid w:val="007265F5"/>
    <w:rsid w:val="00726BEA"/>
    <w:rsid w:val="00726DD6"/>
    <w:rsid w:val="00727BF4"/>
    <w:rsid w:val="0073060E"/>
    <w:rsid w:val="007312F0"/>
    <w:rsid w:val="007314D3"/>
    <w:rsid w:val="007326B0"/>
    <w:rsid w:val="00734DA7"/>
    <w:rsid w:val="00735D5B"/>
    <w:rsid w:val="00737F0C"/>
    <w:rsid w:val="00741573"/>
    <w:rsid w:val="00741EAE"/>
    <w:rsid w:val="007422D3"/>
    <w:rsid w:val="00742A36"/>
    <w:rsid w:val="007434D8"/>
    <w:rsid w:val="00743705"/>
    <w:rsid w:val="007446C4"/>
    <w:rsid w:val="007451C6"/>
    <w:rsid w:val="0075015D"/>
    <w:rsid w:val="00752462"/>
    <w:rsid w:val="00756902"/>
    <w:rsid w:val="00757E1A"/>
    <w:rsid w:val="007619A5"/>
    <w:rsid w:val="00762C42"/>
    <w:rsid w:val="00763CE2"/>
    <w:rsid w:val="00765313"/>
    <w:rsid w:val="00765CC5"/>
    <w:rsid w:val="00771149"/>
    <w:rsid w:val="00773C11"/>
    <w:rsid w:val="0077439A"/>
    <w:rsid w:val="00774DD3"/>
    <w:rsid w:val="007755BC"/>
    <w:rsid w:val="007766DE"/>
    <w:rsid w:val="00776FB2"/>
    <w:rsid w:val="00780C48"/>
    <w:rsid w:val="00782C5B"/>
    <w:rsid w:val="007830E7"/>
    <w:rsid w:val="00783FF0"/>
    <w:rsid w:val="00784812"/>
    <w:rsid w:val="00785C09"/>
    <w:rsid w:val="007863FB"/>
    <w:rsid w:val="00786886"/>
    <w:rsid w:val="00786A4B"/>
    <w:rsid w:val="00786BE7"/>
    <w:rsid w:val="00786EAD"/>
    <w:rsid w:val="007909C2"/>
    <w:rsid w:val="00790E5D"/>
    <w:rsid w:val="00791386"/>
    <w:rsid w:val="00791B45"/>
    <w:rsid w:val="00792BCC"/>
    <w:rsid w:val="007931F9"/>
    <w:rsid w:val="007954D6"/>
    <w:rsid w:val="00795FF3"/>
    <w:rsid w:val="007A07B8"/>
    <w:rsid w:val="007A1CFF"/>
    <w:rsid w:val="007A6940"/>
    <w:rsid w:val="007A6FB9"/>
    <w:rsid w:val="007A77E5"/>
    <w:rsid w:val="007B0BBD"/>
    <w:rsid w:val="007B0F39"/>
    <w:rsid w:val="007B1CCD"/>
    <w:rsid w:val="007B1EAE"/>
    <w:rsid w:val="007B3706"/>
    <w:rsid w:val="007B3C2B"/>
    <w:rsid w:val="007B5FB8"/>
    <w:rsid w:val="007B746E"/>
    <w:rsid w:val="007B7644"/>
    <w:rsid w:val="007C26CD"/>
    <w:rsid w:val="007C37F1"/>
    <w:rsid w:val="007C3A6D"/>
    <w:rsid w:val="007C4956"/>
    <w:rsid w:val="007D26D9"/>
    <w:rsid w:val="007D2D73"/>
    <w:rsid w:val="007D3864"/>
    <w:rsid w:val="007D6602"/>
    <w:rsid w:val="007D6A28"/>
    <w:rsid w:val="007D704F"/>
    <w:rsid w:val="007E1C5A"/>
    <w:rsid w:val="007E4DA6"/>
    <w:rsid w:val="007E6D1C"/>
    <w:rsid w:val="007F03FB"/>
    <w:rsid w:val="007F240C"/>
    <w:rsid w:val="007F3344"/>
    <w:rsid w:val="007F38C0"/>
    <w:rsid w:val="007F5755"/>
    <w:rsid w:val="007F5A67"/>
    <w:rsid w:val="008001E3"/>
    <w:rsid w:val="008022CE"/>
    <w:rsid w:val="00805EAE"/>
    <w:rsid w:val="00805FC4"/>
    <w:rsid w:val="00807ACF"/>
    <w:rsid w:val="008127E6"/>
    <w:rsid w:val="008135FE"/>
    <w:rsid w:val="00813DFC"/>
    <w:rsid w:val="00814439"/>
    <w:rsid w:val="00814DB9"/>
    <w:rsid w:val="00817D47"/>
    <w:rsid w:val="00820B00"/>
    <w:rsid w:val="00821762"/>
    <w:rsid w:val="00821B36"/>
    <w:rsid w:val="00825603"/>
    <w:rsid w:val="008266B2"/>
    <w:rsid w:val="00831750"/>
    <w:rsid w:val="00831D46"/>
    <w:rsid w:val="00832BEC"/>
    <w:rsid w:val="008341C2"/>
    <w:rsid w:val="00834896"/>
    <w:rsid w:val="00834A31"/>
    <w:rsid w:val="0083794F"/>
    <w:rsid w:val="008420B9"/>
    <w:rsid w:val="00842224"/>
    <w:rsid w:val="008433D3"/>
    <w:rsid w:val="00843673"/>
    <w:rsid w:val="00844214"/>
    <w:rsid w:val="008445EC"/>
    <w:rsid w:val="00845FA7"/>
    <w:rsid w:val="008472D3"/>
    <w:rsid w:val="00847CC1"/>
    <w:rsid w:val="00851801"/>
    <w:rsid w:val="00852A83"/>
    <w:rsid w:val="00856A31"/>
    <w:rsid w:val="00860128"/>
    <w:rsid w:val="008603AF"/>
    <w:rsid w:val="00862CE5"/>
    <w:rsid w:val="0086432F"/>
    <w:rsid w:val="00864B91"/>
    <w:rsid w:val="00867305"/>
    <w:rsid w:val="00870B28"/>
    <w:rsid w:val="00870E39"/>
    <w:rsid w:val="00873950"/>
    <w:rsid w:val="00873FAE"/>
    <w:rsid w:val="008751A2"/>
    <w:rsid w:val="008777CC"/>
    <w:rsid w:val="00881736"/>
    <w:rsid w:val="008832F1"/>
    <w:rsid w:val="00884444"/>
    <w:rsid w:val="0088467B"/>
    <w:rsid w:val="00885589"/>
    <w:rsid w:val="00885CBF"/>
    <w:rsid w:val="0088606A"/>
    <w:rsid w:val="00887CC6"/>
    <w:rsid w:val="00887F4B"/>
    <w:rsid w:val="00890336"/>
    <w:rsid w:val="00890B7F"/>
    <w:rsid w:val="00891413"/>
    <w:rsid w:val="008925F4"/>
    <w:rsid w:val="00893812"/>
    <w:rsid w:val="00894AB1"/>
    <w:rsid w:val="0089744F"/>
    <w:rsid w:val="00897AAB"/>
    <w:rsid w:val="008A1D0D"/>
    <w:rsid w:val="008A5E35"/>
    <w:rsid w:val="008A5F29"/>
    <w:rsid w:val="008A654C"/>
    <w:rsid w:val="008A7C10"/>
    <w:rsid w:val="008B1A81"/>
    <w:rsid w:val="008B30B2"/>
    <w:rsid w:val="008B36B2"/>
    <w:rsid w:val="008B5A53"/>
    <w:rsid w:val="008B5B09"/>
    <w:rsid w:val="008B6129"/>
    <w:rsid w:val="008B7284"/>
    <w:rsid w:val="008B7A1C"/>
    <w:rsid w:val="008C10DD"/>
    <w:rsid w:val="008C180C"/>
    <w:rsid w:val="008C1A94"/>
    <w:rsid w:val="008C22C7"/>
    <w:rsid w:val="008C3741"/>
    <w:rsid w:val="008C4239"/>
    <w:rsid w:val="008C4470"/>
    <w:rsid w:val="008C653F"/>
    <w:rsid w:val="008D2919"/>
    <w:rsid w:val="008D2B51"/>
    <w:rsid w:val="008D3E62"/>
    <w:rsid w:val="008D7205"/>
    <w:rsid w:val="008E3171"/>
    <w:rsid w:val="008E4864"/>
    <w:rsid w:val="008E5954"/>
    <w:rsid w:val="008E767F"/>
    <w:rsid w:val="008F048E"/>
    <w:rsid w:val="008F24B2"/>
    <w:rsid w:val="008F2E7A"/>
    <w:rsid w:val="008F2F86"/>
    <w:rsid w:val="008F32DC"/>
    <w:rsid w:val="008F3A15"/>
    <w:rsid w:val="008F43BC"/>
    <w:rsid w:val="008F45B3"/>
    <w:rsid w:val="008F554E"/>
    <w:rsid w:val="008F5601"/>
    <w:rsid w:val="009029CC"/>
    <w:rsid w:val="009040FC"/>
    <w:rsid w:val="0090432D"/>
    <w:rsid w:val="00906BF0"/>
    <w:rsid w:val="0091028A"/>
    <w:rsid w:val="00911ED8"/>
    <w:rsid w:val="00913DC2"/>
    <w:rsid w:val="0091513F"/>
    <w:rsid w:val="009166F7"/>
    <w:rsid w:val="009167BB"/>
    <w:rsid w:val="0092186D"/>
    <w:rsid w:val="00921C03"/>
    <w:rsid w:val="00924385"/>
    <w:rsid w:val="00925153"/>
    <w:rsid w:val="0092549C"/>
    <w:rsid w:val="00926023"/>
    <w:rsid w:val="00926282"/>
    <w:rsid w:val="009263F2"/>
    <w:rsid w:val="0092674F"/>
    <w:rsid w:val="00930F57"/>
    <w:rsid w:val="00933467"/>
    <w:rsid w:val="0093457A"/>
    <w:rsid w:val="00935E5B"/>
    <w:rsid w:val="0093678B"/>
    <w:rsid w:val="00936C63"/>
    <w:rsid w:val="0093727D"/>
    <w:rsid w:val="009407DE"/>
    <w:rsid w:val="009410AD"/>
    <w:rsid w:val="00942928"/>
    <w:rsid w:val="009429FF"/>
    <w:rsid w:val="0094541F"/>
    <w:rsid w:val="00945E95"/>
    <w:rsid w:val="00950067"/>
    <w:rsid w:val="00950722"/>
    <w:rsid w:val="0095086F"/>
    <w:rsid w:val="00950F5D"/>
    <w:rsid w:val="0095221F"/>
    <w:rsid w:val="00952A36"/>
    <w:rsid w:val="00954672"/>
    <w:rsid w:val="00955082"/>
    <w:rsid w:val="009558A6"/>
    <w:rsid w:val="009560FF"/>
    <w:rsid w:val="00956D2D"/>
    <w:rsid w:val="00956DF4"/>
    <w:rsid w:val="009614B6"/>
    <w:rsid w:val="009643E1"/>
    <w:rsid w:val="009645BF"/>
    <w:rsid w:val="00964E94"/>
    <w:rsid w:val="00965668"/>
    <w:rsid w:val="009666A6"/>
    <w:rsid w:val="00967A0A"/>
    <w:rsid w:val="00970776"/>
    <w:rsid w:val="00970855"/>
    <w:rsid w:val="00971C7D"/>
    <w:rsid w:val="00971CF4"/>
    <w:rsid w:val="0097246A"/>
    <w:rsid w:val="00972C09"/>
    <w:rsid w:val="00973868"/>
    <w:rsid w:val="00973DB4"/>
    <w:rsid w:val="00980149"/>
    <w:rsid w:val="00980789"/>
    <w:rsid w:val="00983926"/>
    <w:rsid w:val="00983DBB"/>
    <w:rsid w:val="00983F86"/>
    <w:rsid w:val="00984EE0"/>
    <w:rsid w:val="0098506E"/>
    <w:rsid w:val="00985FC5"/>
    <w:rsid w:val="009878C8"/>
    <w:rsid w:val="00987B35"/>
    <w:rsid w:val="00987FEC"/>
    <w:rsid w:val="009903F5"/>
    <w:rsid w:val="00991CED"/>
    <w:rsid w:val="0099401D"/>
    <w:rsid w:val="009940D3"/>
    <w:rsid w:val="009942B5"/>
    <w:rsid w:val="00994C8D"/>
    <w:rsid w:val="009970B7"/>
    <w:rsid w:val="009A08FF"/>
    <w:rsid w:val="009A10BA"/>
    <w:rsid w:val="009A2B48"/>
    <w:rsid w:val="009A3757"/>
    <w:rsid w:val="009A389B"/>
    <w:rsid w:val="009A3C89"/>
    <w:rsid w:val="009A4A7B"/>
    <w:rsid w:val="009A660B"/>
    <w:rsid w:val="009A7039"/>
    <w:rsid w:val="009B118F"/>
    <w:rsid w:val="009B3A92"/>
    <w:rsid w:val="009B3C5E"/>
    <w:rsid w:val="009B53E4"/>
    <w:rsid w:val="009B77F6"/>
    <w:rsid w:val="009B7D8A"/>
    <w:rsid w:val="009B7E6A"/>
    <w:rsid w:val="009C015C"/>
    <w:rsid w:val="009C0598"/>
    <w:rsid w:val="009C05E5"/>
    <w:rsid w:val="009C06DD"/>
    <w:rsid w:val="009C422C"/>
    <w:rsid w:val="009C4AEB"/>
    <w:rsid w:val="009C6141"/>
    <w:rsid w:val="009C681B"/>
    <w:rsid w:val="009C6977"/>
    <w:rsid w:val="009C6B93"/>
    <w:rsid w:val="009C73D6"/>
    <w:rsid w:val="009C7400"/>
    <w:rsid w:val="009C7C1B"/>
    <w:rsid w:val="009D10BB"/>
    <w:rsid w:val="009D1A2E"/>
    <w:rsid w:val="009D2E4C"/>
    <w:rsid w:val="009D332F"/>
    <w:rsid w:val="009D4200"/>
    <w:rsid w:val="009D4486"/>
    <w:rsid w:val="009D54B4"/>
    <w:rsid w:val="009D5A0A"/>
    <w:rsid w:val="009D74E7"/>
    <w:rsid w:val="009D7E2F"/>
    <w:rsid w:val="009E2915"/>
    <w:rsid w:val="009E49D3"/>
    <w:rsid w:val="009E53D1"/>
    <w:rsid w:val="009E5777"/>
    <w:rsid w:val="009E64D2"/>
    <w:rsid w:val="009E74FD"/>
    <w:rsid w:val="009E77C1"/>
    <w:rsid w:val="009F03AC"/>
    <w:rsid w:val="009F083D"/>
    <w:rsid w:val="009F0884"/>
    <w:rsid w:val="009F0EBD"/>
    <w:rsid w:val="009F22AC"/>
    <w:rsid w:val="009F2A80"/>
    <w:rsid w:val="009F3936"/>
    <w:rsid w:val="009F3AAF"/>
    <w:rsid w:val="009F42CD"/>
    <w:rsid w:val="009F4A41"/>
    <w:rsid w:val="009F4DBA"/>
    <w:rsid w:val="009F5222"/>
    <w:rsid w:val="009F72BE"/>
    <w:rsid w:val="009F75CB"/>
    <w:rsid w:val="00A04333"/>
    <w:rsid w:val="00A047AF"/>
    <w:rsid w:val="00A05A50"/>
    <w:rsid w:val="00A0759E"/>
    <w:rsid w:val="00A07817"/>
    <w:rsid w:val="00A10B67"/>
    <w:rsid w:val="00A1252F"/>
    <w:rsid w:val="00A12C0E"/>
    <w:rsid w:val="00A165BC"/>
    <w:rsid w:val="00A216EB"/>
    <w:rsid w:val="00A21B57"/>
    <w:rsid w:val="00A2224F"/>
    <w:rsid w:val="00A22438"/>
    <w:rsid w:val="00A23B03"/>
    <w:rsid w:val="00A24D91"/>
    <w:rsid w:val="00A257E7"/>
    <w:rsid w:val="00A277E7"/>
    <w:rsid w:val="00A27CDF"/>
    <w:rsid w:val="00A30177"/>
    <w:rsid w:val="00A3027B"/>
    <w:rsid w:val="00A3140B"/>
    <w:rsid w:val="00A315AE"/>
    <w:rsid w:val="00A315B0"/>
    <w:rsid w:val="00A339A7"/>
    <w:rsid w:val="00A375ED"/>
    <w:rsid w:val="00A4052C"/>
    <w:rsid w:val="00A42B27"/>
    <w:rsid w:val="00A43F47"/>
    <w:rsid w:val="00A4449E"/>
    <w:rsid w:val="00A45DCE"/>
    <w:rsid w:val="00A464BE"/>
    <w:rsid w:val="00A50554"/>
    <w:rsid w:val="00A51346"/>
    <w:rsid w:val="00A51A55"/>
    <w:rsid w:val="00A523EE"/>
    <w:rsid w:val="00A528B6"/>
    <w:rsid w:val="00A53DE7"/>
    <w:rsid w:val="00A53F03"/>
    <w:rsid w:val="00A54209"/>
    <w:rsid w:val="00A54312"/>
    <w:rsid w:val="00A545BA"/>
    <w:rsid w:val="00A548D1"/>
    <w:rsid w:val="00A54D9F"/>
    <w:rsid w:val="00A54F96"/>
    <w:rsid w:val="00A56298"/>
    <w:rsid w:val="00A57299"/>
    <w:rsid w:val="00A61B38"/>
    <w:rsid w:val="00A61F64"/>
    <w:rsid w:val="00A62495"/>
    <w:rsid w:val="00A624C1"/>
    <w:rsid w:val="00A708F0"/>
    <w:rsid w:val="00A70C05"/>
    <w:rsid w:val="00A71985"/>
    <w:rsid w:val="00A72A95"/>
    <w:rsid w:val="00A72AA3"/>
    <w:rsid w:val="00A747F0"/>
    <w:rsid w:val="00A74FDC"/>
    <w:rsid w:val="00A75C95"/>
    <w:rsid w:val="00A77342"/>
    <w:rsid w:val="00A8033E"/>
    <w:rsid w:val="00A80713"/>
    <w:rsid w:val="00A8088C"/>
    <w:rsid w:val="00A811CA"/>
    <w:rsid w:val="00A81FAE"/>
    <w:rsid w:val="00A83C89"/>
    <w:rsid w:val="00A84905"/>
    <w:rsid w:val="00A856D0"/>
    <w:rsid w:val="00A8653F"/>
    <w:rsid w:val="00A86F9A"/>
    <w:rsid w:val="00A875B5"/>
    <w:rsid w:val="00A87C87"/>
    <w:rsid w:val="00A90239"/>
    <w:rsid w:val="00A926FB"/>
    <w:rsid w:val="00A92E25"/>
    <w:rsid w:val="00A93B3C"/>
    <w:rsid w:val="00A94632"/>
    <w:rsid w:val="00A94AAE"/>
    <w:rsid w:val="00A94EA9"/>
    <w:rsid w:val="00A96C6E"/>
    <w:rsid w:val="00A96EA2"/>
    <w:rsid w:val="00AA04A5"/>
    <w:rsid w:val="00AA0C3C"/>
    <w:rsid w:val="00AA28F0"/>
    <w:rsid w:val="00AA32B2"/>
    <w:rsid w:val="00AA6CE5"/>
    <w:rsid w:val="00AA7AC1"/>
    <w:rsid w:val="00AB0329"/>
    <w:rsid w:val="00AB08F1"/>
    <w:rsid w:val="00AB3B95"/>
    <w:rsid w:val="00AB5CE9"/>
    <w:rsid w:val="00AB6183"/>
    <w:rsid w:val="00AB798C"/>
    <w:rsid w:val="00AC05FE"/>
    <w:rsid w:val="00AC1FFB"/>
    <w:rsid w:val="00AC3195"/>
    <w:rsid w:val="00AC604B"/>
    <w:rsid w:val="00AC61EA"/>
    <w:rsid w:val="00AC6E94"/>
    <w:rsid w:val="00AC7237"/>
    <w:rsid w:val="00AC7C12"/>
    <w:rsid w:val="00AD011C"/>
    <w:rsid w:val="00AD1157"/>
    <w:rsid w:val="00AD1D5B"/>
    <w:rsid w:val="00AD65B8"/>
    <w:rsid w:val="00AD6607"/>
    <w:rsid w:val="00AD6630"/>
    <w:rsid w:val="00AD6895"/>
    <w:rsid w:val="00AD7DDB"/>
    <w:rsid w:val="00AE20EF"/>
    <w:rsid w:val="00AE2255"/>
    <w:rsid w:val="00AE2E4B"/>
    <w:rsid w:val="00AE3C02"/>
    <w:rsid w:val="00AE4E2E"/>
    <w:rsid w:val="00AE5FD0"/>
    <w:rsid w:val="00AE7508"/>
    <w:rsid w:val="00AE7FB0"/>
    <w:rsid w:val="00AF0F4E"/>
    <w:rsid w:val="00AF1A0C"/>
    <w:rsid w:val="00AF215F"/>
    <w:rsid w:val="00AF49DF"/>
    <w:rsid w:val="00AF536F"/>
    <w:rsid w:val="00AF57A3"/>
    <w:rsid w:val="00B003CA"/>
    <w:rsid w:val="00B00A8D"/>
    <w:rsid w:val="00B013F3"/>
    <w:rsid w:val="00B04B52"/>
    <w:rsid w:val="00B10F21"/>
    <w:rsid w:val="00B13A68"/>
    <w:rsid w:val="00B13F58"/>
    <w:rsid w:val="00B14770"/>
    <w:rsid w:val="00B155B6"/>
    <w:rsid w:val="00B159AA"/>
    <w:rsid w:val="00B16870"/>
    <w:rsid w:val="00B20452"/>
    <w:rsid w:val="00B20CB4"/>
    <w:rsid w:val="00B2177C"/>
    <w:rsid w:val="00B22050"/>
    <w:rsid w:val="00B22690"/>
    <w:rsid w:val="00B251E7"/>
    <w:rsid w:val="00B257E5"/>
    <w:rsid w:val="00B25D52"/>
    <w:rsid w:val="00B26B78"/>
    <w:rsid w:val="00B31B9A"/>
    <w:rsid w:val="00B32296"/>
    <w:rsid w:val="00B323B3"/>
    <w:rsid w:val="00B33B2E"/>
    <w:rsid w:val="00B34AE8"/>
    <w:rsid w:val="00B34D33"/>
    <w:rsid w:val="00B362F0"/>
    <w:rsid w:val="00B3760B"/>
    <w:rsid w:val="00B3768E"/>
    <w:rsid w:val="00B37AFC"/>
    <w:rsid w:val="00B406ED"/>
    <w:rsid w:val="00B407EB"/>
    <w:rsid w:val="00B411B3"/>
    <w:rsid w:val="00B41601"/>
    <w:rsid w:val="00B4174A"/>
    <w:rsid w:val="00B50DE8"/>
    <w:rsid w:val="00B532B3"/>
    <w:rsid w:val="00B532C3"/>
    <w:rsid w:val="00B576EF"/>
    <w:rsid w:val="00B6009B"/>
    <w:rsid w:val="00B60437"/>
    <w:rsid w:val="00B615C1"/>
    <w:rsid w:val="00B62D64"/>
    <w:rsid w:val="00B635F6"/>
    <w:rsid w:val="00B651E0"/>
    <w:rsid w:val="00B6676F"/>
    <w:rsid w:val="00B66BC2"/>
    <w:rsid w:val="00B66E46"/>
    <w:rsid w:val="00B67C2E"/>
    <w:rsid w:val="00B7322C"/>
    <w:rsid w:val="00B75530"/>
    <w:rsid w:val="00B7704C"/>
    <w:rsid w:val="00B77B90"/>
    <w:rsid w:val="00B80899"/>
    <w:rsid w:val="00B8094D"/>
    <w:rsid w:val="00B81145"/>
    <w:rsid w:val="00B81B48"/>
    <w:rsid w:val="00B82E7B"/>
    <w:rsid w:val="00B830D4"/>
    <w:rsid w:val="00B83DA3"/>
    <w:rsid w:val="00B84514"/>
    <w:rsid w:val="00B85E18"/>
    <w:rsid w:val="00B86C35"/>
    <w:rsid w:val="00B91706"/>
    <w:rsid w:val="00B922D6"/>
    <w:rsid w:val="00B928BA"/>
    <w:rsid w:val="00B92FB2"/>
    <w:rsid w:val="00B9384E"/>
    <w:rsid w:val="00B95F4A"/>
    <w:rsid w:val="00B96410"/>
    <w:rsid w:val="00B97527"/>
    <w:rsid w:val="00BA00FF"/>
    <w:rsid w:val="00BA0512"/>
    <w:rsid w:val="00BA093A"/>
    <w:rsid w:val="00BA24E2"/>
    <w:rsid w:val="00BA3810"/>
    <w:rsid w:val="00BA3818"/>
    <w:rsid w:val="00BA4E1F"/>
    <w:rsid w:val="00BA57E7"/>
    <w:rsid w:val="00BA580A"/>
    <w:rsid w:val="00BA62C8"/>
    <w:rsid w:val="00BA7247"/>
    <w:rsid w:val="00BB158B"/>
    <w:rsid w:val="00BB1BA0"/>
    <w:rsid w:val="00BB3644"/>
    <w:rsid w:val="00BB4529"/>
    <w:rsid w:val="00BB4E94"/>
    <w:rsid w:val="00BB7206"/>
    <w:rsid w:val="00BC2889"/>
    <w:rsid w:val="00BC2E39"/>
    <w:rsid w:val="00BC3AC5"/>
    <w:rsid w:val="00BC5179"/>
    <w:rsid w:val="00BC55AA"/>
    <w:rsid w:val="00BC6032"/>
    <w:rsid w:val="00BD1B23"/>
    <w:rsid w:val="00BD1D69"/>
    <w:rsid w:val="00BD1EBD"/>
    <w:rsid w:val="00BD221A"/>
    <w:rsid w:val="00BD2920"/>
    <w:rsid w:val="00BD29EA"/>
    <w:rsid w:val="00BD331D"/>
    <w:rsid w:val="00BD3888"/>
    <w:rsid w:val="00BD7236"/>
    <w:rsid w:val="00BE0AE0"/>
    <w:rsid w:val="00BE1BD0"/>
    <w:rsid w:val="00BE232A"/>
    <w:rsid w:val="00BE30E6"/>
    <w:rsid w:val="00BE366F"/>
    <w:rsid w:val="00BE3F6A"/>
    <w:rsid w:val="00BE3F94"/>
    <w:rsid w:val="00BE4A2B"/>
    <w:rsid w:val="00BE54FB"/>
    <w:rsid w:val="00BE56E0"/>
    <w:rsid w:val="00BE5B0B"/>
    <w:rsid w:val="00BE62E5"/>
    <w:rsid w:val="00BE6BE6"/>
    <w:rsid w:val="00BE7D51"/>
    <w:rsid w:val="00BF5B84"/>
    <w:rsid w:val="00BF6118"/>
    <w:rsid w:val="00BF6230"/>
    <w:rsid w:val="00C0718F"/>
    <w:rsid w:val="00C07473"/>
    <w:rsid w:val="00C07683"/>
    <w:rsid w:val="00C07FBD"/>
    <w:rsid w:val="00C1068A"/>
    <w:rsid w:val="00C12B54"/>
    <w:rsid w:val="00C13069"/>
    <w:rsid w:val="00C133C2"/>
    <w:rsid w:val="00C153A1"/>
    <w:rsid w:val="00C20163"/>
    <w:rsid w:val="00C22F8F"/>
    <w:rsid w:val="00C2498A"/>
    <w:rsid w:val="00C24A7E"/>
    <w:rsid w:val="00C25096"/>
    <w:rsid w:val="00C259A4"/>
    <w:rsid w:val="00C25A28"/>
    <w:rsid w:val="00C25C14"/>
    <w:rsid w:val="00C262D3"/>
    <w:rsid w:val="00C276DE"/>
    <w:rsid w:val="00C3113B"/>
    <w:rsid w:val="00C32EC3"/>
    <w:rsid w:val="00C3578F"/>
    <w:rsid w:val="00C358D7"/>
    <w:rsid w:val="00C35DC0"/>
    <w:rsid w:val="00C36D83"/>
    <w:rsid w:val="00C40F81"/>
    <w:rsid w:val="00C41395"/>
    <w:rsid w:val="00C42313"/>
    <w:rsid w:val="00C425E9"/>
    <w:rsid w:val="00C42636"/>
    <w:rsid w:val="00C438DF"/>
    <w:rsid w:val="00C47F35"/>
    <w:rsid w:val="00C5361C"/>
    <w:rsid w:val="00C54481"/>
    <w:rsid w:val="00C546F3"/>
    <w:rsid w:val="00C5542E"/>
    <w:rsid w:val="00C5670A"/>
    <w:rsid w:val="00C56F07"/>
    <w:rsid w:val="00C57F85"/>
    <w:rsid w:val="00C6058E"/>
    <w:rsid w:val="00C61A6F"/>
    <w:rsid w:val="00C647E7"/>
    <w:rsid w:val="00C649BD"/>
    <w:rsid w:val="00C669F4"/>
    <w:rsid w:val="00C673EA"/>
    <w:rsid w:val="00C67CF1"/>
    <w:rsid w:val="00C704EE"/>
    <w:rsid w:val="00C706A2"/>
    <w:rsid w:val="00C72F61"/>
    <w:rsid w:val="00C77CAF"/>
    <w:rsid w:val="00C808C6"/>
    <w:rsid w:val="00C81E81"/>
    <w:rsid w:val="00C84448"/>
    <w:rsid w:val="00C8473A"/>
    <w:rsid w:val="00C84A66"/>
    <w:rsid w:val="00C8642F"/>
    <w:rsid w:val="00C866AC"/>
    <w:rsid w:val="00C90E3B"/>
    <w:rsid w:val="00C90F64"/>
    <w:rsid w:val="00C927A0"/>
    <w:rsid w:val="00C92D60"/>
    <w:rsid w:val="00C93DB8"/>
    <w:rsid w:val="00C94464"/>
    <w:rsid w:val="00C9466F"/>
    <w:rsid w:val="00C95C40"/>
    <w:rsid w:val="00C96A8C"/>
    <w:rsid w:val="00CA1036"/>
    <w:rsid w:val="00CA1DBF"/>
    <w:rsid w:val="00CA56D8"/>
    <w:rsid w:val="00CA744B"/>
    <w:rsid w:val="00CB13FE"/>
    <w:rsid w:val="00CB183B"/>
    <w:rsid w:val="00CB185C"/>
    <w:rsid w:val="00CB25B0"/>
    <w:rsid w:val="00CB33FF"/>
    <w:rsid w:val="00CB4293"/>
    <w:rsid w:val="00CB4339"/>
    <w:rsid w:val="00CB4E68"/>
    <w:rsid w:val="00CC09C8"/>
    <w:rsid w:val="00CC1795"/>
    <w:rsid w:val="00CC46F5"/>
    <w:rsid w:val="00CC6034"/>
    <w:rsid w:val="00CC6331"/>
    <w:rsid w:val="00CC7CA9"/>
    <w:rsid w:val="00CD02DA"/>
    <w:rsid w:val="00CD05BD"/>
    <w:rsid w:val="00CD1712"/>
    <w:rsid w:val="00CD33CE"/>
    <w:rsid w:val="00CD3D33"/>
    <w:rsid w:val="00CD544D"/>
    <w:rsid w:val="00CD5E6D"/>
    <w:rsid w:val="00CD5F9E"/>
    <w:rsid w:val="00CE0FD1"/>
    <w:rsid w:val="00CE1128"/>
    <w:rsid w:val="00CE1BBE"/>
    <w:rsid w:val="00CE1E8F"/>
    <w:rsid w:val="00CE5603"/>
    <w:rsid w:val="00CE66F9"/>
    <w:rsid w:val="00CF0345"/>
    <w:rsid w:val="00CF1660"/>
    <w:rsid w:val="00CF22B9"/>
    <w:rsid w:val="00CF25F9"/>
    <w:rsid w:val="00CF3474"/>
    <w:rsid w:val="00CF369F"/>
    <w:rsid w:val="00CF48B8"/>
    <w:rsid w:val="00CF52BE"/>
    <w:rsid w:val="00CF5D8D"/>
    <w:rsid w:val="00D0230B"/>
    <w:rsid w:val="00D03080"/>
    <w:rsid w:val="00D049E8"/>
    <w:rsid w:val="00D051BB"/>
    <w:rsid w:val="00D12EDC"/>
    <w:rsid w:val="00D12EE4"/>
    <w:rsid w:val="00D12FDD"/>
    <w:rsid w:val="00D13186"/>
    <w:rsid w:val="00D136B7"/>
    <w:rsid w:val="00D13739"/>
    <w:rsid w:val="00D13C62"/>
    <w:rsid w:val="00D14A54"/>
    <w:rsid w:val="00D1629D"/>
    <w:rsid w:val="00D208CB"/>
    <w:rsid w:val="00D22330"/>
    <w:rsid w:val="00D24DC8"/>
    <w:rsid w:val="00D26CDD"/>
    <w:rsid w:val="00D30A4D"/>
    <w:rsid w:val="00D3153A"/>
    <w:rsid w:val="00D32BEB"/>
    <w:rsid w:val="00D330F8"/>
    <w:rsid w:val="00D33750"/>
    <w:rsid w:val="00D33A4B"/>
    <w:rsid w:val="00D33E81"/>
    <w:rsid w:val="00D36444"/>
    <w:rsid w:val="00D377C5"/>
    <w:rsid w:val="00D4075B"/>
    <w:rsid w:val="00D40B6E"/>
    <w:rsid w:val="00D40D57"/>
    <w:rsid w:val="00D40E7E"/>
    <w:rsid w:val="00D43B05"/>
    <w:rsid w:val="00D44A46"/>
    <w:rsid w:val="00D45691"/>
    <w:rsid w:val="00D45C4A"/>
    <w:rsid w:val="00D4714F"/>
    <w:rsid w:val="00D5211E"/>
    <w:rsid w:val="00D522A8"/>
    <w:rsid w:val="00D523B6"/>
    <w:rsid w:val="00D52448"/>
    <w:rsid w:val="00D52855"/>
    <w:rsid w:val="00D52D7D"/>
    <w:rsid w:val="00D5325C"/>
    <w:rsid w:val="00D551EE"/>
    <w:rsid w:val="00D55E69"/>
    <w:rsid w:val="00D569D8"/>
    <w:rsid w:val="00D56A05"/>
    <w:rsid w:val="00D60C8C"/>
    <w:rsid w:val="00D62B4D"/>
    <w:rsid w:val="00D636A7"/>
    <w:rsid w:val="00D6549D"/>
    <w:rsid w:val="00D65843"/>
    <w:rsid w:val="00D66ECA"/>
    <w:rsid w:val="00D703ED"/>
    <w:rsid w:val="00D70532"/>
    <w:rsid w:val="00D72856"/>
    <w:rsid w:val="00D73ACB"/>
    <w:rsid w:val="00D7595A"/>
    <w:rsid w:val="00D75B88"/>
    <w:rsid w:val="00D765BE"/>
    <w:rsid w:val="00D76868"/>
    <w:rsid w:val="00D768B6"/>
    <w:rsid w:val="00D76912"/>
    <w:rsid w:val="00D81AFB"/>
    <w:rsid w:val="00D8216E"/>
    <w:rsid w:val="00D82A1D"/>
    <w:rsid w:val="00D831C0"/>
    <w:rsid w:val="00D83ADF"/>
    <w:rsid w:val="00D8529F"/>
    <w:rsid w:val="00D904BA"/>
    <w:rsid w:val="00D915B9"/>
    <w:rsid w:val="00D91DDC"/>
    <w:rsid w:val="00D91DF2"/>
    <w:rsid w:val="00D921E6"/>
    <w:rsid w:val="00D924AC"/>
    <w:rsid w:val="00D960AD"/>
    <w:rsid w:val="00D971C1"/>
    <w:rsid w:val="00D97343"/>
    <w:rsid w:val="00DA141E"/>
    <w:rsid w:val="00DA3B0D"/>
    <w:rsid w:val="00DA3ED1"/>
    <w:rsid w:val="00DA429A"/>
    <w:rsid w:val="00DA62C8"/>
    <w:rsid w:val="00DA6A1F"/>
    <w:rsid w:val="00DB01BD"/>
    <w:rsid w:val="00DB3BDA"/>
    <w:rsid w:val="00DB4D2C"/>
    <w:rsid w:val="00DB6360"/>
    <w:rsid w:val="00DB6D47"/>
    <w:rsid w:val="00DB6E14"/>
    <w:rsid w:val="00DB71B5"/>
    <w:rsid w:val="00DB73D6"/>
    <w:rsid w:val="00DC0700"/>
    <w:rsid w:val="00DC0BFA"/>
    <w:rsid w:val="00DC0BFF"/>
    <w:rsid w:val="00DC3D8F"/>
    <w:rsid w:val="00DC4364"/>
    <w:rsid w:val="00DC4E8A"/>
    <w:rsid w:val="00DC5189"/>
    <w:rsid w:val="00DC56BF"/>
    <w:rsid w:val="00DC5A97"/>
    <w:rsid w:val="00DD2119"/>
    <w:rsid w:val="00DD2912"/>
    <w:rsid w:val="00DD363C"/>
    <w:rsid w:val="00DD4109"/>
    <w:rsid w:val="00DD4C2C"/>
    <w:rsid w:val="00DD6381"/>
    <w:rsid w:val="00DD6E46"/>
    <w:rsid w:val="00DD73BB"/>
    <w:rsid w:val="00DD7633"/>
    <w:rsid w:val="00DD7F88"/>
    <w:rsid w:val="00DE275F"/>
    <w:rsid w:val="00DE2891"/>
    <w:rsid w:val="00DE694B"/>
    <w:rsid w:val="00DE73E5"/>
    <w:rsid w:val="00DF0A13"/>
    <w:rsid w:val="00DF1EC5"/>
    <w:rsid w:val="00DF59C1"/>
    <w:rsid w:val="00DF67CD"/>
    <w:rsid w:val="00DF7633"/>
    <w:rsid w:val="00E0038E"/>
    <w:rsid w:val="00E00543"/>
    <w:rsid w:val="00E02035"/>
    <w:rsid w:val="00E02FAB"/>
    <w:rsid w:val="00E03E6F"/>
    <w:rsid w:val="00E0439E"/>
    <w:rsid w:val="00E04471"/>
    <w:rsid w:val="00E07B0E"/>
    <w:rsid w:val="00E10B88"/>
    <w:rsid w:val="00E12B56"/>
    <w:rsid w:val="00E13F89"/>
    <w:rsid w:val="00E14531"/>
    <w:rsid w:val="00E149ED"/>
    <w:rsid w:val="00E14A92"/>
    <w:rsid w:val="00E16CF2"/>
    <w:rsid w:val="00E1706F"/>
    <w:rsid w:val="00E17273"/>
    <w:rsid w:val="00E178CE"/>
    <w:rsid w:val="00E17F96"/>
    <w:rsid w:val="00E20FEE"/>
    <w:rsid w:val="00E225DD"/>
    <w:rsid w:val="00E22937"/>
    <w:rsid w:val="00E25777"/>
    <w:rsid w:val="00E261CE"/>
    <w:rsid w:val="00E26E59"/>
    <w:rsid w:val="00E2733C"/>
    <w:rsid w:val="00E30920"/>
    <w:rsid w:val="00E31DF0"/>
    <w:rsid w:val="00E333D4"/>
    <w:rsid w:val="00E35967"/>
    <w:rsid w:val="00E35D95"/>
    <w:rsid w:val="00E366FA"/>
    <w:rsid w:val="00E37864"/>
    <w:rsid w:val="00E37902"/>
    <w:rsid w:val="00E37C6A"/>
    <w:rsid w:val="00E45684"/>
    <w:rsid w:val="00E45FBA"/>
    <w:rsid w:val="00E460FC"/>
    <w:rsid w:val="00E46BDD"/>
    <w:rsid w:val="00E5124F"/>
    <w:rsid w:val="00E566DC"/>
    <w:rsid w:val="00E5691C"/>
    <w:rsid w:val="00E56F11"/>
    <w:rsid w:val="00E572FF"/>
    <w:rsid w:val="00E578A5"/>
    <w:rsid w:val="00E660DD"/>
    <w:rsid w:val="00E665BE"/>
    <w:rsid w:val="00E7258A"/>
    <w:rsid w:val="00E736F6"/>
    <w:rsid w:val="00E73E5F"/>
    <w:rsid w:val="00E73F65"/>
    <w:rsid w:val="00E74CFD"/>
    <w:rsid w:val="00E75557"/>
    <w:rsid w:val="00E75B16"/>
    <w:rsid w:val="00E75EF8"/>
    <w:rsid w:val="00E76384"/>
    <w:rsid w:val="00E77C67"/>
    <w:rsid w:val="00E8141C"/>
    <w:rsid w:val="00E8219A"/>
    <w:rsid w:val="00E82693"/>
    <w:rsid w:val="00E86CA0"/>
    <w:rsid w:val="00E87C92"/>
    <w:rsid w:val="00E900B8"/>
    <w:rsid w:val="00E92972"/>
    <w:rsid w:val="00E93006"/>
    <w:rsid w:val="00E931BD"/>
    <w:rsid w:val="00E952D9"/>
    <w:rsid w:val="00E9733C"/>
    <w:rsid w:val="00E97C79"/>
    <w:rsid w:val="00EA0DF6"/>
    <w:rsid w:val="00EA2F01"/>
    <w:rsid w:val="00EA33C1"/>
    <w:rsid w:val="00EA4AC1"/>
    <w:rsid w:val="00EA6A77"/>
    <w:rsid w:val="00EA6DDB"/>
    <w:rsid w:val="00EA711A"/>
    <w:rsid w:val="00EA7DD0"/>
    <w:rsid w:val="00EB07DE"/>
    <w:rsid w:val="00EB18F1"/>
    <w:rsid w:val="00EB24C4"/>
    <w:rsid w:val="00EB2E7D"/>
    <w:rsid w:val="00EB30FF"/>
    <w:rsid w:val="00EB5046"/>
    <w:rsid w:val="00EB53A2"/>
    <w:rsid w:val="00EB70F1"/>
    <w:rsid w:val="00EB7F48"/>
    <w:rsid w:val="00EC2057"/>
    <w:rsid w:val="00EC2F74"/>
    <w:rsid w:val="00EC4BD7"/>
    <w:rsid w:val="00EC5A18"/>
    <w:rsid w:val="00EC624E"/>
    <w:rsid w:val="00EC6DCC"/>
    <w:rsid w:val="00EC762B"/>
    <w:rsid w:val="00ED08FF"/>
    <w:rsid w:val="00ED1ADE"/>
    <w:rsid w:val="00ED229D"/>
    <w:rsid w:val="00ED2DC3"/>
    <w:rsid w:val="00ED2FBA"/>
    <w:rsid w:val="00ED36FC"/>
    <w:rsid w:val="00ED39AF"/>
    <w:rsid w:val="00ED6435"/>
    <w:rsid w:val="00ED6EBC"/>
    <w:rsid w:val="00EE0186"/>
    <w:rsid w:val="00EE17EA"/>
    <w:rsid w:val="00EE22B3"/>
    <w:rsid w:val="00EE430E"/>
    <w:rsid w:val="00EE4CB4"/>
    <w:rsid w:val="00EE7966"/>
    <w:rsid w:val="00EE7C4E"/>
    <w:rsid w:val="00EF0353"/>
    <w:rsid w:val="00EF1189"/>
    <w:rsid w:val="00EF194A"/>
    <w:rsid w:val="00EF3314"/>
    <w:rsid w:val="00EF5139"/>
    <w:rsid w:val="00EF56EE"/>
    <w:rsid w:val="00EF6385"/>
    <w:rsid w:val="00EF6B16"/>
    <w:rsid w:val="00EF7381"/>
    <w:rsid w:val="00F01061"/>
    <w:rsid w:val="00F010B2"/>
    <w:rsid w:val="00F0147F"/>
    <w:rsid w:val="00F02832"/>
    <w:rsid w:val="00F03669"/>
    <w:rsid w:val="00F03C88"/>
    <w:rsid w:val="00F045F2"/>
    <w:rsid w:val="00F13D8D"/>
    <w:rsid w:val="00F14613"/>
    <w:rsid w:val="00F16207"/>
    <w:rsid w:val="00F16493"/>
    <w:rsid w:val="00F17041"/>
    <w:rsid w:val="00F21758"/>
    <w:rsid w:val="00F22A61"/>
    <w:rsid w:val="00F27559"/>
    <w:rsid w:val="00F27842"/>
    <w:rsid w:val="00F27A08"/>
    <w:rsid w:val="00F27C15"/>
    <w:rsid w:val="00F328D5"/>
    <w:rsid w:val="00F335FE"/>
    <w:rsid w:val="00F33613"/>
    <w:rsid w:val="00F36EED"/>
    <w:rsid w:val="00F3705E"/>
    <w:rsid w:val="00F37966"/>
    <w:rsid w:val="00F37BB7"/>
    <w:rsid w:val="00F40E95"/>
    <w:rsid w:val="00F4153E"/>
    <w:rsid w:val="00F41BFA"/>
    <w:rsid w:val="00F41E81"/>
    <w:rsid w:val="00F42B69"/>
    <w:rsid w:val="00F42C38"/>
    <w:rsid w:val="00F42D03"/>
    <w:rsid w:val="00F43044"/>
    <w:rsid w:val="00F43AD2"/>
    <w:rsid w:val="00F45403"/>
    <w:rsid w:val="00F4625F"/>
    <w:rsid w:val="00F4739D"/>
    <w:rsid w:val="00F47AB7"/>
    <w:rsid w:val="00F47F95"/>
    <w:rsid w:val="00F50211"/>
    <w:rsid w:val="00F52F24"/>
    <w:rsid w:val="00F53118"/>
    <w:rsid w:val="00F55589"/>
    <w:rsid w:val="00F55DC2"/>
    <w:rsid w:val="00F57FC6"/>
    <w:rsid w:val="00F610F3"/>
    <w:rsid w:val="00F61528"/>
    <w:rsid w:val="00F62311"/>
    <w:rsid w:val="00F67E71"/>
    <w:rsid w:val="00F70E0B"/>
    <w:rsid w:val="00F70F27"/>
    <w:rsid w:val="00F719BA"/>
    <w:rsid w:val="00F71B5E"/>
    <w:rsid w:val="00F72C6D"/>
    <w:rsid w:val="00F73F53"/>
    <w:rsid w:val="00F75433"/>
    <w:rsid w:val="00F75D60"/>
    <w:rsid w:val="00F75DC3"/>
    <w:rsid w:val="00F77256"/>
    <w:rsid w:val="00F80691"/>
    <w:rsid w:val="00F80A60"/>
    <w:rsid w:val="00F8167F"/>
    <w:rsid w:val="00F81921"/>
    <w:rsid w:val="00F82B09"/>
    <w:rsid w:val="00F85C47"/>
    <w:rsid w:val="00F9299C"/>
    <w:rsid w:val="00F95DEB"/>
    <w:rsid w:val="00F96018"/>
    <w:rsid w:val="00F96467"/>
    <w:rsid w:val="00F97217"/>
    <w:rsid w:val="00FA445B"/>
    <w:rsid w:val="00FA52FB"/>
    <w:rsid w:val="00FA61E5"/>
    <w:rsid w:val="00FA635A"/>
    <w:rsid w:val="00FA6772"/>
    <w:rsid w:val="00FA6AC5"/>
    <w:rsid w:val="00FB1429"/>
    <w:rsid w:val="00FB2D0E"/>
    <w:rsid w:val="00FB2DCE"/>
    <w:rsid w:val="00FB34FE"/>
    <w:rsid w:val="00FB3555"/>
    <w:rsid w:val="00FB4D2E"/>
    <w:rsid w:val="00FB6002"/>
    <w:rsid w:val="00FB60FD"/>
    <w:rsid w:val="00FB699C"/>
    <w:rsid w:val="00FB784A"/>
    <w:rsid w:val="00FB7F06"/>
    <w:rsid w:val="00FC1E76"/>
    <w:rsid w:val="00FC26C0"/>
    <w:rsid w:val="00FC3473"/>
    <w:rsid w:val="00FC3A62"/>
    <w:rsid w:val="00FC3C56"/>
    <w:rsid w:val="00FC6F82"/>
    <w:rsid w:val="00FC7144"/>
    <w:rsid w:val="00FC7518"/>
    <w:rsid w:val="00FD094F"/>
    <w:rsid w:val="00FD279D"/>
    <w:rsid w:val="00FD2B97"/>
    <w:rsid w:val="00FD4231"/>
    <w:rsid w:val="00FD48A6"/>
    <w:rsid w:val="00FD5163"/>
    <w:rsid w:val="00FD568E"/>
    <w:rsid w:val="00FD59CA"/>
    <w:rsid w:val="00FD610D"/>
    <w:rsid w:val="00FE1655"/>
    <w:rsid w:val="00FE2FD4"/>
    <w:rsid w:val="00FE32DE"/>
    <w:rsid w:val="00FE3613"/>
    <w:rsid w:val="00FE3D32"/>
    <w:rsid w:val="00FE48E3"/>
    <w:rsid w:val="00FE5A5A"/>
    <w:rsid w:val="00FE6744"/>
    <w:rsid w:val="00FF1869"/>
    <w:rsid w:val="00FF1E2C"/>
    <w:rsid w:val="00FF2E54"/>
    <w:rsid w:val="00FF4062"/>
    <w:rsid w:val="00FF49AE"/>
    <w:rsid w:val="00FF50C6"/>
    <w:rsid w:val="00FF51CE"/>
    <w:rsid w:val="00FF5258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78890907867286"/>
          <c:y val="0.10797850740355569"/>
          <c:w val="0.78162278674909436"/>
          <c:h val="0.6960484656399081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dLbls>
            <c:dLbl>
              <c:idx val="0"/>
              <c:layout>
                <c:manualLayout>
                  <c:x val="-4.0297732014267446E-3"/>
                  <c:y val="4.1958434440977892E-3"/>
                </c:manualLayout>
              </c:layout>
              <c:tx>
                <c:rich>
                  <a:bodyPr/>
                  <a:lstStyle/>
                  <a:p>
                    <a:pPr>
                      <a:defRPr sz="1300" b="0"/>
                    </a:pPr>
                    <a:r>
                      <a:rPr lang="en-US" altLang="zh-TW" sz="1300" b="0"/>
                      <a:t>Indonesia</a:t>
                    </a:r>
                    <a:r>
                      <a:rPr lang="en-US" altLang="zh-TW" sz="1300" b="0" baseline="0"/>
                      <a:t> </a:t>
                    </a:r>
                    <a:endParaRPr lang="en-US" altLang="zh-TW" b="0"/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4.1826943763177147E-3"/>
                  <c:y val="4.1985965143478401E-3"/>
                </c:manualLayout>
              </c:layout>
              <c:tx>
                <c:rich>
                  <a:bodyPr/>
                  <a:lstStyle/>
                  <a:p>
                    <a:pPr>
                      <a:defRPr sz="1300" b="0"/>
                    </a:pPr>
                    <a:r>
                      <a:rPr lang="en-US" altLang="zh-TW" sz="1300" b="0"/>
                      <a:t>Thailand</a:t>
                    </a:r>
                    <a:endParaRPr lang="en-US" altLang="zh-TW" b="0"/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3.6676492361531732E-3"/>
                  <c:y val="-1.1264629657141529E-3"/>
                </c:manualLayout>
              </c:layout>
              <c:tx>
                <c:rich>
                  <a:bodyPr/>
                  <a:lstStyle/>
                  <a:p>
                    <a:pPr>
                      <a:defRPr sz="1600" b="1">
                        <a:solidFill>
                          <a:srgbClr val="0070C0"/>
                        </a:solidFill>
                      </a:defRPr>
                    </a:pPr>
                    <a:r>
                      <a:rPr lang="en-US" altLang="zh-TW" sz="1400" b="1">
                        <a:solidFill>
                          <a:srgbClr val="0070C0"/>
                        </a:solidFill>
                      </a:rPr>
                      <a:t>Taiwan</a:t>
                    </a:r>
                    <a:endParaRPr lang="en-US" sz="1600" b="1">
                      <a:solidFill>
                        <a:srgbClr val="0070C0"/>
                      </a:solidFill>
                    </a:endParaRPr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0.1955194531766504"/>
                  <c:y val="8.2955910997479093E-2"/>
                </c:manualLayout>
              </c:layout>
              <c:tx>
                <c:rich>
                  <a:bodyPr/>
                  <a:lstStyle/>
                  <a:p>
                    <a:pPr>
                      <a:defRPr sz="1300" b="0"/>
                    </a:pPr>
                    <a:r>
                      <a:rPr lang="en-US" altLang="zh-TW" sz="1300" b="0"/>
                      <a:t>Switzerland</a:t>
                    </a:r>
                    <a:endParaRPr lang="en-US" altLang="zh-TW" b="0"/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0.4669435070616173"/>
                  <c:y val="-8.9053772124638268E-3"/>
                </c:manualLayout>
              </c:layout>
              <c:tx>
                <c:rich>
                  <a:bodyPr/>
                  <a:lstStyle/>
                  <a:p>
                    <a:pPr>
                      <a:defRPr sz="1300" b="0"/>
                    </a:pPr>
                    <a:r>
                      <a:rPr lang="en-US" altLang="zh-TW" sz="1300" b="0"/>
                      <a:t>US</a:t>
                    </a:r>
                    <a:endParaRPr lang="en-US" b="0"/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0.30950055935630999"/>
                  <c:y val="2.9420485619213914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sz="1300" b="1"/>
                      <a:t>China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6"/>
              <c:layout>
                <c:manualLayout>
                  <c:x val="6.1821027494514007E-2"/>
                  <c:y val="1.2692814548809014E-2"/>
                </c:manualLayout>
              </c:layout>
              <c:tx>
                <c:rich>
                  <a:bodyPr/>
                  <a:lstStyle/>
                  <a:p>
                    <a:pPr>
                      <a:defRPr sz="1300" b="0"/>
                    </a:pPr>
                    <a:r>
                      <a:rPr lang="en-US" altLang="zh-TW" sz="1300" b="0"/>
                      <a:t>Japan</a:t>
                    </a:r>
                    <a:r>
                      <a:rPr lang="en-US" sz="1300" b="0"/>
                      <a:t> </a:t>
                    </a:r>
                    <a:endParaRPr lang="en-US" b="0"/>
                  </a:p>
                </c:rich>
              </c:tx>
              <c:spPr/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7"/>
              <c:layout>
                <c:manualLayout>
                  <c:x val="0.17498762962006797"/>
                  <c:y val="-2.354808420913913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sz="1300" b="1"/>
                      <a:t>Singapore</a:t>
                    </a:r>
                    <a:endParaRPr lang="en-US" b="1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8"/>
              <c:layout>
                <c:manualLayout>
                  <c:x val="-6.8101487314085737E-3"/>
                  <c:y val="8.4288284719127096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sz="1300" b="1"/>
                      <a:t>South Korea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9"/>
              <c:layout>
                <c:manualLayout>
                  <c:x val="-2.9590051243594553E-3"/>
                  <c:y val="2.1136780979300663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sz="1300" b="1"/>
                      <a:t>Malaysia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0"/>
              <c:layout>
                <c:manualLayout>
                  <c:x val="-2.7360989476791094E-3"/>
                  <c:y val="2.094594527731607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Hong Kong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1"/>
              <c:layout>
                <c:manualLayout>
                  <c:x val="-6.7440246206532981E-2"/>
                  <c:y val="1.6842479249483837E-2"/>
                </c:manualLayout>
              </c:layout>
              <c:tx>
                <c:rich>
                  <a:bodyPr/>
                  <a:lstStyle/>
                  <a:p>
                    <a:pPr>
                      <a:defRPr sz="1300" b="0"/>
                    </a:pPr>
                    <a:r>
                      <a:rPr lang="en-US" b="0"/>
                      <a:t>Euro </a:t>
                    </a:r>
                  </a:p>
                  <a:p>
                    <a:pPr>
                      <a:defRPr sz="1300" b="0"/>
                    </a:pPr>
                    <a:r>
                      <a:rPr lang="en-US" b="0"/>
                      <a:t>Area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2"/>
              <c:layout>
                <c:manualLayout>
                  <c:x val="-5.3176675391649018E-2"/>
                  <c:y val="7.6042958478294677E-3"/>
                </c:manualLayout>
              </c:layout>
              <c:tx>
                <c:rich>
                  <a:bodyPr/>
                  <a:lstStyle/>
                  <a:p>
                    <a:pPr>
                      <a:defRPr sz="1300" b="0"/>
                    </a:pPr>
                    <a:r>
                      <a:rPr lang="en-US" altLang="zh-TW" sz="1300" b="0"/>
                      <a:t>UK</a:t>
                    </a:r>
                    <a:endParaRPr lang="zh-TW" b="0"/>
                  </a:p>
                </c:rich>
              </c:tx>
              <c:spPr/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3"/>
              <c:layout>
                <c:manualLayout>
                  <c:x val="-5.4700854700854701E-3"/>
                  <c:y val="-2.0964360587002098E-3"/>
                </c:manualLayout>
              </c:layout>
              <c:tx>
                <c:rich>
                  <a:bodyPr/>
                  <a:lstStyle/>
                  <a:p>
                    <a:r>
                      <a:rPr lang="en-US" altLang="zh-TW" sz="1300" b="1"/>
                      <a:t>Philippines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1300" b="1"/>
                </a:pPr>
                <a:endParaRPr lang="zh-TW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RR_跨國!$B$2:$B$15</c:f>
              <c:numCache>
                <c:formatCode>0.0_ </c:formatCode>
                <c:ptCount val="14"/>
                <c:pt idx="0">
                  <c:v>5</c:v>
                </c:pt>
                <c:pt idx="1">
                  <c:v>3.81</c:v>
                </c:pt>
                <c:pt idx="2" formatCode="0.00_);[Red]\(0.00\)">
                  <c:v>2.61</c:v>
                </c:pt>
                <c:pt idx="3">
                  <c:v>2.2799999999999998</c:v>
                </c:pt>
                <c:pt idx="4">
                  <c:v>6.8</c:v>
                </c:pt>
                <c:pt idx="5">
                  <c:v>3.59</c:v>
                </c:pt>
                <c:pt idx="6">
                  <c:v>1.07</c:v>
                </c:pt>
                <c:pt idx="7">
                  <c:v>1.77</c:v>
                </c:pt>
                <c:pt idx="8">
                  <c:v>3.2</c:v>
                </c:pt>
                <c:pt idx="9">
                  <c:v>5.93</c:v>
                </c:pt>
                <c:pt idx="10">
                  <c:v>3.63</c:v>
                </c:pt>
                <c:pt idx="11">
                  <c:v>2.4</c:v>
                </c:pt>
                <c:pt idx="12">
                  <c:v>1.52</c:v>
                </c:pt>
                <c:pt idx="13">
                  <c:v>6.6</c:v>
                </c:pt>
              </c:numCache>
            </c:numRef>
          </c:xVal>
          <c:yVal>
            <c:numRef>
              <c:f>RR_跨國!$C$2:$C$15</c:f>
              <c:numCache>
                <c:formatCode>0.000_ </c:formatCode>
                <c:ptCount val="14"/>
                <c:pt idx="0">
                  <c:v>0.91000000000000014</c:v>
                </c:pt>
                <c:pt idx="1">
                  <c:v>0.8</c:v>
                </c:pt>
                <c:pt idx="2" formatCode="0.000">
                  <c:v>0.45499999999999996</c:v>
                </c:pt>
                <c:pt idx="3">
                  <c:v>0</c:v>
                </c:pt>
                <c:pt idx="4">
                  <c:v>-0.22999999999999998</c:v>
                </c:pt>
                <c:pt idx="5">
                  <c:v>-0.24</c:v>
                </c:pt>
                <c:pt idx="6">
                  <c:v>-0.36</c:v>
                </c:pt>
                <c:pt idx="7">
                  <c:v>-0.42899999999999999</c:v>
                </c:pt>
                <c:pt idx="8">
                  <c:v>-0.74</c:v>
                </c:pt>
                <c:pt idx="9">
                  <c:v>-0.94</c:v>
                </c:pt>
                <c:pt idx="10">
                  <c:v>-1.45</c:v>
                </c:pt>
                <c:pt idx="11">
                  <c:v>-1.74</c:v>
                </c:pt>
                <c:pt idx="12">
                  <c:v>-1.83</c:v>
                </c:pt>
                <c:pt idx="13">
                  <c:v>-2.67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1308288"/>
        <c:axId val="251308864"/>
      </c:scatterChart>
      <c:valAx>
        <c:axId val="251308288"/>
        <c:scaling>
          <c:orientation val="minMax"/>
        </c:scaling>
        <c:delete val="0"/>
        <c:axPos val="b"/>
        <c:numFmt formatCode="0.0_ " sourceLinked="1"/>
        <c:majorTickMark val="out"/>
        <c:minorTickMark val="none"/>
        <c:tickLblPos val="low"/>
        <c:crossAx val="251308864"/>
        <c:crosses val="autoZero"/>
        <c:crossBetween val="midCat"/>
      </c:valAx>
      <c:valAx>
        <c:axId val="251308864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crossAx val="251308288"/>
        <c:crosses val="autoZero"/>
        <c:crossBetween val="midCat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0.29018</cdr:x>
      <cdr:y>0.86764</cdr:y>
    </cdr:from>
    <cdr:to>
      <cdr:x>0.68271</cdr:x>
      <cdr:y>0.92244</cdr:y>
    </cdr:to>
    <cdr:sp macro="" textlink="">
      <cdr:nvSpPr>
        <cdr:cNvPr id="3" name="文字方塊 1"/>
        <cdr:cNvSpPr txBox="1"/>
      </cdr:nvSpPr>
      <cdr:spPr>
        <a:xfrm xmlns:a="http://schemas.openxmlformats.org/drawingml/2006/main">
          <a:off x="2694865" y="5256086"/>
          <a:ext cx="3645377" cy="3319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1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2017</a:t>
          </a:r>
          <a:r>
            <a:rPr lang="zh-TW" altLang="en-US" sz="11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 </a:t>
          </a:r>
          <a:r>
            <a:rPr lang="en-US" altLang="zh-TW" sz="11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GDP growth</a:t>
          </a:r>
          <a:r>
            <a:rPr lang="en-US" altLang="zh-TW" sz="1100" b="1" i="0" baseline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 rate </a:t>
          </a:r>
          <a:r>
            <a:rPr lang="en-US" altLang="zh-TW" sz="1100" b="1" i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(%)</a:t>
          </a:r>
          <a:endParaRPr lang="zh-TW" altLang="en-US" sz="1100" b="1" i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0.23831</cdr:x>
      <cdr:y>0.0203</cdr:y>
    </cdr:from>
    <cdr:to>
      <cdr:x>0.80494</cdr:x>
      <cdr:y>0.12314</cdr:y>
    </cdr:to>
    <cdr:sp macro="" textlink="">
      <cdr:nvSpPr>
        <cdr:cNvPr id="4" name="文字方塊 3"/>
        <cdr:cNvSpPr txBox="1"/>
      </cdr:nvSpPr>
      <cdr:spPr>
        <a:xfrm xmlns:a="http://schemas.openxmlformats.org/drawingml/2006/main">
          <a:off x="2212258" y="122903"/>
          <a:ext cx="5260258" cy="6227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0.06183</cdr:x>
      <cdr:y>0.20879</cdr:y>
    </cdr:from>
    <cdr:to>
      <cdr:x>0.06183</cdr:x>
      <cdr:y>0.27239</cdr:y>
    </cdr:to>
    <cdr:cxnSp macro="">
      <cdr:nvCxnSpPr>
        <cdr:cNvPr id="11" name="直線單箭頭接點 10"/>
        <cdr:cNvCxnSpPr/>
      </cdr:nvCxnSpPr>
      <cdr:spPr>
        <a:xfrm xmlns:a="http://schemas.openxmlformats.org/drawingml/2006/main" flipV="1">
          <a:off x="494683" y="868683"/>
          <a:ext cx="0" cy="264609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0.0113</cdr:x>
      <cdr:y>0</cdr:y>
    </cdr:from>
    <cdr:to>
      <cdr:x>0.1821</cdr:x>
      <cdr:y>0.10993</cdr:y>
    </cdr:to>
    <cdr:sp macro="" textlink="">
      <cdr:nvSpPr>
        <cdr:cNvPr id="18" name="文字方塊 1"/>
        <cdr:cNvSpPr txBox="1"/>
      </cdr:nvSpPr>
      <cdr:spPr>
        <a:xfrm xmlns:a="http://schemas.openxmlformats.org/drawingml/2006/main">
          <a:off x="90435" y="0"/>
          <a:ext cx="1366576" cy="4573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altLang="zh-TW" sz="11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Real</a:t>
          </a:r>
          <a:r>
            <a:rPr lang="en-US" altLang="zh-TW" sz="1100" b="1" baseline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 interest rate</a:t>
          </a:r>
        </a:p>
        <a:p xmlns:a="http://schemas.openxmlformats.org/drawingml/2006/main">
          <a:pPr algn="ctr"/>
          <a:r>
            <a:rPr lang="en-US" altLang="zh-TW" sz="1100" b="1" baseline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 </a:t>
          </a:r>
          <a:r>
            <a:rPr lang="en-US" altLang="zh-TW" sz="11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(%)</a:t>
          </a:r>
          <a:endParaRPr lang="zh-TW" altLang="en-US" sz="11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0.23831</cdr:x>
      <cdr:y>0.0203</cdr:y>
    </cdr:from>
    <cdr:to>
      <cdr:x>0.80494</cdr:x>
      <cdr:y>0.12314</cdr:y>
    </cdr:to>
    <cdr:sp macro="" textlink="">
      <cdr:nvSpPr>
        <cdr:cNvPr id="21" name="文字方塊 3"/>
        <cdr:cNvSpPr txBox="1"/>
      </cdr:nvSpPr>
      <cdr:spPr>
        <a:xfrm xmlns:a="http://schemas.openxmlformats.org/drawingml/2006/main">
          <a:off x="2212258" y="122903"/>
          <a:ext cx="5260258" cy="6227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0.06322</cdr:x>
      <cdr:y>0.44864</cdr:y>
    </cdr:from>
    <cdr:to>
      <cdr:x>0.06322</cdr:x>
      <cdr:y>0.59452</cdr:y>
    </cdr:to>
    <cdr:cxnSp macro="">
      <cdr:nvCxnSpPr>
        <cdr:cNvPr id="25" name="直線單箭頭接點 11"/>
        <cdr:cNvCxnSpPr/>
      </cdr:nvCxnSpPr>
      <cdr:spPr>
        <a:xfrm xmlns:a="http://schemas.openxmlformats.org/drawingml/2006/main" flipH="1">
          <a:off x="587083" y="2717797"/>
          <a:ext cx="0" cy="883726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0.01773</cdr:x>
      <cdr:y>0.21471</cdr:y>
    </cdr:from>
    <cdr:to>
      <cdr:x>0.05833</cdr:x>
      <cdr:y>0.29164</cdr:y>
    </cdr:to>
    <cdr:sp macro="" textlink="">
      <cdr:nvSpPr>
        <cdr:cNvPr id="26" name="文字方塊 14"/>
        <cdr:cNvSpPr txBox="1"/>
      </cdr:nvSpPr>
      <cdr:spPr>
        <a:xfrm xmlns:a="http://schemas.openxmlformats.org/drawingml/2006/main">
          <a:off x="141858" y="893289"/>
          <a:ext cx="324840" cy="320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en-US" altLang="zh-TW" sz="110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High</a:t>
          </a:r>
          <a:endParaRPr lang="zh-TW" altLang="en-US" sz="110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0.23831</cdr:x>
      <cdr:y>0.0203</cdr:y>
    </cdr:from>
    <cdr:to>
      <cdr:x>0.80494</cdr:x>
      <cdr:y>0.12314</cdr:y>
    </cdr:to>
    <cdr:sp macro="" textlink="">
      <cdr:nvSpPr>
        <cdr:cNvPr id="32" name="文字方塊 3"/>
        <cdr:cNvSpPr txBox="1"/>
      </cdr:nvSpPr>
      <cdr:spPr>
        <a:xfrm xmlns:a="http://schemas.openxmlformats.org/drawingml/2006/main">
          <a:off x="2212258" y="122903"/>
          <a:ext cx="5260258" cy="6227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0.01381</cdr:x>
      <cdr:y>0.50514</cdr:y>
    </cdr:from>
    <cdr:to>
      <cdr:x>0.0597</cdr:x>
      <cdr:y>0.55927</cdr:y>
    </cdr:to>
    <cdr:sp macro="" textlink="">
      <cdr:nvSpPr>
        <cdr:cNvPr id="38" name="文字方塊 1"/>
        <cdr:cNvSpPr txBox="1"/>
      </cdr:nvSpPr>
      <cdr:spPr>
        <a:xfrm xmlns:a="http://schemas.openxmlformats.org/drawingml/2006/main">
          <a:off x="110494" y="2101645"/>
          <a:ext cx="367166" cy="2252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05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Low</a:t>
          </a:r>
          <a:endParaRPr lang="zh-TW" altLang="en-US" sz="105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0.64053</cdr:x>
      <cdr:y>0.90666</cdr:y>
    </cdr:from>
    <cdr:to>
      <cdr:x>0.81687</cdr:x>
      <cdr:y>0.90748</cdr:y>
    </cdr:to>
    <cdr:cxnSp macro="">
      <cdr:nvCxnSpPr>
        <cdr:cNvPr id="39" name="直線單箭頭接點 38"/>
        <cdr:cNvCxnSpPr/>
      </cdr:nvCxnSpPr>
      <cdr:spPr>
        <a:xfrm xmlns:a="http://schemas.openxmlformats.org/drawingml/2006/main">
          <a:off x="5124919" y="3772167"/>
          <a:ext cx="1410896" cy="3411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0.83471</cdr:x>
      <cdr:y>0.87107</cdr:y>
    </cdr:from>
    <cdr:to>
      <cdr:x>0.93309</cdr:x>
      <cdr:y>0.92742</cdr:y>
    </cdr:to>
    <cdr:sp macro="" textlink="">
      <cdr:nvSpPr>
        <cdr:cNvPr id="42" name="文字方塊 14"/>
        <cdr:cNvSpPr txBox="1"/>
      </cdr:nvSpPr>
      <cdr:spPr>
        <a:xfrm xmlns:a="http://schemas.openxmlformats.org/drawingml/2006/main">
          <a:off x="6678515" y="3624104"/>
          <a:ext cx="787152" cy="234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zh-TW" sz="105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High</a:t>
          </a:r>
          <a:endParaRPr lang="zh-TW" altLang="en-US" sz="105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0.13797</cdr:x>
      <cdr:y>0.87917</cdr:y>
    </cdr:from>
    <cdr:to>
      <cdr:x>0.17857</cdr:x>
      <cdr:y>0.94006</cdr:y>
    </cdr:to>
    <cdr:sp macro="" textlink="">
      <cdr:nvSpPr>
        <cdr:cNvPr id="45" name="文字方塊 14"/>
        <cdr:cNvSpPr txBox="1"/>
      </cdr:nvSpPr>
      <cdr:spPr>
        <a:xfrm xmlns:a="http://schemas.openxmlformats.org/drawingml/2006/main">
          <a:off x="1103879" y="3657807"/>
          <a:ext cx="324841" cy="2533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zh-TW" sz="1050" b="0">
              <a:solidFill>
                <a:srgbClr val="0070C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Low</a:t>
          </a:r>
          <a:endParaRPr lang="zh-TW" altLang="en-US" sz="1050" b="0">
            <a:solidFill>
              <a:srgbClr val="0070C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0.18152</cdr:x>
      <cdr:y>0.90391</cdr:y>
    </cdr:from>
    <cdr:to>
      <cdr:x>0.3095</cdr:x>
      <cdr:y>0.90391</cdr:y>
    </cdr:to>
    <cdr:cxnSp macro="">
      <cdr:nvCxnSpPr>
        <cdr:cNvPr id="47" name="直線單箭頭接點 46"/>
        <cdr:cNvCxnSpPr/>
      </cdr:nvCxnSpPr>
      <cdr:spPr>
        <a:xfrm xmlns:a="http://schemas.openxmlformats.org/drawingml/2006/main" flipH="1" flipV="1">
          <a:off x="1452303" y="3760738"/>
          <a:ext cx="1023968" cy="0"/>
        </a:xfrm>
        <a:prstGeom xmlns:a="http://schemas.openxmlformats.org/drawingml/2006/main" prst="straightConnector1">
          <a:avLst/>
        </a:prstGeom>
        <a:ln xmlns:a="http://schemas.openxmlformats.org/drawingml/2006/main" w="12700">
          <a:headEnd type="none" w="med" len="med"/>
          <a:tailEnd type="triangle" w="med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0.37914</cdr:x>
      <cdr:y>0.10144</cdr:y>
    </cdr:from>
    <cdr:to>
      <cdr:x>0.37914</cdr:x>
      <cdr:y>0.80267</cdr:y>
    </cdr:to>
    <cdr:cxnSp macro="">
      <cdr:nvCxnSpPr>
        <cdr:cNvPr id="17" name="直線接點 16"/>
        <cdr:cNvCxnSpPr/>
      </cdr:nvCxnSpPr>
      <cdr:spPr>
        <a:xfrm xmlns:a="http://schemas.openxmlformats.org/drawingml/2006/main" flipH="1">
          <a:off x="3521056" y="614516"/>
          <a:ext cx="0" cy="4248000"/>
        </a:xfrm>
        <a:prstGeom xmlns:a="http://schemas.openxmlformats.org/drawingml/2006/main" prst="line">
          <a:avLst/>
        </a:prstGeom>
        <a:ln xmlns:a="http://schemas.openxmlformats.org/drawingml/2006/main"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0.39053</cdr:x>
      <cdr:y>0.34537</cdr:y>
    </cdr:from>
    <cdr:to>
      <cdr:x>0.91421</cdr:x>
      <cdr:y>0.80701</cdr:y>
    </cdr:to>
    <cdr:sp macro="" textlink="">
      <cdr:nvSpPr>
        <cdr:cNvPr id="19" name="矩形 18"/>
        <cdr:cNvSpPr/>
      </cdr:nvSpPr>
      <cdr:spPr>
        <a:xfrm xmlns:a="http://schemas.openxmlformats.org/drawingml/2006/main">
          <a:off x="3124594" y="1436914"/>
          <a:ext cx="4189964" cy="1920662"/>
        </a:xfrm>
        <a:prstGeom xmlns:a="http://schemas.openxmlformats.org/drawingml/2006/main" prst="rect">
          <a:avLst/>
        </a:prstGeom>
        <a:solidFill xmlns:a="http://schemas.openxmlformats.org/drawingml/2006/main">
          <a:srgbClr val="FFFF66">
            <a:alpha val="41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zh-TW" altLang="en-US"/>
        </a:p>
      </cdr:txBody>
    </cdr:sp>
  </cdr:relSizeAnchor>
  <cdr:relSizeAnchor xmlns:cdr="http://schemas.openxmlformats.org/drawingml/2006/chartDrawing">
    <cdr:from>
      <cdr:x>0.11437</cdr:x>
      <cdr:y>0.93445</cdr:y>
    </cdr:from>
    <cdr:to>
      <cdr:x>0.40479</cdr:x>
      <cdr:y>0.98803</cdr:y>
    </cdr:to>
    <cdr:sp macro="" textlink="">
      <cdr:nvSpPr>
        <cdr:cNvPr id="20" name="文字方塊 1"/>
        <cdr:cNvSpPr txBox="1"/>
      </cdr:nvSpPr>
      <cdr:spPr>
        <a:xfrm xmlns:a="http://schemas.openxmlformats.org/drawingml/2006/main">
          <a:off x="1063229" y="5672667"/>
          <a:ext cx="2699861" cy="3252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zh-TW" sz="105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Source: same as Table 2. </a:t>
          </a:r>
          <a:endParaRPr lang="zh-TW" altLang="en-US" sz="105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0.9102</cdr:x>
      <cdr:y>0.37113</cdr:y>
    </cdr:from>
    <cdr:to>
      <cdr:x>0.92896</cdr:x>
      <cdr:y>0.77964</cdr:y>
    </cdr:to>
    <cdr:sp macro="" textlink="">
      <cdr:nvSpPr>
        <cdr:cNvPr id="23" name="右中括弧 22"/>
        <cdr:cNvSpPr/>
      </cdr:nvSpPr>
      <cdr:spPr>
        <a:xfrm xmlns:a="http://schemas.openxmlformats.org/drawingml/2006/main">
          <a:off x="8461595" y="2252999"/>
          <a:ext cx="174405" cy="2479868"/>
        </a:xfrm>
        <a:prstGeom xmlns:a="http://schemas.openxmlformats.org/drawingml/2006/main" prst="rightBracket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zh-TW"/>
        </a:p>
      </cdr:txBody>
    </cdr:sp>
  </cdr:relSizeAnchor>
  <cdr:relSizeAnchor xmlns:cdr="http://schemas.openxmlformats.org/drawingml/2006/chartDrawing">
    <cdr:from>
      <cdr:x>0.02282</cdr:x>
      <cdr:y>0.40322</cdr:y>
    </cdr:from>
    <cdr:to>
      <cdr:x>0.06342</cdr:x>
      <cdr:y>0.48015</cdr:y>
    </cdr:to>
    <cdr:sp macro="" textlink="">
      <cdr:nvSpPr>
        <cdr:cNvPr id="27" name="文字方塊 14"/>
        <cdr:cNvSpPr txBox="1"/>
      </cdr:nvSpPr>
      <cdr:spPr>
        <a:xfrm xmlns:a="http://schemas.openxmlformats.org/drawingml/2006/main">
          <a:off x="182609" y="1677620"/>
          <a:ext cx="324840" cy="3200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FF2A-8272-4E1F-B2EE-D713ED42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496</Words>
  <Characters>2833</Characters>
  <Application>Microsoft Office Word</Application>
  <DocSecurity>0</DocSecurity>
  <Lines>23</Lines>
  <Paragraphs>6</Paragraphs>
  <ScaleCrop>false</ScaleCrop>
  <Company>CBC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cbc</cp:lastModifiedBy>
  <cp:revision>7</cp:revision>
  <cp:lastPrinted>2017-06-22T00:39:00Z</cp:lastPrinted>
  <dcterms:created xsi:type="dcterms:W3CDTF">2017-12-21T06:47:00Z</dcterms:created>
  <dcterms:modified xsi:type="dcterms:W3CDTF">2017-12-21T08:53:00Z</dcterms:modified>
</cp:coreProperties>
</file>