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A1" w:rsidRDefault="000057A1" w:rsidP="000057A1">
      <w:pPr>
        <w:pStyle w:val="aa"/>
        <w:spacing w:line="360" w:lineRule="exact"/>
        <w:ind w:left="993" w:rightChars="-214" w:right="-514" w:hanging="1174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Appendix 2</w:t>
      </w:r>
      <w:bookmarkEnd w:id="0"/>
    </w:p>
    <w:p w:rsidR="000057A1" w:rsidRDefault="002D0A62" w:rsidP="007C1EA3">
      <w:pPr>
        <w:pStyle w:val="aa"/>
        <w:spacing w:beforeLines="50" w:before="180" w:afterLines="50" w:after="180" w:line="360" w:lineRule="exact"/>
        <w:ind w:left="993" w:rightChars="-214" w:right="-514" w:hanging="1174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Comparison of </w:t>
      </w:r>
      <w:r w:rsidR="000057A1">
        <w:rPr>
          <w:rFonts w:hint="eastAsia"/>
          <w:b/>
          <w:bCs/>
          <w:sz w:val="28"/>
          <w:szCs w:val="28"/>
        </w:rPr>
        <w:t>the Regular</w:t>
      </w:r>
      <w:r>
        <w:rPr>
          <w:rFonts w:hint="eastAsia"/>
          <w:b/>
          <w:bCs/>
          <w:sz w:val="28"/>
          <w:szCs w:val="28"/>
        </w:rPr>
        <w:t xml:space="preserve"> and Expanded Repo Facilit</w:t>
      </w:r>
      <w:r w:rsidR="000057A1">
        <w:rPr>
          <w:rFonts w:hint="eastAsia"/>
          <w:b/>
          <w:bCs/>
          <w:sz w:val="28"/>
          <w:szCs w:val="28"/>
        </w:rPr>
        <w:t xml:space="preserve">ies of </w:t>
      </w:r>
      <w:r w:rsidR="005A5705">
        <w:rPr>
          <w:rFonts w:hint="eastAsia"/>
          <w:b/>
          <w:bCs/>
          <w:sz w:val="28"/>
          <w:szCs w:val="28"/>
        </w:rPr>
        <w:t>the CBC</w:t>
      </w:r>
    </w:p>
    <w:p w:rsidR="00156686" w:rsidRDefault="00156686" w:rsidP="007C1EA3">
      <w:pPr>
        <w:pStyle w:val="aa"/>
        <w:spacing w:beforeLines="50" w:before="180" w:afterLines="50" w:after="180" w:line="360" w:lineRule="exact"/>
        <w:ind w:left="993" w:rightChars="-214" w:right="-514" w:hanging="1174"/>
        <w:jc w:val="center"/>
        <w:rPr>
          <w:b/>
          <w:bCs/>
          <w:sz w:val="28"/>
          <w:szCs w:val="28"/>
        </w:rPr>
      </w:pPr>
    </w:p>
    <w:tbl>
      <w:tblPr>
        <w:tblW w:w="9480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0"/>
        <w:gridCol w:w="3780"/>
        <w:gridCol w:w="3840"/>
      </w:tblGrid>
      <w:tr w:rsidR="00156686" w:rsidRPr="009971D6" w:rsidTr="009971D6">
        <w:trPr>
          <w:cantSplit/>
          <w:trHeight w:val="495"/>
        </w:trPr>
        <w:tc>
          <w:tcPr>
            <w:tcW w:w="1860" w:type="dxa"/>
            <w:textDirection w:val="tbRlV"/>
            <w:vAlign w:val="center"/>
          </w:tcPr>
          <w:p w:rsidR="00156686" w:rsidRPr="009971D6" w:rsidRDefault="00156686" w:rsidP="009971D6">
            <w:pPr>
              <w:pStyle w:val="aa"/>
              <w:spacing w:line="360" w:lineRule="exact"/>
              <w:ind w:leftChars="-411" w:left="-986" w:right="113" w:firstLine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80" w:type="dxa"/>
            <w:vAlign w:val="center"/>
          </w:tcPr>
          <w:p w:rsidR="00156686" w:rsidRPr="009971D6" w:rsidRDefault="000057A1" w:rsidP="00DF2583">
            <w:pPr>
              <w:pStyle w:val="aa"/>
              <w:spacing w:line="360" w:lineRule="exact"/>
              <w:ind w:left="0" w:firstLine="0"/>
              <w:jc w:val="center"/>
              <w:rPr>
                <w:sz w:val="26"/>
                <w:szCs w:val="26"/>
              </w:rPr>
            </w:pPr>
            <w:r w:rsidRPr="009971D6">
              <w:rPr>
                <w:rFonts w:hint="eastAsia"/>
                <w:b/>
                <w:bCs/>
                <w:sz w:val="26"/>
                <w:szCs w:val="26"/>
              </w:rPr>
              <w:t>Regular</w:t>
            </w:r>
            <w:r w:rsidR="002D0A62" w:rsidRPr="009971D6">
              <w:rPr>
                <w:rFonts w:hint="eastAsia"/>
                <w:b/>
                <w:bCs/>
                <w:sz w:val="26"/>
                <w:szCs w:val="26"/>
              </w:rPr>
              <w:t xml:space="preserve"> Repo Facility</w:t>
            </w:r>
          </w:p>
        </w:tc>
        <w:tc>
          <w:tcPr>
            <w:tcW w:w="3840" w:type="dxa"/>
            <w:vAlign w:val="center"/>
          </w:tcPr>
          <w:p w:rsidR="00156686" w:rsidRPr="009971D6" w:rsidRDefault="002D0A62" w:rsidP="00DF2583">
            <w:pPr>
              <w:pStyle w:val="aa"/>
              <w:spacing w:line="48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  <w:r w:rsidRPr="009971D6">
              <w:rPr>
                <w:rFonts w:hint="eastAsia"/>
                <w:b/>
                <w:bCs/>
                <w:sz w:val="26"/>
                <w:szCs w:val="26"/>
              </w:rPr>
              <w:t>Expanded Repo Facility</w:t>
            </w:r>
          </w:p>
        </w:tc>
      </w:tr>
      <w:tr w:rsidR="005A5705" w:rsidRPr="009971D6" w:rsidTr="00DF7AC8">
        <w:trPr>
          <w:cantSplit/>
          <w:trHeight w:val="4484"/>
        </w:trPr>
        <w:tc>
          <w:tcPr>
            <w:tcW w:w="1860" w:type="dxa"/>
            <w:vAlign w:val="center"/>
          </w:tcPr>
          <w:p w:rsidR="005A5705" w:rsidRPr="009971D6" w:rsidRDefault="005A5705" w:rsidP="00C37599">
            <w:pPr>
              <w:pStyle w:val="aa"/>
              <w:spacing w:line="240" w:lineRule="auto"/>
              <w:ind w:left="32" w:firstLine="0"/>
              <w:rPr>
                <w:b/>
                <w:bCs/>
                <w:sz w:val="26"/>
                <w:szCs w:val="26"/>
              </w:rPr>
            </w:pPr>
            <w:r w:rsidRPr="009971D6">
              <w:rPr>
                <w:rFonts w:hint="eastAsia"/>
                <w:b/>
                <w:bCs/>
                <w:sz w:val="26"/>
                <w:szCs w:val="26"/>
              </w:rPr>
              <w:t>Application</w:t>
            </w:r>
          </w:p>
        </w:tc>
        <w:tc>
          <w:tcPr>
            <w:tcW w:w="3780" w:type="dxa"/>
            <w:vAlign w:val="center"/>
          </w:tcPr>
          <w:p w:rsidR="005A5705" w:rsidRPr="009971D6" w:rsidRDefault="005A5705" w:rsidP="005A5705">
            <w:pPr>
              <w:pStyle w:val="aa"/>
              <w:spacing w:beforeLines="25" w:before="90" w:line="360" w:lineRule="exact"/>
              <w:ind w:left="91" w:firstLine="0"/>
              <w:rPr>
                <w:sz w:val="26"/>
                <w:szCs w:val="26"/>
              </w:rPr>
            </w:pPr>
            <w:r w:rsidRPr="009971D6">
              <w:rPr>
                <w:rFonts w:hint="eastAsia"/>
                <w:sz w:val="26"/>
                <w:szCs w:val="26"/>
              </w:rPr>
              <w:t>As announced by the CBC</w:t>
            </w:r>
          </w:p>
        </w:tc>
        <w:tc>
          <w:tcPr>
            <w:tcW w:w="3840" w:type="dxa"/>
            <w:vAlign w:val="center"/>
          </w:tcPr>
          <w:p w:rsidR="005A5705" w:rsidRPr="009971D6" w:rsidRDefault="005A5705" w:rsidP="005A5705">
            <w:pPr>
              <w:pStyle w:val="aa"/>
              <w:numPr>
                <w:ilvl w:val="0"/>
                <w:numId w:val="13"/>
              </w:numPr>
              <w:spacing w:beforeLines="25" w:before="90" w:line="360" w:lineRule="exact"/>
              <w:rPr>
                <w:bCs/>
                <w:sz w:val="26"/>
                <w:szCs w:val="26"/>
              </w:rPr>
            </w:pPr>
            <w:r w:rsidRPr="009971D6">
              <w:rPr>
                <w:rFonts w:hint="eastAsia"/>
                <w:sz w:val="26"/>
                <w:szCs w:val="26"/>
              </w:rPr>
              <w:t>As announced by the CBC</w:t>
            </w:r>
          </w:p>
          <w:p w:rsidR="005A5705" w:rsidRPr="009971D6" w:rsidRDefault="005A5705" w:rsidP="005A5705">
            <w:pPr>
              <w:pStyle w:val="aa"/>
              <w:numPr>
                <w:ilvl w:val="0"/>
                <w:numId w:val="13"/>
              </w:numPr>
              <w:spacing w:beforeLines="25" w:before="90" w:line="360" w:lineRule="exact"/>
              <w:rPr>
                <w:bCs/>
                <w:sz w:val="26"/>
                <w:szCs w:val="26"/>
              </w:rPr>
            </w:pPr>
            <w:r w:rsidRPr="009971D6">
              <w:rPr>
                <w:rFonts w:hint="eastAsia"/>
                <w:bCs/>
                <w:sz w:val="26"/>
                <w:szCs w:val="26"/>
              </w:rPr>
              <w:t xml:space="preserve">Financial institutions may also </w:t>
            </w:r>
            <w:r>
              <w:rPr>
                <w:rFonts w:hint="eastAsia"/>
                <w:bCs/>
                <w:sz w:val="26"/>
                <w:szCs w:val="26"/>
              </w:rPr>
              <w:t xml:space="preserve">participate by </w:t>
            </w:r>
            <w:r w:rsidRPr="009971D6">
              <w:rPr>
                <w:rFonts w:hint="eastAsia"/>
                <w:bCs/>
                <w:sz w:val="26"/>
                <w:szCs w:val="26"/>
              </w:rPr>
              <w:t>apply</w:t>
            </w:r>
            <w:r>
              <w:rPr>
                <w:rFonts w:hint="eastAsia"/>
                <w:bCs/>
                <w:sz w:val="26"/>
                <w:szCs w:val="26"/>
              </w:rPr>
              <w:t>ing</w:t>
            </w:r>
            <w:r w:rsidRPr="009971D6">
              <w:rPr>
                <w:rFonts w:hint="eastAsia"/>
                <w:bCs/>
                <w:sz w:val="26"/>
                <w:szCs w:val="26"/>
              </w:rPr>
              <w:t xml:space="preserve"> </w:t>
            </w:r>
            <w:r>
              <w:rPr>
                <w:rFonts w:hint="eastAsia"/>
                <w:bCs/>
                <w:sz w:val="26"/>
                <w:szCs w:val="26"/>
              </w:rPr>
              <w:t>to</w:t>
            </w:r>
            <w:r w:rsidRPr="009971D6">
              <w:rPr>
                <w:rFonts w:hint="eastAsia"/>
                <w:bCs/>
                <w:sz w:val="26"/>
                <w:szCs w:val="26"/>
              </w:rPr>
              <w:t xml:space="preserve"> the CBC</w:t>
            </w:r>
            <w:r>
              <w:rPr>
                <w:rFonts w:hint="eastAsia"/>
                <w:bCs/>
                <w:sz w:val="26"/>
                <w:szCs w:val="26"/>
              </w:rPr>
              <w:t>. (Applicable in case of emergency needs for funding)</w:t>
            </w:r>
          </w:p>
        </w:tc>
      </w:tr>
      <w:tr w:rsidR="005A5705" w:rsidRPr="009971D6" w:rsidTr="009971D6">
        <w:trPr>
          <w:cantSplit/>
          <w:trHeight w:val="4484"/>
        </w:trPr>
        <w:tc>
          <w:tcPr>
            <w:tcW w:w="1860" w:type="dxa"/>
            <w:vAlign w:val="center"/>
          </w:tcPr>
          <w:p w:rsidR="005A5705" w:rsidRPr="009971D6" w:rsidRDefault="005A5705" w:rsidP="009971D6">
            <w:pPr>
              <w:pStyle w:val="aa"/>
              <w:spacing w:line="240" w:lineRule="auto"/>
              <w:ind w:left="32" w:firstLine="0"/>
              <w:rPr>
                <w:sz w:val="26"/>
                <w:szCs w:val="26"/>
              </w:rPr>
            </w:pPr>
            <w:r w:rsidRPr="009971D6">
              <w:rPr>
                <w:rFonts w:hint="eastAsia"/>
                <w:b/>
                <w:bCs/>
                <w:sz w:val="26"/>
                <w:szCs w:val="26"/>
              </w:rPr>
              <w:t>E</w:t>
            </w:r>
            <w:r w:rsidRPr="009971D6">
              <w:rPr>
                <w:b/>
                <w:bCs/>
                <w:sz w:val="26"/>
                <w:szCs w:val="26"/>
              </w:rPr>
              <w:t>ligible</w:t>
            </w:r>
            <w:r w:rsidRPr="009971D6">
              <w:rPr>
                <w:rFonts w:hint="eastAsia"/>
                <w:b/>
                <w:bCs/>
                <w:sz w:val="26"/>
                <w:szCs w:val="26"/>
              </w:rPr>
              <w:t xml:space="preserve"> counterparties</w:t>
            </w:r>
          </w:p>
        </w:tc>
        <w:tc>
          <w:tcPr>
            <w:tcW w:w="3780" w:type="dxa"/>
          </w:tcPr>
          <w:p w:rsidR="005A5705" w:rsidRPr="009971D6" w:rsidRDefault="005A5705" w:rsidP="007F75A7">
            <w:pPr>
              <w:pStyle w:val="aa"/>
              <w:numPr>
                <w:ilvl w:val="0"/>
                <w:numId w:val="10"/>
              </w:numPr>
              <w:spacing w:line="360" w:lineRule="exact"/>
              <w:ind w:left="448" w:hanging="357"/>
              <w:rPr>
                <w:sz w:val="26"/>
                <w:szCs w:val="26"/>
              </w:rPr>
            </w:pPr>
            <w:r w:rsidRPr="009971D6">
              <w:rPr>
                <w:rFonts w:hint="eastAsia"/>
                <w:sz w:val="26"/>
                <w:szCs w:val="26"/>
              </w:rPr>
              <w:t>banks</w:t>
            </w:r>
          </w:p>
          <w:p w:rsidR="005A5705" w:rsidRPr="009971D6" w:rsidRDefault="005A5705" w:rsidP="007F75A7">
            <w:pPr>
              <w:pStyle w:val="aa"/>
              <w:numPr>
                <w:ilvl w:val="0"/>
                <w:numId w:val="10"/>
              </w:numPr>
              <w:spacing w:line="360" w:lineRule="exact"/>
              <w:ind w:left="448" w:hanging="357"/>
              <w:rPr>
                <w:sz w:val="26"/>
                <w:szCs w:val="26"/>
              </w:rPr>
            </w:pPr>
            <w:r w:rsidRPr="009971D6">
              <w:rPr>
                <w:rFonts w:hint="eastAsia"/>
                <w:sz w:val="26"/>
                <w:szCs w:val="26"/>
              </w:rPr>
              <w:t>bills finance companies</w:t>
            </w:r>
          </w:p>
          <w:p w:rsidR="005A5705" w:rsidRPr="009971D6" w:rsidRDefault="005A5705" w:rsidP="007F75A7">
            <w:pPr>
              <w:pStyle w:val="aa"/>
              <w:numPr>
                <w:ilvl w:val="0"/>
                <w:numId w:val="10"/>
              </w:numPr>
              <w:spacing w:line="360" w:lineRule="exact"/>
              <w:ind w:left="448" w:hanging="357"/>
              <w:rPr>
                <w:sz w:val="26"/>
                <w:szCs w:val="26"/>
              </w:rPr>
            </w:pPr>
            <w:r w:rsidRPr="009971D6">
              <w:rPr>
                <w:rFonts w:hint="eastAsia"/>
                <w:sz w:val="26"/>
                <w:szCs w:val="26"/>
              </w:rPr>
              <w:t>Chunghwa Post</w:t>
            </w:r>
          </w:p>
          <w:p w:rsidR="005A5705" w:rsidRPr="009971D6" w:rsidRDefault="005A5705" w:rsidP="007F75A7">
            <w:pPr>
              <w:pStyle w:val="aa"/>
              <w:numPr>
                <w:ilvl w:val="0"/>
                <w:numId w:val="10"/>
              </w:numPr>
              <w:spacing w:line="360" w:lineRule="exact"/>
              <w:rPr>
                <w:sz w:val="26"/>
                <w:szCs w:val="26"/>
              </w:rPr>
            </w:pPr>
            <w:r w:rsidRPr="009971D6">
              <w:rPr>
                <w:rFonts w:hint="eastAsia"/>
                <w:sz w:val="26"/>
                <w:szCs w:val="26"/>
              </w:rPr>
              <w:t xml:space="preserve">securities firms </w:t>
            </w:r>
            <w:r>
              <w:rPr>
                <w:rFonts w:hint="eastAsia"/>
                <w:sz w:val="26"/>
                <w:szCs w:val="26"/>
              </w:rPr>
              <w:t>(</w:t>
            </w:r>
            <w:r w:rsidRPr="009971D6">
              <w:rPr>
                <w:rFonts w:hint="eastAsia"/>
                <w:sz w:val="26"/>
                <w:szCs w:val="26"/>
              </w:rPr>
              <w:t xml:space="preserve">that are </w:t>
            </w:r>
            <w:r>
              <w:rPr>
                <w:rFonts w:hint="eastAsia"/>
                <w:sz w:val="26"/>
                <w:szCs w:val="26"/>
              </w:rPr>
              <w:t>d</w:t>
            </w:r>
            <w:r w:rsidRPr="007F75A7">
              <w:rPr>
                <w:sz w:val="26"/>
                <w:szCs w:val="26"/>
              </w:rPr>
              <w:t xml:space="preserve">esignated </w:t>
            </w:r>
            <w:r>
              <w:rPr>
                <w:rFonts w:hint="eastAsia"/>
                <w:sz w:val="26"/>
                <w:szCs w:val="26"/>
              </w:rPr>
              <w:t>d</w:t>
            </w:r>
            <w:r w:rsidRPr="007F75A7">
              <w:rPr>
                <w:sz w:val="26"/>
                <w:szCs w:val="26"/>
              </w:rPr>
              <w:t>ealer</w:t>
            </w:r>
            <w:r>
              <w:rPr>
                <w:rFonts w:hint="eastAsia"/>
                <w:sz w:val="26"/>
                <w:szCs w:val="26"/>
              </w:rPr>
              <w:t>s</w:t>
            </w:r>
            <w:r w:rsidRPr="007F75A7">
              <w:rPr>
                <w:sz w:val="26"/>
                <w:szCs w:val="26"/>
              </w:rPr>
              <w:t xml:space="preserve"> for </w:t>
            </w:r>
            <w:r w:rsidRPr="009971D6">
              <w:rPr>
                <w:rFonts w:hint="eastAsia"/>
                <w:sz w:val="26"/>
                <w:szCs w:val="26"/>
              </w:rPr>
              <w:t>the CBC's</w:t>
            </w:r>
            <w:r w:rsidRPr="007F75A7"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o</w:t>
            </w:r>
            <w:r w:rsidRPr="007F75A7">
              <w:rPr>
                <w:sz w:val="26"/>
                <w:szCs w:val="26"/>
              </w:rPr>
              <w:t xml:space="preserve">pen </w:t>
            </w:r>
            <w:r>
              <w:rPr>
                <w:rFonts w:hint="eastAsia"/>
                <w:sz w:val="26"/>
                <w:szCs w:val="26"/>
              </w:rPr>
              <w:t>m</w:t>
            </w:r>
            <w:r w:rsidRPr="007F75A7">
              <w:rPr>
                <w:sz w:val="26"/>
                <w:szCs w:val="26"/>
              </w:rPr>
              <w:t xml:space="preserve">arket </w:t>
            </w:r>
            <w:r>
              <w:rPr>
                <w:rFonts w:hint="eastAsia"/>
                <w:sz w:val="26"/>
                <w:szCs w:val="26"/>
              </w:rPr>
              <w:t>o</w:t>
            </w:r>
            <w:r w:rsidRPr="007F75A7">
              <w:rPr>
                <w:sz w:val="26"/>
                <w:szCs w:val="26"/>
              </w:rPr>
              <w:t>perations</w:t>
            </w:r>
            <w:r>
              <w:rPr>
                <w:rFonts w:hint="eastAsia"/>
                <w:sz w:val="26"/>
                <w:szCs w:val="26"/>
              </w:rPr>
              <w:t>)</w:t>
            </w:r>
          </w:p>
          <w:p w:rsidR="005A5705" w:rsidRDefault="005A5705" w:rsidP="007F75A7">
            <w:pPr>
              <w:pStyle w:val="aa"/>
              <w:spacing w:beforeLines="25" w:before="90" w:line="360" w:lineRule="exact"/>
              <w:ind w:left="91" w:firstLine="0"/>
              <w:rPr>
                <w:sz w:val="26"/>
                <w:szCs w:val="26"/>
              </w:rPr>
            </w:pPr>
          </w:p>
          <w:p w:rsidR="005A5705" w:rsidRPr="009971D6" w:rsidRDefault="005A5705" w:rsidP="007F75A7">
            <w:pPr>
              <w:pStyle w:val="aa"/>
              <w:spacing w:beforeLines="25" w:before="90" w:line="360" w:lineRule="exact"/>
              <w:ind w:left="91" w:firstLine="0"/>
              <w:rPr>
                <w:sz w:val="26"/>
                <w:szCs w:val="26"/>
              </w:rPr>
            </w:pPr>
            <w:r w:rsidRPr="009971D6"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The above-listed are all eligible to</w:t>
            </w:r>
            <w:r w:rsidRPr="009971D6">
              <w:rPr>
                <w:rFonts w:hint="eastAsia"/>
                <w:sz w:val="26"/>
                <w:szCs w:val="26"/>
              </w:rPr>
              <w:t xml:space="preserve"> conduct repo transactions with the CBC directly</w:t>
            </w:r>
            <w:r>
              <w:rPr>
                <w:rFonts w:hint="eastAsia"/>
                <w:sz w:val="26"/>
                <w:szCs w:val="26"/>
              </w:rPr>
              <w:t>.</w:t>
            </w:r>
            <w:r w:rsidRPr="009971D6"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3840" w:type="dxa"/>
            <w:vAlign w:val="center"/>
          </w:tcPr>
          <w:p w:rsidR="005A5705" w:rsidRPr="009971D6" w:rsidRDefault="005A5705" w:rsidP="009971D6">
            <w:pPr>
              <w:pStyle w:val="aa"/>
              <w:numPr>
                <w:ilvl w:val="0"/>
                <w:numId w:val="11"/>
              </w:numPr>
              <w:spacing w:line="360" w:lineRule="exact"/>
              <w:ind w:left="448" w:hanging="357"/>
              <w:rPr>
                <w:sz w:val="26"/>
                <w:szCs w:val="26"/>
              </w:rPr>
            </w:pPr>
            <w:r w:rsidRPr="009971D6">
              <w:rPr>
                <w:rFonts w:hint="eastAsia"/>
                <w:sz w:val="26"/>
                <w:szCs w:val="26"/>
              </w:rPr>
              <w:t>banks</w:t>
            </w:r>
          </w:p>
          <w:p w:rsidR="005A5705" w:rsidRPr="009971D6" w:rsidRDefault="005A5705" w:rsidP="009971D6">
            <w:pPr>
              <w:pStyle w:val="aa"/>
              <w:numPr>
                <w:ilvl w:val="0"/>
                <w:numId w:val="11"/>
              </w:numPr>
              <w:spacing w:line="360" w:lineRule="exact"/>
              <w:ind w:left="448" w:hanging="357"/>
              <w:rPr>
                <w:sz w:val="26"/>
                <w:szCs w:val="26"/>
              </w:rPr>
            </w:pPr>
            <w:r w:rsidRPr="009971D6">
              <w:rPr>
                <w:rFonts w:hint="eastAsia"/>
                <w:sz w:val="26"/>
                <w:szCs w:val="26"/>
              </w:rPr>
              <w:t>bill finance companies</w:t>
            </w:r>
          </w:p>
          <w:p w:rsidR="005A5705" w:rsidRPr="009971D6" w:rsidRDefault="005A5705" w:rsidP="009971D6">
            <w:pPr>
              <w:pStyle w:val="aa"/>
              <w:numPr>
                <w:ilvl w:val="0"/>
                <w:numId w:val="11"/>
              </w:numPr>
              <w:spacing w:line="360" w:lineRule="exact"/>
              <w:ind w:left="448" w:hanging="357"/>
              <w:rPr>
                <w:sz w:val="26"/>
                <w:szCs w:val="26"/>
              </w:rPr>
            </w:pPr>
            <w:r w:rsidRPr="009971D6">
              <w:rPr>
                <w:rFonts w:hint="eastAsia"/>
                <w:sz w:val="26"/>
                <w:szCs w:val="26"/>
              </w:rPr>
              <w:t>Chunghwa Post</w:t>
            </w:r>
          </w:p>
          <w:p w:rsidR="005A5705" w:rsidRPr="009971D6" w:rsidRDefault="005A5705" w:rsidP="009971D6">
            <w:pPr>
              <w:pStyle w:val="aa"/>
              <w:numPr>
                <w:ilvl w:val="0"/>
                <w:numId w:val="11"/>
              </w:numPr>
              <w:spacing w:line="360" w:lineRule="exact"/>
              <w:ind w:left="448" w:hanging="357"/>
              <w:rPr>
                <w:sz w:val="26"/>
                <w:szCs w:val="26"/>
              </w:rPr>
            </w:pPr>
            <w:r w:rsidRPr="009971D6">
              <w:rPr>
                <w:rFonts w:hint="eastAsia"/>
                <w:bCs/>
                <w:sz w:val="26"/>
                <w:szCs w:val="26"/>
              </w:rPr>
              <w:t>securities firms</w:t>
            </w:r>
          </w:p>
          <w:p w:rsidR="005A5705" w:rsidRPr="009971D6" w:rsidRDefault="005A5705" w:rsidP="009971D6">
            <w:pPr>
              <w:pStyle w:val="aa"/>
              <w:numPr>
                <w:ilvl w:val="0"/>
                <w:numId w:val="11"/>
              </w:numPr>
              <w:spacing w:line="360" w:lineRule="exact"/>
              <w:ind w:left="448" w:hanging="357"/>
              <w:rPr>
                <w:sz w:val="26"/>
                <w:szCs w:val="26"/>
              </w:rPr>
            </w:pPr>
            <w:r w:rsidRPr="009971D6">
              <w:rPr>
                <w:rFonts w:hint="eastAsia"/>
                <w:bCs/>
                <w:sz w:val="26"/>
                <w:szCs w:val="26"/>
              </w:rPr>
              <w:t>insurance companies</w:t>
            </w:r>
          </w:p>
          <w:p w:rsidR="005A5705" w:rsidRDefault="005A5705" w:rsidP="007F75A7">
            <w:pPr>
              <w:pStyle w:val="aa"/>
              <w:spacing w:beforeLines="25" w:before="90" w:line="360" w:lineRule="exact"/>
              <w:ind w:left="91" w:firstLine="0"/>
              <w:rPr>
                <w:sz w:val="26"/>
                <w:szCs w:val="26"/>
              </w:rPr>
            </w:pPr>
          </w:p>
          <w:p w:rsidR="005A5705" w:rsidRPr="009971D6" w:rsidRDefault="005A5705" w:rsidP="007F75A7">
            <w:pPr>
              <w:pStyle w:val="aa"/>
              <w:spacing w:beforeLines="25" w:before="90" w:line="360" w:lineRule="exact"/>
              <w:ind w:left="91" w:firstLine="0"/>
              <w:rPr>
                <w:sz w:val="26"/>
                <w:szCs w:val="26"/>
              </w:rPr>
            </w:pPr>
            <w:r w:rsidRPr="009971D6"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For s</w:t>
            </w:r>
            <w:r w:rsidRPr="009971D6">
              <w:rPr>
                <w:rFonts w:hint="eastAsia"/>
                <w:sz w:val="26"/>
                <w:szCs w:val="26"/>
              </w:rPr>
              <w:t xml:space="preserve">ecurities firms that are not </w:t>
            </w:r>
            <w:r>
              <w:rPr>
                <w:rFonts w:hint="eastAsia"/>
                <w:sz w:val="26"/>
                <w:szCs w:val="26"/>
              </w:rPr>
              <w:t>designated</w:t>
            </w:r>
            <w:r w:rsidRPr="009971D6"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OMO </w:t>
            </w:r>
            <w:r w:rsidRPr="009971D6">
              <w:rPr>
                <w:rFonts w:hint="eastAsia"/>
                <w:sz w:val="26"/>
                <w:szCs w:val="26"/>
              </w:rPr>
              <w:t>dealers</w:t>
            </w:r>
            <w:r>
              <w:rPr>
                <w:rFonts w:hint="eastAsia"/>
                <w:sz w:val="26"/>
                <w:szCs w:val="26"/>
              </w:rPr>
              <w:t>,</w:t>
            </w:r>
            <w:r w:rsidRPr="009971D6">
              <w:rPr>
                <w:rFonts w:hint="eastAsia"/>
                <w:sz w:val="26"/>
                <w:szCs w:val="26"/>
              </w:rPr>
              <w:t xml:space="preserve"> and </w:t>
            </w:r>
            <w:r>
              <w:rPr>
                <w:rFonts w:hint="eastAsia"/>
                <w:sz w:val="26"/>
                <w:szCs w:val="26"/>
              </w:rPr>
              <w:t xml:space="preserve">for </w:t>
            </w:r>
            <w:r w:rsidRPr="009971D6">
              <w:rPr>
                <w:rFonts w:hint="eastAsia"/>
                <w:sz w:val="26"/>
                <w:szCs w:val="26"/>
              </w:rPr>
              <w:t>insurance companies</w:t>
            </w:r>
            <w:r>
              <w:rPr>
                <w:rFonts w:hint="eastAsia"/>
                <w:sz w:val="26"/>
                <w:szCs w:val="26"/>
              </w:rPr>
              <w:t>, they</w:t>
            </w:r>
            <w:r w:rsidRPr="009971D6">
              <w:rPr>
                <w:rFonts w:hint="eastAsia"/>
                <w:sz w:val="26"/>
                <w:szCs w:val="26"/>
              </w:rPr>
              <w:t xml:space="preserve"> may conduct repo transactions with the CBC through </w:t>
            </w:r>
            <w:r>
              <w:rPr>
                <w:rFonts w:hint="eastAsia"/>
                <w:sz w:val="26"/>
                <w:szCs w:val="26"/>
              </w:rPr>
              <w:t xml:space="preserve">a designated </w:t>
            </w:r>
            <w:r w:rsidRPr="009971D6">
              <w:rPr>
                <w:rFonts w:hint="eastAsia"/>
                <w:sz w:val="26"/>
                <w:szCs w:val="26"/>
              </w:rPr>
              <w:t>dealer</w:t>
            </w:r>
            <w:r>
              <w:rPr>
                <w:rFonts w:hint="eastAsia"/>
                <w:sz w:val="26"/>
                <w:szCs w:val="26"/>
              </w:rPr>
              <w:t>; the rest of the above-listed may conduct repo transactions with the CBC directly.</w:t>
            </w:r>
            <w:r w:rsidRPr="009971D6"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5A5705" w:rsidRPr="009971D6" w:rsidTr="009971D6">
        <w:trPr>
          <w:cantSplit/>
          <w:trHeight w:val="635"/>
        </w:trPr>
        <w:tc>
          <w:tcPr>
            <w:tcW w:w="1860" w:type="dxa"/>
            <w:vAlign w:val="center"/>
          </w:tcPr>
          <w:p w:rsidR="005A5705" w:rsidRPr="009971D6" w:rsidRDefault="005A5705" w:rsidP="002C3B06">
            <w:pPr>
              <w:pStyle w:val="aa"/>
              <w:spacing w:line="240" w:lineRule="auto"/>
              <w:ind w:left="32" w:firstLine="0"/>
              <w:rPr>
                <w:b/>
                <w:bCs/>
                <w:sz w:val="26"/>
                <w:szCs w:val="26"/>
              </w:rPr>
            </w:pPr>
            <w:r w:rsidRPr="009971D6">
              <w:rPr>
                <w:rFonts w:hint="eastAsia"/>
                <w:b/>
                <w:bCs/>
                <w:sz w:val="26"/>
                <w:szCs w:val="26"/>
              </w:rPr>
              <w:t>Te</w:t>
            </w:r>
            <w:r>
              <w:rPr>
                <w:rFonts w:hint="eastAsia"/>
                <w:b/>
                <w:bCs/>
                <w:sz w:val="26"/>
                <w:szCs w:val="26"/>
              </w:rPr>
              <w:t>nor</w:t>
            </w:r>
          </w:p>
        </w:tc>
        <w:tc>
          <w:tcPr>
            <w:tcW w:w="3780" w:type="dxa"/>
            <w:vAlign w:val="center"/>
          </w:tcPr>
          <w:p w:rsidR="005A5705" w:rsidRPr="009971D6" w:rsidRDefault="005A5705" w:rsidP="009971D6">
            <w:pPr>
              <w:pStyle w:val="aa"/>
              <w:spacing w:beforeLines="25" w:before="90" w:line="360" w:lineRule="exact"/>
              <w:ind w:left="91" w:firstLine="0"/>
              <w:rPr>
                <w:sz w:val="26"/>
                <w:szCs w:val="26"/>
              </w:rPr>
            </w:pPr>
            <w:r w:rsidRPr="009971D6">
              <w:rPr>
                <w:sz w:val="26"/>
                <w:szCs w:val="26"/>
              </w:rPr>
              <w:t>W</w:t>
            </w:r>
            <w:r w:rsidRPr="009971D6">
              <w:rPr>
                <w:rFonts w:hint="eastAsia"/>
                <w:sz w:val="26"/>
                <w:szCs w:val="26"/>
              </w:rPr>
              <w:t>ithin 30 days</w:t>
            </w:r>
          </w:p>
        </w:tc>
        <w:tc>
          <w:tcPr>
            <w:tcW w:w="3840" w:type="dxa"/>
            <w:vAlign w:val="center"/>
          </w:tcPr>
          <w:p w:rsidR="005A5705" w:rsidRPr="009971D6" w:rsidRDefault="005A5705" w:rsidP="009971D6">
            <w:pPr>
              <w:pStyle w:val="aa"/>
              <w:spacing w:beforeLines="25" w:before="90" w:line="360" w:lineRule="exact"/>
              <w:ind w:left="91" w:firstLine="0"/>
              <w:rPr>
                <w:bCs/>
                <w:sz w:val="26"/>
                <w:szCs w:val="26"/>
              </w:rPr>
            </w:pPr>
            <w:r w:rsidRPr="009971D6">
              <w:rPr>
                <w:sz w:val="26"/>
                <w:szCs w:val="26"/>
              </w:rPr>
              <w:t>W</w:t>
            </w:r>
            <w:r w:rsidRPr="009971D6">
              <w:rPr>
                <w:rFonts w:hint="eastAsia"/>
                <w:sz w:val="26"/>
                <w:szCs w:val="26"/>
              </w:rPr>
              <w:t xml:space="preserve">ithin </w:t>
            </w:r>
            <w:r w:rsidRPr="009971D6">
              <w:rPr>
                <w:rFonts w:hint="eastAsia"/>
                <w:bCs/>
                <w:sz w:val="26"/>
                <w:szCs w:val="26"/>
              </w:rPr>
              <w:t>180 days</w:t>
            </w:r>
          </w:p>
        </w:tc>
      </w:tr>
      <w:tr w:rsidR="005A5705" w:rsidRPr="009971D6" w:rsidTr="009971D6">
        <w:trPr>
          <w:cantSplit/>
          <w:trHeight w:val="1606"/>
        </w:trPr>
        <w:tc>
          <w:tcPr>
            <w:tcW w:w="1860" w:type="dxa"/>
            <w:vAlign w:val="center"/>
          </w:tcPr>
          <w:p w:rsidR="005A5705" w:rsidRPr="009971D6" w:rsidRDefault="005A5705" w:rsidP="009971D6">
            <w:pPr>
              <w:pStyle w:val="aa"/>
              <w:spacing w:line="240" w:lineRule="auto"/>
              <w:ind w:left="32" w:firstLine="0"/>
              <w:rPr>
                <w:b/>
                <w:bCs/>
                <w:sz w:val="26"/>
                <w:szCs w:val="26"/>
              </w:rPr>
            </w:pPr>
            <w:r w:rsidRPr="009971D6">
              <w:rPr>
                <w:rFonts w:hint="eastAsia"/>
                <w:b/>
                <w:bCs/>
                <w:sz w:val="26"/>
                <w:szCs w:val="26"/>
              </w:rPr>
              <w:lastRenderedPageBreak/>
              <w:t>Rate</w:t>
            </w:r>
          </w:p>
        </w:tc>
        <w:tc>
          <w:tcPr>
            <w:tcW w:w="3780" w:type="dxa"/>
            <w:vAlign w:val="center"/>
          </w:tcPr>
          <w:p w:rsidR="005A5705" w:rsidRPr="009971D6" w:rsidRDefault="005A5705" w:rsidP="009971D6">
            <w:pPr>
              <w:pStyle w:val="aa"/>
              <w:spacing w:beforeLines="25" w:before="90" w:line="360" w:lineRule="exact"/>
              <w:ind w:left="91" w:firstLine="0"/>
              <w:rPr>
                <w:sz w:val="26"/>
                <w:szCs w:val="26"/>
              </w:rPr>
            </w:pPr>
            <w:r w:rsidRPr="009971D6">
              <w:rPr>
                <w:sz w:val="26"/>
                <w:szCs w:val="26"/>
              </w:rPr>
              <w:t>V</w:t>
            </w:r>
            <w:r w:rsidRPr="009971D6">
              <w:rPr>
                <w:rFonts w:hint="eastAsia"/>
                <w:sz w:val="26"/>
                <w:szCs w:val="26"/>
              </w:rPr>
              <w:t>ariable rates based on market rates and the issuing rates of the CBC's CDs</w:t>
            </w:r>
          </w:p>
        </w:tc>
        <w:tc>
          <w:tcPr>
            <w:tcW w:w="3840" w:type="dxa"/>
            <w:vAlign w:val="center"/>
          </w:tcPr>
          <w:p w:rsidR="005A5705" w:rsidRPr="009971D6" w:rsidRDefault="005A5705" w:rsidP="009971D6">
            <w:pPr>
              <w:pStyle w:val="aa"/>
              <w:spacing w:beforeLines="25" w:before="90" w:line="360" w:lineRule="exact"/>
              <w:ind w:left="91" w:firstLine="0"/>
              <w:rPr>
                <w:sz w:val="26"/>
                <w:szCs w:val="26"/>
              </w:rPr>
            </w:pPr>
            <w:r w:rsidRPr="009971D6">
              <w:rPr>
                <w:sz w:val="26"/>
                <w:szCs w:val="26"/>
              </w:rPr>
              <w:t>V</w:t>
            </w:r>
            <w:r w:rsidRPr="009971D6">
              <w:rPr>
                <w:rFonts w:hint="eastAsia"/>
                <w:sz w:val="26"/>
                <w:szCs w:val="26"/>
              </w:rPr>
              <w:t>ariable rates based on market rates and the issuing rates of the CBC's CDs</w:t>
            </w:r>
          </w:p>
        </w:tc>
      </w:tr>
      <w:tr w:rsidR="005A5705" w:rsidRPr="009971D6" w:rsidTr="009971D6">
        <w:trPr>
          <w:cantSplit/>
          <w:trHeight w:val="1703"/>
        </w:trPr>
        <w:tc>
          <w:tcPr>
            <w:tcW w:w="1860" w:type="dxa"/>
            <w:vAlign w:val="center"/>
          </w:tcPr>
          <w:p w:rsidR="005A5705" w:rsidRPr="009971D6" w:rsidRDefault="005A5705" w:rsidP="002C3B06">
            <w:pPr>
              <w:pStyle w:val="aa"/>
              <w:spacing w:line="240" w:lineRule="auto"/>
              <w:ind w:left="32" w:firstLine="0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Eligible c</w:t>
            </w:r>
            <w:r w:rsidRPr="009971D6">
              <w:rPr>
                <w:rFonts w:hint="eastAsia"/>
                <w:b/>
                <w:bCs/>
                <w:sz w:val="26"/>
                <w:szCs w:val="26"/>
              </w:rPr>
              <w:t>ollateral</w:t>
            </w:r>
          </w:p>
        </w:tc>
        <w:tc>
          <w:tcPr>
            <w:tcW w:w="3780" w:type="dxa"/>
            <w:vAlign w:val="center"/>
          </w:tcPr>
          <w:p w:rsidR="005A5705" w:rsidRPr="009971D6" w:rsidRDefault="005A5705" w:rsidP="009971D6">
            <w:pPr>
              <w:pStyle w:val="aa"/>
              <w:spacing w:beforeLines="25" w:before="90" w:line="360" w:lineRule="exact"/>
              <w:ind w:left="91" w:firstLine="0"/>
              <w:rPr>
                <w:bCs/>
                <w:sz w:val="26"/>
                <w:szCs w:val="26"/>
              </w:rPr>
            </w:pPr>
            <w:r w:rsidRPr="009971D6">
              <w:rPr>
                <w:rFonts w:hint="eastAsia"/>
                <w:sz w:val="26"/>
                <w:szCs w:val="26"/>
              </w:rPr>
              <w:t xml:space="preserve">As stipulated in Articles 26 and 27 of </w:t>
            </w:r>
            <w:r w:rsidRPr="009971D6">
              <w:rPr>
                <w:rFonts w:hint="eastAsia"/>
                <w:i/>
                <w:sz w:val="26"/>
                <w:szCs w:val="26"/>
              </w:rPr>
              <w:t>The Central Bank Act</w:t>
            </w:r>
            <w:r w:rsidRPr="009971D6">
              <w:rPr>
                <w:rFonts w:hint="eastAsia"/>
                <w:sz w:val="26"/>
                <w:szCs w:val="26"/>
              </w:rPr>
              <w:t xml:space="preserve">, but mainly the CBC-issued </w:t>
            </w:r>
            <w:r>
              <w:rPr>
                <w:rFonts w:hint="eastAsia"/>
                <w:sz w:val="26"/>
                <w:szCs w:val="26"/>
              </w:rPr>
              <w:t xml:space="preserve">CDs and </w:t>
            </w:r>
            <w:r w:rsidRPr="009971D6">
              <w:rPr>
                <w:rFonts w:hint="eastAsia"/>
                <w:sz w:val="26"/>
                <w:szCs w:val="26"/>
              </w:rPr>
              <w:t>NCDs and government bonds</w:t>
            </w:r>
          </w:p>
        </w:tc>
        <w:tc>
          <w:tcPr>
            <w:tcW w:w="3840" w:type="dxa"/>
            <w:vAlign w:val="center"/>
          </w:tcPr>
          <w:p w:rsidR="005A5705" w:rsidRPr="009971D6" w:rsidRDefault="005A5705" w:rsidP="009971D6">
            <w:pPr>
              <w:pStyle w:val="aa"/>
              <w:spacing w:beforeLines="25" w:before="90" w:line="360" w:lineRule="exact"/>
              <w:ind w:left="91" w:firstLine="0"/>
              <w:rPr>
                <w:bCs/>
                <w:sz w:val="26"/>
                <w:szCs w:val="26"/>
              </w:rPr>
            </w:pPr>
            <w:r w:rsidRPr="009971D6">
              <w:rPr>
                <w:rFonts w:hint="eastAsia"/>
                <w:sz w:val="26"/>
                <w:szCs w:val="26"/>
              </w:rPr>
              <w:t xml:space="preserve">As stipulated in Articles 26 and 27 of </w:t>
            </w:r>
            <w:r w:rsidRPr="009971D6">
              <w:rPr>
                <w:rFonts w:hint="eastAsia"/>
                <w:i/>
                <w:sz w:val="26"/>
                <w:szCs w:val="26"/>
              </w:rPr>
              <w:t>The Central Bank Act</w:t>
            </w:r>
            <w:r w:rsidRPr="009971D6">
              <w:rPr>
                <w:rFonts w:hint="eastAsia"/>
                <w:sz w:val="26"/>
                <w:szCs w:val="26"/>
              </w:rPr>
              <w:t xml:space="preserve">, but mainly the CBC-issued </w:t>
            </w:r>
            <w:r>
              <w:rPr>
                <w:rFonts w:hint="eastAsia"/>
                <w:sz w:val="26"/>
                <w:szCs w:val="26"/>
              </w:rPr>
              <w:t xml:space="preserve">CDs and </w:t>
            </w:r>
            <w:r w:rsidRPr="009971D6">
              <w:rPr>
                <w:rFonts w:hint="eastAsia"/>
                <w:sz w:val="26"/>
                <w:szCs w:val="26"/>
              </w:rPr>
              <w:t>NCDs and government bonds</w:t>
            </w:r>
          </w:p>
        </w:tc>
      </w:tr>
    </w:tbl>
    <w:p w:rsidR="002D0A62" w:rsidRPr="005A5705" w:rsidRDefault="000057A1" w:rsidP="005A5705">
      <w:pPr>
        <w:pStyle w:val="aa"/>
        <w:spacing w:line="360" w:lineRule="exact"/>
        <w:ind w:leftChars="-1" w:left="567" w:hangingChars="237" w:hanging="569"/>
        <w:rPr>
          <w:rFonts w:ascii="標楷體" w:hAnsi="標楷體"/>
          <w:sz w:val="24"/>
          <w:szCs w:val="28"/>
        </w:rPr>
      </w:pPr>
      <w:r w:rsidRPr="005A5705">
        <w:rPr>
          <w:rFonts w:hint="eastAsia"/>
          <w:sz w:val="24"/>
          <w:szCs w:val="28"/>
        </w:rPr>
        <w:t>Note</w:t>
      </w:r>
      <w:r w:rsidR="002D0A62" w:rsidRPr="005A5705">
        <w:rPr>
          <w:rFonts w:hint="eastAsia"/>
          <w:sz w:val="24"/>
          <w:szCs w:val="28"/>
        </w:rPr>
        <w:t>:</w:t>
      </w:r>
      <w:r w:rsidRPr="005A5705">
        <w:rPr>
          <w:rFonts w:hint="eastAsia"/>
          <w:sz w:val="24"/>
          <w:szCs w:val="28"/>
        </w:rPr>
        <w:t xml:space="preserve"> </w:t>
      </w:r>
      <w:r w:rsidR="005A5705" w:rsidRPr="005A5705">
        <w:rPr>
          <w:rFonts w:hint="eastAsia"/>
          <w:sz w:val="24"/>
          <w:szCs w:val="28"/>
        </w:rPr>
        <w:t xml:space="preserve">In response to the impact of the global financial crisis, the CBC announced on September 26, 2008, that it would broaden the scope of the repo </w:t>
      </w:r>
      <w:r w:rsidR="005A5705" w:rsidRPr="005A5705">
        <w:rPr>
          <w:sz w:val="24"/>
          <w:szCs w:val="28"/>
        </w:rPr>
        <w:t>facility</w:t>
      </w:r>
      <w:r w:rsidR="005A5705" w:rsidRPr="005A5705">
        <w:rPr>
          <w:rFonts w:hint="eastAsia"/>
          <w:sz w:val="24"/>
          <w:szCs w:val="28"/>
        </w:rPr>
        <w:t xml:space="preserve"> to provide sufficient liquidity for financial institutions</w:t>
      </w:r>
      <w:r w:rsidR="002D0A62" w:rsidRPr="005A5705">
        <w:rPr>
          <w:rFonts w:hint="eastAsia"/>
          <w:sz w:val="24"/>
          <w:szCs w:val="28"/>
        </w:rPr>
        <w:t>.</w:t>
      </w:r>
    </w:p>
    <w:sectPr w:rsidR="002D0A62" w:rsidRPr="005A570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F8" w:rsidRDefault="00571EF8">
      <w:r>
        <w:separator/>
      </w:r>
    </w:p>
  </w:endnote>
  <w:endnote w:type="continuationSeparator" w:id="0">
    <w:p w:rsidR="00571EF8" w:rsidRDefault="0057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686" w:rsidRDefault="002D0A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56686" w:rsidRDefault="0015668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686" w:rsidRDefault="002D0A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3182">
      <w:rPr>
        <w:rStyle w:val="a5"/>
        <w:noProof/>
      </w:rPr>
      <w:t>1</w:t>
    </w:r>
    <w:r>
      <w:rPr>
        <w:rStyle w:val="a5"/>
      </w:rPr>
      <w:fldChar w:fldCharType="end"/>
    </w:r>
  </w:p>
  <w:p w:rsidR="00156686" w:rsidRDefault="001566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F8" w:rsidRDefault="00571EF8">
      <w:r>
        <w:separator/>
      </w:r>
    </w:p>
  </w:footnote>
  <w:footnote w:type="continuationSeparator" w:id="0">
    <w:p w:rsidR="00571EF8" w:rsidRDefault="00571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A02C2"/>
    <w:multiLevelType w:val="hybridMultilevel"/>
    <w:tmpl w:val="AB02ECE8"/>
    <w:lvl w:ilvl="0" w:tplc="2D325AD2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1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CD43454"/>
    <w:multiLevelType w:val="hybridMultilevel"/>
    <w:tmpl w:val="66E8334E"/>
    <w:lvl w:ilvl="0" w:tplc="179E5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4">
    <w:nsid w:val="2CB7161B"/>
    <w:multiLevelType w:val="hybridMultilevel"/>
    <w:tmpl w:val="93FA5D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1867DD4"/>
    <w:multiLevelType w:val="hybridMultilevel"/>
    <w:tmpl w:val="F1FC1A0E"/>
    <w:lvl w:ilvl="0" w:tplc="0409000F">
      <w:start w:val="1"/>
      <w:numFmt w:val="decimal"/>
      <w:lvlText w:val="%1."/>
      <w:lvlJc w:val="left"/>
      <w:pPr>
        <w:ind w:left="5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6">
    <w:nsid w:val="427F5092"/>
    <w:multiLevelType w:val="hybridMultilevel"/>
    <w:tmpl w:val="CE60F2C4"/>
    <w:lvl w:ilvl="0" w:tplc="9C5CE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35D182A"/>
    <w:multiLevelType w:val="hybridMultilevel"/>
    <w:tmpl w:val="587ADD76"/>
    <w:lvl w:ilvl="0" w:tplc="28EC44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14F086D"/>
    <w:multiLevelType w:val="hybridMultilevel"/>
    <w:tmpl w:val="D7348FC2"/>
    <w:lvl w:ilvl="0" w:tplc="179E5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CFC7611"/>
    <w:multiLevelType w:val="hybridMultilevel"/>
    <w:tmpl w:val="A764590A"/>
    <w:lvl w:ilvl="0" w:tplc="22E28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1B45EC7"/>
    <w:multiLevelType w:val="hybridMultilevel"/>
    <w:tmpl w:val="242AAF20"/>
    <w:lvl w:ilvl="0" w:tplc="B008C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4454A8C"/>
    <w:multiLevelType w:val="hybridMultilevel"/>
    <w:tmpl w:val="A8925BE8"/>
    <w:lvl w:ilvl="0" w:tplc="28EC44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B635B1A"/>
    <w:multiLevelType w:val="hybridMultilevel"/>
    <w:tmpl w:val="614E778A"/>
    <w:lvl w:ilvl="0" w:tplc="270070B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C6B59C">
      <w:start w:val="1"/>
      <w:numFmt w:val="decimal"/>
      <w:lvlText w:val="%2."/>
      <w:lvlJc w:val="left"/>
      <w:pPr>
        <w:tabs>
          <w:tab w:val="num" w:pos="930"/>
        </w:tabs>
        <w:ind w:left="930" w:hanging="45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2"/>
  </w:num>
  <w:num w:numId="9">
    <w:abstractNumId w:val="9"/>
  </w:num>
  <w:num w:numId="10">
    <w:abstractNumId w:val="3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70"/>
    <w:rsid w:val="000057A1"/>
    <w:rsid w:val="00156686"/>
    <w:rsid w:val="002C3B06"/>
    <w:rsid w:val="002D0A62"/>
    <w:rsid w:val="004B546C"/>
    <w:rsid w:val="00533182"/>
    <w:rsid w:val="00571EF8"/>
    <w:rsid w:val="005A5705"/>
    <w:rsid w:val="005E627E"/>
    <w:rsid w:val="006D451B"/>
    <w:rsid w:val="007C1EA3"/>
    <w:rsid w:val="007F75A7"/>
    <w:rsid w:val="009971D6"/>
    <w:rsid w:val="00A41170"/>
    <w:rsid w:val="00D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adjustRightInd w:val="0"/>
      <w:spacing w:before="360" w:after="360"/>
      <w:textAlignment w:val="baseline"/>
      <w:outlineLvl w:val="0"/>
    </w:pPr>
    <w:rPr>
      <w:rFonts w:ascii="細明體" w:eastAsia="細明體"/>
      <w:b/>
      <w:kern w:val="0"/>
      <w:sz w:val="60"/>
      <w:szCs w:val="20"/>
    </w:rPr>
  </w:style>
  <w:style w:type="paragraph" w:styleId="3">
    <w:name w:val="heading 3"/>
    <w:basedOn w:val="a"/>
    <w:next w:val="a"/>
    <w:qFormat/>
    <w:pPr>
      <w:keepNext/>
      <w:pBdr>
        <w:top w:val="double" w:sz="4" w:space="1" w:color="auto"/>
        <w:bottom w:val="double" w:sz="4" w:space="1" w:color="auto"/>
      </w:pBdr>
      <w:adjustRightInd w:val="0"/>
      <w:spacing w:line="460" w:lineRule="exact"/>
      <w:jc w:val="both"/>
      <w:textAlignment w:val="baseline"/>
      <w:outlineLvl w:val="2"/>
    </w:pPr>
    <w:rPr>
      <w:rFonts w:eastAsia="標楷體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character" w:styleId="a6">
    <w:name w:val="annotation reference"/>
    <w:basedOn w:val="a0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a">
    <w:name w:val="說明"/>
    <w:basedOn w:val="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  <w:textAlignment w:val="center"/>
    </w:pPr>
    <w:rPr>
      <w:rFonts w:eastAsia="標楷體"/>
      <w:kern w:val="0"/>
      <w:sz w:val="32"/>
      <w:szCs w:val="32"/>
    </w:rPr>
  </w:style>
  <w:style w:type="character" w:styleId="ab">
    <w:name w:val="Hyperlink"/>
    <w:basedOn w:val="a0"/>
    <w:semiHidden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7F7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7F75A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adjustRightInd w:val="0"/>
      <w:spacing w:before="360" w:after="360"/>
      <w:textAlignment w:val="baseline"/>
      <w:outlineLvl w:val="0"/>
    </w:pPr>
    <w:rPr>
      <w:rFonts w:ascii="細明體" w:eastAsia="細明體"/>
      <w:b/>
      <w:kern w:val="0"/>
      <w:sz w:val="60"/>
      <w:szCs w:val="20"/>
    </w:rPr>
  </w:style>
  <w:style w:type="paragraph" w:styleId="3">
    <w:name w:val="heading 3"/>
    <w:basedOn w:val="a"/>
    <w:next w:val="a"/>
    <w:qFormat/>
    <w:pPr>
      <w:keepNext/>
      <w:pBdr>
        <w:top w:val="double" w:sz="4" w:space="1" w:color="auto"/>
        <w:bottom w:val="double" w:sz="4" w:space="1" w:color="auto"/>
      </w:pBdr>
      <w:adjustRightInd w:val="0"/>
      <w:spacing w:line="460" w:lineRule="exact"/>
      <w:jc w:val="both"/>
      <w:textAlignment w:val="baseline"/>
      <w:outlineLvl w:val="2"/>
    </w:pPr>
    <w:rPr>
      <w:rFonts w:eastAsia="標楷體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character" w:styleId="a6">
    <w:name w:val="annotation reference"/>
    <w:basedOn w:val="a0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a">
    <w:name w:val="說明"/>
    <w:basedOn w:val="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  <w:textAlignment w:val="center"/>
    </w:pPr>
    <w:rPr>
      <w:rFonts w:eastAsia="標楷體"/>
      <w:kern w:val="0"/>
      <w:sz w:val="32"/>
      <w:szCs w:val="32"/>
    </w:rPr>
  </w:style>
  <w:style w:type="character" w:styleId="ab">
    <w:name w:val="Hyperlink"/>
    <w:basedOn w:val="a0"/>
    <w:semiHidden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7F7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7F75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Monetary Policy Decisions of the Board Meeting</dc:title>
  <dc:creator>user</dc:creator>
  <cp:lastModifiedBy>李佳盈</cp:lastModifiedBy>
  <cp:revision>2</cp:revision>
  <cp:lastPrinted>2008-09-25T10:52:00Z</cp:lastPrinted>
  <dcterms:created xsi:type="dcterms:W3CDTF">2020-03-19T10:53:00Z</dcterms:created>
  <dcterms:modified xsi:type="dcterms:W3CDTF">2020-03-19T10:53:00Z</dcterms:modified>
</cp:coreProperties>
</file>