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2D541E">
      <w:pPr>
        <w:tabs>
          <w:tab w:val="left" w:pos="8609"/>
        </w:tabs>
        <w:spacing w:before="100" w:line="640" w:lineRule="exact"/>
        <w:ind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201846"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hint="eastAsia"/>
          <w:spacing w:val="-24"/>
          <w:sz w:val="40"/>
          <w:szCs w:val="48"/>
        </w:rPr>
        <w:t>June</w:t>
      </w:r>
      <w:r w:rsidR="00181D76" w:rsidRPr="007F6F77">
        <w:rPr>
          <w:rFonts w:eastAsia="標楷體" w:hint="eastAsia"/>
          <w:spacing w:val="-24"/>
          <w:sz w:val="40"/>
          <w:szCs w:val="48"/>
        </w:rPr>
        <w:t xml:space="preserve"> 2</w:t>
      </w:r>
      <w:r>
        <w:rPr>
          <w:rFonts w:eastAsia="標楷體" w:hint="eastAsia"/>
          <w:spacing w:val="-24"/>
          <w:sz w:val="40"/>
          <w:szCs w:val="48"/>
        </w:rPr>
        <w:t>0</w:t>
      </w:r>
      <w:r w:rsidR="002D541E">
        <w:rPr>
          <w:rFonts w:eastAsia="標楷體" w:hint="eastAsia"/>
          <w:spacing w:val="-24"/>
          <w:sz w:val="40"/>
          <w:szCs w:val="48"/>
        </w:rPr>
        <w:t>, 2019</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proofErr w:type="gramStart"/>
      <w:r w:rsidRPr="007F6F77">
        <w:rPr>
          <w:rFonts w:eastAsia="標楷體"/>
          <w:b/>
          <w:sz w:val="28"/>
          <w:szCs w:val="28"/>
        </w:rPr>
        <w:t>the</w:t>
      </w:r>
      <w:proofErr w:type="gramEnd"/>
      <w:r w:rsidRPr="007F6F77">
        <w:rPr>
          <w:rFonts w:eastAsia="標楷體"/>
          <w:b/>
          <w:sz w:val="28"/>
          <w:szCs w:val="28"/>
        </w:rPr>
        <w:t xml:space="preserve"> Board of Supervisors on</w:t>
      </w:r>
      <w:r w:rsidR="00C41905" w:rsidRPr="007F6F77">
        <w:rPr>
          <w:rFonts w:eastAsia="標楷體" w:hint="eastAsia"/>
          <w:b/>
          <w:sz w:val="28"/>
          <w:szCs w:val="28"/>
        </w:rPr>
        <w:t xml:space="preserve"> </w:t>
      </w:r>
      <w:r w:rsidR="00B243CE">
        <w:rPr>
          <w:rFonts w:eastAsia="標楷體" w:hint="eastAsia"/>
          <w:b/>
          <w:sz w:val="28"/>
          <w:szCs w:val="28"/>
        </w:rPr>
        <w:t>June</w:t>
      </w:r>
      <w:r w:rsidRPr="007F6F77">
        <w:rPr>
          <w:rFonts w:eastAsia="標楷體"/>
          <w:b/>
          <w:sz w:val="28"/>
          <w:szCs w:val="28"/>
        </w:rPr>
        <w:t xml:space="preserve"> 2</w:t>
      </w:r>
      <w:r w:rsidR="00B243CE">
        <w:rPr>
          <w:rFonts w:eastAsia="標楷體" w:hint="eastAsia"/>
          <w:b/>
          <w:sz w:val="28"/>
          <w:szCs w:val="28"/>
        </w:rPr>
        <w:t>0</w:t>
      </w:r>
      <w:r w:rsidR="008C284D" w:rsidRPr="007F6F77">
        <w:rPr>
          <w:rFonts w:eastAsia="標楷體"/>
          <w:b/>
          <w:sz w:val="28"/>
          <w:szCs w:val="28"/>
        </w:rPr>
        <w:t>, 201</w:t>
      </w:r>
      <w:r w:rsidR="002D541E">
        <w:rPr>
          <w:rFonts w:eastAsia="標楷體" w:hint="eastAsia"/>
          <w:b/>
          <w:sz w:val="28"/>
          <w:szCs w:val="28"/>
        </w:rPr>
        <w:t>9</w:t>
      </w:r>
    </w:p>
    <w:p w:rsidR="00363599" w:rsidRPr="00B243CE" w:rsidRDefault="00363599" w:rsidP="007A2BCD">
      <w:pPr>
        <w:spacing w:beforeLines="50" w:before="120" w:line="440" w:lineRule="exact"/>
        <w:jc w:val="both"/>
        <w:textDirection w:val="lrTbV"/>
        <w:rPr>
          <w:rFonts w:eastAsia="標楷體"/>
          <w:sz w:val="24"/>
          <w:szCs w:val="24"/>
        </w:rPr>
      </w:pPr>
      <w:r w:rsidRPr="00B243CE">
        <w:rPr>
          <w:rFonts w:eastAsia="標楷體" w:hint="eastAsia"/>
          <w:b/>
          <w:sz w:val="24"/>
          <w:szCs w:val="24"/>
        </w:rPr>
        <w:t>Date and Time</w:t>
      </w:r>
      <w:r w:rsidRPr="00B243CE">
        <w:rPr>
          <w:rFonts w:eastAsia="標楷體" w:hint="eastAsia"/>
          <w:sz w:val="24"/>
          <w:szCs w:val="24"/>
        </w:rPr>
        <w:t xml:space="preserve">: </w:t>
      </w:r>
      <w:r w:rsidR="006E57D4" w:rsidRPr="00B243CE">
        <w:rPr>
          <w:rFonts w:eastAsia="標楷體" w:hint="eastAsia"/>
          <w:sz w:val="24"/>
          <w:szCs w:val="24"/>
        </w:rPr>
        <w:t>June</w:t>
      </w:r>
      <w:r w:rsidRPr="00B243CE">
        <w:rPr>
          <w:rFonts w:eastAsia="標楷體" w:hint="eastAsia"/>
          <w:sz w:val="24"/>
          <w:szCs w:val="24"/>
        </w:rPr>
        <w:t xml:space="preserve"> 2</w:t>
      </w:r>
      <w:r w:rsidR="006E57D4" w:rsidRPr="00B243CE">
        <w:rPr>
          <w:rFonts w:eastAsia="標楷體" w:hint="eastAsia"/>
          <w:sz w:val="24"/>
          <w:szCs w:val="24"/>
        </w:rPr>
        <w:t>0</w:t>
      </w:r>
      <w:r w:rsidRPr="00B243CE">
        <w:rPr>
          <w:rFonts w:eastAsia="標楷體" w:hint="eastAsia"/>
          <w:sz w:val="24"/>
          <w:szCs w:val="24"/>
        </w:rPr>
        <w:t>, 201</w:t>
      </w:r>
      <w:r w:rsidR="002D541E" w:rsidRPr="00B243CE">
        <w:rPr>
          <w:rFonts w:eastAsia="標楷體" w:hint="eastAsia"/>
          <w:sz w:val="24"/>
          <w:szCs w:val="24"/>
        </w:rPr>
        <w:t>9</w:t>
      </w:r>
      <w:r w:rsidRPr="00B243CE">
        <w:rPr>
          <w:rFonts w:eastAsia="標楷體" w:hint="eastAsia"/>
          <w:sz w:val="24"/>
          <w:szCs w:val="24"/>
        </w:rPr>
        <w:t xml:space="preserve">, at </w:t>
      </w:r>
      <w:r w:rsidR="008C284D" w:rsidRPr="00B243CE">
        <w:rPr>
          <w:rFonts w:eastAsia="標楷體" w:hint="eastAsia"/>
          <w:sz w:val="24"/>
          <w:szCs w:val="24"/>
        </w:rPr>
        <w:t>2</w:t>
      </w:r>
      <w:r w:rsidR="001F7BDB" w:rsidRPr="00B243CE">
        <w:rPr>
          <w:rFonts w:eastAsia="標楷體" w:hint="eastAsia"/>
          <w:sz w:val="24"/>
          <w:szCs w:val="24"/>
        </w:rPr>
        <w:t>:</w:t>
      </w:r>
      <w:r w:rsidR="008C284D" w:rsidRPr="00B243CE">
        <w:rPr>
          <w:rFonts w:eastAsia="標楷體" w:hint="eastAsia"/>
          <w:sz w:val="24"/>
          <w:szCs w:val="24"/>
        </w:rPr>
        <w:t>0</w:t>
      </w:r>
      <w:r w:rsidR="001F7BDB" w:rsidRPr="00B243CE">
        <w:rPr>
          <w:rFonts w:eastAsia="標楷體" w:hint="eastAsia"/>
          <w:sz w:val="24"/>
          <w:szCs w:val="24"/>
        </w:rPr>
        <w:t>0</w:t>
      </w:r>
      <w:r w:rsidRPr="00B243CE">
        <w:rPr>
          <w:rFonts w:eastAsia="標楷體" w:hint="eastAsia"/>
          <w:sz w:val="24"/>
          <w:szCs w:val="24"/>
        </w:rPr>
        <w:t xml:space="preserve"> p.m.</w:t>
      </w:r>
    </w:p>
    <w:p w:rsidR="00363599" w:rsidRPr="00B243CE" w:rsidRDefault="00363599" w:rsidP="00E972E3">
      <w:pPr>
        <w:spacing w:beforeLines="50" w:before="120" w:line="440" w:lineRule="exact"/>
        <w:ind w:left="745" w:hangingChars="310" w:hanging="745"/>
        <w:jc w:val="both"/>
        <w:textDirection w:val="lrTbV"/>
        <w:rPr>
          <w:rFonts w:eastAsia="標楷體"/>
          <w:sz w:val="24"/>
          <w:szCs w:val="24"/>
        </w:rPr>
      </w:pPr>
      <w:r w:rsidRPr="00B243CE">
        <w:rPr>
          <w:rFonts w:eastAsia="標楷體" w:hint="eastAsia"/>
          <w:b/>
          <w:sz w:val="24"/>
          <w:szCs w:val="24"/>
        </w:rPr>
        <w:t>Location:</w:t>
      </w:r>
      <w:r w:rsidRPr="00B243CE">
        <w:rPr>
          <w:rFonts w:eastAsia="標楷體" w:hint="eastAsia"/>
          <w:sz w:val="24"/>
          <w:szCs w:val="24"/>
        </w:rPr>
        <w:t xml:space="preserve"> Room A606, Main Building, </w:t>
      </w:r>
      <w:r w:rsidRPr="00B243CE">
        <w:rPr>
          <w:rFonts w:eastAsia="標楷體"/>
          <w:sz w:val="24"/>
          <w:szCs w:val="24"/>
        </w:rPr>
        <w:t>Central Bank of the R.O.C. (Taiwan)</w:t>
      </w:r>
    </w:p>
    <w:p w:rsidR="00363599" w:rsidRPr="00B243CE" w:rsidRDefault="00363599" w:rsidP="007A2BCD">
      <w:pPr>
        <w:pStyle w:val="31"/>
        <w:spacing w:beforeLines="50" w:before="120" w:line="440" w:lineRule="exact"/>
        <w:textDirection w:val="lrTbV"/>
        <w:rPr>
          <w:rFonts w:eastAsia="標楷體"/>
          <w:sz w:val="24"/>
          <w:szCs w:val="24"/>
        </w:rPr>
      </w:pPr>
      <w:r w:rsidRPr="00B243CE">
        <w:rPr>
          <w:rFonts w:eastAsia="標楷體" w:hint="eastAsia"/>
          <w:b/>
          <w:sz w:val="24"/>
          <w:szCs w:val="24"/>
        </w:rPr>
        <w:t>Members Present:</w:t>
      </w:r>
      <w:r w:rsidRPr="00B243CE">
        <w:rPr>
          <w:rFonts w:eastAsia="標楷體" w:hint="eastAsia"/>
          <w:sz w:val="24"/>
          <w:szCs w:val="24"/>
        </w:rPr>
        <w:t xml:space="preserve"> </w:t>
      </w:r>
    </w:p>
    <w:p w:rsidR="00363599" w:rsidRPr="00B243CE" w:rsidRDefault="00363599" w:rsidP="00642463">
      <w:pPr>
        <w:pStyle w:val="31"/>
        <w:spacing w:line="440" w:lineRule="exact"/>
        <w:ind w:leftChars="200" w:left="400"/>
        <w:textDirection w:val="lrTbV"/>
        <w:rPr>
          <w:rFonts w:eastAsia="標楷體"/>
          <w:sz w:val="24"/>
          <w:szCs w:val="24"/>
        </w:rPr>
      </w:pPr>
      <w:r w:rsidRPr="00B243CE">
        <w:rPr>
          <w:rFonts w:eastAsia="標楷體" w:hint="eastAsia"/>
          <w:b/>
          <w:sz w:val="24"/>
          <w:szCs w:val="24"/>
        </w:rPr>
        <w:t>Chairman, Board of Directors</w:t>
      </w:r>
      <w:r w:rsidRPr="00B243CE">
        <w:rPr>
          <w:rFonts w:eastAsia="標楷體" w:hint="eastAsia"/>
          <w:sz w:val="24"/>
          <w:szCs w:val="24"/>
        </w:rPr>
        <w:t xml:space="preserve">: </w:t>
      </w:r>
      <w:r w:rsidR="008C284D" w:rsidRPr="00B243CE">
        <w:rPr>
          <w:rFonts w:eastAsia="標楷體"/>
          <w:sz w:val="24"/>
          <w:szCs w:val="24"/>
        </w:rPr>
        <w:t>Chin-long Yang</w:t>
      </w:r>
    </w:p>
    <w:p w:rsidR="00B243CE" w:rsidRPr="00B243CE" w:rsidRDefault="008C284D" w:rsidP="00642463">
      <w:pPr>
        <w:pStyle w:val="31"/>
        <w:spacing w:line="440" w:lineRule="exact"/>
        <w:ind w:leftChars="200" w:left="400"/>
        <w:textDirection w:val="lrTbV"/>
        <w:rPr>
          <w:rFonts w:eastAsia="標楷體"/>
          <w:sz w:val="24"/>
          <w:szCs w:val="24"/>
        </w:rPr>
      </w:pPr>
      <w:r w:rsidRPr="00B243CE">
        <w:rPr>
          <w:rFonts w:eastAsia="標楷體" w:hint="eastAsia"/>
          <w:b/>
          <w:sz w:val="24"/>
          <w:szCs w:val="24"/>
        </w:rPr>
        <w:t>Executive Directors</w:t>
      </w:r>
      <w:r w:rsidRPr="00B243CE">
        <w:rPr>
          <w:rFonts w:eastAsia="標楷體" w:hint="eastAsia"/>
          <w:sz w:val="24"/>
          <w:szCs w:val="24"/>
        </w:rPr>
        <w:t xml:space="preserve">: </w:t>
      </w:r>
      <w:r w:rsidR="00B243CE" w:rsidRPr="00B243CE">
        <w:rPr>
          <w:rFonts w:eastAsia="標楷體"/>
          <w:sz w:val="24"/>
          <w:szCs w:val="24"/>
        </w:rPr>
        <w:t>Jain-</w:t>
      </w:r>
      <w:proofErr w:type="spellStart"/>
      <w:r w:rsidR="00B243CE" w:rsidRPr="00B243CE">
        <w:rPr>
          <w:rFonts w:eastAsia="標楷體" w:hint="eastAsia"/>
          <w:sz w:val="24"/>
          <w:szCs w:val="24"/>
        </w:rPr>
        <w:t>r</w:t>
      </w:r>
      <w:r w:rsidR="00B243CE" w:rsidRPr="00B243CE">
        <w:rPr>
          <w:rFonts w:eastAsia="標楷體"/>
          <w:sz w:val="24"/>
          <w:szCs w:val="24"/>
        </w:rPr>
        <w:t>ong</w:t>
      </w:r>
      <w:proofErr w:type="spellEnd"/>
      <w:r w:rsidR="00B243CE" w:rsidRPr="00B243CE">
        <w:rPr>
          <w:rFonts w:eastAsia="標楷體"/>
          <w:sz w:val="24"/>
          <w:szCs w:val="24"/>
        </w:rPr>
        <w:t xml:space="preserve"> Su, Jong-chin Shen, </w:t>
      </w:r>
      <w:proofErr w:type="spellStart"/>
      <w:r w:rsidR="00B243CE" w:rsidRPr="00B243CE">
        <w:rPr>
          <w:rFonts w:eastAsia="標楷體"/>
          <w:sz w:val="24"/>
          <w:szCs w:val="24"/>
        </w:rPr>
        <w:t>Tzung</w:t>
      </w:r>
      <w:proofErr w:type="spellEnd"/>
      <w:r w:rsidR="00B243CE" w:rsidRPr="00B243CE">
        <w:rPr>
          <w:rFonts w:eastAsia="標楷體"/>
          <w:sz w:val="24"/>
          <w:szCs w:val="24"/>
        </w:rPr>
        <w:t>-ta Yen, Nan-</w:t>
      </w:r>
      <w:proofErr w:type="spellStart"/>
      <w:r w:rsidR="00B243CE" w:rsidRPr="00B243CE">
        <w:rPr>
          <w:rFonts w:eastAsia="標楷體"/>
          <w:sz w:val="24"/>
          <w:szCs w:val="24"/>
        </w:rPr>
        <w:t>kuang</w:t>
      </w:r>
      <w:proofErr w:type="spellEnd"/>
      <w:r w:rsidR="00B243CE" w:rsidRPr="00B243CE">
        <w:rPr>
          <w:rFonts w:eastAsia="標楷體"/>
          <w:sz w:val="24"/>
          <w:szCs w:val="24"/>
        </w:rPr>
        <w:t xml:space="preserve"> Chen, </w:t>
      </w:r>
    </w:p>
    <w:p w:rsidR="008C284D" w:rsidRPr="00DA1FFC" w:rsidRDefault="00B243CE" w:rsidP="00B243CE">
      <w:pPr>
        <w:pStyle w:val="31"/>
        <w:spacing w:line="440" w:lineRule="exact"/>
        <w:ind w:leftChars="1089" w:left="2178" w:firstLine="342"/>
        <w:textDirection w:val="lrTbV"/>
        <w:rPr>
          <w:rFonts w:eastAsia="標楷體"/>
          <w:sz w:val="24"/>
          <w:szCs w:val="24"/>
        </w:rPr>
      </w:pPr>
      <w:r w:rsidRPr="00DA1FFC">
        <w:rPr>
          <w:rFonts w:eastAsia="標楷體"/>
          <w:sz w:val="24"/>
          <w:szCs w:val="24"/>
        </w:rPr>
        <w:t>Ming-</w:t>
      </w:r>
      <w:proofErr w:type="spellStart"/>
      <w:r w:rsidRPr="00DA1FFC">
        <w:rPr>
          <w:rFonts w:eastAsia="標楷體"/>
          <w:sz w:val="24"/>
          <w:szCs w:val="24"/>
        </w:rPr>
        <w:t>yih</w:t>
      </w:r>
      <w:proofErr w:type="spellEnd"/>
      <w:r w:rsidRPr="00DA1FFC">
        <w:rPr>
          <w:rFonts w:eastAsia="標楷體"/>
          <w:sz w:val="24"/>
          <w:szCs w:val="24"/>
        </w:rPr>
        <w:t xml:space="preserve"> Liang</w:t>
      </w:r>
      <w:r w:rsidR="008C284D" w:rsidRPr="00DA1FFC">
        <w:rPr>
          <w:rFonts w:eastAsia="標楷體" w:hint="eastAsia"/>
          <w:sz w:val="24"/>
          <w:szCs w:val="24"/>
        </w:rPr>
        <w:t xml:space="preserve"> </w:t>
      </w:r>
    </w:p>
    <w:p w:rsidR="008C284D" w:rsidRPr="00DA1FFC" w:rsidRDefault="008C284D" w:rsidP="007842BF">
      <w:pPr>
        <w:spacing w:line="440" w:lineRule="exact"/>
        <w:ind w:leftChars="200" w:left="1419" w:rightChars="5" w:right="10" w:hangingChars="424" w:hanging="1019"/>
        <w:textDirection w:val="lrTbV"/>
        <w:rPr>
          <w:rFonts w:eastAsia="標楷體"/>
          <w:sz w:val="24"/>
          <w:szCs w:val="24"/>
        </w:rPr>
      </w:pPr>
      <w:r w:rsidRPr="00DA1FFC">
        <w:rPr>
          <w:rFonts w:eastAsia="標楷體" w:hint="eastAsia"/>
          <w:b/>
          <w:sz w:val="24"/>
          <w:szCs w:val="24"/>
        </w:rPr>
        <w:t>Directors</w:t>
      </w:r>
      <w:r w:rsidRPr="00DA1FFC">
        <w:rPr>
          <w:rFonts w:eastAsia="標楷體" w:hint="eastAsia"/>
          <w:sz w:val="24"/>
          <w:szCs w:val="24"/>
        </w:rPr>
        <w:t xml:space="preserve">: </w:t>
      </w:r>
      <w:r w:rsidR="003C3DAA" w:rsidRPr="00DA1FFC">
        <w:rPr>
          <w:rFonts w:eastAsia="標楷體"/>
          <w:sz w:val="24"/>
          <w:szCs w:val="24"/>
        </w:rPr>
        <w:t>Chi-</w:t>
      </w:r>
      <w:proofErr w:type="spellStart"/>
      <w:r w:rsidR="003C3DAA" w:rsidRPr="00DA1FFC">
        <w:rPr>
          <w:rFonts w:eastAsia="標楷體" w:hint="eastAsia"/>
          <w:sz w:val="24"/>
          <w:szCs w:val="24"/>
        </w:rPr>
        <w:t>c</w:t>
      </w:r>
      <w:r w:rsidR="003C3DAA" w:rsidRPr="00DA1FFC">
        <w:rPr>
          <w:rFonts w:eastAsia="標楷體"/>
          <w:sz w:val="24"/>
          <w:szCs w:val="24"/>
        </w:rPr>
        <w:t>hung</w:t>
      </w:r>
      <w:proofErr w:type="spellEnd"/>
      <w:r w:rsidR="003C3DAA" w:rsidRPr="00DA1FFC">
        <w:rPr>
          <w:rFonts w:eastAsia="標楷體"/>
          <w:sz w:val="24"/>
          <w:szCs w:val="24"/>
        </w:rPr>
        <w:t xml:space="preserve"> Chen</w:t>
      </w:r>
      <w:r w:rsidR="003C3DAA" w:rsidRPr="00DA1FFC">
        <w:rPr>
          <w:rFonts w:eastAsia="標楷體" w:hint="eastAsia"/>
          <w:sz w:val="24"/>
          <w:szCs w:val="24"/>
        </w:rPr>
        <w:t xml:space="preserve">, </w:t>
      </w:r>
      <w:r w:rsidRPr="00DA1FFC">
        <w:rPr>
          <w:rFonts w:eastAsia="標楷體" w:hint="eastAsia"/>
          <w:sz w:val="24"/>
          <w:szCs w:val="24"/>
        </w:rPr>
        <w:t xml:space="preserve">Chen-chia Lee, </w:t>
      </w:r>
      <w:r w:rsidR="0051106B" w:rsidRPr="00DA1FFC">
        <w:rPr>
          <w:rFonts w:eastAsia="標楷體"/>
          <w:sz w:val="24"/>
          <w:szCs w:val="24"/>
        </w:rPr>
        <w:t>Chung-</w:t>
      </w:r>
      <w:proofErr w:type="spellStart"/>
      <w:r w:rsidR="0051106B" w:rsidRPr="00DA1FFC">
        <w:rPr>
          <w:rFonts w:eastAsia="標楷體" w:hint="eastAsia"/>
          <w:sz w:val="24"/>
          <w:szCs w:val="24"/>
        </w:rPr>
        <w:t>d</w:t>
      </w:r>
      <w:r w:rsidR="0051106B" w:rsidRPr="00DA1FFC">
        <w:rPr>
          <w:rFonts w:eastAsia="標楷體"/>
          <w:sz w:val="24"/>
          <w:szCs w:val="24"/>
        </w:rPr>
        <w:t>ar</w:t>
      </w:r>
      <w:proofErr w:type="spellEnd"/>
      <w:r w:rsidR="0051106B" w:rsidRPr="00DA1FFC">
        <w:rPr>
          <w:rFonts w:eastAsia="標楷體"/>
          <w:sz w:val="24"/>
          <w:szCs w:val="24"/>
        </w:rPr>
        <w:t xml:space="preserve"> Lei</w:t>
      </w:r>
      <w:r w:rsidR="0051106B" w:rsidRPr="00DA1FFC">
        <w:rPr>
          <w:rFonts w:eastAsia="標楷體" w:hint="eastAsia"/>
          <w:sz w:val="24"/>
          <w:szCs w:val="24"/>
        </w:rPr>
        <w:t xml:space="preserve">, </w:t>
      </w:r>
      <w:proofErr w:type="spellStart"/>
      <w:r w:rsidRPr="00DA1FFC">
        <w:rPr>
          <w:rFonts w:eastAsia="標楷體" w:hint="eastAsia"/>
          <w:sz w:val="24"/>
          <w:szCs w:val="24"/>
        </w:rPr>
        <w:t>Jin</w:t>
      </w:r>
      <w:proofErr w:type="spellEnd"/>
      <w:r w:rsidRPr="00DA1FFC">
        <w:rPr>
          <w:rFonts w:eastAsia="標楷體" w:hint="eastAsia"/>
          <w:sz w:val="24"/>
          <w:szCs w:val="24"/>
        </w:rPr>
        <w:t>-lung Lin, Mei-lie Chu, Chao-</w:t>
      </w:r>
      <w:proofErr w:type="spellStart"/>
      <w:r w:rsidRPr="00DA1FFC">
        <w:rPr>
          <w:rFonts w:eastAsia="標楷體" w:hint="eastAsia"/>
          <w:sz w:val="24"/>
          <w:szCs w:val="24"/>
        </w:rPr>
        <w:t>h</w:t>
      </w:r>
      <w:r w:rsidRPr="00DA1FFC">
        <w:rPr>
          <w:rFonts w:eastAsia="標楷體"/>
          <w:sz w:val="24"/>
          <w:szCs w:val="24"/>
        </w:rPr>
        <w:t>s</w:t>
      </w:r>
      <w:r w:rsidRPr="00DA1FFC">
        <w:rPr>
          <w:rFonts w:eastAsia="標楷體" w:hint="eastAsia"/>
          <w:sz w:val="24"/>
          <w:szCs w:val="24"/>
        </w:rPr>
        <w:t>i</w:t>
      </w:r>
      <w:proofErr w:type="spellEnd"/>
      <w:r w:rsidRPr="00DA1FFC">
        <w:rPr>
          <w:rFonts w:eastAsia="標楷體" w:hint="eastAsia"/>
          <w:sz w:val="24"/>
          <w:szCs w:val="24"/>
        </w:rPr>
        <w:t xml:space="preserve"> Huang, </w:t>
      </w:r>
      <w:proofErr w:type="spellStart"/>
      <w:r w:rsidRPr="00DA1FFC">
        <w:rPr>
          <w:rFonts w:eastAsia="標楷體" w:hint="eastAsia"/>
          <w:sz w:val="24"/>
          <w:szCs w:val="24"/>
        </w:rPr>
        <w:t>Bih</w:t>
      </w:r>
      <w:proofErr w:type="spellEnd"/>
      <w:r w:rsidRPr="00DA1FFC">
        <w:rPr>
          <w:rFonts w:eastAsia="標楷體" w:hint="eastAsia"/>
          <w:sz w:val="24"/>
          <w:szCs w:val="24"/>
        </w:rPr>
        <w:t xml:space="preserve">-jane Liu, </w:t>
      </w:r>
      <w:proofErr w:type="spellStart"/>
      <w:r w:rsidRPr="00DA1FFC">
        <w:rPr>
          <w:rFonts w:eastAsia="標楷體"/>
          <w:sz w:val="24"/>
          <w:szCs w:val="24"/>
        </w:rPr>
        <w:t>Shiu</w:t>
      </w:r>
      <w:proofErr w:type="spellEnd"/>
      <w:r w:rsidRPr="00DA1FFC">
        <w:rPr>
          <w:rFonts w:eastAsia="標楷體"/>
          <w:sz w:val="24"/>
          <w:szCs w:val="24"/>
        </w:rPr>
        <w:t>-</w:t>
      </w:r>
      <w:r w:rsidRPr="00DA1FFC">
        <w:rPr>
          <w:rFonts w:eastAsia="標楷體" w:hint="eastAsia"/>
          <w:sz w:val="24"/>
          <w:szCs w:val="24"/>
        </w:rPr>
        <w:t>s</w:t>
      </w:r>
      <w:r w:rsidRPr="00DA1FFC">
        <w:rPr>
          <w:rFonts w:eastAsia="標楷體"/>
          <w:sz w:val="24"/>
          <w:szCs w:val="24"/>
        </w:rPr>
        <w:t>heng Chen</w:t>
      </w:r>
      <w:r w:rsidRPr="00DA1FFC">
        <w:rPr>
          <w:rFonts w:eastAsia="標楷體" w:hint="eastAsia"/>
          <w:sz w:val="24"/>
          <w:szCs w:val="24"/>
        </w:rPr>
        <w:t xml:space="preserve">, </w:t>
      </w:r>
      <w:proofErr w:type="spellStart"/>
      <w:r w:rsidRPr="00DA1FFC">
        <w:rPr>
          <w:rFonts w:eastAsia="標楷體"/>
          <w:sz w:val="24"/>
          <w:szCs w:val="24"/>
        </w:rPr>
        <w:t>Hsin-</w:t>
      </w:r>
      <w:r w:rsidR="000060B5" w:rsidRPr="00DA1FFC">
        <w:rPr>
          <w:rFonts w:eastAsia="標楷體" w:hint="eastAsia"/>
          <w:sz w:val="24"/>
          <w:szCs w:val="24"/>
        </w:rPr>
        <w:t>h</w:t>
      </w:r>
      <w:r w:rsidRPr="00DA1FFC">
        <w:rPr>
          <w:rFonts w:eastAsia="標楷體"/>
          <w:sz w:val="24"/>
          <w:szCs w:val="24"/>
        </w:rPr>
        <w:t>ong</w:t>
      </w:r>
      <w:proofErr w:type="spellEnd"/>
      <w:r w:rsidRPr="00DA1FFC">
        <w:rPr>
          <w:rFonts w:eastAsia="標楷體"/>
          <w:sz w:val="24"/>
          <w:szCs w:val="24"/>
        </w:rPr>
        <w:t xml:space="preserve"> Kang</w:t>
      </w:r>
      <w:r w:rsidRPr="00DA1FFC">
        <w:rPr>
          <w:rFonts w:eastAsia="標楷體" w:hint="eastAsia"/>
          <w:sz w:val="24"/>
          <w:szCs w:val="24"/>
        </w:rPr>
        <w:t xml:space="preserve">  </w:t>
      </w:r>
    </w:p>
    <w:p w:rsidR="008C284D" w:rsidRPr="00DA1FFC" w:rsidRDefault="008C284D" w:rsidP="00642463">
      <w:pPr>
        <w:spacing w:line="440" w:lineRule="exact"/>
        <w:ind w:leftChars="200" w:left="400" w:rightChars="5" w:right="10"/>
        <w:textDirection w:val="lrTbV"/>
        <w:rPr>
          <w:rFonts w:eastAsia="標楷體"/>
          <w:sz w:val="24"/>
          <w:szCs w:val="24"/>
        </w:rPr>
      </w:pPr>
      <w:r w:rsidRPr="00DA1FFC">
        <w:rPr>
          <w:rFonts w:eastAsia="標楷體" w:hint="eastAsia"/>
          <w:b/>
          <w:sz w:val="24"/>
          <w:szCs w:val="24"/>
        </w:rPr>
        <w:t>Chairman, Board of Supervisors</w:t>
      </w:r>
      <w:r w:rsidRPr="00DA1FFC">
        <w:rPr>
          <w:rFonts w:eastAsia="標楷體" w:hint="eastAsia"/>
          <w:sz w:val="24"/>
          <w:szCs w:val="24"/>
        </w:rPr>
        <w:t xml:space="preserve">: </w:t>
      </w:r>
      <w:proofErr w:type="spellStart"/>
      <w:r w:rsidRPr="00DA1FFC">
        <w:rPr>
          <w:rFonts w:eastAsia="標楷體" w:hint="eastAsia"/>
          <w:sz w:val="24"/>
          <w:szCs w:val="24"/>
        </w:rPr>
        <w:t>Tzer-ming</w:t>
      </w:r>
      <w:proofErr w:type="spellEnd"/>
      <w:r w:rsidRPr="00DA1FFC">
        <w:rPr>
          <w:rFonts w:eastAsia="標楷體" w:hint="eastAsia"/>
          <w:sz w:val="24"/>
          <w:szCs w:val="24"/>
        </w:rPr>
        <w:t xml:space="preserve"> Chu</w:t>
      </w:r>
    </w:p>
    <w:p w:rsidR="008C284D" w:rsidRPr="00DA1FFC" w:rsidRDefault="008C284D" w:rsidP="00642463">
      <w:pPr>
        <w:spacing w:line="440" w:lineRule="exact"/>
        <w:ind w:leftChars="200" w:left="400" w:rightChars="5" w:right="10"/>
        <w:jc w:val="both"/>
        <w:textDirection w:val="lrTbV"/>
        <w:rPr>
          <w:rFonts w:eastAsia="標楷體"/>
          <w:sz w:val="24"/>
          <w:szCs w:val="24"/>
        </w:rPr>
      </w:pPr>
      <w:r w:rsidRPr="00DA1FFC">
        <w:rPr>
          <w:rFonts w:eastAsia="標楷體" w:hint="eastAsia"/>
          <w:b/>
          <w:sz w:val="24"/>
          <w:szCs w:val="24"/>
        </w:rPr>
        <w:t>Supervisors</w:t>
      </w:r>
      <w:r w:rsidRPr="00DA1FFC">
        <w:rPr>
          <w:rFonts w:eastAsia="標楷體" w:hint="eastAsia"/>
          <w:sz w:val="24"/>
          <w:szCs w:val="24"/>
        </w:rPr>
        <w:t xml:space="preserve">: </w:t>
      </w:r>
      <w:r w:rsidR="00605747" w:rsidRPr="00DA1FFC">
        <w:rPr>
          <w:rFonts w:eastAsia="標楷體" w:hint="eastAsia"/>
          <w:sz w:val="24"/>
          <w:szCs w:val="24"/>
        </w:rPr>
        <w:t>Ching-fan Chung, Sheng-</w:t>
      </w:r>
      <w:proofErr w:type="spellStart"/>
      <w:r w:rsidR="00605747" w:rsidRPr="00DA1FFC">
        <w:rPr>
          <w:rFonts w:eastAsia="標楷體" w:hint="eastAsia"/>
          <w:sz w:val="24"/>
          <w:szCs w:val="24"/>
        </w:rPr>
        <w:t>yao</w:t>
      </w:r>
      <w:proofErr w:type="spellEnd"/>
      <w:r w:rsidR="00605747" w:rsidRPr="00DA1FFC">
        <w:rPr>
          <w:rFonts w:eastAsia="標楷體" w:hint="eastAsia"/>
          <w:sz w:val="24"/>
          <w:szCs w:val="24"/>
        </w:rPr>
        <w:t xml:space="preserve"> Lin, </w:t>
      </w:r>
      <w:r w:rsidR="00605747" w:rsidRPr="00DA1FFC">
        <w:rPr>
          <w:rFonts w:eastAsia="標楷體"/>
          <w:sz w:val="24"/>
          <w:szCs w:val="24"/>
        </w:rPr>
        <w:t>Tien-</w:t>
      </w:r>
      <w:proofErr w:type="spellStart"/>
      <w:r w:rsidR="00605747" w:rsidRPr="00DA1FFC">
        <w:rPr>
          <w:rFonts w:eastAsia="標楷體" w:hint="eastAsia"/>
          <w:sz w:val="24"/>
          <w:szCs w:val="24"/>
        </w:rPr>
        <w:t>w</w:t>
      </w:r>
      <w:r w:rsidR="00605747" w:rsidRPr="00DA1FFC">
        <w:rPr>
          <w:rFonts w:eastAsia="標楷體"/>
          <w:sz w:val="24"/>
          <w:szCs w:val="24"/>
        </w:rPr>
        <w:t>ang</w:t>
      </w:r>
      <w:proofErr w:type="spellEnd"/>
      <w:r w:rsidR="00605747" w:rsidRPr="00DA1FFC">
        <w:rPr>
          <w:rFonts w:eastAsia="標楷體"/>
          <w:sz w:val="24"/>
          <w:szCs w:val="24"/>
        </w:rPr>
        <w:t xml:space="preserve"> </w:t>
      </w:r>
      <w:proofErr w:type="spellStart"/>
      <w:r w:rsidR="00605747" w:rsidRPr="00DA1FFC">
        <w:rPr>
          <w:rFonts w:eastAsia="標楷體"/>
          <w:sz w:val="24"/>
          <w:szCs w:val="24"/>
        </w:rPr>
        <w:t>Tsaur</w:t>
      </w:r>
      <w:proofErr w:type="spellEnd"/>
      <w:r w:rsidR="00605747" w:rsidRPr="00DA1FFC">
        <w:rPr>
          <w:rFonts w:eastAsia="標楷體" w:hint="eastAsia"/>
          <w:sz w:val="24"/>
          <w:szCs w:val="24"/>
        </w:rPr>
        <w:t xml:space="preserve">, </w:t>
      </w:r>
      <w:proofErr w:type="spellStart"/>
      <w:r w:rsidR="00605747" w:rsidRPr="00DA1FFC">
        <w:rPr>
          <w:rFonts w:eastAsia="標楷體"/>
          <w:sz w:val="24"/>
          <w:szCs w:val="24"/>
        </w:rPr>
        <w:t>Kuei</w:t>
      </w:r>
      <w:proofErr w:type="spellEnd"/>
      <w:r w:rsidR="00605747" w:rsidRPr="00DA1FFC">
        <w:rPr>
          <w:rFonts w:eastAsia="標楷體"/>
          <w:sz w:val="24"/>
          <w:szCs w:val="24"/>
        </w:rPr>
        <w:t>-</w:t>
      </w:r>
      <w:r w:rsidR="00605747" w:rsidRPr="00DA1FFC">
        <w:rPr>
          <w:rFonts w:eastAsia="標楷體" w:hint="eastAsia"/>
          <w:sz w:val="24"/>
          <w:szCs w:val="24"/>
        </w:rPr>
        <w:t>h</w:t>
      </w:r>
      <w:r w:rsidR="00605747" w:rsidRPr="00DA1FFC">
        <w:rPr>
          <w:rFonts w:eastAsia="標楷體"/>
          <w:sz w:val="24"/>
          <w:szCs w:val="24"/>
        </w:rPr>
        <w:t>ui Cheng</w:t>
      </w:r>
      <w:r w:rsidR="00605747" w:rsidRPr="00DA1FFC">
        <w:rPr>
          <w:rFonts w:eastAsia="標楷體" w:hint="eastAsia"/>
          <w:sz w:val="24"/>
          <w:szCs w:val="24"/>
        </w:rPr>
        <w:t xml:space="preserve"> </w:t>
      </w:r>
    </w:p>
    <w:p w:rsidR="00363599" w:rsidRPr="002F5ADE" w:rsidRDefault="00363599" w:rsidP="007A2BCD">
      <w:pPr>
        <w:pStyle w:val="31"/>
        <w:spacing w:beforeLines="50" w:before="120" w:line="440" w:lineRule="exact"/>
        <w:textDirection w:val="lrTbV"/>
        <w:rPr>
          <w:rFonts w:eastAsia="標楷體"/>
          <w:sz w:val="24"/>
          <w:szCs w:val="24"/>
        </w:rPr>
      </w:pPr>
      <w:r w:rsidRPr="002F5ADE">
        <w:rPr>
          <w:rFonts w:eastAsia="標楷體" w:hint="eastAsia"/>
          <w:b/>
          <w:sz w:val="24"/>
          <w:szCs w:val="24"/>
        </w:rPr>
        <w:t xml:space="preserve">Staff Present: </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E-</w:t>
      </w:r>
      <w:r w:rsidRPr="002F5ADE">
        <w:rPr>
          <w:rFonts w:eastAsia="標楷體" w:hint="eastAsia"/>
          <w:sz w:val="24"/>
          <w:szCs w:val="24"/>
        </w:rPr>
        <w:t>d</w:t>
      </w:r>
      <w:r w:rsidRPr="002F5ADE">
        <w:rPr>
          <w:rFonts w:eastAsia="標楷體"/>
          <w:sz w:val="24"/>
          <w:szCs w:val="24"/>
        </w:rPr>
        <w:t>awn Chen</w:t>
      </w:r>
      <w:r w:rsidRPr="002F5ADE">
        <w:rPr>
          <w:rFonts w:eastAsia="標楷體" w:hint="eastAsia"/>
          <w:sz w:val="24"/>
          <w:szCs w:val="24"/>
        </w:rPr>
        <w:t>,</w:t>
      </w:r>
      <w:r w:rsidRPr="002F5ADE">
        <w:rPr>
          <w:rFonts w:eastAsia="標楷體"/>
          <w:sz w:val="24"/>
          <w:szCs w:val="24"/>
        </w:rPr>
        <w:t xml:space="preserve"> Director General</w:t>
      </w:r>
      <w:r w:rsidRPr="002F5ADE">
        <w:rPr>
          <w:rFonts w:eastAsia="標楷體" w:hint="eastAsia"/>
          <w:sz w:val="24"/>
          <w:szCs w:val="24"/>
        </w:rPr>
        <w:t>,</w:t>
      </w:r>
      <w:r w:rsidRPr="002F5ADE">
        <w:rPr>
          <w:rFonts w:eastAsia="標楷體"/>
          <w:sz w:val="24"/>
          <w:szCs w:val="24"/>
        </w:rPr>
        <w:t xml:space="preserve"> Department of Banking</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James T.H. Shih</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006F25E5" w:rsidRPr="002F5ADE">
        <w:rPr>
          <w:rFonts w:eastAsia="標楷體" w:hint="eastAsia"/>
          <w:sz w:val="24"/>
          <w:szCs w:val="24"/>
        </w:rPr>
        <w:t xml:space="preserve"> </w:t>
      </w:r>
      <w:r w:rsidRPr="002F5ADE">
        <w:rPr>
          <w:rFonts w:eastAsia="標楷體"/>
          <w:sz w:val="24"/>
          <w:szCs w:val="24"/>
        </w:rPr>
        <w:t xml:space="preserve">Department of Issuing </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Hui-</w:t>
      </w:r>
      <w:proofErr w:type="spellStart"/>
      <w:r w:rsidRPr="002F5ADE">
        <w:rPr>
          <w:rFonts w:eastAsia="標楷體" w:hint="eastAsia"/>
          <w:sz w:val="24"/>
          <w:szCs w:val="24"/>
        </w:rPr>
        <w:t>h</w:t>
      </w:r>
      <w:r w:rsidRPr="002F5ADE">
        <w:rPr>
          <w:rFonts w:eastAsia="標楷體"/>
          <w:sz w:val="24"/>
          <w:szCs w:val="24"/>
        </w:rPr>
        <w:t>uang</w:t>
      </w:r>
      <w:proofErr w:type="spellEnd"/>
      <w:r w:rsidRPr="002F5ADE">
        <w:rPr>
          <w:rFonts w:eastAsia="標楷體"/>
          <w:sz w:val="24"/>
          <w:szCs w:val="24"/>
        </w:rPr>
        <w:t xml:space="preserve"> Yen</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Pr="002F5ADE">
        <w:rPr>
          <w:rFonts w:eastAsia="標楷體"/>
          <w:sz w:val="24"/>
          <w:szCs w:val="24"/>
        </w:rPr>
        <w:t xml:space="preserve"> Department of Foreign</w:t>
      </w:r>
      <w:r w:rsidRPr="002F5ADE">
        <w:rPr>
          <w:rFonts w:eastAsia="標楷體" w:hint="eastAsia"/>
          <w:sz w:val="24"/>
          <w:szCs w:val="24"/>
        </w:rPr>
        <w:t xml:space="preserve"> </w:t>
      </w:r>
      <w:r w:rsidRPr="002F5ADE">
        <w:rPr>
          <w:rFonts w:eastAsia="標楷體"/>
          <w:sz w:val="24"/>
          <w:szCs w:val="24"/>
        </w:rPr>
        <w:t>Exchange</w:t>
      </w:r>
    </w:p>
    <w:p w:rsidR="00363599" w:rsidRPr="002F5ADE" w:rsidRDefault="005549FB" w:rsidP="00A32D1B">
      <w:pPr>
        <w:pStyle w:val="31"/>
        <w:spacing w:line="440" w:lineRule="exact"/>
        <w:ind w:leftChars="200" w:left="400"/>
        <w:textDirection w:val="lrTbV"/>
        <w:rPr>
          <w:rFonts w:eastAsia="標楷體"/>
          <w:sz w:val="24"/>
          <w:szCs w:val="24"/>
        </w:rPr>
      </w:pPr>
      <w:r w:rsidRPr="002F5ADE">
        <w:rPr>
          <w:rFonts w:eastAsia="標楷體"/>
          <w:sz w:val="24"/>
          <w:szCs w:val="24"/>
        </w:rPr>
        <w:t xml:space="preserve">Yue-min Chen, Director General, </w:t>
      </w:r>
      <w:r w:rsidR="00363599" w:rsidRPr="002F5ADE">
        <w:rPr>
          <w:rFonts w:eastAsia="標楷體"/>
          <w:sz w:val="24"/>
          <w:szCs w:val="24"/>
        </w:rPr>
        <w:t>Department of the Treasury</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Tsuey</w:t>
      </w:r>
      <w:proofErr w:type="spellEnd"/>
      <w:r w:rsidRPr="002F5ADE">
        <w:rPr>
          <w:rFonts w:eastAsia="標楷體"/>
          <w:sz w:val="24"/>
          <w:szCs w:val="24"/>
        </w:rPr>
        <w:t>-</w:t>
      </w:r>
      <w:r w:rsidRPr="002F5ADE">
        <w:rPr>
          <w:rFonts w:eastAsia="標楷體" w:hint="eastAsia"/>
          <w:sz w:val="24"/>
          <w:szCs w:val="24"/>
        </w:rPr>
        <w:t>l</w:t>
      </w:r>
      <w:r w:rsidRPr="002F5ADE">
        <w:rPr>
          <w:rFonts w:eastAsia="標楷體"/>
          <w:sz w:val="24"/>
          <w:szCs w:val="24"/>
        </w:rPr>
        <w:t>ing Hsiao</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 D</w:t>
      </w:r>
      <w:r w:rsidRPr="002F5ADE">
        <w:rPr>
          <w:rFonts w:eastAsia="標楷體"/>
          <w:sz w:val="24"/>
          <w:szCs w:val="24"/>
        </w:rPr>
        <w:t>epartment of Financial</w:t>
      </w:r>
      <w:r w:rsidRPr="002F5ADE">
        <w:rPr>
          <w:rFonts w:eastAsia="標楷體" w:hint="eastAsia"/>
          <w:sz w:val="24"/>
          <w:szCs w:val="24"/>
        </w:rPr>
        <w:t xml:space="preserve"> </w:t>
      </w:r>
      <w:r w:rsidRPr="002F5ADE">
        <w:rPr>
          <w:rFonts w:eastAsia="標楷體"/>
          <w:sz w:val="24"/>
          <w:szCs w:val="24"/>
        </w:rPr>
        <w:t>Inspection</w:t>
      </w:r>
      <w:r w:rsidRPr="002F5ADE">
        <w:rPr>
          <w:rFonts w:eastAsia="標楷體" w:hint="eastAsia"/>
          <w:sz w:val="24"/>
          <w:szCs w:val="24"/>
        </w:rPr>
        <w:t xml:space="preserve"> </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Tzong-</w:t>
      </w:r>
      <w:r w:rsidRPr="002F5ADE">
        <w:rPr>
          <w:rFonts w:eastAsia="標楷體" w:hint="eastAsia"/>
          <w:sz w:val="24"/>
          <w:szCs w:val="24"/>
        </w:rPr>
        <w:t>y</w:t>
      </w:r>
      <w:r w:rsidRPr="002F5ADE">
        <w:rPr>
          <w:rFonts w:eastAsia="標楷體"/>
          <w:sz w:val="24"/>
          <w:szCs w:val="24"/>
        </w:rPr>
        <w:t>au</w:t>
      </w:r>
      <w:proofErr w:type="spellEnd"/>
      <w:r w:rsidRPr="002F5ADE">
        <w:rPr>
          <w:rFonts w:eastAsia="標楷體"/>
          <w:sz w:val="24"/>
          <w:szCs w:val="24"/>
        </w:rPr>
        <w:t xml:space="preserve"> Lin</w:t>
      </w:r>
      <w:r w:rsidRPr="002F5ADE">
        <w:rPr>
          <w:rFonts w:eastAsia="標楷體" w:hint="eastAsia"/>
          <w:sz w:val="24"/>
          <w:szCs w:val="24"/>
        </w:rPr>
        <w:t>,</w:t>
      </w:r>
      <w:r w:rsidRPr="002F5ADE">
        <w:rPr>
          <w:rFonts w:eastAsia="標楷體"/>
          <w:sz w:val="24"/>
          <w:szCs w:val="24"/>
        </w:rPr>
        <w:t xml:space="preserve"> Director General</w:t>
      </w:r>
      <w:r w:rsidRPr="002F5ADE">
        <w:rPr>
          <w:rFonts w:eastAsia="標楷體" w:hint="eastAsia"/>
          <w:sz w:val="24"/>
          <w:szCs w:val="24"/>
        </w:rPr>
        <w:t xml:space="preserve">, </w:t>
      </w:r>
      <w:r w:rsidRPr="002F5ADE">
        <w:rPr>
          <w:rFonts w:eastAsia="標楷體"/>
          <w:sz w:val="24"/>
          <w:szCs w:val="24"/>
        </w:rPr>
        <w:t>Department of Economic Research</w:t>
      </w:r>
      <w:r w:rsidRPr="002F5ADE">
        <w:rPr>
          <w:rFonts w:eastAsia="標楷體" w:hint="eastAsia"/>
          <w:sz w:val="24"/>
          <w:szCs w:val="24"/>
        </w:rPr>
        <w:t xml:space="preserve"> </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Chien-</w:t>
      </w:r>
      <w:r w:rsidRPr="002F5ADE">
        <w:rPr>
          <w:rFonts w:eastAsia="標楷體" w:hint="eastAsia"/>
          <w:sz w:val="24"/>
          <w:szCs w:val="24"/>
        </w:rPr>
        <w:t>c</w:t>
      </w:r>
      <w:r w:rsidRPr="002F5ADE">
        <w:rPr>
          <w:rFonts w:eastAsia="標楷體"/>
          <w:sz w:val="24"/>
          <w:szCs w:val="24"/>
        </w:rPr>
        <w:t>hing</w:t>
      </w:r>
      <w:proofErr w:type="spellEnd"/>
      <w:r w:rsidRPr="002F5ADE">
        <w:rPr>
          <w:rFonts w:eastAsia="標楷體"/>
          <w:sz w:val="24"/>
          <w:szCs w:val="24"/>
        </w:rPr>
        <w:t xml:space="preserve"> Liang</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Pr="002F5ADE">
        <w:rPr>
          <w:rFonts w:eastAsia="標楷體"/>
          <w:sz w:val="24"/>
          <w:szCs w:val="24"/>
        </w:rPr>
        <w:t xml:space="preserve"> Secretariat</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Kuei-</w:t>
      </w:r>
      <w:r w:rsidRPr="002F5ADE">
        <w:rPr>
          <w:rFonts w:eastAsia="標楷體" w:hint="eastAsia"/>
          <w:sz w:val="24"/>
          <w:szCs w:val="24"/>
        </w:rPr>
        <w:t>c</w:t>
      </w:r>
      <w:r w:rsidRPr="002F5ADE">
        <w:rPr>
          <w:rFonts w:eastAsia="標楷體"/>
          <w:sz w:val="24"/>
          <w:szCs w:val="24"/>
        </w:rPr>
        <w:t>hou</w:t>
      </w:r>
      <w:proofErr w:type="spellEnd"/>
      <w:r w:rsidRPr="002F5ADE">
        <w:rPr>
          <w:rFonts w:eastAsia="標楷體"/>
          <w:sz w:val="24"/>
          <w:szCs w:val="24"/>
        </w:rPr>
        <w:t xml:space="preserve"> Huang</w:t>
      </w:r>
      <w:r w:rsidRPr="002F5ADE">
        <w:rPr>
          <w:rFonts w:eastAsia="標楷體" w:hint="eastAsia"/>
          <w:sz w:val="24"/>
          <w:szCs w:val="24"/>
        </w:rPr>
        <w:t xml:space="preserve">, </w:t>
      </w:r>
      <w:r w:rsidRPr="002F5ADE">
        <w:rPr>
          <w:rFonts w:eastAsia="標楷體"/>
          <w:sz w:val="24"/>
          <w:szCs w:val="24"/>
        </w:rPr>
        <w:t>Director General</w:t>
      </w:r>
      <w:r w:rsidRPr="002F5ADE">
        <w:rPr>
          <w:rFonts w:eastAsia="標楷體" w:hint="eastAsia"/>
          <w:sz w:val="24"/>
          <w:szCs w:val="24"/>
        </w:rPr>
        <w:t>,</w:t>
      </w:r>
      <w:r w:rsidRPr="002F5ADE">
        <w:rPr>
          <w:rFonts w:eastAsia="標楷體"/>
          <w:sz w:val="24"/>
          <w:szCs w:val="24"/>
        </w:rPr>
        <w:t xml:space="preserve"> Department of Accounting</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sz w:val="24"/>
          <w:szCs w:val="24"/>
        </w:rPr>
        <w:t>Jhih-</w:t>
      </w:r>
      <w:r w:rsidRPr="002F5ADE">
        <w:rPr>
          <w:rFonts w:eastAsia="標楷體" w:hint="eastAsia"/>
          <w:sz w:val="24"/>
          <w:szCs w:val="24"/>
        </w:rPr>
        <w:t>c</w:t>
      </w:r>
      <w:r w:rsidRPr="002F5ADE">
        <w:rPr>
          <w:rFonts w:eastAsia="標楷體"/>
          <w:sz w:val="24"/>
          <w:szCs w:val="24"/>
        </w:rPr>
        <w:t>heng</w:t>
      </w:r>
      <w:proofErr w:type="spellEnd"/>
      <w:r w:rsidRPr="002F5ADE">
        <w:rPr>
          <w:rFonts w:eastAsia="標楷體"/>
          <w:sz w:val="24"/>
          <w:szCs w:val="24"/>
        </w:rPr>
        <w:t xml:space="preserve"> Hong</w:t>
      </w:r>
      <w:r w:rsidRPr="002F5ADE">
        <w:rPr>
          <w:rFonts w:eastAsia="標楷體" w:hint="eastAsia"/>
          <w:sz w:val="24"/>
          <w:szCs w:val="24"/>
        </w:rPr>
        <w:t xml:space="preserve">, </w:t>
      </w:r>
      <w:r w:rsidRPr="002F5ADE">
        <w:rPr>
          <w:rFonts w:eastAsia="標楷體"/>
          <w:sz w:val="24"/>
          <w:szCs w:val="24"/>
        </w:rPr>
        <w:t>Director</w:t>
      </w:r>
      <w:r w:rsidRPr="002F5ADE">
        <w:rPr>
          <w:rFonts w:eastAsia="標楷體" w:hint="eastAsia"/>
          <w:sz w:val="24"/>
          <w:szCs w:val="24"/>
        </w:rPr>
        <w:t>,</w:t>
      </w:r>
      <w:r w:rsidRPr="002F5ADE">
        <w:rPr>
          <w:rFonts w:eastAsia="標楷體"/>
          <w:sz w:val="24"/>
          <w:szCs w:val="24"/>
        </w:rPr>
        <w:t xml:space="preserve"> Personnel Office</w:t>
      </w:r>
    </w:p>
    <w:p w:rsidR="00363599" w:rsidRPr="002F5ADE" w:rsidRDefault="00363599" w:rsidP="00642463">
      <w:pPr>
        <w:pStyle w:val="31"/>
        <w:spacing w:line="440" w:lineRule="exact"/>
        <w:ind w:leftChars="200" w:left="400"/>
        <w:textDirection w:val="lrTbV"/>
        <w:rPr>
          <w:rFonts w:eastAsia="標楷體"/>
          <w:sz w:val="24"/>
          <w:szCs w:val="24"/>
        </w:rPr>
      </w:pPr>
      <w:r w:rsidRPr="002F5ADE">
        <w:rPr>
          <w:rFonts w:eastAsia="標楷體"/>
          <w:sz w:val="24"/>
          <w:szCs w:val="24"/>
        </w:rPr>
        <w:t>Kun-</w:t>
      </w:r>
      <w:proofErr w:type="spellStart"/>
      <w:r w:rsidRPr="002F5ADE">
        <w:rPr>
          <w:rFonts w:eastAsia="標楷體" w:hint="eastAsia"/>
          <w:sz w:val="24"/>
          <w:szCs w:val="24"/>
        </w:rPr>
        <w:t>s</w:t>
      </w:r>
      <w:r w:rsidRPr="002F5ADE">
        <w:rPr>
          <w:rFonts w:eastAsia="標楷體"/>
          <w:sz w:val="24"/>
          <w:szCs w:val="24"/>
        </w:rPr>
        <w:t>han</w:t>
      </w:r>
      <w:proofErr w:type="spellEnd"/>
      <w:r w:rsidRPr="002F5ADE">
        <w:rPr>
          <w:rFonts w:eastAsia="標楷體"/>
          <w:sz w:val="24"/>
          <w:szCs w:val="24"/>
        </w:rPr>
        <w:t xml:space="preserve"> Wu</w:t>
      </w:r>
      <w:r w:rsidRPr="002F5ADE">
        <w:rPr>
          <w:rFonts w:eastAsia="標楷體" w:hint="eastAsia"/>
          <w:sz w:val="24"/>
          <w:szCs w:val="24"/>
        </w:rPr>
        <w:t>,</w:t>
      </w:r>
      <w:r w:rsidRPr="002F5ADE">
        <w:rPr>
          <w:rFonts w:eastAsia="標楷體"/>
          <w:sz w:val="24"/>
          <w:szCs w:val="24"/>
        </w:rPr>
        <w:t xml:space="preserve"> Director</w:t>
      </w:r>
      <w:r w:rsidRPr="002F5ADE">
        <w:rPr>
          <w:rFonts w:eastAsia="標楷體" w:hint="eastAsia"/>
          <w:sz w:val="24"/>
          <w:szCs w:val="24"/>
        </w:rPr>
        <w:t>,</w:t>
      </w:r>
      <w:r w:rsidRPr="002F5ADE">
        <w:rPr>
          <w:rFonts w:eastAsia="標楷體"/>
          <w:sz w:val="24"/>
          <w:szCs w:val="24"/>
        </w:rPr>
        <w:t xml:space="preserve"> Legal Affairs Office </w:t>
      </w:r>
    </w:p>
    <w:p w:rsidR="00363599" w:rsidRPr="002F5ADE" w:rsidRDefault="00363599" w:rsidP="00642463">
      <w:pPr>
        <w:pStyle w:val="31"/>
        <w:spacing w:line="440" w:lineRule="exact"/>
        <w:ind w:leftChars="200" w:left="400"/>
        <w:textDirection w:val="lrTbV"/>
        <w:rPr>
          <w:rFonts w:eastAsia="標楷體"/>
          <w:sz w:val="24"/>
          <w:szCs w:val="24"/>
        </w:rPr>
      </w:pPr>
      <w:proofErr w:type="spellStart"/>
      <w:r w:rsidRPr="002F5ADE">
        <w:rPr>
          <w:rFonts w:eastAsia="標楷體" w:hint="eastAsia"/>
          <w:sz w:val="24"/>
          <w:szCs w:val="24"/>
        </w:rPr>
        <w:t>Chih-cheng</w:t>
      </w:r>
      <w:proofErr w:type="spellEnd"/>
      <w:r w:rsidRPr="002F5ADE">
        <w:rPr>
          <w:rFonts w:eastAsia="標楷體" w:hint="eastAsia"/>
          <w:sz w:val="24"/>
          <w:szCs w:val="24"/>
        </w:rPr>
        <w:t xml:space="preserve"> Hu, Secretary, Board of Directors</w:t>
      </w:r>
    </w:p>
    <w:p w:rsidR="00EB5061" w:rsidRPr="002F5ADE" w:rsidRDefault="00EB5061" w:rsidP="00EB5061">
      <w:pPr>
        <w:pStyle w:val="31"/>
        <w:spacing w:line="440" w:lineRule="exact"/>
        <w:ind w:leftChars="200" w:left="400"/>
        <w:textDirection w:val="lrTbV"/>
        <w:rPr>
          <w:rFonts w:eastAsia="標楷體"/>
          <w:sz w:val="24"/>
          <w:szCs w:val="24"/>
        </w:rPr>
      </w:pPr>
      <w:r w:rsidRPr="002F5ADE">
        <w:rPr>
          <w:rFonts w:eastAsia="標楷體" w:hint="eastAsia"/>
          <w:sz w:val="24"/>
          <w:szCs w:val="24"/>
        </w:rPr>
        <w:t>Yu-</w:t>
      </w:r>
      <w:proofErr w:type="spellStart"/>
      <w:r w:rsidRPr="002F5ADE">
        <w:rPr>
          <w:rFonts w:eastAsia="標楷體" w:hint="eastAsia"/>
          <w:sz w:val="24"/>
          <w:szCs w:val="24"/>
        </w:rPr>
        <w:t>min</w:t>
      </w:r>
      <w:r w:rsidR="0017066F" w:rsidRPr="002F5ADE">
        <w:rPr>
          <w:rFonts w:eastAsia="標楷體" w:hint="eastAsia"/>
          <w:sz w:val="24"/>
          <w:szCs w:val="24"/>
        </w:rPr>
        <w:t>g</w:t>
      </w:r>
      <w:proofErr w:type="spellEnd"/>
      <w:r w:rsidRPr="002F5ADE">
        <w:rPr>
          <w:rFonts w:eastAsia="標楷體" w:hint="eastAsia"/>
          <w:sz w:val="24"/>
          <w:szCs w:val="24"/>
        </w:rPr>
        <w:t xml:space="preserve"> Chang, Secretary, Board of Supervisors</w:t>
      </w:r>
    </w:p>
    <w:p w:rsidR="005E27CD" w:rsidRPr="007F6F77" w:rsidRDefault="00363599" w:rsidP="007A2BCD">
      <w:pPr>
        <w:spacing w:beforeLines="50" w:before="120" w:line="440" w:lineRule="exact"/>
        <w:textDirection w:val="lrTbV"/>
        <w:rPr>
          <w:rFonts w:eastAsia="標楷體"/>
          <w:sz w:val="32"/>
          <w:szCs w:val="32"/>
        </w:rPr>
      </w:pPr>
      <w:r w:rsidRPr="002F5ADE">
        <w:rPr>
          <w:rFonts w:eastAsia="標楷體" w:hint="eastAsia"/>
          <w:b/>
          <w:sz w:val="24"/>
          <w:szCs w:val="24"/>
        </w:rPr>
        <w:t>Presiding:</w:t>
      </w:r>
      <w:r w:rsidRPr="002F5ADE">
        <w:rPr>
          <w:rFonts w:eastAsia="標楷體" w:hint="eastAsia"/>
          <w:sz w:val="24"/>
          <w:szCs w:val="24"/>
        </w:rPr>
        <w:t xml:space="preserve"> </w:t>
      </w:r>
      <w:r w:rsidR="00642463" w:rsidRPr="002F5ADE">
        <w:rPr>
          <w:rFonts w:eastAsia="標楷體"/>
          <w:sz w:val="24"/>
          <w:szCs w:val="24"/>
        </w:rPr>
        <w:t>Chin-long Yang</w:t>
      </w:r>
      <w:r w:rsidRPr="002F5ADE">
        <w:rPr>
          <w:rFonts w:eastAsia="標楷體" w:hint="eastAsia"/>
          <w:sz w:val="24"/>
          <w:szCs w:val="24"/>
        </w:rPr>
        <w:t xml:space="preserve">　　　　</w:t>
      </w:r>
      <w:r w:rsidR="005E27CD" w:rsidRPr="007F6F77">
        <w:rPr>
          <w:rFonts w:eastAsia="標楷體"/>
          <w:sz w:val="32"/>
          <w:szCs w:val="32"/>
        </w:rPr>
        <w:br w:type="page"/>
      </w:r>
    </w:p>
    <w:p w:rsidR="00BC300B" w:rsidRDefault="00BC300B" w:rsidP="00BC300B">
      <w:pPr>
        <w:adjustRightInd/>
        <w:snapToGrid w:val="0"/>
        <w:spacing w:before="240" w:line="520" w:lineRule="exact"/>
        <w:jc w:val="both"/>
        <w:textDirection w:val="lrTbV"/>
        <w:rPr>
          <w:rFonts w:eastAsia="標楷體"/>
          <w:b/>
          <w:sz w:val="28"/>
          <w:szCs w:val="28"/>
        </w:rPr>
      </w:pPr>
      <w:r>
        <w:rPr>
          <w:rFonts w:eastAsia="標楷體" w:hint="eastAsia"/>
          <w:b/>
          <w:sz w:val="28"/>
          <w:szCs w:val="28"/>
        </w:rPr>
        <w:lastRenderedPageBreak/>
        <w:t>Agenda Item</w:t>
      </w:r>
      <w:r w:rsidRPr="00EB1763">
        <w:rPr>
          <w:rFonts w:eastAsia="標楷體" w:hint="eastAsia"/>
          <w:b/>
          <w:sz w:val="28"/>
          <w:szCs w:val="28"/>
        </w:rPr>
        <w:t xml:space="preserve">: </w:t>
      </w:r>
      <w:r w:rsidRPr="00EB1763">
        <w:rPr>
          <w:rFonts w:eastAsia="標楷體"/>
          <w:b/>
          <w:sz w:val="28"/>
          <w:szCs w:val="28"/>
        </w:rPr>
        <w:t xml:space="preserve">Economic </w:t>
      </w:r>
      <w:r w:rsidRPr="00EB1763">
        <w:rPr>
          <w:rFonts w:eastAsia="標楷體" w:hint="eastAsia"/>
          <w:b/>
          <w:sz w:val="28"/>
          <w:szCs w:val="28"/>
        </w:rPr>
        <w:t>and Financial Conditions and Monetary Policy</w:t>
      </w:r>
      <w:r>
        <w:rPr>
          <w:rFonts w:eastAsia="標楷體" w:hint="eastAsia"/>
          <w:b/>
          <w:sz w:val="28"/>
          <w:szCs w:val="28"/>
        </w:rPr>
        <w:t xml:space="preserve"> Decision</w:t>
      </w:r>
    </w:p>
    <w:p w:rsidR="002570BA" w:rsidRPr="007F6F77" w:rsidRDefault="00EB1763" w:rsidP="00BC300B">
      <w:pPr>
        <w:adjustRightInd/>
        <w:snapToGrid w:val="0"/>
        <w:spacing w:before="240" w:line="520" w:lineRule="exact"/>
        <w:jc w:val="both"/>
        <w:textDirection w:val="lrTbV"/>
        <w:rPr>
          <w:rFonts w:eastAsia="標楷體"/>
          <w:b/>
          <w:sz w:val="28"/>
          <w:szCs w:val="28"/>
        </w:rPr>
      </w:pPr>
      <w:r w:rsidRPr="007F6F77">
        <w:rPr>
          <w:rFonts w:eastAsia="標楷體" w:hint="eastAsia"/>
          <w:b/>
          <w:sz w:val="28"/>
          <w:szCs w:val="28"/>
        </w:rPr>
        <w:t xml:space="preserve">I. </w:t>
      </w:r>
      <w:r w:rsidR="00653A10" w:rsidRPr="007F6F77">
        <w:rPr>
          <w:rFonts w:eastAsia="標楷體" w:hint="eastAsia"/>
          <w:b/>
          <w:sz w:val="28"/>
          <w:szCs w:val="28"/>
        </w:rPr>
        <w:t xml:space="preserve">Review of </w:t>
      </w:r>
      <w:r w:rsidR="008F7E41" w:rsidRPr="007F6F77">
        <w:rPr>
          <w:rFonts w:eastAsia="標楷體"/>
          <w:b/>
          <w:sz w:val="28"/>
          <w:szCs w:val="28"/>
        </w:rPr>
        <w:t xml:space="preserve">economic </w:t>
      </w:r>
      <w:r w:rsidR="002570BA" w:rsidRPr="007F6F77">
        <w:rPr>
          <w:rFonts w:eastAsia="標楷體" w:hint="eastAsia"/>
          <w:b/>
          <w:sz w:val="28"/>
          <w:szCs w:val="28"/>
        </w:rPr>
        <w:t>a</w:t>
      </w:r>
      <w:r w:rsidR="008F7E41" w:rsidRPr="007F6F77">
        <w:rPr>
          <w:rFonts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C10EB4">
        <w:rPr>
          <w:rFonts w:eastAsia="標楷體" w:hint="eastAsia"/>
          <w:sz w:val="24"/>
          <w:szCs w:val="28"/>
        </w:rPr>
        <w:t>.</w:t>
      </w:r>
      <w:r w:rsidRPr="007F6F77">
        <w:rPr>
          <w:rFonts w:eastAsia="標楷體" w:hint="eastAsia"/>
          <w:sz w:val="24"/>
          <w:szCs w:val="28"/>
        </w:rPr>
        <w:t xml:space="preserve"> </w:t>
      </w:r>
    </w:p>
    <w:p w:rsidR="00EB1763" w:rsidRPr="007F6F77" w:rsidRDefault="00EB1763" w:rsidP="00FA173A">
      <w:pPr>
        <w:numPr>
          <w:ilvl w:val="0"/>
          <w:numId w:val="30"/>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6E57D4" w:rsidRDefault="00C33978" w:rsidP="00D440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Since the Board last convened </w:t>
      </w:r>
      <w:r w:rsidR="00363699">
        <w:rPr>
          <w:rFonts w:ascii="Times New Roman" w:eastAsia="標楷體" w:hint="eastAsia"/>
          <w:spacing w:val="0"/>
          <w:sz w:val="24"/>
          <w:szCs w:val="24"/>
        </w:rPr>
        <w:t xml:space="preserve">in </w:t>
      </w:r>
      <w:r w:rsidR="006E57D4">
        <w:rPr>
          <w:rFonts w:ascii="Times New Roman" w:eastAsia="標楷體" w:hint="eastAsia"/>
          <w:spacing w:val="0"/>
          <w:sz w:val="24"/>
          <w:szCs w:val="24"/>
        </w:rPr>
        <w:t>March</w:t>
      </w:r>
      <w:r>
        <w:rPr>
          <w:rFonts w:ascii="Times New Roman" w:eastAsia="標楷體" w:hint="eastAsia"/>
          <w:spacing w:val="0"/>
          <w:sz w:val="24"/>
          <w:szCs w:val="24"/>
        </w:rPr>
        <w:t xml:space="preserve"> 201</w:t>
      </w:r>
      <w:r w:rsidR="006E57D4">
        <w:rPr>
          <w:rFonts w:ascii="Times New Roman" w:eastAsia="標楷體" w:hint="eastAsia"/>
          <w:spacing w:val="0"/>
          <w:sz w:val="24"/>
          <w:szCs w:val="24"/>
        </w:rPr>
        <w:t>9</w:t>
      </w:r>
      <w:r>
        <w:rPr>
          <w:rFonts w:ascii="Times New Roman" w:eastAsia="標楷體" w:hint="eastAsia"/>
          <w:spacing w:val="0"/>
          <w:sz w:val="24"/>
          <w:szCs w:val="24"/>
        </w:rPr>
        <w:t xml:space="preserve">, </w:t>
      </w:r>
      <w:r w:rsidR="006E57D4">
        <w:rPr>
          <w:rFonts w:ascii="Times New Roman" w:eastAsia="標楷體" w:hint="eastAsia"/>
          <w:spacing w:val="0"/>
          <w:sz w:val="24"/>
          <w:szCs w:val="24"/>
        </w:rPr>
        <w:t>the forecast for this year</w:t>
      </w:r>
      <w:r w:rsidR="006E57D4">
        <w:rPr>
          <w:rFonts w:ascii="Times New Roman" w:eastAsia="標楷體"/>
          <w:spacing w:val="0"/>
          <w:sz w:val="24"/>
          <w:szCs w:val="24"/>
        </w:rPr>
        <w:t>’</w:t>
      </w:r>
      <w:r w:rsidR="006E57D4">
        <w:rPr>
          <w:rFonts w:ascii="Times New Roman" w:eastAsia="標楷體" w:hint="eastAsia"/>
          <w:spacing w:val="0"/>
          <w:sz w:val="24"/>
          <w:szCs w:val="24"/>
        </w:rPr>
        <w:t xml:space="preserve">s global </w:t>
      </w:r>
      <w:r w:rsidR="006E57D4">
        <w:rPr>
          <w:rFonts w:ascii="Times New Roman" w:eastAsia="標楷體"/>
          <w:spacing w:val="0"/>
          <w:sz w:val="24"/>
          <w:szCs w:val="24"/>
        </w:rPr>
        <w:t>economic</w:t>
      </w:r>
      <w:r w:rsidR="006E57D4">
        <w:rPr>
          <w:rFonts w:ascii="Times New Roman" w:eastAsia="標楷體" w:hint="eastAsia"/>
          <w:spacing w:val="0"/>
          <w:sz w:val="24"/>
          <w:szCs w:val="24"/>
        </w:rPr>
        <w:t xml:space="preserve"> growth ha</w:t>
      </w:r>
      <w:r w:rsidR="00251EA0">
        <w:rPr>
          <w:rFonts w:ascii="Times New Roman" w:eastAsia="標楷體" w:hint="eastAsia"/>
          <w:spacing w:val="0"/>
          <w:sz w:val="24"/>
          <w:szCs w:val="24"/>
        </w:rPr>
        <w:t>d</w:t>
      </w:r>
      <w:r w:rsidR="006E57D4">
        <w:rPr>
          <w:rFonts w:ascii="Times New Roman" w:eastAsia="標楷體" w:hint="eastAsia"/>
          <w:spacing w:val="0"/>
          <w:sz w:val="24"/>
          <w:szCs w:val="24"/>
        </w:rPr>
        <w:t xml:space="preserve"> been revised down by major international institutions</w:t>
      </w:r>
      <w:r w:rsidR="002523C2">
        <w:rPr>
          <w:rFonts w:ascii="Times New Roman" w:eastAsia="標楷體" w:hint="eastAsia"/>
          <w:spacing w:val="0"/>
          <w:sz w:val="24"/>
          <w:szCs w:val="24"/>
        </w:rPr>
        <w:t xml:space="preserve"> to a level lower than the previous year</w:t>
      </w:r>
      <w:r w:rsidR="002523C2">
        <w:rPr>
          <w:rFonts w:ascii="Times New Roman" w:eastAsia="標楷體"/>
          <w:spacing w:val="0"/>
          <w:sz w:val="24"/>
          <w:szCs w:val="24"/>
        </w:rPr>
        <w:t>’</w:t>
      </w:r>
      <w:r w:rsidR="002523C2">
        <w:rPr>
          <w:rFonts w:ascii="Times New Roman" w:eastAsia="標楷體" w:hint="eastAsia"/>
          <w:spacing w:val="0"/>
          <w:sz w:val="24"/>
          <w:szCs w:val="24"/>
        </w:rPr>
        <w:t xml:space="preserve">s, </w:t>
      </w:r>
      <w:r w:rsidR="006E57D4">
        <w:rPr>
          <w:rFonts w:ascii="Times New Roman" w:eastAsia="標楷體" w:hint="eastAsia"/>
          <w:spacing w:val="0"/>
          <w:sz w:val="24"/>
          <w:szCs w:val="24"/>
        </w:rPr>
        <w:t xml:space="preserve">based on concerns about escalating US-China trade friction, increased financial fragilities in debt-ridden economies, the Brexit stalemate, and geopolitical tensions. </w:t>
      </w:r>
      <w:r w:rsidR="002523C2">
        <w:rPr>
          <w:rFonts w:ascii="Times New Roman" w:eastAsia="標楷體" w:hint="eastAsia"/>
          <w:spacing w:val="0"/>
          <w:sz w:val="24"/>
          <w:szCs w:val="24"/>
        </w:rPr>
        <w:t xml:space="preserve">Global trade volume </w:t>
      </w:r>
      <w:r w:rsidR="00AB3860">
        <w:rPr>
          <w:rFonts w:ascii="Times New Roman" w:eastAsia="標楷體" w:hint="eastAsia"/>
          <w:spacing w:val="0"/>
          <w:sz w:val="24"/>
          <w:szCs w:val="24"/>
        </w:rPr>
        <w:t>was</w:t>
      </w:r>
      <w:r w:rsidR="002523C2">
        <w:rPr>
          <w:rFonts w:ascii="Times New Roman" w:eastAsia="標楷體" w:hint="eastAsia"/>
          <w:spacing w:val="0"/>
          <w:sz w:val="24"/>
          <w:szCs w:val="24"/>
        </w:rPr>
        <w:t xml:space="preserve"> also widely forecast to </w:t>
      </w:r>
      <w:r w:rsidR="002523C2">
        <w:rPr>
          <w:rFonts w:ascii="Times New Roman" w:eastAsia="標楷體"/>
          <w:spacing w:val="0"/>
          <w:sz w:val="24"/>
          <w:szCs w:val="24"/>
        </w:rPr>
        <w:t>grow</w:t>
      </w:r>
      <w:r w:rsidR="002523C2">
        <w:rPr>
          <w:rFonts w:ascii="Times New Roman" w:eastAsia="標楷體" w:hint="eastAsia"/>
          <w:spacing w:val="0"/>
          <w:sz w:val="24"/>
          <w:szCs w:val="24"/>
        </w:rPr>
        <w:t xml:space="preserve"> slower this year </w:t>
      </w:r>
      <w:r w:rsidR="00875ADC">
        <w:rPr>
          <w:rFonts w:ascii="Times New Roman" w:eastAsia="標楷體" w:hint="eastAsia"/>
          <w:spacing w:val="0"/>
          <w:sz w:val="24"/>
          <w:szCs w:val="24"/>
        </w:rPr>
        <w:t xml:space="preserve">as global trade conflicts </w:t>
      </w:r>
      <w:r w:rsidR="00251EA0">
        <w:rPr>
          <w:rFonts w:ascii="Times New Roman" w:eastAsia="標楷體" w:hint="eastAsia"/>
          <w:spacing w:val="0"/>
          <w:sz w:val="24"/>
          <w:szCs w:val="24"/>
        </w:rPr>
        <w:t>we</w:t>
      </w:r>
      <w:r w:rsidR="00875ADC">
        <w:rPr>
          <w:rFonts w:ascii="Times New Roman" w:eastAsia="標楷體" w:hint="eastAsia"/>
          <w:spacing w:val="0"/>
          <w:sz w:val="24"/>
          <w:szCs w:val="24"/>
        </w:rPr>
        <w:t xml:space="preserve">re feared to continue and the world </w:t>
      </w:r>
      <w:r w:rsidR="00875ADC">
        <w:rPr>
          <w:rFonts w:ascii="Times New Roman" w:eastAsia="標楷體"/>
          <w:spacing w:val="0"/>
          <w:sz w:val="24"/>
          <w:szCs w:val="24"/>
        </w:rPr>
        <w:t>economy</w:t>
      </w:r>
      <w:r w:rsidR="00875ADC">
        <w:rPr>
          <w:rFonts w:ascii="Times New Roman" w:eastAsia="標楷體" w:hint="eastAsia"/>
          <w:spacing w:val="0"/>
          <w:sz w:val="24"/>
          <w:szCs w:val="24"/>
        </w:rPr>
        <w:t xml:space="preserve"> </w:t>
      </w:r>
      <w:r w:rsidR="00D4404E">
        <w:rPr>
          <w:rFonts w:ascii="Times New Roman" w:eastAsia="標楷體" w:hint="eastAsia"/>
          <w:spacing w:val="0"/>
          <w:sz w:val="24"/>
          <w:szCs w:val="24"/>
        </w:rPr>
        <w:t>could falter along.</w:t>
      </w:r>
    </w:p>
    <w:p w:rsidR="00D4404E" w:rsidRDefault="00C91CA6" w:rsidP="00D440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Major</w:t>
      </w:r>
      <w:r w:rsidR="007E2DFC">
        <w:rPr>
          <w:rFonts w:ascii="Times New Roman" w:eastAsia="標楷體" w:hint="eastAsia"/>
          <w:spacing w:val="0"/>
          <w:sz w:val="24"/>
          <w:szCs w:val="24"/>
        </w:rPr>
        <w:t xml:space="preserve"> economies </w:t>
      </w:r>
      <w:r w:rsidR="00251EA0">
        <w:rPr>
          <w:rFonts w:ascii="Times New Roman" w:eastAsia="標楷體" w:hint="eastAsia"/>
          <w:spacing w:val="0"/>
          <w:sz w:val="24"/>
          <w:szCs w:val="24"/>
        </w:rPr>
        <w:t>we</w:t>
      </w:r>
      <w:r w:rsidR="007E2DFC">
        <w:rPr>
          <w:rFonts w:ascii="Times New Roman" w:eastAsia="標楷體" w:hint="eastAsia"/>
          <w:spacing w:val="0"/>
          <w:sz w:val="24"/>
          <w:szCs w:val="24"/>
        </w:rPr>
        <w:t>re forecast to grow at a slower pace this year than last year</w:t>
      </w:r>
      <w:r w:rsidR="00F44B3A">
        <w:rPr>
          <w:rFonts w:ascii="Times New Roman" w:eastAsia="標楷體" w:hint="eastAsia"/>
          <w:spacing w:val="0"/>
          <w:sz w:val="24"/>
          <w:szCs w:val="24"/>
        </w:rPr>
        <w:t xml:space="preserve">, </w:t>
      </w:r>
      <w:r w:rsidR="00FF2B72">
        <w:rPr>
          <w:rFonts w:ascii="Times New Roman" w:eastAsia="標楷體" w:hint="eastAsia"/>
          <w:spacing w:val="0"/>
          <w:sz w:val="24"/>
          <w:szCs w:val="24"/>
        </w:rPr>
        <w:t>with</w:t>
      </w:r>
      <w:r w:rsidR="00F44B3A">
        <w:rPr>
          <w:rFonts w:ascii="Times New Roman" w:eastAsia="標楷體" w:hint="eastAsia"/>
          <w:spacing w:val="0"/>
          <w:sz w:val="24"/>
          <w:szCs w:val="24"/>
        </w:rPr>
        <w:t xml:space="preserve"> </w:t>
      </w:r>
      <w:r w:rsidR="00FF2B72">
        <w:rPr>
          <w:rFonts w:ascii="Times New Roman" w:eastAsia="標楷體" w:hint="eastAsia"/>
          <w:spacing w:val="0"/>
          <w:sz w:val="24"/>
          <w:szCs w:val="24"/>
        </w:rPr>
        <w:t>recent developments</w:t>
      </w:r>
      <w:r w:rsidR="00F44B3A">
        <w:rPr>
          <w:rFonts w:ascii="Times New Roman" w:eastAsia="標楷體" w:hint="eastAsia"/>
          <w:spacing w:val="0"/>
          <w:sz w:val="24"/>
          <w:szCs w:val="24"/>
        </w:rPr>
        <w:t xml:space="preserve"> from May onwards </w:t>
      </w:r>
      <w:r w:rsidR="00FF2B72">
        <w:rPr>
          <w:rFonts w:ascii="Times New Roman" w:eastAsia="標楷體" w:hint="eastAsia"/>
          <w:spacing w:val="0"/>
          <w:sz w:val="24"/>
          <w:szCs w:val="24"/>
        </w:rPr>
        <w:t>pointing to</w:t>
      </w:r>
      <w:r w:rsidR="00F44B3A">
        <w:rPr>
          <w:rFonts w:ascii="Times New Roman" w:eastAsia="標楷體" w:hint="eastAsia"/>
          <w:spacing w:val="0"/>
          <w:sz w:val="24"/>
          <w:szCs w:val="24"/>
        </w:rPr>
        <w:t xml:space="preserve"> </w:t>
      </w:r>
      <w:r w:rsidR="007E2DFC">
        <w:rPr>
          <w:rFonts w:ascii="Times New Roman" w:eastAsia="標楷體" w:hint="eastAsia"/>
          <w:spacing w:val="0"/>
          <w:sz w:val="24"/>
          <w:szCs w:val="24"/>
        </w:rPr>
        <w:t xml:space="preserve">heightened US-China trade friction and weaker global </w:t>
      </w:r>
      <w:r w:rsidR="007E2DFC">
        <w:rPr>
          <w:rFonts w:ascii="Times New Roman" w:eastAsia="標楷體"/>
          <w:spacing w:val="0"/>
          <w:sz w:val="24"/>
          <w:szCs w:val="24"/>
        </w:rPr>
        <w:t>economic</w:t>
      </w:r>
      <w:r w:rsidR="007E2DFC">
        <w:rPr>
          <w:rFonts w:ascii="Times New Roman" w:eastAsia="標楷體" w:hint="eastAsia"/>
          <w:spacing w:val="0"/>
          <w:sz w:val="24"/>
          <w:szCs w:val="24"/>
        </w:rPr>
        <w:t xml:space="preserve"> and trade growth. </w:t>
      </w:r>
      <w:r>
        <w:rPr>
          <w:rFonts w:ascii="Times New Roman" w:eastAsia="標楷體" w:hint="eastAsia"/>
          <w:spacing w:val="0"/>
          <w:sz w:val="24"/>
          <w:szCs w:val="24"/>
        </w:rPr>
        <w:t xml:space="preserve">In terms of </w:t>
      </w:r>
      <w:r w:rsidR="002D0B77">
        <w:rPr>
          <w:rFonts w:ascii="Times New Roman" w:eastAsia="標楷體" w:hint="eastAsia"/>
          <w:spacing w:val="0"/>
          <w:sz w:val="24"/>
          <w:szCs w:val="24"/>
        </w:rPr>
        <w:t xml:space="preserve">inflation, </w:t>
      </w:r>
      <w:r w:rsidR="00F44B3A">
        <w:rPr>
          <w:rFonts w:ascii="Times New Roman" w:eastAsia="標楷體" w:hint="eastAsia"/>
          <w:spacing w:val="0"/>
          <w:sz w:val="24"/>
          <w:szCs w:val="24"/>
        </w:rPr>
        <w:t>international institutions project</w:t>
      </w:r>
      <w:r w:rsidR="00251EA0">
        <w:rPr>
          <w:rFonts w:ascii="Times New Roman" w:eastAsia="標楷體" w:hint="eastAsia"/>
          <w:spacing w:val="0"/>
          <w:sz w:val="24"/>
          <w:szCs w:val="24"/>
        </w:rPr>
        <w:t>ed</w:t>
      </w:r>
      <w:r w:rsidR="00F44B3A">
        <w:rPr>
          <w:rFonts w:ascii="Times New Roman" w:eastAsia="標楷體" w:hint="eastAsia"/>
          <w:spacing w:val="0"/>
          <w:sz w:val="24"/>
          <w:szCs w:val="24"/>
        </w:rPr>
        <w:t xml:space="preserve"> that, for the world as a whole and for most of the economies individually, </w:t>
      </w:r>
      <w:r w:rsidR="00FF2B72">
        <w:rPr>
          <w:rFonts w:ascii="Times New Roman" w:eastAsia="標楷體" w:hint="eastAsia"/>
          <w:spacing w:val="0"/>
          <w:sz w:val="24"/>
          <w:szCs w:val="24"/>
        </w:rPr>
        <w:t>this year</w:t>
      </w:r>
      <w:r w:rsidR="00FF2B72">
        <w:rPr>
          <w:rFonts w:ascii="Times New Roman" w:eastAsia="標楷體"/>
          <w:spacing w:val="0"/>
          <w:sz w:val="24"/>
          <w:szCs w:val="24"/>
        </w:rPr>
        <w:t>’</w:t>
      </w:r>
      <w:r w:rsidR="00FF2B72">
        <w:rPr>
          <w:rFonts w:ascii="Times New Roman" w:eastAsia="標楷體" w:hint="eastAsia"/>
          <w:spacing w:val="0"/>
          <w:sz w:val="24"/>
          <w:szCs w:val="24"/>
        </w:rPr>
        <w:t xml:space="preserve">s </w:t>
      </w:r>
      <w:r w:rsidR="00F44B3A">
        <w:rPr>
          <w:rFonts w:ascii="Times New Roman" w:eastAsia="標楷體" w:hint="eastAsia"/>
          <w:spacing w:val="0"/>
          <w:sz w:val="24"/>
          <w:szCs w:val="24"/>
        </w:rPr>
        <w:t>inflation w</w:t>
      </w:r>
      <w:r w:rsidR="00251EA0">
        <w:rPr>
          <w:rFonts w:ascii="Times New Roman" w:eastAsia="標楷體" w:hint="eastAsia"/>
          <w:spacing w:val="0"/>
          <w:sz w:val="24"/>
          <w:szCs w:val="24"/>
        </w:rPr>
        <w:t>ould</w:t>
      </w:r>
      <w:r w:rsidR="00F44B3A">
        <w:rPr>
          <w:rFonts w:ascii="Times New Roman" w:eastAsia="標楷體" w:hint="eastAsia"/>
          <w:spacing w:val="0"/>
          <w:sz w:val="24"/>
          <w:szCs w:val="24"/>
        </w:rPr>
        <w:t xml:space="preserve"> trend lower</w:t>
      </w:r>
      <w:r w:rsidR="00FF2B72">
        <w:rPr>
          <w:rFonts w:ascii="Times New Roman" w:eastAsia="標楷體" w:hint="eastAsia"/>
          <w:spacing w:val="0"/>
          <w:sz w:val="24"/>
          <w:szCs w:val="24"/>
        </w:rPr>
        <w:t xml:space="preserve"> than last year, given the expected global slowdown and a slight year-on-year decline in international oil prices. </w:t>
      </w:r>
    </w:p>
    <w:p w:rsidR="00FF2B72" w:rsidRDefault="00C91CA6" w:rsidP="00D440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The Federal Reserve (Fed), the European Central Bank (ECB), and the Bank of Japan (</w:t>
      </w:r>
      <w:proofErr w:type="spellStart"/>
      <w:r>
        <w:rPr>
          <w:rFonts w:ascii="Times New Roman" w:eastAsia="標楷體" w:hint="eastAsia"/>
          <w:spacing w:val="0"/>
          <w:sz w:val="24"/>
          <w:szCs w:val="24"/>
        </w:rPr>
        <w:t>BoJ</w:t>
      </w:r>
      <w:proofErr w:type="spellEnd"/>
      <w:r>
        <w:rPr>
          <w:rFonts w:ascii="Times New Roman" w:eastAsia="標楷體" w:hint="eastAsia"/>
          <w:spacing w:val="0"/>
          <w:sz w:val="24"/>
          <w:szCs w:val="24"/>
        </w:rPr>
        <w:t xml:space="preserve">) had kept policy rates unchanged and adopted a more dovish stance. Since April, central banks in several Asia-Pacific economies had announced rate cuts to bolster economic growth. </w:t>
      </w:r>
    </w:p>
    <w:p w:rsidR="00F63238" w:rsidRDefault="00910740" w:rsidP="00D440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regard to developments in international financial markets since May, </w:t>
      </w:r>
      <w:r w:rsidR="00F63238">
        <w:rPr>
          <w:rFonts w:ascii="Times New Roman" w:eastAsia="標楷體" w:hint="eastAsia"/>
          <w:spacing w:val="0"/>
          <w:sz w:val="24"/>
          <w:szCs w:val="24"/>
        </w:rPr>
        <w:t>g</w:t>
      </w:r>
      <w:r>
        <w:rPr>
          <w:rFonts w:ascii="Times New Roman" w:eastAsia="標楷體" w:hint="eastAsia"/>
          <w:spacing w:val="0"/>
          <w:sz w:val="24"/>
          <w:szCs w:val="24"/>
        </w:rPr>
        <w:t>lobal stock rallies had been</w:t>
      </w:r>
      <w:r w:rsidR="00F63238">
        <w:rPr>
          <w:rFonts w:ascii="Times New Roman" w:eastAsia="標楷體" w:hint="eastAsia"/>
          <w:spacing w:val="0"/>
          <w:sz w:val="24"/>
          <w:szCs w:val="24"/>
        </w:rPr>
        <w:t xml:space="preserve"> thwarted by renewed</w:t>
      </w:r>
      <w:r>
        <w:rPr>
          <w:rFonts w:ascii="Times New Roman" w:eastAsia="標楷體" w:hint="eastAsia"/>
          <w:spacing w:val="0"/>
          <w:sz w:val="24"/>
          <w:szCs w:val="24"/>
        </w:rPr>
        <w:t xml:space="preserve"> trade woes between the US and China</w:t>
      </w:r>
      <w:r w:rsidR="00F63238">
        <w:rPr>
          <w:rFonts w:ascii="Times New Roman" w:eastAsia="標楷體" w:hint="eastAsia"/>
          <w:spacing w:val="0"/>
          <w:sz w:val="24"/>
          <w:szCs w:val="24"/>
        </w:rPr>
        <w:t>. With capital flowing out of emerging market economies, their currencies, including the renminbi, had weakened alongside a stronger US dollar. Meanwhile, a confluence of factors, including</w:t>
      </w:r>
      <w:r w:rsidR="00F62947">
        <w:rPr>
          <w:rFonts w:ascii="Times New Roman" w:eastAsia="標楷體" w:hint="eastAsia"/>
          <w:spacing w:val="0"/>
          <w:sz w:val="24"/>
          <w:szCs w:val="24"/>
        </w:rPr>
        <w:t xml:space="preserve"> a bleak global </w:t>
      </w:r>
      <w:r w:rsidR="00F62947">
        <w:rPr>
          <w:rFonts w:ascii="Times New Roman" w:eastAsia="標楷體"/>
          <w:spacing w:val="0"/>
          <w:sz w:val="24"/>
          <w:szCs w:val="24"/>
        </w:rPr>
        <w:t>economic</w:t>
      </w:r>
      <w:r w:rsidR="00F62947">
        <w:rPr>
          <w:rFonts w:ascii="Times New Roman" w:eastAsia="標楷體" w:hint="eastAsia"/>
          <w:spacing w:val="0"/>
          <w:sz w:val="24"/>
          <w:szCs w:val="24"/>
        </w:rPr>
        <w:t xml:space="preserve"> outlook and subdued inflation, increased dovishness by major central banks, and stronger sentiment for risk aversion</w:t>
      </w:r>
      <w:r w:rsidR="00F63238">
        <w:rPr>
          <w:rFonts w:ascii="Times New Roman" w:eastAsia="標楷體" w:hint="eastAsia"/>
          <w:spacing w:val="0"/>
          <w:sz w:val="24"/>
          <w:szCs w:val="24"/>
        </w:rPr>
        <w:t xml:space="preserve">, had sent more funds into bond markets, leading the yields on major 10-year government bonds to </w:t>
      </w:r>
      <w:r w:rsidR="00F62947">
        <w:rPr>
          <w:rFonts w:ascii="Times New Roman" w:eastAsia="標楷體" w:hint="eastAsia"/>
          <w:spacing w:val="0"/>
          <w:sz w:val="24"/>
          <w:szCs w:val="24"/>
        </w:rPr>
        <w:t>a near-term low</w:t>
      </w:r>
      <w:r w:rsidR="00D818C0">
        <w:rPr>
          <w:rFonts w:ascii="Times New Roman" w:eastAsia="標楷體" w:hint="eastAsia"/>
          <w:spacing w:val="0"/>
          <w:sz w:val="24"/>
          <w:szCs w:val="24"/>
        </w:rPr>
        <w:t xml:space="preserve">. </w:t>
      </w:r>
    </w:p>
    <w:p w:rsidR="00320649" w:rsidRDefault="00320649" w:rsidP="00C635C4">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The following uncertainties </w:t>
      </w:r>
      <w:r>
        <w:rPr>
          <w:rFonts w:ascii="Times New Roman" w:eastAsia="標楷體"/>
          <w:spacing w:val="0"/>
          <w:sz w:val="24"/>
          <w:szCs w:val="24"/>
        </w:rPr>
        <w:t>could</w:t>
      </w:r>
      <w:r>
        <w:rPr>
          <w:rFonts w:ascii="Times New Roman" w:eastAsia="標楷體" w:hint="eastAsia"/>
          <w:spacing w:val="0"/>
          <w:sz w:val="24"/>
          <w:szCs w:val="24"/>
        </w:rPr>
        <w:t xml:space="preserve"> tilt global economic risks further to the downside.  </w:t>
      </w:r>
    </w:p>
    <w:p w:rsidR="00320649" w:rsidRDefault="000015F2" w:rsidP="009D1157">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(1) </w:t>
      </w:r>
      <w:r w:rsidR="00F975FD">
        <w:rPr>
          <w:rFonts w:ascii="Times New Roman" w:eastAsia="標楷體" w:hint="eastAsia"/>
          <w:spacing w:val="0"/>
          <w:sz w:val="24"/>
          <w:szCs w:val="24"/>
        </w:rPr>
        <w:t>With trade tensions intensify</w:t>
      </w:r>
      <w:r w:rsidR="00E96B9C">
        <w:rPr>
          <w:rFonts w:ascii="Times New Roman" w:eastAsia="標楷體" w:hint="eastAsia"/>
          <w:spacing w:val="0"/>
          <w:sz w:val="24"/>
          <w:szCs w:val="24"/>
        </w:rPr>
        <w:t>ing</w:t>
      </w:r>
      <w:r w:rsidR="00F975FD">
        <w:rPr>
          <w:rFonts w:ascii="Times New Roman" w:eastAsia="標楷體" w:hint="eastAsia"/>
          <w:spacing w:val="0"/>
          <w:sz w:val="24"/>
          <w:szCs w:val="24"/>
        </w:rPr>
        <w:t xml:space="preserve"> between </w:t>
      </w:r>
      <w:r w:rsidR="00D837D1">
        <w:rPr>
          <w:rFonts w:ascii="Times New Roman" w:eastAsia="標楷體" w:hint="eastAsia"/>
          <w:spacing w:val="0"/>
          <w:sz w:val="24"/>
          <w:szCs w:val="24"/>
        </w:rPr>
        <w:t xml:space="preserve">the </w:t>
      </w:r>
      <w:r w:rsidR="00F975FD">
        <w:rPr>
          <w:rFonts w:ascii="Times New Roman" w:eastAsia="標楷體" w:hint="eastAsia"/>
          <w:spacing w:val="0"/>
          <w:sz w:val="24"/>
          <w:szCs w:val="24"/>
        </w:rPr>
        <w:t xml:space="preserve">US and China, the outcome of trade </w:t>
      </w:r>
      <w:r w:rsidR="00F975FD">
        <w:rPr>
          <w:rFonts w:ascii="Times New Roman" w:eastAsia="標楷體" w:hint="eastAsia"/>
          <w:spacing w:val="0"/>
          <w:sz w:val="24"/>
          <w:szCs w:val="24"/>
        </w:rPr>
        <w:lastRenderedPageBreak/>
        <w:t xml:space="preserve">talks ahead would impact global </w:t>
      </w:r>
      <w:r w:rsidR="00F975FD">
        <w:rPr>
          <w:rFonts w:ascii="Times New Roman" w:eastAsia="標楷體"/>
          <w:spacing w:val="0"/>
          <w:sz w:val="24"/>
          <w:szCs w:val="24"/>
        </w:rPr>
        <w:t>economic</w:t>
      </w:r>
      <w:r w:rsidR="00F975FD">
        <w:rPr>
          <w:rFonts w:ascii="Times New Roman" w:eastAsia="標楷體" w:hint="eastAsia"/>
          <w:spacing w:val="0"/>
          <w:sz w:val="24"/>
          <w:szCs w:val="24"/>
        </w:rPr>
        <w:t xml:space="preserve"> prospects. </w:t>
      </w:r>
    </w:p>
    <w:p w:rsidR="00F975FD" w:rsidRDefault="00F975FD" w:rsidP="009D115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(2) A pending </w:t>
      </w:r>
      <w:r>
        <w:rPr>
          <w:rFonts w:ascii="Times New Roman" w:eastAsia="標楷體"/>
          <w:spacing w:val="0"/>
          <w:sz w:val="24"/>
          <w:szCs w:val="24"/>
        </w:rPr>
        <w:t>“</w:t>
      </w:r>
      <w:r>
        <w:rPr>
          <w:rFonts w:ascii="Times New Roman" w:eastAsia="標楷體" w:hint="eastAsia"/>
          <w:spacing w:val="0"/>
          <w:sz w:val="24"/>
          <w:szCs w:val="24"/>
        </w:rPr>
        <w:t>no-deal</w:t>
      </w:r>
      <w:r>
        <w:rPr>
          <w:rFonts w:ascii="Times New Roman" w:eastAsia="標楷體"/>
          <w:spacing w:val="0"/>
          <w:sz w:val="24"/>
          <w:szCs w:val="24"/>
        </w:rPr>
        <w:t>”</w:t>
      </w:r>
      <w:r>
        <w:rPr>
          <w:rFonts w:ascii="Times New Roman" w:eastAsia="標楷體" w:hint="eastAsia"/>
          <w:spacing w:val="0"/>
          <w:sz w:val="24"/>
          <w:szCs w:val="24"/>
        </w:rPr>
        <w:t xml:space="preserve"> Brexit and Italy</w:t>
      </w:r>
      <w:r>
        <w:rPr>
          <w:rFonts w:ascii="Times New Roman" w:eastAsia="標楷體"/>
          <w:spacing w:val="0"/>
          <w:sz w:val="24"/>
          <w:szCs w:val="24"/>
        </w:rPr>
        <w:t>’</w:t>
      </w:r>
      <w:r>
        <w:rPr>
          <w:rFonts w:ascii="Times New Roman" w:eastAsia="標楷體" w:hint="eastAsia"/>
          <w:spacing w:val="0"/>
          <w:sz w:val="24"/>
          <w:szCs w:val="24"/>
        </w:rPr>
        <w:t xml:space="preserve">s declining fiscal health could add to European political and economic uncertainties </w:t>
      </w:r>
      <w:r w:rsidR="00EC0B41">
        <w:rPr>
          <w:rFonts w:ascii="Times New Roman" w:eastAsia="標楷體" w:hint="eastAsia"/>
          <w:spacing w:val="0"/>
          <w:sz w:val="24"/>
          <w:szCs w:val="24"/>
        </w:rPr>
        <w:t>and hamper financial stability of the region.</w:t>
      </w:r>
    </w:p>
    <w:p w:rsidR="00EC0B41" w:rsidRDefault="00EC0B41" w:rsidP="009D115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(3)</w:t>
      </w:r>
      <w:r w:rsidR="00F80057">
        <w:rPr>
          <w:rFonts w:ascii="Times New Roman" w:eastAsia="標楷體" w:hint="eastAsia"/>
          <w:spacing w:val="0"/>
          <w:sz w:val="24"/>
          <w:szCs w:val="24"/>
        </w:rPr>
        <w:t xml:space="preserve"> Non-financial sector debt is building up in the US and China while global financial fragility</w:t>
      </w:r>
      <w:r w:rsidR="00E96B9C">
        <w:rPr>
          <w:rFonts w:ascii="Times New Roman" w:eastAsia="標楷體" w:hint="eastAsia"/>
          <w:spacing w:val="0"/>
          <w:sz w:val="24"/>
          <w:szCs w:val="24"/>
        </w:rPr>
        <w:t xml:space="preserve"> is</w:t>
      </w:r>
      <w:r w:rsidR="00F80057">
        <w:rPr>
          <w:rFonts w:ascii="Times New Roman" w:eastAsia="標楷體" w:hint="eastAsia"/>
          <w:spacing w:val="0"/>
          <w:sz w:val="24"/>
          <w:szCs w:val="24"/>
        </w:rPr>
        <w:t xml:space="preserve"> increas</w:t>
      </w:r>
      <w:r w:rsidR="00E96B9C">
        <w:rPr>
          <w:rFonts w:ascii="Times New Roman" w:eastAsia="標楷體" w:hint="eastAsia"/>
          <w:spacing w:val="0"/>
          <w:sz w:val="24"/>
          <w:szCs w:val="24"/>
        </w:rPr>
        <w:t>ing</w:t>
      </w:r>
      <w:r w:rsidR="00F80057">
        <w:rPr>
          <w:rFonts w:ascii="Times New Roman" w:eastAsia="標楷體" w:hint="eastAsia"/>
          <w:spacing w:val="0"/>
          <w:sz w:val="24"/>
          <w:szCs w:val="24"/>
        </w:rPr>
        <w:t xml:space="preserve">, </w:t>
      </w:r>
      <w:r w:rsidR="00CC4D36">
        <w:rPr>
          <w:rFonts w:ascii="Times New Roman" w:eastAsia="標楷體" w:hint="eastAsia"/>
          <w:spacing w:val="0"/>
          <w:sz w:val="24"/>
          <w:szCs w:val="24"/>
        </w:rPr>
        <w:t xml:space="preserve">a threat to international financial and economic </w:t>
      </w:r>
      <w:r w:rsidR="0095584E">
        <w:rPr>
          <w:rFonts w:ascii="Times New Roman" w:eastAsia="標楷體" w:hint="eastAsia"/>
          <w:spacing w:val="0"/>
          <w:sz w:val="24"/>
          <w:szCs w:val="24"/>
        </w:rPr>
        <w:t>conditions</w:t>
      </w:r>
      <w:r w:rsidR="00CC4D36">
        <w:rPr>
          <w:rFonts w:ascii="Times New Roman" w:eastAsia="標楷體" w:hint="eastAsia"/>
          <w:spacing w:val="0"/>
          <w:sz w:val="24"/>
          <w:szCs w:val="24"/>
        </w:rPr>
        <w:t xml:space="preserve">. </w:t>
      </w:r>
    </w:p>
    <w:p w:rsidR="00CC4D36" w:rsidRDefault="00CC4D36" w:rsidP="009D115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(4) Heightened geopolitical risks could also cloud the global </w:t>
      </w:r>
      <w:r>
        <w:rPr>
          <w:rFonts w:ascii="Times New Roman" w:eastAsia="標楷體"/>
          <w:spacing w:val="0"/>
          <w:sz w:val="24"/>
          <w:szCs w:val="24"/>
        </w:rPr>
        <w:t>economic</w:t>
      </w:r>
      <w:r>
        <w:rPr>
          <w:rFonts w:ascii="Times New Roman" w:eastAsia="標楷體" w:hint="eastAsia"/>
          <w:spacing w:val="0"/>
          <w:sz w:val="24"/>
          <w:szCs w:val="24"/>
        </w:rPr>
        <w:t xml:space="preserve"> outlook.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Domestic</w:t>
      </w:r>
      <w:r w:rsidRPr="007F6F77">
        <w:rPr>
          <w:rFonts w:eastAsia="標楷體"/>
          <w:b/>
          <w:spacing w:val="-2"/>
          <w:sz w:val="24"/>
          <w:szCs w:val="28"/>
        </w:rPr>
        <w:t xml:space="preserve"> 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D46F1E" w:rsidRPr="007F6F77" w:rsidRDefault="00D46F1E" w:rsidP="00FA173A">
      <w:pPr>
        <w:adjustRightInd/>
        <w:spacing w:before="120" w:line="440" w:lineRule="exact"/>
        <w:textAlignment w:val="auto"/>
        <w:rPr>
          <w:rFonts w:eastAsia="標楷體"/>
          <w:spacing w:val="-2"/>
          <w:kern w:val="2"/>
          <w:sz w:val="24"/>
          <w:szCs w:val="28"/>
        </w:rPr>
      </w:pPr>
      <w:r w:rsidRPr="007F6F77">
        <w:rPr>
          <w:rFonts w:eastAsia="標楷體"/>
          <w:spacing w:val="-2"/>
          <w:kern w:val="2"/>
          <w:sz w:val="24"/>
          <w:szCs w:val="28"/>
        </w:rPr>
        <w:t>(</w:t>
      </w:r>
      <w:r w:rsidRPr="007F6F77">
        <w:rPr>
          <w:rFonts w:eastAsia="標楷體" w:hint="eastAsia"/>
          <w:spacing w:val="-2"/>
          <w:kern w:val="2"/>
          <w:sz w:val="24"/>
          <w:szCs w:val="28"/>
        </w:rPr>
        <w:t>1</w:t>
      </w:r>
      <w:r w:rsidRPr="007F6F77">
        <w:rPr>
          <w:rFonts w:eastAsia="標楷體"/>
          <w:spacing w:val="-2"/>
          <w:kern w:val="2"/>
          <w:sz w:val="24"/>
          <w:szCs w:val="28"/>
        </w:rPr>
        <w:t>)</w:t>
      </w:r>
      <w:r w:rsidRPr="007F6F77">
        <w:rPr>
          <w:rFonts w:eastAsia="標楷體" w:hint="eastAsia"/>
          <w:spacing w:val="-2"/>
          <w:kern w:val="2"/>
          <w:sz w:val="24"/>
          <w:szCs w:val="28"/>
        </w:rPr>
        <w:t xml:space="preserve"> Economic situation </w:t>
      </w:r>
    </w:p>
    <w:p w:rsidR="0095584E" w:rsidRDefault="0095584E" w:rsidP="009A41A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Growth momentum had been moderate so far this year. T</w:t>
      </w:r>
      <w:r w:rsidR="00B80AF4">
        <w:rPr>
          <w:rFonts w:ascii="Times New Roman" w:eastAsia="標楷體" w:hint="eastAsia"/>
          <w:spacing w:val="0"/>
          <w:sz w:val="24"/>
          <w:szCs w:val="24"/>
        </w:rPr>
        <w:t xml:space="preserve">he domestic </w:t>
      </w:r>
      <w:r w:rsidR="000208F9" w:rsidRPr="007F6F77">
        <w:rPr>
          <w:rFonts w:ascii="Times New Roman" w:eastAsia="標楷體" w:hint="eastAsia"/>
          <w:spacing w:val="0"/>
          <w:sz w:val="24"/>
          <w:szCs w:val="24"/>
        </w:rPr>
        <w:t>business climate monitor</w:t>
      </w:r>
      <w:r w:rsidR="002A33F7">
        <w:rPr>
          <w:rFonts w:ascii="Times New Roman" w:eastAsia="標楷體" w:hint="eastAsia"/>
          <w:spacing w:val="0"/>
          <w:sz w:val="24"/>
          <w:szCs w:val="24"/>
        </w:rPr>
        <w:t xml:space="preserve"> </w:t>
      </w:r>
      <w:r>
        <w:rPr>
          <w:rFonts w:ascii="Times New Roman" w:eastAsia="標楷體" w:hint="eastAsia"/>
          <w:spacing w:val="0"/>
          <w:sz w:val="24"/>
          <w:szCs w:val="24"/>
        </w:rPr>
        <w:t xml:space="preserve">had </w:t>
      </w:r>
      <w:r>
        <w:rPr>
          <w:rFonts w:ascii="Times New Roman" w:eastAsia="標楷體"/>
          <w:spacing w:val="0"/>
          <w:sz w:val="24"/>
          <w:szCs w:val="24"/>
        </w:rPr>
        <w:t>signaled</w:t>
      </w:r>
      <w:r>
        <w:rPr>
          <w:rFonts w:ascii="Times New Roman" w:eastAsia="標楷體" w:hint="eastAsia"/>
          <w:spacing w:val="0"/>
          <w:sz w:val="24"/>
          <w:szCs w:val="24"/>
        </w:rPr>
        <w:t xml:space="preserve"> </w:t>
      </w:r>
      <w:r w:rsidR="002A33F7">
        <w:rPr>
          <w:rFonts w:ascii="Times New Roman" w:eastAsia="標楷體" w:hint="eastAsia"/>
          <w:spacing w:val="0"/>
          <w:sz w:val="24"/>
          <w:szCs w:val="24"/>
        </w:rPr>
        <w:t>a yellow-blue light</w:t>
      </w:r>
      <w:r>
        <w:rPr>
          <w:rFonts w:ascii="Times New Roman" w:eastAsia="標楷體" w:hint="eastAsia"/>
          <w:spacing w:val="0"/>
          <w:sz w:val="24"/>
          <w:szCs w:val="24"/>
        </w:rPr>
        <w:t xml:space="preserve"> for four months in a row. While leading indicators had risen, </w:t>
      </w:r>
      <w:r w:rsidR="00092585" w:rsidRPr="007F6F77">
        <w:rPr>
          <w:rFonts w:ascii="Times New Roman" w:eastAsia="標楷體" w:hint="eastAsia"/>
          <w:spacing w:val="0"/>
          <w:sz w:val="24"/>
          <w:szCs w:val="24"/>
        </w:rPr>
        <w:t>coincident indicators</w:t>
      </w:r>
      <w:r w:rsidR="00641684" w:rsidRPr="007F6F77">
        <w:rPr>
          <w:rFonts w:ascii="Times New Roman" w:eastAsia="標楷體" w:hint="eastAsia"/>
          <w:spacing w:val="0"/>
          <w:sz w:val="24"/>
          <w:szCs w:val="24"/>
        </w:rPr>
        <w:t xml:space="preserve"> </w:t>
      </w:r>
      <w:r>
        <w:rPr>
          <w:rFonts w:ascii="Times New Roman" w:eastAsia="標楷體" w:hint="eastAsia"/>
          <w:spacing w:val="0"/>
          <w:sz w:val="24"/>
          <w:szCs w:val="24"/>
        </w:rPr>
        <w:t xml:space="preserve">had </w:t>
      </w:r>
      <w:r w:rsidR="00641684" w:rsidRPr="007F6F77">
        <w:rPr>
          <w:rFonts w:ascii="Times New Roman" w:eastAsia="標楷體" w:hint="eastAsia"/>
          <w:spacing w:val="0"/>
          <w:sz w:val="24"/>
          <w:szCs w:val="24"/>
        </w:rPr>
        <w:t xml:space="preserve">continued </w:t>
      </w:r>
      <w:r w:rsidR="009A41A8">
        <w:rPr>
          <w:rFonts w:ascii="Times New Roman" w:eastAsia="標楷體" w:hint="eastAsia"/>
          <w:spacing w:val="0"/>
          <w:sz w:val="24"/>
          <w:szCs w:val="24"/>
        </w:rPr>
        <w:t xml:space="preserve">to fall. </w:t>
      </w:r>
      <w:r>
        <w:rPr>
          <w:rFonts w:ascii="Times New Roman" w:eastAsia="標楷體" w:hint="eastAsia"/>
          <w:spacing w:val="0"/>
          <w:sz w:val="24"/>
          <w:szCs w:val="24"/>
        </w:rPr>
        <w:t xml:space="preserve">These </w:t>
      </w:r>
      <w:r w:rsidR="009A41A8">
        <w:rPr>
          <w:rFonts w:ascii="Times New Roman" w:eastAsia="標楷體" w:hint="eastAsia"/>
          <w:spacing w:val="0"/>
          <w:sz w:val="24"/>
          <w:szCs w:val="24"/>
        </w:rPr>
        <w:t>combined to obscure the near-term outlook</w:t>
      </w:r>
      <w:r w:rsidR="00D81669">
        <w:rPr>
          <w:rFonts w:ascii="Times New Roman" w:eastAsia="標楷體" w:hint="eastAsia"/>
          <w:spacing w:val="0"/>
          <w:sz w:val="24"/>
          <w:szCs w:val="24"/>
        </w:rPr>
        <w:t>, warranting close monitoring</w:t>
      </w:r>
      <w:r w:rsidR="009A41A8">
        <w:rPr>
          <w:rFonts w:ascii="Times New Roman" w:eastAsia="標楷體" w:hint="eastAsia"/>
          <w:spacing w:val="0"/>
          <w:sz w:val="24"/>
          <w:szCs w:val="24"/>
        </w:rPr>
        <w:t xml:space="preserve">. </w:t>
      </w:r>
    </w:p>
    <w:p w:rsidR="00B80AF4" w:rsidRDefault="00F90EB1" w:rsidP="009558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For the </w:t>
      </w:r>
      <w:r>
        <w:rPr>
          <w:rFonts w:ascii="Times New Roman" w:eastAsia="標楷體"/>
          <w:spacing w:val="0"/>
          <w:sz w:val="24"/>
          <w:szCs w:val="24"/>
        </w:rPr>
        <w:t>economy</w:t>
      </w:r>
      <w:r>
        <w:rPr>
          <w:rFonts w:ascii="Times New Roman" w:eastAsia="標楷體" w:hint="eastAsia"/>
          <w:spacing w:val="0"/>
          <w:sz w:val="24"/>
          <w:szCs w:val="24"/>
        </w:rPr>
        <w:t xml:space="preserve"> as a whole, growth was projected to gather pace quarter by quarter, supported by government stimulus measures to shore up domestic demand, as well as a lower base from the previous year. The Bank forecast Taiwan</w:t>
      </w:r>
      <w:r>
        <w:rPr>
          <w:rFonts w:ascii="Times New Roman" w:eastAsia="標楷體"/>
          <w:spacing w:val="0"/>
          <w:sz w:val="24"/>
          <w:szCs w:val="24"/>
        </w:rPr>
        <w:t>’</w:t>
      </w:r>
      <w:r>
        <w:rPr>
          <w:rFonts w:ascii="Times New Roman" w:eastAsia="標楷體" w:hint="eastAsia"/>
          <w:spacing w:val="0"/>
          <w:sz w:val="24"/>
          <w:szCs w:val="24"/>
        </w:rPr>
        <w:t xml:space="preserve">s economy to grow 2.36% in the second half of the year, higher than the 1.73% of the first half of the year. The </w:t>
      </w:r>
      <w:r>
        <w:rPr>
          <w:rFonts w:ascii="Times New Roman" w:eastAsia="標楷體"/>
          <w:spacing w:val="0"/>
          <w:sz w:val="24"/>
          <w:szCs w:val="24"/>
        </w:rPr>
        <w:t>economy</w:t>
      </w:r>
      <w:r>
        <w:rPr>
          <w:rFonts w:ascii="Times New Roman" w:eastAsia="標楷體" w:hint="eastAsia"/>
          <w:spacing w:val="0"/>
          <w:sz w:val="24"/>
          <w:szCs w:val="24"/>
        </w:rPr>
        <w:t xml:space="preserve"> was forecast to expand 2.06% for the entire year, with domestic demand the main driver of growth. However, </w:t>
      </w:r>
      <w:r w:rsidR="00D81669">
        <w:rPr>
          <w:rFonts w:ascii="Times New Roman" w:eastAsia="標楷體" w:hint="eastAsia"/>
          <w:spacing w:val="0"/>
          <w:sz w:val="24"/>
          <w:szCs w:val="24"/>
        </w:rPr>
        <w:t xml:space="preserve">future developments </w:t>
      </w:r>
      <w:r w:rsidR="00092E5C">
        <w:rPr>
          <w:rFonts w:ascii="Times New Roman" w:eastAsia="標楷體" w:hint="eastAsia"/>
          <w:spacing w:val="0"/>
          <w:sz w:val="24"/>
          <w:szCs w:val="24"/>
        </w:rPr>
        <w:t xml:space="preserve">in </w:t>
      </w:r>
      <w:r>
        <w:rPr>
          <w:rFonts w:ascii="Times New Roman" w:eastAsia="標楷體" w:hint="eastAsia"/>
          <w:spacing w:val="0"/>
          <w:sz w:val="24"/>
          <w:szCs w:val="24"/>
        </w:rPr>
        <w:t xml:space="preserve">US-China </w:t>
      </w:r>
      <w:r w:rsidR="00D81669">
        <w:rPr>
          <w:rFonts w:ascii="Times New Roman" w:eastAsia="標楷體" w:hint="eastAsia"/>
          <w:spacing w:val="0"/>
          <w:sz w:val="24"/>
          <w:szCs w:val="24"/>
        </w:rPr>
        <w:t xml:space="preserve">trade talks </w:t>
      </w:r>
      <w:r w:rsidR="00092E5C">
        <w:rPr>
          <w:rFonts w:ascii="Times New Roman" w:eastAsia="標楷體" w:hint="eastAsia"/>
          <w:spacing w:val="0"/>
          <w:sz w:val="24"/>
          <w:szCs w:val="24"/>
        </w:rPr>
        <w:t xml:space="preserve">would be a </w:t>
      </w:r>
      <w:r w:rsidR="0071379E">
        <w:rPr>
          <w:rFonts w:ascii="Times New Roman" w:eastAsia="標楷體" w:hint="eastAsia"/>
          <w:spacing w:val="0"/>
          <w:sz w:val="24"/>
          <w:szCs w:val="24"/>
        </w:rPr>
        <w:t>crucial factor in this outlook.</w:t>
      </w:r>
    </w:p>
    <w:p w:rsidR="00F90EB1" w:rsidRDefault="006B7A4A" w:rsidP="009558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terms of GDP by expenditure</w:t>
      </w:r>
      <w:r w:rsidR="00D1334C">
        <w:rPr>
          <w:rFonts w:ascii="Times New Roman" w:eastAsia="標楷體" w:hint="eastAsia"/>
          <w:spacing w:val="0"/>
          <w:sz w:val="24"/>
          <w:szCs w:val="24"/>
        </w:rPr>
        <w:t xml:space="preserve"> components</w:t>
      </w:r>
      <w:r>
        <w:rPr>
          <w:rFonts w:ascii="Times New Roman" w:eastAsia="標楷體" w:hint="eastAsia"/>
          <w:spacing w:val="0"/>
          <w:sz w:val="24"/>
          <w:szCs w:val="24"/>
        </w:rPr>
        <w:t>, exports contracted during the first five months of the year</w:t>
      </w:r>
      <w:r w:rsidR="00D1334C">
        <w:rPr>
          <w:rFonts w:ascii="Times New Roman" w:eastAsia="標楷體" w:hint="eastAsia"/>
          <w:spacing w:val="0"/>
          <w:sz w:val="24"/>
          <w:szCs w:val="24"/>
        </w:rPr>
        <w:t xml:space="preserve"> owing to US-China trade friction and a slowing global economy. External demand would remain weak in the second half of the year, but orders arising from new business opportunities and transferred </w:t>
      </w:r>
      <w:r w:rsidR="0070338C">
        <w:rPr>
          <w:rFonts w:ascii="Times New Roman" w:eastAsia="標楷體" w:hint="eastAsia"/>
          <w:spacing w:val="0"/>
          <w:sz w:val="24"/>
          <w:szCs w:val="24"/>
        </w:rPr>
        <w:t xml:space="preserve">from areas subject to higher US or Chinese tariffs might shore up export growth. The Bank expected exports to register mild </w:t>
      </w:r>
      <w:r w:rsidR="0070338C">
        <w:rPr>
          <w:rFonts w:ascii="Times New Roman" w:eastAsia="標楷體"/>
          <w:spacing w:val="0"/>
          <w:sz w:val="24"/>
          <w:szCs w:val="24"/>
        </w:rPr>
        <w:t>growth</w:t>
      </w:r>
      <w:r w:rsidR="0070338C">
        <w:rPr>
          <w:rFonts w:ascii="Times New Roman" w:eastAsia="標楷體" w:hint="eastAsia"/>
          <w:spacing w:val="0"/>
          <w:sz w:val="24"/>
          <w:szCs w:val="24"/>
        </w:rPr>
        <w:t xml:space="preserve"> in real terms for the year of 2019. </w:t>
      </w:r>
    </w:p>
    <w:p w:rsidR="0070338C" w:rsidRDefault="00E524FB" w:rsidP="00D159A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As to domestic demand, </w:t>
      </w:r>
      <w:r w:rsidR="001424C0">
        <w:rPr>
          <w:rFonts w:ascii="Times New Roman" w:eastAsia="標楷體" w:hint="eastAsia"/>
          <w:spacing w:val="0"/>
          <w:sz w:val="24"/>
          <w:szCs w:val="24"/>
        </w:rPr>
        <w:t>investment in machinery equipment</w:t>
      </w:r>
      <w:r w:rsidR="00D159A1">
        <w:rPr>
          <w:rFonts w:ascii="Times New Roman" w:eastAsia="標楷體" w:hint="eastAsia"/>
          <w:spacing w:val="0"/>
          <w:sz w:val="24"/>
          <w:szCs w:val="24"/>
        </w:rPr>
        <w:t xml:space="preserve"> and construction works had continued to increase. </w:t>
      </w:r>
      <w:r w:rsidR="00AB3860">
        <w:rPr>
          <w:rFonts w:ascii="Times New Roman" w:eastAsia="標楷體" w:hint="eastAsia"/>
          <w:spacing w:val="0"/>
          <w:sz w:val="24"/>
          <w:szCs w:val="24"/>
        </w:rPr>
        <w:t>T</w:t>
      </w:r>
      <w:r w:rsidR="00D159A1">
        <w:rPr>
          <w:rFonts w:ascii="Times New Roman" w:eastAsia="標楷體" w:hint="eastAsia"/>
          <w:spacing w:val="0"/>
          <w:sz w:val="24"/>
          <w:szCs w:val="24"/>
        </w:rPr>
        <w:t xml:space="preserve">he government had carried on with the signature </w:t>
      </w:r>
      <w:r w:rsidR="00D159A1" w:rsidRPr="00D159A1">
        <w:rPr>
          <w:rFonts w:ascii="Times New Roman" w:eastAsia="標楷體"/>
          <w:spacing w:val="0"/>
          <w:sz w:val="24"/>
          <w:szCs w:val="24"/>
        </w:rPr>
        <w:t>Forward-looking Infrastructure Development Program</w:t>
      </w:r>
      <w:r w:rsidR="00D159A1">
        <w:rPr>
          <w:rFonts w:ascii="Times New Roman" w:eastAsia="標楷體" w:hint="eastAsia"/>
          <w:spacing w:val="0"/>
          <w:sz w:val="24"/>
          <w:szCs w:val="24"/>
        </w:rPr>
        <w:t xml:space="preserve"> and efforts in encouraging Taiwanese businessmen to invest back in Taiwan. In this view, the Bank expected this year</w:t>
      </w:r>
      <w:r w:rsidR="00D159A1">
        <w:rPr>
          <w:rFonts w:ascii="Times New Roman" w:eastAsia="標楷體"/>
          <w:spacing w:val="0"/>
          <w:sz w:val="24"/>
          <w:szCs w:val="24"/>
        </w:rPr>
        <w:t>’</w:t>
      </w:r>
      <w:r w:rsidR="00B85C94">
        <w:rPr>
          <w:rFonts w:ascii="Times New Roman" w:eastAsia="標楷體" w:hint="eastAsia"/>
          <w:spacing w:val="0"/>
          <w:sz w:val="24"/>
          <w:szCs w:val="24"/>
        </w:rPr>
        <w:t xml:space="preserve">s real private investment to </w:t>
      </w:r>
      <w:r w:rsidR="00B85C94">
        <w:rPr>
          <w:rFonts w:ascii="Times New Roman" w:eastAsia="標楷體" w:hint="eastAsia"/>
          <w:spacing w:val="0"/>
          <w:sz w:val="24"/>
          <w:szCs w:val="24"/>
        </w:rPr>
        <w:lastRenderedPageBreak/>
        <w:t>grow steadily. With respect to private consumption, slower economic growth</w:t>
      </w:r>
      <w:r w:rsidR="00AB3860">
        <w:rPr>
          <w:rFonts w:ascii="Times New Roman" w:eastAsia="標楷體" w:hint="eastAsia"/>
          <w:spacing w:val="0"/>
          <w:sz w:val="24"/>
          <w:szCs w:val="24"/>
        </w:rPr>
        <w:t xml:space="preserve">, </w:t>
      </w:r>
      <w:r w:rsidR="00B85C94">
        <w:rPr>
          <w:rFonts w:ascii="Times New Roman" w:eastAsia="標楷體" w:hint="eastAsia"/>
          <w:spacing w:val="0"/>
          <w:sz w:val="24"/>
          <w:szCs w:val="24"/>
        </w:rPr>
        <w:t>thinner corporate profits</w:t>
      </w:r>
      <w:r w:rsidR="00AB3860">
        <w:rPr>
          <w:rFonts w:ascii="Times New Roman" w:eastAsia="標楷體" w:hint="eastAsia"/>
          <w:spacing w:val="0"/>
          <w:sz w:val="24"/>
          <w:szCs w:val="24"/>
        </w:rPr>
        <w:t>, weaker wage growth momentum, and falling consumer confidence led the Bank to project this year</w:t>
      </w:r>
      <w:r w:rsidR="00AB3860">
        <w:rPr>
          <w:rFonts w:ascii="Times New Roman" w:eastAsia="標楷體"/>
          <w:spacing w:val="0"/>
          <w:sz w:val="24"/>
          <w:szCs w:val="24"/>
        </w:rPr>
        <w:t>’</w:t>
      </w:r>
      <w:r w:rsidR="00AB3860">
        <w:rPr>
          <w:rFonts w:ascii="Times New Roman" w:eastAsia="標楷體" w:hint="eastAsia"/>
          <w:spacing w:val="0"/>
          <w:sz w:val="24"/>
          <w:szCs w:val="24"/>
        </w:rPr>
        <w:t>s real growth in private consumption would be slower than the previous year.</w:t>
      </w:r>
    </w:p>
    <w:p w:rsidR="00AB3860" w:rsidRDefault="00AB3860" w:rsidP="00AB3860">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Meanwhile, labor market conditions remained stable. For the first four months of 2019, the average unemployment rate rose slightly year on year and regular earnings grew at a somewhat slower rate. By contrast, the number of employed persons continued</w:t>
      </w:r>
      <w:r w:rsidR="00E96B9C">
        <w:rPr>
          <w:rFonts w:ascii="Times New Roman" w:eastAsia="標楷體" w:hint="eastAsia"/>
          <w:spacing w:val="0"/>
          <w:sz w:val="24"/>
          <w:szCs w:val="24"/>
        </w:rPr>
        <w:t xml:space="preserve"> to</w:t>
      </w:r>
      <w:r>
        <w:rPr>
          <w:rFonts w:ascii="Times New Roman" w:eastAsia="標楷體" w:hint="eastAsia"/>
          <w:spacing w:val="0"/>
          <w:sz w:val="24"/>
          <w:szCs w:val="24"/>
        </w:rPr>
        <w:t xml:space="preserve"> incre</w:t>
      </w:r>
      <w:r w:rsidR="00E96B9C">
        <w:rPr>
          <w:rFonts w:ascii="Times New Roman" w:eastAsia="標楷體" w:hint="eastAsia"/>
          <w:spacing w:val="0"/>
          <w:sz w:val="24"/>
          <w:szCs w:val="24"/>
        </w:rPr>
        <w:t>ase</w:t>
      </w:r>
      <w:r>
        <w:rPr>
          <w:rFonts w:ascii="Times New Roman" w:eastAsia="標楷體" w:hint="eastAsia"/>
          <w:spacing w:val="0"/>
          <w:sz w:val="24"/>
          <w:szCs w:val="24"/>
        </w:rPr>
        <w:t xml:space="preserve">. </w:t>
      </w:r>
    </w:p>
    <w:p w:rsidR="00750B45" w:rsidRPr="007F6F77" w:rsidRDefault="00D46F1E" w:rsidP="00FA173A">
      <w:pPr>
        <w:adjustRightInd/>
        <w:spacing w:before="120" w:line="440" w:lineRule="exact"/>
        <w:textAlignment w:val="auto"/>
        <w:rPr>
          <w:rFonts w:eastAsia="標楷體"/>
          <w:spacing w:val="-2"/>
          <w:sz w:val="28"/>
          <w:szCs w:val="24"/>
        </w:rPr>
      </w:pPr>
      <w:r w:rsidRPr="007F6F77">
        <w:rPr>
          <w:rFonts w:eastAsia="標楷體" w:hint="eastAsia"/>
          <w:spacing w:val="-2"/>
          <w:sz w:val="24"/>
          <w:szCs w:val="28"/>
        </w:rPr>
        <w:t>(2) Financial conditions</w:t>
      </w:r>
      <w:r w:rsidR="00590406" w:rsidRPr="007F6F77">
        <w:rPr>
          <w:rFonts w:eastAsia="標楷體"/>
          <w:spacing w:val="-2"/>
          <w:sz w:val="28"/>
          <w:szCs w:val="24"/>
        </w:rPr>
        <w:t xml:space="preserve"> </w:t>
      </w:r>
    </w:p>
    <w:p w:rsidR="003A1D51" w:rsidRDefault="00C329CB" w:rsidP="0043558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Since the month of May, net foreign capital outflows and tax revenue inflows into the national treasury had caused market funding conditions to slightly tighten and short-term interest rates to edge up. </w:t>
      </w:r>
      <w:r w:rsidR="00935E58">
        <w:rPr>
          <w:rFonts w:ascii="Times New Roman" w:eastAsia="標楷體" w:hint="eastAsia"/>
          <w:spacing w:val="0"/>
          <w:sz w:val="24"/>
          <w:szCs w:val="24"/>
        </w:rPr>
        <w:t xml:space="preserve">As the </w:t>
      </w:r>
      <w:r>
        <w:rPr>
          <w:rFonts w:ascii="Times New Roman" w:eastAsia="標楷體" w:hint="eastAsia"/>
          <w:spacing w:val="0"/>
          <w:sz w:val="24"/>
          <w:szCs w:val="24"/>
        </w:rPr>
        <w:t>Bank con</w:t>
      </w:r>
      <w:r w:rsidR="00935E58">
        <w:rPr>
          <w:rFonts w:ascii="Times New Roman" w:eastAsia="標楷體" w:hint="eastAsia"/>
          <w:spacing w:val="0"/>
          <w:sz w:val="24"/>
          <w:szCs w:val="24"/>
        </w:rPr>
        <w:t>ducted</w:t>
      </w:r>
      <w:r>
        <w:rPr>
          <w:rFonts w:ascii="Times New Roman" w:eastAsia="標楷體" w:hint="eastAsia"/>
          <w:spacing w:val="0"/>
          <w:sz w:val="24"/>
          <w:szCs w:val="24"/>
        </w:rPr>
        <w:t xml:space="preserve"> open </w:t>
      </w:r>
      <w:r>
        <w:rPr>
          <w:rFonts w:ascii="Times New Roman" w:eastAsia="標楷體"/>
          <w:spacing w:val="0"/>
          <w:sz w:val="24"/>
          <w:szCs w:val="24"/>
        </w:rPr>
        <w:t>market</w:t>
      </w:r>
      <w:r>
        <w:rPr>
          <w:rFonts w:ascii="Times New Roman" w:eastAsia="標楷體" w:hint="eastAsia"/>
          <w:spacing w:val="0"/>
          <w:sz w:val="24"/>
          <w:szCs w:val="24"/>
        </w:rPr>
        <w:t xml:space="preserve"> operations to manage liquidity as warranted, the average bank excess reserves </w:t>
      </w:r>
      <w:r w:rsidR="00935E58">
        <w:rPr>
          <w:rFonts w:ascii="Times New Roman" w:eastAsia="標楷體" w:hint="eastAsia"/>
          <w:spacing w:val="0"/>
          <w:sz w:val="24"/>
          <w:szCs w:val="24"/>
        </w:rPr>
        <w:t xml:space="preserve">had stayed </w:t>
      </w:r>
      <w:r>
        <w:rPr>
          <w:rFonts w:ascii="Times New Roman" w:eastAsia="標楷體" w:hint="eastAsia"/>
          <w:spacing w:val="0"/>
          <w:sz w:val="24"/>
          <w:szCs w:val="24"/>
        </w:rPr>
        <w:t>above NT$40 billion</w:t>
      </w:r>
      <w:r w:rsidR="00935E58">
        <w:rPr>
          <w:rFonts w:ascii="Times New Roman" w:eastAsia="標楷體" w:hint="eastAsia"/>
          <w:spacing w:val="0"/>
          <w:sz w:val="24"/>
          <w:szCs w:val="24"/>
        </w:rPr>
        <w:t xml:space="preserve"> in recent </w:t>
      </w:r>
      <w:r w:rsidR="00D837D1">
        <w:rPr>
          <w:rFonts w:ascii="Times New Roman" w:eastAsia="標楷體" w:hint="eastAsia"/>
          <w:spacing w:val="0"/>
          <w:sz w:val="24"/>
          <w:szCs w:val="24"/>
        </w:rPr>
        <w:t>month</w:t>
      </w:r>
      <w:r w:rsidR="00935E58">
        <w:rPr>
          <w:rFonts w:ascii="Times New Roman" w:eastAsia="標楷體" w:hint="eastAsia"/>
          <w:spacing w:val="0"/>
          <w:sz w:val="24"/>
          <w:szCs w:val="24"/>
        </w:rPr>
        <w:t xml:space="preserve">s. Compared to major economies and adjusted for inflation, </w:t>
      </w:r>
      <w:r w:rsidR="00935E58" w:rsidRPr="007F6F77">
        <w:rPr>
          <w:rFonts w:ascii="Times New Roman" w:eastAsia="標楷體" w:hint="eastAsia"/>
          <w:spacing w:val="0"/>
          <w:sz w:val="24"/>
          <w:szCs w:val="24"/>
        </w:rPr>
        <w:t>Taiwan</w:t>
      </w:r>
      <w:r w:rsidR="00935E58" w:rsidRPr="007F6F77">
        <w:rPr>
          <w:rFonts w:ascii="Times New Roman" w:eastAsia="標楷體"/>
          <w:spacing w:val="0"/>
          <w:sz w:val="24"/>
          <w:szCs w:val="24"/>
        </w:rPr>
        <w:t>’</w:t>
      </w:r>
      <w:r w:rsidR="00935E58" w:rsidRPr="007F6F77">
        <w:rPr>
          <w:rFonts w:ascii="Times New Roman" w:eastAsia="標楷體" w:hint="eastAsia"/>
          <w:spacing w:val="0"/>
          <w:sz w:val="24"/>
          <w:szCs w:val="24"/>
        </w:rPr>
        <w:t xml:space="preserve">s real interest rate </w:t>
      </w:r>
      <w:r w:rsidR="00002236">
        <w:rPr>
          <w:rFonts w:ascii="Times New Roman" w:eastAsia="標楷體" w:hint="eastAsia"/>
          <w:spacing w:val="0"/>
          <w:sz w:val="24"/>
          <w:szCs w:val="24"/>
        </w:rPr>
        <w:t>had been</w:t>
      </w:r>
      <w:r w:rsidR="00935E58">
        <w:rPr>
          <w:rFonts w:ascii="Times New Roman" w:eastAsia="標楷體" w:hint="eastAsia"/>
          <w:spacing w:val="0"/>
          <w:sz w:val="24"/>
          <w:szCs w:val="24"/>
        </w:rPr>
        <w:t xml:space="preserve"> </w:t>
      </w:r>
      <w:r w:rsidR="00935E58" w:rsidRPr="007F6F77">
        <w:rPr>
          <w:rFonts w:ascii="Times New Roman" w:eastAsia="標楷體" w:hint="eastAsia"/>
          <w:spacing w:val="0"/>
          <w:sz w:val="24"/>
          <w:szCs w:val="24"/>
        </w:rPr>
        <w:t>around the middle of the range.</w:t>
      </w:r>
      <w:r w:rsidR="00935E58">
        <w:rPr>
          <w:rFonts w:ascii="Times New Roman" w:eastAsia="標楷體" w:hint="eastAsia"/>
          <w:spacing w:val="0"/>
          <w:sz w:val="24"/>
          <w:szCs w:val="24"/>
        </w:rPr>
        <w:t xml:space="preserve"> Taiwan</w:t>
      </w:r>
      <w:r w:rsidR="00935E58">
        <w:rPr>
          <w:rFonts w:ascii="Times New Roman" w:eastAsia="標楷體"/>
          <w:spacing w:val="0"/>
          <w:sz w:val="24"/>
          <w:szCs w:val="24"/>
        </w:rPr>
        <w:t>’</w:t>
      </w:r>
      <w:r w:rsidR="00935E58">
        <w:rPr>
          <w:rFonts w:ascii="Times New Roman" w:eastAsia="標楷體" w:hint="eastAsia"/>
          <w:spacing w:val="0"/>
          <w:sz w:val="24"/>
          <w:szCs w:val="24"/>
        </w:rPr>
        <w:t xml:space="preserve">s 10-year government bond yield </w:t>
      </w:r>
      <w:r w:rsidR="00435582">
        <w:rPr>
          <w:rFonts w:ascii="Times New Roman" w:eastAsia="標楷體" w:hint="eastAsia"/>
          <w:spacing w:val="0"/>
          <w:sz w:val="24"/>
          <w:szCs w:val="24"/>
        </w:rPr>
        <w:t xml:space="preserve">ticked lower, mainly in step with a decline in the 10-year US treasury yield. The NT dollar </w:t>
      </w:r>
      <w:r w:rsidR="00002236">
        <w:rPr>
          <w:rFonts w:ascii="Times New Roman" w:eastAsia="標楷體" w:hint="eastAsia"/>
          <w:spacing w:val="0"/>
          <w:sz w:val="24"/>
          <w:szCs w:val="24"/>
        </w:rPr>
        <w:t xml:space="preserve">had </w:t>
      </w:r>
      <w:r w:rsidR="00435582">
        <w:rPr>
          <w:rFonts w:ascii="Times New Roman" w:eastAsia="標楷體" w:hint="eastAsia"/>
          <w:spacing w:val="0"/>
          <w:sz w:val="24"/>
          <w:szCs w:val="24"/>
        </w:rPr>
        <w:t xml:space="preserve">depreciated against the US dollar amid international dollar strength. Overall, domestic financial conditions </w:t>
      </w:r>
      <w:r w:rsidR="00435582">
        <w:rPr>
          <w:rFonts w:ascii="Times New Roman" w:eastAsia="標楷體"/>
          <w:spacing w:val="0"/>
          <w:sz w:val="24"/>
          <w:szCs w:val="24"/>
        </w:rPr>
        <w:t>remained</w:t>
      </w:r>
      <w:r w:rsidR="00435582">
        <w:rPr>
          <w:rFonts w:ascii="Times New Roman" w:eastAsia="標楷體" w:hint="eastAsia"/>
          <w:spacing w:val="0"/>
          <w:sz w:val="24"/>
          <w:szCs w:val="24"/>
        </w:rPr>
        <w:t xml:space="preserve"> </w:t>
      </w:r>
      <w:r w:rsidR="00D730B5">
        <w:rPr>
          <w:rFonts w:ascii="Times New Roman" w:eastAsia="標楷體" w:hint="eastAsia"/>
          <w:spacing w:val="0"/>
          <w:sz w:val="24"/>
          <w:szCs w:val="24"/>
        </w:rPr>
        <w:t>on the accommodative side.</w:t>
      </w:r>
    </w:p>
    <w:p w:rsidR="00D730B5" w:rsidRDefault="00D730B5" w:rsidP="0043558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regard to monetary and credit conditions, the monetary aggregate M2 grew at an average rate of 3.25% year on year during the Jan.-May period, within the Bank</w:t>
      </w:r>
      <w:r>
        <w:rPr>
          <w:rFonts w:ascii="Times New Roman" w:eastAsia="標楷體"/>
          <w:spacing w:val="0"/>
          <w:sz w:val="24"/>
          <w:szCs w:val="24"/>
        </w:rPr>
        <w:t>’</w:t>
      </w:r>
      <w:r>
        <w:rPr>
          <w:rFonts w:ascii="Times New Roman" w:eastAsia="標楷體" w:hint="eastAsia"/>
          <w:spacing w:val="0"/>
          <w:sz w:val="24"/>
          <w:szCs w:val="24"/>
        </w:rPr>
        <w:t xml:space="preserve">s target range for this year. For the same period, </w:t>
      </w:r>
      <w:r w:rsidR="00D837D1">
        <w:rPr>
          <w:rFonts w:ascii="Times New Roman" w:eastAsia="標楷體" w:hint="eastAsia"/>
          <w:spacing w:val="0"/>
          <w:sz w:val="24"/>
          <w:szCs w:val="24"/>
        </w:rPr>
        <w:t xml:space="preserve">growth in </w:t>
      </w:r>
      <w:r w:rsidR="008104D1">
        <w:rPr>
          <w:rFonts w:ascii="Times New Roman" w:eastAsia="標楷體" w:hint="eastAsia"/>
          <w:spacing w:val="0"/>
          <w:sz w:val="24"/>
          <w:szCs w:val="24"/>
        </w:rPr>
        <w:t xml:space="preserve">bank lending </w:t>
      </w:r>
      <w:r w:rsidR="00D837D1">
        <w:rPr>
          <w:rFonts w:ascii="Times New Roman" w:eastAsia="標楷體" w:hint="eastAsia"/>
          <w:spacing w:val="0"/>
          <w:sz w:val="24"/>
          <w:szCs w:val="24"/>
        </w:rPr>
        <w:t>slowed down</w:t>
      </w:r>
      <w:r w:rsidR="008104D1">
        <w:rPr>
          <w:rFonts w:ascii="Times New Roman" w:eastAsia="標楷體" w:hint="eastAsia"/>
          <w:spacing w:val="0"/>
          <w:sz w:val="24"/>
          <w:szCs w:val="24"/>
        </w:rPr>
        <w:t xml:space="preserve"> on the economic downturn. However, bank loans and investments averaged an annual growth rate of 5.14%, slightly higher than the 4.93% of the same period last year. This suggested that market liquidity </w:t>
      </w:r>
      <w:r w:rsidR="0095215B">
        <w:rPr>
          <w:rFonts w:ascii="Times New Roman" w:eastAsia="標楷體" w:hint="eastAsia"/>
          <w:spacing w:val="0"/>
          <w:sz w:val="24"/>
          <w:szCs w:val="24"/>
        </w:rPr>
        <w:t xml:space="preserve">was sufficient to support real </w:t>
      </w:r>
      <w:r w:rsidR="0095215B">
        <w:rPr>
          <w:rFonts w:ascii="Times New Roman" w:eastAsia="標楷體"/>
          <w:spacing w:val="0"/>
          <w:sz w:val="24"/>
          <w:szCs w:val="24"/>
        </w:rPr>
        <w:t>economic</w:t>
      </w:r>
      <w:r w:rsidR="0095215B">
        <w:rPr>
          <w:rFonts w:ascii="Times New Roman" w:eastAsia="標楷體" w:hint="eastAsia"/>
          <w:spacing w:val="0"/>
          <w:sz w:val="24"/>
          <w:szCs w:val="24"/>
        </w:rPr>
        <w:t xml:space="preserve"> activity.</w:t>
      </w:r>
    </w:p>
    <w:p w:rsidR="0095215B" w:rsidRDefault="0095215B" w:rsidP="0043558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For the year to date, the housing market had witnessed a higher transaction volume and a price uptrend. The annual growth rate of mortgages for home purchases climbed </w:t>
      </w:r>
      <w:r w:rsidR="00A23B69">
        <w:rPr>
          <w:rFonts w:ascii="Times New Roman" w:eastAsia="標楷體" w:hint="eastAsia"/>
          <w:spacing w:val="0"/>
          <w:sz w:val="24"/>
          <w:szCs w:val="24"/>
        </w:rPr>
        <w:t xml:space="preserve">steadily, and that of loans for building construction recently advanced to the highest in recent years. Meanwhile, mortgage asset quality remained stable. </w:t>
      </w:r>
    </w:p>
    <w:p w:rsidR="00A23B69" w:rsidRDefault="006710B0" w:rsidP="0043558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Looking ahead, </w:t>
      </w:r>
      <w:r w:rsidR="00931E7B">
        <w:rPr>
          <w:rFonts w:ascii="Times New Roman" w:eastAsia="標楷體" w:hint="eastAsia"/>
          <w:spacing w:val="0"/>
          <w:sz w:val="24"/>
          <w:szCs w:val="24"/>
        </w:rPr>
        <w:t xml:space="preserve">in spite of downside risks to the global </w:t>
      </w:r>
      <w:r w:rsidR="00931E7B">
        <w:rPr>
          <w:rFonts w:ascii="Times New Roman" w:eastAsia="標楷體"/>
          <w:spacing w:val="0"/>
          <w:sz w:val="24"/>
          <w:szCs w:val="24"/>
        </w:rPr>
        <w:t>economy</w:t>
      </w:r>
      <w:r w:rsidR="00931E7B">
        <w:rPr>
          <w:rFonts w:ascii="Times New Roman" w:eastAsia="標楷體" w:hint="eastAsia"/>
          <w:spacing w:val="0"/>
          <w:sz w:val="24"/>
          <w:szCs w:val="24"/>
        </w:rPr>
        <w:t>,</w:t>
      </w:r>
      <w:r w:rsidR="00931E7B" w:rsidRPr="00931E7B">
        <w:rPr>
          <w:rFonts w:ascii="Times New Roman" w:eastAsia="標楷體" w:hint="eastAsia"/>
          <w:spacing w:val="0"/>
          <w:sz w:val="24"/>
          <w:szCs w:val="24"/>
        </w:rPr>
        <w:t xml:space="preserve"> </w:t>
      </w:r>
      <w:r w:rsidR="00931E7B">
        <w:rPr>
          <w:rFonts w:ascii="Times New Roman" w:eastAsia="標楷體" w:hint="eastAsia"/>
          <w:spacing w:val="0"/>
          <w:sz w:val="24"/>
          <w:szCs w:val="24"/>
        </w:rPr>
        <w:t xml:space="preserve">government efforts </w:t>
      </w:r>
      <w:r w:rsidR="00E96B9C">
        <w:rPr>
          <w:rFonts w:ascii="Times New Roman" w:eastAsia="標楷體" w:hint="eastAsia"/>
          <w:spacing w:val="0"/>
          <w:sz w:val="24"/>
          <w:szCs w:val="24"/>
        </w:rPr>
        <w:t xml:space="preserve">in </w:t>
      </w:r>
      <w:r w:rsidR="00931E7B">
        <w:rPr>
          <w:rFonts w:ascii="Times New Roman" w:eastAsia="標楷體" w:hint="eastAsia"/>
          <w:spacing w:val="0"/>
          <w:sz w:val="24"/>
          <w:szCs w:val="24"/>
        </w:rPr>
        <w:t>promoting returning Taiwanese investment and infrastructure spending</w:t>
      </w:r>
      <w:r w:rsidR="00D837D1">
        <w:rPr>
          <w:rFonts w:ascii="Times New Roman" w:eastAsia="標楷體" w:hint="eastAsia"/>
          <w:spacing w:val="0"/>
          <w:sz w:val="24"/>
          <w:szCs w:val="24"/>
        </w:rPr>
        <w:t xml:space="preserve"> (of the </w:t>
      </w:r>
      <w:r w:rsidR="00D837D1" w:rsidRPr="00D837D1">
        <w:rPr>
          <w:rFonts w:ascii="Times New Roman" w:eastAsia="標楷體"/>
          <w:spacing w:val="0"/>
          <w:sz w:val="24"/>
          <w:szCs w:val="24"/>
        </w:rPr>
        <w:t>Forward-looking Infrastructure Development Program</w:t>
      </w:r>
      <w:r w:rsidR="00D837D1">
        <w:rPr>
          <w:rFonts w:ascii="Times New Roman" w:eastAsia="標楷體" w:hint="eastAsia"/>
          <w:spacing w:val="0"/>
          <w:sz w:val="24"/>
          <w:szCs w:val="24"/>
        </w:rPr>
        <w:t>)</w:t>
      </w:r>
      <w:r w:rsidR="00931E7B">
        <w:rPr>
          <w:rFonts w:ascii="Times New Roman" w:eastAsia="標楷體" w:hint="eastAsia"/>
          <w:spacing w:val="0"/>
          <w:sz w:val="24"/>
          <w:szCs w:val="24"/>
        </w:rPr>
        <w:t xml:space="preserve"> should be able to facilitate mild </w:t>
      </w:r>
      <w:r w:rsidR="00931E7B">
        <w:rPr>
          <w:rFonts w:ascii="Times New Roman" w:eastAsia="標楷體" w:hint="eastAsia"/>
          <w:spacing w:val="0"/>
          <w:sz w:val="24"/>
          <w:szCs w:val="24"/>
        </w:rPr>
        <w:lastRenderedPageBreak/>
        <w:t xml:space="preserve">growth in bank loans and investments. </w:t>
      </w:r>
    </w:p>
    <w:p w:rsidR="00750B45" w:rsidRPr="007F6F77" w:rsidRDefault="001320BE" w:rsidP="00FA173A">
      <w:pPr>
        <w:adjustRightInd/>
        <w:spacing w:before="120" w:line="440" w:lineRule="exact"/>
        <w:textAlignment w:val="auto"/>
        <w:rPr>
          <w:rFonts w:eastAsia="標楷體"/>
          <w:spacing w:val="-2"/>
          <w:sz w:val="24"/>
          <w:szCs w:val="28"/>
        </w:rPr>
      </w:pPr>
      <w:r w:rsidRPr="007F6F77">
        <w:rPr>
          <w:rFonts w:eastAsia="標楷體" w:hint="eastAsia"/>
          <w:spacing w:val="-2"/>
          <w:sz w:val="24"/>
          <w:szCs w:val="28"/>
        </w:rPr>
        <w:t>(3) Price t</w:t>
      </w:r>
      <w:r w:rsidR="00D46F1E" w:rsidRPr="007F6F77">
        <w:rPr>
          <w:rFonts w:eastAsia="標楷體" w:hint="eastAsia"/>
          <w:spacing w:val="-2"/>
          <w:sz w:val="24"/>
          <w:szCs w:val="28"/>
        </w:rPr>
        <w:t xml:space="preserve">rends </w:t>
      </w:r>
    </w:p>
    <w:p w:rsidR="00931E7B" w:rsidRDefault="00F7375F" w:rsidP="00114EB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International oil prices </w:t>
      </w:r>
      <w:r w:rsidR="00674604">
        <w:rPr>
          <w:rFonts w:ascii="Times New Roman" w:eastAsia="標楷體" w:hint="eastAsia"/>
          <w:spacing w:val="0"/>
          <w:sz w:val="24"/>
          <w:szCs w:val="24"/>
        </w:rPr>
        <w:t>moved</w:t>
      </w:r>
      <w:r>
        <w:rPr>
          <w:rFonts w:ascii="Times New Roman" w:eastAsia="標楷體" w:hint="eastAsia"/>
          <w:spacing w:val="0"/>
          <w:sz w:val="24"/>
          <w:szCs w:val="24"/>
        </w:rPr>
        <w:t xml:space="preserve"> down</w:t>
      </w:r>
      <w:r w:rsidR="00674604">
        <w:rPr>
          <w:rFonts w:ascii="Times New Roman" w:eastAsia="標楷體" w:hint="eastAsia"/>
          <w:spacing w:val="0"/>
          <w:sz w:val="24"/>
          <w:szCs w:val="24"/>
        </w:rPr>
        <w:t>wards</w:t>
      </w:r>
      <w:r>
        <w:rPr>
          <w:rFonts w:ascii="Times New Roman" w:eastAsia="標楷體" w:hint="eastAsia"/>
          <w:spacing w:val="0"/>
          <w:sz w:val="24"/>
          <w:szCs w:val="24"/>
        </w:rPr>
        <w:t xml:space="preserve"> in late May as US crude inventory and output had both increased and global demand had been depressed by US-China trade conflicts. For the year of 2019, international oil prices would likely average slightly lower than 2018. Global grains prices rebounded</w:t>
      </w:r>
      <w:r w:rsidR="00491F5A">
        <w:rPr>
          <w:rFonts w:ascii="Times New Roman" w:eastAsia="標楷體" w:hint="eastAsia"/>
          <w:spacing w:val="0"/>
          <w:sz w:val="24"/>
          <w:szCs w:val="24"/>
        </w:rPr>
        <w:t xml:space="preserve"> recently</w:t>
      </w:r>
      <w:r>
        <w:rPr>
          <w:rFonts w:ascii="Times New Roman" w:eastAsia="標楷體" w:hint="eastAsia"/>
          <w:spacing w:val="0"/>
          <w:sz w:val="24"/>
          <w:szCs w:val="24"/>
        </w:rPr>
        <w:t xml:space="preserve"> on </w:t>
      </w:r>
      <w:r w:rsidR="00491F5A">
        <w:rPr>
          <w:rFonts w:ascii="Times New Roman" w:eastAsia="標楷體" w:hint="eastAsia"/>
          <w:spacing w:val="0"/>
          <w:sz w:val="24"/>
          <w:szCs w:val="24"/>
        </w:rPr>
        <w:t xml:space="preserve">severe planting delays in the US caused by poor weather conditions. </w:t>
      </w:r>
    </w:p>
    <w:p w:rsidR="00491F5A" w:rsidRDefault="00491F5A" w:rsidP="00114EB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regard to domestic prices, inflation had run low in the beginning of the year before trending up month by month after March on the back of international oil price rises and weather-induced vegetable price hikes at home. </w:t>
      </w:r>
      <w:r>
        <w:rPr>
          <w:rFonts w:ascii="Times New Roman" w:eastAsia="標楷體"/>
          <w:spacing w:val="0"/>
          <w:sz w:val="24"/>
          <w:szCs w:val="24"/>
        </w:rPr>
        <w:t>T</w:t>
      </w:r>
      <w:r>
        <w:rPr>
          <w:rFonts w:ascii="Times New Roman" w:eastAsia="標楷體" w:hint="eastAsia"/>
          <w:spacing w:val="0"/>
          <w:sz w:val="24"/>
          <w:szCs w:val="24"/>
        </w:rPr>
        <w:t xml:space="preserve">he annual growth rate of CPI rose to 0.94% in May, while that of core CPI (excluding fruit, vegetables, and energy items) was 0.62%. For the first five months of the year, the annual growth rates of CPI and core CPI averaged 0.51% and 0.49%, respectively, both considered to be mild. </w:t>
      </w:r>
    </w:p>
    <w:p w:rsidR="00D8116F" w:rsidRDefault="00C95C79" w:rsidP="00D8116F">
      <w:pPr>
        <w:pStyle w:val="6"/>
        <w:overflowPunct w:val="0"/>
        <w:snapToGrid w:val="0"/>
        <w:spacing w:after="0" w:line="440" w:lineRule="exact"/>
        <w:ind w:left="0" w:firstLineChars="200" w:firstLine="480"/>
        <w:rPr>
          <w:rFonts w:ascii="Times New Roman" w:eastAsia="標楷體"/>
          <w:spacing w:val="-2"/>
          <w:sz w:val="24"/>
          <w:szCs w:val="28"/>
        </w:rPr>
      </w:pPr>
      <w:r>
        <w:rPr>
          <w:rFonts w:ascii="Times New Roman" w:eastAsia="標楷體" w:hint="eastAsia"/>
          <w:spacing w:val="0"/>
          <w:sz w:val="24"/>
          <w:szCs w:val="24"/>
        </w:rPr>
        <w:t>In the second half of the year, inflation would likely rise higher than the first half year, as vegetables and fruit supply could be affected by typhoons, prodding up food prices in general. In terms of t</w:t>
      </w:r>
      <w:r w:rsidRPr="007F6F77">
        <w:rPr>
          <w:rFonts w:ascii="Times New Roman" w:eastAsia="標楷體" w:hint="eastAsia"/>
          <w:spacing w:val="0"/>
          <w:sz w:val="24"/>
          <w:szCs w:val="24"/>
        </w:rPr>
        <w:t xml:space="preserve">he output gap, a key factor </w:t>
      </w:r>
      <w:r w:rsidR="00E96B9C">
        <w:rPr>
          <w:rFonts w:ascii="Times New Roman" w:eastAsia="標楷體" w:hint="eastAsia"/>
          <w:spacing w:val="0"/>
          <w:sz w:val="24"/>
          <w:szCs w:val="24"/>
        </w:rPr>
        <w:t>among</w:t>
      </w:r>
      <w:r w:rsidRPr="007F6F77">
        <w:rPr>
          <w:rFonts w:ascii="Times New Roman" w:eastAsia="標楷體" w:hint="eastAsia"/>
          <w:spacing w:val="0"/>
          <w:sz w:val="24"/>
          <w:szCs w:val="24"/>
        </w:rPr>
        <w:t xml:space="preserve"> inflationary pressures, </w:t>
      </w:r>
      <w:r>
        <w:rPr>
          <w:rFonts w:ascii="Times New Roman" w:eastAsia="標楷體" w:hint="eastAsia"/>
          <w:spacing w:val="0"/>
          <w:sz w:val="24"/>
          <w:szCs w:val="24"/>
        </w:rPr>
        <w:t>the negative gap</w:t>
      </w:r>
      <w:r w:rsidR="001B32B9">
        <w:rPr>
          <w:rFonts w:ascii="Times New Roman" w:eastAsia="標楷體" w:hint="eastAsia"/>
          <w:spacing w:val="0"/>
          <w:sz w:val="24"/>
          <w:szCs w:val="24"/>
        </w:rPr>
        <w:t xml:space="preserve"> could </w:t>
      </w:r>
      <w:r w:rsidRPr="008441E1">
        <w:rPr>
          <w:rFonts w:ascii="Times New Roman" w:eastAsia="標楷體" w:hint="eastAsia"/>
          <w:spacing w:val="0"/>
          <w:sz w:val="24"/>
          <w:szCs w:val="24"/>
        </w:rPr>
        <w:t xml:space="preserve">widen marginally </w:t>
      </w:r>
      <w:r w:rsidR="00D8116F">
        <w:rPr>
          <w:rFonts w:ascii="Times New Roman" w:eastAsia="標楷體" w:hint="eastAsia"/>
          <w:spacing w:val="0"/>
          <w:sz w:val="24"/>
          <w:szCs w:val="24"/>
        </w:rPr>
        <w:t>owing to</w:t>
      </w:r>
      <w:r w:rsidR="001B32B9">
        <w:rPr>
          <w:rFonts w:ascii="Times New Roman" w:eastAsia="標楷體" w:hint="eastAsia"/>
          <w:spacing w:val="0"/>
          <w:sz w:val="24"/>
          <w:szCs w:val="24"/>
        </w:rPr>
        <w:t xml:space="preserve"> </w:t>
      </w:r>
      <w:r w:rsidRPr="008441E1">
        <w:rPr>
          <w:rFonts w:ascii="Times New Roman" w:eastAsia="標楷體" w:hint="eastAsia"/>
          <w:spacing w:val="0"/>
          <w:sz w:val="24"/>
          <w:szCs w:val="24"/>
        </w:rPr>
        <w:t xml:space="preserve">domestic </w:t>
      </w:r>
      <w:r w:rsidRPr="008441E1">
        <w:rPr>
          <w:rFonts w:ascii="Times New Roman" w:eastAsia="標楷體"/>
          <w:spacing w:val="0"/>
          <w:sz w:val="24"/>
          <w:szCs w:val="24"/>
        </w:rPr>
        <w:t>economic</w:t>
      </w:r>
      <w:r w:rsidRPr="008441E1">
        <w:rPr>
          <w:rFonts w:ascii="Times New Roman" w:eastAsia="標楷體" w:hint="eastAsia"/>
          <w:spacing w:val="0"/>
          <w:sz w:val="24"/>
          <w:szCs w:val="24"/>
        </w:rPr>
        <w:t xml:space="preserve"> moderation.</w:t>
      </w:r>
      <w:r w:rsidR="001B32B9">
        <w:rPr>
          <w:rFonts w:ascii="Times New Roman" w:eastAsia="標楷體" w:hint="eastAsia"/>
          <w:spacing w:val="0"/>
          <w:sz w:val="24"/>
          <w:szCs w:val="24"/>
        </w:rPr>
        <w:t xml:space="preserve"> For the year as a whole, the Bank projected the CPI and core CPI annual growth rates to be 0.87% and 0.76% respectively, citing </w:t>
      </w:r>
      <w:r w:rsidR="00D8116F">
        <w:rPr>
          <w:rFonts w:ascii="Times New Roman" w:eastAsia="標楷體" w:hint="eastAsia"/>
          <w:spacing w:val="0"/>
          <w:sz w:val="24"/>
          <w:szCs w:val="24"/>
        </w:rPr>
        <w:t xml:space="preserve">a slight year-on-year decline in international oil prices amid a gloomier global </w:t>
      </w:r>
      <w:r w:rsidR="00D8116F">
        <w:rPr>
          <w:rFonts w:ascii="Times New Roman" w:eastAsia="標楷體"/>
          <w:spacing w:val="0"/>
          <w:sz w:val="24"/>
          <w:szCs w:val="24"/>
        </w:rPr>
        <w:t>economic</w:t>
      </w:r>
      <w:r w:rsidR="00D8116F">
        <w:rPr>
          <w:rFonts w:ascii="Times New Roman" w:eastAsia="標楷體" w:hint="eastAsia"/>
          <w:spacing w:val="0"/>
          <w:sz w:val="24"/>
          <w:szCs w:val="24"/>
        </w:rPr>
        <w:t xml:space="preserve"> outlook, alongside with mild domestic demand. </w:t>
      </w:r>
      <w:r w:rsidR="00D8116F" w:rsidRPr="007F6F77">
        <w:rPr>
          <w:rFonts w:ascii="Times New Roman" w:eastAsia="標楷體" w:hint="eastAsia"/>
          <w:spacing w:val="-2"/>
          <w:sz w:val="24"/>
          <w:szCs w:val="28"/>
        </w:rPr>
        <w:t>The medians of domestic and international institutions</w:t>
      </w:r>
      <w:r w:rsidR="00D8116F" w:rsidRPr="007F6F77">
        <w:rPr>
          <w:rFonts w:ascii="Times New Roman" w:eastAsia="標楷體"/>
          <w:spacing w:val="-2"/>
          <w:sz w:val="24"/>
          <w:szCs w:val="28"/>
        </w:rPr>
        <w:t>’</w:t>
      </w:r>
      <w:r w:rsidR="00D8116F" w:rsidRPr="007F6F77">
        <w:rPr>
          <w:rFonts w:ascii="Times New Roman" w:eastAsia="標楷體" w:hint="eastAsia"/>
          <w:spacing w:val="-2"/>
          <w:sz w:val="24"/>
          <w:szCs w:val="28"/>
        </w:rPr>
        <w:t xml:space="preserve"> 2019 inflation forecasts</w:t>
      </w:r>
      <w:r w:rsidR="00D8116F">
        <w:rPr>
          <w:rFonts w:ascii="Times New Roman" w:eastAsia="標楷體" w:hint="eastAsia"/>
          <w:spacing w:val="-2"/>
          <w:sz w:val="24"/>
          <w:szCs w:val="28"/>
        </w:rPr>
        <w:t>, at 0.83</w:t>
      </w:r>
      <w:r w:rsidR="00D8116F" w:rsidRPr="007F6F77">
        <w:rPr>
          <w:rFonts w:ascii="Times New Roman" w:eastAsia="標楷體" w:hint="eastAsia"/>
          <w:spacing w:val="-2"/>
          <w:sz w:val="24"/>
          <w:szCs w:val="28"/>
        </w:rPr>
        <w:t xml:space="preserve">% and </w:t>
      </w:r>
      <w:r w:rsidR="00D8116F">
        <w:rPr>
          <w:rFonts w:ascii="Times New Roman" w:eastAsia="標楷體" w:hint="eastAsia"/>
          <w:spacing w:val="-2"/>
          <w:sz w:val="24"/>
          <w:szCs w:val="28"/>
        </w:rPr>
        <w:t>0.88</w:t>
      </w:r>
      <w:r w:rsidR="00D8116F" w:rsidRPr="007F6F77">
        <w:rPr>
          <w:rFonts w:ascii="Times New Roman" w:eastAsia="標楷體" w:hint="eastAsia"/>
          <w:spacing w:val="-2"/>
          <w:sz w:val="24"/>
          <w:szCs w:val="28"/>
        </w:rPr>
        <w:t>% respectively</w:t>
      </w:r>
      <w:r w:rsidR="00D8116F">
        <w:rPr>
          <w:rFonts w:ascii="Times New Roman" w:eastAsia="標楷體" w:hint="eastAsia"/>
          <w:spacing w:val="-2"/>
          <w:sz w:val="24"/>
          <w:szCs w:val="28"/>
        </w:rPr>
        <w:t>, also pointed to a mild inflation outlook</w:t>
      </w:r>
      <w:r w:rsidR="00D8116F" w:rsidRPr="007F6F77">
        <w:rPr>
          <w:rFonts w:ascii="Times New Roman" w:eastAsia="標楷體" w:hint="eastAsia"/>
          <w:spacing w:val="-2"/>
          <w:sz w:val="24"/>
          <w:szCs w:val="28"/>
        </w:rPr>
        <w:t xml:space="preserve">. </w:t>
      </w:r>
    </w:p>
    <w:p w:rsidR="00471F4F" w:rsidRDefault="00090F95" w:rsidP="00BE5D05">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Looking ahead, </w:t>
      </w:r>
      <w:r w:rsidR="00A746B2" w:rsidRPr="007F6F77">
        <w:rPr>
          <w:rFonts w:ascii="Times New Roman" w:eastAsia="標楷體" w:hint="eastAsia"/>
          <w:spacing w:val="0"/>
          <w:sz w:val="24"/>
          <w:szCs w:val="24"/>
        </w:rPr>
        <w:t>key</w:t>
      </w:r>
      <w:r w:rsidR="004D09F6" w:rsidRPr="007F6F77">
        <w:rPr>
          <w:rFonts w:ascii="Times New Roman" w:eastAsia="標楷體" w:hint="eastAsia"/>
          <w:spacing w:val="0"/>
          <w:sz w:val="24"/>
          <w:szCs w:val="24"/>
        </w:rPr>
        <w:t xml:space="preserve"> determinants of </w:t>
      </w:r>
      <w:r w:rsidR="00932501" w:rsidRPr="007F6F77">
        <w:rPr>
          <w:rFonts w:ascii="Times New Roman" w:eastAsia="標楷體" w:hint="eastAsia"/>
          <w:spacing w:val="0"/>
          <w:sz w:val="24"/>
          <w:szCs w:val="24"/>
        </w:rPr>
        <w:t xml:space="preserve">future </w:t>
      </w:r>
      <w:r w:rsidR="00BE5D05">
        <w:rPr>
          <w:rFonts w:ascii="Times New Roman" w:eastAsia="標楷體" w:hint="eastAsia"/>
          <w:spacing w:val="0"/>
          <w:sz w:val="24"/>
          <w:szCs w:val="24"/>
        </w:rPr>
        <w:t xml:space="preserve">domestic </w:t>
      </w:r>
      <w:r w:rsidR="004D09F6" w:rsidRPr="007F6F77">
        <w:rPr>
          <w:rFonts w:ascii="Times New Roman" w:eastAsia="標楷體" w:hint="eastAsia"/>
          <w:spacing w:val="0"/>
          <w:sz w:val="24"/>
          <w:szCs w:val="24"/>
        </w:rPr>
        <w:t>price trends</w:t>
      </w:r>
      <w:r>
        <w:rPr>
          <w:rFonts w:ascii="Times New Roman" w:eastAsia="標楷體" w:hint="eastAsia"/>
          <w:spacing w:val="0"/>
          <w:sz w:val="24"/>
          <w:szCs w:val="24"/>
        </w:rPr>
        <w:t xml:space="preserve"> include upside pressures from the following</w:t>
      </w:r>
      <w:r w:rsidR="00BE5D05">
        <w:rPr>
          <w:rFonts w:ascii="Times New Roman" w:eastAsia="標楷體" w:hint="eastAsia"/>
          <w:spacing w:val="0"/>
          <w:sz w:val="24"/>
          <w:szCs w:val="24"/>
        </w:rPr>
        <w:t>.</w:t>
      </w:r>
      <w:r>
        <w:rPr>
          <w:rFonts w:ascii="Times New Roman" w:eastAsia="標楷體" w:hint="eastAsia"/>
          <w:spacing w:val="0"/>
          <w:sz w:val="24"/>
          <w:szCs w:val="24"/>
        </w:rPr>
        <w:t xml:space="preserve"> </w:t>
      </w:r>
      <w:r w:rsidR="00BE5D05">
        <w:rPr>
          <w:rFonts w:ascii="Times New Roman" w:eastAsia="標楷體" w:hint="eastAsia"/>
          <w:spacing w:val="0"/>
          <w:sz w:val="24"/>
          <w:szCs w:val="24"/>
        </w:rPr>
        <w:t xml:space="preserve">(1) Recent torrential rain and the upcoming typhoon season could impact food prices, particularly fruit and vegetables. (2) The </w:t>
      </w:r>
      <w:r w:rsidR="00BE5D05">
        <w:rPr>
          <w:rFonts w:ascii="Times New Roman" w:eastAsia="標楷體"/>
          <w:spacing w:val="0"/>
          <w:sz w:val="24"/>
          <w:szCs w:val="24"/>
        </w:rPr>
        <w:t>minimum</w:t>
      </w:r>
      <w:r w:rsidR="00BE5D05">
        <w:rPr>
          <w:rFonts w:ascii="Times New Roman" w:eastAsia="標楷體" w:hint="eastAsia"/>
          <w:spacing w:val="0"/>
          <w:sz w:val="24"/>
          <w:szCs w:val="24"/>
        </w:rPr>
        <w:t xml:space="preserve"> wage hike, effective Jan. 1 this year, could drive earnings higher and push up prices for away-from-home food and other related services. </w:t>
      </w:r>
      <w:r w:rsidR="00812349" w:rsidRPr="007F6F77">
        <w:rPr>
          <w:rFonts w:ascii="Times New Roman" w:eastAsia="標楷體" w:hint="eastAsia"/>
          <w:spacing w:val="0"/>
          <w:sz w:val="24"/>
          <w:szCs w:val="24"/>
        </w:rPr>
        <w:t xml:space="preserve">On the other hand, </w:t>
      </w:r>
      <w:r>
        <w:rPr>
          <w:rFonts w:ascii="Times New Roman" w:eastAsia="標楷體" w:hint="eastAsia"/>
          <w:spacing w:val="0"/>
          <w:sz w:val="24"/>
          <w:szCs w:val="24"/>
        </w:rPr>
        <w:t xml:space="preserve">downside price pressures could </w:t>
      </w:r>
      <w:r w:rsidR="00BE5D05">
        <w:rPr>
          <w:rFonts w:ascii="Times New Roman" w:eastAsia="標楷體" w:hint="eastAsia"/>
          <w:spacing w:val="0"/>
          <w:sz w:val="24"/>
          <w:szCs w:val="24"/>
        </w:rPr>
        <w:t>stem</w:t>
      </w:r>
      <w:r>
        <w:rPr>
          <w:rFonts w:ascii="Times New Roman" w:eastAsia="標楷體" w:hint="eastAsia"/>
          <w:spacing w:val="0"/>
          <w:sz w:val="24"/>
          <w:szCs w:val="24"/>
        </w:rPr>
        <w:t xml:space="preserve"> from </w:t>
      </w:r>
      <w:r w:rsidR="00812349" w:rsidRPr="007F6F77">
        <w:rPr>
          <w:rFonts w:ascii="Times New Roman" w:eastAsia="標楷體" w:hint="eastAsia"/>
          <w:spacing w:val="0"/>
          <w:sz w:val="24"/>
          <w:szCs w:val="24"/>
        </w:rPr>
        <w:t xml:space="preserve">a projected </w:t>
      </w:r>
      <w:r w:rsidR="00B26CF3">
        <w:rPr>
          <w:rFonts w:ascii="Times New Roman" w:eastAsia="標楷體" w:hint="eastAsia"/>
          <w:spacing w:val="0"/>
          <w:sz w:val="24"/>
          <w:szCs w:val="24"/>
        </w:rPr>
        <w:t>downtrend</w:t>
      </w:r>
      <w:r w:rsidR="00812349" w:rsidRPr="007F6F77">
        <w:rPr>
          <w:rFonts w:ascii="Times New Roman" w:eastAsia="標楷體" w:hint="eastAsia"/>
          <w:spacing w:val="0"/>
          <w:sz w:val="24"/>
          <w:szCs w:val="24"/>
        </w:rPr>
        <w:t xml:space="preserve"> in international oil prices compared to </w:t>
      </w:r>
      <w:r w:rsidR="00B26CF3">
        <w:rPr>
          <w:rFonts w:ascii="Times New Roman" w:eastAsia="標楷體" w:hint="eastAsia"/>
          <w:spacing w:val="0"/>
          <w:sz w:val="24"/>
          <w:szCs w:val="24"/>
        </w:rPr>
        <w:t>last</w:t>
      </w:r>
      <w:r w:rsidR="00812349" w:rsidRPr="007F6F77">
        <w:rPr>
          <w:rFonts w:ascii="Times New Roman" w:eastAsia="標楷體" w:hint="eastAsia"/>
          <w:spacing w:val="0"/>
          <w:sz w:val="24"/>
          <w:szCs w:val="24"/>
        </w:rPr>
        <w:t xml:space="preserve"> year, </w:t>
      </w:r>
      <w:r w:rsidR="00BE5D05">
        <w:rPr>
          <w:rFonts w:ascii="Times New Roman" w:eastAsia="標楷體" w:hint="eastAsia"/>
          <w:spacing w:val="0"/>
          <w:sz w:val="24"/>
          <w:szCs w:val="24"/>
        </w:rPr>
        <w:t xml:space="preserve">reductions in network access charges, possible </w:t>
      </w:r>
      <w:r w:rsidR="00B26CF3">
        <w:rPr>
          <w:rFonts w:ascii="Times New Roman" w:eastAsia="標楷體" w:hint="eastAsia"/>
          <w:spacing w:val="0"/>
          <w:sz w:val="24"/>
          <w:szCs w:val="24"/>
        </w:rPr>
        <w:t xml:space="preserve">further </w:t>
      </w:r>
      <w:r w:rsidR="00D91ABB">
        <w:rPr>
          <w:rFonts w:ascii="Times New Roman" w:eastAsia="標楷體" w:hint="eastAsia"/>
          <w:spacing w:val="0"/>
          <w:sz w:val="24"/>
          <w:szCs w:val="24"/>
        </w:rPr>
        <w:t>price cuts</w:t>
      </w:r>
      <w:r w:rsidR="00B26CF3">
        <w:rPr>
          <w:rFonts w:ascii="Times New Roman" w:eastAsia="標楷體" w:hint="eastAsia"/>
          <w:spacing w:val="0"/>
          <w:sz w:val="24"/>
          <w:szCs w:val="24"/>
        </w:rPr>
        <w:t xml:space="preserve"> in </w:t>
      </w:r>
      <w:r w:rsidR="00D91ABB">
        <w:rPr>
          <w:rFonts w:ascii="Times New Roman" w:eastAsia="標楷體" w:hint="eastAsia"/>
          <w:spacing w:val="0"/>
          <w:sz w:val="24"/>
          <w:szCs w:val="24"/>
        </w:rPr>
        <w:t xml:space="preserve">mobile </w:t>
      </w:r>
      <w:r w:rsidR="00812349" w:rsidRPr="007F6F77">
        <w:rPr>
          <w:rFonts w:ascii="Times New Roman" w:eastAsia="標楷體" w:hint="eastAsia"/>
          <w:spacing w:val="0"/>
          <w:sz w:val="24"/>
          <w:szCs w:val="24"/>
        </w:rPr>
        <w:t xml:space="preserve">communication rates, and a still negative output gap. </w:t>
      </w:r>
    </w:p>
    <w:p w:rsidR="00D46F1E" w:rsidRPr="007F6F77" w:rsidRDefault="00D46F1E" w:rsidP="00FA173A">
      <w:pPr>
        <w:numPr>
          <w:ilvl w:val="0"/>
          <w:numId w:val="30"/>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lastRenderedPageBreak/>
        <w:t>Considerations for Monetary Policy</w:t>
      </w:r>
    </w:p>
    <w:p w:rsidR="00F60876" w:rsidRDefault="00CF3A47" w:rsidP="00AF305A">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(1) </w:t>
      </w:r>
      <w:r w:rsidR="00F60876">
        <w:rPr>
          <w:rFonts w:eastAsia="標楷體" w:hint="eastAsia"/>
          <w:spacing w:val="-2"/>
          <w:kern w:val="2"/>
          <w:sz w:val="24"/>
          <w:szCs w:val="28"/>
        </w:rPr>
        <w:t xml:space="preserve">The domestic inflation outlook </w:t>
      </w:r>
      <w:r w:rsidR="003762B9">
        <w:rPr>
          <w:rFonts w:eastAsia="標楷體" w:hint="eastAsia"/>
          <w:spacing w:val="-2"/>
          <w:kern w:val="2"/>
          <w:sz w:val="24"/>
          <w:szCs w:val="28"/>
        </w:rPr>
        <w:t xml:space="preserve">is </w:t>
      </w:r>
      <w:r w:rsidR="00F60876">
        <w:rPr>
          <w:rFonts w:eastAsia="標楷體" w:hint="eastAsia"/>
          <w:spacing w:val="-2"/>
          <w:kern w:val="2"/>
          <w:sz w:val="24"/>
          <w:szCs w:val="28"/>
        </w:rPr>
        <w:t xml:space="preserve">stable, as prices have risen moderately and the output gap could slip slightly deeper into negative territory. The CPI and core CPI rose by 0.51% and 0.49% on average between January and May and were projected by the Bank to rise 0.87% and 0.76% for the year as a whole. </w:t>
      </w:r>
    </w:p>
    <w:p w:rsidR="00C75307" w:rsidRDefault="00CF3A47" w:rsidP="00BB2311">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(2)</w:t>
      </w:r>
      <w:r w:rsidR="008663B9">
        <w:rPr>
          <w:rFonts w:eastAsia="標楷體" w:hint="eastAsia"/>
          <w:spacing w:val="-2"/>
          <w:kern w:val="2"/>
          <w:sz w:val="24"/>
          <w:szCs w:val="28"/>
        </w:rPr>
        <w:t xml:space="preserve"> Although risks to the global </w:t>
      </w:r>
      <w:r w:rsidR="008663B9">
        <w:rPr>
          <w:rFonts w:eastAsia="標楷體"/>
          <w:spacing w:val="-2"/>
          <w:kern w:val="2"/>
          <w:sz w:val="24"/>
          <w:szCs w:val="28"/>
        </w:rPr>
        <w:t>economy</w:t>
      </w:r>
      <w:r w:rsidR="008663B9">
        <w:rPr>
          <w:rFonts w:eastAsia="標楷體" w:hint="eastAsia"/>
          <w:spacing w:val="-2"/>
          <w:kern w:val="2"/>
          <w:sz w:val="24"/>
          <w:szCs w:val="28"/>
        </w:rPr>
        <w:t xml:space="preserve"> seem to </w:t>
      </w:r>
      <w:r w:rsidR="003762B9">
        <w:rPr>
          <w:rFonts w:eastAsia="標楷體" w:hint="eastAsia"/>
          <w:spacing w:val="-2"/>
          <w:kern w:val="2"/>
          <w:sz w:val="24"/>
          <w:szCs w:val="28"/>
        </w:rPr>
        <w:t xml:space="preserve">be </w:t>
      </w:r>
      <w:r w:rsidR="008663B9">
        <w:rPr>
          <w:rFonts w:eastAsia="標楷體" w:hint="eastAsia"/>
          <w:spacing w:val="-2"/>
          <w:kern w:val="2"/>
          <w:sz w:val="24"/>
          <w:szCs w:val="28"/>
        </w:rPr>
        <w:t>tilt</w:t>
      </w:r>
      <w:r w:rsidR="003762B9">
        <w:rPr>
          <w:rFonts w:eastAsia="標楷體" w:hint="eastAsia"/>
          <w:spacing w:val="-2"/>
          <w:kern w:val="2"/>
          <w:sz w:val="24"/>
          <w:szCs w:val="28"/>
        </w:rPr>
        <w:t>ing</w:t>
      </w:r>
      <w:r w:rsidR="008663B9">
        <w:rPr>
          <w:rFonts w:eastAsia="標楷體" w:hint="eastAsia"/>
          <w:spacing w:val="-2"/>
          <w:kern w:val="2"/>
          <w:sz w:val="24"/>
          <w:szCs w:val="28"/>
        </w:rPr>
        <w:t xml:space="preserve"> to the down side, Taiwan</w:t>
      </w:r>
      <w:r w:rsidR="008663B9">
        <w:rPr>
          <w:rFonts w:eastAsia="標楷體"/>
          <w:spacing w:val="-2"/>
          <w:kern w:val="2"/>
          <w:sz w:val="24"/>
          <w:szCs w:val="28"/>
        </w:rPr>
        <w:t>’</w:t>
      </w:r>
      <w:r w:rsidR="008663B9">
        <w:rPr>
          <w:rFonts w:eastAsia="標楷體" w:hint="eastAsia"/>
          <w:spacing w:val="-2"/>
          <w:kern w:val="2"/>
          <w:sz w:val="24"/>
          <w:szCs w:val="28"/>
        </w:rPr>
        <w:t xml:space="preserve">s economy </w:t>
      </w:r>
      <w:r w:rsidR="003762B9">
        <w:rPr>
          <w:rFonts w:eastAsia="標楷體" w:hint="eastAsia"/>
          <w:spacing w:val="-2"/>
          <w:kern w:val="2"/>
          <w:sz w:val="24"/>
          <w:szCs w:val="28"/>
        </w:rPr>
        <w:t>is</w:t>
      </w:r>
      <w:r w:rsidR="008663B9">
        <w:rPr>
          <w:rFonts w:eastAsia="標楷體" w:hint="eastAsia"/>
          <w:spacing w:val="-2"/>
          <w:kern w:val="2"/>
          <w:sz w:val="24"/>
          <w:szCs w:val="28"/>
        </w:rPr>
        <w:t xml:space="preserve"> expected </w:t>
      </w:r>
      <w:r w:rsidR="003762B9">
        <w:rPr>
          <w:rFonts w:eastAsia="標楷體" w:hint="eastAsia"/>
          <w:spacing w:val="-2"/>
          <w:kern w:val="2"/>
          <w:sz w:val="24"/>
          <w:szCs w:val="28"/>
        </w:rPr>
        <w:t>to improve in the second half of the year on the back of solid domestic demand and a lower base effect</w:t>
      </w:r>
      <w:r w:rsidR="00BB2311">
        <w:rPr>
          <w:rFonts w:eastAsia="標楷體" w:hint="eastAsia"/>
          <w:spacing w:val="-2"/>
          <w:kern w:val="2"/>
          <w:sz w:val="24"/>
          <w:szCs w:val="28"/>
        </w:rPr>
        <w:t xml:space="preserve">, at a pace of 2.36% according to the Bank (higher than the 1.73% projection for the first half year). For the year as a whole, the Bank forecasts that mild growth momentum could support the economy to expand by 2.06%. However, </w:t>
      </w:r>
      <w:r w:rsidR="00C75307">
        <w:rPr>
          <w:rFonts w:eastAsia="標楷體" w:hint="eastAsia"/>
          <w:spacing w:val="-2"/>
          <w:kern w:val="2"/>
          <w:sz w:val="24"/>
          <w:szCs w:val="28"/>
        </w:rPr>
        <w:t xml:space="preserve">the </w:t>
      </w:r>
      <w:r w:rsidR="00C75307">
        <w:rPr>
          <w:rFonts w:eastAsia="標楷體"/>
          <w:spacing w:val="-2"/>
          <w:kern w:val="2"/>
          <w:sz w:val="24"/>
          <w:szCs w:val="28"/>
        </w:rPr>
        <w:t>economic</w:t>
      </w:r>
      <w:r w:rsidR="00C75307">
        <w:rPr>
          <w:rFonts w:eastAsia="標楷體" w:hint="eastAsia"/>
          <w:spacing w:val="-2"/>
          <w:kern w:val="2"/>
          <w:sz w:val="24"/>
          <w:szCs w:val="28"/>
        </w:rPr>
        <w:t xml:space="preserve"> growth projections remain, to a great extent, contingent on the progress of US-China trade negotiations. </w:t>
      </w:r>
    </w:p>
    <w:p w:rsidR="00D46F1E" w:rsidRPr="007F6F77" w:rsidRDefault="00D46F1E" w:rsidP="00FA173A">
      <w:pPr>
        <w:adjustRightInd/>
        <w:snapToGrid w:val="0"/>
        <w:spacing w:before="120" w:line="440" w:lineRule="exact"/>
        <w:jc w:val="both"/>
        <w:textDirection w:val="lrTbV"/>
        <w:rPr>
          <w:rFonts w:eastAsia="標楷體"/>
          <w:b/>
          <w:sz w:val="28"/>
          <w:szCs w:val="28"/>
        </w:rPr>
      </w:pPr>
      <w:r w:rsidRPr="007F6F77">
        <w:rPr>
          <w:rFonts w:eastAsia="標楷體" w:hint="eastAsia"/>
          <w:b/>
          <w:sz w:val="28"/>
          <w:szCs w:val="28"/>
        </w:rPr>
        <w:t xml:space="preserve">II. Proposition and Decision about Monetary Policy </w:t>
      </w:r>
    </w:p>
    <w:p w:rsidR="00D46F1E" w:rsidRPr="007F6F77" w:rsidRDefault="00D46F1E" w:rsidP="00FA173A">
      <w:pPr>
        <w:numPr>
          <w:ilvl w:val="0"/>
          <w:numId w:val="37"/>
        </w:numPr>
        <w:overflowPunct w:val="0"/>
        <w:autoSpaceDE w:val="0"/>
        <w:autoSpaceDN w:val="0"/>
        <w:snapToGrid w:val="0"/>
        <w:spacing w:before="120" w:line="440" w:lineRule="exact"/>
        <w:ind w:left="426" w:hanging="426"/>
        <w:textDirection w:val="lrTbV"/>
        <w:rPr>
          <w:rFonts w:eastAsia="標楷體"/>
          <w:b/>
          <w:spacing w:val="-2"/>
          <w:sz w:val="24"/>
          <w:szCs w:val="28"/>
        </w:rPr>
      </w:pPr>
      <w:r w:rsidRPr="007F6F77">
        <w:rPr>
          <w:rFonts w:eastAsia="標楷體" w:hint="eastAsia"/>
          <w:b/>
          <w:spacing w:val="-2"/>
          <w:sz w:val="24"/>
          <w:szCs w:val="28"/>
        </w:rPr>
        <w:t>Policy Proposition: To keep t</w:t>
      </w:r>
      <w:r w:rsidRPr="007F6F77">
        <w:rPr>
          <w:rFonts w:eastAsia="標楷體"/>
          <w:b/>
          <w:spacing w:val="-2"/>
          <w:sz w:val="24"/>
          <w:szCs w:val="28"/>
        </w:rPr>
        <w:t>he discount rate, the rate on accommodations with collateral, and the rate on accommodations without collateral unchanged at 1.375%, 1.75%, and 3.625%, respectively.</w:t>
      </w:r>
    </w:p>
    <w:p w:rsidR="00D46F1E" w:rsidRPr="007F6F77" w:rsidRDefault="00A32D1B" w:rsidP="00FA173A">
      <w:pPr>
        <w:numPr>
          <w:ilvl w:val="0"/>
          <w:numId w:val="37"/>
        </w:numPr>
        <w:overflowPunct w:val="0"/>
        <w:autoSpaceDE w:val="0"/>
        <w:autoSpaceDN w:val="0"/>
        <w:snapToGrid w:val="0"/>
        <w:spacing w:before="120" w:line="440" w:lineRule="exact"/>
        <w:ind w:left="426" w:hanging="426"/>
        <w:textDirection w:val="lrTbV"/>
        <w:rPr>
          <w:rFonts w:eastAsia="標楷體"/>
          <w:spacing w:val="-2"/>
          <w:sz w:val="24"/>
          <w:szCs w:val="28"/>
        </w:rPr>
      </w:pPr>
      <w:r w:rsidRPr="007F6F77">
        <w:rPr>
          <w:rFonts w:eastAsia="標楷體" w:hint="eastAsia"/>
          <w:spacing w:val="-2"/>
          <w:sz w:val="24"/>
          <w:szCs w:val="28"/>
        </w:rPr>
        <w:t>B</w:t>
      </w:r>
      <w:r w:rsidR="00D46F1E" w:rsidRPr="007F6F77">
        <w:rPr>
          <w:rFonts w:eastAsia="標楷體" w:hint="eastAsia"/>
          <w:spacing w:val="-2"/>
          <w:sz w:val="24"/>
          <w:szCs w:val="28"/>
        </w:rPr>
        <w:t xml:space="preserve">oard members </w:t>
      </w:r>
      <w:r w:rsidRPr="007F6F77">
        <w:rPr>
          <w:rFonts w:eastAsia="標楷體" w:hint="eastAsia"/>
          <w:spacing w:val="-2"/>
          <w:sz w:val="24"/>
          <w:szCs w:val="28"/>
        </w:rPr>
        <w:t xml:space="preserve">reached a unanimous vote for policy rates to </w:t>
      </w:r>
      <w:r w:rsidR="00F15E34">
        <w:rPr>
          <w:rFonts w:eastAsia="標楷體" w:hint="eastAsia"/>
          <w:spacing w:val="-2"/>
          <w:sz w:val="24"/>
          <w:szCs w:val="28"/>
        </w:rPr>
        <w:t>stay</w:t>
      </w:r>
      <w:r w:rsidRPr="007F6F77">
        <w:rPr>
          <w:rFonts w:eastAsia="標楷體" w:hint="eastAsia"/>
          <w:spacing w:val="-2"/>
          <w:sz w:val="24"/>
          <w:szCs w:val="28"/>
        </w:rPr>
        <w:t xml:space="preserve"> unchanged. </w:t>
      </w:r>
      <w:r w:rsidR="00D46F1E" w:rsidRPr="007F6F77">
        <w:rPr>
          <w:rFonts w:eastAsia="標楷體" w:hint="eastAsia"/>
          <w:spacing w:val="-2"/>
          <w:sz w:val="24"/>
          <w:szCs w:val="28"/>
        </w:rPr>
        <w:t>The discussions are summarized as follows.</w:t>
      </w:r>
    </w:p>
    <w:p w:rsidR="000571DE" w:rsidRPr="00F15E34" w:rsidRDefault="000571DE" w:rsidP="00F15E34">
      <w:pPr>
        <w:numPr>
          <w:ilvl w:val="0"/>
          <w:numId w:val="37"/>
        </w:numPr>
        <w:overflowPunct w:val="0"/>
        <w:autoSpaceDE w:val="0"/>
        <w:autoSpaceDN w:val="0"/>
        <w:snapToGrid w:val="0"/>
        <w:spacing w:before="120" w:line="440" w:lineRule="exact"/>
        <w:ind w:left="426" w:hanging="426"/>
        <w:rPr>
          <w:rFonts w:eastAsia="標楷體"/>
          <w:spacing w:val="-2"/>
          <w:sz w:val="24"/>
          <w:szCs w:val="28"/>
        </w:rPr>
      </w:pPr>
      <w:r w:rsidRPr="00F15E34">
        <w:rPr>
          <w:rFonts w:eastAsia="標楷體" w:hint="eastAsia"/>
          <w:spacing w:val="-2"/>
          <w:sz w:val="24"/>
          <w:szCs w:val="28"/>
        </w:rPr>
        <w:t>(1) Discussion on domestic and international economic and financial conditions</w:t>
      </w:r>
    </w:p>
    <w:p w:rsidR="00EF4C3F" w:rsidRDefault="00CF02A5" w:rsidP="00EF4C3F">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In respect of </w:t>
      </w:r>
      <w:r w:rsidR="00EF4C3F">
        <w:rPr>
          <w:rFonts w:ascii="Times New Roman" w:eastAsia="標楷體" w:hint="eastAsia"/>
          <w:spacing w:val="-2"/>
          <w:sz w:val="24"/>
          <w:szCs w:val="28"/>
        </w:rPr>
        <w:t xml:space="preserve">economic situations at home and abroad, several </w:t>
      </w:r>
      <w:r w:rsidR="00EF4C3F">
        <w:rPr>
          <w:rFonts w:ascii="Times New Roman" w:eastAsia="標楷體"/>
          <w:spacing w:val="-2"/>
          <w:sz w:val="24"/>
          <w:szCs w:val="28"/>
        </w:rPr>
        <w:t>board</w:t>
      </w:r>
      <w:r w:rsidR="00EF4C3F">
        <w:rPr>
          <w:rFonts w:ascii="Times New Roman" w:eastAsia="標楷體" w:hint="eastAsia"/>
          <w:spacing w:val="-2"/>
          <w:sz w:val="24"/>
          <w:szCs w:val="28"/>
        </w:rPr>
        <w:t xml:space="preserve"> directors deliberated about the impact of </w:t>
      </w:r>
      <w:r w:rsidR="00055653">
        <w:rPr>
          <w:rFonts w:ascii="Times New Roman" w:eastAsia="標楷體" w:hint="eastAsia"/>
          <w:spacing w:val="-2"/>
          <w:sz w:val="24"/>
          <w:szCs w:val="28"/>
        </w:rPr>
        <w:t xml:space="preserve">the </w:t>
      </w:r>
      <w:r w:rsidR="00EF4C3F">
        <w:rPr>
          <w:rFonts w:ascii="Times New Roman" w:eastAsia="標楷體" w:hint="eastAsia"/>
          <w:spacing w:val="-2"/>
          <w:sz w:val="24"/>
          <w:szCs w:val="28"/>
        </w:rPr>
        <w:t>US-China trade conflict on Taiwan</w:t>
      </w:r>
      <w:r w:rsidR="00EF4C3F">
        <w:rPr>
          <w:rFonts w:ascii="Times New Roman" w:eastAsia="標楷體"/>
          <w:spacing w:val="-2"/>
          <w:sz w:val="24"/>
          <w:szCs w:val="28"/>
        </w:rPr>
        <w:t>’</w:t>
      </w:r>
      <w:r w:rsidR="00EF4C3F">
        <w:rPr>
          <w:rFonts w:ascii="Times New Roman" w:eastAsia="標楷體" w:hint="eastAsia"/>
          <w:spacing w:val="-2"/>
          <w:sz w:val="24"/>
          <w:szCs w:val="28"/>
        </w:rPr>
        <w:t>s economy. O</w:t>
      </w:r>
      <w:r>
        <w:rPr>
          <w:rFonts w:ascii="Times New Roman" w:eastAsia="標楷體" w:hint="eastAsia"/>
          <w:spacing w:val="-2"/>
          <w:sz w:val="24"/>
          <w:szCs w:val="28"/>
        </w:rPr>
        <w:t>ne board director noted that</w:t>
      </w:r>
      <w:r w:rsidR="00B81A71">
        <w:rPr>
          <w:rFonts w:ascii="Times New Roman" w:eastAsia="標楷體" w:hint="eastAsia"/>
          <w:spacing w:val="-2"/>
          <w:sz w:val="24"/>
          <w:szCs w:val="28"/>
        </w:rPr>
        <w:t xml:space="preserve"> </w:t>
      </w:r>
      <w:r w:rsidR="00EF4C3F">
        <w:rPr>
          <w:rFonts w:ascii="Times New Roman" w:eastAsia="標楷體" w:hint="eastAsia"/>
          <w:spacing w:val="-2"/>
          <w:sz w:val="24"/>
          <w:szCs w:val="28"/>
        </w:rPr>
        <w:t xml:space="preserve">recent forecast downgrades by major institutions had </w:t>
      </w:r>
      <w:r w:rsidR="00055653">
        <w:rPr>
          <w:rFonts w:ascii="Times New Roman" w:eastAsia="標楷體" w:hint="eastAsia"/>
          <w:spacing w:val="-2"/>
          <w:sz w:val="24"/>
          <w:szCs w:val="28"/>
        </w:rPr>
        <w:t>not been sharp</w:t>
      </w:r>
      <w:r w:rsidR="00EF4C3F">
        <w:rPr>
          <w:rFonts w:ascii="Times New Roman" w:eastAsia="標楷體" w:hint="eastAsia"/>
          <w:spacing w:val="-2"/>
          <w:sz w:val="24"/>
          <w:szCs w:val="28"/>
        </w:rPr>
        <w:t>, with mos</w:t>
      </w:r>
      <w:r w:rsidR="00055653">
        <w:rPr>
          <w:rFonts w:ascii="Times New Roman" w:eastAsia="標楷體" w:hint="eastAsia"/>
          <w:spacing w:val="-2"/>
          <w:sz w:val="24"/>
          <w:szCs w:val="28"/>
        </w:rPr>
        <w:t xml:space="preserve">t forecasts remaining around 2% </w:t>
      </w:r>
      <w:r w:rsidR="00EF4C3F">
        <w:rPr>
          <w:rFonts w:ascii="Times New Roman" w:eastAsia="標楷體" w:hint="eastAsia"/>
          <w:spacing w:val="-2"/>
          <w:sz w:val="24"/>
          <w:szCs w:val="28"/>
        </w:rPr>
        <w:t xml:space="preserve">and </w:t>
      </w:r>
      <w:r w:rsidR="00055653">
        <w:rPr>
          <w:rFonts w:ascii="Times New Roman" w:eastAsia="標楷體" w:hint="eastAsia"/>
          <w:spacing w:val="-2"/>
          <w:sz w:val="24"/>
          <w:szCs w:val="28"/>
        </w:rPr>
        <w:t xml:space="preserve">just </w:t>
      </w:r>
      <w:r w:rsidR="00EF4C3F">
        <w:rPr>
          <w:rFonts w:ascii="Times New Roman" w:eastAsia="標楷體" w:hint="eastAsia"/>
          <w:spacing w:val="-2"/>
          <w:sz w:val="24"/>
          <w:szCs w:val="28"/>
        </w:rPr>
        <w:t xml:space="preserve">a few </w:t>
      </w:r>
      <w:r w:rsidR="00055653">
        <w:rPr>
          <w:rFonts w:ascii="Times New Roman" w:eastAsia="標楷體" w:hint="eastAsia"/>
          <w:spacing w:val="-2"/>
          <w:sz w:val="24"/>
          <w:szCs w:val="28"/>
        </w:rPr>
        <w:t xml:space="preserve">others </w:t>
      </w:r>
      <w:r w:rsidR="00EF4C3F">
        <w:rPr>
          <w:rFonts w:ascii="Times New Roman" w:eastAsia="標楷體" w:hint="eastAsia"/>
          <w:spacing w:val="-2"/>
          <w:sz w:val="24"/>
          <w:szCs w:val="28"/>
        </w:rPr>
        <w:t>slipping below 2%. Nevertheless, those forecasts seemed yet to fully incorporate the potential impact on Taiwan</w:t>
      </w:r>
      <w:r w:rsidR="00EF4C3F">
        <w:rPr>
          <w:rFonts w:ascii="Times New Roman" w:eastAsia="標楷體"/>
          <w:spacing w:val="-2"/>
          <w:sz w:val="24"/>
          <w:szCs w:val="28"/>
        </w:rPr>
        <w:t>’</w:t>
      </w:r>
      <w:r w:rsidR="00EF4C3F">
        <w:rPr>
          <w:rFonts w:ascii="Times New Roman" w:eastAsia="標楷體" w:hint="eastAsia"/>
          <w:spacing w:val="-2"/>
          <w:sz w:val="24"/>
          <w:szCs w:val="28"/>
        </w:rPr>
        <w:t xml:space="preserve">s economy from the imposed and announced tariffs of the US and China. </w:t>
      </w:r>
      <w:r w:rsidR="004E6C7F">
        <w:rPr>
          <w:rFonts w:ascii="Times New Roman" w:eastAsia="標楷體" w:hint="eastAsia"/>
          <w:spacing w:val="-2"/>
          <w:sz w:val="24"/>
          <w:szCs w:val="28"/>
        </w:rPr>
        <w:t xml:space="preserve">It would also be worth contemplating what benefits or harms could </w:t>
      </w:r>
      <w:r w:rsidR="00E26D40">
        <w:rPr>
          <w:rFonts w:ascii="Times New Roman" w:eastAsia="標楷體" w:hint="eastAsia"/>
          <w:spacing w:val="-2"/>
          <w:sz w:val="24"/>
          <w:szCs w:val="28"/>
        </w:rPr>
        <w:t>ensue</w:t>
      </w:r>
      <w:r w:rsidR="004E6C7F">
        <w:rPr>
          <w:rFonts w:ascii="Times New Roman" w:eastAsia="標楷體" w:hint="eastAsia"/>
          <w:spacing w:val="-2"/>
          <w:sz w:val="24"/>
          <w:szCs w:val="28"/>
        </w:rPr>
        <w:t xml:space="preserve"> for Taiwan i</w:t>
      </w:r>
      <w:r w:rsidR="00EF4C3F">
        <w:rPr>
          <w:rFonts w:ascii="Times New Roman" w:eastAsia="標楷體" w:hint="eastAsia"/>
          <w:spacing w:val="-2"/>
          <w:sz w:val="24"/>
          <w:szCs w:val="28"/>
        </w:rPr>
        <w:t xml:space="preserve">f trade </w:t>
      </w:r>
      <w:r w:rsidR="00EF4C3F">
        <w:rPr>
          <w:rFonts w:ascii="Times New Roman" w:eastAsia="標楷體"/>
          <w:spacing w:val="-2"/>
          <w:sz w:val="24"/>
          <w:szCs w:val="28"/>
        </w:rPr>
        <w:t>friction</w:t>
      </w:r>
      <w:r w:rsidR="00EF4C3F">
        <w:rPr>
          <w:rFonts w:ascii="Times New Roman" w:eastAsia="標楷體" w:hint="eastAsia"/>
          <w:spacing w:val="-2"/>
          <w:sz w:val="24"/>
          <w:szCs w:val="28"/>
        </w:rPr>
        <w:t xml:space="preserve"> between those two economies </w:t>
      </w:r>
      <w:r w:rsidR="004E6C7F">
        <w:rPr>
          <w:rFonts w:ascii="Times New Roman" w:eastAsia="標楷體" w:hint="eastAsia"/>
          <w:spacing w:val="-2"/>
          <w:sz w:val="24"/>
          <w:szCs w:val="28"/>
        </w:rPr>
        <w:t>escalates or evolves to a point that challenge</w:t>
      </w:r>
      <w:r w:rsidR="00E26D40">
        <w:rPr>
          <w:rFonts w:ascii="Times New Roman" w:eastAsia="標楷體" w:hint="eastAsia"/>
          <w:spacing w:val="-2"/>
          <w:sz w:val="24"/>
          <w:szCs w:val="28"/>
        </w:rPr>
        <w:t>s</w:t>
      </w:r>
      <w:r w:rsidR="004E6C7F">
        <w:rPr>
          <w:rFonts w:ascii="Times New Roman" w:eastAsia="標楷體" w:hint="eastAsia"/>
          <w:spacing w:val="-2"/>
          <w:sz w:val="24"/>
          <w:szCs w:val="28"/>
        </w:rPr>
        <w:t xml:space="preserve"> China</w:t>
      </w:r>
      <w:r w:rsidR="004E6C7F">
        <w:rPr>
          <w:rFonts w:ascii="Times New Roman" w:eastAsia="標楷體"/>
          <w:spacing w:val="-2"/>
          <w:sz w:val="24"/>
          <w:szCs w:val="28"/>
        </w:rPr>
        <w:t>’</w:t>
      </w:r>
      <w:r w:rsidR="004E6C7F">
        <w:rPr>
          <w:rFonts w:ascii="Times New Roman" w:eastAsia="標楷體" w:hint="eastAsia"/>
          <w:spacing w:val="-2"/>
          <w:sz w:val="24"/>
          <w:szCs w:val="28"/>
        </w:rPr>
        <w:t>s economic regime</w:t>
      </w:r>
      <w:r w:rsidR="00C049FD">
        <w:rPr>
          <w:rFonts w:ascii="Times New Roman" w:eastAsia="標楷體" w:hint="eastAsia"/>
          <w:spacing w:val="-2"/>
          <w:sz w:val="24"/>
          <w:szCs w:val="28"/>
        </w:rPr>
        <w:t>.</w:t>
      </w:r>
      <w:r w:rsidR="004E6C7F">
        <w:rPr>
          <w:rFonts w:ascii="Times New Roman" w:eastAsia="標楷體" w:hint="eastAsia"/>
          <w:spacing w:val="-2"/>
          <w:sz w:val="24"/>
          <w:szCs w:val="28"/>
        </w:rPr>
        <w:t xml:space="preserve"> </w:t>
      </w:r>
    </w:p>
    <w:p w:rsidR="00414864" w:rsidRDefault="00414864" w:rsidP="00EF4C3F">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One board director noted that the US-China trade spat has significantly weighed on Taiwanese businesses, which began to shift high-end production back to Taiwan and lower-end production to South Eastern</w:t>
      </w:r>
      <w:r w:rsidR="00055653">
        <w:rPr>
          <w:rFonts w:ascii="Times New Roman" w:eastAsia="標楷體" w:hint="eastAsia"/>
          <w:spacing w:val="-2"/>
          <w:sz w:val="24"/>
          <w:szCs w:val="28"/>
        </w:rPr>
        <w:t xml:space="preserve"> Asia.</w:t>
      </w:r>
      <w:r>
        <w:rPr>
          <w:rFonts w:ascii="Times New Roman" w:eastAsia="標楷體" w:hint="eastAsia"/>
          <w:spacing w:val="-2"/>
          <w:sz w:val="24"/>
          <w:szCs w:val="28"/>
        </w:rPr>
        <w:t xml:space="preserve"> To facilitate </w:t>
      </w:r>
      <w:r w:rsidR="00055653">
        <w:rPr>
          <w:rFonts w:ascii="Times New Roman" w:eastAsia="標楷體" w:hint="eastAsia"/>
          <w:spacing w:val="-2"/>
          <w:sz w:val="24"/>
          <w:szCs w:val="28"/>
        </w:rPr>
        <w:t xml:space="preserve">the </w:t>
      </w:r>
      <w:r>
        <w:rPr>
          <w:rFonts w:ascii="Times New Roman" w:eastAsia="標楷體" w:hint="eastAsia"/>
          <w:spacing w:val="-2"/>
          <w:sz w:val="24"/>
          <w:szCs w:val="28"/>
        </w:rPr>
        <w:t>returning</w:t>
      </w:r>
      <w:r w:rsidR="00055653">
        <w:rPr>
          <w:rFonts w:ascii="Times New Roman" w:eastAsia="標楷體" w:hint="eastAsia"/>
          <w:spacing w:val="-2"/>
          <w:sz w:val="24"/>
          <w:szCs w:val="28"/>
        </w:rPr>
        <w:t xml:space="preserve"> of</w:t>
      </w:r>
      <w:r>
        <w:rPr>
          <w:rFonts w:ascii="Times New Roman" w:eastAsia="標楷體" w:hint="eastAsia"/>
          <w:spacing w:val="-2"/>
          <w:sz w:val="24"/>
          <w:szCs w:val="28"/>
        </w:rPr>
        <w:t xml:space="preserve"> Taiwanese </w:t>
      </w:r>
      <w:r w:rsidR="00084F10">
        <w:rPr>
          <w:rFonts w:ascii="Times New Roman" w:eastAsia="標楷體" w:hint="eastAsia"/>
          <w:spacing w:val="-2"/>
          <w:sz w:val="24"/>
          <w:szCs w:val="28"/>
        </w:rPr>
        <w:t>capital</w:t>
      </w:r>
      <w:r>
        <w:rPr>
          <w:rFonts w:ascii="Times New Roman" w:eastAsia="標楷體" w:hint="eastAsia"/>
          <w:spacing w:val="-2"/>
          <w:sz w:val="24"/>
          <w:szCs w:val="28"/>
        </w:rPr>
        <w:t xml:space="preserve"> under such </w:t>
      </w:r>
      <w:r>
        <w:rPr>
          <w:rFonts w:ascii="Times New Roman" w:eastAsia="標楷體" w:hint="eastAsia"/>
          <w:spacing w:val="-2"/>
          <w:sz w:val="24"/>
          <w:szCs w:val="28"/>
        </w:rPr>
        <w:lastRenderedPageBreak/>
        <w:t xml:space="preserve">elevated uncertainty </w:t>
      </w:r>
      <w:r w:rsidR="00055653">
        <w:rPr>
          <w:rFonts w:ascii="Times New Roman" w:eastAsia="標楷體" w:hint="eastAsia"/>
          <w:spacing w:val="-2"/>
          <w:sz w:val="24"/>
          <w:szCs w:val="28"/>
        </w:rPr>
        <w:t xml:space="preserve">seen </w:t>
      </w:r>
      <w:r>
        <w:rPr>
          <w:rFonts w:ascii="Times New Roman" w:eastAsia="標楷體" w:hint="eastAsia"/>
          <w:spacing w:val="-2"/>
          <w:sz w:val="24"/>
          <w:szCs w:val="28"/>
        </w:rPr>
        <w:t>in the year, the government ha</w:t>
      </w:r>
      <w:r w:rsidR="00055653">
        <w:rPr>
          <w:rFonts w:ascii="Times New Roman" w:eastAsia="標楷體" w:hint="eastAsia"/>
          <w:spacing w:val="-2"/>
          <w:sz w:val="24"/>
          <w:szCs w:val="28"/>
        </w:rPr>
        <w:t>d</w:t>
      </w:r>
      <w:r>
        <w:rPr>
          <w:rFonts w:ascii="Times New Roman" w:eastAsia="標楷體" w:hint="eastAsia"/>
          <w:spacing w:val="-2"/>
          <w:sz w:val="24"/>
          <w:szCs w:val="28"/>
        </w:rPr>
        <w:t xml:space="preserve"> </w:t>
      </w:r>
      <w:r w:rsidR="00084F10">
        <w:rPr>
          <w:rFonts w:ascii="Times New Roman" w:eastAsia="標楷體" w:hint="eastAsia"/>
          <w:spacing w:val="-2"/>
          <w:sz w:val="24"/>
          <w:szCs w:val="28"/>
        </w:rPr>
        <w:t xml:space="preserve">been removing investment hurdles and rolling out incentive measures to drive investment and employment. </w:t>
      </w:r>
    </w:p>
    <w:p w:rsidR="00084F10" w:rsidRDefault="00084F10" w:rsidP="003F7C28">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One board director shared the view that US-China trade friction has hit the corporate sector hard and fast. Nevertheless, the government</w:t>
      </w:r>
      <w:r>
        <w:rPr>
          <w:rFonts w:ascii="Times New Roman" w:eastAsia="標楷體"/>
          <w:spacing w:val="-2"/>
          <w:sz w:val="24"/>
          <w:szCs w:val="28"/>
        </w:rPr>
        <w:t>’</w:t>
      </w:r>
      <w:r>
        <w:rPr>
          <w:rFonts w:ascii="Times New Roman" w:eastAsia="標楷體" w:hint="eastAsia"/>
          <w:spacing w:val="-2"/>
          <w:sz w:val="24"/>
          <w:szCs w:val="28"/>
        </w:rPr>
        <w:t>s swift policy response</w:t>
      </w:r>
      <w:r w:rsidR="00055653">
        <w:rPr>
          <w:rFonts w:ascii="Times New Roman" w:eastAsia="標楷體" w:hint="eastAsia"/>
          <w:spacing w:val="-2"/>
          <w:sz w:val="24"/>
          <w:szCs w:val="28"/>
        </w:rPr>
        <w:t>s</w:t>
      </w:r>
      <w:r>
        <w:rPr>
          <w:rFonts w:ascii="Times New Roman" w:eastAsia="標楷體" w:hint="eastAsia"/>
          <w:spacing w:val="-2"/>
          <w:sz w:val="24"/>
          <w:szCs w:val="28"/>
        </w:rPr>
        <w:t xml:space="preserve"> have turned a threat into </w:t>
      </w:r>
      <w:r w:rsidR="00E96B9C">
        <w:rPr>
          <w:rFonts w:ascii="Times New Roman" w:eastAsia="標楷體" w:hint="eastAsia"/>
          <w:spacing w:val="-2"/>
          <w:sz w:val="24"/>
          <w:szCs w:val="28"/>
        </w:rPr>
        <w:t xml:space="preserve">an </w:t>
      </w:r>
      <w:r>
        <w:rPr>
          <w:rFonts w:ascii="Times New Roman" w:eastAsia="標楷體" w:hint="eastAsia"/>
          <w:spacing w:val="-2"/>
          <w:sz w:val="24"/>
          <w:szCs w:val="28"/>
        </w:rPr>
        <w:t xml:space="preserve">opportunity, bringing a huge </w:t>
      </w:r>
      <w:r w:rsidR="003F7C28">
        <w:rPr>
          <w:rFonts w:ascii="Times New Roman" w:eastAsia="標楷體" w:hint="eastAsia"/>
          <w:spacing w:val="-2"/>
          <w:sz w:val="24"/>
          <w:szCs w:val="28"/>
        </w:rPr>
        <w:t xml:space="preserve">influx of Taiwanese capital. With more and more products </w:t>
      </w:r>
      <w:r w:rsidR="00282123">
        <w:rPr>
          <w:rFonts w:ascii="Times New Roman" w:eastAsia="標楷體" w:hint="eastAsia"/>
          <w:spacing w:val="-2"/>
          <w:sz w:val="24"/>
          <w:szCs w:val="28"/>
        </w:rPr>
        <w:t>of</w:t>
      </w:r>
      <w:r w:rsidR="003F7C28">
        <w:rPr>
          <w:rFonts w:ascii="Times New Roman" w:eastAsia="標楷體" w:hint="eastAsia"/>
          <w:spacing w:val="-2"/>
          <w:sz w:val="24"/>
          <w:szCs w:val="28"/>
        </w:rPr>
        <w:t xml:space="preserve"> Taiwanese firms to be manufactured locally instead of overseas, the domestic supply chain would also benefit from this opportunity to flourish and expand. </w:t>
      </w:r>
    </w:p>
    <w:p w:rsidR="003F7C28" w:rsidRDefault="003F7C28" w:rsidP="003F7C28">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board director pointed out that </w:t>
      </w:r>
      <w:r w:rsidR="000A7632">
        <w:rPr>
          <w:rFonts w:ascii="Times New Roman" w:eastAsia="標楷體" w:hint="eastAsia"/>
          <w:spacing w:val="-2"/>
          <w:sz w:val="24"/>
          <w:szCs w:val="28"/>
        </w:rPr>
        <w:t xml:space="preserve">returning Taiwanese capital had been growing, prompted </w:t>
      </w:r>
      <w:r w:rsidR="002D3807">
        <w:rPr>
          <w:rFonts w:ascii="Times New Roman" w:eastAsia="標楷體" w:hint="eastAsia"/>
          <w:spacing w:val="-2"/>
          <w:sz w:val="24"/>
          <w:szCs w:val="28"/>
        </w:rPr>
        <w:t xml:space="preserve">in part </w:t>
      </w:r>
      <w:r w:rsidR="000A7632">
        <w:rPr>
          <w:rFonts w:ascii="Times New Roman" w:eastAsia="標楷體" w:hint="eastAsia"/>
          <w:spacing w:val="-2"/>
          <w:sz w:val="24"/>
          <w:szCs w:val="28"/>
        </w:rPr>
        <w:t xml:space="preserve">by </w:t>
      </w:r>
      <w:r w:rsidR="002D3807">
        <w:rPr>
          <w:rFonts w:ascii="Times New Roman" w:eastAsia="標楷體" w:hint="eastAsia"/>
          <w:spacing w:val="-2"/>
          <w:sz w:val="24"/>
          <w:szCs w:val="28"/>
        </w:rPr>
        <w:t xml:space="preserve">concerns about </w:t>
      </w:r>
      <w:r w:rsidR="000A7632">
        <w:rPr>
          <w:rFonts w:ascii="Times New Roman" w:eastAsia="標楷體" w:hint="eastAsia"/>
          <w:spacing w:val="-2"/>
          <w:sz w:val="24"/>
          <w:szCs w:val="28"/>
        </w:rPr>
        <w:t>the US-China trade battle and the introduction of OECD</w:t>
      </w:r>
      <w:r w:rsidR="000A7632">
        <w:rPr>
          <w:rFonts w:ascii="Times New Roman" w:eastAsia="標楷體"/>
          <w:spacing w:val="-2"/>
          <w:sz w:val="24"/>
          <w:szCs w:val="28"/>
        </w:rPr>
        <w:t>’</w:t>
      </w:r>
      <w:r w:rsidR="000A7632">
        <w:rPr>
          <w:rFonts w:ascii="Times New Roman" w:eastAsia="標楷體" w:hint="eastAsia"/>
          <w:spacing w:val="-2"/>
          <w:sz w:val="24"/>
          <w:szCs w:val="28"/>
        </w:rPr>
        <w:t xml:space="preserve">s Common Reporting Standard (CRS). However, relevant regulations require that the majority of repatriating capital should be invested in the real sector of the economy. </w:t>
      </w:r>
      <w:r w:rsidR="002D3807">
        <w:rPr>
          <w:rFonts w:ascii="Times New Roman" w:eastAsia="標楷體" w:hint="eastAsia"/>
          <w:spacing w:val="-2"/>
          <w:sz w:val="24"/>
          <w:szCs w:val="28"/>
        </w:rPr>
        <w:t xml:space="preserve">In addition, some of the returning investment had been supplemented with domestic bank lending. It might be worth noting how this would affect loanable funds in the domestic financial market. </w:t>
      </w:r>
    </w:p>
    <w:p w:rsidR="00A91907" w:rsidRDefault="00F172D9" w:rsidP="00A91907">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In respect of domestic prices, one board director </w:t>
      </w:r>
      <w:r w:rsidR="00E90D6D">
        <w:rPr>
          <w:rFonts w:ascii="Times New Roman" w:eastAsia="標楷體" w:hint="eastAsia"/>
          <w:spacing w:val="-2"/>
          <w:sz w:val="24"/>
          <w:szCs w:val="28"/>
        </w:rPr>
        <w:t xml:space="preserve">stated that recent </w:t>
      </w:r>
      <w:r w:rsidR="00A91907">
        <w:rPr>
          <w:rFonts w:ascii="Times New Roman" w:eastAsia="標楷體" w:hint="eastAsia"/>
          <w:spacing w:val="-2"/>
          <w:sz w:val="24"/>
          <w:szCs w:val="28"/>
        </w:rPr>
        <w:t>inundation and a warm winter earlier had only affected a small chunk of fruit supply</w:t>
      </w:r>
      <w:r w:rsidR="00C16EA7">
        <w:rPr>
          <w:rFonts w:ascii="Times New Roman" w:eastAsia="標楷體" w:hint="eastAsia"/>
          <w:spacing w:val="-2"/>
          <w:sz w:val="24"/>
          <w:szCs w:val="28"/>
        </w:rPr>
        <w:t>,</w:t>
      </w:r>
      <w:r w:rsidR="00A91907">
        <w:rPr>
          <w:rFonts w:ascii="Times New Roman" w:eastAsia="標楷體" w:hint="eastAsia"/>
          <w:spacing w:val="-2"/>
          <w:sz w:val="24"/>
          <w:szCs w:val="28"/>
        </w:rPr>
        <w:t xml:space="preserve"> instead of sweeping crop damage. </w:t>
      </w:r>
      <w:r w:rsidR="00C16EA7">
        <w:rPr>
          <w:rFonts w:ascii="Times New Roman" w:eastAsia="標楷體" w:hint="eastAsia"/>
          <w:spacing w:val="-2"/>
          <w:sz w:val="24"/>
          <w:szCs w:val="28"/>
        </w:rPr>
        <w:t xml:space="preserve">As to </w:t>
      </w:r>
      <w:r w:rsidR="007171D4">
        <w:rPr>
          <w:rFonts w:ascii="Times New Roman" w:eastAsia="標楷體" w:hint="eastAsia"/>
          <w:spacing w:val="-2"/>
          <w:sz w:val="24"/>
          <w:szCs w:val="28"/>
        </w:rPr>
        <w:t xml:space="preserve">pest concerns caused by fall armyworms, it was expected </w:t>
      </w:r>
      <w:r w:rsidR="00282123">
        <w:rPr>
          <w:rFonts w:ascii="Times New Roman" w:eastAsia="標楷體" w:hint="eastAsia"/>
          <w:spacing w:val="-2"/>
          <w:sz w:val="24"/>
          <w:szCs w:val="28"/>
        </w:rPr>
        <w:t xml:space="preserve">that </w:t>
      </w:r>
      <w:r w:rsidR="007171D4">
        <w:rPr>
          <w:rFonts w:ascii="Times New Roman" w:eastAsia="標楷體" w:hint="eastAsia"/>
          <w:spacing w:val="-2"/>
          <w:sz w:val="24"/>
          <w:szCs w:val="28"/>
        </w:rPr>
        <w:t>no significant harm would result therefrom</w:t>
      </w:r>
      <w:r w:rsidR="00AA0187">
        <w:rPr>
          <w:rFonts w:ascii="Times New Roman" w:eastAsia="標楷體" w:hint="eastAsia"/>
          <w:spacing w:val="-2"/>
          <w:sz w:val="24"/>
          <w:szCs w:val="28"/>
        </w:rPr>
        <w:t xml:space="preserve"> to roil the domestic agricultural product prices</w:t>
      </w:r>
      <w:r w:rsidR="007171D4">
        <w:rPr>
          <w:rFonts w:ascii="Times New Roman" w:eastAsia="標楷體" w:hint="eastAsia"/>
          <w:spacing w:val="-2"/>
          <w:sz w:val="24"/>
          <w:szCs w:val="28"/>
        </w:rPr>
        <w:t xml:space="preserve">. </w:t>
      </w:r>
    </w:p>
    <w:p w:rsidR="0076050F" w:rsidRDefault="00DC1B77" w:rsidP="0076050F">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In regard to domestic financial conditions, several board directors gave their opinions on the domestic housing market. One board director noted that </w:t>
      </w:r>
      <w:r w:rsidR="009B5A86">
        <w:rPr>
          <w:rFonts w:ascii="Times New Roman" w:eastAsia="標楷體" w:hint="eastAsia"/>
          <w:spacing w:val="-2"/>
          <w:sz w:val="24"/>
          <w:szCs w:val="28"/>
        </w:rPr>
        <w:t>last year</w:t>
      </w:r>
      <w:r w:rsidR="009B5A86">
        <w:rPr>
          <w:rFonts w:ascii="Times New Roman" w:eastAsia="標楷體"/>
          <w:spacing w:val="-2"/>
          <w:sz w:val="24"/>
          <w:szCs w:val="28"/>
        </w:rPr>
        <w:t>’</w:t>
      </w:r>
      <w:r w:rsidR="009B5A86">
        <w:rPr>
          <w:rFonts w:ascii="Times New Roman" w:eastAsia="標楷體" w:hint="eastAsia"/>
          <w:spacing w:val="-2"/>
          <w:sz w:val="24"/>
          <w:szCs w:val="28"/>
        </w:rPr>
        <w:t>s number of home o</w:t>
      </w:r>
      <w:r>
        <w:rPr>
          <w:rFonts w:ascii="Times New Roman" w:eastAsia="標楷體" w:hint="eastAsia"/>
          <w:spacing w:val="-2"/>
          <w:sz w:val="24"/>
          <w:szCs w:val="28"/>
        </w:rPr>
        <w:t>wnership transfer</w:t>
      </w:r>
      <w:r w:rsidR="009B5A86">
        <w:rPr>
          <w:rFonts w:ascii="Times New Roman" w:eastAsia="標楷體" w:hint="eastAsia"/>
          <w:spacing w:val="-2"/>
          <w:sz w:val="24"/>
          <w:szCs w:val="28"/>
        </w:rPr>
        <w:t xml:space="preserve">s was nearly 100 thousand </w:t>
      </w:r>
      <w:r w:rsidR="00E96B9C">
        <w:rPr>
          <w:rFonts w:ascii="Times New Roman" w:eastAsia="標楷體" w:hint="eastAsia"/>
          <w:spacing w:val="-2"/>
          <w:sz w:val="24"/>
          <w:szCs w:val="28"/>
        </w:rPr>
        <w:t>less</w:t>
      </w:r>
      <w:r w:rsidR="009B5A86">
        <w:rPr>
          <w:rFonts w:ascii="Times New Roman" w:eastAsia="標楷體" w:hint="eastAsia"/>
          <w:spacing w:val="-2"/>
          <w:sz w:val="24"/>
          <w:szCs w:val="28"/>
        </w:rPr>
        <w:t xml:space="preserve"> than that of year 2013. Moreover, with vacancy </w:t>
      </w:r>
      <w:r w:rsidR="00DD3C0A">
        <w:rPr>
          <w:rFonts w:ascii="Times New Roman" w:eastAsia="標楷體" w:hint="eastAsia"/>
          <w:spacing w:val="-2"/>
          <w:sz w:val="24"/>
          <w:szCs w:val="28"/>
        </w:rPr>
        <w:t xml:space="preserve">units mounting </w:t>
      </w:r>
      <w:r w:rsidR="009B5A86">
        <w:rPr>
          <w:rFonts w:ascii="Times New Roman" w:eastAsia="標楷體" w:hint="eastAsia"/>
          <w:spacing w:val="-2"/>
          <w:sz w:val="24"/>
          <w:szCs w:val="28"/>
        </w:rPr>
        <w:t xml:space="preserve">in the recent year and lukewarm transactions </w:t>
      </w:r>
      <w:r w:rsidR="00282123">
        <w:rPr>
          <w:rFonts w:ascii="Times New Roman" w:eastAsia="標楷體" w:hint="eastAsia"/>
          <w:spacing w:val="-2"/>
          <w:sz w:val="24"/>
          <w:szCs w:val="28"/>
        </w:rPr>
        <w:t>of</w:t>
      </w:r>
      <w:r w:rsidR="009B5A86">
        <w:rPr>
          <w:rFonts w:ascii="Times New Roman" w:eastAsia="標楷體" w:hint="eastAsia"/>
          <w:spacing w:val="-2"/>
          <w:sz w:val="24"/>
          <w:szCs w:val="28"/>
        </w:rPr>
        <w:t xml:space="preserve"> p</w:t>
      </w:r>
      <w:r>
        <w:rPr>
          <w:rFonts w:ascii="Times New Roman" w:eastAsia="標楷體" w:hint="eastAsia"/>
          <w:spacing w:val="-2"/>
          <w:sz w:val="24"/>
          <w:szCs w:val="28"/>
        </w:rPr>
        <w:t>re-</w:t>
      </w:r>
      <w:r w:rsidR="009B5A86">
        <w:rPr>
          <w:rFonts w:ascii="Times New Roman" w:eastAsia="標楷體" w:hint="eastAsia"/>
          <w:spacing w:val="-2"/>
          <w:sz w:val="24"/>
          <w:szCs w:val="28"/>
        </w:rPr>
        <w:t xml:space="preserve">sale </w:t>
      </w:r>
      <w:r w:rsidR="00282123">
        <w:rPr>
          <w:rFonts w:ascii="Times New Roman" w:eastAsia="標楷體" w:hint="eastAsia"/>
          <w:spacing w:val="-2"/>
          <w:sz w:val="24"/>
          <w:szCs w:val="28"/>
        </w:rPr>
        <w:t>homes</w:t>
      </w:r>
      <w:r w:rsidR="009B5A86">
        <w:rPr>
          <w:rFonts w:ascii="Times New Roman" w:eastAsia="標楷體" w:hint="eastAsia"/>
          <w:spacing w:val="-2"/>
          <w:sz w:val="24"/>
          <w:szCs w:val="28"/>
        </w:rPr>
        <w:t xml:space="preserve">, the pressure to reduce housing vacancies had been building up. </w:t>
      </w:r>
      <w:r w:rsidR="0076050F">
        <w:rPr>
          <w:rFonts w:ascii="Times New Roman" w:eastAsia="標楷體" w:hint="eastAsia"/>
          <w:spacing w:val="-2"/>
          <w:sz w:val="24"/>
          <w:szCs w:val="28"/>
        </w:rPr>
        <w:t>While the housing market saw a recovery with higher prices and more transactions, this should be a rebound back to normal instead of hyper-inflating in value and volume o</w:t>
      </w:r>
      <w:r w:rsidR="00005C87">
        <w:rPr>
          <w:rFonts w:ascii="Times New Roman" w:eastAsia="標楷體" w:hint="eastAsia"/>
          <w:spacing w:val="-2"/>
          <w:sz w:val="24"/>
          <w:szCs w:val="28"/>
        </w:rPr>
        <w:t xml:space="preserve">f property </w:t>
      </w:r>
      <w:r w:rsidR="0076050F">
        <w:rPr>
          <w:rFonts w:ascii="Times New Roman" w:eastAsia="標楷體" w:hint="eastAsia"/>
          <w:spacing w:val="-2"/>
          <w:sz w:val="24"/>
          <w:szCs w:val="28"/>
        </w:rPr>
        <w:t xml:space="preserve">sales. </w:t>
      </w:r>
      <w:r w:rsidR="00DD3C0A">
        <w:rPr>
          <w:rFonts w:ascii="Times New Roman" w:eastAsia="標楷體" w:hint="eastAsia"/>
          <w:spacing w:val="-2"/>
          <w:sz w:val="24"/>
          <w:szCs w:val="28"/>
        </w:rPr>
        <w:t xml:space="preserve">Meanwhile, home mortgages had continued to increase, with owner-occupied property the majority of collaterals. Commercial real estate and industrial land had also seen </w:t>
      </w:r>
      <w:r w:rsidR="003A5914">
        <w:rPr>
          <w:rFonts w:ascii="Times New Roman" w:eastAsia="標楷體" w:hint="eastAsia"/>
          <w:spacing w:val="-2"/>
          <w:sz w:val="24"/>
          <w:szCs w:val="28"/>
        </w:rPr>
        <w:t xml:space="preserve">an upsurge this year, mainly attributable to the influx of returning Taiwanese capital. </w:t>
      </w:r>
    </w:p>
    <w:p w:rsidR="00545530" w:rsidRDefault="005678C5" w:rsidP="009B066A">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Another board director </w:t>
      </w:r>
      <w:r w:rsidR="00171791">
        <w:rPr>
          <w:rFonts w:ascii="Times New Roman" w:eastAsia="標楷體" w:hint="eastAsia"/>
          <w:spacing w:val="-2"/>
          <w:sz w:val="24"/>
          <w:szCs w:val="28"/>
        </w:rPr>
        <w:t>commented that</w:t>
      </w:r>
      <w:r w:rsidR="00BB52F8">
        <w:rPr>
          <w:rFonts w:ascii="Times New Roman" w:eastAsia="標楷體" w:hint="eastAsia"/>
          <w:spacing w:val="-2"/>
          <w:sz w:val="24"/>
          <w:szCs w:val="28"/>
        </w:rPr>
        <w:t xml:space="preserve"> recent data showed construction lending and home-purchasing loans had reached new highs in seven or eight years</w:t>
      </w:r>
      <w:r w:rsidR="001E7489">
        <w:rPr>
          <w:rFonts w:ascii="Times New Roman" w:eastAsia="標楷體" w:hint="eastAsia"/>
          <w:spacing w:val="-2"/>
          <w:sz w:val="24"/>
          <w:szCs w:val="28"/>
        </w:rPr>
        <w:t xml:space="preserve">; </w:t>
      </w:r>
      <w:r w:rsidR="00545530">
        <w:rPr>
          <w:rFonts w:ascii="Times New Roman" w:eastAsia="標楷體" w:hint="eastAsia"/>
          <w:spacing w:val="-2"/>
          <w:sz w:val="24"/>
          <w:szCs w:val="28"/>
        </w:rPr>
        <w:t xml:space="preserve">prices of </w:t>
      </w:r>
      <w:r w:rsidR="001E7489">
        <w:rPr>
          <w:rFonts w:ascii="Times New Roman" w:eastAsia="標楷體" w:hint="eastAsia"/>
          <w:spacing w:val="-2"/>
          <w:sz w:val="24"/>
          <w:szCs w:val="28"/>
        </w:rPr>
        <w:t>newly-constructed or existing home</w:t>
      </w:r>
      <w:r w:rsidR="00282123">
        <w:rPr>
          <w:rFonts w:ascii="Times New Roman" w:eastAsia="標楷體" w:hint="eastAsia"/>
          <w:spacing w:val="-2"/>
          <w:sz w:val="24"/>
          <w:szCs w:val="28"/>
        </w:rPr>
        <w:t>s</w:t>
      </w:r>
      <w:r w:rsidR="00545530">
        <w:rPr>
          <w:rFonts w:ascii="Times New Roman" w:eastAsia="標楷體" w:hint="eastAsia"/>
          <w:spacing w:val="-2"/>
          <w:sz w:val="24"/>
          <w:szCs w:val="28"/>
        </w:rPr>
        <w:t xml:space="preserve"> had not jumped, but they had been inching up for multiple quarters in a row.</w:t>
      </w:r>
      <w:r w:rsidR="00C93B8C">
        <w:rPr>
          <w:rFonts w:ascii="Times New Roman" w:eastAsia="標楷體" w:hint="eastAsia"/>
          <w:spacing w:val="-2"/>
          <w:sz w:val="24"/>
          <w:szCs w:val="28"/>
        </w:rPr>
        <w:t xml:space="preserve"> Furthermore, recently financial institutions began another price war, vying for </w:t>
      </w:r>
      <w:r w:rsidR="00C93B8C">
        <w:rPr>
          <w:rFonts w:ascii="Times New Roman" w:eastAsia="標楷體" w:hint="eastAsia"/>
          <w:spacing w:val="-2"/>
          <w:sz w:val="24"/>
          <w:szCs w:val="28"/>
        </w:rPr>
        <w:lastRenderedPageBreak/>
        <w:t>mortgage borrowers. Th</w:t>
      </w:r>
      <w:r w:rsidR="00282123">
        <w:rPr>
          <w:rFonts w:ascii="Times New Roman" w:eastAsia="標楷體" w:hint="eastAsia"/>
          <w:spacing w:val="-2"/>
          <w:sz w:val="24"/>
          <w:szCs w:val="28"/>
        </w:rPr>
        <w:t>e</w:t>
      </w:r>
      <w:r w:rsidR="00C93B8C">
        <w:rPr>
          <w:rFonts w:ascii="Times New Roman" w:eastAsia="標楷體" w:hint="eastAsia"/>
          <w:spacing w:val="-2"/>
          <w:sz w:val="24"/>
          <w:szCs w:val="28"/>
        </w:rPr>
        <w:t xml:space="preserve"> board director called for close monitoring of new developments in the real estate market and in bank</w:t>
      </w:r>
      <w:r w:rsidR="00282123">
        <w:rPr>
          <w:rFonts w:ascii="Times New Roman" w:eastAsia="標楷體" w:hint="eastAsia"/>
          <w:spacing w:val="-2"/>
          <w:sz w:val="24"/>
          <w:szCs w:val="28"/>
        </w:rPr>
        <w:t>s</w:t>
      </w:r>
      <w:r w:rsidR="00282123">
        <w:rPr>
          <w:rFonts w:ascii="Times New Roman" w:eastAsia="標楷體"/>
          <w:spacing w:val="-2"/>
          <w:sz w:val="24"/>
          <w:szCs w:val="28"/>
        </w:rPr>
        <w:t>’</w:t>
      </w:r>
      <w:r w:rsidR="00C93B8C">
        <w:rPr>
          <w:rFonts w:ascii="Times New Roman" w:eastAsia="標楷體" w:hint="eastAsia"/>
          <w:spacing w:val="-2"/>
          <w:sz w:val="24"/>
          <w:szCs w:val="28"/>
        </w:rPr>
        <w:t xml:space="preserve"> loan product concentration, so as to </w:t>
      </w:r>
      <w:r w:rsidR="009B066A">
        <w:rPr>
          <w:rFonts w:ascii="Times New Roman" w:eastAsia="標楷體" w:hint="eastAsia"/>
          <w:spacing w:val="-2"/>
          <w:sz w:val="24"/>
          <w:szCs w:val="28"/>
        </w:rPr>
        <w:t>respond</w:t>
      </w:r>
      <w:r w:rsidR="00C93B8C">
        <w:rPr>
          <w:rFonts w:ascii="Times New Roman" w:eastAsia="標楷體" w:hint="eastAsia"/>
          <w:spacing w:val="-2"/>
          <w:sz w:val="24"/>
          <w:szCs w:val="28"/>
        </w:rPr>
        <w:t xml:space="preserve"> </w:t>
      </w:r>
      <w:r w:rsidR="009B066A">
        <w:rPr>
          <w:rFonts w:ascii="Times New Roman" w:eastAsia="標楷體" w:hint="eastAsia"/>
          <w:spacing w:val="-2"/>
          <w:sz w:val="24"/>
          <w:szCs w:val="28"/>
        </w:rPr>
        <w:t>accordingly and appropriately</w:t>
      </w:r>
      <w:r w:rsidR="00C93B8C">
        <w:rPr>
          <w:rFonts w:ascii="Times New Roman" w:eastAsia="標楷體" w:hint="eastAsia"/>
          <w:spacing w:val="-2"/>
          <w:sz w:val="24"/>
          <w:szCs w:val="28"/>
        </w:rPr>
        <w:t xml:space="preserve"> before</w:t>
      </w:r>
      <w:r w:rsidR="00723DCD">
        <w:rPr>
          <w:rFonts w:ascii="Times New Roman" w:eastAsia="標楷體" w:hint="eastAsia"/>
          <w:spacing w:val="-2"/>
          <w:sz w:val="24"/>
          <w:szCs w:val="28"/>
        </w:rPr>
        <w:t xml:space="preserve"> </w:t>
      </w:r>
      <w:r w:rsidR="009B066A">
        <w:rPr>
          <w:rFonts w:ascii="Times New Roman" w:eastAsia="標楷體" w:hint="eastAsia"/>
          <w:spacing w:val="-2"/>
          <w:sz w:val="24"/>
          <w:szCs w:val="28"/>
        </w:rPr>
        <w:t xml:space="preserve">expectations for home price appreciation take hold. </w:t>
      </w:r>
    </w:p>
    <w:p w:rsidR="003044E3" w:rsidRPr="007F6F77" w:rsidRDefault="00985DB9" w:rsidP="003044E3">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 </w:t>
      </w:r>
      <w:r w:rsidR="003044E3" w:rsidRPr="007F6F77">
        <w:rPr>
          <w:rFonts w:eastAsia="標楷體" w:hint="eastAsia"/>
          <w:spacing w:val="-2"/>
          <w:kern w:val="2"/>
          <w:sz w:val="24"/>
          <w:szCs w:val="28"/>
        </w:rPr>
        <w:t>(2) Discussion on interest rate decision</w:t>
      </w:r>
    </w:p>
    <w:p w:rsidR="00985DB9" w:rsidRDefault="001B5916" w:rsidP="00FA173A">
      <w:pPr>
        <w:adjustRightInd/>
        <w:snapToGrid w:val="0"/>
        <w:spacing w:before="120" w:line="440" w:lineRule="exact"/>
        <w:ind w:firstLineChars="200" w:firstLine="480"/>
        <w:jc w:val="both"/>
        <w:textDirection w:val="lrTbV"/>
        <w:rPr>
          <w:rFonts w:eastAsia="標楷體"/>
          <w:sz w:val="24"/>
          <w:szCs w:val="32"/>
        </w:rPr>
      </w:pPr>
      <w:r w:rsidRPr="001B5916">
        <w:rPr>
          <w:rFonts w:eastAsia="標楷體" w:hint="eastAsia"/>
          <w:sz w:val="24"/>
          <w:szCs w:val="32"/>
        </w:rPr>
        <w:t xml:space="preserve">All board </w:t>
      </w:r>
      <w:r>
        <w:rPr>
          <w:rFonts w:eastAsia="標楷體" w:hint="eastAsia"/>
          <w:sz w:val="24"/>
          <w:szCs w:val="32"/>
        </w:rPr>
        <w:t xml:space="preserve">directors </w:t>
      </w:r>
      <w:r w:rsidR="00257AFD">
        <w:rPr>
          <w:rFonts w:eastAsia="標楷體" w:hint="eastAsia"/>
          <w:sz w:val="24"/>
          <w:szCs w:val="32"/>
        </w:rPr>
        <w:t>approved of keeping policy rates at</w:t>
      </w:r>
      <w:r>
        <w:rPr>
          <w:rFonts w:eastAsia="標楷體" w:hint="eastAsia"/>
          <w:sz w:val="24"/>
          <w:szCs w:val="32"/>
        </w:rPr>
        <w:t xml:space="preserve"> the current levels, based mainly on the assessment of</w:t>
      </w:r>
      <w:r w:rsidR="00257AFD">
        <w:rPr>
          <w:rFonts w:eastAsia="標楷體" w:hint="eastAsia"/>
          <w:sz w:val="24"/>
          <w:szCs w:val="32"/>
        </w:rPr>
        <w:t xml:space="preserve"> </w:t>
      </w:r>
      <w:r w:rsidR="00985DB9">
        <w:rPr>
          <w:rFonts w:eastAsia="標楷體" w:hint="eastAsia"/>
          <w:sz w:val="24"/>
          <w:szCs w:val="32"/>
        </w:rPr>
        <w:t>(1) high uncertainty in the international economic and trade outlook, (2) moderate growth momentum for the domestic economy, and (</w:t>
      </w:r>
      <w:r w:rsidR="00282123">
        <w:rPr>
          <w:rFonts w:eastAsia="標楷體" w:hint="eastAsia"/>
          <w:sz w:val="24"/>
          <w:szCs w:val="32"/>
        </w:rPr>
        <w:t>3</w:t>
      </w:r>
      <w:r w:rsidR="00985DB9">
        <w:rPr>
          <w:rFonts w:eastAsia="標楷體" w:hint="eastAsia"/>
          <w:sz w:val="24"/>
          <w:szCs w:val="32"/>
        </w:rPr>
        <w:t>) a stable domestic inflation outlook</w:t>
      </w:r>
      <w:r>
        <w:rPr>
          <w:rFonts w:eastAsia="標楷體" w:hint="eastAsia"/>
          <w:sz w:val="24"/>
          <w:szCs w:val="32"/>
        </w:rPr>
        <w:t xml:space="preserve">. </w:t>
      </w:r>
      <w:r w:rsidRPr="00215564">
        <w:rPr>
          <w:rFonts w:eastAsia="標楷體" w:hint="eastAsia"/>
          <w:sz w:val="24"/>
          <w:szCs w:val="32"/>
        </w:rPr>
        <w:t xml:space="preserve">One board director </w:t>
      </w:r>
      <w:r w:rsidR="00850892">
        <w:rPr>
          <w:rFonts w:eastAsia="標楷體" w:hint="eastAsia"/>
          <w:sz w:val="24"/>
          <w:szCs w:val="32"/>
        </w:rPr>
        <w:t xml:space="preserve">gave the reason for approval that the US-China trade conflict had created remarkable uncertainty </w:t>
      </w:r>
      <w:r w:rsidR="00282123">
        <w:rPr>
          <w:rFonts w:eastAsia="標楷體" w:hint="eastAsia"/>
          <w:sz w:val="24"/>
          <w:szCs w:val="32"/>
        </w:rPr>
        <w:t>for</w:t>
      </w:r>
      <w:r w:rsidR="00850892">
        <w:rPr>
          <w:rFonts w:eastAsia="標楷體" w:hint="eastAsia"/>
          <w:sz w:val="24"/>
          <w:szCs w:val="32"/>
        </w:rPr>
        <w:t xml:space="preserve"> the domestic economy; given stable inflation conditions and prospects, a rate hold and an accommodative stance would be appropriate, along with continued funding assistance for small- and medium enterprises that </w:t>
      </w:r>
      <w:r w:rsidR="00C25A5C">
        <w:rPr>
          <w:rFonts w:eastAsia="標楷體" w:hint="eastAsia"/>
          <w:sz w:val="24"/>
          <w:szCs w:val="32"/>
        </w:rPr>
        <w:t xml:space="preserve">would ensure </w:t>
      </w:r>
      <w:r w:rsidR="00282123">
        <w:rPr>
          <w:rFonts w:eastAsia="標楷體" w:hint="eastAsia"/>
          <w:sz w:val="24"/>
          <w:szCs w:val="32"/>
        </w:rPr>
        <w:t>steady</w:t>
      </w:r>
      <w:r w:rsidR="00C25A5C">
        <w:rPr>
          <w:rFonts w:eastAsia="標楷體" w:hint="eastAsia"/>
          <w:sz w:val="24"/>
          <w:szCs w:val="32"/>
        </w:rPr>
        <w:t xml:space="preserve"> sources of funds</w:t>
      </w:r>
      <w:r w:rsidR="00850892">
        <w:rPr>
          <w:rFonts w:eastAsia="標楷體" w:hint="eastAsia"/>
          <w:sz w:val="24"/>
          <w:szCs w:val="32"/>
        </w:rPr>
        <w:t>.</w:t>
      </w:r>
      <w:r w:rsidR="00C25A5C">
        <w:rPr>
          <w:rFonts w:eastAsia="標楷體" w:hint="eastAsia"/>
          <w:sz w:val="24"/>
          <w:szCs w:val="32"/>
        </w:rPr>
        <w:t xml:space="preserve"> Another board director noted that currently many uncertainties shrouded the international </w:t>
      </w:r>
      <w:r w:rsidR="00C25A5C">
        <w:rPr>
          <w:rFonts w:eastAsia="標楷體"/>
          <w:sz w:val="24"/>
          <w:szCs w:val="32"/>
        </w:rPr>
        <w:t>economic</w:t>
      </w:r>
      <w:r w:rsidR="00C25A5C">
        <w:rPr>
          <w:rFonts w:eastAsia="標楷體" w:hint="eastAsia"/>
          <w:sz w:val="24"/>
          <w:szCs w:val="32"/>
        </w:rPr>
        <w:t xml:space="preserve"> landscape, domestic economic activity</w:t>
      </w:r>
      <w:r w:rsidR="00B44B21">
        <w:rPr>
          <w:rFonts w:eastAsia="標楷體" w:hint="eastAsia"/>
          <w:sz w:val="24"/>
          <w:szCs w:val="32"/>
        </w:rPr>
        <w:t xml:space="preserve"> was somewhat sluggish, and major economies had kept policy rates unchanged; against this backdrop, </w:t>
      </w:r>
      <w:r w:rsidR="000674D0">
        <w:rPr>
          <w:rFonts w:eastAsia="標楷體" w:hint="eastAsia"/>
          <w:sz w:val="24"/>
          <w:szCs w:val="32"/>
        </w:rPr>
        <w:t xml:space="preserve">a </w:t>
      </w:r>
      <w:r w:rsidR="000674D0">
        <w:rPr>
          <w:rFonts w:eastAsia="標楷體"/>
          <w:sz w:val="24"/>
          <w:szCs w:val="32"/>
        </w:rPr>
        <w:t>“</w:t>
      </w:r>
      <w:r w:rsidR="000674D0">
        <w:rPr>
          <w:rFonts w:eastAsia="標楷體" w:hint="eastAsia"/>
          <w:sz w:val="24"/>
          <w:szCs w:val="32"/>
        </w:rPr>
        <w:t>wait and see</w:t>
      </w:r>
      <w:r w:rsidR="000674D0">
        <w:rPr>
          <w:rFonts w:eastAsia="標楷體"/>
          <w:sz w:val="24"/>
          <w:szCs w:val="32"/>
        </w:rPr>
        <w:t>”</w:t>
      </w:r>
      <w:r w:rsidR="000674D0">
        <w:rPr>
          <w:rFonts w:eastAsia="標楷體" w:hint="eastAsia"/>
          <w:sz w:val="24"/>
          <w:szCs w:val="32"/>
        </w:rPr>
        <w:t xml:space="preserve"> approach seemed in order, warranting a rate hold decision by the Bank. </w:t>
      </w:r>
    </w:p>
    <w:p w:rsidR="00166068" w:rsidRDefault="000A569B" w:rsidP="00FC011D">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 boar</w:t>
      </w:r>
      <w:r w:rsidR="005C76CE">
        <w:rPr>
          <w:rFonts w:eastAsia="標楷體" w:hint="eastAsia"/>
          <w:sz w:val="24"/>
          <w:szCs w:val="32"/>
        </w:rPr>
        <w:t xml:space="preserve">d director expressed support for a rate hold because, in addition to a wider output gap and subdued inflation at home, </w:t>
      </w:r>
      <w:r w:rsidR="00AE163C">
        <w:rPr>
          <w:rFonts w:eastAsia="標楷體" w:hint="eastAsia"/>
          <w:sz w:val="24"/>
          <w:szCs w:val="32"/>
        </w:rPr>
        <w:t>major economies</w:t>
      </w:r>
      <w:r w:rsidR="00AE163C">
        <w:rPr>
          <w:rFonts w:eastAsia="標楷體"/>
          <w:sz w:val="24"/>
          <w:szCs w:val="32"/>
        </w:rPr>
        <w:t>’</w:t>
      </w:r>
      <w:r w:rsidR="00AE163C">
        <w:rPr>
          <w:rFonts w:eastAsia="標楷體" w:hint="eastAsia"/>
          <w:sz w:val="24"/>
          <w:szCs w:val="32"/>
        </w:rPr>
        <w:t xml:space="preserve"> monetary policy also offered </w:t>
      </w:r>
      <w:r w:rsidR="005C76CE">
        <w:rPr>
          <w:rFonts w:eastAsia="標楷體" w:hint="eastAsia"/>
          <w:sz w:val="24"/>
          <w:szCs w:val="32"/>
        </w:rPr>
        <w:t>little ground for the Bank to adjust the stance before major</w:t>
      </w:r>
      <w:r w:rsidR="00AE163C">
        <w:rPr>
          <w:rFonts w:eastAsia="標楷體" w:hint="eastAsia"/>
          <w:sz w:val="24"/>
          <w:szCs w:val="32"/>
        </w:rPr>
        <w:t xml:space="preserve"> central banks,</w:t>
      </w:r>
      <w:r w:rsidR="005C76CE">
        <w:rPr>
          <w:rFonts w:eastAsia="標楷體" w:hint="eastAsia"/>
          <w:sz w:val="24"/>
          <w:szCs w:val="32"/>
        </w:rPr>
        <w:t xml:space="preserve"> </w:t>
      </w:r>
      <w:r w:rsidR="005C76CE">
        <w:rPr>
          <w:rFonts w:eastAsia="標楷體"/>
          <w:sz w:val="24"/>
          <w:szCs w:val="32"/>
        </w:rPr>
        <w:t>including</w:t>
      </w:r>
      <w:r w:rsidR="005C76CE">
        <w:rPr>
          <w:rFonts w:eastAsia="標楷體" w:hint="eastAsia"/>
          <w:sz w:val="24"/>
          <w:szCs w:val="32"/>
        </w:rPr>
        <w:t xml:space="preserve"> the </w:t>
      </w:r>
      <w:r w:rsidR="00AE163C">
        <w:rPr>
          <w:rFonts w:eastAsia="標楷體" w:hint="eastAsia"/>
          <w:sz w:val="24"/>
          <w:szCs w:val="32"/>
        </w:rPr>
        <w:t>Fed</w:t>
      </w:r>
      <w:r w:rsidR="005C76CE">
        <w:rPr>
          <w:rFonts w:eastAsia="標楷體" w:hint="eastAsia"/>
          <w:sz w:val="24"/>
          <w:szCs w:val="32"/>
        </w:rPr>
        <w:t xml:space="preserve">, made any rate changes. </w:t>
      </w:r>
      <w:r w:rsidR="00AE163C">
        <w:rPr>
          <w:rFonts w:eastAsia="標楷體" w:hint="eastAsia"/>
          <w:sz w:val="24"/>
          <w:szCs w:val="32"/>
        </w:rPr>
        <w:t>Furthermore,</w:t>
      </w:r>
      <w:r w:rsidR="00166068">
        <w:rPr>
          <w:rFonts w:eastAsia="標楷體" w:hint="eastAsia"/>
          <w:sz w:val="24"/>
          <w:szCs w:val="32"/>
        </w:rPr>
        <w:t xml:space="preserve"> </w:t>
      </w:r>
      <w:r w:rsidR="00FC011D">
        <w:rPr>
          <w:rFonts w:eastAsia="標楷體" w:hint="eastAsia"/>
          <w:sz w:val="24"/>
          <w:szCs w:val="32"/>
        </w:rPr>
        <w:t xml:space="preserve">in Taiwan, a small open </w:t>
      </w:r>
      <w:r w:rsidR="00FC011D">
        <w:rPr>
          <w:rFonts w:eastAsia="標楷體"/>
          <w:sz w:val="24"/>
          <w:szCs w:val="32"/>
        </w:rPr>
        <w:t>economy</w:t>
      </w:r>
      <w:r w:rsidR="00FC011D">
        <w:rPr>
          <w:rFonts w:eastAsia="標楷體" w:hint="eastAsia"/>
          <w:sz w:val="24"/>
          <w:szCs w:val="32"/>
        </w:rPr>
        <w:t xml:space="preserve"> allowing free capital movements, monetary policy moves </w:t>
      </w:r>
      <w:r w:rsidR="00166068">
        <w:rPr>
          <w:rFonts w:eastAsia="標楷體" w:hint="eastAsia"/>
          <w:sz w:val="24"/>
          <w:szCs w:val="32"/>
        </w:rPr>
        <w:t xml:space="preserve">would carry implications for the NT dollar exchange rate </w:t>
      </w:r>
      <w:r w:rsidR="00166068">
        <w:rPr>
          <w:rFonts w:eastAsia="標楷體"/>
          <w:sz w:val="24"/>
          <w:szCs w:val="32"/>
        </w:rPr>
        <w:t>vis-à-vis</w:t>
      </w:r>
      <w:r w:rsidR="00166068">
        <w:rPr>
          <w:rFonts w:eastAsia="標楷體" w:hint="eastAsia"/>
          <w:sz w:val="24"/>
          <w:szCs w:val="32"/>
        </w:rPr>
        <w:t xml:space="preserve"> those of our main trading partners.</w:t>
      </w:r>
      <w:r w:rsidR="00FC011D">
        <w:rPr>
          <w:rFonts w:eastAsia="標楷體" w:hint="eastAsia"/>
          <w:sz w:val="24"/>
          <w:szCs w:val="32"/>
        </w:rPr>
        <w:t xml:space="preserve"> Therefore, monetary polic</w:t>
      </w:r>
      <w:r w:rsidR="00282123">
        <w:rPr>
          <w:rFonts w:eastAsia="標楷體" w:hint="eastAsia"/>
          <w:sz w:val="24"/>
          <w:szCs w:val="32"/>
        </w:rPr>
        <w:t>y</w:t>
      </w:r>
      <w:r w:rsidR="00FC011D">
        <w:rPr>
          <w:rFonts w:eastAsia="標楷體" w:hint="eastAsia"/>
          <w:sz w:val="24"/>
          <w:szCs w:val="32"/>
        </w:rPr>
        <w:t xml:space="preserve">makers shall keep close watch on </w:t>
      </w:r>
      <w:r w:rsidR="007213F0">
        <w:rPr>
          <w:rFonts w:eastAsia="標楷體" w:hint="eastAsia"/>
          <w:sz w:val="24"/>
          <w:szCs w:val="32"/>
        </w:rPr>
        <w:t>the action at</w:t>
      </w:r>
      <w:r w:rsidR="00282123">
        <w:rPr>
          <w:rFonts w:eastAsia="標楷體" w:hint="eastAsia"/>
          <w:sz w:val="24"/>
          <w:szCs w:val="32"/>
        </w:rPr>
        <w:t xml:space="preserve"> the</w:t>
      </w:r>
      <w:r w:rsidR="007213F0">
        <w:rPr>
          <w:rFonts w:eastAsia="標楷體" w:hint="eastAsia"/>
          <w:sz w:val="24"/>
          <w:szCs w:val="32"/>
        </w:rPr>
        <w:t xml:space="preserve"> central banks</w:t>
      </w:r>
      <w:r w:rsidR="00282123">
        <w:rPr>
          <w:rFonts w:eastAsia="標楷體" w:hint="eastAsia"/>
          <w:sz w:val="24"/>
          <w:szCs w:val="32"/>
        </w:rPr>
        <w:t xml:space="preserve"> and</w:t>
      </w:r>
      <w:r w:rsidR="00664B1D">
        <w:rPr>
          <w:rFonts w:eastAsia="標楷體" w:hint="eastAsia"/>
          <w:sz w:val="24"/>
          <w:szCs w:val="32"/>
        </w:rPr>
        <w:t xml:space="preserve"> currency trends </w:t>
      </w:r>
      <w:r w:rsidR="007213F0">
        <w:rPr>
          <w:rFonts w:eastAsia="標楷體" w:hint="eastAsia"/>
          <w:sz w:val="24"/>
          <w:szCs w:val="32"/>
        </w:rPr>
        <w:t>of the US and Taiwan</w:t>
      </w:r>
      <w:r w:rsidR="007213F0">
        <w:rPr>
          <w:rFonts w:eastAsia="標楷體"/>
          <w:sz w:val="24"/>
          <w:szCs w:val="32"/>
        </w:rPr>
        <w:t>’</w:t>
      </w:r>
      <w:r w:rsidR="007213F0">
        <w:rPr>
          <w:rFonts w:eastAsia="標楷體" w:hint="eastAsia"/>
          <w:sz w:val="24"/>
          <w:szCs w:val="32"/>
        </w:rPr>
        <w:t>s major trading partners</w:t>
      </w:r>
      <w:r w:rsidR="009E63A6">
        <w:rPr>
          <w:rFonts w:eastAsia="標楷體" w:hint="eastAsia"/>
          <w:sz w:val="24"/>
          <w:szCs w:val="32"/>
        </w:rPr>
        <w:t xml:space="preserve">. </w:t>
      </w:r>
    </w:p>
    <w:p w:rsidR="006A4BB6" w:rsidRDefault="00F6143C" w:rsidP="00FC011D">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noted that since the last Board Meeting in March, Taiwan had enjoyed relative stable </w:t>
      </w:r>
      <w:r>
        <w:rPr>
          <w:rFonts w:eastAsia="標楷體"/>
          <w:sz w:val="24"/>
          <w:szCs w:val="32"/>
        </w:rPr>
        <w:t>economic</w:t>
      </w:r>
      <w:r>
        <w:rPr>
          <w:rFonts w:eastAsia="標楷體" w:hint="eastAsia"/>
          <w:sz w:val="24"/>
          <w:szCs w:val="32"/>
        </w:rPr>
        <w:t xml:space="preserve"> growth and inflation, alongside with increasing uncertainties at home and abroad; combined, the circumstances warranted </w:t>
      </w:r>
      <w:r w:rsidR="00E96B9C">
        <w:rPr>
          <w:rFonts w:eastAsia="標楷體" w:hint="eastAsia"/>
          <w:sz w:val="24"/>
          <w:szCs w:val="32"/>
        </w:rPr>
        <w:t>keeping t</w:t>
      </w:r>
      <w:r>
        <w:rPr>
          <w:rFonts w:eastAsia="標楷體" w:hint="eastAsia"/>
          <w:sz w:val="24"/>
          <w:szCs w:val="32"/>
        </w:rPr>
        <w:t>he policy rates</w:t>
      </w:r>
      <w:r w:rsidR="00E96B9C">
        <w:rPr>
          <w:rFonts w:eastAsia="標楷體" w:hint="eastAsia"/>
          <w:sz w:val="24"/>
          <w:szCs w:val="32"/>
        </w:rPr>
        <w:t xml:space="preserve"> on hold</w:t>
      </w:r>
      <w:r>
        <w:rPr>
          <w:rFonts w:eastAsia="標楷體" w:hint="eastAsia"/>
          <w:sz w:val="24"/>
          <w:szCs w:val="32"/>
        </w:rPr>
        <w:t xml:space="preserve">. Moreover, </w:t>
      </w:r>
      <w:r w:rsidR="006A4BB6">
        <w:rPr>
          <w:rFonts w:eastAsia="標楷體" w:hint="eastAsia"/>
          <w:sz w:val="24"/>
          <w:szCs w:val="32"/>
        </w:rPr>
        <w:t xml:space="preserve">low market rates would restrict the stimulus effect of a policy rate cut. Therefore, it would be the best decision to leave the rates unchanged. </w:t>
      </w:r>
    </w:p>
    <w:p w:rsidR="007124A5" w:rsidRDefault="00717070" w:rsidP="00FC011D">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Another board director also supported a rate hold for the time being, citing a combination of factors: domestic and overseas economic and financial uncertainties, weak impetus for domestic economic growth, a still widening negative output gap, mild inflation, and a stable </w:t>
      </w:r>
      <w:r>
        <w:rPr>
          <w:rFonts w:eastAsia="標楷體"/>
          <w:sz w:val="24"/>
          <w:szCs w:val="32"/>
        </w:rPr>
        <w:lastRenderedPageBreak/>
        <w:t>inflation</w:t>
      </w:r>
      <w:r>
        <w:rPr>
          <w:rFonts w:eastAsia="標楷體" w:hint="eastAsia"/>
          <w:sz w:val="24"/>
          <w:szCs w:val="32"/>
        </w:rPr>
        <w:t xml:space="preserve"> outlook, which justified</w:t>
      </w:r>
      <w:r w:rsidR="00FD76D6">
        <w:rPr>
          <w:rFonts w:eastAsia="標楷體" w:hint="eastAsia"/>
          <w:sz w:val="24"/>
          <w:szCs w:val="32"/>
        </w:rPr>
        <w:t xml:space="preserve"> </w:t>
      </w:r>
      <w:r w:rsidR="001E6A3B">
        <w:rPr>
          <w:rFonts w:eastAsia="標楷體" w:hint="eastAsia"/>
          <w:sz w:val="24"/>
          <w:szCs w:val="32"/>
        </w:rPr>
        <w:t>no rate hike</w:t>
      </w:r>
      <w:r>
        <w:rPr>
          <w:rFonts w:eastAsia="標楷體" w:hint="eastAsia"/>
          <w:sz w:val="24"/>
          <w:szCs w:val="32"/>
        </w:rPr>
        <w:t xml:space="preserve">. </w:t>
      </w:r>
      <w:r w:rsidR="00FD76D6">
        <w:rPr>
          <w:rFonts w:eastAsia="標楷體" w:hint="eastAsia"/>
          <w:sz w:val="24"/>
          <w:szCs w:val="32"/>
        </w:rPr>
        <w:t>As for a rate cut, considering that the Fed and other major monetary authorities</w:t>
      </w:r>
      <w:r w:rsidR="007124A5">
        <w:rPr>
          <w:rFonts w:eastAsia="標楷體" w:hint="eastAsia"/>
          <w:sz w:val="24"/>
          <w:szCs w:val="32"/>
        </w:rPr>
        <w:t xml:space="preserve"> had still been mulling over the future rate path, it would be suitable for the Bank to </w:t>
      </w:r>
      <w:r w:rsidR="007124A5">
        <w:rPr>
          <w:rFonts w:eastAsia="標楷體"/>
          <w:sz w:val="24"/>
          <w:szCs w:val="32"/>
        </w:rPr>
        <w:t>“</w:t>
      </w:r>
      <w:r w:rsidR="007124A5">
        <w:rPr>
          <w:rFonts w:eastAsia="標楷體" w:hint="eastAsia"/>
          <w:sz w:val="24"/>
          <w:szCs w:val="32"/>
        </w:rPr>
        <w:t>wait and see</w:t>
      </w:r>
      <w:r w:rsidR="007124A5">
        <w:rPr>
          <w:rFonts w:eastAsia="標楷體"/>
          <w:sz w:val="24"/>
          <w:szCs w:val="32"/>
        </w:rPr>
        <w:t>”</w:t>
      </w:r>
      <w:r w:rsidR="007124A5">
        <w:rPr>
          <w:rFonts w:eastAsia="標楷體" w:hint="eastAsia"/>
          <w:sz w:val="24"/>
          <w:szCs w:val="32"/>
        </w:rPr>
        <w:t xml:space="preserve"> until further informed by future developments. </w:t>
      </w:r>
    </w:p>
    <w:p w:rsidR="006A4BB6" w:rsidRDefault="007124A5" w:rsidP="00FC011D">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pointed out that the domestic economic growth rate was expected to improve quarter by quarter in the second half of the year. However, the 2% forecast by major institutions would not be sufficient to </w:t>
      </w:r>
      <w:r w:rsidR="00350405">
        <w:rPr>
          <w:rFonts w:eastAsia="標楷體" w:hint="eastAsia"/>
          <w:sz w:val="24"/>
          <w:szCs w:val="32"/>
        </w:rPr>
        <w:t xml:space="preserve">merit </w:t>
      </w:r>
      <w:r w:rsidR="00AC119A">
        <w:rPr>
          <w:rFonts w:eastAsia="標楷體" w:hint="eastAsia"/>
          <w:sz w:val="24"/>
          <w:szCs w:val="32"/>
        </w:rPr>
        <w:t>a rate increase. On the other hand, a rate cut</w:t>
      </w:r>
      <w:r w:rsidR="00350405">
        <w:rPr>
          <w:rFonts w:eastAsia="標楷體" w:hint="eastAsia"/>
          <w:sz w:val="24"/>
          <w:szCs w:val="32"/>
        </w:rPr>
        <w:t xml:space="preserve"> was neither imperative</w:t>
      </w:r>
      <w:r w:rsidR="00AC119A">
        <w:rPr>
          <w:rFonts w:eastAsia="標楷體" w:hint="eastAsia"/>
          <w:sz w:val="24"/>
          <w:szCs w:val="32"/>
        </w:rPr>
        <w:t xml:space="preserve">. </w:t>
      </w:r>
      <w:r w:rsidR="00AC119A">
        <w:rPr>
          <w:rFonts w:eastAsia="標楷體"/>
          <w:sz w:val="24"/>
          <w:szCs w:val="32"/>
        </w:rPr>
        <w:t>A</w:t>
      </w:r>
      <w:r w:rsidR="00AC119A">
        <w:rPr>
          <w:rFonts w:eastAsia="標楷體" w:hint="eastAsia"/>
          <w:sz w:val="24"/>
          <w:szCs w:val="32"/>
        </w:rPr>
        <w:t xml:space="preserve">lthough trade tensions could intensify between the US and China and some central banks had begun to reduce rates, there remained high and volatile uncertainties over the international </w:t>
      </w:r>
      <w:r w:rsidR="00AC119A">
        <w:rPr>
          <w:rFonts w:eastAsia="標楷體"/>
          <w:sz w:val="24"/>
          <w:szCs w:val="32"/>
        </w:rPr>
        <w:t>economic</w:t>
      </w:r>
      <w:r w:rsidR="00AC119A">
        <w:rPr>
          <w:rFonts w:eastAsia="標楷體" w:hint="eastAsia"/>
          <w:sz w:val="24"/>
          <w:szCs w:val="32"/>
        </w:rPr>
        <w:t xml:space="preserve"> and trade situations</w:t>
      </w:r>
      <w:r w:rsidR="00647706">
        <w:rPr>
          <w:rFonts w:eastAsia="標楷體" w:hint="eastAsia"/>
          <w:sz w:val="24"/>
          <w:szCs w:val="32"/>
        </w:rPr>
        <w:t>. In this light, a rate hold</w:t>
      </w:r>
      <w:r w:rsidR="005448D3">
        <w:rPr>
          <w:rFonts w:eastAsia="標楷體" w:hint="eastAsia"/>
          <w:sz w:val="24"/>
          <w:szCs w:val="32"/>
        </w:rPr>
        <w:t xml:space="preserve"> </w:t>
      </w:r>
      <w:r w:rsidR="00282123">
        <w:rPr>
          <w:rFonts w:eastAsia="標楷體" w:hint="eastAsia"/>
          <w:sz w:val="24"/>
          <w:szCs w:val="32"/>
        </w:rPr>
        <w:t xml:space="preserve">now </w:t>
      </w:r>
      <w:r w:rsidR="005448D3">
        <w:rPr>
          <w:rFonts w:eastAsia="標楷體" w:hint="eastAsia"/>
          <w:sz w:val="24"/>
          <w:szCs w:val="32"/>
        </w:rPr>
        <w:t>which</w:t>
      </w:r>
      <w:r w:rsidR="00647706">
        <w:rPr>
          <w:rFonts w:eastAsia="標楷體" w:hint="eastAsia"/>
          <w:sz w:val="24"/>
          <w:szCs w:val="32"/>
        </w:rPr>
        <w:t xml:space="preserve"> would </w:t>
      </w:r>
      <w:r w:rsidR="00282123">
        <w:rPr>
          <w:rFonts w:eastAsia="標楷體" w:hint="eastAsia"/>
          <w:sz w:val="24"/>
          <w:szCs w:val="32"/>
        </w:rPr>
        <w:t>provide</w:t>
      </w:r>
      <w:r w:rsidR="00647706">
        <w:rPr>
          <w:rFonts w:eastAsia="標楷體" w:hint="eastAsia"/>
          <w:sz w:val="24"/>
          <w:szCs w:val="32"/>
        </w:rPr>
        <w:t xml:space="preserve"> room for any warranted rate adjustments in the future. </w:t>
      </w:r>
    </w:p>
    <w:p w:rsidR="001E0D99" w:rsidRDefault="00350405" w:rsidP="003D33FC">
      <w:pPr>
        <w:adjustRightInd/>
        <w:snapToGrid w:val="0"/>
        <w:spacing w:before="120" w:line="440" w:lineRule="exact"/>
        <w:ind w:firstLineChars="200" w:firstLine="480"/>
        <w:jc w:val="both"/>
        <w:textDirection w:val="lrTbV"/>
        <w:rPr>
          <w:rFonts w:eastAsia="標楷體"/>
          <w:sz w:val="24"/>
          <w:szCs w:val="32"/>
        </w:rPr>
      </w:pPr>
      <w:r w:rsidRPr="00350405">
        <w:rPr>
          <w:rFonts w:eastAsia="標楷體"/>
          <w:sz w:val="24"/>
          <w:szCs w:val="32"/>
        </w:rPr>
        <w:t xml:space="preserve">Several board directors expressed support for </w:t>
      </w:r>
      <w:r>
        <w:rPr>
          <w:rFonts w:eastAsia="標楷體" w:hint="eastAsia"/>
          <w:sz w:val="24"/>
          <w:szCs w:val="32"/>
        </w:rPr>
        <w:t>keeping policy rates steady</w:t>
      </w:r>
      <w:r w:rsidRPr="00350405">
        <w:rPr>
          <w:rFonts w:eastAsia="標楷體"/>
          <w:sz w:val="24"/>
          <w:szCs w:val="32"/>
        </w:rPr>
        <w:t xml:space="preserve"> and commented on future deliberations about monetary polic</w:t>
      </w:r>
      <w:r>
        <w:rPr>
          <w:rFonts w:eastAsia="標楷體"/>
          <w:sz w:val="24"/>
          <w:szCs w:val="32"/>
        </w:rPr>
        <w:t>y. One board director noted that</w:t>
      </w:r>
      <w:r>
        <w:rPr>
          <w:rFonts w:eastAsia="標楷體" w:hint="eastAsia"/>
          <w:sz w:val="24"/>
          <w:szCs w:val="32"/>
        </w:rPr>
        <w:t xml:space="preserve"> the effect of monetary policy on </w:t>
      </w:r>
      <w:r>
        <w:rPr>
          <w:rFonts w:eastAsia="標楷體"/>
          <w:sz w:val="24"/>
          <w:szCs w:val="32"/>
        </w:rPr>
        <w:t>economic</w:t>
      </w:r>
      <w:r>
        <w:rPr>
          <w:rFonts w:eastAsia="標楷體" w:hint="eastAsia"/>
          <w:sz w:val="24"/>
          <w:szCs w:val="32"/>
        </w:rPr>
        <w:t xml:space="preserve"> activity in the short term would depend on actual expenditures such as corporate investment and fiscal spending. For instance, the Bank of Japan</w:t>
      </w:r>
      <w:r w:rsidR="003D33FC">
        <w:rPr>
          <w:rFonts w:eastAsia="標楷體"/>
          <w:sz w:val="24"/>
          <w:szCs w:val="32"/>
        </w:rPr>
        <w:t>’</w:t>
      </w:r>
      <w:r w:rsidR="003D33FC">
        <w:rPr>
          <w:rFonts w:eastAsia="標楷體" w:hint="eastAsia"/>
          <w:sz w:val="24"/>
          <w:szCs w:val="32"/>
        </w:rPr>
        <w:t xml:space="preserve">s monetary easing, a stance in place since 1992 </w:t>
      </w:r>
      <w:r w:rsidR="006358BC">
        <w:rPr>
          <w:rFonts w:eastAsia="標楷體" w:hint="eastAsia"/>
          <w:sz w:val="24"/>
          <w:szCs w:val="32"/>
        </w:rPr>
        <w:t>to address the</w:t>
      </w:r>
      <w:r>
        <w:rPr>
          <w:rFonts w:eastAsia="標楷體" w:hint="eastAsia"/>
          <w:sz w:val="24"/>
          <w:szCs w:val="32"/>
        </w:rPr>
        <w:t xml:space="preserve"> persistent </w:t>
      </w:r>
      <w:r>
        <w:rPr>
          <w:rFonts w:eastAsia="標楷體"/>
          <w:sz w:val="24"/>
          <w:szCs w:val="32"/>
        </w:rPr>
        <w:t>economic</w:t>
      </w:r>
      <w:r>
        <w:rPr>
          <w:rFonts w:eastAsia="標楷體" w:hint="eastAsia"/>
          <w:sz w:val="24"/>
          <w:szCs w:val="32"/>
        </w:rPr>
        <w:t xml:space="preserve"> downturn, </w:t>
      </w:r>
      <w:r w:rsidR="006358BC">
        <w:rPr>
          <w:rFonts w:eastAsia="標楷體" w:hint="eastAsia"/>
          <w:sz w:val="24"/>
          <w:szCs w:val="32"/>
        </w:rPr>
        <w:t>has not brought</w:t>
      </w:r>
      <w:r w:rsidR="003D33FC">
        <w:rPr>
          <w:rFonts w:eastAsia="標楷體" w:hint="eastAsia"/>
          <w:sz w:val="24"/>
          <w:szCs w:val="32"/>
        </w:rPr>
        <w:t xml:space="preserve"> about genuine improvements in the </w:t>
      </w:r>
      <w:r w:rsidR="003D33FC">
        <w:rPr>
          <w:rFonts w:eastAsia="標楷體"/>
          <w:sz w:val="24"/>
          <w:szCs w:val="32"/>
        </w:rPr>
        <w:t>economy</w:t>
      </w:r>
      <w:r w:rsidR="003D33FC">
        <w:rPr>
          <w:rFonts w:eastAsia="標楷體" w:hint="eastAsia"/>
          <w:sz w:val="24"/>
          <w:szCs w:val="32"/>
        </w:rPr>
        <w:t xml:space="preserve"> </w:t>
      </w:r>
      <w:r w:rsidR="00282123">
        <w:rPr>
          <w:rFonts w:eastAsia="標楷體" w:hint="eastAsia"/>
          <w:sz w:val="24"/>
          <w:szCs w:val="32"/>
        </w:rPr>
        <w:t>throughout</w:t>
      </w:r>
      <w:r w:rsidR="003D33FC">
        <w:rPr>
          <w:rFonts w:eastAsia="標楷體" w:hint="eastAsia"/>
          <w:sz w:val="24"/>
          <w:szCs w:val="32"/>
        </w:rPr>
        <w:t xml:space="preserve"> the past three decades. Japan</w:t>
      </w:r>
      <w:r w:rsidR="003D33FC">
        <w:rPr>
          <w:rFonts w:eastAsia="標楷體"/>
          <w:sz w:val="24"/>
          <w:szCs w:val="32"/>
        </w:rPr>
        <w:t>’</w:t>
      </w:r>
      <w:r w:rsidR="003D33FC">
        <w:rPr>
          <w:rFonts w:eastAsia="標楷體" w:hint="eastAsia"/>
          <w:sz w:val="24"/>
          <w:szCs w:val="32"/>
        </w:rPr>
        <w:t>s experience showed that monetary policy ha</w:t>
      </w:r>
      <w:r w:rsidR="00282123">
        <w:rPr>
          <w:rFonts w:eastAsia="標楷體" w:hint="eastAsia"/>
          <w:sz w:val="24"/>
          <w:szCs w:val="32"/>
        </w:rPr>
        <w:t>d</w:t>
      </w:r>
      <w:r w:rsidR="003D33FC">
        <w:rPr>
          <w:rFonts w:eastAsia="標楷體" w:hint="eastAsia"/>
          <w:sz w:val="24"/>
          <w:szCs w:val="32"/>
        </w:rPr>
        <w:t xml:space="preserve"> a limited short-term stimulus effect while protracted low interest rates could have adverse implications. </w:t>
      </w:r>
      <w:r w:rsidR="00D42AB5">
        <w:rPr>
          <w:rFonts w:eastAsia="標楷體" w:hint="eastAsia"/>
          <w:sz w:val="24"/>
          <w:szCs w:val="32"/>
        </w:rPr>
        <w:t>Therefore, the Bank</w:t>
      </w:r>
      <w:r w:rsidR="00D42AB5">
        <w:rPr>
          <w:rFonts w:eastAsia="標楷體"/>
          <w:sz w:val="24"/>
          <w:szCs w:val="32"/>
        </w:rPr>
        <w:t>’</w:t>
      </w:r>
      <w:r w:rsidR="00D42AB5">
        <w:rPr>
          <w:rFonts w:eastAsia="標楷體" w:hint="eastAsia"/>
          <w:sz w:val="24"/>
          <w:szCs w:val="32"/>
        </w:rPr>
        <w:t xml:space="preserve">s policymaking </w:t>
      </w:r>
      <w:r w:rsidR="00282123">
        <w:rPr>
          <w:rFonts w:eastAsia="標楷體" w:hint="eastAsia"/>
          <w:sz w:val="24"/>
          <w:szCs w:val="32"/>
        </w:rPr>
        <w:t>should</w:t>
      </w:r>
      <w:r w:rsidR="00D42AB5">
        <w:rPr>
          <w:rFonts w:eastAsia="標楷體" w:hint="eastAsia"/>
          <w:sz w:val="24"/>
          <w:szCs w:val="32"/>
        </w:rPr>
        <w:t xml:space="preserve"> not only consider short-term factors but also monitor long-term ones. </w:t>
      </w:r>
    </w:p>
    <w:p w:rsidR="00850892" w:rsidRDefault="00E96B9C" w:rsidP="00FB5B5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w:t>
      </w:r>
      <w:r w:rsidR="00836004">
        <w:rPr>
          <w:rFonts w:eastAsia="標楷體" w:hint="eastAsia"/>
          <w:sz w:val="24"/>
          <w:szCs w:val="32"/>
        </w:rPr>
        <w:t xml:space="preserve"> board director also remarked that</w:t>
      </w:r>
      <w:r w:rsidR="00FB5B5F">
        <w:rPr>
          <w:rFonts w:eastAsia="標楷體" w:hint="eastAsia"/>
          <w:sz w:val="24"/>
          <w:szCs w:val="32"/>
        </w:rPr>
        <w:t xml:space="preserve"> low interest rates since the global financial crisis</w:t>
      </w:r>
      <w:r w:rsidR="00282123">
        <w:rPr>
          <w:rFonts w:eastAsia="標楷體" w:hint="eastAsia"/>
          <w:sz w:val="24"/>
          <w:szCs w:val="32"/>
        </w:rPr>
        <w:t>,</w:t>
      </w:r>
      <w:r w:rsidR="00FB5B5F">
        <w:rPr>
          <w:rFonts w:eastAsia="標楷體" w:hint="eastAsia"/>
          <w:sz w:val="24"/>
          <w:szCs w:val="32"/>
        </w:rPr>
        <w:t xml:space="preserve"> when major economies fought back with </w:t>
      </w:r>
      <w:r w:rsidR="00FB5B5F">
        <w:rPr>
          <w:rFonts w:eastAsia="標楷體"/>
          <w:sz w:val="24"/>
          <w:szCs w:val="32"/>
        </w:rPr>
        <w:t>“</w:t>
      </w:r>
      <w:r w:rsidR="00FB5B5F">
        <w:rPr>
          <w:rFonts w:eastAsia="標楷體" w:hint="eastAsia"/>
          <w:sz w:val="24"/>
          <w:szCs w:val="32"/>
        </w:rPr>
        <w:t>quantitative easing</w:t>
      </w:r>
      <w:r w:rsidR="00FB5B5F">
        <w:rPr>
          <w:rFonts w:eastAsia="標楷體"/>
          <w:sz w:val="24"/>
          <w:szCs w:val="32"/>
        </w:rPr>
        <w:t>”</w:t>
      </w:r>
      <w:r w:rsidR="00EB4976">
        <w:rPr>
          <w:rFonts w:eastAsia="標楷體" w:hint="eastAsia"/>
          <w:sz w:val="24"/>
          <w:szCs w:val="32"/>
        </w:rPr>
        <w:t xml:space="preserve"> (QE)</w:t>
      </w:r>
      <w:r w:rsidR="00FB5B5F">
        <w:rPr>
          <w:rFonts w:eastAsia="標楷體" w:hint="eastAsia"/>
          <w:sz w:val="24"/>
          <w:szCs w:val="32"/>
        </w:rPr>
        <w:t xml:space="preserve"> measures</w:t>
      </w:r>
      <w:r w:rsidR="00282123">
        <w:rPr>
          <w:rFonts w:eastAsia="標楷體" w:hint="eastAsia"/>
          <w:sz w:val="24"/>
          <w:szCs w:val="32"/>
        </w:rPr>
        <w:t>,</w:t>
      </w:r>
      <w:r w:rsidR="00FB5B5F">
        <w:rPr>
          <w:rFonts w:eastAsia="標楷體" w:hint="eastAsia"/>
          <w:sz w:val="24"/>
          <w:szCs w:val="32"/>
        </w:rPr>
        <w:t xml:space="preserve"> had rendered </w:t>
      </w:r>
      <w:r w:rsidR="00836004">
        <w:rPr>
          <w:rFonts w:eastAsia="標楷體" w:hint="eastAsia"/>
          <w:sz w:val="24"/>
          <w:szCs w:val="32"/>
        </w:rPr>
        <w:t xml:space="preserve">monetary policy </w:t>
      </w:r>
      <w:r w:rsidR="00FB5B5F">
        <w:rPr>
          <w:rFonts w:eastAsia="標楷體" w:hint="eastAsia"/>
          <w:sz w:val="24"/>
          <w:szCs w:val="32"/>
        </w:rPr>
        <w:t>less</w:t>
      </w:r>
      <w:r w:rsidR="00836004">
        <w:rPr>
          <w:rFonts w:eastAsia="標楷體" w:hint="eastAsia"/>
          <w:sz w:val="24"/>
          <w:szCs w:val="32"/>
        </w:rPr>
        <w:t xml:space="preserve"> effective in the face of short-term </w:t>
      </w:r>
      <w:r w:rsidR="00836004">
        <w:rPr>
          <w:rFonts w:eastAsia="標楷體"/>
          <w:sz w:val="24"/>
          <w:szCs w:val="32"/>
        </w:rPr>
        <w:t>economic fluctuations</w:t>
      </w:r>
      <w:r w:rsidR="00FB5B5F">
        <w:rPr>
          <w:rFonts w:eastAsia="標楷體" w:hint="eastAsia"/>
          <w:sz w:val="24"/>
          <w:szCs w:val="32"/>
        </w:rPr>
        <w:t xml:space="preserve">. Nevertheless, low interest rates would not stay </w:t>
      </w:r>
      <w:r w:rsidR="00FB5B5F">
        <w:rPr>
          <w:rFonts w:eastAsia="標楷體"/>
          <w:sz w:val="24"/>
          <w:szCs w:val="32"/>
        </w:rPr>
        <w:t>foreve</w:t>
      </w:r>
      <w:r w:rsidR="00D837D1">
        <w:rPr>
          <w:rFonts w:eastAsia="標楷體" w:hint="eastAsia"/>
          <w:sz w:val="24"/>
          <w:szCs w:val="32"/>
        </w:rPr>
        <w:t xml:space="preserve">r, and monetary policymakers need to take a long view. </w:t>
      </w:r>
      <w:r>
        <w:rPr>
          <w:rFonts w:eastAsia="標楷體" w:hint="eastAsia"/>
          <w:sz w:val="24"/>
          <w:szCs w:val="32"/>
        </w:rPr>
        <w:t>Another</w:t>
      </w:r>
      <w:r w:rsidR="00FB5B5F">
        <w:rPr>
          <w:rFonts w:eastAsia="標楷體" w:hint="eastAsia"/>
          <w:sz w:val="24"/>
          <w:szCs w:val="32"/>
        </w:rPr>
        <w:t xml:space="preserve"> board director then </w:t>
      </w:r>
      <w:r w:rsidR="00981438">
        <w:rPr>
          <w:rFonts w:eastAsia="標楷體" w:hint="eastAsia"/>
          <w:sz w:val="24"/>
          <w:szCs w:val="32"/>
        </w:rPr>
        <w:t>note</w:t>
      </w:r>
      <w:r w:rsidR="00FB5B5F">
        <w:rPr>
          <w:rFonts w:eastAsia="標楷體" w:hint="eastAsia"/>
          <w:sz w:val="24"/>
          <w:szCs w:val="32"/>
        </w:rPr>
        <w:t xml:space="preserve">d that </w:t>
      </w:r>
      <w:r w:rsidR="00981438">
        <w:rPr>
          <w:rFonts w:eastAsia="標楷體" w:hint="eastAsia"/>
          <w:sz w:val="24"/>
          <w:szCs w:val="32"/>
        </w:rPr>
        <w:t xml:space="preserve">changes in long-term economic growth forecasts served as a key factor in monetary policy deliberations. </w:t>
      </w:r>
    </w:p>
    <w:p w:rsidR="00981438" w:rsidRDefault="00981438" w:rsidP="00805E84">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pointed to the low levels of domestic interest rates at present and stated that </w:t>
      </w:r>
      <w:r w:rsidR="00805E84">
        <w:rPr>
          <w:rFonts w:eastAsia="標楷體" w:hint="eastAsia"/>
          <w:sz w:val="24"/>
          <w:szCs w:val="32"/>
        </w:rPr>
        <w:t xml:space="preserve">the Bank might need to take stock of the efficacy of </w:t>
      </w:r>
      <w:r>
        <w:rPr>
          <w:rFonts w:eastAsia="標楷體" w:hint="eastAsia"/>
          <w:sz w:val="24"/>
          <w:szCs w:val="32"/>
        </w:rPr>
        <w:t>rate cut</w:t>
      </w:r>
      <w:r w:rsidR="00805E84">
        <w:rPr>
          <w:rFonts w:eastAsia="標楷體" w:hint="eastAsia"/>
          <w:sz w:val="24"/>
          <w:szCs w:val="32"/>
        </w:rPr>
        <w:t>s</w:t>
      </w:r>
      <w:r>
        <w:rPr>
          <w:rFonts w:eastAsia="標楷體" w:hint="eastAsia"/>
          <w:sz w:val="24"/>
          <w:szCs w:val="32"/>
        </w:rPr>
        <w:t xml:space="preserve"> </w:t>
      </w:r>
      <w:r w:rsidR="00282123">
        <w:rPr>
          <w:rFonts w:eastAsia="標楷體" w:hint="eastAsia"/>
          <w:sz w:val="24"/>
          <w:szCs w:val="32"/>
        </w:rPr>
        <w:t xml:space="preserve">should </w:t>
      </w:r>
      <w:r w:rsidR="00805E84">
        <w:rPr>
          <w:rFonts w:eastAsia="標楷體" w:hint="eastAsia"/>
          <w:sz w:val="24"/>
          <w:szCs w:val="32"/>
        </w:rPr>
        <w:t>the Fed beg</w:t>
      </w:r>
      <w:r w:rsidR="00282123">
        <w:rPr>
          <w:rFonts w:eastAsia="標楷體" w:hint="eastAsia"/>
          <w:sz w:val="24"/>
          <w:szCs w:val="32"/>
        </w:rPr>
        <w:t>i</w:t>
      </w:r>
      <w:r w:rsidR="00805E84">
        <w:rPr>
          <w:rFonts w:eastAsia="標楷體" w:hint="eastAsia"/>
          <w:sz w:val="24"/>
          <w:szCs w:val="32"/>
        </w:rPr>
        <w:t xml:space="preserve">n reducing the fed funds rate. </w:t>
      </w:r>
      <w:r w:rsidR="00805E84">
        <w:rPr>
          <w:rFonts w:eastAsia="標楷體"/>
          <w:sz w:val="24"/>
          <w:szCs w:val="32"/>
        </w:rPr>
        <w:t>While low rates partly restrict monetary policy</w:t>
      </w:r>
      <w:r w:rsidR="00805E84" w:rsidRPr="00805E84">
        <w:rPr>
          <w:rFonts w:eastAsia="標楷體" w:hint="eastAsia"/>
          <w:sz w:val="24"/>
          <w:szCs w:val="32"/>
        </w:rPr>
        <w:t xml:space="preserve"> </w:t>
      </w:r>
      <w:r w:rsidR="00805E84">
        <w:rPr>
          <w:rFonts w:eastAsia="標楷體" w:hint="eastAsia"/>
          <w:sz w:val="24"/>
          <w:szCs w:val="32"/>
        </w:rPr>
        <w:t>effectiveness, the fact that Taiwan</w:t>
      </w:r>
      <w:r w:rsidR="00805E84">
        <w:rPr>
          <w:rFonts w:eastAsia="標楷體"/>
          <w:sz w:val="24"/>
          <w:szCs w:val="32"/>
        </w:rPr>
        <w:t>’</w:t>
      </w:r>
      <w:r w:rsidR="00805E84">
        <w:rPr>
          <w:rFonts w:eastAsia="標楷體" w:hint="eastAsia"/>
          <w:sz w:val="24"/>
          <w:szCs w:val="32"/>
        </w:rPr>
        <w:t xml:space="preserve">s banking system has enjoyed ample liquidity and </w:t>
      </w:r>
      <w:r w:rsidR="00282123">
        <w:rPr>
          <w:rFonts w:eastAsia="標楷體" w:hint="eastAsia"/>
          <w:sz w:val="24"/>
          <w:szCs w:val="32"/>
        </w:rPr>
        <w:t xml:space="preserve">ease in </w:t>
      </w:r>
      <w:r w:rsidR="00805E84">
        <w:rPr>
          <w:rFonts w:eastAsia="標楷體" w:hint="eastAsia"/>
          <w:sz w:val="24"/>
          <w:szCs w:val="32"/>
        </w:rPr>
        <w:t>funding reflects in part that monetary policy tools have worked. Th</w:t>
      </w:r>
      <w:r w:rsidR="00282123">
        <w:rPr>
          <w:rFonts w:eastAsia="標楷體" w:hint="eastAsia"/>
          <w:sz w:val="24"/>
          <w:szCs w:val="32"/>
        </w:rPr>
        <w:t>e board director</w:t>
      </w:r>
      <w:r w:rsidR="00805E84">
        <w:rPr>
          <w:rFonts w:eastAsia="標楷體" w:hint="eastAsia"/>
          <w:sz w:val="24"/>
          <w:szCs w:val="32"/>
        </w:rPr>
        <w:t xml:space="preserve"> suggest</w:t>
      </w:r>
      <w:r w:rsidR="00282123">
        <w:rPr>
          <w:rFonts w:eastAsia="標楷體" w:hint="eastAsia"/>
          <w:sz w:val="24"/>
          <w:szCs w:val="32"/>
        </w:rPr>
        <w:t>ed</w:t>
      </w:r>
      <w:r w:rsidR="00805E84">
        <w:rPr>
          <w:rFonts w:eastAsia="標楷體" w:hint="eastAsia"/>
          <w:sz w:val="24"/>
          <w:szCs w:val="32"/>
        </w:rPr>
        <w:t xml:space="preserve"> that </w:t>
      </w:r>
      <w:r w:rsidR="00282123">
        <w:rPr>
          <w:rFonts w:eastAsia="標楷體" w:hint="eastAsia"/>
          <w:sz w:val="24"/>
          <w:szCs w:val="32"/>
        </w:rPr>
        <w:t xml:space="preserve">in due course </w:t>
      </w:r>
      <w:r w:rsidR="00805E84">
        <w:rPr>
          <w:rFonts w:eastAsia="標楷體" w:hint="eastAsia"/>
          <w:sz w:val="24"/>
          <w:szCs w:val="32"/>
        </w:rPr>
        <w:lastRenderedPageBreak/>
        <w:t xml:space="preserve">it would be worth exploring </w:t>
      </w:r>
      <w:r w:rsidR="00282123">
        <w:rPr>
          <w:rFonts w:eastAsia="標楷體" w:hint="eastAsia"/>
          <w:sz w:val="24"/>
          <w:szCs w:val="32"/>
        </w:rPr>
        <w:t xml:space="preserve">the possibility of </w:t>
      </w:r>
      <w:r w:rsidR="00EB4976">
        <w:rPr>
          <w:rFonts w:eastAsia="標楷體" w:hint="eastAsia"/>
          <w:sz w:val="24"/>
          <w:szCs w:val="32"/>
        </w:rPr>
        <w:t>deploy</w:t>
      </w:r>
      <w:r w:rsidR="00282123">
        <w:rPr>
          <w:rFonts w:eastAsia="標楷體" w:hint="eastAsia"/>
          <w:sz w:val="24"/>
          <w:szCs w:val="32"/>
        </w:rPr>
        <w:t>ing</w:t>
      </w:r>
      <w:r w:rsidR="00EB4976">
        <w:rPr>
          <w:rFonts w:eastAsia="標楷體" w:hint="eastAsia"/>
          <w:sz w:val="24"/>
          <w:szCs w:val="32"/>
        </w:rPr>
        <w:t xml:space="preserve"> other monetary policy tools. </w:t>
      </w:r>
    </w:p>
    <w:p w:rsidR="00EB4976" w:rsidRDefault="00EB4976" w:rsidP="00805E84">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Another board director gave the opinion that</w:t>
      </w:r>
      <w:r w:rsidR="00490162">
        <w:rPr>
          <w:rFonts w:eastAsia="標楷體" w:hint="eastAsia"/>
          <w:sz w:val="24"/>
          <w:szCs w:val="32"/>
        </w:rPr>
        <w:t xml:space="preserve">, </w:t>
      </w:r>
      <w:r w:rsidR="008C26A0">
        <w:rPr>
          <w:rFonts w:eastAsia="標楷體" w:hint="eastAsia"/>
          <w:sz w:val="24"/>
          <w:szCs w:val="32"/>
        </w:rPr>
        <w:t>though Japan had</w:t>
      </w:r>
      <w:r>
        <w:rPr>
          <w:rFonts w:eastAsia="標楷體" w:hint="eastAsia"/>
          <w:sz w:val="24"/>
          <w:szCs w:val="32"/>
        </w:rPr>
        <w:t xml:space="preserve"> adopt</w:t>
      </w:r>
      <w:r w:rsidR="008C26A0">
        <w:rPr>
          <w:rFonts w:eastAsia="標楷體" w:hint="eastAsia"/>
          <w:sz w:val="24"/>
          <w:szCs w:val="32"/>
        </w:rPr>
        <w:t>ed</w:t>
      </w:r>
      <w:r>
        <w:rPr>
          <w:rFonts w:eastAsia="標楷體" w:hint="eastAsia"/>
          <w:sz w:val="24"/>
          <w:szCs w:val="32"/>
        </w:rPr>
        <w:t xml:space="preserve"> QE</w:t>
      </w:r>
      <w:r w:rsidR="00490162">
        <w:rPr>
          <w:rFonts w:eastAsia="標楷體" w:hint="eastAsia"/>
          <w:sz w:val="24"/>
          <w:szCs w:val="32"/>
        </w:rPr>
        <w:t xml:space="preserve"> and fiscal expansion</w:t>
      </w:r>
      <w:r>
        <w:rPr>
          <w:rFonts w:eastAsia="標楷體" w:hint="eastAsia"/>
          <w:sz w:val="24"/>
          <w:szCs w:val="32"/>
        </w:rPr>
        <w:t xml:space="preserve"> on multiple occasions since 1992</w:t>
      </w:r>
      <w:r w:rsidR="00490162">
        <w:rPr>
          <w:rFonts w:eastAsia="標楷體" w:hint="eastAsia"/>
          <w:sz w:val="24"/>
          <w:szCs w:val="32"/>
        </w:rPr>
        <w:t xml:space="preserve">, </w:t>
      </w:r>
      <w:r w:rsidR="008C26A0">
        <w:rPr>
          <w:rFonts w:eastAsia="標楷體" w:hint="eastAsia"/>
          <w:sz w:val="24"/>
          <w:szCs w:val="32"/>
        </w:rPr>
        <w:t xml:space="preserve">the measures only produced lean results as the </w:t>
      </w:r>
      <w:r w:rsidR="008C26A0">
        <w:rPr>
          <w:rFonts w:eastAsia="標楷體"/>
          <w:sz w:val="24"/>
          <w:szCs w:val="32"/>
        </w:rPr>
        <w:t>economic</w:t>
      </w:r>
      <w:r w:rsidR="008C26A0">
        <w:rPr>
          <w:rFonts w:eastAsia="標楷體" w:hint="eastAsia"/>
          <w:sz w:val="24"/>
          <w:szCs w:val="32"/>
        </w:rPr>
        <w:t xml:space="preserve"> upturns had often been countered by unfortunate difficulties as well as structural </w:t>
      </w:r>
      <w:r w:rsidR="00C860BC">
        <w:rPr>
          <w:rFonts w:eastAsia="標楷體" w:hint="eastAsia"/>
          <w:sz w:val="24"/>
          <w:szCs w:val="32"/>
        </w:rPr>
        <w:t xml:space="preserve">weaknesses. Monetary policy is never a cure-all remedy for economic distresses, and its limited effects have been further </w:t>
      </w:r>
      <w:r w:rsidR="005918BA">
        <w:rPr>
          <w:rFonts w:eastAsia="標楷體" w:hint="eastAsia"/>
          <w:sz w:val="24"/>
          <w:szCs w:val="32"/>
        </w:rPr>
        <w:t xml:space="preserve">thwarted by </w:t>
      </w:r>
      <w:r w:rsidR="00D418BA">
        <w:rPr>
          <w:rFonts w:eastAsia="標楷體" w:hint="eastAsia"/>
          <w:sz w:val="24"/>
          <w:szCs w:val="32"/>
        </w:rPr>
        <w:t>an increasingly globalized world</w:t>
      </w:r>
      <w:r w:rsidR="005918BA">
        <w:rPr>
          <w:rFonts w:eastAsia="標楷體" w:hint="eastAsia"/>
          <w:sz w:val="24"/>
          <w:szCs w:val="32"/>
        </w:rPr>
        <w:t xml:space="preserve">. </w:t>
      </w:r>
      <w:r w:rsidR="00FF1045">
        <w:rPr>
          <w:rFonts w:eastAsia="標楷體" w:hint="eastAsia"/>
          <w:sz w:val="24"/>
          <w:szCs w:val="32"/>
        </w:rPr>
        <w:t xml:space="preserve">Therefore, it seems a more effective solution to adopt a mix of monetary and fiscal policies and structural reforms. </w:t>
      </w:r>
    </w:p>
    <w:p w:rsidR="00D418BA" w:rsidRDefault="00FF1045" w:rsidP="0060120C">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noted that low interest rates have </w:t>
      </w:r>
      <w:r w:rsidR="009322AA">
        <w:rPr>
          <w:rFonts w:eastAsia="標楷體" w:hint="eastAsia"/>
          <w:sz w:val="24"/>
          <w:szCs w:val="32"/>
        </w:rPr>
        <w:t>become an almost worldwide phenomenon since 2008. With the possibility of the Fed reducing rates, the Bank needs to take into account the effect of its policy decisions on private consumption and excess saving. Another board director remarked that</w:t>
      </w:r>
      <w:r w:rsidR="00882A93">
        <w:rPr>
          <w:rFonts w:eastAsia="標楷體" w:hint="eastAsia"/>
          <w:sz w:val="24"/>
          <w:szCs w:val="32"/>
        </w:rPr>
        <w:t xml:space="preserve"> </w:t>
      </w:r>
      <w:r w:rsidR="00027E19">
        <w:rPr>
          <w:rFonts w:eastAsia="標楷體" w:hint="eastAsia"/>
          <w:sz w:val="24"/>
          <w:szCs w:val="32"/>
        </w:rPr>
        <w:t xml:space="preserve">a wide range of information, including output, prices, and other economic and financial developments at home and abroad, would be taken into account for monetary policymaking at the Bank, inhibiting </w:t>
      </w:r>
      <w:r w:rsidR="00281C70">
        <w:rPr>
          <w:rFonts w:eastAsia="標楷體" w:hint="eastAsia"/>
          <w:sz w:val="24"/>
          <w:szCs w:val="32"/>
        </w:rPr>
        <w:t>the use of</w:t>
      </w:r>
      <w:r w:rsidR="00027E19">
        <w:rPr>
          <w:rFonts w:eastAsia="標楷體" w:hint="eastAsia"/>
          <w:sz w:val="24"/>
          <w:szCs w:val="32"/>
        </w:rPr>
        <w:t xml:space="preserve"> rate adjustments to serve specific sectors. </w:t>
      </w:r>
      <w:r w:rsidR="00281C70">
        <w:rPr>
          <w:rFonts w:eastAsia="標楷體" w:hint="eastAsia"/>
          <w:sz w:val="24"/>
          <w:szCs w:val="32"/>
        </w:rPr>
        <w:t xml:space="preserve">In terms of measures to promote private consumption by appealing to savers, </w:t>
      </w:r>
      <w:r w:rsidR="0060120C">
        <w:rPr>
          <w:rFonts w:eastAsia="標楷體" w:hint="eastAsia"/>
          <w:sz w:val="24"/>
          <w:szCs w:val="32"/>
        </w:rPr>
        <w:t xml:space="preserve">a twofold solution of </w:t>
      </w:r>
      <w:r w:rsidR="00281C70">
        <w:rPr>
          <w:rFonts w:eastAsia="標楷體" w:hint="eastAsia"/>
          <w:sz w:val="24"/>
          <w:szCs w:val="32"/>
        </w:rPr>
        <w:t xml:space="preserve">higher wage income and higher saving </w:t>
      </w:r>
      <w:r w:rsidR="0060120C">
        <w:rPr>
          <w:rFonts w:eastAsia="標楷體" w:hint="eastAsia"/>
          <w:sz w:val="24"/>
          <w:szCs w:val="32"/>
        </w:rPr>
        <w:t xml:space="preserve">returns seem the faster route </w:t>
      </w:r>
      <w:r w:rsidR="00281C70">
        <w:rPr>
          <w:rFonts w:eastAsia="標楷體" w:hint="eastAsia"/>
          <w:sz w:val="24"/>
          <w:szCs w:val="32"/>
        </w:rPr>
        <w:t>to reach th</w:t>
      </w:r>
      <w:r w:rsidR="0060120C">
        <w:rPr>
          <w:rFonts w:eastAsia="標楷體" w:hint="eastAsia"/>
          <w:sz w:val="24"/>
          <w:szCs w:val="32"/>
        </w:rPr>
        <w:t>at</w:t>
      </w:r>
      <w:r w:rsidR="00281C70">
        <w:rPr>
          <w:rFonts w:eastAsia="標楷體" w:hint="eastAsia"/>
          <w:sz w:val="24"/>
          <w:szCs w:val="32"/>
        </w:rPr>
        <w:t xml:space="preserve"> objective</w:t>
      </w:r>
      <w:r w:rsidR="0060120C">
        <w:rPr>
          <w:rFonts w:eastAsia="標楷體" w:hint="eastAsia"/>
          <w:sz w:val="24"/>
          <w:szCs w:val="32"/>
        </w:rPr>
        <w:t>. In Taiwan, where the locals prefer low-risk assets such as deposits and insurance policies, sav</w:t>
      </w:r>
      <w:r w:rsidR="002F43AB">
        <w:rPr>
          <w:rFonts w:eastAsia="標楷體" w:hint="eastAsia"/>
          <w:sz w:val="24"/>
          <w:szCs w:val="32"/>
        </w:rPr>
        <w:t>ers</w:t>
      </w:r>
      <w:r w:rsidR="0060120C">
        <w:rPr>
          <w:rFonts w:eastAsia="標楷體" w:hint="eastAsia"/>
          <w:sz w:val="24"/>
          <w:szCs w:val="32"/>
        </w:rPr>
        <w:t xml:space="preserve"> </w:t>
      </w:r>
      <w:r w:rsidR="002F43AB">
        <w:rPr>
          <w:rFonts w:eastAsia="標楷體" w:hint="eastAsia"/>
          <w:sz w:val="24"/>
          <w:szCs w:val="32"/>
        </w:rPr>
        <w:t>could</w:t>
      </w:r>
      <w:r w:rsidR="0060120C">
        <w:rPr>
          <w:rFonts w:eastAsia="標楷體" w:hint="eastAsia"/>
          <w:sz w:val="24"/>
          <w:szCs w:val="32"/>
        </w:rPr>
        <w:t xml:space="preserve"> </w:t>
      </w:r>
      <w:r w:rsidR="002F43AB">
        <w:rPr>
          <w:rFonts w:eastAsia="標楷體" w:hint="eastAsia"/>
          <w:sz w:val="24"/>
          <w:szCs w:val="32"/>
        </w:rPr>
        <w:t>garner</w:t>
      </w:r>
      <w:r w:rsidR="0060120C">
        <w:rPr>
          <w:rFonts w:eastAsia="標楷體" w:hint="eastAsia"/>
          <w:sz w:val="24"/>
          <w:szCs w:val="32"/>
        </w:rPr>
        <w:t xml:space="preserve"> better returns through more efficient asset allocation</w:t>
      </w:r>
      <w:r w:rsidR="002F43AB">
        <w:rPr>
          <w:rFonts w:eastAsia="標楷體" w:hint="eastAsia"/>
          <w:sz w:val="24"/>
          <w:szCs w:val="32"/>
        </w:rPr>
        <w:t xml:space="preserve">; to </w:t>
      </w:r>
      <w:r w:rsidR="002F43AB">
        <w:rPr>
          <w:rFonts w:eastAsia="標楷體"/>
          <w:sz w:val="24"/>
          <w:szCs w:val="32"/>
        </w:rPr>
        <w:t>that</w:t>
      </w:r>
      <w:r w:rsidR="002F43AB">
        <w:rPr>
          <w:rFonts w:eastAsia="標楷體" w:hint="eastAsia"/>
          <w:sz w:val="24"/>
          <w:szCs w:val="32"/>
        </w:rPr>
        <w:t xml:space="preserve"> end, the authorities could adopt a three-pronged approach, namely improving financial awareness, enhancing pension fund returns, and raising productivity of the ALM (</w:t>
      </w:r>
      <w:r w:rsidR="002F43AB">
        <w:rPr>
          <w:rFonts w:eastAsia="標楷體"/>
          <w:sz w:val="24"/>
          <w:szCs w:val="32"/>
        </w:rPr>
        <w:t>asset</w:t>
      </w:r>
      <w:r w:rsidR="002F43AB">
        <w:rPr>
          <w:rFonts w:eastAsia="標楷體" w:hint="eastAsia"/>
          <w:sz w:val="24"/>
          <w:szCs w:val="32"/>
        </w:rPr>
        <w:t>/</w:t>
      </w:r>
      <w:r w:rsidR="002F43AB" w:rsidRPr="002F43AB">
        <w:rPr>
          <w:rFonts w:eastAsia="標楷體"/>
          <w:sz w:val="24"/>
          <w:szCs w:val="32"/>
        </w:rPr>
        <w:t>liability management</w:t>
      </w:r>
      <w:r w:rsidR="002F43AB">
        <w:rPr>
          <w:rFonts w:eastAsia="標楷體" w:hint="eastAsia"/>
          <w:sz w:val="24"/>
          <w:szCs w:val="32"/>
        </w:rPr>
        <w:t>)</w:t>
      </w:r>
      <w:r w:rsidR="002F43AB" w:rsidRPr="002F43AB">
        <w:rPr>
          <w:rFonts w:eastAsia="標楷體" w:hint="eastAsia"/>
          <w:sz w:val="24"/>
          <w:szCs w:val="32"/>
        </w:rPr>
        <w:t xml:space="preserve"> </w:t>
      </w:r>
      <w:r w:rsidR="002F43AB">
        <w:rPr>
          <w:rFonts w:eastAsia="標楷體" w:hint="eastAsia"/>
          <w:sz w:val="24"/>
          <w:szCs w:val="32"/>
        </w:rPr>
        <w:t>industry.</w:t>
      </w:r>
    </w:p>
    <w:p w:rsidR="006D6058" w:rsidRDefault="00BB217A" w:rsidP="0060120C">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explained further that </w:t>
      </w:r>
      <w:r w:rsidR="00F11BF0">
        <w:rPr>
          <w:rFonts w:eastAsia="標楷體" w:hint="eastAsia"/>
          <w:sz w:val="24"/>
          <w:szCs w:val="32"/>
        </w:rPr>
        <w:t xml:space="preserve">monetary policy affects a wide universe of variables, including consumption, investment, cross-border capital flows, inflation, </w:t>
      </w:r>
      <w:r w:rsidR="00E96B9C">
        <w:rPr>
          <w:rFonts w:eastAsia="標楷體" w:hint="eastAsia"/>
          <w:sz w:val="24"/>
          <w:szCs w:val="32"/>
        </w:rPr>
        <w:t>and so on</w:t>
      </w:r>
      <w:r w:rsidR="00F11BF0">
        <w:rPr>
          <w:rFonts w:eastAsia="標楷體" w:hint="eastAsia"/>
          <w:sz w:val="24"/>
          <w:szCs w:val="32"/>
        </w:rPr>
        <w:t>. And the government has implemented stimulus programs that comprise</w:t>
      </w:r>
      <w:r w:rsidR="00E96B9C">
        <w:rPr>
          <w:rFonts w:eastAsia="標楷體" w:hint="eastAsia"/>
          <w:sz w:val="24"/>
          <w:szCs w:val="32"/>
        </w:rPr>
        <w:t xml:space="preserve"> a mixture of</w:t>
      </w:r>
      <w:bookmarkStart w:id="0" w:name="_GoBack"/>
      <w:bookmarkEnd w:id="0"/>
      <w:r w:rsidR="00F11BF0">
        <w:rPr>
          <w:rFonts w:eastAsia="標楷體" w:hint="eastAsia"/>
          <w:sz w:val="24"/>
          <w:szCs w:val="32"/>
        </w:rPr>
        <w:t xml:space="preserve"> industrial policy and economic policy. In the future, </w:t>
      </w:r>
      <w:r w:rsidR="00181F0B">
        <w:rPr>
          <w:rFonts w:eastAsia="標楷體" w:hint="eastAsia"/>
          <w:sz w:val="24"/>
          <w:szCs w:val="32"/>
        </w:rPr>
        <w:t xml:space="preserve">perhaps monetary policy could also gain some more room for </w:t>
      </w:r>
      <w:r w:rsidR="00181F0B">
        <w:rPr>
          <w:rFonts w:eastAsia="標楷體"/>
          <w:sz w:val="24"/>
          <w:szCs w:val="32"/>
        </w:rPr>
        <w:t>maneuver</w:t>
      </w:r>
      <w:r w:rsidR="00181F0B">
        <w:rPr>
          <w:rFonts w:eastAsia="標楷體" w:hint="eastAsia"/>
          <w:sz w:val="24"/>
          <w:szCs w:val="32"/>
        </w:rPr>
        <w:t xml:space="preserve"> through </w:t>
      </w:r>
      <w:r w:rsidR="00F11BF0">
        <w:rPr>
          <w:rFonts w:eastAsia="標楷體" w:hint="eastAsia"/>
          <w:sz w:val="24"/>
          <w:szCs w:val="32"/>
        </w:rPr>
        <w:t>close cooperation between the Bank and various government agencies</w:t>
      </w:r>
      <w:r w:rsidR="00181F0B">
        <w:rPr>
          <w:rFonts w:eastAsia="標楷體" w:hint="eastAsia"/>
          <w:sz w:val="24"/>
          <w:szCs w:val="32"/>
        </w:rPr>
        <w:t xml:space="preserve">.  </w:t>
      </w:r>
      <w:r w:rsidR="00F11BF0">
        <w:rPr>
          <w:rFonts w:eastAsia="標楷體" w:hint="eastAsia"/>
          <w:sz w:val="24"/>
          <w:szCs w:val="32"/>
        </w:rPr>
        <w:t xml:space="preserve"> </w:t>
      </w:r>
    </w:p>
    <w:p w:rsidR="006A083A" w:rsidRPr="007F6F77" w:rsidRDefault="006A083A" w:rsidP="00FA173A">
      <w:pPr>
        <w:adjustRightInd/>
        <w:snapToGrid w:val="0"/>
        <w:spacing w:before="120" w:line="440" w:lineRule="exact"/>
        <w:ind w:left="320" w:hangingChars="133" w:hanging="320"/>
        <w:jc w:val="both"/>
        <w:textDirection w:val="lrTbV"/>
        <w:rPr>
          <w:rFonts w:eastAsia="標楷體"/>
          <w:sz w:val="24"/>
          <w:szCs w:val="28"/>
        </w:rPr>
      </w:pPr>
      <w:r w:rsidRPr="007F6F77">
        <w:rPr>
          <w:rFonts w:eastAsia="標楷體" w:hint="eastAsia"/>
          <w:b/>
          <w:sz w:val="24"/>
          <w:szCs w:val="28"/>
        </w:rPr>
        <w:t xml:space="preserve">3. Monetary Policy Decision: </w:t>
      </w:r>
      <w:r w:rsidR="00CE3BC5" w:rsidRPr="007F6F77">
        <w:rPr>
          <w:rFonts w:eastAsia="標楷體" w:hint="eastAsia"/>
          <w:sz w:val="24"/>
          <w:szCs w:val="28"/>
        </w:rPr>
        <w:t xml:space="preserve">The board directors </w:t>
      </w:r>
      <w:r w:rsidRPr="007F6F77">
        <w:rPr>
          <w:rFonts w:eastAsia="標楷體" w:hint="eastAsia"/>
          <w:sz w:val="24"/>
          <w:szCs w:val="28"/>
        </w:rPr>
        <w:t>reached a unanimous vote t</w:t>
      </w:r>
      <w:r w:rsidRPr="007F6F77">
        <w:rPr>
          <w:rFonts w:eastAsia="標楷體"/>
          <w:sz w:val="24"/>
          <w:szCs w:val="28"/>
        </w:rPr>
        <w:t>o keep the discount rate, the rate on accommodations with collateral, and the rate on accommodations without collateral unchanged at 1.375%, 1.75%, and 3.625%, respectively.</w:t>
      </w:r>
    </w:p>
    <w:p w:rsidR="006A083A" w:rsidRDefault="006A083A" w:rsidP="00FA173A">
      <w:pPr>
        <w:snapToGrid w:val="0"/>
        <w:spacing w:before="120" w:line="440" w:lineRule="exact"/>
        <w:ind w:left="961" w:hangingChars="400" w:hanging="961"/>
        <w:jc w:val="both"/>
        <w:textDirection w:val="lrTbV"/>
        <w:rPr>
          <w:rFonts w:eastAsia="標楷體"/>
          <w:b/>
          <w:sz w:val="24"/>
          <w:szCs w:val="28"/>
        </w:rPr>
      </w:pPr>
      <w:r w:rsidRPr="007F6F77">
        <w:rPr>
          <w:rFonts w:eastAsia="標楷體" w:hint="eastAsia"/>
          <w:b/>
          <w:sz w:val="24"/>
          <w:szCs w:val="28"/>
        </w:rPr>
        <w:t xml:space="preserve">Voting for the proposition: </w:t>
      </w:r>
    </w:p>
    <w:p w:rsidR="00711F8A" w:rsidRDefault="00860EF7" w:rsidP="00E972E3">
      <w:pPr>
        <w:spacing w:line="440" w:lineRule="exact"/>
        <w:ind w:leftChars="200" w:left="400" w:rightChars="5" w:right="10"/>
        <w:textDirection w:val="lrTbV"/>
        <w:rPr>
          <w:rFonts w:eastAsia="標楷體"/>
          <w:sz w:val="24"/>
          <w:szCs w:val="24"/>
        </w:rPr>
      </w:pPr>
      <w:r w:rsidRPr="007F6F77">
        <w:rPr>
          <w:rFonts w:eastAsia="標楷體"/>
          <w:sz w:val="24"/>
          <w:szCs w:val="24"/>
        </w:rPr>
        <w:lastRenderedPageBreak/>
        <w:t>Chin-long Yang</w:t>
      </w:r>
      <w:r w:rsidRPr="007F6F77">
        <w:rPr>
          <w:rFonts w:eastAsia="標楷體" w:hint="eastAsia"/>
          <w:sz w:val="24"/>
          <w:szCs w:val="24"/>
        </w:rPr>
        <w:t>,</w:t>
      </w:r>
      <w:r w:rsidRPr="007F6F77">
        <w:rPr>
          <w:rFonts w:eastAsia="標楷體"/>
          <w:sz w:val="24"/>
          <w:szCs w:val="24"/>
        </w:rPr>
        <w:t xml:space="preserve"> Jain-</w:t>
      </w:r>
      <w:proofErr w:type="spellStart"/>
      <w:r w:rsidR="00B243CE">
        <w:rPr>
          <w:rFonts w:eastAsia="標楷體" w:hint="eastAsia"/>
          <w:sz w:val="24"/>
          <w:szCs w:val="24"/>
        </w:rPr>
        <w:t>r</w:t>
      </w:r>
      <w:r w:rsidRPr="007F6F77">
        <w:rPr>
          <w:rFonts w:eastAsia="標楷體"/>
          <w:sz w:val="24"/>
          <w:szCs w:val="24"/>
        </w:rPr>
        <w:t>ong</w:t>
      </w:r>
      <w:proofErr w:type="spellEnd"/>
      <w:r w:rsidRPr="007F6F77">
        <w:rPr>
          <w:rFonts w:eastAsia="標楷體" w:hint="eastAsia"/>
          <w:sz w:val="24"/>
          <w:szCs w:val="24"/>
        </w:rPr>
        <w:t xml:space="preserve"> Su, </w:t>
      </w:r>
      <w:r w:rsidR="00711F8A" w:rsidRPr="007F6F77">
        <w:rPr>
          <w:rFonts w:eastAsia="標楷體"/>
          <w:sz w:val="24"/>
          <w:szCs w:val="24"/>
        </w:rPr>
        <w:t>Jong-</w:t>
      </w:r>
      <w:r w:rsidR="00711F8A" w:rsidRPr="007F6F77">
        <w:rPr>
          <w:rFonts w:eastAsia="標楷體" w:hint="eastAsia"/>
          <w:sz w:val="24"/>
          <w:szCs w:val="24"/>
        </w:rPr>
        <w:t>c</w:t>
      </w:r>
      <w:r w:rsidR="00711F8A" w:rsidRPr="007F6F77">
        <w:rPr>
          <w:rFonts w:eastAsia="標楷體"/>
          <w:sz w:val="24"/>
          <w:szCs w:val="24"/>
        </w:rPr>
        <w:t>hin Shen</w:t>
      </w:r>
      <w:r w:rsidR="00711F8A">
        <w:rPr>
          <w:rFonts w:eastAsia="標楷體" w:hint="eastAsia"/>
          <w:sz w:val="24"/>
          <w:szCs w:val="24"/>
        </w:rPr>
        <w:t xml:space="preserve">, </w:t>
      </w:r>
      <w:proofErr w:type="spellStart"/>
      <w:r w:rsidRPr="007F6F77">
        <w:rPr>
          <w:rFonts w:eastAsia="標楷體"/>
          <w:sz w:val="24"/>
          <w:szCs w:val="24"/>
        </w:rPr>
        <w:t>Tzung</w:t>
      </w:r>
      <w:proofErr w:type="spellEnd"/>
      <w:r w:rsidRPr="007F6F77">
        <w:rPr>
          <w:rFonts w:eastAsia="標楷體"/>
          <w:sz w:val="24"/>
          <w:szCs w:val="24"/>
        </w:rPr>
        <w:t>-ta Yen, Nan-</w:t>
      </w:r>
      <w:proofErr w:type="spellStart"/>
      <w:r w:rsidRPr="007F6F77">
        <w:rPr>
          <w:rFonts w:eastAsia="標楷體"/>
          <w:sz w:val="24"/>
          <w:szCs w:val="24"/>
        </w:rPr>
        <w:t>kuang</w:t>
      </w:r>
      <w:proofErr w:type="spellEnd"/>
      <w:r w:rsidRPr="007F6F77">
        <w:rPr>
          <w:rFonts w:eastAsia="標楷體"/>
          <w:sz w:val="24"/>
          <w:szCs w:val="24"/>
        </w:rPr>
        <w:t xml:space="preserve"> Chen, Ming-</w:t>
      </w:r>
      <w:proofErr w:type="spellStart"/>
      <w:r w:rsidRPr="007F6F77">
        <w:rPr>
          <w:rFonts w:eastAsia="標楷體"/>
          <w:sz w:val="24"/>
          <w:szCs w:val="24"/>
        </w:rPr>
        <w:t>yih</w:t>
      </w:r>
      <w:proofErr w:type="spellEnd"/>
      <w:r w:rsidRPr="007F6F77">
        <w:rPr>
          <w:rFonts w:eastAsia="標楷體"/>
          <w:sz w:val="24"/>
          <w:szCs w:val="24"/>
        </w:rPr>
        <w:t xml:space="preserve"> Liang, </w:t>
      </w:r>
      <w:r w:rsidR="00E972E3">
        <w:rPr>
          <w:rFonts w:eastAsia="標楷體"/>
          <w:sz w:val="24"/>
          <w:szCs w:val="24"/>
        </w:rPr>
        <w:t>Chi-</w:t>
      </w:r>
      <w:proofErr w:type="spellStart"/>
      <w:r w:rsidR="00E972E3">
        <w:rPr>
          <w:rFonts w:eastAsia="標楷體" w:hint="eastAsia"/>
          <w:sz w:val="24"/>
          <w:szCs w:val="24"/>
        </w:rPr>
        <w:t>c</w:t>
      </w:r>
      <w:r w:rsidR="00E972E3" w:rsidRPr="003C3DAA">
        <w:rPr>
          <w:rFonts w:eastAsia="標楷體"/>
          <w:sz w:val="24"/>
          <w:szCs w:val="24"/>
        </w:rPr>
        <w:t>hung</w:t>
      </w:r>
      <w:proofErr w:type="spellEnd"/>
      <w:r w:rsidR="00E972E3" w:rsidRPr="003C3DAA">
        <w:rPr>
          <w:rFonts w:eastAsia="標楷體"/>
          <w:sz w:val="24"/>
          <w:szCs w:val="24"/>
        </w:rPr>
        <w:t xml:space="preserve"> Chen</w:t>
      </w:r>
      <w:r w:rsidR="00E972E3">
        <w:rPr>
          <w:rFonts w:eastAsia="標楷體" w:hint="eastAsia"/>
          <w:sz w:val="24"/>
          <w:szCs w:val="24"/>
        </w:rPr>
        <w:t>,</w:t>
      </w:r>
      <w:r w:rsidRPr="007F6F77">
        <w:rPr>
          <w:rFonts w:eastAsia="標楷體"/>
          <w:sz w:val="24"/>
          <w:szCs w:val="24"/>
        </w:rPr>
        <w:t xml:space="preserve"> Chen-chia Lee, </w:t>
      </w:r>
      <w:r w:rsidR="00711F8A" w:rsidRPr="007F6F77">
        <w:rPr>
          <w:rFonts w:eastAsia="標楷體"/>
          <w:sz w:val="24"/>
          <w:szCs w:val="24"/>
        </w:rPr>
        <w:t>Chung-</w:t>
      </w:r>
      <w:proofErr w:type="spellStart"/>
      <w:r w:rsidR="00711F8A" w:rsidRPr="007F6F77">
        <w:rPr>
          <w:rFonts w:eastAsia="標楷體" w:hint="eastAsia"/>
          <w:sz w:val="24"/>
          <w:szCs w:val="24"/>
        </w:rPr>
        <w:t>d</w:t>
      </w:r>
      <w:r w:rsidR="00711F8A" w:rsidRPr="007F6F77">
        <w:rPr>
          <w:rFonts w:eastAsia="標楷體"/>
          <w:sz w:val="24"/>
          <w:szCs w:val="24"/>
        </w:rPr>
        <w:t>ar</w:t>
      </w:r>
      <w:proofErr w:type="spellEnd"/>
      <w:r w:rsidR="00711F8A" w:rsidRPr="007F6F77">
        <w:rPr>
          <w:rFonts w:eastAsia="標楷體"/>
          <w:sz w:val="24"/>
          <w:szCs w:val="24"/>
        </w:rPr>
        <w:t xml:space="preserve"> Le</w:t>
      </w:r>
      <w:r w:rsidR="00711F8A" w:rsidRPr="00605747">
        <w:rPr>
          <w:rFonts w:eastAsia="標楷體"/>
          <w:sz w:val="24"/>
          <w:szCs w:val="24"/>
        </w:rPr>
        <w:t>i</w:t>
      </w:r>
      <w:r w:rsidR="00711F8A">
        <w:rPr>
          <w:rFonts w:eastAsia="標楷體" w:hint="eastAsia"/>
          <w:sz w:val="24"/>
          <w:szCs w:val="24"/>
        </w:rPr>
        <w:t>,</w:t>
      </w:r>
      <w:r w:rsidR="00711F8A" w:rsidRPr="00605747">
        <w:rPr>
          <w:rFonts w:eastAsia="標楷體" w:hint="eastAsia"/>
          <w:sz w:val="24"/>
          <w:szCs w:val="24"/>
        </w:rPr>
        <w:t xml:space="preserve"> </w:t>
      </w:r>
      <w:proofErr w:type="spellStart"/>
      <w:r w:rsidRPr="007F6F77">
        <w:rPr>
          <w:rFonts w:eastAsia="標楷體"/>
          <w:sz w:val="24"/>
          <w:szCs w:val="24"/>
        </w:rPr>
        <w:t>Jin</w:t>
      </w:r>
      <w:proofErr w:type="spellEnd"/>
      <w:r w:rsidRPr="007F6F77">
        <w:rPr>
          <w:rFonts w:eastAsia="標楷體"/>
          <w:sz w:val="24"/>
          <w:szCs w:val="24"/>
        </w:rPr>
        <w:t xml:space="preserve">-lung Lin, </w:t>
      </w:r>
    </w:p>
    <w:p w:rsidR="00E972E3" w:rsidRPr="007F6F77" w:rsidRDefault="00860EF7" w:rsidP="00E972E3">
      <w:pPr>
        <w:spacing w:line="440" w:lineRule="exact"/>
        <w:ind w:leftChars="200" w:left="400" w:rightChars="5" w:right="10"/>
        <w:textDirection w:val="lrTbV"/>
        <w:rPr>
          <w:rFonts w:eastAsia="標楷體"/>
          <w:b/>
          <w:sz w:val="24"/>
          <w:szCs w:val="28"/>
        </w:rPr>
      </w:pPr>
      <w:r w:rsidRPr="007F6F77">
        <w:rPr>
          <w:rFonts w:eastAsia="標楷體"/>
          <w:sz w:val="24"/>
          <w:szCs w:val="24"/>
        </w:rPr>
        <w:t>Mei-lie Chu, Chao-</w:t>
      </w:r>
      <w:proofErr w:type="spellStart"/>
      <w:r w:rsidRPr="007F6F77">
        <w:rPr>
          <w:rFonts w:eastAsia="標楷體"/>
          <w:sz w:val="24"/>
          <w:szCs w:val="24"/>
        </w:rPr>
        <w:t>hsi</w:t>
      </w:r>
      <w:proofErr w:type="spellEnd"/>
      <w:r w:rsidRPr="007F6F77">
        <w:rPr>
          <w:rFonts w:eastAsia="標楷體"/>
          <w:sz w:val="24"/>
          <w:szCs w:val="24"/>
        </w:rPr>
        <w:t xml:space="preserve"> Huang, </w:t>
      </w:r>
      <w:proofErr w:type="spellStart"/>
      <w:r w:rsidRPr="007F6F77">
        <w:rPr>
          <w:rFonts w:eastAsia="標楷體"/>
          <w:sz w:val="24"/>
          <w:szCs w:val="24"/>
        </w:rPr>
        <w:t>Bih</w:t>
      </w:r>
      <w:proofErr w:type="spellEnd"/>
      <w:r w:rsidRPr="007F6F77">
        <w:rPr>
          <w:rFonts w:eastAsia="標楷體"/>
          <w:sz w:val="24"/>
          <w:szCs w:val="24"/>
        </w:rPr>
        <w:t xml:space="preserve">-jane Liu, </w:t>
      </w:r>
      <w:proofErr w:type="spellStart"/>
      <w:r w:rsidRPr="007F6F77">
        <w:rPr>
          <w:rFonts w:eastAsia="標楷體"/>
          <w:sz w:val="24"/>
          <w:szCs w:val="24"/>
        </w:rPr>
        <w:t>Shiu</w:t>
      </w:r>
      <w:proofErr w:type="spellEnd"/>
      <w:r w:rsidRPr="007F6F77">
        <w:rPr>
          <w:rFonts w:eastAsia="標楷體"/>
          <w:sz w:val="24"/>
          <w:szCs w:val="24"/>
        </w:rPr>
        <w:t>-sheng Chen</w:t>
      </w:r>
      <w:r w:rsidRPr="007F6F77">
        <w:rPr>
          <w:rFonts w:eastAsia="標楷體" w:hint="eastAsia"/>
          <w:sz w:val="24"/>
          <w:szCs w:val="24"/>
        </w:rPr>
        <w:t xml:space="preserve">, </w:t>
      </w:r>
      <w:proofErr w:type="spellStart"/>
      <w:r w:rsidR="000060B5" w:rsidRPr="007F6F77">
        <w:rPr>
          <w:rFonts w:eastAsia="標楷體"/>
          <w:sz w:val="24"/>
          <w:szCs w:val="24"/>
        </w:rPr>
        <w:t>Hsin-</w:t>
      </w:r>
      <w:r w:rsidR="000060B5" w:rsidRPr="007F6F77">
        <w:rPr>
          <w:rFonts w:eastAsia="標楷體" w:hint="eastAsia"/>
          <w:sz w:val="24"/>
          <w:szCs w:val="24"/>
        </w:rPr>
        <w:t>h</w:t>
      </w:r>
      <w:r w:rsidRPr="007F6F77">
        <w:rPr>
          <w:rFonts w:eastAsia="標楷體"/>
          <w:sz w:val="24"/>
          <w:szCs w:val="24"/>
        </w:rPr>
        <w:t>ong</w:t>
      </w:r>
      <w:proofErr w:type="spellEnd"/>
      <w:r w:rsidRPr="007F6F77">
        <w:rPr>
          <w:rFonts w:eastAsia="標楷體"/>
          <w:sz w:val="24"/>
          <w:szCs w:val="24"/>
        </w:rPr>
        <w:t xml:space="preserve"> Kang</w:t>
      </w:r>
      <w:r w:rsidR="00E972E3">
        <w:rPr>
          <w:rFonts w:eastAsia="標楷體" w:hint="eastAsia"/>
          <w:sz w:val="24"/>
          <w:szCs w:val="24"/>
        </w:rPr>
        <w:t xml:space="preserve"> </w:t>
      </w:r>
    </w:p>
    <w:p w:rsidR="006A083A" w:rsidRPr="007F6F77" w:rsidRDefault="006A083A" w:rsidP="00860EF7">
      <w:pPr>
        <w:snapToGrid w:val="0"/>
        <w:spacing w:before="120" w:line="440" w:lineRule="exact"/>
        <w:ind w:left="985" w:hangingChars="410" w:hanging="985"/>
        <w:textDirection w:val="lrTbV"/>
        <w:rPr>
          <w:rFonts w:eastAsia="標楷體"/>
          <w:sz w:val="24"/>
          <w:szCs w:val="28"/>
        </w:rPr>
      </w:pPr>
      <w:proofErr w:type="gramStart"/>
      <w:r w:rsidRPr="007F6F77">
        <w:rPr>
          <w:rFonts w:eastAsia="標楷體" w:hint="eastAsia"/>
          <w:b/>
          <w:sz w:val="24"/>
          <w:szCs w:val="28"/>
        </w:rPr>
        <w:t xml:space="preserve">Voting against the proposition: </w:t>
      </w:r>
      <w:r w:rsidRPr="007F6F77">
        <w:rPr>
          <w:rFonts w:eastAsia="標楷體" w:hint="eastAsia"/>
          <w:sz w:val="24"/>
          <w:szCs w:val="28"/>
        </w:rPr>
        <w:t>None.</w:t>
      </w:r>
      <w:proofErr w:type="gramEnd"/>
      <w:r w:rsidRPr="007F6F77">
        <w:rPr>
          <w:rFonts w:eastAsia="標楷體" w:hint="eastAsia"/>
          <w:sz w:val="24"/>
          <w:szCs w:val="28"/>
        </w:rPr>
        <w:t xml:space="preserve"> </w:t>
      </w:r>
    </w:p>
    <w:p w:rsidR="006A083A" w:rsidRPr="007F6F77" w:rsidRDefault="006A083A" w:rsidP="00FA173A">
      <w:pPr>
        <w:widowControl/>
        <w:adjustRightInd/>
        <w:spacing w:before="120" w:line="440" w:lineRule="exact"/>
        <w:textAlignment w:val="auto"/>
        <w:rPr>
          <w:rFonts w:eastAsia="標楷體"/>
          <w:b/>
          <w:snapToGrid w:val="0"/>
          <w:sz w:val="24"/>
          <w:szCs w:val="28"/>
        </w:rPr>
      </w:pPr>
    </w:p>
    <w:p w:rsidR="006A083A" w:rsidRPr="007F6F77" w:rsidRDefault="006A083A" w:rsidP="00FA173A">
      <w:pPr>
        <w:widowControl/>
        <w:adjustRightInd/>
        <w:spacing w:before="120" w:line="440" w:lineRule="exact"/>
        <w:textAlignment w:val="auto"/>
        <w:rPr>
          <w:rFonts w:eastAsia="標楷體"/>
          <w:b/>
          <w:sz w:val="28"/>
          <w:szCs w:val="28"/>
        </w:rPr>
      </w:pPr>
      <w:r w:rsidRPr="007F6F77">
        <w:rPr>
          <w:rFonts w:eastAsia="標楷體" w:hint="eastAsia"/>
          <w:b/>
          <w:snapToGrid w:val="0"/>
          <w:sz w:val="28"/>
          <w:szCs w:val="28"/>
        </w:rPr>
        <w:t xml:space="preserve">III. The Press Release </w:t>
      </w:r>
    </w:p>
    <w:p w:rsidR="00C350B0" w:rsidRDefault="006A083A" w:rsidP="002C1E6E">
      <w:pPr>
        <w:spacing w:before="120" w:line="440" w:lineRule="exact"/>
        <w:ind w:firstLineChars="200" w:firstLine="480"/>
        <w:jc w:val="both"/>
        <w:rPr>
          <w:rFonts w:eastAsia="標楷體"/>
          <w:sz w:val="24"/>
          <w:szCs w:val="28"/>
        </w:rPr>
      </w:pPr>
      <w:r w:rsidRPr="007F6F77">
        <w:rPr>
          <w:rFonts w:eastAsia="標楷體" w:hint="eastAsia"/>
          <w:sz w:val="24"/>
          <w:szCs w:val="28"/>
        </w:rPr>
        <w:t xml:space="preserve">The </w:t>
      </w:r>
      <w:r w:rsidR="00CE3BC5" w:rsidRPr="007F6F77">
        <w:rPr>
          <w:rFonts w:eastAsia="標楷體" w:hint="eastAsia"/>
          <w:sz w:val="24"/>
          <w:szCs w:val="28"/>
        </w:rPr>
        <w:t>b</w:t>
      </w:r>
      <w:r w:rsidRPr="007F6F77">
        <w:rPr>
          <w:rFonts w:eastAsia="標楷體" w:hint="eastAsia"/>
          <w:sz w:val="24"/>
          <w:szCs w:val="28"/>
        </w:rPr>
        <w:t xml:space="preserve">oard </w:t>
      </w:r>
      <w:r w:rsidR="00CE3BC5" w:rsidRPr="007F6F77">
        <w:rPr>
          <w:rFonts w:eastAsia="標楷體" w:hint="eastAsia"/>
          <w:sz w:val="24"/>
          <w:szCs w:val="28"/>
        </w:rPr>
        <w:t>d</w:t>
      </w:r>
      <w:r w:rsidRPr="007F6F77">
        <w:rPr>
          <w:rFonts w:eastAsia="標楷體" w:hint="eastAsia"/>
          <w:sz w:val="24"/>
          <w:szCs w:val="28"/>
        </w:rPr>
        <w:t xml:space="preserve">irectors and </w:t>
      </w:r>
      <w:r w:rsidR="00CE3BC5" w:rsidRPr="007F6F77">
        <w:rPr>
          <w:rFonts w:eastAsia="標楷體" w:hint="eastAsia"/>
          <w:sz w:val="24"/>
          <w:szCs w:val="28"/>
        </w:rPr>
        <w:t>s</w:t>
      </w:r>
      <w:r w:rsidRPr="007F6F77">
        <w:rPr>
          <w:rFonts w:eastAsia="標楷體" w:hint="eastAsia"/>
          <w:sz w:val="24"/>
          <w:szCs w:val="28"/>
        </w:rPr>
        <w:t xml:space="preserve">upervisors approved unanimously to issue the following press release in the post-meeting press conference, together with the </w:t>
      </w:r>
      <w:r w:rsidRPr="007F6F77">
        <w:rPr>
          <w:rFonts w:eastAsia="標楷體"/>
          <w:sz w:val="24"/>
          <w:szCs w:val="28"/>
        </w:rPr>
        <w:t xml:space="preserve">Supplementary Materials for the </w:t>
      </w:r>
      <w:r w:rsidRPr="007F6F77">
        <w:rPr>
          <w:rFonts w:eastAsia="標楷體" w:hint="eastAsia"/>
          <w:sz w:val="24"/>
          <w:szCs w:val="28"/>
        </w:rPr>
        <w:t>Post-Monetary Policy M</w:t>
      </w:r>
      <w:r w:rsidRPr="007F6F77">
        <w:rPr>
          <w:rFonts w:eastAsia="標楷體"/>
          <w:sz w:val="24"/>
          <w:szCs w:val="28"/>
        </w:rPr>
        <w:t>e</w:t>
      </w:r>
      <w:r w:rsidRPr="007F6F77">
        <w:rPr>
          <w:rFonts w:eastAsia="標楷體" w:hint="eastAsia"/>
          <w:sz w:val="24"/>
          <w:szCs w:val="28"/>
        </w:rPr>
        <w:t>eting Press Conference prepared by the</w:t>
      </w:r>
      <w:r w:rsidR="003B4EC4">
        <w:rPr>
          <w:rFonts w:eastAsia="標楷體" w:hint="eastAsia"/>
          <w:sz w:val="24"/>
          <w:szCs w:val="28"/>
        </w:rPr>
        <w:t xml:space="preserve"> </w:t>
      </w:r>
      <w:r w:rsidR="00491E9D">
        <w:rPr>
          <w:rFonts w:eastAsia="標楷體" w:hint="eastAsia"/>
          <w:sz w:val="24"/>
          <w:szCs w:val="28"/>
        </w:rPr>
        <w:t>Bank</w:t>
      </w:r>
      <w:r w:rsidRPr="007F6F77">
        <w:rPr>
          <w:rFonts w:eastAsia="標楷體" w:hint="eastAsia"/>
          <w:sz w:val="24"/>
          <w:szCs w:val="28"/>
        </w:rPr>
        <w:t xml:space="preserve">. </w:t>
      </w:r>
    </w:p>
    <w:p w:rsidR="00C350B0" w:rsidRDefault="00C350B0" w:rsidP="002C1E6E">
      <w:pPr>
        <w:spacing w:before="120" w:line="440" w:lineRule="exact"/>
        <w:ind w:firstLineChars="200" w:firstLine="480"/>
        <w:jc w:val="both"/>
        <w:rPr>
          <w:rFonts w:eastAsia="標楷體"/>
          <w:sz w:val="24"/>
          <w:szCs w:val="28"/>
        </w:rPr>
      </w:pPr>
    </w:p>
    <w:p w:rsidR="00C350B0" w:rsidRDefault="00C350B0">
      <w:pPr>
        <w:widowControl/>
        <w:adjustRightInd/>
        <w:spacing w:line="240" w:lineRule="auto"/>
        <w:textAlignment w:val="auto"/>
        <w:rPr>
          <w:rFonts w:eastAsia="標楷體"/>
          <w:sz w:val="24"/>
          <w:szCs w:val="28"/>
        </w:rPr>
      </w:pPr>
      <w:r>
        <w:rPr>
          <w:rFonts w:eastAsia="標楷體"/>
          <w:sz w:val="24"/>
          <w:szCs w:val="28"/>
        </w:rPr>
        <w:br w:type="page"/>
      </w:r>
    </w:p>
    <w:p w:rsidR="00892103" w:rsidRPr="00892103" w:rsidRDefault="00892103" w:rsidP="00892103">
      <w:pPr>
        <w:spacing w:before="120" w:line="440" w:lineRule="exact"/>
        <w:ind w:firstLineChars="200" w:firstLine="640"/>
        <w:jc w:val="center"/>
        <w:rPr>
          <w:sz w:val="32"/>
        </w:rPr>
      </w:pPr>
      <w:r w:rsidRPr="00892103">
        <w:rPr>
          <w:sz w:val="32"/>
        </w:rPr>
        <w:lastRenderedPageBreak/>
        <w:t>Central Bank of the Republic of China (Taiwan)</w:t>
      </w:r>
    </w:p>
    <w:p w:rsidR="00892103" w:rsidRPr="00F5541A" w:rsidRDefault="00892103" w:rsidP="00DE7CE6">
      <w:pPr>
        <w:pBdr>
          <w:top w:val="double" w:sz="4" w:space="1" w:color="auto"/>
          <w:bottom w:val="double" w:sz="4" w:space="1" w:color="auto"/>
        </w:pBdr>
        <w:spacing w:afterLines="50" w:after="120" w:line="320" w:lineRule="exact"/>
        <w:jc w:val="both"/>
        <w:rPr>
          <w:sz w:val="28"/>
        </w:rPr>
      </w:pPr>
      <w:r>
        <w:rPr>
          <w:b/>
          <w:sz w:val="32"/>
        </w:rPr>
        <w:t>PRESS RELEASE</w:t>
      </w:r>
      <w:r>
        <w:rPr>
          <w:b/>
        </w:rPr>
        <w:t xml:space="preserve">                  </w:t>
      </w:r>
      <w:proofErr w:type="spellStart"/>
      <w:r>
        <w:rPr>
          <w:sz w:val="28"/>
        </w:rPr>
        <w:t>Release</w:t>
      </w:r>
      <w:proofErr w:type="spellEnd"/>
      <w:r>
        <w:rPr>
          <w:sz w:val="28"/>
        </w:rPr>
        <w:t xml:space="preserve"> Date:</w:t>
      </w:r>
      <w:r>
        <w:rPr>
          <w:rFonts w:hint="eastAsia"/>
          <w:sz w:val="28"/>
        </w:rPr>
        <w:t xml:space="preserve"> June</w:t>
      </w:r>
      <w:r>
        <w:rPr>
          <w:sz w:val="28"/>
        </w:rPr>
        <w:t xml:space="preserve"> </w:t>
      </w:r>
      <w:r>
        <w:rPr>
          <w:rFonts w:hint="eastAsia"/>
          <w:sz w:val="28"/>
        </w:rPr>
        <w:t>20</w:t>
      </w:r>
      <w:r>
        <w:rPr>
          <w:sz w:val="28"/>
        </w:rPr>
        <w:t>, 201</w:t>
      </w:r>
      <w:r>
        <w:rPr>
          <w:rFonts w:hint="eastAsia"/>
          <w:sz w:val="28"/>
        </w:rPr>
        <w:t>9</w:t>
      </w:r>
    </w:p>
    <w:p w:rsidR="00892103" w:rsidRDefault="00892103" w:rsidP="00DE7CE6">
      <w:pPr>
        <w:pBdr>
          <w:top w:val="double" w:sz="4" w:space="1" w:color="auto"/>
          <w:bottom w:val="double" w:sz="4" w:space="1" w:color="auto"/>
        </w:pBdr>
        <w:spacing w:afterLines="50" w:after="120" w:line="320" w:lineRule="exact"/>
        <w:rPr>
          <w:rFonts w:eastAsia="標楷體"/>
          <w:sz w:val="28"/>
        </w:rPr>
      </w:pPr>
      <w:r>
        <w:rPr>
          <w:rFonts w:eastAsia="標楷體"/>
          <w:sz w:val="28"/>
        </w:rPr>
        <w:t>&lt;Website</w:t>
      </w:r>
      <w:r>
        <w:rPr>
          <w:rFonts w:eastAsia="標楷體" w:hint="eastAsia"/>
          <w:sz w:val="28"/>
        </w:rPr>
        <w:t>：</w:t>
      </w:r>
      <w:r>
        <w:rPr>
          <w:rFonts w:eastAsia="標楷體"/>
          <w:sz w:val="28"/>
        </w:rPr>
        <w:t>http://www.cbc.gov.tw&gt;</w:t>
      </w:r>
    </w:p>
    <w:p w:rsidR="00892103" w:rsidRDefault="00892103" w:rsidP="00DE7CE6">
      <w:pPr>
        <w:pStyle w:val="11"/>
        <w:tabs>
          <w:tab w:val="left" w:pos="0"/>
        </w:tabs>
        <w:spacing w:before="0" w:afterLines="50" w:after="120" w:line="320" w:lineRule="exact"/>
        <w:ind w:right="-28"/>
        <w:jc w:val="center"/>
        <w:rPr>
          <w:rFonts w:ascii="Times New Roman"/>
          <w:sz w:val="28"/>
          <w:szCs w:val="28"/>
        </w:rPr>
      </w:pPr>
      <w:r>
        <w:rPr>
          <w:rFonts w:ascii="Times New Roman"/>
          <w:sz w:val="28"/>
          <w:szCs w:val="28"/>
        </w:rPr>
        <w:t>Monetary Policy Decision of the Board Meeting</w:t>
      </w:r>
    </w:p>
    <w:p w:rsidR="00892103" w:rsidRPr="00892103" w:rsidRDefault="00892103" w:rsidP="00892103">
      <w:pPr>
        <w:pStyle w:val="af4"/>
        <w:numPr>
          <w:ilvl w:val="0"/>
          <w:numId w:val="28"/>
        </w:numPr>
        <w:tabs>
          <w:tab w:val="clear" w:pos="480"/>
          <w:tab w:val="num" w:pos="426"/>
        </w:tabs>
        <w:adjustRightInd/>
        <w:spacing w:before="0" w:afterLines="50" w:after="120" w:line="440" w:lineRule="exact"/>
        <w:jc w:val="both"/>
        <w:textAlignment w:val="auto"/>
        <w:rPr>
          <w:sz w:val="24"/>
          <w:szCs w:val="24"/>
        </w:rPr>
      </w:pPr>
      <w:r w:rsidRPr="00892103">
        <w:rPr>
          <w:sz w:val="24"/>
          <w:szCs w:val="24"/>
        </w:rPr>
        <w:t>Global economic and financial conditions</w:t>
      </w:r>
    </w:p>
    <w:p w:rsidR="00892103" w:rsidRPr="00892103" w:rsidRDefault="00892103" w:rsidP="00892103">
      <w:pPr>
        <w:pStyle w:val="afff6"/>
        <w:spacing w:afterLines="50" w:after="120" w:line="440" w:lineRule="exact"/>
        <w:ind w:leftChars="0" w:left="357"/>
        <w:rPr>
          <w:rFonts w:ascii="Times New Roman"/>
          <w:sz w:val="24"/>
          <w:szCs w:val="24"/>
        </w:rPr>
      </w:pPr>
      <w:r w:rsidRPr="00892103">
        <w:rPr>
          <w:rFonts w:ascii="Times New Roman"/>
          <w:sz w:val="24"/>
          <w:szCs w:val="24"/>
        </w:rPr>
        <w:t>Since the Board met in late March this year, the global economy has moderated further and trade growth has weakened. Meanwhile, escalating US-China trade conflicts and stalled Brexit progress have roiled international financial markets and increased downside risks to the world economy. International institutions have thus widely trimmed down growth projections for the world economy and trade volume this year, and major economies have broadly adopted a more accommodative monetary policy stance.</w:t>
      </w:r>
    </w:p>
    <w:p w:rsidR="00892103" w:rsidRPr="00892103" w:rsidRDefault="00892103" w:rsidP="00892103">
      <w:pPr>
        <w:pStyle w:val="afff6"/>
        <w:spacing w:afterLines="50" w:after="120" w:line="440" w:lineRule="exact"/>
        <w:ind w:leftChars="0" w:left="357"/>
        <w:rPr>
          <w:rFonts w:ascii="Times New Roman"/>
          <w:sz w:val="24"/>
          <w:szCs w:val="24"/>
        </w:rPr>
      </w:pPr>
      <w:r w:rsidRPr="00892103">
        <w:rPr>
          <w:rFonts w:ascii="Times New Roman"/>
          <w:sz w:val="24"/>
          <w:szCs w:val="24"/>
        </w:rPr>
        <w:t>Looking ahead, global economic expansion may be further dampened by a multitude of uncertainties such as the developments of the US-China trade friction and the trade disputes among the US and other economies, heightened financial fragility of debt-ridden economies, the Brexit impasse, geopolitical tensions, and the volatile international oil prices.</w:t>
      </w:r>
    </w:p>
    <w:p w:rsidR="00892103" w:rsidRPr="00892103" w:rsidRDefault="00892103" w:rsidP="00892103">
      <w:pPr>
        <w:pStyle w:val="af4"/>
        <w:numPr>
          <w:ilvl w:val="0"/>
          <w:numId w:val="28"/>
        </w:numPr>
        <w:tabs>
          <w:tab w:val="clear" w:pos="480"/>
          <w:tab w:val="num" w:pos="426"/>
        </w:tabs>
        <w:adjustRightInd/>
        <w:spacing w:before="0" w:afterLines="50" w:after="120" w:line="440" w:lineRule="exact"/>
        <w:jc w:val="both"/>
        <w:textAlignment w:val="auto"/>
        <w:rPr>
          <w:sz w:val="24"/>
          <w:szCs w:val="24"/>
        </w:rPr>
      </w:pPr>
      <w:r w:rsidRPr="00892103">
        <w:rPr>
          <w:sz w:val="24"/>
          <w:szCs w:val="24"/>
        </w:rPr>
        <w:t>Domestic economic and financial conditions</w:t>
      </w:r>
    </w:p>
    <w:p w:rsidR="00892103" w:rsidRPr="00892103" w:rsidRDefault="00892103" w:rsidP="00892103">
      <w:pPr>
        <w:pStyle w:val="afff6"/>
        <w:numPr>
          <w:ilvl w:val="0"/>
          <w:numId w:val="29"/>
        </w:numPr>
        <w:adjustRightInd/>
        <w:spacing w:afterLines="50" w:after="120" w:line="440" w:lineRule="exact"/>
        <w:ind w:leftChars="0" w:left="357"/>
        <w:textAlignment w:val="auto"/>
        <w:rPr>
          <w:rFonts w:ascii="Times New Roman"/>
          <w:sz w:val="24"/>
          <w:szCs w:val="24"/>
        </w:rPr>
      </w:pPr>
      <w:r w:rsidRPr="00892103">
        <w:rPr>
          <w:rFonts w:ascii="Times New Roman"/>
          <w:sz w:val="24"/>
          <w:szCs w:val="24"/>
        </w:rPr>
        <w:t>Since the beginning of this year, rising global economic and trade uncertainties have caused the global economy to decelerate, weighing on Taiwan's exports. In addition, the domestic stock market has moved with international stock markets and experienced greater fluctuations, denting consumer confidence and leading to a slowdown in the domestic economy. For the first four months of this year, the average unemployment rate was slightly higher than the same period of the previous year, and wage growth also expanded at a slower pace. However, the number of employed persons steadily increased, indicating that labor market conditions remained stable.</w:t>
      </w:r>
    </w:p>
    <w:p w:rsidR="00892103" w:rsidRPr="00892103" w:rsidRDefault="00892103" w:rsidP="00892103">
      <w:pPr>
        <w:pStyle w:val="afff6"/>
        <w:spacing w:afterLines="50" w:after="120" w:line="440" w:lineRule="exact"/>
        <w:ind w:leftChars="0" w:left="357"/>
        <w:rPr>
          <w:rFonts w:ascii="Times New Roman"/>
          <w:sz w:val="24"/>
          <w:szCs w:val="24"/>
        </w:rPr>
      </w:pPr>
      <w:r w:rsidRPr="00892103">
        <w:rPr>
          <w:rFonts w:ascii="Times New Roman"/>
          <w:sz w:val="24"/>
          <w:szCs w:val="24"/>
        </w:rPr>
        <w:t xml:space="preserve">As for the second half of the year, global demand is expected to stay sluggish, yet the benefits from diverted orders owing to the US-China trade conflicts, as well as a lower base effect, are likely to slightly push up export growth. Moreover, </w:t>
      </w:r>
      <w:r w:rsidRPr="00892103">
        <w:rPr>
          <w:rFonts w:ascii="Times New Roman"/>
          <w:sz w:val="24"/>
          <w:szCs w:val="24"/>
        </w:rPr>
        <w:lastRenderedPageBreak/>
        <w:t>the government's policies aimed at stimulating domestic demand should help spur private consumption and investment. As a result, the Bank forecasts Taiwan's economy to advance by 2.36% for the second half of the year (with 1.73% for the first half of the year), and 2.06% for the entire year. Nevertheless, future development of US-China trade negotiations will be a crucial factor for domestic economic growth.</w:t>
      </w:r>
    </w:p>
    <w:p w:rsidR="00892103" w:rsidRPr="00892103" w:rsidRDefault="00892103" w:rsidP="00892103">
      <w:pPr>
        <w:pStyle w:val="afff6"/>
        <w:numPr>
          <w:ilvl w:val="0"/>
          <w:numId w:val="29"/>
        </w:numPr>
        <w:adjustRightInd/>
        <w:spacing w:afterLines="50" w:after="120" w:line="440" w:lineRule="exact"/>
        <w:ind w:leftChars="0" w:left="357"/>
        <w:textAlignment w:val="auto"/>
        <w:rPr>
          <w:rFonts w:ascii="Times New Roman"/>
          <w:sz w:val="24"/>
          <w:szCs w:val="24"/>
        </w:rPr>
      </w:pPr>
      <w:r w:rsidRPr="00892103">
        <w:rPr>
          <w:rFonts w:ascii="Times New Roman"/>
          <w:sz w:val="24"/>
          <w:szCs w:val="24"/>
        </w:rPr>
        <w:t xml:space="preserve">For the first five months of this year, both the consumer price index (CPI) and the core CPI (excluding fruit, vegetables, and energy items) rose at a moderate pace, posting average annual growth rates of 0.51% and 0.49%, respectively. </w:t>
      </w:r>
    </w:p>
    <w:p w:rsidR="00892103" w:rsidRPr="00892103" w:rsidRDefault="00892103" w:rsidP="00892103">
      <w:pPr>
        <w:pStyle w:val="afff6"/>
        <w:spacing w:afterLines="50" w:after="120" w:line="440" w:lineRule="exact"/>
        <w:ind w:leftChars="0" w:left="357"/>
        <w:rPr>
          <w:rFonts w:ascii="Times New Roman"/>
          <w:sz w:val="24"/>
          <w:szCs w:val="24"/>
        </w:rPr>
      </w:pPr>
      <w:r w:rsidRPr="00892103">
        <w:rPr>
          <w:rFonts w:ascii="Times New Roman"/>
          <w:sz w:val="24"/>
          <w:szCs w:val="24"/>
        </w:rPr>
        <w:t>With the active typhoon season approaching, food prices could be disrupted by unfavorable weather conditions. In this view, CPI inflation is expected to increase faster in the second half of the year than in the first half. On the other hand, international oil prices are likely to trend lower than last year amid a softening global economic outlook, while domestic demand remains mild. A balance of these factors points to a stable inflation outlook for the year as a whole. The Bank forecasts the CPI and core CPI annual growth rates to be 0.87% and 0.76% for the year of 2019, respectively (Appendix Table 1).</w:t>
      </w:r>
    </w:p>
    <w:p w:rsidR="00892103" w:rsidRPr="00892103" w:rsidRDefault="00892103" w:rsidP="00892103">
      <w:pPr>
        <w:pStyle w:val="afff6"/>
        <w:numPr>
          <w:ilvl w:val="0"/>
          <w:numId w:val="29"/>
        </w:numPr>
        <w:adjustRightInd/>
        <w:spacing w:afterLines="50" w:after="120" w:line="440" w:lineRule="exact"/>
        <w:ind w:leftChars="0" w:left="357"/>
        <w:textAlignment w:val="auto"/>
        <w:rPr>
          <w:rFonts w:ascii="Times New Roman"/>
          <w:sz w:val="24"/>
          <w:szCs w:val="24"/>
        </w:rPr>
      </w:pPr>
      <w:r w:rsidRPr="00892103">
        <w:rPr>
          <w:rFonts w:ascii="Times New Roman"/>
          <w:sz w:val="24"/>
          <w:szCs w:val="24"/>
        </w:rPr>
        <w:t xml:space="preserve">For the first five months of the year, the average annual growth rates of reserve money and the monetary aggregate M2 were 6.40% and 3.25%, respectively, while bank loans and investments grew by 5.14% year on year during the same period. </w:t>
      </w:r>
    </w:p>
    <w:p w:rsidR="00892103" w:rsidRPr="00892103" w:rsidRDefault="00892103" w:rsidP="00892103">
      <w:pPr>
        <w:pStyle w:val="afff6"/>
        <w:spacing w:afterLines="50" w:after="120" w:line="440" w:lineRule="exact"/>
        <w:ind w:leftChars="0" w:left="357"/>
        <w:rPr>
          <w:rFonts w:ascii="Times New Roman"/>
          <w:sz w:val="24"/>
          <w:szCs w:val="24"/>
        </w:rPr>
      </w:pPr>
      <w:r w:rsidRPr="00892103">
        <w:rPr>
          <w:rFonts w:ascii="Times New Roman"/>
          <w:sz w:val="24"/>
          <w:szCs w:val="24"/>
        </w:rPr>
        <w:t xml:space="preserve">In recent months, net foreign capital outflow and the inflow of tax revenue towards the national coffers have led to slightly tighter funding conditions, and short-term market rates have </w:t>
      </w:r>
      <w:proofErr w:type="gramStart"/>
      <w:r w:rsidRPr="00892103">
        <w:rPr>
          <w:rFonts w:ascii="Times New Roman"/>
          <w:sz w:val="24"/>
          <w:szCs w:val="24"/>
        </w:rPr>
        <w:t>risen</w:t>
      </w:r>
      <w:proofErr w:type="gramEnd"/>
      <w:r w:rsidRPr="00892103">
        <w:rPr>
          <w:rFonts w:ascii="Times New Roman"/>
          <w:sz w:val="24"/>
          <w:szCs w:val="24"/>
        </w:rPr>
        <w:t xml:space="preserve"> modestly. The Bank has managed market liquidity with flexibility, and excess reserves of financial institutions have been maintained at a level of over NT$40 billion. In the meantime, domestic 10-year government bond yields have dropped in line with declining US bond yields, while the NT dollar has weakened against the US dollar (USD) amid international USD strength. Overall, domestic financial conditions remain accommodative. </w:t>
      </w:r>
    </w:p>
    <w:p w:rsidR="00892103" w:rsidRPr="00892103" w:rsidRDefault="00892103" w:rsidP="00892103">
      <w:pPr>
        <w:pStyle w:val="af4"/>
        <w:numPr>
          <w:ilvl w:val="0"/>
          <w:numId w:val="28"/>
        </w:numPr>
        <w:tabs>
          <w:tab w:val="clear" w:pos="480"/>
          <w:tab w:val="num" w:pos="426"/>
        </w:tabs>
        <w:adjustRightInd/>
        <w:spacing w:before="0" w:afterLines="50" w:after="120" w:line="440" w:lineRule="exact"/>
        <w:jc w:val="both"/>
        <w:textAlignment w:val="auto"/>
        <w:rPr>
          <w:sz w:val="24"/>
          <w:szCs w:val="24"/>
        </w:rPr>
      </w:pPr>
      <w:r w:rsidRPr="00892103">
        <w:rPr>
          <w:sz w:val="24"/>
          <w:szCs w:val="24"/>
        </w:rPr>
        <w:t xml:space="preserve">Monetary policy decisions </w:t>
      </w:r>
    </w:p>
    <w:p w:rsidR="00892103" w:rsidRPr="00892103" w:rsidRDefault="00892103" w:rsidP="00892103">
      <w:pPr>
        <w:pStyle w:val="afff6"/>
        <w:spacing w:afterLines="50" w:after="120" w:line="440" w:lineRule="exact"/>
        <w:ind w:leftChars="0" w:left="357"/>
        <w:rPr>
          <w:rFonts w:ascii="Times New Roman"/>
          <w:sz w:val="24"/>
          <w:szCs w:val="24"/>
        </w:rPr>
      </w:pPr>
      <w:r w:rsidRPr="00892103">
        <w:rPr>
          <w:rFonts w:ascii="Times New Roman"/>
          <w:sz w:val="24"/>
          <w:szCs w:val="24"/>
        </w:rPr>
        <w:t xml:space="preserve">Based on the latest information about economic and financial conditions at </w:t>
      </w:r>
      <w:r w:rsidRPr="00892103">
        <w:rPr>
          <w:rFonts w:ascii="Times New Roman"/>
          <w:sz w:val="24"/>
          <w:szCs w:val="24"/>
        </w:rPr>
        <w:lastRenderedPageBreak/>
        <w:t>home and abroad, the Board considers that domestic inflation is moderate, the negative output gap has widened marginally, and the inflation outlook stays stable. Although risks to the global economic prospects tilt increasingly towards the downside, steady domestic demand and a lower base effect would likely shore up the economic growth in the second half of 2019 to a pace faster than the first half year. Overall, the domestic economic expansion is expected to advance with mild growth momentum. Furthermore, Taiwan's real interest rates continue to register around the middle range among a host of economies (Appendix Table 2). Therefore, the Board judges that a policy rate hold and a continued accommodative monetary policy stance will help ensure price stability and foster sound development of the economy and the financial sector.</w:t>
      </w:r>
    </w:p>
    <w:p w:rsidR="00892103" w:rsidRPr="00892103" w:rsidRDefault="00892103" w:rsidP="00892103">
      <w:pPr>
        <w:pStyle w:val="afff6"/>
        <w:spacing w:after="50" w:line="440" w:lineRule="exact"/>
        <w:ind w:leftChars="0" w:left="357"/>
        <w:rPr>
          <w:rFonts w:ascii="Times New Roman"/>
          <w:sz w:val="24"/>
          <w:szCs w:val="24"/>
        </w:rPr>
      </w:pPr>
      <w:r w:rsidRPr="00892103">
        <w:rPr>
          <w:rFonts w:ascii="Times New Roman"/>
          <w:sz w:val="24"/>
          <w:szCs w:val="24"/>
        </w:rPr>
        <w:t>The Board reached the following decision unanimously at the Meeting today:</w:t>
      </w:r>
    </w:p>
    <w:p w:rsidR="00892103" w:rsidRPr="00892103" w:rsidRDefault="00892103" w:rsidP="00892103">
      <w:pPr>
        <w:pStyle w:val="afff6"/>
        <w:spacing w:afterLines="50" w:after="120" w:line="440" w:lineRule="exact"/>
        <w:ind w:leftChars="638" w:left="1276" w:firstLine="0"/>
        <w:rPr>
          <w:rFonts w:ascii="Times New Roman"/>
          <w:sz w:val="24"/>
          <w:szCs w:val="24"/>
        </w:rPr>
      </w:pPr>
      <w:r w:rsidRPr="00892103">
        <w:rPr>
          <w:rFonts w:ascii="Times New Roman"/>
          <w:sz w:val="24"/>
          <w:szCs w:val="24"/>
        </w:rPr>
        <w:t>The discount rate, the rate on accommodations with collateral, and the rate on accommodations without collateral are kept unchanged at 1.375%, 1.75%, and 3.625%, respectively.</w:t>
      </w:r>
    </w:p>
    <w:p w:rsidR="00892103" w:rsidRPr="00892103" w:rsidRDefault="00892103" w:rsidP="00A565EA">
      <w:pPr>
        <w:pStyle w:val="af4"/>
        <w:widowControl/>
        <w:spacing w:before="0" w:afterLines="50" w:after="120" w:line="440" w:lineRule="exact"/>
        <w:ind w:left="480"/>
        <w:jc w:val="both"/>
        <w:rPr>
          <w:sz w:val="24"/>
          <w:szCs w:val="24"/>
        </w:rPr>
      </w:pPr>
      <w:r w:rsidRPr="00892103">
        <w:rPr>
          <w:sz w:val="24"/>
          <w:szCs w:val="24"/>
        </w:rPr>
        <w:t>In light of multiple uncertainties overseas, the Bank will closely monitor the developments regarding monetary policy of major economies, US-China trade talks, geopolitical risks, and global financial markets, as well as their implications for Taiwan's economy and financial conditions. We will act timely as appropriate to fulfill the central bank's statutory mandate.</w:t>
      </w:r>
    </w:p>
    <w:p w:rsidR="00892103" w:rsidRPr="00892103" w:rsidRDefault="00892103" w:rsidP="00892103">
      <w:pPr>
        <w:pStyle w:val="af4"/>
        <w:widowControl/>
        <w:numPr>
          <w:ilvl w:val="0"/>
          <w:numId w:val="28"/>
        </w:numPr>
        <w:adjustRightInd/>
        <w:spacing w:before="0" w:afterLines="50" w:after="120" w:line="440" w:lineRule="exact"/>
        <w:jc w:val="both"/>
        <w:textAlignment w:val="auto"/>
        <w:rPr>
          <w:sz w:val="24"/>
          <w:szCs w:val="24"/>
        </w:rPr>
      </w:pPr>
      <w:r w:rsidRPr="00892103">
        <w:rPr>
          <w:sz w:val="24"/>
          <w:szCs w:val="24"/>
        </w:rPr>
        <w:t xml:space="preserve">The recent surge in cross-border capital movements has amplified financial market volatility for many economies including Taiwan. However, compared with other major currencies, the NT dollar has experienced lower volatility in its exchange rate vis-à-vis the US dollar. </w:t>
      </w:r>
    </w:p>
    <w:p w:rsidR="00892103" w:rsidRPr="00892103" w:rsidRDefault="00892103" w:rsidP="00A565EA">
      <w:pPr>
        <w:pStyle w:val="af4"/>
        <w:widowControl/>
        <w:spacing w:before="0" w:afterLines="50" w:after="120" w:line="440" w:lineRule="exact"/>
        <w:ind w:left="480"/>
        <w:jc w:val="both"/>
        <w:rPr>
          <w:sz w:val="24"/>
          <w:szCs w:val="24"/>
        </w:rPr>
      </w:pPr>
      <w:r w:rsidRPr="00892103">
        <w:rPr>
          <w:sz w:val="24"/>
          <w:szCs w:val="24"/>
        </w:rPr>
        <w:t>In principle, the NT dollar exchange rate is determined by market forces. Nonetheless, if irregular factors (such as massive inflows or outflows of short-term capital) as well as seasonal ones lead to excess volatility and disorderly movements in the NT dollar exchange rate with adverse implications for economic and financial stability, the Bank will, in accordance with its mandate, step in to maintain an orderly foreign exchange market.</w:t>
      </w:r>
    </w:p>
    <w:p w:rsidR="00892103" w:rsidRPr="00892103" w:rsidRDefault="00892103">
      <w:pPr>
        <w:widowControl/>
        <w:adjustRightInd/>
        <w:spacing w:line="240" w:lineRule="auto"/>
        <w:textAlignment w:val="auto"/>
        <w:rPr>
          <w:rFonts w:eastAsia="標楷體"/>
          <w:sz w:val="32"/>
          <w:szCs w:val="28"/>
        </w:rPr>
      </w:pPr>
      <w:r w:rsidRPr="00892103">
        <w:rPr>
          <w:szCs w:val="28"/>
        </w:rPr>
        <w:br w:type="page"/>
      </w:r>
    </w:p>
    <w:p w:rsidR="00892103" w:rsidRPr="00E11768" w:rsidRDefault="00892103" w:rsidP="00892103">
      <w:pPr>
        <w:spacing w:line="480" w:lineRule="exact"/>
        <w:jc w:val="center"/>
        <w:rPr>
          <w:rFonts w:eastAsia="標楷體"/>
          <w:b/>
          <w:sz w:val="32"/>
          <w:szCs w:val="28"/>
        </w:rPr>
      </w:pPr>
      <w:r w:rsidRPr="00E11768">
        <w:rPr>
          <w:rFonts w:eastAsia="標楷體" w:hint="eastAsia"/>
          <w:b/>
          <w:sz w:val="32"/>
          <w:szCs w:val="28"/>
        </w:rPr>
        <w:lastRenderedPageBreak/>
        <w:t>Appendix</w:t>
      </w:r>
    </w:p>
    <w:tbl>
      <w:tblPr>
        <w:tblpPr w:leftFromText="180" w:rightFromText="180" w:vertAnchor="text" w:horzAnchor="page" w:tblpX="1594" w:tblpY="1025"/>
        <w:tblW w:w="9668" w:type="dxa"/>
        <w:tblLayout w:type="fixed"/>
        <w:tblCellMar>
          <w:left w:w="28" w:type="dxa"/>
          <w:right w:w="28" w:type="dxa"/>
        </w:tblCellMar>
        <w:tblLook w:val="04A0" w:firstRow="1" w:lastRow="0" w:firstColumn="1" w:lastColumn="0" w:noHBand="0" w:noVBand="1"/>
      </w:tblPr>
      <w:tblGrid>
        <w:gridCol w:w="1304"/>
        <w:gridCol w:w="2977"/>
        <w:gridCol w:w="1701"/>
        <w:gridCol w:w="1843"/>
        <w:gridCol w:w="1843"/>
      </w:tblGrid>
      <w:tr w:rsidR="00892103" w:rsidRPr="00DA36B6" w:rsidTr="002D26DB">
        <w:trPr>
          <w:trHeight w:val="444"/>
        </w:trPr>
        <w:tc>
          <w:tcPr>
            <w:tcW w:w="7825" w:type="dxa"/>
            <w:gridSpan w:val="4"/>
            <w:shd w:val="clear" w:color="000000" w:fill="FFFFFF"/>
            <w:noWrap/>
            <w:vAlign w:val="center"/>
          </w:tcPr>
          <w:p w:rsidR="00892103" w:rsidRPr="00DA36B6" w:rsidRDefault="00892103" w:rsidP="00DA36B6">
            <w:pPr>
              <w:spacing w:line="240" w:lineRule="exact"/>
              <w:jc w:val="right"/>
              <w:rPr>
                <w:sz w:val="18"/>
              </w:rPr>
            </w:pPr>
            <w:r w:rsidRPr="00DA36B6">
              <w:rPr>
                <w:rFonts w:eastAsia="標楷體"/>
                <w:sz w:val="16"/>
              </w:rPr>
              <w:t>Unit: %</w:t>
            </w:r>
          </w:p>
        </w:tc>
        <w:tc>
          <w:tcPr>
            <w:tcW w:w="1843" w:type="dxa"/>
            <w:shd w:val="clear" w:color="000000" w:fill="FFFFFF"/>
          </w:tcPr>
          <w:p w:rsidR="00892103" w:rsidRPr="00DA36B6" w:rsidRDefault="00892103" w:rsidP="00DA36B6">
            <w:pPr>
              <w:widowControl/>
              <w:snapToGrid w:val="0"/>
              <w:jc w:val="right"/>
              <w:rPr>
                <w:rFonts w:eastAsia="標楷體"/>
              </w:rPr>
            </w:pPr>
          </w:p>
        </w:tc>
      </w:tr>
      <w:tr w:rsidR="00892103" w:rsidRPr="00DA36B6" w:rsidTr="002D26DB">
        <w:trPr>
          <w:trHeight w:val="444"/>
        </w:trPr>
        <w:tc>
          <w:tcPr>
            <w:tcW w:w="4281" w:type="dxa"/>
            <w:gridSpan w:val="2"/>
            <w:vMerge w:val="restart"/>
            <w:tcBorders>
              <w:top w:val="single" w:sz="8" w:space="0" w:color="auto"/>
              <w:left w:val="single" w:sz="6" w:space="0" w:color="auto"/>
              <w:right w:val="single" w:sz="6" w:space="0" w:color="auto"/>
            </w:tcBorders>
            <w:shd w:val="clear" w:color="000000" w:fill="FFFFFF"/>
            <w:noWrap/>
            <w:vAlign w:val="center"/>
            <w:hideMark/>
          </w:tcPr>
          <w:p w:rsidR="00892103" w:rsidRPr="00DA36B6" w:rsidRDefault="00892103" w:rsidP="00DA36B6">
            <w:pPr>
              <w:widowControl/>
              <w:snapToGrid w:val="0"/>
              <w:jc w:val="center"/>
              <w:rPr>
                <w:rFonts w:eastAsia="標楷體"/>
                <w:sz w:val="22"/>
                <w:szCs w:val="22"/>
              </w:rPr>
            </w:pPr>
            <w:r w:rsidRPr="00DA36B6">
              <w:rPr>
                <w:rFonts w:eastAsia="標楷體"/>
                <w:sz w:val="22"/>
                <w:szCs w:val="22"/>
              </w:rPr>
              <w:t>Forecast institutions</w:t>
            </w:r>
          </w:p>
        </w:tc>
        <w:tc>
          <w:tcPr>
            <w:tcW w:w="1701" w:type="dxa"/>
            <w:tcBorders>
              <w:top w:val="single" w:sz="8" w:space="0" w:color="auto"/>
              <w:left w:val="single" w:sz="6" w:space="0" w:color="auto"/>
              <w:bottom w:val="single" w:sz="6" w:space="0" w:color="auto"/>
              <w:right w:val="single" w:sz="6" w:space="0" w:color="auto"/>
            </w:tcBorders>
            <w:shd w:val="clear" w:color="000000" w:fill="FFFFFF"/>
            <w:noWrap/>
            <w:vAlign w:val="center"/>
            <w:hideMark/>
          </w:tcPr>
          <w:p w:rsidR="00892103" w:rsidRPr="00DA36B6" w:rsidRDefault="00892103" w:rsidP="00DA36B6">
            <w:pPr>
              <w:widowControl/>
              <w:snapToGrid w:val="0"/>
              <w:jc w:val="center"/>
              <w:rPr>
                <w:rFonts w:eastAsia="標楷體"/>
                <w:b/>
                <w:bCs/>
                <w:sz w:val="22"/>
                <w:szCs w:val="22"/>
              </w:rPr>
            </w:pPr>
            <w:r w:rsidRPr="00DA36B6">
              <w:rPr>
                <w:rFonts w:eastAsia="標楷體"/>
                <w:b/>
                <w:bCs/>
                <w:sz w:val="22"/>
                <w:szCs w:val="22"/>
              </w:rPr>
              <w:t>Inflation</w:t>
            </w:r>
          </w:p>
        </w:tc>
        <w:tc>
          <w:tcPr>
            <w:tcW w:w="1843" w:type="dxa"/>
            <w:tcBorders>
              <w:top w:val="single" w:sz="8" w:space="0" w:color="auto"/>
              <w:left w:val="single" w:sz="6" w:space="0" w:color="auto"/>
              <w:bottom w:val="single" w:sz="6" w:space="0" w:color="auto"/>
              <w:right w:val="single" w:sz="6" w:space="0" w:color="auto"/>
            </w:tcBorders>
            <w:shd w:val="clear" w:color="000000" w:fill="FFFFFF"/>
            <w:vAlign w:val="center"/>
          </w:tcPr>
          <w:p w:rsidR="00892103" w:rsidRPr="00DA36B6" w:rsidRDefault="00892103" w:rsidP="00DA36B6">
            <w:pPr>
              <w:widowControl/>
              <w:snapToGrid w:val="0"/>
              <w:jc w:val="center"/>
              <w:rPr>
                <w:rFonts w:eastAsia="標楷體"/>
                <w:b/>
                <w:bCs/>
                <w:sz w:val="22"/>
                <w:szCs w:val="22"/>
              </w:rPr>
            </w:pPr>
            <w:r w:rsidRPr="00DA36B6">
              <w:rPr>
                <w:rFonts w:eastAsia="標楷體"/>
                <w:b/>
                <w:bCs/>
                <w:sz w:val="22"/>
                <w:szCs w:val="22"/>
              </w:rPr>
              <w:t>Inflation outlook</w:t>
            </w:r>
          </w:p>
        </w:tc>
        <w:tc>
          <w:tcPr>
            <w:tcW w:w="1843" w:type="dxa"/>
            <w:vMerge w:val="restart"/>
            <w:tcBorders>
              <w:left w:val="single" w:sz="6" w:space="0" w:color="auto"/>
            </w:tcBorders>
            <w:shd w:val="clear" w:color="000000" w:fill="FFFFFF"/>
          </w:tcPr>
          <w:p w:rsidR="00892103" w:rsidRPr="00DA36B6" w:rsidRDefault="00892103" w:rsidP="00DA36B6">
            <w:pPr>
              <w:widowControl/>
              <w:snapToGrid w:val="0"/>
              <w:jc w:val="center"/>
              <w:rPr>
                <w:rFonts w:eastAsia="標楷體"/>
                <w:b/>
                <w:bCs/>
                <w:sz w:val="22"/>
                <w:szCs w:val="22"/>
              </w:rPr>
            </w:pPr>
          </w:p>
          <w:p w:rsidR="00892103" w:rsidRPr="00DA36B6" w:rsidRDefault="00892103" w:rsidP="00DA36B6">
            <w:pPr>
              <w:widowControl/>
              <w:snapToGrid w:val="0"/>
              <w:jc w:val="center"/>
              <w:rPr>
                <w:rFonts w:eastAsia="標楷體"/>
                <w:b/>
                <w:bCs/>
                <w:sz w:val="22"/>
                <w:szCs w:val="22"/>
              </w:rPr>
            </w:pPr>
          </w:p>
          <w:p w:rsidR="00892103" w:rsidRPr="00DA36B6" w:rsidRDefault="00892103" w:rsidP="00DA36B6">
            <w:pPr>
              <w:widowControl/>
              <w:snapToGrid w:val="0"/>
              <w:jc w:val="center"/>
              <w:rPr>
                <w:rFonts w:eastAsia="標楷體"/>
                <w:b/>
                <w:bCs/>
                <w:sz w:val="22"/>
                <w:szCs w:val="22"/>
              </w:rPr>
            </w:pPr>
          </w:p>
          <w:p w:rsidR="00892103" w:rsidRPr="00DA36B6" w:rsidRDefault="00892103" w:rsidP="00DA36B6">
            <w:pPr>
              <w:widowControl/>
              <w:snapToGrid w:val="0"/>
              <w:jc w:val="center"/>
              <w:rPr>
                <w:rFonts w:eastAsia="標楷體"/>
                <w:b/>
                <w:bCs/>
                <w:sz w:val="22"/>
                <w:szCs w:val="22"/>
              </w:rPr>
            </w:pPr>
          </w:p>
          <w:p w:rsidR="00892103" w:rsidRPr="00DA36B6" w:rsidRDefault="00892103" w:rsidP="00DA36B6">
            <w:pPr>
              <w:widowControl/>
              <w:snapToGrid w:val="0"/>
              <w:jc w:val="center"/>
              <w:rPr>
                <w:rFonts w:eastAsia="標楷體"/>
                <w:b/>
                <w:bCs/>
                <w:sz w:val="22"/>
                <w:szCs w:val="22"/>
              </w:rPr>
            </w:pPr>
          </w:p>
          <w:p w:rsidR="00892103" w:rsidRPr="00D424B1" w:rsidRDefault="00892103" w:rsidP="00DA36B6">
            <w:pPr>
              <w:widowControl/>
              <w:snapToGrid w:val="0"/>
              <w:spacing w:line="440" w:lineRule="exact"/>
              <w:jc w:val="center"/>
              <w:rPr>
                <w:rFonts w:eastAsia="標楷體"/>
                <w:b/>
                <w:bCs/>
                <w:sz w:val="22"/>
                <w:szCs w:val="22"/>
                <w:u w:val="single"/>
              </w:rPr>
            </w:pPr>
            <w:r w:rsidRPr="00D424B1">
              <w:rPr>
                <w:rFonts w:eastAsia="標楷體"/>
                <w:b/>
                <w:bCs/>
                <w:sz w:val="22"/>
                <w:szCs w:val="22"/>
                <w:u w:val="single"/>
              </w:rPr>
              <w:t>Median:</w:t>
            </w:r>
            <w:r w:rsidRPr="00D424B1">
              <w:rPr>
                <w:rFonts w:eastAsia="標楷體"/>
                <w:b/>
                <w:bCs/>
                <w:sz w:val="22"/>
                <w:szCs w:val="22"/>
              </w:rPr>
              <w:t xml:space="preserve"> </w:t>
            </w:r>
          </w:p>
          <w:p w:rsidR="00892103" w:rsidRPr="00D424B1" w:rsidRDefault="00892103" w:rsidP="00DA36B6">
            <w:pPr>
              <w:widowControl/>
              <w:snapToGrid w:val="0"/>
              <w:spacing w:line="440" w:lineRule="exact"/>
              <w:jc w:val="center"/>
              <w:rPr>
                <w:b/>
                <w:bCs/>
                <w:sz w:val="22"/>
                <w:szCs w:val="22"/>
              </w:rPr>
            </w:pPr>
            <w:r>
              <w:rPr>
                <w:rFonts w:hint="eastAsia"/>
                <w:b/>
                <w:bCs/>
                <w:sz w:val="22"/>
                <w:szCs w:val="22"/>
              </w:rPr>
              <w:t>0.83</w:t>
            </w:r>
            <w:r w:rsidRPr="00D424B1">
              <w:rPr>
                <w:rFonts w:hint="eastAsia"/>
                <w:b/>
                <w:bCs/>
                <w:sz w:val="22"/>
                <w:szCs w:val="22"/>
              </w:rPr>
              <w:t>%</w:t>
            </w:r>
          </w:p>
          <w:p w:rsidR="00892103" w:rsidRPr="00D424B1" w:rsidRDefault="00892103" w:rsidP="00DA36B6">
            <w:pPr>
              <w:jc w:val="center"/>
              <w:rPr>
                <w:rFonts w:eastAsia="標楷體"/>
                <w:b/>
                <w:sz w:val="22"/>
                <w:szCs w:val="22"/>
              </w:rPr>
            </w:pPr>
            <w:r w:rsidRPr="00D424B1">
              <w:rPr>
                <w:b/>
                <w:sz w:val="22"/>
                <w:szCs w:val="22"/>
              </w:rPr>
              <w:t>(domestic institutions)</w:t>
            </w:r>
          </w:p>
          <w:p w:rsidR="00892103" w:rsidRPr="00DA36B6" w:rsidRDefault="00892103" w:rsidP="00DA36B6">
            <w:pPr>
              <w:snapToGrid w:val="0"/>
              <w:rPr>
                <w:rFonts w:eastAsia="標楷體"/>
                <w:b/>
                <w:bCs/>
                <w:sz w:val="22"/>
                <w:szCs w:val="22"/>
              </w:rPr>
            </w:pPr>
          </w:p>
        </w:tc>
      </w:tr>
      <w:tr w:rsidR="00892103" w:rsidRPr="00DA36B6" w:rsidTr="002D26DB">
        <w:trPr>
          <w:trHeight w:val="420"/>
        </w:trPr>
        <w:tc>
          <w:tcPr>
            <w:tcW w:w="4281" w:type="dxa"/>
            <w:gridSpan w:val="2"/>
            <w:vMerge/>
            <w:tcBorders>
              <w:left w:val="single" w:sz="6" w:space="0" w:color="auto"/>
              <w:bottom w:val="single" w:sz="6" w:space="0" w:color="auto"/>
              <w:right w:val="single" w:sz="6" w:space="0" w:color="auto"/>
            </w:tcBorders>
            <w:shd w:val="clear" w:color="000000" w:fill="FFFFFF"/>
            <w:noWrap/>
            <w:vAlign w:val="bottom"/>
            <w:hideMark/>
          </w:tcPr>
          <w:p w:rsidR="00892103" w:rsidRPr="00DA36B6" w:rsidRDefault="00892103" w:rsidP="00DA36B6">
            <w:pPr>
              <w:widowControl/>
              <w:snapToGrid w:val="0"/>
              <w:rPr>
                <w:rFonts w:eastAsia="標楷體"/>
                <w:bCs/>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DA36B6" w:rsidRDefault="00892103" w:rsidP="004D2221">
            <w:pPr>
              <w:widowControl/>
              <w:snapToGrid w:val="0"/>
              <w:jc w:val="center"/>
              <w:rPr>
                <w:bCs/>
                <w:sz w:val="22"/>
                <w:szCs w:val="22"/>
              </w:rPr>
            </w:pPr>
            <w:r w:rsidRPr="00DA36B6">
              <w:rPr>
                <w:bCs/>
                <w:sz w:val="22"/>
                <w:szCs w:val="22"/>
              </w:rPr>
              <w:t>Jan.-</w:t>
            </w:r>
            <w:r>
              <w:rPr>
                <w:rFonts w:hint="eastAsia"/>
                <w:bCs/>
                <w:sz w:val="22"/>
                <w:szCs w:val="22"/>
              </w:rPr>
              <w:t>May</w:t>
            </w:r>
            <w:r w:rsidRPr="00DA36B6">
              <w:rPr>
                <w:bCs/>
                <w:sz w:val="22"/>
                <w:szCs w:val="22"/>
              </w:rPr>
              <w:t xml:space="preserve"> 2019</w:t>
            </w:r>
          </w:p>
        </w:tc>
        <w:tc>
          <w:tcPr>
            <w:tcW w:w="1843"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92103" w:rsidRPr="00DA36B6" w:rsidRDefault="00892103" w:rsidP="00DA36B6">
            <w:pPr>
              <w:widowControl/>
              <w:snapToGrid w:val="0"/>
              <w:jc w:val="center"/>
              <w:rPr>
                <w:rFonts w:eastAsia="標楷體"/>
                <w:bCs/>
                <w:sz w:val="22"/>
                <w:szCs w:val="22"/>
              </w:rPr>
            </w:pPr>
            <w:r w:rsidRPr="00DA36B6">
              <w:rPr>
                <w:rFonts w:eastAsia="標楷體"/>
                <w:bCs/>
                <w:sz w:val="22"/>
                <w:szCs w:val="22"/>
              </w:rPr>
              <w:t>2019 (f)</w:t>
            </w:r>
          </w:p>
        </w:tc>
        <w:tc>
          <w:tcPr>
            <w:tcW w:w="1843" w:type="dxa"/>
            <w:vMerge/>
            <w:tcBorders>
              <w:left w:val="single" w:sz="6" w:space="0" w:color="auto"/>
            </w:tcBorders>
            <w:shd w:val="clear" w:color="000000" w:fill="FFFFFF"/>
          </w:tcPr>
          <w:p w:rsidR="00892103" w:rsidRPr="00DA36B6" w:rsidRDefault="00892103" w:rsidP="00DA36B6">
            <w:pPr>
              <w:widowControl/>
              <w:snapToGrid w:val="0"/>
              <w:jc w:val="center"/>
              <w:rPr>
                <w:rFonts w:eastAsia="標楷體"/>
                <w:bCs/>
                <w:sz w:val="22"/>
                <w:szCs w:val="22"/>
              </w:rPr>
            </w:pPr>
          </w:p>
        </w:tc>
      </w:tr>
      <w:tr w:rsidR="00892103" w:rsidRPr="00DA36B6" w:rsidTr="002D26DB">
        <w:trPr>
          <w:trHeight w:val="458"/>
        </w:trPr>
        <w:tc>
          <w:tcPr>
            <w:tcW w:w="1304" w:type="dxa"/>
            <w:vMerge w:val="restart"/>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jc w:val="center"/>
              <w:rPr>
                <w:rFonts w:eastAsia="標楷體"/>
                <w:bCs/>
                <w:sz w:val="22"/>
                <w:szCs w:val="22"/>
              </w:rPr>
            </w:pPr>
            <w:r w:rsidRPr="00D424B1">
              <w:rPr>
                <w:rFonts w:eastAsia="標楷體"/>
                <w:bCs/>
                <w:sz w:val="22"/>
                <w:szCs w:val="22"/>
              </w:rPr>
              <w:t>Domestic institutions</w:t>
            </w: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220196" w:rsidRDefault="00892103" w:rsidP="004D2221">
            <w:pPr>
              <w:jc w:val="both"/>
              <w:rPr>
                <w:rFonts w:eastAsia="標楷體"/>
                <w:bCs/>
                <w:sz w:val="22"/>
                <w:szCs w:val="22"/>
              </w:rPr>
            </w:pPr>
            <w:r w:rsidRPr="00F356BE">
              <w:rPr>
                <w:rFonts w:eastAsia="標楷體"/>
                <w:bCs/>
                <w:sz w:val="22"/>
                <w:szCs w:val="22"/>
              </w:rPr>
              <w:t>DGBAS</w:t>
            </w:r>
            <w:r>
              <w:rPr>
                <w:rFonts w:eastAsia="標楷體"/>
                <w:bCs/>
                <w:sz w:val="22"/>
                <w:szCs w:val="22"/>
              </w:rPr>
              <w:t xml:space="preserve"> (201</w:t>
            </w:r>
            <w:r>
              <w:rPr>
                <w:rFonts w:eastAsia="標楷體" w:hint="eastAsia"/>
                <w:bCs/>
                <w:sz w:val="22"/>
                <w:szCs w:val="22"/>
              </w:rPr>
              <w:t>9</w:t>
            </w:r>
            <w:r w:rsidRPr="00220196">
              <w:rPr>
                <w:rFonts w:eastAsia="標楷體"/>
                <w:bCs/>
                <w:sz w:val="22"/>
                <w:szCs w:val="22"/>
              </w:rPr>
              <w:t>/</w:t>
            </w:r>
            <w:r>
              <w:rPr>
                <w:rFonts w:eastAsia="標楷體" w:hint="eastAsia"/>
                <w:bCs/>
                <w:sz w:val="22"/>
                <w:szCs w:val="22"/>
              </w:rPr>
              <w:t>5</w:t>
            </w:r>
            <w:r w:rsidRPr="00220196">
              <w:rPr>
                <w:rFonts w:eastAsia="標楷體"/>
                <w:bCs/>
                <w:sz w:val="22"/>
                <w:szCs w:val="22"/>
              </w:rPr>
              <w:t>/</w:t>
            </w:r>
            <w:r>
              <w:rPr>
                <w:rFonts w:eastAsia="標楷體" w:hint="eastAsia"/>
                <w:bCs/>
                <w:sz w:val="22"/>
                <w:szCs w:val="22"/>
              </w:rPr>
              <w:t>24</w:t>
            </w:r>
            <w:r w:rsidRPr="00220196">
              <w:rPr>
                <w:rFonts w:eastAsia="標楷體"/>
                <w:bCs/>
                <w:sz w:val="22"/>
                <w:szCs w:val="22"/>
              </w:rPr>
              <w:t>)</w:t>
            </w:r>
          </w:p>
        </w:tc>
        <w:tc>
          <w:tcPr>
            <w:tcW w:w="1701" w:type="dxa"/>
            <w:vMerge w:val="restart"/>
            <w:tcBorders>
              <w:top w:val="single" w:sz="6" w:space="0" w:color="auto"/>
              <w:left w:val="single" w:sz="6" w:space="0" w:color="auto"/>
              <w:bottom w:val="single" w:sz="6" w:space="0" w:color="auto"/>
              <w:right w:val="single" w:sz="6" w:space="0" w:color="auto"/>
            </w:tcBorders>
            <w:hideMark/>
          </w:tcPr>
          <w:p w:rsidR="00892103" w:rsidRPr="00DA36B6" w:rsidRDefault="00892103" w:rsidP="006D7CEA">
            <w:pPr>
              <w:widowControl/>
              <w:snapToGrid w:val="0"/>
              <w:spacing w:beforeLines="130" w:before="312"/>
              <w:jc w:val="center"/>
              <w:rPr>
                <w:b/>
                <w:bCs/>
                <w:sz w:val="22"/>
                <w:szCs w:val="22"/>
              </w:rPr>
            </w:pPr>
            <w:r w:rsidRPr="00DA36B6">
              <w:rPr>
                <w:b/>
                <w:bCs/>
                <w:sz w:val="22"/>
                <w:szCs w:val="22"/>
              </w:rPr>
              <w:t>0.</w:t>
            </w:r>
            <w:r>
              <w:rPr>
                <w:rFonts w:hint="eastAsia"/>
                <w:b/>
                <w:bCs/>
                <w:sz w:val="22"/>
                <w:szCs w:val="22"/>
              </w:rPr>
              <w:t>51</w:t>
            </w:r>
            <w:r w:rsidRPr="00DA36B6">
              <w:rPr>
                <w:b/>
                <w:bCs/>
                <w:sz w:val="22"/>
                <w:szCs w:val="22"/>
              </w:rPr>
              <w:br/>
              <w:t>(CPI)</w:t>
            </w:r>
          </w:p>
          <w:p w:rsidR="00892103" w:rsidRPr="00DA36B6" w:rsidRDefault="00892103" w:rsidP="006D7CEA">
            <w:pPr>
              <w:snapToGrid w:val="0"/>
              <w:spacing w:beforeLines="20" w:before="48"/>
              <w:jc w:val="center"/>
              <w:rPr>
                <w:rFonts w:eastAsia="標楷體"/>
                <w:b/>
              </w:rPr>
            </w:pPr>
            <w:r w:rsidRPr="00DA36B6">
              <w:rPr>
                <w:b/>
                <w:bCs/>
                <w:sz w:val="22"/>
                <w:szCs w:val="22"/>
              </w:rPr>
              <w:t>0.4</w:t>
            </w:r>
            <w:r>
              <w:rPr>
                <w:rFonts w:hint="eastAsia"/>
                <w:b/>
                <w:bCs/>
                <w:sz w:val="22"/>
                <w:szCs w:val="22"/>
              </w:rPr>
              <w:t>9</w:t>
            </w:r>
            <w:r w:rsidRPr="00DA36B6">
              <w:rPr>
                <w:b/>
                <w:bCs/>
                <w:sz w:val="22"/>
                <w:szCs w:val="22"/>
              </w:rPr>
              <w:br/>
              <w:t>(</w:t>
            </w:r>
            <w:r>
              <w:rPr>
                <w:rFonts w:eastAsia="標楷體" w:hint="eastAsia"/>
                <w:b/>
                <w:bCs/>
                <w:sz w:val="22"/>
                <w:szCs w:val="22"/>
              </w:rPr>
              <w:t xml:space="preserve">Core </w:t>
            </w:r>
            <w:r w:rsidRPr="00DA36B6">
              <w:rPr>
                <w:b/>
                <w:bCs/>
                <w:sz w:val="22"/>
                <w:szCs w:val="22"/>
              </w:rPr>
              <w:t>CPI*)</w:t>
            </w:r>
          </w:p>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92103" w:rsidRPr="00D47C2A" w:rsidRDefault="00892103" w:rsidP="004D2221">
            <w:pPr>
              <w:jc w:val="center"/>
              <w:rPr>
                <w:sz w:val="22"/>
              </w:rPr>
            </w:pPr>
            <w:r>
              <w:rPr>
                <w:rFonts w:hint="eastAsia"/>
                <w:sz w:val="22"/>
              </w:rPr>
              <w:t>0.71</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8"/>
        </w:trPr>
        <w:tc>
          <w:tcPr>
            <w:tcW w:w="1304" w:type="dxa"/>
            <w:vMerge/>
            <w:tcBorders>
              <w:top w:val="single" w:sz="6" w:space="0" w:color="auto"/>
              <w:left w:val="single" w:sz="6" w:space="0" w:color="auto"/>
              <w:bottom w:val="single" w:sz="6" w:space="0" w:color="auto"/>
              <w:right w:val="single" w:sz="6" w:space="0" w:color="auto"/>
            </w:tcBorders>
            <w:vAlign w:val="center"/>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92103" w:rsidRPr="00220196" w:rsidRDefault="00892103" w:rsidP="004D2221">
            <w:pPr>
              <w:jc w:val="both"/>
              <w:rPr>
                <w:rFonts w:eastAsia="標楷體"/>
                <w:bCs/>
                <w:sz w:val="22"/>
                <w:szCs w:val="22"/>
              </w:rPr>
            </w:pPr>
            <w:r w:rsidRPr="00F356BE">
              <w:rPr>
                <w:rFonts w:eastAsia="標楷體"/>
                <w:bCs/>
                <w:sz w:val="22"/>
                <w:szCs w:val="22"/>
              </w:rPr>
              <w:t>TIER</w:t>
            </w:r>
            <w:r w:rsidRPr="00220196">
              <w:rPr>
                <w:rFonts w:eastAsia="標楷體"/>
                <w:bCs/>
                <w:sz w:val="22"/>
                <w:szCs w:val="22"/>
              </w:rPr>
              <w:t xml:space="preserve"> (</w:t>
            </w:r>
            <w:r>
              <w:rPr>
                <w:rFonts w:eastAsia="標楷體"/>
                <w:sz w:val="22"/>
              </w:rPr>
              <w:t>201</w:t>
            </w:r>
            <w:r>
              <w:rPr>
                <w:rFonts w:eastAsia="標楷體" w:hint="eastAsia"/>
                <w:sz w:val="22"/>
              </w:rPr>
              <w:t>9</w:t>
            </w:r>
            <w:r w:rsidRPr="009659C6">
              <w:rPr>
                <w:rFonts w:eastAsia="標楷體"/>
                <w:sz w:val="22"/>
              </w:rPr>
              <w:t>/</w:t>
            </w:r>
            <w:r>
              <w:rPr>
                <w:rFonts w:eastAsia="標楷體" w:hint="eastAsia"/>
                <w:sz w:val="22"/>
              </w:rPr>
              <w:t>4</w:t>
            </w:r>
            <w:r w:rsidRPr="009659C6">
              <w:rPr>
                <w:rFonts w:eastAsia="標楷體"/>
                <w:sz w:val="22"/>
              </w:rPr>
              <w:t>/2</w:t>
            </w:r>
            <w:r>
              <w:rPr>
                <w:rFonts w:eastAsia="標楷體" w:hint="eastAsia"/>
                <w:sz w:val="22"/>
              </w:rPr>
              <w:t>5</w:t>
            </w:r>
            <w:r w:rsidRPr="00220196">
              <w:rPr>
                <w:rFonts w:eastAsia="標楷體"/>
                <w:bCs/>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tcPr>
          <w:p w:rsidR="00892103" w:rsidRPr="00DA36B6" w:rsidRDefault="00892103" w:rsidP="004D2221">
            <w:pPr>
              <w:widowControl/>
              <w:snapToGrid w:val="0"/>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vAlign w:val="center"/>
          </w:tcPr>
          <w:p w:rsidR="00892103" w:rsidRPr="00A0240E" w:rsidRDefault="00892103" w:rsidP="004D2221">
            <w:pPr>
              <w:jc w:val="center"/>
              <w:rPr>
                <w:rFonts w:eastAsia="標楷體"/>
                <w:sz w:val="22"/>
                <w:szCs w:val="22"/>
              </w:rPr>
            </w:pPr>
            <w:r w:rsidRPr="00A0240E">
              <w:rPr>
                <w:rFonts w:eastAsia="標楷體"/>
                <w:sz w:val="22"/>
                <w:szCs w:val="22"/>
              </w:rPr>
              <w:t>0.80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double" w:sz="4" w:space="0" w:color="auto"/>
              <w:right w:val="single" w:sz="6" w:space="0" w:color="auto"/>
            </w:tcBorders>
            <w:vAlign w:val="center"/>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4" w:space="0" w:color="auto"/>
              <w:right w:val="single" w:sz="6" w:space="0" w:color="auto"/>
            </w:tcBorders>
            <w:shd w:val="clear" w:color="000000" w:fill="FFFFFF"/>
            <w:noWrap/>
            <w:vAlign w:val="center"/>
          </w:tcPr>
          <w:p w:rsidR="00892103" w:rsidRPr="00220196" w:rsidRDefault="00892103" w:rsidP="004D2221">
            <w:pPr>
              <w:jc w:val="both"/>
              <w:rPr>
                <w:rFonts w:eastAsia="標楷體"/>
                <w:bCs/>
                <w:sz w:val="22"/>
                <w:szCs w:val="22"/>
              </w:rPr>
            </w:pPr>
            <w:r>
              <w:rPr>
                <w:rFonts w:eastAsia="標楷體" w:hint="eastAsia"/>
                <w:bCs/>
                <w:sz w:val="22"/>
                <w:szCs w:val="22"/>
              </w:rPr>
              <w:t>TRI (2019/6/14)</w:t>
            </w:r>
          </w:p>
        </w:tc>
        <w:tc>
          <w:tcPr>
            <w:tcW w:w="1701" w:type="dxa"/>
            <w:vMerge/>
            <w:tcBorders>
              <w:top w:val="single" w:sz="6" w:space="0" w:color="auto"/>
              <w:left w:val="single" w:sz="6" w:space="0" w:color="auto"/>
              <w:bottom w:val="single" w:sz="6" w:space="0" w:color="auto"/>
              <w:right w:val="single" w:sz="6" w:space="0" w:color="auto"/>
            </w:tcBorders>
            <w:vAlign w:val="center"/>
          </w:tcPr>
          <w:p w:rsidR="00892103" w:rsidRPr="00DA36B6" w:rsidRDefault="00892103" w:rsidP="004D2221">
            <w:pPr>
              <w:widowControl/>
              <w:snapToGrid w:val="0"/>
              <w:rPr>
                <w:b/>
                <w:bCs/>
                <w:sz w:val="22"/>
                <w:szCs w:val="22"/>
              </w:rPr>
            </w:pPr>
          </w:p>
        </w:tc>
        <w:tc>
          <w:tcPr>
            <w:tcW w:w="1843" w:type="dxa"/>
            <w:tcBorders>
              <w:top w:val="single" w:sz="6" w:space="0" w:color="auto"/>
              <w:left w:val="single" w:sz="6" w:space="0" w:color="auto"/>
              <w:bottom w:val="single" w:sz="4" w:space="0" w:color="auto"/>
              <w:right w:val="single" w:sz="6" w:space="0" w:color="auto"/>
            </w:tcBorders>
            <w:shd w:val="clear" w:color="000000" w:fill="FFFFFF"/>
            <w:noWrap/>
            <w:vAlign w:val="center"/>
          </w:tcPr>
          <w:p w:rsidR="00892103" w:rsidRPr="00A0240E" w:rsidRDefault="00892103" w:rsidP="004D2221">
            <w:pPr>
              <w:jc w:val="center"/>
              <w:rPr>
                <w:rFonts w:eastAsia="標楷體"/>
                <w:sz w:val="22"/>
                <w:szCs w:val="22"/>
              </w:rPr>
            </w:pPr>
            <w:r w:rsidRPr="00A0240E">
              <w:rPr>
                <w:rFonts w:eastAsia="標楷體"/>
                <w:sz w:val="22"/>
                <w:szCs w:val="22"/>
              </w:rPr>
              <w:t>0.83</w:t>
            </w:r>
          </w:p>
        </w:tc>
        <w:tc>
          <w:tcPr>
            <w:tcW w:w="1843" w:type="dxa"/>
            <w:vMerge/>
            <w:tcBorders>
              <w:left w:val="single" w:sz="6" w:space="0" w:color="auto"/>
            </w:tcBorders>
            <w:shd w:val="clear" w:color="000000" w:fill="FFFFFF"/>
          </w:tcPr>
          <w:p w:rsidR="00892103" w:rsidRPr="00DA36B6" w:rsidRDefault="00892103" w:rsidP="004D2221">
            <w:pPr>
              <w:widowControl/>
              <w:snapToGrid w:val="0"/>
              <w:jc w:val="center"/>
              <w:rPr>
                <w:b/>
                <w:bCs/>
                <w:sz w:val="22"/>
              </w:rPr>
            </w:pPr>
          </w:p>
        </w:tc>
      </w:tr>
      <w:tr w:rsidR="00892103" w:rsidRPr="00DA36B6" w:rsidTr="002D26DB">
        <w:trPr>
          <w:trHeight w:val="456"/>
        </w:trPr>
        <w:tc>
          <w:tcPr>
            <w:tcW w:w="1304" w:type="dxa"/>
            <w:vMerge/>
            <w:tcBorders>
              <w:top w:val="single" w:sz="6" w:space="0" w:color="auto"/>
              <w:left w:val="single" w:sz="6" w:space="0" w:color="auto"/>
              <w:bottom w:val="double" w:sz="4" w:space="0" w:color="auto"/>
              <w:right w:val="single" w:sz="6" w:space="0" w:color="auto"/>
            </w:tcBorders>
            <w:vAlign w:val="center"/>
          </w:tcPr>
          <w:p w:rsidR="00892103" w:rsidRPr="00DA36B6" w:rsidRDefault="00892103" w:rsidP="004D2221">
            <w:pPr>
              <w:widowControl/>
              <w:snapToGrid w:val="0"/>
              <w:rPr>
                <w:rFonts w:eastAsia="標楷體"/>
                <w:bCs/>
                <w:sz w:val="22"/>
                <w:szCs w:val="22"/>
              </w:rPr>
            </w:pPr>
          </w:p>
        </w:tc>
        <w:tc>
          <w:tcPr>
            <w:tcW w:w="2977" w:type="dxa"/>
            <w:tcBorders>
              <w:top w:val="single" w:sz="4" w:space="0" w:color="auto"/>
              <w:left w:val="single" w:sz="6" w:space="0" w:color="auto"/>
              <w:bottom w:val="single" w:sz="4" w:space="0" w:color="auto"/>
              <w:right w:val="single" w:sz="6" w:space="0" w:color="auto"/>
            </w:tcBorders>
            <w:shd w:val="clear" w:color="000000" w:fill="FFFFFF"/>
            <w:noWrap/>
            <w:vAlign w:val="center"/>
          </w:tcPr>
          <w:p w:rsidR="00892103" w:rsidRPr="00220196" w:rsidRDefault="00892103" w:rsidP="004D2221">
            <w:pPr>
              <w:jc w:val="both"/>
              <w:rPr>
                <w:rFonts w:eastAsia="標楷體"/>
                <w:bCs/>
                <w:sz w:val="22"/>
                <w:szCs w:val="22"/>
              </w:rPr>
            </w:pPr>
            <w:r>
              <w:rPr>
                <w:rFonts w:eastAsia="標楷體" w:hint="eastAsia"/>
                <w:bCs/>
                <w:sz w:val="22"/>
                <w:szCs w:val="22"/>
              </w:rPr>
              <w:t>C</w:t>
            </w:r>
            <w:r w:rsidRPr="00F356BE">
              <w:rPr>
                <w:rFonts w:eastAsia="標楷體"/>
                <w:bCs/>
                <w:sz w:val="22"/>
                <w:szCs w:val="22"/>
              </w:rPr>
              <w:t>IER</w:t>
            </w:r>
            <w:r w:rsidRPr="00220196">
              <w:rPr>
                <w:rFonts w:eastAsia="標楷體"/>
                <w:bCs/>
                <w:sz w:val="22"/>
                <w:szCs w:val="22"/>
              </w:rPr>
              <w:t xml:space="preserve"> (</w:t>
            </w:r>
            <w:r w:rsidRPr="009659C6">
              <w:rPr>
                <w:rFonts w:eastAsia="標楷體"/>
                <w:sz w:val="22"/>
              </w:rPr>
              <w:t>201</w:t>
            </w:r>
            <w:r>
              <w:rPr>
                <w:rFonts w:eastAsia="標楷體" w:hint="eastAsia"/>
                <w:sz w:val="22"/>
              </w:rPr>
              <w:t>9</w:t>
            </w:r>
            <w:r w:rsidRPr="009659C6">
              <w:rPr>
                <w:rFonts w:eastAsia="標楷體"/>
                <w:sz w:val="22"/>
              </w:rPr>
              <w:t>/</w:t>
            </w:r>
            <w:r>
              <w:rPr>
                <w:rFonts w:eastAsia="標楷體" w:hint="eastAsia"/>
                <w:sz w:val="22"/>
              </w:rPr>
              <w:t>4</w:t>
            </w:r>
            <w:r>
              <w:rPr>
                <w:rFonts w:eastAsia="標楷體"/>
                <w:sz w:val="22"/>
              </w:rPr>
              <w:t>/</w:t>
            </w:r>
            <w:r>
              <w:rPr>
                <w:rFonts w:eastAsia="標楷體" w:hint="eastAsia"/>
                <w:sz w:val="22"/>
              </w:rPr>
              <w:t>17</w:t>
            </w:r>
            <w:r w:rsidRPr="00220196">
              <w:rPr>
                <w:rFonts w:eastAsia="標楷體"/>
                <w:bCs/>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tcPr>
          <w:p w:rsidR="00892103" w:rsidRPr="00DA36B6" w:rsidRDefault="00892103" w:rsidP="004D2221">
            <w:pPr>
              <w:widowControl/>
              <w:snapToGrid w:val="0"/>
              <w:rPr>
                <w:b/>
                <w:bCs/>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000000" w:fill="FFFFFF"/>
            <w:noWrap/>
            <w:vAlign w:val="center"/>
          </w:tcPr>
          <w:p w:rsidR="00892103" w:rsidRPr="00A0240E" w:rsidRDefault="00892103" w:rsidP="004D2221">
            <w:pPr>
              <w:jc w:val="center"/>
              <w:rPr>
                <w:rFonts w:eastAsia="標楷體"/>
                <w:sz w:val="22"/>
                <w:szCs w:val="22"/>
              </w:rPr>
            </w:pPr>
            <w:r w:rsidRPr="00A0240E">
              <w:rPr>
                <w:rFonts w:eastAsia="標楷體"/>
                <w:sz w:val="22"/>
                <w:szCs w:val="22"/>
              </w:rPr>
              <w:t>0.83</w:t>
            </w:r>
          </w:p>
        </w:tc>
        <w:tc>
          <w:tcPr>
            <w:tcW w:w="1843" w:type="dxa"/>
            <w:vMerge/>
            <w:tcBorders>
              <w:left w:val="single" w:sz="6" w:space="0" w:color="auto"/>
            </w:tcBorders>
            <w:shd w:val="clear" w:color="000000" w:fill="FFFFFF"/>
          </w:tcPr>
          <w:p w:rsidR="00892103" w:rsidRPr="00DA36B6" w:rsidRDefault="00892103" w:rsidP="004D2221">
            <w:pPr>
              <w:widowControl/>
              <w:snapToGrid w:val="0"/>
              <w:jc w:val="center"/>
              <w:rPr>
                <w:b/>
                <w:bCs/>
                <w:sz w:val="22"/>
              </w:rPr>
            </w:pPr>
          </w:p>
        </w:tc>
      </w:tr>
      <w:tr w:rsidR="00892103" w:rsidRPr="00DA36B6" w:rsidTr="002D26DB">
        <w:trPr>
          <w:trHeight w:val="1264"/>
        </w:trPr>
        <w:tc>
          <w:tcPr>
            <w:tcW w:w="1304" w:type="dxa"/>
            <w:vMerge/>
            <w:tcBorders>
              <w:top w:val="single" w:sz="6" w:space="0" w:color="auto"/>
              <w:left w:val="single" w:sz="6" w:space="0" w:color="auto"/>
              <w:bottom w:val="double" w:sz="4"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4" w:space="0" w:color="auto"/>
              <w:left w:val="single" w:sz="6" w:space="0" w:color="auto"/>
              <w:bottom w:val="double" w:sz="4" w:space="0" w:color="auto"/>
              <w:right w:val="single" w:sz="6" w:space="0" w:color="auto"/>
            </w:tcBorders>
            <w:shd w:val="clear" w:color="000000" w:fill="FFFFFF"/>
            <w:noWrap/>
            <w:vAlign w:val="center"/>
            <w:hideMark/>
          </w:tcPr>
          <w:p w:rsidR="00892103" w:rsidRPr="00F60FD5" w:rsidRDefault="00892103" w:rsidP="004D2221">
            <w:pPr>
              <w:jc w:val="both"/>
              <w:rPr>
                <w:rFonts w:eastAsia="標楷體"/>
                <w:b/>
                <w:sz w:val="22"/>
                <w:szCs w:val="22"/>
              </w:rPr>
            </w:pPr>
            <w:r>
              <w:rPr>
                <w:rFonts w:eastAsia="標楷體" w:hint="eastAsia"/>
                <w:b/>
                <w:sz w:val="22"/>
                <w:szCs w:val="22"/>
              </w:rPr>
              <w:t xml:space="preserve">CBC </w:t>
            </w:r>
            <w:r>
              <w:rPr>
                <w:rFonts w:eastAsia="標楷體"/>
                <w:b/>
                <w:sz w:val="22"/>
                <w:szCs w:val="22"/>
              </w:rPr>
              <w:t>(201</w:t>
            </w:r>
            <w:r>
              <w:rPr>
                <w:rFonts w:eastAsia="標楷體" w:hint="eastAsia"/>
                <w:b/>
                <w:sz w:val="22"/>
                <w:szCs w:val="22"/>
              </w:rPr>
              <w:t>9</w:t>
            </w:r>
            <w:r w:rsidRPr="00F60FD5">
              <w:rPr>
                <w:rFonts w:eastAsia="標楷體"/>
                <w:b/>
                <w:sz w:val="22"/>
                <w:szCs w:val="22"/>
              </w:rPr>
              <w:t>/</w:t>
            </w:r>
            <w:r>
              <w:rPr>
                <w:rFonts w:eastAsia="標楷體" w:hint="eastAsia"/>
                <w:b/>
                <w:sz w:val="22"/>
                <w:szCs w:val="22"/>
              </w:rPr>
              <w:t>6</w:t>
            </w:r>
            <w:r>
              <w:rPr>
                <w:rFonts w:eastAsia="標楷體"/>
                <w:b/>
                <w:sz w:val="22"/>
                <w:szCs w:val="22"/>
              </w:rPr>
              <w:t>/</w:t>
            </w:r>
            <w:r>
              <w:rPr>
                <w:rFonts w:eastAsia="標楷體" w:hint="eastAsia"/>
                <w:b/>
                <w:sz w:val="22"/>
                <w:szCs w:val="22"/>
              </w:rPr>
              <w:t>20</w:t>
            </w:r>
            <w:r w:rsidRPr="00F60FD5">
              <w:rPr>
                <w:rFonts w:eastAsia="標楷體"/>
                <w:b/>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b/>
                <w:bCs/>
                <w:sz w:val="22"/>
                <w:szCs w:val="22"/>
              </w:rPr>
            </w:pPr>
          </w:p>
        </w:tc>
        <w:tc>
          <w:tcPr>
            <w:tcW w:w="1843" w:type="dxa"/>
            <w:tcBorders>
              <w:top w:val="single" w:sz="4" w:space="0" w:color="auto"/>
              <w:left w:val="single" w:sz="6" w:space="0" w:color="auto"/>
              <w:bottom w:val="double" w:sz="4" w:space="0" w:color="auto"/>
              <w:right w:val="single" w:sz="6" w:space="0" w:color="auto"/>
            </w:tcBorders>
            <w:shd w:val="clear" w:color="000000" w:fill="FFFFFF"/>
            <w:noWrap/>
            <w:vAlign w:val="center"/>
            <w:hideMark/>
          </w:tcPr>
          <w:p w:rsidR="00892103" w:rsidRDefault="00892103" w:rsidP="004D2221">
            <w:pPr>
              <w:widowControl/>
              <w:snapToGrid w:val="0"/>
              <w:jc w:val="center"/>
              <w:rPr>
                <w:b/>
                <w:bCs/>
                <w:sz w:val="22"/>
              </w:rPr>
            </w:pPr>
            <w:r>
              <w:rPr>
                <w:rFonts w:hint="eastAsia"/>
                <w:b/>
                <w:bCs/>
                <w:sz w:val="22"/>
              </w:rPr>
              <w:t>0.87</w:t>
            </w:r>
          </w:p>
          <w:p w:rsidR="00892103" w:rsidRPr="00F60FD5" w:rsidRDefault="00892103" w:rsidP="004D2221">
            <w:pPr>
              <w:widowControl/>
              <w:snapToGrid w:val="0"/>
              <w:jc w:val="center"/>
              <w:rPr>
                <w:b/>
                <w:bCs/>
                <w:sz w:val="22"/>
              </w:rPr>
            </w:pPr>
            <w:r w:rsidRPr="00F60FD5">
              <w:rPr>
                <w:b/>
                <w:bCs/>
                <w:sz w:val="22"/>
              </w:rPr>
              <w:t>(CPI)</w:t>
            </w:r>
          </w:p>
          <w:p w:rsidR="00892103" w:rsidRDefault="00892103" w:rsidP="006D7CEA">
            <w:pPr>
              <w:spacing w:beforeLines="25" w:before="60" w:line="240" w:lineRule="exact"/>
              <w:jc w:val="center"/>
              <w:rPr>
                <w:b/>
                <w:bCs/>
                <w:sz w:val="22"/>
              </w:rPr>
            </w:pPr>
            <w:r>
              <w:rPr>
                <w:rFonts w:hint="eastAsia"/>
                <w:b/>
                <w:bCs/>
                <w:sz w:val="22"/>
              </w:rPr>
              <w:t>0.76</w:t>
            </w:r>
          </w:p>
          <w:p w:rsidR="00892103" w:rsidRPr="009659C6" w:rsidRDefault="00892103" w:rsidP="004D2221">
            <w:pPr>
              <w:widowControl/>
              <w:snapToGrid w:val="0"/>
              <w:jc w:val="center"/>
              <w:rPr>
                <w:b/>
                <w:bCs/>
                <w:sz w:val="22"/>
              </w:rPr>
            </w:pPr>
            <w:r w:rsidRPr="00F60FD5">
              <w:rPr>
                <w:b/>
                <w:bCs/>
                <w:sz w:val="22"/>
              </w:rPr>
              <w:t>(</w:t>
            </w:r>
            <w:r>
              <w:rPr>
                <w:rFonts w:eastAsia="標楷體" w:hint="eastAsia"/>
                <w:b/>
                <w:bCs/>
                <w:sz w:val="22"/>
              </w:rPr>
              <w:t xml:space="preserve">Core </w:t>
            </w:r>
            <w:r w:rsidRPr="00F60FD5">
              <w:rPr>
                <w:b/>
                <w:bCs/>
                <w:sz w:val="22"/>
              </w:rPr>
              <w:t>CPI</w:t>
            </w:r>
            <w:r>
              <w:rPr>
                <w:rFonts w:hint="eastAsia"/>
                <w:b/>
                <w:bCs/>
                <w:sz w:val="22"/>
              </w:rPr>
              <w:t>*</w:t>
            </w:r>
            <w:r w:rsidRPr="00F60FD5">
              <w:rPr>
                <w:b/>
                <w:bCs/>
                <w:sz w:val="22"/>
              </w:rPr>
              <w:t>)</w:t>
            </w:r>
          </w:p>
        </w:tc>
        <w:tc>
          <w:tcPr>
            <w:tcW w:w="1843" w:type="dxa"/>
            <w:vMerge/>
            <w:tcBorders>
              <w:left w:val="single" w:sz="6" w:space="0" w:color="auto"/>
            </w:tcBorders>
            <w:shd w:val="clear" w:color="000000" w:fill="FFFFFF"/>
          </w:tcPr>
          <w:p w:rsidR="00892103" w:rsidRPr="00DA36B6" w:rsidRDefault="00892103" w:rsidP="004D2221">
            <w:pPr>
              <w:widowControl/>
              <w:snapToGrid w:val="0"/>
              <w:jc w:val="center"/>
              <w:rPr>
                <w:b/>
                <w:bCs/>
                <w:sz w:val="22"/>
              </w:rPr>
            </w:pPr>
          </w:p>
        </w:tc>
      </w:tr>
      <w:tr w:rsidR="00892103" w:rsidRPr="00DA36B6" w:rsidTr="002D26DB">
        <w:trPr>
          <w:trHeight w:val="456"/>
        </w:trPr>
        <w:tc>
          <w:tcPr>
            <w:tcW w:w="1304" w:type="dxa"/>
            <w:vMerge w:val="restart"/>
            <w:tcBorders>
              <w:top w:val="double" w:sz="4" w:space="0" w:color="auto"/>
              <w:left w:val="single" w:sz="6" w:space="0" w:color="auto"/>
              <w:bottom w:val="single" w:sz="6" w:space="0" w:color="auto"/>
              <w:right w:val="single" w:sz="6" w:space="0" w:color="auto"/>
            </w:tcBorders>
            <w:shd w:val="clear" w:color="000000" w:fill="FFFFFF"/>
            <w:vAlign w:val="center"/>
            <w:hideMark/>
          </w:tcPr>
          <w:p w:rsidR="00892103" w:rsidRPr="00DA36B6" w:rsidRDefault="00892103" w:rsidP="004D2221">
            <w:pPr>
              <w:widowControl/>
              <w:snapToGrid w:val="0"/>
              <w:jc w:val="center"/>
              <w:rPr>
                <w:rFonts w:eastAsia="標楷體"/>
                <w:bCs/>
                <w:sz w:val="22"/>
                <w:szCs w:val="22"/>
              </w:rPr>
            </w:pPr>
            <w:r>
              <w:rPr>
                <w:rFonts w:eastAsia="標楷體" w:hint="eastAsia"/>
                <w:bCs/>
                <w:sz w:val="22"/>
                <w:szCs w:val="22"/>
              </w:rPr>
              <w:t>Foreign</w:t>
            </w:r>
            <w:r w:rsidRPr="00D424B1">
              <w:rPr>
                <w:rFonts w:eastAsia="標楷體"/>
                <w:bCs/>
                <w:sz w:val="22"/>
                <w:szCs w:val="22"/>
              </w:rPr>
              <w:t xml:space="preserve"> institutions</w:t>
            </w:r>
          </w:p>
        </w:tc>
        <w:tc>
          <w:tcPr>
            <w:tcW w:w="2977"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HSBC</w:t>
            </w:r>
            <w:r>
              <w:rPr>
                <w:rFonts w:hint="eastAsia"/>
                <w:sz w:val="22"/>
              </w:rPr>
              <w:t xml:space="preserve"> </w:t>
            </w:r>
            <w:r w:rsidRPr="00A0240E">
              <w:rPr>
                <w:rFonts w:hint="eastAsia"/>
                <w:sz w:val="22"/>
              </w:rPr>
              <w:t>(2019/6/13)</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jc w:val="center"/>
              <w:rPr>
                <w:bCs/>
                <w:sz w:val="22"/>
                <w:szCs w:val="22"/>
              </w:rPr>
            </w:pPr>
          </w:p>
        </w:tc>
        <w:tc>
          <w:tcPr>
            <w:tcW w:w="1843"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0.30</w:t>
            </w:r>
          </w:p>
        </w:tc>
        <w:tc>
          <w:tcPr>
            <w:tcW w:w="1843" w:type="dxa"/>
            <w:vMerge w:val="restart"/>
            <w:tcBorders>
              <w:left w:val="single" w:sz="6" w:space="0" w:color="auto"/>
            </w:tcBorders>
            <w:shd w:val="clear" w:color="000000" w:fill="FFFFFF"/>
          </w:tcPr>
          <w:p w:rsidR="00892103" w:rsidRPr="00DA36B6" w:rsidRDefault="00892103" w:rsidP="004D2221">
            <w:pPr>
              <w:snapToGrid w:val="0"/>
              <w:jc w:val="center"/>
              <w:rPr>
                <w:rFonts w:eastAsia="標楷體"/>
                <w:b/>
              </w:rPr>
            </w:pPr>
          </w:p>
          <w:p w:rsidR="00892103" w:rsidRPr="00DA36B6" w:rsidRDefault="00892103" w:rsidP="004D2221">
            <w:pPr>
              <w:snapToGrid w:val="0"/>
              <w:jc w:val="center"/>
              <w:rPr>
                <w:rFonts w:eastAsia="標楷體"/>
                <w:b/>
              </w:rPr>
            </w:pPr>
          </w:p>
          <w:p w:rsidR="00892103" w:rsidRPr="00DA36B6" w:rsidRDefault="00892103" w:rsidP="004D2221">
            <w:pPr>
              <w:snapToGrid w:val="0"/>
              <w:jc w:val="center"/>
              <w:rPr>
                <w:rFonts w:eastAsia="標楷體"/>
                <w:b/>
              </w:rPr>
            </w:pPr>
          </w:p>
          <w:p w:rsidR="00892103" w:rsidRPr="00DA36B6" w:rsidRDefault="00892103" w:rsidP="004D2221">
            <w:pPr>
              <w:snapToGrid w:val="0"/>
              <w:jc w:val="center"/>
              <w:rPr>
                <w:rFonts w:eastAsia="標楷體"/>
                <w:b/>
              </w:rPr>
            </w:pPr>
          </w:p>
          <w:p w:rsidR="00892103" w:rsidRPr="00DA36B6" w:rsidRDefault="00892103" w:rsidP="004D2221">
            <w:pPr>
              <w:snapToGrid w:val="0"/>
              <w:jc w:val="center"/>
              <w:rPr>
                <w:rFonts w:eastAsia="標楷體"/>
                <w:b/>
              </w:rPr>
            </w:pPr>
          </w:p>
          <w:p w:rsidR="00892103" w:rsidRPr="00DA36B6" w:rsidRDefault="00892103" w:rsidP="004D2221">
            <w:pPr>
              <w:snapToGrid w:val="0"/>
              <w:jc w:val="center"/>
              <w:rPr>
                <w:rFonts w:eastAsia="標楷體"/>
                <w:b/>
              </w:rPr>
            </w:pPr>
          </w:p>
          <w:p w:rsidR="00892103" w:rsidRPr="00D424B1" w:rsidRDefault="00892103" w:rsidP="004D2221">
            <w:pPr>
              <w:widowControl/>
              <w:snapToGrid w:val="0"/>
              <w:spacing w:line="440" w:lineRule="exact"/>
              <w:jc w:val="center"/>
              <w:rPr>
                <w:rFonts w:eastAsia="標楷體"/>
                <w:b/>
                <w:bCs/>
                <w:sz w:val="22"/>
                <w:szCs w:val="22"/>
                <w:u w:val="single"/>
              </w:rPr>
            </w:pPr>
            <w:r w:rsidRPr="00D424B1">
              <w:rPr>
                <w:rFonts w:eastAsia="標楷體"/>
                <w:b/>
                <w:bCs/>
                <w:sz w:val="22"/>
                <w:szCs w:val="22"/>
                <w:u w:val="single"/>
              </w:rPr>
              <w:t>Median:</w:t>
            </w:r>
            <w:r w:rsidRPr="00D424B1">
              <w:rPr>
                <w:rFonts w:eastAsia="標楷體"/>
                <w:b/>
                <w:bCs/>
                <w:sz w:val="22"/>
                <w:szCs w:val="22"/>
              </w:rPr>
              <w:t xml:space="preserve"> </w:t>
            </w:r>
          </w:p>
          <w:p w:rsidR="00892103" w:rsidRPr="00D424B1" w:rsidRDefault="00892103" w:rsidP="004D2221">
            <w:pPr>
              <w:widowControl/>
              <w:snapToGrid w:val="0"/>
              <w:spacing w:line="440" w:lineRule="exact"/>
              <w:jc w:val="center"/>
              <w:rPr>
                <w:b/>
                <w:bCs/>
                <w:sz w:val="22"/>
                <w:szCs w:val="22"/>
              </w:rPr>
            </w:pPr>
            <w:r>
              <w:rPr>
                <w:rFonts w:hint="eastAsia"/>
                <w:b/>
                <w:bCs/>
                <w:sz w:val="22"/>
                <w:szCs w:val="22"/>
              </w:rPr>
              <w:t>0.88</w:t>
            </w:r>
            <w:r w:rsidRPr="00D424B1">
              <w:rPr>
                <w:rFonts w:hint="eastAsia"/>
                <w:b/>
                <w:bCs/>
                <w:sz w:val="22"/>
                <w:szCs w:val="22"/>
              </w:rPr>
              <w:t>%</w:t>
            </w:r>
          </w:p>
          <w:p w:rsidR="00892103" w:rsidRPr="00D424B1" w:rsidRDefault="00892103" w:rsidP="004D2221">
            <w:pPr>
              <w:jc w:val="center"/>
              <w:rPr>
                <w:rFonts w:eastAsia="標楷體"/>
                <w:b/>
                <w:sz w:val="22"/>
                <w:szCs w:val="22"/>
              </w:rPr>
            </w:pPr>
            <w:r w:rsidRPr="00D424B1">
              <w:rPr>
                <w:b/>
                <w:sz w:val="22"/>
                <w:szCs w:val="22"/>
              </w:rPr>
              <w:t>(</w:t>
            </w:r>
            <w:r>
              <w:rPr>
                <w:rFonts w:hint="eastAsia"/>
                <w:b/>
                <w:sz w:val="22"/>
                <w:szCs w:val="22"/>
              </w:rPr>
              <w:t>foreign</w:t>
            </w:r>
            <w:r w:rsidRPr="00D424B1">
              <w:rPr>
                <w:b/>
                <w:sz w:val="22"/>
                <w:szCs w:val="22"/>
              </w:rPr>
              <w:t xml:space="preserve"> institutions)</w:t>
            </w:r>
          </w:p>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proofErr w:type="spellStart"/>
            <w:r w:rsidRPr="00A0240E">
              <w:rPr>
                <w:rFonts w:hint="eastAsia"/>
                <w:sz w:val="22"/>
              </w:rPr>
              <w:t>Bo</w:t>
            </w:r>
            <w:r>
              <w:rPr>
                <w:rFonts w:hint="eastAsia"/>
                <w:sz w:val="22"/>
              </w:rPr>
              <w:t>f</w:t>
            </w:r>
            <w:r w:rsidRPr="00A0240E">
              <w:rPr>
                <w:rFonts w:hint="eastAsia"/>
                <w:sz w:val="22"/>
              </w:rPr>
              <w:t>A</w:t>
            </w:r>
            <w:proofErr w:type="spellEnd"/>
            <w:r w:rsidRPr="00A0240E">
              <w:rPr>
                <w:rFonts w:hint="eastAsia"/>
                <w:sz w:val="22"/>
              </w:rPr>
              <w:t xml:space="preserve"> Merrill Lynch</w:t>
            </w:r>
            <w:r>
              <w:rPr>
                <w:rFonts w:hint="eastAsia"/>
                <w:sz w:val="22"/>
              </w:rPr>
              <w:t xml:space="preserve"> </w:t>
            </w:r>
            <w:r w:rsidRPr="00A0240E">
              <w:rPr>
                <w:rFonts w:hint="eastAsia"/>
                <w:sz w:val="22"/>
              </w:rPr>
              <w:t>(2019/6/15)</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0.70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Barclays Capital</w:t>
            </w:r>
            <w:r>
              <w:rPr>
                <w:rFonts w:hint="eastAsia"/>
                <w:sz w:val="22"/>
              </w:rPr>
              <w:t xml:space="preserve"> </w:t>
            </w:r>
            <w:r w:rsidRPr="00A0240E">
              <w:rPr>
                <w:rFonts w:hint="eastAsia"/>
                <w:sz w:val="22"/>
              </w:rPr>
              <w:t>(2019/6/14)</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0.70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Citi</w:t>
            </w:r>
            <w:r>
              <w:rPr>
                <w:rFonts w:hint="eastAsia"/>
                <w:sz w:val="22"/>
              </w:rPr>
              <w:t xml:space="preserve"> </w:t>
            </w:r>
            <w:r w:rsidRPr="00A0240E">
              <w:rPr>
                <w:rFonts w:hint="eastAsia"/>
                <w:sz w:val="22"/>
              </w:rPr>
              <w:t>(2019/6/5)</w:t>
            </w:r>
          </w:p>
        </w:tc>
        <w:tc>
          <w:tcPr>
            <w:tcW w:w="1701" w:type="dxa"/>
            <w:vMerge/>
            <w:tcBorders>
              <w:top w:val="single" w:sz="6" w:space="0" w:color="auto"/>
              <w:left w:val="single" w:sz="6" w:space="0" w:color="auto"/>
              <w:bottom w:val="single" w:sz="6" w:space="0" w:color="auto"/>
              <w:right w:val="single" w:sz="6" w:space="0" w:color="auto"/>
            </w:tcBorders>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0.80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3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UBS</w:t>
            </w:r>
            <w:r>
              <w:rPr>
                <w:rFonts w:hint="eastAsia"/>
                <w:sz w:val="22"/>
              </w:rPr>
              <w:t xml:space="preserve"> </w:t>
            </w:r>
            <w:r w:rsidRPr="00A0240E">
              <w:rPr>
                <w:rFonts w:hint="eastAsia"/>
                <w:sz w:val="22"/>
              </w:rPr>
              <w:t>(2019/6/14)</w:t>
            </w:r>
          </w:p>
        </w:tc>
        <w:tc>
          <w:tcPr>
            <w:tcW w:w="1701" w:type="dxa"/>
            <w:vMerge/>
            <w:tcBorders>
              <w:top w:val="single" w:sz="6" w:space="0" w:color="auto"/>
              <w:left w:val="single" w:sz="6" w:space="0" w:color="auto"/>
              <w:bottom w:val="single" w:sz="6" w:space="0" w:color="auto"/>
              <w:right w:val="single" w:sz="6" w:space="0" w:color="auto"/>
            </w:tcBorders>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0.81</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68"/>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 xml:space="preserve">IHS </w:t>
            </w:r>
            <w:proofErr w:type="spellStart"/>
            <w:r w:rsidRPr="006C38E0">
              <w:rPr>
                <w:rFonts w:hint="eastAsia"/>
                <w:sz w:val="22"/>
              </w:rPr>
              <w:t>Markit</w:t>
            </w:r>
            <w:proofErr w:type="spellEnd"/>
            <w:r>
              <w:rPr>
                <w:rFonts w:hint="eastAsia"/>
                <w:sz w:val="22"/>
              </w:rPr>
              <w:t xml:space="preserve"> </w:t>
            </w:r>
            <w:r w:rsidRPr="006C38E0">
              <w:rPr>
                <w:rFonts w:hint="eastAsia"/>
                <w:sz w:val="22"/>
              </w:rPr>
              <w:t>(2019/6/18)</w:t>
            </w:r>
          </w:p>
        </w:tc>
        <w:tc>
          <w:tcPr>
            <w:tcW w:w="1701" w:type="dxa"/>
            <w:vMerge/>
            <w:tcBorders>
              <w:top w:val="single" w:sz="6" w:space="0" w:color="auto"/>
              <w:left w:val="single" w:sz="6" w:space="0" w:color="auto"/>
              <w:bottom w:val="single" w:sz="6" w:space="0" w:color="auto"/>
              <w:right w:val="single" w:sz="6" w:space="0" w:color="auto"/>
            </w:tcBorders>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Pr>
                <w:sz w:val="22"/>
              </w:rPr>
              <w:t>0.9</w:t>
            </w:r>
            <w:r>
              <w:rPr>
                <w:rFonts w:hint="eastAsia"/>
                <w:sz w:val="22"/>
              </w:rPr>
              <w:t>4</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JP Morgan</w:t>
            </w:r>
            <w:r>
              <w:rPr>
                <w:rFonts w:hint="eastAsia"/>
                <w:sz w:val="22"/>
              </w:rPr>
              <w:t xml:space="preserve"> </w:t>
            </w:r>
            <w:r w:rsidRPr="00A0240E">
              <w:rPr>
                <w:rFonts w:hint="eastAsia"/>
                <w:sz w:val="22"/>
              </w:rPr>
              <w:t>(2019/6/14)</w:t>
            </w:r>
          </w:p>
        </w:tc>
        <w:tc>
          <w:tcPr>
            <w:tcW w:w="1701" w:type="dxa"/>
            <w:vMerge/>
            <w:tcBorders>
              <w:top w:val="single" w:sz="6" w:space="0" w:color="auto"/>
              <w:left w:val="single" w:sz="6" w:space="0" w:color="auto"/>
              <w:bottom w:val="single" w:sz="6" w:space="0" w:color="auto"/>
              <w:right w:val="single" w:sz="6" w:space="0" w:color="auto"/>
            </w:tcBorders>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1.00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Morgan Stanley</w:t>
            </w:r>
            <w:r>
              <w:rPr>
                <w:rFonts w:hint="eastAsia"/>
                <w:sz w:val="22"/>
              </w:rPr>
              <w:t xml:space="preserve"> </w:t>
            </w:r>
            <w:r w:rsidRPr="00A0240E">
              <w:rPr>
                <w:rFonts w:hint="eastAsia"/>
                <w:sz w:val="22"/>
              </w:rPr>
              <w:t>(2019/6/10)</w:t>
            </w:r>
          </w:p>
        </w:tc>
        <w:tc>
          <w:tcPr>
            <w:tcW w:w="1701" w:type="dxa"/>
            <w:vMerge/>
            <w:tcBorders>
              <w:top w:val="single" w:sz="6" w:space="0" w:color="auto"/>
              <w:left w:val="single" w:sz="6" w:space="0" w:color="auto"/>
              <w:bottom w:val="single" w:sz="6" w:space="0" w:color="auto"/>
              <w:right w:val="single" w:sz="6" w:space="0" w:color="auto"/>
            </w:tcBorders>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1.00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both"/>
              <w:rPr>
                <w:sz w:val="22"/>
              </w:rPr>
            </w:pPr>
            <w:r w:rsidRPr="00A0240E">
              <w:rPr>
                <w:rFonts w:hint="eastAsia"/>
                <w:sz w:val="22"/>
              </w:rPr>
              <w:t>Deutsche Bank</w:t>
            </w:r>
            <w:r>
              <w:rPr>
                <w:rFonts w:hint="eastAsia"/>
                <w:sz w:val="22"/>
              </w:rPr>
              <w:t xml:space="preserve"> </w:t>
            </w:r>
            <w:r w:rsidRPr="00A0240E">
              <w:rPr>
                <w:rFonts w:hint="eastAsia"/>
                <w:sz w:val="22"/>
              </w:rPr>
              <w:t>(2019/6/6)</w:t>
            </w:r>
          </w:p>
        </w:tc>
        <w:tc>
          <w:tcPr>
            <w:tcW w:w="1701" w:type="dxa"/>
            <w:vMerge/>
            <w:tcBorders>
              <w:top w:val="single" w:sz="6" w:space="0" w:color="auto"/>
              <w:left w:val="single" w:sz="6" w:space="0" w:color="auto"/>
              <w:bottom w:val="single" w:sz="6" w:space="0" w:color="auto"/>
              <w:right w:val="single" w:sz="6" w:space="0" w:color="auto"/>
            </w:tcBorders>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1.00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rPr>
                <w:rFonts w:eastAsia="標楷體"/>
                <w:bCs/>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2C29BA" w:rsidRDefault="00892103" w:rsidP="004D2221">
            <w:pPr>
              <w:snapToGrid w:val="0"/>
              <w:jc w:val="both"/>
              <w:rPr>
                <w:sz w:val="22"/>
                <w:szCs w:val="22"/>
              </w:rPr>
            </w:pPr>
            <w:r w:rsidRPr="00A0240E">
              <w:rPr>
                <w:rFonts w:hint="eastAsia"/>
                <w:sz w:val="22"/>
              </w:rPr>
              <w:t>Goldman Sachs</w:t>
            </w:r>
            <w:r>
              <w:rPr>
                <w:rFonts w:hint="eastAsia"/>
                <w:sz w:val="22"/>
              </w:rPr>
              <w:t xml:space="preserve"> </w:t>
            </w:r>
            <w:r w:rsidRPr="00A0240E">
              <w:rPr>
                <w:rFonts w:hint="eastAsia"/>
                <w:sz w:val="22"/>
              </w:rPr>
              <w:t>(2019/6/15)</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92103" w:rsidRPr="00DA36B6" w:rsidRDefault="00892103" w:rsidP="004D2221">
            <w:pPr>
              <w:widowControl/>
              <w:snapToGrid w:val="0"/>
              <w:jc w:val="center"/>
              <w:rPr>
                <w:bCs/>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92103" w:rsidRPr="00A0240E" w:rsidRDefault="00892103" w:rsidP="004D2221">
            <w:pPr>
              <w:jc w:val="center"/>
              <w:rPr>
                <w:sz w:val="22"/>
              </w:rPr>
            </w:pPr>
            <w:r w:rsidRPr="00A0240E">
              <w:rPr>
                <w:sz w:val="22"/>
              </w:rPr>
              <w:t>1.10</w:t>
            </w:r>
          </w:p>
        </w:tc>
        <w:tc>
          <w:tcPr>
            <w:tcW w:w="1843" w:type="dxa"/>
            <w:vMerge/>
            <w:tcBorders>
              <w:left w:val="single" w:sz="6" w:space="0" w:color="auto"/>
            </w:tcBorders>
            <w:shd w:val="clear" w:color="000000" w:fill="FFFFFF"/>
          </w:tcPr>
          <w:p w:rsidR="00892103" w:rsidRPr="00DA36B6" w:rsidRDefault="00892103" w:rsidP="004D2221">
            <w:pPr>
              <w:jc w:val="center"/>
              <w:rPr>
                <w:sz w:val="22"/>
              </w:rPr>
            </w:pPr>
          </w:p>
        </w:tc>
      </w:tr>
      <w:tr w:rsidR="00892103" w:rsidRPr="00DA36B6" w:rsidTr="002D26DB">
        <w:trPr>
          <w:trHeight w:val="456"/>
        </w:trPr>
        <w:tc>
          <w:tcPr>
            <w:tcW w:w="7825" w:type="dxa"/>
            <w:gridSpan w:val="4"/>
            <w:tcBorders>
              <w:top w:val="single" w:sz="6" w:space="0" w:color="auto"/>
            </w:tcBorders>
            <w:vAlign w:val="center"/>
          </w:tcPr>
          <w:p w:rsidR="00892103" w:rsidRPr="00A565EA" w:rsidRDefault="00892103" w:rsidP="00A565EA">
            <w:pPr>
              <w:widowControl/>
              <w:snapToGrid w:val="0"/>
              <w:spacing w:beforeLines="25" w:before="60"/>
              <w:ind w:left="283" w:hangingChars="135" w:hanging="283"/>
              <w:rPr>
                <w:rFonts w:eastAsia="標楷體"/>
                <w:sz w:val="21"/>
              </w:rPr>
            </w:pPr>
            <w:r w:rsidRPr="00A565EA">
              <w:rPr>
                <w:rFonts w:eastAsia="標楷體"/>
                <w:sz w:val="21"/>
              </w:rPr>
              <w:t xml:space="preserve">**Excluding vegetables, fruit, and energy. </w:t>
            </w:r>
          </w:p>
          <w:p w:rsidR="00892103" w:rsidRPr="00A565EA" w:rsidRDefault="00892103" w:rsidP="00A565EA">
            <w:pPr>
              <w:spacing w:line="400" w:lineRule="exact"/>
              <w:ind w:left="283" w:hangingChars="135" w:hanging="283"/>
              <w:rPr>
                <w:rFonts w:eastAsia="標楷體"/>
                <w:sz w:val="21"/>
              </w:rPr>
            </w:pPr>
            <w:r w:rsidRPr="00A565EA">
              <w:rPr>
                <w:rFonts w:eastAsia="標楷體"/>
                <w:sz w:val="21"/>
              </w:rPr>
              <w:t>Sources: DGBAS, Executive Yuan; forecasts by respective institutions.</w:t>
            </w:r>
          </w:p>
          <w:p w:rsidR="00892103" w:rsidRPr="00A565EA" w:rsidRDefault="00892103" w:rsidP="004D2221">
            <w:pPr>
              <w:snapToGrid w:val="0"/>
              <w:rPr>
                <w:rFonts w:eastAsia="標楷體"/>
                <w:sz w:val="21"/>
              </w:rPr>
            </w:pPr>
          </w:p>
        </w:tc>
        <w:tc>
          <w:tcPr>
            <w:tcW w:w="1843" w:type="dxa"/>
            <w:vAlign w:val="center"/>
          </w:tcPr>
          <w:p w:rsidR="00892103" w:rsidRPr="00DA36B6" w:rsidRDefault="00892103" w:rsidP="004D2221">
            <w:pPr>
              <w:snapToGrid w:val="0"/>
              <w:rPr>
                <w:rFonts w:eastAsia="標楷體"/>
              </w:rPr>
            </w:pPr>
          </w:p>
        </w:tc>
      </w:tr>
    </w:tbl>
    <w:p w:rsidR="00892103" w:rsidRPr="005A4463" w:rsidRDefault="00892103" w:rsidP="006D7CEA">
      <w:pPr>
        <w:spacing w:beforeLines="50" w:before="120" w:afterLines="50" w:after="120" w:line="480" w:lineRule="exact"/>
        <w:ind w:left="960" w:firstLine="480"/>
        <w:rPr>
          <w:rFonts w:eastAsia="標楷體"/>
          <w:b/>
          <w:sz w:val="32"/>
          <w:szCs w:val="28"/>
        </w:rPr>
      </w:pPr>
      <w:r>
        <w:rPr>
          <w:rFonts w:eastAsia="標楷體" w:hint="eastAsia"/>
          <w:b/>
          <w:sz w:val="28"/>
          <w:szCs w:val="28"/>
        </w:rPr>
        <w:t xml:space="preserve">Table </w:t>
      </w:r>
      <w:proofErr w:type="gramStart"/>
      <w:r>
        <w:rPr>
          <w:rFonts w:eastAsia="標楷體" w:hint="eastAsia"/>
          <w:b/>
          <w:sz w:val="28"/>
          <w:szCs w:val="28"/>
        </w:rPr>
        <w:t xml:space="preserve">1  </w:t>
      </w:r>
      <w:r>
        <w:rPr>
          <w:rFonts w:eastAsia="標楷體"/>
          <w:b/>
          <w:sz w:val="28"/>
          <w:szCs w:val="28"/>
        </w:rPr>
        <w:t>Taiwan</w:t>
      </w:r>
      <w:r w:rsidRPr="00C37050">
        <w:rPr>
          <w:rFonts w:eastAsia="標楷體" w:hint="eastAsia"/>
          <w:b/>
          <w:sz w:val="28"/>
          <w:szCs w:val="28"/>
        </w:rPr>
        <w:t>'</w:t>
      </w:r>
      <w:r w:rsidRPr="009032EE">
        <w:rPr>
          <w:rFonts w:eastAsia="標楷體"/>
          <w:b/>
          <w:sz w:val="28"/>
          <w:szCs w:val="28"/>
        </w:rPr>
        <w:t>s</w:t>
      </w:r>
      <w:proofErr w:type="gramEnd"/>
      <w:r w:rsidRPr="009032EE">
        <w:rPr>
          <w:rFonts w:eastAsia="標楷體"/>
          <w:b/>
          <w:sz w:val="28"/>
          <w:szCs w:val="28"/>
        </w:rPr>
        <w:t xml:space="preserve"> Inflation and Inflation Outlook</w:t>
      </w:r>
    </w:p>
    <w:p w:rsidR="00892103" w:rsidRPr="004A0C52" w:rsidRDefault="00892103" w:rsidP="00D25082">
      <w:pPr>
        <w:spacing w:line="480" w:lineRule="exact"/>
        <w:ind w:firstLineChars="300" w:firstLine="961"/>
        <w:rPr>
          <w:rFonts w:eastAsia="標楷體"/>
          <w:b/>
          <w:sz w:val="32"/>
          <w:szCs w:val="28"/>
        </w:rPr>
      </w:pPr>
    </w:p>
    <w:p w:rsidR="00892103" w:rsidRPr="004F16D5" w:rsidRDefault="00892103" w:rsidP="006D7CEA">
      <w:pPr>
        <w:widowControl/>
        <w:snapToGrid w:val="0"/>
        <w:spacing w:beforeLines="50" w:before="120"/>
        <w:rPr>
          <w:rFonts w:eastAsia="標楷體"/>
          <w:szCs w:val="28"/>
        </w:rPr>
      </w:pPr>
    </w:p>
    <w:p w:rsidR="00892103" w:rsidRPr="004F16D5" w:rsidRDefault="00892103" w:rsidP="006D7CEA">
      <w:pPr>
        <w:widowControl/>
        <w:snapToGrid w:val="0"/>
        <w:spacing w:beforeLines="20" w:before="48"/>
        <w:rPr>
          <w:rFonts w:eastAsia="標楷體"/>
          <w:szCs w:val="28"/>
        </w:rPr>
      </w:pPr>
    </w:p>
    <w:p w:rsidR="00892103" w:rsidRPr="00627180" w:rsidRDefault="00892103" w:rsidP="00627180">
      <w:pPr>
        <w:widowControl/>
        <w:snapToGrid w:val="0"/>
        <w:rPr>
          <w:rFonts w:eastAsia="標楷體"/>
          <w:szCs w:val="28"/>
        </w:rPr>
        <w:sectPr w:rsidR="00892103" w:rsidRPr="00627180" w:rsidSect="006D7CEA">
          <w:footerReference w:type="default" r:id="rId12"/>
          <w:pgSz w:w="11907" w:h="16840" w:code="9"/>
          <w:pgMar w:top="1304" w:right="1418" w:bottom="1276" w:left="1418" w:header="0" w:footer="454" w:gutter="0"/>
          <w:paperSrc w:first="15" w:other="15"/>
          <w:pgNumType w:start="1"/>
          <w:cols w:space="425"/>
          <w:docGrid w:linePitch="272"/>
        </w:sectPr>
      </w:pPr>
    </w:p>
    <w:p w:rsidR="00892103" w:rsidRPr="005545EC" w:rsidRDefault="00892103" w:rsidP="00112888">
      <w:pPr>
        <w:spacing w:line="480" w:lineRule="exact"/>
        <w:jc w:val="center"/>
        <w:rPr>
          <w:rFonts w:eastAsia="標楷體"/>
          <w:b/>
          <w:sz w:val="28"/>
          <w:szCs w:val="28"/>
        </w:rPr>
      </w:pPr>
      <w:r>
        <w:rPr>
          <w:rFonts w:eastAsia="標楷體" w:hint="eastAsia"/>
          <w:b/>
          <w:sz w:val="28"/>
          <w:szCs w:val="28"/>
        </w:rPr>
        <w:lastRenderedPageBreak/>
        <w:t>Table 2</w:t>
      </w:r>
    </w:p>
    <w:p w:rsidR="00892103" w:rsidRPr="00627180" w:rsidRDefault="00892103" w:rsidP="00112888">
      <w:pPr>
        <w:spacing w:line="480" w:lineRule="exact"/>
        <w:jc w:val="center"/>
        <w:rPr>
          <w:rFonts w:eastAsia="標楷體"/>
          <w:b/>
          <w:sz w:val="32"/>
          <w:szCs w:val="28"/>
        </w:rPr>
      </w:pPr>
      <w:r>
        <w:rPr>
          <w:rFonts w:eastAsia="標楷體" w:hint="eastAsia"/>
          <w:b/>
          <w:sz w:val="28"/>
          <w:szCs w:val="28"/>
        </w:rPr>
        <w:t>Real Interest Rates of Selected Economies</w:t>
      </w:r>
    </w:p>
    <w:tbl>
      <w:tblPr>
        <w:tblW w:w="9087" w:type="dxa"/>
        <w:tblInd w:w="13" w:type="dxa"/>
        <w:tblLayout w:type="fixed"/>
        <w:tblCellMar>
          <w:left w:w="28" w:type="dxa"/>
          <w:right w:w="28" w:type="dxa"/>
        </w:tblCellMar>
        <w:tblLook w:val="04A0" w:firstRow="1" w:lastRow="0" w:firstColumn="1" w:lastColumn="0" w:noHBand="0" w:noVBand="1"/>
      </w:tblPr>
      <w:tblGrid>
        <w:gridCol w:w="1575"/>
        <w:gridCol w:w="2504"/>
        <w:gridCol w:w="2504"/>
        <w:gridCol w:w="2504"/>
      </w:tblGrid>
      <w:tr w:rsidR="00892103" w:rsidRPr="000C770C" w:rsidTr="0032770E">
        <w:trPr>
          <w:trHeight w:val="696"/>
        </w:trPr>
        <w:tc>
          <w:tcPr>
            <w:tcW w:w="9087" w:type="dxa"/>
            <w:gridSpan w:val="4"/>
            <w:tcBorders>
              <w:top w:val="nil"/>
              <w:left w:val="nil"/>
              <w:bottom w:val="single" w:sz="8" w:space="0" w:color="auto"/>
              <w:right w:val="nil"/>
            </w:tcBorders>
            <w:shd w:val="clear" w:color="auto" w:fill="auto"/>
            <w:noWrap/>
            <w:vAlign w:val="bottom"/>
            <w:hideMark/>
          </w:tcPr>
          <w:p w:rsidR="00892103" w:rsidRPr="000C770C" w:rsidRDefault="00892103" w:rsidP="00112888">
            <w:pPr>
              <w:widowControl/>
              <w:wordWrap w:val="0"/>
              <w:jc w:val="right"/>
              <w:rPr>
                <w:rFonts w:eastAsia="標楷體"/>
                <w:color w:val="000000" w:themeColor="text1"/>
                <w:szCs w:val="22"/>
              </w:rPr>
            </w:pPr>
            <w:r w:rsidRPr="000C770C">
              <w:rPr>
                <w:rFonts w:eastAsia="標楷體"/>
                <w:color w:val="000000" w:themeColor="text1"/>
                <w:szCs w:val="22"/>
              </w:rPr>
              <w:t>Unit: %</w:t>
            </w:r>
          </w:p>
        </w:tc>
      </w:tr>
      <w:tr w:rsidR="00892103" w:rsidRPr="000C770C" w:rsidTr="0032770E">
        <w:trPr>
          <w:trHeight w:val="224"/>
        </w:trPr>
        <w:tc>
          <w:tcPr>
            <w:tcW w:w="157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103" w:rsidRPr="000C770C" w:rsidRDefault="00892103" w:rsidP="002C063F">
            <w:pPr>
              <w:widowControl/>
              <w:snapToGrid w:val="0"/>
              <w:jc w:val="center"/>
              <w:rPr>
                <w:rFonts w:eastAsia="標楷體"/>
                <w:color w:val="000000" w:themeColor="text1"/>
              </w:rPr>
            </w:pPr>
            <w:r w:rsidRPr="000C770C">
              <w:rPr>
                <w:rFonts w:eastAsia="標楷體"/>
                <w:color w:val="000000" w:themeColor="text1"/>
              </w:rPr>
              <w:t>Economies</w:t>
            </w:r>
          </w:p>
        </w:tc>
        <w:tc>
          <w:tcPr>
            <w:tcW w:w="2504" w:type="dxa"/>
            <w:tcBorders>
              <w:top w:val="single" w:sz="8" w:space="0" w:color="auto"/>
              <w:left w:val="nil"/>
              <w:bottom w:val="nil"/>
              <w:right w:val="single" w:sz="4" w:space="0" w:color="auto"/>
            </w:tcBorders>
            <w:shd w:val="clear" w:color="auto" w:fill="auto"/>
            <w:noWrap/>
            <w:vAlign w:val="bottom"/>
            <w:hideMark/>
          </w:tcPr>
          <w:p w:rsidR="00892103" w:rsidRPr="000C770C" w:rsidRDefault="00892103" w:rsidP="002F5B75">
            <w:pPr>
              <w:widowControl/>
              <w:snapToGrid w:val="0"/>
              <w:jc w:val="center"/>
              <w:rPr>
                <w:color w:val="000000" w:themeColor="text1"/>
              </w:rPr>
            </w:pPr>
            <w:r w:rsidRPr="000C770C">
              <w:rPr>
                <w:color w:val="000000" w:themeColor="text1"/>
              </w:rPr>
              <w:t>(1)</w:t>
            </w:r>
          </w:p>
        </w:tc>
        <w:tc>
          <w:tcPr>
            <w:tcW w:w="2504" w:type="dxa"/>
            <w:tcBorders>
              <w:top w:val="single" w:sz="8" w:space="0" w:color="auto"/>
              <w:left w:val="nil"/>
              <w:bottom w:val="nil"/>
              <w:right w:val="single" w:sz="4" w:space="0" w:color="auto"/>
            </w:tcBorders>
            <w:shd w:val="clear" w:color="auto" w:fill="auto"/>
            <w:noWrap/>
            <w:vAlign w:val="bottom"/>
            <w:hideMark/>
          </w:tcPr>
          <w:p w:rsidR="00892103" w:rsidRPr="000C770C" w:rsidRDefault="00892103" w:rsidP="002F5B75">
            <w:pPr>
              <w:widowControl/>
              <w:snapToGrid w:val="0"/>
              <w:jc w:val="center"/>
              <w:rPr>
                <w:color w:val="000000" w:themeColor="text1"/>
              </w:rPr>
            </w:pPr>
            <w:r w:rsidRPr="000C770C">
              <w:rPr>
                <w:color w:val="000000" w:themeColor="text1"/>
              </w:rPr>
              <w:t>(2)</w:t>
            </w:r>
          </w:p>
        </w:tc>
        <w:tc>
          <w:tcPr>
            <w:tcW w:w="2504" w:type="dxa"/>
            <w:tcBorders>
              <w:top w:val="single" w:sz="8" w:space="0" w:color="auto"/>
              <w:left w:val="nil"/>
              <w:bottom w:val="nil"/>
              <w:right w:val="single" w:sz="4" w:space="0" w:color="auto"/>
            </w:tcBorders>
            <w:shd w:val="clear" w:color="auto" w:fill="auto"/>
            <w:noWrap/>
            <w:vAlign w:val="bottom"/>
            <w:hideMark/>
          </w:tcPr>
          <w:p w:rsidR="00892103" w:rsidRPr="000C770C" w:rsidRDefault="00892103" w:rsidP="00627180">
            <w:pPr>
              <w:widowControl/>
              <w:snapToGrid w:val="0"/>
              <w:jc w:val="center"/>
              <w:rPr>
                <w:color w:val="000000" w:themeColor="text1"/>
              </w:rPr>
            </w:pPr>
            <w:r w:rsidRPr="000C770C">
              <w:rPr>
                <w:color w:val="000000" w:themeColor="text1"/>
              </w:rPr>
              <w:t>(3)=(1)-(2)</w:t>
            </w:r>
          </w:p>
        </w:tc>
      </w:tr>
      <w:tr w:rsidR="00892103" w:rsidRPr="000C770C" w:rsidTr="0032770E">
        <w:trPr>
          <w:trHeight w:val="355"/>
        </w:trPr>
        <w:tc>
          <w:tcPr>
            <w:tcW w:w="1575" w:type="dxa"/>
            <w:vMerge/>
            <w:tcBorders>
              <w:top w:val="single" w:sz="8" w:space="0" w:color="auto"/>
              <w:left w:val="single" w:sz="4" w:space="0" w:color="auto"/>
              <w:bottom w:val="single" w:sz="4" w:space="0" w:color="000000"/>
              <w:right w:val="single" w:sz="4" w:space="0" w:color="auto"/>
            </w:tcBorders>
            <w:vAlign w:val="center"/>
            <w:hideMark/>
          </w:tcPr>
          <w:p w:rsidR="00892103" w:rsidRPr="000C770C" w:rsidRDefault="00892103" w:rsidP="002C063F">
            <w:pPr>
              <w:widowControl/>
              <w:snapToGrid w:val="0"/>
              <w:jc w:val="center"/>
              <w:rPr>
                <w:rFonts w:eastAsia="標楷體"/>
                <w:color w:val="000000" w:themeColor="text1"/>
              </w:rPr>
            </w:pPr>
          </w:p>
        </w:tc>
        <w:tc>
          <w:tcPr>
            <w:tcW w:w="2504" w:type="dxa"/>
            <w:tcBorders>
              <w:top w:val="nil"/>
              <w:left w:val="nil"/>
              <w:right w:val="single" w:sz="4" w:space="0" w:color="auto"/>
            </w:tcBorders>
            <w:shd w:val="clear" w:color="auto" w:fill="auto"/>
            <w:vAlign w:val="center"/>
            <w:hideMark/>
          </w:tcPr>
          <w:p w:rsidR="00892103" w:rsidRPr="000C770C" w:rsidRDefault="00892103" w:rsidP="002F5B75">
            <w:pPr>
              <w:widowControl/>
              <w:snapToGrid w:val="0"/>
              <w:jc w:val="center"/>
              <w:rPr>
                <w:color w:val="000000" w:themeColor="text1"/>
              </w:rPr>
            </w:pPr>
            <w:r w:rsidRPr="000C770C">
              <w:rPr>
                <w:color w:val="000000" w:themeColor="text1"/>
              </w:rPr>
              <w:t xml:space="preserve">1-year </w:t>
            </w:r>
            <w:r w:rsidRPr="000C770C">
              <w:rPr>
                <w:b/>
                <w:color w:val="000000" w:themeColor="text1"/>
              </w:rPr>
              <w:t>time deposit rate</w:t>
            </w:r>
            <w:r w:rsidRPr="000C770C">
              <w:rPr>
                <w:rFonts w:hint="eastAsia"/>
                <w:color w:val="000000" w:themeColor="text1"/>
              </w:rPr>
              <w:t>*</w:t>
            </w:r>
          </w:p>
        </w:tc>
        <w:tc>
          <w:tcPr>
            <w:tcW w:w="2504" w:type="dxa"/>
            <w:tcBorders>
              <w:top w:val="nil"/>
              <w:left w:val="nil"/>
              <w:right w:val="single" w:sz="4" w:space="0" w:color="auto"/>
            </w:tcBorders>
            <w:shd w:val="clear" w:color="auto" w:fill="auto"/>
            <w:noWrap/>
            <w:vAlign w:val="center"/>
            <w:hideMark/>
          </w:tcPr>
          <w:p w:rsidR="00892103" w:rsidRPr="000C770C" w:rsidRDefault="00892103" w:rsidP="002F5B75">
            <w:pPr>
              <w:widowControl/>
              <w:snapToGrid w:val="0"/>
              <w:jc w:val="center"/>
              <w:rPr>
                <w:color w:val="000000" w:themeColor="text1"/>
              </w:rPr>
            </w:pPr>
            <w:r w:rsidRPr="000C770C">
              <w:rPr>
                <w:color w:val="000000" w:themeColor="text1"/>
              </w:rPr>
              <w:t>CPI annual growth rate</w:t>
            </w:r>
            <w:r w:rsidRPr="000C770C">
              <w:rPr>
                <w:rFonts w:eastAsia="標楷體"/>
                <w:color w:val="000000" w:themeColor="text1"/>
              </w:rPr>
              <w:t>*</w:t>
            </w:r>
            <w:r w:rsidRPr="000C770C">
              <w:rPr>
                <w:color w:val="000000" w:themeColor="text1"/>
              </w:rPr>
              <w:t>*</w:t>
            </w:r>
          </w:p>
        </w:tc>
        <w:tc>
          <w:tcPr>
            <w:tcW w:w="25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103" w:rsidRPr="000C770C" w:rsidRDefault="00892103" w:rsidP="00627180">
            <w:pPr>
              <w:widowControl/>
              <w:snapToGrid w:val="0"/>
              <w:jc w:val="center"/>
              <w:rPr>
                <w:rFonts w:eastAsia="標楷體"/>
                <w:b/>
                <w:bCs/>
                <w:color w:val="000000" w:themeColor="text1"/>
              </w:rPr>
            </w:pPr>
            <w:r w:rsidRPr="000C770C">
              <w:rPr>
                <w:rFonts w:eastAsia="標楷體" w:hint="eastAsia"/>
                <w:b/>
                <w:bCs/>
                <w:color w:val="000000" w:themeColor="text1"/>
              </w:rPr>
              <w:t>Real interest rate</w:t>
            </w:r>
          </w:p>
        </w:tc>
      </w:tr>
      <w:tr w:rsidR="00892103" w:rsidRPr="000C770C" w:rsidTr="0032770E">
        <w:trPr>
          <w:trHeight w:val="261"/>
        </w:trPr>
        <w:tc>
          <w:tcPr>
            <w:tcW w:w="1575" w:type="dxa"/>
            <w:vMerge/>
            <w:tcBorders>
              <w:top w:val="single" w:sz="8" w:space="0" w:color="auto"/>
              <w:left w:val="single" w:sz="4" w:space="0" w:color="auto"/>
              <w:bottom w:val="single" w:sz="4" w:space="0" w:color="000000"/>
              <w:right w:val="single" w:sz="4" w:space="0" w:color="auto"/>
            </w:tcBorders>
            <w:vAlign w:val="center"/>
            <w:hideMark/>
          </w:tcPr>
          <w:p w:rsidR="00892103" w:rsidRPr="000C770C" w:rsidRDefault="00892103" w:rsidP="002C063F">
            <w:pPr>
              <w:widowControl/>
              <w:snapToGrid w:val="0"/>
              <w:jc w:val="center"/>
              <w:rPr>
                <w:rFonts w:eastAsia="標楷體"/>
                <w:color w:val="000000" w:themeColor="text1"/>
              </w:rPr>
            </w:pPr>
          </w:p>
        </w:tc>
        <w:tc>
          <w:tcPr>
            <w:tcW w:w="2504" w:type="dxa"/>
            <w:tcBorders>
              <w:top w:val="nil"/>
              <w:left w:val="nil"/>
              <w:bottom w:val="single" w:sz="4" w:space="0" w:color="auto"/>
              <w:right w:val="single" w:sz="4" w:space="0" w:color="auto"/>
            </w:tcBorders>
            <w:shd w:val="clear" w:color="auto" w:fill="auto"/>
            <w:noWrap/>
            <w:vAlign w:val="center"/>
            <w:hideMark/>
          </w:tcPr>
          <w:p w:rsidR="00892103" w:rsidRPr="000C770C" w:rsidRDefault="00892103" w:rsidP="00112888">
            <w:pPr>
              <w:widowControl/>
              <w:snapToGrid w:val="0"/>
              <w:jc w:val="center"/>
              <w:rPr>
                <w:color w:val="000000" w:themeColor="text1"/>
              </w:rPr>
            </w:pPr>
            <w:r w:rsidRPr="000C770C">
              <w:rPr>
                <w:color w:val="000000" w:themeColor="text1"/>
              </w:rPr>
              <w:t>(</w:t>
            </w:r>
            <w:r w:rsidRPr="000C770C">
              <w:rPr>
                <w:rFonts w:hint="eastAsia"/>
                <w:color w:val="000000" w:themeColor="text1"/>
              </w:rPr>
              <w:t xml:space="preserve">As of </w:t>
            </w:r>
            <w:r w:rsidRPr="000C770C">
              <w:rPr>
                <w:color w:val="000000" w:themeColor="text1"/>
              </w:rPr>
              <w:t>201</w:t>
            </w:r>
            <w:r w:rsidRPr="000C770C">
              <w:rPr>
                <w:rFonts w:hint="eastAsia"/>
                <w:color w:val="000000" w:themeColor="text1"/>
              </w:rPr>
              <w:t>9</w:t>
            </w:r>
            <w:r w:rsidRPr="000C770C">
              <w:rPr>
                <w:rFonts w:eastAsia="標楷體" w:hint="eastAsia"/>
                <w:color w:val="000000" w:themeColor="text1"/>
              </w:rPr>
              <w:t>/</w:t>
            </w:r>
            <w:r w:rsidRPr="000C770C">
              <w:rPr>
                <w:rFonts w:hint="eastAsia"/>
                <w:color w:val="000000" w:themeColor="text1"/>
              </w:rPr>
              <w:t>6/20)</w:t>
            </w:r>
          </w:p>
        </w:tc>
        <w:tc>
          <w:tcPr>
            <w:tcW w:w="2504" w:type="dxa"/>
            <w:tcBorders>
              <w:top w:val="nil"/>
              <w:left w:val="nil"/>
              <w:bottom w:val="single" w:sz="4" w:space="0" w:color="auto"/>
              <w:right w:val="single" w:sz="4" w:space="0" w:color="auto"/>
            </w:tcBorders>
            <w:shd w:val="clear" w:color="auto" w:fill="auto"/>
            <w:noWrap/>
            <w:vAlign w:val="center"/>
            <w:hideMark/>
          </w:tcPr>
          <w:p w:rsidR="00892103" w:rsidRPr="000C770C" w:rsidRDefault="00892103" w:rsidP="00112888">
            <w:pPr>
              <w:widowControl/>
              <w:snapToGrid w:val="0"/>
              <w:jc w:val="center"/>
              <w:rPr>
                <w:color w:val="000000" w:themeColor="text1"/>
              </w:rPr>
            </w:pPr>
            <w:r w:rsidRPr="000C770C">
              <w:rPr>
                <w:color w:val="000000" w:themeColor="text1"/>
              </w:rPr>
              <w:t>(201</w:t>
            </w:r>
            <w:r w:rsidRPr="000C770C">
              <w:rPr>
                <w:rFonts w:hint="eastAsia"/>
                <w:color w:val="000000" w:themeColor="text1"/>
              </w:rPr>
              <w:t>9</w:t>
            </w:r>
            <w:r w:rsidRPr="000C770C">
              <w:rPr>
                <w:rFonts w:eastAsia="標楷體" w:hint="eastAsia"/>
                <w:color w:val="000000" w:themeColor="text1"/>
              </w:rPr>
              <w:t xml:space="preserve"> forecast</w:t>
            </w:r>
            <w:r w:rsidRPr="000C770C">
              <w:rPr>
                <w:color w:val="000000" w:themeColor="text1"/>
              </w:rPr>
              <w:t>)</w:t>
            </w:r>
          </w:p>
        </w:tc>
        <w:tc>
          <w:tcPr>
            <w:tcW w:w="2504" w:type="dxa"/>
            <w:vMerge/>
            <w:tcBorders>
              <w:top w:val="nil"/>
              <w:left w:val="single" w:sz="4" w:space="0" w:color="auto"/>
              <w:bottom w:val="single" w:sz="4" w:space="0" w:color="000000"/>
              <w:right w:val="single" w:sz="4" w:space="0" w:color="auto"/>
            </w:tcBorders>
            <w:vAlign w:val="center"/>
            <w:hideMark/>
          </w:tcPr>
          <w:p w:rsidR="00892103" w:rsidRPr="000C770C" w:rsidRDefault="00892103" w:rsidP="00627180">
            <w:pPr>
              <w:widowControl/>
              <w:snapToGrid w:val="0"/>
              <w:rPr>
                <w:rFonts w:eastAsia="標楷體"/>
                <w:b/>
                <w:bCs/>
                <w:color w:val="000000" w:themeColor="text1"/>
              </w:rPr>
            </w:pP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Malaysia</w:t>
            </w:r>
          </w:p>
        </w:tc>
        <w:tc>
          <w:tcPr>
            <w:tcW w:w="2504" w:type="dxa"/>
            <w:tcBorders>
              <w:top w:val="single" w:sz="4" w:space="0" w:color="auto"/>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2.750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0.68</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2.070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auto" w:fill="auto"/>
            <w:noWrap/>
            <w:vAlign w:val="center"/>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Indonesia</w:t>
            </w:r>
          </w:p>
        </w:tc>
        <w:tc>
          <w:tcPr>
            <w:tcW w:w="2504" w:type="dxa"/>
            <w:tcBorders>
              <w:top w:val="nil"/>
              <w:left w:val="nil"/>
              <w:bottom w:val="single" w:sz="4" w:space="0" w:color="auto"/>
              <w:right w:val="single" w:sz="4" w:space="0" w:color="auto"/>
            </w:tcBorders>
            <w:shd w:val="clear" w:color="auto" w:fill="auto"/>
            <w:vAlign w:val="center"/>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4.750</w:t>
            </w:r>
          </w:p>
        </w:tc>
        <w:tc>
          <w:tcPr>
            <w:tcW w:w="2504" w:type="dxa"/>
            <w:tcBorders>
              <w:top w:val="nil"/>
              <w:left w:val="nil"/>
              <w:bottom w:val="single" w:sz="4" w:space="0" w:color="auto"/>
              <w:right w:val="single" w:sz="4" w:space="0" w:color="auto"/>
            </w:tcBorders>
            <w:shd w:val="clear" w:color="auto" w:fill="auto"/>
            <w:vAlign w:val="center"/>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2.86</w:t>
            </w:r>
          </w:p>
        </w:tc>
        <w:tc>
          <w:tcPr>
            <w:tcW w:w="2504" w:type="dxa"/>
            <w:tcBorders>
              <w:top w:val="nil"/>
              <w:left w:val="nil"/>
              <w:bottom w:val="single" w:sz="4" w:space="0" w:color="auto"/>
              <w:right w:val="single" w:sz="4" w:space="0" w:color="auto"/>
            </w:tcBorders>
            <w:shd w:val="clear" w:color="auto" w:fill="auto"/>
            <w:vAlign w:val="center"/>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1.890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South Korea</w:t>
            </w:r>
          </w:p>
        </w:tc>
        <w:tc>
          <w:tcPr>
            <w:tcW w:w="2504" w:type="dxa"/>
            <w:tcBorders>
              <w:top w:val="nil"/>
              <w:left w:val="nil"/>
              <w:bottom w:val="single" w:sz="4" w:space="0" w:color="auto"/>
              <w:right w:val="single" w:sz="4" w:space="0" w:color="auto"/>
            </w:tcBorders>
            <w:shd w:val="clear" w:color="auto" w:fill="auto"/>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1.500</w:t>
            </w:r>
          </w:p>
        </w:tc>
        <w:tc>
          <w:tcPr>
            <w:tcW w:w="2504" w:type="dxa"/>
            <w:tcBorders>
              <w:top w:val="nil"/>
              <w:left w:val="nil"/>
              <w:bottom w:val="single" w:sz="4" w:space="0" w:color="auto"/>
              <w:right w:val="single" w:sz="4" w:space="0" w:color="auto"/>
            </w:tcBorders>
            <w:shd w:val="clear" w:color="auto" w:fill="auto"/>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0.50</w:t>
            </w:r>
          </w:p>
        </w:tc>
        <w:tc>
          <w:tcPr>
            <w:tcW w:w="2504" w:type="dxa"/>
            <w:tcBorders>
              <w:top w:val="nil"/>
              <w:left w:val="nil"/>
              <w:bottom w:val="single" w:sz="4" w:space="0" w:color="auto"/>
              <w:right w:val="single" w:sz="4" w:space="0" w:color="auto"/>
            </w:tcBorders>
            <w:shd w:val="clear" w:color="auto" w:fill="auto"/>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1.000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Thailand</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1.500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1.00</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0.500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auto" w:fill="FFFFCC"/>
            <w:noWrap/>
            <w:vAlign w:val="center"/>
            <w:hideMark/>
          </w:tcPr>
          <w:p w:rsidR="00892103" w:rsidRPr="000C770C" w:rsidRDefault="00892103" w:rsidP="002C063F">
            <w:pPr>
              <w:jc w:val="center"/>
              <w:rPr>
                <w:rFonts w:eastAsia="標楷體"/>
                <w:b/>
                <w:color w:val="000000" w:themeColor="text1"/>
              </w:rPr>
            </w:pPr>
            <w:r w:rsidRPr="000C770C">
              <w:rPr>
                <w:rFonts w:eastAsia="標楷體" w:hint="eastAsia"/>
                <w:b/>
                <w:color w:val="000000" w:themeColor="text1"/>
              </w:rPr>
              <w:t>T</w:t>
            </w:r>
            <w:r w:rsidRPr="000C770C">
              <w:rPr>
                <w:rFonts w:eastAsia="標楷體"/>
                <w:b/>
                <w:color w:val="000000" w:themeColor="text1"/>
              </w:rPr>
              <w:t>a</w:t>
            </w:r>
            <w:r w:rsidRPr="000C770C">
              <w:rPr>
                <w:rFonts w:eastAsia="標楷體" w:hint="eastAsia"/>
                <w:b/>
                <w:color w:val="000000" w:themeColor="text1"/>
              </w:rPr>
              <w:t>iwan</w:t>
            </w:r>
          </w:p>
        </w:tc>
        <w:tc>
          <w:tcPr>
            <w:tcW w:w="2504" w:type="dxa"/>
            <w:tcBorders>
              <w:top w:val="nil"/>
              <w:left w:val="nil"/>
              <w:bottom w:val="single" w:sz="4" w:space="0" w:color="auto"/>
              <w:right w:val="nil"/>
            </w:tcBorders>
            <w:shd w:val="clear" w:color="auto" w:fill="FFFFCC"/>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1.065</w:t>
            </w:r>
          </w:p>
        </w:tc>
        <w:tc>
          <w:tcPr>
            <w:tcW w:w="2504" w:type="dxa"/>
            <w:tcBorders>
              <w:top w:val="nil"/>
              <w:left w:val="single" w:sz="4" w:space="0" w:color="auto"/>
              <w:bottom w:val="single" w:sz="4" w:space="0" w:color="auto"/>
              <w:right w:val="nil"/>
            </w:tcBorders>
            <w:shd w:val="clear" w:color="auto" w:fill="FFFFCC"/>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0.87</w:t>
            </w:r>
          </w:p>
        </w:tc>
        <w:tc>
          <w:tcPr>
            <w:tcW w:w="2504" w:type="dxa"/>
            <w:tcBorders>
              <w:top w:val="nil"/>
              <w:left w:val="single" w:sz="4" w:space="0" w:color="auto"/>
              <w:bottom w:val="single" w:sz="4" w:space="0" w:color="auto"/>
              <w:right w:val="single" w:sz="4" w:space="0" w:color="auto"/>
            </w:tcBorders>
            <w:shd w:val="clear" w:color="auto" w:fill="FFFFCC"/>
            <w:noWrap/>
            <w:vAlign w:val="center"/>
            <w:hideMark/>
          </w:tcPr>
          <w:p w:rsidR="00892103" w:rsidRPr="000C770C" w:rsidRDefault="00892103" w:rsidP="00537B1B">
            <w:pPr>
              <w:jc w:val="center"/>
              <w:rPr>
                <w:rFonts w:eastAsia="標楷體"/>
                <w:b/>
                <w:color w:val="000000" w:themeColor="text1"/>
                <w:sz w:val="22"/>
                <w:szCs w:val="22"/>
              </w:rPr>
            </w:pPr>
            <w:r w:rsidRPr="000C770C">
              <w:rPr>
                <w:rFonts w:eastAsia="標楷體"/>
                <w:b/>
                <w:color w:val="000000" w:themeColor="text1"/>
                <w:sz w:val="22"/>
                <w:szCs w:val="22"/>
              </w:rPr>
              <w:t>0.195</w:t>
            </w:r>
          </w:p>
        </w:tc>
      </w:tr>
      <w:tr w:rsidR="00892103" w:rsidRPr="000C770C" w:rsidTr="0032770E">
        <w:trPr>
          <w:trHeight w:val="5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Singapore</w:t>
            </w:r>
          </w:p>
        </w:tc>
        <w:tc>
          <w:tcPr>
            <w:tcW w:w="2504" w:type="dxa"/>
            <w:tcBorders>
              <w:top w:val="single" w:sz="4" w:space="0" w:color="auto"/>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0.700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1.05</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-0.350</w:t>
            </w:r>
          </w:p>
        </w:tc>
      </w:tr>
      <w:tr w:rsidR="00892103" w:rsidRPr="000C770C" w:rsidTr="0032770E">
        <w:trPr>
          <w:trHeight w:val="5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Japan</w:t>
            </w:r>
          </w:p>
        </w:tc>
        <w:tc>
          <w:tcPr>
            <w:tcW w:w="2504" w:type="dxa"/>
            <w:tcBorders>
              <w:top w:val="single" w:sz="4" w:space="0" w:color="auto"/>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0.010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0.65</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b/>
                <w:color w:val="000000" w:themeColor="text1"/>
                <w:sz w:val="22"/>
                <w:szCs w:val="22"/>
              </w:rPr>
            </w:pPr>
            <w:r w:rsidRPr="000C770C">
              <w:rPr>
                <w:rFonts w:eastAsia="標楷體"/>
                <w:b/>
                <w:color w:val="000000" w:themeColor="text1"/>
                <w:sz w:val="22"/>
                <w:szCs w:val="22"/>
              </w:rPr>
              <w:t>-0.640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b/>
                <w:color w:val="000000" w:themeColor="text1"/>
              </w:rPr>
            </w:pPr>
            <w:r w:rsidRPr="000C770C">
              <w:rPr>
                <w:rFonts w:eastAsia="標楷體" w:hint="eastAsia"/>
                <w:color w:val="000000" w:themeColor="text1"/>
              </w:rPr>
              <w:t>Switzerland</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0.000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0.72</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-0.720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b/>
                <w:color w:val="000000" w:themeColor="text1"/>
              </w:rPr>
            </w:pPr>
            <w:r w:rsidRPr="000C770C">
              <w:rPr>
                <w:rFonts w:eastAsia="標楷體" w:hint="eastAsia"/>
                <w:b/>
                <w:color w:val="000000" w:themeColor="text1"/>
              </w:rPr>
              <w:t>US</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1.240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2.07</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b/>
                <w:color w:val="000000" w:themeColor="text1"/>
                <w:sz w:val="22"/>
                <w:szCs w:val="22"/>
              </w:rPr>
            </w:pPr>
            <w:r w:rsidRPr="000C770C">
              <w:rPr>
                <w:rFonts w:eastAsia="標楷體"/>
                <w:b/>
                <w:color w:val="000000" w:themeColor="text1"/>
                <w:sz w:val="22"/>
                <w:szCs w:val="22"/>
              </w:rPr>
              <w:t>-0.830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China</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1.500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2.40</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-0.900</w:t>
            </w:r>
          </w:p>
        </w:tc>
      </w:tr>
      <w:tr w:rsidR="00892103" w:rsidRPr="000C770C" w:rsidTr="0032770E">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UK</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0.700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1.88</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-1.180</w:t>
            </w:r>
          </w:p>
        </w:tc>
      </w:tr>
      <w:tr w:rsidR="00892103" w:rsidRPr="000C770C" w:rsidTr="0032770E">
        <w:trPr>
          <w:trHeight w:val="588"/>
        </w:trPr>
        <w:tc>
          <w:tcPr>
            <w:tcW w:w="1575" w:type="dxa"/>
            <w:tcBorders>
              <w:top w:val="nil"/>
              <w:left w:val="single" w:sz="4" w:space="0" w:color="auto"/>
              <w:bottom w:val="nil"/>
              <w:right w:val="single" w:sz="4" w:space="0" w:color="auto"/>
            </w:tcBorders>
            <w:shd w:val="clear" w:color="auto" w:fill="auto"/>
            <w:noWrap/>
            <w:vAlign w:val="center"/>
            <w:hideMark/>
          </w:tcPr>
          <w:p w:rsidR="00892103" w:rsidRPr="000C770C" w:rsidRDefault="00892103" w:rsidP="002C063F">
            <w:pPr>
              <w:jc w:val="center"/>
              <w:rPr>
                <w:rFonts w:eastAsia="標楷體"/>
                <w:b/>
                <w:color w:val="000000" w:themeColor="text1"/>
              </w:rPr>
            </w:pPr>
            <w:r w:rsidRPr="000C770C">
              <w:rPr>
                <w:rFonts w:eastAsia="標楷體" w:hint="eastAsia"/>
                <w:b/>
                <w:color w:val="000000" w:themeColor="text1"/>
              </w:rPr>
              <w:t>Euro area</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0.050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1.44</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b/>
                <w:color w:val="000000" w:themeColor="text1"/>
                <w:sz w:val="22"/>
                <w:szCs w:val="22"/>
              </w:rPr>
            </w:pPr>
            <w:r w:rsidRPr="000C770C">
              <w:rPr>
                <w:rFonts w:eastAsia="標楷體"/>
                <w:b/>
                <w:color w:val="000000" w:themeColor="text1"/>
                <w:sz w:val="22"/>
                <w:szCs w:val="22"/>
              </w:rPr>
              <w:t>-1.390</w:t>
            </w:r>
          </w:p>
        </w:tc>
      </w:tr>
      <w:tr w:rsidR="00892103" w:rsidRPr="000C770C" w:rsidTr="0032770E">
        <w:trPr>
          <w:trHeight w:val="588"/>
        </w:trPr>
        <w:tc>
          <w:tcPr>
            <w:tcW w:w="15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Hong Kong</w:t>
            </w:r>
          </w:p>
        </w:tc>
        <w:tc>
          <w:tcPr>
            <w:tcW w:w="2504" w:type="dxa"/>
            <w:tcBorders>
              <w:top w:val="nil"/>
              <w:left w:val="nil"/>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0.300</w:t>
            </w:r>
          </w:p>
        </w:tc>
        <w:tc>
          <w:tcPr>
            <w:tcW w:w="2504" w:type="dxa"/>
            <w:tcBorders>
              <w:top w:val="nil"/>
              <w:left w:val="single" w:sz="4" w:space="0" w:color="auto"/>
              <w:bottom w:val="single" w:sz="4" w:space="0" w:color="auto"/>
              <w:right w:val="nil"/>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2.26</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-1.960</w:t>
            </w:r>
          </w:p>
        </w:tc>
      </w:tr>
      <w:tr w:rsidR="00892103" w:rsidRPr="000C770C" w:rsidTr="0032770E">
        <w:trPr>
          <w:trHeight w:val="588"/>
        </w:trPr>
        <w:tc>
          <w:tcPr>
            <w:tcW w:w="1575" w:type="dxa"/>
            <w:tcBorders>
              <w:top w:val="nil"/>
              <w:left w:val="single" w:sz="4" w:space="0" w:color="auto"/>
              <w:bottom w:val="single" w:sz="8" w:space="0" w:color="auto"/>
              <w:right w:val="single" w:sz="4" w:space="0" w:color="auto"/>
            </w:tcBorders>
            <w:shd w:val="clear" w:color="FFFFFF" w:fill="FFFFFF"/>
            <w:noWrap/>
            <w:vAlign w:val="center"/>
            <w:hideMark/>
          </w:tcPr>
          <w:p w:rsidR="00892103" w:rsidRPr="000C770C" w:rsidRDefault="00892103" w:rsidP="002C063F">
            <w:pPr>
              <w:jc w:val="center"/>
              <w:rPr>
                <w:rFonts w:eastAsia="標楷體"/>
                <w:color w:val="000000" w:themeColor="text1"/>
              </w:rPr>
            </w:pPr>
            <w:r w:rsidRPr="000C770C">
              <w:rPr>
                <w:rFonts w:eastAsia="標楷體" w:hint="eastAsia"/>
                <w:color w:val="000000" w:themeColor="text1"/>
              </w:rPr>
              <w:t>Philippines</w:t>
            </w:r>
          </w:p>
        </w:tc>
        <w:tc>
          <w:tcPr>
            <w:tcW w:w="2504" w:type="dxa"/>
            <w:tcBorders>
              <w:top w:val="nil"/>
              <w:left w:val="nil"/>
              <w:bottom w:val="single" w:sz="8"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0.500</w:t>
            </w:r>
          </w:p>
        </w:tc>
        <w:tc>
          <w:tcPr>
            <w:tcW w:w="2504" w:type="dxa"/>
            <w:tcBorders>
              <w:top w:val="nil"/>
              <w:left w:val="nil"/>
              <w:bottom w:val="single" w:sz="8"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3.06</w:t>
            </w:r>
          </w:p>
        </w:tc>
        <w:tc>
          <w:tcPr>
            <w:tcW w:w="2504" w:type="dxa"/>
            <w:tcBorders>
              <w:top w:val="nil"/>
              <w:left w:val="nil"/>
              <w:bottom w:val="single" w:sz="8" w:space="0" w:color="auto"/>
              <w:right w:val="single" w:sz="4" w:space="0" w:color="auto"/>
            </w:tcBorders>
            <w:shd w:val="clear" w:color="auto" w:fill="auto"/>
            <w:noWrap/>
            <w:vAlign w:val="center"/>
            <w:hideMark/>
          </w:tcPr>
          <w:p w:rsidR="00892103" w:rsidRPr="000C770C" w:rsidRDefault="00892103" w:rsidP="00537B1B">
            <w:pPr>
              <w:jc w:val="center"/>
              <w:rPr>
                <w:rFonts w:eastAsia="標楷體"/>
                <w:color w:val="000000" w:themeColor="text1"/>
                <w:sz w:val="22"/>
                <w:szCs w:val="22"/>
              </w:rPr>
            </w:pPr>
            <w:r w:rsidRPr="000C770C">
              <w:rPr>
                <w:rFonts w:eastAsia="標楷體"/>
                <w:color w:val="000000" w:themeColor="text1"/>
                <w:sz w:val="22"/>
                <w:szCs w:val="22"/>
              </w:rPr>
              <w:t>-2.560</w:t>
            </w:r>
          </w:p>
        </w:tc>
      </w:tr>
    </w:tbl>
    <w:p w:rsidR="00892103" w:rsidRPr="00A565EA" w:rsidRDefault="00892103" w:rsidP="00A565EA">
      <w:pPr>
        <w:snapToGrid w:val="0"/>
        <w:spacing w:before="60"/>
        <w:ind w:left="271" w:hangingChars="129" w:hanging="271"/>
        <w:rPr>
          <w:rFonts w:eastAsia="標楷體"/>
          <w:sz w:val="21"/>
          <w:szCs w:val="22"/>
        </w:rPr>
      </w:pPr>
      <w:proofErr w:type="gramStart"/>
      <w:r w:rsidRPr="00A565EA">
        <w:rPr>
          <w:rFonts w:eastAsia="標楷體" w:hint="eastAsia"/>
          <w:sz w:val="21"/>
          <w:szCs w:val="22"/>
        </w:rPr>
        <w:t>*  1</w:t>
      </w:r>
      <w:proofErr w:type="gramEnd"/>
      <w:r w:rsidRPr="00A565EA">
        <w:rPr>
          <w:rFonts w:eastAsia="標楷體" w:hint="eastAsia"/>
          <w:sz w:val="21"/>
          <w:szCs w:val="22"/>
        </w:rPr>
        <w:t xml:space="preserve">-year interest rates on small-amount deposits of selected major banks in respective economies, except for Taiwan, of which the figure is the </w:t>
      </w:r>
      <w:r w:rsidRPr="00A565EA">
        <w:rPr>
          <w:rFonts w:eastAsia="標楷體"/>
          <w:sz w:val="21"/>
          <w:szCs w:val="22"/>
        </w:rPr>
        <w:t>1</w:t>
      </w:r>
      <w:r w:rsidRPr="00A565EA">
        <w:rPr>
          <w:rFonts w:eastAsia="標楷體" w:hint="eastAsia"/>
          <w:sz w:val="21"/>
          <w:szCs w:val="22"/>
        </w:rPr>
        <w:t>-</w:t>
      </w:r>
      <w:r w:rsidRPr="00A565EA">
        <w:rPr>
          <w:rFonts w:eastAsia="標楷體"/>
          <w:sz w:val="21"/>
          <w:szCs w:val="22"/>
        </w:rPr>
        <w:t>y</w:t>
      </w:r>
      <w:r w:rsidRPr="00A565EA">
        <w:rPr>
          <w:rFonts w:eastAsia="標楷體" w:hint="eastAsia"/>
          <w:sz w:val="21"/>
          <w:szCs w:val="22"/>
        </w:rPr>
        <w:t>ear</w:t>
      </w:r>
      <w:r w:rsidRPr="00A565EA">
        <w:rPr>
          <w:rFonts w:eastAsia="標楷體"/>
          <w:sz w:val="21"/>
          <w:szCs w:val="22"/>
        </w:rPr>
        <w:t xml:space="preserve"> time</w:t>
      </w:r>
      <w:r w:rsidRPr="00A565EA">
        <w:rPr>
          <w:rFonts w:eastAsia="標楷體" w:hint="eastAsia"/>
          <w:sz w:val="21"/>
          <w:szCs w:val="22"/>
        </w:rPr>
        <w:t xml:space="preserve"> </w:t>
      </w:r>
      <w:r w:rsidRPr="00A565EA">
        <w:rPr>
          <w:rFonts w:eastAsia="標楷體"/>
          <w:sz w:val="21"/>
          <w:szCs w:val="22"/>
        </w:rPr>
        <w:t>deposit</w:t>
      </w:r>
      <w:r w:rsidRPr="00A565EA">
        <w:rPr>
          <w:rFonts w:eastAsia="標楷體" w:hint="eastAsia"/>
          <w:sz w:val="21"/>
          <w:szCs w:val="22"/>
        </w:rPr>
        <w:t xml:space="preserve"> floating</w:t>
      </w:r>
      <w:r w:rsidRPr="00A565EA">
        <w:rPr>
          <w:rFonts w:eastAsia="標楷體"/>
          <w:sz w:val="21"/>
          <w:szCs w:val="22"/>
        </w:rPr>
        <w:t xml:space="preserve"> rate of the five major domestic banks</w:t>
      </w:r>
      <w:r w:rsidRPr="00A565EA">
        <w:rPr>
          <w:rFonts w:eastAsia="標楷體" w:hint="eastAsia"/>
          <w:sz w:val="21"/>
          <w:szCs w:val="22"/>
        </w:rPr>
        <w:t xml:space="preserve">. </w:t>
      </w:r>
    </w:p>
    <w:p w:rsidR="00892103" w:rsidRPr="00A565EA" w:rsidRDefault="00892103" w:rsidP="00A565EA">
      <w:pPr>
        <w:snapToGrid w:val="0"/>
        <w:spacing w:before="60"/>
        <w:ind w:left="271" w:hangingChars="129" w:hanging="271"/>
        <w:rPr>
          <w:rFonts w:eastAsia="標楷體"/>
          <w:sz w:val="21"/>
          <w:szCs w:val="22"/>
        </w:rPr>
      </w:pPr>
      <w:r w:rsidRPr="00A565EA">
        <w:rPr>
          <w:rFonts w:eastAsia="標楷體" w:hint="eastAsia"/>
          <w:sz w:val="21"/>
          <w:szCs w:val="22"/>
        </w:rPr>
        <w:t xml:space="preserve">** </w:t>
      </w:r>
      <w:r w:rsidRPr="00A565EA">
        <w:rPr>
          <w:rFonts w:eastAsia="標楷體"/>
          <w:sz w:val="21"/>
          <w:szCs w:val="22"/>
        </w:rPr>
        <w:t>I</w:t>
      </w:r>
      <w:r w:rsidRPr="00A565EA">
        <w:rPr>
          <w:rFonts w:eastAsia="標楷體" w:hint="eastAsia"/>
          <w:sz w:val="21"/>
          <w:szCs w:val="22"/>
        </w:rPr>
        <w:t>H</w:t>
      </w:r>
      <w:r w:rsidRPr="00A565EA">
        <w:rPr>
          <w:rFonts w:eastAsia="標楷體"/>
          <w:sz w:val="21"/>
          <w:szCs w:val="22"/>
        </w:rPr>
        <w:t>S</w:t>
      </w:r>
      <w:r w:rsidRPr="00A565EA">
        <w:rPr>
          <w:rFonts w:eastAsia="標楷體" w:hint="eastAsia"/>
          <w:sz w:val="21"/>
          <w:szCs w:val="22"/>
        </w:rPr>
        <w:t xml:space="preserve"> </w:t>
      </w:r>
      <w:proofErr w:type="spellStart"/>
      <w:r w:rsidRPr="00A565EA">
        <w:rPr>
          <w:rFonts w:eastAsia="標楷體" w:hint="eastAsia"/>
          <w:sz w:val="21"/>
          <w:szCs w:val="22"/>
        </w:rPr>
        <w:t>Markit</w:t>
      </w:r>
      <w:proofErr w:type="spellEnd"/>
      <w:r w:rsidRPr="00A565EA">
        <w:rPr>
          <w:rFonts w:eastAsia="標楷體"/>
          <w:sz w:val="21"/>
          <w:szCs w:val="22"/>
        </w:rPr>
        <w:t xml:space="preserve"> projections, as of </w:t>
      </w:r>
      <w:r w:rsidRPr="00A565EA">
        <w:rPr>
          <w:rFonts w:eastAsia="標楷體" w:hint="eastAsia"/>
          <w:sz w:val="21"/>
          <w:szCs w:val="22"/>
        </w:rPr>
        <w:t>June</w:t>
      </w:r>
      <w:r w:rsidRPr="00A565EA">
        <w:rPr>
          <w:rFonts w:eastAsia="標楷體"/>
          <w:sz w:val="21"/>
          <w:szCs w:val="22"/>
        </w:rPr>
        <w:t xml:space="preserve"> 1</w:t>
      </w:r>
      <w:r w:rsidRPr="00A565EA">
        <w:rPr>
          <w:rFonts w:eastAsia="標楷體" w:hint="eastAsia"/>
          <w:sz w:val="21"/>
          <w:szCs w:val="22"/>
        </w:rPr>
        <w:t>8</w:t>
      </w:r>
      <w:r w:rsidRPr="00A565EA">
        <w:rPr>
          <w:rFonts w:eastAsia="標楷體"/>
          <w:sz w:val="21"/>
          <w:szCs w:val="22"/>
        </w:rPr>
        <w:t>, 201</w:t>
      </w:r>
      <w:r w:rsidRPr="00A565EA">
        <w:rPr>
          <w:rFonts w:eastAsia="標楷體" w:hint="eastAsia"/>
          <w:sz w:val="21"/>
          <w:szCs w:val="22"/>
        </w:rPr>
        <w:t>9</w:t>
      </w:r>
      <w:r w:rsidRPr="00A565EA">
        <w:rPr>
          <w:rFonts w:eastAsia="標楷體"/>
          <w:sz w:val="21"/>
          <w:szCs w:val="22"/>
        </w:rPr>
        <w:t>. Forecast for Taiwan'</w:t>
      </w:r>
      <w:r w:rsidRPr="00A565EA">
        <w:rPr>
          <w:rFonts w:eastAsia="標楷體" w:hint="eastAsia"/>
          <w:sz w:val="21"/>
          <w:szCs w:val="22"/>
        </w:rPr>
        <w:t>s CPI annual growth rate is the CBC</w:t>
      </w:r>
      <w:r w:rsidRPr="00A565EA">
        <w:rPr>
          <w:rFonts w:eastAsia="標楷體"/>
          <w:sz w:val="21"/>
          <w:szCs w:val="22"/>
        </w:rPr>
        <w:t>'</w:t>
      </w:r>
      <w:r w:rsidRPr="00A565EA">
        <w:rPr>
          <w:rFonts w:eastAsia="標楷體" w:hint="eastAsia"/>
          <w:sz w:val="21"/>
          <w:szCs w:val="22"/>
        </w:rPr>
        <w:t>s projection.</w:t>
      </w:r>
    </w:p>
    <w:p w:rsidR="00892103" w:rsidRPr="00627180" w:rsidRDefault="00892103" w:rsidP="00892103">
      <w:pPr>
        <w:snapToGrid w:val="0"/>
        <w:spacing w:afterLines="20" w:after="48"/>
        <w:rPr>
          <w:rFonts w:eastAsia="標楷體"/>
        </w:rPr>
      </w:pPr>
    </w:p>
    <w:p w:rsidR="00F02919" w:rsidRDefault="00F02919">
      <w:pPr>
        <w:widowControl/>
        <w:adjustRightInd/>
        <w:spacing w:line="240" w:lineRule="auto"/>
        <w:textAlignment w:val="auto"/>
        <w:rPr>
          <w:rFonts w:eastAsia="標楷體"/>
          <w:sz w:val="24"/>
          <w:szCs w:val="28"/>
        </w:rPr>
      </w:pPr>
    </w:p>
    <w:sectPr w:rsidR="00F02919" w:rsidSect="00892103">
      <w:footerReference w:type="default" r:id="rId13"/>
      <w:footerReference w:type="first" r:id="rId14"/>
      <w:pgSz w:w="11907" w:h="16840" w:code="9"/>
      <w:pgMar w:top="1304" w:right="1418" w:bottom="1276" w:left="1418" w:header="0" w:footer="454"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2D" w:rsidRDefault="00FA712D">
      <w:r>
        <w:separator/>
      </w:r>
    </w:p>
  </w:endnote>
  <w:endnote w:type="continuationSeparator" w:id="0">
    <w:p w:rsidR="00FA712D" w:rsidRDefault="00FA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Times New Roman"/>
    <w:charset w:val="00"/>
    <w:family w:val="auto"/>
    <w:pitch w:val="variable"/>
    <w:sig w:usb0="00000001" w:usb1="5000785B"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3C" w:rsidRDefault="00AE163C">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AE163C" w:rsidRDefault="00AE163C">
    <w:pPr>
      <w:pStyle w:val="a6"/>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3C" w:rsidRDefault="00AE163C">
    <w:pPr>
      <w:pStyle w:val="a6"/>
      <w:jc w:val="center"/>
    </w:pPr>
  </w:p>
  <w:p w:rsidR="00AE163C" w:rsidRDefault="00AE163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19655"/>
      <w:docPartObj>
        <w:docPartGallery w:val="Page Numbers (Bottom of Page)"/>
        <w:docPartUnique/>
      </w:docPartObj>
    </w:sdtPr>
    <w:sdtEndPr/>
    <w:sdtContent>
      <w:p w:rsidR="00892103" w:rsidRDefault="00892103">
        <w:pPr>
          <w:pStyle w:val="a6"/>
          <w:jc w:val="center"/>
        </w:pPr>
        <w:r>
          <w:fldChar w:fldCharType="begin"/>
        </w:r>
        <w:r>
          <w:instrText>PAGE   \* MERGEFORMAT</w:instrText>
        </w:r>
        <w:r>
          <w:fldChar w:fldCharType="separate"/>
        </w:r>
        <w:r w:rsidR="00E96B9C" w:rsidRPr="00E96B9C">
          <w:rPr>
            <w:noProof/>
            <w:lang w:val="zh-TW"/>
          </w:rPr>
          <w:t>10</w:t>
        </w:r>
        <w:r>
          <w:fldChar w:fldCharType="end"/>
        </w:r>
      </w:p>
    </w:sdtContent>
  </w:sdt>
  <w:p w:rsidR="00892103" w:rsidRDefault="0089210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6324"/>
      <w:docPartObj>
        <w:docPartGallery w:val="Page Numbers (Bottom of Page)"/>
        <w:docPartUnique/>
      </w:docPartObj>
    </w:sdtPr>
    <w:sdtEndPr/>
    <w:sdtContent>
      <w:p w:rsidR="00AE163C" w:rsidRDefault="00AE163C">
        <w:pPr>
          <w:pStyle w:val="a6"/>
          <w:jc w:val="center"/>
        </w:pPr>
        <w:r>
          <w:fldChar w:fldCharType="begin"/>
        </w:r>
        <w:r>
          <w:instrText>PAGE   \* MERGEFORMAT</w:instrText>
        </w:r>
        <w:r>
          <w:fldChar w:fldCharType="separate"/>
        </w:r>
        <w:r w:rsidR="00B63E4A" w:rsidRPr="00B63E4A">
          <w:rPr>
            <w:noProof/>
            <w:lang w:val="zh-TW"/>
          </w:rPr>
          <w:t>16</w:t>
        </w:r>
        <w:r>
          <w:fldChar w:fldCharType="end"/>
        </w:r>
      </w:p>
    </w:sdtContent>
  </w:sdt>
  <w:p w:rsidR="00AE163C" w:rsidRDefault="00AE163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AE163C" w:rsidRDefault="00AE163C">
        <w:pPr>
          <w:pStyle w:val="a6"/>
          <w:jc w:val="center"/>
        </w:pPr>
        <w:r>
          <w:fldChar w:fldCharType="begin"/>
        </w:r>
        <w:r>
          <w:instrText>PAGE   \* MERGEFORMAT</w:instrText>
        </w:r>
        <w:r>
          <w:fldChar w:fldCharType="separate"/>
        </w:r>
        <w:r w:rsidRPr="00590406">
          <w:rPr>
            <w:noProof/>
            <w:lang w:val="zh-TW"/>
          </w:rPr>
          <w:t>1</w:t>
        </w:r>
        <w:r>
          <w:fldChar w:fldCharType="end"/>
        </w:r>
      </w:p>
    </w:sdtContent>
  </w:sdt>
  <w:p w:rsidR="00AE163C" w:rsidRDefault="00AE16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2D" w:rsidRDefault="00FA712D">
      <w:r>
        <w:separator/>
      </w:r>
    </w:p>
  </w:footnote>
  <w:footnote w:type="continuationSeparator" w:id="0">
    <w:p w:rsidR="00FA712D" w:rsidRDefault="00FA712D">
      <w:r>
        <w:continuationSeparator/>
      </w:r>
    </w:p>
  </w:footnote>
  <w:footnote w:id="1">
    <w:p w:rsidR="00AE163C" w:rsidRDefault="00AE163C" w:rsidP="00363599">
      <w:pPr>
        <w:pStyle w:val="afc"/>
      </w:pPr>
      <w:r w:rsidRPr="00DA1FFC">
        <w:rPr>
          <w:rStyle w:val="afe"/>
          <w:sz w:val="22"/>
        </w:rPr>
        <w:footnoteRef/>
      </w:r>
      <w:r w:rsidRPr="00DA1FFC">
        <w:rPr>
          <w:sz w:val="22"/>
        </w:rPr>
        <w:t xml:space="preserve"> This English translation is provided for information purposes only</w:t>
      </w:r>
      <w:r w:rsidRPr="00DA1FFC">
        <w:rPr>
          <w:rFonts w:hint="eastAsia"/>
          <w:sz w:val="22"/>
        </w:rPr>
        <w:t>;</w:t>
      </w:r>
      <w:r w:rsidRPr="00DA1FFC">
        <w:rPr>
          <w:sz w:val="22"/>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3C" w:rsidRDefault="00AE163C" w:rsidP="00527E73">
    <w:pPr>
      <w:jc w:val="right"/>
      <w:rPr>
        <w:rFonts w:eastAsia="標楷體"/>
      </w:rPr>
    </w:pPr>
  </w:p>
  <w:p w:rsidR="00AE163C" w:rsidRPr="00A76EF5" w:rsidRDefault="00AE163C"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8223DF"/>
    <w:multiLevelType w:val="hybridMultilevel"/>
    <w:tmpl w:val="C492A912"/>
    <w:lvl w:ilvl="0" w:tplc="0F0462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A4D"/>
    <w:multiLevelType w:val="hybridMultilevel"/>
    <w:tmpl w:val="54F80464"/>
    <w:lvl w:ilvl="0" w:tplc="892CC06E">
      <w:start w:val="1"/>
      <w:numFmt w:val="taiwaneseCountingThousand"/>
      <w:lvlText w:val="(%1)"/>
      <w:lvlJc w:val="left"/>
      <w:pPr>
        <w:ind w:left="1530" w:hanging="792"/>
      </w:pPr>
      <w:rPr>
        <w:rFonts w:hint="default"/>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4">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BB67B8F"/>
    <w:multiLevelType w:val="hybridMultilevel"/>
    <w:tmpl w:val="8F52CADC"/>
    <w:lvl w:ilvl="0" w:tplc="F2B0F786">
      <w:start w:val="1"/>
      <w:numFmt w:val="decimal"/>
      <w:lvlText w:val="(%1)"/>
      <w:lvlJc w:val="left"/>
      <w:pPr>
        <w:ind w:left="1512" w:hanging="9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6">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8">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9">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28C4"/>
    <w:multiLevelType w:val="hybridMultilevel"/>
    <w:tmpl w:val="5918866A"/>
    <w:lvl w:ilvl="0" w:tplc="0F04625E">
      <w:start w:val="1"/>
      <w:numFmt w:val="decimal"/>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1">
    <w:nsid w:val="213B019E"/>
    <w:multiLevelType w:val="hybridMultilevel"/>
    <w:tmpl w:val="28C09B6C"/>
    <w:lvl w:ilvl="0" w:tplc="3588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7">
    <w:nsid w:val="33410228"/>
    <w:multiLevelType w:val="hybridMultilevel"/>
    <w:tmpl w:val="C32047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551B55"/>
    <w:multiLevelType w:val="hybridMultilevel"/>
    <w:tmpl w:val="74927AC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8">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4F8450A6"/>
    <w:multiLevelType w:val="hybridMultilevel"/>
    <w:tmpl w:val="7202262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2">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A41DEA"/>
    <w:multiLevelType w:val="hybridMultilevel"/>
    <w:tmpl w:val="9192FB2C"/>
    <w:lvl w:ilvl="0" w:tplc="04090011">
      <w:start w:val="1"/>
      <w:numFmt w:val="upperLetter"/>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AE572F"/>
    <w:multiLevelType w:val="hybridMultilevel"/>
    <w:tmpl w:val="5C30FB16"/>
    <w:lvl w:ilvl="0" w:tplc="FF0C0EA2">
      <w:start w:val="1"/>
      <w:numFmt w:val="taiwaneseCountingThousand"/>
      <w:lvlText w:val="%1、"/>
      <w:lvlJc w:val="left"/>
      <w:pPr>
        <w:tabs>
          <w:tab w:val="num" w:pos="1100"/>
        </w:tabs>
        <w:ind w:left="1100" w:hanging="720"/>
      </w:pPr>
      <w:rPr>
        <w:rFonts w:hint="eastAsia"/>
        <w:lang w:val="en-US"/>
      </w:rPr>
    </w:lvl>
    <w:lvl w:ilvl="1" w:tplc="04090019" w:tentative="1">
      <w:start w:val="1"/>
      <w:numFmt w:val="ideographTraditional"/>
      <w:lvlText w:val="%2、"/>
      <w:lvlJc w:val="left"/>
      <w:pPr>
        <w:tabs>
          <w:tab w:val="num" w:pos="1340"/>
        </w:tabs>
        <w:ind w:left="1340" w:hanging="480"/>
      </w:p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38">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1">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CFD383F"/>
    <w:multiLevelType w:val="hybridMultilevel"/>
    <w:tmpl w:val="2E12D69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9"/>
  </w:num>
  <w:num w:numId="3">
    <w:abstractNumId w:val="28"/>
  </w:num>
  <w:num w:numId="4">
    <w:abstractNumId w:val="38"/>
  </w:num>
  <w:num w:numId="5">
    <w:abstractNumId w:val="27"/>
  </w:num>
  <w:num w:numId="6">
    <w:abstractNumId w:val="6"/>
  </w:num>
  <w:num w:numId="7">
    <w:abstractNumId w:val="20"/>
  </w:num>
  <w:num w:numId="8">
    <w:abstractNumId w:val="7"/>
  </w:num>
  <w:num w:numId="9">
    <w:abstractNumId w:val="13"/>
  </w:num>
  <w:num w:numId="10">
    <w:abstractNumId w:val="23"/>
  </w:num>
  <w:num w:numId="11">
    <w:abstractNumId w:val="16"/>
  </w:num>
  <w:num w:numId="12">
    <w:abstractNumId w:val="12"/>
  </w:num>
  <w:num w:numId="13">
    <w:abstractNumId w:val="8"/>
  </w:num>
  <w:num w:numId="14">
    <w:abstractNumId w:val="22"/>
  </w:num>
  <w:num w:numId="15">
    <w:abstractNumId w:val="36"/>
  </w:num>
  <w:num w:numId="16">
    <w:abstractNumId w:val="1"/>
  </w:num>
  <w:num w:numId="17">
    <w:abstractNumId w:val="18"/>
  </w:num>
  <w:num w:numId="18">
    <w:abstractNumId w:val="40"/>
  </w:num>
  <w:num w:numId="19">
    <w:abstractNumId w:val="31"/>
  </w:num>
  <w:num w:numId="20">
    <w:abstractNumId w:val="40"/>
  </w:num>
  <w:num w:numId="21">
    <w:abstractNumId w:val="40"/>
  </w:num>
  <w:num w:numId="22">
    <w:abstractNumId w:val="40"/>
  </w:num>
  <w:num w:numId="23">
    <w:abstractNumId w:val="41"/>
  </w:num>
  <w:num w:numId="24">
    <w:abstractNumId w:val="40"/>
  </w:num>
  <w:num w:numId="25">
    <w:abstractNumId w:val="40"/>
  </w:num>
  <w:num w:numId="26">
    <w:abstractNumId w:val="24"/>
  </w:num>
  <w:num w:numId="27">
    <w:abstractNumId w:val="34"/>
  </w:num>
  <w:num w:numId="28">
    <w:abstractNumId w:val="4"/>
  </w:num>
  <w:num w:numId="29">
    <w:abstractNumId w:val="39"/>
  </w:num>
  <w:num w:numId="30">
    <w:abstractNumId w:val="35"/>
  </w:num>
  <w:num w:numId="31">
    <w:abstractNumId w:val="37"/>
  </w:num>
  <w:num w:numId="32">
    <w:abstractNumId w:val="3"/>
  </w:num>
  <w:num w:numId="33">
    <w:abstractNumId w:val="10"/>
  </w:num>
  <w:num w:numId="34">
    <w:abstractNumId w:val="5"/>
  </w:num>
  <w:num w:numId="35">
    <w:abstractNumId w:val="32"/>
  </w:num>
  <w:num w:numId="36">
    <w:abstractNumId w:val="19"/>
  </w:num>
  <w:num w:numId="37">
    <w:abstractNumId w:val="42"/>
  </w:num>
  <w:num w:numId="38">
    <w:abstractNumId w:val="2"/>
  </w:num>
  <w:num w:numId="39">
    <w:abstractNumId w:val="11"/>
  </w:num>
  <w:num w:numId="40">
    <w:abstractNumId w:val="30"/>
  </w:num>
  <w:num w:numId="41">
    <w:abstractNumId w:val="26"/>
  </w:num>
  <w:num w:numId="42">
    <w:abstractNumId w:val="14"/>
  </w:num>
  <w:num w:numId="43">
    <w:abstractNumId w:val="15"/>
  </w:num>
  <w:num w:numId="44">
    <w:abstractNumId w:val="0"/>
  </w:num>
  <w:num w:numId="45">
    <w:abstractNumId w:val="21"/>
  </w:num>
  <w:num w:numId="46">
    <w:abstractNumId w:val="33"/>
  </w:num>
  <w:num w:numId="47">
    <w:abstractNumId w:val="29"/>
  </w:num>
  <w:num w:numId="48">
    <w:abstractNumId w:val="43"/>
  </w:num>
  <w:num w:numId="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9E"/>
    <w:rsid w:val="000000CD"/>
    <w:rsid w:val="00000539"/>
    <w:rsid w:val="00000893"/>
    <w:rsid w:val="00000C8B"/>
    <w:rsid w:val="000011A0"/>
    <w:rsid w:val="00001514"/>
    <w:rsid w:val="000015F2"/>
    <w:rsid w:val="00001A47"/>
    <w:rsid w:val="00002236"/>
    <w:rsid w:val="0000343F"/>
    <w:rsid w:val="00003746"/>
    <w:rsid w:val="0000408E"/>
    <w:rsid w:val="00004D84"/>
    <w:rsid w:val="00004ECA"/>
    <w:rsid w:val="00005C87"/>
    <w:rsid w:val="000060B5"/>
    <w:rsid w:val="00007267"/>
    <w:rsid w:val="00007492"/>
    <w:rsid w:val="00007912"/>
    <w:rsid w:val="00010526"/>
    <w:rsid w:val="0001263F"/>
    <w:rsid w:val="00012AE8"/>
    <w:rsid w:val="00012CF6"/>
    <w:rsid w:val="00013734"/>
    <w:rsid w:val="00014832"/>
    <w:rsid w:val="00015948"/>
    <w:rsid w:val="000172D1"/>
    <w:rsid w:val="00017CFB"/>
    <w:rsid w:val="000208F9"/>
    <w:rsid w:val="00020E28"/>
    <w:rsid w:val="0002139D"/>
    <w:rsid w:val="00021C4D"/>
    <w:rsid w:val="00022D53"/>
    <w:rsid w:val="000234E1"/>
    <w:rsid w:val="0002361C"/>
    <w:rsid w:val="00023AE0"/>
    <w:rsid w:val="00023B97"/>
    <w:rsid w:val="00023FE5"/>
    <w:rsid w:val="00024563"/>
    <w:rsid w:val="00024918"/>
    <w:rsid w:val="00024E21"/>
    <w:rsid w:val="00025945"/>
    <w:rsid w:val="000261D7"/>
    <w:rsid w:val="000268B3"/>
    <w:rsid w:val="00026B66"/>
    <w:rsid w:val="000273DC"/>
    <w:rsid w:val="000277F7"/>
    <w:rsid w:val="00027E19"/>
    <w:rsid w:val="00030F1C"/>
    <w:rsid w:val="00030F57"/>
    <w:rsid w:val="00030FC7"/>
    <w:rsid w:val="000313D2"/>
    <w:rsid w:val="0003181C"/>
    <w:rsid w:val="00031952"/>
    <w:rsid w:val="00031EE6"/>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C02"/>
    <w:rsid w:val="00042EF3"/>
    <w:rsid w:val="00043767"/>
    <w:rsid w:val="00043817"/>
    <w:rsid w:val="00043DEB"/>
    <w:rsid w:val="00044455"/>
    <w:rsid w:val="000447BE"/>
    <w:rsid w:val="0004487E"/>
    <w:rsid w:val="00045291"/>
    <w:rsid w:val="00045DC9"/>
    <w:rsid w:val="00045E43"/>
    <w:rsid w:val="000465FC"/>
    <w:rsid w:val="00046AB9"/>
    <w:rsid w:val="00047470"/>
    <w:rsid w:val="0005062A"/>
    <w:rsid w:val="000506F7"/>
    <w:rsid w:val="00050E8E"/>
    <w:rsid w:val="00051573"/>
    <w:rsid w:val="00051C4F"/>
    <w:rsid w:val="00052499"/>
    <w:rsid w:val="00052542"/>
    <w:rsid w:val="000527ED"/>
    <w:rsid w:val="00052D7F"/>
    <w:rsid w:val="0005481E"/>
    <w:rsid w:val="00054C75"/>
    <w:rsid w:val="00055653"/>
    <w:rsid w:val="0005572F"/>
    <w:rsid w:val="00055735"/>
    <w:rsid w:val="00055A5B"/>
    <w:rsid w:val="00055AA1"/>
    <w:rsid w:val="00055BEF"/>
    <w:rsid w:val="00055BFA"/>
    <w:rsid w:val="000571DE"/>
    <w:rsid w:val="00057456"/>
    <w:rsid w:val="00057824"/>
    <w:rsid w:val="00057FAE"/>
    <w:rsid w:val="00060393"/>
    <w:rsid w:val="0006043D"/>
    <w:rsid w:val="0006066B"/>
    <w:rsid w:val="00060E8F"/>
    <w:rsid w:val="00061205"/>
    <w:rsid w:val="000615FB"/>
    <w:rsid w:val="00061D22"/>
    <w:rsid w:val="00062A2E"/>
    <w:rsid w:val="00062DAF"/>
    <w:rsid w:val="00063420"/>
    <w:rsid w:val="00063487"/>
    <w:rsid w:val="00064A6F"/>
    <w:rsid w:val="00065BAE"/>
    <w:rsid w:val="00065C34"/>
    <w:rsid w:val="00065E78"/>
    <w:rsid w:val="0006645E"/>
    <w:rsid w:val="000665A2"/>
    <w:rsid w:val="00066EDA"/>
    <w:rsid w:val="00067450"/>
    <w:rsid w:val="000674D0"/>
    <w:rsid w:val="000677F4"/>
    <w:rsid w:val="0006788A"/>
    <w:rsid w:val="00067E09"/>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14EA"/>
    <w:rsid w:val="0008208A"/>
    <w:rsid w:val="0008211B"/>
    <w:rsid w:val="00084F10"/>
    <w:rsid w:val="00085353"/>
    <w:rsid w:val="000857AB"/>
    <w:rsid w:val="00086D52"/>
    <w:rsid w:val="000879C7"/>
    <w:rsid w:val="00087E2C"/>
    <w:rsid w:val="00090AFA"/>
    <w:rsid w:val="00090F95"/>
    <w:rsid w:val="00090FBD"/>
    <w:rsid w:val="00091367"/>
    <w:rsid w:val="000919E1"/>
    <w:rsid w:val="00091D81"/>
    <w:rsid w:val="0009218B"/>
    <w:rsid w:val="00092585"/>
    <w:rsid w:val="0009286B"/>
    <w:rsid w:val="00092E5C"/>
    <w:rsid w:val="00092E6C"/>
    <w:rsid w:val="00092EE8"/>
    <w:rsid w:val="000941DE"/>
    <w:rsid w:val="00094254"/>
    <w:rsid w:val="00094699"/>
    <w:rsid w:val="0009482E"/>
    <w:rsid w:val="00094953"/>
    <w:rsid w:val="00094D1C"/>
    <w:rsid w:val="000957B8"/>
    <w:rsid w:val="00096651"/>
    <w:rsid w:val="00096ADB"/>
    <w:rsid w:val="00097ECB"/>
    <w:rsid w:val="000A244B"/>
    <w:rsid w:val="000A2A79"/>
    <w:rsid w:val="000A3D31"/>
    <w:rsid w:val="000A434A"/>
    <w:rsid w:val="000A48C6"/>
    <w:rsid w:val="000A5575"/>
    <w:rsid w:val="000A569B"/>
    <w:rsid w:val="000A5E81"/>
    <w:rsid w:val="000A6B23"/>
    <w:rsid w:val="000A7632"/>
    <w:rsid w:val="000A7644"/>
    <w:rsid w:val="000A767D"/>
    <w:rsid w:val="000B0AD9"/>
    <w:rsid w:val="000B0F2C"/>
    <w:rsid w:val="000B302B"/>
    <w:rsid w:val="000B3944"/>
    <w:rsid w:val="000B3F80"/>
    <w:rsid w:val="000B5270"/>
    <w:rsid w:val="000B556E"/>
    <w:rsid w:val="000B5C1F"/>
    <w:rsid w:val="000B67BB"/>
    <w:rsid w:val="000B6BEB"/>
    <w:rsid w:val="000B6D6B"/>
    <w:rsid w:val="000B7BA4"/>
    <w:rsid w:val="000B7DCC"/>
    <w:rsid w:val="000C4BEE"/>
    <w:rsid w:val="000C65AF"/>
    <w:rsid w:val="000C66CA"/>
    <w:rsid w:val="000C7FDE"/>
    <w:rsid w:val="000D0035"/>
    <w:rsid w:val="000D00CC"/>
    <w:rsid w:val="000D09C1"/>
    <w:rsid w:val="000D15F7"/>
    <w:rsid w:val="000D235C"/>
    <w:rsid w:val="000D2D5F"/>
    <w:rsid w:val="000D38AC"/>
    <w:rsid w:val="000D3D4F"/>
    <w:rsid w:val="000D3D6D"/>
    <w:rsid w:val="000D438A"/>
    <w:rsid w:val="000D4473"/>
    <w:rsid w:val="000D47BE"/>
    <w:rsid w:val="000D48B4"/>
    <w:rsid w:val="000D5121"/>
    <w:rsid w:val="000D5A82"/>
    <w:rsid w:val="000D6024"/>
    <w:rsid w:val="000D6AA2"/>
    <w:rsid w:val="000D6E10"/>
    <w:rsid w:val="000D7025"/>
    <w:rsid w:val="000D7459"/>
    <w:rsid w:val="000D791E"/>
    <w:rsid w:val="000E029E"/>
    <w:rsid w:val="000E031F"/>
    <w:rsid w:val="000E09BC"/>
    <w:rsid w:val="000E0BA5"/>
    <w:rsid w:val="000E0D17"/>
    <w:rsid w:val="000E0E71"/>
    <w:rsid w:val="000E1D3F"/>
    <w:rsid w:val="000E23F1"/>
    <w:rsid w:val="000E284E"/>
    <w:rsid w:val="000E2D42"/>
    <w:rsid w:val="000E2E4A"/>
    <w:rsid w:val="000E3124"/>
    <w:rsid w:val="000E3587"/>
    <w:rsid w:val="000E3711"/>
    <w:rsid w:val="000E3CFE"/>
    <w:rsid w:val="000E3DCC"/>
    <w:rsid w:val="000E4351"/>
    <w:rsid w:val="000E55EF"/>
    <w:rsid w:val="000E658A"/>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4FA1"/>
    <w:rsid w:val="000F598A"/>
    <w:rsid w:val="000F5AD6"/>
    <w:rsid w:val="000F5C7A"/>
    <w:rsid w:val="000F6FE9"/>
    <w:rsid w:val="000F7B28"/>
    <w:rsid w:val="00100323"/>
    <w:rsid w:val="00100DA1"/>
    <w:rsid w:val="00101BE5"/>
    <w:rsid w:val="00101F97"/>
    <w:rsid w:val="001020BA"/>
    <w:rsid w:val="001022B6"/>
    <w:rsid w:val="001022EF"/>
    <w:rsid w:val="00102B34"/>
    <w:rsid w:val="001030C5"/>
    <w:rsid w:val="001031BF"/>
    <w:rsid w:val="00104994"/>
    <w:rsid w:val="00105328"/>
    <w:rsid w:val="00107214"/>
    <w:rsid w:val="0010768E"/>
    <w:rsid w:val="00110042"/>
    <w:rsid w:val="0011044E"/>
    <w:rsid w:val="00111E15"/>
    <w:rsid w:val="00112CF9"/>
    <w:rsid w:val="00113380"/>
    <w:rsid w:val="00114C52"/>
    <w:rsid w:val="00114EB6"/>
    <w:rsid w:val="00115389"/>
    <w:rsid w:val="00115578"/>
    <w:rsid w:val="00115DC5"/>
    <w:rsid w:val="00117A5A"/>
    <w:rsid w:val="00117EC2"/>
    <w:rsid w:val="0012072E"/>
    <w:rsid w:val="00120F63"/>
    <w:rsid w:val="00121303"/>
    <w:rsid w:val="001213DE"/>
    <w:rsid w:val="00122786"/>
    <w:rsid w:val="001231AB"/>
    <w:rsid w:val="00123C8A"/>
    <w:rsid w:val="001241D3"/>
    <w:rsid w:val="00124DC3"/>
    <w:rsid w:val="001252DD"/>
    <w:rsid w:val="00125319"/>
    <w:rsid w:val="00125CC6"/>
    <w:rsid w:val="00130CCB"/>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4C0"/>
    <w:rsid w:val="00142723"/>
    <w:rsid w:val="00142813"/>
    <w:rsid w:val="00142D07"/>
    <w:rsid w:val="00143869"/>
    <w:rsid w:val="00143C6F"/>
    <w:rsid w:val="001443CF"/>
    <w:rsid w:val="00144899"/>
    <w:rsid w:val="0014532B"/>
    <w:rsid w:val="00146F87"/>
    <w:rsid w:val="0014756F"/>
    <w:rsid w:val="00147E3F"/>
    <w:rsid w:val="00147E6F"/>
    <w:rsid w:val="00147EEA"/>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2DBB"/>
    <w:rsid w:val="00162E0A"/>
    <w:rsid w:val="00163118"/>
    <w:rsid w:val="00163395"/>
    <w:rsid w:val="0016414B"/>
    <w:rsid w:val="00164410"/>
    <w:rsid w:val="00164974"/>
    <w:rsid w:val="00164D4A"/>
    <w:rsid w:val="00164F08"/>
    <w:rsid w:val="00165455"/>
    <w:rsid w:val="00166068"/>
    <w:rsid w:val="0016626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1"/>
    <w:rsid w:val="00171792"/>
    <w:rsid w:val="001721A3"/>
    <w:rsid w:val="00172490"/>
    <w:rsid w:val="0017263E"/>
    <w:rsid w:val="0017312A"/>
    <w:rsid w:val="00173370"/>
    <w:rsid w:val="001739DA"/>
    <w:rsid w:val="00173B4A"/>
    <w:rsid w:val="00173BC1"/>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1F0B"/>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7A8"/>
    <w:rsid w:val="00191290"/>
    <w:rsid w:val="00192B84"/>
    <w:rsid w:val="00192C54"/>
    <w:rsid w:val="00193A3A"/>
    <w:rsid w:val="00194133"/>
    <w:rsid w:val="0019447E"/>
    <w:rsid w:val="00194A19"/>
    <w:rsid w:val="00194FA2"/>
    <w:rsid w:val="00195C33"/>
    <w:rsid w:val="00195D8C"/>
    <w:rsid w:val="001962A4"/>
    <w:rsid w:val="001962C6"/>
    <w:rsid w:val="00197320"/>
    <w:rsid w:val="00197C61"/>
    <w:rsid w:val="00197D46"/>
    <w:rsid w:val="00197E56"/>
    <w:rsid w:val="001A1067"/>
    <w:rsid w:val="001A1E74"/>
    <w:rsid w:val="001A25A4"/>
    <w:rsid w:val="001A3613"/>
    <w:rsid w:val="001A3644"/>
    <w:rsid w:val="001A3986"/>
    <w:rsid w:val="001A518F"/>
    <w:rsid w:val="001A5E2D"/>
    <w:rsid w:val="001A65DE"/>
    <w:rsid w:val="001A6625"/>
    <w:rsid w:val="001A6889"/>
    <w:rsid w:val="001A7280"/>
    <w:rsid w:val="001B044C"/>
    <w:rsid w:val="001B3000"/>
    <w:rsid w:val="001B32B9"/>
    <w:rsid w:val="001B3517"/>
    <w:rsid w:val="001B3DCC"/>
    <w:rsid w:val="001B4224"/>
    <w:rsid w:val="001B44D6"/>
    <w:rsid w:val="001B4712"/>
    <w:rsid w:val="001B47C7"/>
    <w:rsid w:val="001B5916"/>
    <w:rsid w:val="001B5AF3"/>
    <w:rsid w:val="001B62E4"/>
    <w:rsid w:val="001B66F6"/>
    <w:rsid w:val="001B7115"/>
    <w:rsid w:val="001C022A"/>
    <w:rsid w:val="001C04A1"/>
    <w:rsid w:val="001C10E8"/>
    <w:rsid w:val="001C1185"/>
    <w:rsid w:val="001C167F"/>
    <w:rsid w:val="001C17EC"/>
    <w:rsid w:val="001C27C4"/>
    <w:rsid w:val="001C2BDC"/>
    <w:rsid w:val="001C2D88"/>
    <w:rsid w:val="001C3FA6"/>
    <w:rsid w:val="001C4593"/>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21A9"/>
    <w:rsid w:val="001D25DA"/>
    <w:rsid w:val="001D3862"/>
    <w:rsid w:val="001D3B96"/>
    <w:rsid w:val="001D5531"/>
    <w:rsid w:val="001D5621"/>
    <w:rsid w:val="001D58AA"/>
    <w:rsid w:val="001D5AF5"/>
    <w:rsid w:val="001D6019"/>
    <w:rsid w:val="001D611E"/>
    <w:rsid w:val="001D6167"/>
    <w:rsid w:val="001D631A"/>
    <w:rsid w:val="001D797C"/>
    <w:rsid w:val="001D7AE6"/>
    <w:rsid w:val="001E0258"/>
    <w:rsid w:val="001E0D99"/>
    <w:rsid w:val="001E156A"/>
    <w:rsid w:val="001E15F2"/>
    <w:rsid w:val="001E1763"/>
    <w:rsid w:val="001E2139"/>
    <w:rsid w:val="001E2423"/>
    <w:rsid w:val="001E28A0"/>
    <w:rsid w:val="001E3BA2"/>
    <w:rsid w:val="001E418B"/>
    <w:rsid w:val="001E4867"/>
    <w:rsid w:val="001E4D1F"/>
    <w:rsid w:val="001E5463"/>
    <w:rsid w:val="001E5B95"/>
    <w:rsid w:val="001E6348"/>
    <w:rsid w:val="001E6A3B"/>
    <w:rsid w:val="001E6D06"/>
    <w:rsid w:val="001E738B"/>
    <w:rsid w:val="001E7489"/>
    <w:rsid w:val="001E750E"/>
    <w:rsid w:val="001F0DB3"/>
    <w:rsid w:val="001F1F15"/>
    <w:rsid w:val="001F2208"/>
    <w:rsid w:val="001F42E5"/>
    <w:rsid w:val="001F47FD"/>
    <w:rsid w:val="001F4ADB"/>
    <w:rsid w:val="001F4AEA"/>
    <w:rsid w:val="001F4C4D"/>
    <w:rsid w:val="001F4C56"/>
    <w:rsid w:val="001F5C30"/>
    <w:rsid w:val="001F60DD"/>
    <w:rsid w:val="001F7BDB"/>
    <w:rsid w:val="001F7E58"/>
    <w:rsid w:val="00201385"/>
    <w:rsid w:val="00201846"/>
    <w:rsid w:val="00201BBE"/>
    <w:rsid w:val="00201ED0"/>
    <w:rsid w:val="0020242D"/>
    <w:rsid w:val="002026F4"/>
    <w:rsid w:val="00202D36"/>
    <w:rsid w:val="00202D7F"/>
    <w:rsid w:val="00203094"/>
    <w:rsid w:val="0020329A"/>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5564"/>
    <w:rsid w:val="002158DB"/>
    <w:rsid w:val="00216094"/>
    <w:rsid w:val="002162B4"/>
    <w:rsid w:val="00216925"/>
    <w:rsid w:val="002175A7"/>
    <w:rsid w:val="00220108"/>
    <w:rsid w:val="00220919"/>
    <w:rsid w:val="00221565"/>
    <w:rsid w:val="00221CFE"/>
    <w:rsid w:val="00221D8D"/>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548"/>
    <w:rsid w:val="00227DF7"/>
    <w:rsid w:val="00230037"/>
    <w:rsid w:val="00230114"/>
    <w:rsid w:val="00230704"/>
    <w:rsid w:val="002316D1"/>
    <w:rsid w:val="00231E84"/>
    <w:rsid w:val="00233F4C"/>
    <w:rsid w:val="00235D84"/>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56E3"/>
    <w:rsid w:val="002464BC"/>
    <w:rsid w:val="00246C14"/>
    <w:rsid w:val="0024725E"/>
    <w:rsid w:val="00247510"/>
    <w:rsid w:val="00247A9F"/>
    <w:rsid w:val="00247C69"/>
    <w:rsid w:val="00250748"/>
    <w:rsid w:val="00251572"/>
    <w:rsid w:val="002515AF"/>
    <w:rsid w:val="00251E62"/>
    <w:rsid w:val="00251EA0"/>
    <w:rsid w:val="0025209D"/>
    <w:rsid w:val="00252132"/>
    <w:rsid w:val="002523C2"/>
    <w:rsid w:val="00252F4C"/>
    <w:rsid w:val="002536AE"/>
    <w:rsid w:val="002543C7"/>
    <w:rsid w:val="002549F5"/>
    <w:rsid w:val="002552ED"/>
    <w:rsid w:val="0025567B"/>
    <w:rsid w:val="00255C38"/>
    <w:rsid w:val="00255CAC"/>
    <w:rsid w:val="002570BA"/>
    <w:rsid w:val="00257229"/>
    <w:rsid w:val="002573C5"/>
    <w:rsid w:val="00257AFD"/>
    <w:rsid w:val="0026111C"/>
    <w:rsid w:val="00261626"/>
    <w:rsid w:val="0026163E"/>
    <w:rsid w:val="00261C2A"/>
    <w:rsid w:val="00262357"/>
    <w:rsid w:val="00262C2C"/>
    <w:rsid w:val="00263736"/>
    <w:rsid w:val="00263E9F"/>
    <w:rsid w:val="00264990"/>
    <w:rsid w:val="00264C4E"/>
    <w:rsid w:val="00264DDA"/>
    <w:rsid w:val="00265F0F"/>
    <w:rsid w:val="002662A1"/>
    <w:rsid w:val="00266515"/>
    <w:rsid w:val="0026669B"/>
    <w:rsid w:val="00267200"/>
    <w:rsid w:val="00267B9C"/>
    <w:rsid w:val="00267F7A"/>
    <w:rsid w:val="0027002B"/>
    <w:rsid w:val="002709A5"/>
    <w:rsid w:val="00270B32"/>
    <w:rsid w:val="002713F4"/>
    <w:rsid w:val="0027180C"/>
    <w:rsid w:val="00272F3D"/>
    <w:rsid w:val="00273CCC"/>
    <w:rsid w:val="00274D15"/>
    <w:rsid w:val="002750E3"/>
    <w:rsid w:val="00276900"/>
    <w:rsid w:val="00277079"/>
    <w:rsid w:val="002772B5"/>
    <w:rsid w:val="0027781B"/>
    <w:rsid w:val="00280099"/>
    <w:rsid w:val="002808FC"/>
    <w:rsid w:val="0028097C"/>
    <w:rsid w:val="00281C70"/>
    <w:rsid w:val="00282123"/>
    <w:rsid w:val="00283495"/>
    <w:rsid w:val="002835EF"/>
    <w:rsid w:val="00283B1E"/>
    <w:rsid w:val="0028460D"/>
    <w:rsid w:val="002848B9"/>
    <w:rsid w:val="002848E2"/>
    <w:rsid w:val="002851C9"/>
    <w:rsid w:val="00285CC6"/>
    <w:rsid w:val="002860A7"/>
    <w:rsid w:val="00286473"/>
    <w:rsid w:val="002865A1"/>
    <w:rsid w:val="00286E9F"/>
    <w:rsid w:val="00286F49"/>
    <w:rsid w:val="0028744F"/>
    <w:rsid w:val="0029094E"/>
    <w:rsid w:val="002912A6"/>
    <w:rsid w:val="00291300"/>
    <w:rsid w:val="002914DC"/>
    <w:rsid w:val="00291FFB"/>
    <w:rsid w:val="00293126"/>
    <w:rsid w:val="00293361"/>
    <w:rsid w:val="00293807"/>
    <w:rsid w:val="002940BF"/>
    <w:rsid w:val="00295040"/>
    <w:rsid w:val="002951B1"/>
    <w:rsid w:val="002955CB"/>
    <w:rsid w:val="00295814"/>
    <w:rsid w:val="00295C1B"/>
    <w:rsid w:val="00295D7F"/>
    <w:rsid w:val="002962EF"/>
    <w:rsid w:val="00296386"/>
    <w:rsid w:val="00296BE6"/>
    <w:rsid w:val="002975C2"/>
    <w:rsid w:val="002A0679"/>
    <w:rsid w:val="002A0E3D"/>
    <w:rsid w:val="002A1060"/>
    <w:rsid w:val="002A14C4"/>
    <w:rsid w:val="002A1576"/>
    <w:rsid w:val="002A1926"/>
    <w:rsid w:val="002A1BFA"/>
    <w:rsid w:val="002A27CF"/>
    <w:rsid w:val="002A33F7"/>
    <w:rsid w:val="002A3602"/>
    <w:rsid w:val="002A4398"/>
    <w:rsid w:val="002A4AAA"/>
    <w:rsid w:val="002A4F38"/>
    <w:rsid w:val="002A56F3"/>
    <w:rsid w:val="002A596B"/>
    <w:rsid w:val="002A6781"/>
    <w:rsid w:val="002A6DDB"/>
    <w:rsid w:val="002A6FEB"/>
    <w:rsid w:val="002A72E5"/>
    <w:rsid w:val="002A7FD7"/>
    <w:rsid w:val="002B22B2"/>
    <w:rsid w:val="002B22D9"/>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1E6E"/>
    <w:rsid w:val="002C2F8A"/>
    <w:rsid w:val="002C364A"/>
    <w:rsid w:val="002C402F"/>
    <w:rsid w:val="002C4A72"/>
    <w:rsid w:val="002C5484"/>
    <w:rsid w:val="002C5589"/>
    <w:rsid w:val="002C5931"/>
    <w:rsid w:val="002C5BCD"/>
    <w:rsid w:val="002C5EE6"/>
    <w:rsid w:val="002C60C7"/>
    <w:rsid w:val="002C641D"/>
    <w:rsid w:val="002C6445"/>
    <w:rsid w:val="002C67E4"/>
    <w:rsid w:val="002C76C5"/>
    <w:rsid w:val="002C782F"/>
    <w:rsid w:val="002C7C69"/>
    <w:rsid w:val="002D06E0"/>
    <w:rsid w:val="002D0B77"/>
    <w:rsid w:val="002D1452"/>
    <w:rsid w:val="002D15CE"/>
    <w:rsid w:val="002D21F6"/>
    <w:rsid w:val="002D26E7"/>
    <w:rsid w:val="002D371F"/>
    <w:rsid w:val="002D376B"/>
    <w:rsid w:val="002D3807"/>
    <w:rsid w:val="002D3E57"/>
    <w:rsid w:val="002D4246"/>
    <w:rsid w:val="002D43BB"/>
    <w:rsid w:val="002D45D3"/>
    <w:rsid w:val="002D4DAF"/>
    <w:rsid w:val="002D4F30"/>
    <w:rsid w:val="002D5003"/>
    <w:rsid w:val="002D541E"/>
    <w:rsid w:val="002D5B26"/>
    <w:rsid w:val="002D5D00"/>
    <w:rsid w:val="002D633A"/>
    <w:rsid w:val="002D77D7"/>
    <w:rsid w:val="002E089F"/>
    <w:rsid w:val="002E0A9A"/>
    <w:rsid w:val="002E1817"/>
    <w:rsid w:val="002E1D55"/>
    <w:rsid w:val="002E23C8"/>
    <w:rsid w:val="002E26A7"/>
    <w:rsid w:val="002E2977"/>
    <w:rsid w:val="002E3792"/>
    <w:rsid w:val="002E3F88"/>
    <w:rsid w:val="002E43E1"/>
    <w:rsid w:val="002E497E"/>
    <w:rsid w:val="002E59D6"/>
    <w:rsid w:val="002E59E1"/>
    <w:rsid w:val="002E5EFF"/>
    <w:rsid w:val="002E5FAB"/>
    <w:rsid w:val="002E6172"/>
    <w:rsid w:val="002E69BE"/>
    <w:rsid w:val="002E6EB1"/>
    <w:rsid w:val="002E758B"/>
    <w:rsid w:val="002E7C82"/>
    <w:rsid w:val="002E7FB8"/>
    <w:rsid w:val="002F04F2"/>
    <w:rsid w:val="002F1E58"/>
    <w:rsid w:val="002F30B1"/>
    <w:rsid w:val="002F3263"/>
    <w:rsid w:val="002F34C1"/>
    <w:rsid w:val="002F36A1"/>
    <w:rsid w:val="002F3E31"/>
    <w:rsid w:val="002F4137"/>
    <w:rsid w:val="002F43AB"/>
    <w:rsid w:val="002F47ED"/>
    <w:rsid w:val="002F4ABA"/>
    <w:rsid w:val="002F4C5D"/>
    <w:rsid w:val="002F51AC"/>
    <w:rsid w:val="002F54DD"/>
    <w:rsid w:val="002F5ADE"/>
    <w:rsid w:val="002F68DD"/>
    <w:rsid w:val="002F73BF"/>
    <w:rsid w:val="002F7B6C"/>
    <w:rsid w:val="00300443"/>
    <w:rsid w:val="0030081C"/>
    <w:rsid w:val="003010D7"/>
    <w:rsid w:val="003010FC"/>
    <w:rsid w:val="00301144"/>
    <w:rsid w:val="00301644"/>
    <w:rsid w:val="00301FF8"/>
    <w:rsid w:val="00302422"/>
    <w:rsid w:val="00302771"/>
    <w:rsid w:val="00302C62"/>
    <w:rsid w:val="00302E3B"/>
    <w:rsid w:val="003037EC"/>
    <w:rsid w:val="00303D18"/>
    <w:rsid w:val="003042BB"/>
    <w:rsid w:val="003044E3"/>
    <w:rsid w:val="003050C1"/>
    <w:rsid w:val="0030555E"/>
    <w:rsid w:val="003055F3"/>
    <w:rsid w:val="00305EB6"/>
    <w:rsid w:val="0030677B"/>
    <w:rsid w:val="0030749C"/>
    <w:rsid w:val="00307764"/>
    <w:rsid w:val="00310D78"/>
    <w:rsid w:val="00311666"/>
    <w:rsid w:val="003116CE"/>
    <w:rsid w:val="00311DFD"/>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49"/>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E96"/>
    <w:rsid w:val="003372A2"/>
    <w:rsid w:val="003378EA"/>
    <w:rsid w:val="00337B1F"/>
    <w:rsid w:val="00340583"/>
    <w:rsid w:val="0034087B"/>
    <w:rsid w:val="00341190"/>
    <w:rsid w:val="0034299B"/>
    <w:rsid w:val="00343280"/>
    <w:rsid w:val="0034378D"/>
    <w:rsid w:val="0034393A"/>
    <w:rsid w:val="00343B3D"/>
    <w:rsid w:val="00344127"/>
    <w:rsid w:val="003447B1"/>
    <w:rsid w:val="00345258"/>
    <w:rsid w:val="00345E91"/>
    <w:rsid w:val="003464F2"/>
    <w:rsid w:val="0034735A"/>
    <w:rsid w:val="00347C31"/>
    <w:rsid w:val="00350405"/>
    <w:rsid w:val="0035053B"/>
    <w:rsid w:val="00350D44"/>
    <w:rsid w:val="003513B8"/>
    <w:rsid w:val="003526A7"/>
    <w:rsid w:val="00352CA9"/>
    <w:rsid w:val="00352CCD"/>
    <w:rsid w:val="00353484"/>
    <w:rsid w:val="003539BF"/>
    <w:rsid w:val="00355A68"/>
    <w:rsid w:val="00355C6A"/>
    <w:rsid w:val="00356626"/>
    <w:rsid w:val="00356B2E"/>
    <w:rsid w:val="00357A7F"/>
    <w:rsid w:val="00357D03"/>
    <w:rsid w:val="00360050"/>
    <w:rsid w:val="00360657"/>
    <w:rsid w:val="003608D4"/>
    <w:rsid w:val="00360939"/>
    <w:rsid w:val="00360F0C"/>
    <w:rsid w:val="00361064"/>
    <w:rsid w:val="0036198D"/>
    <w:rsid w:val="003628CA"/>
    <w:rsid w:val="00362F4D"/>
    <w:rsid w:val="00363599"/>
    <w:rsid w:val="00363699"/>
    <w:rsid w:val="003638DB"/>
    <w:rsid w:val="00363DC7"/>
    <w:rsid w:val="00363EAB"/>
    <w:rsid w:val="0036410D"/>
    <w:rsid w:val="003644EA"/>
    <w:rsid w:val="0036598B"/>
    <w:rsid w:val="00367AA8"/>
    <w:rsid w:val="00370B57"/>
    <w:rsid w:val="00372101"/>
    <w:rsid w:val="0037223C"/>
    <w:rsid w:val="003722AF"/>
    <w:rsid w:val="00372F0D"/>
    <w:rsid w:val="00373258"/>
    <w:rsid w:val="00374181"/>
    <w:rsid w:val="003741E0"/>
    <w:rsid w:val="00375FB8"/>
    <w:rsid w:val="003762B9"/>
    <w:rsid w:val="0037678D"/>
    <w:rsid w:val="0037692C"/>
    <w:rsid w:val="00376CD0"/>
    <w:rsid w:val="00376CED"/>
    <w:rsid w:val="00377EAF"/>
    <w:rsid w:val="00377EDC"/>
    <w:rsid w:val="00380046"/>
    <w:rsid w:val="0038056C"/>
    <w:rsid w:val="00381368"/>
    <w:rsid w:val="003818F8"/>
    <w:rsid w:val="00381CE0"/>
    <w:rsid w:val="00381E04"/>
    <w:rsid w:val="00382388"/>
    <w:rsid w:val="003832F4"/>
    <w:rsid w:val="003835ED"/>
    <w:rsid w:val="00383C17"/>
    <w:rsid w:val="003848DC"/>
    <w:rsid w:val="00385464"/>
    <w:rsid w:val="00385D32"/>
    <w:rsid w:val="003864EF"/>
    <w:rsid w:val="0038665E"/>
    <w:rsid w:val="00387A8E"/>
    <w:rsid w:val="00387CE0"/>
    <w:rsid w:val="00387E24"/>
    <w:rsid w:val="003902D5"/>
    <w:rsid w:val="00390401"/>
    <w:rsid w:val="00390578"/>
    <w:rsid w:val="003908D3"/>
    <w:rsid w:val="003912A4"/>
    <w:rsid w:val="00391373"/>
    <w:rsid w:val="00391483"/>
    <w:rsid w:val="00391567"/>
    <w:rsid w:val="00393621"/>
    <w:rsid w:val="00394865"/>
    <w:rsid w:val="00395542"/>
    <w:rsid w:val="00395BB6"/>
    <w:rsid w:val="003963A1"/>
    <w:rsid w:val="00396913"/>
    <w:rsid w:val="003971BD"/>
    <w:rsid w:val="00397E84"/>
    <w:rsid w:val="00397EEB"/>
    <w:rsid w:val="003A0D1F"/>
    <w:rsid w:val="003A0D2F"/>
    <w:rsid w:val="003A135F"/>
    <w:rsid w:val="003A13DE"/>
    <w:rsid w:val="003A197C"/>
    <w:rsid w:val="003A1D51"/>
    <w:rsid w:val="003A1FB6"/>
    <w:rsid w:val="003A2948"/>
    <w:rsid w:val="003A2F46"/>
    <w:rsid w:val="003A3022"/>
    <w:rsid w:val="003A313A"/>
    <w:rsid w:val="003A32E1"/>
    <w:rsid w:val="003A3CD1"/>
    <w:rsid w:val="003A4D36"/>
    <w:rsid w:val="003A5914"/>
    <w:rsid w:val="003A5C14"/>
    <w:rsid w:val="003A5ECF"/>
    <w:rsid w:val="003A64CF"/>
    <w:rsid w:val="003A78E7"/>
    <w:rsid w:val="003A7908"/>
    <w:rsid w:val="003B0460"/>
    <w:rsid w:val="003B0670"/>
    <w:rsid w:val="003B0D3B"/>
    <w:rsid w:val="003B1759"/>
    <w:rsid w:val="003B196A"/>
    <w:rsid w:val="003B199B"/>
    <w:rsid w:val="003B1A92"/>
    <w:rsid w:val="003B2659"/>
    <w:rsid w:val="003B30AC"/>
    <w:rsid w:val="003B3640"/>
    <w:rsid w:val="003B3849"/>
    <w:rsid w:val="003B41EE"/>
    <w:rsid w:val="003B4744"/>
    <w:rsid w:val="003B47BA"/>
    <w:rsid w:val="003B4948"/>
    <w:rsid w:val="003B4EC4"/>
    <w:rsid w:val="003B5D04"/>
    <w:rsid w:val="003B5DD6"/>
    <w:rsid w:val="003B6789"/>
    <w:rsid w:val="003B6EC8"/>
    <w:rsid w:val="003B7531"/>
    <w:rsid w:val="003B7A73"/>
    <w:rsid w:val="003B7E2B"/>
    <w:rsid w:val="003C0539"/>
    <w:rsid w:val="003C1DF1"/>
    <w:rsid w:val="003C2A6C"/>
    <w:rsid w:val="003C2BA9"/>
    <w:rsid w:val="003C3153"/>
    <w:rsid w:val="003C3DAA"/>
    <w:rsid w:val="003C4217"/>
    <w:rsid w:val="003C48C9"/>
    <w:rsid w:val="003C4AE7"/>
    <w:rsid w:val="003C52DA"/>
    <w:rsid w:val="003C545A"/>
    <w:rsid w:val="003C695D"/>
    <w:rsid w:val="003C6CDA"/>
    <w:rsid w:val="003C6F48"/>
    <w:rsid w:val="003C729E"/>
    <w:rsid w:val="003C75AA"/>
    <w:rsid w:val="003C75C0"/>
    <w:rsid w:val="003C7E65"/>
    <w:rsid w:val="003D0152"/>
    <w:rsid w:val="003D01FF"/>
    <w:rsid w:val="003D1F7E"/>
    <w:rsid w:val="003D2F3C"/>
    <w:rsid w:val="003D33FC"/>
    <w:rsid w:val="003D3434"/>
    <w:rsid w:val="003D3F94"/>
    <w:rsid w:val="003D4287"/>
    <w:rsid w:val="003D464D"/>
    <w:rsid w:val="003D5AB4"/>
    <w:rsid w:val="003D5FC4"/>
    <w:rsid w:val="003D6CD4"/>
    <w:rsid w:val="003D7006"/>
    <w:rsid w:val="003E03B6"/>
    <w:rsid w:val="003E1801"/>
    <w:rsid w:val="003E1D64"/>
    <w:rsid w:val="003E227F"/>
    <w:rsid w:val="003E242C"/>
    <w:rsid w:val="003E2B2C"/>
    <w:rsid w:val="003E383B"/>
    <w:rsid w:val="003E3E35"/>
    <w:rsid w:val="003E4866"/>
    <w:rsid w:val="003E51F7"/>
    <w:rsid w:val="003E5792"/>
    <w:rsid w:val="003E5A18"/>
    <w:rsid w:val="003E7378"/>
    <w:rsid w:val="003F103D"/>
    <w:rsid w:val="003F1C68"/>
    <w:rsid w:val="003F216C"/>
    <w:rsid w:val="003F258E"/>
    <w:rsid w:val="003F378E"/>
    <w:rsid w:val="003F3FF6"/>
    <w:rsid w:val="003F423C"/>
    <w:rsid w:val="003F4E8C"/>
    <w:rsid w:val="003F5145"/>
    <w:rsid w:val="003F5269"/>
    <w:rsid w:val="003F5DAB"/>
    <w:rsid w:val="003F5F0F"/>
    <w:rsid w:val="003F74BA"/>
    <w:rsid w:val="003F7C28"/>
    <w:rsid w:val="00400355"/>
    <w:rsid w:val="00400361"/>
    <w:rsid w:val="0040234D"/>
    <w:rsid w:val="004033AF"/>
    <w:rsid w:val="00403482"/>
    <w:rsid w:val="00403DEF"/>
    <w:rsid w:val="00403EF9"/>
    <w:rsid w:val="0040497D"/>
    <w:rsid w:val="00405237"/>
    <w:rsid w:val="00405BEB"/>
    <w:rsid w:val="00405D1A"/>
    <w:rsid w:val="00406056"/>
    <w:rsid w:val="004068E6"/>
    <w:rsid w:val="00406D8D"/>
    <w:rsid w:val="00406FCC"/>
    <w:rsid w:val="0040738E"/>
    <w:rsid w:val="00407954"/>
    <w:rsid w:val="00407D71"/>
    <w:rsid w:val="00410C4F"/>
    <w:rsid w:val="0041111F"/>
    <w:rsid w:val="00411618"/>
    <w:rsid w:val="004117EC"/>
    <w:rsid w:val="00412200"/>
    <w:rsid w:val="00412A8F"/>
    <w:rsid w:val="00412BE5"/>
    <w:rsid w:val="00412F16"/>
    <w:rsid w:val="004130A0"/>
    <w:rsid w:val="0041326F"/>
    <w:rsid w:val="00413DB5"/>
    <w:rsid w:val="0041484D"/>
    <w:rsid w:val="00414864"/>
    <w:rsid w:val="0041617F"/>
    <w:rsid w:val="004170D1"/>
    <w:rsid w:val="00420019"/>
    <w:rsid w:val="00420090"/>
    <w:rsid w:val="0042021D"/>
    <w:rsid w:val="00420BD0"/>
    <w:rsid w:val="004214A0"/>
    <w:rsid w:val="00421927"/>
    <w:rsid w:val="00421A37"/>
    <w:rsid w:val="00421ABE"/>
    <w:rsid w:val="00421B51"/>
    <w:rsid w:val="00421C54"/>
    <w:rsid w:val="00421D80"/>
    <w:rsid w:val="004223AD"/>
    <w:rsid w:val="00422AE5"/>
    <w:rsid w:val="00422B19"/>
    <w:rsid w:val="00424203"/>
    <w:rsid w:val="00424254"/>
    <w:rsid w:val="00424279"/>
    <w:rsid w:val="00424C56"/>
    <w:rsid w:val="00424DD1"/>
    <w:rsid w:val="004256D6"/>
    <w:rsid w:val="00425726"/>
    <w:rsid w:val="00425A00"/>
    <w:rsid w:val="00425A70"/>
    <w:rsid w:val="00426081"/>
    <w:rsid w:val="00426607"/>
    <w:rsid w:val="004275D1"/>
    <w:rsid w:val="0043017B"/>
    <w:rsid w:val="00430212"/>
    <w:rsid w:val="00430D7F"/>
    <w:rsid w:val="004313CF"/>
    <w:rsid w:val="00431632"/>
    <w:rsid w:val="0043171C"/>
    <w:rsid w:val="004325A5"/>
    <w:rsid w:val="00433140"/>
    <w:rsid w:val="00434069"/>
    <w:rsid w:val="00434AF4"/>
    <w:rsid w:val="00434C55"/>
    <w:rsid w:val="0043506F"/>
    <w:rsid w:val="00435582"/>
    <w:rsid w:val="00437ABA"/>
    <w:rsid w:val="004402A5"/>
    <w:rsid w:val="0044066B"/>
    <w:rsid w:val="0044149B"/>
    <w:rsid w:val="004418B6"/>
    <w:rsid w:val="00441FC1"/>
    <w:rsid w:val="004428D5"/>
    <w:rsid w:val="004430F4"/>
    <w:rsid w:val="004435A0"/>
    <w:rsid w:val="0044377E"/>
    <w:rsid w:val="00443999"/>
    <w:rsid w:val="0044428F"/>
    <w:rsid w:val="00444AAF"/>
    <w:rsid w:val="00444DFF"/>
    <w:rsid w:val="00445023"/>
    <w:rsid w:val="004451D9"/>
    <w:rsid w:val="00445410"/>
    <w:rsid w:val="00445A49"/>
    <w:rsid w:val="00445FDE"/>
    <w:rsid w:val="00446649"/>
    <w:rsid w:val="00450B65"/>
    <w:rsid w:val="00451098"/>
    <w:rsid w:val="00451BA0"/>
    <w:rsid w:val="00452CA7"/>
    <w:rsid w:val="00453B90"/>
    <w:rsid w:val="00453E1A"/>
    <w:rsid w:val="00454CDD"/>
    <w:rsid w:val="00456E7E"/>
    <w:rsid w:val="004570FA"/>
    <w:rsid w:val="0045759A"/>
    <w:rsid w:val="004604A3"/>
    <w:rsid w:val="004608DA"/>
    <w:rsid w:val="00460B12"/>
    <w:rsid w:val="00460BF8"/>
    <w:rsid w:val="004619F4"/>
    <w:rsid w:val="00461A24"/>
    <w:rsid w:val="00462191"/>
    <w:rsid w:val="00462DE7"/>
    <w:rsid w:val="00463ADE"/>
    <w:rsid w:val="00464943"/>
    <w:rsid w:val="00465C7B"/>
    <w:rsid w:val="00465E19"/>
    <w:rsid w:val="00467D10"/>
    <w:rsid w:val="00470F20"/>
    <w:rsid w:val="00471C0B"/>
    <w:rsid w:val="00471F4F"/>
    <w:rsid w:val="00472B64"/>
    <w:rsid w:val="00473C3B"/>
    <w:rsid w:val="00474234"/>
    <w:rsid w:val="004742EF"/>
    <w:rsid w:val="004745BB"/>
    <w:rsid w:val="004751D2"/>
    <w:rsid w:val="0047598A"/>
    <w:rsid w:val="004769A5"/>
    <w:rsid w:val="00477612"/>
    <w:rsid w:val="004776A0"/>
    <w:rsid w:val="0047784B"/>
    <w:rsid w:val="00477A82"/>
    <w:rsid w:val="00477E3F"/>
    <w:rsid w:val="00477E66"/>
    <w:rsid w:val="00481341"/>
    <w:rsid w:val="00483E53"/>
    <w:rsid w:val="00484509"/>
    <w:rsid w:val="004848BE"/>
    <w:rsid w:val="00484D39"/>
    <w:rsid w:val="00484F2E"/>
    <w:rsid w:val="004854BA"/>
    <w:rsid w:val="00485E82"/>
    <w:rsid w:val="0048724A"/>
    <w:rsid w:val="004877FC"/>
    <w:rsid w:val="00487C00"/>
    <w:rsid w:val="00487C5E"/>
    <w:rsid w:val="00487D45"/>
    <w:rsid w:val="00487E76"/>
    <w:rsid w:val="0049000A"/>
    <w:rsid w:val="00490162"/>
    <w:rsid w:val="00491078"/>
    <w:rsid w:val="00491661"/>
    <w:rsid w:val="004918EE"/>
    <w:rsid w:val="00491C7B"/>
    <w:rsid w:val="00491E9D"/>
    <w:rsid w:val="00491F5A"/>
    <w:rsid w:val="00492160"/>
    <w:rsid w:val="004928B9"/>
    <w:rsid w:val="00492B29"/>
    <w:rsid w:val="00493266"/>
    <w:rsid w:val="00494474"/>
    <w:rsid w:val="00495A1E"/>
    <w:rsid w:val="00495B13"/>
    <w:rsid w:val="004962A8"/>
    <w:rsid w:val="00496385"/>
    <w:rsid w:val="00496742"/>
    <w:rsid w:val="00496976"/>
    <w:rsid w:val="00496A1D"/>
    <w:rsid w:val="00496A5F"/>
    <w:rsid w:val="00497313"/>
    <w:rsid w:val="004A0E41"/>
    <w:rsid w:val="004A1408"/>
    <w:rsid w:val="004A18C8"/>
    <w:rsid w:val="004A1BE4"/>
    <w:rsid w:val="004A1EB0"/>
    <w:rsid w:val="004A1FCB"/>
    <w:rsid w:val="004A2717"/>
    <w:rsid w:val="004A2861"/>
    <w:rsid w:val="004A3269"/>
    <w:rsid w:val="004A3960"/>
    <w:rsid w:val="004A3BC2"/>
    <w:rsid w:val="004A3D87"/>
    <w:rsid w:val="004A4BFC"/>
    <w:rsid w:val="004A5358"/>
    <w:rsid w:val="004A6101"/>
    <w:rsid w:val="004A62D0"/>
    <w:rsid w:val="004A6987"/>
    <w:rsid w:val="004A6DF8"/>
    <w:rsid w:val="004A6FAE"/>
    <w:rsid w:val="004A7A52"/>
    <w:rsid w:val="004B0532"/>
    <w:rsid w:val="004B0C53"/>
    <w:rsid w:val="004B0C97"/>
    <w:rsid w:val="004B0CEB"/>
    <w:rsid w:val="004B0DF2"/>
    <w:rsid w:val="004B1E1C"/>
    <w:rsid w:val="004B235F"/>
    <w:rsid w:val="004B3531"/>
    <w:rsid w:val="004B41BC"/>
    <w:rsid w:val="004B44E8"/>
    <w:rsid w:val="004B55FC"/>
    <w:rsid w:val="004B5FCB"/>
    <w:rsid w:val="004B6007"/>
    <w:rsid w:val="004B66A8"/>
    <w:rsid w:val="004B7920"/>
    <w:rsid w:val="004C04F1"/>
    <w:rsid w:val="004C0C3F"/>
    <w:rsid w:val="004C1370"/>
    <w:rsid w:val="004C164B"/>
    <w:rsid w:val="004C19FD"/>
    <w:rsid w:val="004C1E14"/>
    <w:rsid w:val="004C2B60"/>
    <w:rsid w:val="004C385A"/>
    <w:rsid w:val="004C3A2D"/>
    <w:rsid w:val="004C4206"/>
    <w:rsid w:val="004C4EB4"/>
    <w:rsid w:val="004C52D2"/>
    <w:rsid w:val="004C5884"/>
    <w:rsid w:val="004C6FEA"/>
    <w:rsid w:val="004C7D9F"/>
    <w:rsid w:val="004D09F6"/>
    <w:rsid w:val="004D18C3"/>
    <w:rsid w:val="004D1D62"/>
    <w:rsid w:val="004D2130"/>
    <w:rsid w:val="004D219C"/>
    <w:rsid w:val="004D2699"/>
    <w:rsid w:val="004D3477"/>
    <w:rsid w:val="004D3A67"/>
    <w:rsid w:val="004D415F"/>
    <w:rsid w:val="004D43D9"/>
    <w:rsid w:val="004D4975"/>
    <w:rsid w:val="004D5859"/>
    <w:rsid w:val="004D5BD3"/>
    <w:rsid w:val="004D7FAC"/>
    <w:rsid w:val="004E018E"/>
    <w:rsid w:val="004E021A"/>
    <w:rsid w:val="004E060F"/>
    <w:rsid w:val="004E06E8"/>
    <w:rsid w:val="004E0A6A"/>
    <w:rsid w:val="004E1841"/>
    <w:rsid w:val="004E234E"/>
    <w:rsid w:val="004E23DA"/>
    <w:rsid w:val="004E2C14"/>
    <w:rsid w:val="004E4BE9"/>
    <w:rsid w:val="004E5480"/>
    <w:rsid w:val="004E58D0"/>
    <w:rsid w:val="004E598E"/>
    <w:rsid w:val="004E6C7F"/>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106B"/>
    <w:rsid w:val="00511132"/>
    <w:rsid w:val="00512FBD"/>
    <w:rsid w:val="005130ED"/>
    <w:rsid w:val="005133F4"/>
    <w:rsid w:val="0051380B"/>
    <w:rsid w:val="00514174"/>
    <w:rsid w:val="00514FFB"/>
    <w:rsid w:val="005154D9"/>
    <w:rsid w:val="00515D1C"/>
    <w:rsid w:val="00516651"/>
    <w:rsid w:val="0051685A"/>
    <w:rsid w:val="005176B5"/>
    <w:rsid w:val="0051797D"/>
    <w:rsid w:val="005179FC"/>
    <w:rsid w:val="00520691"/>
    <w:rsid w:val="00520D44"/>
    <w:rsid w:val="005213BD"/>
    <w:rsid w:val="005217F7"/>
    <w:rsid w:val="0052193B"/>
    <w:rsid w:val="005223AE"/>
    <w:rsid w:val="00522953"/>
    <w:rsid w:val="00522B8E"/>
    <w:rsid w:val="00523009"/>
    <w:rsid w:val="005230C3"/>
    <w:rsid w:val="00523749"/>
    <w:rsid w:val="00523C34"/>
    <w:rsid w:val="00524C00"/>
    <w:rsid w:val="0052576E"/>
    <w:rsid w:val="00525964"/>
    <w:rsid w:val="00525D16"/>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145"/>
    <w:rsid w:val="00544823"/>
    <w:rsid w:val="005448D3"/>
    <w:rsid w:val="00545530"/>
    <w:rsid w:val="00545D45"/>
    <w:rsid w:val="005462D4"/>
    <w:rsid w:val="00546C3B"/>
    <w:rsid w:val="00547A6A"/>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4D"/>
    <w:rsid w:val="005544FE"/>
    <w:rsid w:val="005549FB"/>
    <w:rsid w:val="00554A4B"/>
    <w:rsid w:val="00554A71"/>
    <w:rsid w:val="0055524B"/>
    <w:rsid w:val="0055598B"/>
    <w:rsid w:val="00556C6D"/>
    <w:rsid w:val="00556D20"/>
    <w:rsid w:val="005570F8"/>
    <w:rsid w:val="00557DF2"/>
    <w:rsid w:val="00557EA0"/>
    <w:rsid w:val="00563586"/>
    <w:rsid w:val="00564E44"/>
    <w:rsid w:val="0056575F"/>
    <w:rsid w:val="00567719"/>
    <w:rsid w:val="005678C5"/>
    <w:rsid w:val="005679F3"/>
    <w:rsid w:val="00570934"/>
    <w:rsid w:val="00571623"/>
    <w:rsid w:val="00571747"/>
    <w:rsid w:val="005718A0"/>
    <w:rsid w:val="005730DD"/>
    <w:rsid w:val="005737BB"/>
    <w:rsid w:val="00574B3F"/>
    <w:rsid w:val="00574F8E"/>
    <w:rsid w:val="005751F8"/>
    <w:rsid w:val="00575A67"/>
    <w:rsid w:val="00575C4F"/>
    <w:rsid w:val="00577452"/>
    <w:rsid w:val="00580033"/>
    <w:rsid w:val="00581542"/>
    <w:rsid w:val="00581AFE"/>
    <w:rsid w:val="0058244F"/>
    <w:rsid w:val="00583317"/>
    <w:rsid w:val="00583A6D"/>
    <w:rsid w:val="00583D77"/>
    <w:rsid w:val="005843D5"/>
    <w:rsid w:val="00585ABF"/>
    <w:rsid w:val="00585BCD"/>
    <w:rsid w:val="0058619D"/>
    <w:rsid w:val="00586351"/>
    <w:rsid w:val="005863F5"/>
    <w:rsid w:val="005867B6"/>
    <w:rsid w:val="00586E00"/>
    <w:rsid w:val="00586EA0"/>
    <w:rsid w:val="00587159"/>
    <w:rsid w:val="00590406"/>
    <w:rsid w:val="00590F25"/>
    <w:rsid w:val="005918BA"/>
    <w:rsid w:val="00591A23"/>
    <w:rsid w:val="00591A4B"/>
    <w:rsid w:val="00591ED6"/>
    <w:rsid w:val="005920A2"/>
    <w:rsid w:val="005929A3"/>
    <w:rsid w:val="0059300E"/>
    <w:rsid w:val="00593E33"/>
    <w:rsid w:val="00593E67"/>
    <w:rsid w:val="00594121"/>
    <w:rsid w:val="00594255"/>
    <w:rsid w:val="00594547"/>
    <w:rsid w:val="005946B4"/>
    <w:rsid w:val="00594D5D"/>
    <w:rsid w:val="00596368"/>
    <w:rsid w:val="005966A7"/>
    <w:rsid w:val="00596F47"/>
    <w:rsid w:val="0059799F"/>
    <w:rsid w:val="005A0FE8"/>
    <w:rsid w:val="005A0FFE"/>
    <w:rsid w:val="005A142D"/>
    <w:rsid w:val="005A1F5F"/>
    <w:rsid w:val="005A2F68"/>
    <w:rsid w:val="005A2F9E"/>
    <w:rsid w:val="005A344B"/>
    <w:rsid w:val="005A3770"/>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1E7"/>
    <w:rsid w:val="005B46DE"/>
    <w:rsid w:val="005B50D8"/>
    <w:rsid w:val="005B6B7B"/>
    <w:rsid w:val="005B6EB5"/>
    <w:rsid w:val="005C0132"/>
    <w:rsid w:val="005C0335"/>
    <w:rsid w:val="005C06ED"/>
    <w:rsid w:val="005C1652"/>
    <w:rsid w:val="005C1712"/>
    <w:rsid w:val="005C2074"/>
    <w:rsid w:val="005C2B78"/>
    <w:rsid w:val="005C316C"/>
    <w:rsid w:val="005C4138"/>
    <w:rsid w:val="005C46EB"/>
    <w:rsid w:val="005C47B6"/>
    <w:rsid w:val="005C4C97"/>
    <w:rsid w:val="005C5445"/>
    <w:rsid w:val="005C54F9"/>
    <w:rsid w:val="005C5A43"/>
    <w:rsid w:val="005C6520"/>
    <w:rsid w:val="005C6D73"/>
    <w:rsid w:val="005C7149"/>
    <w:rsid w:val="005C734C"/>
    <w:rsid w:val="005C76CE"/>
    <w:rsid w:val="005C7984"/>
    <w:rsid w:val="005D01A9"/>
    <w:rsid w:val="005D040D"/>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D7961"/>
    <w:rsid w:val="005E024F"/>
    <w:rsid w:val="005E02BF"/>
    <w:rsid w:val="005E0C8F"/>
    <w:rsid w:val="005E1773"/>
    <w:rsid w:val="005E2507"/>
    <w:rsid w:val="005E27CD"/>
    <w:rsid w:val="005E32D5"/>
    <w:rsid w:val="005E33BF"/>
    <w:rsid w:val="005E3BB5"/>
    <w:rsid w:val="005E49BC"/>
    <w:rsid w:val="005E5073"/>
    <w:rsid w:val="005E5092"/>
    <w:rsid w:val="005E5714"/>
    <w:rsid w:val="005E615B"/>
    <w:rsid w:val="005E748D"/>
    <w:rsid w:val="005E7E76"/>
    <w:rsid w:val="005F3426"/>
    <w:rsid w:val="005F4983"/>
    <w:rsid w:val="005F502D"/>
    <w:rsid w:val="005F5102"/>
    <w:rsid w:val="005F55B4"/>
    <w:rsid w:val="005F56DC"/>
    <w:rsid w:val="005F57F1"/>
    <w:rsid w:val="005F60A7"/>
    <w:rsid w:val="005F7472"/>
    <w:rsid w:val="005F7D93"/>
    <w:rsid w:val="0060076F"/>
    <w:rsid w:val="0060120C"/>
    <w:rsid w:val="006014CE"/>
    <w:rsid w:val="00601517"/>
    <w:rsid w:val="00601FF1"/>
    <w:rsid w:val="00602492"/>
    <w:rsid w:val="0060263E"/>
    <w:rsid w:val="00603315"/>
    <w:rsid w:val="00603D4B"/>
    <w:rsid w:val="00604949"/>
    <w:rsid w:val="006052F1"/>
    <w:rsid w:val="00605747"/>
    <w:rsid w:val="00605AE8"/>
    <w:rsid w:val="0060658F"/>
    <w:rsid w:val="0060684A"/>
    <w:rsid w:val="00607132"/>
    <w:rsid w:val="00607438"/>
    <w:rsid w:val="006078CD"/>
    <w:rsid w:val="00610305"/>
    <w:rsid w:val="00610A70"/>
    <w:rsid w:val="00610FD1"/>
    <w:rsid w:val="00611F47"/>
    <w:rsid w:val="00612321"/>
    <w:rsid w:val="006129BA"/>
    <w:rsid w:val="00612EF7"/>
    <w:rsid w:val="0061395E"/>
    <w:rsid w:val="0061632E"/>
    <w:rsid w:val="00616B95"/>
    <w:rsid w:val="0061747F"/>
    <w:rsid w:val="00617963"/>
    <w:rsid w:val="00617A0C"/>
    <w:rsid w:val="00617D9F"/>
    <w:rsid w:val="00620DE3"/>
    <w:rsid w:val="00621119"/>
    <w:rsid w:val="00621D50"/>
    <w:rsid w:val="006225D3"/>
    <w:rsid w:val="00622A70"/>
    <w:rsid w:val="0062353D"/>
    <w:rsid w:val="006235F6"/>
    <w:rsid w:val="0062392F"/>
    <w:rsid w:val="00623D1E"/>
    <w:rsid w:val="006247A2"/>
    <w:rsid w:val="00624F0E"/>
    <w:rsid w:val="00625374"/>
    <w:rsid w:val="00625B2F"/>
    <w:rsid w:val="00626302"/>
    <w:rsid w:val="006276FB"/>
    <w:rsid w:val="00627EF0"/>
    <w:rsid w:val="00630489"/>
    <w:rsid w:val="00630732"/>
    <w:rsid w:val="00630AB7"/>
    <w:rsid w:val="00630D39"/>
    <w:rsid w:val="00631012"/>
    <w:rsid w:val="006316FF"/>
    <w:rsid w:val="006333E8"/>
    <w:rsid w:val="006337B5"/>
    <w:rsid w:val="006338A1"/>
    <w:rsid w:val="0063448D"/>
    <w:rsid w:val="00634DB9"/>
    <w:rsid w:val="006350D2"/>
    <w:rsid w:val="006358BC"/>
    <w:rsid w:val="00635DAD"/>
    <w:rsid w:val="00635EE7"/>
    <w:rsid w:val="006365EB"/>
    <w:rsid w:val="00636ED7"/>
    <w:rsid w:val="00637237"/>
    <w:rsid w:val="0063750A"/>
    <w:rsid w:val="0064060C"/>
    <w:rsid w:val="006414DA"/>
    <w:rsid w:val="00641684"/>
    <w:rsid w:val="00642361"/>
    <w:rsid w:val="00642372"/>
    <w:rsid w:val="00642463"/>
    <w:rsid w:val="00643695"/>
    <w:rsid w:val="00643925"/>
    <w:rsid w:val="00643DA7"/>
    <w:rsid w:val="00644DDF"/>
    <w:rsid w:val="00644EEB"/>
    <w:rsid w:val="00645DCE"/>
    <w:rsid w:val="006461AB"/>
    <w:rsid w:val="00646C5A"/>
    <w:rsid w:val="00646E7C"/>
    <w:rsid w:val="0064764F"/>
    <w:rsid w:val="00647706"/>
    <w:rsid w:val="006479FB"/>
    <w:rsid w:val="00650774"/>
    <w:rsid w:val="006513B3"/>
    <w:rsid w:val="00652A78"/>
    <w:rsid w:val="00652A8F"/>
    <w:rsid w:val="00652E80"/>
    <w:rsid w:val="006532E9"/>
    <w:rsid w:val="00653581"/>
    <w:rsid w:val="006535E6"/>
    <w:rsid w:val="00653A10"/>
    <w:rsid w:val="00653A24"/>
    <w:rsid w:val="00653E50"/>
    <w:rsid w:val="0065483C"/>
    <w:rsid w:val="006551BA"/>
    <w:rsid w:val="006553A6"/>
    <w:rsid w:val="00655A1E"/>
    <w:rsid w:val="00655AAE"/>
    <w:rsid w:val="00655AE7"/>
    <w:rsid w:val="0065636A"/>
    <w:rsid w:val="006568FC"/>
    <w:rsid w:val="00657426"/>
    <w:rsid w:val="00660568"/>
    <w:rsid w:val="00660650"/>
    <w:rsid w:val="0066092E"/>
    <w:rsid w:val="00661082"/>
    <w:rsid w:val="006613A5"/>
    <w:rsid w:val="006613D4"/>
    <w:rsid w:val="006617B7"/>
    <w:rsid w:val="006628AC"/>
    <w:rsid w:val="00662E88"/>
    <w:rsid w:val="00663483"/>
    <w:rsid w:val="0066388E"/>
    <w:rsid w:val="00664B1D"/>
    <w:rsid w:val="00664C63"/>
    <w:rsid w:val="0066595F"/>
    <w:rsid w:val="006659BF"/>
    <w:rsid w:val="00665B29"/>
    <w:rsid w:val="00666056"/>
    <w:rsid w:val="006660DB"/>
    <w:rsid w:val="006675E5"/>
    <w:rsid w:val="006701B8"/>
    <w:rsid w:val="006703CA"/>
    <w:rsid w:val="00670563"/>
    <w:rsid w:val="00670730"/>
    <w:rsid w:val="00670BC0"/>
    <w:rsid w:val="006710B0"/>
    <w:rsid w:val="00671A3E"/>
    <w:rsid w:val="00673646"/>
    <w:rsid w:val="00673CDA"/>
    <w:rsid w:val="0067400B"/>
    <w:rsid w:val="006744D1"/>
    <w:rsid w:val="00674604"/>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7108"/>
    <w:rsid w:val="00687D64"/>
    <w:rsid w:val="00690599"/>
    <w:rsid w:val="006909AB"/>
    <w:rsid w:val="00690EA9"/>
    <w:rsid w:val="00691CB0"/>
    <w:rsid w:val="00691FFA"/>
    <w:rsid w:val="00692CF6"/>
    <w:rsid w:val="00692E69"/>
    <w:rsid w:val="00693662"/>
    <w:rsid w:val="006939A6"/>
    <w:rsid w:val="00693BF9"/>
    <w:rsid w:val="006949C2"/>
    <w:rsid w:val="006957DB"/>
    <w:rsid w:val="00696828"/>
    <w:rsid w:val="00697051"/>
    <w:rsid w:val="0069734C"/>
    <w:rsid w:val="006976F0"/>
    <w:rsid w:val="006979B6"/>
    <w:rsid w:val="00697CFD"/>
    <w:rsid w:val="006A02E6"/>
    <w:rsid w:val="006A083A"/>
    <w:rsid w:val="006A1AEB"/>
    <w:rsid w:val="006A1BE1"/>
    <w:rsid w:val="006A1CC9"/>
    <w:rsid w:val="006A1FDB"/>
    <w:rsid w:val="006A37E7"/>
    <w:rsid w:val="006A3C04"/>
    <w:rsid w:val="006A47DF"/>
    <w:rsid w:val="006A48F4"/>
    <w:rsid w:val="006A4BA7"/>
    <w:rsid w:val="006A4BB6"/>
    <w:rsid w:val="006A5B69"/>
    <w:rsid w:val="006A6C03"/>
    <w:rsid w:val="006B022B"/>
    <w:rsid w:val="006B02A8"/>
    <w:rsid w:val="006B0351"/>
    <w:rsid w:val="006B1A1A"/>
    <w:rsid w:val="006B2BA3"/>
    <w:rsid w:val="006B2E6B"/>
    <w:rsid w:val="006B2EE9"/>
    <w:rsid w:val="006B59E9"/>
    <w:rsid w:val="006B62AE"/>
    <w:rsid w:val="006B635D"/>
    <w:rsid w:val="006B6FBE"/>
    <w:rsid w:val="006B7A4A"/>
    <w:rsid w:val="006B7B45"/>
    <w:rsid w:val="006B7B7E"/>
    <w:rsid w:val="006C0160"/>
    <w:rsid w:val="006C01AF"/>
    <w:rsid w:val="006C1A26"/>
    <w:rsid w:val="006C1EEB"/>
    <w:rsid w:val="006C3ACC"/>
    <w:rsid w:val="006C3FD2"/>
    <w:rsid w:val="006C483B"/>
    <w:rsid w:val="006C4841"/>
    <w:rsid w:val="006C4B58"/>
    <w:rsid w:val="006C6024"/>
    <w:rsid w:val="006C6271"/>
    <w:rsid w:val="006C634C"/>
    <w:rsid w:val="006C6A76"/>
    <w:rsid w:val="006C6BEB"/>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058"/>
    <w:rsid w:val="006D6360"/>
    <w:rsid w:val="006D6520"/>
    <w:rsid w:val="006D6E3F"/>
    <w:rsid w:val="006D7877"/>
    <w:rsid w:val="006D7F31"/>
    <w:rsid w:val="006E006B"/>
    <w:rsid w:val="006E1891"/>
    <w:rsid w:val="006E3538"/>
    <w:rsid w:val="006E4A76"/>
    <w:rsid w:val="006E4BAB"/>
    <w:rsid w:val="006E52AE"/>
    <w:rsid w:val="006E57D4"/>
    <w:rsid w:val="006E5BB7"/>
    <w:rsid w:val="006E5C4F"/>
    <w:rsid w:val="006E6007"/>
    <w:rsid w:val="006E6EAE"/>
    <w:rsid w:val="006E6FF7"/>
    <w:rsid w:val="006E7054"/>
    <w:rsid w:val="006E7956"/>
    <w:rsid w:val="006F0026"/>
    <w:rsid w:val="006F062E"/>
    <w:rsid w:val="006F0CDB"/>
    <w:rsid w:val="006F1B9B"/>
    <w:rsid w:val="006F23E9"/>
    <w:rsid w:val="006F259A"/>
    <w:rsid w:val="006F25E5"/>
    <w:rsid w:val="006F29B7"/>
    <w:rsid w:val="006F31E1"/>
    <w:rsid w:val="006F3497"/>
    <w:rsid w:val="006F41DA"/>
    <w:rsid w:val="006F48EF"/>
    <w:rsid w:val="006F52CB"/>
    <w:rsid w:val="006F572A"/>
    <w:rsid w:val="006F57DE"/>
    <w:rsid w:val="006F614A"/>
    <w:rsid w:val="006F70F7"/>
    <w:rsid w:val="007000A5"/>
    <w:rsid w:val="00700318"/>
    <w:rsid w:val="007003AA"/>
    <w:rsid w:val="0070047A"/>
    <w:rsid w:val="00700833"/>
    <w:rsid w:val="00701DAA"/>
    <w:rsid w:val="00702685"/>
    <w:rsid w:val="00702A32"/>
    <w:rsid w:val="0070338C"/>
    <w:rsid w:val="00704F5D"/>
    <w:rsid w:val="00705A48"/>
    <w:rsid w:val="00705BA0"/>
    <w:rsid w:val="00706050"/>
    <w:rsid w:val="007065FB"/>
    <w:rsid w:val="00706850"/>
    <w:rsid w:val="0070721E"/>
    <w:rsid w:val="0070742B"/>
    <w:rsid w:val="00707BA5"/>
    <w:rsid w:val="00710789"/>
    <w:rsid w:val="007107B9"/>
    <w:rsid w:val="00710A58"/>
    <w:rsid w:val="00710DF2"/>
    <w:rsid w:val="007118B8"/>
    <w:rsid w:val="00711F8A"/>
    <w:rsid w:val="0071206F"/>
    <w:rsid w:val="007124A5"/>
    <w:rsid w:val="00712B60"/>
    <w:rsid w:val="0071379E"/>
    <w:rsid w:val="0071504F"/>
    <w:rsid w:val="007150FA"/>
    <w:rsid w:val="00715E14"/>
    <w:rsid w:val="00716DA7"/>
    <w:rsid w:val="00717070"/>
    <w:rsid w:val="007171CA"/>
    <w:rsid w:val="007171D4"/>
    <w:rsid w:val="00717CC9"/>
    <w:rsid w:val="00720006"/>
    <w:rsid w:val="007206DD"/>
    <w:rsid w:val="0072085F"/>
    <w:rsid w:val="00720909"/>
    <w:rsid w:val="00720C30"/>
    <w:rsid w:val="007213F0"/>
    <w:rsid w:val="00721CD1"/>
    <w:rsid w:val="0072312F"/>
    <w:rsid w:val="00723970"/>
    <w:rsid w:val="00723DCD"/>
    <w:rsid w:val="0072433F"/>
    <w:rsid w:val="007247A6"/>
    <w:rsid w:val="00725203"/>
    <w:rsid w:val="00725817"/>
    <w:rsid w:val="00725BBE"/>
    <w:rsid w:val="00727342"/>
    <w:rsid w:val="00727D0E"/>
    <w:rsid w:val="00727F01"/>
    <w:rsid w:val="007307AA"/>
    <w:rsid w:val="007319CB"/>
    <w:rsid w:val="0073248F"/>
    <w:rsid w:val="007324D4"/>
    <w:rsid w:val="00732911"/>
    <w:rsid w:val="00732BF7"/>
    <w:rsid w:val="00733D53"/>
    <w:rsid w:val="0073450D"/>
    <w:rsid w:val="00734626"/>
    <w:rsid w:val="00735361"/>
    <w:rsid w:val="007354D8"/>
    <w:rsid w:val="00735BA0"/>
    <w:rsid w:val="00735DDF"/>
    <w:rsid w:val="007368C2"/>
    <w:rsid w:val="00736B89"/>
    <w:rsid w:val="00736D7B"/>
    <w:rsid w:val="0073711D"/>
    <w:rsid w:val="00737FD3"/>
    <w:rsid w:val="007411D6"/>
    <w:rsid w:val="00741587"/>
    <w:rsid w:val="00741C6C"/>
    <w:rsid w:val="0074210F"/>
    <w:rsid w:val="007422CF"/>
    <w:rsid w:val="00742705"/>
    <w:rsid w:val="00742BD3"/>
    <w:rsid w:val="00743315"/>
    <w:rsid w:val="00743AD9"/>
    <w:rsid w:val="00743F7B"/>
    <w:rsid w:val="00744335"/>
    <w:rsid w:val="00744A48"/>
    <w:rsid w:val="00745262"/>
    <w:rsid w:val="00745E1D"/>
    <w:rsid w:val="00746798"/>
    <w:rsid w:val="00746FDE"/>
    <w:rsid w:val="007470B9"/>
    <w:rsid w:val="0074758D"/>
    <w:rsid w:val="007476C1"/>
    <w:rsid w:val="00750678"/>
    <w:rsid w:val="00750B45"/>
    <w:rsid w:val="00750F14"/>
    <w:rsid w:val="007511CC"/>
    <w:rsid w:val="00751443"/>
    <w:rsid w:val="00751721"/>
    <w:rsid w:val="00751A55"/>
    <w:rsid w:val="0075207E"/>
    <w:rsid w:val="00752089"/>
    <w:rsid w:val="007531A0"/>
    <w:rsid w:val="00753736"/>
    <w:rsid w:val="00754352"/>
    <w:rsid w:val="00754AA7"/>
    <w:rsid w:val="0075647A"/>
    <w:rsid w:val="007568DC"/>
    <w:rsid w:val="00756C35"/>
    <w:rsid w:val="00757582"/>
    <w:rsid w:val="0076050F"/>
    <w:rsid w:val="00761E57"/>
    <w:rsid w:val="00763236"/>
    <w:rsid w:val="00763817"/>
    <w:rsid w:val="00763C39"/>
    <w:rsid w:val="00763EE0"/>
    <w:rsid w:val="007643C0"/>
    <w:rsid w:val="00765A36"/>
    <w:rsid w:val="007661D2"/>
    <w:rsid w:val="00767D58"/>
    <w:rsid w:val="007706FD"/>
    <w:rsid w:val="00770801"/>
    <w:rsid w:val="00771CD0"/>
    <w:rsid w:val="00772337"/>
    <w:rsid w:val="007733BE"/>
    <w:rsid w:val="00774621"/>
    <w:rsid w:val="00774690"/>
    <w:rsid w:val="00774805"/>
    <w:rsid w:val="0077654B"/>
    <w:rsid w:val="00776CA7"/>
    <w:rsid w:val="00776E22"/>
    <w:rsid w:val="00781F7D"/>
    <w:rsid w:val="00782073"/>
    <w:rsid w:val="00783530"/>
    <w:rsid w:val="007842BF"/>
    <w:rsid w:val="007844C8"/>
    <w:rsid w:val="0078467D"/>
    <w:rsid w:val="00784D0C"/>
    <w:rsid w:val="007850DE"/>
    <w:rsid w:val="00787C48"/>
    <w:rsid w:val="0079093A"/>
    <w:rsid w:val="00791133"/>
    <w:rsid w:val="00791143"/>
    <w:rsid w:val="00791EDD"/>
    <w:rsid w:val="00792223"/>
    <w:rsid w:val="00792C03"/>
    <w:rsid w:val="00792D10"/>
    <w:rsid w:val="00793944"/>
    <w:rsid w:val="00793B10"/>
    <w:rsid w:val="007946AF"/>
    <w:rsid w:val="007959B8"/>
    <w:rsid w:val="00795A01"/>
    <w:rsid w:val="00796717"/>
    <w:rsid w:val="00796C3B"/>
    <w:rsid w:val="00797351"/>
    <w:rsid w:val="0079743D"/>
    <w:rsid w:val="00797772"/>
    <w:rsid w:val="00797DA2"/>
    <w:rsid w:val="00797E3D"/>
    <w:rsid w:val="007A1530"/>
    <w:rsid w:val="007A17F1"/>
    <w:rsid w:val="007A1859"/>
    <w:rsid w:val="007A27A6"/>
    <w:rsid w:val="007A2BCD"/>
    <w:rsid w:val="007A38B9"/>
    <w:rsid w:val="007A4FCA"/>
    <w:rsid w:val="007A519B"/>
    <w:rsid w:val="007A5A4C"/>
    <w:rsid w:val="007A5FED"/>
    <w:rsid w:val="007A7CFF"/>
    <w:rsid w:val="007A7D90"/>
    <w:rsid w:val="007A7E7B"/>
    <w:rsid w:val="007B0039"/>
    <w:rsid w:val="007B01CF"/>
    <w:rsid w:val="007B1446"/>
    <w:rsid w:val="007B150C"/>
    <w:rsid w:val="007B3CEF"/>
    <w:rsid w:val="007B43E1"/>
    <w:rsid w:val="007B4D5C"/>
    <w:rsid w:val="007B4FFD"/>
    <w:rsid w:val="007B590C"/>
    <w:rsid w:val="007B60BD"/>
    <w:rsid w:val="007B7A92"/>
    <w:rsid w:val="007B7E9F"/>
    <w:rsid w:val="007C09AC"/>
    <w:rsid w:val="007C0C12"/>
    <w:rsid w:val="007C12E8"/>
    <w:rsid w:val="007C2CB2"/>
    <w:rsid w:val="007C2E23"/>
    <w:rsid w:val="007C3139"/>
    <w:rsid w:val="007C3565"/>
    <w:rsid w:val="007C42BB"/>
    <w:rsid w:val="007C45CA"/>
    <w:rsid w:val="007C46A0"/>
    <w:rsid w:val="007C5070"/>
    <w:rsid w:val="007C51B6"/>
    <w:rsid w:val="007C663D"/>
    <w:rsid w:val="007C795D"/>
    <w:rsid w:val="007D008E"/>
    <w:rsid w:val="007D07C4"/>
    <w:rsid w:val="007D0AF0"/>
    <w:rsid w:val="007D224B"/>
    <w:rsid w:val="007D4E85"/>
    <w:rsid w:val="007D50EF"/>
    <w:rsid w:val="007D5C7E"/>
    <w:rsid w:val="007D653A"/>
    <w:rsid w:val="007D69E1"/>
    <w:rsid w:val="007D6A1E"/>
    <w:rsid w:val="007E0064"/>
    <w:rsid w:val="007E04A2"/>
    <w:rsid w:val="007E09E9"/>
    <w:rsid w:val="007E0A8F"/>
    <w:rsid w:val="007E0B3E"/>
    <w:rsid w:val="007E12A2"/>
    <w:rsid w:val="007E12D3"/>
    <w:rsid w:val="007E13EB"/>
    <w:rsid w:val="007E2155"/>
    <w:rsid w:val="007E2DFC"/>
    <w:rsid w:val="007E3446"/>
    <w:rsid w:val="007E3FA7"/>
    <w:rsid w:val="007E4D1E"/>
    <w:rsid w:val="007E4F90"/>
    <w:rsid w:val="007E6464"/>
    <w:rsid w:val="007E66D0"/>
    <w:rsid w:val="007E6835"/>
    <w:rsid w:val="007E6F46"/>
    <w:rsid w:val="007E7E74"/>
    <w:rsid w:val="007F04B2"/>
    <w:rsid w:val="007F095D"/>
    <w:rsid w:val="007F0E02"/>
    <w:rsid w:val="007F1DAE"/>
    <w:rsid w:val="007F24B9"/>
    <w:rsid w:val="007F26C7"/>
    <w:rsid w:val="007F3388"/>
    <w:rsid w:val="007F347D"/>
    <w:rsid w:val="007F3571"/>
    <w:rsid w:val="007F497A"/>
    <w:rsid w:val="007F4D6C"/>
    <w:rsid w:val="007F5CA4"/>
    <w:rsid w:val="007F5CF0"/>
    <w:rsid w:val="007F5DC6"/>
    <w:rsid w:val="007F5EAC"/>
    <w:rsid w:val="007F6251"/>
    <w:rsid w:val="007F6461"/>
    <w:rsid w:val="007F6BAE"/>
    <w:rsid w:val="007F6F77"/>
    <w:rsid w:val="007F7B5C"/>
    <w:rsid w:val="007F7D2F"/>
    <w:rsid w:val="007F7DC1"/>
    <w:rsid w:val="00801B8F"/>
    <w:rsid w:val="0080256F"/>
    <w:rsid w:val="00802BF1"/>
    <w:rsid w:val="00802FF1"/>
    <w:rsid w:val="008034DB"/>
    <w:rsid w:val="008041E6"/>
    <w:rsid w:val="008041FF"/>
    <w:rsid w:val="00805D68"/>
    <w:rsid w:val="00805E84"/>
    <w:rsid w:val="00806471"/>
    <w:rsid w:val="00807263"/>
    <w:rsid w:val="0080751A"/>
    <w:rsid w:val="0080752D"/>
    <w:rsid w:val="00807F81"/>
    <w:rsid w:val="008104D1"/>
    <w:rsid w:val="0081226D"/>
    <w:rsid w:val="00812349"/>
    <w:rsid w:val="008123CB"/>
    <w:rsid w:val="00812892"/>
    <w:rsid w:val="008129F2"/>
    <w:rsid w:val="008137C4"/>
    <w:rsid w:val="00813B83"/>
    <w:rsid w:val="008150EA"/>
    <w:rsid w:val="0081516B"/>
    <w:rsid w:val="00815355"/>
    <w:rsid w:val="00815C9B"/>
    <w:rsid w:val="00815EF5"/>
    <w:rsid w:val="00816175"/>
    <w:rsid w:val="00816809"/>
    <w:rsid w:val="00817C2F"/>
    <w:rsid w:val="00820059"/>
    <w:rsid w:val="00820AAF"/>
    <w:rsid w:val="00820D3A"/>
    <w:rsid w:val="00821900"/>
    <w:rsid w:val="00821A21"/>
    <w:rsid w:val="00821B0A"/>
    <w:rsid w:val="00821D52"/>
    <w:rsid w:val="0082203A"/>
    <w:rsid w:val="00822140"/>
    <w:rsid w:val="00822285"/>
    <w:rsid w:val="00822350"/>
    <w:rsid w:val="00822352"/>
    <w:rsid w:val="008228D5"/>
    <w:rsid w:val="00823081"/>
    <w:rsid w:val="0082315F"/>
    <w:rsid w:val="00823FFE"/>
    <w:rsid w:val="00824223"/>
    <w:rsid w:val="0082471D"/>
    <w:rsid w:val="00824957"/>
    <w:rsid w:val="00824986"/>
    <w:rsid w:val="00824FA1"/>
    <w:rsid w:val="00825E5A"/>
    <w:rsid w:val="0082623F"/>
    <w:rsid w:val="0082649C"/>
    <w:rsid w:val="00827A57"/>
    <w:rsid w:val="008303E0"/>
    <w:rsid w:val="00830BFA"/>
    <w:rsid w:val="00831827"/>
    <w:rsid w:val="008318D7"/>
    <w:rsid w:val="0083217B"/>
    <w:rsid w:val="00833015"/>
    <w:rsid w:val="0083304A"/>
    <w:rsid w:val="0083382A"/>
    <w:rsid w:val="00834071"/>
    <w:rsid w:val="008342FB"/>
    <w:rsid w:val="008349C9"/>
    <w:rsid w:val="00834DBE"/>
    <w:rsid w:val="0083555E"/>
    <w:rsid w:val="00836004"/>
    <w:rsid w:val="00837874"/>
    <w:rsid w:val="008409CC"/>
    <w:rsid w:val="00840BAF"/>
    <w:rsid w:val="008423A6"/>
    <w:rsid w:val="00842B65"/>
    <w:rsid w:val="00842CFE"/>
    <w:rsid w:val="00843259"/>
    <w:rsid w:val="0084352C"/>
    <w:rsid w:val="008441E1"/>
    <w:rsid w:val="00844B24"/>
    <w:rsid w:val="00845105"/>
    <w:rsid w:val="008465BB"/>
    <w:rsid w:val="00847182"/>
    <w:rsid w:val="008472A2"/>
    <w:rsid w:val="00850892"/>
    <w:rsid w:val="0085169E"/>
    <w:rsid w:val="00851C15"/>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2F70"/>
    <w:rsid w:val="00863D5F"/>
    <w:rsid w:val="00863E40"/>
    <w:rsid w:val="00863E6E"/>
    <w:rsid w:val="0086426F"/>
    <w:rsid w:val="008642EA"/>
    <w:rsid w:val="00864396"/>
    <w:rsid w:val="008648B1"/>
    <w:rsid w:val="00864CEE"/>
    <w:rsid w:val="00865929"/>
    <w:rsid w:val="008663B9"/>
    <w:rsid w:val="00867467"/>
    <w:rsid w:val="00867A31"/>
    <w:rsid w:val="00870520"/>
    <w:rsid w:val="008707D7"/>
    <w:rsid w:val="00872366"/>
    <w:rsid w:val="008725E4"/>
    <w:rsid w:val="00872FAD"/>
    <w:rsid w:val="008730D2"/>
    <w:rsid w:val="00873286"/>
    <w:rsid w:val="00873657"/>
    <w:rsid w:val="0087400B"/>
    <w:rsid w:val="0087440C"/>
    <w:rsid w:val="00874C19"/>
    <w:rsid w:val="00875114"/>
    <w:rsid w:val="008753AD"/>
    <w:rsid w:val="00875ADC"/>
    <w:rsid w:val="00875AFE"/>
    <w:rsid w:val="00875F91"/>
    <w:rsid w:val="00876985"/>
    <w:rsid w:val="00876A95"/>
    <w:rsid w:val="00877AA9"/>
    <w:rsid w:val="008801C4"/>
    <w:rsid w:val="0088027D"/>
    <w:rsid w:val="00880770"/>
    <w:rsid w:val="008814F0"/>
    <w:rsid w:val="00881B29"/>
    <w:rsid w:val="00881C9D"/>
    <w:rsid w:val="00881F1B"/>
    <w:rsid w:val="00882498"/>
    <w:rsid w:val="00882A93"/>
    <w:rsid w:val="00883438"/>
    <w:rsid w:val="008837C5"/>
    <w:rsid w:val="00883A24"/>
    <w:rsid w:val="008846FC"/>
    <w:rsid w:val="00884D6F"/>
    <w:rsid w:val="00885BE9"/>
    <w:rsid w:val="008868D1"/>
    <w:rsid w:val="008873C5"/>
    <w:rsid w:val="00887437"/>
    <w:rsid w:val="0088749C"/>
    <w:rsid w:val="00887C19"/>
    <w:rsid w:val="00887E81"/>
    <w:rsid w:val="008903B0"/>
    <w:rsid w:val="008907D3"/>
    <w:rsid w:val="008908AD"/>
    <w:rsid w:val="0089115F"/>
    <w:rsid w:val="0089174E"/>
    <w:rsid w:val="00891E6D"/>
    <w:rsid w:val="00891FFC"/>
    <w:rsid w:val="00892103"/>
    <w:rsid w:val="00892127"/>
    <w:rsid w:val="0089443D"/>
    <w:rsid w:val="00894CE2"/>
    <w:rsid w:val="00895BA7"/>
    <w:rsid w:val="00895BCD"/>
    <w:rsid w:val="00895C33"/>
    <w:rsid w:val="00895EAD"/>
    <w:rsid w:val="00895EFD"/>
    <w:rsid w:val="00896D8A"/>
    <w:rsid w:val="0089727F"/>
    <w:rsid w:val="008A0515"/>
    <w:rsid w:val="008A054E"/>
    <w:rsid w:val="008A074C"/>
    <w:rsid w:val="008A1ED6"/>
    <w:rsid w:val="008A2539"/>
    <w:rsid w:val="008A3343"/>
    <w:rsid w:val="008A38AE"/>
    <w:rsid w:val="008A4688"/>
    <w:rsid w:val="008A4969"/>
    <w:rsid w:val="008A4A3C"/>
    <w:rsid w:val="008A5036"/>
    <w:rsid w:val="008A58E0"/>
    <w:rsid w:val="008B07B3"/>
    <w:rsid w:val="008B0BD1"/>
    <w:rsid w:val="008B0E7D"/>
    <w:rsid w:val="008B24CA"/>
    <w:rsid w:val="008B2B82"/>
    <w:rsid w:val="008B3365"/>
    <w:rsid w:val="008B4034"/>
    <w:rsid w:val="008B4602"/>
    <w:rsid w:val="008B4B6A"/>
    <w:rsid w:val="008B4D3C"/>
    <w:rsid w:val="008B5192"/>
    <w:rsid w:val="008B5D53"/>
    <w:rsid w:val="008B60E6"/>
    <w:rsid w:val="008B7036"/>
    <w:rsid w:val="008B7F3D"/>
    <w:rsid w:val="008B7F88"/>
    <w:rsid w:val="008C1539"/>
    <w:rsid w:val="008C1962"/>
    <w:rsid w:val="008C26A0"/>
    <w:rsid w:val="008C27CF"/>
    <w:rsid w:val="008C284D"/>
    <w:rsid w:val="008C2D32"/>
    <w:rsid w:val="008C3143"/>
    <w:rsid w:val="008C328D"/>
    <w:rsid w:val="008C33E1"/>
    <w:rsid w:val="008C38A8"/>
    <w:rsid w:val="008C3B27"/>
    <w:rsid w:val="008C512F"/>
    <w:rsid w:val="008C5163"/>
    <w:rsid w:val="008C63C3"/>
    <w:rsid w:val="008C6539"/>
    <w:rsid w:val="008C6976"/>
    <w:rsid w:val="008C6DDF"/>
    <w:rsid w:val="008C6F26"/>
    <w:rsid w:val="008C7830"/>
    <w:rsid w:val="008C7B77"/>
    <w:rsid w:val="008D0200"/>
    <w:rsid w:val="008D02BF"/>
    <w:rsid w:val="008D159E"/>
    <w:rsid w:val="008D16E0"/>
    <w:rsid w:val="008D1912"/>
    <w:rsid w:val="008D2189"/>
    <w:rsid w:val="008D2437"/>
    <w:rsid w:val="008D29F2"/>
    <w:rsid w:val="008D3159"/>
    <w:rsid w:val="008D3176"/>
    <w:rsid w:val="008D31C3"/>
    <w:rsid w:val="008D38AC"/>
    <w:rsid w:val="008D40EE"/>
    <w:rsid w:val="008D42DC"/>
    <w:rsid w:val="008D46B0"/>
    <w:rsid w:val="008D550E"/>
    <w:rsid w:val="008D63B1"/>
    <w:rsid w:val="008D66C1"/>
    <w:rsid w:val="008D6A6B"/>
    <w:rsid w:val="008D6D28"/>
    <w:rsid w:val="008D6F01"/>
    <w:rsid w:val="008D7D35"/>
    <w:rsid w:val="008D7E8A"/>
    <w:rsid w:val="008E0053"/>
    <w:rsid w:val="008E0D78"/>
    <w:rsid w:val="008E1411"/>
    <w:rsid w:val="008E1F21"/>
    <w:rsid w:val="008E2322"/>
    <w:rsid w:val="008E2CC2"/>
    <w:rsid w:val="008E395A"/>
    <w:rsid w:val="008E4747"/>
    <w:rsid w:val="008E4909"/>
    <w:rsid w:val="008E4B48"/>
    <w:rsid w:val="008E55B7"/>
    <w:rsid w:val="008E59F5"/>
    <w:rsid w:val="008E642E"/>
    <w:rsid w:val="008E7596"/>
    <w:rsid w:val="008F008F"/>
    <w:rsid w:val="008F08C7"/>
    <w:rsid w:val="008F13B6"/>
    <w:rsid w:val="008F1775"/>
    <w:rsid w:val="008F1BC5"/>
    <w:rsid w:val="008F24C6"/>
    <w:rsid w:val="008F2539"/>
    <w:rsid w:val="008F3021"/>
    <w:rsid w:val="008F3D05"/>
    <w:rsid w:val="008F43D6"/>
    <w:rsid w:val="008F4924"/>
    <w:rsid w:val="008F56E3"/>
    <w:rsid w:val="008F58CE"/>
    <w:rsid w:val="008F598A"/>
    <w:rsid w:val="008F6E59"/>
    <w:rsid w:val="008F774C"/>
    <w:rsid w:val="008F7A5F"/>
    <w:rsid w:val="008F7E41"/>
    <w:rsid w:val="009001EE"/>
    <w:rsid w:val="00901302"/>
    <w:rsid w:val="00901BB6"/>
    <w:rsid w:val="00901F77"/>
    <w:rsid w:val="00902515"/>
    <w:rsid w:val="00902C48"/>
    <w:rsid w:val="00903C62"/>
    <w:rsid w:val="00903F0C"/>
    <w:rsid w:val="00903FCB"/>
    <w:rsid w:val="00904DC6"/>
    <w:rsid w:val="00906BFC"/>
    <w:rsid w:val="00907D56"/>
    <w:rsid w:val="00910740"/>
    <w:rsid w:val="0091188D"/>
    <w:rsid w:val="00911BD4"/>
    <w:rsid w:val="0091365C"/>
    <w:rsid w:val="00913946"/>
    <w:rsid w:val="00913D35"/>
    <w:rsid w:val="00914284"/>
    <w:rsid w:val="009147B8"/>
    <w:rsid w:val="00914895"/>
    <w:rsid w:val="00914D7A"/>
    <w:rsid w:val="009153D2"/>
    <w:rsid w:val="00915406"/>
    <w:rsid w:val="009154B3"/>
    <w:rsid w:val="00915772"/>
    <w:rsid w:val="0091608B"/>
    <w:rsid w:val="0091626F"/>
    <w:rsid w:val="00916AE8"/>
    <w:rsid w:val="0091791E"/>
    <w:rsid w:val="00917EBE"/>
    <w:rsid w:val="00920D1B"/>
    <w:rsid w:val="00921037"/>
    <w:rsid w:val="0092199A"/>
    <w:rsid w:val="0092242C"/>
    <w:rsid w:val="009224AC"/>
    <w:rsid w:val="0092291F"/>
    <w:rsid w:val="00922EDC"/>
    <w:rsid w:val="009244F2"/>
    <w:rsid w:val="009246A5"/>
    <w:rsid w:val="00924E0D"/>
    <w:rsid w:val="00925113"/>
    <w:rsid w:val="009257E0"/>
    <w:rsid w:val="00925D3A"/>
    <w:rsid w:val="00925DE2"/>
    <w:rsid w:val="0092609D"/>
    <w:rsid w:val="00927005"/>
    <w:rsid w:val="00927329"/>
    <w:rsid w:val="00930077"/>
    <w:rsid w:val="009306E5"/>
    <w:rsid w:val="009314D7"/>
    <w:rsid w:val="009316CE"/>
    <w:rsid w:val="00931E7B"/>
    <w:rsid w:val="009322AA"/>
    <w:rsid w:val="00932501"/>
    <w:rsid w:val="00934BDB"/>
    <w:rsid w:val="00934CE9"/>
    <w:rsid w:val="00935BC6"/>
    <w:rsid w:val="00935E58"/>
    <w:rsid w:val="00936830"/>
    <w:rsid w:val="00936921"/>
    <w:rsid w:val="00936F6D"/>
    <w:rsid w:val="00937175"/>
    <w:rsid w:val="00937A27"/>
    <w:rsid w:val="00937CF8"/>
    <w:rsid w:val="00940DA0"/>
    <w:rsid w:val="00943C55"/>
    <w:rsid w:val="00943DD3"/>
    <w:rsid w:val="00944989"/>
    <w:rsid w:val="00945865"/>
    <w:rsid w:val="00945E50"/>
    <w:rsid w:val="00946BDA"/>
    <w:rsid w:val="009474FF"/>
    <w:rsid w:val="009477C4"/>
    <w:rsid w:val="00947C1D"/>
    <w:rsid w:val="00950C5D"/>
    <w:rsid w:val="00951836"/>
    <w:rsid w:val="0095190C"/>
    <w:rsid w:val="0095215B"/>
    <w:rsid w:val="00953725"/>
    <w:rsid w:val="009538B8"/>
    <w:rsid w:val="00953D0D"/>
    <w:rsid w:val="009550E2"/>
    <w:rsid w:val="009557E1"/>
    <w:rsid w:val="0095584E"/>
    <w:rsid w:val="00955BEE"/>
    <w:rsid w:val="00955FC9"/>
    <w:rsid w:val="00956443"/>
    <w:rsid w:val="009603F4"/>
    <w:rsid w:val="009614CE"/>
    <w:rsid w:val="00961987"/>
    <w:rsid w:val="00961AAD"/>
    <w:rsid w:val="00961B39"/>
    <w:rsid w:val="0096267E"/>
    <w:rsid w:val="00963237"/>
    <w:rsid w:val="00963F19"/>
    <w:rsid w:val="00964891"/>
    <w:rsid w:val="009648E8"/>
    <w:rsid w:val="00964D92"/>
    <w:rsid w:val="009652DA"/>
    <w:rsid w:val="00966B08"/>
    <w:rsid w:val="00966C77"/>
    <w:rsid w:val="00966C79"/>
    <w:rsid w:val="00966DE8"/>
    <w:rsid w:val="00967120"/>
    <w:rsid w:val="00967DF4"/>
    <w:rsid w:val="00970377"/>
    <w:rsid w:val="0097107C"/>
    <w:rsid w:val="009711B9"/>
    <w:rsid w:val="00972347"/>
    <w:rsid w:val="00972748"/>
    <w:rsid w:val="00973EF4"/>
    <w:rsid w:val="00973F76"/>
    <w:rsid w:val="009747A6"/>
    <w:rsid w:val="00974A66"/>
    <w:rsid w:val="00974BF8"/>
    <w:rsid w:val="00974CD2"/>
    <w:rsid w:val="00975C68"/>
    <w:rsid w:val="00975FFC"/>
    <w:rsid w:val="00976DE8"/>
    <w:rsid w:val="0097759E"/>
    <w:rsid w:val="00980BD7"/>
    <w:rsid w:val="00980E55"/>
    <w:rsid w:val="0098108A"/>
    <w:rsid w:val="00981438"/>
    <w:rsid w:val="00981BEF"/>
    <w:rsid w:val="00981F4A"/>
    <w:rsid w:val="009820F0"/>
    <w:rsid w:val="00982614"/>
    <w:rsid w:val="00982969"/>
    <w:rsid w:val="00982A0E"/>
    <w:rsid w:val="00984710"/>
    <w:rsid w:val="00984C7D"/>
    <w:rsid w:val="00985050"/>
    <w:rsid w:val="0098584D"/>
    <w:rsid w:val="00985DB9"/>
    <w:rsid w:val="00986021"/>
    <w:rsid w:val="0098613A"/>
    <w:rsid w:val="00986DD9"/>
    <w:rsid w:val="00987128"/>
    <w:rsid w:val="009873F6"/>
    <w:rsid w:val="00987995"/>
    <w:rsid w:val="00991C5F"/>
    <w:rsid w:val="00991E6A"/>
    <w:rsid w:val="009926DF"/>
    <w:rsid w:val="00993575"/>
    <w:rsid w:val="00993A20"/>
    <w:rsid w:val="00994662"/>
    <w:rsid w:val="00994677"/>
    <w:rsid w:val="009946D8"/>
    <w:rsid w:val="009952FB"/>
    <w:rsid w:val="00995606"/>
    <w:rsid w:val="0099628B"/>
    <w:rsid w:val="00996F8A"/>
    <w:rsid w:val="009A10AF"/>
    <w:rsid w:val="009A25D6"/>
    <w:rsid w:val="009A297A"/>
    <w:rsid w:val="009A2DC2"/>
    <w:rsid w:val="009A41A8"/>
    <w:rsid w:val="009A532D"/>
    <w:rsid w:val="009A5414"/>
    <w:rsid w:val="009A5E8A"/>
    <w:rsid w:val="009A6344"/>
    <w:rsid w:val="009A6A30"/>
    <w:rsid w:val="009A79DA"/>
    <w:rsid w:val="009B066A"/>
    <w:rsid w:val="009B0854"/>
    <w:rsid w:val="009B08F5"/>
    <w:rsid w:val="009B1CD5"/>
    <w:rsid w:val="009B200B"/>
    <w:rsid w:val="009B24A5"/>
    <w:rsid w:val="009B2560"/>
    <w:rsid w:val="009B29AD"/>
    <w:rsid w:val="009B2EC2"/>
    <w:rsid w:val="009B31DB"/>
    <w:rsid w:val="009B3408"/>
    <w:rsid w:val="009B3D5A"/>
    <w:rsid w:val="009B4301"/>
    <w:rsid w:val="009B5682"/>
    <w:rsid w:val="009B5A86"/>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684"/>
    <w:rsid w:val="009D1157"/>
    <w:rsid w:val="009D3294"/>
    <w:rsid w:val="009D364D"/>
    <w:rsid w:val="009D42E7"/>
    <w:rsid w:val="009D49ED"/>
    <w:rsid w:val="009D4A7B"/>
    <w:rsid w:val="009D4F12"/>
    <w:rsid w:val="009D669E"/>
    <w:rsid w:val="009D7296"/>
    <w:rsid w:val="009D75EB"/>
    <w:rsid w:val="009D7725"/>
    <w:rsid w:val="009D78C3"/>
    <w:rsid w:val="009E07DA"/>
    <w:rsid w:val="009E160F"/>
    <w:rsid w:val="009E1BE8"/>
    <w:rsid w:val="009E2166"/>
    <w:rsid w:val="009E235B"/>
    <w:rsid w:val="009E2DD5"/>
    <w:rsid w:val="009E3869"/>
    <w:rsid w:val="009E3A81"/>
    <w:rsid w:val="009E3BFF"/>
    <w:rsid w:val="009E3C7F"/>
    <w:rsid w:val="009E439C"/>
    <w:rsid w:val="009E5AC4"/>
    <w:rsid w:val="009E6096"/>
    <w:rsid w:val="009E63A6"/>
    <w:rsid w:val="009E6A48"/>
    <w:rsid w:val="009E6A73"/>
    <w:rsid w:val="009E6C36"/>
    <w:rsid w:val="009E7641"/>
    <w:rsid w:val="009F0D9B"/>
    <w:rsid w:val="009F3A36"/>
    <w:rsid w:val="009F3F48"/>
    <w:rsid w:val="009F52FA"/>
    <w:rsid w:val="009F6368"/>
    <w:rsid w:val="009F69B8"/>
    <w:rsid w:val="009F725D"/>
    <w:rsid w:val="009F76A8"/>
    <w:rsid w:val="009F78B1"/>
    <w:rsid w:val="009F7B6E"/>
    <w:rsid w:val="009F7BE6"/>
    <w:rsid w:val="00A00795"/>
    <w:rsid w:val="00A00D80"/>
    <w:rsid w:val="00A010F7"/>
    <w:rsid w:val="00A0177A"/>
    <w:rsid w:val="00A01A75"/>
    <w:rsid w:val="00A01FA8"/>
    <w:rsid w:val="00A04CEC"/>
    <w:rsid w:val="00A04E86"/>
    <w:rsid w:val="00A04F5B"/>
    <w:rsid w:val="00A052F6"/>
    <w:rsid w:val="00A0580B"/>
    <w:rsid w:val="00A070D6"/>
    <w:rsid w:val="00A072A3"/>
    <w:rsid w:val="00A0755D"/>
    <w:rsid w:val="00A0790A"/>
    <w:rsid w:val="00A106DC"/>
    <w:rsid w:val="00A10E92"/>
    <w:rsid w:val="00A10EA0"/>
    <w:rsid w:val="00A1226F"/>
    <w:rsid w:val="00A12484"/>
    <w:rsid w:val="00A12735"/>
    <w:rsid w:val="00A12F3F"/>
    <w:rsid w:val="00A13244"/>
    <w:rsid w:val="00A15C66"/>
    <w:rsid w:val="00A173F4"/>
    <w:rsid w:val="00A17641"/>
    <w:rsid w:val="00A17B6F"/>
    <w:rsid w:val="00A21A30"/>
    <w:rsid w:val="00A21EA6"/>
    <w:rsid w:val="00A22630"/>
    <w:rsid w:val="00A23897"/>
    <w:rsid w:val="00A23A90"/>
    <w:rsid w:val="00A23B69"/>
    <w:rsid w:val="00A23D8D"/>
    <w:rsid w:val="00A23DF0"/>
    <w:rsid w:val="00A24F48"/>
    <w:rsid w:val="00A25C8C"/>
    <w:rsid w:val="00A25D30"/>
    <w:rsid w:val="00A25FC1"/>
    <w:rsid w:val="00A26356"/>
    <w:rsid w:val="00A2641E"/>
    <w:rsid w:val="00A26661"/>
    <w:rsid w:val="00A26D3E"/>
    <w:rsid w:val="00A304CB"/>
    <w:rsid w:val="00A30A20"/>
    <w:rsid w:val="00A30B55"/>
    <w:rsid w:val="00A31364"/>
    <w:rsid w:val="00A32D1B"/>
    <w:rsid w:val="00A3321C"/>
    <w:rsid w:val="00A334E1"/>
    <w:rsid w:val="00A3371D"/>
    <w:rsid w:val="00A339BC"/>
    <w:rsid w:val="00A346FE"/>
    <w:rsid w:val="00A355C0"/>
    <w:rsid w:val="00A356A1"/>
    <w:rsid w:val="00A356C2"/>
    <w:rsid w:val="00A35A77"/>
    <w:rsid w:val="00A36208"/>
    <w:rsid w:val="00A36DAF"/>
    <w:rsid w:val="00A3726B"/>
    <w:rsid w:val="00A4060F"/>
    <w:rsid w:val="00A40BEE"/>
    <w:rsid w:val="00A41843"/>
    <w:rsid w:val="00A418E0"/>
    <w:rsid w:val="00A41D7B"/>
    <w:rsid w:val="00A41FB8"/>
    <w:rsid w:val="00A4392D"/>
    <w:rsid w:val="00A43ABE"/>
    <w:rsid w:val="00A44B84"/>
    <w:rsid w:val="00A44FB7"/>
    <w:rsid w:val="00A4522B"/>
    <w:rsid w:val="00A45BD0"/>
    <w:rsid w:val="00A460AD"/>
    <w:rsid w:val="00A47004"/>
    <w:rsid w:val="00A47B5E"/>
    <w:rsid w:val="00A47C5A"/>
    <w:rsid w:val="00A47F42"/>
    <w:rsid w:val="00A508EF"/>
    <w:rsid w:val="00A50EF6"/>
    <w:rsid w:val="00A51B6C"/>
    <w:rsid w:val="00A51FEF"/>
    <w:rsid w:val="00A52F9D"/>
    <w:rsid w:val="00A530CC"/>
    <w:rsid w:val="00A53289"/>
    <w:rsid w:val="00A53439"/>
    <w:rsid w:val="00A53FFC"/>
    <w:rsid w:val="00A5404D"/>
    <w:rsid w:val="00A54623"/>
    <w:rsid w:val="00A5472C"/>
    <w:rsid w:val="00A54D59"/>
    <w:rsid w:val="00A55C42"/>
    <w:rsid w:val="00A565EA"/>
    <w:rsid w:val="00A566A4"/>
    <w:rsid w:val="00A56A4E"/>
    <w:rsid w:val="00A57023"/>
    <w:rsid w:val="00A57417"/>
    <w:rsid w:val="00A57511"/>
    <w:rsid w:val="00A57587"/>
    <w:rsid w:val="00A6032A"/>
    <w:rsid w:val="00A61374"/>
    <w:rsid w:val="00A6144D"/>
    <w:rsid w:val="00A61FED"/>
    <w:rsid w:val="00A62015"/>
    <w:rsid w:val="00A621D8"/>
    <w:rsid w:val="00A62237"/>
    <w:rsid w:val="00A63646"/>
    <w:rsid w:val="00A64B38"/>
    <w:rsid w:val="00A7074B"/>
    <w:rsid w:val="00A7089F"/>
    <w:rsid w:val="00A70B44"/>
    <w:rsid w:val="00A741B7"/>
    <w:rsid w:val="00A74457"/>
    <w:rsid w:val="00A746B2"/>
    <w:rsid w:val="00A75596"/>
    <w:rsid w:val="00A75725"/>
    <w:rsid w:val="00A76CE6"/>
    <w:rsid w:val="00A76EF5"/>
    <w:rsid w:val="00A77380"/>
    <w:rsid w:val="00A77492"/>
    <w:rsid w:val="00A77843"/>
    <w:rsid w:val="00A779AA"/>
    <w:rsid w:val="00A779DC"/>
    <w:rsid w:val="00A77F86"/>
    <w:rsid w:val="00A800E4"/>
    <w:rsid w:val="00A80E0A"/>
    <w:rsid w:val="00A811C7"/>
    <w:rsid w:val="00A811F1"/>
    <w:rsid w:val="00A81F12"/>
    <w:rsid w:val="00A828BD"/>
    <w:rsid w:val="00A8295C"/>
    <w:rsid w:val="00A82B61"/>
    <w:rsid w:val="00A83122"/>
    <w:rsid w:val="00A832B2"/>
    <w:rsid w:val="00A83729"/>
    <w:rsid w:val="00A83C57"/>
    <w:rsid w:val="00A84526"/>
    <w:rsid w:val="00A845EF"/>
    <w:rsid w:val="00A846F6"/>
    <w:rsid w:val="00A849C8"/>
    <w:rsid w:val="00A869E0"/>
    <w:rsid w:val="00A86EA4"/>
    <w:rsid w:val="00A87747"/>
    <w:rsid w:val="00A87AAF"/>
    <w:rsid w:val="00A87DC2"/>
    <w:rsid w:val="00A90EC0"/>
    <w:rsid w:val="00A91855"/>
    <w:rsid w:val="00A91907"/>
    <w:rsid w:val="00A9208D"/>
    <w:rsid w:val="00A92130"/>
    <w:rsid w:val="00A92D03"/>
    <w:rsid w:val="00A937C1"/>
    <w:rsid w:val="00A9390B"/>
    <w:rsid w:val="00A93C6D"/>
    <w:rsid w:val="00A94AF2"/>
    <w:rsid w:val="00A95A3B"/>
    <w:rsid w:val="00A95EAC"/>
    <w:rsid w:val="00A970CE"/>
    <w:rsid w:val="00AA0187"/>
    <w:rsid w:val="00AA027A"/>
    <w:rsid w:val="00AA0338"/>
    <w:rsid w:val="00AA1004"/>
    <w:rsid w:val="00AA1F1C"/>
    <w:rsid w:val="00AA22B8"/>
    <w:rsid w:val="00AA2828"/>
    <w:rsid w:val="00AA2E8F"/>
    <w:rsid w:val="00AA3566"/>
    <w:rsid w:val="00AA3A2D"/>
    <w:rsid w:val="00AA4E19"/>
    <w:rsid w:val="00AA4FD5"/>
    <w:rsid w:val="00AA5C95"/>
    <w:rsid w:val="00AA5E71"/>
    <w:rsid w:val="00AA60F6"/>
    <w:rsid w:val="00AA61AE"/>
    <w:rsid w:val="00AA61CC"/>
    <w:rsid w:val="00AA643C"/>
    <w:rsid w:val="00AA66B7"/>
    <w:rsid w:val="00AA6988"/>
    <w:rsid w:val="00AA760A"/>
    <w:rsid w:val="00AB0371"/>
    <w:rsid w:val="00AB0C46"/>
    <w:rsid w:val="00AB123E"/>
    <w:rsid w:val="00AB1712"/>
    <w:rsid w:val="00AB1DD0"/>
    <w:rsid w:val="00AB23EF"/>
    <w:rsid w:val="00AB2672"/>
    <w:rsid w:val="00AB2D89"/>
    <w:rsid w:val="00AB2E39"/>
    <w:rsid w:val="00AB3346"/>
    <w:rsid w:val="00AB3540"/>
    <w:rsid w:val="00AB3860"/>
    <w:rsid w:val="00AB38B9"/>
    <w:rsid w:val="00AB3E59"/>
    <w:rsid w:val="00AB4E8F"/>
    <w:rsid w:val="00AB656B"/>
    <w:rsid w:val="00AB6995"/>
    <w:rsid w:val="00AB6EA2"/>
    <w:rsid w:val="00AB7C3C"/>
    <w:rsid w:val="00AC119A"/>
    <w:rsid w:val="00AC14E3"/>
    <w:rsid w:val="00AC169A"/>
    <w:rsid w:val="00AC1D6D"/>
    <w:rsid w:val="00AC2031"/>
    <w:rsid w:val="00AC292E"/>
    <w:rsid w:val="00AC2AC3"/>
    <w:rsid w:val="00AC2C4F"/>
    <w:rsid w:val="00AC2F72"/>
    <w:rsid w:val="00AC3001"/>
    <w:rsid w:val="00AC31FD"/>
    <w:rsid w:val="00AC3A0B"/>
    <w:rsid w:val="00AC4120"/>
    <w:rsid w:val="00AC419E"/>
    <w:rsid w:val="00AC4FBD"/>
    <w:rsid w:val="00AC5849"/>
    <w:rsid w:val="00AC5992"/>
    <w:rsid w:val="00AC7149"/>
    <w:rsid w:val="00AC7A60"/>
    <w:rsid w:val="00AC7BBA"/>
    <w:rsid w:val="00AC7C89"/>
    <w:rsid w:val="00AD0228"/>
    <w:rsid w:val="00AD0759"/>
    <w:rsid w:val="00AD0A53"/>
    <w:rsid w:val="00AD0EB2"/>
    <w:rsid w:val="00AD1747"/>
    <w:rsid w:val="00AD1ED6"/>
    <w:rsid w:val="00AD2603"/>
    <w:rsid w:val="00AD3F86"/>
    <w:rsid w:val="00AD3FEC"/>
    <w:rsid w:val="00AD436B"/>
    <w:rsid w:val="00AD4669"/>
    <w:rsid w:val="00AD48A7"/>
    <w:rsid w:val="00AD49A0"/>
    <w:rsid w:val="00AD4D89"/>
    <w:rsid w:val="00AD4F4A"/>
    <w:rsid w:val="00AD5B41"/>
    <w:rsid w:val="00AD5BE4"/>
    <w:rsid w:val="00AD6007"/>
    <w:rsid w:val="00AD6C79"/>
    <w:rsid w:val="00AD7D74"/>
    <w:rsid w:val="00AD7DAC"/>
    <w:rsid w:val="00AE0069"/>
    <w:rsid w:val="00AE0369"/>
    <w:rsid w:val="00AE0BA4"/>
    <w:rsid w:val="00AE0C02"/>
    <w:rsid w:val="00AE163C"/>
    <w:rsid w:val="00AE3346"/>
    <w:rsid w:val="00AE3B11"/>
    <w:rsid w:val="00AE3CE8"/>
    <w:rsid w:val="00AE3E87"/>
    <w:rsid w:val="00AE41F0"/>
    <w:rsid w:val="00AE431C"/>
    <w:rsid w:val="00AE4FA1"/>
    <w:rsid w:val="00AE7278"/>
    <w:rsid w:val="00AE75E7"/>
    <w:rsid w:val="00AE7799"/>
    <w:rsid w:val="00AF089B"/>
    <w:rsid w:val="00AF123C"/>
    <w:rsid w:val="00AF2C52"/>
    <w:rsid w:val="00AF3057"/>
    <w:rsid w:val="00AF305A"/>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9"/>
    <w:rsid w:val="00B04963"/>
    <w:rsid w:val="00B049F9"/>
    <w:rsid w:val="00B05B82"/>
    <w:rsid w:val="00B06DDF"/>
    <w:rsid w:val="00B071A8"/>
    <w:rsid w:val="00B07B66"/>
    <w:rsid w:val="00B1056D"/>
    <w:rsid w:val="00B111FC"/>
    <w:rsid w:val="00B114BA"/>
    <w:rsid w:val="00B11C1E"/>
    <w:rsid w:val="00B13A63"/>
    <w:rsid w:val="00B1511C"/>
    <w:rsid w:val="00B15996"/>
    <w:rsid w:val="00B15E54"/>
    <w:rsid w:val="00B17624"/>
    <w:rsid w:val="00B17805"/>
    <w:rsid w:val="00B17943"/>
    <w:rsid w:val="00B17C59"/>
    <w:rsid w:val="00B17FC5"/>
    <w:rsid w:val="00B20693"/>
    <w:rsid w:val="00B20B00"/>
    <w:rsid w:val="00B20F38"/>
    <w:rsid w:val="00B21765"/>
    <w:rsid w:val="00B21963"/>
    <w:rsid w:val="00B21E05"/>
    <w:rsid w:val="00B22802"/>
    <w:rsid w:val="00B231C1"/>
    <w:rsid w:val="00B232FD"/>
    <w:rsid w:val="00B238B4"/>
    <w:rsid w:val="00B23EF1"/>
    <w:rsid w:val="00B243CE"/>
    <w:rsid w:val="00B2489A"/>
    <w:rsid w:val="00B25213"/>
    <w:rsid w:val="00B25271"/>
    <w:rsid w:val="00B26551"/>
    <w:rsid w:val="00B26CF3"/>
    <w:rsid w:val="00B30017"/>
    <w:rsid w:val="00B3062F"/>
    <w:rsid w:val="00B30F33"/>
    <w:rsid w:val="00B31032"/>
    <w:rsid w:val="00B312DE"/>
    <w:rsid w:val="00B3147B"/>
    <w:rsid w:val="00B315D4"/>
    <w:rsid w:val="00B31BD5"/>
    <w:rsid w:val="00B31CDF"/>
    <w:rsid w:val="00B31EE6"/>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2778"/>
    <w:rsid w:val="00B42BD7"/>
    <w:rsid w:val="00B42C08"/>
    <w:rsid w:val="00B43442"/>
    <w:rsid w:val="00B44B21"/>
    <w:rsid w:val="00B463F4"/>
    <w:rsid w:val="00B50428"/>
    <w:rsid w:val="00B50590"/>
    <w:rsid w:val="00B50A07"/>
    <w:rsid w:val="00B51323"/>
    <w:rsid w:val="00B51604"/>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3E4A"/>
    <w:rsid w:val="00B665BF"/>
    <w:rsid w:val="00B666A1"/>
    <w:rsid w:val="00B67436"/>
    <w:rsid w:val="00B677A4"/>
    <w:rsid w:val="00B67ADE"/>
    <w:rsid w:val="00B70569"/>
    <w:rsid w:val="00B70804"/>
    <w:rsid w:val="00B708AB"/>
    <w:rsid w:val="00B70D04"/>
    <w:rsid w:val="00B70E8E"/>
    <w:rsid w:val="00B71345"/>
    <w:rsid w:val="00B7181C"/>
    <w:rsid w:val="00B73B39"/>
    <w:rsid w:val="00B73B57"/>
    <w:rsid w:val="00B74535"/>
    <w:rsid w:val="00B74DE9"/>
    <w:rsid w:val="00B7529B"/>
    <w:rsid w:val="00B7581A"/>
    <w:rsid w:val="00B758A3"/>
    <w:rsid w:val="00B75A5E"/>
    <w:rsid w:val="00B764CC"/>
    <w:rsid w:val="00B765B7"/>
    <w:rsid w:val="00B765D5"/>
    <w:rsid w:val="00B765E8"/>
    <w:rsid w:val="00B770F3"/>
    <w:rsid w:val="00B77180"/>
    <w:rsid w:val="00B77866"/>
    <w:rsid w:val="00B80485"/>
    <w:rsid w:val="00B809D5"/>
    <w:rsid w:val="00B80AF4"/>
    <w:rsid w:val="00B80C45"/>
    <w:rsid w:val="00B80D42"/>
    <w:rsid w:val="00B81151"/>
    <w:rsid w:val="00B81441"/>
    <w:rsid w:val="00B81A71"/>
    <w:rsid w:val="00B826B7"/>
    <w:rsid w:val="00B8290B"/>
    <w:rsid w:val="00B83089"/>
    <w:rsid w:val="00B83251"/>
    <w:rsid w:val="00B83D53"/>
    <w:rsid w:val="00B8425C"/>
    <w:rsid w:val="00B84CBF"/>
    <w:rsid w:val="00B8531C"/>
    <w:rsid w:val="00B8532E"/>
    <w:rsid w:val="00B85C94"/>
    <w:rsid w:val="00B863D2"/>
    <w:rsid w:val="00B86AAA"/>
    <w:rsid w:val="00B86E40"/>
    <w:rsid w:val="00B86EAD"/>
    <w:rsid w:val="00B87550"/>
    <w:rsid w:val="00B87808"/>
    <w:rsid w:val="00B87A1E"/>
    <w:rsid w:val="00B87ECD"/>
    <w:rsid w:val="00B90436"/>
    <w:rsid w:val="00B90D93"/>
    <w:rsid w:val="00B90EEF"/>
    <w:rsid w:val="00B92553"/>
    <w:rsid w:val="00B929CF"/>
    <w:rsid w:val="00B929F5"/>
    <w:rsid w:val="00B92E8F"/>
    <w:rsid w:val="00B93B26"/>
    <w:rsid w:val="00B94696"/>
    <w:rsid w:val="00B94E16"/>
    <w:rsid w:val="00B951E3"/>
    <w:rsid w:val="00B97096"/>
    <w:rsid w:val="00B97BEA"/>
    <w:rsid w:val="00B97DAB"/>
    <w:rsid w:val="00B97E15"/>
    <w:rsid w:val="00B97F85"/>
    <w:rsid w:val="00BA068A"/>
    <w:rsid w:val="00BA086C"/>
    <w:rsid w:val="00BA09AF"/>
    <w:rsid w:val="00BA1587"/>
    <w:rsid w:val="00BA29EB"/>
    <w:rsid w:val="00BA2DA8"/>
    <w:rsid w:val="00BA322B"/>
    <w:rsid w:val="00BA378F"/>
    <w:rsid w:val="00BA3B49"/>
    <w:rsid w:val="00BA3F4F"/>
    <w:rsid w:val="00BA4B3E"/>
    <w:rsid w:val="00BA53C7"/>
    <w:rsid w:val="00BA545E"/>
    <w:rsid w:val="00BA589D"/>
    <w:rsid w:val="00BA5D9C"/>
    <w:rsid w:val="00BA6471"/>
    <w:rsid w:val="00BA6589"/>
    <w:rsid w:val="00BA6FE3"/>
    <w:rsid w:val="00BB0511"/>
    <w:rsid w:val="00BB0768"/>
    <w:rsid w:val="00BB0806"/>
    <w:rsid w:val="00BB09B8"/>
    <w:rsid w:val="00BB1356"/>
    <w:rsid w:val="00BB1388"/>
    <w:rsid w:val="00BB1436"/>
    <w:rsid w:val="00BB1443"/>
    <w:rsid w:val="00BB1CED"/>
    <w:rsid w:val="00BB1D2A"/>
    <w:rsid w:val="00BB217A"/>
    <w:rsid w:val="00BB2311"/>
    <w:rsid w:val="00BB4665"/>
    <w:rsid w:val="00BB50F2"/>
    <w:rsid w:val="00BB52F8"/>
    <w:rsid w:val="00BB5F5D"/>
    <w:rsid w:val="00BB60BC"/>
    <w:rsid w:val="00BB6346"/>
    <w:rsid w:val="00BB6390"/>
    <w:rsid w:val="00BB7A3E"/>
    <w:rsid w:val="00BC04F8"/>
    <w:rsid w:val="00BC0916"/>
    <w:rsid w:val="00BC0F5C"/>
    <w:rsid w:val="00BC1219"/>
    <w:rsid w:val="00BC128E"/>
    <w:rsid w:val="00BC1F86"/>
    <w:rsid w:val="00BC25EB"/>
    <w:rsid w:val="00BC28BE"/>
    <w:rsid w:val="00BC300B"/>
    <w:rsid w:val="00BC3A9E"/>
    <w:rsid w:val="00BC3AA8"/>
    <w:rsid w:val="00BC431A"/>
    <w:rsid w:val="00BC4F1E"/>
    <w:rsid w:val="00BC639A"/>
    <w:rsid w:val="00BC6713"/>
    <w:rsid w:val="00BC70F0"/>
    <w:rsid w:val="00BC7539"/>
    <w:rsid w:val="00BC75E7"/>
    <w:rsid w:val="00BC78F0"/>
    <w:rsid w:val="00BD070D"/>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0C13"/>
    <w:rsid w:val="00BE19E0"/>
    <w:rsid w:val="00BE1CB3"/>
    <w:rsid w:val="00BE21F3"/>
    <w:rsid w:val="00BE2888"/>
    <w:rsid w:val="00BE2969"/>
    <w:rsid w:val="00BE2E01"/>
    <w:rsid w:val="00BE2F11"/>
    <w:rsid w:val="00BE3F2C"/>
    <w:rsid w:val="00BE42EF"/>
    <w:rsid w:val="00BE49D8"/>
    <w:rsid w:val="00BE4BB7"/>
    <w:rsid w:val="00BE55CF"/>
    <w:rsid w:val="00BE5D05"/>
    <w:rsid w:val="00BE5F1A"/>
    <w:rsid w:val="00BE7421"/>
    <w:rsid w:val="00BE7799"/>
    <w:rsid w:val="00BE7BB3"/>
    <w:rsid w:val="00BF00AF"/>
    <w:rsid w:val="00BF05E2"/>
    <w:rsid w:val="00BF08A6"/>
    <w:rsid w:val="00BF1372"/>
    <w:rsid w:val="00BF1712"/>
    <w:rsid w:val="00BF23A4"/>
    <w:rsid w:val="00BF23F2"/>
    <w:rsid w:val="00BF2BA8"/>
    <w:rsid w:val="00BF308A"/>
    <w:rsid w:val="00BF31DF"/>
    <w:rsid w:val="00BF4506"/>
    <w:rsid w:val="00BF4B04"/>
    <w:rsid w:val="00BF4B1F"/>
    <w:rsid w:val="00BF557A"/>
    <w:rsid w:val="00BF5BC3"/>
    <w:rsid w:val="00BF6AB5"/>
    <w:rsid w:val="00BF7748"/>
    <w:rsid w:val="00C0077A"/>
    <w:rsid w:val="00C01184"/>
    <w:rsid w:val="00C01658"/>
    <w:rsid w:val="00C01EC4"/>
    <w:rsid w:val="00C0211C"/>
    <w:rsid w:val="00C049FD"/>
    <w:rsid w:val="00C05249"/>
    <w:rsid w:val="00C052C4"/>
    <w:rsid w:val="00C05E67"/>
    <w:rsid w:val="00C0601C"/>
    <w:rsid w:val="00C0620C"/>
    <w:rsid w:val="00C06246"/>
    <w:rsid w:val="00C062C5"/>
    <w:rsid w:val="00C062E7"/>
    <w:rsid w:val="00C069AE"/>
    <w:rsid w:val="00C077CE"/>
    <w:rsid w:val="00C078BC"/>
    <w:rsid w:val="00C07B15"/>
    <w:rsid w:val="00C07C33"/>
    <w:rsid w:val="00C10493"/>
    <w:rsid w:val="00C107FF"/>
    <w:rsid w:val="00C10BEC"/>
    <w:rsid w:val="00C10EB4"/>
    <w:rsid w:val="00C11539"/>
    <w:rsid w:val="00C11E97"/>
    <w:rsid w:val="00C124AE"/>
    <w:rsid w:val="00C1416D"/>
    <w:rsid w:val="00C14202"/>
    <w:rsid w:val="00C144BE"/>
    <w:rsid w:val="00C147B3"/>
    <w:rsid w:val="00C14AF0"/>
    <w:rsid w:val="00C14EE5"/>
    <w:rsid w:val="00C15DBE"/>
    <w:rsid w:val="00C16732"/>
    <w:rsid w:val="00C16DB8"/>
    <w:rsid w:val="00C16EA7"/>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A5C"/>
    <w:rsid w:val="00C25CF5"/>
    <w:rsid w:val="00C274C1"/>
    <w:rsid w:val="00C275BE"/>
    <w:rsid w:val="00C27901"/>
    <w:rsid w:val="00C300E0"/>
    <w:rsid w:val="00C303FA"/>
    <w:rsid w:val="00C304A0"/>
    <w:rsid w:val="00C30DE8"/>
    <w:rsid w:val="00C31C3C"/>
    <w:rsid w:val="00C3247C"/>
    <w:rsid w:val="00C329CB"/>
    <w:rsid w:val="00C331A4"/>
    <w:rsid w:val="00C33280"/>
    <w:rsid w:val="00C333DA"/>
    <w:rsid w:val="00C33978"/>
    <w:rsid w:val="00C350B0"/>
    <w:rsid w:val="00C350EF"/>
    <w:rsid w:val="00C35304"/>
    <w:rsid w:val="00C35491"/>
    <w:rsid w:val="00C35991"/>
    <w:rsid w:val="00C35A86"/>
    <w:rsid w:val="00C35B8A"/>
    <w:rsid w:val="00C35EC7"/>
    <w:rsid w:val="00C368B0"/>
    <w:rsid w:val="00C36BEB"/>
    <w:rsid w:val="00C36C7B"/>
    <w:rsid w:val="00C36E16"/>
    <w:rsid w:val="00C371C4"/>
    <w:rsid w:val="00C40BA6"/>
    <w:rsid w:val="00C40FC9"/>
    <w:rsid w:val="00C41905"/>
    <w:rsid w:val="00C4331B"/>
    <w:rsid w:val="00C434AE"/>
    <w:rsid w:val="00C43FED"/>
    <w:rsid w:val="00C43FF3"/>
    <w:rsid w:val="00C45EBD"/>
    <w:rsid w:val="00C45EC6"/>
    <w:rsid w:val="00C46CA7"/>
    <w:rsid w:val="00C4760F"/>
    <w:rsid w:val="00C504EE"/>
    <w:rsid w:val="00C505F5"/>
    <w:rsid w:val="00C5122F"/>
    <w:rsid w:val="00C51B29"/>
    <w:rsid w:val="00C52B71"/>
    <w:rsid w:val="00C52FB6"/>
    <w:rsid w:val="00C5412F"/>
    <w:rsid w:val="00C544C1"/>
    <w:rsid w:val="00C54DD2"/>
    <w:rsid w:val="00C55031"/>
    <w:rsid w:val="00C55F54"/>
    <w:rsid w:val="00C5637D"/>
    <w:rsid w:val="00C567BD"/>
    <w:rsid w:val="00C569DB"/>
    <w:rsid w:val="00C56D0D"/>
    <w:rsid w:val="00C600E1"/>
    <w:rsid w:val="00C60125"/>
    <w:rsid w:val="00C604F8"/>
    <w:rsid w:val="00C61236"/>
    <w:rsid w:val="00C61DE4"/>
    <w:rsid w:val="00C61F50"/>
    <w:rsid w:val="00C624A5"/>
    <w:rsid w:val="00C6289B"/>
    <w:rsid w:val="00C635C4"/>
    <w:rsid w:val="00C636A9"/>
    <w:rsid w:val="00C64A3C"/>
    <w:rsid w:val="00C66A80"/>
    <w:rsid w:val="00C67F88"/>
    <w:rsid w:val="00C704DA"/>
    <w:rsid w:val="00C706E5"/>
    <w:rsid w:val="00C7203C"/>
    <w:rsid w:val="00C7215F"/>
    <w:rsid w:val="00C7277B"/>
    <w:rsid w:val="00C72C74"/>
    <w:rsid w:val="00C730FF"/>
    <w:rsid w:val="00C73491"/>
    <w:rsid w:val="00C73F2D"/>
    <w:rsid w:val="00C745E7"/>
    <w:rsid w:val="00C74773"/>
    <w:rsid w:val="00C7489D"/>
    <w:rsid w:val="00C7512D"/>
    <w:rsid w:val="00C75307"/>
    <w:rsid w:val="00C76DF7"/>
    <w:rsid w:val="00C77D4D"/>
    <w:rsid w:val="00C80501"/>
    <w:rsid w:val="00C806CF"/>
    <w:rsid w:val="00C80B3F"/>
    <w:rsid w:val="00C80C3D"/>
    <w:rsid w:val="00C81CB1"/>
    <w:rsid w:val="00C82C3B"/>
    <w:rsid w:val="00C82C46"/>
    <w:rsid w:val="00C82F37"/>
    <w:rsid w:val="00C83CD5"/>
    <w:rsid w:val="00C849F1"/>
    <w:rsid w:val="00C85DF6"/>
    <w:rsid w:val="00C860BC"/>
    <w:rsid w:val="00C90106"/>
    <w:rsid w:val="00C902B7"/>
    <w:rsid w:val="00C90950"/>
    <w:rsid w:val="00C91CA6"/>
    <w:rsid w:val="00C9203E"/>
    <w:rsid w:val="00C92A88"/>
    <w:rsid w:val="00C92B94"/>
    <w:rsid w:val="00C92BDE"/>
    <w:rsid w:val="00C92FF1"/>
    <w:rsid w:val="00C937EC"/>
    <w:rsid w:val="00C93838"/>
    <w:rsid w:val="00C9391E"/>
    <w:rsid w:val="00C93B8C"/>
    <w:rsid w:val="00C93CE4"/>
    <w:rsid w:val="00C9438C"/>
    <w:rsid w:val="00C94EFB"/>
    <w:rsid w:val="00C95507"/>
    <w:rsid w:val="00C955C6"/>
    <w:rsid w:val="00C95C79"/>
    <w:rsid w:val="00C96042"/>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70C1"/>
    <w:rsid w:val="00CA78A0"/>
    <w:rsid w:val="00CB0C59"/>
    <w:rsid w:val="00CB1053"/>
    <w:rsid w:val="00CB12A0"/>
    <w:rsid w:val="00CB2922"/>
    <w:rsid w:val="00CB2D25"/>
    <w:rsid w:val="00CB47D5"/>
    <w:rsid w:val="00CB592E"/>
    <w:rsid w:val="00CB5FD5"/>
    <w:rsid w:val="00CB6A92"/>
    <w:rsid w:val="00CB6A95"/>
    <w:rsid w:val="00CB7F43"/>
    <w:rsid w:val="00CC1861"/>
    <w:rsid w:val="00CC26A1"/>
    <w:rsid w:val="00CC28CC"/>
    <w:rsid w:val="00CC29B1"/>
    <w:rsid w:val="00CC2F3B"/>
    <w:rsid w:val="00CC3B26"/>
    <w:rsid w:val="00CC3F7D"/>
    <w:rsid w:val="00CC4D36"/>
    <w:rsid w:val="00CC544E"/>
    <w:rsid w:val="00CC5563"/>
    <w:rsid w:val="00CC55F8"/>
    <w:rsid w:val="00CC575E"/>
    <w:rsid w:val="00CC69FD"/>
    <w:rsid w:val="00CC6F3B"/>
    <w:rsid w:val="00CD1431"/>
    <w:rsid w:val="00CD189F"/>
    <w:rsid w:val="00CD3530"/>
    <w:rsid w:val="00CD3CE1"/>
    <w:rsid w:val="00CD4504"/>
    <w:rsid w:val="00CD471F"/>
    <w:rsid w:val="00CD5915"/>
    <w:rsid w:val="00CD5D56"/>
    <w:rsid w:val="00CD7253"/>
    <w:rsid w:val="00CD7527"/>
    <w:rsid w:val="00CD7B0E"/>
    <w:rsid w:val="00CD7E87"/>
    <w:rsid w:val="00CE0420"/>
    <w:rsid w:val="00CE0838"/>
    <w:rsid w:val="00CE2A54"/>
    <w:rsid w:val="00CE3398"/>
    <w:rsid w:val="00CE3BC5"/>
    <w:rsid w:val="00CE454B"/>
    <w:rsid w:val="00CE5719"/>
    <w:rsid w:val="00CE577F"/>
    <w:rsid w:val="00CE5C4C"/>
    <w:rsid w:val="00CE5DA9"/>
    <w:rsid w:val="00CE6F3C"/>
    <w:rsid w:val="00CE7028"/>
    <w:rsid w:val="00CE7193"/>
    <w:rsid w:val="00CE757F"/>
    <w:rsid w:val="00CE7679"/>
    <w:rsid w:val="00CE7CD8"/>
    <w:rsid w:val="00CF02A5"/>
    <w:rsid w:val="00CF1190"/>
    <w:rsid w:val="00CF1804"/>
    <w:rsid w:val="00CF19CF"/>
    <w:rsid w:val="00CF1F90"/>
    <w:rsid w:val="00CF2107"/>
    <w:rsid w:val="00CF2736"/>
    <w:rsid w:val="00CF2B00"/>
    <w:rsid w:val="00CF2F00"/>
    <w:rsid w:val="00CF3A47"/>
    <w:rsid w:val="00CF3B6E"/>
    <w:rsid w:val="00CF4529"/>
    <w:rsid w:val="00CF573F"/>
    <w:rsid w:val="00CF5AA0"/>
    <w:rsid w:val="00CF5E53"/>
    <w:rsid w:val="00CF6022"/>
    <w:rsid w:val="00CF6338"/>
    <w:rsid w:val="00CF6758"/>
    <w:rsid w:val="00CF678F"/>
    <w:rsid w:val="00CF6D64"/>
    <w:rsid w:val="00CF72B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24F6"/>
    <w:rsid w:val="00D127DF"/>
    <w:rsid w:val="00D128B0"/>
    <w:rsid w:val="00D129AC"/>
    <w:rsid w:val="00D1334C"/>
    <w:rsid w:val="00D139ED"/>
    <w:rsid w:val="00D13A31"/>
    <w:rsid w:val="00D13FE7"/>
    <w:rsid w:val="00D14B20"/>
    <w:rsid w:val="00D15819"/>
    <w:rsid w:val="00D159A1"/>
    <w:rsid w:val="00D15A6B"/>
    <w:rsid w:val="00D16505"/>
    <w:rsid w:val="00D1685D"/>
    <w:rsid w:val="00D17454"/>
    <w:rsid w:val="00D20283"/>
    <w:rsid w:val="00D202A4"/>
    <w:rsid w:val="00D203B7"/>
    <w:rsid w:val="00D209B6"/>
    <w:rsid w:val="00D20D3E"/>
    <w:rsid w:val="00D220AC"/>
    <w:rsid w:val="00D22DB2"/>
    <w:rsid w:val="00D23BE1"/>
    <w:rsid w:val="00D23E11"/>
    <w:rsid w:val="00D265A8"/>
    <w:rsid w:val="00D2688D"/>
    <w:rsid w:val="00D26C4A"/>
    <w:rsid w:val="00D27343"/>
    <w:rsid w:val="00D276B6"/>
    <w:rsid w:val="00D27725"/>
    <w:rsid w:val="00D303DB"/>
    <w:rsid w:val="00D31D00"/>
    <w:rsid w:val="00D32C74"/>
    <w:rsid w:val="00D3335A"/>
    <w:rsid w:val="00D33C92"/>
    <w:rsid w:val="00D348A4"/>
    <w:rsid w:val="00D357B1"/>
    <w:rsid w:val="00D367E0"/>
    <w:rsid w:val="00D377BE"/>
    <w:rsid w:val="00D379F6"/>
    <w:rsid w:val="00D401AC"/>
    <w:rsid w:val="00D403D6"/>
    <w:rsid w:val="00D40AE3"/>
    <w:rsid w:val="00D40B30"/>
    <w:rsid w:val="00D416D3"/>
    <w:rsid w:val="00D418BA"/>
    <w:rsid w:val="00D41922"/>
    <w:rsid w:val="00D423DE"/>
    <w:rsid w:val="00D42AB5"/>
    <w:rsid w:val="00D43E4B"/>
    <w:rsid w:val="00D4404E"/>
    <w:rsid w:val="00D447E9"/>
    <w:rsid w:val="00D44817"/>
    <w:rsid w:val="00D44F06"/>
    <w:rsid w:val="00D45292"/>
    <w:rsid w:val="00D456F1"/>
    <w:rsid w:val="00D45A56"/>
    <w:rsid w:val="00D46440"/>
    <w:rsid w:val="00D46F1E"/>
    <w:rsid w:val="00D47C35"/>
    <w:rsid w:val="00D50278"/>
    <w:rsid w:val="00D507A7"/>
    <w:rsid w:val="00D5091E"/>
    <w:rsid w:val="00D52CC0"/>
    <w:rsid w:val="00D53ED2"/>
    <w:rsid w:val="00D555AB"/>
    <w:rsid w:val="00D561D7"/>
    <w:rsid w:val="00D569BF"/>
    <w:rsid w:val="00D56C47"/>
    <w:rsid w:val="00D57526"/>
    <w:rsid w:val="00D5796E"/>
    <w:rsid w:val="00D6019D"/>
    <w:rsid w:val="00D602B9"/>
    <w:rsid w:val="00D60AEE"/>
    <w:rsid w:val="00D60E31"/>
    <w:rsid w:val="00D61F81"/>
    <w:rsid w:val="00D62720"/>
    <w:rsid w:val="00D62B02"/>
    <w:rsid w:val="00D62C9E"/>
    <w:rsid w:val="00D63270"/>
    <w:rsid w:val="00D63589"/>
    <w:rsid w:val="00D64F10"/>
    <w:rsid w:val="00D650A9"/>
    <w:rsid w:val="00D656AE"/>
    <w:rsid w:val="00D66099"/>
    <w:rsid w:val="00D66301"/>
    <w:rsid w:val="00D67901"/>
    <w:rsid w:val="00D70186"/>
    <w:rsid w:val="00D717C8"/>
    <w:rsid w:val="00D730B5"/>
    <w:rsid w:val="00D737D2"/>
    <w:rsid w:val="00D73E4B"/>
    <w:rsid w:val="00D73F0D"/>
    <w:rsid w:val="00D7421C"/>
    <w:rsid w:val="00D745F9"/>
    <w:rsid w:val="00D75320"/>
    <w:rsid w:val="00D75AD9"/>
    <w:rsid w:val="00D764FD"/>
    <w:rsid w:val="00D76B9C"/>
    <w:rsid w:val="00D77E14"/>
    <w:rsid w:val="00D77FFA"/>
    <w:rsid w:val="00D80640"/>
    <w:rsid w:val="00D8116F"/>
    <w:rsid w:val="00D81669"/>
    <w:rsid w:val="00D818C0"/>
    <w:rsid w:val="00D81DC6"/>
    <w:rsid w:val="00D8248C"/>
    <w:rsid w:val="00D82C9C"/>
    <w:rsid w:val="00D82DF3"/>
    <w:rsid w:val="00D837D1"/>
    <w:rsid w:val="00D83C94"/>
    <w:rsid w:val="00D8417B"/>
    <w:rsid w:val="00D84CB2"/>
    <w:rsid w:val="00D864BF"/>
    <w:rsid w:val="00D869EE"/>
    <w:rsid w:val="00D8715B"/>
    <w:rsid w:val="00D87AC5"/>
    <w:rsid w:val="00D90FE8"/>
    <w:rsid w:val="00D91432"/>
    <w:rsid w:val="00D9159B"/>
    <w:rsid w:val="00D915BA"/>
    <w:rsid w:val="00D91921"/>
    <w:rsid w:val="00D9194E"/>
    <w:rsid w:val="00D919E6"/>
    <w:rsid w:val="00D91ABB"/>
    <w:rsid w:val="00D91D95"/>
    <w:rsid w:val="00D92AF3"/>
    <w:rsid w:val="00D932C4"/>
    <w:rsid w:val="00D934EA"/>
    <w:rsid w:val="00D936AE"/>
    <w:rsid w:val="00D9385E"/>
    <w:rsid w:val="00D93CAA"/>
    <w:rsid w:val="00D94624"/>
    <w:rsid w:val="00D946BA"/>
    <w:rsid w:val="00D95F17"/>
    <w:rsid w:val="00D962ED"/>
    <w:rsid w:val="00D9636D"/>
    <w:rsid w:val="00D96400"/>
    <w:rsid w:val="00D973D6"/>
    <w:rsid w:val="00D97544"/>
    <w:rsid w:val="00D975DB"/>
    <w:rsid w:val="00D97CDE"/>
    <w:rsid w:val="00DA06E9"/>
    <w:rsid w:val="00DA09E7"/>
    <w:rsid w:val="00DA0BBE"/>
    <w:rsid w:val="00DA0DEC"/>
    <w:rsid w:val="00DA10D4"/>
    <w:rsid w:val="00DA1A01"/>
    <w:rsid w:val="00DA1FFC"/>
    <w:rsid w:val="00DA2A6F"/>
    <w:rsid w:val="00DA3F74"/>
    <w:rsid w:val="00DA44B7"/>
    <w:rsid w:val="00DA47DC"/>
    <w:rsid w:val="00DA6C33"/>
    <w:rsid w:val="00DA6FF2"/>
    <w:rsid w:val="00DA7022"/>
    <w:rsid w:val="00DA711C"/>
    <w:rsid w:val="00DA7468"/>
    <w:rsid w:val="00DA75CD"/>
    <w:rsid w:val="00DA7707"/>
    <w:rsid w:val="00DA7BA1"/>
    <w:rsid w:val="00DB0C3F"/>
    <w:rsid w:val="00DB13A5"/>
    <w:rsid w:val="00DB13E9"/>
    <w:rsid w:val="00DB1FA6"/>
    <w:rsid w:val="00DB2864"/>
    <w:rsid w:val="00DB4B7A"/>
    <w:rsid w:val="00DB561A"/>
    <w:rsid w:val="00DB5695"/>
    <w:rsid w:val="00DB5D0D"/>
    <w:rsid w:val="00DB66A0"/>
    <w:rsid w:val="00DB6706"/>
    <w:rsid w:val="00DB6755"/>
    <w:rsid w:val="00DB69A2"/>
    <w:rsid w:val="00DB70A1"/>
    <w:rsid w:val="00DB729E"/>
    <w:rsid w:val="00DB771D"/>
    <w:rsid w:val="00DB7B39"/>
    <w:rsid w:val="00DB7EB4"/>
    <w:rsid w:val="00DC00D6"/>
    <w:rsid w:val="00DC08BA"/>
    <w:rsid w:val="00DC0D80"/>
    <w:rsid w:val="00DC129A"/>
    <w:rsid w:val="00DC1679"/>
    <w:rsid w:val="00DC1B77"/>
    <w:rsid w:val="00DC1C34"/>
    <w:rsid w:val="00DC1C8B"/>
    <w:rsid w:val="00DC23EB"/>
    <w:rsid w:val="00DC3771"/>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3C0A"/>
    <w:rsid w:val="00DD3F82"/>
    <w:rsid w:val="00DD440E"/>
    <w:rsid w:val="00DD4D7F"/>
    <w:rsid w:val="00DD5260"/>
    <w:rsid w:val="00DD5E4A"/>
    <w:rsid w:val="00DD5E99"/>
    <w:rsid w:val="00DD6701"/>
    <w:rsid w:val="00DD6E88"/>
    <w:rsid w:val="00DD7CA4"/>
    <w:rsid w:val="00DE01DE"/>
    <w:rsid w:val="00DE10B5"/>
    <w:rsid w:val="00DE1B89"/>
    <w:rsid w:val="00DE245D"/>
    <w:rsid w:val="00DE37BA"/>
    <w:rsid w:val="00DE39D8"/>
    <w:rsid w:val="00DE44E1"/>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3E95"/>
    <w:rsid w:val="00DF47A0"/>
    <w:rsid w:val="00DF5997"/>
    <w:rsid w:val="00DF5A17"/>
    <w:rsid w:val="00DF5B20"/>
    <w:rsid w:val="00DF5DA2"/>
    <w:rsid w:val="00DF65D5"/>
    <w:rsid w:val="00DF69AA"/>
    <w:rsid w:val="00DF6AC3"/>
    <w:rsid w:val="00DF6C56"/>
    <w:rsid w:val="00DF6E71"/>
    <w:rsid w:val="00DF7887"/>
    <w:rsid w:val="00DF7EA5"/>
    <w:rsid w:val="00E0097F"/>
    <w:rsid w:val="00E034B7"/>
    <w:rsid w:val="00E03BE8"/>
    <w:rsid w:val="00E05854"/>
    <w:rsid w:val="00E05863"/>
    <w:rsid w:val="00E07100"/>
    <w:rsid w:val="00E07C54"/>
    <w:rsid w:val="00E07FEE"/>
    <w:rsid w:val="00E100F7"/>
    <w:rsid w:val="00E10564"/>
    <w:rsid w:val="00E1096F"/>
    <w:rsid w:val="00E128D7"/>
    <w:rsid w:val="00E13F99"/>
    <w:rsid w:val="00E14704"/>
    <w:rsid w:val="00E14D56"/>
    <w:rsid w:val="00E15F47"/>
    <w:rsid w:val="00E15F5C"/>
    <w:rsid w:val="00E1645B"/>
    <w:rsid w:val="00E16BEC"/>
    <w:rsid w:val="00E1766F"/>
    <w:rsid w:val="00E17D8F"/>
    <w:rsid w:val="00E20564"/>
    <w:rsid w:val="00E20683"/>
    <w:rsid w:val="00E212C8"/>
    <w:rsid w:val="00E212EF"/>
    <w:rsid w:val="00E213D0"/>
    <w:rsid w:val="00E21422"/>
    <w:rsid w:val="00E21C85"/>
    <w:rsid w:val="00E2368B"/>
    <w:rsid w:val="00E24E98"/>
    <w:rsid w:val="00E25401"/>
    <w:rsid w:val="00E25643"/>
    <w:rsid w:val="00E25C1D"/>
    <w:rsid w:val="00E26016"/>
    <w:rsid w:val="00E26055"/>
    <w:rsid w:val="00E26475"/>
    <w:rsid w:val="00E26653"/>
    <w:rsid w:val="00E26739"/>
    <w:rsid w:val="00E26893"/>
    <w:rsid w:val="00E26A1E"/>
    <w:rsid w:val="00E26D40"/>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6566"/>
    <w:rsid w:val="00E367E9"/>
    <w:rsid w:val="00E36F7A"/>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24FB"/>
    <w:rsid w:val="00E530FB"/>
    <w:rsid w:val="00E53210"/>
    <w:rsid w:val="00E53211"/>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15BA"/>
    <w:rsid w:val="00E61785"/>
    <w:rsid w:val="00E61E09"/>
    <w:rsid w:val="00E62C58"/>
    <w:rsid w:val="00E6439B"/>
    <w:rsid w:val="00E65031"/>
    <w:rsid w:val="00E661AD"/>
    <w:rsid w:val="00E665E7"/>
    <w:rsid w:val="00E67484"/>
    <w:rsid w:val="00E6785D"/>
    <w:rsid w:val="00E714C0"/>
    <w:rsid w:val="00E73C7C"/>
    <w:rsid w:val="00E73DBC"/>
    <w:rsid w:val="00E73EBB"/>
    <w:rsid w:val="00E74380"/>
    <w:rsid w:val="00E74DC3"/>
    <w:rsid w:val="00E750E3"/>
    <w:rsid w:val="00E75AD3"/>
    <w:rsid w:val="00E75B51"/>
    <w:rsid w:val="00E75DC9"/>
    <w:rsid w:val="00E75ED1"/>
    <w:rsid w:val="00E760B9"/>
    <w:rsid w:val="00E761F6"/>
    <w:rsid w:val="00E76254"/>
    <w:rsid w:val="00E766A8"/>
    <w:rsid w:val="00E768E1"/>
    <w:rsid w:val="00E76A1B"/>
    <w:rsid w:val="00E77925"/>
    <w:rsid w:val="00E77BDE"/>
    <w:rsid w:val="00E77FDE"/>
    <w:rsid w:val="00E803B3"/>
    <w:rsid w:val="00E80C3C"/>
    <w:rsid w:val="00E8154D"/>
    <w:rsid w:val="00E81747"/>
    <w:rsid w:val="00E81D36"/>
    <w:rsid w:val="00E81E0B"/>
    <w:rsid w:val="00E81ED2"/>
    <w:rsid w:val="00E82476"/>
    <w:rsid w:val="00E839DB"/>
    <w:rsid w:val="00E83C77"/>
    <w:rsid w:val="00E840CB"/>
    <w:rsid w:val="00E851A3"/>
    <w:rsid w:val="00E8563F"/>
    <w:rsid w:val="00E85E08"/>
    <w:rsid w:val="00E8615F"/>
    <w:rsid w:val="00E87117"/>
    <w:rsid w:val="00E90D6D"/>
    <w:rsid w:val="00E91661"/>
    <w:rsid w:val="00E91BE6"/>
    <w:rsid w:val="00E92FE1"/>
    <w:rsid w:val="00E9366C"/>
    <w:rsid w:val="00E9387C"/>
    <w:rsid w:val="00E93A47"/>
    <w:rsid w:val="00E94A02"/>
    <w:rsid w:val="00E94E7A"/>
    <w:rsid w:val="00E95ED5"/>
    <w:rsid w:val="00E960CC"/>
    <w:rsid w:val="00E96B9C"/>
    <w:rsid w:val="00E96D9F"/>
    <w:rsid w:val="00E972E3"/>
    <w:rsid w:val="00E9759D"/>
    <w:rsid w:val="00EA015E"/>
    <w:rsid w:val="00EA023C"/>
    <w:rsid w:val="00EA0291"/>
    <w:rsid w:val="00EA1806"/>
    <w:rsid w:val="00EA1B36"/>
    <w:rsid w:val="00EA22AE"/>
    <w:rsid w:val="00EA2602"/>
    <w:rsid w:val="00EA33DE"/>
    <w:rsid w:val="00EA4407"/>
    <w:rsid w:val="00EA4D17"/>
    <w:rsid w:val="00EA73F1"/>
    <w:rsid w:val="00EA73FE"/>
    <w:rsid w:val="00EA7A6D"/>
    <w:rsid w:val="00EA7C87"/>
    <w:rsid w:val="00EB0065"/>
    <w:rsid w:val="00EB04C6"/>
    <w:rsid w:val="00EB083B"/>
    <w:rsid w:val="00EB104F"/>
    <w:rsid w:val="00EB13BF"/>
    <w:rsid w:val="00EB1763"/>
    <w:rsid w:val="00EB1AB4"/>
    <w:rsid w:val="00EB1B6B"/>
    <w:rsid w:val="00EB1BEB"/>
    <w:rsid w:val="00EB231D"/>
    <w:rsid w:val="00EB25D6"/>
    <w:rsid w:val="00EB38FF"/>
    <w:rsid w:val="00EB41BD"/>
    <w:rsid w:val="00EB44C7"/>
    <w:rsid w:val="00EB4976"/>
    <w:rsid w:val="00EB5061"/>
    <w:rsid w:val="00EB518E"/>
    <w:rsid w:val="00EB57AE"/>
    <w:rsid w:val="00EB5993"/>
    <w:rsid w:val="00EB632F"/>
    <w:rsid w:val="00EB65CA"/>
    <w:rsid w:val="00EB6F9B"/>
    <w:rsid w:val="00EC0302"/>
    <w:rsid w:val="00EC0948"/>
    <w:rsid w:val="00EC0B41"/>
    <w:rsid w:val="00EC0C27"/>
    <w:rsid w:val="00EC0DD0"/>
    <w:rsid w:val="00EC1C1D"/>
    <w:rsid w:val="00EC1DD2"/>
    <w:rsid w:val="00EC2555"/>
    <w:rsid w:val="00EC25BC"/>
    <w:rsid w:val="00EC2E8E"/>
    <w:rsid w:val="00EC40FD"/>
    <w:rsid w:val="00EC4426"/>
    <w:rsid w:val="00EC4887"/>
    <w:rsid w:val="00EC4FDD"/>
    <w:rsid w:val="00EC6156"/>
    <w:rsid w:val="00EC7035"/>
    <w:rsid w:val="00ED0B97"/>
    <w:rsid w:val="00ED1781"/>
    <w:rsid w:val="00ED2888"/>
    <w:rsid w:val="00ED2F5D"/>
    <w:rsid w:val="00ED37D2"/>
    <w:rsid w:val="00ED41E7"/>
    <w:rsid w:val="00ED4B07"/>
    <w:rsid w:val="00ED4EAF"/>
    <w:rsid w:val="00ED4F15"/>
    <w:rsid w:val="00ED521B"/>
    <w:rsid w:val="00ED5417"/>
    <w:rsid w:val="00ED6E7D"/>
    <w:rsid w:val="00ED7459"/>
    <w:rsid w:val="00ED7675"/>
    <w:rsid w:val="00EE06AC"/>
    <w:rsid w:val="00EE0931"/>
    <w:rsid w:val="00EE19A4"/>
    <w:rsid w:val="00EE19DC"/>
    <w:rsid w:val="00EE1FC1"/>
    <w:rsid w:val="00EE2960"/>
    <w:rsid w:val="00EE31DA"/>
    <w:rsid w:val="00EE3200"/>
    <w:rsid w:val="00EE33FB"/>
    <w:rsid w:val="00EE4637"/>
    <w:rsid w:val="00EE586B"/>
    <w:rsid w:val="00EE5FB7"/>
    <w:rsid w:val="00EE6519"/>
    <w:rsid w:val="00EE6807"/>
    <w:rsid w:val="00EE6D8C"/>
    <w:rsid w:val="00EE6E80"/>
    <w:rsid w:val="00EE7410"/>
    <w:rsid w:val="00EE7DB0"/>
    <w:rsid w:val="00EF076A"/>
    <w:rsid w:val="00EF128E"/>
    <w:rsid w:val="00EF26E1"/>
    <w:rsid w:val="00EF3CFA"/>
    <w:rsid w:val="00EF3D6D"/>
    <w:rsid w:val="00EF4351"/>
    <w:rsid w:val="00EF4C3F"/>
    <w:rsid w:val="00EF4F10"/>
    <w:rsid w:val="00EF5155"/>
    <w:rsid w:val="00EF7902"/>
    <w:rsid w:val="00EF7C40"/>
    <w:rsid w:val="00EF7EB1"/>
    <w:rsid w:val="00F00631"/>
    <w:rsid w:val="00F010D7"/>
    <w:rsid w:val="00F0153A"/>
    <w:rsid w:val="00F01590"/>
    <w:rsid w:val="00F01DD7"/>
    <w:rsid w:val="00F02919"/>
    <w:rsid w:val="00F033E7"/>
    <w:rsid w:val="00F035A7"/>
    <w:rsid w:val="00F03EB4"/>
    <w:rsid w:val="00F049DD"/>
    <w:rsid w:val="00F049E8"/>
    <w:rsid w:val="00F066AD"/>
    <w:rsid w:val="00F06827"/>
    <w:rsid w:val="00F06C57"/>
    <w:rsid w:val="00F075EF"/>
    <w:rsid w:val="00F0762A"/>
    <w:rsid w:val="00F07CAD"/>
    <w:rsid w:val="00F07E0D"/>
    <w:rsid w:val="00F1084E"/>
    <w:rsid w:val="00F10F21"/>
    <w:rsid w:val="00F11743"/>
    <w:rsid w:val="00F11BF0"/>
    <w:rsid w:val="00F11D81"/>
    <w:rsid w:val="00F13F74"/>
    <w:rsid w:val="00F1407D"/>
    <w:rsid w:val="00F146C8"/>
    <w:rsid w:val="00F14B5B"/>
    <w:rsid w:val="00F14D5A"/>
    <w:rsid w:val="00F15E34"/>
    <w:rsid w:val="00F15F31"/>
    <w:rsid w:val="00F15FA0"/>
    <w:rsid w:val="00F1601E"/>
    <w:rsid w:val="00F172D9"/>
    <w:rsid w:val="00F20760"/>
    <w:rsid w:val="00F208E8"/>
    <w:rsid w:val="00F20BBF"/>
    <w:rsid w:val="00F2137C"/>
    <w:rsid w:val="00F21A59"/>
    <w:rsid w:val="00F21B1C"/>
    <w:rsid w:val="00F21E58"/>
    <w:rsid w:val="00F22675"/>
    <w:rsid w:val="00F22FF6"/>
    <w:rsid w:val="00F23342"/>
    <w:rsid w:val="00F249D0"/>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464E"/>
    <w:rsid w:val="00F34AC3"/>
    <w:rsid w:val="00F35902"/>
    <w:rsid w:val="00F35FC0"/>
    <w:rsid w:val="00F36535"/>
    <w:rsid w:val="00F369B7"/>
    <w:rsid w:val="00F36AE0"/>
    <w:rsid w:val="00F41D68"/>
    <w:rsid w:val="00F423ED"/>
    <w:rsid w:val="00F42D04"/>
    <w:rsid w:val="00F43271"/>
    <w:rsid w:val="00F4328D"/>
    <w:rsid w:val="00F444DB"/>
    <w:rsid w:val="00F44615"/>
    <w:rsid w:val="00F447DD"/>
    <w:rsid w:val="00F44B3A"/>
    <w:rsid w:val="00F44E03"/>
    <w:rsid w:val="00F45006"/>
    <w:rsid w:val="00F45108"/>
    <w:rsid w:val="00F45A27"/>
    <w:rsid w:val="00F46971"/>
    <w:rsid w:val="00F47983"/>
    <w:rsid w:val="00F47B3A"/>
    <w:rsid w:val="00F47C99"/>
    <w:rsid w:val="00F503B1"/>
    <w:rsid w:val="00F50675"/>
    <w:rsid w:val="00F50D73"/>
    <w:rsid w:val="00F51052"/>
    <w:rsid w:val="00F51215"/>
    <w:rsid w:val="00F51C01"/>
    <w:rsid w:val="00F5251E"/>
    <w:rsid w:val="00F5317E"/>
    <w:rsid w:val="00F5322F"/>
    <w:rsid w:val="00F5368A"/>
    <w:rsid w:val="00F545A9"/>
    <w:rsid w:val="00F54A3F"/>
    <w:rsid w:val="00F54DD2"/>
    <w:rsid w:val="00F5602B"/>
    <w:rsid w:val="00F560C7"/>
    <w:rsid w:val="00F5615F"/>
    <w:rsid w:val="00F56E65"/>
    <w:rsid w:val="00F572D4"/>
    <w:rsid w:val="00F5762E"/>
    <w:rsid w:val="00F5779A"/>
    <w:rsid w:val="00F57E81"/>
    <w:rsid w:val="00F60421"/>
    <w:rsid w:val="00F60876"/>
    <w:rsid w:val="00F60DEE"/>
    <w:rsid w:val="00F613CA"/>
    <w:rsid w:val="00F6143C"/>
    <w:rsid w:val="00F61ACD"/>
    <w:rsid w:val="00F61D98"/>
    <w:rsid w:val="00F621FD"/>
    <w:rsid w:val="00F622FB"/>
    <w:rsid w:val="00F62947"/>
    <w:rsid w:val="00F629E2"/>
    <w:rsid w:val="00F63238"/>
    <w:rsid w:val="00F636F4"/>
    <w:rsid w:val="00F63D72"/>
    <w:rsid w:val="00F64534"/>
    <w:rsid w:val="00F653FE"/>
    <w:rsid w:val="00F65BF4"/>
    <w:rsid w:val="00F66E30"/>
    <w:rsid w:val="00F700CD"/>
    <w:rsid w:val="00F709A1"/>
    <w:rsid w:val="00F70C70"/>
    <w:rsid w:val="00F71265"/>
    <w:rsid w:val="00F71404"/>
    <w:rsid w:val="00F714F0"/>
    <w:rsid w:val="00F71BC9"/>
    <w:rsid w:val="00F71F1F"/>
    <w:rsid w:val="00F72703"/>
    <w:rsid w:val="00F73027"/>
    <w:rsid w:val="00F7343C"/>
    <w:rsid w:val="00F734EF"/>
    <w:rsid w:val="00F736CA"/>
    <w:rsid w:val="00F7375F"/>
    <w:rsid w:val="00F73C14"/>
    <w:rsid w:val="00F73D19"/>
    <w:rsid w:val="00F73D93"/>
    <w:rsid w:val="00F74133"/>
    <w:rsid w:val="00F74775"/>
    <w:rsid w:val="00F75446"/>
    <w:rsid w:val="00F7548D"/>
    <w:rsid w:val="00F7576B"/>
    <w:rsid w:val="00F75F9C"/>
    <w:rsid w:val="00F763DB"/>
    <w:rsid w:val="00F76C87"/>
    <w:rsid w:val="00F76E25"/>
    <w:rsid w:val="00F77B03"/>
    <w:rsid w:val="00F80057"/>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DA2"/>
    <w:rsid w:val="00F85F85"/>
    <w:rsid w:val="00F86D4F"/>
    <w:rsid w:val="00F8722F"/>
    <w:rsid w:val="00F87587"/>
    <w:rsid w:val="00F87822"/>
    <w:rsid w:val="00F87C07"/>
    <w:rsid w:val="00F90787"/>
    <w:rsid w:val="00F90EB1"/>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975FD"/>
    <w:rsid w:val="00FA0AAB"/>
    <w:rsid w:val="00FA1220"/>
    <w:rsid w:val="00FA15C5"/>
    <w:rsid w:val="00FA173A"/>
    <w:rsid w:val="00FA190E"/>
    <w:rsid w:val="00FA19AF"/>
    <w:rsid w:val="00FA20A3"/>
    <w:rsid w:val="00FA20DD"/>
    <w:rsid w:val="00FA26FF"/>
    <w:rsid w:val="00FA2944"/>
    <w:rsid w:val="00FA2C4C"/>
    <w:rsid w:val="00FA3211"/>
    <w:rsid w:val="00FA3975"/>
    <w:rsid w:val="00FA4ACE"/>
    <w:rsid w:val="00FA5CE3"/>
    <w:rsid w:val="00FA6DC5"/>
    <w:rsid w:val="00FA712D"/>
    <w:rsid w:val="00FA723B"/>
    <w:rsid w:val="00FB0456"/>
    <w:rsid w:val="00FB05D9"/>
    <w:rsid w:val="00FB0C47"/>
    <w:rsid w:val="00FB23BE"/>
    <w:rsid w:val="00FB2446"/>
    <w:rsid w:val="00FB2669"/>
    <w:rsid w:val="00FB291A"/>
    <w:rsid w:val="00FB2F10"/>
    <w:rsid w:val="00FB383B"/>
    <w:rsid w:val="00FB3AD7"/>
    <w:rsid w:val="00FB3B8C"/>
    <w:rsid w:val="00FB3BBE"/>
    <w:rsid w:val="00FB40AD"/>
    <w:rsid w:val="00FB4C1D"/>
    <w:rsid w:val="00FB55D4"/>
    <w:rsid w:val="00FB5B5F"/>
    <w:rsid w:val="00FB637C"/>
    <w:rsid w:val="00FB6806"/>
    <w:rsid w:val="00FB6907"/>
    <w:rsid w:val="00FC011D"/>
    <w:rsid w:val="00FC19B4"/>
    <w:rsid w:val="00FC1FE0"/>
    <w:rsid w:val="00FC2260"/>
    <w:rsid w:val="00FC244D"/>
    <w:rsid w:val="00FC27BE"/>
    <w:rsid w:val="00FC2DA3"/>
    <w:rsid w:val="00FC33D0"/>
    <w:rsid w:val="00FC356E"/>
    <w:rsid w:val="00FC3A5B"/>
    <w:rsid w:val="00FC3E64"/>
    <w:rsid w:val="00FC448E"/>
    <w:rsid w:val="00FC4864"/>
    <w:rsid w:val="00FC4CC2"/>
    <w:rsid w:val="00FC4FD5"/>
    <w:rsid w:val="00FC6096"/>
    <w:rsid w:val="00FC6EDC"/>
    <w:rsid w:val="00FC71A4"/>
    <w:rsid w:val="00FC7BB4"/>
    <w:rsid w:val="00FC7F7D"/>
    <w:rsid w:val="00FD0070"/>
    <w:rsid w:val="00FD0073"/>
    <w:rsid w:val="00FD0155"/>
    <w:rsid w:val="00FD1485"/>
    <w:rsid w:val="00FD2E92"/>
    <w:rsid w:val="00FD349A"/>
    <w:rsid w:val="00FD394C"/>
    <w:rsid w:val="00FD3E41"/>
    <w:rsid w:val="00FD4626"/>
    <w:rsid w:val="00FD4850"/>
    <w:rsid w:val="00FD59B8"/>
    <w:rsid w:val="00FD5EED"/>
    <w:rsid w:val="00FD76D6"/>
    <w:rsid w:val="00FD7AAE"/>
    <w:rsid w:val="00FE039E"/>
    <w:rsid w:val="00FE0756"/>
    <w:rsid w:val="00FE07B9"/>
    <w:rsid w:val="00FE0A7D"/>
    <w:rsid w:val="00FE22E4"/>
    <w:rsid w:val="00FE239C"/>
    <w:rsid w:val="00FE269B"/>
    <w:rsid w:val="00FE272F"/>
    <w:rsid w:val="00FE2AAE"/>
    <w:rsid w:val="00FE3F2E"/>
    <w:rsid w:val="00FE42B6"/>
    <w:rsid w:val="00FE4BB8"/>
    <w:rsid w:val="00FE51BB"/>
    <w:rsid w:val="00FE563B"/>
    <w:rsid w:val="00FE5E4B"/>
    <w:rsid w:val="00FE63FA"/>
    <w:rsid w:val="00FE7089"/>
    <w:rsid w:val="00FE72A3"/>
    <w:rsid w:val="00FE7776"/>
    <w:rsid w:val="00FE7DCB"/>
    <w:rsid w:val="00FE7E7E"/>
    <w:rsid w:val="00FF05F5"/>
    <w:rsid w:val="00FF0C94"/>
    <w:rsid w:val="00FF0DA1"/>
    <w:rsid w:val="00FF0FDA"/>
    <w:rsid w:val="00FF1045"/>
    <w:rsid w:val="00FF199B"/>
    <w:rsid w:val="00FF23DC"/>
    <w:rsid w:val="00FF24A2"/>
    <w:rsid w:val="00FF2915"/>
    <w:rsid w:val="00FF2B72"/>
    <w:rsid w:val="00FF3335"/>
    <w:rsid w:val="00FF336F"/>
    <w:rsid w:val="00FF33FC"/>
    <w:rsid w:val="00FF4099"/>
    <w:rsid w:val="00FF4221"/>
    <w:rsid w:val="00FF450E"/>
    <w:rsid w:val="00FF4C81"/>
    <w:rsid w:val="00FF5245"/>
    <w:rsid w:val="00FF6146"/>
    <w:rsid w:val="00FF61D8"/>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44"/>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3B6B-F733-4C49-B356-40CC3E7F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4832</Words>
  <Characters>27546</Characters>
  <Application>Microsoft Office Word</Application>
  <DocSecurity>0</DocSecurity>
  <Lines>229</Lines>
  <Paragraphs>64</Paragraphs>
  <ScaleCrop>false</ScaleCrop>
  <Company>cbc</Company>
  <LinksUpToDate>false</LinksUpToDate>
  <CharactersWithSpaces>32314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秘書處長秘書室;ssl</dc:creator>
  <cp:lastModifiedBy>ssl</cp:lastModifiedBy>
  <cp:revision>3</cp:revision>
  <cp:lastPrinted>2019-04-29T05:51:00Z</cp:lastPrinted>
  <dcterms:created xsi:type="dcterms:W3CDTF">2019-07-30T06:20:00Z</dcterms:created>
  <dcterms:modified xsi:type="dcterms:W3CDTF">2019-07-30T06:30:00Z</dcterms:modified>
</cp:coreProperties>
</file>