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46" w:rsidRDefault="00C82C46" w:rsidP="002D541E">
      <w:pPr>
        <w:tabs>
          <w:tab w:val="left" w:pos="8609"/>
        </w:tabs>
        <w:spacing w:before="100" w:line="640" w:lineRule="exact"/>
        <w:ind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spacing w:before="100" w:line="640" w:lineRule="exact"/>
        <w:ind w:leftChars="252" w:left="504" w:rightChars="231" w:right="462"/>
        <w:jc w:val="both"/>
        <w:textDirection w:val="lrTbV"/>
        <w:rPr>
          <w:rFonts w:eastAsia="標楷體"/>
          <w:b/>
          <w:spacing w:val="-24"/>
          <w:sz w:val="34"/>
          <w:szCs w:val="34"/>
        </w:rPr>
      </w:pPr>
    </w:p>
    <w:p w:rsidR="00C82C46" w:rsidRDefault="00C82C46" w:rsidP="00D052FE">
      <w:pPr>
        <w:pBdr>
          <w:top w:val="single" w:sz="48" w:space="1" w:color="auto"/>
          <w:bottom w:val="single" w:sz="48" w:space="1" w:color="auto"/>
        </w:pBdr>
        <w:spacing w:before="100" w:line="200" w:lineRule="exact"/>
        <w:ind w:leftChars="252" w:left="504" w:rightChars="231" w:right="462"/>
        <w:jc w:val="both"/>
        <w:textDirection w:val="lrTbV"/>
        <w:rPr>
          <w:rFonts w:eastAsia="標楷體"/>
          <w:b/>
          <w:sz w:val="64"/>
          <w:szCs w:val="64"/>
        </w:rPr>
      </w:pPr>
    </w:p>
    <w:p w:rsidR="00181D76" w:rsidRPr="007F6F77" w:rsidRDefault="00181D76" w:rsidP="00181D76">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r w:rsidRPr="007F6F77">
        <w:rPr>
          <w:rFonts w:eastAsia="標楷體"/>
          <w:b/>
          <w:sz w:val="52"/>
          <w:szCs w:val="64"/>
        </w:rPr>
        <w:t xml:space="preserve">Minutes of the </w:t>
      </w:r>
      <w:r w:rsidRPr="007F6F77">
        <w:rPr>
          <w:rFonts w:eastAsia="標楷體" w:hint="eastAsia"/>
          <w:b/>
          <w:sz w:val="52"/>
          <w:szCs w:val="64"/>
        </w:rPr>
        <w:t xml:space="preserve">Monetary Policy </w:t>
      </w:r>
      <w:r w:rsidRPr="007F6F77">
        <w:rPr>
          <w:rFonts w:eastAsia="標楷體"/>
          <w:b/>
          <w:sz w:val="52"/>
          <w:szCs w:val="64"/>
        </w:rPr>
        <w:t>Meeting</w:t>
      </w:r>
    </w:p>
    <w:p w:rsidR="00181D76" w:rsidRPr="007F6F77" w:rsidRDefault="00181D76" w:rsidP="00FA173A">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p>
    <w:p w:rsidR="00181D76" w:rsidRPr="007F6F77" w:rsidRDefault="004E7A9E" w:rsidP="00181D76">
      <w:pPr>
        <w:pBdr>
          <w:top w:val="single" w:sz="48" w:space="1" w:color="auto"/>
          <w:bottom w:val="single" w:sz="48" w:space="1" w:color="auto"/>
        </w:pBdr>
        <w:spacing w:before="240" w:line="640" w:lineRule="exact"/>
        <w:ind w:leftChars="252" w:left="504" w:rightChars="231" w:right="462"/>
        <w:jc w:val="center"/>
        <w:textDirection w:val="lrTbV"/>
        <w:rPr>
          <w:rFonts w:eastAsia="標楷體"/>
          <w:spacing w:val="-24"/>
          <w:sz w:val="40"/>
          <w:szCs w:val="48"/>
        </w:rPr>
      </w:pPr>
      <w:r>
        <w:rPr>
          <w:rFonts w:eastAsia="標楷體" w:hint="eastAsia"/>
          <w:spacing w:val="-24"/>
          <w:sz w:val="40"/>
          <w:szCs w:val="48"/>
        </w:rPr>
        <w:t>September</w:t>
      </w:r>
      <w:r w:rsidR="00181D76" w:rsidRPr="007F6F77">
        <w:rPr>
          <w:rFonts w:eastAsia="標楷體" w:hint="eastAsia"/>
          <w:spacing w:val="-24"/>
          <w:sz w:val="40"/>
          <w:szCs w:val="48"/>
        </w:rPr>
        <w:t xml:space="preserve"> </w:t>
      </w:r>
      <w:r>
        <w:rPr>
          <w:rFonts w:eastAsia="標楷體" w:hint="eastAsia"/>
          <w:spacing w:val="-24"/>
          <w:sz w:val="40"/>
          <w:szCs w:val="48"/>
        </w:rPr>
        <w:t>19</w:t>
      </w:r>
      <w:r w:rsidR="002D541E">
        <w:rPr>
          <w:rFonts w:eastAsia="標楷體" w:hint="eastAsia"/>
          <w:spacing w:val="-24"/>
          <w:sz w:val="40"/>
          <w:szCs w:val="48"/>
        </w:rPr>
        <w:t>, 2019</w:t>
      </w:r>
    </w:p>
    <w:p w:rsidR="00C82C46" w:rsidRPr="007F6F77" w:rsidRDefault="00C82C46" w:rsidP="00506CDC">
      <w:pPr>
        <w:pBdr>
          <w:top w:val="single" w:sz="48" w:space="1" w:color="auto"/>
          <w:bottom w:val="single" w:sz="48" w:space="1" w:color="auto"/>
        </w:pBdr>
        <w:spacing w:before="240" w:line="20" w:lineRule="exact"/>
        <w:ind w:leftChars="252" w:left="504" w:rightChars="231" w:right="462"/>
        <w:jc w:val="center"/>
        <w:textDirection w:val="lrTbV"/>
        <w:rPr>
          <w:rFonts w:eastAsia="標楷體"/>
          <w:sz w:val="48"/>
          <w:szCs w:val="48"/>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181D76" w:rsidRPr="007F6F77" w:rsidRDefault="00181D76" w:rsidP="00181D76">
      <w:pPr>
        <w:spacing w:before="100" w:line="640" w:lineRule="exact"/>
        <w:ind w:leftChars="252" w:left="504" w:rightChars="231" w:right="462"/>
        <w:jc w:val="center"/>
        <w:textDirection w:val="lrTbV"/>
        <w:rPr>
          <w:rFonts w:eastAsia="標楷體"/>
          <w:b/>
          <w:spacing w:val="-24"/>
          <w:sz w:val="44"/>
          <w:szCs w:val="52"/>
        </w:rPr>
      </w:pPr>
      <w:r w:rsidRPr="007F6F77">
        <w:rPr>
          <w:rFonts w:eastAsia="標楷體" w:hint="eastAsia"/>
          <w:sz w:val="44"/>
          <w:szCs w:val="52"/>
        </w:rPr>
        <w:t>Central Bank of the R.O.C. (Taiwan)</w:t>
      </w:r>
    </w:p>
    <w:p w:rsidR="00C82C46" w:rsidRPr="007F6F77" w:rsidRDefault="00C82C46" w:rsidP="00D052FE">
      <w:pPr>
        <w:spacing w:before="100" w:line="640" w:lineRule="exact"/>
        <w:ind w:leftChars="252" w:left="504" w:rightChars="231" w:right="462"/>
        <w:jc w:val="both"/>
        <w:textDirection w:val="lrTbV"/>
        <w:rPr>
          <w:rFonts w:eastAsia="標楷體"/>
          <w:sz w:val="52"/>
          <w:szCs w:val="52"/>
        </w:rPr>
        <w:sectPr w:rsidR="00C82C46" w:rsidRPr="007F6F77" w:rsidSect="00F714F0">
          <w:headerReference w:type="default" r:id="rId9"/>
          <w:footerReference w:type="even" r:id="rId10"/>
          <w:footerReference w:type="first" r:id="rId11"/>
          <w:pgSz w:w="11907" w:h="16840" w:code="9"/>
          <w:pgMar w:top="1134" w:right="1418" w:bottom="851" w:left="1418" w:header="0" w:footer="510" w:gutter="0"/>
          <w:paperSrc w:first="15" w:other="15"/>
          <w:pgNumType w:start="0"/>
          <w:cols w:space="425"/>
          <w:titlePg/>
          <w:docGrid w:linePitch="272"/>
        </w:sectPr>
      </w:pPr>
      <w:r w:rsidRPr="007F6F77">
        <w:rPr>
          <w:rFonts w:eastAsia="標楷體"/>
          <w:spacing w:val="-24"/>
          <w:sz w:val="44"/>
          <w:szCs w:val="44"/>
        </w:rPr>
        <w:br w:type="page"/>
      </w:r>
    </w:p>
    <w:p w:rsidR="00363599" w:rsidRPr="007F6F77" w:rsidRDefault="00363599" w:rsidP="00642463">
      <w:pPr>
        <w:spacing w:line="440" w:lineRule="exact"/>
        <w:jc w:val="center"/>
        <w:textDirection w:val="lrTbV"/>
        <w:rPr>
          <w:rFonts w:eastAsia="標楷體"/>
          <w:b/>
          <w:sz w:val="28"/>
          <w:szCs w:val="28"/>
        </w:rPr>
      </w:pPr>
      <w:r w:rsidRPr="007F6F77">
        <w:rPr>
          <w:rFonts w:eastAsia="標楷體"/>
          <w:b/>
          <w:sz w:val="28"/>
          <w:szCs w:val="28"/>
        </w:rPr>
        <w:lastRenderedPageBreak/>
        <w:t>Minutes</w:t>
      </w:r>
      <w:r w:rsidRPr="007F6F77">
        <w:rPr>
          <w:rStyle w:val="afe"/>
          <w:rFonts w:eastAsia="標楷體"/>
          <w:b/>
          <w:sz w:val="28"/>
          <w:szCs w:val="28"/>
        </w:rPr>
        <w:footnoteReference w:id="1"/>
      </w:r>
      <w:r w:rsidRPr="007F6F77">
        <w:rPr>
          <w:rFonts w:eastAsia="標楷體"/>
          <w:b/>
          <w:sz w:val="28"/>
          <w:szCs w:val="28"/>
        </w:rPr>
        <w:t xml:space="preserve"> of the Joint Meeting of the Board of Directors and </w:t>
      </w:r>
    </w:p>
    <w:p w:rsidR="00363599" w:rsidRPr="007F6F77" w:rsidRDefault="00363599" w:rsidP="00642463">
      <w:pPr>
        <w:spacing w:line="440" w:lineRule="exact"/>
        <w:jc w:val="center"/>
        <w:textDirection w:val="lrTbV"/>
        <w:rPr>
          <w:rFonts w:eastAsia="標楷體"/>
          <w:b/>
          <w:sz w:val="28"/>
          <w:szCs w:val="28"/>
        </w:rPr>
      </w:pPr>
      <w:proofErr w:type="gramStart"/>
      <w:r w:rsidRPr="007F6F77">
        <w:rPr>
          <w:rFonts w:eastAsia="標楷體"/>
          <w:b/>
          <w:sz w:val="28"/>
          <w:szCs w:val="28"/>
        </w:rPr>
        <w:t>the</w:t>
      </w:r>
      <w:proofErr w:type="gramEnd"/>
      <w:r w:rsidRPr="007F6F77">
        <w:rPr>
          <w:rFonts w:eastAsia="標楷體"/>
          <w:b/>
          <w:sz w:val="28"/>
          <w:szCs w:val="28"/>
        </w:rPr>
        <w:t xml:space="preserve"> Board of Supervisors on</w:t>
      </w:r>
      <w:r w:rsidR="00C41905" w:rsidRPr="007F6F77">
        <w:rPr>
          <w:rFonts w:eastAsia="標楷體" w:hint="eastAsia"/>
          <w:b/>
          <w:sz w:val="28"/>
          <w:szCs w:val="28"/>
        </w:rPr>
        <w:t xml:space="preserve"> </w:t>
      </w:r>
      <w:r w:rsidR="00A22952" w:rsidRPr="00A22952">
        <w:rPr>
          <w:rFonts w:eastAsia="標楷體"/>
          <w:b/>
          <w:sz w:val="28"/>
          <w:szCs w:val="28"/>
        </w:rPr>
        <w:t>September 19</w:t>
      </w:r>
      <w:r w:rsidR="008C284D" w:rsidRPr="007F6F77">
        <w:rPr>
          <w:rFonts w:eastAsia="標楷體"/>
          <w:b/>
          <w:sz w:val="28"/>
          <w:szCs w:val="28"/>
        </w:rPr>
        <w:t>, 201</w:t>
      </w:r>
      <w:r w:rsidR="002D541E">
        <w:rPr>
          <w:rFonts w:eastAsia="標楷體" w:hint="eastAsia"/>
          <w:b/>
          <w:sz w:val="28"/>
          <w:szCs w:val="28"/>
        </w:rPr>
        <w:t>9</w:t>
      </w:r>
    </w:p>
    <w:p w:rsidR="00363599" w:rsidRPr="00B243CE" w:rsidRDefault="00363599" w:rsidP="007A2BCD">
      <w:pPr>
        <w:spacing w:beforeLines="50" w:before="120" w:line="440" w:lineRule="exact"/>
        <w:jc w:val="both"/>
        <w:textDirection w:val="lrTbV"/>
        <w:rPr>
          <w:rFonts w:eastAsia="標楷體"/>
          <w:sz w:val="24"/>
          <w:szCs w:val="24"/>
        </w:rPr>
      </w:pPr>
      <w:r w:rsidRPr="00B243CE">
        <w:rPr>
          <w:rFonts w:eastAsia="標楷體" w:hint="eastAsia"/>
          <w:b/>
          <w:sz w:val="24"/>
          <w:szCs w:val="24"/>
        </w:rPr>
        <w:t>Date and Time</w:t>
      </w:r>
      <w:r w:rsidRPr="00B243CE">
        <w:rPr>
          <w:rFonts w:eastAsia="標楷體" w:hint="eastAsia"/>
          <w:sz w:val="24"/>
          <w:szCs w:val="24"/>
        </w:rPr>
        <w:t xml:space="preserve">: </w:t>
      </w:r>
      <w:r w:rsidR="00A22952" w:rsidRPr="00A22952">
        <w:rPr>
          <w:rFonts w:eastAsia="標楷體"/>
          <w:sz w:val="24"/>
          <w:szCs w:val="24"/>
        </w:rPr>
        <w:t>September 19</w:t>
      </w:r>
      <w:r w:rsidRPr="00B243CE">
        <w:rPr>
          <w:rFonts w:eastAsia="標楷體" w:hint="eastAsia"/>
          <w:sz w:val="24"/>
          <w:szCs w:val="24"/>
        </w:rPr>
        <w:t>, 201</w:t>
      </w:r>
      <w:r w:rsidR="002D541E" w:rsidRPr="00B243CE">
        <w:rPr>
          <w:rFonts w:eastAsia="標楷體" w:hint="eastAsia"/>
          <w:sz w:val="24"/>
          <w:szCs w:val="24"/>
        </w:rPr>
        <w:t>9</w:t>
      </w:r>
      <w:r w:rsidRPr="00B243CE">
        <w:rPr>
          <w:rFonts w:eastAsia="標楷體" w:hint="eastAsia"/>
          <w:sz w:val="24"/>
          <w:szCs w:val="24"/>
        </w:rPr>
        <w:t xml:space="preserve">, at </w:t>
      </w:r>
      <w:r w:rsidR="008C284D" w:rsidRPr="00B243CE">
        <w:rPr>
          <w:rFonts w:eastAsia="標楷體" w:hint="eastAsia"/>
          <w:sz w:val="24"/>
          <w:szCs w:val="24"/>
        </w:rPr>
        <w:t>2</w:t>
      </w:r>
      <w:r w:rsidR="001F7BDB" w:rsidRPr="00B243CE">
        <w:rPr>
          <w:rFonts w:eastAsia="標楷體" w:hint="eastAsia"/>
          <w:sz w:val="24"/>
          <w:szCs w:val="24"/>
        </w:rPr>
        <w:t>:</w:t>
      </w:r>
      <w:r w:rsidR="008C284D" w:rsidRPr="00B243CE">
        <w:rPr>
          <w:rFonts w:eastAsia="標楷體" w:hint="eastAsia"/>
          <w:sz w:val="24"/>
          <w:szCs w:val="24"/>
        </w:rPr>
        <w:t>0</w:t>
      </w:r>
      <w:r w:rsidR="001F7BDB" w:rsidRPr="00B243CE">
        <w:rPr>
          <w:rFonts w:eastAsia="標楷體" w:hint="eastAsia"/>
          <w:sz w:val="24"/>
          <w:szCs w:val="24"/>
        </w:rPr>
        <w:t>0</w:t>
      </w:r>
      <w:r w:rsidRPr="00B243CE">
        <w:rPr>
          <w:rFonts w:eastAsia="標楷體" w:hint="eastAsia"/>
          <w:sz w:val="24"/>
          <w:szCs w:val="24"/>
        </w:rPr>
        <w:t xml:space="preserve"> p.m.</w:t>
      </w:r>
    </w:p>
    <w:p w:rsidR="00363599" w:rsidRPr="00B243CE" w:rsidRDefault="00363599" w:rsidP="00E972E3">
      <w:pPr>
        <w:spacing w:beforeLines="50" w:before="120" w:line="440" w:lineRule="exact"/>
        <w:ind w:left="745" w:hangingChars="310" w:hanging="745"/>
        <w:jc w:val="both"/>
        <w:textDirection w:val="lrTbV"/>
        <w:rPr>
          <w:rFonts w:eastAsia="標楷體"/>
          <w:sz w:val="24"/>
          <w:szCs w:val="24"/>
        </w:rPr>
      </w:pPr>
      <w:r w:rsidRPr="00B243CE">
        <w:rPr>
          <w:rFonts w:eastAsia="標楷體" w:hint="eastAsia"/>
          <w:b/>
          <w:sz w:val="24"/>
          <w:szCs w:val="24"/>
        </w:rPr>
        <w:t>Location:</w:t>
      </w:r>
      <w:r w:rsidRPr="00B243CE">
        <w:rPr>
          <w:rFonts w:eastAsia="標楷體" w:hint="eastAsia"/>
          <w:sz w:val="24"/>
          <w:szCs w:val="24"/>
        </w:rPr>
        <w:t xml:space="preserve"> Room A606, Main Building, </w:t>
      </w:r>
      <w:r w:rsidRPr="00B243CE">
        <w:rPr>
          <w:rFonts w:eastAsia="標楷體"/>
          <w:sz w:val="24"/>
          <w:szCs w:val="24"/>
        </w:rPr>
        <w:t>Central Bank of the R.O.C. (Taiwan)</w:t>
      </w:r>
    </w:p>
    <w:p w:rsidR="00363599" w:rsidRPr="00B243CE" w:rsidRDefault="00363599" w:rsidP="007A2BCD">
      <w:pPr>
        <w:pStyle w:val="31"/>
        <w:spacing w:beforeLines="50" w:before="120" w:line="440" w:lineRule="exact"/>
        <w:textDirection w:val="lrTbV"/>
        <w:rPr>
          <w:rFonts w:eastAsia="標楷體"/>
          <w:sz w:val="24"/>
          <w:szCs w:val="24"/>
        </w:rPr>
      </w:pPr>
      <w:r w:rsidRPr="00B243CE">
        <w:rPr>
          <w:rFonts w:eastAsia="標楷體" w:hint="eastAsia"/>
          <w:b/>
          <w:sz w:val="24"/>
          <w:szCs w:val="24"/>
        </w:rPr>
        <w:t>Members Present:</w:t>
      </w:r>
      <w:r w:rsidRPr="00B243CE">
        <w:rPr>
          <w:rFonts w:eastAsia="標楷體" w:hint="eastAsia"/>
          <w:sz w:val="24"/>
          <w:szCs w:val="24"/>
        </w:rPr>
        <w:t xml:space="preserve"> </w:t>
      </w:r>
    </w:p>
    <w:p w:rsidR="00363599" w:rsidRPr="00BB0B0C" w:rsidRDefault="00363599" w:rsidP="00642463">
      <w:pPr>
        <w:pStyle w:val="31"/>
        <w:spacing w:line="440" w:lineRule="exact"/>
        <w:ind w:leftChars="200" w:left="400"/>
        <w:textDirection w:val="lrTbV"/>
        <w:rPr>
          <w:rFonts w:eastAsia="標楷體"/>
          <w:sz w:val="24"/>
          <w:szCs w:val="24"/>
        </w:rPr>
      </w:pPr>
      <w:r w:rsidRPr="00BB0B0C">
        <w:rPr>
          <w:rFonts w:eastAsia="標楷體" w:hint="eastAsia"/>
          <w:b/>
          <w:sz w:val="24"/>
          <w:szCs w:val="24"/>
        </w:rPr>
        <w:t>Chairman, Board of Directors</w:t>
      </w:r>
      <w:r w:rsidRPr="00BB0B0C">
        <w:rPr>
          <w:rFonts w:eastAsia="標楷體" w:hint="eastAsia"/>
          <w:sz w:val="24"/>
          <w:szCs w:val="24"/>
        </w:rPr>
        <w:t xml:space="preserve">: </w:t>
      </w:r>
      <w:r w:rsidR="008C284D" w:rsidRPr="00BB0B0C">
        <w:rPr>
          <w:rFonts w:eastAsia="標楷體"/>
          <w:sz w:val="24"/>
          <w:szCs w:val="24"/>
        </w:rPr>
        <w:t>Chin-long Yang</w:t>
      </w:r>
    </w:p>
    <w:p w:rsidR="00B243CE" w:rsidRPr="00BB0B0C" w:rsidRDefault="008C284D" w:rsidP="00642463">
      <w:pPr>
        <w:pStyle w:val="31"/>
        <w:spacing w:line="440" w:lineRule="exact"/>
        <w:ind w:leftChars="200" w:left="400"/>
        <w:textDirection w:val="lrTbV"/>
        <w:rPr>
          <w:rFonts w:eastAsia="標楷體"/>
          <w:sz w:val="24"/>
          <w:szCs w:val="24"/>
        </w:rPr>
      </w:pPr>
      <w:r w:rsidRPr="00BB0B0C">
        <w:rPr>
          <w:rFonts w:eastAsia="標楷體" w:hint="eastAsia"/>
          <w:b/>
          <w:sz w:val="24"/>
          <w:szCs w:val="24"/>
        </w:rPr>
        <w:t>Executive Directors</w:t>
      </w:r>
      <w:r w:rsidRPr="00BB0B0C">
        <w:rPr>
          <w:rFonts w:eastAsia="標楷體" w:hint="eastAsia"/>
          <w:sz w:val="24"/>
          <w:szCs w:val="24"/>
        </w:rPr>
        <w:t xml:space="preserve">: </w:t>
      </w:r>
      <w:r w:rsidR="00B243CE" w:rsidRPr="00BB0B0C">
        <w:rPr>
          <w:rFonts w:eastAsia="標楷體"/>
          <w:sz w:val="24"/>
          <w:szCs w:val="24"/>
        </w:rPr>
        <w:t>Jain-</w:t>
      </w:r>
      <w:proofErr w:type="spellStart"/>
      <w:r w:rsidR="00B243CE" w:rsidRPr="00BB0B0C">
        <w:rPr>
          <w:rFonts w:eastAsia="標楷體" w:hint="eastAsia"/>
          <w:sz w:val="24"/>
          <w:szCs w:val="24"/>
        </w:rPr>
        <w:t>r</w:t>
      </w:r>
      <w:r w:rsidR="00B243CE" w:rsidRPr="00BB0B0C">
        <w:rPr>
          <w:rFonts w:eastAsia="標楷體"/>
          <w:sz w:val="24"/>
          <w:szCs w:val="24"/>
        </w:rPr>
        <w:t>ong</w:t>
      </w:r>
      <w:proofErr w:type="spellEnd"/>
      <w:r w:rsidR="00B243CE" w:rsidRPr="00BB0B0C">
        <w:rPr>
          <w:rFonts w:eastAsia="標楷體"/>
          <w:sz w:val="24"/>
          <w:szCs w:val="24"/>
        </w:rPr>
        <w:t xml:space="preserve"> Su, Jong-chin Shen, </w:t>
      </w:r>
      <w:proofErr w:type="spellStart"/>
      <w:r w:rsidR="00B243CE" w:rsidRPr="00BB0B0C">
        <w:rPr>
          <w:rFonts w:eastAsia="標楷體"/>
          <w:sz w:val="24"/>
          <w:szCs w:val="24"/>
        </w:rPr>
        <w:t>Tzung</w:t>
      </w:r>
      <w:proofErr w:type="spellEnd"/>
      <w:r w:rsidR="00B243CE" w:rsidRPr="00BB0B0C">
        <w:rPr>
          <w:rFonts w:eastAsia="標楷體"/>
          <w:sz w:val="24"/>
          <w:szCs w:val="24"/>
        </w:rPr>
        <w:t>-ta Yen, Nan-</w:t>
      </w:r>
      <w:proofErr w:type="spellStart"/>
      <w:r w:rsidR="00B243CE" w:rsidRPr="00BB0B0C">
        <w:rPr>
          <w:rFonts w:eastAsia="標楷體"/>
          <w:sz w:val="24"/>
          <w:szCs w:val="24"/>
        </w:rPr>
        <w:t>kuang</w:t>
      </w:r>
      <w:proofErr w:type="spellEnd"/>
      <w:r w:rsidR="00B243CE" w:rsidRPr="00BB0B0C">
        <w:rPr>
          <w:rFonts w:eastAsia="標楷體"/>
          <w:sz w:val="24"/>
          <w:szCs w:val="24"/>
        </w:rPr>
        <w:t xml:space="preserve"> Chen, </w:t>
      </w:r>
    </w:p>
    <w:p w:rsidR="008C284D" w:rsidRPr="00BB0B0C" w:rsidRDefault="00B243CE" w:rsidP="00B243CE">
      <w:pPr>
        <w:pStyle w:val="31"/>
        <w:spacing w:line="440" w:lineRule="exact"/>
        <w:ind w:leftChars="1089" w:left="2178" w:firstLine="342"/>
        <w:textDirection w:val="lrTbV"/>
        <w:rPr>
          <w:rFonts w:eastAsia="標楷體"/>
          <w:sz w:val="24"/>
          <w:szCs w:val="24"/>
        </w:rPr>
      </w:pPr>
      <w:r w:rsidRPr="00BB0B0C">
        <w:rPr>
          <w:rFonts w:eastAsia="標楷體"/>
          <w:sz w:val="24"/>
          <w:szCs w:val="24"/>
        </w:rPr>
        <w:t>Ming-</w:t>
      </w:r>
      <w:proofErr w:type="spellStart"/>
      <w:r w:rsidRPr="00BB0B0C">
        <w:rPr>
          <w:rFonts w:eastAsia="標楷體"/>
          <w:sz w:val="24"/>
          <w:szCs w:val="24"/>
        </w:rPr>
        <w:t>yih</w:t>
      </w:r>
      <w:proofErr w:type="spellEnd"/>
      <w:r w:rsidRPr="00BB0B0C">
        <w:rPr>
          <w:rFonts w:eastAsia="標楷體"/>
          <w:sz w:val="24"/>
          <w:szCs w:val="24"/>
        </w:rPr>
        <w:t xml:space="preserve"> Liang</w:t>
      </w:r>
      <w:r w:rsidR="008C284D" w:rsidRPr="00BB0B0C">
        <w:rPr>
          <w:rFonts w:eastAsia="標楷體" w:hint="eastAsia"/>
          <w:sz w:val="24"/>
          <w:szCs w:val="24"/>
        </w:rPr>
        <w:t xml:space="preserve"> </w:t>
      </w:r>
    </w:p>
    <w:p w:rsidR="008C284D" w:rsidRPr="00BB0B0C" w:rsidRDefault="008C284D" w:rsidP="007842BF">
      <w:pPr>
        <w:spacing w:line="440" w:lineRule="exact"/>
        <w:ind w:leftChars="200" w:left="1419" w:rightChars="5" w:right="10" w:hangingChars="424" w:hanging="1019"/>
        <w:textDirection w:val="lrTbV"/>
        <w:rPr>
          <w:rFonts w:eastAsia="標楷體"/>
          <w:sz w:val="24"/>
          <w:szCs w:val="24"/>
        </w:rPr>
      </w:pPr>
      <w:r w:rsidRPr="00BB0B0C">
        <w:rPr>
          <w:rFonts w:eastAsia="標楷體" w:hint="eastAsia"/>
          <w:b/>
          <w:sz w:val="24"/>
          <w:szCs w:val="24"/>
        </w:rPr>
        <w:t>Directors</w:t>
      </w:r>
      <w:r w:rsidRPr="00BB0B0C">
        <w:rPr>
          <w:rFonts w:eastAsia="標楷體" w:hint="eastAsia"/>
          <w:sz w:val="24"/>
          <w:szCs w:val="24"/>
        </w:rPr>
        <w:t xml:space="preserve">: </w:t>
      </w:r>
      <w:r w:rsidR="003C3DAA" w:rsidRPr="00BB0B0C">
        <w:rPr>
          <w:rFonts w:eastAsia="標楷體"/>
          <w:sz w:val="24"/>
          <w:szCs w:val="24"/>
        </w:rPr>
        <w:t>Chi-</w:t>
      </w:r>
      <w:proofErr w:type="spellStart"/>
      <w:r w:rsidR="003C3DAA" w:rsidRPr="00BB0B0C">
        <w:rPr>
          <w:rFonts w:eastAsia="標楷體" w:hint="eastAsia"/>
          <w:sz w:val="24"/>
          <w:szCs w:val="24"/>
        </w:rPr>
        <w:t>c</w:t>
      </w:r>
      <w:r w:rsidR="003C3DAA" w:rsidRPr="00BB0B0C">
        <w:rPr>
          <w:rFonts w:eastAsia="標楷體"/>
          <w:sz w:val="24"/>
          <w:szCs w:val="24"/>
        </w:rPr>
        <w:t>hung</w:t>
      </w:r>
      <w:proofErr w:type="spellEnd"/>
      <w:r w:rsidR="003C3DAA" w:rsidRPr="00BB0B0C">
        <w:rPr>
          <w:rFonts w:eastAsia="標楷體"/>
          <w:sz w:val="24"/>
          <w:szCs w:val="24"/>
        </w:rPr>
        <w:t xml:space="preserve"> Chen</w:t>
      </w:r>
      <w:r w:rsidR="003C3DAA" w:rsidRPr="00BB0B0C">
        <w:rPr>
          <w:rFonts w:eastAsia="標楷體" w:hint="eastAsia"/>
          <w:sz w:val="24"/>
          <w:szCs w:val="24"/>
        </w:rPr>
        <w:t xml:space="preserve">, </w:t>
      </w:r>
      <w:r w:rsidRPr="00BB0B0C">
        <w:rPr>
          <w:rFonts w:eastAsia="標楷體" w:hint="eastAsia"/>
          <w:sz w:val="24"/>
          <w:szCs w:val="24"/>
        </w:rPr>
        <w:t xml:space="preserve">Chen-chia Lee, </w:t>
      </w:r>
      <w:r w:rsidR="0051106B" w:rsidRPr="00BB0B0C">
        <w:rPr>
          <w:rFonts w:eastAsia="標楷體"/>
          <w:sz w:val="24"/>
          <w:szCs w:val="24"/>
        </w:rPr>
        <w:t>Chung-</w:t>
      </w:r>
      <w:proofErr w:type="spellStart"/>
      <w:r w:rsidR="0051106B" w:rsidRPr="00BB0B0C">
        <w:rPr>
          <w:rFonts w:eastAsia="標楷體" w:hint="eastAsia"/>
          <w:sz w:val="24"/>
          <w:szCs w:val="24"/>
        </w:rPr>
        <w:t>d</w:t>
      </w:r>
      <w:r w:rsidR="0051106B" w:rsidRPr="00BB0B0C">
        <w:rPr>
          <w:rFonts w:eastAsia="標楷體"/>
          <w:sz w:val="24"/>
          <w:szCs w:val="24"/>
        </w:rPr>
        <w:t>ar</w:t>
      </w:r>
      <w:proofErr w:type="spellEnd"/>
      <w:r w:rsidR="0051106B" w:rsidRPr="00BB0B0C">
        <w:rPr>
          <w:rFonts w:eastAsia="標楷體"/>
          <w:sz w:val="24"/>
          <w:szCs w:val="24"/>
        </w:rPr>
        <w:t xml:space="preserve"> Lei</w:t>
      </w:r>
      <w:r w:rsidR="0051106B" w:rsidRPr="00BB0B0C">
        <w:rPr>
          <w:rFonts w:eastAsia="標楷體" w:hint="eastAsia"/>
          <w:sz w:val="24"/>
          <w:szCs w:val="24"/>
        </w:rPr>
        <w:t xml:space="preserve">, </w:t>
      </w:r>
      <w:proofErr w:type="spellStart"/>
      <w:r w:rsidRPr="00BB0B0C">
        <w:rPr>
          <w:rFonts w:eastAsia="標楷體" w:hint="eastAsia"/>
          <w:sz w:val="24"/>
          <w:szCs w:val="24"/>
        </w:rPr>
        <w:t>Jin</w:t>
      </w:r>
      <w:proofErr w:type="spellEnd"/>
      <w:r w:rsidRPr="00BB0B0C">
        <w:rPr>
          <w:rFonts w:eastAsia="標楷體" w:hint="eastAsia"/>
          <w:sz w:val="24"/>
          <w:szCs w:val="24"/>
        </w:rPr>
        <w:t>-lung Lin, Mei-lie Chu, Chao-</w:t>
      </w:r>
      <w:proofErr w:type="spellStart"/>
      <w:r w:rsidRPr="00BB0B0C">
        <w:rPr>
          <w:rFonts w:eastAsia="標楷體" w:hint="eastAsia"/>
          <w:sz w:val="24"/>
          <w:szCs w:val="24"/>
        </w:rPr>
        <w:t>h</w:t>
      </w:r>
      <w:r w:rsidRPr="00BB0B0C">
        <w:rPr>
          <w:rFonts w:eastAsia="標楷體"/>
          <w:sz w:val="24"/>
          <w:szCs w:val="24"/>
        </w:rPr>
        <w:t>s</w:t>
      </w:r>
      <w:r w:rsidRPr="00BB0B0C">
        <w:rPr>
          <w:rFonts w:eastAsia="標楷體" w:hint="eastAsia"/>
          <w:sz w:val="24"/>
          <w:szCs w:val="24"/>
        </w:rPr>
        <w:t>i</w:t>
      </w:r>
      <w:proofErr w:type="spellEnd"/>
      <w:r w:rsidRPr="00BB0B0C">
        <w:rPr>
          <w:rFonts w:eastAsia="標楷體" w:hint="eastAsia"/>
          <w:sz w:val="24"/>
          <w:szCs w:val="24"/>
        </w:rPr>
        <w:t xml:space="preserve"> Huang, </w:t>
      </w:r>
      <w:proofErr w:type="spellStart"/>
      <w:r w:rsidRPr="00BB0B0C">
        <w:rPr>
          <w:rFonts w:eastAsia="標楷體" w:hint="eastAsia"/>
          <w:sz w:val="24"/>
          <w:szCs w:val="24"/>
        </w:rPr>
        <w:t>Bih</w:t>
      </w:r>
      <w:proofErr w:type="spellEnd"/>
      <w:r w:rsidRPr="00BB0B0C">
        <w:rPr>
          <w:rFonts w:eastAsia="標楷體" w:hint="eastAsia"/>
          <w:sz w:val="24"/>
          <w:szCs w:val="24"/>
        </w:rPr>
        <w:t xml:space="preserve">-jane Liu, </w:t>
      </w:r>
      <w:proofErr w:type="spellStart"/>
      <w:r w:rsidRPr="00BB0B0C">
        <w:rPr>
          <w:rFonts w:eastAsia="標楷體"/>
          <w:sz w:val="24"/>
          <w:szCs w:val="24"/>
        </w:rPr>
        <w:t>Shiu</w:t>
      </w:r>
      <w:proofErr w:type="spellEnd"/>
      <w:r w:rsidRPr="00BB0B0C">
        <w:rPr>
          <w:rFonts w:eastAsia="標楷體"/>
          <w:sz w:val="24"/>
          <w:szCs w:val="24"/>
        </w:rPr>
        <w:t>-</w:t>
      </w:r>
      <w:r w:rsidRPr="00BB0B0C">
        <w:rPr>
          <w:rFonts w:eastAsia="標楷體" w:hint="eastAsia"/>
          <w:sz w:val="24"/>
          <w:szCs w:val="24"/>
        </w:rPr>
        <w:t>s</w:t>
      </w:r>
      <w:r w:rsidRPr="00BB0B0C">
        <w:rPr>
          <w:rFonts w:eastAsia="標楷體"/>
          <w:sz w:val="24"/>
          <w:szCs w:val="24"/>
        </w:rPr>
        <w:t>heng Chen</w:t>
      </w:r>
      <w:r w:rsidRPr="00BB0B0C">
        <w:rPr>
          <w:rFonts w:eastAsia="標楷體" w:hint="eastAsia"/>
          <w:sz w:val="24"/>
          <w:szCs w:val="24"/>
        </w:rPr>
        <w:t xml:space="preserve">, </w:t>
      </w:r>
      <w:proofErr w:type="spellStart"/>
      <w:r w:rsidRPr="00BB0B0C">
        <w:rPr>
          <w:rFonts w:eastAsia="標楷體"/>
          <w:sz w:val="24"/>
          <w:szCs w:val="24"/>
        </w:rPr>
        <w:t>Hsin-</w:t>
      </w:r>
      <w:r w:rsidR="000060B5" w:rsidRPr="00BB0B0C">
        <w:rPr>
          <w:rFonts w:eastAsia="標楷體" w:hint="eastAsia"/>
          <w:sz w:val="24"/>
          <w:szCs w:val="24"/>
        </w:rPr>
        <w:t>h</w:t>
      </w:r>
      <w:r w:rsidRPr="00BB0B0C">
        <w:rPr>
          <w:rFonts w:eastAsia="標楷體"/>
          <w:sz w:val="24"/>
          <w:szCs w:val="24"/>
        </w:rPr>
        <w:t>ong</w:t>
      </w:r>
      <w:proofErr w:type="spellEnd"/>
      <w:r w:rsidRPr="00BB0B0C">
        <w:rPr>
          <w:rFonts w:eastAsia="標楷體"/>
          <w:sz w:val="24"/>
          <w:szCs w:val="24"/>
        </w:rPr>
        <w:t xml:space="preserve"> Kang</w:t>
      </w:r>
      <w:r w:rsidRPr="00BB0B0C">
        <w:rPr>
          <w:rFonts w:eastAsia="標楷體" w:hint="eastAsia"/>
          <w:sz w:val="24"/>
          <w:szCs w:val="24"/>
        </w:rPr>
        <w:t xml:space="preserve">  </w:t>
      </w:r>
    </w:p>
    <w:p w:rsidR="008C284D" w:rsidRPr="00BB0B0C" w:rsidRDefault="008C284D" w:rsidP="00642463">
      <w:pPr>
        <w:spacing w:line="440" w:lineRule="exact"/>
        <w:ind w:leftChars="200" w:left="400" w:rightChars="5" w:right="10"/>
        <w:textDirection w:val="lrTbV"/>
        <w:rPr>
          <w:rFonts w:eastAsia="標楷體"/>
          <w:sz w:val="24"/>
          <w:szCs w:val="24"/>
        </w:rPr>
      </w:pPr>
      <w:r w:rsidRPr="00BB0B0C">
        <w:rPr>
          <w:rFonts w:eastAsia="標楷體" w:hint="eastAsia"/>
          <w:b/>
          <w:sz w:val="24"/>
          <w:szCs w:val="24"/>
        </w:rPr>
        <w:t>Chairman, Board of Supervisors</w:t>
      </w:r>
      <w:r w:rsidRPr="00BB0B0C">
        <w:rPr>
          <w:rFonts w:eastAsia="標楷體" w:hint="eastAsia"/>
          <w:sz w:val="24"/>
          <w:szCs w:val="24"/>
        </w:rPr>
        <w:t xml:space="preserve">: </w:t>
      </w:r>
      <w:proofErr w:type="spellStart"/>
      <w:r w:rsidRPr="00BB0B0C">
        <w:rPr>
          <w:rFonts w:eastAsia="標楷體" w:hint="eastAsia"/>
          <w:sz w:val="24"/>
          <w:szCs w:val="24"/>
        </w:rPr>
        <w:t>Tzer-ming</w:t>
      </w:r>
      <w:proofErr w:type="spellEnd"/>
      <w:r w:rsidRPr="00BB0B0C">
        <w:rPr>
          <w:rFonts w:eastAsia="標楷體" w:hint="eastAsia"/>
          <w:sz w:val="24"/>
          <w:szCs w:val="24"/>
        </w:rPr>
        <w:t xml:space="preserve"> Chu</w:t>
      </w:r>
    </w:p>
    <w:p w:rsidR="008C284D" w:rsidRPr="00BB0B0C" w:rsidRDefault="008C284D" w:rsidP="00642463">
      <w:pPr>
        <w:spacing w:line="440" w:lineRule="exact"/>
        <w:ind w:leftChars="200" w:left="400" w:rightChars="5" w:right="10"/>
        <w:jc w:val="both"/>
        <w:textDirection w:val="lrTbV"/>
        <w:rPr>
          <w:rFonts w:eastAsia="標楷體"/>
          <w:sz w:val="24"/>
          <w:szCs w:val="24"/>
        </w:rPr>
      </w:pPr>
      <w:r w:rsidRPr="00BB0B0C">
        <w:rPr>
          <w:rFonts w:eastAsia="標楷體" w:hint="eastAsia"/>
          <w:b/>
          <w:sz w:val="24"/>
          <w:szCs w:val="24"/>
        </w:rPr>
        <w:t>Supervisors</w:t>
      </w:r>
      <w:r w:rsidRPr="00BB0B0C">
        <w:rPr>
          <w:rFonts w:eastAsia="標楷體" w:hint="eastAsia"/>
          <w:sz w:val="24"/>
          <w:szCs w:val="24"/>
        </w:rPr>
        <w:t xml:space="preserve">: </w:t>
      </w:r>
      <w:r w:rsidR="00605747" w:rsidRPr="00BB0B0C">
        <w:rPr>
          <w:rFonts w:eastAsia="標楷體" w:hint="eastAsia"/>
          <w:sz w:val="24"/>
          <w:szCs w:val="24"/>
        </w:rPr>
        <w:t>Ching-fan Chung, Sheng-</w:t>
      </w:r>
      <w:proofErr w:type="spellStart"/>
      <w:r w:rsidR="00605747" w:rsidRPr="00BB0B0C">
        <w:rPr>
          <w:rFonts w:eastAsia="標楷體" w:hint="eastAsia"/>
          <w:sz w:val="24"/>
          <w:szCs w:val="24"/>
        </w:rPr>
        <w:t>yao</w:t>
      </w:r>
      <w:proofErr w:type="spellEnd"/>
      <w:r w:rsidR="00605747" w:rsidRPr="00BB0B0C">
        <w:rPr>
          <w:rFonts w:eastAsia="標楷體" w:hint="eastAsia"/>
          <w:sz w:val="24"/>
          <w:szCs w:val="24"/>
        </w:rPr>
        <w:t xml:space="preserve"> Lin, </w:t>
      </w:r>
      <w:r w:rsidR="00605747" w:rsidRPr="00BB0B0C">
        <w:rPr>
          <w:rFonts w:eastAsia="標楷體"/>
          <w:sz w:val="24"/>
          <w:szCs w:val="24"/>
        </w:rPr>
        <w:t>Tien-</w:t>
      </w:r>
      <w:proofErr w:type="spellStart"/>
      <w:r w:rsidR="00605747" w:rsidRPr="00BB0B0C">
        <w:rPr>
          <w:rFonts w:eastAsia="標楷體" w:hint="eastAsia"/>
          <w:sz w:val="24"/>
          <w:szCs w:val="24"/>
        </w:rPr>
        <w:t>w</w:t>
      </w:r>
      <w:r w:rsidR="00605747" w:rsidRPr="00BB0B0C">
        <w:rPr>
          <w:rFonts w:eastAsia="標楷體"/>
          <w:sz w:val="24"/>
          <w:szCs w:val="24"/>
        </w:rPr>
        <w:t>ang</w:t>
      </w:r>
      <w:proofErr w:type="spellEnd"/>
      <w:r w:rsidR="00605747" w:rsidRPr="00BB0B0C">
        <w:rPr>
          <w:rFonts w:eastAsia="標楷體"/>
          <w:sz w:val="24"/>
          <w:szCs w:val="24"/>
        </w:rPr>
        <w:t xml:space="preserve"> </w:t>
      </w:r>
      <w:proofErr w:type="spellStart"/>
      <w:r w:rsidR="00605747" w:rsidRPr="00BB0B0C">
        <w:rPr>
          <w:rFonts w:eastAsia="標楷體"/>
          <w:sz w:val="24"/>
          <w:szCs w:val="24"/>
        </w:rPr>
        <w:t>Tsaur</w:t>
      </w:r>
      <w:proofErr w:type="spellEnd"/>
      <w:r w:rsidR="00605747" w:rsidRPr="00BB0B0C">
        <w:rPr>
          <w:rFonts w:eastAsia="標楷體" w:hint="eastAsia"/>
          <w:sz w:val="24"/>
          <w:szCs w:val="24"/>
        </w:rPr>
        <w:t xml:space="preserve">, </w:t>
      </w:r>
      <w:proofErr w:type="spellStart"/>
      <w:r w:rsidR="00605747" w:rsidRPr="00BB0B0C">
        <w:rPr>
          <w:rFonts w:eastAsia="標楷體"/>
          <w:sz w:val="24"/>
          <w:szCs w:val="24"/>
        </w:rPr>
        <w:t>Kuei</w:t>
      </w:r>
      <w:proofErr w:type="spellEnd"/>
      <w:r w:rsidR="00605747" w:rsidRPr="00BB0B0C">
        <w:rPr>
          <w:rFonts w:eastAsia="標楷體"/>
          <w:sz w:val="24"/>
          <w:szCs w:val="24"/>
        </w:rPr>
        <w:t>-</w:t>
      </w:r>
      <w:r w:rsidR="00605747" w:rsidRPr="00BB0B0C">
        <w:rPr>
          <w:rFonts w:eastAsia="標楷體" w:hint="eastAsia"/>
          <w:sz w:val="24"/>
          <w:szCs w:val="24"/>
        </w:rPr>
        <w:t>h</w:t>
      </w:r>
      <w:r w:rsidR="00605747" w:rsidRPr="00BB0B0C">
        <w:rPr>
          <w:rFonts w:eastAsia="標楷體"/>
          <w:sz w:val="24"/>
          <w:szCs w:val="24"/>
        </w:rPr>
        <w:t>ui Cheng</w:t>
      </w:r>
      <w:r w:rsidR="00605747" w:rsidRPr="00BB0B0C">
        <w:rPr>
          <w:rFonts w:eastAsia="標楷體" w:hint="eastAsia"/>
          <w:sz w:val="24"/>
          <w:szCs w:val="24"/>
        </w:rPr>
        <w:t xml:space="preserve"> </w:t>
      </w:r>
    </w:p>
    <w:p w:rsidR="00363599" w:rsidRPr="002F5ADE" w:rsidRDefault="00363599" w:rsidP="007A2BCD">
      <w:pPr>
        <w:pStyle w:val="31"/>
        <w:spacing w:beforeLines="50" w:before="120" w:line="440" w:lineRule="exact"/>
        <w:textDirection w:val="lrTbV"/>
        <w:rPr>
          <w:rFonts w:eastAsia="標楷體"/>
          <w:sz w:val="24"/>
          <w:szCs w:val="24"/>
        </w:rPr>
      </w:pPr>
      <w:r w:rsidRPr="002F5ADE">
        <w:rPr>
          <w:rFonts w:eastAsia="標楷體" w:hint="eastAsia"/>
          <w:b/>
          <w:sz w:val="24"/>
          <w:szCs w:val="24"/>
        </w:rPr>
        <w:t xml:space="preserve">Staff Present: </w:t>
      </w:r>
    </w:p>
    <w:p w:rsidR="00363599" w:rsidRPr="002F5ADE" w:rsidRDefault="00363599" w:rsidP="00642463">
      <w:pPr>
        <w:pStyle w:val="31"/>
        <w:spacing w:line="440" w:lineRule="exact"/>
        <w:ind w:leftChars="200" w:left="400"/>
        <w:textDirection w:val="lrTbV"/>
        <w:rPr>
          <w:rFonts w:eastAsia="標楷體"/>
          <w:sz w:val="24"/>
          <w:szCs w:val="24"/>
        </w:rPr>
      </w:pPr>
      <w:r w:rsidRPr="002F5ADE">
        <w:rPr>
          <w:rFonts w:eastAsia="標楷體"/>
          <w:sz w:val="24"/>
          <w:szCs w:val="24"/>
        </w:rPr>
        <w:t>E-</w:t>
      </w:r>
      <w:r w:rsidRPr="002F5ADE">
        <w:rPr>
          <w:rFonts w:eastAsia="標楷體" w:hint="eastAsia"/>
          <w:sz w:val="24"/>
          <w:szCs w:val="24"/>
        </w:rPr>
        <w:t>d</w:t>
      </w:r>
      <w:r w:rsidRPr="002F5ADE">
        <w:rPr>
          <w:rFonts w:eastAsia="標楷體"/>
          <w:sz w:val="24"/>
          <w:szCs w:val="24"/>
        </w:rPr>
        <w:t>awn Chen</w:t>
      </w:r>
      <w:r w:rsidRPr="002F5ADE">
        <w:rPr>
          <w:rFonts w:eastAsia="標楷體" w:hint="eastAsia"/>
          <w:sz w:val="24"/>
          <w:szCs w:val="24"/>
        </w:rPr>
        <w:t>,</w:t>
      </w:r>
      <w:r w:rsidRPr="002F5ADE">
        <w:rPr>
          <w:rFonts w:eastAsia="標楷體"/>
          <w:sz w:val="24"/>
          <w:szCs w:val="24"/>
        </w:rPr>
        <w:t xml:space="preserve"> Director General</w:t>
      </w:r>
      <w:r w:rsidRPr="002F5ADE">
        <w:rPr>
          <w:rFonts w:eastAsia="標楷體" w:hint="eastAsia"/>
          <w:sz w:val="24"/>
          <w:szCs w:val="24"/>
        </w:rPr>
        <w:t>,</w:t>
      </w:r>
      <w:r w:rsidRPr="002F5ADE">
        <w:rPr>
          <w:rFonts w:eastAsia="標楷體"/>
          <w:sz w:val="24"/>
          <w:szCs w:val="24"/>
        </w:rPr>
        <w:t xml:space="preserve"> Department of Banking</w:t>
      </w:r>
    </w:p>
    <w:p w:rsidR="00363599" w:rsidRPr="002F5ADE" w:rsidRDefault="00363599" w:rsidP="00642463">
      <w:pPr>
        <w:pStyle w:val="31"/>
        <w:spacing w:line="440" w:lineRule="exact"/>
        <w:ind w:leftChars="200" w:left="400"/>
        <w:textDirection w:val="lrTbV"/>
        <w:rPr>
          <w:rFonts w:eastAsia="標楷體"/>
          <w:sz w:val="24"/>
          <w:szCs w:val="24"/>
        </w:rPr>
      </w:pPr>
      <w:r w:rsidRPr="002F5ADE">
        <w:rPr>
          <w:rFonts w:eastAsia="標楷體"/>
          <w:sz w:val="24"/>
          <w:szCs w:val="24"/>
        </w:rPr>
        <w:t>James T.H. Shih</w:t>
      </w:r>
      <w:r w:rsidRPr="002F5ADE">
        <w:rPr>
          <w:rFonts w:eastAsia="標楷體" w:hint="eastAsia"/>
          <w:sz w:val="24"/>
          <w:szCs w:val="24"/>
        </w:rPr>
        <w:t xml:space="preserve">, </w:t>
      </w:r>
      <w:r w:rsidRPr="002F5ADE">
        <w:rPr>
          <w:rFonts w:eastAsia="標楷體"/>
          <w:sz w:val="24"/>
          <w:szCs w:val="24"/>
        </w:rPr>
        <w:t>Director General</w:t>
      </w:r>
      <w:r w:rsidRPr="002F5ADE">
        <w:rPr>
          <w:rFonts w:eastAsia="標楷體" w:hint="eastAsia"/>
          <w:sz w:val="24"/>
          <w:szCs w:val="24"/>
        </w:rPr>
        <w:t>,</w:t>
      </w:r>
      <w:r w:rsidR="006F25E5" w:rsidRPr="002F5ADE">
        <w:rPr>
          <w:rFonts w:eastAsia="標楷體" w:hint="eastAsia"/>
          <w:sz w:val="24"/>
          <w:szCs w:val="24"/>
        </w:rPr>
        <w:t xml:space="preserve"> </w:t>
      </w:r>
      <w:r w:rsidRPr="002F5ADE">
        <w:rPr>
          <w:rFonts w:eastAsia="標楷體"/>
          <w:sz w:val="24"/>
          <w:szCs w:val="24"/>
        </w:rPr>
        <w:t xml:space="preserve">Department of Issuing </w:t>
      </w:r>
    </w:p>
    <w:p w:rsidR="00363599" w:rsidRPr="002F5ADE" w:rsidRDefault="00363599" w:rsidP="00642463">
      <w:pPr>
        <w:pStyle w:val="31"/>
        <w:spacing w:line="440" w:lineRule="exact"/>
        <w:ind w:leftChars="200" w:left="400"/>
        <w:textDirection w:val="lrTbV"/>
        <w:rPr>
          <w:rFonts w:eastAsia="標楷體"/>
          <w:sz w:val="24"/>
          <w:szCs w:val="24"/>
        </w:rPr>
      </w:pPr>
      <w:r w:rsidRPr="002F5ADE">
        <w:rPr>
          <w:rFonts w:eastAsia="標楷體"/>
          <w:sz w:val="24"/>
          <w:szCs w:val="24"/>
        </w:rPr>
        <w:t>Hui-</w:t>
      </w:r>
      <w:proofErr w:type="spellStart"/>
      <w:r w:rsidRPr="002F5ADE">
        <w:rPr>
          <w:rFonts w:eastAsia="標楷體" w:hint="eastAsia"/>
          <w:sz w:val="24"/>
          <w:szCs w:val="24"/>
        </w:rPr>
        <w:t>h</w:t>
      </w:r>
      <w:r w:rsidRPr="002F5ADE">
        <w:rPr>
          <w:rFonts w:eastAsia="標楷體"/>
          <w:sz w:val="24"/>
          <w:szCs w:val="24"/>
        </w:rPr>
        <w:t>uang</w:t>
      </w:r>
      <w:proofErr w:type="spellEnd"/>
      <w:r w:rsidRPr="002F5ADE">
        <w:rPr>
          <w:rFonts w:eastAsia="標楷體"/>
          <w:sz w:val="24"/>
          <w:szCs w:val="24"/>
        </w:rPr>
        <w:t xml:space="preserve"> Yen</w:t>
      </w:r>
      <w:r w:rsidRPr="002F5ADE">
        <w:rPr>
          <w:rFonts w:eastAsia="標楷體" w:hint="eastAsia"/>
          <w:sz w:val="24"/>
          <w:szCs w:val="24"/>
        </w:rPr>
        <w:t xml:space="preserve">, </w:t>
      </w:r>
      <w:r w:rsidRPr="002F5ADE">
        <w:rPr>
          <w:rFonts w:eastAsia="標楷體"/>
          <w:sz w:val="24"/>
          <w:szCs w:val="24"/>
        </w:rPr>
        <w:t>Director General</w:t>
      </w:r>
      <w:r w:rsidRPr="002F5ADE">
        <w:rPr>
          <w:rFonts w:eastAsia="標楷體" w:hint="eastAsia"/>
          <w:sz w:val="24"/>
          <w:szCs w:val="24"/>
        </w:rPr>
        <w:t>,</w:t>
      </w:r>
      <w:r w:rsidRPr="002F5ADE">
        <w:rPr>
          <w:rFonts w:eastAsia="標楷體"/>
          <w:sz w:val="24"/>
          <w:szCs w:val="24"/>
        </w:rPr>
        <w:t xml:space="preserve"> Department of Foreign</w:t>
      </w:r>
      <w:r w:rsidRPr="002F5ADE">
        <w:rPr>
          <w:rFonts w:eastAsia="標楷體" w:hint="eastAsia"/>
          <w:sz w:val="24"/>
          <w:szCs w:val="24"/>
        </w:rPr>
        <w:t xml:space="preserve"> </w:t>
      </w:r>
      <w:r w:rsidRPr="002F5ADE">
        <w:rPr>
          <w:rFonts w:eastAsia="標楷體"/>
          <w:sz w:val="24"/>
          <w:szCs w:val="24"/>
        </w:rPr>
        <w:t>Exchange</w:t>
      </w:r>
    </w:p>
    <w:p w:rsidR="00363599" w:rsidRPr="002F5ADE" w:rsidRDefault="005549FB" w:rsidP="00A32D1B">
      <w:pPr>
        <w:pStyle w:val="31"/>
        <w:spacing w:line="440" w:lineRule="exact"/>
        <w:ind w:leftChars="200" w:left="400"/>
        <w:textDirection w:val="lrTbV"/>
        <w:rPr>
          <w:rFonts w:eastAsia="標楷體"/>
          <w:sz w:val="24"/>
          <w:szCs w:val="24"/>
        </w:rPr>
      </w:pPr>
      <w:r w:rsidRPr="002F5ADE">
        <w:rPr>
          <w:rFonts w:eastAsia="標楷體"/>
          <w:sz w:val="24"/>
          <w:szCs w:val="24"/>
        </w:rPr>
        <w:t xml:space="preserve">Yue-min Chen, Director General, </w:t>
      </w:r>
      <w:r w:rsidR="00363599" w:rsidRPr="002F5ADE">
        <w:rPr>
          <w:rFonts w:eastAsia="標楷體"/>
          <w:sz w:val="24"/>
          <w:szCs w:val="24"/>
        </w:rPr>
        <w:t>Department of the Treasury</w:t>
      </w:r>
    </w:p>
    <w:p w:rsidR="00363599" w:rsidRPr="002F5ADE" w:rsidRDefault="00363599" w:rsidP="00642463">
      <w:pPr>
        <w:pStyle w:val="31"/>
        <w:spacing w:line="440" w:lineRule="exact"/>
        <w:ind w:leftChars="200" w:left="400"/>
        <w:textDirection w:val="lrTbV"/>
        <w:rPr>
          <w:rFonts w:eastAsia="標楷體"/>
          <w:sz w:val="24"/>
          <w:szCs w:val="24"/>
        </w:rPr>
      </w:pPr>
      <w:proofErr w:type="spellStart"/>
      <w:r w:rsidRPr="002F5ADE">
        <w:rPr>
          <w:rFonts w:eastAsia="標楷體"/>
          <w:sz w:val="24"/>
          <w:szCs w:val="24"/>
        </w:rPr>
        <w:t>Tsuey</w:t>
      </w:r>
      <w:proofErr w:type="spellEnd"/>
      <w:r w:rsidRPr="002F5ADE">
        <w:rPr>
          <w:rFonts w:eastAsia="標楷體"/>
          <w:sz w:val="24"/>
          <w:szCs w:val="24"/>
        </w:rPr>
        <w:t>-</w:t>
      </w:r>
      <w:r w:rsidRPr="002F5ADE">
        <w:rPr>
          <w:rFonts w:eastAsia="標楷體" w:hint="eastAsia"/>
          <w:sz w:val="24"/>
          <w:szCs w:val="24"/>
        </w:rPr>
        <w:t>l</w:t>
      </w:r>
      <w:r w:rsidRPr="002F5ADE">
        <w:rPr>
          <w:rFonts w:eastAsia="標楷體"/>
          <w:sz w:val="24"/>
          <w:szCs w:val="24"/>
        </w:rPr>
        <w:t>ing Hsiao</w:t>
      </w:r>
      <w:r w:rsidRPr="002F5ADE">
        <w:rPr>
          <w:rFonts w:eastAsia="標楷體" w:hint="eastAsia"/>
          <w:sz w:val="24"/>
          <w:szCs w:val="24"/>
        </w:rPr>
        <w:t xml:space="preserve">, </w:t>
      </w:r>
      <w:r w:rsidRPr="002F5ADE">
        <w:rPr>
          <w:rFonts w:eastAsia="標楷體"/>
          <w:sz w:val="24"/>
          <w:szCs w:val="24"/>
        </w:rPr>
        <w:t>Director General</w:t>
      </w:r>
      <w:r w:rsidRPr="002F5ADE">
        <w:rPr>
          <w:rFonts w:eastAsia="標楷體" w:hint="eastAsia"/>
          <w:sz w:val="24"/>
          <w:szCs w:val="24"/>
        </w:rPr>
        <w:t>, D</w:t>
      </w:r>
      <w:r w:rsidRPr="002F5ADE">
        <w:rPr>
          <w:rFonts w:eastAsia="標楷體"/>
          <w:sz w:val="24"/>
          <w:szCs w:val="24"/>
        </w:rPr>
        <w:t>epartment of Financial</w:t>
      </w:r>
      <w:r w:rsidRPr="002F5ADE">
        <w:rPr>
          <w:rFonts w:eastAsia="標楷體" w:hint="eastAsia"/>
          <w:sz w:val="24"/>
          <w:szCs w:val="24"/>
        </w:rPr>
        <w:t xml:space="preserve"> </w:t>
      </w:r>
      <w:r w:rsidRPr="002F5ADE">
        <w:rPr>
          <w:rFonts w:eastAsia="標楷體"/>
          <w:sz w:val="24"/>
          <w:szCs w:val="24"/>
        </w:rPr>
        <w:t>Inspection</w:t>
      </w:r>
      <w:r w:rsidRPr="002F5ADE">
        <w:rPr>
          <w:rFonts w:eastAsia="標楷體" w:hint="eastAsia"/>
          <w:sz w:val="24"/>
          <w:szCs w:val="24"/>
        </w:rPr>
        <w:t xml:space="preserve"> </w:t>
      </w:r>
    </w:p>
    <w:p w:rsidR="00363599" w:rsidRPr="002F5ADE" w:rsidRDefault="00363599" w:rsidP="00642463">
      <w:pPr>
        <w:pStyle w:val="31"/>
        <w:spacing w:line="440" w:lineRule="exact"/>
        <w:ind w:leftChars="200" w:left="400"/>
        <w:textDirection w:val="lrTbV"/>
        <w:rPr>
          <w:rFonts w:eastAsia="標楷體"/>
          <w:sz w:val="24"/>
          <w:szCs w:val="24"/>
        </w:rPr>
      </w:pPr>
      <w:proofErr w:type="spellStart"/>
      <w:r w:rsidRPr="002F5ADE">
        <w:rPr>
          <w:rFonts w:eastAsia="標楷體"/>
          <w:sz w:val="24"/>
          <w:szCs w:val="24"/>
        </w:rPr>
        <w:t>Tzong-</w:t>
      </w:r>
      <w:r w:rsidRPr="002F5ADE">
        <w:rPr>
          <w:rFonts w:eastAsia="標楷體" w:hint="eastAsia"/>
          <w:sz w:val="24"/>
          <w:szCs w:val="24"/>
        </w:rPr>
        <w:t>y</w:t>
      </w:r>
      <w:r w:rsidRPr="002F5ADE">
        <w:rPr>
          <w:rFonts w:eastAsia="標楷體"/>
          <w:sz w:val="24"/>
          <w:szCs w:val="24"/>
        </w:rPr>
        <w:t>au</w:t>
      </w:r>
      <w:proofErr w:type="spellEnd"/>
      <w:r w:rsidRPr="002F5ADE">
        <w:rPr>
          <w:rFonts w:eastAsia="標楷體"/>
          <w:sz w:val="24"/>
          <w:szCs w:val="24"/>
        </w:rPr>
        <w:t xml:space="preserve"> Lin</w:t>
      </w:r>
      <w:r w:rsidRPr="002F5ADE">
        <w:rPr>
          <w:rFonts w:eastAsia="標楷體" w:hint="eastAsia"/>
          <w:sz w:val="24"/>
          <w:szCs w:val="24"/>
        </w:rPr>
        <w:t>,</w:t>
      </w:r>
      <w:r w:rsidRPr="002F5ADE">
        <w:rPr>
          <w:rFonts w:eastAsia="標楷體"/>
          <w:sz w:val="24"/>
          <w:szCs w:val="24"/>
        </w:rPr>
        <w:t xml:space="preserve"> Director General</w:t>
      </w:r>
      <w:r w:rsidRPr="002F5ADE">
        <w:rPr>
          <w:rFonts w:eastAsia="標楷體" w:hint="eastAsia"/>
          <w:sz w:val="24"/>
          <w:szCs w:val="24"/>
        </w:rPr>
        <w:t xml:space="preserve">, </w:t>
      </w:r>
      <w:r w:rsidRPr="002F5ADE">
        <w:rPr>
          <w:rFonts w:eastAsia="標楷體"/>
          <w:sz w:val="24"/>
          <w:szCs w:val="24"/>
        </w:rPr>
        <w:t>Department of Economic Research</w:t>
      </w:r>
      <w:r w:rsidRPr="002F5ADE">
        <w:rPr>
          <w:rFonts w:eastAsia="標楷體" w:hint="eastAsia"/>
          <w:sz w:val="24"/>
          <w:szCs w:val="24"/>
        </w:rPr>
        <w:t xml:space="preserve"> </w:t>
      </w:r>
    </w:p>
    <w:p w:rsidR="00363599" w:rsidRPr="002F5ADE" w:rsidRDefault="00363599" w:rsidP="00642463">
      <w:pPr>
        <w:pStyle w:val="31"/>
        <w:spacing w:line="440" w:lineRule="exact"/>
        <w:ind w:leftChars="200" w:left="400"/>
        <w:textDirection w:val="lrTbV"/>
        <w:rPr>
          <w:rFonts w:eastAsia="標楷體"/>
          <w:sz w:val="24"/>
          <w:szCs w:val="24"/>
        </w:rPr>
      </w:pPr>
      <w:proofErr w:type="spellStart"/>
      <w:r w:rsidRPr="002F5ADE">
        <w:rPr>
          <w:rFonts w:eastAsia="標楷體"/>
          <w:sz w:val="24"/>
          <w:szCs w:val="24"/>
        </w:rPr>
        <w:t>Chien-</w:t>
      </w:r>
      <w:r w:rsidRPr="002F5ADE">
        <w:rPr>
          <w:rFonts w:eastAsia="標楷體" w:hint="eastAsia"/>
          <w:sz w:val="24"/>
          <w:szCs w:val="24"/>
        </w:rPr>
        <w:t>c</w:t>
      </w:r>
      <w:r w:rsidRPr="002F5ADE">
        <w:rPr>
          <w:rFonts w:eastAsia="標楷體"/>
          <w:sz w:val="24"/>
          <w:szCs w:val="24"/>
        </w:rPr>
        <w:t>hing</w:t>
      </w:r>
      <w:proofErr w:type="spellEnd"/>
      <w:r w:rsidRPr="002F5ADE">
        <w:rPr>
          <w:rFonts w:eastAsia="標楷體"/>
          <w:sz w:val="24"/>
          <w:szCs w:val="24"/>
        </w:rPr>
        <w:t xml:space="preserve"> Liang</w:t>
      </w:r>
      <w:r w:rsidRPr="002F5ADE">
        <w:rPr>
          <w:rFonts w:eastAsia="標楷體" w:hint="eastAsia"/>
          <w:sz w:val="24"/>
          <w:szCs w:val="24"/>
        </w:rPr>
        <w:t xml:space="preserve">, </w:t>
      </w:r>
      <w:r w:rsidRPr="002F5ADE">
        <w:rPr>
          <w:rFonts w:eastAsia="標楷體"/>
          <w:sz w:val="24"/>
          <w:szCs w:val="24"/>
        </w:rPr>
        <w:t>Director General</w:t>
      </w:r>
      <w:r w:rsidRPr="002F5ADE">
        <w:rPr>
          <w:rFonts w:eastAsia="標楷體" w:hint="eastAsia"/>
          <w:sz w:val="24"/>
          <w:szCs w:val="24"/>
        </w:rPr>
        <w:t>,</w:t>
      </w:r>
      <w:r w:rsidRPr="002F5ADE">
        <w:rPr>
          <w:rFonts w:eastAsia="標楷體"/>
          <w:sz w:val="24"/>
          <w:szCs w:val="24"/>
        </w:rPr>
        <w:t xml:space="preserve"> Secretariat</w:t>
      </w:r>
    </w:p>
    <w:p w:rsidR="00363599" w:rsidRPr="002F5ADE" w:rsidRDefault="00363599" w:rsidP="00642463">
      <w:pPr>
        <w:pStyle w:val="31"/>
        <w:spacing w:line="440" w:lineRule="exact"/>
        <w:ind w:leftChars="200" w:left="400"/>
        <w:textDirection w:val="lrTbV"/>
        <w:rPr>
          <w:rFonts w:eastAsia="標楷體"/>
          <w:sz w:val="24"/>
          <w:szCs w:val="24"/>
        </w:rPr>
      </w:pPr>
      <w:proofErr w:type="spellStart"/>
      <w:r w:rsidRPr="002F5ADE">
        <w:rPr>
          <w:rFonts w:eastAsia="標楷體"/>
          <w:sz w:val="24"/>
          <w:szCs w:val="24"/>
        </w:rPr>
        <w:t>Kuei-</w:t>
      </w:r>
      <w:r w:rsidRPr="002F5ADE">
        <w:rPr>
          <w:rFonts w:eastAsia="標楷體" w:hint="eastAsia"/>
          <w:sz w:val="24"/>
          <w:szCs w:val="24"/>
        </w:rPr>
        <w:t>c</w:t>
      </w:r>
      <w:r w:rsidRPr="002F5ADE">
        <w:rPr>
          <w:rFonts w:eastAsia="標楷體"/>
          <w:sz w:val="24"/>
          <w:szCs w:val="24"/>
        </w:rPr>
        <w:t>hou</w:t>
      </w:r>
      <w:proofErr w:type="spellEnd"/>
      <w:r w:rsidRPr="002F5ADE">
        <w:rPr>
          <w:rFonts w:eastAsia="標楷體"/>
          <w:sz w:val="24"/>
          <w:szCs w:val="24"/>
        </w:rPr>
        <w:t xml:space="preserve"> Huang</w:t>
      </w:r>
      <w:r w:rsidRPr="002F5ADE">
        <w:rPr>
          <w:rFonts w:eastAsia="標楷體" w:hint="eastAsia"/>
          <w:sz w:val="24"/>
          <w:szCs w:val="24"/>
        </w:rPr>
        <w:t xml:space="preserve">, </w:t>
      </w:r>
      <w:r w:rsidRPr="002F5ADE">
        <w:rPr>
          <w:rFonts w:eastAsia="標楷體"/>
          <w:sz w:val="24"/>
          <w:szCs w:val="24"/>
        </w:rPr>
        <w:t>Director General</w:t>
      </w:r>
      <w:r w:rsidRPr="002F5ADE">
        <w:rPr>
          <w:rFonts w:eastAsia="標楷體" w:hint="eastAsia"/>
          <w:sz w:val="24"/>
          <w:szCs w:val="24"/>
        </w:rPr>
        <w:t>,</w:t>
      </w:r>
      <w:r w:rsidRPr="002F5ADE">
        <w:rPr>
          <w:rFonts w:eastAsia="標楷體"/>
          <w:sz w:val="24"/>
          <w:szCs w:val="24"/>
        </w:rPr>
        <w:t xml:space="preserve"> Department of Accounting</w:t>
      </w:r>
    </w:p>
    <w:p w:rsidR="00363599" w:rsidRPr="002F5ADE" w:rsidRDefault="00363599" w:rsidP="00642463">
      <w:pPr>
        <w:pStyle w:val="31"/>
        <w:spacing w:line="440" w:lineRule="exact"/>
        <w:ind w:leftChars="200" w:left="400"/>
        <w:textDirection w:val="lrTbV"/>
        <w:rPr>
          <w:rFonts w:eastAsia="標楷體"/>
          <w:sz w:val="24"/>
          <w:szCs w:val="24"/>
        </w:rPr>
      </w:pPr>
      <w:proofErr w:type="spellStart"/>
      <w:r w:rsidRPr="002F5ADE">
        <w:rPr>
          <w:rFonts w:eastAsia="標楷體"/>
          <w:sz w:val="24"/>
          <w:szCs w:val="24"/>
        </w:rPr>
        <w:t>Jhih-</w:t>
      </w:r>
      <w:r w:rsidRPr="002F5ADE">
        <w:rPr>
          <w:rFonts w:eastAsia="標楷體" w:hint="eastAsia"/>
          <w:sz w:val="24"/>
          <w:szCs w:val="24"/>
        </w:rPr>
        <w:t>c</w:t>
      </w:r>
      <w:r w:rsidRPr="002F5ADE">
        <w:rPr>
          <w:rFonts w:eastAsia="標楷體"/>
          <w:sz w:val="24"/>
          <w:szCs w:val="24"/>
        </w:rPr>
        <w:t>heng</w:t>
      </w:r>
      <w:proofErr w:type="spellEnd"/>
      <w:r w:rsidRPr="002F5ADE">
        <w:rPr>
          <w:rFonts w:eastAsia="標楷體"/>
          <w:sz w:val="24"/>
          <w:szCs w:val="24"/>
        </w:rPr>
        <w:t xml:space="preserve"> Hong</w:t>
      </w:r>
      <w:r w:rsidRPr="002F5ADE">
        <w:rPr>
          <w:rFonts w:eastAsia="標楷體" w:hint="eastAsia"/>
          <w:sz w:val="24"/>
          <w:szCs w:val="24"/>
        </w:rPr>
        <w:t xml:space="preserve">, </w:t>
      </w:r>
      <w:r w:rsidRPr="002F5ADE">
        <w:rPr>
          <w:rFonts w:eastAsia="標楷體"/>
          <w:sz w:val="24"/>
          <w:szCs w:val="24"/>
        </w:rPr>
        <w:t>Director</w:t>
      </w:r>
      <w:r w:rsidRPr="002F5ADE">
        <w:rPr>
          <w:rFonts w:eastAsia="標楷體" w:hint="eastAsia"/>
          <w:sz w:val="24"/>
          <w:szCs w:val="24"/>
        </w:rPr>
        <w:t>,</w:t>
      </w:r>
      <w:r w:rsidRPr="002F5ADE">
        <w:rPr>
          <w:rFonts w:eastAsia="標楷體"/>
          <w:sz w:val="24"/>
          <w:szCs w:val="24"/>
        </w:rPr>
        <w:t xml:space="preserve"> Personnel Office</w:t>
      </w:r>
    </w:p>
    <w:p w:rsidR="00363599" w:rsidRPr="002F5ADE" w:rsidRDefault="00363599" w:rsidP="00642463">
      <w:pPr>
        <w:pStyle w:val="31"/>
        <w:spacing w:line="440" w:lineRule="exact"/>
        <w:ind w:leftChars="200" w:left="400"/>
        <w:textDirection w:val="lrTbV"/>
        <w:rPr>
          <w:rFonts w:eastAsia="標楷體"/>
          <w:sz w:val="24"/>
          <w:szCs w:val="24"/>
        </w:rPr>
      </w:pPr>
      <w:r w:rsidRPr="002F5ADE">
        <w:rPr>
          <w:rFonts w:eastAsia="標楷體"/>
          <w:sz w:val="24"/>
          <w:szCs w:val="24"/>
        </w:rPr>
        <w:t>Kun-</w:t>
      </w:r>
      <w:proofErr w:type="spellStart"/>
      <w:r w:rsidRPr="002F5ADE">
        <w:rPr>
          <w:rFonts w:eastAsia="標楷體" w:hint="eastAsia"/>
          <w:sz w:val="24"/>
          <w:szCs w:val="24"/>
        </w:rPr>
        <w:t>s</w:t>
      </w:r>
      <w:r w:rsidRPr="002F5ADE">
        <w:rPr>
          <w:rFonts w:eastAsia="標楷體"/>
          <w:sz w:val="24"/>
          <w:szCs w:val="24"/>
        </w:rPr>
        <w:t>han</w:t>
      </w:r>
      <w:proofErr w:type="spellEnd"/>
      <w:r w:rsidRPr="002F5ADE">
        <w:rPr>
          <w:rFonts w:eastAsia="標楷體"/>
          <w:sz w:val="24"/>
          <w:szCs w:val="24"/>
        </w:rPr>
        <w:t xml:space="preserve"> Wu</w:t>
      </w:r>
      <w:r w:rsidRPr="002F5ADE">
        <w:rPr>
          <w:rFonts w:eastAsia="標楷體" w:hint="eastAsia"/>
          <w:sz w:val="24"/>
          <w:szCs w:val="24"/>
        </w:rPr>
        <w:t>,</w:t>
      </w:r>
      <w:r w:rsidRPr="002F5ADE">
        <w:rPr>
          <w:rFonts w:eastAsia="標楷體"/>
          <w:sz w:val="24"/>
          <w:szCs w:val="24"/>
        </w:rPr>
        <w:t xml:space="preserve"> Director</w:t>
      </w:r>
      <w:r w:rsidRPr="002F5ADE">
        <w:rPr>
          <w:rFonts w:eastAsia="標楷體" w:hint="eastAsia"/>
          <w:sz w:val="24"/>
          <w:szCs w:val="24"/>
        </w:rPr>
        <w:t>,</w:t>
      </w:r>
      <w:r w:rsidRPr="002F5ADE">
        <w:rPr>
          <w:rFonts w:eastAsia="標楷體"/>
          <w:sz w:val="24"/>
          <w:szCs w:val="24"/>
        </w:rPr>
        <w:t xml:space="preserve"> Legal Affairs Office </w:t>
      </w:r>
    </w:p>
    <w:p w:rsidR="00363599" w:rsidRPr="002F5ADE" w:rsidRDefault="00363599" w:rsidP="00642463">
      <w:pPr>
        <w:pStyle w:val="31"/>
        <w:spacing w:line="440" w:lineRule="exact"/>
        <w:ind w:leftChars="200" w:left="400"/>
        <w:textDirection w:val="lrTbV"/>
        <w:rPr>
          <w:rFonts w:eastAsia="標楷體"/>
          <w:sz w:val="24"/>
          <w:szCs w:val="24"/>
        </w:rPr>
      </w:pPr>
      <w:proofErr w:type="spellStart"/>
      <w:r w:rsidRPr="002F5ADE">
        <w:rPr>
          <w:rFonts w:eastAsia="標楷體" w:hint="eastAsia"/>
          <w:sz w:val="24"/>
          <w:szCs w:val="24"/>
        </w:rPr>
        <w:t>Chih-cheng</w:t>
      </w:r>
      <w:proofErr w:type="spellEnd"/>
      <w:r w:rsidRPr="002F5ADE">
        <w:rPr>
          <w:rFonts w:eastAsia="標楷體" w:hint="eastAsia"/>
          <w:sz w:val="24"/>
          <w:szCs w:val="24"/>
        </w:rPr>
        <w:t xml:space="preserve"> Hu, Secretary, Board of Directors</w:t>
      </w:r>
    </w:p>
    <w:p w:rsidR="00EB5061" w:rsidRPr="002F5ADE" w:rsidRDefault="00EB5061" w:rsidP="00EB5061">
      <w:pPr>
        <w:pStyle w:val="31"/>
        <w:spacing w:line="440" w:lineRule="exact"/>
        <w:ind w:leftChars="200" w:left="400"/>
        <w:textDirection w:val="lrTbV"/>
        <w:rPr>
          <w:rFonts w:eastAsia="標楷體"/>
          <w:sz w:val="24"/>
          <w:szCs w:val="24"/>
        </w:rPr>
      </w:pPr>
      <w:r w:rsidRPr="002F5ADE">
        <w:rPr>
          <w:rFonts w:eastAsia="標楷體" w:hint="eastAsia"/>
          <w:sz w:val="24"/>
          <w:szCs w:val="24"/>
        </w:rPr>
        <w:t>Yu-</w:t>
      </w:r>
      <w:proofErr w:type="spellStart"/>
      <w:r w:rsidRPr="002F5ADE">
        <w:rPr>
          <w:rFonts w:eastAsia="標楷體" w:hint="eastAsia"/>
          <w:sz w:val="24"/>
          <w:szCs w:val="24"/>
        </w:rPr>
        <w:t>min</w:t>
      </w:r>
      <w:r w:rsidR="0017066F" w:rsidRPr="002F5ADE">
        <w:rPr>
          <w:rFonts w:eastAsia="標楷體" w:hint="eastAsia"/>
          <w:sz w:val="24"/>
          <w:szCs w:val="24"/>
        </w:rPr>
        <w:t>g</w:t>
      </w:r>
      <w:proofErr w:type="spellEnd"/>
      <w:r w:rsidRPr="002F5ADE">
        <w:rPr>
          <w:rFonts w:eastAsia="標楷體" w:hint="eastAsia"/>
          <w:sz w:val="24"/>
          <w:szCs w:val="24"/>
        </w:rPr>
        <w:t xml:space="preserve"> Chang, Secretary, Board of Supervisors</w:t>
      </w:r>
    </w:p>
    <w:p w:rsidR="005E27CD" w:rsidRPr="007F6F77" w:rsidRDefault="00363599" w:rsidP="007A2BCD">
      <w:pPr>
        <w:spacing w:beforeLines="50" w:before="120" w:line="440" w:lineRule="exact"/>
        <w:textDirection w:val="lrTbV"/>
        <w:rPr>
          <w:rFonts w:eastAsia="標楷體"/>
          <w:sz w:val="32"/>
          <w:szCs w:val="32"/>
        </w:rPr>
      </w:pPr>
      <w:r w:rsidRPr="002F5ADE">
        <w:rPr>
          <w:rFonts w:eastAsia="標楷體" w:hint="eastAsia"/>
          <w:b/>
          <w:sz w:val="24"/>
          <w:szCs w:val="24"/>
        </w:rPr>
        <w:t>Presiding:</w:t>
      </w:r>
      <w:r w:rsidRPr="002F5ADE">
        <w:rPr>
          <w:rFonts w:eastAsia="標楷體" w:hint="eastAsia"/>
          <w:sz w:val="24"/>
          <w:szCs w:val="24"/>
        </w:rPr>
        <w:t xml:space="preserve"> </w:t>
      </w:r>
      <w:r w:rsidR="00642463" w:rsidRPr="002F5ADE">
        <w:rPr>
          <w:rFonts w:eastAsia="標楷體"/>
          <w:sz w:val="24"/>
          <w:szCs w:val="24"/>
        </w:rPr>
        <w:t>Chin-long Yang</w:t>
      </w:r>
      <w:r w:rsidRPr="002F5ADE">
        <w:rPr>
          <w:rFonts w:eastAsia="標楷體" w:hint="eastAsia"/>
          <w:sz w:val="24"/>
          <w:szCs w:val="24"/>
        </w:rPr>
        <w:t xml:space="preserve">　　　　</w:t>
      </w:r>
      <w:r w:rsidR="005E27CD" w:rsidRPr="007F6F77">
        <w:rPr>
          <w:rFonts w:eastAsia="標楷體"/>
          <w:sz w:val="32"/>
          <w:szCs w:val="32"/>
        </w:rPr>
        <w:br w:type="page"/>
      </w:r>
    </w:p>
    <w:p w:rsidR="00BC300B" w:rsidRDefault="00BC300B" w:rsidP="00BC300B">
      <w:pPr>
        <w:adjustRightInd/>
        <w:snapToGrid w:val="0"/>
        <w:spacing w:before="240" w:line="520" w:lineRule="exact"/>
        <w:jc w:val="both"/>
        <w:textDirection w:val="lrTbV"/>
        <w:rPr>
          <w:rFonts w:eastAsia="標楷體"/>
          <w:b/>
          <w:sz w:val="28"/>
          <w:szCs w:val="28"/>
        </w:rPr>
      </w:pPr>
      <w:r>
        <w:rPr>
          <w:rFonts w:eastAsia="標楷體" w:hint="eastAsia"/>
          <w:b/>
          <w:sz w:val="28"/>
          <w:szCs w:val="28"/>
        </w:rPr>
        <w:lastRenderedPageBreak/>
        <w:t>Agenda Item</w:t>
      </w:r>
      <w:r w:rsidRPr="00EB1763">
        <w:rPr>
          <w:rFonts w:eastAsia="標楷體" w:hint="eastAsia"/>
          <w:b/>
          <w:sz w:val="28"/>
          <w:szCs w:val="28"/>
        </w:rPr>
        <w:t xml:space="preserve">: </w:t>
      </w:r>
      <w:r w:rsidRPr="00EB1763">
        <w:rPr>
          <w:rFonts w:eastAsia="標楷體"/>
          <w:b/>
          <w:sz w:val="28"/>
          <w:szCs w:val="28"/>
        </w:rPr>
        <w:t xml:space="preserve">Economic </w:t>
      </w:r>
      <w:r w:rsidRPr="00EB1763">
        <w:rPr>
          <w:rFonts w:eastAsia="標楷體" w:hint="eastAsia"/>
          <w:b/>
          <w:sz w:val="28"/>
          <w:szCs w:val="28"/>
        </w:rPr>
        <w:t>and Financial Conditions and Monetary Policy</w:t>
      </w:r>
      <w:r>
        <w:rPr>
          <w:rFonts w:eastAsia="標楷體" w:hint="eastAsia"/>
          <w:b/>
          <w:sz w:val="28"/>
          <w:szCs w:val="28"/>
        </w:rPr>
        <w:t xml:space="preserve"> Decision</w:t>
      </w:r>
    </w:p>
    <w:p w:rsidR="002570BA" w:rsidRPr="007F6F77" w:rsidRDefault="00EB1763" w:rsidP="00BC300B">
      <w:pPr>
        <w:adjustRightInd/>
        <w:snapToGrid w:val="0"/>
        <w:spacing w:before="240" w:line="520" w:lineRule="exact"/>
        <w:jc w:val="both"/>
        <w:textDirection w:val="lrTbV"/>
        <w:rPr>
          <w:rFonts w:eastAsia="標楷體"/>
          <w:b/>
          <w:sz w:val="28"/>
          <w:szCs w:val="28"/>
        </w:rPr>
      </w:pPr>
      <w:r w:rsidRPr="007F6F77">
        <w:rPr>
          <w:rFonts w:eastAsia="標楷體" w:hint="eastAsia"/>
          <w:b/>
          <w:sz w:val="28"/>
          <w:szCs w:val="28"/>
        </w:rPr>
        <w:t xml:space="preserve">I. </w:t>
      </w:r>
      <w:r w:rsidR="00653A10" w:rsidRPr="007F6F77">
        <w:rPr>
          <w:rFonts w:eastAsia="標楷體" w:hint="eastAsia"/>
          <w:b/>
          <w:sz w:val="28"/>
          <w:szCs w:val="28"/>
        </w:rPr>
        <w:t xml:space="preserve">Review of </w:t>
      </w:r>
      <w:r w:rsidR="008F7E41" w:rsidRPr="007F6F77">
        <w:rPr>
          <w:rFonts w:eastAsia="標楷體"/>
          <w:b/>
          <w:sz w:val="28"/>
          <w:szCs w:val="28"/>
        </w:rPr>
        <w:t xml:space="preserve">economic </w:t>
      </w:r>
      <w:r w:rsidR="002570BA" w:rsidRPr="007F6F77">
        <w:rPr>
          <w:rFonts w:eastAsia="標楷體" w:hint="eastAsia"/>
          <w:b/>
          <w:sz w:val="28"/>
          <w:szCs w:val="28"/>
        </w:rPr>
        <w:t>a</w:t>
      </w:r>
      <w:r w:rsidR="008F7E41" w:rsidRPr="007F6F77">
        <w:rPr>
          <w:rFonts w:eastAsia="標楷體"/>
          <w:b/>
          <w:sz w:val="28"/>
          <w:szCs w:val="28"/>
        </w:rPr>
        <w:t xml:space="preserve">nd financial conditions </w:t>
      </w:r>
    </w:p>
    <w:p w:rsidR="00EB1763" w:rsidRPr="007F6F77" w:rsidRDefault="0043506F" w:rsidP="00FA173A">
      <w:pPr>
        <w:adjustRightInd/>
        <w:snapToGrid w:val="0"/>
        <w:spacing w:before="120" w:line="440" w:lineRule="exact"/>
        <w:jc w:val="both"/>
        <w:textDirection w:val="lrTbV"/>
        <w:rPr>
          <w:rFonts w:eastAsia="標楷體"/>
          <w:sz w:val="24"/>
          <w:szCs w:val="28"/>
        </w:rPr>
      </w:pPr>
      <w:r w:rsidRPr="007F6F77">
        <w:rPr>
          <w:rFonts w:eastAsia="標楷體" w:hint="eastAsia"/>
          <w:sz w:val="24"/>
          <w:szCs w:val="28"/>
        </w:rPr>
        <w:t xml:space="preserve">The </w:t>
      </w:r>
      <w:r w:rsidR="00EB1763" w:rsidRPr="007F6F77">
        <w:rPr>
          <w:rFonts w:eastAsia="標楷體" w:hint="eastAsia"/>
          <w:sz w:val="24"/>
          <w:szCs w:val="28"/>
        </w:rPr>
        <w:t xml:space="preserve">Department of Economic Research </w:t>
      </w:r>
      <w:r w:rsidR="00653A10" w:rsidRPr="007F6F77">
        <w:rPr>
          <w:rFonts w:eastAsia="標楷體" w:hint="eastAsia"/>
          <w:sz w:val="24"/>
          <w:szCs w:val="28"/>
        </w:rPr>
        <w:t xml:space="preserve">presented </w:t>
      </w:r>
      <w:r w:rsidRPr="007F6F77">
        <w:rPr>
          <w:rFonts w:eastAsia="標楷體" w:hint="eastAsia"/>
          <w:sz w:val="24"/>
          <w:szCs w:val="28"/>
        </w:rPr>
        <w:t>the following review</w:t>
      </w:r>
      <w:r w:rsidR="00C10EB4">
        <w:rPr>
          <w:rFonts w:eastAsia="標楷體" w:hint="eastAsia"/>
          <w:sz w:val="24"/>
          <w:szCs w:val="28"/>
        </w:rPr>
        <w:t>.</w:t>
      </w:r>
      <w:r w:rsidRPr="007F6F77">
        <w:rPr>
          <w:rFonts w:eastAsia="標楷體" w:hint="eastAsia"/>
          <w:sz w:val="24"/>
          <w:szCs w:val="28"/>
        </w:rPr>
        <w:t xml:space="preserve"> </w:t>
      </w:r>
    </w:p>
    <w:p w:rsidR="00EB1763" w:rsidRPr="007F6F77" w:rsidRDefault="00EB1763" w:rsidP="00FA173A">
      <w:pPr>
        <w:numPr>
          <w:ilvl w:val="0"/>
          <w:numId w:val="30"/>
        </w:numPr>
        <w:overflowPunct w:val="0"/>
        <w:autoSpaceDE w:val="0"/>
        <w:autoSpaceDN w:val="0"/>
        <w:snapToGrid w:val="0"/>
        <w:spacing w:before="120" w:line="440" w:lineRule="exact"/>
        <w:ind w:left="426" w:hanging="426"/>
        <w:jc w:val="both"/>
        <w:rPr>
          <w:rFonts w:eastAsia="標楷體"/>
          <w:b/>
          <w:spacing w:val="-2"/>
          <w:sz w:val="24"/>
          <w:szCs w:val="28"/>
        </w:rPr>
      </w:pPr>
      <w:r w:rsidRPr="007F6F77">
        <w:rPr>
          <w:rFonts w:eastAsia="標楷體" w:hint="eastAsia"/>
          <w:b/>
          <w:spacing w:val="-2"/>
          <w:sz w:val="24"/>
          <w:szCs w:val="28"/>
        </w:rPr>
        <w:t xml:space="preserve">International </w:t>
      </w:r>
      <w:r w:rsidRPr="007F6F77">
        <w:rPr>
          <w:rFonts w:eastAsia="標楷體"/>
          <w:b/>
          <w:spacing w:val="-2"/>
          <w:sz w:val="24"/>
          <w:szCs w:val="28"/>
        </w:rPr>
        <w:t xml:space="preserve">Economic </w:t>
      </w:r>
      <w:r w:rsidRPr="007F6F77">
        <w:rPr>
          <w:rFonts w:eastAsia="標楷體" w:hint="eastAsia"/>
          <w:b/>
          <w:spacing w:val="-2"/>
          <w:sz w:val="24"/>
          <w:szCs w:val="28"/>
        </w:rPr>
        <w:t>a</w:t>
      </w:r>
      <w:r w:rsidRPr="007F6F77">
        <w:rPr>
          <w:rFonts w:eastAsia="標楷體"/>
          <w:b/>
          <w:spacing w:val="-2"/>
          <w:sz w:val="24"/>
          <w:szCs w:val="28"/>
        </w:rPr>
        <w:t>nd Financial Conditions</w:t>
      </w:r>
    </w:p>
    <w:p w:rsidR="003C0E64" w:rsidRDefault="00C33978" w:rsidP="00D4404E">
      <w:pPr>
        <w:pStyle w:val="6"/>
        <w:overflowPunct w:val="0"/>
        <w:snapToGrid w:val="0"/>
        <w:spacing w:after="0" w:line="440" w:lineRule="exact"/>
        <w:ind w:left="0" w:firstLineChars="200" w:firstLine="480"/>
        <w:rPr>
          <w:rFonts w:ascii="Times New Roman" w:eastAsia="標楷體"/>
          <w:spacing w:val="0"/>
          <w:sz w:val="24"/>
          <w:szCs w:val="24"/>
        </w:rPr>
      </w:pPr>
      <w:r w:rsidRPr="003C0E64">
        <w:rPr>
          <w:rFonts w:ascii="Times New Roman" w:eastAsia="標楷體" w:hint="eastAsia"/>
          <w:spacing w:val="0"/>
          <w:sz w:val="24"/>
          <w:szCs w:val="24"/>
        </w:rPr>
        <w:t xml:space="preserve">Since the Board last convened </w:t>
      </w:r>
      <w:r w:rsidR="00363699" w:rsidRPr="003C0E64">
        <w:rPr>
          <w:rFonts w:ascii="Times New Roman" w:eastAsia="標楷體" w:hint="eastAsia"/>
          <w:spacing w:val="0"/>
          <w:sz w:val="24"/>
          <w:szCs w:val="24"/>
        </w:rPr>
        <w:t xml:space="preserve">in </w:t>
      </w:r>
      <w:r w:rsidR="003C0E64" w:rsidRPr="003C0E64">
        <w:rPr>
          <w:rFonts w:ascii="Times New Roman" w:eastAsia="標楷體" w:hint="eastAsia"/>
          <w:spacing w:val="0"/>
          <w:sz w:val="24"/>
          <w:szCs w:val="24"/>
        </w:rPr>
        <w:t>June</w:t>
      </w:r>
      <w:r w:rsidRPr="003C0E64">
        <w:rPr>
          <w:rFonts w:ascii="Times New Roman" w:eastAsia="標楷體" w:hint="eastAsia"/>
          <w:spacing w:val="0"/>
          <w:sz w:val="24"/>
          <w:szCs w:val="24"/>
        </w:rPr>
        <w:t xml:space="preserve"> 201</w:t>
      </w:r>
      <w:r w:rsidR="006E57D4" w:rsidRPr="003C0E64">
        <w:rPr>
          <w:rFonts w:ascii="Times New Roman" w:eastAsia="標楷體" w:hint="eastAsia"/>
          <w:spacing w:val="0"/>
          <w:sz w:val="24"/>
          <w:szCs w:val="24"/>
        </w:rPr>
        <w:t>9</w:t>
      </w:r>
      <w:r w:rsidRPr="003C0E64">
        <w:rPr>
          <w:rFonts w:ascii="Times New Roman" w:eastAsia="標楷體" w:hint="eastAsia"/>
          <w:spacing w:val="0"/>
          <w:sz w:val="24"/>
          <w:szCs w:val="24"/>
        </w:rPr>
        <w:t xml:space="preserve">, </w:t>
      </w:r>
      <w:r w:rsidR="003C0E64">
        <w:rPr>
          <w:rFonts w:ascii="Times New Roman" w:eastAsia="標楷體" w:hint="eastAsia"/>
          <w:spacing w:val="0"/>
          <w:sz w:val="24"/>
          <w:szCs w:val="24"/>
        </w:rPr>
        <w:t>the global economy had witnessed a downturn owing to economic and trade uncertainties across the world</w:t>
      </w:r>
      <w:r w:rsidR="0059107B">
        <w:rPr>
          <w:rFonts w:ascii="Times New Roman" w:eastAsia="標楷體" w:hint="eastAsia"/>
          <w:spacing w:val="0"/>
          <w:sz w:val="24"/>
          <w:szCs w:val="24"/>
        </w:rPr>
        <w:t xml:space="preserve"> </w:t>
      </w:r>
      <w:r w:rsidR="0059107B">
        <w:rPr>
          <w:rFonts w:ascii="Times New Roman" w:eastAsia="標楷體"/>
          <w:spacing w:val="0"/>
          <w:sz w:val="24"/>
          <w:szCs w:val="24"/>
        </w:rPr>
        <w:t>–</w:t>
      </w:r>
      <w:r w:rsidR="0059107B">
        <w:rPr>
          <w:rFonts w:ascii="Times New Roman" w:eastAsia="標楷體" w:hint="eastAsia"/>
          <w:spacing w:val="0"/>
          <w:sz w:val="24"/>
          <w:szCs w:val="24"/>
        </w:rPr>
        <w:t xml:space="preserve"> including </w:t>
      </w:r>
      <w:r w:rsidR="003C0E64">
        <w:rPr>
          <w:rFonts w:ascii="Times New Roman" w:eastAsia="標楷體" w:hint="eastAsia"/>
          <w:spacing w:val="0"/>
          <w:sz w:val="24"/>
          <w:szCs w:val="24"/>
        </w:rPr>
        <w:t xml:space="preserve">the ongoing US-China trade conflicts, </w:t>
      </w:r>
      <w:proofErr w:type="gramStart"/>
      <w:r w:rsidR="0059107B">
        <w:rPr>
          <w:rFonts w:ascii="Times New Roman" w:eastAsia="標楷體" w:hint="eastAsia"/>
          <w:spacing w:val="0"/>
          <w:sz w:val="24"/>
          <w:szCs w:val="24"/>
        </w:rPr>
        <w:t>rising</w:t>
      </w:r>
      <w:proofErr w:type="gramEnd"/>
      <w:r w:rsidR="0059107B">
        <w:rPr>
          <w:rFonts w:ascii="Times New Roman" w:eastAsia="標楷體" w:hint="eastAsia"/>
          <w:spacing w:val="0"/>
          <w:sz w:val="24"/>
          <w:szCs w:val="24"/>
        </w:rPr>
        <w:t xml:space="preserve"> </w:t>
      </w:r>
      <w:r w:rsidR="003C0E64">
        <w:rPr>
          <w:rFonts w:ascii="Times New Roman" w:eastAsia="標楷體" w:hint="eastAsia"/>
          <w:spacing w:val="0"/>
          <w:sz w:val="24"/>
          <w:szCs w:val="24"/>
        </w:rPr>
        <w:t xml:space="preserve">economic and </w:t>
      </w:r>
      <w:r w:rsidR="003C0E64">
        <w:rPr>
          <w:rFonts w:ascii="Times New Roman" w:eastAsia="標楷體"/>
          <w:spacing w:val="0"/>
          <w:sz w:val="24"/>
          <w:szCs w:val="24"/>
        </w:rPr>
        <w:t>financial</w:t>
      </w:r>
      <w:r w:rsidR="003C0E64">
        <w:rPr>
          <w:rFonts w:ascii="Times New Roman" w:eastAsia="標楷體" w:hint="eastAsia"/>
          <w:spacing w:val="0"/>
          <w:sz w:val="24"/>
          <w:szCs w:val="24"/>
        </w:rPr>
        <w:t xml:space="preserve"> risks in China, the Brexit stalemate, and geopolitical tensions</w:t>
      </w:r>
      <w:r w:rsidR="0059107B">
        <w:rPr>
          <w:rFonts w:ascii="Times New Roman" w:eastAsia="標楷體" w:hint="eastAsia"/>
          <w:spacing w:val="0"/>
          <w:sz w:val="24"/>
          <w:szCs w:val="24"/>
        </w:rPr>
        <w:t xml:space="preserve"> </w:t>
      </w:r>
      <w:r w:rsidR="0059107B">
        <w:rPr>
          <w:rFonts w:ascii="Times New Roman" w:eastAsia="標楷體"/>
          <w:spacing w:val="0"/>
          <w:sz w:val="24"/>
          <w:szCs w:val="24"/>
        </w:rPr>
        <w:t>–</w:t>
      </w:r>
      <w:r w:rsidR="0059107B">
        <w:rPr>
          <w:rFonts w:ascii="Times New Roman" w:eastAsia="標楷體" w:hint="eastAsia"/>
          <w:spacing w:val="0"/>
          <w:sz w:val="24"/>
          <w:szCs w:val="24"/>
        </w:rPr>
        <w:t xml:space="preserve"> </w:t>
      </w:r>
      <w:r w:rsidR="003C0E64">
        <w:rPr>
          <w:rFonts w:ascii="Times New Roman" w:eastAsia="標楷體" w:hint="eastAsia"/>
          <w:spacing w:val="0"/>
          <w:sz w:val="24"/>
          <w:szCs w:val="24"/>
        </w:rPr>
        <w:t xml:space="preserve">and a weak manufacturing outlook in major economies. </w:t>
      </w:r>
    </w:p>
    <w:p w:rsidR="003C0E64" w:rsidRDefault="003C0E64" w:rsidP="003C0E64">
      <w:pPr>
        <w:pStyle w:val="6"/>
        <w:overflowPunct w:val="0"/>
        <w:snapToGrid w:val="0"/>
        <w:spacing w:after="0" w:line="440" w:lineRule="exact"/>
        <w:ind w:left="0" w:firstLineChars="200" w:firstLine="480"/>
        <w:rPr>
          <w:rFonts w:ascii="Times New Roman" w:eastAsia="標楷體"/>
          <w:spacing w:val="0"/>
          <w:sz w:val="24"/>
          <w:szCs w:val="24"/>
        </w:rPr>
      </w:pPr>
      <w:r w:rsidRPr="003C0E64">
        <w:rPr>
          <w:rFonts w:ascii="Times New Roman" w:eastAsia="標楷體"/>
          <w:spacing w:val="0"/>
          <w:sz w:val="24"/>
          <w:szCs w:val="24"/>
        </w:rPr>
        <w:t>I</w:t>
      </w:r>
      <w:r w:rsidRPr="003C0E64">
        <w:rPr>
          <w:rFonts w:ascii="Times New Roman" w:eastAsia="標楷體" w:hint="eastAsia"/>
          <w:spacing w:val="0"/>
          <w:sz w:val="24"/>
          <w:szCs w:val="24"/>
        </w:rPr>
        <w:t>nternational institutions forecasted that</w:t>
      </w:r>
      <w:r w:rsidR="00FF7822">
        <w:rPr>
          <w:rFonts w:ascii="Times New Roman" w:eastAsia="標楷體" w:hint="eastAsia"/>
          <w:spacing w:val="0"/>
          <w:sz w:val="24"/>
          <w:szCs w:val="24"/>
        </w:rPr>
        <w:t xml:space="preserve">, compared to last year, </w:t>
      </w:r>
      <w:r w:rsidRPr="003C0E64">
        <w:rPr>
          <w:rFonts w:ascii="Times New Roman" w:eastAsia="標楷體" w:hint="eastAsia"/>
          <w:spacing w:val="0"/>
          <w:sz w:val="24"/>
          <w:szCs w:val="24"/>
        </w:rPr>
        <w:t>global economic growth would be slower</w:t>
      </w:r>
      <w:r w:rsidR="00FF7822">
        <w:rPr>
          <w:rFonts w:ascii="Times New Roman" w:eastAsia="標楷體" w:hint="eastAsia"/>
          <w:spacing w:val="0"/>
          <w:sz w:val="24"/>
          <w:szCs w:val="24"/>
        </w:rPr>
        <w:t xml:space="preserve"> both this year and next</w:t>
      </w:r>
      <w:r w:rsidRPr="003C0E64">
        <w:rPr>
          <w:rFonts w:ascii="Times New Roman" w:eastAsia="標楷體" w:hint="eastAsia"/>
          <w:spacing w:val="0"/>
          <w:sz w:val="24"/>
          <w:szCs w:val="24"/>
        </w:rPr>
        <w:t xml:space="preserve">. </w:t>
      </w:r>
      <w:r w:rsidR="004919A2">
        <w:rPr>
          <w:rFonts w:ascii="Times New Roman" w:eastAsia="標楷體" w:hint="eastAsia"/>
          <w:spacing w:val="0"/>
          <w:sz w:val="24"/>
          <w:szCs w:val="24"/>
        </w:rPr>
        <w:t xml:space="preserve">For this year as a whole, it was expected that major economies would </w:t>
      </w:r>
      <w:r w:rsidR="00B01925">
        <w:rPr>
          <w:rFonts w:ascii="Times New Roman" w:eastAsia="標楷體" w:hint="eastAsia"/>
          <w:spacing w:val="0"/>
          <w:sz w:val="24"/>
          <w:szCs w:val="24"/>
        </w:rPr>
        <w:t>lose some</w:t>
      </w:r>
      <w:r w:rsidR="004919A2">
        <w:rPr>
          <w:rFonts w:ascii="Times New Roman" w:eastAsia="標楷體" w:hint="eastAsia"/>
          <w:spacing w:val="0"/>
          <w:sz w:val="24"/>
          <w:szCs w:val="24"/>
        </w:rPr>
        <w:t xml:space="preserve"> momentum while emerging market economies would also be affected as a result. For the year of 2020, economic growth projections were mixed, but the US, the euro area, and China were all expected to see economic growth running lower than this year.</w:t>
      </w:r>
      <w:r w:rsidR="00812E77">
        <w:rPr>
          <w:rFonts w:ascii="Times New Roman" w:eastAsia="標楷體" w:hint="eastAsia"/>
          <w:spacing w:val="0"/>
          <w:sz w:val="24"/>
          <w:szCs w:val="24"/>
        </w:rPr>
        <w:t xml:space="preserve"> As trade disputes remained unabated around the world, </w:t>
      </w:r>
      <w:r w:rsidR="00812E77">
        <w:rPr>
          <w:rFonts w:ascii="Times New Roman" w:eastAsia="標楷體"/>
          <w:spacing w:val="0"/>
          <w:sz w:val="24"/>
          <w:szCs w:val="24"/>
        </w:rPr>
        <w:t>international</w:t>
      </w:r>
      <w:r w:rsidR="00812E77">
        <w:rPr>
          <w:rFonts w:ascii="Times New Roman" w:eastAsia="標楷體" w:hint="eastAsia"/>
          <w:spacing w:val="0"/>
          <w:sz w:val="24"/>
          <w:szCs w:val="24"/>
        </w:rPr>
        <w:t xml:space="preserve"> institutions expected </w:t>
      </w:r>
      <w:r w:rsidR="00DB769C">
        <w:rPr>
          <w:rFonts w:ascii="Times New Roman" w:eastAsia="標楷體" w:hint="eastAsia"/>
          <w:spacing w:val="0"/>
          <w:sz w:val="24"/>
          <w:szCs w:val="24"/>
        </w:rPr>
        <w:t xml:space="preserve">subdued growth in world trade and </w:t>
      </w:r>
      <w:r w:rsidR="008A3707">
        <w:rPr>
          <w:rFonts w:ascii="Times New Roman" w:eastAsia="標楷體" w:hint="eastAsia"/>
          <w:spacing w:val="0"/>
          <w:sz w:val="24"/>
          <w:szCs w:val="24"/>
        </w:rPr>
        <w:t>downgraded</w:t>
      </w:r>
      <w:r w:rsidR="00812E77">
        <w:rPr>
          <w:rFonts w:ascii="Times New Roman" w:eastAsia="標楷體" w:hint="eastAsia"/>
          <w:spacing w:val="0"/>
          <w:sz w:val="24"/>
          <w:szCs w:val="24"/>
        </w:rPr>
        <w:t xml:space="preserve"> the</w:t>
      </w:r>
      <w:r w:rsidR="008A3707">
        <w:rPr>
          <w:rFonts w:ascii="Times New Roman" w:eastAsia="標楷體" w:hint="eastAsia"/>
          <w:spacing w:val="0"/>
          <w:sz w:val="24"/>
          <w:szCs w:val="24"/>
        </w:rPr>
        <w:t>ir</w:t>
      </w:r>
      <w:r w:rsidR="00812E77">
        <w:rPr>
          <w:rFonts w:ascii="Times New Roman" w:eastAsia="標楷體" w:hint="eastAsia"/>
          <w:spacing w:val="0"/>
          <w:sz w:val="24"/>
          <w:szCs w:val="24"/>
        </w:rPr>
        <w:t xml:space="preserve"> 2019 and 2020 world trade volume forecasts. </w:t>
      </w:r>
    </w:p>
    <w:p w:rsidR="00DB769C" w:rsidRDefault="00DB769C" w:rsidP="00DB769C">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With respect to international prices, oil prices were expected to trend lower this and next year compare</w:t>
      </w:r>
      <w:r w:rsidR="00815708">
        <w:rPr>
          <w:rFonts w:ascii="Times New Roman" w:eastAsia="標楷體" w:hint="eastAsia"/>
          <w:spacing w:val="0"/>
          <w:sz w:val="24"/>
          <w:szCs w:val="24"/>
        </w:rPr>
        <w:t>d</w:t>
      </w:r>
      <w:r>
        <w:rPr>
          <w:rFonts w:ascii="Times New Roman" w:eastAsia="標楷體" w:hint="eastAsia"/>
          <w:spacing w:val="0"/>
          <w:sz w:val="24"/>
          <w:szCs w:val="24"/>
        </w:rPr>
        <w:t xml:space="preserve"> to last year on account of elevated US crude oil output and further weakening in demand amid a murky global economic outlook. Global grains prices dropped on the back of improving weather conditions. In all, subdued international raw material prices and a slowing global </w:t>
      </w:r>
      <w:r>
        <w:rPr>
          <w:rFonts w:ascii="Times New Roman" w:eastAsia="標楷體"/>
          <w:spacing w:val="0"/>
          <w:sz w:val="24"/>
          <w:szCs w:val="24"/>
        </w:rPr>
        <w:t>economy</w:t>
      </w:r>
      <w:r>
        <w:rPr>
          <w:rFonts w:ascii="Times New Roman" w:eastAsia="標楷體" w:hint="eastAsia"/>
          <w:spacing w:val="0"/>
          <w:sz w:val="24"/>
          <w:szCs w:val="24"/>
        </w:rPr>
        <w:t xml:space="preserve"> led </w:t>
      </w:r>
      <w:r>
        <w:rPr>
          <w:rFonts w:ascii="Times New Roman" w:eastAsia="標楷體"/>
          <w:spacing w:val="0"/>
          <w:sz w:val="24"/>
          <w:szCs w:val="24"/>
        </w:rPr>
        <w:t>international</w:t>
      </w:r>
      <w:r>
        <w:rPr>
          <w:rFonts w:ascii="Times New Roman" w:eastAsia="標楷體" w:hint="eastAsia"/>
          <w:spacing w:val="0"/>
          <w:sz w:val="24"/>
          <w:szCs w:val="24"/>
        </w:rPr>
        <w:t xml:space="preserve"> institutions to forecast that inflation rates in 2019 and 2020 would both run below the levels of 2018. </w:t>
      </w:r>
    </w:p>
    <w:p w:rsidR="00DB769C" w:rsidRDefault="00DB769C" w:rsidP="00DB769C">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In regard to monetary policy developments, major economies including the US, the euro area, and China had eased their policy stance</w:t>
      </w:r>
      <w:r w:rsidR="000A73D1">
        <w:rPr>
          <w:rFonts w:ascii="Times New Roman" w:eastAsia="標楷體" w:hint="eastAsia"/>
          <w:spacing w:val="0"/>
          <w:sz w:val="24"/>
          <w:szCs w:val="24"/>
        </w:rPr>
        <w:t xml:space="preserve"> amid a cloudy global economic outlook and muted inflation. Meanwhile, some Asian economies had reverted from last year</w:t>
      </w:r>
      <w:r w:rsidR="000A73D1">
        <w:rPr>
          <w:rFonts w:ascii="Times New Roman" w:eastAsia="標楷體"/>
          <w:spacing w:val="0"/>
          <w:sz w:val="24"/>
          <w:szCs w:val="24"/>
        </w:rPr>
        <w:t>’</w:t>
      </w:r>
      <w:r w:rsidR="000A73D1">
        <w:rPr>
          <w:rFonts w:ascii="Times New Roman" w:eastAsia="標楷體" w:hint="eastAsia"/>
          <w:spacing w:val="0"/>
          <w:sz w:val="24"/>
          <w:szCs w:val="24"/>
        </w:rPr>
        <w:t xml:space="preserve">s rate hike path towards rate cuts in recent months in an effort to bolster economic growth. </w:t>
      </w:r>
    </w:p>
    <w:p w:rsidR="00DB769C" w:rsidRDefault="000A73D1" w:rsidP="00200EE4">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Across international financial markets, a multitude of uncertainties had markedly heightened volatility in recent months. An escalation in the US-China trade conflicts had </w:t>
      </w:r>
      <w:r>
        <w:rPr>
          <w:rFonts w:ascii="Times New Roman" w:eastAsia="標楷體" w:hint="eastAsia"/>
          <w:spacing w:val="0"/>
          <w:sz w:val="24"/>
          <w:szCs w:val="24"/>
        </w:rPr>
        <w:lastRenderedPageBreak/>
        <w:t>sparked downward gyrations in major stock markets in August</w:t>
      </w:r>
      <w:r w:rsidR="002178A4">
        <w:rPr>
          <w:rFonts w:ascii="Times New Roman" w:eastAsia="標楷體" w:hint="eastAsia"/>
          <w:spacing w:val="0"/>
          <w:sz w:val="24"/>
          <w:szCs w:val="24"/>
        </w:rPr>
        <w:t xml:space="preserve">, but markets had </w:t>
      </w:r>
      <w:r w:rsidR="002178A4">
        <w:rPr>
          <w:rFonts w:ascii="Times New Roman" w:eastAsia="標楷體"/>
          <w:spacing w:val="0"/>
          <w:sz w:val="24"/>
          <w:szCs w:val="24"/>
        </w:rPr>
        <w:t>stabilized</w:t>
      </w:r>
      <w:r w:rsidR="002178A4">
        <w:rPr>
          <w:rFonts w:ascii="Times New Roman" w:eastAsia="標楷體" w:hint="eastAsia"/>
          <w:spacing w:val="0"/>
          <w:sz w:val="24"/>
          <w:szCs w:val="24"/>
        </w:rPr>
        <w:t xml:space="preserve"> since early September with both the US and China appearing inclined to resume talks. Exchange rates of major currencies had </w:t>
      </w:r>
      <w:r w:rsidR="00447810">
        <w:rPr>
          <w:rFonts w:ascii="Times New Roman" w:eastAsia="標楷體" w:hint="eastAsia"/>
          <w:spacing w:val="0"/>
          <w:sz w:val="24"/>
          <w:szCs w:val="24"/>
        </w:rPr>
        <w:t xml:space="preserve">broadly </w:t>
      </w:r>
      <w:r w:rsidR="002178A4">
        <w:rPr>
          <w:rFonts w:ascii="Times New Roman" w:eastAsia="標楷體" w:hint="eastAsia"/>
          <w:spacing w:val="0"/>
          <w:sz w:val="24"/>
          <w:szCs w:val="24"/>
        </w:rPr>
        <w:t>dep</w:t>
      </w:r>
      <w:r w:rsidR="00755E62">
        <w:rPr>
          <w:rFonts w:ascii="Times New Roman" w:eastAsia="標楷體" w:hint="eastAsia"/>
          <w:spacing w:val="0"/>
          <w:sz w:val="24"/>
          <w:szCs w:val="24"/>
        </w:rPr>
        <w:t xml:space="preserve">reciated against the US dollar. In regard to bond market developments, </w:t>
      </w:r>
      <w:r w:rsidR="00755E62" w:rsidRPr="00755E62">
        <w:rPr>
          <w:rFonts w:ascii="Times New Roman" w:eastAsia="標楷體"/>
          <w:spacing w:val="0"/>
          <w:sz w:val="24"/>
          <w:szCs w:val="24"/>
        </w:rPr>
        <w:t xml:space="preserve">the yields on major 10-year government bonds </w:t>
      </w:r>
      <w:r w:rsidR="00755E62">
        <w:rPr>
          <w:rFonts w:ascii="Times New Roman" w:eastAsia="標楷體" w:hint="eastAsia"/>
          <w:spacing w:val="0"/>
          <w:sz w:val="24"/>
          <w:szCs w:val="24"/>
        </w:rPr>
        <w:t xml:space="preserve">had tumbled to </w:t>
      </w:r>
      <w:r w:rsidR="00755E62" w:rsidRPr="00755E62">
        <w:rPr>
          <w:rFonts w:ascii="Times New Roman" w:eastAsia="標楷體"/>
          <w:spacing w:val="0"/>
          <w:sz w:val="24"/>
          <w:szCs w:val="24"/>
        </w:rPr>
        <w:t>a near-term low</w:t>
      </w:r>
      <w:r w:rsidR="00755E62">
        <w:rPr>
          <w:rFonts w:ascii="Times New Roman" w:eastAsia="標楷體" w:hint="eastAsia"/>
          <w:spacing w:val="0"/>
          <w:sz w:val="24"/>
          <w:szCs w:val="24"/>
        </w:rPr>
        <w:t xml:space="preserve">, owing to a global economic slowdown, renewed monetary easing in major economies, and </w:t>
      </w:r>
      <w:r w:rsidR="00200EE4">
        <w:rPr>
          <w:rFonts w:ascii="Times New Roman" w:eastAsia="標楷體" w:hint="eastAsia"/>
          <w:spacing w:val="0"/>
          <w:sz w:val="24"/>
          <w:szCs w:val="24"/>
        </w:rPr>
        <w:t xml:space="preserve">increased demand for government bonds as safe havens. </w:t>
      </w:r>
      <w:r w:rsidR="0027426E">
        <w:rPr>
          <w:rFonts w:ascii="Times New Roman" w:eastAsia="標楷體" w:hint="eastAsia"/>
          <w:spacing w:val="0"/>
          <w:sz w:val="24"/>
          <w:szCs w:val="24"/>
        </w:rPr>
        <w:t xml:space="preserve">The yields had also rebounded in September thanks to the possibility of reopening US-China trade talks. </w:t>
      </w:r>
    </w:p>
    <w:p w:rsidR="00320649" w:rsidRPr="00FE22D2" w:rsidRDefault="00871F06" w:rsidP="00871F06">
      <w:pPr>
        <w:pStyle w:val="6"/>
        <w:overflowPunct w:val="0"/>
        <w:snapToGrid w:val="0"/>
        <w:spacing w:after="0" w:line="440" w:lineRule="exact"/>
        <w:ind w:left="0" w:firstLineChars="200" w:firstLine="480"/>
        <w:rPr>
          <w:rFonts w:ascii="Times New Roman" w:eastAsia="標楷體"/>
          <w:spacing w:val="0"/>
          <w:sz w:val="24"/>
          <w:szCs w:val="24"/>
        </w:rPr>
      </w:pPr>
      <w:r w:rsidRPr="00FE22D2">
        <w:rPr>
          <w:rFonts w:ascii="Times New Roman" w:eastAsia="標楷體" w:hint="eastAsia"/>
          <w:spacing w:val="0"/>
          <w:sz w:val="24"/>
          <w:szCs w:val="24"/>
        </w:rPr>
        <w:t>Looking ahead, the global economy could face the following risks</w:t>
      </w:r>
      <w:r w:rsidR="00447810">
        <w:rPr>
          <w:rFonts w:ascii="Times New Roman" w:eastAsia="標楷體" w:hint="eastAsia"/>
          <w:spacing w:val="0"/>
          <w:sz w:val="24"/>
          <w:szCs w:val="24"/>
        </w:rPr>
        <w:t>, which, if materialized, could impact</w:t>
      </w:r>
      <w:r w:rsidR="00FE22D2" w:rsidRPr="00FE22D2">
        <w:rPr>
          <w:rFonts w:ascii="Times New Roman" w:eastAsia="標楷體" w:hint="eastAsia"/>
          <w:spacing w:val="0"/>
          <w:sz w:val="24"/>
          <w:szCs w:val="24"/>
        </w:rPr>
        <w:t xml:space="preserve"> global financial market stability and economic and trade outlooks</w:t>
      </w:r>
      <w:r w:rsidRPr="00FE22D2">
        <w:rPr>
          <w:rFonts w:ascii="Times New Roman" w:eastAsia="標楷體" w:hint="eastAsia"/>
          <w:spacing w:val="0"/>
          <w:sz w:val="24"/>
          <w:szCs w:val="24"/>
        </w:rPr>
        <w:t>:</w:t>
      </w:r>
    </w:p>
    <w:p w:rsidR="00871F06" w:rsidRPr="00FE22D2" w:rsidRDefault="000015F2" w:rsidP="009D1157">
      <w:pPr>
        <w:pStyle w:val="6"/>
        <w:overflowPunct w:val="0"/>
        <w:snapToGrid w:val="0"/>
        <w:spacing w:after="0" w:line="440" w:lineRule="exact"/>
        <w:ind w:left="0" w:firstLineChars="200" w:firstLine="480"/>
        <w:rPr>
          <w:rFonts w:ascii="Times New Roman" w:eastAsia="標楷體"/>
          <w:spacing w:val="0"/>
          <w:sz w:val="24"/>
          <w:szCs w:val="24"/>
        </w:rPr>
      </w:pPr>
      <w:r w:rsidRPr="00FE22D2">
        <w:rPr>
          <w:rFonts w:ascii="Times New Roman" w:eastAsia="標楷體" w:hint="eastAsia"/>
          <w:spacing w:val="0"/>
          <w:sz w:val="24"/>
          <w:szCs w:val="24"/>
        </w:rPr>
        <w:t xml:space="preserve">(1) </w:t>
      </w:r>
      <w:r w:rsidR="00CF1F86" w:rsidRPr="00FE22D2">
        <w:rPr>
          <w:rFonts w:ascii="Times New Roman" w:eastAsia="標楷體" w:hint="eastAsia"/>
          <w:spacing w:val="0"/>
          <w:sz w:val="24"/>
          <w:szCs w:val="24"/>
        </w:rPr>
        <w:t>Weakness in manufacturing activity</w:t>
      </w:r>
      <w:r w:rsidR="00FE5806">
        <w:rPr>
          <w:rFonts w:ascii="Times New Roman" w:eastAsia="標楷體" w:hint="eastAsia"/>
          <w:spacing w:val="0"/>
          <w:sz w:val="24"/>
          <w:szCs w:val="24"/>
        </w:rPr>
        <w:t xml:space="preserve"> </w:t>
      </w:r>
      <w:r w:rsidR="00CF1F86" w:rsidRPr="00FE22D2">
        <w:rPr>
          <w:rFonts w:ascii="Times New Roman" w:eastAsia="標楷體" w:hint="eastAsia"/>
          <w:spacing w:val="0"/>
          <w:sz w:val="24"/>
          <w:szCs w:val="24"/>
        </w:rPr>
        <w:t xml:space="preserve">because of ongoing trade conflicts around the world could spill over to the services sector. </w:t>
      </w:r>
    </w:p>
    <w:p w:rsidR="00CF1F86" w:rsidRPr="00FE22D2" w:rsidRDefault="00F975FD" w:rsidP="009D1157">
      <w:pPr>
        <w:pStyle w:val="6"/>
        <w:overflowPunct w:val="0"/>
        <w:snapToGrid w:val="0"/>
        <w:spacing w:after="0" w:line="440" w:lineRule="exact"/>
        <w:ind w:left="0" w:firstLineChars="200" w:firstLine="480"/>
        <w:rPr>
          <w:rFonts w:ascii="Times New Roman" w:eastAsia="標楷體"/>
          <w:spacing w:val="0"/>
          <w:sz w:val="24"/>
          <w:szCs w:val="24"/>
        </w:rPr>
      </w:pPr>
      <w:r w:rsidRPr="00FE22D2">
        <w:rPr>
          <w:rFonts w:ascii="Times New Roman" w:eastAsia="標楷體" w:hint="eastAsia"/>
          <w:spacing w:val="0"/>
          <w:sz w:val="24"/>
          <w:szCs w:val="24"/>
        </w:rPr>
        <w:t xml:space="preserve">(2) </w:t>
      </w:r>
      <w:r w:rsidR="00CF1F86" w:rsidRPr="00FE22D2">
        <w:rPr>
          <w:rFonts w:ascii="Times New Roman" w:eastAsia="標楷體" w:hint="eastAsia"/>
          <w:spacing w:val="0"/>
          <w:sz w:val="24"/>
          <w:szCs w:val="24"/>
        </w:rPr>
        <w:t xml:space="preserve">The Chinese economy decelerates and </w:t>
      </w:r>
      <w:r w:rsidR="00CF1F86" w:rsidRPr="00FE22D2">
        <w:rPr>
          <w:rFonts w:ascii="Times New Roman" w:eastAsia="標楷體"/>
          <w:spacing w:val="0"/>
          <w:sz w:val="24"/>
          <w:szCs w:val="24"/>
        </w:rPr>
        <w:t>economic</w:t>
      </w:r>
      <w:r w:rsidR="00CF1F86" w:rsidRPr="00FE22D2">
        <w:rPr>
          <w:rFonts w:ascii="Times New Roman" w:eastAsia="標楷體" w:hint="eastAsia"/>
          <w:spacing w:val="0"/>
          <w:sz w:val="24"/>
          <w:szCs w:val="24"/>
        </w:rPr>
        <w:t xml:space="preserve"> and financial risks increase. </w:t>
      </w:r>
    </w:p>
    <w:p w:rsidR="00CF1F86" w:rsidRPr="00FE22D2" w:rsidRDefault="00CF1F86" w:rsidP="009D1157">
      <w:pPr>
        <w:pStyle w:val="6"/>
        <w:overflowPunct w:val="0"/>
        <w:snapToGrid w:val="0"/>
        <w:spacing w:after="0" w:line="440" w:lineRule="exact"/>
        <w:ind w:left="0" w:firstLineChars="200" w:firstLine="480"/>
        <w:rPr>
          <w:rFonts w:ascii="Times New Roman" w:eastAsia="標楷體"/>
          <w:spacing w:val="0"/>
          <w:sz w:val="24"/>
          <w:szCs w:val="24"/>
        </w:rPr>
      </w:pPr>
      <w:r w:rsidRPr="00FE22D2">
        <w:rPr>
          <w:rFonts w:ascii="Times New Roman" w:eastAsia="標楷體" w:hint="eastAsia"/>
          <w:spacing w:val="0"/>
          <w:sz w:val="24"/>
          <w:szCs w:val="24"/>
        </w:rPr>
        <w:t>(3) High uncertainty remains as the Brexit progress could be mired by political turmoil.</w:t>
      </w:r>
    </w:p>
    <w:p w:rsidR="00CF1F86" w:rsidRPr="00FE22D2" w:rsidRDefault="00CF1F86" w:rsidP="009D1157">
      <w:pPr>
        <w:pStyle w:val="6"/>
        <w:overflowPunct w:val="0"/>
        <w:snapToGrid w:val="0"/>
        <w:spacing w:after="0" w:line="440" w:lineRule="exact"/>
        <w:ind w:left="0" w:firstLineChars="200" w:firstLine="480"/>
        <w:rPr>
          <w:rFonts w:ascii="Times New Roman" w:eastAsia="標楷體"/>
          <w:spacing w:val="0"/>
          <w:sz w:val="24"/>
          <w:szCs w:val="24"/>
        </w:rPr>
      </w:pPr>
      <w:r w:rsidRPr="00FE22D2">
        <w:rPr>
          <w:rFonts w:ascii="Times New Roman" w:eastAsia="標楷體" w:hint="eastAsia"/>
          <w:spacing w:val="0"/>
          <w:sz w:val="24"/>
          <w:szCs w:val="24"/>
        </w:rPr>
        <w:t xml:space="preserve">(4) </w:t>
      </w:r>
      <w:r w:rsidR="00FE22D2" w:rsidRPr="00FE22D2">
        <w:rPr>
          <w:rFonts w:ascii="Times New Roman" w:eastAsia="標楷體" w:hint="eastAsia"/>
          <w:spacing w:val="0"/>
          <w:sz w:val="24"/>
          <w:szCs w:val="24"/>
        </w:rPr>
        <w:t xml:space="preserve">Geopolitical tensions intensify. </w:t>
      </w:r>
    </w:p>
    <w:p w:rsidR="00D46F1E" w:rsidRPr="00BA727D" w:rsidRDefault="00D46F1E" w:rsidP="00FA173A">
      <w:pPr>
        <w:numPr>
          <w:ilvl w:val="0"/>
          <w:numId w:val="30"/>
        </w:numPr>
        <w:overflowPunct w:val="0"/>
        <w:autoSpaceDE w:val="0"/>
        <w:autoSpaceDN w:val="0"/>
        <w:snapToGrid w:val="0"/>
        <w:spacing w:before="120" w:line="440" w:lineRule="exact"/>
        <w:ind w:left="426" w:hanging="426"/>
        <w:rPr>
          <w:rFonts w:eastAsia="標楷體"/>
          <w:b/>
          <w:spacing w:val="-2"/>
          <w:sz w:val="24"/>
          <w:szCs w:val="28"/>
        </w:rPr>
      </w:pPr>
      <w:r w:rsidRPr="00BA727D">
        <w:rPr>
          <w:rFonts w:eastAsia="標楷體" w:hint="eastAsia"/>
          <w:b/>
          <w:spacing w:val="-2"/>
          <w:sz w:val="24"/>
          <w:szCs w:val="28"/>
        </w:rPr>
        <w:t>Domestic</w:t>
      </w:r>
      <w:r w:rsidRPr="00BA727D">
        <w:rPr>
          <w:rFonts w:eastAsia="標楷體"/>
          <w:b/>
          <w:spacing w:val="-2"/>
          <w:sz w:val="24"/>
          <w:szCs w:val="28"/>
        </w:rPr>
        <w:t xml:space="preserve"> Economic </w:t>
      </w:r>
      <w:r w:rsidRPr="00BA727D">
        <w:rPr>
          <w:rFonts w:eastAsia="標楷體" w:hint="eastAsia"/>
          <w:b/>
          <w:spacing w:val="-2"/>
          <w:sz w:val="24"/>
          <w:szCs w:val="28"/>
        </w:rPr>
        <w:t>a</w:t>
      </w:r>
      <w:r w:rsidRPr="00BA727D">
        <w:rPr>
          <w:rFonts w:eastAsia="標楷體"/>
          <w:b/>
          <w:spacing w:val="-2"/>
          <w:sz w:val="24"/>
          <w:szCs w:val="28"/>
        </w:rPr>
        <w:t>nd Financial Conditions</w:t>
      </w:r>
    </w:p>
    <w:p w:rsidR="00D46F1E" w:rsidRPr="00BA727D" w:rsidRDefault="00D46F1E" w:rsidP="00FA173A">
      <w:pPr>
        <w:adjustRightInd/>
        <w:spacing w:before="120" w:line="440" w:lineRule="exact"/>
        <w:textAlignment w:val="auto"/>
        <w:rPr>
          <w:rFonts w:eastAsia="標楷體"/>
          <w:spacing w:val="-2"/>
          <w:kern w:val="2"/>
          <w:sz w:val="24"/>
          <w:szCs w:val="28"/>
        </w:rPr>
      </w:pPr>
      <w:r w:rsidRPr="00BA727D">
        <w:rPr>
          <w:rFonts w:eastAsia="標楷體"/>
          <w:spacing w:val="-2"/>
          <w:kern w:val="2"/>
          <w:sz w:val="24"/>
          <w:szCs w:val="28"/>
        </w:rPr>
        <w:t>(</w:t>
      </w:r>
      <w:r w:rsidRPr="00BA727D">
        <w:rPr>
          <w:rFonts w:eastAsia="標楷體" w:hint="eastAsia"/>
          <w:spacing w:val="-2"/>
          <w:kern w:val="2"/>
          <w:sz w:val="24"/>
          <w:szCs w:val="28"/>
        </w:rPr>
        <w:t>1</w:t>
      </w:r>
      <w:r w:rsidRPr="00BA727D">
        <w:rPr>
          <w:rFonts w:eastAsia="標楷體"/>
          <w:spacing w:val="-2"/>
          <w:kern w:val="2"/>
          <w:sz w:val="24"/>
          <w:szCs w:val="28"/>
        </w:rPr>
        <w:t>)</w:t>
      </w:r>
      <w:r w:rsidRPr="00BA727D">
        <w:rPr>
          <w:rFonts w:eastAsia="標楷體" w:hint="eastAsia"/>
          <w:spacing w:val="-2"/>
          <w:kern w:val="2"/>
          <w:sz w:val="24"/>
          <w:szCs w:val="28"/>
        </w:rPr>
        <w:t xml:space="preserve"> Economic situation </w:t>
      </w:r>
    </w:p>
    <w:p w:rsidR="0095584E" w:rsidRPr="00AE4483" w:rsidRDefault="00BA727D" w:rsidP="00BA727D">
      <w:pPr>
        <w:pStyle w:val="6"/>
        <w:overflowPunct w:val="0"/>
        <w:snapToGrid w:val="0"/>
        <w:spacing w:after="0" w:line="440" w:lineRule="exact"/>
        <w:ind w:left="0" w:firstLineChars="200" w:firstLine="480"/>
        <w:rPr>
          <w:rFonts w:ascii="Times New Roman" w:eastAsia="標楷體"/>
          <w:spacing w:val="0"/>
          <w:sz w:val="24"/>
          <w:szCs w:val="24"/>
        </w:rPr>
      </w:pPr>
      <w:r w:rsidRPr="00AE4483">
        <w:rPr>
          <w:rFonts w:ascii="Times New Roman" w:eastAsia="標楷體" w:hint="eastAsia"/>
          <w:spacing w:val="0"/>
          <w:sz w:val="24"/>
          <w:szCs w:val="24"/>
        </w:rPr>
        <w:t>Both the leading and coincident indicators for the domestic business outlook had continued to rise in recent months; however, t</w:t>
      </w:r>
      <w:r w:rsidR="00B80AF4" w:rsidRPr="00AE4483">
        <w:rPr>
          <w:rFonts w:ascii="Times New Roman" w:eastAsia="標楷體" w:hint="eastAsia"/>
          <w:spacing w:val="0"/>
          <w:sz w:val="24"/>
          <w:szCs w:val="24"/>
        </w:rPr>
        <w:t xml:space="preserve">he domestic </w:t>
      </w:r>
      <w:r w:rsidR="000208F9" w:rsidRPr="00AE4483">
        <w:rPr>
          <w:rFonts w:ascii="Times New Roman" w:eastAsia="標楷體" w:hint="eastAsia"/>
          <w:spacing w:val="0"/>
          <w:sz w:val="24"/>
          <w:szCs w:val="24"/>
        </w:rPr>
        <w:t>business climate monitor</w:t>
      </w:r>
      <w:r w:rsidR="002A33F7" w:rsidRPr="00AE4483">
        <w:rPr>
          <w:rFonts w:ascii="Times New Roman" w:eastAsia="標楷體" w:hint="eastAsia"/>
          <w:spacing w:val="0"/>
          <w:sz w:val="24"/>
          <w:szCs w:val="24"/>
        </w:rPr>
        <w:t xml:space="preserve"> </w:t>
      </w:r>
      <w:r w:rsidR="0095584E" w:rsidRPr="00AE4483">
        <w:rPr>
          <w:rFonts w:ascii="Times New Roman" w:eastAsia="標楷體" w:hint="eastAsia"/>
          <w:spacing w:val="0"/>
          <w:sz w:val="24"/>
          <w:szCs w:val="24"/>
        </w:rPr>
        <w:t xml:space="preserve">had </w:t>
      </w:r>
      <w:r w:rsidR="0095584E" w:rsidRPr="00AE4483">
        <w:rPr>
          <w:rFonts w:ascii="Times New Roman" w:eastAsia="標楷體"/>
          <w:spacing w:val="0"/>
          <w:sz w:val="24"/>
          <w:szCs w:val="24"/>
        </w:rPr>
        <w:t>signaled</w:t>
      </w:r>
      <w:r w:rsidR="0095584E" w:rsidRPr="00AE4483">
        <w:rPr>
          <w:rFonts w:ascii="Times New Roman" w:eastAsia="標楷體" w:hint="eastAsia"/>
          <w:spacing w:val="0"/>
          <w:sz w:val="24"/>
          <w:szCs w:val="24"/>
        </w:rPr>
        <w:t xml:space="preserve"> </w:t>
      </w:r>
      <w:r w:rsidR="002A33F7" w:rsidRPr="00AE4483">
        <w:rPr>
          <w:rFonts w:ascii="Times New Roman" w:eastAsia="標楷體" w:hint="eastAsia"/>
          <w:spacing w:val="0"/>
          <w:sz w:val="24"/>
          <w:szCs w:val="24"/>
        </w:rPr>
        <w:t>a yellow-blue light</w:t>
      </w:r>
      <w:r w:rsidR="0095584E" w:rsidRPr="00AE4483">
        <w:rPr>
          <w:rFonts w:ascii="Times New Roman" w:eastAsia="標楷體" w:hint="eastAsia"/>
          <w:spacing w:val="0"/>
          <w:sz w:val="24"/>
          <w:szCs w:val="24"/>
        </w:rPr>
        <w:t xml:space="preserve"> for </w:t>
      </w:r>
      <w:r w:rsidRPr="00AE4483">
        <w:rPr>
          <w:rFonts w:ascii="Times New Roman" w:eastAsia="標楷體" w:hint="eastAsia"/>
          <w:spacing w:val="0"/>
          <w:sz w:val="24"/>
          <w:szCs w:val="24"/>
        </w:rPr>
        <w:t>seven</w:t>
      </w:r>
      <w:r w:rsidR="0095584E" w:rsidRPr="00AE4483">
        <w:rPr>
          <w:rFonts w:ascii="Times New Roman" w:eastAsia="標楷體" w:hint="eastAsia"/>
          <w:spacing w:val="0"/>
          <w:sz w:val="24"/>
          <w:szCs w:val="24"/>
        </w:rPr>
        <w:t xml:space="preserve"> months in a row</w:t>
      </w:r>
      <w:r w:rsidRPr="00AE4483">
        <w:rPr>
          <w:rFonts w:ascii="Times New Roman" w:eastAsia="標楷體" w:hint="eastAsia"/>
          <w:spacing w:val="0"/>
          <w:sz w:val="24"/>
          <w:szCs w:val="24"/>
        </w:rPr>
        <w:t xml:space="preserve">, leaving the outlook unclear and </w:t>
      </w:r>
      <w:r w:rsidR="00D81669" w:rsidRPr="00AE4483">
        <w:rPr>
          <w:rFonts w:ascii="Times New Roman" w:eastAsia="標楷體" w:hint="eastAsia"/>
          <w:spacing w:val="0"/>
          <w:sz w:val="24"/>
          <w:szCs w:val="24"/>
        </w:rPr>
        <w:t xml:space="preserve"> warranting close monitoring</w:t>
      </w:r>
      <w:r w:rsidR="009A41A8" w:rsidRPr="00AE4483">
        <w:rPr>
          <w:rFonts w:ascii="Times New Roman" w:eastAsia="標楷體" w:hint="eastAsia"/>
          <w:spacing w:val="0"/>
          <w:sz w:val="24"/>
          <w:szCs w:val="24"/>
        </w:rPr>
        <w:t xml:space="preserve">. </w:t>
      </w:r>
    </w:p>
    <w:p w:rsidR="00BA727D" w:rsidRDefault="00BA727D" w:rsidP="00AE4483">
      <w:pPr>
        <w:pStyle w:val="6"/>
        <w:overflowPunct w:val="0"/>
        <w:snapToGrid w:val="0"/>
        <w:spacing w:after="0" w:line="440" w:lineRule="exact"/>
        <w:ind w:left="0" w:firstLineChars="200" w:firstLine="480"/>
        <w:rPr>
          <w:rFonts w:ascii="Times New Roman" w:eastAsia="標楷體"/>
          <w:spacing w:val="0"/>
          <w:sz w:val="24"/>
          <w:szCs w:val="24"/>
        </w:rPr>
      </w:pPr>
      <w:r w:rsidRPr="00AE4483">
        <w:rPr>
          <w:rFonts w:ascii="Times New Roman" w:eastAsia="標楷體" w:hint="eastAsia"/>
          <w:spacing w:val="0"/>
          <w:sz w:val="24"/>
          <w:szCs w:val="24"/>
        </w:rPr>
        <w:t xml:space="preserve">With respect to external demand, exports in most Asian economies (including Taiwan) had contracted since </w:t>
      </w:r>
      <w:r w:rsidR="00B01925">
        <w:rPr>
          <w:rFonts w:ascii="Times New Roman" w:eastAsia="標楷體" w:hint="eastAsia"/>
          <w:spacing w:val="0"/>
          <w:sz w:val="24"/>
          <w:szCs w:val="24"/>
        </w:rPr>
        <w:t>the beginning of</w:t>
      </w:r>
      <w:r w:rsidRPr="00AE4483">
        <w:rPr>
          <w:rFonts w:ascii="Times New Roman" w:eastAsia="標楷體" w:hint="eastAsia"/>
          <w:spacing w:val="0"/>
          <w:sz w:val="24"/>
          <w:szCs w:val="24"/>
        </w:rPr>
        <w:t xml:space="preserve"> this year. </w:t>
      </w:r>
      <w:r w:rsidR="00AE4483">
        <w:rPr>
          <w:rFonts w:ascii="Times New Roman" w:eastAsia="標楷體" w:hint="eastAsia"/>
          <w:spacing w:val="0"/>
          <w:sz w:val="24"/>
          <w:szCs w:val="24"/>
        </w:rPr>
        <w:t>More recently, however, as some overseas Taiwanese firms in the information, communications, audio-visual products industries had begun to move production back and some orders had been frontloaded, as well as rising holiday season demand for integrated circuit products, Taiwan</w:t>
      </w:r>
      <w:r w:rsidR="00AE4483">
        <w:rPr>
          <w:rFonts w:ascii="Times New Roman" w:eastAsia="標楷體"/>
          <w:spacing w:val="0"/>
          <w:sz w:val="24"/>
          <w:szCs w:val="24"/>
        </w:rPr>
        <w:t>’</w:t>
      </w:r>
      <w:r w:rsidR="00AE4483">
        <w:rPr>
          <w:rFonts w:ascii="Times New Roman" w:eastAsia="標楷體" w:hint="eastAsia"/>
          <w:spacing w:val="0"/>
          <w:sz w:val="24"/>
          <w:szCs w:val="24"/>
        </w:rPr>
        <w:t xml:space="preserve">s exports had registered positive growth in total value terms. Export prices had dropped while export volume had increased. Among major export destinations, exports to the US had expanded significantly, whereas exports to China had posted the greatest negative contribution. Looking forward, </w:t>
      </w:r>
      <w:r w:rsidR="00A94EE9">
        <w:rPr>
          <w:rFonts w:ascii="Times New Roman" w:eastAsia="標楷體" w:hint="eastAsia"/>
          <w:spacing w:val="0"/>
          <w:sz w:val="24"/>
          <w:szCs w:val="24"/>
        </w:rPr>
        <w:t xml:space="preserve">the Bank projected mild real growth for exports this year on account of </w:t>
      </w:r>
      <w:r w:rsidR="007F7E98">
        <w:rPr>
          <w:rFonts w:ascii="Times New Roman" w:eastAsia="標楷體" w:hint="eastAsia"/>
          <w:spacing w:val="0"/>
          <w:sz w:val="24"/>
          <w:szCs w:val="24"/>
        </w:rPr>
        <w:t xml:space="preserve">emerging </w:t>
      </w:r>
      <w:r w:rsidR="00A94EE9">
        <w:rPr>
          <w:rFonts w:ascii="Times New Roman" w:eastAsia="標楷體" w:hint="eastAsia"/>
          <w:spacing w:val="0"/>
          <w:sz w:val="24"/>
          <w:szCs w:val="24"/>
        </w:rPr>
        <w:t xml:space="preserve">business </w:t>
      </w:r>
      <w:r w:rsidR="00A94EE9">
        <w:rPr>
          <w:rFonts w:ascii="Times New Roman" w:eastAsia="標楷體" w:hint="eastAsia"/>
          <w:spacing w:val="0"/>
          <w:sz w:val="24"/>
          <w:szCs w:val="24"/>
        </w:rPr>
        <w:lastRenderedPageBreak/>
        <w:t xml:space="preserve">opportunities and diversion and frontloading of orders. For next year, export growth was expected to be slower than this year owing to a higher base </w:t>
      </w:r>
      <w:r w:rsidR="00B01925">
        <w:rPr>
          <w:rFonts w:ascii="Times New Roman" w:eastAsia="標楷體" w:hint="eastAsia"/>
          <w:spacing w:val="0"/>
          <w:sz w:val="24"/>
          <w:szCs w:val="24"/>
        </w:rPr>
        <w:t>effect</w:t>
      </w:r>
      <w:r w:rsidR="00A94EE9">
        <w:rPr>
          <w:rFonts w:ascii="Times New Roman" w:eastAsia="標楷體" w:hint="eastAsia"/>
          <w:spacing w:val="0"/>
          <w:sz w:val="24"/>
          <w:szCs w:val="24"/>
        </w:rPr>
        <w:t xml:space="preserve">.  </w:t>
      </w:r>
    </w:p>
    <w:p w:rsidR="00A94EE9" w:rsidRDefault="00A94EE9" w:rsidP="00AE4483">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In regard to domestic demand, machinery equipment and construction continued to grow</w:t>
      </w:r>
      <w:r w:rsidR="00363E70">
        <w:rPr>
          <w:rFonts w:ascii="Times New Roman" w:eastAsia="標楷體" w:hint="eastAsia"/>
          <w:spacing w:val="0"/>
          <w:sz w:val="24"/>
          <w:szCs w:val="24"/>
        </w:rPr>
        <w:t>, and the government</w:t>
      </w:r>
      <w:r w:rsidR="00363E70">
        <w:rPr>
          <w:rFonts w:ascii="Times New Roman" w:eastAsia="標楷體"/>
          <w:spacing w:val="0"/>
          <w:sz w:val="24"/>
          <w:szCs w:val="24"/>
        </w:rPr>
        <w:t>’</w:t>
      </w:r>
      <w:r w:rsidR="00363E70">
        <w:rPr>
          <w:rFonts w:ascii="Times New Roman" w:eastAsia="標楷體" w:hint="eastAsia"/>
          <w:spacing w:val="0"/>
          <w:sz w:val="24"/>
          <w:szCs w:val="24"/>
        </w:rPr>
        <w:t xml:space="preserve">s rigorous policies and implementation of related programs were expected to </w:t>
      </w:r>
      <w:r w:rsidR="00363E70">
        <w:rPr>
          <w:rFonts w:ascii="Times New Roman" w:eastAsia="標楷體"/>
          <w:spacing w:val="0"/>
          <w:sz w:val="24"/>
          <w:szCs w:val="24"/>
        </w:rPr>
        <w:t>encourage</w:t>
      </w:r>
      <w:r w:rsidR="00363E70">
        <w:rPr>
          <w:rFonts w:ascii="Times New Roman" w:eastAsia="標楷體" w:hint="eastAsia"/>
          <w:spacing w:val="0"/>
          <w:sz w:val="24"/>
          <w:szCs w:val="24"/>
        </w:rPr>
        <w:t xml:space="preserve"> the private sector to increase investment. The Bank thus forecasted that real private investment would grow solidly this year. For next year, however, growth would likely </w:t>
      </w:r>
      <w:r w:rsidR="00E14382">
        <w:rPr>
          <w:rFonts w:ascii="Times New Roman" w:eastAsia="標楷體" w:hint="eastAsia"/>
          <w:spacing w:val="0"/>
          <w:sz w:val="24"/>
          <w:szCs w:val="24"/>
        </w:rPr>
        <w:t xml:space="preserve">soften somewhat because of a higher base </w:t>
      </w:r>
      <w:r w:rsidR="00B01925">
        <w:rPr>
          <w:rFonts w:ascii="Times New Roman" w:eastAsia="標楷體" w:hint="eastAsia"/>
          <w:spacing w:val="0"/>
          <w:sz w:val="24"/>
          <w:szCs w:val="24"/>
        </w:rPr>
        <w:t>effect</w:t>
      </w:r>
      <w:r w:rsidR="00E14382">
        <w:rPr>
          <w:rFonts w:ascii="Times New Roman" w:eastAsia="標楷體" w:hint="eastAsia"/>
          <w:spacing w:val="0"/>
          <w:sz w:val="24"/>
          <w:szCs w:val="24"/>
        </w:rPr>
        <w:t xml:space="preserve">. In terms of private consumption, </w:t>
      </w:r>
      <w:r w:rsidR="00B820B9">
        <w:rPr>
          <w:rFonts w:ascii="Times New Roman" w:eastAsia="標楷體" w:hint="eastAsia"/>
          <w:spacing w:val="0"/>
          <w:sz w:val="24"/>
          <w:szCs w:val="24"/>
        </w:rPr>
        <w:t xml:space="preserve">weak </w:t>
      </w:r>
      <w:r w:rsidR="00E14382">
        <w:rPr>
          <w:rFonts w:ascii="Times New Roman" w:eastAsia="標楷體" w:hint="eastAsia"/>
          <w:spacing w:val="0"/>
          <w:sz w:val="24"/>
          <w:szCs w:val="24"/>
        </w:rPr>
        <w:t>consumer confidence</w:t>
      </w:r>
      <w:r w:rsidR="00B820B9">
        <w:rPr>
          <w:rFonts w:ascii="Times New Roman" w:eastAsia="標楷體" w:hint="eastAsia"/>
          <w:spacing w:val="0"/>
          <w:sz w:val="24"/>
          <w:szCs w:val="24"/>
        </w:rPr>
        <w:t xml:space="preserve"> and sluggish corporate profits were unfavorable </w:t>
      </w:r>
      <w:r w:rsidR="00815708">
        <w:rPr>
          <w:rFonts w:ascii="Times New Roman" w:eastAsia="標楷體" w:hint="eastAsia"/>
          <w:spacing w:val="0"/>
          <w:sz w:val="24"/>
          <w:szCs w:val="24"/>
        </w:rPr>
        <w:t>for employment</w:t>
      </w:r>
      <w:r w:rsidR="00B820B9">
        <w:rPr>
          <w:rFonts w:ascii="Times New Roman" w:eastAsia="標楷體" w:hint="eastAsia"/>
          <w:spacing w:val="0"/>
          <w:sz w:val="24"/>
          <w:szCs w:val="24"/>
        </w:rPr>
        <w:t xml:space="preserve"> and </w:t>
      </w:r>
      <w:r w:rsidR="00815708">
        <w:rPr>
          <w:rFonts w:ascii="Times New Roman" w:eastAsia="標楷體" w:hint="eastAsia"/>
          <w:spacing w:val="0"/>
          <w:sz w:val="24"/>
          <w:szCs w:val="24"/>
        </w:rPr>
        <w:t xml:space="preserve">for </w:t>
      </w:r>
      <w:r w:rsidR="00B820B9">
        <w:rPr>
          <w:rFonts w:ascii="Times New Roman" w:eastAsia="標楷體" w:hint="eastAsia"/>
          <w:spacing w:val="0"/>
          <w:sz w:val="24"/>
          <w:szCs w:val="24"/>
        </w:rPr>
        <w:t>wage increases, but the government</w:t>
      </w:r>
      <w:r w:rsidR="00B820B9">
        <w:rPr>
          <w:rFonts w:ascii="Times New Roman" w:eastAsia="標楷體"/>
          <w:spacing w:val="0"/>
          <w:sz w:val="24"/>
          <w:szCs w:val="24"/>
        </w:rPr>
        <w:t>’</w:t>
      </w:r>
      <w:r w:rsidR="00B820B9">
        <w:rPr>
          <w:rFonts w:ascii="Times New Roman" w:eastAsia="標楷體" w:hint="eastAsia"/>
          <w:spacing w:val="0"/>
          <w:sz w:val="24"/>
          <w:szCs w:val="24"/>
        </w:rPr>
        <w:t xml:space="preserve">s stimulus measures for </w:t>
      </w:r>
      <w:r w:rsidR="00B820B9">
        <w:rPr>
          <w:rFonts w:ascii="Times New Roman" w:eastAsia="標楷體"/>
          <w:spacing w:val="0"/>
          <w:sz w:val="24"/>
          <w:szCs w:val="24"/>
        </w:rPr>
        <w:t>domestic</w:t>
      </w:r>
      <w:r w:rsidR="00B820B9">
        <w:rPr>
          <w:rFonts w:ascii="Times New Roman" w:eastAsia="標楷體" w:hint="eastAsia"/>
          <w:spacing w:val="0"/>
          <w:sz w:val="24"/>
          <w:szCs w:val="24"/>
        </w:rPr>
        <w:t xml:space="preserve"> demand would help bolster consumer willingness to spend. </w:t>
      </w:r>
      <w:r w:rsidR="00E14382">
        <w:rPr>
          <w:rFonts w:ascii="Times New Roman" w:eastAsia="標楷體" w:hint="eastAsia"/>
          <w:spacing w:val="0"/>
          <w:sz w:val="24"/>
          <w:szCs w:val="24"/>
        </w:rPr>
        <w:t xml:space="preserve">On balance, real growth in private consumption would likely be moderate this and next year. </w:t>
      </w:r>
    </w:p>
    <w:p w:rsidR="00B820B9" w:rsidRDefault="00B820B9" w:rsidP="00AE4483">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In terms of labor market conditions so far this year, the unemployment rate had risen from the same period a year earlier and wage growth had slightly slowed down amid a lukewarm domestic economy. </w:t>
      </w:r>
    </w:p>
    <w:p w:rsidR="00AB3860" w:rsidRPr="006661D3" w:rsidRDefault="00B820B9" w:rsidP="00AB3860">
      <w:pPr>
        <w:pStyle w:val="6"/>
        <w:overflowPunct w:val="0"/>
        <w:snapToGrid w:val="0"/>
        <w:spacing w:after="0" w:line="440" w:lineRule="exact"/>
        <w:ind w:left="0" w:firstLineChars="200" w:firstLine="480"/>
        <w:rPr>
          <w:rFonts w:ascii="Times New Roman" w:eastAsia="標楷體"/>
          <w:spacing w:val="0"/>
          <w:sz w:val="24"/>
          <w:szCs w:val="24"/>
          <w:shd w:val="pct15" w:color="auto" w:fill="FFFFFF"/>
        </w:rPr>
      </w:pPr>
      <w:r>
        <w:rPr>
          <w:rFonts w:ascii="Times New Roman" w:eastAsia="標楷體" w:hint="eastAsia"/>
          <w:spacing w:val="0"/>
          <w:sz w:val="24"/>
          <w:szCs w:val="24"/>
        </w:rPr>
        <w:t xml:space="preserve">Overall, underpinned by better-than-expected real growth in goods exports in July-August, the economic growth rate was projected </w:t>
      </w:r>
      <w:r>
        <w:rPr>
          <w:rFonts w:ascii="Times New Roman" w:eastAsia="標楷體"/>
          <w:spacing w:val="0"/>
          <w:sz w:val="24"/>
          <w:szCs w:val="24"/>
        </w:rPr>
        <w:t xml:space="preserve">by the Bank to be 2.66% in the </w:t>
      </w:r>
      <w:r>
        <w:rPr>
          <w:rFonts w:ascii="Times New Roman" w:eastAsia="標楷體" w:hint="eastAsia"/>
          <w:spacing w:val="0"/>
          <w:sz w:val="24"/>
          <w:szCs w:val="24"/>
        </w:rPr>
        <w:t xml:space="preserve">second half of the year, higher than the 2.12% in the first half year. For the year as a whole, the </w:t>
      </w:r>
      <w:r>
        <w:rPr>
          <w:rFonts w:ascii="Times New Roman" w:eastAsia="標楷體"/>
          <w:spacing w:val="0"/>
          <w:sz w:val="24"/>
          <w:szCs w:val="24"/>
        </w:rPr>
        <w:t>economy</w:t>
      </w:r>
      <w:r>
        <w:rPr>
          <w:rFonts w:ascii="Times New Roman" w:eastAsia="標楷體" w:hint="eastAsia"/>
          <w:spacing w:val="0"/>
          <w:sz w:val="24"/>
          <w:szCs w:val="24"/>
        </w:rPr>
        <w:t xml:space="preserve"> was forecasted to expand by 2.40%. A slightly lower projection, 2.34%, was made for next year as the Bank expected slower growth in private investment and exports. Major institutions forecasted Taiwan</w:t>
      </w:r>
      <w:r>
        <w:rPr>
          <w:rFonts w:ascii="Times New Roman" w:eastAsia="標楷體"/>
          <w:spacing w:val="0"/>
          <w:sz w:val="24"/>
          <w:szCs w:val="24"/>
        </w:rPr>
        <w:t>’</w:t>
      </w:r>
      <w:r>
        <w:rPr>
          <w:rFonts w:ascii="Times New Roman" w:eastAsia="標楷體" w:hint="eastAsia"/>
          <w:spacing w:val="0"/>
          <w:sz w:val="24"/>
          <w:szCs w:val="24"/>
        </w:rPr>
        <w:t xml:space="preserve">s economy to grow by 1.97%-2.46% this year and by 1.86%-2.58% next year. </w:t>
      </w:r>
    </w:p>
    <w:p w:rsidR="00750B45" w:rsidRPr="00B820B9" w:rsidRDefault="00D46F1E" w:rsidP="00FA173A">
      <w:pPr>
        <w:adjustRightInd/>
        <w:spacing w:before="120" w:line="440" w:lineRule="exact"/>
        <w:textAlignment w:val="auto"/>
        <w:rPr>
          <w:rFonts w:eastAsia="標楷體"/>
          <w:spacing w:val="-2"/>
          <w:sz w:val="28"/>
          <w:szCs w:val="24"/>
        </w:rPr>
      </w:pPr>
      <w:r w:rsidRPr="00B820B9">
        <w:rPr>
          <w:rFonts w:eastAsia="標楷體" w:hint="eastAsia"/>
          <w:spacing w:val="-2"/>
          <w:sz w:val="24"/>
          <w:szCs w:val="28"/>
        </w:rPr>
        <w:t>(2) Financial conditions</w:t>
      </w:r>
      <w:r w:rsidR="00590406" w:rsidRPr="00B820B9">
        <w:rPr>
          <w:rFonts w:eastAsia="標楷體"/>
          <w:spacing w:val="-2"/>
          <w:sz w:val="28"/>
          <w:szCs w:val="24"/>
        </w:rPr>
        <w:t xml:space="preserve"> </w:t>
      </w:r>
    </w:p>
    <w:p w:rsidR="00B820B9" w:rsidRPr="00B820B9" w:rsidRDefault="00C329CB" w:rsidP="0093254A">
      <w:pPr>
        <w:pStyle w:val="6"/>
        <w:overflowPunct w:val="0"/>
        <w:snapToGrid w:val="0"/>
        <w:spacing w:after="0" w:line="440" w:lineRule="exact"/>
        <w:ind w:left="0" w:firstLineChars="200" w:firstLine="480"/>
        <w:rPr>
          <w:rFonts w:ascii="Times New Roman" w:eastAsia="標楷體"/>
          <w:spacing w:val="0"/>
          <w:sz w:val="24"/>
          <w:szCs w:val="24"/>
        </w:rPr>
      </w:pPr>
      <w:r w:rsidRPr="00B820B9">
        <w:rPr>
          <w:rFonts w:ascii="Times New Roman" w:eastAsia="標楷體" w:hint="eastAsia"/>
          <w:spacing w:val="0"/>
          <w:sz w:val="24"/>
          <w:szCs w:val="24"/>
        </w:rPr>
        <w:t>Since the mon</w:t>
      </w:r>
      <w:r w:rsidR="00B820B9" w:rsidRPr="00B820B9">
        <w:rPr>
          <w:rFonts w:ascii="Times New Roman" w:eastAsia="標楷體" w:hint="eastAsia"/>
          <w:spacing w:val="0"/>
          <w:sz w:val="24"/>
          <w:szCs w:val="24"/>
        </w:rPr>
        <w:t>th of August</w:t>
      </w:r>
      <w:r w:rsidRPr="00B820B9">
        <w:rPr>
          <w:rFonts w:ascii="Times New Roman" w:eastAsia="標楷體" w:hint="eastAsia"/>
          <w:spacing w:val="0"/>
          <w:sz w:val="24"/>
          <w:szCs w:val="24"/>
        </w:rPr>
        <w:t xml:space="preserve">, </w:t>
      </w:r>
      <w:r w:rsidR="0093254A">
        <w:rPr>
          <w:rFonts w:ascii="Times New Roman" w:eastAsia="標楷體" w:hint="eastAsia"/>
          <w:spacing w:val="0"/>
          <w:sz w:val="24"/>
          <w:szCs w:val="24"/>
        </w:rPr>
        <w:t xml:space="preserve">although bank funding attitudes had become more cautious as more firms distributed cash dividends, overnight call loan rates had merely edged down on the back of ample market liquidity. In recent months, </w:t>
      </w:r>
      <w:r w:rsidR="0093254A" w:rsidRPr="0093254A">
        <w:rPr>
          <w:rFonts w:ascii="Times New Roman" w:eastAsia="標楷體"/>
          <w:spacing w:val="0"/>
          <w:sz w:val="24"/>
          <w:szCs w:val="24"/>
        </w:rPr>
        <w:t>the average bank excess reserves had stayed above NT$40 billion in recent months.</w:t>
      </w:r>
      <w:r w:rsidR="0093254A">
        <w:rPr>
          <w:rFonts w:ascii="Times New Roman" w:eastAsia="標楷體" w:hint="eastAsia"/>
          <w:spacing w:val="0"/>
          <w:sz w:val="24"/>
          <w:szCs w:val="24"/>
        </w:rPr>
        <w:t xml:space="preserve"> </w:t>
      </w:r>
      <w:r w:rsidR="0093254A" w:rsidRPr="0093254A">
        <w:rPr>
          <w:rFonts w:ascii="Times New Roman" w:eastAsia="標楷體" w:hint="eastAsia"/>
          <w:spacing w:val="0"/>
          <w:sz w:val="24"/>
          <w:szCs w:val="24"/>
        </w:rPr>
        <w:t>Compared to major economies and adjusted for inflation, Taiwan</w:t>
      </w:r>
      <w:r w:rsidR="0093254A" w:rsidRPr="0093254A">
        <w:rPr>
          <w:rFonts w:ascii="Times New Roman" w:eastAsia="標楷體"/>
          <w:spacing w:val="0"/>
          <w:sz w:val="24"/>
          <w:szCs w:val="24"/>
        </w:rPr>
        <w:t>’</w:t>
      </w:r>
      <w:r w:rsidR="0093254A" w:rsidRPr="0093254A">
        <w:rPr>
          <w:rFonts w:ascii="Times New Roman" w:eastAsia="標楷體" w:hint="eastAsia"/>
          <w:spacing w:val="0"/>
          <w:sz w:val="24"/>
          <w:szCs w:val="24"/>
        </w:rPr>
        <w:t>s real interest rate had been around the middle of the range.</w:t>
      </w:r>
    </w:p>
    <w:p w:rsidR="0093254A" w:rsidRPr="008C774E" w:rsidRDefault="00D730B5" w:rsidP="0093254A">
      <w:pPr>
        <w:pStyle w:val="6"/>
        <w:overflowPunct w:val="0"/>
        <w:snapToGrid w:val="0"/>
        <w:spacing w:after="0" w:line="440" w:lineRule="exact"/>
        <w:ind w:left="0" w:firstLineChars="200" w:firstLine="480"/>
        <w:rPr>
          <w:rFonts w:ascii="Times New Roman" w:eastAsia="標楷體"/>
          <w:spacing w:val="0"/>
          <w:sz w:val="24"/>
          <w:szCs w:val="24"/>
        </w:rPr>
      </w:pPr>
      <w:r w:rsidRPr="008C774E">
        <w:rPr>
          <w:rFonts w:ascii="Times New Roman" w:eastAsia="標楷體" w:hint="eastAsia"/>
          <w:spacing w:val="0"/>
          <w:sz w:val="24"/>
          <w:szCs w:val="24"/>
        </w:rPr>
        <w:t>In regard to monetary and credit conditions, the monetary aggregate M2 grew at an average rate of 3.2</w:t>
      </w:r>
      <w:r w:rsidR="0093254A" w:rsidRPr="008C774E">
        <w:rPr>
          <w:rFonts w:ascii="Times New Roman" w:eastAsia="標楷體" w:hint="eastAsia"/>
          <w:spacing w:val="0"/>
          <w:sz w:val="24"/>
          <w:szCs w:val="24"/>
        </w:rPr>
        <w:t>6</w:t>
      </w:r>
      <w:r w:rsidRPr="008C774E">
        <w:rPr>
          <w:rFonts w:ascii="Times New Roman" w:eastAsia="標楷體" w:hint="eastAsia"/>
          <w:spacing w:val="0"/>
          <w:sz w:val="24"/>
          <w:szCs w:val="24"/>
        </w:rPr>
        <w:t>% year on year during the Jan.-</w:t>
      </w:r>
      <w:r w:rsidR="0093254A" w:rsidRPr="008C774E">
        <w:rPr>
          <w:rFonts w:ascii="Times New Roman" w:eastAsia="標楷體" w:hint="eastAsia"/>
          <w:spacing w:val="0"/>
          <w:sz w:val="24"/>
          <w:szCs w:val="24"/>
        </w:rPr>
        <w:t>Aug.</w:t>
      </w:r>
      <w:r w:rsidRPr="008C774E">
        <w:rPr>
          <w:rFonts w:ascii="Times New Roman" w:eastAsia="標楷體" w:hint="eastAsia"/>
          <w:spacing w:val="0"/>
          <w:sz w:val="24"/>
          <w:szCs w:val="24"/>
        </w:rPr>
        <w:t xml:space="preserve"> period, within the Bank</w:t>
      </w:r>
      <w:r w:rsidRPr="008C774E">
        <w:rPr>
          <w:rFonts w:ascii="Times New Roman" w:eastAsia="標楷體"/>
          <w:spacing w:val="0"/>
          <w:sz w:val="24"/>
          <w:szCs w:val="24"/>
        </w:rPr>
        <w:t>’</w:t>
      </w:r>
      <w:r w:rsidRPr="008C774E">
        <w:rPr>
          <w:rFonts w:ascii="Times New Roman" w:eastAsia="標楷體" w:hint="eastAsia"/>
          <w:spacing w:val="0"/>
          <w:sz w:val="24"/>
          <w:szCs w:val="24"/>
        </w:rPr>
        <w:t xml:space="preserve">s target range for this year. </w:t>
      </w:r>
      <w:r w:rsidR="0093254A" w:rsidRPr="008C774E">
        <w:rPr>
          <w:rFonts w:ascii="Times New Roman" w:eastAsia="標楷體" w:hint="eastAsia"/>
          <w:spacing w:val="0"/>
          <w:sz w:val="24"/>
          <w:szCs w:val="24"/>
        </w:rPr>
        <w:t xml:space="preserve">Since the beginning of the year, bank lending had increased at a slow pace </w:t>
      </w:r>
      <w:r w:rsidR="0093254A" w:rsidRPr="008C774E">
        <w:rPr>
          <w:rFonts w:ascii="Times New Roman" w:eastAsia="標楷體" w:hint="eastAsia"/>
          <w:spacing w:val="0"/>
          <w:sz w:val="24"/>
          <w:szCs w:val="24"/>
        </w:rPr>
        <w:lastRenderedPageBreak/>
        <w:t xml:space="preserve">because of subdued economic activity. </w:t>
      </w:r>
      <w:r w:rsidR="0093254A" w:rsidRPr="008C774E">
        <w:rPr>
          <w:rFonts w:ascii="Times New Roman" w:eastAsia="標楷體"/>
          <w:spacing w:val="0"/>
          <w:sz w:val="24"/>
          <w:szCs w:val="24"/>
        </w:rPr>
        <w:t>However</w:t>
      </w:r>
      <w:r w:rsidR="0093254A" w:rsidRPr="008C774E">
        <w:rPr>
          <w:rFonts w:ascii="Times New Roman" w:eastAsia="標楷體" w:hint="eastAsia"/>
          <w:spacing w:val="0"/>
          <w:sz w:val="24"/>
          <w:szCs w:val="24"/>
        </w:rPr>
        <w:t xml:space="preserve">, bank loans and investments averaged an annual growth rate of </w:t>
      </w:r>
      <w:r w:rsidR="0012350F" w:rsidRPr="008C774E">
        <w:rPr>
          <w:rFonts w:ascii="Times New Roman" w:eastAsia="標楷體" w:hint="eastAsia"/>
          <w:spacing w:val="0"/>
          <w:sz w:val="24"/>
          <w:szCs w:val="24"/>
        </w:rPr>
        <w:t>4.7</w:t>
      </w:r>
      <w:r w:rsidR="0093254A" w:rsidRPr="008C774E">
        <w:rPr>
          <w:rFonts w:ascii="Times New Roman" w:eastAsia="標楷體" w:hint="eastAsia"/>
          <w:spacing w:val="0"/>
          <w:sz w:val="24"/>
          <w:szCs w:val="24"/>
        </w:rPr>
        <w:t>4%</w:t>
      </w:r>
      <w:r w:rsidR="0012350F" w:rsidRPr="008C774E">
        <w:rPr>
          <w:rFonts w:ascii="Times New Roman" w:eastAsia="標楷體" w:hint="eastAsia"/>
          <w:spacing w:val="0"/>
          <w:sz w:val="24"/>
          <w:szCs w:val="24"/>
        </w:rPr>
        <w:t xml:space="preserve"> in the Jan.-Aug. period, higher than the sum of this year</w:t>
      </w:r>
      <w:r w:rsidR="0012350F" w:rsidRPr="008C774E">
        <w:rPr>
          <w:rFonts w:ascii="Times New Roman" w:eastAsia="標楷體"/>
          <w:spacing w:val="0"/>
          <w:sz w:val="24"/>
          <w:szCs w:val="24"/>
        </w:rPr>
        <w:t>’</w:t>
      </w:r>
      <w:r w:rsidR="0012350F" w:rsidRPr="008C774E">
        <w:rPr>
          <w:rFonts w:ascii="Times New Roman" w:eastAsia="標楷體" w:hint="eastAsia"/>
          <w:spacing w:val="0"/>
          <w:sz w:val="24"/>
          <w:szCs w:val="24"/>
        </w:rPr>
        <w:t>s projected economic growth rate and CPI inflation rate</w:t>
      </w:r>
      <w:r w:rsidR="0093254A" w:rsidRPr="008C774E">
        <w:rPr>
          <w:rFonts w:ascii="Times New Roman" w:eastAsia="標楷體" w:hint="eastAsia"/>
          <w:spacing w:val="0"/>
          <w:sz w:val="24"/>
          <w:szCs w:val="24"/>
        </w:rPr>
        <w:t xml:space="preserve">. This </w:t>
      </w:r>
      <w:r w:rsidR="001C286D">
        <w:rPr>
          <w:rFonts w:ascii="Times New Roman" w:eastAsia="標楷體" w:hint="eastAsia"/>
          <w:spacing w:val="0"/>
          <w:sz w:val="24"/>
          <w:szCs w:val="24"/>
        </w:rPr>
        <w:t xml:space="preserve">would </w:t>
      </w:r>
      <w:r w:rsidR="0093254A" w:rsidRPr="008C774E">
        <w:rPr>
          <w:rFonts w:ascii="Times New Roman" w:eastAsia="標楷體" w:hint="eastAsia"/>
          <w:spacing w:val="0"/>
          <w:sz w:val="24"/>
          <w:szCs w:val="24"/>
        </w:rPr>
        <w:t>suggest</w:t>
      </w:r>
      <w:r w:rsidR="001C286D">
        <w:rPr>
          <w:rFonts w:ascii="Times New Roman" w:eastAsia="標楷體" w:hint="eastAsia"/>
          <w:spacing w:val="0"/>
          <w:sz w:val="24"/>
          <w:szCs w:val="24"/>
        </w:rPr>
        <w:t xml:space="preserve"> there were</w:t>
      </w:r>
      <w:r w:rsidR="0093254A" w:rsidRPr="008C774E">
        <w:rPr>
          <w:rFonts w:ascii="Times New Roman" w:eastAsia="標楷體" w:hint="eastAsia"/>
          <w:spacing w:val="0"/>
          <w:sz w:val="24"/>
          <w:szCs w:val="24"/>
        </w:rPr>
        <w:t xml:space="preserve"> </w:t>
      </w:r>
      <w:r w:rsidR="0012350F" w:rsidRPr="008C774E">
        <w:rPr>
          <w:rFonts w:ascii="Times New Roman" w:eastAsia="標楷體" w:hint="eastAsia"/>
          <w:spacing w:val="0"/>
          <w:sz w:val="24"/>
          <w:szCs w:val="24"/>
        </w:rPr>
        <w:t>sufficient</w:t>
      </w:r>
      <w:r w:rsidR="0093254A" w:rsidRPr="008C774E">
        <w:rPr>
          <w:rFonts w:ascii="Times New Roman" w:eastAsia="標楷體" w:hint="eastAsia"/>
          <w:spacing w:val="0"/>
          <w:sz w:val="24"/>
          <w:szCs w:val="24"/>
        </w:rPr>
        <w:t xml:space="preserve"> </w:t>
      </w:r>
      <w:r w:rsidR="0012350F" w:rsidRPr="008C774E">
        <w:rPr>
          <w:rFonts w:ascii="Times New Roman" w:eastAsia="標楷體" w:hint="eastAsia"/>
          <w:spacing w:val="0"/>
          <w:sz w:val="24"/>
          <w:szCs w:val="24"/>
        </w:rPr>
        <w:t>money and credit</w:t>
      </w:r>
      <w:r w:rsidR="0093254A" w:rsidRPr="008C774E">
        <w:rPr>
          <w:rFonts w:ascii="Times New Roman" w:eastAsia="標楷體" w:hint="eastAsia"/>
          <w:spacing w:val="0"/>
          <w:sz w:val="24"/>
          <w:szCs w:val="24"/>
        </w:rPr>
        <w:t xml:space="preserve"> to support </w:t>
      </w:r>
      <w:r w:rsidR="0012350F" w:rsidRPr="008C774E">
        <w:rPr>
          <w:rFonts w:ascii="Times New Roman" w:eastAsia="標楷體" w:hint="eastAsia"/>
          <w:spacing w:val="0"/>
          <w:sz w:val="24"/>
          <w:szCs w:val="24"/>
        </w:rPr>
        <w:t xml:space="preserve">the need </w:t>
      </w:r>
      <w:r w:rsidR="003740C7" w:rsidRPr="008C774E">
        <w:rPr>
          <w:rFonts w:ascii="Times New Roman" w:eastAsia="標楷體" w:hint="eastAsia"/>
          <w:spacing w:val="0"/>
          <w:sz w:val="24"/>
          <w:szCs w:val="24"/>
        </w:rPr>
        <w:t>of</w:t>
      </w:r>
      <w:r w:rsidR="0012350F" w:rsidRPr="008C774E">
        <w:rPr>
          <w:rFonts w:ascii="Times New Roman" w:eastAsia="標楷體" w:hint="eastAsia"/>
          <w:spacing w:val="0"/>
          <w:sz w:val="24"/>
          <w:szCs w:val="24"/>
        </w:rPr>
        <w:t xml:space="preserve"> the </w:t>
      </w:r>
      <w:r w:rsidR="0093254A" w:rsidRPr="008C774E">
        <w:rPr>
          <w:rFonts w:ascii="Times New Roman" w:eastAsia="標楷體" w:hint="eastAsia"/>
          <w:spacing w:val="0"/>
          <w:sz w:val="24"/>
          <w:szCs w:val="24"/>
        </w:rPr>
        <w:t xml:space="preserve">real </w:t>
      </w:r>
      <w:r w:rsidR="0093254A" w:rsidRPr="008C774E">
        <w:rPr>
          <w:rFonts w:ascii="Times New Roman" w:eastAsia="標楷體"/>
          <w:spacing w:val="0"/>
          <w:sz w:val="24"/>
          <w:szCs w:val="24"/>
        </w:rPr>
        <w:t>econom</w:t>
      </w:r>
      <w:r w:rsidR="0012350F" w:rsidRPr="008C774E">
        <w:rPr>
          <w:rFonts w:ascii="Times New Roman" w:eastAsia="標楷體" w:hint="eastAsia"/>
          <w:spacing w:val="0"/>
          <w:sz w:val="24"/>
          <w:szCs w:val="24"/>
        </w:rPr>
        <w:t>y</w:t>
      </w:r>
      <w:r w:rsidR="0093254A" w:rsidRPr="008C774E">
        <w:rPr>
          <w:rFonts w:ascii="Times New Roman" w:eastAsia="標楷體" w:hint="eastAsia"/>
          <w:spacing w:val="0"/>
          <w:sz w:val="24"/>
          <w:szCs w:val="24"/>
        </w:rPr>
        <w:t>.</w:t>
      </w:r>
    </w:p>
    <w:p w:rsidR="008C774E" w:rsidRDefault="0095215B" w:rsidP="00435582">
      <w:pPr>
        <w:pStyle w:val="6"/>
        <w:overflowPunct w:val="0"/>
        <w:snapToGrid w:val="0"/>
        <w:spacing w:after="0" w:line="440" w:lineRule="exact"/>
        <w:ind w:left="0" w:firstLineChars="200" w:firstLine="480"/>
        <w:rPr>
          <w:rFonts w:ascii="Times New Roman" w:eastAsia="標楷體"/>
          <w:spacing w:val="0"/>
          <w:sz w:val="24"/>
          <w:szCs w:val="24"/>
        </w:rPr>
      </w:pPr>
      <w:r w:rsidRPr="008C774E">
        <w:rPr>
          <w:rFonts w:ascii="Times New Roman" w:eastAsia="標楷體" w:hint="eastAsia"/>
          <w:spacing w:val="0"/>
          <w:sz w:val="24"/>
          <w:szCs w:val="24"/>
        </w:rPr>
        <w:t xml:space="preserve">For the year to date, </w:t>
      </w:r>
      <w:r w:rsidR="008C774E" w:rsidRPr="008C774E">
        <w:rPr>
          <w:rFonts w:ascii="Times New Roman" w:eastAsia="標楷體" w:hint="eastAsia"/>
          <w:spacing w:val="0"/>
          <w:sz w:val="24"/>
          <w:szCs w:val="24"/>
        </w:rPr>
        <w:t>home sales had increased; building ownership transfers in the top six urban areas had also exceeded the numbers in the same peri</w:t>
      </w:r>
      <w:r w:rsidR="00BC2A39">
        <w:rPr>
          <w:rFonts w:ascii="Times New Roman" w:eastAsia="標楷體" w:hint="eastAsia"/>
          <w:spacing w:val="0"/>
          <w:sz w:val="24"/>
          <w:szCs w:val="24"/>
        </w:rPr>
        <w:t xml:space="preserve">od last year, with central and southern Taiwan recording more transactions than others. Housing prices had also trended up steadily. </w:t>
      </w:r>
      <w:r w:rsidR="00871167">
        <w:rPr>
          <w:rFonts w:ascii="Times New Roman" w:eastAsia="標楷體" w:hint="eastAsia"/>
          <w:spacing w:val="0"/>
          <w:sz w:val="24"/>
          <w:szCs w:val="24"/>
        </w:rPr>
        <w:t>In addition, the Housing Price Index compiled by the Ministry of the Interior showed that, in the first quarter this year, housing prices in five of the top six urban areas</w:t>
      </w:r>
      <w:r w:rsidR="00815708">
        <w:rPr>
          <w:rFonts w:ascii="Times New Roman" w:eastAsia="標楷體" w:hint="eastAsia"/>
          <w:spacing w:val="0"/>
          <w:sz w:val="24"/>
          <w:szCs w:val="24"/>
        </w:rPr>
        <w:t>,</w:t>
      </w:r>
      <w:r w:rsidR="00871167">
        <w:rPr>
          <w:rFonts w:ascii="Times New Roman" w:eastAsia="標楷體" w:hint="eastAsia"/>
          <w:spacing w:val="0"/>
          <w:sz w:val="24"/>
          <w:szCs w:val="24"/>
        </w:rPr>
        <w:t xml:space="preserve"> except Taipei, </w:t>
      </w:r>
      <w:r w:rsidR="00815708">
        <w:rPr>
          <w:rFonts w:ascii="Times New Roman" w:eastAsia="標楷體" w:hint="eastAsia"/>
          <w:spacing w:val="0"/>
          <w:sz w:val="24"/>
          <w:szCs w:val="24"/>
        </w:rPr>
        <w:t>almost</w:t>
      </w:r>
      <w:r w:rsidR="00871167">
        <w:rPr>
          <w:rFonts w:ascii="Times New Roman" w:eastAsia="標楷體" w:hint="eastAsia"/>
          <w:spacing w:val="0"/>
          <w:sz w:val="24"/>
          <w:szCs w:val="24"/>
        </w:rPr>
        <w:t xml:space="preserve"> rose to the previous highs. </w:t>
      </w:r>
    </w:p>
    <w:p w:rsidR="00DD26CD" w:rsidRPr="008C774E" w:rsidRDefault="00DD26CD" w:rsidP="00DD26CD">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In respect to real estate lending, the annual growth rate of home-purchase mortgages had climbed steadily to 5.60% as of the end of July, while that of construction lending had risen further to 10.68%. The developments reflected homebuilders</w:t>
      </w:r>
      <w:r>
        <w:rPr>
          <w:rFonts w:ascii="Times New Roman" w:eastAsia="標楷體"/>
          <w:spacing w:val="0"/>
          <w:sz w:val="24"/>
          <w:szCs w:val="24"/>
        </w:rPr>
        <w:t>’</w:t>
      </w:r>
      <w:r>
        <w:rPr>
          <w:rFonts w:ascii="Times New Roman" w:eastAsia="標楷體" w:hint="eastAsia"/>
          <w:spacing w:val="0"/>
          <w:sz w:val="24"/>
          <w:szCs w:val="24"/>
        </w:rPr>
        <w:t xml:space="preserve"> active attempts to acquire more land and offer new housing projects, a potential increase in housing demand from the returning Taiwanese businesses, and greater funding needs for home rebuilding or renovations under urban renewal plans. At the end of July, the ratio of real-estate lending to total bank lending rose to 35.07%, with</w:t>
      </w:r>
      <w:r w:rsidR="0008788C">
        <w:rPr>
          <w:rFonts w:ascii="Times New Roman" w:eastAsia="標楷體" w:hint="eastAsia"/>
          <w:spacing w:val="0"/>
          <w:sz w:val="24"/>
          <w:szCs w:val="24"/>
        </w:rPr>
        <w:t xml:space="preserve"> </w:t>
      </w:r>
      <w:r w:rsidR="00775F23">
        <w:rPr>
          <w:rFonts w:ascii="Times New Roman" w:eastAsia="標楷體" w:hint="eastAsia"/>
          <w:spacing w:val="0"/>
          <w:sz w:val="24"/>
          <w:szCs w:val="24"/>
        </w:rPr>
        <w:t>the</w:t>
      </w:r>
      <w:r w:rsidR="00815708">
        <w:rPr>
          <w:rFonts w:ascii="Times New Roman" w:eastAsia="標楷體" w:hint="eastAsia"/>
          <w:spacing w:val="0"/>
          <w:sz w:val="24"/>
          <w:szCs w:val="24"/>
        </w:rPr>
        <w:t xml:space="preserve"> </w:t>
      </w:r>
      <w:r w:rsidR="00775F23">
        <w:rPr>
          <w:rFonts w:ascii="Times New Roman" w:eastAsia="標楷體" w:hint="eastAsia"/>
          <w:spacing w:val="0"/>
          <w:sz w:val="24"/>
          <w:szCs w:val="24"/>
        </w:rPr>
        <w:t xml:space="preserve">asset quality remaining stable. </w:t>
      </w:r>
    </w:p>
    <w:p w:rsidR="00750B45" w:rsidRPr="00775F23" w:rsidRDefault="00775F23" w:rsidP="00FA173A">
      <w:pPr>
        <w:adjustRightInd/>
        <w:spacing w:before="120" w:line="440" w:lineRule="exact"/>
        <w:textAlignment w:val="auto"/>
        <w:rPr>
          <w:rFonts w:eastAsia="標楷體"/>
          <w:spacing w:val="-2"/>
          <w:sz w:val="24"/>
          <w:szCs w:val="28"/>
        </w:rPr>
      </w:pPr>
      <w:r w:rsidRPr="00775F23">
        <w:rPr>
          <w:rFonts w:eastAsia="標楷體" w:hint="eastAsia"/>
          <w:spacing w:val="-2"/>
          <w:sz w:val="24"/>
          <w:szCs w:val="28"/>
        </w:rPr>
        <w:t xml:space="preserve"> </w:t>
      </w:r>
      <w:r w:rsidR="001320BE" w:rsidRPr="00775F23">
        <w:rPr>
          <w:rFonts w:eastAsia="標楷體" w:hint="eastAsia"/>
          <w:spacing w:val="-2"/>
          <w:sz w:val="24"/>
          <w:szCs w:val="28"/>
        </w:rPr>
        <w:t>(3) Price t</w:t>
      </w:r>
      <w:r w:rsidR="00D46F1E" w:rsidRPr="00775F23">
        <w:rPr>
          <w:rFonts w:eastAsia="標楷體" w:hint="eastAsia"/>
          <w:spacing w:val="-2"/>
          <w:sz w:val="24"/>
          <w:szCs w:val="28"/>
        </w:rPr>
        <w:t xml:space="preserve">rends </w:t>
      </w:r>
    </w:p>
    <w:p w:rsidR="00491F5A" w:rsidRPr="006661D3" w:rsidRDefault="0008788C" w:rsidP="00CB190D">
      <w:pPr>
        <w:pStyle w:val="6"/>
        <w:overflowPunct w:val="0"/>
        <w:snapToGrid w:val="0"/>
        <w:spacing w:after="0" w:line="440" w:lineRule="exact"/>
        <w:ind w:left="0" w:firstLineChars="200" w:firstLine="480"/>
        <w:rPr>
          <w:rFonts w:ascii="Times New Roman" w:eastAsia="標楷體"/>
          <w:spacing w:val="0"/>
          <w:sz w:val="24"/>
          <w:szCs w:val="24"/>
          <w:shd w:val="pct15" w:color="auto" w:fill="FFFFFF"/>
        </w:rPr>
      </w:pPr>
      <w:r w:rsidRPr="0008788C">
        <w:rPr>
          <w:rFonts w:ascii="Times New Roman" w:eastAsia="標楷體" w:hint="eastAsia"/>
          <w:spacing w:val="0"/>
          <w:sz w:val="24"/>
          <w:szCs w:val="24"/>
        </w:rPr>
        <w:t>Domestic</w:t>
      </w:r>
      <w:r>
        <w:rPr>
          <w:rFonts w:ascii="Times New Roman" w:eastAsia="標楷體" w:hint="eastAsia"/>
          <w:spacing w:val="0"/>
          <w:sz w:val="24"/>
          <w:szCs w:val="24"/>
        </w:rPr>
        <w:t xml:space="preserve"> inflation had been low and stable this year so far, against a </w:t>
      </w:r>
      <w:r>
        <w:rPr>
          <w:rFonts w:ascii="Times New Roman" w:eastAsia="標楷體"/>
          <w:spacing w:val="0"/>
          <w:sz w:val="24"/>
          <w:szCs w:val="24"/>
        </w:rPr>
        <w:t>backdrop</w:t>
      </w:r>
      <w:r>
        <w:rPr>
          <w:rFonts w:ascii="Times New Roman" w:eastAsia="標楷體" w:hint="eastAsia"/>
          <w:spacing w:val="0"/>
          <w:sz w:val="24"/>
          <w:szCs w:val="24"/>
        </w:rPr>
        <w:t xml:space="preserve"> of a fuel rate reduction in reflecti</w:t>
      </w:r>
      <w:r w:rsidRPr="0008788C">
        <w:rPr>
          <w:rFonts w:ascii="Times New Roman" w:eastAsia="標楷體" w:hint="eastAsia"/>
          <w:spacing w:val="0"/>
          <w:sz w:val="24"/>
          <w:szCs w:val="24"/>
        </w:rPr>
        <w:t xml:space="preserve">on of </w:t>
      </w:r>
      <w:r w:rsidR="00CB190D">
        <w:rPr>
          <w:rFonts w:ascii="Times New Roman" w:eastAsia="標楷體" w:hint="eastAsia"/>
          <w:spacing w:val="0"/>
          <w:sz w:val="24"/>
          <w:szCs w:val="24"/>
        </w:rPr>
        <w:t xml:space="preserve">declining </w:t>
      </w:r>
      <w:r w:rsidRPr="0008788C">
        <w:rPr>
          <w:rFonts w:ascii="Times New Roman" w:eastAsia="標楷體" w:hint="eastAsia"/>
          <w:spacing w:val="0"/>
          <w:sz w:val="24"/>
          <w:szCs w:val="24"/>
        </w:rPr>
        <w:t>i</w:t>
      </w:r>
      <w:r w:rsidR="00F7375F" w:rsidRPr="0008788C">
        <w:rPr>
          <w:rFonts w:ascii="Times New Roman" w:eastAsia="標楷體" w:hint="eastAsia"/>
          <w:spacing w:val="0"/>
          <w:sz w:val="24"/>
          <w:szCs w:val="24"/>
        </w:rPr>
        <w:t xml:space="preserve">nternational oil </w:t>
      </w:r>
      <w:r w:rsidRPr="0008788C">
        <w:rPr>
          <w:rFonts w:ascii="Times New Roman" w:eastAsia="標楷體" w:hint="eastAsia"/>
          <w:spacing w:val="0"/>
          <w:sz w:val="24"/>
          <w:szCs w:val="24"/>
        </w:rPr>
        <w:t xml:space="preserve">and other raw material </w:t>
      </w:r>
      <w:r w:rsidR="00F7375F" w:rsidRPr="0008788C">
        <w:rPr>
          <w:rFonts w:ascii="Times New Roman" w:eastAsia="標楷體" w:hint="eastAsia"/>
          <w:spacing w:val="0"/>
          <w:sz w:val="24"/>
          <w:szCs w:val="24"/>
        </w:rPr>
        <w:t>prices</w:t>
      </w:r>
      <w:r w:rsidRPr="0008788C">
        <w:rPr>
          <w:rFonts w:ascii="Times New Roman" w:eastAsia="標楷體" w:hint="eastAsia"/>
          <w:spacing w:val="0"/>
          <w:sz w:val="24"/>
          <w:szCs w:val="24"/>
        </w:rPr>
        <w:t xml:space="preserve">, </w:t>
      </w:r>
      <w:r w:rsidR="00CB190D">
        <w:rPr>
          <w:rFonts w:ascii="Times New Roman" w:eastAsia="標楷體" w:hint="eastAsia"/>
          <w:spacing w:val="0"/>
          <w:sz w:val="24"/>
          <w:szCs w:val="24"/>
        </w:rPr>
        <w:t>lower prices in ap</w:t>
      </w:r>
      <w:r w:rsidR="00CB190D" w:rsidRPr="00E2046C">
        <w:rPr>
          <w:rFonts w:ascii="Times New Roman" w:eastAsia="標楷體" w:hint="eastAsia"/>
          <w:spacing w:val="0"/>
          <w:sz w:val="24"/>
          <w:szCs w:val="24"/>
        </w:rPr>
        <w:t xml:space="preserve">parel and durable consumer goods, and continued communications fee decreases. For the first eight months of the year, the </w:t>
      </w:r>
      <w:r w:rsidR="00491F5A" w:rsidRPr="00E2046C">
        <w:rPr>
          <w:rFonts w:ascii="Times New Roman" w:eastAsia="標楷體" w:hint="eastAsia"/>
          <w:spacing w:val="0"/>
          <w:sz w:val="24"/>
          <w:szCs w:val="24"/>
        </w:rPr>
        <w:t>annual growth rates of CPI and core CPI averaged 0.</w:t>
      </w:r>
      <w:r w:rsidR="00CB190D" w:rsidRPr="00E2046C">
        <w:rPr>
          <w:rFonts w:ascii="Times New Roman" w:eastAsia="標楷體" w:hint="eastAsia"/>
          <w:spacing w:val="0"/>
          <w:sz w:val="24"/>
          <w:szCs w:val="24"/>
        </w:rPr>
        <w:t>53</w:t>
      </w:r>
      <w:r w:rsidR="00491F5A" w:rsidRPr="00E2046C">
        <w:rPr>
          <w:rFonts w:ascii="Times New Roman" w:eastAsia="標楷體" w:hint="eastAsia"/>
          <w:spacing w:val="0"/>
          <w:sz w:val="24"/>
          <w:szCs w:val="24"/>
        </w:rPr>
        <w:t>% and 0.4</w:t>
      </w:r>
      <w:r w:rsidR="00CB190D" w:rsidRPr="00E2046C">
        <w:rPr>
          <w:rFonts w:ascii="Times New Roman" w:eastAsia="標楷體" w:hint="eastAsia"/>
          <w:spacing w:val="0"/>
          <w:sz w:val="24"/>
          <w:szCs w:val="24"/>
        </w:rPr>
        <w:t>5</w:t>
      </w:r>
      <w:r w:rsidR="00491F5A" w:rsidRPr="00E2046C">
        <w:rPr>
          <w:rFonts w:ascii="Times New Roman" w:eastAsia="標楷體" w:hint="eastAsia"/>
          <w:spacing w:val="0"/>
          <w:sz w:val="24"/>
          <w:szCs w:val="24"/>
        </w:rPr>
        <w:t xml:space="preserve">%, respectively, </w:t>
      </w:r>
      <w:r w:rsidR="00CB190D" w:rsidRPr="00E2046C">
        <w:rPr>
          <w:rFonts w:ascii="Times New Roman" w:eastAsia="標楷體" w:hint="eastAsia"/>
          <w:spacing w:val="0"/>
          <w:sz w:val="24"/>
          <w:szCs w:val="24"/>
        </w:rPr>
        <w:t xml:space="preserve">mainly owing to upturns in </w:t>
      </w:r>
      <w:r w:rsidR="001C286D">
        <w:rPr>
          <w:rFonts w:ascii="Times New Roman" w:eastAsia="標楷體" w:hint="eastAsia"/>
          <w:spacing w:val="0"/>
          <w:sz w:val="24"/>
          <w:szCs w:val="24"/>
        </w:rPr>
        <w:t>travel agency</w:t>
      </w:r>
      <w:r w:rsidR="00FD3B6C" w:rsidRPr="00E2046C">
        <w:rPr>
          <w:rFonts w:ascii="Times New Roman" w:eastAsia="標楷體" w:hint="eastAsia"/>
          <w:spacing w:val="0"/>
          <w:sz w:val="24"/>
          <w:szCs w:val="24"/>
        </w:rPr>
        <w:t xml:space="preserve"> </w:t>
      </w:r>
      <w:r w:rsidR="001C286D">
        <w:rPr>
          <w:rFonts w:ascii="Times New Roman" w:eastAsia="標楷體" w:hint="eastAsia"/>
          <w:spacing w:val="0"/>
          <w:sz w:val="24"/>
          <w:szCs w:val="24"/>
        </w:rPr>
        <w:t>charge</w:t>
      </w:r>
      <w:r w:rsidR="00FD3B6C" w:rsidRPr="00E2046C">
        <w:rPr>
          <w:rFonts w:ascii="Times New Roman" w:eastAsia="標楷體" w:hint="eastAsia"/>
          <w:spacing w:val="0"/>
          <w:sz w:val="24"/>
          <w:szCs w:val="24"/>
        </w:rPr>
        <w:t xml:space="preserve">s and </w:t>
      </w:r>
      <w:r w:rsidR="00FD3B6C" w:rsidRPr="00E2046C">
        <w:rPr>
          <w:rFonts w:ascii="Times New Roman" w:eastAsia="標楷體"/>
          <w:spacing w:val="0"/>
          <w:sz w:val="24"/>
          <w:szCs w:val="24"/>
        </w:rPr>
        <w:t>residential rental rates</w:t>
      </w:r>
      <w:r w:rsidR="00491F5A" w:rsidRPr="00E2046C">
        <w:rPr>
          <w:rFonts w:ascii="Times New Roman" w:eastAsia="標楷體" w:hint="eastAsia"/>
          <w:spacing w:val="0"/>
          <w:sz w:val="24"/>
          <w:szCs w:val="24"/>
        </w:rPr>
        <w:t xml:space="preserve">. </w:t>
      </w:r>
    </w:p>
    <w:p w:rsidR="00D8116F" w:rsidRDefault="00E2046C" w:rsidP="00E2046C">
      <w:pPr>
        <w:pStyle w:val="6"/>
        <w:overflowPunct w:val="0"/>
        <w:snapToGrid w:val="0"/>
        <w:spacing w:after="0" w:line="440" w:lineRule="exact"/>
        <w:ind w:left="0" w:firstLineChars="200" w:firstLine="480"/>
        <w:rPr>
          <w:rFonts w:ascii="Times New Roman" w:eastAsia="標楷體"/>
          <w:spacing w:val="-2"/>
          <w:sz w:val="24"/>
          <w:szCs w:val="28"/>
        </w:rPr>
      </w:pPr>
      <w:r w:rsidRPr="00E2046C">
        <w:rPr>
          <w:rFonts w:ascii="Times New Roman" w:eastAsia="標楷體" w:hint="eastAsia"/>
          <w:spacing w:val="0"/>
          <w:sz w:val="24"/>
          <w:szCs w:val="24"/>
        </w:rPr>
        <w:t>For</w:t>
      </w:r>
      <w:r w:rsidR="00C95C79" w:rsidRPr="00E2046C">
        <w:rPr>
          <w:rFonts w:ascii="Times New Roman" w:eastAsia="標楷體" w:hint="eastAsia"/>
          <w:spacing w:val="0"/>
          <w:sz w:val="24"/>
          <w:szCs w:val="24"/>
        </w:rPr>
        <w:t xml:space="preserve"> the second half of the year, inflation </w:t>
      </w:r>
      <w:r w:rsidRPr="00E2046C">
        <w:rPr>
          <w:rFonts w:ascii="Times New Roman" w:eastAsia="標楷體" w:hint="eastAsia"/>
          <w:spacing w:val="0"/>
          <w:sz w:val="24"/>
          <w:szCs w:val="24"/>
        </w:rPr>
        <w:t xml:space="preserve">would likely to </w:t>
      </w:r>
      <w:r>
        <w:rPr>
          <w:rFonts w:ascii="Times New Roman" w:eastAsia="標楷體" w:hint="eastAsia"/>
          <w:spacing w:val="0"/>
          <w:sz w:val="24"/>
          <w:szCs w:val="24"/>
        </w:rPr>
        <w:t xml:space="preserve">be mild, because </w:t>
      </w:r>
      <w:r w:rsidR="003665B4">
        <w:rPr>
          <w:rFonts w:ascii="Times New Roman" w:eastAsia="標楷體" w:hint="eastAsia"/>
          <w:spacing w:val="0"/>
          <w:sz w:val="24"/>
          <w:szCs w:val="24"/>
        </w:rPr>
        <w:t>the upswings</w:t>
      </w:r>
      <w:r>
        <w:rPr>
          <w:rFonts w:ascii="Times New Roman" w:eastAsia="標楷體" w:hint="eastAsia"/>
          <w:spacing w:val="0"/>
          <w:sz w:val="24"/>
          <w:szCs w:val="24"/>
        </w:rPr>
        <w:t xml:space="preserve"> in food prices </w:t>
      </w:r>
      <w:r>
        <w:rPr>
          <w:rFonts w:ascii="Times New Roman" w:eastAsia="標楷體"/>
          <w:spacing w:val="0"/>
          <w:sz w:val="24"/>
          <w:szCs w:val="24"/>
        </w:rPr>
        <w:t>–</w:t>
      </w:r>
      <w:r>
        <w:rPr>
          <w:rFonts w:ascii="Times New Roman" w:eastAsia="標楷體" w:hint="eastAsia"/>
          <w:spacing w:val="0"/>
          <w:sz w:val="24"/>
          <w:szCs w:val="24"/>
        </w:rPr>
        <w:t xml:space="preserve"> especially vegetables and fruit </w:t>
      </w:r>
      <w:r>
        <w:rPr>
          <w:rFonts w:ascii="Times New Roman" w:eastAsia="標楷體"/>
          <w:spacing w:val="0"/>
          <w:sz w:val="24"/>
          <w:szCs w:val="24"/>
        </w:rPr>
        <w:t>–</w:t>
      </w:r>
      <w:r>
        <w:rPr>
          <w:rFonts w:ascii="Times New Roman" w:eastAsia="標楷體" w:hint="eastAsia"/>
          <w:spacing w:val="0"/>
          <w:sz w:val="24"/>
          <w:szCs w:val="24"/>
        </w:rPr>
        <w:t xml:space="preserve"> owing to recent bouts of torrential rain had not been as steep as expected and international oil prices had dropped. Based on the assessment of mild domestic demand, a persistent negative output gap, muted inflationary pressures, and a soft price trend for international raw material prices, the B</w:t>
      </w:r>
      <w:r w:rsidRPr="00CF35E3">
        <w:rPr>
          <w:rFonts w:ascii="Times New Roman" w:eastAsia="標楷體" w:hint="eastAsia"/>
          <w:spacing w:val="0"/>
          <w:sz w:val="24"/>
          <w:szCs w:val="24"/>
        </w:rPr>
        <w:t xml:space="preserve">ank </w:t>
      </w:r>
      <w:r w:rsidR="001B32B9" w:rsidRPr="00CF35E3">
        <w:rPr>
          <w:rFonts w:ascii="Times New Roman" w:eastAsia="標楷體" w:hint="eastAsia"/>
          <w:spacing w:val="0"/>
          <w:sz w:val="24"/>
          <w:szCs w:val="24"/>
        </w:rPr>
        <w:t>projected the CPI and core CPI annual growth rates to be 0.</w:t>
      </w:r>
      <w:r w:rsidRPr="00CF35E3">
        <w:rPr>
          <w:rFonts w:ascii="Times New Roman" w:eastAsia="標楷體" w:hint="eastAsia"/>
          <w:spacing w:val="0"/>
          <w:sz w:val="24"/>
          <w:szCs w:val="24"/>
        </w:rPr>
        <w:t>70</w:t>
      </w:r>
      <w:r w:rsidR="001B32B9" w:rsidRPr="00CF35E3">
        <w:rPr>
          <w:rFonts w:ascii="Times New Roman" w:eastAsia="標楷體" w:hint="eastAsia"/>
          <w:spacing w:val="0"/>
          <w:sz w:val="24"/>
          <w:szCs w:val="24"/>
        </w:rPr>
        <w:t>% and 0.</w:t>
      </w:r>
      <w:r w:rsidRPr="00CF35E3">
        <w:rPr>
          <w:rFonts w:ascii="Times New Roman" w:eastAsia="標楷體" w:hint="eastAsia"/>
          <w:spacing w:val="0"/>
          <w:sz w:val="24"/>
          <w:szCs w:val="24"/>
        </w:rPr>
        <w:t>56</w:t>
      </w:r>
      <w:r w:rsidR="001B32B9" w:rsidRPr="00CF35E3">
        <w:rPr>
          <w:rFonts w:ascii="Times New Roman" w:eastAsia="標楷體" w:hint="eastAsia"/>
          <w:spacing w:val="0"/>
          <w:sz w:val="24"/>
          <w:szCs w:val="24"/>
        </w:rPr>
        <w:t>%</w:t>
      </w:r>
      <w:r w:rsidRPr="00CF35E3">
        <w:rPr>
          <w:rFonts w:ascii="Times New Roman" w:eastAsia="標楷體" w:hint="eastAsia"/>
          <w:spacing w:val="0"/>
          <w:sz w:val="24"/>
          <w:szCs w:val="24"/>
        </w:rPr>
        <w:t xml:space="preserve"> this year,</w:t>
      </w:r>
      <w:r w:rsidR="001B32B9" w:rsidRPr="00CF35E3">
        <w:rPr>
          <w:rFonts w:ascii="Times New Roman" w:eastAsia="標楷體" w:hint="eastAsia"/>
          <w:spacing w:val="0"/>
          <w:sz w:val="24"/>
          <w:szCs w:val="24"/>
        </w:rPr>
        <w:t xml:space="preserve"> respectively</w:t>
      </w:r>
      <w:r w:rsidRPr="00CF35E3">
        <w:rPr>
          <w:rFonts w:ascii="Times New Roman" w:eastAsia="標楷體" w:hint="eastAsia"/>
          <w:spacing w:val="0"/>
          <w:sz w:val="24"/>
          <w:szCs w:val="24"/>
        </w:rPr>
        <w:t>, and 0.88% and 0.77% for next year. The forecasts</w:t>
      </w:r>
      <w:r w:rsidR="00D8116F" w:rsidRPr="00CF35E3">
        <w:rPr>
          <w:rFonts w:ascii="Times New Roman" w:eastAsia="標楷體" w:hint="eastAsia"/>
          <w:spacing w:val="-2"/>
          <w:sz w:val="24"/>
          <w:szCs w:val="28"/>
        </w:rPr>
        <w:t xml:space="preserve"> pointed to a mild inflation outlook. </w:t>
      </w:r>
    </w:p>
    <w:p w:rsidR="00471F4F" w:rsidRPr="006661D3" w:rsidRDefault="003665B4" w:rsidP="003665B4">
      <w:pPr>
        <w:pStyle w:val="6"/>
        <w:overflowPunct w:val="0"/>
        <w:snapToGrid w:val="0"/>
        <w:spacing w:after="0" w:line="440" w:lineRule="exact"/>
        <w:ind w:left="0" w:firstLineChars="200" w:firstLine="480"/>
        <w:rPr>
          <w:rFonts w:ascii="Times New Roman" w:eastAsia="標楷體"/>
          <w:spacing w:val="0"/>
          <w:sz w:val="24"/>
          <w:szCs w:val="24"/>
          <w:shd w:val="pct15" w:color="auto" w:fill="FFFFFF"/>
        </w:rPr>
      </w:pPr>
      <w:r w:rsidRPr="003665B4">
        <w:rPr>
          <w:rFonts w:ascii="Times New Roman" w:eastAsia="標楷體" w:hint="eastAsia"/>
          <w:spacing w:val="0"/>
          <w:sz w:val="24"/>
          <w:szCs w:val="24"/>
        </w:rPr>
        <w:lastRenderedPageBreak/>
        <w:t>Looking at the</w:t>
      </w:r>
      <w:r w:rsidR="00090F95" w:rsidRPr="003665B4">
        <w:rPr>
          <w:rFonts w:ascii="Times New Roman" w:eastAsia="標楷體" w:hint="eastAsia"/>
          <w:spacing w:val="0"/>
          <w:sz w:val="24"/>
          <w:szCs w:val="24"/>
        </w:rPr>
        <w:t xml:space="preserve"> </w:t>
      </w:r>
      <w:r w:rsidR="00A746B2" w:rsidRPr="003665B4">
        <w:rPr>
          <w:rFonts w:ascii="Times New Roman" w:eastAsia="標楷體" w:hint="eastAsia"/>
          <w:spacing w:val="0"/>
          <w:sz w:val="24"/>
          <w:szCs w:val="24"/>
        </w:rPr>
        <w:t>key</w:t>
      </w:r>
      <w:r w:rsidR="004D09F6" w:rsidRPr="003665B4">
        <w:rPr>
          <w:rFonts w:ascii="Times New Roman" w:eastAsia="標楷體" w:hint="eastAsia"/>
          <w:spacing w:val="0"/>
          <w:sz w:val="24"/>
          <w:szCs w:val="24"/>
        </w:rPr>
        <w:t xml:space="preserve"> determinants of </w:t>
      </w:r>
      <w:r w:rsidR="00932501" w:rsidRPr="003665B4">
        <w:rPr>
          <w:rFonts w:ascii="Times New Roman" w:eastAsia="標楷體" w:hint="eastAsia"/>
          <w:spacing w:val="0"/>
          <w:sz w:val="24"/>
          <w:szCs w:val="24"/>
        </w:rPr>
        <w:t xml:space="preserve">future </w:t>
      </w:r>
      <w:r w:rsidR="00BE5D05" w:rsidRPr="003665B4">
        <w:rPr>
          <w:rFonts w:ascii="Times New Roman" w:eastAsia="標楷體" w:hint="eastAsia"/>
          <w:spacing w:val="0"/>
          <w:sz w:val="24"/>
          <w:szCs w:val="24"/>
        </w:rPr>
        <w:t xml:space="preserve">domestic </w:t>
      </w:r>
      <w:r w:rsidR="004D09F6" w:rsidRPr="003665B4">
        <w:rPr>
          <w:rFonts w:ascii="Times New Roman" w:eastAsia="標楷體" w:hint="eastAsia"/>
          <w:spacing w:val="0"/>
          <w:sz w:val="24"/>
          <w:szCs w:val="24"/>
        </w:rPr>
        <w:t>price trends</w:t>
      </w:r>
      <w:r w:rsidRPr="003665B4">
        <w:rPr>
          <w:rFonts w:ascii="Times New Roman" w:eastAsia="標楷體" w:hint="eastAsia"/>
          <w:spacing w:val="0"/>
          <w:sz w:val="24"/>
          <w:szCs w:val="24"/>
        </w:rPr>
        <w:t xml:space="preserve">, </w:t>
      </w:r>
      <w:r w:rsidR="00090F95" w:rsidRPr="003665B4">
        <w:rPr>
          <w:rFonts w:ascii="Times New Roman" w:eastAsia="標楷體" w:hint="eastAsia"/>
          <w:spacing w:val="0"/>
          <w:sz w:val="24"/>
          <w:szCs w:val="24"/>
        </w:rPr>
        <w:t xml:space="preserve">upside pressures </w:t>
      </w:r>
      <w:r w:rsidRPr="003665B4">
        <w:rPr>
          <w:rFonts w:ascii="Times New Roman" w:eastAsia="標楷體" w:hint="eastAsia"/>
          <w:spacing w:val="0"/>
          <w:sz w:val="24"/>
          <w:szCs w:val="24"/>
        </w:rPr>
        <w:t xml:space="preserve">could arise </w:t>
      </w:r>
      <w:r w:rsidR="00090F95" w:rsidRPr="003665B4">
        <w:rPr>
          <w:rFonts w:ascii="Times New Roman" w:eastAsia="標楷體" w:hint="eastAsia"/>
          <w:spacing w:val="0"/>
          <w:sz w:val="24"/>
          <w:szCs w:val="24"/>
        </w:rPr>
        <w:t xml:space="preserve">from </w:t>
      </w:r>
      <w:r w:rsidRPr="003665B4">
        <w:rPr>
          <w:rFonts w:ascii="Times New Roman" w:eastAsia="標楷體" w:hint="eastAsia"/>
          <w:spacing w:val="0"/>
          <w:sz w:val="24"/>
          <w:szCs w:val="24"/>
        </w:rPr>
        <w:t xml:space="preserve">(1) a lower comparison base, as last year experienced little disruption from </w:t>
      </w:r>
      <w:r>
        <w:rPr>
          <w:rFonts w:ascii="Times New Roman" w:eastAsia="標楷體" w:hint="eastAsia"/>
          <w:spacing w:val="0"/>
          <w:sz w:val="24"/>
          <w:szCs w:val="24"/>
        </w:rPr>
        <w:t xml:space="preserve">typhoons, and an expected surge in vegetables and fruit prices owing to </w:t>
      </w:r>
      <w:r w:rsidR="001C286D">
        <w:rPr>
          <w:rFonts w:ascii="Times New Roman" w:eastAsia="標楷體" w:hint="eastAsia"/>
          <w:spacing w:val="0"/>
          <w:sz w:val="24"/>
          <w:szCs w:val="24"/>
        </w:rPr>
        <w:t>the</w:t>
      </w:r>
      <w:r>
        <w:rPr>
          <w:rFonts w:ascii="Times New Roman" w:eastAsia="標楷體" w:hint="eastAsia"/>
          <w:spacing w:val="0"/>
          <w:sz w:val="24"/>
          <w:szCs w:val="24"/>
        </w:rPr>
        <w:t xml:space="preserve"> recent sequence of torrential rain; (2) continued hikes in minimum wages in recent years, which would provide a further boost to </w:t>
      </w:r>
      <w:r w:rsidR="00BE5D05" w:rsidRPr="003665B4">
        <w:rPr>
          <w:rFonts w:ascii="Times New Roman" w:eastAsia="標楷體" w:hint="eastAsia"/>
          <w:spacing w:val="0"/>
          <w:sz w:val="24"/>
          <w:szCs w:val="24"/>
        </w:rPr>
        <w:t>prices for away-from-home food and other related services.</w:t>
      </w:r>
      <w:r w:rsidRPr="003665B4">
        <w:rPr>
          <w:rFonts w:ascii="Times New Roman" w:eastAsia="標楷體" w:hint="eastAsia"/>
          <w:spacing w:val="0"/>
          <w:sz w:val="24"/>
          <w:szCs w:val="24"/>
        </w:rPr>
        <w:t xml:space="preserve"> D</w:t>
      </w:r>
      <w:r w:rsidR="00090F95" w:rsidRPr="003665B4">
        <w:rPr>
          <w:rFonts w:ascii="Times New Roman" w:eastAsia="標楷體" w:hint="eastAsia"/>
          <w:spacing w:val="0"/>
          <w:sz w:val="24"/>
          <w:szCs w:val="24"/>
        </w:rPr>
        <w:t xml:space="preserve">ownside price pressures </w:t>
      </w:r>
      <w:r w:rsidRPr="003665B4">
        <w:rPr>
          <w:rFonts w:ascii="Times New Roman" w:eastAsia="標楷體" w:hint="eastAsia"/>
          <w:spacing w:val="0"/>
          <w:sz w:val="24"/>
          <w:szCs w:val="24"/>
        </w:rPr>
        <w:t xml:space="preserve">include (1) weakened prices of international crude oil and other raw materials because of soft demand amid a </w:t>
      </w:r>
      <w:r w:rsidR="001C286D">
        <w:rPr>
          <w:rFonts w:ascii="Times New Roman" w:eastAsia="標楷體" w:hint="eastAsia"/>
          <w:spacing w:val="0"/>
          <w:sz w:val="24"/>
          <w:szCs w:val="24"/>
        </w:rPr>
        <w:t>slowing</w:t>
      </w:r>
      <w:r w:rsidRPr="003665B4">
        <w:rPr>
          <w:rFonts w:ascii="Times New Roman" w:eastAsia="標楷體" w:hint="eastAsia"/>
          <w:spacing w:val="0"/>
          <w:sz w:val="24"/>
          <w:szCs w:val="24"/>
        </w:rPr>
        <w:t xml:space="preserve"> global </w:t>
      </w:r>
      <w:r w:rsidRPr="003665B4">
        <w:rPr>
          <w:rFonts w:ascii="Times New Roman" w:eastAsia="標楷體"/>
          <w:spacing w:val="0"/>
          <w:sz w:val="24"/>
          <w:szCs w:val="24"/>
        </w:rPr>
        <w:t>economy</w:t>
      </w:r>
      <w:r w:rsidRPr="003665B4">
        <w:rPr>
          <w:rFonts w:ascii="Times New Roman" w:eastAsia="標楷體" w:hint="eastAsia"/>
          <w:spacing w:val="0"/>
          <w:sz w:val="24"/>
          <w:szCs w:val="24"/>
        </w:rPr>
        <w:t xml:space="preserve">; (2) </w:t>
      </w:r>
      <w:r w:rsidR="00BE5D05" w:rsidRPr="003665B4">
        <w:rPr>
          <w:rFonts w:ascii="Times New Roman" w:eastAsia="標楷體" w:hint="eastAsia"/>
          <w:spacing w:val="0"/>
          <w:sz w:val="24"/>
          <w:szCs w:val="24"/>
        </w:rPr>
        <w:t xml:space="preserve">possible </w:t>
      </w:r>
      <w:r w:rsidR="00B26CF3" w:rsidRPr="003665B4">
        <w:rPr>
          <w:rFonts w:ascii="Times New Roman" w:eastAsia="標楷體" w:hint="eastAsia"/>
          <w:spacing w:val="0"/>
          <w:sz w:val="24"/>
          <w:szCs w:val="24"/>
        </w:rPr>
        <w:t xml:space="preserve">further </w:t>
      </w:r>
      <w:r w:rsidRPr="003665B4">
        <w:rPr>
          <w:rFonts w:ascii="Times New Roman" w:eastAsia="標楷體" w:hint="eastAsia"/>
          <w:spacing w:val="0"/>
          <w:sz w:val="24"/>
          <w:szCs w:val="24"/>
        </w:rPr>
        <w:t>rate</w:t>
      </w:r>
      <w:r w:rsidR="00D91ABB" w:rsidRPr="003665B4">
        <w:rPr>
          <w:rFonts w:ascii="Times New Roman" w:eastAsia="標楷體" w:hint="eastAsia"/>
          <w:spacing w:val="0"/>
          <w:sz w:val="24"/>
          <w:szCs w:val="24"/>
        </w:rPr>
        <w:t xml:space="preserve"> cuts</w:t>
      </w:r>
      <w:r w:rsidR="00B26CF3" w:rsidRPr="003665B4">
        <w:rPr>
          <w:rFonts w:ascii="Times New Roman" w:eastAsia="標楷體" w:hint="eastAsia"/>
          <w:spacing w:val="0"/>
          <w:sz w:val="24"/>
          <w:szCs w:val="24"/>
        </w:rPr>
        <w:t xml:space="preserve"> in </w:t>
      </w:r>
      <w:r w:rsidR="00D91ABB" w:rsidRPr="003665B4">
        <w:rPr>
          <w:rFonts w:ascii="Times New Roman" w:eastAsia="標楷體" w:hint="eastAsia"/>
          <w:spacing w:val="0"/>
          <w:sz w:val="24"/>
          <w:szCs w:val="24"/>
        </w:rPr>
        <w:t xml:space="preserve">mobile </w:t>
      </w:r>
      <w:r w:rsidR="00812349" w:rsidRPr="003665B4">
        <w:rPr>
          <w:rFonts w:ascii="Times New Roman" w:eastAsia="標楷體" w:hint="eastAsia"/>
          <w:spacing w:val="0"/>
          <w:sz w:val="24"/>
          <w:szCs w:val="24"/>
        </w:rPr>
        <w:t>communication rates</w:t>
      </w:r>
      <w:r w:rsidRPr="003665B4">
        <w:rPr>
          <w:rFonts w:ascii="Times New Roman" w:eastAsia="標楷體" w:hint="eastAsia"/>
          <w:spacing w:val="0"/>
          <w:sz w:val="24"/>
          <w:szCs w:val="24"/>
        </w:rPr>
        <w:t>;</w:t>
      </w:r>
      <w:r w:rsidR="00812349" w:rsidRPr="003665B4">
        <w:rPr>
          <w:rFonts w:ascii="Times New Roman" w:eastAsia="標楷體" w:hint="eastAsia"/>
          <w:spacing w:val="0"/>
          <w:sz w:val="24"/>
          <w:szCs w:val="24"/>
        </w:rPr>
        <w:t xml:space="preserve"> </w:t>
      </w:r>
      <w:r w:rsidRPr="003665B4">
        <w:rPr>
          <w:rFonts w:ascii="Times New Roman" w:eastAsia="標楷體" w:hint="eastAsia"/>
          <w:spacing w:val="0"/>
          <w:sz w:val="24"/>
          <w:szCs w:val="24"/>
        </w:rPr>
        <w:t xml:space="preserve">(3) an output gap still </w:t>
      </w:r>
      <w:r w:rsidR="001C286D">
        <w:rPr>
          <w:rFonts w:ascii="Times New Roman" w:eastAsia="標楷體" w:hint="eastAsia"/>
          <w:spacing w:val="0"/>
          <w:sz w:val="24"/>
          <w:szCs w:val="24"/>
        </w:rPr>
        <w:t>slightly in</w:t>
      </w:r>
      <w:r w:rsidRPr="003665B4">
        <w:rPr>
          <w:rFonts w:ascii="Times New Roman" w:eastAsia="標楷體" w:hint="eastAsia"/>
          <w:spacing w:val="0"/>
          <w:sz w:val="24"/>
          <w:szCs w:val="24"/>
        </w:rPr>
        <w:t xml:space="preserve"> the negative territory.</w:t>
      </w:r>
      <w:r w:rsidR="00812349" w:rsidRPr="003665B4">
        <w:rPr>
          <w:rFonts w:ascii="Times New Roman" w:eastAsia="標楷體" w:hint="eastAsia"/>
          <w:spacing w:val="0"/>
          <w:sz w:val="24"/>
          <w:szCs w:val="24"/>
        </w:rPr>
        <w:t xml:space="preserve"> </w:t>
      </w:r>
    </w:p>
    <w:p w:rsidR="00D46F1E" w:rsidRPr="007F6F77" w:rsidRDefault="00D46F1E" w:rsidP="00FA173A">
      <w:pPr>
        <w:numPr>
          <w:ilvl w:val="0"/>
          <w:numId w:val="30"/>
        </w:numPr>
        <w:overflowPunct w:val="0"/>
        <w:autoSpaceDE w:val="0"/>
        <w:autoSpaceDN w:val="0"/>
        <w:snapToGrid w:val="0"/>
        <w:spacing w:before="120" w:line="440" w:lineRule="exact"/>
        <w:ind w:left="426" w:hanging="426"/>
        <w:rPr>
          <w:rFonts w:eastAsia="標楷體"/>
          <w:b/>
          <w:spacing w:val="-2"/>
          <w:sz w:val="24"/>
          <w:szCs w:val="28"/>
        </w:rPr>
      </w:pPr>
      <w:r w:rsidRPr="007F6F77">
        <w:rPr>
          <w:rFonts w:eastAsia="標楷體" w:hint="eastAsia"/>
          <w:b/>
          <w:spacing w:val="-2"/>
          <w:sz w:val="24"/>
          <w:szCs w:val="28"/>
        </w:rPr>
        <w:t>Considerations for Monetary Policy</w:t>
      </w:r>
    </w:p>
    <w:p w:rsidR="00F60876" w:rsidRDefault="00CF3A47" w:rsidP="006F05F7">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 xml:space="preserve">(1) </w:t>
      </w:r>
      <w:r w:rsidR="00BB0B0C">
        <w:rPr>
          <w:rFonts w:eastAsia="標楷體" w:hint="eastAsia"/>
          <w:spacing w:val="-2"/>
          <w:kern w:val="2"/>
          <w:sz w:val="24"/>
          <w:szCs w:val="28"/>
        </w:rPr>
        <w:t>Domestic inflation was</w:t>
      </w:r>
      <w:r w:rsidR="009363B9">
        <w:rPr>
          <w:rFonts w:eastAsia="標楷體"/>
          <w:spacing w:val="-2"/>
          <w:kern w:val="2"/>
          <w:sz w:val="24"/>
          <w:szCs w:val="28"/>
        </w:rPr>
        <w:t xml:space="preserve"> mild and </w:t>
      </w:r>
      <w:r w:rsidR="006F05F7">
        <w:rPr>
          <w:rFonts w:eastAsia="標楷體" w:hint="eastAsia"/>
          <w:spacing w:val="-2"/>
          <w:kern w:val="2"/>
          <w:sz w:val="24"/>
          <w:szCs w:val="28"/>
        </w:rPr>
        <w:t xml:space="preserve">the output gap was expected to remain modestly negative, </w:t>
      </w:r>
      <w:r w:rsidR="00BB0B0C" w:rsidRPr="00BB0B0C">
        <w:rPr>
          <w:rFonts w:eastAsia="標楷體"/>
          <w:spacing w:val="-2"/>
          <w:kern w:val="2"/>
          <w:sz w:val="24"/>
          <w:szCs w:val="28"/>
        </w:rPr>
        <w:t>indicating a stable inflation outlook.</w:t>
      </w:r>
      <w:r w:rsidR="006F05F7">
        <w:rPr>
          <w:rFonts w:eastAsia="標楷體" w:hint="eastAsia"/>
          <w:spacing w:val="-2"/>
          <w:kern w:val="2"/>
          <w:sz w:val="24"/>
          <w:szCs w:val="28"/>
        </w:rPr>
        <w:t xml:space="preserve"> </w:t>
      </w:r>
      <w:r w:rsidR="00F60876">
        <w:rPr>
          <w:rFonts w:eastAsia="標楷體" w:hint="eastAsia"/>
          <w:spacing w:val="-2"/>
          <w:kern w:val="2"/>
          <w:sz w:val="24"/>
          <w:szCs w:val="28"/>
        </w:rPr>
        <w:t xml:space="preserve">The CPI </w:t>
      </w:r>
      <w:r w:rsidR="006F05F7">
        <w:rPr>
          <w:rFonts w:eastAsia="標楷體" w:hint="eastAsia"/>
          <w:spacing w:val="-2"/>
          <w:kern w:val="2"/>
          <w:sz w:val="24"/>
          <w:szCs w:val="28"/>
        </w:rPr>
        <w:t xml:space="preserve">growth rate averaged </w:t>
      </w:r>
      <w:r w:rsidR="00F60876">
        <w:rPr>
          <w:rFonts w:eastAsia="標楷體" w:hint="eastAsia"/>
          <w:spacing w:val="-2"/>
          <w:kern w:val="2"/>
          <w:sz w:val="24"/>
          <w:szCs w:val="28"/>
        </w:rPr>
        <w:t>0.</w:t>
      </w:r>
      <w:r w:rsidR="006F05F7">
        <w:rPr>
          <w:rFonts w:eastAsia="標楷體" w:hint="eastAsia"/>
          <w:spacing w:val="-2"/>
          <w:kern w:val="2"/>
          <w:sz w:val="24"/>
          <w:szCs w:val="28"/>
        </w:rPr>
        <w:t>53</w:t>
      </w:r>
      <w:r w:rsidR="00F60876">
        <w:rPr>
          <w:rFonts w:eastAsia="標楷體" w:hint="eastAsia"/>
          <w:spacing w:val="-2"/>
          <w:kern w:val="2"/>
          <w:sz w:val="24"/>
          <w:szCs w:val="28"/>
        </w:rPr>
        <w:t xml:space="preserve">% </w:t>
      </w:r>
      <w:r w:rsidR="006F05F7">
        <w:rPr>
          <w:rFonts w:eastAsia="標楷體" w:hint="eastAsia"/>
          <w:spacing w:val="-2"/>
          <w:kern w:val="2"/>
          <w:sz w:val="24"/>
          <w:szCs w:val="28"/>
        </w:rPr>
        <w:t>for the first eight months this year and was</w:t>
      </w:r>
      <w:r w:rsidR="00F60876">
        <w:rPr>
          <w:rFonts w:eastAsia="標楷體" w:hint="eastAsia"/>
          <w:spacing w:val="-2"/>
          <w:kern w:val="2"/>
          <w:sz w:val="24"/>
          <w:szCs w:val="28"/>
        </w:rPr>
        <w:t xml:space="preserve"> projected by the Bank to </w:t>
      </w:r>
      <w:r w:rsidR="006F05F7">
        <w:rPr>
          <w:rFonts w:eastAsia="標楷體" w:hint="eastAsia"/>
          <w:spacing w:val="-2"/>
          <w:kern w:val="2"/>
          <w:sz w:val="24"/>
          <w:szCs w:val="28"/>
        </w:rPr>
        <w:t>register</w:t>
      </w:r>
      <w:r w:rsidR="00F60876">
        <w:rPr>
          <w:rFonts w:eastAsia="標楷體" w:hint="eastAsia"/>
          <w:spacing w:val="-2"/>
          <w:kern w:val="2"/>
          <w:sz w:val="24"/>
          <w:szCs w:val="28"/>
        </w:rPr>
        <w:t xml:space="preserve"> 0.</w:t>
      </w:r>
      <w:r w:rsidR="006F05F7">
        <w:rPr>
          <w:rFonts w:eastAsia="標楷體" w:hint="eastAsia"/>
          <w:spacing w:val="-2"/>
          <w:kern w:val="2"/>
          <w:sz w:val="24"/>
          <w:szCs w:val="28"/>
        </w:rPr>
        <w:t>70</w:t>
      </w:r>
      <w:r w:rsidR="00F60876">
        <w:rPr>
          <w:rFonts w:eastAsia="標楷體" w:hint="eastAsia"/>
          <w:spacing w:val="-2"/>
          <w:kern w:val="2"/>
          <w:sz w:val="24"/>
          <w:szCs w:val="28"/>
        </w:rPr>
        <w:t xml:space="preserve">% </w:t>
      </w:r>
      <w:r w:rsidR="006F05F7">
        <w:rPr>
          <w:rFonts w:eastAsia="標楷體" w:hint="eastAsia"/>
          <w:spacing w:val="-2"/>
          <w:kern w:val="2"/>
          <w:sz w:val="24"/>
          <w:szCs w:val="28"/>
        </w:rPr>
        <w:t xml:space="preserve">for the year as a whole </w:t>
      </w:r>
      <w:r w:rsidR="00F60876">
        <w:rPr>
          <w:rFonts w:eastAsia="標楷體" w:hint="eastAsia"/>
          <w:spacing w:val="-2"/>
          <w:kern w:val="2"/>
          <w:sz w:val="24"/>
          <w:szCs w:val="28"/>
        </w:rPr>
        <w:t>and 0.</w:t>
      </w:r>
      <w:r w:rsidR="006F05F7">
        <w:rPr>
          <w:rFonts w:eastAsia="標楷體" w:hint="eastAsia"/>
          <w:spacing w:val="-2"/>
          <w:kern w:val="2"/>
          <w:sz w:val="24"/>
          <w:szCs w:val="28"/>
        </w:rPr>
        <w:t xml:space="preserve">88% next year. </w:t>
      </w:r>
    </w:p>
    <w:p w:rsidR="00642615" w:rsidRPr="00B70ADF" w:rsidRDefault="00CF3A47" w:rsidP="00BB2311">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(2)</w:t>
      </w:r>
      <w:r w:rsidR="008663B9">
        <w:rPr>
          <w:rFonts w:eastAsia="標楷體" w:hint="eastAsia"/>
          <w:spacing w:val="-2"/>
          <w:kern w:val="2"/>
          <w:sz w:val="24"/>
          <w:szCs w:val="28"/>
        </w:rPr>
        <w:t xml:space="preserve"> </w:t>
      </w:r>
      <w:r w:rsidR="00F246D4">
        <w:rPr>
          <w:rFonts w:eastAsia="標楷體" w:hint="eastAsia"/>
          <w:spacing w:val="-2"/>
          <w:kern w:val="2"/>
          <w:sz w:val="24"/>
          <w:szCs w:val="28"/>
        </w:rPr>
        <w:t>As s</w:t>
      </w:r>
      <w:r w:rsidR="00F246D4" w:rsidRPr="00B70ADF">
        <w:rPr>
          <w:rFonts w:eastAsia="標楷體" w:hint="eastAsia"/>
          <w:spacing w:val="-2"/>
          <w:kern w:val="2"/>
          <w:sz w:val="24"/>
          <w:szCs w:val="28"/>
        </w:rPr>
        <w:t xml:space="preserve">luggish global economic growth and high uncertainties weigh on external demand, </w:t>
      </w:r>
      <w:r w:rsidR="009C7578" w:rsidRPr="00B70ADF">
        <w:rPr>
          <w:rFonts w:eastAsia="標楷體" w:hint="eastAsia"/>
          <w:spacing w:val="-2"/>
          <w:kern w:val="2"/>
          <w:sz w:val="24"/>
          <w:szCs w:val="28"/>
        </w:rPr>
        <w:t xml:space="preserve">the </w:t>
      </w:r>
      <w:r w:rsidR="00F246D4" w:rsidRPr="00B70ADF">
        <w:rPr>
          <w:rFonts w:eastAsia="標楷體" w:hint="eastAsia"/>
          <w:spacing w:val="-2"/>
          <w:kern w:val="2"/>
          <w:sz w:val="24"/>
          <w:szCs w:val="28"/>
        </w:rPr>
        <w:t>domestic econom</w:t>
      </w:r>
      <w:r w:rsidR="009C7578" w:rsidRPr="00B70ADF">
        <w:rPr>
          <w:rFonts w:eastAsia="標楷體" w:hint="eastAsia"/>
          <w:spacing w:val="-2"/>
          <w:kern w:val="2"/>
          <w:sz w:val="24"/>
          <w:szCs w:val="28"/>
        </w:rPr>
        <w:t>y</w:t>
      </w:r>
      <w:r w:rsidR="00F246D4" w:rsidRPr="00B70ADF">
        <w:rPr>
          <w:rFonts w:eastAsia="標楷體" w:hint="eastAsia"/>
          <w:spacing w:val="-2"/>
          <w:kern w:val="2"/>
          <w:sz w:val="24"/>
          <w:szCs w:val="28"/>
        </w:rPr>
        <w:t xml:space="preserve"> </w:t>
      </w:r>
      <w:r w:rsidR="009C7578" w:rsidRPr="00B70ADF">
        <w:rPr>
          <w:rFonts w:eastAsia="標楷體" w:hint="eastAsia"/>
          <w:spacing w:val="-2"/>
          <w:kern w:val="2"/>
          <w:sz w:val="24"/>
          <w:szCs w:val="28"/>
        </w:rPr>
        <w:t xml:space="preserve">was projected to expand with mild momentum </w:t>
      </w:r>
      <w:r w:rsidR="009C7578" w:rsidRPr="00B70ADF">
        <w:rPr>
          <w:rFonts w:eastAsia="標楷體"/>
          <w:spacing w:val="-2"/>
          <w:kern w:val="2"/>
          <w:sz w:val="24"/>
          <w:szCs w:val="28"/>
        </w:rPr>
        <w:t>in the</w:t>
      </w:r>
      <w:r w:rsidR="009C7578" w:rsidRPr="00B70ADF">
        <w:rPr>
          <w:rFonts w:eastAsia="標楷體" w:hint="eastAsia"/>
          <w:spacing w:val="-2"/>
          <w:kern w:val="2"/>
          <w:sz w:val="24"/>
          <w:szCs w:val="28"/>
        </w:rPr>
        <w:t xml:space="preserve"> second half of 2019 through 2020. </w:t>
      </w:r>
      <w:r w:rsidR="009C7578" w:rsidRPr="00B70ADF">
        <w:rPr>
          <w:rFonts w:eastAsia="標楷體"/>
          <w:spacing w:val="-2"/>
          <w:kern w:val="2"/>
          <w:sz w:val="24"/>
          <w:szCs w:val="28"/>
        </w:rPr>
        <w:t>T</w:t>
      </w:r>
      <w:r w:rsidR="009C7578" w:rsidRPr="00B70ADF">
        <w:rPr>
          <w:rFonts w:eastAsia="標楷體" w:hint="eastAsia"/>
          <w:spacing w:val="-2"/>
          <w:kern w:val="2"/>
          <w:sz w:val="24"/>
          <w:szCs w:val="28"/>
        </w:rPr>
        <w:t>he Bank</w:t>
      </w:r>
      <w:r w:rsidR="009C7578" w:rsidRPr="00B70ADF">
        <w:rPr>
          <w:rFonts w:eastAsia="標楷體"/>
          <w:spacing w:val="-2"/>
          <w:kern w:val="2"/>
          <w:sz w:val="24"/>
          <w:szCs w:val="28"/>
        </w:rPr>
        <w:t xml:space="preserve"> forecast</w:t>
      </w:r>
      <w:r w:rsidR="00B70ADF" w:rsidRPr="00B70ADF">
        <w:rPr>
          <w:rFonts w:eastAsia="標楷體" w:hint="eastAsia"/>
          <w:spacing w:val="-2"/>
          <w:kern w:val="2"/>
          <w:sz w:val="24"/>
          <w:szCs w:val="28"/>
        </w:rPr>
        <w:t>ed Taiwan</w:t>
      </w:r>
      <w:r w:rsidR="00B70ADF" w:rsidRPr="00B70ADF">
        <w:rPr>
          <w:rFonts w:eastAsia="標楷體"/>
          <w:spacing w:val="-2"/>
          <w:kern w:val="2"/>
          <w:sz w:val="24"/>
          <w:szCs w:val="28"/>
        </w:rPr>
        <w:t>’</w:t>
      </w:r>
      <w:r w:rsidR="00B70ADF" w:rsidRPr="00B70ADF">
        <w:rPr>
          <w:rFonts w:eastAsia="標楷體" w:hint="eastAsia"/>
          <w:spacing w:val="-2"/>
          <w:kern w:val="2"/>
          <w:sz w:val="24"/>
          <w:szCs w:val="28"/>
        </w:rPr>
        <w:t xml:space="preserve">s economic growth rate to be 2.66% in the second half of the year, 2.40% for the year as a whole, and 2.34% for the year of 2020. </w:t>
      </w:r>
    </w:p>
    <w:p w:rsidR="00B70ADF" w:rsidRDefault="00B70ADF" w:rsidP="00BB2311">
      <w:pPr>
        <w:adjustRightInd/>
        <w:spacing w:before="120" w:line="440" w:lineRule="exact"/>
        <w:ind w:left="363" w:hangingChars="154" w:hanging="363"/>
        <w:textAlignment w:val="auto"/>
        <w:rPr>
          <w:rFonts w:eastAsiaTheme="minorEastAsia"/>
          <w:spacing w:val="-2"/>
          <w:kern w:val="2"/>
          <w:sz w:val="24"/>
          <w:szCs w:val="28"/>
        </w:rPr>
      </w:pPr>
      <w:r>
        <w:rPr>
          <w:rFonts w:eastAsiaTheme="minorEastAsia" w:hint="eastAsia"/>
          <w:spacing w:val="-2"/>
          <w:kern w:val="2"/>
          <w:sz w:val="24"/>
          <w:szCs w:val="28"/>
        </w:rPr>
        <w:t>(3) Compared to major economies, Taiwan</w:t>
      </w:r>
      <w:r>
        <w:rPr>
          <w:rFonts w:eastAsiaTheme="minorEastAsia"/>
          <w:spacing w:val="-2"/>
          <w:kern w:val="2"/>
          <w:sz w:val="24"/>
          <w:szCs w:val="28"/>
        </w:rPr>
        <w:t>’</w:t>
      </w:r>
      <w:r>
        <w:rPr>
          <w:rFonts w:eastAsiaTheme="minorEastAsia" w:hint="eastAsia"/>
          <w:spacing w:val="-2"/>
          <w:kern w:val="2"/>
          <w:sz w:val="24"/>
          <w:szCs w:val="28"/>
        </w:rPr>
        <w:t xml:space="preserve">s real interest rate was in the middle range. </w:t>
      </w:r>
    </w:p>
    <w:p w:rsidR="00D46F1E" w:rsidRPr="007F6F77" w:rsidRDefault="00D46F1E" w:rsidP="00FA173A">
      <w:pPr>
        <w:adjustRightInd/>
        <w:snapToGrid w:val="0"/>
        <w:spacing w:before="120" w:line="440" w:lineRule="exact"/>
        <w:jc w:val="both"/>
        <w:textDirection w:val="lrTbV"/>
        <w:rPr>
          <w:rFonts w:eastAsia="標楷體"/>
          <w:b/>
          <w:sz w:val="28"/>
          <w:szCs w:val="28"/>
        </w:rPr>
      </w:pPr>
      <w:r w:rsidRPr="007F6F77">
        <w:rPr>
          <w:rFonts w:eastAsia="標楷體" w:hint="eastAsia"/>
          <w:b/>
          <w:sz w:val="28"/>
          <w:szCs w:val="28"/>
        </w:rPr>
        <w:t xml:space="preserve">II. Proposition and Decision about Monetary Policy </w:t>
      </w:r>
    </w:p>
    <w:p w:rsidR="00D46F1E" w:rsidRPr="007F6F77" w:rsidRDefault="00D46F1E" w:rsidP="00FA173A">
      <w:pPr>
        <w:numPr>
          <w:ilvl w:val="0"/>
          <w:numId w:val="37"/>
        </w:numPr>
        <w:overflowPunct w:val="0"/>
        <w:autoSpaceDE w:val="0"/>
        <w:autoSpaceDN w:val="0"/>
        <w:snapToGrid w:val="0"/>
        <w:spacing w:before="120" w:line="440" w:lineRule="exact"/>
        <w:ind w:left="426" w:hanging="426"/>
        <w:textDirection w:val="lrTbV"/>
        <w:rPr>
          <w:rFonts w:eastAsia="標楷體"/>
          <w:b/>
          <w:spacing w:val="-2"/>
          <w:sz w:val="24"/>
          <w:szCs w:val="28"/>
        </w:rPr>
      </w:pPr>
      <w:r w:rsidRPr="007F6F77">
        <w:rPr>
          <w:rFonts w:eastAsia="標楷體" w:hint="eastAsia"/>
          <w:b/>
          <w:spacing w:val="-2"/>
          <w:sz w:val="24"/>
          <w:szCs w:val="28"/>
        </w:rPr>
        <w:t>Policy Proposition: To keep t</w:t>
      </w:r>
      <w:r w:rsidRPr="007F6F77">
        <w:rPr>
          <w:rFonts w:eastAsia="標楷體"/>
          <w:b/>
          <w:spacing w:val="-2"/>
          <w:sz w:val="24"/>
          <w:szCs w:val="28"/>
        </w:rPr>
        <w:t>he discount rate, the rate on accommodations with collateral, and the rate on accommodations without collateral unchanged at 1.375%, 1.75%, and 3.625%, respectively.</w:t>
      </w:r>
    </w:p>
    <w:p w:rsidR="00D46F1E" w:rsidRPr="007F6F77" w:rsidRDefault="00A32D1B" w:rsidP="0090183B">
      <w:pPr>
        <w:numPr>
          <w:ilvl w:val="0"/>
          <w:numId w:val="37"/>
        </w:numPr>
        <w:overflowPunct w:val="0"/>
        <w:autoSpaceDE w:val="0"/>
        <w:autoSpaceDN w:val="0"/>
        <w:snapToGrid w:val="0"/>
        <w:spacing w:before="120" w:line="440" w:lineRule="exact"/>
        <w:ind w:left="426" w:hanging="426"/>
        <w:textDirection w:val="lrTbV"/>
        <w:rPr>
          <w:rFonts w:eastAsia="標楷體"/>
          <w:spacing w:val="-2"/>
          <w:sz w:val="24"/>
          <w:szCs w:val="28"/>
        </w:rPr>
      </w:pPr>
      <w:r w:rsidRPr="007F6F77">
        <w:rPr>
          <w:rFonts w:eastAsia="標楷體" w:hint="eastAsia"/>
          <w:spacing w:val="-2"/>
          <w:sz w:val="24"/>
          <w:szCs w:val="28"/>
        </w:rPr>
        <w:t>B</w:t>
      </w:r>
      <w:r w:rsidR="00D46F1E" w:rsidRPr="007F6F77">
        <w:rPr>
          <w:rFonts w:eastAsia="標楷體" w:hint="eastAsia"/>
          <w:spacing w:val="-2"/>
          <w:sz w:val="24"/>
          <w:szCs w:val="28"/>
        </w:rPr>
        <w:t xml:space="preserve">oard members </w:t>
      </w:r>
      <w:r w:rsidRPr="007F6F77">
        <w:rPr>
          <w:rFonts w:eastAsia="標楷體" w:hint="eastAsia"/>
          <w:spacing w:val="-2"/>
          <w:sz w:val="24"/>
          <w:szCs w:val="28"/>
        </w:rPr>
        <w:t xml:space="preserve">reached a unanimous vote </w:t>
      </w:r>
      <w:r w:rsidR="0090183B">
        <w:rPr>
          <w:rFonts w:eastAsia="標楷體" w:hint="eastAsia"/>
          <w:spacing w:val="-2"/>
          <w:sz w:val="24"/>
          <w:szCs w:val="28"/>
        </w:rPr>
        <w:t xml:space="preserve">to keep the </w:t>
      </w:r>
      <w:r w:rsidRPr="007F6F77">
        <w:rPr>
          <w:rFonts w:eastAsia="標楷體" w:hint="eastAsia"/>
          <w:spacing w:val="-2"/>
          <w:sz w:val="24"/>
          <w:szCs w:val="28"/>
        </w:rPr>
        <w:t xml:space="preserve">policy rates unchanged. </w:t>
      </w:r>
      <w:r w:rsidR="00D46F1E" w:rsidRPr="007F6F77">
        <w:rPr>
          <w:rFonts w:eastAsia="標楷體" w:hint="eastAsia"/>
          <w:spacing w:val="-2"/>
          <w:sz w:val="24"/>
          <w:szCs w:val="28"/>
        </w:rPr>
        <w:t>The discussions are summarized as follows.</w:t>
      </w:r>
    </w:p>
    <w:p w:rsidR="000571DE" w:rsidRPr="00F15E34" w:rsidRDefault="000571DE" w:rsidP="00BE514F">
      <w:pPr>
        <w:overflowPunct w:val="0"/>
        <w:autoSpaceDE w:val="0"/>
        <w:autoSpaceDN w:val="0"/>
        <w:snapToGrid w:val="0"/>
        <w:spacing w:before="120" w:line="440" w:lineRule="exact"/>
        <w:rPr>
          <w:rFonts w:eastAsia="標楷體"/>
          <w:spacing w:val="-2"/>
          <w:sz w:val="24"/>
          <w:szCs w:val="28"/>
        </w:rPr>
      </w:pPr>
      <w:r w:rsidRPr="00F15E34">
        <w:rPr>
          <w:rFonts w:eastAsia="標楷體" w:hint="eastAsia"/>
          <w:spacing w:val="-2"/>
          <w:sz w:val="24"/>
          <w:szCs w:val="28"/>
        </w:rPr>
        <w:t>(1) Discussion on domestic economic and financial conditions</w:t>
      </w:r>
    </w:p>
    <w:p w:rsidR="00C64D1B" w:rsidRDefault="0090183B" w:rsidP="00107CFE">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With</w:t>
      </w:r>
      <w:r w:rsidR="00CF02A5">
        <w:rPr>
          <w:rFonts w:ascii="Times New Roman" w:eastAsia="標楷體" w:hint="eastAsia"/>
          <w:spacing w:val="-2"/>
          <w:sz w:val="24"/>
          <w:szCs w:val="28"/>
        </w:rPr>
        <w:t xml:space="preserve"> respect </w:t>
      </w:r>
      <w:r>
        <w:rPr>
          <w:rFonts w:ascii="Times New Roman" w:eastAsia="標楷體" w:hint="eastAsia"/>
          <w:spacing w:val="-2"/>
          <w:sz w:val="24"/>
          <w:szCs w:val="28"/>
        </w:rPr>
        <w:t xml:space="preserve">to </w:t>
      </w:r>
      <w:r w:rsidR="00EF4C3F">
        <w:rPr>
          <w:rFonts w:ascii="Times New Roman" w:eastAsia="標楷體" w:hint="eastAsia"/>
          <w:spacing w:val="-2"/>
          <w:sz w:val="24"/>
          <w:szCs w:val="28"/>
        </w:rPr>
        <w:t>economic situations</w:t>
      </w:r>
      <w:r>
        <w:rPr>
          <w:rFonts w:ascii="Times New Roman" w:eastAsia="標楷體" w:hint="eastAsia"/>
          <w:spacing w:val="-2"/>
          <w:sz w:val="24"/>
          <w:szCs w:val="28"/>
        </w:rPr>
        <w:t xml:space="preserve"> at home</w:t>
      </w:r>
      <w:r w:rsidR="00EF4C3F">
        <w:rPr>
          <w:rFonts w:ascii="Times New Roman" w:eastAsia="標楷體" w:hint="eastAsia"/>
          <w:spacing w:val="-2"/>
          <w:sz w:val="24"/>
          <w:szCs w:val="28"/>
        </w:rPr>
        <w:t xml:space="preserve">, several </w:t>
      </w:r>
      <w:r w:rsidR="00EF4C3F">
        <w:rPr>
          <w:rFonts w:ascii="Times New Roman" w:eastAsia="標楷體"/>
          <w:spacing w:val="-2"/>
          <w:sz w:val="24"/>
          <w:szCs w:val="28"/>
        </w:rPr>
        <w:t>board</w:t>
      </w:r>
      <w:r w:rsidR="00EF4C3F">
        <w:rPr>
          <w:rFonts w:ascii="Times New Roman" w:eastAsia="標楷體" w:hint="eastAsia"/>
          <w:spacing w:val="-2"/>
          <w:sz w:val="24"/>
          <w:szCs w:val="28"/>
        </w:rPr>
        <w:t xml:space="preserve"> directors </w:t>
      </w:r>
      <w:r w:rsidR="00AB2859">
        <w:rPr>
          <w:rFonts w:ascii="Times New Roman" w:eastAsia="標楷體" w:hint="eastAsia"/>
          <w:spacing w:val="-2"/>
          <w:sz w:val="24"/>
          <w:szCs w:val="28"/>
        </w:rPr>
        <w:t>gave opinion on</w:t>
      </w:r>
      <w:r>
        <w:rPr>
          <w:rFonts w:ascii="Times New Roman" w:eastAsia="標楷體" w:hint="eastAsia"/>
          <w:spacing w:val="-2"/>
          <w:sz w:val="24"/>
          <w:szCs w:val="28"/>
        </w:rPr>
        <w:t xml:space="preserve"> the </w:t>
      </w:r>
      <w:r w:rsidR="00B912F3">
        <w:rPr>
          <w:rFonts w:ascii="Times New Roman" w:eastAsia="標楷體" w:hint="eastAsia"/>
          <w:spacing w:val="-2"/>
          <w:sz w:val="24"/>
          <w:szCs w:val="28"/>
        </w:rPr>
        <w:t>effects</w:t>
      </w:r>
      <w:r>
        <w:rPr>
          <w:rFonts w:ascii="Times New Roman" w:eastAsia="標楷體" w:hint="eastAsia"/>
          <w:spacing w:val="-2"/>
          <w:sz w:val="24"/>
          <w:szCs w:val="28"/>
        </w:rPr>
        <w:t xml:space="preserve"> of domestic investment on the economic development. One board director stated that</w:t>
      </w:r>
      <w:r w:rsidR="00FD4BDD">
        <w:rPr>
          <w:rFonts w:ascii="Times New Roman" w:eastAsia="標楷體" w:hint="eastAsia"/>
          <w:spacing w:val="-2"/>
          <w:sz w:val="24"/>
          <w:szCs w:val="28"/>
        </w:rPr>
        <w:t xml:space="preserve"> </w:t>
      </w:r>
      <w:r>
        <w:rPr>
          <w:rFonts w:ascii="Times New Roman" w:eastAsia="標楷體" w:hint="eastAsia"/>
          <w:spacing w:val="-2"/>
          <w:sz w:val="24"/>
          <w:szCs w:val="28"/>
        </w:rPr>
        <w:t xml:space="preserve">the </w:t>
      </w:r>
      <w:r w:rsidR="00FD4BDD">
        <w:rPr>
          <w:rFonts w:ascii="Times New Roman" w:eastAsia="標楷體" w:hint="eastAsia"/>
          <w:spacing w:val="-2"/>
          <w:sz w:val="24"/>
          <w:szCs w:val="28"/>
        </w:rPr>
        <w:t>government</w:t>
      </w:r>
      <w:r w:rsidR="00FD4BDD">
        <w:rPr>
          <w:rFonts w:ascii="Times New Roman" w:eastAsia="標楷體"/>
          <w:spacing w:val="-2"/>
          <w:sz w:val="24"/>
          <w:szCs w:val="28"/>
        </w:rPr>
        <w:t>’</w:t>
      </w:r>
      <w:r w:rsidR="00FD4BDD">
        <w:rPr>
          <w:rFonts w:ascii="Times New Roman" w:eastAsia="標楷體" w:hint="eastAsia"/>
          <w:spacing w:val="-2"/>
          <w:sz w:val="24"/>
          <w:szCs w:val="28"/>
        </w:rPr>
        <w:t xml:space="preserve">s </w:t>
      </w:r>
      <w:r>
        <w:rPr>
          <w:rFonts w:ascii="Times New Roman" w:eastAsia="標楷體" w:hint="eastAsia"/>
          <w:spacing w:val="-2"/>
          <w:sz w:val="24"/>
          <w:szCs w:val="28"/>
        </w:rPr>
        <w:t xml:space="preserve">three major programs </w:t>
      </w:r>
      <w:r w:rsidR="00B912F3">
        <w:rPr>
          <w:rFonts w:ascii="Times New Roman" w:eastAsia="標楷體" w:hint="eastAsia"/>
          <w:spacing w:val="-2"/>
          <w:sz w:val="24"/>
          <w:szCs w:val="28"/>
        </w:rPr>
        <w:t xml:space="preserve">promoting </w:t>
      </w:r>
      <w:r>
        <w:rPr>
          <w:rFonts w:ascii="Times New Roman" w:eastAsia="標楷體" w:hint="eastAsia"/>
          <w:spacing w:val="-2"/>
          <w:sz w:val="24"/>
          <w:szCs w:val="28"/>
        </w:rPr>
        <w:t xml:space="preserve">investment </w:t>
      </w:r>
      <w:r w:rsidR="00FD4BDD">
        <w:rPr>
          <w:rFonts w:ascii="Times New Roman" w:eastAsia="標楷體" w:hint="eastAsia"/>
          <w:spacing w:val="-2"/>
          <w:sz w:val="24"/>
          <w:szCs w:val="28"/>
        </w:rPr>
        <w:t xml:space="preserve">back </w:t>
      </w:r>
      <w:r>
        <w:rPr>
          <w:rFonts w:ascii="Times New Roman" w:eastAsia="標楷體" w:hint="eastAsia"/>
          <w:spacing w:val="-2"/>
          <w:sz w:val="24"/>
          <w:szCs w:val="28"/>
        </w:rPr>
        <w:t xml:space="preserve">in Taiwan have </w:t>
      </w:r>
      <w:r w:rsidR="00C93DAB">
        <w:rPr>
          <w:rFonts w:ascii="Times New Roman" w:eastAsia="標楷體" w:hint="eastAsia"/>
          <w:spacing w:val="-2"/>
          <w:sz w:val="24"/>
          <w:szCs w:val="28"/>
        </w:rPr>
        <w:t xml:space="preserve">altogether </w:t>
      </w:r>
      <w:r>
        <w:rPr>
          <w:rFonts w:ascii="Times New Roman" w:eastAsia="標楷體" w:hint="eastAsia"/>
          <w:spacing w:val="-2"/>
          <w:sz w:val="24"/>
          <w:szCs w:val="28"/>
        </w:rPr>
        <w:t>attr</w:t>
      </w:r>
      <w:r w:rsidR="00B912F3">
        <w:rPr>
          <w:rFonts w:ascii="Times New Roman" w:eastAsia="標楷體" w:hint="eastAsia"/>
          <w:spacing w:val="-2"/>
          <w:sz w:val="24"/>
          <w:szCs w:val="28"/>
        </w:rPr>
        <w:t>acted more than NT$600 billion, with some</w:t>
      </w:r>
      <w:r w:rsidR="00815708">
        <w:rPr>
          <w:rFonts w:ascii="Times New Roman" w:eastAsia="標楷體" w:hint="eastAsia"/>
          <w:spacing w:val="-2"/>
          <w:sz w:val="24"/>
          <w:szCs w:val="28"/>
        </w:rPr>
        <w:t xml:space="preserve"> investments</w:t>
      </w:r>
      <w:r w:rsidR="00B912F3">
        <w:rPr>
          <w:rFonts w:ascii="Times New Roman" w:eastAsia="標楷體" w:hint="eastAsia"/>
          <w:spacing w:val="-2"/>
          <w:sz w:val="24"/>
          <w:szCs w:val="28"/>
        </w:rPr>
        <w:t xml:space="preserve"> </w:t>
      </w:r>
      <w:r>
        <w:rPr>
          <w:rFonts w:ascii="Times New Roman" w:eastAsia="標楷體" w:hint="eastAsia"/>
          <w:spacing w:val="-2"/>
          <w:sz w:val="24"/>
          <w:szCs w:val="28"/>
        </w:rPr>
        <w:t xml:space="preserve">to be </w:t>
      </w:r>
      <w:r w:rsidR="00B912F3">
        <w:rPr>
          <w:rFonts w:ascii="Times New Roman" w:eastAsia="標楷體" w:hint="eastAsia"/>
          <w:spacing w:val="-2"/>
          <w:sz w:val="24"/>
          <w:szCs w:val="28"/>
        </w:rPr>
        <w:t xml:space="preserve">carried out by the end of this </w:t>
      </w:r>
      <w:r w:rsidR="00B912F3">
        <w:rPr>
          <w:rFonts w:ascii="Times New Roman" w:eastAsia="標楷體" w:hint="eastAsia"/>
          <w:spacing w:val="-2"/>
          <w:sz w:val="24"/>
          <w:szCs w:val="28"/>
        </w:rPr>
        <w:lastRenderedPageBreak/>
        <w:t xml:space="preserve">year and </w:t>
      </w:r>
      <w:r w:rsidR="00815708">
        <w:rPr>
          <w:rFonts w:ascii="Times New Roman" w:eastAsia="標楷體" w:hint="eastAsia"/>
          <w:spacing w:val="-2"/>
          <w:sz w:val="24"/>
          <w:szCs w:val="28"/>
        </w:rPr>
        <w:t xml:space="preserve">more to be implemented </w:t>
      </w:r>
      <w:r w:rsidR="00B912F3">
        <w:rPr>
          <w:rFonts w:ascii="Times New Roman" w:eastAsia="標楷體" w:hint="eastAsia"/>
          <w:spacing w:val="-2"/>
          <w:sz w:val="24"/>
          <w:szCs w:val="28"/>
        </w:rPr>
        <w:t xml:space="preserve">over the next few years. </w:t>
      </w:r>
      <w:r w:rsidR="00C93DAB">
        <w:rPr>
          <w:rFonts w:ascii="Times New Roman" w:eastAsia="標楷體" w:hint="eastAsia"/>
          <w:spacing w:val="-2"/>
          <w:sz w:val="24"/>
          <w:szCs w:val="28"/>
        </w:rPr>
        <w:t xml:space="preserve">As </w:t>
      </w:r>
      <w:r w:rsidR="00107CFE">
        <w:rPr>
          <w:rFonts w:ascii="Times New Roman" w:eastAsia="標楷體" w:hint="eastAsia"/>
          <w:spacing w:val="-2"/>
          <w:sz w:val="24"/>
          <w:szCs w:val="28"/>
        </w:rPr>
        <w:t xml:space="preserve">the majority of these firms came from </w:t>
      </w:r>
      <w:r w:rsidR="00C93DAB">
        <w:rPr>
          <w:rFonts w:ascii="Times New Roman" w:eastAsia="標楷體" w:hint="eastAsia"/>
          <w:spacing w:val="-2"/>
          <w:sz w:val="24"/>
          <w:szCs w:val="28"/>
        </w:rPr>
        <w:t xml:space="preserve">the electronics and IT industry and the metal and electrical </w:t>
      </w:r>
      <w:r w:rsidR="00107CFE">
        <w:rPr>
          <w:rFonts w:ascii="Times New Roman" w:eastAsia="標楷體" w:hint="eastAsia"/>
          <w:spacing w:val="-2"/>
          <w:sz w:val="24"/>
          <w:szCs w:val="28"/>
        </w:rPr>
        <w:t xml:space="preserve">industry, </w:t>
      </w:r>
      <w:r w:rsidR="00FD4BDD">
        <w:rPr>
          <w:rFonts w:ascii="Times New Roman" w:eastAsia="標楷體" w:hint="eastAsia"/>
          <w:spacing w:val="-2"/>
          <w:sz w:val="24"/>
          <w:szCs w:val="28"/>
        </w:rPr>
        <w:t xml:space="preserve">this </w:t>
      </w:r>
      <w:r w:rsidR="00107CFE">
        <w:rPr>
          <w:rFonts w:ascii="Times New Roman" w:eastAsia="標楷體" w:hint="eastAsia"/>
          <w:spacing w:val="-2"/>
          <w:sz w:val="24"/>
          <w:szCs w:val="28"/>
        </w:rPr>
        <w:t xml:space="preserve">was expected to help facilitate domestic supply chain </w:t>
      </w:r>
      <w:r w:rsidR="00163D62">
        <w:rPr>
          <w:rFonts w:ascii="Times New Roman" w:eastAsia="標楷體" w:hint="eastAsia"/>
          <w:spacing w:val="-2"/>
          <w:sz w:val="24"/>
          <w:szCs w:val="28"/>
        </w:rPr>
        <w:t>development</w:t>
      </w:r>
      <w:r w:rsidR="00107CFE">
        <w:rPr>
          <w:rFonts w:ascii="Times New Roman" w:eastAsia="標楷體" w:hint="eastAsia"/>
          <w:spacing w:val="-2"/>
          <w:sz w:val="24"/>
          <w:szCs w:val="28"/>
        </w:rPr>
        <w:t xml:space="preserve"> and induce more investment from related industries. </w:t>
      </w:r>
      <w:r w:rsidR="00FD4BDD">
        <w:rPr>
          <w:rFonts w:ascii="Times New Roman" w:eastAsia="標楷體" w:hint="eastAsia"/>
          <w:spacing w:val="-2"/>
          <w:sz w:val="24"/>
          <w:szCs w:val="28"/>
        </w:rPr>
        <w:t xml:space="preserve">It was also observed that export value of related industries had already increased, boosting domestic employment along the way. Another board director </w:t>
      </w:r>
      <w:r w:rsidR="00C64D1B">
        <w:rPr>
          <w:rFonts w:ascii="Times New Roman" w:eastAsia="標楷體" w:hint="eastAsia"/>
          <w:spacing w:val="-2"/>
          <w:sz w:val="24"/>
          <w:szCs w:val="28"/>
        </w:rPr>
        <w:t xml:space="preserve">added that the action plan to fast-track </w:t>
      </w:r>
      <w:r w:rsidR="00815708">
        <w:rPr>
          <w:rFonts w:ascii="Times New Roman" w:eastAsia="標楷體" w:hint="eastAsia"/>
          <w:spacing w:val="-2"/>
          <w:sz w:val="24"/>
          <w:szCs w:val="28"/>
        </w:rPr>
        <w:t xml:space="preserve">SME </w:t>
      </w:r>
      <w:r w:rsidR="00C64D1B">
        <w:rPr>
          <w:rFonts w:ascii="Times New Roman" w:eastAsia="標楷體" w:hint="eastAsia"/>
          <w:spacing w:val="-2"/>
          <w:sz w:val="24"/>
          <w:szCs w:val="28"/>
        </w:rPr>
        <w:t>investments</w:t>
      </w:r>
      <w:r w:rsidR="005E78FC">
        <w:rPr>
          <w:rFonts w:ascii="Times New Roman" w:eastAsia="標楷體" w:hint="eastAsia"/>
          <w:spacing w:val="-2"/>
          <w:sz w:val="24"/>
          <w:szCs w:val="28"/>
        </w:rPr>
        <w:t>, one of the three major programs,</w:t>
      </w:r>
      <w:r w:rsidR="00C64D1B">
        <w:rPr>
          <w:rFonts w:ascii="Times New Roman" w:eastAsia="標楷體" w:hint="eastAsia"/>
          <w:spacing w:val="-2"/>
          <w:sz w:val="24"/>
          <w:szCs w:val="28"/>
        </w:rPr>
        <w:t xml:space="preserve"> had seen much success</w:t>
      </w:r>
      <w:r w:rsidR="005E78FC">
        <w:rPr>
          <w:rFonts w:ascii="Times New Roman" w:eastAsia="標楷體" w:hint="eastAsia"/>
          <w:spacing w:val="-2"/>
          <w:sz w:val="24"/>
          <w:szCs w:val="28"/>
        </w:rPr>
        <w:t xml:space="preserve">. </w:t>
      </w:r>
    </w:p>
    <w:p w:rsidR="003E03BF" w:rsidRDefault="005E78FC" w:rsidP="00015032">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One board director pointed out that returning Taiwanese firms </w:t>
      </w:r>
      <w:r w:rsidR="00BA7682">
        <w:rPr>
          <w:rFonts w:ascii="Times New Roman" w:eastAsia="標楷體" w:hint="eastAsia"/>
          <w:spacing w:val="-2"/>
          <w:sz w:val="24"/>
          <w:szCs w:val="28"/>
        </w:rPr>
        <w:t xml:space="preserve">usually </w:t>
      </w:r>
      <w:r w:rsidR="001E7BAE">
        <w:rPr>
          <w:rFonts w:ascii="Times New Roman" w:eastAsia="標楷體" w:hint="eastAsia"/>
          <w:spacing w:val="-2"/>
          <w:sz w:val="24"/>
          <w:szCs w:val="28"/>
        </w:rPr>
        <w:t>source their funds</w:t>
      </w:r>
      <w:r w:rsidR="00815708">
        <w:rPr>
          <w:rFonts w:ascii="Times New Roman" w:eastAsia="標楷體" w:hint="eastAsia"/>
          <w:spacing w:val="-2"/>
          <w:sz w:val="24"/>
          <w:szCs w:val="28"/>
        </w:rPr>
        <w:t xml:space="preserve"> for investments</w:t>
      </w:r>
      <w:r w:rsidR="00F10B89">
        <w:rPr>
          <w:rFonts w:ascii="Times New Roman" w:eastAsia="標楷體" w:hint="eastAsia"/>
          <w:spacing w:val="-2"/>
          <w:sz w:val="24"/>
          <w:szCs w:val="28"/>
        </w:rPr>
        <w:t xml:space="preserve"> by borrowing from</w:t>
      </w:r>
      <w:r w:rsidR="001E7BAE">
        <w:rPr>
          <w:rFonts w:ascii="Times New Roman" w:eastAsia="標楷體" w:hint="eastAsia"/>
          <w:spacing w:val="-2"/>
          <w:sz w:val="24"/>
          <w:szCs w:val="28"/>
        </w:rPr>
        <w:t xml:space="preserve"> domestic banks, </w:t>
      </w:r>
      <w:r w:rsidR="00F10B89">
        <w:rPr>
          <w:rFonts w:ascii="Times New Roman" w:eastAsia="標楷體" w:hint="eastAsia"/>
          <w:spacing w:val="-2"/>
          <w:sz w:val="24"/>
          <w:szCs w:val="28"/>
        </w:rPr>
        <w:t xml:space="preserve">tapping </w:t>
      </w:r>
      <w:r>
        <w:rPr>
          <w:rFonts w:ascii="Times New Roman" w:eastAsia="標楷體" w:hint="eastAsia"/>
          <w:spacing w:val="-2"/>
          <w:sz w:val="24"/>
          <w:szCs w:val="28"/>
        </w:rPr>
        <w:t>regular channels</w:t>
      </w:r>
      <w:r w:rsidR="00F10B89">
        <w:rPr>
          <w:rFonts w:ascii="Times New Roman" w:eastAsia="標楷體" w:hint="eastAsia"/>
          <w:spacing w:val="-2"/>
          <w:sz w:val="24"/>
          <w:szCs w:val="28"/>
        </w:rPr>
        <w:t xml:space="preserve">, or taking advantage of </w:t>
      </w:r>
      <w:r w:rsidR="001E7BAE">
        <w:rPr>
          <w:rFonts w:ascii="Times New Roman" w:eastAsia="標楷體" w:hint="eastAsia"/>
          <w:spacing w:val="-2"/>
          <w:sz w:val="24"/>
          <w:szCs w:val="28"/>
        </w:rPr>
        <w:t xml:space="preserve">special channels facilitated by the </w:t>
      </w:r>
      <w:r w:rsidR="001E7BAE" w:rsidRPr="001E7BAE">
        <w:rPr>
          <w:rFonts w:ascii="Times New Roman" w:eastAsia="標楷體"/>
          <w:i/>
          <w:spacing w:val="-2"/>
          <w:sz w:val="24"/>
          <w:szCs w:val="28"/>
        </w:rPr>
        <w:t>Management, Utilization, and Taxation of Repatriated Offshore Funds Act</w:t>
      </w:r>
      <w:r w:rsidR="001E7BAE">
        <w:rPr>
          <w:rFonts w:ascii="Times New Roman" w:eastAsia="標楷體" w:hint="eastAsia"/>
          <w:spacing w:val="-2"/>
          <w:sz w:val="24"/>
          <w:szCs w:val="28"/>
        </w:rPr>
        <w:t xml:space="preserve">. </w:t>
      </w:r>
      <w:r w:rsidR="002E59A5">
        <w:rPr>
          <w:rFonts w:ascii="Times New Roman" w:eastAsia="標楷體" w:hint="eastAsia"/>
          <w:spacing w:val="-2"/>
          <w:sz w:val="24"/>
          <w:szCs w:val="28"/>
        </w:rPr>
        <w:t xml:space="preserve">When the returning </w:t>
      </w:r>
      <w:r w:rsidR="00815708">
        <w:rPr>
          <w:rFonts w:ascii="Times New Roman" w:eastAsia="標楷體" w:hint="eastAsia"/>
          <w:spacing w:val="-2"/>
          <w:sz w:val="24"/>
          <w:szCs w:val="28"/>
        </w:rPr>
        <w:t>investments are sourced</w:t>
      </w:r>
      <w:r w:rsidR="002E59A5">
        <w:rPr>
          <w:rFonts w:ascii="Times New Roman" w:eastAsia="標楷體" w:hint="eastAsia"/>
          <w:spacing w:val="-2"/>
          <w:sz w:val="24"/>
          <w:szCs w:val="28"/>
        </w:rPr>
        <w:t xml:space="preserve"> </w:t>
      </w:r>
      <w:r w:rsidR="00815708">
        <w:rPr>
          <w:rFonts w:ascii="Times New Roman" w:eastAsia="標楷體" w:hint="eastAsia"/>
          <w:spacing w:val="-2"/>
          <w:sz w:val="24"/>
          <w:szCs w:val="28"/>
        </w:rPr>
        <w:t xml:space="preserve">via borrowing </w:t>
      </w:r>
      <w:r w:rsidR="002E59A5">
        <w:rPr>
          <w:rFonts w:ascii="Times New Roman" w:eastAsia="標楷體" w:hint="eastAsia"/>
          <w:spacing w:val="-2"/>
          <w:sz w:val="24"/>
          <w:szCs w:val="28"/>
        </w:rPr>
        <w:t>from domestic</w:t>
      </w:r>
      <w:r w:rsidR="00815708">
        <w:rPr>
          <w:rFonts w:ascii="Times New Roman" w:eastAsia="標楷體" w:hint="eastAsia"/>
          <w:spacing w:val="-2"/>
          <w:sz w:val="24"/>
          <w:szCs w:val="28"/>
        </w:rPr>
        <w:t xml:space="preserve"> banks</w:t>
      </w:r>
      <w:r w:rsidR="002E59A5">
        <w:rPr>
          <w:rFonts w:ascii="Times New Roman" w:eastAsia="標楷體" w:hint="eastAsia"/>
          <w:spacing w:val="-2"/>
          <w:sz w:val="24"/>
          <w:szCs w:val="28"/>
        </w:rPr>
        <w:t xml:space="preserve"> and </w:t>
      </w:r>
      <w:r w:rsidR="00815708">
        <w:rPr>
          <w:rFonts w:ascii="Times New Roman" w:eastAsia="標楷體" w:hint="eastAsia"/>
          <w:spacing w:val="-2"/>
          <w:sz w:val="24"/>
          <w:szCs w:val="28"/>
        </w:rPr>
        <w:t>go</w:t>
      </w:r>
      <w:r w:rsidR="002E59A5">
        <w:rPr>
          <w:rFonts w:ascii="Times New Roman" w:eastAsia="標楷體" w:hint="eastAsia"/>
          <w:spacing w:val="-2"/>
          <w:sz w:val="24"/>
          <w:szCs w:val="28"/>
        </w:rPr>
        <w:t xml:space="preserve"> into the real sector, not only will </w:t>
      </w:r>
      <w:r w:rsidR="00815708">
        <w:rPr>
          <w:rFonts w:ascii="Times New Roman" w:eastAsia="標楷體" w:hint="eastAsia"/>
          <w:spacing w:val="-2"/>
          <w:sz w:val="24"/>
          <w:szCs w:val="28"/>
        </w:rPr>
        <w:t>them</w:t>
      </w:r>
      <w:r w:rsidR="002E59A5">
        <w:rPr>
          <w:rFonts w:ascii="Times New Roman" w:eastAsia="標楷體" w:hint="eastAsia"/>
          <w:spacing w:val="-2"/>
          <w:sz w:val="24"/>
          <w:szCs w:val="28"/>
        </w:rPr>
        <w:t xml:space="preserve"> bolster domestic investment but also help </w:t>
      </w:r>
      <w:r w:rsidR="006B11CB">
        <w:rPr>
          <w:rFonts w:ascii="Times New Roman" w:eastAsia="標楷體" w:hint="eastAsia"/>
          <w:spacing w:val="-2"/>
          <w:sz w:val="24"/>
          <w:szCs w:val="28"/>
        </w:rPr>
        <w:t xml:space="preserve">reduce excess liquidity, </w:t>
      </w:r>
      <w:r w:rsidR="00F10B89">
        <w:rPr>
          <w:rFonts w:ascii="Times New Roman" w:eastAsia="標楷體" w:hint="eastAsia"/>
          <w:spacing w:val="-2"/>
          <w:sz w:val="24"/>
          <w:szCs w:val="28"/>
        </w:rPr>
        <w:t xml:space="preserve">contributing </w:t>
      </w:r>
      <w:r w:rsidR="00F10B89">
        <w:rPr>
          <w:rFonts w:ascii="Times New Roman" w:eastAsia="標楷體"/>
          <w:spacing w:val="-2"/>
          <w:sz w:val="24"/>
          <w:szCs w:val="28"/>
        </w:rPr>
        <w:t>positively</w:t>
      </w:r>
      <w:r w:rsidR="00F10B89">
        <w:rPr>
          <w:rFonts w:ascii="Times New Roman" w:eastAsia="標楷體" w:hint="eastAsia"/>
          <w:spacing w:val="-2"/>
          <w:sz w:val="24"/>
          <w:szCs w:val="28"/>
        </w:rPr>
        <w:t xml:space="preserve"> to</w:t>
      </w:r>
      <w:r w:rsidR="006B11CB">
        <w:rPr>
          <w:rFonts w:ascii="Times New Roman" w:eastAsia="標楷體" w:hint="eastAsia"/>
          <w:spacing w:val="-2"/>
          <w:sz w:val="24"/>
          <w:szCs w:val="28"/>
        </w:rPr>
        <w:t xml:space="preserve"> the financial system as well as the real economy. </w:t>
      </w:r>
      <w:r w:rsidR="00BA7682">
        <w:rPr>
          <w:rFonts w:ascii="Times New Roman" w:eastAsia="標楷體" w:hint="eastAsia"/>
          <w:spacing w:val="-2"/>
          <w:sz w:val="24"/>
          <w:szCs w:val="28"/>
        </w:rPr>
        <w:t>Furthermore, the returning investment had helped shore up Taiwan</w:t>
      </w:r>
      <w:r w:rsidR="00BA7682">
        <w:rPr>
          <w:rFonts w:ascii="Times New Roman" w:eastAsia="標楷體"/>
          <w:spacing w:val="-2"/>
          <w:sz w:val="24"/>
          <w:szCs w:val="28"/>
        </w:rPr>
        <w:t>’</w:t>
      </w:r>
      <w:r w:rsidR="00BA7682">
        <w:rPr>
          <w:rFonts w:ascii="Times New Roman" w:eastAsia="標楷體" w:hint="eastAsia"/>
          <w:spacing w:val="-2"/>
          <w:sz w:val="24"/>
          <w:szCs w:val="28"/>
        </w:rPr>
        <w:t xml:space="preserve">s exports, which, though forecasted to moderate this year over the previous year, had experienced a less steep slowdown than in other Asian economies, while US-bound exports from Taiwan had risen considerably. </w:t>
      </w:r>
      <w:r w:rsidR="00D84FF7">
        <w:rPr>
          <w:rFonts w:ascii="Times New Roman" w:eastAsia="標楷體" w:hint="eastAsia"/>
          <w:spacing w:val="-2"/>
          <w:sz w:val="24"/>
          <w:szCs w:val="28"/>
        </w:rPr>
        <w:t xml:space="preserve">Similarly, imports of capital equipment had increased in recent months, </w:t>
      </w:r>
      <w:r w:rsidR="00015032">
        <w:rPr>
          <w:rFonts w:ascii="Times New Roman" w:eastAsia="標楷體" w:hint="eastAsia"/>
          <w:spacing w:val="-2"/>
          <w:sz w:val="24"/>
          <w:szCs w:val="28"/>
        </w:rPr>
        <w:t>a potential driver for domestic investment, indicating bus</w:t>
      </w:r>
      <w:r w:rsidR="00300711">
        <w:rPr>
          <w:rFonts w:ascii="Times New Roman" w:eastAsia="標楷體" w:hint="eastAsia"/>
          <w:spacing w:val="-2"/>
          <w:sz w:val="24"/>
          <w:szCs w:val="28"/>
        </w:rPr>
        <w:t>iness optimism about the economic prospects</w:t>
      </w:r>
      <w:r w:rsidR="00015032">
        <w:rPr>
          <w:rFonts w:ascii="Times New Roman" w:eastAsia="標楷體" w:hint="eastAsia"/>
          <w:spacing w:val="-2"/>
          <w:sz w:val="24"/>
          <w:szCs w:val="28"/>
        </w:rPr>
        <w:t xml:space="preserve">. </w:t>
      </w:r>
    </w:p>
    <w:p w:rsidR="00611725" w:rsidRDefault="0004691F" w:rsidP="00BA7682">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One board director noted that domestic institutions forecasted solid investment growth</w:t>
      </w:r>
      <w:r w:rsidR="000E69DD">
        <w:rPr>
          <w:rFonts w:ascii="Times New Roman" w:eastAsia="標楷體" w:hint="eastAsia"/>
          <w:spacing w:val="-2"/>
          <w:sz w:val="24"/>
          <w:szCs w:val="28"/>
        </w:rPr>
        <w:t xml:space="preserve"> for</w:t>
      </w:r>
      <w:r>
        <w:rPr>
          <w:rFonts w:ascii="Times New Roman" w:eastAsia="標楷體" w:hint="eastAsia"/>
          <w:spacing w:val="-2"/>
          <w:sz w:val="24"/>
          <w:szCs w:val="28"/>
        </w:rPr>
        <w:t xml:space="preserve"> this year</w:t>
      </w:r>
      <w:r w:rsidR="000E69DD">
        <w:rPr>
          <w:rFonts w:ascii="Times New Roman" w:eastAsia="標楷體" w:hint="eastAsia"/>
          <w:spacing w:val="-2"/>
          <w:sz w:val="24"/>
          <w:szCs w:val="28"/>
        </w:rPr>
        <w:t xml:space="preserve"> mainly because</w:t>
      </w:r>
      <w:r>
        <w:rPr>
          <w:rFonts w:ascii="Times New Roman" w:eastAsia="標楷體" w:hint="eastAsia"/>
          <w:spacing w:val="-2"/>
          <w:sz w:val="24"/>
          <w:szCs w:val="28"/>
        </w:rPr>
        <w:t xml:space="preserve"> of increased equipment purchases and plans to upgrade processes </w:t>
      </w:r>
      <w:r w:rsidR="000E69DD">
        <w:rPr>
          <w:rFonts w:ascii="Times New Roman" w:eastAsia="標楷體" w:hint="eastAsia"/>
          <w:spacing w:val="-2"/>
          <w:sz w:val="24"/>
          <w:szCs w:val="28"/>
        </w:rPr>
        <w:t>in</w:t>
      </w:r>
      <w:r>
        <w:rPr>
          <w:rFonts w:ascii="Times New Roman" w:eastAsia="標楷體" w:hint="eastAsia"/>
          <w:spacing w:val="-2"/>
          <w:sz w:val="24"/>
          <w:szCs w:val="28"/>
        </w:rPr>
        <w:t xml:space="preserve"> the semiconductor industry,</w:t>
      </w:r>
      <w:r w:rsidR="00BA7682">
        <w:rPr>
          <w:rFonts w:ascii="Times New Roman" w:eastAsia="標楷體" w:hint="eastAsia"/>
          <w:spacing w:val="-2"/>
          <w:sz w:val="24"/>
          <w:szCs w:val="28"/>
        </w:rPr>
        <w:t xml:space="preserve"> as well as the returning investments by overseas Taiwanese firms. </w:t>
      </w:r>
      <w:r w:rsidR="008C0C84">
        <w:rPr>
          <w:rFonts w:ascii="Times New Roman" w:eastAsia="標楷體" w:hint="eastAsia"/>
          <w:spacing w:val="-2"/>
          <w:sz w:val="24"/>
          <w:szCs w:val="28"/>
        </w:rPr>
        <w:t>However, data showed that, f</w:t>
      </w:r>
      <w:r w:rsidR="005E03FA">
        <w:rPr>
          <w:rFonts w:ascii="Times New Roman" w:eastAsia="標楷體" w:hint="eastAsia"/>
          <w:spacing w:val="-2"/>
          <w:sz w:val="24"/>
          <w:szCs w:val="28"/>
        </w:rPr>
        <w:t>or the first eight months of the year, imports of machinery equipment for the semiconductor industry had witnessed marked growth</w:t>
      </w:r>
      <w:r w:rsidR="008C0C84">
        <w:rPr>
          <w:rFonts w:ascii="Times New Roman" w:eastAsia="標楷體" w:hint="eastAsia"/>
          <w:spacing w:val="-2"/>
          <w:sz w:val="24"/>
          <w:szCs w:val="28"/>
        </w:rPr>
        <w:t>, whereas non-s</w:t>
      </w:r>
      <w:r w:rsidR="008C0C84" w:rsidRPr="008C0C84">
        <w:rPr>
          <w:rFonts w:ascii="Times New Roman" w:eastAsia="標楷體"/>
          <w:spacing w:val="-2"/>
          <w:sz w:val="24"/>
          <w:szCs w:val="28"/>
        </w:rPr>
        <w:t xml:space="preserve">emiconductor </w:t>
      </w:r>
      <w:r w:rsidR="008C0C84">
        <w:rPr>
          <w:rFonts w:ascii="Times New Roman" w:eastAsia="標楷體" w:hint="eastAsia"/>
          <w:spacing w:val="-2"/>
          <w:sz w:val="24"/>
          <w:szCs w:val="28"/>
        </w:rPr>
        <w:t>machinery</w:t>
      </w:r>
      <w:r w:rsidR="00BA7682">
        <w:rPr>
          <w:rFonts w:ascii="Times New Roman" w:eastAsia="標楷體" w:hint="eastAsia"/>
          <w:spacing w:val="-2"/>
          <w:sz w:val="24"/>
          <w:szCs w:val="28"/>
        </w:rPr>
        <w:t xml:space="preserve"> </w:t>
      </w:r>
      <w:r w:rsidR="008C0C84">
        <w:rPr>
          <w:rFonts w:ascii="Times New Roman" w:eastAsia="標楷體" w:hint="eastAsia"/>
          <w:spacing w:val="-2"/>
          <w:sz w:val="24"/>
          <w:szCs w:val="28"/>
        </w:rPr>
        <w:t>e</w:t>
      </w:r>
      <w:r w:rsidR="008C0C84" w:rsidRPr="008C0C84">
        <w:rPr>
          <w:rFonts w:ascii="Times New Roman" w:eastAsia="標楷體"/>
          <w:spacing w:val="-2"/>
          <w:sz w:val="24"/>
          <w:szCs w:val="28"/>
        </w:rPr>
        <w:t>quipment</w:t>
      </w:r>
      <w:r w:rsidR="005E03FA">
        <w:rPr>
          <w:rFonts w:ascii="Times New Roman" w:eastAsia="標楷體" w:hint="eastAsia"/>
          <w:spacing w:val="-2"/>
          <w:sz w:val="24"/>
          <w:szCs w:val="28"/>
        </w:rPr>
        <w:t xml:space="preserve"> </w:t>
      </w:r>
      <w:r w:rsidR="008C0C84">
        <w:rPr>
          <w:rFonts w:ascii="Times New Roman" w:eastAsia="標楷體" w:hint="eastAsia"/>
          <w:spacing w:val="-2"/>
          <w:sz w:val="24"/>
          <w:szCs w:val="28"/>
        </w:rPr>
        <w:t xml:space="preserve">imports, including those driven by returning Taiwanese investment, had merely posted modest growth. This distinction might indicate that a part of the </w:t>
      </w:r>
      <w:r w:rsidR="002B1939">
        <w:rPr>
          <w:rFonts w:ascii="Times New Roman" w:eastAsia="標楷體" w:hint="eastAsia"/>
          <w:spacing w:val="-2"/>
          <w:sz w:val="24"/>
          <w:szCs w:val="28"/>
        </w:rPr>
        <w:t xml:space="preserve">repatriated capital </w:t>
      </w:r>
      <w:r w:rsidR="00350A28">
        <w:rPr>
          <w:rFonts w:ascii="Times New Roman" w:eastAsia="標楷體" w:hint="eastAsia"/>
          <w:spacing w:val="-2"/>
          <w:sz w:val="24"/>
          <w:szCs w:val="28"/>
        </w:rPr>
        <w:t xml:space="preserve">actually </w:t>
      </w:r>
      <w:r w:rsidR="001C286D">
        <w:rPr>
          <w:rFonts w:ascii="Times New Roman" w:eastAsia="標楷體" w:hint="eastAsia"/>
          <w:spacing w:val="-2"/>
          <w:sz w:val="24"/>
          <w:szCs w:val="28"/>
        </w:rPr>
        <w:t>went towards</w:t>
      </w:r>
      <w:r w:rsidR="002B1939">
        <w:rPr>
          <w:rFonts w:ascii="Times New Roman" w:eastAsia="標楷體" w:hint="eastAsia"/>
          <w:spacing w:val="-2"/>
          <w:sz w:val="24"/>
          <w:szCs w:val="28"/>
        </w:rPr>
        <w:t xml:space="preserve"> </w:t>
      </w:r>
      <w:r w:rsidR="000E69DD">
        <w:rPr>
          <w:rFonts w:ascii="Times New Roman" w:eastAsia="標楷體" w:hint="eastAsia"/>
          <w:spacing w:val="-2"/>
          <w:sz w:val="24"/>
          <w:szCs w:val="28"/>
        </w:rPr>
        <w:t xml:space="preserve">expanding existing </w:t>
      </w:r>
      <w:r w:rsidR="002B1939">
        <w:rPr>
          <w:rFonts w:ascii="Times New Roman" w:eastAsia="標楷體" w:hint="eastAsia"/>
          <w:spacing w:val="-2"/>
          <w:sz w:val="24"/>
          <w:szCs w:val="28"/>
        </w:rPr>
        <w:t>capacity or reinstituting idle capacity</w:t>
      </w:r>
      <w:r w:rsidR="00350A28">
        <w:rPr>
          <w:rFonts w:ascii="Times New Roman" w:eastAsia="標楷體" w:hint="eastAsia"/>
          <w:spacing w:val="-2"/>
          <w:sz w:val="24"/>
          <w:szCs w:val="28"/>
        </w:rPr>
        <w:t>. Therefore, it remained to be seen</w:t>
      </w:r>
      <w:r w:rsidR="00C85610">
        <w:rPr>
          <w:rFonts w:ascii="Times New Roman" w:eastAsia="標楷體" w:hint="eastAsia"/>
          <w:spacing w:val="-2"/>
          <w:sz w:val="24"/>
          <w:szCs w:val="28"/>
        </w:rPr>
        <w:t xml:space="preserve"> </w:t>
      </w:r>
      <w:r w:rsidR="00611725">
        <w:rPr>
          <w:rFonts w:ascii="Times New Roman" w:eastAsia="標楷體" w:hint="eastAsia"/>
          <w:spacing w:val="-2"/>
          <w:sz w:val="24"/>
          <w:szCs w:val="28"/>
        </w:rPr>
        <w:t xml:space="preserve">whether </w:t>
      </w:r>
      <w:r w:rsidR="00325870">
        <w:rPr>
          <w:rFonts w:ascii="Times New Roman" w:eastAsia="標楷體" w:hint="eastAsia"/>
          <w:spacing w:val="-2"/>
          <w:sz w:val="24"/>
          <w:szCs w:val="28"/>
        </w:rPr>
        <w:t>the returning investments by</w:t>
      </w:r>
      <w:r w:rsidR="00607C45">
        <w:rPr>
          <w:rFonts w:ascii="Times New Roman" w:eastAsia="標楷體" w:hint="eastAsia"/>
          <w:spacing w:val="-2"/>
          <w:sz w:val="24"/>
          <w:szCs w:val="28"/>
        </w:rPr>
        <w:t xml:space="preserve"> overseas </w:t>
      </w:r>
      <w:r w:rsidR="007F06D6" w:rsidRPr="007F06D6">
        <w:rPr>
          <w:rFonts w:ascii="Times New Roman" w:eastAsia="標楷體"/>
          <w:spacing w:val="-2"/>
          <w:sz w:val="24"/>
          <w:szCs w:val="28"/>
        </w:rPr>
        <w:t>Taiwanese companies</w:t>
      </w:r>
      <w:r w:rsidR="00611725">
        <w:rPr>
          <w:rFonts w:ascii="Times New Roman" w:eastAsia="標楷體" w:hint="eastAsia"/>
          <w:spacing w:val="-2"/>
          <w:sz w:val="24"/>
          <w:szCs w:val="28"/>
        </w:rPr>
        <w:t xml:space="preserve"> could translate into higher real investment growth at home. </w:t>
      </w:r>
    </w:p>
    <w:p w:rsidR="000F7D68" w:rsidRDefault="00DC1B77" w:rsidP="001161D2">
      <w:pPr>
        <w:pStyle w:val="6"/>
        <w:overflowPunct w:val="0"/>
        <w:snapToGrid w:val="0"/>
        <w:spacing w:after="0" w:line="440" w:lineRule="exact"/>
        <w:ind w:left="0" w:firstLineChars="200" w:firstLine="472"/>
        <w:textDirection w:val="lrTbV"/>
        <w:rPr>
          <w:rFonts w:ascii="Times New Roman" w:eastAsia="標楷體"/>
          <w:spacing w:val="-2"/>
          <w:sz w:val="24"/>
          <w:szCs w:val="28"/>
        </w:rPr>
      </w:pPr>
      <w:r w:rsidRPr="00F71DC1">
        <w:rPr>
          <w:rFonts w:ascii="Times New Roman" w:eastAsia="標楷體" w:hint="eastAsia"/>
          <w:spacing w:val="-2"/>
          <w:sz w:val="24"/>
          <w:szCs w:val="28"/>
        </w:rPr>
        <w:t xml:space="preserve">In </w:t>
      </w:r>
      <w:r w:rsidR="00875644">
        <w:rPr>
          <w:rFonts w:ascii="Times New Roman" w:eastAsia="標楷體" w:hint="eastAsia"/>
          <w:spacing w:val="-2"/>
          <w:sz w:val="24"/>
          <w:szCs w:val="28"/>
        </w:rPr>
        <w:t>respect of</w:t>
      </w:r>
      <w:r w:rsidRPr="00F71DC1">
        <w:rPr>
          <w:rFonts w:ascii="Times New Roman" w:eastAsia="標楷體" w:hint="eastAsia"/>
          <w:spacing w:val="-2"/>
          <w:sz w:val="24"/>
          <w:szCs w:val="28"/>
        </w:rPr>
        <w:t xml:space="preserve"> domestic financial conditions, several board directors </w:t>
      </w:r>
      <w:r w:rsidR="00F71DC1" w:rsidRPr="00F71DC1">
        <w:rPr>
          <w:rFonts w:ascii="Times New Roman" w:eastAsia="標楷體" w:hint="eastAsia"/>
          <w:spacing w:val="-2"/>
          <w:sz w:val="24"/>
          <w:szCs w:val="28"/>
        </w:rPr>
        <w:t>presented their views</w:t>
      </w:r>
      <w:r w:rsidRPr="00F71DC1">
        <w:rPr>
          <w:rFonts w:ascii="Times New Roman" w:eastAsia="標楷體" w:hint="eastAsia"/>
          <w:spacing w:val="-2"/>
          <w:sz w:val="24"/>
          <w:szCs w:val="28"/>
        </w:rPr>
        <w:t xml:space="preserve"> on the domestic housing market</w:t>
      </w:r>
      <w:r w:rsidR="00F71DC1" w:rsidRPr="00F71DC1">
        <w:rPr>
          <w:rFonts w:ascii="Times New Roman" w:eastAsia="標楷體" w:hint="eastAsia"/>
          <w:spacing w:val="-2"/>
          <w:sz w:val="24"/>
          <w:szCs w:val="28"/>
        </w:rPr>
        <w:t xml:space="preserve"> and credit risk associated with the real estate sector</w:t>
      </w:r>
      <w:r w:rsidRPr="00F71DC1">
        <w:rPr>
          <w:rFonts w:ascii="Times New Roman" w:eastAsia="標楷體" w:hint="eastAsia"/>
          <w:spacing w:val="-2"/>
          <w:sz w:val="24"/>
          <w:szCs w:val="28"/>
        </w:rPr>
        <w:t xml:space="preserve">. </w:t>
      </w:r>
      <w:r w:rsidR="00875644">
        <w:rPr>
          <w:rFonts w:ascii="Times New Roman" w:eastAsia="標楷體" w:hint="eastAsia"/>
          <w:spacing w:val="-2"/>
          <w:sz w:val="24"/>
          <w:szCs w:val="28"/>
        </w:rPr>
        <w:t xml:space="preserve">One board director </w:t>
      </w:r>
      <w:r w:rsidR="00187CE1">
        <w:rPr>
          <w:rFonts w:ascii="Times New Roman" w:eastAsia="標楷體" w:hint="eastAsia"/>
          <w:spacing w:val="-2"/>
          <w:sz w:val="24"/>
          <w:szCs w:val="28"/>
        </w:rPr>
        <w:t xml:space="preserve">noted that </w:t>
      </w:r>
      <w:r w:rsidR="006B1FEE">
        <w:rPr>
          <w:rFonts w:ascii="Times New Roman" w:eastAsia="標楷體" w:hint="eastAsia"/>
          <w:spacing w:val="-2"/>
          <w:sz w:val="24"/>
          <w:szCs w:val="28"/>
        </w:rPr>
        <w:t xml:space="preserve">home prices and transactions, though trending up, </w:t>
      </w:r>
      <w:r w:rsidR="003F6FBC">
        <w:rPr>
          <w:rFonts w:ascii="Times New Roman" w:eastAsia="標楷體" w:hint="eastAsia"/>
          <w:spacing w:val="-2"/>
          <w:sz w:val="24"/>
          <w:szCs w:val="28"/>
        </w:rPr>
        <w:t xml:space="preserve">have yet been as heated as </w:t>
      </w:r>
      <w:r w:rsidR="003F6FBC">
        <w:rPr>
          <w:rFonts w:ascii="Times New Roman" w:eastAsia="標楷體" w:hint="eastAsia"/>
          <w:spacing w:val="-2"/>
          <w:sz w:val="24"/>
          <w:szCs w:val="28"/>
        </w:rPr>
        <w:lastRenderedPageBreak/>
        <w:t>in 2013 and 2014</w:t>
      </w:r>
      <w:r w:rsidR="006B1FEE">
        <w:rPr>
          <w:rFonts w:ascii="Times New Roman" w:eastAsia="標楷體" w:hint="eastAsia"/>
          <w:spacing w:val="-2"/>
          <w:sz w:val="24"/>
          <w:szCs w:val="28"/>
        </w:rPr>
        <w:t xml:space="preserve">, </w:t>
      </w:r>
      <w:r w:rsidR="003F6FBC">
        <w:rPr>
          <w:rFonts w:ascii="Times New Roman" w:eastAsia="標楷體" w:hint="eastAsia"/>
          <w:spacing w:val="-2"/>
          <w:sz w:val="24"/>
          <w:szCs w:val="28"/>
        </w:rPr>
        <w:t xml:space="preserve">and housing credit risk has not rocketed. </w:t>
      </w:r>
      <w:r w:rsidR="00D970F9">
        <w:rPr>
          <w:rFonts w:ascii="Times New Roman" w:eastAsia="標楷體" w:hint="eastAsia"/>
          <w:spacing w:val="-2"/>
          <w:sz w:val="24"/>
          <w:szCs w:val="28"/>
        </w:rPr>
        <w:t>T</w:t>
      </w:r>
      <w:r w:rsidR="009C633D">
        <w:rPr>
          <w:rFonts w:ascii="Times New Roman" w:eastAsia="標楷體" w:hint="eastAsia"/>
          <w:spacing w:val="-2"/>
          <w:sz w:val="24"/>
          <w:szCs w:val="28"/>
        </w:rPr>
        <w:t xml:space="preserve">he past two years have seen </w:t>
      </w:r>
      <w:r w:rsidR="000F7D68">
        <w:rPr>
          <w:rFonts w:ascii="Times New Roman" w:eastAsia="標楷體" w:hint="eastAsia"/>
          <w:spacing w:val="-2"/>
          <w:sz w:val="24"/>
          <w:szCs w:val="28"/>
        </w:rPr>
        <w:t xml:space="preserve">strong growth in </w:t>
      </w:r>
      <w:r w:rsidR="009C633D">
        <w:rPr>
          <w:rFonts w:ascii="Times New Roman" w:eastAsia="標楷體" w:hint="eastAsia"/>
          <w:spacing w:val="-2"/>
          <w:sz w:val="24"/>
          <w:szCs w:val="28"/>
        </w:rPr>
        <w:t xml:space="preserve">the number of building permits </w:t>
      </w:r>
      <w:r w:rsidR="000F7D68">
        <w:rPr>
          <w:rFonts w:ascii="Times New Roman" w:eastAsia="標楷體" w:hint="eastAsia"/>
          <w:spacing w:val="-2"/>
          <w:sz w:val="24"/>
          <w:szCs w:val="28"/>
        </w:rPr>
        <w:t>issued</w:t>
      </w:r>
      <w:r w:rsidR="00D970F9">
        <w:rPr>
          <w:rFonts w:ascii="Times New Roman" w:eastAsia="標楷體" w:hint="eastAsia"/>
          <w:spacing w:val="-2"/>
          <w:sz w:val="24"/>
          <w:szCs w:val="28"/>
        </w:rPr>
        <w:t xml:space="preserve"> </w:t>
      </w:r>
      <w:r w:rsidR="001161D2">
        <w:rPr>
          <w:rFonts w:ascii="Times New Roman" w:eastAsia="標楷體" w:hint="eastAsia"/>
          <w:spacing w:val="-2"/>
          <w:sz w:val="24"/>
          <w:szCs w:val="28"/>
        </w:rPr>
        <w:t xml:space="preserve">as a positive outlook prompted home builders to step up </w:t>
      </w:r>
      <w:r w:rsidR="00D970F9">
        <w:rPr>
          <w:rFonts w:ascii="Times New Roman" w:eastAsia="標楷體" w:hint="eastAsia"/>
          <w:spacing w:val="-2"/>
          <w:sz w:val="24"/>
          <w:szCs w:val="28"/>
        </w:rPr>
        <w:t>project offerings.</w:t>
      </w:r>
      <w:r w:rsidR="00072B97">
        <w:rPr>
          <w:rFonts w:ascii="Times New Roman" w:eastAsia="標楷體" w:hint="eastAsia"/>
          <w:spacing w:val="-2"/>
          <w:sz w:val="24"/>
          <w:szCs w:val="28"/>
        </w:rPr>
        <w:t xml:space="preserve"> Nonetheless, </w:t>
      </w:r>
      <w:r w:rsidR="00D43C22">
        <w:rPr>
          <w:rFonts w:ascii="Times New Roman" w:eastAsia="標楷體" w:hint="eastAsia"/>
          <w:spacing w:val="-2"/>
          <w:sz w:val="24"/>
          <w:szCs w:val="28"/>
        </w:rPr>
        <w:t xml:space="preserve">in addition to a plentiful supply of vacant housing units, </w:t>
      </w:r>
      <w:r w:rsidR="00B97C82">
        <w:rPr>
          <w:rFonts w:ascii="Times New Roman" w:eastAsia="標楷體" w:hint="eastAsia"/>
          <w:spacing w:val="-2"/>
          <w:sz w:val="24"/>
          <w:szCs w:val="28"/>
        </w:rPr>
        <w:t>survey</w:t>
      </w:r>
      <w:r w:rsidR="001A2BBD">
        <w:rPr>
          <w:rFonts w:ascii="Times New Roman" w:eastAsia="標楷體" w:hint="eastAsia"/>
          <w:spacing w:val="-2"/>
          <w:sz w:val="24"/>
          <w:szCs w:val="28"/>
        </w:rPr>
        <w:t>-based</w:t>
      </w:r>
      <w:r w:rsidR="00D970F9">
        <w:rPr>
          <w:rFonts w:ascii="Times New Roman" w:eastAsia="標楷體" w:hint="eastAsia"/>
          <w:spacing w:val="-2"/>
          <w:sz w:val="24"/>
          <w:szCs w:val="28"/>
        </w:rPr>
        <w:t xml:space="preserve"> </w:t>
      </w:r>
      <w:r w:rsidR="00B97C82">
        <w:rPr>
          <w:rFonts w:ascii="Times New Roman" w:eastAsia="標楷體" w:hint="eastAsia"/>
          <w:spacing w:val="-2"/>
          <w:sz w:val="24"/>
          <w:szCs w:val="28"/>
        </w:rPr>
        <w:t xml:space="preserve">data also showed </w:t>
      </w:r>
      <w:r w:rsidR="00D43C22">
        <w:rPr>
          <w:rFonts w:ascii="Times New Roman" w:eastAsia="標楷體" w:hint="eastAsia"/>
          <w:spacing w:val="-2"/>
          <w:sz w:val="24"/>
          <w:szCs w:val="28"/>
        </w:rPr>
        <w:t xml:space="preserve">that the majority of </w:t>
      </w:r>
      <w:r w:rsidR="00B97C82">
        <w:rPr>
          <w:rFonts w:ascii="Times New Roman" w:eastAsia="標楷體" w:hint="eastAsia"/>
          <w:spacing w:val="-2"/>
          <w:sz w:val="24"/>
          <w:szCs w:val="28"/>
        </w:rPr>
        <w:t xml:space="preserve">homebuyers expected prices to be little changed or </w:t>
      </w:r>
      <w:r w:rsidR="000A24E3">
        <w:rPr>
          <w:rFonts w:ascii="Times New Roman" w:eastAsia="標楷體" w:hint="eastAsia"/>
          <w:spacing w:val="-2"/>
          <w:sz w:val="24"/>
          <w:szCs w:val="28"/>
        </w:rPr>
        <w:t xml:space="preserve">trending </w:t>
      </w:r>
      <w:r w:rsidR="00D43C22">
        <w:rPr>
          <w:rFonts w:ascii="Times New Roman" w:eastAsia="標楷體" w:hint="eastAsia"/>
          <w:spacing w:val="-2"/>
          <w:sz w:val="24"/>
          <w:szCs w:val="28"/>
        </w:rPr>
        <w:t>lower</w:t>
      </w:r>
      <w:r w:rsidR="00B97C82">
        <w:rPr>
          <w:rFonts w:ascii="Times New Roman" w:eastAsia="標楷體" w:hint="eastAsia"/>
          <w:spacing w:val="-2"/>
          <w:sz w:val="24"/>
          <w:szCs w:val="28"/>
        </w:rPr>
        <w:t>.</w:t>
      </w:r>
      <w:r w:rsidR="00D43C22">
        <w:rPr>
          <w:rFonts w:ascii="Times New Roman" w:eastAsia="標楷體" w:hint="eastAsia"/>
          <w:spacing w:val="-2"/>
          <w:sz w:val="24"/>
          <w:szCs w:val="28"/>
        </w:rPr>
        <w:t xml:space="preserve"> </w:t>
      </w:r>
      <w:r w:rsidR="0062006F">
        <w:rPr>
          <w:rFonts w:ascii="Times New Roman" w:eastAsia="標楷體" w:hint="eastAsia"/>
          <w:spacing w:val="-2"/>
          <w:sz w:val="24"/>
          <w:szCs w:val="28"/>
        </w:rPr>
        <w:t xml:space="preserve">It was therefore projected that housing prices would maintain mild growth. </w:t>
      </w:r>
    </w:p>
    <w:p w:rsidR="006B1FEE" w:rsidRDefault="00004CC6" w:rsidP="00811140">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Another board director noted that the rises in home mortgages and housing prices, </w:t>
      </w:r>
      <w:r w:rsidR="007506CE">
        <w:rPr>
          <w:rFonts w:ascii="Times New Roman" w:eastAsia="標楷體" w:hint="eastAsia"/>
          <w:spacing w:val="-2"/>
          <w:sz w:val="24"/>
          <w:szCs w:val="28"/>
        </w:rPr>
        <w:t xml:space="preserve">albeit </w:t>
      </w:r>
      <w:r>
        <w:rPr>
          <w:rFonts w:ascii="Times New Roman" w:eastAsia="標楷體" w:hint="eastAsia"/>
          <w:spacing w:val="-2"/>
          <w:sz w:val="24"/>
          <w:szCs w:val="28"/>
        </w:rPr>
        <w:t xml:space="preserve">seemingly gradual and moderate, </w:t>
      </w:r>
      <w:r w:rsidR="0059500E">
        <w:rPr>
          <w:rFonts w:ascii="Times New Roman" w:eastAsia="標楷體" w:hint="eastAsia"/>
          <w:spacing w:val="-2"/>
          <w:sz w:val="24"/>
          <w:szCs w:val="28"/>
        </w:rPr>
        <w:t>had started off from a relatively higher level</w:t>
      </w:r>
      <w:r w:rsidR="00FA07BF">
        <w:rPr>
          <w:rFonts w:ascii="Times New Roman" w:eastAsia="標楷體" w:hint="eastAsia"/>
          <w:spacing w:val="-2"/>
          <w:sz w:val="24"/>
          <w:szCs w:val="28"/>
        </w:rPr>
        <w:t>. Given that</w:t>
      </w:r>
      <w:r w:rsidR="001E6E5F">
        <w:rPr>
          <w:rFonts w:ascii="Times New Roman" w:eastAsia="標楷體" w:hint="eastAsia"/>
          <w:spacing w:val="-2"/>
          <w:sz w:val="24"/>
          <w:szCs w:val="28"/>
        </w:rPr>
        <w:t xml:space="preserve"> </w:t>
      </w:r>
      <w:r w:rsidR="001E28DA">
        <w:rPr>
          <w:rFonts w:ascii="Times New Roman" w:eastAsia="標楷體" w:hint="eastAsia"/>
          <w:spacing w:val="-2"/>
          <w:sz w:val="24"/>
          <w:szCs w:val="28"/>
        </w:rPr>
        <w:t xml:space="preserve">the earlier </w:t>
      </w:r>
      <w:r w:rsidR="001E6E5F">
        <w:rPr>
          <w:rFonts w:ascii="Times New Roman" w:eastAsia="標楷體" w:hint="eastAsia"/>
          <w:spacing w:val="-2"/>
          <w:sz w:val="24"/>
          <w:szCs w:val="28"/>
        </w:rPr>
        <w:t>decline had been limited</w:t>
      </w:r>
      <w:r w:rsidR="00FA07BF">
        <w:rPr>
          <w:rFonts w:ascii="Times New Roman" w:eastAsia="標楷體" w:hint="eastAsia"/>
          <w:spacing w:val="-2"/>
          <w:sz w:val="24"/>
          <w:szCs w:val="28"/>
        </w:rPr>
        <w:t xml:space="preserve">, </w:t>
      </w:r>
      <w:r w:rsidR="00EB520E">
        <w:rPr>
          <w:rFonts w:ascii="Times New Roman" w:eastAsia="標楷體" w:hint="eastAsia"/>
          <w:spacing w:val="-2"/>
          <w:sz w:val="24"/>
          <w:szCs w:val="28"/>
        </w:rPr>
        <w:t xml:space="preserve">even a normal pace of acceleration could </w:t>
      </w:r>
      <w:r w:rsidR="001E28DA">
        <w:rPr>
          <w:rFonts w:ascii="Times New Roman" w:eastAsia="標楷體" w:hint="eastAsia"/>
          <w:spacing w:val="-2"/>
          <w:sz w:val="24"/>
          <w:szCs w:val="28"/>
        </w:rPr>
        <w:t xml:space="preserve">easily </w:t>
      </w:r>
      <w:r w:rsidR="00EB520E">
        <w:rPr>
          <w:rFonts w:ascii="Times New Roman" w:eastAsia="標楷體" w:hint="eastAsia"/>
          <w:spacing w:val="-2"/>
          <w:sz w:val="24"/>
          <w:szCs w:val="28"/>
        </w:rPr>
        <w:t xml:space="preserve">send </w:t>
      </w:r>
      <w:r w:rsidR="001E28DA">
        <w:rPr>
          <w:rFonts w:ascii="Times New Roman" w:eastAsia="標楷體" w:hint="eastAsia"/>
          <w:spacing w:val="-2"/>
          <w:sz w:val="24"/>
          <w:szCs w:val="28"/>
        </w:rPr>
        <w:t>those readings</w:t>
      </w:r>
      <w:r w:rsidR="00EB520E">
        <w:rPr>
          <w:rFonts w:ascii="Times New Roman" w:eastAsia="標楷體" w:hint="eastAsia"/>
          <w:spacing w:val="-2"/>
          <w:sz w:val="24"/>
          <w:szCs w:val="28"/>
        </w:rPr>
        <w:t xml:space="preserve"> to</w:t>
      </w:r>
      <w:r w:rsidR="001E28DA">
        <w:rPr>
          <w:rFonts w:ascii="Times New Roman" w:eastAsia="標楷體" w:hint="eastAsia"/>
          <w:spacing w:val="-2"/>
          <w:sz w:val="24"/>
          <w:szCs w:val="28"/>
        </w:rPr>
        <w:t>ward</w:t>
      </w:r>
      <w:r w:rsidR="00EB520E">
        <w:rPr>
          <w:rFonts w:ascii="Times New Roman" w:eastAsia="標楷體" w:hint="eastAsia"/>
          <w:spacing w:val="-2"/>
          <w:sz w:val="24"/>
          <w:szCs w:val="28"/>
        </w:rPr>
        <w:t xml:space="preserve"> the</w:t>
      </w:r>
      <w:r w:rsidR="001E28DA">
        <w:rPr>
          <w:rFonts w:ascii="Times New Roman" w:eastAsia="標楷體" w:hint="eastAsia"/>
          <w:spacing w:val="-2"/>
          <w:sz w:val="24"/>
          <w:szCs w:val="28"/>
        </w:rPr>
        <w:t>ir</w:t>
      </w:r>
      <w:r w:rsidR="00EB520E">
        <w:rPr>
          <w:rFonts w:ascii="Times New Roman" w:eastAsia="標楷體" w:hint="eastAsia"/>
          <w:spacing w:val="-2"/>
          <w:sz w:val="24"/>
          <w:szCs w:val="28"/>
        </w:rPr>
        <w:t xml:space="preserve"> previous peak</w:t>
      </w:r>
      <w:r w:rsidR="001E28DA">
        <w:rPr>
          <w:rFonts w:ascii="Times New Roman" w:eastAsia="標楷體" w:hint="eastAsia"/>
          <w:spacing w:val="-2"/>
          <w:sz w:val="24"/>
          <w:szCs w:val="28"/>
        </w:rPr>
        <w:t xml:space="preserve">s; for instance, housing prices in central and southern Taiwan have </w:t>
      </w:r>
      <w:r w:rsidR="00F62B4C">
        <w:rPr>
          <w:rFonts w:ascii="Times New Roman" w:eastAsia="標楷體" w:hint="eastAsia"/>
          <w:spacing w:val="-2"/>
          <w:sz w:val="24"/>
          <w:szCs w:val="28"/>
        </w:rPr>
        <w:t xml:space="preserve">already </w:t>
      </w:r>
      <w:r w:rsidR="001E28DA">
        <w:rPr>
          <w:rFonts w:ascii="Times New Roman" w:eastAsia="標楷體" w:hint="eastAsia"/>
          <w:spacing w:val="-2"/>
          <w:sz w:val="24"/>
          <w:szCs w:val="28"/>
        </w:rPr>
        <w:t xml:space="preserve">exceeded </w:t>
      </w:r>
      <w:r w:rsidR="001C286D">
        <w:rPr>
          <w:rFonts w:ascii="Times New Roman" w:eastAsia="標楷體" w:hint="eastAsia"/>
          <w:spacing w:val="-2"/>
          <w:sz w:val="24"/>
          <w:szCs w:val="28"/>
        </w:rPr>
        <w:t>previous</w:t>
      </w:r>
      <w:r w:rsidR="00F62B4C">
        <w:rPr>
          <w:rFonts w:ascii="Times New Roman" w:eastAsia="標楷體" w:hint="eastAsia"/>
          <w:spacing w:val="-2"/>
          <w:sz w:val="24"/>
          <w:szCs w:val="28"/>
        </w:rPr>
        <w:t xml:space="preserve"> heights. </w:t>
      </w:r>
      <w:r w:rsidR="00567743">
        <w:rPr>
          <w:rFonts w:ascii="Times New Roman" w:eastAsia="標楷體" w:hint="eastAsia"/>
          <w:spacing w:val="-2"/>
          <w:sz w:val="24"/>
          <w:szCs w:val="28"/>
        </w:rPr>
        <w:t xml:space="preserve">With mortgage concentration currently at 35.1%, a further pickup in housing credit could push the ratio past the historical high of 37.9%. Furthermore, while </w:t>
      </w:r>
      <w:r w:rsidR="00372198">
        <w:rPr>
          <w:rFonts w:ascii="Times New Roman" w:eastAsia="標楷體" w:hint="eastAsia"/>
          <w:spacing w:val="-2"/>
          <w:sz w:val="24"/>
          <w:szCs w:val="28"/>
        </w:rPr>
        <w:t>domestic banks</w:t>
      </w:r>
      <w:r w:rsidR="001B6202">
        <w:rPr>
          <w:rFonts w:ascii="Times New Roman" w:eastAsia="標楷體" w:hint="eastAsia"/>
          <w:spacing w:val="-2"/>
          <w:sz w:val="24"/>
          <w:szCs w:val="28"/>
        </w:rPr>
        <w:t xml:space="preserve"> still registered</w:t>
      </w:r>
      <w:r w:rsidR="00372198">
        <w:rPr>
          <w:rFonts w:ascii="Times New Roman" w:eastAsia="標楷體" w:hint="eastAsia"/>
          <w:spacing w:val="-2"/>
          <w:sz w:val="24"/>
          <w:szCs w:val="28"/>
        </w:rPr>
        <w:t xml:space="preserve"> low mortgage default rates, </w:t>
      </w:r>
      <w:r w:rsidR="0055724F">
        <w:rPr>
          <w:rFonts w:ascii="Times New Roman" w:eastAsia="標楷體" w:hint="eastAsia"/>
          <w:spacing w:val="-2"/>
          <w:sz w:val="24"/>
          <w:szCs w:val="28"/>
        </w:rPr>
        <w:t xml:space="preserve">housing credit exposure </w:t>
      </w:r>
      <w:r w:rsidR="007D084D">
        <w:rPr>
          <w:rFonts w:ascii="Times New Roman" w:eastAsia="標楷體" w:hint="eastAsia"/>
          <w:spacing w:val="-2"/>
          <w:sz w:val="24"/>
          <w:szCs w:val="28"/>
        </w:rPr>
        <w:t>w</w:t>
      </w:r>
      <w:r w:rsidR="0055724F">
        <w:rPr>
          <w:rFonts w:ascii="Times New Roman" w:eastAsia="標楷體" w:hint="eastAsia"/>
          <w:spacing w:val="-2"/>
          <w:sz w:val="24"/>
          <w:szCs w:val="28"/>
        </w:rPr>
        <w:t xml:space="preserve">ould </w:t>
      </w:r>
      <w:r w:rsidR="007D084D">
        <w:rPr>
          <w:rFonts w:ascii="Times New Roman" w:eastAsia="標楷體" w:hint="eastAsia"/>
          <w:spacing w:val="-2"/>
          <w:sz w:val="24"/>
          <w:szCs w:val="28"/>
        </w:rPr>
        <w:t>pile up</w:t>
      </w:r>
      <w:r w:rsidR="001B6202">
        <w:rPr>
          <w:rFonts w:ascii="Times New Roman" w:eastAsia="標楷體" w:hint="eastAsia"/>
          <w:spacing w:val="-2"/>
          <w:sz w:val="24"/>
          <w:szCs w:val="28"/>
        </w:rPr>
        <w:t xml:space="preserve"> </w:t>
      </w:r>
      <w:r w:rsidR="0055724F">
        <w:rPr>
          <w:rFonts w:ascii="Times New Roman" w:eastAsia="標楷體" w:hint="eastAsia"/>
          <w:spacing w:val="-2"/>
          <w:sz w:val="24"/>
          <w:szCs w:val="28"/>
        </w:rPr>
        <w:t xml:space="preserve">collectively if a good deal of them add new housing loans simultaneously, </w:t>
      </w:r>
      <w:r w:rsidR="001B6202">
        <w:rPr>
          <w:rFonts w:ascii="Times New Roman" w:eastAsia="標楷體" w:hint="eastAsia"/>
          <w:spacing w:val="-2"/>
          <w:sz w:val="24"/>
          <w:szCs w:val="28"/>
        </w:rPr>
        <w:t xml:space="preserve">thereby </w:t>
      </w:r>
      <w:r w:rsidR="0055724F">
        <w:rPr>
          <w:rFonts w:ascii="Times New Roman" w:eastAsia="標楷體" w:hint="eastAsia"/>
          <w:spacing w:val="-2"/>
          <w:sz w:val="24"/>
          <w:szCs w:val="28"/>
        </w:rPr>
        <w:t>creating potential systemic risk that could spark a banking crisis and impair financial stability</w:t>
      </w:r>
      <w:r w:rsidR="001067AC">
        <w:rPr>
          <w:rFonts w:ascii="Times New Roman" w:eastAsia="標楷體" w:hint="eastAsia"/>
          <w:spacing w:val="-2"/>
          <w:sz w:val="24"/>
          <w:szCs w:val="28"/>
        </w:rPr>
        <w:t xml:space="preserve">. </w:t>
      </w:r>
      <w:r w:rsidR="007D084D">
        <w:rPr>
          <w:rFonts w:ascii="Times New Roman" w:eastAsia="標楷體" w:hint="eastAsia"/>
          <w:spacing w:val="-2"/>
          <w:sz w:val="24"/>
          <w:szCs w:val="28"/>
        </w:rPr>
        <w:t>The board director suggested that</w:t>
      </w:r>
      <w:r w:rsidR="00E74610">
        <w:rPr>
          <w:rFonts w:ascii="Times New Roman" w:eastAsia="標楷體" w:hint="eastAsia"/>
          <w:spacing w:val="-2"/>
          <w:sz w:val="24"/>
          <w:szCs w:val="28"/>
        </w:rPr>
        <w:t xml:space="preserve">, at this </w:t>
      </w:r>
      <w:r w:rsidR="00811140">
        <w:rPr>
          <w:rFonts w:ascii="Times New Roman" w:eastAsia="標楷體" w:hint="eastAsia"/>
          <w:spacing w:val="-2"/>
          <w:sz w:val="24"/>
          <w:szCs w:val="28"/>
        </w:rPr>
        <w:t>stage</w:t>
      </w:r>
      <w:r w:rsidR="007D084D">
        <w:rPr>
          <w:rFonts w:ascii="Times New Roman" w:eastAsia="標楷體" w:hint="eastAsia"/>
          <w:spacing w:val="-2"/>
          <w:sz w:val="24"/>
          <w:szCs w:val="28"/>
        </w:rPr>
        <w:t xml:space="preserve"> </w:t>
      </w:r>
      <w:r w:rsidR="00E74610">
        <w:rPr>
          <w:rFonts w:ascii="Times New Roman" w:eastAsia="標楷體" w:hint="eastAsia"/>
          <w:spacing w:val="-2"/>
          <w:sz w:val="24"/>
          <w:szCs w:val="28"/>
        </w:rPr>
        <w:t>whilst</w:t>
      </w:r>
      <w:r w:rsidR="000563DA">
        <w:rPr>
          <w:rFonts w:ascii="Times New Roman" w:eastAsia="標楷體" w:hint="eastAsia"/>
          <w:spacing w:val="-2"/>
          <w:sz w:val="24"/>
          <w:szCs w:val="28"/>
        </w:rPr>
        <w:t xml:space="preserve"> expectations of higher property prices </w:t>
      </w:r>
      <w:r w:rsidR="00E74610">
        <w:rPr>
          <w:rFonts w:ascii="Times New Roman" w:eastAsia="標楷體" w:hint="eastAsia"/>
          <w:spacing w:val="-2"/>
          <w:sz w:val="24"/>
          <w:szCs w:val="28"/>
        </w:rPr>
        <w:t xml:space="preserve">were just </w:t>
      </w:r>
      <w:r w:rsidR="000563DA">
        <w:rPr>
          <w:rFonts w:ascii="Times New Roman" w:eastAsia="標楷體" w:hint="eastAsia"/>
          <w:spacing w:val="-2"/>
          <w:sz w:val="24"/>
          <w:szCs w:val="28"/>
        </w:rPr>
        <w:t>begin</w:t>
      </w:r>
      <w:r w:rsidR="00E74610">
        <w:rPr>
          <w:rFonts w:ascii="Times New Roman" w:eastAsia="標楷體" w:hint="eastAsia"/>
          <w:spacing w:val="-2"/>
          <w:sz w:val="24"/>
          <w:szCs w:val="28"/>
        </w:rPr>
        <w:t>ning</w:t>
      </w:r>
      <w:r w:rsidR="000563DA">
        <w:rPr>
          <w:rFonts w:ascii="Times New Roman" w:eastAsia="標楷體" w:hint="eastAsia"/>
          <w:spacing w:val="-2"/>
          <w:sz w:val="24"/>
          <w:szCs w:val="28"/>
        </w:rPr>
        <w:t xml:space="preserve"> to take shape, </w:t>
      </w:r>
      <w:r w:rsidR="00811140">
        <w:rPr>
          <w:rFonts w:ascii="Times New Roman" w:eastAsia="標楷體" w:hint="eastAsia"/>
          <w:spacing w:val="-2"/>
          <w:sz w:val="24"/>
          <w:szCs w:val="28"/>
        </w:rPr>
        <w:t xml:space="preserve">the Bank should sound an early warning alongside </w:t>
      </w:r>
      <w:r w:rsidR="00E74610">
        <w:rPr>
          <w:rFonts w:ascii="Times New Roman" w:eastAsia="標楷體" w:hint="eastAsia"/>
          <w:spacing w:val="-2"/>
          <w:sz w:val="24"/>
          <w:szCs w:val="28"/>
        </w:rPr>
        <w:t xml:space="preserve">government policies on returning </w:t>
      </w:r>
      <w:r w:rsidR="00E74610">
        <w:rPr>
          <w:rFonts w:ascii="Times New Roman" w:eastAsia="標楷體"/>
          <w:spacing w:val="-2"/>
          <w:sz w:val="24"/>
          <w:szCs w:val="28"/>
        </w:rPr>
        <w:t>investment</w:t>
      </w:r>
      <w:r w:rsidR="00E74610">
        <w:rPr>
          <w:rFonts w:ascii="Times New Roman" w:eastAsia="標楷體" w:hint="eastAsia"/>
          <w:spacing w:val="-2"/>
          <w:sz w:val="24"/>
          <w:szCs w:val="28"/>
        </w:rPr>
        <w:t xml:space="preserve"> and urban renewal and </w:t>
      </w:r>
      <w:r w:rsidR="00811140">
        <w:rPr>
          <w:rFonts w:ascii="Times New Roman" w:eastAsia="標楷體" w:hint="eastAsia"/>
          <w:spacing w:val="-2"/>
          <w:sz w:val="24"/>
          <w:szCs w:val="28"/>
        </w:rPr>
        <w:t>should</w:t>
      </w:r>
      <w:r w:rsidR="00E74610">
        <w:rPr>
          <w:rFonts w:ascii="Times New Roman" w:eastAsia="標楷體" w:hint="eastAsia"/>
          <w:spacing w:val="-2"/>
          <w:sz w:val="24"/>
          <w:szCs w:val="28"/>
        </w:rPr>
        <w:t xml:space="preserve"> explore </w:t>
      </w:r>
      <w:r w:rsidR="001C286D">
        <w:rPr>
          <w:rFonts w:ascii="Times New Roman" w:eastAsia="標楷體" w:hint="eastAsia"/>
          <w:spacing w:val="-2"/>
          <w:sz w:val="24"/>
          <w:szCs w:val="28"/>
        </w:rPr>
        <w:t xml:space="preserve">preemptive </w:t>
      </w:r>
      <w:r w:rsidR="00E74610">
        <w:rPr>
          <w:rFonts w:ascii="Times New Roman" w:eastAsia="標楷體" w:hint="eastAsia"/>
          <w:spacing w:val="-2"/>
          <w:sz w:val="24"/>
          <w:szCs w:val="28"/>
        </w:rPr>
        <w:t>measures</w:t>
      </w:r>
      <w:r w:rsidR="00811140">
        <w:rPr>
          <w:rFonts w:ascii="Times New Roman" w:eastAsia="標楷體" w:hint="eastAsia"/>
          <w:spacing w:val="-2"/>
          <w:sz w:val="24"/>
          <w:szCs w:val="28"/>
        </w:rPr>
        <w:t xml:space="preserve"> if</w:t>
      </w:r>
      <w:r w:rsidR="00E74610">
        <w:rPr>
          <w:rFonts w:ascii="Times New Roman" w:eastAsia="標楷體" w:hint="eastAsia"/>
          <w:spacing w:val="-2"/>
          <w:sz w:val="24"/>
          <w:szCs w:val="28"/>
        </w:rPr>
        <w:t xml:space="preserve"> the situation escalates.  </w:t>
      </w:r>
    </w:p>
    <w:p w:rsidR="00964E32" w:rsidRDefault="00964E32" w:rsidP="00811140">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Another board director added that financial instability or cris</w:t>
      </w:r>
      <w:r w:rsidR="0025180E">
        <w:rPr>
          <w:rFonts w:ascii="Times New Roman" w:eastAsia="標楷體" w:hint="eastAsia"/>
          <w:spacing w:val="-2"/>
          <w:sz w:val="24"/>
          <w:szCs w:val="28"/>
        </w:rPr>
        <w:t>i</w:t>
      </w:r>
      <w:r>
        <w:rPr>
          <w:rFonts w:ascii="Times New Roman" w:eastAsia="標楷體" w:hint="eastAsia"/>
          <w:spacing w:val="-2"/>
          <w:sz w:val="24"/>
          <w:szCs w:val="28"/>
        </w:rPr>
        <w:t xml:space="preserve">s </w:t>
      </w:r>
      <w:r w:rsidR="0025180E">
        <w:rPr>
          <w:rFonts w:ascii="Times New Roman" w:eastAsia="標楷體" w:hint="eastAsia"/>
          <w:spacing w:val="-2"/>
          <w:sz w:val="24"/>
          <w:szCs w:val="28"/>
        </w:rPr>
        <w:t>stemming</w:t>
      </w:r>
      <w:r>
        <w:rPr>
          <w:rFonts w:ascii="Times New Roman" w:eastAsia="標楷體" w:hint="eastAsia"/>
          <w:spacing w:val="-2"/>
          <w:sz w:val="24"/>
          <w:szCs w:val="28"/>
        </w:rPr>
        <w:t xml:space="preserve"> from the real estate sector</w:t>
      </w:r>
      <w:r w:rsidR="0025180E">
        <w:rPr>
          <w:rFonts w:ascii="Times New Roman" w:eastAsia="標楷體" w:hint="eastAsia"/>
          <w:spacing w:val="-2"/>
          <w:sz w:val="24"/>
          <w:szCs w:val="28"/>
        </w:rPr>
        <w:t xml:space="preserve"> tends to </w:t>
      </w:r>
      <w:r w:rsidR="00C93639">
        <w:rPr>
          <w:rFonts w:ascii="Times New Roman" w:eastAsia="標楷體" w:hint="eastAsia"/>
          <w:spacing w:val="-2"/>
          <w:sz w:val="24"/>
          <w:szCs w:val="28"/>
        </w:rPr>
        <w:t>strike</w:t>
      </w:r>
      <w:r w:rsidR="00A478F3">
        <w:rPr>
          <w:rFonts w:ascii="Times New Roman" w:eastAsia="標楷體" w:hint="eastAsia"/>
          <w:spacing w:val="-2"/>
          <w:sz w:val="24"/>
          <w:szCs w:val="28"/>
        </w:rPr>
        <w:t xml:space="preserve"> fast and hard; early signs should be heeded,</w:t>
      </w:r>
      <w:r w:rsidR="001C286D">
        <w:rPr>
          <w:rFonts w:ascii="Times New Roman" w:eastAsia="標楷體" w:hint="eastAsia"/>
          <w:spacing w:val="-2"/>
          <w:sz w:val="24"/>
          <w:szCs w:val="28"/>
        </w:rPr>
        <w:t xml:space="preserve"> closely monitored</w:t>
      </w:r>
      <w:r w:rsidR="001C286D">
        <w:rPr>
          <w:rFonts w:ascii="Times New Roman" w:eastAsia="標楷體" w:hint="eastAsia"/>
          <w:spacing w:val="-2"/>
          <w:sz w:val="24"/>
          <w:szCs w:val="28"/>
        </w:rPr>
        <w:t>, and</w:t>
      </w:r>
      <w:r w:rsidR="00A478F3">
        <w:rPr>
          <w:rFonts w:ascii="Times New Roman" w:eastAsia="標楷體" w:hint="eastAsia"/>
          <w:spacing w:val="-2"/>
          <w:sz w:val="24"/>
          <w:szCs w:val="28"/>
        </w:rPr>
        <w:t xml:space="preserve"> </w:t>
      </w:r>
      <w:r w:rsidR="003A51B8">
        <w:rPr>
          <w:rFonts w:ascii="Times New Roman" w:eastAsia="標楷體" w:hint="eastAsia"/>
          <w:spacing w:val="-2"/>
          <w:sz w:val="24"/>
          <w:szCs w:val="28"/>
        </w:rPr>
        <w:t>addressed</w:t>
      </w:r>
      <w:r w:rsidR="00A478F3">
        <w:rPr>
          <w:rFonts w:ascii="Times New Roman" w:eastAsia="標楷體" w:hint="eastAsia"/>
          <w:spacing w:val="-2"/>
          <w:sz w:val="24"/>
          <w:szCs w:val="28"/>
        </w:rPr>
        <w:t xml:space="preserve">. The ratio of real estate lending to total </w:t>
      </w:r>
      <w:r w:rsidR="00450C02">
        <w:rPr>
          <w:rFonts w:ascii="Times New Roman" w:eastAsia="標楷體" w:hint="eastAsia"/>
          <w:spacing w:val="-2"/>
          <w:sz w:val="24"/>
          <w:szCs w:val="28"/>
        </w:rPr>
        <w:t xml:space="preserve">domestic bank </w:t>
      </w:r>
      <w:r w:rsidR="00A478F3">
        <w:rPr>
          <w:rFonts w:ascii="Times New Roman" w:eastAsia="標楷體" w:hint="eastAsia"/>
          <w:spacing w:val="-2"/>
          <w:sz w:val="24"/>
          <w:szCs w:val="28"/>
        </w:rPr>
        <w:t xml:space="preserve">lending was currently higher than that of </w:t>
      </w:r>
      <w:r w:rsidR="00450C02">
        <w:rPr>
          <w:rFonts w:ascii="Times New Roman" w:eastAsia="標楷體"/>
          <w:spacing w:val="-2"/>
          <w:sz w:val="24"/>
          <w:szCs w:val="28"/>
        </w:rPr>
        <w:t>manufacturing</w:t>
      </w:r>
      <w:r w:rsidR="00450C02">
        <w:rPr>
          <w:rFonts w:ascii="Times New Roman" w:eastAsia="標楷體" w:hint="eastAsia"/>
          <w:spacing w:val="-2"/>
          <w:sz w:val="24"/>
          <w:szCs w:val="28"/>
        </w:rPr>
        <w:t xml:space="preserve"> lending (to public and private sectors combined) </w:t>
      </w:r>
      <w:r w:rsidR="00730C9E">
        <w:rPr>
          <w:rFonts w:ascii="Times New Roman" w:eastAsia="標楷體" w:hint="eastAsia"/>
          <w:spacing w:val="-2"/>
          <w:sz w:val="24"/>
          <w:szCs w:val="28"/>
        </w:rPr>
        <w:t>to total</w:t>
      </w:r>
      <w:r w:rsidR="003A51B8">
        <w:rPr>
          <w:rFonts w:ascii="Times New Roman" w:eastAsia="標楷體" w:hint="eastAsia"/>
          <w:spacing w:val="-2"/>
          <w:sz w:val="24"/>
          <w:szCs w:val="28"/>
        </w:rPr>
        <w:t>; under the circumstances, it should be noted that the Bank</w:t>
      </w:r>
      <w:r w:rsidR="003A51B8">
        <w:rPr>
          <w:rFonts w:ascii="Times New Roman" w:eastAsia="標楷體"/>
          <w:spacing w:val="-2"/>
          <w:sz w:val="24"/>
          <w:szCs w:val="28"/>
        </w:rPr>
        <w:t>’</w:t>
      </w:r>
      <w:r w:rsidR="003A51B8">
        <w:rPr>
          <w:rFonts w:ascii="Times New Roman" w:eastAsia="標楷體" w:hint="eastAsia"/>
          <w:spacing w:val="-2"/>
          <w:sz w:val="24"/>
          <w:szCs w:val="28"/>
        </w:rPr>
        <w:t xml:space="preserve">s </w:t>
      </w:r>
      <w:r w:rsidR="003A51B8">
        <w:rPr>
          <w:rFonts w:ascii="Times New Roman" w:eastAsia="標楷體"/>
          <w:spacing w:val="-2"/>
          <w:sz w:val="24"/>
          <w:szCs w:val="28"/>
        </w:rPr>
        <w:t>accommodative</w:t>
      </w:r>
      <w:r w:rsidR="003A51B8">
        <w:rPr>
          <w:rFonts w:ascii="Times New Roman" w:eastAsia="標楷體" w:hint="eastAsia"/>
          <w:spacing w:val="-2"/>
          <w:sz w:val="24"/>
          <w:szCs w:val="28"/>
        </w:rPr>
        <w:t xml:space="preserve"> monetary policy </w:t>
      </w:r>
      <w:r w:rsidR="00880AA0">
        <w:rPr>
          <w:rFonts w:ascii="Times New Roman" w:eastAsia="標楷體" w:hint="eastAsia"/>
          <w:spacing w:val="-2"/>
          <w:sz w:val="24"/>
          <w:szCs w:val="28"/>
        </w:rPr>
        <w:t xml:space="preserve">was taken in response to the short-term business cycle by channeling credit towards capital outlays instead of home mortgages. The board director suggested that the Bank should, in addition to monetary easing, deploy </w:t>
      </w:r>
      <w:proofErr w:type="spellStart"/>
      <w:r w:rsidR="00880AA0">
        <w:rPr>
          <w:rFonts w:ascii="Times New Roman" w:eastAsia="標楷體" w:hint="eastAsia"/>
          <w:spacing w:val="-2"/>
          <w:sz w:val="24"/>
          <w:szCs w:val="28"/>
        </w:rPr>
        <w:t>macroprudential</w:t>
      </w:r>
      <w:proofErr w:type="spellEnd"/>
      <w:r w:rsidR="00880AA0">
        <w:rPr>
          <w:rFonts w:ascii="Times New Roman" w:eastAsia="標楷體" w:hint="eastAsia"/>
          <w:spacing w:val="-2"/>
          <w:sz w:val="24"/>
          <w:szCs w:val="28"/>
        </w:rPr>
        <w:t xml:space="preserve"> tools such as selective credit controls, in order to prevent </w:t>
      </w:r>
      <w:r w:rsidR="00880AA0">
        <w:rPr>
          <w:rFonts w:ascii="Times New Roman" w:eastAsia="標楷體"/>
          <w:spacing w:val="-2"/>
          <w:sz w:val="24"/>
          <w:szCs w:val="28"/>
        </w:rPr>
        <w:t>destabilizing</w:t>
      </w:r>
      <w:r w:rsidR="00880AA0">
        <w:rPr>
          <w:rFonts w:ascii="Times New Roman" w:eastAsia="標楷體" w:hint="eastAsia"/>
          <w:spacing w:val="-2"/>
          <w:sz w:val="24"/>
          <w:szCs w:val="28"/>
        </w:rPr>
        <w:t xml:space="preserve"> side effects of a low interest rate environment. </w:t>
      </w:r>
    </w:p>
    <w:p w:rsidR="00545530" w:rsidRPr="00DA3AC0" w:rsidRDefault="008F6A11" w:rsidP="009831B1">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One board director pointed out that although some of the housing-related financial indicators </w:t>
      </w:r>
      <w:r w:rsidR="000E2EB7">
        <w:rPr>
          <w:rFonts w:ascii="Times New Roman" w:eastAsia="標楷體" w:hint="eastAsia"/>
          <w:spacing w:val="-2"/>
          <w:sz w:val="24"/>
          <w:szCs w:val="28"/>
        </w:rPr>
        <w:t xml:space="preserve">now </w:t>
      </w:r>
      <w:r>
        <w:rPr>
          <w:rFonts w:ascii="Times New Roman" w:eastAsia="標楷體" w:hint="eastAsia"/>
          <w:spacing w:val="-2"/>
          <w:sz w:val="24"/>
          <w:szCs w:val="28"/>
        </w:rPr>
        <w:t>came to levels similar to those back in June 2010</w:t>
      </w:r>
      <w:r w:rsidR="00D860FA">
        <w:rPr>
          <w:rFonts w:ascii="Times New Roman" w:eastAsia="標楷體" w:hint="eastAsia"/>
          <w:spacing w:val="-2"/>
          <w:sz w:val="24"/>
          <w:szCs w:val="28"/>
        </w:rPr>
        <w:t xml:space="preserve"> </w:t>
      </w:r>
      <w:r w:rsidR="00D860FA">
        <w:rPr>
          <w:rFonts w:ascii="Times New Roman" w:eastAsia="標楷體"/>
          <w:spacing w:val="-2"/>
          <w:sz w:val="24"/>
          <w:szCs w:val="28"/>
        </w:rPr>
        <w:t>–</w:t>
      </w:r>
      <w:r w:rsidR="00D860FA">
        <w:rPr>
          <w:rFonts w:ascii="Times New Roman" w:eastAsia="標楷體" w:hint="eastAsia"/>
          <w:spacing w:val="-2"/>
          <w:sz w:val="24"/>
          <w:szCs w:val="28"/>
        </w:rPr>
        <w:t xml:space="preserve"> when </w:t>
      </w:r>
      <w:r>
        <w:rPr>
          <w:rFonts w:ascii="Times New Roman" w:eastAsia="標楷體" w:hint="eastAsia"/>
          <w:spacing w:val="-2"/>
          <w:sz w:val="24"/>
          <w:szCs w:val="28"/>
        </w:rPr>
        <w:t xml:space="preserve">the Bank introduced targeted </w:t>
      </w:r>
      <w:proofErr w:type="spellStart"/>
      <w:r>
        <w:rPr>
          <w:rFonts w:ascii="Times New Roman" w:eastAsia="標楷體" w:hint="eastAsia"/>
          <w:spacing w:val="-2"/>
          <w:sz w:val="24"/>
          <w:szCs w:val="28"/>
        </w:rPr>
        <w:t>macroprudential</w:t>
      </w:r>
      <w:proofErr w:type="spellEnd"/>
      <w:r>
        <w:rPr>
          <w:rFonts w:ascii="Times New Roman" w:eastAsia="標楷體" w:hint="eastAsia"/>
          <w:spacing w:val="-2"/>
          <w:sz w:val="24"/>
          <w:szCs w:val="28"/>
        </w:rPr>
        <w:t xml:space="preserve"> measures </w:t>
      </w:r>
      <w:r w:rsidR="001C286D">
        <w:rPr>
          <w:rFonts w:ascii="Times New Roman" w:eastAsia="標楷體" w:hint="eastAsia"/>
          <w:spacing w:val="-2"/>
          <w:sz w:val="24"/>
          <w:szCs w:val="28"/>
        </w:rPr>
        <w:t>for</w:t>
      </w:r>
      <w:r>
        <w:rPr>
          <w:rFonts w:ascii="Times New Roman" w:eastAsia="標楷體" w:hint="eastAsia"/>
          <w:spacing w:val="-2"/>
          <w:sz w:val="24"/>
          <w:szCs w:val="28"/>
        </w:rPr>
        <w:t xml:space="preserve"> real estate lending</w:t>
      </w:r>
      <w:r w:rsidR="00D860FA">
        <w:rPr>
          <w:rFonts w:ascii="Times New Roman" w:eastAsia="標楷體" w:hint="eastAsia"/>
          <w:spacing w:val="-2"/>
          <w:sz w:val="24"/>
          <w:szCs w:val="28"/>
        </w:rPr>
        <w:t xml:space="preserve"> </w:t>
      </w:r>
      <w:r w:rsidR="00D860FA">
        <w:rPr>
          <w:rFonts w:ascii="Times New Roman" w:eastAsia="標楷體"/>
          <w:spacing w:val="-2"/>
          <w:sz w:val="24"/>
          <w:szCs w:val="28"/>
        </w:rPr>
        <w:t>–</w:t>
      </w:r>
      <w:r w:rsidR="00D860FA">
        <w:rPr>
          <w:rFonts w:ascii="Times New Roman" w:eastAsia="標楷體" w:hint="eastAsia"/>
          <w:spacing w:val="-2"/>
          <w:sz w:val="24"/>
          <w:szCs w:val="28"/>
        </w:rPr>
        <w:t xml:space="preserve"> it </w:t>
      </w:r>
      <w:r w:rsidR="000E2EB7">
        <w:rPr>
          <w:rFonts w:ascii="Times New Roman" w:eastAsia="標楷體" w:hint="eastAsia"/>
          <w:spacing w:val="-2"/>
          <w:sz w:val="24"/>
          <w:szCs w:val="28"/>
        </w:rPr>
        <w:t xml:space="preserve">should also be noted that since </w:t>
      </w:r>
      <w:r w:rsidR="000E2EB7">
        <w:rPr>
          <w:rFonts w:ascii="Times New Roman" w:eastAsia="標楷體" w:hint="eastAsia"/>
          <w:spacing w:val="-2"/>
          <w:sz w:val="24"/>
          <w:szCs w:val="28"/>
        </w:rPr>
        <w:lastRenderedPageBreak/>
        <w:t>then banks have, per the Bank</w:t>
      </w:r>
      <w:r w:rsidR="000E2EB7">
        <w:rPr>
          <w:rFonts w:ascii="Times New Roman" w:eastAsia="標楷體"/>
          <w:spacing w:val="-2"/>
          <w:sz w:val="24"/>
          <w:szCs w:val="28"/>
        </w:rPr>
        <w:t>’</w:t>
      </w:r>
      <w:r w:rsidR="000E2EB7">
        <w:rPr>
          <w:rFonts w:ascii="Times New Roman" w:eastAsia="標楷體" w:hint="eastAsia"/>
          <w:spacing w:val="-2"/>
          <w:sz w:val="24"/>
          <w:szCs w:val="28"/>
        </w:rPr>
        <w:t>s requirement, put in place rigorous internal rules on real estate lending</w:t>
      </w:r>
      <w:r w:rsidR="00270A1D">
        <w:rPr>
          <w:rFonts w:ascii="Times New Roman" w:eastAsia="標楷體" w:hint="eastAsia"/>
          <w:spacing w:val="-2"/>
          <w:sz w:val="24"/>
          <w:szCs w:val="28"/>
        </w:rPr>
        <w:t>,</w:t>
      </w:r>
      <w:r w:rsidR="000E2EB7">
        <w:rPr>
          <w:rFonts w:ascii="Times New Roman" w:eastAsia="標楷體" w:hint="eastAsia"/>
          <w:spacing w:val="-2"/>
          <w:sz w:val="24"/>
          <w:szCs w:val="28"/>
        </w:rPr>
        <w:t xml:space="preserve"> </w:t>
      </w:r>
      <w:r w:rsidR="00270A1D">
        <w:rPr>
          <w:rFonts w:ascii="Times New Roman" w:eastAsia="標楷體" w:hint="eastAsia"/>
          <w:spacing w:val="-2"/>
          <w:sz w:val="24"/>
          <w:szCs w:val="28"/>
        </w:rPr>
        <w:t xml:space="preserve">along with targeted examinations </w:t>
      </w:r>
      <w:r w:rsidR="00394CC7">
        <w:rPr>
          <w:rFonts w:ascii="Times New Roman" w:eastAsia="標楷體" w:hint="eastAsia"/>
          <w:spacing w:val="-2"/>
          <w:sz w:val="24"/>
          <w:szCs w:val="28"/>
        </w:rPr>
        <w:t xml:space="preserve">conducted by </w:t>
      </w:r>
      <w:r w:rsidR="000E2EB7">
        <w:rPr>
          <w:rFonts w:ascii="Times New Roman" w:eastAsia="標楷體" w:hint="eastAsia"/>
          <w:spacing w:val="-2"/>
          <w:sz w:val="24"/>
          <w:szCs w:val="28"/>
        </w:rPr>
        <w:t>the Bank and the Financial Supervisory Commission</w:t>
      </w:r>
      <w:r w:rsidR="005A40E0">
        <w:rPr>
          <w:rFonts w:ascii="Times New Roman" w:eastAsia="標楷體" w:hint="eastAsia"/>
          <w:spacing w:val="-2"/>
          <w:sz w:val="24"/>
          <w:szCs w:val="28"/>
        </w:rPr>
        <w:t>.</w:t>
      </w:r>
      <w:r w:rsidR="00AE5C87">
        <w:rPr>
          <w:rFonts w:ascii="Times New Roman" w:eastAsia="標楷體" w:hint="eastAsia"/>
          <w:spacing w:val="-2"/>
          <w:sz w:val="24"/>
          <w:szCs w:val="28"/>
        </w:rPr>
        <w:t xml:space="preserve"> Furthermore, </w:t>
      </w:r>
      <w:r w:rsidR="00270A1D">
        <w:rPr>
          <w:rFonts w:ascii="Times New Roman" w:eastAsia="標楷體" w:hint="eastAsia"/>
          <w:spacing w:val="-2"/>
          <w:sz w:val="24"/>
          <w:szCs w:val="28"/>
        </w:rPr>
        <w:t xml:space="preserve">this issue </w:t>
      </w:r>
      <w:r w:rsidR="00AE5C87">
        <w:rPr>
          <w:rFonts w:ascii="Times New Roman" w:eastAsia="標楷體" w:hint="eastAsia"/>
          <w:spacing w:val="-2"/>
          <w:sz w:val="24"/>
          <w:szCs w:val="28"/>
        </w:rPr>
        <w:t>involves many aspects and many competent authorities</w:t>
      </w:r>
      <w:r w:rsidR="00C552BD">
        <w:rPr>
          <w:rFonts w:ascii="Times New Roman" w:eastAsia="標楷體" w:hint="eastAsia"/>
          <w:spacing w:val="-2"/>
          <w:sz w:val="24"/>
          <w:szCs w:val="28"/>
        </w:rPr>
        <w:t xml:space="preserve"> and would need more than the central bank</w:t>
      </w:r>
      <w:r w:rsidR="00C552BD">
        <w:rPr>
          <w:rFonts w:ascii="Times New Roman" w:eastAsia="標楷體"/>
          <w:spacing w:val="-2"/>
          <w:sz w:val="24"/>
          <w:szCs w:val="28"/>
        </w:rPr>
        <w:t>’</w:t>
      </w:r>
      <w:r w:rsidR="00C552BD">
        <w:rPr>
          <w:rFonts w:ascii="Times New Roman" w:eastAsia="標楷體" w:hint="eastAsia"/>
          <w:spacing w:val="-2"/>
          <w:sz w:val="24"/>
          <w:szCs w:val="28"/>
        </w:rPr>
        <w:t xml:space="preserve">s hand </w:t>
      </w:r>
      <w:r w:rsidR="003035A3">
        <w:rPr>
          <w:rFonts w:ascii="Times New Roman" w:eastAsia="標楷體" w:hint="eastAsia"/>
          <w:spacing w:val="-2"/>
          <w:sz w:val="24"/>
          <w:szCs w:val="28"/>
        </w:rPr>
        <w:t xml:space="preserve">to effectively address </w:t>
      </w:r>
      <w:r w:rsidR="009831B1">
        <w:rPr>
          <w:rFonts w:ascii="Times New Roman" w:eastAsia="標楷體" w:hint="eastAsia"/>
          <w:spacing w:val="-2"/>
          <w:sz w:val="24"/>
          <w:szCs w:val="28"/>
        </w:rPr>
        <w:t>the related concerns such as deploying</w:t>
      </w:r>
      <w:r w:rsidR="00AE5C87">
        <w:rPr>
          <w:rFonts w:ascii="Times New Roman" w:eastAsia="標楷體" w:hint="eastAsia"/>
          <w:spacing w:val="-2"/>
          <w:sz w:val="24"/>
          <w:szCs w:val="28"/>
        </w:rPr>
        <w:t xml:space="preserve"> housing policies and </w:t>
      </w:r>
      <w:r w:rsidR="009831B1">
        <w:rPr>
          <w:rFonts w:ascii="Times New Roman" w:eastAsia="標楷體" w:hint="eastAsia"/>
          <w:spacing w:val="-2"/>
          <w:sz w:val="24"/>
          <w:szCs w:val="28"/>
        </w:rPr>
        <w:t xml:space="preserve">achieving </w:t>
      </w:r>
      <w:r w:rsidR="00AE5C87">
        <w:rPr>
          <w:rFonts w:ascii="Times New Roman" w:eastAsia="標楷體" w:hint="eastAsia"/>
          <w:spacing w:val="-2"/>
          <w:sz w:val="24"/>
          <w:szCs w:val="28"/>
        </w:rPr>
        <w:t>housing justice</w:t>
      </w:r>
      <w:r w:rsidR="009831B1">
        <w:rPr>
          <w:rFonts w:ascii="Times New Roman" w:eastAsia="標楷體" w:hint="eastAsia"/>
          <w:spacing w:val="-2"/>
          <w:sz w:val="24"/>
          <w:szCs w:val="28"/>
        </w:rPr>
        <w:t>, while the Bank strives to</w:t>
      </w:r>
      <w:r w:rsidR="00DA3AC0">
        <w:rPr>
          <w:rFonts w:ascii="Times New Roman" w:eastAsia="標楷體" w:hint="eastAsia"/>
          <w:spacing w:val="-2"/>
          <w:sz w:val="24"/>
          <w:szCs w:val="28"/>
        </w:rPr>
        <w:t xml:space="preserve"> manag</w:t>
      </w:r>
      <w:r w:rsidR="009831B1">
        <w:rPr>
          <w:rFonts w:ascii="Times New Roman" w:eastAsia="標楷體" w:hint="eastAsia"/>
          <w:spacing w:val="-2"/>
          <w:sz w:val="24"/>
          <w:szCs w:val="28"/>
        </w:rPr>
        <w:t>e</w:t>
      </w:r>
      <w:r w:rsidR="00DA3AC0">
        <w:rPr>
          <w:rFonts w:ascii="Times New Roman" w:eastAsia="標楷體" w:hint="eastAsia"/>
          <w:spacing w:val="-2"/>
          <w:sz w:val="24"/>
          <w:szCs w:val="28"/>
        </w:rPr>
        <w:t xml:space="preserve"> credit risk associated with banks</w:t>
      </w:r>
      <w:r w:rsidR="00DA3AC0">
        <w:rPr>
          <w:rFonts w:ascii="Times New Roman" w:eastAsia="標楷體"/>
          <w:spacing w:val="-2"/>
          <w:sz w:val="24"/>
          <w:szCs w:val="28"/>
        </w:rPr>
        <w:t>’</w:t>
      </w:r>
      <w:r w:rsidR="00DA3AC0">
        <w:rPr>
          <w:rFonts w:ascii="Times New Roman" w:eastAsia="標楷體" w:hint="eastAsia"/>
          <w:spacing w:val="-2"/>
          <w:sz w:val="24"/>
          <w:szCs w:val="28"/>
        </w:rPr>
        <w:t xml:space="preserve"> real estate lending and </w:t>
      </w:r>
      <w:r w:rsidR="009831B1">
        <w:rPr>
          <w:rFonts w:ascii="Times New Roman" w:eastAsia="標楷體" w:hint="eastAsia"/>
          <w:spacing w:val="-2"/>
          <w:sz w:val="24"/>
          <w:szCs w:val="28"/>
        </w:rPr>
        <w:t xml:space="preserve">to </w:t>
      </w:r>
      <w:r w:rsidR="00DA3AC0">
        <w:rPr>
          <w:rFonts w:ascii="Times New Roman" w:eastAsia="標楷體" w:hint="eastAsia"/>
          <w:spacing w:val="-2"/>
          <w:sz w:val="24"/>
          <w:szCs w:val="28"/>
        </w:rPr>
        <w:t>safeguard</w:t>
      </w:r>
      <w:r w:rsidR="009831B1">
        <w:rPr>
          <w:rFonts w:ascii="Times New Roman" w:eastAsia="標楷體" w:hint="eastAsia"/>
          <w:spacing w:val="-2"/>
          <w:sz w:val="24"/>
          <w:szCs w:val="28"/>
        </w:rPr>
        <w:t xml:space="preserve"> </w:t>
      </w:r>
      <w:r w:rsidR="00DA3AC0">
        <w:rPr>
          <w:rFonts w:ascii="Times New Roman" w:eastAsia="標楷體" w:hint="eastAsia"/>
          <w:spacing w:val="-2"/>
          <w:sz w:val="24"/>
          <w:szCs w:val="28"/>
        </w:rPr>
        <w:t xml:space="preserve">financial stability. </w:t>
      </w:r>
      <w:r w:rsidR="003544DC">
        <w:rPr>
          <w:rFonts w:ascii="Times New Roman" w:eastAsia="標楷體" w:hint="eastAsia"/>
          <w:spacing w:val="-2"/>
          <w:sz w:val="24"/>
          <w:szCs w:val="28"/>
        </w:rPr>
        <w:t xml:space="preserve">Considering that </w:t>
      </w:r>
      <w:r w:rsidR="00B207C6">
        <w:rPr>
          <w:rFonts w:ascii="Times New Roman" w:eastAsia="標楷體" w:hint="eastAsia"/>
          <w:spacing w:val="-2"/>
          <w:sz w:val="24"/>
          <w:szCs w:val="28"/>
        </w:rPr>
        <w:t xml:space="preserve">housing market conditions </w:t>
      </w:r>
      <w:r w:rsidR="009831B1">
        <w:rPr>
          <w:rFonts w:ascii="Times New Roman" w:eastAsia="標楷體" w:hint="eastAsia"/>
          <w:spacing w:val="-2"/>
          <w:sz w:val="24"/>
          <w:szCs w:val="28"/>
        </w:rPr>
        <w:t xml:space="preserve">in major cities </w:t>
      </w:r>
      <w:r w:rsidR="00B207C6">
        <w:rPr>
          <w:rFonts w:ascii="Times New Roman" w:eastAsia="標楷體" w:hint="eastAsia"/>
          <w:spacing w:val="-2"/>
          <w:sz w:val="24"/>
          <w:szCs w:val="28"/>
        </w:rPr>
        <w:t xml:space="preserve">varied significantly, further analysis is recommended. </w:t>
      </w:r>
      <w:r w:rsidR="009B066A" w:rsidRPr="00DA3AC0">
        <w:rPr>
          <w:rFonts w:ascii="Times New Roman" w:eastAsia="標楷體" w:hint="eastAsia"/>
          <w:spacing w:val="-2"/>
          <w:sz w:val="24"/>
          <w:szCs w:val="28"/>
        </w:rPr>
        <w:t xml:space="preserve"> </w:t>
      </w:r>
    </w:p>
    <w:p w:rsidR="003044E3" w:rsidRPr="00232ECF" w:rsidRDefault="003044E3" w:rsidP="003044E3">
      <w:pPr>
        <w:adjustRightInd/>
        <w:spacing w:before="120" w:line="440" w:lineRule="exact"/>
        <w:ind w:left="363" w:hangingChars="154" w:hanging="363"/>
        <w:textAlignment w:val="auto"/>
        <w:rPr>
          <w:rFonts w:eastAsia="標楷體"/>
          <w:spacing w:val="-2"/>
          <w:kern w:val="2"/>
          <w:sz w:val="24"/>
          <w:szCs w:val="28"/>
        </w:rPr>
      </w:pPr>
      <w:r w:rsidRPr="00232ECF">
        <w:rPr>
          <w:rFonts w:eastAsia="標楷體" w:hint="eastAsia"/>
          <w:spacing w:val="-2"/>
          <w:kern w:val="2"/>
          <w:sz w:val="24"/>
          <w:szCs w:val="28"/>
        </w:rPr>
        <w:t>(2) Discussion on interest rate decision</w:t>
      </w:r>
    </w:p>
    <w:p w:rsidR="002F52A1" w:rsidRDefault="001B5916" w:rsidP="002F52A1">
      <w:pPr>
        <w:adjustRightInd/>
        <w:snapToGrid w:val="0"/>
        <w:spacing w:before="120" w:line="440" w:lineRule="exact"/>
        <w:ind w:firstLineChars="200" w:firstLine="480"/>
        <w:jc w:val="both"/>
        <w:textDirection w:val="lrTbV"/>
        <w:rPr>
          <w:rFonts w:eastAsia="標楷體"/>
          <w:sz w:val="24"/>
          <w:szCs w:val="32"/>
        </w:rPr>
      </w:pPr>
      <w:r w:rsidRPr="00232ECF">
        <w:rPr>
          <w:rFonts w:eastAsia="標楷體" w:hint="eastAsia"/>
          <w:sz w:val="24"/>
          <w:szCs w:val="32"/>
        </w:rPr>
        <w:t xml:space="preserve">All board directors </w:t>
      </w:r>
      <w:r w:rsidR="00257AFD" w:rsidRPr="00232ECF">
        <w:rPr>
          <w:rFonts w:eastAsia="標楷體" w:hint="eastAsia"/>
          <w:sz w:val="24"/>
          <w:szCs w:val="32"/>
        </w:rPr>
        <w:t>approved of keeping policy rates at</w:t>
      </w:r>
      <w:r w:rsidRPr="00232ECF">
        <w:rPr>
          <w:rFonts w:eastAsia="標楷體" w:hint="eastAsia"/>
          <w:sz w:val="24"/>
          <w:szCs w:val="32"/>
        </w:rPr>
        <w:t xml:space="preserve"> the current levels, based mainly on the assessment </w:t>
      </w:r>
      <w:r w:rsidR="00232ECF" w:rsidRPr="00232ECF">
        <w:rPr>
          <w:rFonts w:eastAsia="標楷體" w:hint="eastAsia"/>
          <w:sz w:val="24"/>
          <w:szCs w:val="32"/>
        </w:rPr>
        <w:t xml:space="preserve">that the global </w:t>
      </w:r>
      <w:r w:rsidR="00232ECF" w:rsidRPr="00232ECF">
        <w:rPr>
          <w:rFonts w:eastAsia="標楷體"/>
          <w:sz w:val="24"/>
          <w:szCs w:val="32"/>
        </w:rPr>
        <w:t>economic</w:t>
      </w:r>
      <w:r w:rsidR="00232ECF" w:rsidRPr="00232ECF">
        <w:rPr>
          <w:rFonts w:eastAsia="標楷體" w:hint="eastAsia"/>
          <w:sz w:val="24"/>
          <w:szCs w:val="32"/>
        </w:rPr>
        <w:t xml:space="preserve"> outlook faced many uncertainties and the domestic economy would expand with mild momentum, along with </w:t>
      </w:r>
      <w:r w:rsidR="00985DB9" w:rsidRPr="00232ECF">
        <w:rPr>
          <w:rFonts w:eastAsia="標楷體" w:hint="eastAsia"/>
          <w:sz w:val="24"/>
          <w:szCs w:val="32"/>
        </w:rPr>
        <w:t>a stable domestic inflation outlook</w:t>
      </w:r>
      <w:r w:rsidRPr="00232ECF">
        <w:rPr>
          <w:rFonts w:eastAsia="標楷體" w:hint="eastAsia"/>
          <w:sz w:val="24"/>
          <w:szCs w:val="32"/>
        </w:rPr>
        <w:t xml:space="preserve">. </w:t>
      </w:r>
      <w:r w:rsidR="00EF4D38">
        <w:rPr>
          <w:rFonts w:eastAsia="標楷體" w:hint="eastAsia"/>
          <w:sz w:val="24"/>
          <w:szCs w:val="32"/>
        </w:rPr>
        <w:t xml:space="preserve">One board director stated that despite a high </w:t>
      </w:r>
      <w:r w:rsidR="001C286D">
        <w:rPr>
          <w:rFonts w:eastAsia="標楷體" w:hint="eastAsia"/>
          <w:sz w:val="24"/>
          <w:szCs w:val="32"/>
        </w:rPr>
        <w:t xml:space="preserve">degree of </w:t>
      </w:r>
      <w:r w:rsidR="00EF4D38">
        <w:rPr>
          <w:rFonts w:eastAsia="標楷體" w:hint="eastAsia"/>
          <w:sz w:val="24"/>
          <w:szCs w:val="32"/>
        </w:rPr>
        <w:t>uncertainty, it could stil</w:t>
      </w:r>
      <w:r w:rsidR="00502589">
        <w:rPr>
          <w:rFonts w:eastAsia="標楷體" w:hint="eastAsia"/>
          <w:sz w:val="24"/>
          <w:szCs w:val="32"/>
        </w:rPr>
        <w:t>l be expected that short- and me</w:t>
      </w:r>
      <w:r w:rsidR="00EF4D38">
        <w:rPr>
          <w:rFonts w:eastAsia="標楷體" w:hint="eastAsia"/>
          <w:sz w:val="24"/>
          <w:szCs w:val="32"/>
        </w:rPr>
        <w:t>d</w:t>
      </w:r>
      <w:r w:rsidR="001C286D">
        <w:rPr>
          <w:rFonts w:eastAsia="標楷體" w:hint="eastAsia"/>
          <w:sz w:val="24"/>
          <w:szCs w:val="32"/>
        </w:rPr>
        <w:t>ium</w:t>
      </w:r>
      <w:r w:rsidR="00EF4D38">
        <w:rPr>
          <w:rFonts w:eastAsia="標楷體" w:hint="eastAsia"/>
          <w:sz w:val="24"/>
          <w:szCs w:val="32"/>
        </w:rPr>
        <w:t xml:space="preserve">-term domestic investment has good momentum to </w:t>
      </w:r>
      <w:r w:rsidR="009831B1">
        <w:rPr>
          <w:rFonts w:eastAsia="標楷體" w:hint="eastAsia"/>
          <w:sz w:val="24"/>
          <w:szCs w:val="32"/>
        </w:rPr>
        <w:t>underpin</w:t>
      </w:r>
      <w:r w:rsidR="00EF4D38">
        <w:rPr>
          <w:rFonts w:eastAsia="標楷體" w:hint="eastAsia"/>
          <w:sz w:val="24"/>
          <w:szCs w:val="32"/>
        </w:rPr>
        <w:t xml:space="preserve"> </w:t>
      </w:r>
      <w:r w:rsidR="00EF4D38">
        <w:rPr>
          <w:rFonts w:eastAsia="標楷體"/>
          <w:sz w:val="24"/>
          <w:szCs w:val="32"/>
        </w:rPr>
        <w:t>economic</w:t>
      </w:r>
      <w:r w:rsidR="00EF4D38">
        <w:rPr>
          <w:rFonts w:eastAsia="標楷體" w:hint="eastAsia"/>
          <w:sz w:val="24"/>
          <w:szCs w:val="32"/>
        </w:rPr>
        <w:t xml:space="preserve"> growth. Ample liquidity</w:t>
      </w:r>
      <w:r w:rsidR="00EF4D38" w:rsidRPr="00EF4D38">
        <w:rPr>
          <w:rFonts w:eastAsia="標楷體" w:hint="eastAsia"/>
          <w:sz w:val="24"/>
          <w:szCs w:val="32"/>
        </w:rPr>
        <w:t xml:space="preserve"> </w:t>
      </w:r>
      <w:r w:rsidR="00621FE5">
        <w:rPr>
          <w:rFonts w:eastAsia="標楷體" w:hint="eastAsia"/>
          <w:sz w:val="24"/>
          <w:szCs w:val="32"/>
        </w:rPr>
        <w:t xml:space="preserve">in the domestic market </w:t>
      </w:r>
      <w:r w:rsidR="00EF4D38">
        <w:rPr>
          <w:rFonts w:eastAsia="標楷體" w:hint="eastAsia"/>
          <w:sz w:val="24"/>
          <w:szCs w:val="32"/>
        </w:rPr>
        <w:t xml:space="preserve">and high </w:t>
      </w:r>
      <w:r w:rsidR="00621FE5">
        <w:rPr>
          <w:rFonts w:eastAsia="標楷體" w:hint="eastAsia"/>
          <w:sz w:val="24"/>
          <w:szCs w:val="32"/>
        </w:rPr>
        <w:t>excess saving in the corporate sector suggested that</w:t>
      </w:r>
      <w:r w:rsidR="000954C0">
        <w:rPr>
          <w:rFonts w:eastAsia="標楷體" w:hint="eastAsia"/>
          <w:sz w:val="24"/>
          <w:szCs w:val="32"/>
        </w:rPr>
        <w:t xml:space="preserve"> </w:t>
      </w:r>
      <w:r w:rsidR="00621FE5">
        <w:rPr>
          <w:rFonts w:eastAsia="標楷體" w:hint="eastAsia"/>
          <w:sz w:val="24"/>
          <w:szCs w:val="32"/>
        </w:rPr>
        <w:t>Taiwan</w:t>
      </w:r>
      <w:r w:rsidR="00621FE5">
        <w:rPr>
          <w:rFonts w:eastAsia="標楷體"/>
          <w:sz w:val="24"/>
          <w:szCs w:val="32"/>
        </w:rPr>
        <w:t>’</w:t>
      </w:r>
      <w:r w:rsidR="00621FE5">
        <w:rPr>
          <w:rFonts w:eastAsia="標楷體" w:hint="eastAsia"/>
          <w:sz w:val="24"/>
          <w:szCs w:val="32"/>
        </w:rPr>
        <w:t>s businesses had no</w:t>
      </w:r>
      <w:r w:rsidR="00621FE5" w:rsidRPr="00621FE5">
        <w:rPr>
          <w:rFonts w:eastAsia="標楷體"/>
          <w:sz w:val="24"/>
          <w:szCs w:val="32"/>
        </w:rPr>
        <w:t xml:space="preserve"> shortage of funds</w:t>
      </w:r>
      <w:r w:rsidR="00621FE5">
        <w:rPr>
          <w:rFonts w:eastAsia="標楷體" w:hint="eastAsia"/>
          <w:sz w:val="24"/>
          <w:szCs w:val="32"/>
        </w:rPr>
        <w:t xml:space="preserve"> but </w:t>
      </w:r>
      <w:r w:rsidR="000954C0">
        <w:rPr>
          <w:rFonts w:eastAsia="標楷體" w:hint="eastAsia"/>
          <w:sz w:val="24"/>
          <w:szCs w:val="32"/>
        </w:rPr>
        <w:t>a deficiency of investment opportunities. The government should address it by improving the domestic investment environment to create more opportunities</w:t>
      </w:r>
      <w:r w:rsidR="002F52A1">
        <w:rPr>
          <w:rFonts w:eastAsia="標楷體" w:hint="eastAsia"/>
          <w:sz w:val="24"/>
          <w:szCs w:val="32"/>
        </w:rPr>
        <w:t xml:space="preserve"> for them</w:t>
      </w:r>
      <w:r w:rsidR="000954C0">
        <w:rPr>
          <w:rFonts w:eastAsia="標楷體" w:hint="eastAsia"/>
          <w:sz w:val="24"/>
          <w:szCs w:val="32"/>
        </w:rPr>
        <w:t>.</w:t>
      </w:r>
      <w:r w:rsidR="002F52A1">
        <w:rPr>
          <w:rFonts w:eastAsia="標楷體" w:hint="eastAsia"/>
          <w:sz w:val="24"/>
          <w:szCs w:val="32"/>
        </w:rPr>
        <w:t xml:space="preserve"> Compared to monetary easing, measures to promote investment would provide a more effective boost to </w:t>
      </w:r>
      <w:r w:rsidR="002F52A1">
        <w:rPr>
          <w:rFonts w:eastAsia="標楷體"/>
          <w:sz w:val="24"/>
          <w:szCs w:val="32"/>
        </w:rPr>
        <w:t>economic</w:t>
      </w:r>
      <w:r w:rsidR="002F52A1">
        <w:rPr>
          <w:rFonts w:eastAsia="標楷體" w:hint="eastAsia"/>
          <w:sz w:val="24"/>
          <w:szCs w:val="32"/>
        </w:rPr>
        <w:t xml:space="preserve"> growth. Therefore the board director supported the proposed policy rate hold. </w:t>
      </w:r>
    </w:p>
    <w:p w:rsidR="00621FE5" w:rsidRDefault="00EF025F" w:rsidP="00EF025F">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One</w:t>
      </w:r>
      <w:r w:rsidR="002F52A1">
        <w:rPr>
          <w:rFonts w:eastAsia="標楷體" w:hint="eastAsia"/>
          <w:sz w:val="24"/>
          <w:szCs w:val="32"/>
        </w:rPr>
        <w:t xml:space="preserve"> board director </w:t>
      </w:r>
      <w:r w:rsidRPr="00EF025F">
        <w:rPr>
          <w:rFonts w:eastAsia="標楷體"/>
          <w:sz w:val="24"/>
          <w:szCs w:val="32"/>
        </w:rPr>
        <w:t>gave the reason for approval</w:t>
      </w:r>
      <w:r>
        <w:rPr>
          <w:rFonts w:eastAsia="標楷體" w:hint="eastAsia"/>
          <w:sz w:val="24"/>
          <w:szCs w:val="32"/>
        </w:rPr>
        <w:t xml:space="preserve"> that mild economic growth momentum and a continued hike in the minimum wage next year meant that monetary conditions should be kept adequately accommodative to </w:t>
      </w:r>
      <w:r w:rsidR="00382F5D">
        <w:rPr>
          <w:rFonts w:eastAsia="標楷體" w:hint="eastAsia"/>
          <w:sz w:val="24"/>
          <w:szCs w:val="32"/>
        </w:rPr>
        <w:t xml:space="preserve">support banks in providing lifelines to small- and medium-sized enterprises. </w:t>
      </w:r>
      <w:r>
        <w:rPr>
          <w:rFonts w:eastAsia="標楷體" w:hint="eastAsia"/>
          <w:sz w:val="24"/>
          <w:szCs w:val="32"/>
        </w:rPr>
        <w:t xml:space="preserve">Another board director </w:t>
      </w:r>
      <w:r w:rsidR="008B38CB">
        <w:rPr>
          <w:rFonts w:eastAsia="標楷體" w:hint="eastAsia"/>
          <w:sz w:val="24"/>
          <w:szCs w:val="32"/>
        </w:rPr>
        <w:t xml:space="preserve">viewed that a rate hold </w:t>
      </w:r>
      <w:r w:rsidR="008B38CB">
        <w:rPr>
          <w:rFonts w:eastAsia="標楷體"/>
          <w:sz w:val="24"/>
          <w:szCs w:val="32"/>
        </w:rPr>
        <w:t>would</w:t>
      </w:r>
      <w:r w:rsidR="008B38CB">
        <w:rPr>
          <w:rFonts w:eastAsia="標楷體" w:hint="eastAsia"/>
          <w:sz w:val="24"/>
          <w:szCs w:val="32"/>
        </w:rPr>
        <w:t xml:space="preserve"> be the reasonable policy decision, citing near-term considerations including muted inflationary pressures and limited effects for a rate cut in the current low interest rate and ample liquidity environment. </w:t>
      </w:r>
    </w:p>
    <w:p w:rsidR="009831B1" w:rsidRDefault="00E63BD7" w:rsidP="00EF025F">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One board director</w:t>
      </w:r>
      <w:r w:rsidR="006A5967">
        <w:rPr>
          <w:rFonts w:eastAsia="標楷體" w:hint="eastAsia"/>
          <w:sz w:val="24"/>
          <w:szCs w:val="32"/>
        </w:rPr>
        <w:t xml:space="preserve"> favoring a rate hold pointed out that </w:t>
      </w:r>
      <w:r w:rsidR="000B7E6B">
        <w:rPr>
          <w:rFonts w:eastAsia="標楷體" w:hint="eastAsia"/>
          <w:sz w:val="24"/>
          <w:szCs w:val="32"/>
        </w:rPr>
        <w:t xml:space="preserve">domestic recession forecast model results showed that </w:t>
      </w:r>
      <w:r w:rsidR="000B7E6B" w:rsidRPr="000B7E6B">
        <w:rPr>
          <w:rFonts w:eastAsia="標楷體"/>
          <w:sz w:val="24"/>
          <w:szCs w:val="32"/>
        </w:rPr>
        <w:t>the probability of a recession</w:t>
      </w:r>
      <w:r w:rsidR="000B7E6B">
        <w:rPr>
          <w:rFonts w:eastAsia="標楷體" w:hint="eastAsia"/>
          <w:sz w:val="24"/>
          <w:szCs w:val="32"/>
        </w:rPr>
        <w:t xml:space="preserve"> </w:t>
      </w:r>
      <w:r w:rsidR="000B7E6B">
        <w:rPr>
          <w:rFonts w:eastAsia="標楷體"/>
          <w:sz w:val="24"/>
          <w:szCs w:val="32"/>
        </w:rPr>
        <w:t>occurring</w:t>
      </w:r>
      <w:r w:rsidR="000B7E6B">
        <w:rPr>
          <w:rFonts w:eastAsia="標楷體" w:hint="eastAsia"/>
          <w:sz w:val="24"/>
          <w:szCs w:val="32"/>
        </w:rPr>
        <w:t xml:space="preserve"> in Taiwan next year was lower than the likelihood of a 2020 US recession </w:t>
      </w:r>
      <w:r w:rsidR="00A16D8C">
        <w:rPr>
          <w:rFonts w:eastAsia="標楷體" w:hint="eastAsia"/>
          <w:sz w:val="24"/>
          <w:szCs w:val="32"/>
        </w:rPr>
        <w:t xml:space="preserve">as </w:t>
      </w:r>
      <w:r w:rsidR="000B7E6B">
        <w:rPr>
          <w:rFonts w:eastAsia="標楷體" w:hint="eastAsia"/>
          <w:sz w:val="24"/>
          <w:szCs w:val="32"/>
        </w:rPr>
        <w:t xml:space="preserve">estimated by </w:t>
      </w:r>
      <w:r w:rsidR="00623E48">
        <w:rPr>
          <w:rFonts w:eastAsia="標楷體" w:hint="eastAsia"/>
          <w:sz w:val="24"/>
          <w:szCs w:val="32"/>
        </w:rPr>
        <w:t xml:space="preserve">two </w:t>
      </w:r>
      <w:r w:rsidR="000B7E6B">
        <w:rPr>
          <w:rFonts w:eastAsia="標楷體" w:hint="eastAsia"/>
          <w:sz w:val="24"/>
          <w:szCs w:val="32"/>
        </w:rPr>
        <w:t>Federal Reserve</w:t>
      </w:r>
      <w:r w:rsidR="00501D63">
        <w:rPr>
          <w:rFonts w:eastAsia="標楷體" w:hint="eastAsia"/>
          <w:sz w:val="24"/>
          <w:szCs w:val="32"/>
        </w:rPr>
        <w:t xml:space="preserve"> Banks</w:t>
      </w:r>
      <w:r w:rsidR="00A16D8C">
        <w:rPr>
          <w:rFonts w:eastAsia="標楷體" w:hint="eastAsia"/>
          <w:sz w:val="24"/>
          <w:szCs w:val="32"/>
        </w:rPr>
        <w:t xml:space="preserve">. Combined with </w:t>
      </w:r>
      <w:r w:rsidR="009831B1">
        <w:rPr>
          <w:rFonts w:eastAsia="標楷體" w:hint="eastAsia"/>
          <w:sz w:val="24"/>
          <w:szCs w:val="32"/>
        </w:rPr>
        <w:t xml:space="preserve">the </w:t>
      </w:r>
      <w:r w:rsidR="00A16D8C">
        <w:rPr>
          <w:rFonts w:eastAsia="標楷體" w:hint="eastAsia"/>
          <w:sz w:val="24"/>
          <w:szCs w:val="32"/>
        </w:rPr>
        <w:t xml:space="preserve">assessment </w:t>
      </w:r>
      <w:r w:rsidR="009831B1">
        <w:rPr>
          <w:rFonts w:eastAsia="標楷體" w:hint="eastAsia"/>
          <w:sz w:val="24"/>
          <w:szCs w:val="32"/>
        </w:rPr>
        <w:t xml:space="preserve">of current domestic economic conditions, a relatively stable </w:t>
      </w:r>
      <w:r w:rsidR="009831B1">
        <w:rPr>
          <w:rFonts w:eastAsia="標楷體" w:hint="eastAsia"/>
          <w:sz w:val="24"/>
          <w:szCs w:val="32"/>
        </w:rPr>
        <w:lastRenderedPageBreak/>
        <w:t xml:space="preserve">and accommodative monetary policy stance would be appropriate. </w:t>
      </w:r>
    </w:p>
    <w:p w:rsidR="000E4AA2" w:rsidRDefault="009831B1" w:rsidP="000E4AA2">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 </w:t>
      </w:r>
      <w:r w:rsidR="000E4AA2">
        <w:rPr>
          <w:rFonts w:eastAsia="標楷體" w:hint="eastAsia"/>
          <w:sz w:val="24"/>
          <w:szCs w:val="32"/>
        </w:rPr>
        <w:t xml:space="preserve">Several board directors cited monetary policy actions in major economies as reasons </w:t>
      </w:r>
      <w:r w:rsidR="0028736F">
        <w:rPr>
          <w:rFonts w:eastAsia="標楷體" w:hint="eastAsia"/>
          <w:sz w:val="24"/>
          <w:szCs w:val="32"/>
        </w:rPr>
        <w:t xml:space="preserve">warranting </w:t>
      </w:r>
      <w:r w:rsidR="000E4AA2">
        <w:rPr>
          <w:rFonts w:eastAsia="標楷體" w:hint="eastAsia"/>
          <w:sz w:val="24"/>
          <w:szCs w:val="32"/>
        </w:rPr>
        <w:t xml:space="preserve">a rate hold. One board director noted </w:t>
      </w:r>
      <w:r w:rsidR="005F30EF">
        <w:rPr>
          <w:rFonts w:eastAsia="標楷體" w:hint="eastAsia"/>
          <w:sz w:val="24"/>
          <w:szCs w:val="32"/>
        </w:rPr>
        <w:t xml:space="preserve">that </w:t>
      </w:r>
      <w:r w:rsidR="0028736F">
        <w:rPr>
          <w:rFonts w:eastAsia="標楷體" w:hint="eastAsia"/>
          <w:sz w:val="24"/>
          <w:szCs w:val="32"/>
        </w:rPr>
        <w:t xml:space="preserve">while the US and some Asia-Pacific economies had reduced their policy rates, </w:t>
      </w:r>
      <w:r w:rsidR="005F30EF">
        <w:rPr>
          <w:rFonts w:eastAsia="標楷體" w:hint="eastAsia"/>
          <w:sz w:val="24"/>
          <w:szCs w:val="32"/>
        </w:rPr>
        <w:t>Taiwan</w:t>
      </w:r>
      <w:r w:rsidR="005F30EF">
        <w:rPr>
          <w:rFonts w:eastAsia="標楷體"/>
          <w:sz w:val="24"/>
          <w:szCs w:val="32"/>
        </w:rPr>
        <w:t>’</w:t>
      </w:r>
      <w:r w:rsidR="005F30EF">
        <w:rPr>
          <w:rFonts w:eastAsia="標楷體" w:hint="eastAsia"/>
          <w:sz w:val="24"/>
          <w:szCs w:val="32"/>
        </w:rPr>
        <w:t xml:space="preserve">s overall </w:t>
      </w:r>
      <w:r w:rsidR="005F30EF">
        <w:rPr>
          <w:rFonts w:eastAsia="標楷體"/>
          <w:sz w:val="24"/>
          <w:szCs w:val="32"/>
        </w:rPr>
        <w:t>econom</w:t>
      </w:r>
      <w:r w:rsidR="005F30EF">
        <w:rPr>
          <w:rFonts w:eastAsia="標楷體" w:hint="eastAsia"/>
          <w:sz w:val="24"/>
          <w:szCs w:val="32"/>
        </w:rPr>
        <w:t xml:space="preserve">ic performance delivered </w:t>
      </w:r>
      <w:r w:rsidR="005F30EF" w:rsidRPr="005F30EF">
        <w:rPr>
          <w:rFonts w:eastAsia="標楷體"/>
          <w:sz w:val="24"/>
          <w:szCs w:val="32"/>
        </w:rPr>
        <w:t>cause for cautious optimism</w:t>
      </w:r>
      <w:r w:rsidR="005F30EF">
        <w:rPr>
          <w:rFonts w:eastAsia="標楷體" w:hint="eastAsia"/>
          <w:sz w:val="24"/>
          <w:szCs w:val="32"/>
        </w:rPr>
        <w:t xml:space="preserve"> </w:t>
      </w:r>
      <w:r w:rsidR="001C1CEA">
        <w:rPr>
          <w:rFonts w:eastAsia="標楷體" w:hint="eastAsia"/>
          <w:sz w:val="24"/>
          <w:szCs w:val="32"/>
        </w:rPr>
        <w:t>relative</w:t>
      </w:r>
      <w:r w:rsidR="005F30EF">
        <w:rPr>
          <w:rFonts w:eastAsia="標楷體" w:hint="eastAsia"/>
          <w:sz w:val="24"/>
          <w:szCs w:val="32"/>
        </w:rPr>
        <w:t xml:space="preserve"> to major economies: </w:t>
      </w:r>
      <w:r w:rsidR="002A4963">
        <w:rPr>
          <w:rFonts w:eastAsia="標楷體" w:hint="eastAsia"/>
          <w:sz w:val="24"/>
          <w:szCs w:val="32"/>
        </w:rPr>
        <w:t xml:space="preserve">the </w:t>
      </w:r>
      <w:r w:rsidR="005F30EF">
        <w:rPr>
          <w:rFonts w:eastAsia="標楷體" w:hint="eastAsia"/>
          <w:sz w:val="24"/>
          <w:szCs w:val="32"/>
        </w:rPr>
        <w:t xml:space="preserve">housing market </w:t>
      </w:r>
      <w:r w:rsidR="002A4963">
        <w:rPr>
          <w:rFonts w:eastAsia="標楷體" w:hint="eastAsia"/>
          <w:sz w:val="24"/>
          <w:szCs w:val="32"/>
        </w:rPr>
        <w:t>was gaining traction</w:t>
      </w:r>
      <w:r w:rsidR="005F30EF">
        <w:rPr>
          <w:rFonts w:eastAsia="標楷體" w:hint="eastAsia"/>
          <w:sz w:val="24"/>
          <w:szCs w:val="32"/>
        </w:rPr>
        <w:t xml:space="preserve">, </w:t>
      </w:r>
      <w:r w:rsidR="002A4963">
        <w:rPr>
          <w:rFonts w:eastAsia="標楷體" w:hint="eastAsia"/>
          <w:sz w:val="24"/>
          <w:szCs w:val="32"/>
        </w:rPr>
        <w:t xml:space="preserve">investment had benefited from diverted orders amid US-China trade tensions, </w:t>
      </w:r>
      <w:r w:rsidR="001C1CEA">
        <w:rPr>
          <w:rFonts w:eastAsia="標楷體" w:hint="eastAsia"/>
          <w:sz w:val="24"/>
          <w:szCs w:val="32"/>
        </w:rPr>
        <w:t xml:space="preserve">and </w:t>
      </w:r>
      <w:r w:rsidR="002A4963">
        <w:rPr>
          <w:rFonts w:eastAsia="標楷體" w:hint="eastAsia"/>
          <w:sz w:val="24"/>
          <w:szCs w:val="32"/>
        </w:rPr>
        <w:t xml:space="preserve">exports resumed </w:t>
      </w:r>
      <w:r w:rsidR="002A4963">
        <w:rPr>
          <w:rFonts w:eastAsia="標楷體"/>
          <w:sz w:val="24"/>
          <w:szCs w:val="32"/>
        </w:rPr>
        <w:t>positive</w:t>
      </w:r>
      <w:r w:rsidR="002A4963">
        <w:rPr>
          <w:rFonts w:eastAsia="標楷體" w:hint="eastAsia"/>
          <w:sz w:val="24"/>
          <w:szCs w:val="32"/>
        </w:rPr>
        <w:t xml:space="preserve"> growth </w:t>
      </w:r>
      <w:r w:rsidR="001C1CEA">
        <w:rPr>
          <w:rFonts w:eastAsia="標楷體" w:hint="eastAsia"/>
          <w:sz w:val="24"/>
          <w:szCs w:val="32"/>
        </w:rPr>
        <w:t>from</w:t>
      </w:r>
      <w:r w:rsidR="002A4963">
        <w:rPr>
          <w:rFonts w:eastAsia="標楷體" w:hint="eastAsia"/>
          <w:sz w:val="24"/>
          <w:szCs w:val="32"/>
        </w:rPr>
        <w:t xml:space="preserve"> </w:t>
      </w:r>
      <w:r w:rsidR="001C1CEA">
        <w:rPr>
          <w:rFonts w:eastAsia="標楷體" w:hint="eastAsia"/>
          <w:sz w:val="24"/>
          <w:szCs w:val="32"/>
        </w:rPr>
        <w:t xml:space="preserve">an earlier </w:t>
      </w:r>
      <w:r w:rsidR="002A4963">
        <w:rPr>
          <w:rFonts w:eastAsia="標楷體"/>
          <w:sz w:val="24"/>
          <w:szCs w:val="32"/>
        </w:rPr>
        <w:t>se</w:t>
      </w:r>
      <w:r w:rsidR="00502589">
        <w:rPr>
          <w:rFonts w:eastAsia="標楷體" w:hint="eastAsia"/>
          <w:sz w:val="24"/>
          <w:szCs w:val="32"/>
        </w:rPr>
        <w:t>quence</w:t>
      </w:r>
      <w:r w:rsidR="002A4963">
        <w:rPr>
          <w:rFonts w:eastAsia="標楷體" w:hint="eastAsia"/>
          <w:sz w:val="24"/>
          <w:szCs w:val="32"/>
        </w:rPr>
        <w:t xml:space="preserve"> of contractions. </w:t>
      </w:r>
      <w:r w:rsidR="001C1CEA">
        <w:rPr>
          <w:rFonts w:eastAsia="標楷體" w:hint="eastAsia"/>
          <w:sz w:val="24"/>
          <w:szCs w:val="32"/>
        </w:rPr>
        <w:t xml:space="preserve">Inflation was also mild, along with a negative but narrowing output gap. This cautiously optimistic outlook offered little ground for a rate reduction. </w:t>
      </w:r>
    </w:p>
    <w:p w:rsidR="001C1CEA" w:rsidRDefault="001C1CEA" w:rsidP="000E4AA2">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Another board director added that despite numerous uncertainties over the economic outl</w:t>
      </w:r>
      <w:r w:rsidR="00B71246">
        <w:rPr>
          <w:rFonts w:eastAsia="標楷體" w:hint="eastAsia"/>
          <w:sz w:val="24"/>
          <w:szCs w:val="32"/>
        </w:rPr>
        <w:t>o</w:t>
      </w:r>
      <w:r>
        <w:rPr>
          <w:rFonts w:eastAsia="標楷體" w:hint="eastAsia"/>
          <w:sz w:val="24"/>
          <w:szCs w:val="32"/>
        </w:rPr>
        <w:t xml:space="preserve">ok, </w:t>
      </w:r>
      <w:r w:rsidR="00B71246">
        <w:rPr>
          <w:rFonts w:eastAsia="標楷體" w:hint="eastAsia"/>
          <w:sz w:val="24"/>
          <w:szCs w:val="32"/>
        </w:rPr>
        <w:t>Taiwan</w:t>
      </w:r>
      <w:r w:rsidR="00B71246">
        <w:rPr>
          <w:rFonts w:eastAsia="標楷體"/>
          <w:sz w:val="24"/>
          <w:szCs w:val="32"/>
        </w:rPr>
        <w:t>’</w:t>
      </w:r>
      <w:r w:rsidR="00B71246">
        <w:rPr>
          <w:rFonts w:eastAsia="標楷體" w:hint="eastAsia"/>
          <w:sz w:val="24"/>
          <w:szCs w:val="32"/>
        </w:rPr>
        <w:t xml:space="preserve">s economy fared reasonably well </w:t>
      </w:r>
      <w:r w:rsidR="00520168">
        <w:rPr>
          <w:rFonts w:eastAsia="標楷體" w:hint="eastAsia"/>
          <w:sz w:val="24"/>
          <w:szCs w:val="32"/>
        </w:rPr>
        <w:t>compared to other economies</w:t>
      </w:r>
      <w:r w:rsidR="00B71246">
        <w:rPr>
          <w:rFonts w:eastAsia="標楷體" w:hint="eastAsia"/>
          <w:sz w:val="24"/>
          <w:szCs w:val="32"/>
        </w:rPr>
        <w:t xml:space="preserve"> and there was hardly need for a rate cut just for the sake of following </w:t>
      </w:r>
      <w:r w:rsidR="00520168">
        <w:rPr>
          <w:rFonts w:eastAsia="標楷體" w:hint="eastAsia"/>
          <w:sz w:val="24"/>
          <w:szCs w:val="32"/>
        </w:rPr>
        <w:t>others</w:t>
      </w:r>
      <w:r w:rsidR="00B71246">
        <w:rPr>
          <w:rFonts w:eastAsia="標楷體" w:hint="eastAsia"/>
          <w:sz w:val="24"/>
          <w:szCs w:val="32"/>
        </w:rPr>
        <w:t xml:space="preserve">. </w:t>
      </w:r>
      <w:r w:rsidR="00520168">
        <w:rPr>
          <w:rFonts w:eastAsia="標楷體" w:hint="eastAsia"/>
          <w:sz w:val="24"/>
          <w:szCs w:val="32"/>
        </w:rPr>
        <w:t>On the other hand, a rate hike w</w:t>
      </w:r>
      <w:r w:rsidR="00554748">
        <w:rPr>
          <w:rFonts w:eastAsia="標楷體" w:hint="eastAsia"/>
          <w:sz w:val="24"/>
          <w:szCs w:val="32"/>
        </w:rPr>
        <w:t xml:space="preserve">ould </w:t>
      </w:r>
      <w:r w:rsidR="00502589">
        <w:rPr>
          <w:rFonts w:eastAsia="標楷體" w:hint="eastAsia"/>
          <w:sz w:val="24"/>
          <w:szCs w:val="32"/>
        </w:rPr>
        <w:t>not</w:t>
      </w:r>
      <w:r w:rsidR="00554748">
        <w:rPr>
          <w:rFonts w:eastAsia="標楷體" w:hint="eastAsia"/>
          <w:sz w:val="24"/>
          <w:szCs w:val="32"/>
        </w:rPr>
        <w:t xml:space="preserve"> be justified </w:t>
      </w:r>
      <w:r w:rsidR="00502589">
        <w:rPr>
          <w:rFonts w:eastAsia="標楷體" w:hint="eastAsia"/>
          <w:sz w:val="24"/>
          <w:szCs w:val="32"/>
        </w:rPr>
        <w:t xml:space="preserve">either </w:t>
      </w:r>
      <w:r w:rsidR="00554748">
        <w:rPr>
          <w:rFonts w:eastAsia="標楷體" w:hint="eastAsia"/>
          <w:sz w:val="24"/>
          <w:szCs w:val="32"/>
        </w:rPr>
        <w:t xml:space="preserve">since the </w:t>
      </w:r>
      <w:r w:rsidR="00554748">
        <w:rPr>
          <w:rFonts w:eastAsia="標楷體"/>
          <w:sz w:val="24"/>
          <w:szCs w:val="32"/>
        </w:rPr>
        <w:t>economic</w:t>
      </w:r>
      <w:r w:rsidR="00554748">
        <w:rPr>
          <w:rFonts w:eastAsia="標楷體" w:hint="eastAsia"/>
          <w:sz w:val="24"/>
          <w:szCs w:val="32"/>
        </w:rPr>
        <w:t xml:space="preserve"> activity was not overheating. According to empirical findings, low interest rates and easy </w:t>
      </w:r>
      <w:r w:rsidR="00554748">
        <w:rPr>
          <w:rFonts w:eastAsia="標楷體"/>
          <w:sz w:val="24"/>
          <w:szCs w:val="32"/>
        </w:rPr>
        <w:t>monetary</w:t>
      </w:r>
      <w:r w:rsidR="00554748">
        <w:rPr>
          <w:rFonts w:eastAsia="標楷體" w:hint="eastAsia"/>
          <w:sz w:val="24"/>
          <w:szCs w:val="32"/>
        </w:rPr>
        <w:t xml:space="preserve"> policies do not </w:t>
      </w:r>
      <w:r w:rsidR="00187683">
        <w:rPr>
          <w:rFonts w:eastAsia="標楷體" w:hint="eastAsia"/>
          <w:sz w:val="24"/>
          <w:szCs w:val="32"/>
        </w:rPr>
        <w:t xml:space="preserve">create a pronounced lift to economic </w:t>
      </w:r>
      <w:r w:rsidR="00187683">
        <w:rPr>
          <w:rFonts w:eastAsia="標楷體"/>
          <w:sz w:val="24"/>
          <w:szCs w:val="32"/>
        </w:rPr>
        <w:t>growth</w:t>
      </w:r>
      <w:r w:rsidR="00187683">
        <w:rPr>
          <w:rFonts w:eastAsia="標楷體" w:hint="eastAsia"/>
          <w:sz w:val="24"/>
          <w:szCs w:val="32"/>
        </w:rPr>
        <w:t xml:space="preserve">. However, the Taiwan public also </w:t>
      </w:r>
      <w:r w:rsidR="00387754">
        <w:rPr>
          <w:rFonts w:eastAsia="標楷體" w:hint="eastAsia"/>
          <w:sz w:val="24"/>
          <w:szCs w:val="32"/>
        </w:rPr>
        <w:t xml:space="preserve">had </w:t>
      </w:r>
      <w:r w:rsidR="00187683">
        <w:rPr>
          <w:rFonts w:eastAsia="標楷體" w:hint="eastAsia"/>
          <w:sz w:val="24"/>
          <w:szCs w:val="32"/>
        </w:rPr>
        <w:t>raised some concerns about potential adverse implications from high interest rates and monetary tighten</w:t>
      </w:r>
      <w:r w:rsidR="00387754">
        <w:rPr>
          <w:rFonts w:eastAsia="標楷體" w:hint="eastAsia"/>
          <w:sz w:val="24"/>
          <w:szCs w:val="32"/>
        </w:rPr>
        <w:t>ing, a faint reminder of the situation</w:t>
      </w:r>
      <w:r w:rsidR="00B51317">
        <w:rPr>
          <w:rFonts w:eastAsia="標楷體" w:hint="eastAsia"/>
          <w:sz w:val="24"/>
          <w:szCs w:val="32"/>
        </w:rPr>
        <w:t xml:space="preserve"> before the Fed went for a rate cut when it saw disruptions to the economic activity after previous rate hikes. </w:t>
      </w:r>
    </w:p>
    <w:p w:rsidR="007F1D19" w:rsidRDefault="007F1D19" w:rsidP="007F1D19">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One board director presented similar opinion on this point. The present environment faced many uncertainties, including the US-China trade conflicts, the Brexit talks, geopolitical developments in the Middle East, and major elections next January in Taiwan. As regards i</w:t>
      </w:r>
      <w:r w:rsidR="004D605E">
        <w:rPr>
          <w:rFonts w:eastAsia="標楷體" w:hint="eastAsia"/>
          <w:sz w:val="24"/>
          <w:szCs w:val="32"/>
        </w:rPr>
        <w:t xml:space="preserve">nterest rate decisions, the Bank had kept rates unchanged when the US instituted a succession of rate </w:t>
      </w:r>
      <w:r w:rsidR="00163D62">
        <w:rPr>
          <w:rFonts w:eastAsia="標楷體" w:hint="eastAsia"/>
          <w:sz w:val="24"/>
          <w:szCs w:val="32"/>
        </w:rPr>
        <w:t>increase</w:t>
      </w:r>
      <w:r w:rsidR="004D605E">
        <w:rPr>
          <w:rFonts w:eastAsia="標楷體" w:hint="eastAsia"/>
          <w:sz w:val="24"/>
          <w:szCs w:val="32"/>
        </w:rPr>
        <w:t>s; likewise, US rate reductions did not render a rate cut decision necessary for Taiwan.</w:t>
      </w:r>
      <w:r w:rsidR="007A33FE" w:rsidRPr="004D605E">
        <w:rPr>
          <w:rFonts w:eastAsia="標楷體" w:hint="eastAsia"/>
          <w:sz w:val="24"/>
          <w:szCs w:val="32"/>
        </w:rPr>
        <w:t xml:space="preserve"> </w:t>
      </w:r>
      <w:r w:rsidR="00703283">
        <w:rPr>
          <w:rFonts w:eastAsia="標楷體" w:hint="eastAsia"/>
          <w:sz w:val="24"/>
          <w:szCs w:val="32"/>
        </w:rPr>
        <w:t>Closer to home, several central banks launched rate cuts recently; nonetheless, Taiwan</w:t>
      </w:r>
      <w:r w:rsidR="00703283">
        <w:rPr>
          <w:rFonts w:eastAsia="標楷體"/>
          <w:sz w:val="24"/>
          <w:szCs w:val="32"/>
        </w:rPr>
        <w:t>’</w:t>
      </w:r>
      <w:r w:rsidR="00703283">
        <w:rPr>
          <w:rFonts w:eastAsia="標楷體" w:hint="eastAsia"/>
          <w:sz w:val="24"/>
          <w:szCs w:val="32"/>
        </w:rPr>
        <w:t xml:space="preserve">s interest rates were still lower than China and South Korea, an indication that a </w:t>
      </w:r>
      <w:r w:rsidR="00703283">
        <w:rPr>
          <w:rFonts w:eastAsia="標楷體"/>
          <w:sz w:val="24"/>
          <w:szCs w:val="32"/>
        </w:rPr>
        <w:t>“</w:t>
      </w:r>
      <w:r w:rsidR="00703283">
        <w:rPr>
          <w:rFonts w:eastAsia="標楷體" w:hint="eastAsia"/>
          <w:sz w:val="24"/>
          <w:szCs w:val="32"/>
        </w:rPr>
        <w:t>wait-and-see</w:t>
      </w:r>
      <w:r w:rsidR="00703283">
        <w:rPr>
          <w:rFonts w:eastAsia="標楷體"/>
          <w:sz w:val="24"/>
          <w:szCs w:val="32"/>
        </w:rPr>
        <w:t>”</w:t>
      </w:r>
      <w:r w:rsidR="00703283">
        <w:rPr>
          <w:rFonts w:eastAsia="標楷體" w:hint="eastAsia"/>
          <w:sz w:val="24"/>
          <w:szCs w:val="32"/>
        </w:rPr>
        <w:t xml:space="preserve"> approach </w:t>
      </w:r>
      <w:r w:rsidR="00502589">
        <w:rPr>
          <w:rFonts w:eastAsia="標楷體" w:hint="eastAsia"/>
          <w:sz w:val="24"/>
          <w:szCs w:val="32"/>
        </w:rPr>
        <w:t>sh</w:t>
      </w:r>
      <w:r w:rsidR="00703283">
        <w:rPr>
          <w:rFonts w:eastAsia="標楷體" w:hint="eastAsia"/>
          <w:sz w:val="24"/>
          <w:szCs w:val="32"/>
        </w:rPr>
        <w:t xml:space="preserve">ould be in order. </w:t>
      </w:r>
      <w:r w:rsidR="00AC6387">
        <w:rPr>
          <w:rFonts w:eastAsia="標楷體" w:hint="eastAsia"/>
          <w:sz w:val="24"/>
          <w:szCs w:val="32"/>
        </w:rPr>
        <w:t xml:space="preserve">Therefore, the board director favored a rate hold. </w:t>
      </w:r>
    </w:p>
    <w:p w:rsidR="00387754" w:rsidRDefault="00F3583D" w:rsidP="00593EB5">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Several board directors supported the decision to maintain current interest rate levels and expressed their views on future monetary policy considerations. </w:t>
      </w:r>
      <w:r w:rsidR="00982C49">
        <w:rPr>
          <w:rFonts w:eastAsia="標楷體" w:hint="eastAsia"/>
          <w:sz w:val="24"/>
          <w:szCs w:val="32"/>
        </w:rPr>
        <w:t xml:space="preserve">One board director </w:t>
      </w:r>
      <w:r w:rsidR="000943A8">
        <w:rPr>
          <w:rFonts w:eastAsia="標楷體" w:hint="eastAsia"/>
          <w:sz w:val="24"/>
          <w:szCs w:val="32"/>
        </w:rPr>
        <w:t>opined that if major economies implement more rate cuts afterwards, the Bank should carefully consider whether to follow suit. The board director turned to the example of Japan, stating that the country</w:t>
      </w:r>
      <w:r w:rsidR="000943A8">
        <w:rPr>
          <w:rFonts w:eastAsia="標楷體"/>
          <w:sz w:val="24"/>
          <w:szCs w:val="32"/>
        </w:rPr>
        <w:t>’</w:t>
      </w:r>
      <w:r w:rsidR="000943A8">
        <w:rPr>
          <w:rFonts w:eastAsia="標楷體" w:hint="eastAsia"/>
          <w:sz w:val="24"/>
          <w:szCs w:val="32"/>
        </w:rPr>
        <w:t xml:space="preserve">s attempt to combat its protracted downturn with low interest rates had </w:t>
      </w:r>
      <w:r w:rsidR="000943A8">
        <w:rPr>
          <w:rFonts w:eastAsia="標楷體" w:hint="eastAsia"/>
          <w:sz w:val="24"/>
          <w:szCs w:val="32"/>
        </w:rPr>
        <w:lastRenderedPageBreak/>
        <w:t xml:space="preserve">proved ineffective in the past three decades. In a world of secular stagnation, </w:t>
      </w:r>
      <w:r w:rsidR="007137CD">
        <w:rPr>
          <w:rFonts w:eastAsia="標楷體" w:hint="eastAsia"/>
          <w:sz w:val="24"/>
          <w:szCs w:val="32"/>
        </w:rPr>
        <w:t xml:space="preserve">an easy monetary policy with low rates, which were still in place in many economies, not only had only limited efficacy but could also carry adverse implications for the economy in the long term as funds might end up </w:t>
      </w:r>
      <w:r w:rsidR="00476E8D">
        <w:rPr>
          <w:rFonts w:eastAsia="標楷體" w:hint="eastAsia"/>
          <w:sz w:val="24"/>
          <w:szCs w:val="32"/>
        </w:rPr>
        <w:t>spilling into</w:t>
      </w:r>
      <w:r w:rsidR="007137CD">
        <w:rPr>
          <w:rFonts w:eastAsia="標楷體" w:hint="eastAsia"/>
          <w:sz w:val="24"/>
          <w:szCs w:val="32"/>
        </w:rPr>
        <w:t xml:space="preserve"> the real estate sector instead of business entities. </w:t>
      </w:r>
      <w:r w:rsidR="00CB7F02">
        <w:rPr>
          <w:rFonts w:eastAsia="標楷體" w:hint="eastAsia"/>
          <w:sz w:val="24"/>
          <w:szCs w:val="32"/>
        </w:rPr>
        <w:t>Rate-setters should realize that in the battle against secular stagnation, monetary policy should go hand in hand with fiscal policy and structural measures. Policymakers should contemplate on this point of view as the conventional approach of monetary stimulus</w:t>
      </w:r>
      <w:r w:rsidR="00593EB5">
        <w:rPr>
          <w:rFonts w:eastAsia="標楷體" w:hint="eastAsia"/>
          <w:sz w:val="24"/>
          <w:szCs w:val="32"/>
        </w:rPr>
        <w:t xml:space="preserve"> </w:t>
      </w:r>
      <w:r w:rsidR="00EF4BE1">
        <w:rPr>
          <w:rFonts w:eastAsia="標楷體" w:hint="eastAsia"/>
          <w:sz w:val="24"/>
          <w:szCs w:val="32"/>
        </w:rPr>
        <w:t xml:space="preserve">through sufficient money supply </w:t>
      </w:r>
      <w:r w:rsidR="00593EB5">
        <w:rPr>
          <w:rFonts w:eastAsia="標楷體" w:hint="eastAsia"/>
          <w:sz w:val="24"/>
          <w:szCs w:val="32"/>
        </w:rPr>
        <w:t xml:space="preserve">has not proved </w:t>
      </w:r>
      <w:r w:rsidR="00EF4BE1">
        <w:rPr>
          <w:rFonts w:eastAsia="標楷體"/>
          <w:sz w:val="24"/>
          <w:szCs w:val="32"/>
        </w:rPr>
        <w:t>genuinely</w:t>
      </w:r>
      <w:r w:rsidR="00EF4BE1">
        <w:rPr>
          <w:rFonts w:eastAsia="標楷體" w:hint="eastAsia"/>
          <w:sz w:val="24"/>
          <w:szCs w:val="32"/>
        </w:rPr>
        <w:t xml:space="preserve"> </w:t>
      </w:r>
      <w:r w:rsidR="00593EB5">
        <w:rPr>
          <w:rFonts w:eastAsia="標楷體" w:hint="eastAsia"/>
          <w:sz w:val="24"/>
          <w:szCs w:val="32"/>
        </w:rPr>
        <w:t xml:space="preserve">effective. </w:t>
      </w:r>
    </w:p>
    <w:p w:rsidR="00EF4BE1" w:rsidRDefault="00EF4BE1" w:rsidP="00593EB5">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Another board director noted that as Taiwan</w:t>
      </w:r>
      <w:r>
        <w:rPr>
          <w:rFonts w:eastAsia="標楷體"/>
          <w:sz w:val="24"/>
          <w:szCs w:val="32"/>
        </w:rPr>
        <w:t>’</w:t>
      </w:r>
      <w:r>
        <w:rPr>
          <w:rFonts w:eastAsia="標楷體" w:hint="eastAsia"/>
          <w:sz w:val="24"/>
          <w:szCs w:val="32"/>
        </w:rPr>
        <w:t xml:space="preserve">s policy rates were kept steady, it should be examined whether loans granted by financial institutions are used in productive assets such as machinery equipment </w:t>
      </w:r>
      <w:r w:rsidR="00943521">
        <w:rPr>
          <w:rFonts w:eastAsia="標楷體" w:hint="eastAsia"/>
          <w:sz w:val="24"/>
          <w:szCs w:val="32"/>
        </w:rPr>
        <w:t xml:space="preserve">or the real estate sector. If, in a steadily low interest rate environment, the use of funds was predominantly in home </w:t>
      </w:r>
      <w:r w:rsidR="00943521">
        <w:rPr>
          <w:rFonts w:eastAsia="標楷體"/>
          <w:sz w:val="24"/>
          <w:szCs w:val="32"/>
        </w:rPr>
        <w:t>building</w:t>
      </w:r>
      <w:r w:rsidR="00943521">
        <w:rPr>
          <w:rFonts w:eastAsia="標楷體" w:hint="eastAsia"/>
          <w:sz w:val="24"/>
          <w:szCs w:val="32"/>
        </w:rPr>
        <w:t xml:space="preserve"> or sales, then it would require caution and should be prudently tackled. </w:t>
      </w:r>
    </w:p>
    <w:p w:rsidR="006F6027" w:rsidRDefault="006F6027" w:rsidP="00593EB5">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One board director viewed a rate hold to be the viable action and noted that there has been a good amount of research on the long term effect of low interest rates. Some of the findings pointed to the possibility that protracted low interest rates could led to resource misallocation and allow those companies </w:t>
      </w:r>
      <w:r w:rsidR="00502589">
        <w:rPr>
          <w:rFonts w:eastAsia="標楷體" w:hint="eastAsia"/>
          <w:sz w:val="24"/>
          <w:szCs w:val="32"/>
        </w:rPr>
        <w:t>running deficits for</w:t>
      </w:r>
      <w:bookmarkStart w:id="0" w:name="_GoBack"/>
      <w:bookmarkEnd w:id="0"/>
      <w:r>
        <w:rPr>
          <w:rFonts w:eastAsia="標楷體" w:hint="eastAsia"/>
          <w:sz w:val="24"/>
          <w:szCs w:val="32"/>
        </w:rPr>
        <w:t xml:space="preserve"> years to survive in the market, dragging down </w:t>
      </w:r>
      <w:r>
        <w:rPr>
          <w:rFonts w:eastAsia="標楷體"/>
          <w:sz w:val="24"/>
          <w:szCs w:val="32"/>
        </w:rPr>
        <w:t>overall</w:t>
      </w:r>
      <w:r>
        <w:rPr>
          <w:rFonts w:eastAsia="標楷體" w:hint="eastAsia"/>
          <w:sz w:val="24"/>
          <w:szCs w:val="32"/>
        </w:rPr>
        <w:t xml:space="preserve"> productivity of the corporate sector and holding down wages. </w:t>
      </w:r>
    </w:p>
    <w:p w:rsidR="006F6027" w:rsidRDefault="006F6027" w:rsidP="00593EB5">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One board director also approved of a rate hold, citing </w:t>
      </w:r>
      <w:r w:rsidR="0023657F">
        <w:rPr>
          <w:rFonts w:eastAsia="標楷體" w:hint="eastAsia"/>
          <w:sz w:val="24"/>
          <w:szCs w:val="32"/>
        </w:rPr>
        <w:t>an upward revision to the forecast of this year</w:t>
      </w:r>
      <w:r w:rsidR="0023657F">
        <w:rPr>
          <w:rFonts w:eastAsia="標楷體"/>
          <w:sz w:val="24"/>
          <w:szCs w:val="32"/>
        </w:rPr>
        <w:t>’</w:t>
      </w:r>
      <w:r w:rsidR="0023657F">
        <w:rPr>
          <w:rFonts w:eastAsia="標楷體" w:hint="eastAsia"/>
          <w:sz w:val="24"/>
          <w:szCs w:val="32"/>
        </w:rPr>
        <w:t xml:space="preserve">s domestic economic growth, mild inflation running below 1%, and easy money conditions. However, as some slowdown was expected for the domestic economy in the future and uncertainties remain abundant, </w:t>
      </w:r>
      <w:r w:rsidR="00FD07D7">
        <w:rPr>
          <w:rFonts w:eastAsia="標楷體" w:hint="eastAsia"/>
          <w:sz w:val="24"/>
          <w:szCs w:val="32"/>
        </w:rPr>
        <w:t xml:space="preserve">any future rate adjustment decisions could be given great thought about the implications of low interest rates on real consumption and real investment. </w:t>
      </w:r>
    </w:p>
    <w:p w:rsidR="006D6058" w:rsidRDefault="00FD07D7" w:rsidP="00FD07D7">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Another board director pointed out that the recent </w:t>
      </w:r>
      <w:r w:rsidRPr="00FD07D7">
        <w:rPr>
          <w:rFonts w:eastAsia="標楷體"/>
          <w:sz w:val="24"/>
          <w:szCs w:val="32"/>
        </w:rPr>
        <w:t>attacks on Saudi oil facilities</w:t>
      </w:r>
      <w:r>
        <w:rPr>
          <w:rFonts w:eastAsia="標楷體" w:hint="eastAsia"/>
          <w:sz w:val="24"/>
          <w:szCs w:val="32"/>
        </w:rPr>
        <w:t xml:space="preserve"> had caused crude oil prices to surge; as the domestic interest rate stood steady, an escalation in the Middle East geopolitical conflicts could sharply prod up domestic prices through oil price upswings, potentially bringing the real interest rate into negative territory. Therefore, the Bank should keep close watch of this issue. </w:t>
      </w:r>
    </w:p>
    <w:p w:rsidR="006A083A" w:rsidRPr="007F6F77" w:rsidRDefault="006A083A" w:rsidP="00FA173A">
      <w:pPr>
        <w:adjustRightInd/>
        <w:snapToGrid w:val="0"/>
        <w:spacing w:before="120" w:line="440" w:lineRule="exact"/>
        <w:ind w:left="320" w:hangingChars="133" w:hanging="320"/>
        <w:jc w:val="both"/>
        <w:textDirection w:val="lrTbV"/>
        <w:rPr>
          <w:rFonts w:eastAsia="標楷體"/>
          <w:sz w:val="24"/>
          <w:szCs w:val="28"/>
        </w:rPr>
      </w:pPr>
      <w:r w:rsidRPr="007F6F77">
        <w:rPr>
          <w:rFonts w:eastAsia="標楷體" w:hint="eastAsia"/>
          <w:b/>
          <w:sz w:val="24"/>
          <w:szCs w:val="28"/>
        </w:rPr>
        <w:t xml:space="preserve">3. Monetary Policy Decision: </w:t>
      </w:r>
      <w:r w:rsidR="00CE3BC5" w:rsidRPr="007F6F77">
        <w:rPr>
          <w:rFonts w:eastAsia="標楷體" w:hint="eastAsia"/>
          <w:sz w:val="24"/>
          <w:szCs w:val="28"/>
        </w:rPr>
        <w:t xml:space="preserve">The board directors </w:t>
      </w:r>
      <w:r w:rsidRPr="007F6F77">
        <w:rPr>
          <w:rFonts w:eastAsia="標楷體" w:hint="eastAsia"/>
          <w:sz w:val="24"/>
          <w:szCs w:val="28"/>
        </w:rPr>
        <w:t>reached a unanimous vote t</w:t>
      </w:r>
      <w:r w:rsidRPr="007F6F77">
        <w:rPr>
          <w:rFonts w:eastAsia="標楷體"/>
          <w:sz w:val="24"/>
          <w:szCs w:val="28"/>
        </w:rPr>
        <w:t xml:space="preserve">o keep the discount rate, the rate on accommodations with collateral, and the rate on accommodations </w:t>
      </w:r>
      <w:r w:rsidRPr="007F6F77">
        <w:rPr>
          <w:rFonts w:eastAsia="標楷體"/>
          <w:sz w:val="24"/>
          <w:szCs w:val="28"/>
        </w:rPr>
        <w:lastRenderedPageBreak/>
        <w:t>without collateral unchanged at 1.375%, 1.75%, and 3.625%, respectively.</w:t>
      </w:r>
    </w:p>
    <w:p w:rsidR="006A083A" w:rsidRDefault="006A083A" w:rsidP="00FA173A">
      <w:pPr>
        <w:snapToGrid w:val="0"/>
        <w:spacing w:before="120" w:line="440" w:lineRule="exact"/>
        <w:ind w:left="961" w:hangingChars="400" w:hanging="961"/>
        <w:jc w:val="both"/>
        <w:textDirection w:val="lrTbV"/>
        <w:rPr>
          <w:rFonts w:eastAsia="標楷體"/>
          <w:b/>
          <w:sz w:val="24"/>
          <w:szCs w:val="28"/>
        </w:rPr>
      </w:pPr>
      <w:r w:rsidRPr="007F6F77">
        <w:rPr>
          <w:rFonts w:eastAsia="標楷體" w:hint="eastAsia"/>
          <w:b/>
          <w:sz w:val="24"/>
          <w:szCs w:val="28"/>
        </w:rPr>
        <w:t xml:space="preserve">Voting for the proposition: </w:t>
      </w:r>
    </w:p>
    <w:p w:rsidR="00711F8A" w:rsidRDefault="00860EF7" w:rsidP="00E972E3">
      <w:pPr>
        <w:spacing w:line="440" w:lineRule="exact"/>
        <w:ind w:leftChars="200" w:left="400" w:rightChars="5" w:right="10"/>
        <w:textDirection w:val="lrTbV"/>
        <w:rPr>
          <w:rFonts w:eastAsia="標楷體"/>
          <w:sz w:val="24"/>
          <w:szCs w:val="24"/>
        </w:rPr>
      </w:pPr>
      <w:r w:rsidRPr="007F6F77">
        <w:rPr>
          <w:rFonts w:eastAsia="標楷體"/>
          <w:sz w:val="24"/>
          <w:szCs w:val="24"/>
        </w:rPr>
        <w:t>Chin-long Yang</w:t>
      </w:r>
      <w:r w:rsidRPr="007F6F77">
        <w:rPr>
          <w:rFonts w:eastAsia="標楷體" w:hint="eastAsia"/>
          <w:sz w:val="24"/>
          <w:szCs w:val="24"/>
        </w:rPr>
        <w:t>,</w:t>
      </w:r>
      <w:r w:rsidRPr="007F6F77">
        <w:rPr>
          <w:rFonts w:eastAsia="標楷體"/>
          <w:sz w:val="24"/>
          <w:szCs w:val="24"/>
        </w:rPr>
        <w:t xml:space="preserve"> Jain-</w:t>
      </w:r>
      <w:proofErr w:type="spellStart"/>
      <w:r w:rsidR="00B243CE">
        <w:rPr>
          <w:rFonts w:eastAsia="標楷體" w:hint="eastAsia"/>
          <w:sz w:val="24"/>
          <w:szCs w:val="24"/>
        </w:rPr>
        <w:t>r</w:t>
      </w:r>
      <w:r w:rsidRPr="007F6F77">
        <w:rPr>
          <w:rFonts w:eastAsia="標楷體"/>
          <w:sz w:val="24"/>
          <w:szCs w:val="24"/>
        </w:rPr>
        <w:t>ong</w:t>
      </w:r>
      <w:proofErr w:type="spellEnd"/>
      <w:r w:rsidRPr="007F6F77">
        <w:rPr>
          <w:rFonts w:eastAsia="標楷體" w:hint="eastAsia"/>
          <w:sz w:val="24"/>
          <w:szCs w:val="24"/>
        </w:rPr>
        <w:t xml:space="preserve"> Su, </w:t>
      </w:r>
      <w:r w:rsidR="00711F8A" w:rsidRPr="007F6F77">
        <w:rPr>
          <w:rFonts w:eastAsia="標楷體"/>
          <w:sz w:val="24"/>
          <w:szCs w:val="24"/>
        </w:rPr>
        <w:t>Jong-</w:t>
      </w:r>
      <w:r w:rsidR="00711F8A" w:rsidRPr="007F6F77">
        <w:rPr>
          <w:rFonts w:eastAsia="標楷體" w:hint="eastAsia"/>
          <w:sz w:val="24"/>
          <w:szCs w:val="24"/>
        </w:rPr>
        <w:t>c</w:t>
      </w:r>
      <w:r w:rsidR="00711F8A" w:rsidRPr="007F6F77">
        <w:rPr>
          <w:rFonts w:eastAsia="標楷體"/>
          <w:sz w:val="24"/>
          <w:szCs w:val="24"/>
        </w:rPr>
        <w:t>hin Shen</w:t>
      </w:r>
      <w:r w:rsidR="00711F8A">
        <w:rPr>
          <w:rFonts w:eastAsia="標楷體" w:hint="eastAsia"/>
          <w:sz w:val="24"/>
          <w:szCs w:val="24"/>
        </w:rPr>
        <w:t xml:space="preserve">, </w:t>
      </w:r>
      <w:proofErr w:type="spellStart"/>
      <w:r w:rsidRPr="007F6F77">
        <w:rPr>
          <w:rFonts w:eastAsia="標楷體"/>
          <w:sz w:val="24"/>
          <w:szCs w:val="24"/>
        </w:rPr>
        <w:t>Tzung</w:t>
      </w:r>
      <w:proofErr w:type="spellEnd"/>
      <w:r w:rsidRPr="007F6F77">
        <w:rPr>
          <w:rFonts w:eastAsia="標楷體"/>
          <w:sz w:val="24"/>
          <w:szCs w:val="24"/>
        </w:rPr>
        <w:t>-ta Yen, Nan-</w:t>
      </w:r>
      <w:proofErr w:type="spellStart"/>
      <w:r w:rsidRPr="007F6F77">
        <w:rPr>
          <w:rFonts w:eastAsia="標楷體"/>
          <w:sz w:val="24"/>
          <w:szCs w:val="24"/>
        </w:rPr>
        <w:t>kuang</w:t>
      </w:r>
      <w:proofErr w:type="spellEnd"/>
      <w:r w:rsidRPr="007F6F77">
        <w:rPr>
          <w:rFonts w:eastAsia="標楷體"/>
          <w:sz w:val="24"/>
          <w:szCs w:val="24"/>
        </w:rPr>
        <w:t xml:space="preserve"> Chen, Ming-</w:t>
      </w:r>
      <w:proofErr w:type="spellStart"/>
      <w:r w:rsidRPr="007F6F77">
        <w:rPr>
          <w:rFonts w:eastAsia="標楷體"/>
          <w:sz w:val="24"/>
          <w:szCs w:val="24"/>
        </w:rPr>
        <w:t>yih</w:t>
      </w:r>
      <w:proofErr w:type="spellEnd"/>
      <w:r w:rsidRPr="007F6F77">
        <w:rPr>
          <w:rFonts w:eastAsia="標楷體"/>
          <w:sz w:val="24"/>
          <w:szCs w:val="24"/>
        </w:rPr>
        <w:t xml:space="preserve"> Liang, </w:t>
      </w:r>
      <w:r w:rsidR="00E972E3">
        <w:rPr>
          <w:rFonts w:eastAsia="標楷體"/>
          <w:sz w:val="24"/>
          <w:szCs w:val="24"/>
        </w:rPr>
        <w:t>Chi-</w:t>
      </w:r>
      <w:proofErr w:type="spellStart"/>
      <w:r w:rsidR="00E972E3">
        <w:rPr>
          <w:rFonts w:eastAsia="標楷體" w:hint="eastAsia"/>
          <w:sz w:val="24"/>
          <w:szCs w:val="24"/>
        </w:rPr>
        <w:t>c</w:t>
      </w:r>
      <w:r w:rsidR="00E972E3" w:rsidRPr="003C3DAA">
        <w:rPr>
          <w:rFonts w:eastAsia="標楷體"/>
          <w:sz w:val="24"/>
          <w:szCs w:val="24"/>
        </w:rPr>
        <w:t>hung</w:t>
      </w:r>
      <w:proofErr w:type="spellEnd"/>
      <w:r w:rsidR="00E972E3" w:rsidRPr="003C3DAA">
        <w:rPr>
          <w:rFonts w:eastAsia="標楷體"/>
          <w:sz w:val="24"/>
          <w:szCs w:val="24"/>
        </w:rPr>
        <w:t xml:space="preserve"> Chen</w:t>
      </w:r>
      <w:r w:rsidR="00E972E3">
        <w:rPr>
          <w:rFonts w:eastAsia="標楷體" w:hint="eastAsia"/>
          <w:sz w:val="24"/>
          <w:szCs w:val="24"/>
        </w:rPr>
        <w:t>,</w:t>
      </w:r>
      <w:r w:rsidRPr="007F6F77">
        <w:rPr>
          <w:rFonts w:eastAsia="標楷體"/>
          <w:sz w:val="24"/>
          <w:szCs w:val="24"/>
        </w:rPr>
        <w:t xml:space="preserve"> Chen-chia Lee, </w:t>
      </w:r>
      <w:r w:rsidR="00711F8A" w:rsidRPr="007F6F77">
        <w:rPr>
          <w:rFonts w:eastAsia="標楷體"/>
          <w:sz w:val="24"/>
          <w:szCs w:val="24"/>
        </w:rPr>
        <w:t>Chung-</w:t>
      </w:r>
      <w:proofErr w:type="spellStart"/>
      <w:r w:rsidR="00711F8A" w:rsidRPr="007F6F77">
        <w:rPr>
          <w:rFonts w:eastAsia="標楷體" w:hint="eastAsia"/>
          <w:sz w:val="24"/>
          <w:szCs w:val="24"/>
        </w:rPr>
        <w:t>d</w:t>
      </w:r>
      <w:r w:rsidR="00711F8A" w:rsidRPr="007F6F77">
        <w:rPr>
          <w:rFonts w:eastAsia="標楷體"/>
          <w:sz w:val="24"/>
          <w:szCs w:val="24"/>
        </w:rPr>
        <w:t>ar</w:t>
      </w:r>
      <w:proofErr w:type="spellEnd"/>
      <w:r w:rsidR="00711F8A" w:rsidRPr="007F6F77">
        <w:rPr>
          <w:rFonts w:eastAsia="標楷體"/>
          <w:sz w:val="24"/>
          <w:szCs w:val="24"/>
        </w:rPr>
        <w:t xml:space="preserve"> Le</w:t>
      </w:r>
      <w:r w:rsidR="00711F8A" w:rsidRPr="00605747">
        <w:rPr>
          <w:rFonts w:eastAsia="標楷體"/>
          <w:sz w:val="24"/>
          <w:szCs w:val="24"/>
        </w:rPr>
        <w:t>i</w:t>
      </w:r>
      <w:r w:rsidR="00711F8A">
        <w:rPr>
          <w:rFonts w:eastAsia="標楷體" w:hint="eastAsia"/>
          <w:sz w:val="24"/>
          <w:szCs w:val="24"/>
        </w:rPr>
        <w:t>,</w:t>
      </w:r>
      <w:r w:rsidR="00711F8A" w:rsidRPr="00605747">
        <w:rPr>
          <w:rFonts w:eastAsia="標楷體" w:hint="eastAsia"/>
          <w:sz w:val="24"/>
          <w:szCs w:val="24"/>
        </w:rPr>
        <w:t xml:space="preserve"> </w:t>
      </w:r>
      <w:proofErr w:type="spellStart"/>
      <w:r w:rsidRPr="007F6F77">
        <w:rPr>
          <w:rFonts w:eastAsia="標楷體"/>
          <w:sz w:val="24"/>
          <w:szCs w:val="24"/>
        </w:rPr>
        <w:t>Jin</w:t>
      </w:r>
      <w:proofErr w:type="spellEnd"/>
      <w:r w:rsidRPr="007F6F77">
        <w:rPr>
          <w:rFonts w:eastAsia="標楷體"/>
          <w:sz w:val="24"/>
          <w:szCs w:val="24"/>
        </w:rPr>
        <w:t xml:space="preserve">-lung Lin, </w:t>
      </w:r>
    </w:p>
    <w:p w:rsidR="00E972E3" w:rsidRPr="007F6F77" w:rsidRDefault="00860EF7" w:rsidP="00E972E3">
      <w:pPr>
        <w:spacing w:line="440" w:lineRule="exact"/>
        <w:ind w:leftChars="200" w:left="400" w:rightChars="5" w:right="10"/>
        <w:textDirection w:val="lrTbV"/>
        <w:rPr>
          <w:rFonts w:eastAsia="標楷體"/>
          <w:b/>
          <w:sz w:val="24"/>
          <w:szCs w:val="28"/>
        </w:rPr>
      </w:pPr>
      <w:r w:rsidRPr="007F6F77">
        <w:rPr>
          <w:rFonts w:eastAsia="標楷體"/>
          <w:sz w:val="24"/>
          <w:szCs w:val="24"/>
        </w:rPr>
        <w:t>Mei-lie Chu, Chao-</w:t>
      </w:r>
      <w:proofErr w:type="spellStart"/>
      <w:r w:rsidRPr="007F6F77">
        <w:rPr>
          <w:rFonts w:eastAsia="標楷體"/>
          <w:sz w:val="24"/>
          <w:szCs w:val="24"/>
        </w:rPr>
        <w:t>hsi</w:t>
      </w:r>
      <w:proofErr w:type="spellEnd"/>
      <w:r w:rsidRPr="007F6F77">
        <w:rPr>
          <w:rFonts w:eastAsia="標楷體"/>
          <w:sz w:val="24"/>
          <w:szCs w:val="24"/>
        </w:rPr>
        <w:t xml:space="preserve"> Huang, </w:t>
      </w:r>
      <w:proofErr w:type="spellStart"/>
      <w:r w:rsidRPr="007F6F77">
        <w:rPr>
          <w:rFonts w:eastAsia="標楷體"/>
          <w:sz w:val="24"/>
          <w:szCs w:val="24"/>
        </w:rPr>
        <w:t>Bih</w:t>
      </w:r>
      <w:proofErr w:type="spellEnd"/>
      <w:r w:rsidRPr="007F6F77">
        <w:rPr>
          <w:rFonts w:eastAsia="標楷體"/>
          <w:sz w:val="24"/>
          <w:szCs w:val="24"/>
        </w:rPr>
        <w:t xml:space="preserve">-jane Liu, </w:t>
      </w:r>
      <w:proofErr w:type="spellStart"/>
      <w:r w:rsidRPr="007F6F77">
        <w:rPr>
          <w:rFonts w:eastAsia="標楷體"/>
          <w:sz w:val="24"/>
          <w:szCs w:val="24"/>
        </w:rPr>
        <w:t>Shiu</w:t>
      </w:r>
      <w:proofErr w:type="spellEnd"/>
      <w:r w:rsidRPr="007F6F77">
        <w:rPr>
          <w:rFonts w:eastAsia="標楷體"/>
          <w:sz w:val="24"/>
          <w:szCs w:val="24"/>
        </w:rPr>
        <w:t>-sheng Chen</w:t>
      </w:r>
      <w:r w:rsidRPr="007F6F77">
        <w:rPr>
          <w:rFonts w:eastAsia="標楷體" w:hint="eastAsia"/>
          <w:sz w:val="24"/>
          <w:szCs w:val="24"/>
        </w:rPr>
        <w:t xml:space="preserve">, </w:t>
      </w:r>
      <w:proofErr w:type="spellStart"/>
      <w:r w:rsidR="000060B5" w:rsidRPr="007F6F77">
        <w:rPr>
          <w:rFonts w:eastAsia="標楷體"/>
          <w:sz w:val="24"/>
          <w:szCs w:val="24"/>
        </w:rPr>
        <w:t>Hsin-</w:t>
      </w:r>
      <w:r w:rsidR="000060B5" w:rsidRPr="007F6F77">
        <w:rPr>
          <w:rFonts w:eastAsia="標楷體" w:hint="eastAsia"/>
          <w:sz w:val="24"/>
          <w:szCs w:val="24"/>
        </w:rPr>
        <w:t>h</w:t>
      </w:r>
      <w:r w:rsidRPr="007F6F77">
        <w:rPr>
          <w:rFonts w:eastAsia="標楷體"/>
          <w:sz w:val="24"/>
          <w:szCs w:val="24"/>
        </w:rPr>
        <w:t>ong</w:t>
      </w:r>
      <w:proofErr w:type="spellEnd"/>
      <w:r w:rsidRPr="007F6F77">
        <w:rPr>
          <w:rFonts w:eastAsia="標楷體"/>
          <w:sz w:val="24"/>
          <w:szCs w:val="24"/>
        </w:rPr>
        <w:t xml:space="preserve"> Kang</w:t>
      </w:r>
      <w:r w:rsidR="00E972E3">
        <w:rPr>
          <w:rFonts w:eastAsia="標楷體" w:hint="eastAsia"/>
          <w:sz w:val="24"/>
          <w:szCs w:val="24"/>
        </w:rPr>
        <w:t xml:space="preserve"> </w:t>
      </w:r>
    </w:p>
    <w:p w:rsidR="006A083A" w:rsidRPr="007F6F77" w:rsidRDefault="006A083A" w:rsidP="00860EF7">
      <w:pPr>
        <w:snapToGrid w:val="0"/>
        <w:spacing w:before="120" w:line="440" w:lineRule="exact"/>
        <w:ind w:left="985" w:hangingChars="410" w:hanging="985"/>
        <w:textDirection w:val="lrTbV"/>
        <w:rPr>
          <w:rFonts w:eastAsia="標楷體"/>
          <w:sz w:val="24"/>
          <w:szCs w:val="28"/>
        </w:rPr>
      </w:pPr>
      <w:proofErr w:type="gramStart"/>
      <w:r w:rsidRPr="007F6F77">
        <w:rPr>
          <w:rFonts w:eastAsia="標楷體" w:hint="eastAsia"/>
          <w:b/>
          <w:sz w:val="24"/>
          <w:szCs w:val="28"/>
        </w:rPr>
        <w:t xml:space="preserve">Voting against the proposition: </w:t>
      </w:r>
      <w:r w:rsidRPr="007F6F77">
        <w:rPr>
          <w:rFonts w:eastAsia="標楷體" w:hint="eastAsia"/>
          <w:sz w:val="24"/>
          <w:szCs w:val="28"/>
        </w:rPr>
        <w:t>None.</w:t>
      </w:r>
      <w:proofErr w:type="gramEnd"/>
      <w:r w:rsidRPr="007F6F77">
        <w:rPr>
          <w:rFonts w:eastAsia="標楷體" w:hint="eastAsia"/>
          <w:sz w:val="24"/>
          <w:szCs w:val="28"/>
        </w:rPr>
        <w:t xml:space="preserve"> </w:t>
      </w:r>
    </w:p>
    <w:p w:rsidR="006A083A" w:rsidRPr="007F6F77" w:rsidRDefault="006A083A" w:rsidP="00FA173A">
      <w:pPr>
        <w:widowControl/>
        <w:adjustRightInd/>
        <w:spacing w:before="120" w:line="440" w:lineRule="exact"/>
        <w:textAlignment w:val="auto"/>
        <w:rPr>
          <w:rFonts w:eastAsia="標楷體"/>
          <w:b/>
          <w:snapToGrid w:val="0"/>
          <w:sz w:val="24"/>
          <w:szCs w:val="28"/>
        </w:rPr>
      </w:pPr>
    </w:p>
    <w:p w:rsidR="006A083A" w:rsidRPr="007F6F77" w:rsidRDefault="006A083A" w:rsidP="00FA173A">
      <w:pPr>
        <w:widowControl/>
        <w:adjustRightInd/>
        <w:spacing w:before="120" w:line="440" w:lineRule="exact"/>
        <w:textAlignment w:val="auto"/>
        <w:rPr>
          <w:rFonts w:eastAsia="標楷體"/>
          <w:b/>
          <w:sz w:val="28"/>
          <w:szCs w:val="28"/>
        </w:rPr>
      </w:pPr>
      <w:r w:rsidRPr="007F6F77">
        <w:rPr>
          <w:rFonts w:eastAsia="標楷體" w:hint="eastAsia"/>
          <w:b/>
          <w:snapToGrid w:val="0"/>
          <w:sz w:val="28"/>
          <w:szCs w:val="28"/>
        </w:rPr>
        <w:t xml:space="preserve">III. The Press Release </w:t>
      </w:r>
    </w:p>
    <w:p w:rsidR="00C350B0" w:rsidRDefault="006A083A" w:rsidP="002C1E6E">
      <w:pPr>
        <w:spacing w:before="120" w:line="440" w:lineRule="exact"/>
        <w:ind w:firstLineChars="200" w:firstLine="480"/>
        <w:jc w:val="both"/>
        <w:rPr>
          <w:rFonts w:eastAsia="標楷體"/>
          <w:sz w:val="24"/>
          <w:szCs w:val="28"/>
        </w:rPr>
      </w:pPr>
      <w:r w:rsidRPr="007F6F77">
        <w:rPr>
          <w:rFonts w:eastAsia="標楷體" w:hint="eastAsia"/>
          <w:sz w:val="24"/>
          <w:szCs w:val="28"/>
        </w:rPr>
        <w:t xml:space="preserve">The </w:t>
      </w:r>
      <w:r w:rsidR="00CE3BC5" w:rsidRPr="007F6F77">
        <w:rPr>
          <w:rFonts w:eastAsia="標楷體" w:hint="eastAsia"/>
          <w:sz w:val="24"/>
          <w:szCs w:val="28"/>
        </w:rPr>
        <w:t>b</w:t>
      </w:r>
      <w:r w:rsidRPr="007F6F77">
        <w:rPr>
          <w:rFonts w:eastAsia="標楷體" w:hint="eastAsia"/>
          <w:sz w:val="24"/>
          <w:szCs w:val="28"/>
        </w:rPr>
        <w:t xml:space="preserve">oard </w:t>
      </w:r>
      <w:r w:rsidR="00CE3BC5" w:rsidRPr="007F6F77">
        <w:rPr>
          <w:rFonts w:eastAsia="標楷體" w:hint="eastAsia"/>
          <w:sz w:val="24"/>
          <w:szCs w:val="28"/>
        </w:rPr>
        <w:t>d</w:t>
      </w:r>
      <w:r w:rsidRPr="007F6F77">
        <w:rPr>
          <w:rFonts w:eastAsia="標楷體" w:hint="eastAsia"/>
          <w:sz w:val="24"/>
          <w:szCs w:val="28"/>
        </w:rPr>
        <w:t xml:space="preserve">irectors and </w:t>
      </w:r>
      <w:r w:rsidR="00CE3BC5" w:rsidRPr="007F6F77">
        <w:rPr>
          <w:rFonts w:eastAsia="標楷體" w:hint="eastAsia"/>
          <w:sz w:val="24"/>
          <w:szCs w:val="28"/>
        </w:rPr>
        <w:t>s</w:t>
      </w:r>
      <w:r w:rsidRPr="007F6F77">
        <w:rPr>
          <w:rFonts w:eastAsia="標楷體" w:hint="eastAsia"/>
          <w:sz w:val="24"/>
          <w:szCs w:val="28"/>
        </w:rPr>
        <w:t xml:space="preserve">upervisors approved unanimously to issue the following press release in the post-meeting press conference, together with the </w:t>
      </w:r>
      <w:r w:rsidRPr="007F6F77">
        <w:rPr>
          <w:rFonts w:eastAsia="標楷體"/>
          <w:sz w:val="24"/>
          <w:szCs w:val="28"/>
        </w:rPr>
        <w:t xml:space="preserve">Supplementary Materials for the </w:t>
      </w:r>
      <w:r w:rsidRPr="007F6F77">
        <w:rPr>
          <w:rFonts w:eastAsia="標楷體" w:hint="eastAsia"/>
          <w:sz w:val="24"/>
          <w:szCs w:val="28"/>
        </w:rPr>
        <w:t>Post-Monetary Policy M</w:t>
      </w:r>
      <w:r w:rsidRPr="007F6F77">
        <w:rPr>
          <w:rFonts w:eastAsia="標楷體"/>
          <w:sz w:val="24"/>
          <w:szCs w:val="28"/>
        </w:rPr>
        <w:t>e</w:t>
      </w:r>
      <w:r w:rsidRPr="007F6F77">
        <w:rPr>
          <w:rFonts w:eastAsia="標楷體" w:hint="eastAsia"/>
          <w:sz w:val="24"/>
          <w:szCs w:val="28"/>
        </w:rPr>
        <w:t>eting Press Conference prepared by the</w:t>
      </w:r>
      <w:r w:rsidR="003B4EC4">
        <w:rPr>
          <w:rFonts w:eastAsia="標楷體" w:hint="eastAsia"/>
          <w:sz w:val="24"/>
          <w:szCs w:val="28"/>
        </w:rPr>
        <w:t xml:space="preserve"> </w:t>
      </w:r>
      <w:r w:rsidR="00491E9D">
        <w:rPr>
          <w:rFonts w:eastAsia="標楷體" w:hint="eastAsia"/>
          <w:sz w:val="24"/>
          <w:szCs w:val="28"/>
        </w:rPr>
        <w:t>Bank</w:t>
      </w:r>
      <w:r w:rsidRPr="007F6F77">
        <w:rPr>
          <w:rFonts w:eastAsia="標楷體" w:hint="eastAsia"/>
          <w:sz w:val="24"/>
          <w:szCs w:val="28"/>
        </w:rPr>
        <w:t xml:space="preserve">. </w:t>
      </w:r>
    </w:p>
    <w:p w:rsidR="0090374D" w:rsidRDefault="0090374D">
      <w:pPr>
        <w:widowControl/>
        <w:adjustRightInd/>
        <w:spacing w:line="240" w:lineRule="auto"/>
        <w:textAlignment w:val="auto"/>
        <w:rPr>
          <w:rFonts w:eastAsia="標楷體"/>
          <w:sz w:val="24"/>
          <w:szCs w:val="28"/>
        </w:rPr>
      </w:pPr>
      <w:r>
        <w:rPr>
          <w:rFonts w:eastAsia="標楷體"/>
          <w:sz w:val="24"/>
          <w:szCs w:val="28"/>
        </w:rPr>
        <w:br w:type="page"/>
      </w:r>
    </w:p>
    <w:p w:rsidR="0090374D" w:rsidRDefault="0090374D" w:rsidP="00607C45">
      <w:pPr>
        <w:pStyle w:val="3"/>
        <w:spacing w:afterLines="50" w:after="120" w:line="320" w:lineRule="exact"/>
        <w:rPr>
          <w:rFonts w:ascii="標楷體"/>
        </w:rPr>
      </w:pPr>
      <w:r>
        <w:lastRenderedPageBreak/>
        <w:t>Central Bank of the Republic of China (Taiwan)</w:t>
      </w:r>
    </w:p>
    <w:p w:rsidR="0090374D" w:rsidRPr="00F5541A" w:rsidRDefault="0090374D" w:rsidP="00607C45">
      <w:pPr>
        <w:pBdr>
          <w:top w:val="double" w:sz="4" w:space="1" w:color="auto"/>
          <w:bottom w:val="double" w:sz="4" w:space="1" w:color="auto"/>
        </w:pBdr>
        <w:spacing w:afterLines="50" w:after="120" w:line="320" w:lineRule="exact"/>
        <w:jc w:val="both"/>
        <w:rPr>
          <w:sz w:val="28"/>
        </w:rPr>
      </w:pPr>
      <w:r>
        <w:rPr>
          <w:b/>
          <w:sz w:val="32"/>
        </w:rPr>
        <w:t>PRESS RELEASE</w:t>
      </w:r>
      <w:r>
        <w:rPr>
          <w:b/>
        </w:rPr>
        <w:t xml:space="preserve">                  </w:t>
      </w:r>
      <w:proofErr w:type="spellStart"/>
      <w:r>
        <w:rPr>
          <w:sz w:val="28"/>
        </w:rPr>
        <w:t>Release</w:t>
      </w:r>
      <w:proofErr w:type="spellEnd"/>
      <w:r>
        <w:rPr>
          <w:sz w:val="28"/>
        </w:rPr>
        <w:t xml:space="preserve"> Date:</w:t>
      </w:r>
      <w:r>
        <w:rPr>
          <w:rFonts w:hint="eastAsia"/>
          <w:sz w:val="28"/>
        </w:rPr>
        <w:t xml:space="preserve"> September</w:t>
      </w:r>
      <w:r>
        <w:rPr>
          <w:sz w:val="28"/>
        </w:rPr>
        <w:t xml:space="preserve"> </w:t>
      </w:r>
      <w:r>
        <w:rPr>
          <w:rFonts w:hint="eastAsia"/>
          <w:sz w:val="28"/>
        </w:rPr>
        <w:t>19</w:t>
      </w:r>
      <w:r>
        <w:rPr>
          <w:sz w:val="28"/>
        </w:rPr>
        <w:t>, 201</w:t>
      </w:r>
      <w:r>
        <w:rPr>
          <w:rFonts w:hint="eastAsia"/>
          <w:sz w:val="28"/>
        </w:rPr>
        <w:t>9</w:t>
      </w:r>
    </w:p>
    <w:p w:rsidR="0090374D" w:rsidRDefault="0090374D" w:rsidP="00607C45">
      <w:pPr>
        <w:pBdr>
          <w:top w:val="double" w:sz="4" w:space="1" w:color="auto"/>
          <w:bottom w:val="double" w:sz="4" w:space="1" w:color="auto"/>
        </w:pBdr>
        <w:spacing w:afterLines="50" w:after="120" w:line="320" w:lineRule="exact"/>
        <w:rPr>
          <w:rFonts w:eastAsia="標楷體"/>
          <w:sz w:val="28"/>
        </w:rPr>
      </w:pPr>
      <w:r>
        <w:rPr>
          <w:rFonts w:eastAsia="標楷體"/>
          <w:sz w:val="28"/>
        </w:rPr>
        <w:t>&lt;Website</w:t>
      </w:r>
      <w:r>
        <w:rPr>
          <w:rFonts w:eastAsia="標楷體" w:hint="eastAsia"/>
          <w:sz w:val="28"/>
        </w:rPr>
        <w:t>：</w:t>
      </w:r>
      <w:r>
        <w:rPr>
          <w:rFonts w:eastAsia="標楷體"/>
          <w:sz w:val="28"/>
        </w:rPr>
        <w:t>http://www.cbc.gov.tw&gt;</w:t>
      </w:r>
    </w:p>
    <w:p w:rsidR="0090374D" w:rsidRDefault="0090374D" w:rsidP="00607C45">
      <w:pPr>
        <w:pStyle w:val="11"/>
        <w:tabs>
          <w:tab w:val="left" w:pos="0"/>
        </w:tabs>
        <w:spacing w:before="0" w:afterLines="50" w:after="120" w:line="320" w:lineRule="exact"/>
        <w:ind w:right="-28"/>
        <w:jc w:val="center"/>
        <w:rPr>
          <w:rFonts w:ascii="Times New Roman"/>
          <w:sz w:val="28"/>
          <w:szCs w:val="28"/>
        </w:rPr>
      </w:pPr>
      <w:r>
        <w:rPr>
          <w:rFonts w:ascii="Times New Roman"/>
          <w:sz w:val="28"/>
          <w:szCs w:val="28"/>
        </w:rPr>
        <w:t>Monetary Policy Decision of the Board Meeting</w:t>
      </w:r>
    </w:p>
    <w:p w:rsidR="0090374D" w:rsidRPr="003278E5" w:rsidRDefault="0090374D" w:rsidP="0090374D">
      <w:pPr>
        <w:pStyle w:val="af4"/>
        <w:numPr>
          <w:ilvl w:val="0"/>
          <w:numId w:val="28"/>
        </w:numPr>
        <w:tabs>
          <w:tab w:val="clear" w:pos="480"/>
          <w:tab w:val="num" w:pos="426"/>
        </w:tabs>
        <w:adjustRightInd/>
        <w:spacing w:before="0" w:afterLines="50" w:after="120" w:line="320" w:lineRule="exact"/>
        <w:jc w:val="both"/>
        <w:textAlignment w:val="auto"/>
        <w:rPr>
          <w:sz w:val="24"/>
          <w:szCs w:val="28"/>
        </w:rPr>
      </w:pPr>
      <w:r w:rsidRPr="003278E5">
        <w:rPr>
          <w:sz w:val="24"/>
          <w:szCs w:val="28"/>
        </w:rPr>
        <w:t>Global economic and financial conditions</w:t>
      </w:r>
    </w:p>
    <w:p w:rsidR="0090374D" w:rsidRPr="0090374D" w:rsidRDefault="0090374D" w:rsidP="003278E5">
      <w:pPr>
        <w:pStyle w:val="af4"/>
        <w:widowControl/>
        <w:spacing w:before="0" w:afterLines="50" w:after="120" w:line="440" w:lineRule="exact"/>
        <w:ind w:leftChars="142" w:left="284"/>
        <w:jc w:val="both"/>
        <w:rPr>
          <w:sz w:val="24"/>
          <w:szCs w:val="24"/>
        </w:rPr>
      </w:pPr>
      <w:r w:rsidRPr="0090374D">
        <w:rPr>
          <w:rFonts w:hint="eastAsia"/>
          <w:sz w:val="24"/>
          <w:szCs w:val="24"/>
        </w:rPr>
        <w:t xml:space="preserve">Since the Board met in late June this year, heightened uncertainties such as ongoing US-China trade conflicts, rising economic and financial risks to the Chinese economy, the Brexit stalemate, and </w:t>
      </w:r>
      <w:r w:rsidRPr="0090374D">
        <w:rPr>
          <w:sz w:val="24"/>
          <w:szCs w:val="24"/>
        </w:rPr>
        <w:t>geopolitical</w:t>
      </w:r>
      <w:r w:rsidRPr="0090374D">
        <w:rPr>
          <w:rFonts w:hint="eastAsia"/>
          <w:sz w:val="24"/>
          <w:szCs w:val="24"/>
        </w:rPr>
        <w:t xml:space="preserve"> tensions, have weighed on the global economy and weakened trade growth. Global financial markets have experienced dramatic volatility, leading to a </w:t>
      </w:r>
      <w:r w:rsidRPr="0090374D">
        <w:rPr>
          <w:sz w:val="24"/>
          <w:szCs w:val="24"/>
        </w:rPr>
        <w:t>flight</w:t>
      </w:r>
      <w:r w:rsidRPr="0090374D">
        <w:rPr>
          <w:rFonts w:hint="eastAsia"/>
          <w:sz w:val="24"/>
          <w:szCs w:val="24"/>
        </w:rPr>
        <w:t xml:space="preserve"> of </w:t>
      </w:r>
      <w:r w:rsidRPr="0090374D">
        <w:rPr>
          <w:sz w:val="24"/>
          <w:szCs w:val="24"/>
        </w:rPr>
        <w:t>international</w:t>
      </w:r>
      <w:r w:rsidRPr="0090374D">
        <w:rPr>
          <w:rFonts w:hint="eastAsia"/>
          <w:sz w:val="24"/>
          <w:szCs w:val="24"/>
        </w:rPr>
        <w:t xml:space="preserve"> capital to safe-haven assets and thereby dragging down government bond yields in major economies. International institutions have </w:t>
      </w:r>
      <w:r w:rsidRPr="0090374D">
        <w:rPr>
          <w:sz w:val="24"/>
          <w:szCs w:val="24"/>
        </w:rPr>
        <w:t>revised</w:t>
      </w:r>
      <w:r w:rsidRPr="0090374D">
        <w:rPr>
          <w:rFonts w:hint="eastAsia"/>
          <w:sz w:val="24"/>
          <w:szCs w:val="24"/>
        </w:rPr>
        <w:t xml:space="preserve"> down growth forecasts for the world economy and trade volume this year, and major economies have broadly adopted a more accommodative monetary policy stance.</w:t>
      </w:r>
    </w:p>
    <w:p w:rsidR="0090374D" w:rsidRPr="0090374D" w:rsidRDefault="0090374D" w:rsidP="003278E5">
      <w:pPr>
        <w:pStyle w:val="af4"/>
        <w:widowControl/>
        <w:spacing w:before="0" w:afterLines="50" w:after="120" w:line="440" w:lineRule="exact"/>
        <w:ind w:leftChars="142" w:left="284"/>
        <w:jc w:val="both"/>
        <w:rPr>
          <w:sz w:val="24"/>
          <w:szCs w:val="24"/>
        </w:rPr>
      </w:pPr>
      <w:r w:rsidRPr="0090374D">
        <w:rPr>
          <w:rFonts w:hint="eastAsia"/>
          <w:sz w:val="24"/>
          <w:szCs w:val="24"/>
        </w:rPr>
        <w:t>Looking ahead to next year, the global economic outlook seems clouded by multiple uncertainties including unclear international trade conditions, C</w:t>
      </w:r>
      <w:r w:rsidRPr="0090374D">
        <w:rPr>
          <w:sz w:val="24"/>
          <w:szCs w:val="24"/>
        </w:rPr>
        <w:t>h</w:t>
      </w:r>
      <w:r w:rsidRPr="0090374D">
        <w:rPr>
          <w:rFonts w:hint="eastAsia"/>
          <w:sz w:val="24"/>
          <w:szCs w:val="24"/>
        </w:rPr>
        <w:t xml:space="preserve">ina's economic slowdown, and lingering geopolitical risks. Furthermore, monetary policy of major economies could also affect international </w:t>
      </w:r>
      <w:r w:rsidRPr="0090374D">
        <w:rPr>
          <w:sz w:val="24"/>
          <w:szCs w:val="24"/>
        </w:rPr>
        <w:t>capit</w:t>
      </w:r>
      <w:r w:rsidRPr="0090374D">
        <w:rPr>
          <w:rFonts w:hint="eastAsia"/>
          <w:sz w:val="24"/>
          <w:szCs w:val="24"/>
        </w:rPr>
        <w:t>al movements and financial market stability.</w:t>
      </w:r>
    </w:p>
    <w:p w:rsidR="0090374D" w:rsidRPr="003278E5" w:rsidRDefault="0090374D" w:rsidP="0090374D">
      <w:pPr>
        <w:pStyle w:val="af4"/>
        <w:numPr>
          <w:ilvl w:val="0"/>
          <w:numId w:val="28"/>
        </w:numPr>
        <w:tabs>
          <w:tab w:val="clear" w:pos="480"/>
          <w:tab w:val="num" w:pos="426"/>
        </w:tabs>
        <w:adjustRightInd/>
        <w:spacing w:before="0" w:afterLines="50" w:after="120" w:line="320" w:lineRule="exact"/>
        <w:jc w:val="both"/>
        <w:textAlignment w:val="auto"/>
        <w:rPr>
          <w:sz w:val="24"/>
          <w:szCs w:val="28"/>
        </w:rPr>
      </w:pPr>
      <w:r w:rsidRPr="003278E5">
        <w:rPr>
          <w:sz w:val="24"/>
          <w:szCs w:val="28"/>
        </w:rPr>
        <w:t>Domestic economic and financial conditions</w:t>
      </w:r>
    </w:p>
    <w:p w:rsidR="0090374D" w:rsidRPr="003278E5" w:rsidRDefault="0090374D" w:rsidP="00B7201B">
      <w:pPr>
        <w:pStyle w:val="af4"/>
        <w:widowControl/>
        <w:numPr>
          <w:ilvl w:val="0"/>
          <w:numId w:val="50"/>
        </w:numPr>
        <w:spacing w:before="0" w:afterLines="50" w:after="120" w:line="440" w:lineRule="exact"/>
        <w:ind w:left="284" w:hanging="284"/>
        <w:jc w:val="both"/>
        <w:rPr>
          <w:sz w:val="24"/>
          <w:szCs w:val="24"/>
        </w:rPr>
      </w:pPr>
      <w:r w:rsidRPr="003278E5">
        <w:rPr>
          <w:sz w:val="24"/>
          <w:szCs w:val="24"/>
        </w:rPr>
        <w:t>Since mid-2019, the global economy and world trade have continued to exhibit tepid growth, whereas Taiwan's exports have gradually rebounded on account of diverted orders from the US-China trade conflicts and elevated domestic production by Taiwanese businesses operating overseas, as well as a lower base effect. Although the unemployment rate in recent months slightly picked up and wage growth somewhat moderated, the government's active implementation of policies to boost domestic demand may help enhance consumers' willingness for consumption. In addition, with an anticipated increase in capital spending by manufacturers and returning Taiwanese investment, private investment is likely to expand steadily. As a result, the Bank forecasts Taiwan's economy to advance by 2.66% for the second half of the year, and 2.40% for the entire year (Appendix Table 1).</w:t>
      </w:r>
    </w:p>
    <w:p w:rsidR="0090374D" w:rsidRPr="0090374D" w:rsidRDefault="0090374D" w:rsidP="003278E5">
      <w:pPr>
        <w:pStyle w:val="af4"/>
        <w:widowControl/>
        <w:spacing w:before="0" w:afterLines="50" w:after="120" w:line="440" w:lineRule="exact"/>
        <w:ind w:leftChars="142" w:left="284"/>
        <w:jc w:val="both"/>
        <w:rPr>
          <w:sz w:val="24"/>
          <w:szCs w:val="24"/>
        </w:rPr>
      </w:pPr>
      <w:r w:rsidRPr="0090374D">
        <w:rPr>
          <w:rFonts w:hint="eastAsia"/>
          <w:sz w:val="24"/>
          <w:szCs w:val="24"/>
        </w:rPr>
        <w:lastRenderedPageBreak/>
        <w:t>Projections for next year include steady growth in private consumption and higher government spending, contrasted by economic slowdowns in major economies and softer year-on-year growth in Taiwan</w:t>
      </w:r>
      <w:r w:rsidRPr="0090374D">
        <w:rPr>
          <w:sz w:val="24"/>
          <w:szCs w:val="24"/>
        </w:rPr>
        <w:t>'s</w:t>
      </w:r>
      <w:r w:rsidRPr="0090374D">
        <w:rPr>
          <w:rFonts w:hint="eastAsia"/>
          <w:sz w:val="24"/>
          <w:szCs w:val="24"/>
        </w:rPr>
        <w:t xml:space="preserve"> exports and private investment. The Bank therefore forecasts the domestic economy to expand by 2.34% in 2020. </w:t>
      </w:r>
    </w:p>
    <w:p w:rsidR="0090374D" w:rsidRPr="003278E5" w:rsidRDefault="0090374D" w:rsidP="00B7201B">
      <w:pPr>
        <w:pStyle w:val="af4"/>
        <w:widowControl/>
        <w:numPr>
          <w:ilvl w:val="0"/>
          <w:numId w:val="50"/>
        </w:numPr>
        <w:spacing w:before="0" w:afterLines="50" w:after="120" w:line="440" w:lineRule="exact"/>
        <w:ind w:left="284" w:hanging="284"/>
        <w:jc w:val="both"/>
        <w:rPr>
          <w:sz w:val="24"/>
          <w:szCs w:val="24"/>
        </w:rPr>
      </w:pPr>
      <w:r w:rsidRPr="003278E5">
        <w:rPr>
          <w:sz w:val="24"/>
          <w:szCs w:val="24"/>
        </w:rPr>
        <w:t>Domestic inflation has stayed low and stable since entering 2019. For the first eight months of the year, the consumer price index (CPI) and the core CPI (excluding fruit, vegetables, and energy items) posted average annual growth rates of 0.53% and 0.45%, respectively. For the second half of the year, inflation is expected to register mild growth as recent rises in fruit and vegetables prices owing to torrential rain would be somewhat offset by the subdued price trends for international crude oil and other raw materials. For the year as a whole, the Bank forecasts the CPI and core CPI annual growth rates to be 0.70% and 0.56%, respectively (Appendix Table 2).</w:t>
      </w:r>
    </w:p>
    <w:p w:rsidR="0090374D" w:rsidRPr="0090374D" w:rsidRDefault="0090374D" w:rsidP="003278E5">
      <w:pPr>
        <w:pStyle w:val="af4"/>
        <w:widowControl/>
        <w:spacing w:before="0" w:afterLines="50" w:after="120" w:line="440" w:lineRule="exact"/>
        <w:ind w:leftChars="142" w:left="284"/>
        <w:jc w:val="both"/>
        <w:rPr>
          <w:sz w:val="24"/>
          <w:szCs w:val="24"/>
        </w:rPr>
      </w:pPr>
      <w:r w:rsidRPr="0090374D">
        <w:rPr>
          <w:rFonts w:hint="eastAsia"/>
          <w:sz w:val="24"/>
          <w:szCs w:val="24"/>
        </w:rPr>
        <w:t>Looking at inflation next year</w:t>
      </w:r>
      <w:r w:rsidRPr="0090374D">
        <w:rPr>
          <w:sz w:val="24"/>
          <w:szCs w:val="24"/>
        </w:rPr>
        <w:t xml:space="preserve">, </w:t>
      </w:r>
      <w:r w:rsidRPr="0090374D">
        <w:rPr>
          <w:rFonts w:hint="eastAsia"/>
          <w:sz w:val="24"/>
          <w:szCs w:val="24"/>
        </w:rPr>
        <w:t>prices of away-from-home food and services thereof are likely to be lifted by the minimum wage hike announced for the coming year. By contrast, international oil prices are projected by foreign institutions to remain below the levels of this year amid a weaker global economic outlook, and domestic demand is expected to be mild. These factors combine to support a stable inflation outlook, with the CPI and core CPI rising by 0.88% and 0.77% year on year according to the Bank</w:t>
      </w:r>
      <w:r w:rsidRPr="0090374D">
        <w:rPr>
          <w:sz w:val="24"/>
          <w:szCs w:val="24"/>
        </w:rPr>
        <w:t>'s</w:t>
      </w:r>
      <w:r w:rsidRPr="0090374D">
        <w:rPr>
          <w:rFonts w:hint="eastAsia"/>
          <w:sz w:val="24"/>
          <w:szCs w:val="24"/>
        </w:rPr>
        <w:t xml:space="preserve"> own forecasts. </w:t>
      </w:r>
    </w:p>
    <w:p w:rsidR="0090374D" w:rsidRPr="003278E5" w:rsidRDefault="0090374D" w:rsidP="00B7201B">
      <w:pPr>
        <w:pStyle w:val="af4"/>
        <w:widowControl/>
        <w:numPr>
          <w:ilvl w:val="0"/>
          <w:numId w:val="50"/>
        </w:numPr>
        <w:spacing w:before="0" w:afterLines="50" w:after="120" w:line="440" w:lineRule="exact"/>
        <w:ind w:left="284" w:hanging="284"/>
        <w:jc w:val="both"/>
        <w:rPr>
          <w:sz w:val="24"/>
          <w:szCs w:val="24"/>
        </w:rPr>
      </w:pPr>
      <w:r w:rsidRPr="003278E5">
        <w:rPr>
          <w:sz w:val="24"/>
          <w:szCs w:val="24"/>
        </w:rPr>
        <w:t xml:space="preserve">For the first seven months of the year, the average annual growth rate of the monetary aggregate M2 was 3.24% and that of bank loans and investments was 4.86%, indicating that money and credit conditions were sufficient to support domestic economic activity.  </w:t>
      </w:r>
    </w:p>
    <w:p w:rsidR="0090374D" w:rsidRPr="003278E5" w:rsidRDefault="0090374D" w:rsidP="003278E5">
      <w:pPr>
        <w:pStyle w:val="af4"/>
        <w:widowControl/>
        <w:spacing w:before="0" w:afterLines="50" w:after="120" w:line="440" w:lineRule="exact"/>
        <w:ind w:leftChars="142" w:left="284"/>
        <w:jc w:val="both"/>
        <w:rPr>
          <w:sz w:val="24"/>
          <w:szCs w:val="24"/>
        </w:rPr>
      </w:pPr>
      <w:r w:rsidRPr="0090374D">
        <w:rPr>
          <w:rFonts w:hint="eastAsia"/>
          <w:sz w:val="24"/>
          <w:szCs w:val="24"/>
        </w:rPr>
        <w:t xml:space="preserve">In recent months, global financial markets have witnessed higher volatility, along with increased capital movements across the borders. Nonetheless, the NT dollar exchange rate has continued to show dynamic stability </w:t>
      </w:r>
      <w:r w:rsidRPr="0090374D">
        <w:rPr>
          <w:sz w:val="24"/>
          <w:szCs w:val="24"/>
        </w:rPr>
        <w:t>vis-à-vis</w:t>
      </w:r>
      <w:r w:rsidRPr="0090374D">
        <w:rPr>
          <w:rFonts w:hint="eastAsia"/>
          <w:sz w:val="24"/>
          <w:szCs w:val="24"/>
        </w:rPr>
        <w:t xml:space="preserve"> the US dollar. Meanwhile, the domestic financial market has enjoyed ample liquidity, and both short- and long-term rates have held steady. Excess reserves of financial institutions have been maintained at a level of over NT$40 billion. Overall, domestic financial conditions remain </w:t>
      </w:r>
      <w:r w:rsidRPr="003278E5">
        <w:rPr>
          <w:rFonts w:hint="eastAsia"/>
          <w:sz w:val="24"/>
          <w:szCs w:val="24"/>
        </w:rPr>
        <w:t xml:space="preserve">accommodative. </w:t>
      </w:r>
    </w:p>
    <w:p w:rsidR="0090374D" w:rsidRPr="003278E5" w:rsidRDefault="0090374D" w:rsidP="0090374D">
      <w:pPr>
        <w:pStyle w:val="af4"/>
        <w:numPr>
          <w:ilvl w:val="0"/>
          <w:numId w:val="28"/>
        </w:numPr>
        <w:tabs>
          <w:tab w:val="clear" w:pos="480"/>
          <w:tab w:val="num" w:pos="426"/>
        </w:tabs>
        <w:adjustRightInd/>
        <w:spacing w:before="0" w:afterLines="50" w:after="120" w:line="320" w:lineRule="exact"/>
        <w:jc w:val="both"/>
        <w:textAlignment w:val="auto"/>
        <w:rPr>
          <w:sz w:val="24"/>
          <w:szCs w:val="24"/>
        </w:rPr>
      </w:pPr>
      <w:r w:rsidRPr="003278E5">
        <w:rPr>
          <w:rFonts w:hint="eastAsia"/>
          <w:sz w:val="24"/>
          <w:szCs w:val="24"/>
        </w:rPr>
        <w:t xml:space="preserve">Monetary policy </w:t>
      </w:r>
      <w:r w:rsidRPr="003278E5">
        <w:rPr>
          <w:sz w:val="24"/>
          <w:szCs w:val="24"/>
        </w:rPr>
        <w:t>decision</w:t>
      </w:r>
      <w:r w:rsidRPr="003278E5">
        <w:rPr>
          <w:rFonts w:hint="eastAsia"/>
          <w:sz w:val="24"/>
          <w:szCs w:val="24"/>
        </w:rPr>
        <w:t xml:space="preserve">s </w:t>
      </w:r>
    </w:p>
    <w:p w:rsidR="0090374D" w:rsidRPr="0090374D" w:rsidRDefault="0090374D" w:rsidP="003278E5">
      <w:pPr>
        <w:pStyle w:val="af4"/>
        <w:widowControl/>
        <w:spacing w:before="0" w:afterLines="50" w:after="120" w:line="440" w:lineRule="exact"/>
        <w:ind w:leftChars="142" w:left="284"/>
        <w:jc w:val="both"/>
        <w:rPr>
          <w:sz w:val="24"/>
          <w:szCs w:val="24"/>
        </w:rPr>
      </w:pPr>
      <w:r w:rsidRPr="0090374D">
        <w:rPr>
          <w:rFonts w:hint="eastAsia"/>
          <w:sz w:val="24"/>
          <w:szCs w:val="24"/>
        </w:rPr>
        <w:t xml:space="preserve">Based on the assessment of the latest economic and financial developments at home and abroad, the Board considers that domestic inflation is moderate, a marginal negative output gap continues for this and next year, and the </w:t>
      </w:r>
      <w:r w:rsidRPr="0090374D">
        <w:rPr>
          <w:sz w:val="24"/>
          <w:szCs w:val="24"/>
        </w:rPr>
        <w:t>inflation</w:t>
      </w:r>
      <w:r w:rsidRPr="0090374D">
        <w:rPr>
          <w:rFonts w:hint="eastAsia"/>
          <w:sz w:val="24"/>
          <w:szCs w:val="24"/>
        </w:rPr>
        <w:t xml:space="preserve"> outlook is stable; as the global </w:t>
      </w:r>
      <w:r w:rsidRPr="0090374D">
        <w:rPr>
          <w:rFonts w:hint="eastAsia"/>
          <w:sz w:val="24"/>
          <w:szCs w:val="24"/>
        </w:rPr>
        <w:lastRenderedPageBreak/>
        <w:t xml:space="preserve">economy moves slowly ahead and uncertainties remain high, external demand could be dampened. In sum, it is expected that the domestic economy would advance with mild growth momentum in the second half of 2019 and in the year of 2020. Furthermore, </w:t>
      </w:r>
      <w:r w:rsidRPr="0090374D">
        <w:rPr>
          <w:sz w:val="24"/>
          <w:szCs w:val="24"/>
        </w:rPr>
        <w:t>Taiwan's real interest rates register around the middle range among a host of economies</w:t>
      </w:r>
      <w:r w:rsidRPr="0090374D">
        <w:rPr>
          <w:rFonts w:hint="eastAsia"/>
          <w:sz w:val="24"/>
          <w:szCs w:val="24"/>
        </w:rPr>
        <w:t xml:space="preserve"> (Appendix T</w:t>
      </w:r>
      <w:r w:rsidRPr="0090374D">
        <w:rPr>
          <w:sz w:val="24"/>
          <w:szCs w:val="24"/>
        </w:rPr>
        <w:t>a</w:t>
      </w:r>
      <w:r w:rsidRPr="0090374D">
        <w:rPr>
          <w:rFonts w:hint="eastAsia"/>
          <w:sz w:val="24"/>
          <w:szCs w:val="24"/>
        </w:rPr>
        <w:t>ble 3)</w:t>
      </w:r>
      <w:r w:rsidRPr="0090374D">
        <w:rPr>
          <w:sz w:val="24"/>
          <w:szCs w:val="24"/>
        </w:rPr>
        <w:t>.</w:t>
      </w:r>
      <w:r w:rsidRPr="0090374D">
        <w:rPr>
          <w:rFonts w:hint="eastAsia"/>
          <w:sz w:val="24"/>
          <w:szCs w:val="24"/>
        </w:rPr>
        <w:t xml:space="preserve"> Therefore, the Board judges</w:t>
      </w:r>
      <w:r w:rsidRPr="0090374D">
        <w:rPr>
          <w:sz w:val="24"/>
          <w:szCs w:val="24"/>
        </w:rPr>
        <w:t xml:space="preserve"> that a policy rate hold</w:t>
      </w:r>
      <w:r w:rsidRPr="0090374D">
        <w:rPr>
          <w:rFonts w:hint="eastAsia"/>
          <w:sz w:val="24"/>
          <w:szCs w:val="24"/>
        </w:rPr>
        <w:t xml:space="preserve"> and a continued accommodative monetary policy stance</w:t>
      </w:r>
      <w:r w:rsidRPr="0090374D">
        <w:rPr>
          <w:sz w:val="24"/>
          <w:szCs w:val="24"/>
        </w:rPr>
        <w:t xml:space="preserve"> will help </w:t>
      </w:r>
      <w:r w:rsidRPr="0090374D">
        <w:rPr>
          <w:rFonts w:hint="eastAsia"/>
          <w:sz w:val="24"/>
          <w:szCs w:val="24"/>
        </w:rPr>
        <w:t xml:space="preserve">ensure price stability and </w:t>
      </w:r>
      <w:r w:rsidRPr="0090374D">
        <w:rPr>
          <w:sz w:val="24"/>
          <w:szCs w:val="24"/>
        </w:rPr>
        <w:t>foster</w:t>
      </w:r>
      <w:r w:rsidRPr="0090374D">
        <w:rPr>
          <w:rFonts w:hint="eastAsia"/>
          <w:sz w:val="24"/>
          <w:szCs w:val="24"/>
        </w:rPr>
        <w:t xml:space="preserve"> sound development of the economy and the financial sector.</w:t>
      </w:r>
    </w:p>
    <w:p w:rsidR="0090374D" w:rsidRPr="0090374D" w:rsidRDefault="0090374D" w:rsidP="003278E5">
      <w:pPr>
        <w:pStyle w:val="af4"/>
        <w:widowControl/>
        <w:spacing w:before="0" w:afterLines="50" w:after="120" w:line="440" w:lineRule="exact"/>
        <w:ind w:leftChars="142" w:left="284"/>
        <w:jc w:val="both"/>
        <w:rPr>
          <w:sz w:val="24"/>
          <w:szCs w:val="24"/>
        </w:rPr>
      </w:pPr>
      <w:r w:rsidRPr="0090374D">
        <w:rPr>
          <w:rFonts w:hint="eastAsia"/>
          <w:sz w:val="24"/>
          <w:szCs w:val="24"/>
        </w:rPr>
        <w:t>A</w:t>
      </w:r>
      <w:r w:rsidRPr="0090374D">
        <w:rPr>
          <w:sz w:val="24"/>
          <w:szCs w:val="24"/>
        </w:rPr>
        <w:t>t the Meeting today</w:t>
      </w:r>
      <w:r w:rsidRPr="0090374D">
        <w:rPr>
          <w:rFonts w:hint="eastAsia"/>
          <w:sz w:val="24"/>
          <w:szCs w:val="24"/>
        </w:rPr>
        <w:t>,</w:t>
      </w:r>
      <w:r w:rsidRPr="0090374D">
        <w:rPr>
          <w:sz w:val="24"/>
          <w:szCs w:val="24"/>
        </w:rPr>
        <w:t xml:space="preserve"> </w:t>
      </w:r>
      <w:r w:rsidRPr="0090374D">
        <w:rPr>
          <w:rFonts w:hint="eastAsia"/>
          <w:sz w:val="24"/>
          <w:szCs w:val="24"/>
        </w:rPr>
        <w:t>t</w:t>
      </w:r>
      <w:r w:rsidRPr="0090374D">
        <w:rPr>
          <w:sz w:val="24"/>
          <w:szCs w:val="24"/>
        </w:rPr>
        <w:t xml:space="preserve">he Board reached the following decision </w:t>
      </w:r>
      <w:r w:rsidRPr="0090374D">
        <w:rPr>
          <w:rFonts w:hint="eastAsia"/>
          <w:sz w:val="24"/>
          <w:szCs w:val="24"/>
        </w:rPr>
        <w:t>unanimously</w:t>
      </w:r>
      <w:r w:rsidRPr="0090374D">
        <w:rPr>
          <w:sz w:val="24"/>
          <w:szCs w:val="24"/>
        </w:rPr>
        <w:t>:</w:t>
      </w:r>
    </w:p>
    <w:p w:rsidR="0090374D" w:rsidRPr="003278E5" w:rsidRDefault="0090374D" w:rsidP="003278E5">
      <w:pPr>
        <w:pStyle w:val="af4"/>
        <w:widowControl/>
        <w:spacing w:before="0" w:afterLines="50" w:after="120" w:line="440" w:lineRule="exact"/>
        <w:ind w:leftChars="342" w:left="684"/>
        <w:jc w:val="both"/>
        <w:rPr>
          <w:sz w:val="24"/>
          <w:szCs w:val="24"/>
        </w:rPr>
      </w:pPr>
      <w:r w:rsidRPr="003278E5">
        <w:rPr>
          <w:sz w:val="24"/>
          <w:szCs w:val="24"/>
        </w:rPr>
        <w:t>The discount rate, the rate on accommodations with collateral, and the rate on accommodations without collateral are kept unchanged at 1.375%, 1.75%, and 3.625%, respectively.</w:t>
      </w:r>
    </w:p>
    <w:p w:rsidR="0090374D" w:rsidRPr="003278E5" w:rsidRDefault="0090374D" w:rsidP="0090374D">
      <w:pPr>
        <w:pStyle w:val="af4"/>
        <w:widowControl/>
        <w:numPr>
          <w:ilvl w:val="0"/>
          <w:numId w:val="28"/>
        </w:numPr>
        <w:adjustRightInd/>
        <w:spacing w:before="0" w:afterLines="50" w:after="120" w:line="400" w:lineRule="exact"/>
        <w:jc w:val="both"/>
        <w:textAlignment w:val="auto"/>
        <w:rPr>
          <w:sz w:val="24"/>
          <w:szCs w:val="28"/>
        </w:rPr>
      </w:pPr>
      <w:r w:rsidRPr="003278E5">
        <w:rPr>
          <w:rFonts w:hint="eastAsia"/>
          <w:sz w:val="24"/>
          <w:szCs w:val="28"/>
        </w:rPr>
        <w:t xml:space="preserve">In light of elevated economic and financial uncertainties overseas, the Bank will closely monitor the implications of global developments </w:t>
      </w:r>
      <w:r w:rsidRPr="003278E5">
        <w:rPr>
          <w:sz w:val="24"/>
          <w:szCs w:val="28"/>
        </w:rPr>
        <w:t>–</w:t>
      </w:r>
      <w:r w:rsidRPr="003278E5">
        <w:rPr>
          <w:rFonts w:hint="eastAsia"/>
          <w:sz w:val="24"/>
          <w:szCs w:val="28"/>
        </w:rPr>
        <w:t xml:space="preserve"> including the US-China trade talks, monetary policy moves in major economies, </w:t>
      </w:r>
      <w:r w:rsidRPr="003278E5">
        <w:rPr>
          <w:sz w:val="24"/>
          <w:szCs w:val="28"/>
        </w:rPr>
        <w:t>geopolitic</w:t>
      </w:r>
      <w:r w:rsidRPr="003278E5">
        <w:rPr>
          <w:rFonts w:hint="eastAsia"/>
          <w:sz w:val="24"/>
          <w:szCs w:val="28"/>
        </w:rPr>
        <w:t xml:space="preserve">al tensions, and global financial market situation </w:t>
      </w:r>
      <w:r w:rsidRPr="003278E5">
        <w:rPr>
          <w:sz w:val="24"/>
          <w:szCs w:val="28"/>
        </w:rPr>
        <w:t>–</w:t>
      </w:r>
      <w:r w:rsidRPr="003278E5">
        <w:rPr>
          <w:rFonts w:hint="eastAsia"/>
          <w:sz w:val="24"/>
          <w:szCs w:val="28"/>
        </w:rPr>
        <w:t xml:space="preserve"> for </w:t>
      </w:r>
      <w:r w:rsidRPr="003278E5">
        <w:rPr>
          <w:sz w:val="24"/>
          <w:szCs w:val="28"/>
        </w:rPr>
        <w:t>Taiwan's econom</w:t>
      </w:r>
      <w:r w:rsidRPr="003278E5">
        <w:rPr>
          <w:rFonts w:hint="eastAsia"/>
          <w:sz w:val="24"/>
          <w:szCs w:val="28"/>
        </w:rPr>
        <w:t>y</w:t>
      </w:r>
      <w:r w:rsidRPr="003278E5">
        <w:rPr>
          <w:sz w:val="24"/>
          <w:szCs w:val="28"/>
        </w:rPr>
        <w:t xml:space="preserve"> and finan</w:t>
      </w:r>
      <w:r w:rsidRPr="003278E5">
        <w:rPr>
          <w:rFonts w:hint="eastAsia"/>
          <w:sz w:val="24"/>
          <w:szCs w:val="28"/>
        </w:rPr>
        <w:t>cial conditions and act timely as appropriate to fulfill its</w:t>
      </w:r>
      <w:r w:rsidRPr="003278E5">
        <w:rPr>
          <w:sz w:val="24"/>
          <w:szCs w:val="28"/>
        </w:rPr>
        <w:t xml:space="preserve"> statutory mandate.</w:t>
      </w:r>
    </w:p>
    <w:p w:rsidR="0090374D" w:rsidRPr="003278E5" w:rsidRDefault="0090374D" w:rsidP="0090374D">
      <w:pPr>
        <w:pStyle w:val="af4"/>
        <w:widowControl/>
        <w:numPr>
          <w:ilvl w:val="0"/>
          <w:numId w:val="28"/>
        </w:numPr>
        <w:adjustRightInd/>
        <w:spacing w:before="0" w:afterLines="50" w:after="120" w:line="400" w:lineRule="exact"/>
        <w:jc w:val="both"/>
        <w:textAlignment w:val="auto"/>
        <w:rPr>
          <w:sz w:val="24"/>
          <w:szCs w:val="28"/>
        </w:rPr>
      </w:pPr>
      <w:r w:rsidRPr="003278E5">
        <w:rPr>
          <w:rFonts w:hint="eastAsia"/>
          <w:sz w:val="24"/>
          <w:szCs w:val="28"/>
        </w:rPr>
        <w:t xml:space="preserve">Recently, international foreign exchange markets have become more volatile, but, compared with other major currencies, the NT dollar has been relatively stable in terms of exchange rate </w:t>
      </w:r>
      <w:proofErr w:type="gramStart"/>
      <w:r w:rsidRPr="003278E5">
        <w:rPr>
          <w:rFonts w:hint="eastAsia"/>
          <w:sz w:val="24"/>
          <w:szCs w:val="28"/>
        </w:rPr>
        <w:t>movements</w:t>
      </w:r>
      <w:proofErr w:type="gramEnd"/>
      <w:r w:rsidRPr="003278E5">
        <w:rPr>
          <w:rFonts w:hint="eastAsia"/>
          <w:sz w:val="24"/>
          <w:szCs w:val="28"/>
        </w:rPr>
        <w:t xml:space="preserve"> </w:t>
      </w:r>
      <w:r w:rsidRPr="003278E5">
        <w:rPr>
          <w:sz w:val="24"/>
          <w:szCs w:val="28"/>
        </w:rPr>
        <w:t>vis-à-vis</w:t>
      </w:r>
      <w:r w:rsidRPr="003278E5">
        <w:rPr>
          <w:rFonts w:hint="eastAsia"/>
          <w:sz w:val="24"/>
          <w:szCs w:val="28"/>
        </w:rPr>
        <w:t xml:space="preserve"> the US dollar. </w:t>
      </w:r>
    </w:p>
    <w:p w:rsidR="0090374D" w:rsidRPr="0090374D" w:rsidRDefault="0090374D" w:rsidP="0090374D">
      <w:pPr>
        <w:pStyle w:val="af4"/>
        <w:widowControl/>
        <w:spacing w:before="0" w:afterLines="50" w:after="120" w:line="440" w:lineRule="exact"/>
        <w:ind w:left="480"/>
        <w:jc w:val="both"/>
        <w:rPr>
          <w:sz w:val="24"/>
          <w:szCs w:val="24"/>
        </w:rPr>
      </w:pPr>
      <w:r w:rsidRPr="0090374D">
        <w:rPr>
          <w:rFonts w:hint="eastAsia"/>
          <w:sz w:val="24"/>
          <w:szCs w:val="24"/>
        </w:rPr>
        <w:t>In principle, t</w:t>
      </w:r>
      <w:r w:rsidRPr="0090374D">
        <w:rPr>
          <w:sz w:val="24"/>
          <w:szCs w:val="24"/>
        </w:rPr>
        <w:t xml:space="preserve">he NT dollar exchange rate is determined by market forces. </w:t>
      </w:r>
      <w:r w:rsidRPr="0090374D">
        <w:rPr>
          <w:rFonts w:hint="eastAsia"/>
          <w:sz w:val="24"/>
          <w:szCs w:val="24"/>
        </w:rPr>
        <w:t>Nonetheless, i</w:t>
      </w:r>
      <w:r w:rsidRPr="0090374D">
        <w:rPr>
          <w:sz w:val="24"/>
          <w:szCs w:val="24"/>
        </w:rPr>
        <w:t xml:space="preserve">f irregular factors (such as massive inflows or outflows of short-term capital) </w:t>
      </w:r>
      <w:r w:rsidRPr="0090374D">
        <w:rPr>
          <w:rFonts w:hint="eastAsia"/>
          <w:sz w:val="24"/>
          <w:szCs w:val="24"/>
        </w:rPr>
        <w:t xml:space="preserve">as well as seasonal ones </w:t>
      </w:r>
      <w:r w:rsidRPr="0090374D">
        <w:rPr>
          <w:sz w:val="24"/>
          <w:szCs w:val="24"/>
        </w:rPr>
        <w:t xml:space="preserve">lead to excess volatility and disorderly movements in the NT dollar exchange rate with adverse implications for economic and financial stability, the </w:t>
      </w:r>
      <w:r w:rsidRPr="0090374D">
        <w:rPr>
          <w:rFonts w:hint="eastAsia"/>
          <w:sz w:val="24"/>
          <w:szCs w:val="24"/>
        </w:rPr>
        <w:t>Bank</w:t>
      </w:r>
      <w:r w:rsidRPr="0090374D">
        <w:rPr>
          <w:sz w:val="24"/>
          <w:szCs w:val="24"/>
        </w:rPr>
        <w:t xml:space="preserve"> will, in </w:t>
      </w:r>
      <w:r w:rsidRPr="0090374D">
        <w:rPr>
          <w:rFonts w:hint="eastAsia"/>
          <w:sz w:val="24"/>
          <w:szCs w:val="24"/>
        </w:rPr>
        <w:t>accordance</w:t>
      </w:r>
      <w:r w:rsidRPr="0090374D">
        <w:rPr>
          <w:sz w:val="24"/>
          <w:szCs w:val="24"/>
        </w:rPr>
        <w:t xml:space="preserve"> with its mandate, step in to maintain an orderly </w:t>
      </w:r>
      <w:r w:rsidRPr="0090374D">
        <w:rPr>
          <w:rFonts w:hint="eastAsia"/>
          <w:sz w:val="24"/>
          <w:szCs w:val="24"/>
        </w:rPr>
        <w:t xml:space="preserve">foreign exchange </w:t>
      </w:r>
      <w:r w:rsidRPr="0090374D">
        <w:rPr>
          <w:sz w:val="24"/>
          <w:szCs w:val="24"/>
        </w:rPr>
        <w:t>market.</w:t>
      </w:r>
    </w:p>
    <w:p w:rsidR="00A61835" w:rsidRDefault="00A61835">
      <w:pPr>
        <w:widowControl/>
        <w:adjustRightInd/>
        <w:spacing w:line="240" w:lineRule="auto"/>
        <w:textAlignment w:val="auto"/>
        <w:rPr>
          <w:rFonts w:eastAsia="標楷體"/>
          <w:sz w:val="32"/>
          <w:szCs w:val="28"/>
        </w:rPr>
      </w:pPr>
      <w:r>
        <w:rPr>
          <w:szCs w:val="28"/>
        </w:rPr>
        <w:br w:type="page"/>
      </w:r>
    </w:p>
    <w:p w:rsidR="00A61835" w:rsidRDefault="00A61835" w:rsidP="00607C45">
      <w:pPr>
        <w:spacing w:line="480" w:lineRule="exact"/>
        <w:jc w:val="center"/>
        <w:rPr>
          <w:rFonts w:eastAsia="標楷體"/>
          <w:b/>
          <w:sz w:val="32"/>
          <w:szCs w:val="28"/>
        </w:rPr>
      </w:pPr>
      <w:r w:rsidRPr="00E11768">
        <w:rPr>
          <w:rFonts w:eastAsia="標楷體" w:hint="eastAsia"/>
          <w:b/>
          <w:sz w:val="32"/>
          <w:szCs w:val="28"/>
        </w:rPr>
        <w:lastRenderedPageBreak/>
        <w:t>Appendix</w:t>
      </w:r>
    </w:p>
    <w:p w:rsidR="00A61835" w:rsidRPr="004056D6" w:rsidRDefault="00A61835" w:rsidP="00607C45">
      <w:pPr>
        <w:spacing w:line="480" w:lineRule="exact"/>
        <w:jc w:val="center"/>
        <w:rPr>
          <w:rFonts w:eastAsia="標楷體"/>
          <w:b/>
          <w:sz w:val="32"/>
          <w:szCs w:val="28"/>
        </w:rPr>
      </w:pPr>
      <w:r>
        <w:rPr>
          <w:rFonts w:eastAsia="標楷體" w:hint="eastAsia"/>
          <w:b/>
          <w:sz w:val="28"/>
          <w:szCs w:val="28"/>
        </w:rPr>
        <w:t xml:space="preserve">Table </w:t>
      </w:r>
      <w:proofErr w:type="gramStart"/>
      <w:r>
        <w:rPr>
          <w:rFonts w:eastAsia="標楷體" w:hint="eastAsia"/>
          <w:b/>
          <w:sz w:val="28"/>
          <w:szCs w:val="28"/>
        </w:rPr>
        <w:t xml:space="preserve">1  </w:t>
      </w:r>
      <w:r>
        <w:rPr>
          <w:rFonts w:eastAsia="標楷體"/>
          <w:b/>
          <w:sz w:val="28"/>
          <w:szCs w:val="28"/>
        </w:rPr>
        <w:t>Taiwan</w:t>
      </w:r>
      <w:r w:rsidRPr="00C37050">
        <w:rPr>
          <w:rFonts w:eastAsia="標楷體" w:hint="eastAsia"/>
          <w:b/>
          <w:sz w:val="28"/>
          <w:szCs w:val="28"/>
        </w:rPr>
        <w:t>'</w:t>
      </w:r>
      <w:r>
        <w:rPr>
          <w:rFonts w:eastAsia="標楷體"/>
          <w:b/>
          <w:sz w:val="28"/>
          <w:szCs w:val="28"/>
        </w:rPr>
        <w:t>s</w:t>
      </w:r>
      <w:proofErr w:type="gramEnd"/>
      <w:r>
        <w:rPr>
          <w:rFonts w:eastAsia="標楷體"/>
          <w:b/>
          <w:sz w:val="28"/>
          <w:szCs w:val="28"/>
        </w:rPr>
        <w:t xml:space="preserve"> </w:t>
      </w:r>
      <w:r>
        <w:rPr>
          <w:rFonts w:eastAsia="標楷體" w:hint="eastAsia"/>
          <w:b/>
          <w:sz w:val="28"/>
          <w:szCs w:val="28"/>
        </w:rPr>
        <w:t>Economic Growth Forecasts by Major Institutions</w:t>
      </w:r>
    </w:p>
    <w:tbl>
      <w:tblPr>
        <w:tblpPr w:leftFromText="180" w:rightFromText="180" w:vertAnchor="text" w:horzAnchor="margin" w:tblpXSpec="center" w:tblpY="330"/>
        <w:tblW w:w="8222" w:type="dxa"/>
        <w:tblLayout w:type="fixed"/>
        <w:tblCellMar>
          <w:left w:w="28" w:type="dxa"/>
          <w:right w:w="28" w:type="dxa"/>
        </w:tblCellMar>
        <w:tblLook w:val="04A0" w:firstRow="1" w:lastRow="0" w:firstColumn="1" w:lastColumn="0" w:noHBand="0" w:noVBand="1"/>
      </w:tblPr>
      <w:tblGrid>
        <w:gridCol w:w="1418"/>
        <w:gridCol w:w="3402"/>
        <w:gridCol w:w="1701"/>
        <w:gridCol w:w="1701"/>
      </w:tblGrid>
      <w:tr w:rsidR="00A61835" w:rsidRPr="00A3253E" w:rsidTr="00607C45">
        <w:trPr>
          <w:trHeight w:val="144"/>
        </w:trPr>
        <w:tc>
          <w:tcPr>
            <w:tcW w:w="8222" w:type="dxa"/>
            <w:gridSpan w:val="4"/>
            <w:tcBorders>
              <w:bottom w:val="single" w:sz="4" w:space="0" w:color="auto"/>
            </w:tcBorders>
            <w:shd w:val="clear" w:color="000000" w:fill="FFFFFF"/>
            <w:noWrap/>
            <w:vAlign w:val="center"/>
          </w:tcPr>
          <w:p w:rsidR="00A61835" w:rsidRPr="00A3253E" w:rsidRDefault="00A61835" w:rsidP="00607C45">
            <w:pPr>
              <w:wordWrap w:val="0"/>
              <w:snapToGrid w:val="0"/>
              <w:spacing w:line="400" w:lineRule="exact"/>
              <w:jc w:val="right"/>
              <w:rPr>
                <w:rFonts w:eastAsia="標楷體"/>
                <w:bCs/>
                <w:sz w:val="22"/>
                <w:szCs w:val="22"/>
              </w:rPr>
            </w:pPr>
            <w:r w:rsidRPr="00A3253E">
              <w:rPr>
                <w:rFonts w:eastAsia="標楷體"/>
              </w:rPr>
              <w:t>Unit: %</w:t>
            </w:r>
          </w:p>
        </w:tc>
      </w:tr>
      <w:tr w:rsidR="00A61835" w:rsidRPr="00A3253E" w:rsidTr="00607C45">
        <w:trPr>
          <w:trHeight w:val="659"/>
        </w:trPr>
        <w:tc>
          <w:tcPr>
            <w:tcW w:w="48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253E" w:rsidRDefault="00A61835" w:rsidP="00607C45">
            <w:pPr>
              <w:widowControl/>
              <w:snapToGrid w:val="0"/>
              <w:jc w:val="center"/>
              <w:rPr>
                <w:rFonts w:eastAsia="標楷體"/>
                <w:sz w:val="22"/>
                <w:szCs w:val="22"/>
              </w:rPr>
            </w:pPr>
            <w:r w:rsidRPr="00A3253E">
              <w:rPr>
                <w:rFonts w:eastAsia="標楷體"/>
                <w:sz w:val="22"/>
                <w:szCs w:val="22"/>
              </w:rPr>
              <w:t>Forecast institutions</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253E" w:rsidRDefault="00A61835" w:rsidP="00607C45">
            <w:pPr>
              <w:snapToGrid w:val="0"/>
              <w:jc w:val="center"/>
              <w:rPr>
                <w:rFonts w:eastAsia="標楷體"/>
                <w:b/>
                <w:bCs/>
                <w:sz w:val="22"/>
                <w:szCs w:val="22"/>
              </w:rPr>
            </w:pPr>
            <w:r w:rsidRPr="00A3253E">
              <w:rPr>
                <w:rFonts w:eastAsia="標楷體"/>
                <w:bCs/>
                <w:sz w:val="22"/>
                <w:szCs w:val="22"/>
              </w:rPr>
              <w:t>2019 (f)</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253E" w:rsidRDefault="00A61835" w:rsidP="00607C45">
            <w:pPr>
              <w:snapToGrid w:val="0"/>
              <w:jc w:val="center"/>
              <w:rPr>
                <w:rFonts w:eastAsia="標楷體"/>
                <w:bCs/>
                <w:sz w:val="22"/>
                <w:szCs w:val="22"/>
              </w:rPr>
            </w:pPr>
            <w:r w:rsidRPr="00A3253E">
              <w:rPr>
                <w:rFonts w:eastAsia="標楷體"/>
                <w:bCs/>
                <w:sz w:val="22"/>
                <w:szCs w:val="22"/>
              </w:rPr>
              <w:t>2020 (f)</w:t>
            </w:r>
          </w:p>
        </w:tc>
      </w:tr>
      <w:tr w:rsidR="00A61835" w:rsidRPr="00A3253E" w:rsidTr="00607C45">
        <w:trPr>
          <w:trHeight w:val="458"/>
        </w:trPr>
        <w:tc>
          <w:tcPr>
            <w:tcW w:w="1418" w:type="dxa"/>
            <w:vMerge w:val="restart"/>
            <w:tcBorders>
              <w:top w:val="single" w:sz="4" w:space="0" w:color="auto"/>
              <w:left w:val="single" w:sz="4" w:space="0" w:color="auto"/>
              <w:right w:val="single" w:sz="4" w:space="0" w:color="auto"/>
            </w:tcBorders>
            <w:vAlign w:val="center"/>
          </w:tcPr>
          <w:p w:rsidR="00A61835" w:rsidRPr="00A3253E" w:rsidRDefault="00A61835" w:rsidP="00607C45">
            <w:pPr>
              <w:snapToGrid w:val="0"/>
              <w:jc w:val="center"/>
              <w:rPr>
                <w:rFonts w:eastAsia="標楷體"/>
                <w:bCs/>
                <w:sz w:val="22"/>
                <w:szCs w:val="22"/>
              </w:rPr>
            </w:pPr>
            <w:r w:rsidRPr="00A3253E">
              <w:rPr>
                <w:rFonts w:eastAsia="標楷體"/>
                <w:bCs/>
                <w:sz w:val="22"/>
                <w:szCs w:val="22"/>
              </w:rPr>
              <w:t>Domestic institutions</w:t>
            </w:r>
          </w:p>
        </w:tc>
        <w:tc>
          <w:tcPr>
            <w:tcW w:w="3402"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A61835" w:rsidRPr="00A3253E" w:rsidRDefault="00A61835" w:rsidP="00607C45">
            <w:pPr>
              <w:jc w:val="both"/>
              <w:rPr>
                <w:rFonts w:eastAsia="標楷體"/>
                <w:b/>
              </w:rPr>
            </w:pPr>
            <w:r w:rsidRPr="00A3253E">
              <w:rPr>
                <w:rFonts w:eastAsia="標楷體"/>
                <w:b/>
              </w:rPr>
              <w:t>CBC (2019/9/19)</w:t>
            </w:r>
          </w:p>
        </w:tc>
        <w:tc>
          <w:tcPr>
            <w:tcW w:w="1701" w:type="dxa"/>
            <w:tcBorders>
              <w:top w:val="single" w:sz="4" w:space="0" w:color="auto"/>
              <w:left w:val="single" w:sz="4" w:space="0" w:color="auto"/>
              <w:bottom w:val="single" w:sz="4" w:space="0" w:color="auto"/>
              <w:right w:val="single" w:sz="4" w:space="0" w:color="auto"/>
            </w:tcBorders>
            <w:shd w:val="clear" w:color="auto" w:fill="FFFFCC"/>
            <w:vAlign w:val="center"/>
          </w:tcPr>
          <w:p w:rsidR="00A61835" w:rsidRPr="00A3253E" w:rsidRDefault="00A61835" w:rsidP="00607C45">
            <w:pPr>
              <w:jc w:val="center"/>
              <w:rPr>
                <w:rFonts w:eastAsia="標楷體"/>
                <w:b/>
              </w:rPr>
            </w:pPr>
            <w:r w:rsidRPr="00A3253E">
              <w:rPr>
                <w:rFonts w:eastAsia="標楷體"/>
                <w:b/>
              </w:rPr>
              <w:t>2.40</w:t>
            </w:r>
          </w:p>
        </w:tc>
        <w:tc>
          <w:tcPr>
            <w:tcW w:w="1701" w:type="dxa"/>
            <w:tcBorders>
              <w:top w:val="single" w:sz="4" w:space="0" w:color="auto"/>
              <w:left w:val="single" w:sz="4" w:space="0" w:color="auto"/>
              <w:bottom w:val="single" w:sz="4" w:space="0" w:color="auto"/>
              <w:right w:val="single" w:sz="4" w:space="0" w:color="auto"/>
            </w:tcBorders>
            <w:shd w:val="clear" w:color="auto" w:fill="FFFFCC"/>
            <w:vAlign w:val="center"/>
          </w:tcPr>
          <w:p w:rsidR="00A61835" w:rsidRPr="00A3253E" w:rsidRDefault="00A61835" w:rsidP="00607C45">
            <w:pPr>
              <w:jc w:val="center"/>
              <w:rPr>
                <w:rFonts w:eastAsia="標楷體"/>
                <w:b/>
              </w:rPr>
            </w:pPr>
            <w:r w:rsidRPr="00A3253E">
              <w:rPr>
                <w:rFonts w:eastAsia="標楷體"/>
                <w:b/>
              </w:rPr>
              <w:t>2.34</w:t>
            </w:r>
          </w:p>
        </w:tc>
      </w:tr>
      <w:tr w:rsidR="00A61835" w:rsidRPr="00A3253E" w:rsidTr="00607C45">
        <w:trPr>
          <w:trHeight w:val="458"/>
        </w:trPr>
        <w:tc>
          <w:tcPr>
            <w:tcW w:w="1418" w:type="dxa"/>
            <w:vMerge/>
            <w:tcBorders>
              <w:left w:val="single" w:sz="4" w:space="0" w:color="auto"/>
              <w:right w:val="single" w:sz="4" w:space="0" w:color="auto"/>
            </w:tcBorders>
            <w:textDirection w:val="tbRlV"/>
            <w:vAlign w:val="center"/>
          </w:tcPr>
          <w:p w:rsidR="00A61835" w:rsidRPr="00A3253E" w:rsidRDefault="00A61835" w:rsidP="00607C45">
            <w:pPr>
              <w:snapToGrid w:val="0"/>
              <w:ind w:left="113" w:right="113"/>
              <w:jc w:val="center"/>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A3253E" w:rsidRDefault="00A61835" w:rsidP="00607C45">
            <w:pPr>
              <w:jc w:val="both"/>
              <w:rPr>
                <w:rFonts w:eastAsia="標楷體"/>
              </w:rPr>
            </w:pPr>
            <w:r>
              <w:rPr>
                <w:rFonts w:eastAsia="標楷體" w:hint="eastAsia"/>
              </w:rPr>
              <w:t xml:space="preserve">NTU/Cathay </w:t>
            </w:r>
            <w:r w:rsidRPr="00A3253E">
              <w:rPr>
                <w:rFonts w:eastAsia="標楷體"/>
              </w:rPr>
              <w:t>(2019/9/9)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253E" w:rsidRDefault="00A61835" w:rsidP="00607C45">
            <w:pPr>
              <w:jc w:val="center"/>
              <w:rPr>
                <w:rFonts w:eastAsia="標楷體"/>
              </w:rPr>
            </w:pPr>
            <w:r w:rsidRPr="00A3253E">
              <w:rPr>
                <w:rFonts w:eastAsia="標楷體"/>
              </w:rPr>
              <w:t>2.20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253E" w:rsidRDefault="00A61835" w:rsidP="00607C45">
            <w:pPr>
              <w:jc w:val="center"/>
              <w:rPr>
                <w:rFonts w:eastAsia="標楷體"/>
              </w:rPr>
            </w:pPr>
            <w:r w:rsidRPr="00A3253E">
              <w:rPr>
                <w:rFonts w:eastAsia="標楷體"/>
              </w:rPr>
              <w:t>2.00</w:t>
            </w:r>
          </w:p>
        </w:tc>
      </w:tr>
      <w:tr w:rsidR="00A61835" w:rsidRPr="00A3253E" w:rsidTr="00607C45">
        <w:trPr>
          <w:trHeight w:val="458"/>
        </w:trPr>
        <w:tc>
          <w:tcPr>
            <w:tcW w:w="1418" w:type="dxa"/>
            <w:vMerge/>
            <w:tcBorders>
              <w:left w:val="single" w:sz="4" w:space="0" w:color="auto"/>
              <w:right w:val="single" w:sz="4" w:space="0" w:color="auto"/>
            </w:tcBorders>
            <w:textDirection w:val="tbRlV"/>
            <w:vAlign w:val="center"/>
          </w:tcPr>
          <w:p w:rsidR="00A61835" w:rsidRPr="00A3253E" w:rsidRDefault="00A61835" w:rsidP="00607C45">
            <w:pPr>
              <w:snapToGrid w:val="0"/>
              <w:ind w:left="113" w:right="113"/>
              <w:jc w:val="center"/>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A3253E" w:rsidRDefault="00A61835" w:rsidP="00607C45">
            <w:pPr>
              <w:jc w:val="both"/>
              <w:rPr>
                <w:rFonts w:eastAsia="標楷體"/>
              </w:rPr>
            </w:pPr>
            <w:r w:rsidRPr="00A3253E">
              <w:rPr>
                <w:rFonts w:eastAsia="標楷體"/>
              </w:rPr>
              <w:t>DGBAS (2019/8/16)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253E" w:rsidRDefault="00A61835" w:rsidP="00607C45">
            <w:pPr>
              <w:jc w:val="center"/>
              <w:rPr>
                <w:rFonts w:eastAsia="標楷體"/>
              </w:rPr>
            </w:pPr>
            <w:r w:rsidRPr="00A3253E">
              <w:rPr>
                <w:rFonts w:eastAsia="標楷體"/>
              </w:rPr>
              <w:t>2.46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253E" w:rsidRDefault="00A61835" w:rsidP="00607C45">
            <w:pPr>
              <w:jc w:val="center"/>
              <w:rPr>
                <w:rFonts w:eastAsia="標楷體"/>
              </w:rPr>
            </w:pPr>
            <w:r w:rsidRPr="00A3253E">
              <w:rPr>
                <w:rFonts w:eastAsia="標楷體"/>
              </w:rPr>
              <w:t>2.58</w:t>
            </w:r>
          </w:p>
        </w:tc>
      </w:tr>
      <w:tr w:rsidR="00A61835" w:rsidRPr="00A3253E" w:rsidTr="00607C45">
        <w:trPr>
          <w:trHeight w:val="458"/>
        </w:trPr>
        <w:tc>
          <w:tcPr>
            <w:tcW w:w="1418" w:type="dxa"/>
            <w:vMerge/>
            <w:tcBorders>
              <w:left w:val="single" w:sz="4" w:space="0" w:color="auto"/>
              <w:right w:val="single" w:sz="4" w:space="0" w:color="auto"/>
            </w:tcBorders>
            <w:textDirection w:val="tbRlV"/>
            <w:vAlign w:val="center"/>
            <w:hideMark/>
          </w:tcPr>
          <w:p w:rsidR="00A61835" w:rsidRPr="00A3253E" w:rsidRDefault="00A61835" w:rsidP="00607C45">
            <w:pPr>
              <w:widowControl/>
              <w:snapToGrid w:val="0"/>
              <w:ind w:left="113" w:right="113"/>
              <w:jc w:val="center"/>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253E" w:rsidRDefault="00A61835" w:rsidP="00607C45">
            <w:pPr>
              <w:jc w:val="both"/>
              <w:rPr>
                <w:rFonts w:eastAsia="標楷體"/>
              </w:rPr>
            </w:pPr>
            <w:r w:rsidRPr="00A3253E">
              <w:rPr>
                <w:rFonts w:eastAsia="標楷體"/>
              </w:rPr>
              <w:t>TIER (2019/7/25)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1835" w:rsidRPr="00A3253E" w:rsidRDefault="00A61835" w:rsidP="00607C45">
            <w:pPr>
              <w:jc w:val="center"/>
              <w:rPr>
                <w:rFonts w:eastAsia="標楷體"/>
              </w:rPr>
            </w:pPr>
            <w:r w:rsidRPr="00A3253E">
              <w:rPr>
                <w:rFonts w:eastAsia="標楷體"/>
              </w:rPr>
              <w:t>2.12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253E" w:rsidRDefault="00A61835" w:rsidP="00607C45">
            <w:pPr>
              <w:jc w:val="center"/>
              <w:rPr>
                <w:rFonts w:eastAsia="標楷體"/>
              </w:rPr>
            </w:pPr>
            <w:proofErr w:type="spellStart"/>
            <w:r w:rsidRPr="00A3253E">
              <w:rPr>
                <w:rFonts w:eastAsia="標楷體"/>
              </w:rPr>
              <w:t>n.a</w:t>
            </w:r>
            <w:proofErr w:type="spellEnd"/>
            <w:r w:rsidRPr="00A3253E">
              <w:rPr>
                <w:rFonts w:eastAsia="標楷體"/>
              </w:rPr>
              <w:t>.</w:t>
            </w:r>
          </w:p>
        </w:tc>
      </w:tr>
      <w:tr w:rsidR="00A61835" w:rsidRPr="00A3253E" w:rsidTr="00607C45">
        <w:trPr>
          <w:trHeight w:val="458"/>
        </w:trPr>
        <w:tc>
          <w:tcPr>
            <w:tcW w:w="1418" w:type="dxa"/>
            <w:vMerge/>
            <w:tcBorders>
              <w:left w:val="single" w:sz="4" w:space="0" w:color="auto"/>
              <w:right w:val="single" w:sz="4" w:space="0" w:color="auto"/>
            </w:tcBorders>
            <w:textDirection w:val="tbRlV"/>
            <w:vAlign w:val="center"/>
          </w:tcPr>
          <w:p w:rsidR="00A61835" w:rsidRPr="00A3253E" w:rsidRDefault="00A61835" w:rsidP="00607C45">
            <w:pPr>
              <w:widowControl/>
              <w:snapToGrid w:val="0"/>
              <w:ind w:left="113" w:right="113"/>
              <w:jc w:val="center"/>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A3253E" w:rsidRDefault="00A61835" w:rsidP="00607C45">
            <w:pPr>
              <w:jc w:val="both"/>
              <w:rPr>
                <w:rFonts w:eastAsia="標楷體"/>
              </w:rPr>
            </w:pPr>
            <w:r w:rsidRPr="00A3253E">
              <w:rPr>
                <w:rFonts w:eastAsia="標楷體"/>
              </w:rPr>
              <w:t xml:space="preserve">Academia </w:t>
            </w:r>
            <w:proofErr w:type="spellStart"/>
            <w:r w:rsidRPr="00A3253E">
              <w:rPr>
                <w:rFonts w:eastAsia="標楷體"/>
              </w:rPr>
              <w:t>Sinica</w:t>
            </w:r>
            <w:proofErr w:type="spellEnd"/>
            <w:r w:rsidRPr="00A3253E">
              <w:rPr>
                <w:rFonts w:eastAsia="標楷體"/>
              </w:rPr>
              <w:t xml:space="preserve"> (2019/7/19)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253E" w:rsidRDefault="00A61835" w:rsidP="00607C45">
            <w:pPr>
              <w:jc w:val="center"/>
              <w:rPr>
                <w:rFonts w:eastAsia="標楷體"/>
              </w:rPr>
            </w:pPr>
            <w:r w:rsidRPr="00A3253E">
              <w:rPr>
                <w:rFonts w:eastAsia="標楷體"/>
              </w:rPr>
              <w:t>2.01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253E" w:rsidRDefault="00A61835" w:rsidP="00607C45">
            <w:pPr>
              <w:jc w:val="center"/>
              <w:rPr>
                <w:rFonts w:eastAsia="標楷體"/>
              </w:rPr>
            </w:pPr>
            <w:proofErr w:type="spellStart"/>
            <w:r w:rsidRPr="00A3253E">
              <w:rPr>
                <w:rFonts w:eastAsia="標楷體"/>
              </w:rPr>
              <w:t>n.a</w:t>
            </w:r>
            <w:proofErr w:type="spellEnd"/>
            <w:r w:rsidRPr="00A3253E">
              <w:rPr>
                <w:rFonts w:eastAsia="標楷體"/>
              </w:rPr>
              <w:t>.</w:t>
            </w:r>
          </w:p>
        </w:tc>
      </w:tr>
      <w:tr w:rsidR="00A61835" w:rsidRPr="00A3253E" w:rsidTr="00607C45">
        <w:trPr>
          <w:trHeight w:val="389"/>
        </w:trPr>
        <w:tc>
          <w:tcPr>
            <w:tcW w:w="1418" w:type="dxa"/>
            <w:vMerge/>
            <w:tcBorders>
              <w:left w:val="single" w:sz="4" w:space="0" w:color="auto"/>
              <w:right w:val="single" w:sz="4" w:space="0" w:color="auto"/>
            </w:tcBorders>
            <w:vAlign w:val="center"/>
          </w:tcPr>
          <w:p w:rsidR="00A61835" w:rsidRPr="00A3253E" w:rsidRDefault="00A61835" w:rsidP="00607C45">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A3253E" w:rsidRDefault="00A61835" w:rsidP="00607C45">
            <w:pPr>
              <w:jc w:val="both"/>
              <w:rPr>
                <w:rFonts w:eastAsia="標楷體"/>
              </w:rPr>
            </w:pPr>
            <w:r w:rsidRPr="00A3253E">
              <w:rPr>
                <w:rFonts w:eastAsia="標楷體"/>
              </w:rPr>
              <w:t>CIER (2019/7/17)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253E" w:rsidRDefault="00A61835" w:rsidP="00607C45">
            <w:pPr>
              <w:jc w:val="center"/>
              <w:rPr>
                <w:rFonts w:eastAsia="標楷體"/>
              </w:rPr>
            </w:pPr>
            <w:r w:rsidRPr="00A3253E">
              <w:rPr>
                <w:rFonts w:eastAsia="標楷體"/>
              </w:rPr>
              <w:t>2.06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253E" w:rsidRDefault="00A61835" w:rsidP="00607C45">
            <w:pPr>
              <w:jc w:val="center"/>
              <w:rPr>
                <w:rFonts w:eastAsia="標楷體"/>
              </w:rPr>
            </w:pPr>
            <w:r w:rsidRPr="00A3253E">
              <w:rPr>
                <w:rFonts w:eastAsia="標楷體"/>
              </w:rPr>
              <w:t>2.27</w:t>
            </w:r>
          </w:p>
        </w:tc>
      </w:tr>
      <w:tr w:rsidR="00A61835" w:rsidRPr="00A3253E" w:rsidTr="00607C45">
        <w:trPr>
          <w:trHeight w:val="389"/>
        </w:trPr>
        <w:tc>
          <w:tcPr>
            <w:tcW w:w="1418" w:type="dxa"/>
            <w:vMerge/>
            <w:tcBorders>
              <w:left w:val="single" w:sz="4" w:space="0" w:color="auto"/>
              <w:bottom w:val="double" w:sz="4" w:space="0" w:color="auto"/>
              <w:right w:val="single" w:sz="4" w:space="0" w:color="auto"/>
            </w:tcBorders>
            <w:vAlign w:val="center"/>
          </w:tcPr>
          <w:p w:rsidR="00A61835" w:rsidRPr="00A3253E" w:rsidRDefault="00A61835" w:rsidP="00607C45">
            <w:pPr>
              <w:widowControl/>
              <w:snapToGrid w:val="0"/>
              <w:rPr>
                <w:rFonts w:eastAsia="標楷體"/>
                <w:bCs/>
                <w:sz w:val="22"/>
                <w:szCs w:val="22"/>
              </w:rPr>
            </w:pPr>
          </w:p>
        </w:tc>
        <w:tc>
          <w:tcPr>
            <w:tcW w:w="3402" w:type="dxa"/>
            <w:tcBorders>
              <w:top w:val="single" w:sz="4" w:space="0" w:color="auto"/>
              <w:left w:val="single" w:sz="4" w:space="0" w:color="auto"/>
              <w:bottom w:val="double" w:sz="4" w:space="0" w:color="auto"/>
              <w:right w:val="single" w:sz="4" w:space="0" w:color="auto"/>
            </w:tcBorders>
            <w:shd w:val="clear" w:color="000000" w:fill="FFFFFF"/>
            <w:noWrap/>
            <w:vAlign w:val="center"/>
          </w:tcPr>
          <w:p w:rsidR="00A61835" w:rsidRPr="00A3253E" w:rsidRDefault="00A61835" w:rsidP="00607C45">
            <w:pPr>
              <w:snapToGrid w:val="0"/>
              <w:jc w:val="center"/>
              <w:rPr>
                <w:rFonts w:eastAsia="標楷體"/>
                <w:b/>
              </w:rPr>
            </w:pPr>
            <w:r w:rsidRPr="00A3253E">
              <w:rPr>
                <w:rFonts w:eastAsia="標楷體"/>
                <w:b/>
              </w:rPr>
              <w:t xml:space="preserve">Forecast </w:t>
            </w:r>
            <w:r w:rsidRPr="00A3253E">
              <w:rPr>
                <w:rFonts w:eastAsia="標楷體"/>
                <w:b/>
                <w:u w:val="single"/>
              </w:rPr>
              <w:t>Average</w:t>
            </w:r>
          </w:p>
        </w:tc>
        <w:tc>
          <w:tcPr>
            <w:tcW w:w="1701" w:type="dxa"/>
            <w:tcBorders>
              <w:top w:val="single" w:sz="4" w:space="0" w:color="auto"/>
              <w:left w:val="single" w:sz="4" w:space="0" w:color="auto"/>
              <w:bottom w:val="double" w:sz="4" w:space="0" w:color="auto"/>
              <w:right w:val="single" w:sz="4" w:space="0" w:color="auto"/>
            </w:tcBorders>
            <w:shd w:val="clear" w:color="000000" w:fill="FFFFFF"/>
            <w:vAlign w:val="center"/>
          </w:tcPr>
          <w:p w:rsidR="00A61835" w:rsidRPr="00A3253E" w:rsidRDefault="00A61835" w:rsidP="00607C45">
            <w:pPr>
              <w:jc w:val="center"/>
              <w:rPr>
                <w:rFonts w:eastAsia="標楷體"/>
              </w:rPr>
            </w:pPr>
            <w:r w:rsidRPr="00A3253E">
              <w:rPr>
                <w:rFonts w:eastAsia="標楷體"/>
                <w:b/>
              </w:rPr>
              <w:t>2.21</w:t>
            </w:r>
          </w:p>
        </w:tc>
        <w:tc>
          <w:tcPr>
            <w:tcW w:w="1701" w:type="dxa"/>
            <w:tcBorders>
              <w:top w:val="single" w:sz="4" w:space="0" w:color="auto"/>
              <w:left w:val="single" w:sz="4" w:space="0" w:color="auto"/>
              <w:bottom w:val="double" w:sz="4" w:space="0" w:color="auto"/>
              <w:right w:val="single" w:sz="4" w:space="0" w:color="auto"/>
            </w:tcBorders>
            <w:shd w:val="clear" w:color="000000" w:fill="FFFFFF"/>
            <w:vAlign w:val="center"/>
          </w:tcPr>
          <w:p w:rsidR="00A61835" w:rsidRPr="00A3253E" w:rsidRDefault="00A61835" w:rsidP="00607C45">
            <w:pPr>
              <w:jc w:val="center"/>
              <w:rPr>
                <w:rFonts w:eastAsia="標楷體"/>
              </w:rPr>
            </w:pPr>
            <w:r w:rsidRPr="00A3253E">
              <w:rPr>
                <w:rFonts w:eastAsia="標楷體"/>
                <w:b/>
              </w:rPr>
              <w:t>2.30</w:t>
            </w:r>
          </w:p>
        </w:tc>
      </w:tr>
      <w:tr w:rsidR="00A61835" w:rsidRPr="00A3253E" w:rsidTr="00607C45">
        <w:trPr>
          <w:trHeight w:val="456"/>
        </w:trPr>
        <w:tc>
          <w:tcPr>
            <w:tcW w:w="1418" w:type="dxa"/>
            <w:vMerge w:val="restart"/>
            <w:tcBorders>
              <w:top w:val="double" w:sz="4" w:space="0" w:color="auto"/>
              <w:left w:val="single" w:sz="4" w:space="0" w:color="auto"/>
              <w:right w:val="single" w:sz="4" w:space="0" w:color="auto"/>
            </w:tcBorders>
            <w:shd w:val="clear" w:color="000000" w:fill="FFFFFF"/>
            <w:vAlign w:val="center"/>
            <w:hideMark/>
          </w:tcPr>
          <w:p w:rsidR="00A61835" w:rsidRPr="00A3253E" w:rsidRDefault="00A61835" w:rsidP="00607C45">
            <w:pPr>
              <w:snapToGrid w:val="0"/>
              <w:jc w:val="center"/>
              <w:rPr>
                <w:rFonts w:eastAsia="標楷體"/>
                <w:bCs/>
                <w:sz w:val="22"/>
                <w:szCs w:val="22"/>
              </w:rPr>
            </w:pPr>
            <w:r w:rsidRPr="00A3253E">
              <w:rPr>
                <w:rFonts w:eastAsia="標楷體"/>
                <w:bCs/>
                <w:sz w:val="22"/>
                <w:szCs w:val="22"/>
              </w:rPr>
              <w:t>Foreign institutions</w:t>
            </w:r>
          </w:p>
        </w:tc>
        <w:tc>
          <w:tcPr>
            <w:tcW w:w="3402" w:type="dxa"/>
            <w:tcBorders>
              <w:top w:val="double" w:sz="4" w:space="0" w:color="auto"/>
              <w:left w:val="single" w:sz="4" w:space="0" w:color="auto"/>
              <w:bottom w:val="single" w:sz="4" w:space="0" w:color="auto"/>
              <w:right w:val="single" w:sz="4" w:space="0" w:color="auto"/>
            </w:tcBorders>
            <w:shd w:val="clear" w:color="000000" w:fill="FFFFFF"/>
            <w:noWrap/>
            <w:vAlign w:val="center"/>
            <w:hideMark/>
          </w:tcPr>
          <w:p w:rsidR="00A61835" w:rsidRPr="00A3253E" w:rsidRDefault="00A61835" w:rsidP="00607C45">
            <w:pPr>
              <w:jc w:val="both"/>
            </w:pPr>
            <w:r w:rsidRPr="00A3253E">
              <w:t xml:space="preserve">IHS </w:t>
            </w:r>
            <w:proofErr w:type="spellStart"/>
            <w:r w:rsidRPr="00A3253E">
              <w:t>Markit</w:t>
            </w:r>
            <w:proofErr w:type="spellEnd"/>
            <w:r w:rsidRPr="00A3253E">
              <w:t xml:space="preserve"> (2019/9/17)</w:t>
            </w:r>
          </w:p>
        </w:tc>
        <w:tc>
          <w:tcPr>
            <w:tcW w:w="1701" w:type="dxa"/>
            <w:tcBorders>
              <w:top w:val="double" w:sz="4" w:space="0" w:color="auto"/>
              <w:left w:val="single" w:sz="4" w:space="0" w:color="auto"/>
              <w:bottom w:val="single" w:sz="4" w:space="0" w:color="auto"/>
              <w:right w:val="single" w:sz="4" w:space="0" w:color="auto"/>
            </w:tcBorders>
            <w:shd w:val="clear" w:color="000000" w:fill="FFFFFF"/>
            <w:noWrap/>
            <w:vAlign w:val="bottom"/>
            <w:hideMark/>
          </w:tcPr>
          <w:p w:rsidR="00A61835" w:rsidRPr="00A3253E" w:rsidRDefault="00A61835" w:rsidP="00607C45">
            <w:pPr>
              <w:jc w:val="center"/>
            </w:pPr>
            <w:r w:rsidRPr="00A3253E">
              <w:t>1.97</w:t>
            </w:r>
          </w:p>
        </w:tc>
        <w:tc>
          <w:tcPr>
            <w:tcW w:w="1701" w:type="dxa"/>
            <w:tcBorders>
              <w:top w:val="double" w:sz="4" w:space="0" w:color="auto"/>
              <w:left w:val="single" w:sz="4" w:space="0" w:color="auto"/>
              <w:bottom w:val="single" w:sz="4" w:space="0" w:color="auto"/>
              <w:right w:val="single" w:sz="4" w:space="0" w:color="auto"/>
            </w:tcBorders>
            <w:shd w:val="clear" w:color="000000" w:fill="FFFFFF"/>
            <w:vAlign w:val="bottom"/>
          </w:tcPr>
          <w:p w:rsidR="00A61835" w:rsidRPr="00A3253E" w:rsidRDefault="00A61835" w:rsidP="00607C45">
            <w:pPr>
              <w:jc w:val="center"/>
            </w:pPr>
            <w:r w:rsidRPr="00A3253E">
              <w:t>1.86</w:t>
            </w:r>
          </w:p>
        </w:tc>
      </w:tr>
      <w:tr w:rsidR="00A61835" w:rsidRPr="00A3253E" w:rsidTr="00607C45">
        <w:trPr>
          <w:trHeight w:val="456"/>
        </w:trPr>
        <w:tc>
          <w:tcPr>
            <w:tcW w:w="1418" w:type="dxa"/>
            <w:vMerge/>
            <w:tcBorders>
              <w:left w:val="single" w:sz="4" w:space="0" w:color="auto"/>
              <w:right w:val="single" w:sz="4" w:space="0" w:color="auto"/>
            </w:tcBorders>
            <w:vAlign w:val="center"/>
            <w:hideMark/>
          </w:tcPr>
          <w:p w:rsidR="00A61835" w:rsidRPr="00A3253E" w:rsidRDefault="00A61835" w:rsidP="00607C45">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253E" w:rsidRDefault="00A61835" w:rsidP="00607C45">
            <w:pPr>
              <w:jc w:val="both"/>
            </w:pPr>
            <w:r w:rsidRPr="00A3253E">
              <w:t>Goldman Sachs (2019/9/16)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1835" w:rsidRPr="00A3253E" w:rsidRDefault="00A61835" w:rsidP="00607C45">
            <w:pPr>
              <w:jc w:val="center"/>
            </w:pPr>
            <w:r w:rsidRPr="00A3253E">
              <w:t>2.20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A61835" w:rsidRPr="00A3253E" w:rsidRDefault="00A61835" w:rsidP="00607C45">
            <w:pPr>
              <w:jc w:val="center"/>
            </w:pPr>
            <w:r w:rsidRPr="00A3253E">
              <w:t>2.10</w:t>
            </w:r>
          </w:p>
        </w:tc>
      </w:tr>
      <w:tr w:rsidR="00A61835" w:rsidRPr="00A3253E" w:rsidTr="00607C45">
        <w:trPr>
          <w:trHeight w:val="456"/>
        </w:trPr>
        <w:tc>
          <w:tcPr>
            <w:tcW w:w="1418" w:type="dxa"/>
            <w:vMerge/>
            <w:tcBorders>
              <w:left w:val="single" w:sz="4" w:space="0" w:color="auto"/>
              <w:right w:val="single" w:sz="4" w:space="0" w:color="auto"/>
            </w:tcBorders>
            <w:vAlign w:val="center"/>
            <w:hideMark/>
          </w:tcPr>
          <w:p w:rsidR="00A61835" w:rsidRPr="00A3253E" w:rsidRDefault="00A61835" w:rsidP="00607C45">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253E" w:rsidRDefault="00A61835" w:rsidP="00607C45">
            <w:pPr>
              <w:jc w:val="both"/>
            </w:pPr>
            <w:r w:rsidRPr="00A3253E">
              <w:t>Standard Chartered (2019/9/16)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1835" w:rsidRPr="00A3253E" w:rsidRDefault="00A61835" w:rsidP="00607C45">
            <w:pPr>
              <w:jc w:val="center"/>
            </w:pPr>
            <w:r w:rsidRPr="00A3253E">
              <w:t>2.10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A61835" w:rsidRPr="00A3253E" w:rsidRDefault="00A61835" w:rsidP="00607C45">
            <w:pPr>
              <w:jc w:val="center"/>
            </w:pPr>
            <w:r w:rsidRPr="00A3253E">
              <w:t>2.20</w:t>
            </w:r>
          </w:p>
        </w:tc>
      </w:tr>
      <w:tr w:rsidR="00A61835" w:rsidRPr="00A3253E" w:rsidTr="00607C45">
        <w:trPr>
          <w:trHeight w:val="456"/>
        </w:trPr>
        <w:tc>
          <w:tcPr>
            <w:tcW w:w="1418" w:type="dxa"/>
            <w:vMerge/>
            <w:tcBorders>
              <w:left w:val="single" w:sz="4" w:space="0" w:color="auto"/>
              <w:right w:val="single" w:sz="4" w:space="0" w:color="auto"/>
            </w:tcBorders>
            <w:vAlign w:val="center"/>
            <w:hideMark/>
          </w:tcPr>
          <w:p w:rsidR="00A61835" w:rsidRPr="00A3253E" w:rsidRDefault="00A61835" w:rsidP="00607C45">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253E" w:rsidRDefault="00A61835" w:rsidP="00607C45">
            <w:pPr>
              <w:jc w:val="both"/>
            </w:pPr>
            <w:r w:rsidRPr="00A3253E">
              <w:t>JP Morgan (2019/9/16)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1835" w:rsidRPr="00A3253E" w:rsidRDefault="00A61835" w:rsidP="00607C45">
            <w:pPr>
              <w:jc w:val="center"/>
            </w:pPr>
            <w:r w:rsidRPr="00A3253E">
              <w:t>2.10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A61835" w:rsidRPr="00A3253E" w:rsidRDefault="00A61835" w:rsidP="00607C45">
            <w:pPr>
              <w:jc w:val="center"/>
            </w:pPr>
            <w:r w:rsidRPr="00A3253E">
              <w:t>1.70</w:t>
            </w:r>
          </w:p>
        </w:tc>
      </w:tr>
      <w:tr w:rsidR="00A61835" w:rsidRPr="00A3253E" w:rsidTr="00607C45">
        <w:trPr>
          <w:trHeight w:val="436"/>
        </w:trPr>
        <w:tc>
          <w:tcPr>
            <w:tcW w:w="1418" w:type="dxa"/>
            <w:vMerge/>
            <w:tcBorders>
              <w:left w:val="single" w:sz="4" w:space="0" w:color="auto"/>
              <w:right w:val="single" w:sz="4" w:space="0" w:color="auto"/>
            </w:tcBorders>
            <w:vAlign w:val="center"/>
            <w:hideMark/>
          </w:tcPr>
          <w:p w:rsidR="00A61835" w:rsidRPr="00A3253E" w:rsidRDefault="00A61835" w:rsidP="00607C45">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253E" w:rsidRDefault="00A61835" w:rsidP="00607C45">
            <w:pPr>
              <w:jc w:val="both"/>
            </w:pPr>
            <w:r w:rsidRPr="00A3253E">
              <w:t>HSBC (2019/9/16)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1835" w:rsidRPr="00A3253E" w:rsidRDefault="00A61835" w:rsidP="00607C45">
            <w:pPr>
              <w:jc w:val="center"/>
            </w:pPr>
            <w:r w:rsidRPr="00A3253E">
              <w:t>2.10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A61835" w:rsidRPr="00A3253E" w:rsidRDefault="00A61835" w:rsidP="00607C45">
            <w:pPr>
              <w:jc w:val="center"/>
            </w:pPr>
            <w:r w:rsidRPr="00A3253E">
              <w:t>2.00</w:t>
            </w:r>
          </w:p>
        </w:tc>
      </w:tr>
      <w:tr w:rsidR="00A61835" w:rsidRPr="00A3253E" w:rsidTr="00607C45">
        <w:trPr>
          <w:trHeight w:val="468"/>
        </w:trPr>
        <w:tc>
          <w:tcPr>
            <w:tcW w:w="1418" w:type="dxa"/>
            <w:vMerge/>
            <w:tcBorders>
              <w:left w:val="single" w:sz="4" w:space="0" w:color="auto"/>
              <w:right w:val="single" w:sz="4" w:space="0" w:color="auto"/>
            </w:tcBorders>
            <w:vAlign w:val="center"/>
            <w:hideMark/>
          </w:tcPr>
          <w:p w:rsidR="00A61835" w:rsidRPr="00A3253E" w:rsidRDefault="00A61835" w:rsidP="00607C45">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253E" w:rsidRDefault="00A61835" w:rsidP="00607C45">
            <w:pPr>
              <w:jc w:val="both"/>
            </w:pPr>
            <w:r w:rsidRPr="00A3253E">
              <w:t>Barclays Capital (2019/9/13)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1835" w:rsidRPr="00A3253E" w:rsidRDefault="00A61835" w:rsidP="00607C45">
            <w:pPr>
              <w:jc w:val="center"/>
            </w:pPr>
            <w:r w:rsidRPr="00A3253E">
              <w:t>2.40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A61835" w:rsidRPr="00A3253E" w:rsidRDefault="00A61835" w:rsidP="00607C45">
            <w:pPr>
              <w:jc w:val="center"/>
            </w:pPr>
            <w:r w:rsidRPr="00A3253E">
              <w:t>2.30</w:t>
            </w:r>
          </w:p>
        </w:tc>
      </w:tr>
      <w:tr w:rsidR="00A61835" w:rsidRPr="00A3253E" w:rsidTr="00607C45">
        <w:trPr>
          <w:trHeight w:val="456"/>
        </w:trPr>
        <w:tc>
          <w:tcPr>
            <w:tcW w:w="1418" w:type="dxa"/>
            <w:vMerge/>
            <w:tcBorders>
              <w:left w:val="single" w:sz="4" w:space="0" w:color="auto"/>
              <w:right w:val="single" w:sz="4" w:space="0" w:color="auto"/>
            </w:tcBorders>
            <w:vAlign w:val="center"/>
            <w:hideMark/>
          </w:tcPr>
          <w:p w:rsidR="00A61835" w:rsidRPr="00A3253E" w:rsidRDefault="00A61835" w:rsidP="00607C45">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253E" w:rsidRDefault="00A61835" w:rsidP="00607C45">
            <w:pPr>
              <w:jc w:val="both"/>
            </w:pPr>
            <w:proofErr w:type="spellStart"/>
            <w:r w:rsidRPr="00A3253E">
              <w:t>BofA</w:t>
            </w:r>
            <w:proofErr w:type="spellEnd"/>
            <w:r w:rsidRPr="00A3253E">
              <w:t xml:space="preserve"> Merrill Lynch (2019/9/13)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1835" w:rsidRPr="00A3253E" w:rsidRDefault="00A61835" w:rsidP="00607C45">
            <w:pPr>
              <w:jc w:val="center"/>
            </w:pPr>
            <w:r w:rsidRPr="00A3253E">
              <w:t>1.70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A61835" w:rsidRPr="00A3253E" w:rsidRDefault="00A61835" w:rsidP="00607C45">
            <w:pPr>
              <w:jc w:val="center"/>
            </w:pPr>
            <w:r w:rsidRPr="00A3253E">
              <w:t>1.90</w:t>
            </w:r>
          </w:p>
        </w:tc>
      </w:tr>
      <w:tr w:rsidR="00A61835" w:rsidRPr="00A3253E" w:rsidTr="00607C45">
        <w:trPr>
          <w:trHeight w:val="456"/>
        </w:trPr>
        <w:tc>
          <w:tcPr>
            <w:tcW w:w="1418" w:type="dxa"/>
            <w:vMerge/>
            <w:tcBorders>
              <w:left w:val="single" w:sz="4" w:space="0" w:color="auto"/>
              <w:right w:val="single" w:sz="4" w:space="0" w:color="auto"/>
            </w:tcBorders>
            <w:vAlign w:val="center"/>
            <w:hideMark/>
          </w:tcPr>
          <w:p w:rsidR="00A61835" w:rsidRPr="00A3253E" w:rsidRDefault="00A61835" w:rsidP="00607C45">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253E" w:rsidRDefault="00A61835" w:rsidP="00607C45">
            <w:pPr>
              <w:jc w:val="both"/>
            </w:pPr>
            <w:r w:rsidRPr="00A3253E">
              <w:t>Morgan Stanley (2019/9/13)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1835" w:rsidRPr="00A3253E" w:rsidRDefault="00A61835" w:rsidP="00607C45">
            <w:pPr>
              <w:jc w:val="center"/>
            </w:pPr>
            <w:r w:rsidRPr="00A3253E">
              <w:t>1.80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A61835" w:rsidRPr="00A3253E" w:rsidRDefault="00A61835" w:rsidP="00607C45">
            <w:pPr>
              <w:jc w:val="center"/>
            </w:pPr>
            <w:r w:rsidRPr="00A3253E">
              <w:t>1.50</w:t>
            </w:r>
          </w:p>
        </w:tc>
      </w:tr>
      <w:tr w:rsidR="00A61835" w:rsidRPr="00A3253E" w:rsidTr="00607C45">
        <w:trPr>
          <w:trHeight w:val="456"/>
        </w:trPr>
        <w:tc>
          <w:tcPr>
            <w:tcW w:w="1418" w:type="dxa"/>
            <w:vMerge/>
            <w:tcBorders>
              <w:left w:val="single" w:sz="4" w:space="0" w:color="auto"/>
              <w:right w:val="single" w:sz="4" w:space="0" w:color="auto"/>
            </w:tcBorders>
            <w:vAlign w:val="center"/>
          </w:tcPr>
          <w:p w:rsidR="00A61835" w:rsidRPr="00A3253E" w:rsidRDefault="00A61835" w:rsidP="00607C45">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A3253E" w:rsidRDefault="00A61835" w:rsidP="00607C45">
            <w:pPr>
              <w:jc w:val="both"/>
            </w:pPr>
            <w:r w:rsidRPr="00A3253E">
              <w:t>Credit Suisse (2019/9/12)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1835" w:rsidRPr="00A3253E" w:rsidRDefault="00A61835" w:rsidP="00607C45">
            <w:pPr>
              <w:jc w:val="center"/>
            </w:pPr>
            <w:r w:rsidRPr="00A3253E">
              <w:t>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A61835" w:rsidRPr="00A3253E" w:rsidRDefault="00A61835" w:rsidP="00607C45">
            <w:pPr>
              <w:jc w:val="center"/>
            </w:pPr>
            <w:r w:rsidRPr="00A3253E">
              <w:t>2.20</w:t>
            </w:r>
          </w:p>
        </w:tc>
      </w:tr>
      <w:tr w:rsidR="00A61835" w:rsidRPr="00A3253E" w:rsidTr="00607C45">
        <w:trPr>
          <w:trHeight w:val="456"/>
        </w:trPr>
        <w:tc>
          <w:tcPr>
            <w:tcW w:w="1418" w:type="dxa"/>
            <w:vMerge/>
            <w:tcBorders>
              <w:left w:val="single" w:sz="4" w:space="0" w:color="auto"/>
              <w:right w:val="single" w:sz="4" w:space="0" w:color="auto"/>
            </w:tcBorders>
            <w:vAlign w:val="center"/>
            <w:hideMark/>
          </w:tcPr>
          <w:p w:rsidR="00A61835" w:rsidRPr="00A3253E" w:rsidRDefault="00A61835" w:rsidP="00607C45">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253E" w:rsidRDefault="00A61835" w:rsidP="00607C45">
            <w:pPr>
              <w:jc w:val="both"/>
            </w:pPr>
            <w:r w:rsidRPr="00A3253E">
              <w:t>Citi (2019/9/12)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1835" w:rsidRPr="00A3253E" w:rsidRDefault="00A61835" w:rsidP="00607C45">
            <w:pPr>
              <w:jc w:val="center"/>
            </w:pPr>
            <w:r w:rsidRPr="00A3253E">
              <w:t>2.10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A61835" w:rsidRPr="00A3253E" w:rsidRDefault="00A61835" w:rsidP="00607C45">
            <w:pPr>
              <w:jc w:val="center"/>
            </w:pPr>
            <w:r w:rsidRPr="00A3253E">
              <w:t>1.90</w:t>
            </w:r>
          </w:p>
        </w:tc>
      </w:tr>
      <w:tr w:rsidR="00A61835" w:rsidRPr="00A3253E" w:rsidTr="00607C45">
        <w:trPr>
          <w:trHeight w:val="456"/>
        </w:trPr>
        <w:tc>
          <w:tcPr>
            <w:tcW w:w="1418" w:type="dxa"/>
            <w:vMerge/>
            <w:tcBorders>
              <w:left w:val="single" w:sz="4" w:space="0" w:color="auto"/>
              <w:right w:val="single" w:sz="4" w:space="0" w:color="auto"/>
            </w:tcBorders>
            <w:vAlign w:val="center"/>
            <w:hideMark/>
          </w:tcPr>
          <w:p w:rsidR="00A61835" w:rsidRPr="00A3253E" w:rsidRDefault="00A61835" w:rsidP="00607C45">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253E" w:rsidRDefault="00A61835" w:rsidP="00607C45">
            <w:pPr>
              <w:jc w:val="both"/>
            </w:pPr>
            <w:r w:rsidRPr="00A3253E">
              <w:t>Deutsche Bank (2019/9/12)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1835" w:rsidRPr="00A3253E" w:rsidRDefault="00A61835" w:rsidP="00607C45">
            <w:pPr>
              <w:jc w:val="center"/>
            </w:pPr>
            <w:r w:rsidRPr="00A3253E">
              <w:t>2.20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A61835" w:rsidRPr="00A3253E" w:rsidRDefault="00A61835" w:rsidP="00607C45">
            <w:pPr>
              <w:jc w:val="center"/>
            </w:pPr>
            <w:r w:rsidRPr="00A3253E">
              <w:t>2.10</w:t>
            </w:r>
          </w:p>
        </w:tc>
      </w:tr>
      <w:tr w:rsidR="00A61835" w:rsidRPr="00A3253E" w:rsidTr="00607C45">
        <w:trPr>
          <w:trHeight w:val="456"/>
        </w:trPr>
        <w:tc>
          <w:tcPr>
            <w:tcW w:w="1418" w:type="dxa"/>
            <w:vMerge/>
            <w:tcBorders>
              <w:left w:val="single" w:sz="4" w:space="0" w:color="auto"/>
              <w:right w:val="single" w:sz="4" w:space="0" w:color="auto"/>
            </w:tcBorders>
            <w:vAlign w:val="center"/>
          </w:tcPr>
          <w:p w:rsidR="00A61835" w:rsidRPr="00A3253E" w:rsidRDefault="00A61835" w:rsidP="00607C45">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A3253E" w:rsidRDefault="00A61835" w:rsidP="00607C45">
            <w:pPr>
              <w:jc w:val="both"/>
            </w:pPr>
            <w:r w:rsidRPr="00A3253E">
              <w:t>EIU (2019/9/5)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1835" w:rsidRPr="00A3253E" w:rsidRDefault="00A61835" w:rsidP="00607C45">
            <w:pPr>
              <w:jc w:val="center"/>
            </w:pPr>
            <w:r w:rsidRPr="00A3253E">
              <w:t>2.40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A61835" w:rsidRPr="00A3253E" w:rsidRDefault="00A61835" w:rsidP="00607C45">
            <w:pPr>
              <w:jc w:val="center"/>
            </w:pPr>
            <w:r w:rsidRPr="00A3253E">
              <w:t>1.70</w:t>
            </w:r>
          </w:p>
        </w:tc>
      </w:tr>
      <w:tr w:rsidR="00A61835" w:rsidRPr="00A3253E" w:rsidTr="00607C45">
        <w:trPr>
          <w:trHeight w:val="456"/>
        </w:trPr>
        <w:tc>
          <w:tcPr>
            <w:tcW w:w="1418" w:type="dxa"/>
            <w:vMerge/>
            <w:tcBorders>
              <w:left w:val="single" w:sz="4" w:space="0" w:color="auto"/>
              <w:right w:val="single" w:sz="4" w:space="0" w:color="auto"/>
            </w:tcBorders>
            <w:vAlign w:val="center"/>
          </w:tcPr>
          <w:p w:rsidR="00A61835" w:rsidRPr="00A3253E" w:rsidRDefault="00A61835" w:rsidP="00607C45">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A3253E" w:rsidRDefault="00A61835" w:rsidP="00607C45">
            <w:pPr>
              <w:jc w:val="both"/>
            </w:pPr>
            <w:r w:rsidRPr="00A3253E">
              <w:t>ADB (2019/7/18)</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A61835" w:rsidRPr="00A3253E" w:rsidRDefault="00A61835" w:rsidP="00607C45">
            <w:pPr>
              <w:jc w:val="center"/>
            </w:pPr>
            <w:r w:rsidRPr="00A3253E">
              <w:t>2.20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A61835" w:rsidRPr="00A3253E" w:rsidRDefault="00A61835" w:rsidP="00607C45">
            <w:pPr>
              <w:jc w:val="center"/>
            </w:pPr>
            <w:r w:rsidRPr="00A3253E">
              <w:t>2.00</w:t>
            </w:r>
          </w:p>
        </w:tc>
      </w:tr>
      <w:tr w:rsidR="00A61835" w:rsidRPr="00A3253E" w:rsidTr="00607C45">
        <w:trPr>
          <w:trHeight w:val="456"/>
        </w:trPr>
        <w:tc>
          <w:tcPr>
            <w:tcW w:w="1418" w:type="dxa"/>
            <w:vMerge/>
            <w:tcBorders>
              <w:left w:val="single" w:sz="4" w:space="0" w:color="auto"/>
              <w:bottom w:val="single" w:sz="4" w:space="0" w:color="auto"/>
              <w:right w:val="single" w:sz="4" w:space="0" w:color="auto"/>
            </w:tcBorders>
            <w:vAlign w:val="center"/>
          </w:tcPr>
          <w:p w:rsidR="00A61835" w:rsidRPr="00A3253E" w:rsidRDefault="00A61835" w:rsidP="00607C45">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A3253E" w:rsidRDefault="00A61835" w:rsidP="00607C45">
            <w:pPr>
              <w:jc w:val="center"/>
              <w:rPr>
                <w:rFonts w:eastAsia="標楷體"/>
              </w:rPr>
            </w:pPr>
            <w:r w:rsidRPr="00A3253E">
              <w:rPr>
                <w:rFonts w:eastAsia="標楷體"/>
                <w:b/>
              </w:rPr>
              <w:t xml:space="preserve">Forecast </w:t>
            </w:r>
            <w:r w:rsidRPr="00A3253E">
              <w:rPr>
                <w:rFonts w:eastAsia="標楷體"/>
                <w:b/>
                <w:u w:val="single"/>
              </w:rPr>
              <w:t>Average</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A3253E" w:rsidRDefault="00A61835" w:rsidP="00607C45">
            <w:pPr>
              <w:jc w:val="center"/>
              <w:rPr>
                <w:rFonts w:eastAsia="標楷體"/>
              </w:rPr>
            </w:pPr>
            <w:r w:rsidRPr="00A3253E">
              <w:rPr>
                <w:rFonts w:eastAsia="標楷體"/>
                <w:b/>
              </w:rPr>
              <w:t>2.10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253E" w:rsidRDefault="00A61835" w:rsidP="00607C45">
            <w:pPr>
              <w:jc w:val="center"/>
              <w:rPr>
                <w:rFonts w:eastAsia="標楷體"/>
              </w:rPr>
            </w:pPr>
            <w:r w:rsidRPr="00A3253E">
              <w:rPr>
                <w:rFonts w:eastAsia="標楷體"/>
                <w:b/>
              </w:rPr>
              <w:t>1.96</w:t>
            </w:r>
          </w:p>
        </w:tc>
      </w:tr>
    </w:tbl>
    <w:p w:rsidR="00A61835" w:rsidRPr="00A0240E" w:rsidRDefault="00A61835" w:rsidP="00607C45">
      <w:pPr>
        <w:widowControl/>
        <w:snapToGrid w:val="0"/>
        <w:spacing w:beforeLines="50" w:before="120"/>
        <w:rPr>
          <w:rFonts w:eastAsia="標楷體"/>
          <w:szCs w:val="28"/>
        </w:rPr>
      </w:pPr>
    </w:p>
    <w:p w:rsidR="00A61835" w:rsidRDefault="00A61835" w:rsidP="00607C45">
      <w:pPr>
        <w:widowControl/>
        <w:snapToGrid w:val="0"/>
        <w:spacing w:beforeLines="50" w:before="120"/>
        <w:rPr>
          <w:rFonts w:eastAsia="標楷體"/>
          <w:szCs w:val="28"/>
        </w:rPr>
        <w:sectPr w:rsidR="00A61835" w:rsidSect="00607C45">
          <w:footerReference w:type="default" r:id="rId12"/>
          <w:pgSz w:w="11907" w:h="16840" w:code="9"/>
          <w:pgMar w:top="1304" w:right="1418" w:bottom="1276" w:left="1418" w:header="0" w:footer="454" w:gutter="0"/>
          <w:paperSrc w:first="15" w:other="15"/>
          <w:pgNumType w:start="1"/>
          <w:cols w:space="425"/>
          <w:docGrid w:linePitch="272"/>
        </w:sectPr>
      </w:pPr>
    </w:p>
    <w:p w:rsidR="00A61835" w:rsidRPr="008618A4" w:rsidRDefault="00A61835" w:rsidP="00607C45">
      <w:pPr>
        <w:spacing w:line="480" w:lineRule="exact"/>
        <w:jc w:val="center"/>
        <w:rPr>
          <w:rFonts w:eastAsia="標楷體"/>
          <w:b/>
          <w:sz w:val="32"/>
          <w:szCs w:val="28"/>
        </w:rPr>
      </w:pPr>
      <w:r>
        <w:rPr>
          <w:rFonts w:eastAsia="標楷體" w:hint="eastAsia"/>
          <w:b/>
          <w:sz w:val="28"/>
          <w:szCs w:val="28"/>
        </w:rPr>
        <w:lastRenderedPageBreak/>
        <w:t xml:space="preserve">Table </w:t>
      </w:r>
      <w:proofErr w:type="gramStart"/>
      <w:r>
        <w:rPr>
          <w:rFonts w:eastAsia="標楷體" w:hint="eastAsia"/>
          <w:b/>
          <w:sz w:val="28"/>
          <w:szCs w:val="28"/>
        </w:rPr>
        <w:t xml:space="preserve">2  </w:t>
      </w:r>
      <w:r>
        <w:rPr>
          <w:rFonts w:eastAsia="標楷體"/>
          <w:b/>
          <w:sz w:val="28"/>
          <w:szCs w:val="28"/>
        </w:rPr>
        <w:t>Taiwan</w:t>
      </w:r>
      <w:r w:rsidRPr="00C37050">
        <w:rPr>
          <w:rFonts w:eastAsia="標楷體" w:hint="eastAsia"/>
          <w:b/>
          <w:sz w:val="28"/>
          <w:szCs w:val="28"/>
        </w:rPr>
        <w:t>'</w:t>
      </w:r>
      <w:r>
        <w:rPr>
          <w:rFonts w:eastAsia="標楷體"/>
          <w:b/>
          <w:sz w:val="28"/>
          <w:szCs w:val="28"/>
        </w:rPr>
        <w:t>s</w:t>
      </w:r>
      <w:proofErr w:type="gramEnd"/>
      <w:r>
        <w:rPr>
          <w:rFonts w:eastAsia="標楷體"/>
          <w:b/>
          <w:sz w:val="28"/>
          <w:szCs w:val="28"/>
        </w:rPr>
        <w:t xml:space="preserve"> </w:t>
      </w:r>
      <w:r>
        <w:rPr>
          <w:rFonts w:eastAsia="標楷體" w:hint="eastAsia"/>
          <w:b/>
          <w:sz w:val="28"/>
          <w:szCs w:val="28"/>
        </w:rPr>
        <w:t>Inflation Forecasts by Major Institutions</w:t>
      </w:r>
    </w:p>
    <w:p w:rsidR="00A61835" w:rsidRPr="008618A4" w:rsidRDefault="00A61835" w:rsidP="00607C45">
      <w:pPr>
        <w:spacing w:line="480" w:lineRule="exact"/>
        <w:rPr>
          <w:rFonts w:eastAsia="標楷體"/>
          <w:b/>
          <w:sz w:val="32"/>
          <w:szCs w:val="28"/>
        </w:rPr>
      </w:pPr>
    </w:p>
    <w:tbl>
      <w:tblPr>
        <w:tblpPr w:leftFromText="180" w:rightFromText="180" w:vertAnchor="text" w:horzAnchor="margin" w:tblpXSpec="center" w:tblpY="69"/>
        <w:tblW w:w="8593" w:type="dxa"/>
        <w:tblLayout w:type="fixed"/>
        <w:tblCellMar>
          <w:left w:w="28" w:type="dxa"/>
          <w:right w:w="28" w:type="dxa"/>
        </w:tblCellMar>
        <w:tblLook w:val="04A0" w:firstRow="1" w:lastRow="0" w:firstColumn="1" w:lastColumn="0" w:noHBand="0" w:noVBand="1"/>
      </w:tblPr>
      <w:tblGrid>
        <w:gridCol w:w="1505"/>
        <w:gridCol w:w="3544"/>
        <w:gridCol w:w="1772"/>
        <w:gridCol w:w="1772"/>
      </w:tblGrid>
      <w:tr w:rsidR="00A61835" w:rsidRPr="008618A4" w:rsidTr="00607C45">
        <w:trPr>
          <w:trHeight w:val="144"/>
        </w:trPr>
        <w:tc>
          <w:tcPr>
            <w:tcW w:w="8593" w:type="dxa"/>
            <w:gridSpan w:val="4"/>
            <w:tcBorders>
              <w:bottom w:val="single" w:sz="4" w:space="0" w:color="auto"/>
            </w:tcBorders>
            <w:shd w:val="clear" w:color="000000" w:fill="FFFFFF"/>
            <w:noWrap/>
            <w:vAlign w:val="center"/>
          </w:tcPr>
          <w:p w:rsidR="00A61835" w:rsidRPr="008618A4" w:rsidRDefault="00A61835" w:rsidP="00607C45">
            <w:pPr>
              <w:wordWrap w:val="0"/>
              <w:snapToGrid w:val="0"/>
              <w:spacing w:line="400" w:lineRule="exact"/>
              <w:jc w:val="right"/>
              <w:rPr>
                <w:rFonts w:eastAsia="標楷體"/>
                <w:bCs/>
                <w:sz w:val="22"/>
                <w:szCs w:val="22"/>
              </w:rPr>
            </w:pPr>
            <w:r w:rsidRPr="008618A4">
              <w:rPr>
                <w:rFonts w:eastAsia="標楷體"/>
              </w:rPr>
              <w:t>Unit: %</w:t>
            </w:r>
          </w:p>
        </w:tc>
      </w:tr>
      <w:tr w:rsidR="00A61835" w:rsidRPr="00A0240E" w:rsidTr="00607C45">
        <w:trPr>
          <w:trHeight w:val="659"/>
        </w:trPr>
        <w:tc>
          <w:tcPr>
            <w:tcW w:w="504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0240E" w:rsidRDefault="00A61835" w:rsidP="00607C45">
            <w:pPr>
              <w:widowControl/>
              <w:snapToGrid w:val="0"/>
              <w:jc w:val="center"/>
              <w:rPr>
                <w:rFonts w:ascii="標楷體" w:eastAsia="標楷體" w:hAnsi="標楷體"/>
                <w:sz w:val="22"/>
                <w:szCs w:val="22"/>
              </w:rPr>
            </w:pPr>
            <w:r w:rsidRPr="00A3253E">
              <w:rPr>
                <w:rFonts w:eastAsia="標楷體"/>
                <w:sz w:val="22"/>
                <w:szCs w:val="22"/>
              </w:rPr>
              <w:t>Forecast institutions</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0240E" w:rsidRDefault="00A61835" w:rsidP="00607C45">
            <w:pPr>
              <w:snapToGrid w:val="0"/>
              <w:jc w:val="center"/>
              <w:rPr>
                <w:rFonts w:ascii="標楷體" w:eastAsia="標楷體" w:hAnsi="標楷體" w:cs="新細明體"/>
                <w:b/>
                <w:bCs/>
                <w:sz w:val="22"/>
                <w:szCs w:val="22"/>
              </w:rPr>
            </w:pPr>
            <w:r w:rsidRPr="00A0240E">
              <w:rPr>
                <w:rFonts w:eastAsia="標楷體"/>
                <w:bCs/>
                <w:sz w:val="22"/>
                <w:szCs w:val="22"/>
              </w:rPr>
              <w:t>201</w:t>
            </w:r>
            <w:r w:rsidRPr="00A0240E">
              <w:rPr>
                <w:rFonts w:eastAsia="標楷體" w:hint="eastAsia"/>
                <w:bCs/>
                <w:sz w:val="22"/>
                <w:szCs w:val="22"/>
              </w:rPr>
              <w:t>9</w:t>
            </w:r>
            <w:r>
              <w:rPr>
                <w:rFonts w:eastAsia="標楷體" w:hint="eastAsia"/>
                <w:bCs/>
                <w:sz w:val="22"/>
                <w:szCs w:val="22"/>
              </w:rPr>
              <w:t xml:space="preserve"> </w:t>
            </w:r>
            <w:r w:rsidRPr="00A0240E">
              <w:rPr>
                <w:rFonts w:eastAsia="標楷體"/>
                <w:bCs/>
                <w:sz w:val="22"/>
                <w:szCs w:val="22"/>
              </w:rPr>
              <w:t>(f)</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0954A0" w:rsidRDefault="00A61835" w:rsidP="00607C45">
            <w:pPr>
              <w:snapToGrid w:val="0"/>
              <w:jc w:val="center"/>
              <w:rPr>
                <w:rFonts w:eastAsia="標楷體"/>
                <w:bCs/>
                <w:sz w:val="22"/>
                <w:szCs w:val="22"/>
              </w:rPr>
            </w:pPr>
            <w:r>
              <w:rPr>
                <w:rFonts w:eastAsia="標楷體" w:hint="eastAsia"/>
                <w:bCs/>
                <w:sz w:val="22"/>
                <w:szCs w:val="22"/>
              </w:rPr>
              <w:t>2020 (f)</w:t>
            </w:r>
          </w:p>
        </w:tc>
      </w:tr>
      <w:tr w:rsidR="00A61835" w:rsidRPr="00A0240E" w:rsidTr="00607C45">
        <w:trPr>
          <w:trHeight w:val="458"/>
        </w:trPr>
        <w:tc>
          <w:tcPr>
            <w:tcW w:w="1505" w:type="dxa"/>
            <w:vMerge w:val="restart"/>
            <w:tcBorders>
              <w:top w:val="single" w:sz="4" w:space="0" w:color="auto"/>
              <w:left w:val="single" w:sz="4" w:space="0" w:color="auto"/>
              <w:right w:val="single" w:sz="4" w:space="0" w:color="auto"/>
            </w:tcBorders>
            <w:vAlign w:val="center"/>
          </w:tcPr>
          <w:p w:rsidR="00A61835" w:rsidRPr="00A0240E" w:rsidRDefault="00A61835" w:rsidP="00607C45">
            <w:pPr>
              <w:snapToGrid w:val="0"/>
              <w:jc w:val="center"/>
              <w:rPr>
                <w:rFonts w:eastAsia="標楷體"/>
                <w:bCs/>
                <w:sz w:val="22"/>
                <w:szCs w:val="22"/>
              </w:rPr>
            </w:pPr>
            <w:r w:rsidRPr="00A3253E">
              <w:rPr>
                <w:rFonts w:eastAsia="標楷體"/>
                <w:bCs/>
                <w:sz w:val="22"/>
                <w:szCs w:val="22"/>
              </w:rPr>
              <w:t>Domestic institutions</w:t>
            </w:r>
          </w:p>
        </w:tc>
        <w:tc>
          <w:tcPr>
            <w:tcW w:w="3544"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A61835" w:rsidRPr="000E75F8" w:rsidRDefault="00A61835" w:rsidP="00607C45">
            <w:pPr>
              <w:jc w:val="both"/>
              <w:rPr>
                <w:rFonts w:eastAsia="標楷體"/>
                <w:b/>
              </w:rPr>
            </w:pPr>
            <w:r>
              <w:rPr>
                <w:rFonts w:eastAsia="標楷體" w:hint="eastAsia"/>
                <w:b/>
              </w:rPr>
              <w:t xml:space="preserve">CBC </w:t>
            </w:r>
            <w:r w:rsidRPr="000E75F8">
              <w:rPr>
                <w:rFonts w:eastAsia="標楷體"/>
                <w:b/>
              </w:rPr>
              <w:t>(2019/9/19)</w:t>
            </w:r>
          </w:p>
        </w:tc>
        <w:tc>
          <w:tcPr>
            <w:tcW w:w="1772" w:type="dxa"/>
            <w:tcBorders>
              <w:top w:val="single" w:sz="4" w:space="0" w:color="auto"/>
              <w:left w:val="single" w:sz="4" w:space="0" w:color="auto"/>
              <w:bottom w:val="single" w:sz="4" w:space="0" w:color="auto"/>
              <w:right w:val="single" w:sz="4" w:space="0" w:color="auto"/>
            </w:tcBorders>
            <w:shd w:val="clear" w:color="auto" w:fill="FFFFCC"/>
            <w:vAlign w:val="center"/>
          </w:tcPr>
          <w:p w:rsidR="00A61835" w:rsidRPr="000E75F8" w:rsidRDefault="00A61835" w:rsidP="00607C45">
            <w:pPr>
              <w:widowControl/>
              <w:snapToGrid w:val="0"/>
              <w:jc w:val="center"/>
              <w:rPr>
                <w:rFonts w:eastAsia="標楷體"/>
                <w:b/>
                <w:bCs/>
              </w:rPr>
            </w:pPr>
            <w:r w:rsidRPr="000E75F8">
              <w:rPr>
                <w:rFonts w:eastAsia="標楷體"/>
                <w:b/>
              </w:rPr>
              <w:t>0.70</w:t>
            </w:r>
            <w:r w:rsidRPr="000E75F8">
              <w:rPr>
                <w:rFonts w:eastAsia="標楷體"/>
                <w:b/>
                <w:bCs/>
              </w:rPr>
              <w:br/>
              <w:t>(CPI)</w:t>
            </w:r>
          </w:p>
          <w:p w:rsidR="00A61835" w:rsidRPr="000E75F8" w:rsidRDefault="00A61835" w:rsidP="00607C45">
            <w:pPr>
              <w:widowControl/>
              <w:snapToGrid w:val="0"/>
              <w:jc w:val="center"/>
              <w:rPr>
                <w:rFonts w:eastAsia="標楷體"/>
                <w:b/>
              </w:rPr>
            </w:pPr>
            <w:r w:rsidRPr="000E75F8">
              <w:rPr>
                <w:rFonts w:eastAsia="標楷體"/>
                <w:b/>
                <w:bCs/>
              </w:rPr>
              <w:t>0.</w:t>
            </w:r>
            <w:r w:rsidRPr="000E75F8">
              <w:rPr>
                <w:rFonts w:eastAsia="標楷體" w:hint="eastAsia"/>
                <w:b/>
                <w:bCs/>
              </w:rPr>
              <w:t>56</w:t>
            </w:r>
            <w:r w:rsidRPr="000E75F8">
              <w:rPr>
                <w:rFonts w:eastAsia="標楷體"/>
                <w:b/>
                <w:bCs/>
              </w:rPr>
              <w:br/>
              <w:t>(</w:t>
            </w:r>
            <w:r>
              <w:rPr>
                <w:rFonts w:eastAsia="標楷體" w:hint="eastAsia"/>
                <w:b/>
                <w:bCs/>
              </w:rPr>
              <w:t>C</w:t>
            </w:r>
            <w:r>
              <w:rPr>
                <w:rFonts w:eastAsia="標楷體"/>
                <w:b/>
                <w:bCs/>
              </w:rPr>
              <w:t>o</w:t>
            </w:r>
            <w:r>
              <w:rPr>
                <w:rFonts w:eastAsia="標楷體" w:hint="eastAsia"/>
                <w:b/>
                <w:bCs/>
              </w:rPr>
              <w:t xml:space="preserve">re </w:t>
            </w:r>
            <w:r w:rsidRPr="000E75F8">
              <w:rPr>
                <w:rFonts w:eastAsia="標楷體"/>
                <w:b/>
                <w:bCs/>
              </w:rPr>
              <w:t>CPI*)</w:t>
            </w:r>
          </w:p>
        </w:tc>
        <w:tc>
          <w:tcPr>
            <w:tcW w:w="1772" w:type="dxa"/>
            <w:tcBorders>
              <w:top w:val="single" w:sz="4" w:space="0" w:color="auto"/>
              <w:left w:val="single" w:sz="4" w:space="0" w:color="auto"/>
              <w:bottom w:val="single" w:sz="4" w:space="0" w:color="auto"/>
              <w:right w:val="single" w:sz="4" w:space="0" w:color="auto"/>
            </w:tcBorders>
            <w:shd w:val="clear" w:color="auto" w:fill="FFFFCC"/>
            <w:vAlign w:val="center"/>
          </w:tcPr>
          <w:p w:rsidR="00A61835" w:rsidRPr="000E75F8" w:rsidRDefault="00A61835" w:rsidP="00607C45">
            <w:pPr>
              <w:widowControl/>
              <w:snapToGrid w:val="0"/>
              <w:jc w:val="center"/>
              <w:rPr>
                <w:rFonts w:eastAsia="標楷體"/>
                <w:b/>
                <w:bCs/>
              </w:rPr>
            </w:pPr>
            <w:r w:rsidRPr="000E75F8">
              <w:rPr>
                <w:rFonts w:eastAsia="標楷體"/>
                <w:b/>
              </w:rPr>
              <w:t>0.</w:t>
            </w:r>
            <w:r w:rsidRPr="000E75F8">
              <w:rPr>
                <w:rFonts w:eastAsia="標楷體" w:hint="eastAsia"/>
                <w:b/>
              </w:rPr>
              <w:t>88</w:t>
            </w:r>
            <w:r w:rsidRPr="000E75F8">
              <w:rPr>
                <w:rFonts w:eastAsia="標楷體"/>
                <w:b/>
                <w:bCs/>
              </w:rPr>
              <w:br/>
              <w:t>(CPI)</w:t>
            </w:r>
          </w:p>
          <w:p w:rsidR="00A61835" w:rsidRPr="000E75F8" w:rsidRDefault="00A61835" w:rsidP="00607C45">
            <w:pPr>
              <w:widowControl/>
              <w:snapToGrid w:val="0"/>
              <w:jc w:val="center"/>
              <w:rPr>
                <w:rFonts w:eastAsia="標楷體"/>
                <w:b/>
              </w:rPr>
            </w:pPr>
            <w:r w:rsidRPr="000E75F8">
              <w:rPr>
                <w:rFonts w:eastAsia="標楷體"/>
                <w:b/>
                <w:bCs/>
              </w:rPr>
              <w:t>0.</w:t>
            </w:r>
            <w:r w:rsidRPr="000E75F8">
              <w:rPr>
                <w:rFonts w:eastAsia="標楷體" w:hint="eastAsia"/>
                <w:b/>
                <w:bCs/>
              </w:rPr>
              <w:t>77</w:t>
            </w:r>
            <w:r w:rsidRPr="000E75F8">
              <w:rPr>
                <w:rFonts w:eastAsia="標楷體"/>
                <w:b/>
                <w:bCs/>
              </w:rPr>
              <w:br/>
              <w:t>(</w:t>
            </w:r>
            <w:r>
              <w:rPr>
                <w:rFonts w:eastAsia="標楷體" w:hint="eastAsia"/>
                <w:b/>
                <w:bCs/>
              </w:rPr>
              <w:t xml:space="preserve">Core </w:t>
            </w:r>
            <w:r w:rsidRPr="000E75F8">
              <w:rPr>
                <w:rFonts w:eastAsia="標楷體"/>
                <w:b/>
                <w:bCs/>
              </w:rPr>
              <w:t>CPI*)</w:t>
            </w:r>
          </w:p>
        </w:tc>
      </w:tr>
      <w:tr w:rsidR="00A61835" w:rsidRPr="00A0240E" w:rsidTr="00607C45">
        <w:trPr>
          <w:trHeight w:val="458"/>
        </w:trPr>
        <w:tc>
          <w:tcPr>
            <w:tcW w:w="1505" w:type="dxa"/>
            <w:vMerge/>
            <w:tcBorders>
              <w:left w:val="single" w:sz="4" w:space="0" w:color="auto"/>
              <w:right w:val="single" w:sz="4" w:space="0" w:color="auto"/>
            </w:tcBorders>
            <w:textDirection w:val="tbRlV"/>
            <w:vAlign w:val="center"/>
          </w:tcPr>
          <w:p w:rsidR="00A61835" w:rsidRPr="00A0240E" w:rsidRDefault="00A61835" w:rsidP="00607C45">
            <w:pPr>
              <w:snapToGrid w:val="0"/>
              <w:ind w:left="113" w:right="113"/>
              <w:jc w:val="center"/>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0E75F8" w:rsidRDefault="00A61835" w:rsidP="00607C45">
            <w:pPr>
              <w:jc w:val="both"/>
              <w:rPr>
                <w:rFonts w:eastAsia="標楷體"/>
              </w:rPr>
            </w:pPr>
            <w:r>
              <w:rPr>
                <w:rFonts w:eastAsia="標楷體" w:hint="eastAsia"/>
              </w:rPr>
              <w:t xml:space="preserve">DGBAS </w:t>
            </w:r>
            <w:r w:rsidRPr="000E75F8">
              <w:rPr>
                <w:rFonts w:eastAsia="標楷體"/>
              </w:rPr>
              <w:t>(2019/8/16)</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0E75F8" w:rsidRDefault="00A61835" w:rsidP="00607C45">
            <w:pPr>
              <w:jc w:val="center"/>
              <w:rPr>
                <w:rFonts w:eastAsia="標楷體"/>
              </w:rPr>
            </w:pPr>
            <w:r w:rsidRPr="000E75F8">
              <w:rPr>
                <w:rFonts w:eastAsia="標楷體"/>
              </w:rPr>
              <w:t>0.67</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0E75F8" w:rsidRDefault="00A61835" w:rsidP="00607C45">
            <w:pPr>
              <w:jc w:val="center"/>
              <w:rPr>
                <w:rFonts w:eastAsia="標楷體"/>
              </w:rPr>
            </w:pPr>
            <w:r w:rsidRPr="000E75F8">
              <w:rPr>
                <w:rFonts w:eastAsia="標楷體"/>
              </w:rPr>
              <w:t>0.82</w:t>
            </w:r>
          </w:p>
        </w:tc>
      </w:tr>
      <w:tr w:rsidR="00A61835" w:rsidRPr="00A0240E" w:rsidTr="00607C45">
        <w:trPr>
          <w:trHeight w:val="458"/>
        </w:trPr>
        <w:tc>
          <w:tcPr>
            <w:tcW w:w="1505" w:type="dxa"/>
            <w:vMerge/>
            <w:tcBorders>
              <w:left w:val="single" w:sz="4" w:space="0" w:color="auto"/>
              <w:right w:val="single" w:sz="4" w:space="0" w:color="auto"/>
            </w:tcBorders>
            <w:textDirection w:val="tbRlV"/>
            <w:vAlign w:val="center"/>
          </w:tcPr>
          <w:p w:rsidR="00A61835" w:rsidRPr="00A0240E" w:rsidRDefault="00A61835" w:rsidP="00607C45">
            <w:pPr>
              <w:snapToGrid w:val="0"/>
              <w:ind w:left="113" w:right="113"/>
              <w:jc w:val="center"/>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0E75F8" w:rsidRDefault="00A61835" w:rsidP="00607C45">
            <w:pPr>
              <w:jc w:val="both"/>
              <w:rPr>
                <w:rFonts w:eastAsia="標楷體"/>
              </w:rPr>
            </w:pPr>
            <w:r>
              <w:rPr>
                <w:rFonts w:eastAsia="標楷體" w:hint="eastAsia"/>
              </w:rPr>
              <w:t xml:space="preserve">TIER </w:t>
            </w:r>
            <w:r w:rsidRPr="000E75F8">
              <w:rPr>
                <w:rFonts w:eastAsia="標楷體"/>
              </w:rPr>
              <w:t>(2019/7/25)</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0E75F8" w:rsidRDefault="00A61835" w:rsidP="00607C45">
            <w:pPr>
              <w:jc w:val="center"/>
              <w:rPr>
                <w:rFonts w:eastAsia="標楷體"/>
              </w:rPr>
            </w:pPr>
            <w:r w:rsidRPr="000E75F8">
              <w:rPr>
                <w:rFonts w:eastAsia="標楷體"/>
              </w:rPr>
              <w:t>0.85</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0E75F8" w:rsidRDefault="00A61835" w:rsidP="00607C45">
            <w:pPr>
              <w:jc w:val="center"/>
              <w:rPr>
                <w:rFonts w:eastAsia="標楷體"/>
              </w:rPr>
            </w:pPr>
            <w:proofErr w:type="spellStart"/>
            <w:r w:rsidRPr="000E75F8">
              <w:rPr>
                <w:rFonts w:eastAsia="標楷體"/>
              </w:rPr>
              <w:t>n.a</w:t>
            </w:r>
            <w:proofErr w:type="spellEnd"/>
            <w:r w:rsidRPr="000E75F8">
              <w:rPr>
                <w:rFonts w:eastAsia="標楷體"/>
              </w:rPr>
              <w:t>.</w:t>
            </w:r>
          </w:p>
        </w:tc>
      </w:tr>
      <w:tr w:rsidR="00A61835" w:rsidRPr="00A0240E" w:rsidTr="00607C45">
        <w:trPr>
          <w:trHeight w:val="458"/>
        </w:trPr>
        <w:tc>
          <w:tcPr>
            <w:tcW w:w="1505" w:type="dxa"/>
            <w:vMerge/>
            <w:tcBorders>
              <w:left w:val="single" w:sz="4" w:space="0" w:color="auto"/>
              <w:right w:val="single" w:sz="4" w:space="0" w:color="auto"/>
            </w:tcBorders>
            <w:textDirection w:val="tbRlV"/>
            <w:vAlign w:val="center"/>
            <w:hideMark/>
          </w:tcPr>
          <w:p w:rsidR="00A61835" w:rsidRPr="00A0240E" w:rsidRDefault="00A61835" w:rsidP="00607C45">
            <w:pPr>
              <w:widowControl/>
              <w:snapToGrid w:val="0"/>
              <w:ind w:left="113" w:right="113"/>
              <w:jc w:val="center"/>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0E75F8" w:rsidRDefault="00A61835" w:rsidP="00607C45">
            <w:pPr>
              <w:jc w:val="both"/>
              <w:rPr>
                <w:rFonts w:eastAsia="標楷體"/>
              </w:rPr>
            </w:pPr>
            <w:r w:rsidRPr="00A3253E">
              <w:rPr>
                <w:rFonts w:eastAsia="標楷體"/>
              </w:rPr>
              <w:t xml:space="preserve">Academia </w:t>
            </w:r>
            <w:proofErr w:type="spellStart"/>
            <w:r w:rsidRPr="00A3253E">
              <w:rPr>
                <w:rFonts w:eastAsia="標楷體"/>
              </w:rPr>
              <w:t>Sinica</w:t>
            </w:r>
            <w:proofErr w:type="spellEnd"/>
            <w:r w:rsidRPr="000E75F8">
              <w:rPr>
                <w:rFonts w:eastAsia="標楷體"/>
              </w:rPr>
              <w:t xml:space="preserve"> (2019/7/19)</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1835" w:rsidRPr="000E75F8" w:rsidRDefault="00A61835" w:rsidP="00607C45">
            <w:pPr>
              <w:jc w:val="center"/>
              <w:rPr>
                <w:rFonts w:eastAsia="標楷體"/>
              </w:rPr>
            </w:pPr>
            <w:r w:rsidRPr="000E75F8">
              <w:rPr>
                <w:rFonts w:eastAsia="標楷體"/>
              </w:rPr>
              <w:t>0.85</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0E75F8" w:rsidRDefault="00A61835" w:rsidP="00607C45">
            <w:pPr>
              <w:jc w:val="center"/>
              <w:rPr>
                <w:rFonts w:eastAsia="標楷體"/>
              </w:rPr>
            </w:pPr>
            <w:proofErr w:type="spellStart"/>
            <w:r w:rsidRPr="000E75F8">
              <w:rPr>
                <w:rFonts w:eastAsia="標楷體"/>
              </w:rPr>
              <w:t>n.a</w:t>
            </w:r>
            <w:proofErr w:type="spellEnd"/>
            <w:r w:rsidRPr="000E75F8">
              <w:rPr>
                <w:rFonts w:eastAsia="標楷體"/>
              </w:rPr>
              <w:t>.</w:t>
            </w:r>
          </w:p>
        </w:tc>
      </w:tr>
      <w:tr w:rsidR="00A61835" w:rsidRPr="00A0240E" w:rsidTr="00607C45">
        <w:trPr>
          <w:trHeight w:val="389"/>
        </w:trPr>
        <w:tc>
          <w:tcPr>
            <w:tcW w:w="1505" w:type="dxa"/>
            <w:vMerge/>
            <w:tcBorders>
              <w:left w:val="single" w:sz="4" w:space="0" w:color="auto"/>
              <w:right w:val="single" w:sz="4" w:space="0" w:color="auto"/>
            </w:tcBorders>
            <w:vAlign w:val="center"/>
          </w:tcPr>
          <w:p w:rsidR="00A61835" w:rsidRPr="00A0240E" w:rsidRDefault="00A61835" w:rsidP="00607C45">
            <w:pPr>
              <w:widowControl/>
              <w:snapToGrid w:val="0"/>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0E75F8" w:rsidRDefault="00A61835" w:rsidP="00607C45">
            <w:pPr>
              <w:jc w:val="both"/>
              <w:rPr>
                <w:rFonts w:eastAsia="標楷體"/>
              </w:rPr>
            </w:pPr>
            <w:r>
              <w:rPr>
                <w:rFonts w:eastAsia="標楷體" w:hint="eastAsia"/>
              </w:rPr>
              <w:t xml:space="preserve">CIER </w:t>
            </w:r>
            <w:r w:rsidRPr="000E75F8">
              <w:rPr>
                <w:rFonts w:eastAsia="標楷體"/>
              </w:rPr>
              <w:t>(2019/7/17)</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0E75F8" w:rsidRDefault="00A61835" w:rsidP="00607C45">
            <w:pPr>
              <w:jc w:val="center"/>
              <w:rPr>
                <w:rFonts w:eastAsia="標楷體"/>
              </w:rPr>
            </w:pPr>
            <w:r w:rsidRPr="000E75F8">
              <w:rPr>
                <w:rFonts w:eastAsia="標楷體"/>
              </w:rPr>
              <w:t>0.87</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0E75F8" w:rsidRDefault="00A61835" w:rsidP="00607C45">
            <w:pPr>
              <w:jc w:val="center"/>
              <w:rPr>
                <w:rFonts w:eastAsia="標楷體"/>
              </w:rPr>
            </w:pPr>
            <w:r w:rsidRPr="000E75F8">
              <w:rPr>
                <w:rFonts w:eastAsia="標楷體"/>
              </w:rPr>
              <w:t>1.11</w:t>
            </w:r>
          </w:p>
        </w:tc>
      </w:tr>
      <w:tr w:rsidR="00A61835" w:rsidRPr="00A0240E" w:rsidTr="00607C45">
        <w:trPr>
          <w:trHeight w:val="389"/>
        </w:trPr>
        <w:tc>
          <w:tcPr>
            <w:tcW w:w="1505" w:type="dxa"/>
            <w:vMerge/>
            <w:tcBorders>
              <w:left w:val="single" w:sz="4" w:space="0" w:color="auto"/>
              <w:bottom w:val="double" w:sz="4" w:space="0" w:color="auto"/>
              <w:right w:val="single" w:sz="4" w:space="0" w:color="auto"/>
            </w:tcBorders>
            <w:vAlign w:val="center"/>
          </w:tcPr>
          <w:p w:rsidR="00A61835" w:rsidRPr="00A0240E" w:rsidRDefault="00A61835" w:rsidP="00607C45">
            <w:pPr>
              <w:widowControl/>
              <w:snapToGrid w:val="0"/>
              <w:rPr>
                <w:rFonts w:eastAsia="標楷體"/>
                <w:bCs/>
                <w:sz w:val="22"/>
                <w:szCs w:val="22"/>
              </w:rPr>
            </w:pPr>
          </w:p>
        </w:tc>
        <w:tc>
          <w:tcPr>
            <w:tcW w:w="3544" w:type="dxa"/>
            <w:tcBorders>
              <w:top w:val="single" w:sz="4" w:space="0" w:color="auto"/>
              <w:left w:val="single" w:sz="4" w:space="0" w:color="auto"/>
              <w:bottom w:val="double" w:sz="4" w:space="0" w:color="auto"/>
              <w:right w:val="single" w:sz="4" w:space="0" w:color="auto"/>
            </w:tcBorders>
            <w:shd w:val="clear" w:color="000000" w:fill="FFFFFF"/>
            <w:noWrap/>
            <w:vAlign w:val="center"/>
          </w:tcPr>
          <w:p w:rsidR="00A61835" w:rsidRPr="000E75F8" w:rsidRDefault="00A61835" w:rsidP="00607C45">
            <w:pPr>
              <w:jc w:val="center"/>
              <w:rPr>
                <w:rFonts w:eastAsia="標楷體"/>
              </w:rPr>
            </w:pPr>
            <w:r>
              <w:rPr>
                <w:rFonts w:eastAsia="標楷體" w:hint="eastAsia"/>
                <w:b/>
              </w:rPr>
              <w:t>Forecast</w:t>
            </w:r>
            <w:r w:rsidRPr="00A3253E">
              <w:rPr>
                <w:rFonts w:eastAsia="標楷體" w:hint="eastAsia"/>
                <w:b/>
              </w:rPr>
              <w:t xml:space="preserve"> </w:t>
            </w:r>
            <w:r>
              <w:rPr>
                <w:rFonts w:eastAsia="標楷體" w:hint="eastAsia"/>
                <w:b/>
                <w:u w:val="single"/>
              </w:rPr>
              <w:t>Average</w:t>
            </w:r>
          </w:p>
        </w:tc>
        <w:tc>
          <w:tcPr>
            <w:tcW w:w="1772" w:type="dxa"/>
            <w:tcBorders>
              <w:top w:val="single" w:sz="4" w:space="0" w:color="auto"/>
              <w:left w:val="single" w:sz="4" w:space="0" w:color="auto"/>
              <w:bottom w:val="double" w:sz="4" w:space="0" w:color="auto"/>
              <w:right w:val="single" w:sz="4" w:space="0" w:color="auto"/>
            </w:tcBorders>
            <w:shd w:val="clear" w:color="000000" w:fill="FFFFFF"/>
            <w:vAlign w:val="center"/>
          </w:tcPr>
          <w:p w:rsidR="00A61835" w:rsidRPr="000E75F8" w:rsidRDefault="00A61835" w:rsidP="00607C45">
            <w:pPr>
              <w:jc w:val="center"/>
              <w:rPr>
                <w:rFonts w:eastAsia="標楷體"/>
              </w:rPr>
            </w:pPr>
            <w:r w:rsidRPr="000E75F8">
              <w:rPr>
                <w:rFonts w:eastAsia="標楷體" w:hint="eastAsia"/>
                <w:b/>
              </w:rPr>
              <w:t>0.79</w:t>
            </w:r>
          </w:p>
        </w:tc>
        <w:tc>
          <w:tcPr>
            <w:tcW w:w="1772" w:type="dxa"/>
            <w:tcBorders>
              <w:top w:val="single" w:sz="4" w:space="0" w:color="auto"/>
              <w:left w:val="single" w:sz="4" w:space="0" w:color="auto"/>
              <w:bottom w:val="double" w:sz="4" w:space="0" w:color="auto"/>
              <w:right w:val="single" w:sz="4" w:space="0" w:color="auto"/>
            </w:tcBorders>
            <w:shd w:val="clear" w:color="000000" w:fill="FFFFFF"/>
            <w:vAlign w:val="center"/>
          </w:tcPr>
          <w:p w:rsidR="00A61835" w:rsidRPr="000E75F8" w:rsidRDefault="00A61835" w:rsidP="00607C45">
            <w:pPr>
              <w:jc w:val="center"/>
              <w:rPr>
                <w:rFonts w:eastAsia="標楷體"/>
                <w:b/>
              </w:rPr>
            </w:pPr>
            <w:r w:rsidRPr="000E75F8">
              <w:rPr>
                <w:rFonts w:eastAsia="標楷體" w:hint="eastAsia"/>
                <w:b/>
              </w:rPr>
              <w:t>0.94</w:t>
            </w:r>
          </w:p>
        </w:tc>
      </w:tr>
      <w:tr w:rsidR="00A61835" w:rsidRPr="00A0240E" w:rsidTr="00607C45">
        <w:trPr>
          <w:trHeight w:val="456"/>
        </w:trPr>
        <w:tc>
          <w:tcPr>
            <w:tcW w:w="1505" w:type="dxa"/>
            <w:vMerge w:val="restart"/>
            <w:tcBorders>
              <w:top w:val="double" w:sz="4" w:space="0" w:color="auto"/>
              <w:left w:val="single" w:sz="4" w:space="0" w:color="auto"/>
              <w:right w:val="single" w:sz="4" w:space="0" w:color="auto"/>
            </w:tcBorders>
            <w:shd w:val="clear" w:color="000000" w:fill="FFFFFF"/>
            <w:vAlign w:val="center"/>
            <w:hideMark/>
          </w:tcPr>
          <w:p w:rsidR="00A61835" w:rsidRPr="00A0240E" w:rsidRDefault="00A61835" w:rsidP="00607C45">
            <w:pPr>
              <w:widowControl/>
              <w:snapToGrid w:val="0"/>
              <w:jc w:val="center"/>
              <w:rPr>
                <w:rFonts w:eastAsia="標楷體"/>
                <w:bCs/>
                <w:sz w:val="22"/>
                <w:szCs w:val="22"/>
              </w:rPr>
            </w:pPr>
            <w:r w:rsidRPr="00A3253E">
              <w:rPr>
                <w:rFonts w:eastAsia="標楷體"/>
                <w:bCs/>
                <w:sz w:val="22"/>
                <w:szCs w:val="22"/>
              </w:rPr>
              <w:t>Foreign institutions</w:t>
            </w:r>
          </w:p>
        </w:tc>
        <w:tc>
          <w:tcPr>
            <w:tcW w:w="3544" w:type="dxa"/>
            <w:tcBorders>
              <w:top w:val="doub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both"/>
            </w:pPr>
            <w:r>
              <w:t xml:space="preserve">IHS </w:t>
            </w:r>
            <w:proofErr w:type="spellStart"/>
            <w:r>
              <w:t>Markit</w:t>
            </w:r>
            <w:proofErr w:type="spellEnd"/>
            <w:r>
              <w:rPr>
                <w:rFonts w:hint="eastAsia"/>
              </w:rPr>
              <w:t xml:space="preserve"> </w:t>
            </w:r>
            <w:r>
              <w:t>(2019/</w:t>
            </w:r>
            <w:r>
              <w:rPr>
                <w:rFonts w:hint="eastAsia"/>
              </w:rPr>
              <w:t>9</w:t>
            </w:r>
            <w:r>
              <w:t>/1</w:t>
            </w:r>
            <w:r>
              <w:rPr>
                <w:rFonts w:hint="eastAsia"/>
              </w:rPr>
              <w:t>7</w:t>
            </w:r>
            <w:r w:rsidRPr="00A36CC5">
              <w:t>)</w:t>
            </w:r>
          </w:p>
        </w:tc>
        <w:tc>
          <w:tcPr>
            <w:tcW w:w="1772" w:type="dxa"/>
            <w:tcBorders>
              <w:top w:val="doub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center"/>
            </w:pPr>
            <w:r>
              <w:t>0.</w:t>
            </w:r>
            <w:r>
              <w:rPr>
                <w:rFonts w:hint="eastAsia"/>
              </w:rPr>
              <w:t>66</w:t>
            </w:r>
          </w:p>
        </w:tc>
        <w:tc>
          <w:tcPr>
            <w:tcW w:w="1772" w:type="dxa"/>
            <w:tcBorders>
              <w:top w:val="double" w:sz="4" w:space="0" w:color="auto"/>
              <w:left w:val="single" w:sz="4" w:space="0" w:color="auto"/>
              <w:bottom w:val="single" w:sz="4" w:space="0" w:color="auto"/>
              <w:right w:val="single" w:sz="4" w:space="0" w:color="auto"/>
            </w:tcBorders>
            <w:shd w:val="clear" w:color="000000" w:fill="FFFFFF"/>
            <w:vAlign w:val="center"/>
          </w:tcPr>
          <w:p w:rsidR="00A61835" w:rsidRPr="00A36CC5" w:rsidRDefault="00A61835" w:rsidP="00607C45">
            <w:pPr>
              <w:jc w:val="center"/>
            </w:pPr>
            <w:r>
              <w:t>0.9</w:t>
            </w:r>
            <w:r>
              <w:rPr>
                <w:rFonts w:hint="eastAsia"/>
              </w:rPr>
              <w:t>5</w:t>
            </w:r>
          </w:p>
        </w:tc>
      </w:tr>
      <w:tr w:rsidR="00A61835" w:rsidRPr="00A0240E" w:rsidTr="00607C45">
        <w:trPr>
          <w:trHeight w:val="456"/>
        </w:trPr>
        <w:tc>
          <w:tcPr>
            <w:tcW w:w="1505" w:type="dxa"/>
            <w:vMerge/>
            <w:tcBorders>
              <w:left w:val="single" w:sz="4" w:space="0" w:color="auto"/>
              <w:right w:val="single" w:sz="4" w:space="0" w:color="auto"/>
            </w:tcBorders>
            <w:vAlign w:val="center"/>
            <w:hideMark/>
          </w:tcPr>
          <w:p w:rsidR="00A61835" w:rsidRPr="00A0240E" w:rsidRDefault="00A61835" w:rsidP="00607C45">
            <w:pPr>
              <w:widowControl/>
              <w:snapToGrid w:val="0"/>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both"/>
            </w:pPr>
            <w:r w:rsidRPr="00A36CC5">
              <w:t>Goldman Sachs</w:t>
            </w:r>
            <w:r>
              <w:rPr>
                <w:rFonts w:hint="eastAsia"/>
              </w:rPr>
              <w:t xml:space="preserve"> </w:t>
            </w:r>
            <w:r w:rsidRPr="00A36CC5">
              <w:t>(2019/9/16)</w:t>
            </w:r>
          </w:p>
        </w:tc>
        <w:tc>
          <w:tcPr>
            <w:tcW w:w="1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center"/>
            </w:pPr>
            <w:r w:rsidRPr="00A36CC5">
              <w:t>1.00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6CC5" w:rsidRDefault="00A61835" w:rsidP="00607C45">
            <w:pPr>
              <w:jc w:val="center"/>
            </w:pPr>
            <w:r w:rsidRPr="00A36CC5">
              <w:t>1.30</w:t>
            </w:r>
          </w:p>
        </w:tc>
      </w:tr>
      <w:tr w:rsidR="00A61835" w:rsidRPr="00A0240E" w:rsidTr="00607C45">
        <w:trPr>
          <w:trHeight w:val="456"/>
        </w:trPr>
        <w:tc>
          <w:tcPr>
            <w:tcW w:w="1505" w:type="dxa"/>
            <w:vMerge/>
            <w:tcBorders>
              <w:left w:val="single" w:sz="4" w:space="0" w:color="auto"/>
              <w:right w:val="single" w:sz="4" w:space="0" w:color="auto"/>
            </w:tcBorders>
            <w:vAlign w:val="center"/>
            <w:hideMark/>
          </w:tcPr>
          <w:p w:rsidR="00A61835" w:rsidRPr="00A0240E" w:rsidRDefault="00A61835" w:rsidP="00607C45">
            <w:pPr>
              <w:widowControl/>
              <w:snapToGrid w:val="0"/>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both"/>
            </w:pPr>
            <w:r w:rsidRPr="00A36CC5">
              <w:t>Standard Chartered</w:t>
            </w:r>
            <w:r>
              <w:rPr>
                <w:rFonts w:hint="eastAsia"/>
              </w:rPr>
              <w:t xml:space="preserve"> </w:t>
            </w:r>
            <w:r w:rsidRPr="00A36CC5">
              <w:t>(2019/9/16)</w:t>
            </w:r>
          </w:p>
        </w:tc>
        <w:tc>
          <w:tcPr>
            <w:tcW w:w="1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center"/>
            </w:pPr>
            <w:r w:rsidRPr="00A36CC5">
              <w:t>1.00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6CC5" w:rsidRDefault="00A61835" w:rsidP="00607C45">
            <w:pPr>
              <w:jc w:val="center"/>
            </w:pPr>
            <w:r w:rsidRPr="00A36CC5">
              <w:t>1.30</w:t>
            </w:r>
          </w:p>
        </w:tc>
      </w:tr>
      <w:tr w:rsidR="00A61835" w:rsidRPr="00A0240E" w:rsidTr="00607C45">
        <w:trPr>
          <w:trHeight w:val="456"/>
        </w:trPr>
        <w:tc>
          <w:tcPr>
            <w:tcW w:w="1505" w:type="dxa"/>
            <w:vMerge/>
            <w:tcBorders>
              <w:left w:val="single" w:sz="4" w:space="0" w:color="auto"/>
              <w:right w:val="single" w:sz="4" w:space="0" w:color="auto"/>
            </w:tcBorders>
            <w:vAlign w:val="center"/>
            <w:hideMark/>
          </w:tcPr>
          <w:p w:rsidR="00A61835" w:rsidRPr="00A0240E" w:rsidRDefault="00A61835" w:rsidP="00607C45">
            <w:pPr>
              <w:widowControl/>
              <w:snapToGrid w:val="0"/>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both"/>
            </w:pPr>
            <w:r w:rsidRPr="00A36CC5">
              <w:t>JP Morgan</w:t>
            </w:r>
            <w:r>
              <w:rPr>
                <w:rFonts w:hint="eastAsia"/>
              </w:rPr>
              <w:t xml:space="preserve"> </w:t>
            </w:r>
            <w:r w:rsidRPr="00A36CC5">
              <w:t>(2019/9/16)</w:t>
            </w:r>
          </w:p>
        </w:tc>
        <w:tc>
          <w:tcPr>
            <w:tcW w:w="1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center"/>
            </w:pPr>
            <w:r w:rsidRPr="00A36CC5">
              <w:t>1.00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6CC5" w:rsidRDefault="00A61835" w:rsidP="00607C45">
            <w:pPr>
              <w:jc w:val="center"/>
            </w:pPr>
            <w:r w:rsidRPr="00A36CC5">
              <w:t>1.50</w:t>
            </w:r>
          </w:p>
        </w:tc>
      </w:tr>
      <w:tr w:rsidR="00A61835" w:rsidRPr="00A0240E" w:rsidTr="00607C45">
        <w:trPr>
          <w:trHeight w:val="436"/>
        </w:trPr>
        <w:tc>
          <w:tcPr>
            <w:tcW w:w="1505" w:type="dxa"/>
            <w:vMerge/>
            <w:tcBorders>
              <w:left w:val="single" w:sz="4" w:space="0" w:color="auto"/>
              <w:right w:val="single" w:sz="4" w:space="0" w:color="auto"/>
            </w:tcBorders>
            <w:vAlign w:val="center"/>
            <w:hideMark/>
          </w:tcPr>
          <w:p w:rsidR="00A61835" w:rsidRPr="00A0240E" w:rsidRDefault="00A61835" w:rsidP="00607C45">
            <w:pPr>
              <w:widowControl/>
              <w:snapToGrid w:val="0"/>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both"/>
            </w:pPr>
            <w:r w:rsidRPr="00A36CC5">
              <w:t>HSBC</w:t>
            </w:r>
            <w:r>
              <w:rPr>
                <w:rFonts w:hint="eastAsia"/>
              </w:rPr>
              <w:t xml:space="preserve"> </w:t>
            </w:r>
            <w:r w:rsidRPr="00A36CC5">
              <w:t>(2019/9/16)</w:t>
            </w:r>
          </w:p>
        </w:tc>
        <w:tc>
          <w:tcPr>
            <w:tcW w:w="1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center"/>
            </w:pPr>
            <w:r w:rsidRPr="00A36CC5">
              <w:t>0.50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6CC5" w:rsidRDefault="00A61835" w:rsidP="00607C45">
            <w:pPr>
              <w:jc w:val="center"/>
            </w:pPr>
            <w:r w:rsidRPr="00A36CC5">
              <w:t>0.90</w:t>
            </w:r>
          </w:p>
        </w:tc>
      </w:tr>
      <w:tr w:rsidR="00A61835" w:rsidRPr="00A0240E" w:rsidTr="00607C45">
        <w:trPr>
          <w:trHeight w:val="468"/>
        </w:trPr>
        <w:tc>
          <w:tcPr>
            <w:tcW w:w="1505" w:type="dxa"/>
            <w:vMerge/>
            <w:tcBorders>
              <w:left w:val="single" w:sz="4" w:space="0" w:color="auto"/>
              <w:right w:val="single" w:sz="4" w:space="0" w:color="auto"/>
            </w:tcBorders>
            <w:vAlign w:val="center"/>
            <w:hideMark/>
          </w:tcPr>
          <w:p w:rsidR="00A61835" w:rsidRPr="00A0240E" w:rsidRDefault="00A61835" w:rsidP="00607C45">
            <w:pPr>
              <w:widowControl/>
              <w:snapToGrid w:val="0"/>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both"/>
            </w:pPr>
            <w:r w:rsidRPr="00A36CC5">
              <w:t>Barclays Capital</w:t>
            </w:r>
            <w:r>
              <w:rPr>
                <w:rFonts w:hint="eastAsia"/>
              </w:rPr>
              <w:t xml:space="preserve"> </w:t>
            </w:r>
            <w:r w:rsidRPr="00A36CC5">
              <w:t>(2019/9/13)</w:t>
            </w:r>
          </w:p>
        </w:tc>
        <w:tc>
          <w:tcPr>
            <w:tcW w:w="1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center"/>
            </w:pPr>
            <w:r w:rsidRPr="00A36CC5">
              <w:t>0.70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6CC5" w:rsidRDefault="00A61835" w:rsidP="00607C45">
            <w:pPr>
              <w:jc w:val="center"/>
            </w:pPr>
            <w:r w:rsidRPr="00A36CC5">
              <w:t>1.30</w:t>
            </w:r>
          </w:p>
        </w:tc>
      </w:tr>
      <w:tr w:rsidR="00A61835" w:rsidRPr="00A0240E" w:rsidTr="00607C45">
        <w:trPr>
          <w:trHeight w:val="456"/>
        </w:trPr>
        <w:tc>
          <w:tcPr>
            <w:tcW w:w="1505" w:type="dxa"/>
            <w:vMerge/>
            <w:tcBorders>
              <w:left w:val="single" w:sz="4" w:space="0" w:color="auto"/>
              <w:right w:val="single" w:sz="4" w:space="0" w:color="auto"/>
            </w:tcBorders>
            <w:vAlign w:val="center"/>
            <w:hideMark/>
          </w:tcPr>
          <w:p w:rsidR="00A61835" w:rsidRPr="00A0240E" w:rsidRDefault="00A61835" w:rsidP="00607C45">
            <w:pPr>
              <w:widowControl/>
              <w:snapToGrid w:val="0"/>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both"/>
            </w:pPr>
            <w:proofErr w:type="spellStart"/>
            <w:r w:rsidRPr="00A36CC5">
              <w:t>BofA</w:t>
            </w:r>
            <w:proofErr w:type="spellEnd"/>
            <w:r w:rsidRPr="00A36CC5">
              <w:t xml:space="preserve"> Merrill Lynch</w:t>
            </w:r>
            <w:r>
              <w:rPr>
                <w:rFonts w:hint="eastAsia"/>
              </w:rPr>
              <w:t xml:space="preserve"> </w:t>
            </w:r>
            <w:r w:rsidRPr="00A36CC5">
              <w:t>(2019/9/13)</w:t>
            </w:r>
          </w:p>
        </w:tc>
        <w:tc>
          <w:tcPr>
            <w:tcW w:w="1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center"/>
            </w:pPr>
            <w:r w:rsidRPr="00A36CC5">
              <w:t>0.70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6CC5" w:rsidRDefault="00A61835" w:rsidP="00607C45">
            <w:pPr>
              <w:jc w:val="center"/>
            </w:pPr>
            <w:r w:rsidRPr="00A36CC5">
              <w:t>1.10</w:t>
            </w:r>
          </w:p>
        </w:tc>
      </w:tr>
      <w:tr w:rsidR="00A61835" w:rsidRPr="00A0240E" w:rsidTr="00607C45">
        <w:trPr>
          <w:trHeight w:val="456"/>
        </w:trPr>
        <w:tc>
          <w:tcPr>
            <w:tcW w:w="1505" w:type="dxa"/>
            <w:vMerge/>
            <w:tcBorders>
              <w:left w:val="single" w:sz="4" w:space="0" w:color="auto"/>
              <w:right w:val="single" w:sz="4" w:space="0" w:color="auto"/>
            </w:tcBorders>
            <w:vAlign w:val="center"/>
            <w:hideMark/>
          </w:tcPr>
          <w:p w:rsidR="00A61835" w:rsidRPr="00A0240E" w:rsidRDefault="00A61835" w:rsidP="00607C45">
            <w:pPr>
              <w:widowControl/>
              <w:snapToGrid w:val="0"/>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both"/>
            </w:pPr>
            <w:r w:rsidRPr="00A36CC5">
              <w:t>Morgan Stanley</w:t>
            </w:r>
            <w:r>
              <w:rPr>
                <w:rFonts w:hint="eastAsia"/>
              </w:rPr>
              <w:t xml:space="preserve"> </w:t>
            </w:r>
            <w:r w:rsidRPr="00A36CC5">
              <w:t>(2019/9/13)</w:t>
            </w:r>
          </w:p>
        </w:tc>
        <w:tc>
          <w:tcPr>
            <w:tcW w:w="1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center"/>
            </w:pPr>
            <w:r w:rsidRPr="00A36CC5">
              <w:t>0.90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6CC5" w:rsidRDefault="00A61835" w:rsidP="00607C45">
            <w:pPr>
              <w:jc w:val="center"/>
            </w:pPr>
            <w:r w:rsidRPr="00A36CC5">
              <w:t>1.20</w:t>
            </w:r>
          </w:p>
        </w:tc>
      </w:tr>
      <w:tr w:rsidR="00A61835" w:rsidRPr="00A0240E" w:rsidTr="00607C45">
        <w:trPr>
          <w:trHeight w:val="456"/>
        </w:trPr>
        <w:tc>
          <w:tcPr>
            <w:tcW w:w="1505" w:type="dxa"/>
            <w:vMerge/>
            <w:tcBorders>
              <w:left w:val="single" w:sz="4" w:space="0" w:color="auto"/>
              <w:right w:val="single" w:sz="4" w:space="0" w:color="auto"/>
            </w:tcBorders>
            <w:vAlign w:val="center"/>
            <w:hideMark/>
          </w:tcPr>
          <w:p w:rsidR="00A61835" w:rsidRPr="00A0240E" w:rsidRDefault="00A61835" w:rsidP="00607C45">
            <w:pPr>
              <w:widowControl/>
              <w:snapToGrid w:val="0"/>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both"/>
            </w:pPr>
            <w:r w:rsidRPr="00A36CC5">
              <w:t>Credit Suisse</w:t>
            </w:r>
            <w:r>
              <w:rPr>
                <w:rFonts w:hint="eastAsia"/>
              </w:rPr>
              <w:t xml:space="preserve"> </w:t>
            </w:r>
            <w:r w:rsidRPr="00A36CC5">
              <w:t>(2019/9/12)</w:t>
            </w:r>
          </w:p>
        </w:tc>
        <w:tc>
          <w:tcPr>
            <w:tcW w:w="1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center"/>
            </w:pPr>
            <w:r w:rsidRPr="00A36CC5">
              <w:t>0.90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6CC5" w:rsidRDefault="00A61835" w:rsidP="00607C45">
            <w:pPr>
              <w:jc w:val="center"/>
            </w:pPr>
            <w:r w:rsidRPr="00A36CC5">
              <w:t>1.30</w:t>
            </w:r>
          </w:p>
        </w:tc>
      </w:tr>
      <w:tr w:rsidR="00A61835" w:rsidRPr="00A0240E" w:rsidTr="00607C45">
        <w:trPr>
          <w:trHeight w:val="456"/>
        </w:trPr>
        <w:tc>
          <w:tcPr>
            <w:tcW w:w="1505" w:type="dxa"/>
            <w:vMerge/>
            <w:tcBorders>
              <w:left w:val="single" w:sz="4" w:space="0" w:color="auto"/>
              <w:right w:val="single" w:sz="4" w:space="0" w:color="auto"/>
            </w:tcBorders>
            <w:vAlign w:val="center"/>
          </w:tcPr>
          <w:p w:rsidR="00A61835" w:rsidRPr="00A0240E" w:rsidRDefault="00A61835" w:rsidP="00607C45">
            <w:pPr>
              <w:widowControl/>
              <w:snapToGrid w:val="0"/>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A36CC5" w:rsidRDefault="00A61835" w:rsidP="00607C45">
            <w:pPr>
              <w:jc w:val="both"/>
            </w:pPr>
            <w:r w:rsidRPr="00A36CC5">
              <w:t>Citi</w:t>
            </w:r>
            <w:r>
              <w:rPr>
                <w:rFonts w:hint="eastAsia"/>
              </w:rPr>
              <w:t xml:space="preserve"> </w:t>
            </w:r>
            <w:r w:rsidRPr="00A36CC5">
              <w:t>(2019/9/12)</w:t>
            </w:r>
          </w:p>
        </w:tc>
        <w:tc>
          <w:tcPr>
            <w:tcW w:w="17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A36CC5" w:rsidRDefault="00A61835" w:rsidP="00607C45">
            <w:pPr>
              <w:jc w:val="center"/>
            </w:pPr>
            <w:r w:rsidRPr="00A36CC5">
              <w:t>0.90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6CC5" w:rsidRDefault="00A61835" w:rsidP="00607C45">
            <w:pPr>
              <w:jc w:val="center"/>
            </w:pPr>
            <w:r w:rsidRPr="00A36CC5">
              <w:t>1.20</w:t>
            </w:r>
          </w:p>
        </w:tc>
      </w:tr>
      <w:tr w:rsidR="00A61835" w:rsidRPr="00A0240E" w:rsidTr="00607C45">
        <w:trPr>
          <w:trHeight w:val="456"/>
        </w:trPr>
        <w:tc>
          <w:tcPr>
            <w:tcW w:w="1505" w:type="dxa"/>
            <w:vMerge/>
            <w:tcBorders>
              <w:left w:val="single" w:sz="4" w:space="0" w:color="auto"/>
              <w:right w:val="single" w:sz="4" w:space="0" w:color="auto"/>
            </w:tcBorders>
            <w:vAlign w:val="center"/>
            <w:hideMark/>
          </w:tcPr>
          <w:p w:rsidR="00A61835" w:rsidRPr="00A0240E" w:rsidRDefault="00A61835" w:rsidP="00607C45">
            <w:pPr>
              <w:widowControl/>
              <w:snapToGrid w:val="0"/>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both"/>
            </w:pPr>
            <w:r w:rsidRPr="00A36CC5">
              <w:t>Deutsche Bank</w:t>
            </w:r>
            <w:r>
              <w:rPr>
                <w:rFonts w:hint="eastAsia"/>
              </w:rPr>
              <w:t xml:space="preserve"> </w:t>
            </w:r>
            <w:r w:rsidRPr="00A36CC5">
              <w:t>(2019/9/12)</w:t>
            </w:r>
          </w:p>
        </w:tc>
        <w:tc>
          <w:tcPr>
            <w:tcW w:w="17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835" w:rsidRPr="00A36CC5" w:rsidRDefault="00A61835" w:rsidP="00607C45">
            <w:pPr>
              <w:jc w:val="center"/>
            </w:pPr>
            <w:r w:rsidRPr="00A36CC5">
              <w:t>0.70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6CC5" w:rsidRDefault="00A61835" w:rsidP="00607C45">
            <w:pPr>
              <w:jc w:val="center"/>
            </w:pPr>
            <w:r w:rsidRPr="00A36CC5">
              <w:t>0.80</w:t>
            </w:r>
          </w:p>
        </w:tc>
      </w:tr>
      <w:tr w:rsidR="00A61835" w:rsidRPr="00A0240E" w:rsidTr="00607C45">
        <w:trPr>
          <w:trHeight w:val="456"/>
        </w:trPr>
        <w:tc>
          <w:tcPr>
            <w:tcW w:w="1505" w:type="dxa"/>
            <w:vMerge/>
            <w:tcBorders>
              <w:left w:val="single" w:sz="4" w:space="0" w:color="auto"/>
              <w:right w:val="single" w:sz="4" w:space="0" w:color="auto"/>
            </w:tcBorders>
            <w:vAlign w:val="center"/>
          </w:tcPr>
          <w:p w:rsidR="00A61835" w:rsidRPr="00A0240E" w:rsidRDefault="00A61835" w:rsidP="00607C45">
            <w:pPr>
              <w:widowControl/>
              <w:snapToGrid w:val="0"/>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A36CC5" w:rsidRDefault="00A61835" w:rsidP="00607C45">
            <w:pPr>
              <w:jc w:val="both"/>
            </w:pPr>
            <w:r w:rsidRPr="00A36CC5">
              <w:t>EIU</w:t>
            </w:r>
            <w:r>
              <w:rPr>
                <w:rFonts w:hint="eastAsia"/>
              </w:rPr>
              <w:t xml:space="preserve"> </w:t>
            </w:r>
            <w:r w:rsidRPr="00A36CC5">
              <w:t>(2019/9/5)</w:t>
            </w:r>
          </w:p>
        </w:tc>
        <w:tc>
          <w:tcPr>
            <w:tcW w:w="17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A36CC5" w:rsidRDefault="00A61835" w:rsidP="00607C45">
            <w:pPr>
              <w:jc w:val="center"/>
            </w:pPr>
            <w:r w:rsidRPr="00A36CC5">
              <w:t>0.50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A36CC5" w:rsidRDefault="00A61835" w:rsidP="00607C45">
            <w:pPr>
              <w:jc w:val="center"/>
            </w:pPr>
            <w:r w:rsidRPr="00A36CC5">
              <w:t>0.20</w:t>
            </w:r>
          </w:p>
        </w:tc>
      </w:tr>
      <w:tr w:rsidR="00A61835" w:rsidRPr="00A0240E" w:rsidTr="00607C45">
        <w:trPr>
          <w:trHeight w:val="456"/>
        </w:trPr>
        <w:tc>
          <w:tcPr>
            <w:tcW w:w="1505" w:type="dxa"/>
            <w:vMerge/>
            <w:tcBorders>
              <w:left w:val="single" w:sz="4" w:space="0" w:color="auto"/>
              <w:right w:val="single" w:sz="4" w:space="0" w:color="auto"/>
            </w:tcBorders>
            <w:vAlign w:val="center"/>
          </w:tcPr>
          <w:p w:rsidR="00A61835" w:rsidRPr="00A0240E" w:rsidRDefault="00A61835" w:rsidP="00607C45">
            <w:pPr>
              <w:widowControl/>
              <w:snapToGrid w:val="0"/>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A36CC5" w:rsidRDefault="00A61835" w:rsidP="00607C45">
            <w:pPr>
              <w:jc w:val="both"/>
            </w:pPr>
            <w:r w:rsidRPr="00A36CC5">
              <w:t>ADB</w:t>
            </w:r>
            <w:r>
              <w:rPr>
                <w:rFonts w:hint="eastAsia"/>
              </w:rPr>
              <w:t xml:space="preserve"> </w:t>
            </w:r>
            <w:r w:rsidRPr="00A36CC5">
              <w:t>(2019/7/18)</w:t>
            </w:r>
          </w:p>
        </w:tc>
        <w:tc>
          <w:tcPr>
            <w:tcW w:w="17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A36CC5" w:rsidRDefault="00A61835" w:rsidP="00607C45">
            <w:pPr>
              <w:jc w:val="center"/>
            </w:pPr>
            <w:r w:rsidRPr="00A36CC5">
              <w:t>1.10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Default="00A61835" w:rsidP="00607C45">
            <w:pPr>
              <w:jc w:val="center"/>
            </w:pPr>
            <w:r w:rsidRPr="00A36CC5">
              <w:t>1.20</w:t>
            </w:r>
          </w:p>
        </w:tc>
      </w:tr>
      <w:tr w:rsidR="00A61835" w:rsidRPr="00A0240E" w:rsidTr="00607C45">
        <w:trPr>
          <w:trHeight w:val="456"/>
        </w:trPr>
        <w:tc>
          <w:tcPr>
            <w:tcW w:w="1505" w:type="dxa"/>
            <w:vMerge/>
            <w:tcBorders>
              <w:left w:val="single" w:sz="4" w:space="0" w:color="auto"/>
              <w:bottom w:val="single" w:sz="4" w:space="0" w:color="auto"/>
              <w:right w:val="single" w:sz="4" w:space="0" w:color="auto"/>
            </w:tcBorders>
            <w:vAlign w:val="center"/>
          </w:tcPr>
          <w:p w:rsidR="00A61835" w:rsidRPr="00A0240E" w:rsidRDefault="00A61835" w:rsidP="00607C45">
            <w:pPr>
              <w:widowControl/>
              <w:snapToGrid w:val="0"/>
              <w:rPr>
                <w:rFonts w:eastAsia="標楷體"/>
                <w:bCs/>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0E75F8" w:rsidRDefault="00A61835" w:rsidP="00607C45">
            <w:pPr>
              <w:jc w:val="center"/>
              <w:rPr>
                <w:rFonts w:eastAsia="標楷體"/>
              </w:rPr>
            </w:pPr>
            <w:r>
              <w:rPr>
                <w:rFonts w:eastAsia="標楷體" w:hint="eastAsia"/>
                <w:b/>
              </w:rPr>
              <w:t xml:space="preserve">Forecast </w:t>
            </w:r>
            <w:r>
              <w:rPr>
                <w:rFonts w:eastAsia="標楷體" w:hint="eastAsia"/>
                <w:b/>
                <w:u w:val="single"/>
              </w:rPr>
              <w:t>Average</w:t>
            </w:r>
          </w:p>
        </w:tc>
        <w:tc>
          <w:tcPr>
            <w:tcW w:w="17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1835" w:rsidRPr="000E75F8" w:rsidRDefault="00A61835" w:rsidP="00607C45">
            <w:pPr>
              <w:jc w:val="center"/>
              <w:rPr>
                <w:rFonts w:eastAsia="標楷體"/>
              </w:rPr>
            </w:pPr>
            <w:r>
              <w:rPr>
                <w:rFonts w:eastAsia="標楷體" w:hint="eastAsia"/>
                <w:b/>
              </w:rPr>
              <w:t>0.81</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rsidR="00A61835" w:rsidRPr="000E75F8" w:rsidRDefault="00A61835" w:rsidP="00607C45">
            <w:pPr>
              <w:jc w:val="center"/>
              <w:rPr>
                <w:rFonts w:eastAsia="標楷體"/>
              </w:rPr>
            </w:pPr>
            <w:r>
              <w:rPr>
                <w:rFonts w:eastAsia="標楷體" w:hint="eastAsia"/>
                <w:b/>
              </w:rPr>
              <w:t>1.10</w:t>
            </w:r>
          </w:p>
        </w:tc>
      </w:tr>
    </w:tbl>
    <w:p w:rsidR="00A61835" w:rsidRPr="00FF4AB3" w:rsidRDefault="00A61835" w:rsidP="00607C45">
      <w:pPr>
        <w:snapToGrid w:val="0"/>
        <w:rPr>
          <w:rFonts w:eastAsia="標楷體"/>
          <w:sz w:val="8"/>
        </w:rPr>
      </w:pPr>
    </w:p>
    <w:p w:rsidR="00A61835" w:rsidRPr="00557E39" w:rsidRDefault="00A61835" w:rsidP="00607C45">
      <w:pPr>
        <w:snapToGrid w:val="0"/>
        <w:ind w:left="200" w:hangingChars="100" w:hanging="200"/>
        <w:rPr>
          <w:rFonts w:eastAsia="標楷體"/>
        </w:rPr>
      </w:pPr>
      <w:r>
        <w:rPr>
          <w:rFonts w:eastAsia="標楷體" w:hint="eastAsia"/>
        </w:rPr>
        <w:t xml:space="preserve">   </w:t>
      </w:r>
      <w:r w:rsidRPr="00557E39">
        <w:rPr>
          <w:rFonts w:eastAsia="標楷體"/>
        </w:rPr>
        <w:t>*</w:t>
      </w:r>
      <w:r>
        <w:rPr>
          <w:rFonts w:eastAsia="標楷體" w:hint="eastAsia"/>
        </w:rPr>
        <w:t xml:space="preserve"> </w:t>
      </w:r>
      <w:r w:rsidRPr="00557E39">
        <w:rPr>
          <w:rFonts w:eastAsia="標楷體"/>
        </w:rPr>
        <w:t>Excluding</w:t>
      </w:r>
      <w:r>
        <w:rPr>
          <w:rFonts w:eastAsia="標楷體"/>
        </w:rPr>
        <w:t xml:space="preserve"> vegetables, fruit, and energy.</w:t>
      </w:r>
    </w:p>
    <w:p w:rsidR="00A61835" w:rsidRDefault="00A61835" w:rsidP="00607C45">
      <w:pPr>
        <w:widowControl/>
        <w:snapToGrid w:val="0"/>
        <w:spacing w:beforeLines="50" w:before="180"/>
        <w:rPr>
          <w:rFonts w:eastAsia="標楷體"/>
        </w:rPr>
      </w:pPr>
    </w:p>
    <w:p w:rsidR="00A61835" w:rsidRDefault="00A61835" w:rsidP="00607C45">
      <w:pPr>
        <w:widowControl/>
        <w:snapToGrid w:val="0"/>
        <w:spacing w:beforeLines="50" w:before="180"/>
        <w:rPr>
          <w:rFonts w:eastAsia="標楷體"/>
          <w:szCs w:val="28"/>
        </w:rPr>
        <w:sectPr w:rsidR="00A61835" w:rsidSect="00607C45">
          <w:footerReference w:type="default" r:id="rId13"/>
          <w:pgSz w:w="11906" w:h="16838" w:code="9"/>
          <w:pgMar w:top="1418" w:right="1418" w:bottom="1418" w:left="1418" w:header="851" w:footer="851" w:gutter="0"/>
          <w:cols w:space="425"/>
          <w:docGrid w:type="lines" w:linePitch="360"/>
        </w:sectPr>
      </w:pPr>
    </w:p>
    <w:p w:rsidR="00A61835" w:rsidRPr="00627180" w:rsidRDefault="00A61835" w:rsidP="00607C45">
      <w:pPr>
        <w:spacing w:line="480" w:lineRule="exact"/>
        <w:jc w:val="center"/>
        <w:rPr>
          <w:rFonts w:eastAsia="標楷體"/>
          <w:b/>
          <w:sz w:val="32"/>
          <w:szCs w:val="28"/>
        </w:rPr>
      </w:pPr>
      <w:r>
        <w:rPr>
          <w:rFonts w:eastAsia="標楷體" w:hint="eastAsia"/>
          <w:b/>
          <w:sz w:val="28"/>
          <w:szCs w:val="28"/>
        </w:rPr>
        <w:lastRenderedPageBreak/>
        <w:t xml:space="preserve">Table </w:t>
      </w:r>
      <w:proofErr w:type="gramStart"/>
      <w:r>
        <w:rPr>
          <w:rFonts w:eastAsia="標楷體" w:hint="eastAsia"/>
          <w:b/>
          <w:sz w:val="28"/>
          <w:szCs w:val="28"/>
        </w:rPr>
        <w:t>3  Real</w:t>
      </w:r>
      <w:proofErr w:type="gramEnd"/>
      <w:r>
        <w:rPr>
          <w:rFonts w:eastAsia="標楷體" w:hint="eastAsia"/>
          <w:b/>
          <w:sz w:val="28"/>
          <w:szCs w:val="28"/>
        </w:rPr>
        <w:t xml:space="preserve"> Deposit Rates of Selected Economies</w:t>
      </w:r>
    </w:p>
    <w:p w:rsidR="00A61835" w:rsidRPr="00627180" w:rsidRDefault="00A61835" w:rsidP="00607C45">
      <w:pPr>
        <w:spacing w:line="480" w:lineRule="exact"/>
        <w:jc w:val="center"/>
        <w:rPr>
          <w:rFonts w:eastAsia="標楷體"/>
          <w:b/>
          <w:sz w:val="32"/>
          <w:szCs w:val="28"/>
        </w:rPr>
      </w:pPr>
    </w:p>
    <w:tbl>
      <w:tblPr>
        <w:tblW w:w="9356" w:type="dxa"/>
        <w:tblInd w:w="-114" w:type="dxa"/>
        <w:tblLayout w:type="fixed"/>
        <w:tblCellMar>
          <w:left w:w="28" w:type="dxa"/>
          <w:right w:w="28" w:type="dxa"/>
        </w:tblCellMar>
        <w:tblLook w:val="04A0" w:firstRow="1" w:lastRow="0" w:firstColumn="1" w:lastColumn="0" w:noHBand="0" w:noVBand="1"/>
      </w:tblPr>
      <w:tblGrid>
        <w:gridCol w:w="1560"/>
        <w:gridCol w:w="2551"/>
        <w:gridCol w:w="2552"/>
        <w:gridCol w:w="2693"/>
      </w:tblGrid>
      <w:tr w:rsidR="00A61835" w:rsidRPr="00627180" w:rsidTr="00607C45">
        <w:trPr>
          <w:trHeight w:val="696"/>
        </w:trPr>
        <w:tc>
          <w:tcPr>
            <w:tcW w:w="9356" w:type="dxa"/>
            <w:gridSpan w:val="4"/>
            <w:tcBorders>
              <w:top w:val="nil"/>
              <w:left w:val="nil"/>
              <w:bottom w:val="single" w:sz="8" w:space="0" w:color="auto"/>
              <w:right w:val="nil"/>
            </w:tcBorders>
            <w:shd w:val="clear" w:color="auto" w:fill="auto"/>
            <w:noWrap/>
            <w:vAlign w:val="bottom"/>
            <w:hideMark/>
          </w:tcPr>
          <w:p w:rsidR="00A61835" w:rsidRPr="00627180" w:rsidRDefault="00A61835" w:rsidP="00607C45">
            <w:pPr>
              <w:widowControl/>
              <w:wordWrap w:val="0"/>
              <w:jc w:val="right"/>
              <w:rPr>
                <w:rFonts w:eastAsia="標楷體"/>
                <w:szCs w:val="22"/>
              </w:rPr>
            </w:pPr>
            <w:r>
              <w:rPr>
                <w:rFonts w:eastAsia="標楷體" w:hint="eastAsia"/>
                <w:szCs w:val="22"/>
              </w:rPr>
              <w:t xml:space="preserve">Unit: </w:t>
            </w:r>
            <w:r w:rsidRPr="00627180">
              <w:rPr>
                <w:rFonts w:eastAsia="標楷體"/>
                <w:szCs w:val="22"/>
              </w:rPr>
              <w:t>%</w:t>
            </w:r>
          </w:p>
        </w:tc>
      </w:tr>
      <w:tr w:rsidR="00A61835" w:rsidRPr="00627180" w:rsidTr="00607C45">
        <w:trPr>
          <w:trHeight w:val="224"/>
        </w:trPr>
        <w:tc>
          <w:tcPr>
            <w:tcW w:w="1560"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A61835" w:rsidRPr="00C82BE2" w:rsidRDefault="00A61835" w:rsidP="00607C45">
            <w:pPr>
              <w:widowControl/>
              <w:snapToGrid w:val="0"/>
              <w:jc w:val="center"/>
              <w:rPr>
                <w:rFonts w:eastAsia="標楷體"/>
                <w:sz w:val="22"/>
                <w:szCs w:val="22"/>
              </w:rPr>
            </w:pPr>
            <w:r w:rsidRPr="00C82BE2">
              <w:rPr>
                <w:rFonts w:eastAsia="標楷體"/>
                <w:sz w:val="22"/>
                <w:szCs w:val="22"/>
              </w:rPr>
              <w:t>Economies</w:t>
            </w:r>
          </w:p>
        </w:tc>
        <w:tc>
          <w:tcPr>
            <w:tcW w:w="2551" w:type="dxa"/>
            <w:tcBorders>
              <w:top w:val="single" w:sz="8" w:space="0" w:color="auto"/>
              <w:left w:val="nil"/>
              <w:bottom w:val="nil"/>
              <w:right w:val="single" w:sz="4" w:space="0" w:color="auto"/>
            </w:tcBorders>
            <w:shd w:val="clear" w:color="auto" w:fill="auto"/>
            <w:noWrap/>
            <w:vAlign w:val="bottom"/>
            <w:hideMark/>
          </w:tcPr>
          <w:p w:rsidR="00A61835" w:rsidRPr="00C82BE2" w:rsidRDefault="00A61835" w:rsidP="00607C45">
            <w:pPr>
              <w:widowControl/>
              <w:snapToGrid w:val="0"/>
              <w:jc w:val="center"/>
              <w:rPr>
                <w:sz w:val="22"/>
                <w:szCs w:val="22"/>
              </w:rPr>
            </w:pPr>
            <w:r w:rsidRPr="00C82BE2">
              <w:rPr>
                <w:sz w:val="22"/>
                <w:szCs w:val="22"/>
              </w:rPr>
              <w:t>(1)</w:t>
            </w:r>
          </w:p>
        </w:tc>
        <w:tc>
          <w:tcPr>
            <w:tcW w:w="2552" w:type="dxa"/>
            <w:tcBorders>
              <w:top w:val="single" w:sz="8" w:space="0" w:color="auto"/>
              <w:left w:val="nil"/>
              <w:bottom w:val="nil"/>
              <w:right w:val="single" w:sz="4" w:space="0" w:color="auto"/>
            </w:tcBorders>
            <w:shd w:val="clear" w:color="auto" w:fill="auto"/>
            <w:noWrap/>
            <w:vAlign w:val="bottom"/>
            <w:hideMark/>
          </w:tcPr>
          <w:p w:rsidR="00A61835" w:rsidRPr="00C82BE2" w:rsidRDefault="00A61835" w:rsidP="00607C45">
            <w:pPr>
              <w:widowControl/>
              <w:snapToGrid w:val="0"/>
              <w:jc w:val="center"/>
              <w:rPr>
                <w:sz w:val="22"/>
                <w:szCs w:val="22"/>
              </w:rPr>
            </w:pPr>
            <w:r w:rsidRPr="00C82BE2">
              <w:rPr>
                <w:sz w:val="22"/>
                <w:szCs w:val="22"/>
              </w:rPr>
              <w:t>(2)</w:t>
            </w:r>
          </w:p>
        </w:tc>
        <w:tc>
          <w:tcPr>
            <w:tcW w:w="2693" w:type="dxa"/>
            <w:tcBorders>
              <w:top w:val="single" w:sz="8" w:space="0" w:color="auto"/>
              <w:left w:val="nil"/>
              <w:bottom w:val="nil"/>
              <w:right w:val="single" w:sz="4" w:space="0" w:color="auto"/>
            </w:tcBorders>
            <w:shd w:val="clear" w:color="auto" w:fill="auto"/>
            <w:noWrap/>
            <w:vAlign w:val="bottom"/>
            <w:hideMark/>
          </w:tcPr>
          <w:p w:rsidR="00A61835" w:rsidRPr="000779F9" w:rsidRDefault="00A61835" w:rsidP="00607C45">
            <w:pPr>
              <w:widowControl/>
              <w:snapToGrid w:val="0"/>
              <w:jc w:val="center"/>
              <w:rPr>
                <w:sz w:val="22"/>
              </w:rPr>
            </w:pPr>
            <w:r w:rsidRPr="000779F9">
              <w:rPr>
                <w:sz w:val="22"/>
              </w:rPr>
              <w:t>(3)=(1)-(2)</w:t>
            </w:r>
          </w:p>
        </w:tc>
      </w:tr>
      <w:tr w:rsidR="00A61835" w:rsidRPr="00627180" w:rsidTr="00607C45">
        <w:trPr>
          <w:trHeight w:val="355"/>
        </w:trPr>
        <w:tc>
          <w:tcPr>
            <w:tcW w:w="1560" w:type="dxa"/>
            <w:vMerge/>
            <w:tcBorders>
              <w:top w:val="single" w:sz="8" w:space="0" w:color="auto"/>
              <w:left w:val="single" w:sz="4" w:space="0" w:color="auto"/>
              <w:bottom w:val="single" w:sz="4" w:space="0" w:color="000000"/>
              <w:right w:val="single" w:sz="4" w:space="0" w:color="auto"/>
            </w:tcBorders>
            <w:vAlign w:val="center"/>
            <w:hideMark/>
          </w:tcPr>
          <w:p w:rsidR="00A61835" w:rsidRPr="00C82BE2" w:rsidRDefault="00A61835" w:rsidP="00607C45">
            <w:pPr>
              <w:widowControl/>
              <w:snapToGrid w:val="0"/>
              <w:rPr>
                <w:rFonts w:eastAsia="標楷體"/>
                <w:sz w:val="22"/>
                <w:szCs w:val="22"/>
              </w:rPr>
            </w:pPr>
          </w:p>
        </w:tc>
        <w:tc>
          <w:tcPr>
            <w:tcW w:w="2551" w:type="dxa"/>
            <w:tcBorders>
              <w:top w:val="nil"/>
              <w:left w:val="nil"/>
              <w:right w:val="single" w:sz="4" w:space="0" w:color="auto"/>
            </w:tcBorders>
            <w:shd w:val="clear" w:color="auto" w:fill="auto"/>
            <w:vAlign w:val="center"/>
            <w:hideMark/>
          </w:tcPr>
          <w:p w:rsidR="00A61835" w:rsidRPr="00C82BE2" w:rsidRDefault="00A61835" w:rsidP="00607C45">
            <w:pPr>
              <w:widowControl/>
              <w:snapToGrid w:val="0"/>
              <w:jc w:val="center"/>
              <w:rPr>
                <w:sz w:val="22"/>
                <w:szCs w:val="22"/>
              </w:rPr>
            </w:pPr>
            <w:r w:rsidRPr="00C82BE2">
              <w:rPr>
                <w:color w:val="000000" w:themeColor="text1"/>
                <w:sz w:val="22"/>
                <w:szCs w:val="22"/>
              </w:rPr>
              <w:t xml:space="preserve">1-year </w:t>
            </w:r>
            <w:r w:rsidRPr="00C82BE2">
              <w:rPr>
                <w:b/>
                <w:color w:val="000000" w:themeColor="text1"/>
                <w:sz w:val="22"/>
                <w:szCs w:val="22"/>
              </w:rPr>
              <w:t>time deposit rate</w:t>
            </w:r>
            <w:r w:rsidRPr="00C82BE2">
              <w:rPr>
                <w:color w:val="000000" w:themeColor="text1"/>
                <w:sz w:val="22"/>
                <w:szCs w:val="22"/>
              </w:rPr>
              <w:t>*</w:t>
            </w:r>
          </w:p>
        </w:tc>
        <w:tc>
          <w:tcPr>
            <w:tcW w:w="2552" w:type="dxa"/>
            <w:tcBorders>
              <w:top w:val="nil"/>
              <w:left w:val="nil"/>
              <w:right w:val="single" w:sz="4" w:space="0" w:color="auto"/>
            </w:tcBorders>
            <w:shd w:val="clear" w:color="auto" w:fill="auto"/>
            <w:noWrap/>
            <w:vAlign w:val="center"/>
            <w:hideMark/>
          </w:tcPr>
          <w:p w:rsidR="00A61835" w:rsidRPr="00C82BE2" w:rsidRDefault="00A61835" w:rsidP="00607C45">
            <w:pPr>
              <w:widowControl/>
              <w:snapToGrid w:val="0"/>
              <w:jc w:val="center"/>
              <w:rPr>
                <w:sz w:val="22"/>
                <w:szCs w:val="22"/>
              </w:rPr>
            </w:pPr>
            <w:r w:rsidRPr="00C82BE2">
              <w:rPr>
                <w:color w:val="000000" w:themeColor="text1"/>
                <w:sz w:val="22"/>
                <w:szCs w:val="22"/>
              </w:rPr>
              <w:t>CPI annual growth rate</w:t>
            </w:r>
            <w:r w:rsidRPr="00C82BE2">
              <w:rPr>
                <w:sz w:val="22"/>
                <w:szCs w:val="22"/>
              </w:rPr>
              <w:t xml:space="preserve"> **</w:t>
            </w:r>
          </w:p>
        </w:tc>
        <w:tc>
          <w:tcPr>
            <w:tcW w:w="26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61835" w:rsidRPr="009E04FA" w:rsidRDefault="00A61835" w:rsidP="009E04FA">
            <w:pPr>
              <w:pStyle w:val="afff6"/>
              <w:widowControl/>
              <w:snapToGrid w:val="0"/>
              <w:ind w:leftChars="0" w:left="360" w:firstLine="179"/>
              <w:rPr>
                <w:rFonts w:ascii="Times New Roman" w:eastAsia="標楷體"/>
                <w:b/>
                <w:bCs/>
                <w:sz w:val="22"/>
                <w:szCs w:val="22"/>
              </w:rPr>
            </w:pPr>
            <w:r w:rsidRPr="009E04FA">
              <w:rPr>
                <w:rFonts w:ascii="Times New Roman" w:eastAsia="標楷體"/>
                <w:b/>
                <w:bCs/>
                <w:color w:val="000000" w:themeColor="text1"/>
                <w:sz w:val="22"/>
                <w:szCs w:val="22"/>
              </w:rPr>
              <w:t>Real interest rate</w:t>
            </w:r>
          </w:p>
        </w:tc>
      </w:tr>
      <w:tr w:rsidR="00A61835" w:rsidRPr="00627180" w:rsidTr="00607C45">
        <w:trPr>
          <w:trHeight w:val="261"/>
        </w:trPr>
        <w:tc>
          <w:tcPr>
            <w:tcW w:w="1560" w:type="dxa"/>
            <w:vMerge/>
            <w:tcBorders>
              <w:top w:val="single" w:sz="8" w:space="0" w:color="auto"/>
              <w:left w:val="single" w:sz="4" w:space="0" w:color="auto"/>
              <w:bottom w:val="single" w:sz="4" w:space="0" w:color="000000"/>
              <w:right w:val="single" w:sz="4" w:space="0" w:color="auto"/>
            </w:tcBorders>
            <w:vAlign w:val="center"/>
            <w:hideMark/>
          </w:tcPr>
          <w:p w:rsidR="00A61835" w:rsidRPr="00C82BE2" w:rsidRDefault="00A61835" w:rsidP="00607C45">
            <w:pPr>
              <w:widowControl/>
              <w:snapToGrid w:val="0"/>
              <w:rPr>
                <w:rFonts w:ascii="標楷體" w:eastAsia="標楷體" w:hAnsi="標楷體" w:cs="Arial"/>
                <w:sz w:val="22"/>
                <w:szCs w:val="22"/>
              </w:rPr>
            </w:pPr>
          </w:p>
        </w:tc>
        <w:tc>
          <w:tcPr>
            <w:tcW w:w="2551" w:type="dxa"/>
            <w:tcBorders>
              <w:top w:val="nil"/>
              <w:left w:val="nil"/>
              <w:bottom w:val="single" w:sz="4" w:space="0" w:color="auto"/>
              <w:right w:val="single" w:sz="4" w:space="0" w:color="auto"/>
            </w:tcBorders>
            <w:shd w:val="clear" w:color="auto" w:fill="auto"/>
            <w:noWrap/>
            <w:vAlign w:val="center"/>
            <w:hideMark/>
          </w:tcPr>
          <w:p w:rsidR="00A61835" w:rsidRPr="00C82BE2" w:rsidRDefault="00A61835" w:rsidP="00607C45">
            <w:pPr>
              <w:widowControl/>
              <w:snapToGrid w:val="0"/>
              <w:jc w:val="center"/>
              <w:rPr>
                <w:sz w:val="22"/>
                <w:szCs w:val="22"/>
              </w:rPr>
            </w:pPr>
            <w:r w:rsidRPr="00C82BE2">
              <w:rPr>
                <w:color w:val="000000" w:themeColor="text1"/>
                <w:sz w:val="22"/>
                <w:szCs w:val="22"/>
              </w:rPr>
              <w:t xml:space="preserve"> (</w:t>
            </w:r>
            <w:r w:rsidRPr="00C82BE2">
              <w:rPr>
                <w:rFonts w:hint="eastAsia"/>
                <w:color w:val="000000" w:themeColor="text1"/>
                <w:sz w:val="22"/>
                <w:szCs w:val="22"/>
              </w:rPr>
              <w:t xml:space="preserve">As of </w:t>
            </w:r>
            <w:r w:rsidRPr="00C82BE2">
              <w:rPr>
                <w:color w:val="000000" w:themeColor="text1"/>
                <w:sz w:val="22"/>
                <w:szCs w:val="22"/>
              </w:rPr>
              <w:t>201</w:t>
            </w:r>
            <w:r w:rsidRPr="00C82BE2">
              <w:rPr>
                <w:rFonts w:hint="eastAsia"/>
                <w:color w:val="000000" w:themeColor="text1"/>
                <w:sz w:val="22"/>
                <w:szCs w:val="22"/>
              </w:rPr>
              <w:t>9</w:t>
            </w:r>
            <w:r w:rsidRPr="00C82BE2">
              <w:rPr>
                <w:rFonts w:eastAsia="標楷體" w:hint="eastAsia"/>
                <w:color w:val="000000" w:themeColor="text1"/>
                <w:sz w:val="22"/>
                <w:szCs w:val="22"/>
              </w:rPr>
              <w:t>/</w:t>
            </w:r>
            <w:r w:rsidRPr="00C82BE2">
              <w:rPr>
                <w:rFonts w:hint="eastAsia"/>
                <w:color w:val="000000" w:themeColor="text1"/>
                <w:sz w:val="22"/>
                <w:szCs w:val="22"/>
              </w:rPr>
              <w:t>9/19)</w:t>
            </w:r>
          </w:p>
        </w:tc>
        <w:tc>
          <w:tcPr>
            <w:tcW w:w="2552" w:type="dxa"/>
            <w:tcBorders>
              <w:top w:val="nil"/>
              <w:left w:val="nil"/>
              <w:bottom w:val="single" w:sz="4" w:space="0" w:color="auto"/>
              <w:right w:val="single" w:sz="4" w:space="0" w:color="auto"/>
            </w:tcBorders>
            <w:shd w:val="clear" w:color="auto" w:fill="auto"/>
            <w:noWrap/>
            <w:vAlign w:val="center"/>
            <w:hideMark/>
          </w:tcPr>
          <w:p w:rsidR="00A61835" w:rsidRPr="00C82BE2" w:rsidRDefault="00A61835" w:rsidP="00607C45">
            <w:pPr>
              <w:widowControl/>
              <w:snapToGrid w:val="0"/>
              <w:jc w:val="center"/>
              <w:rPr>
                <w:sz w:val="22"/>
                <w:szCs w:val="22"/>
              </w:rPr>
            </w:pPr>
            <w:r w:rsidRPr="00C82BE2">
              <w:rPr>
                <w:sz w:val="22"/>
                <w:szCs w:val="22"/>
              </w:rPr>
              <w:t>(</w:t>
            </w:r>
            <w:r w:rsidRPr="00C82BE2">
              <w:rPr>
                <w:color w:val="000000" w:themeColor="text1"/>
                <w:sz w:val="22"/>
                <w:szCs w:val="22"/>
              </w:rPr>
              <w:t>201</w:t>
            </w:r>
            <w:r w:rsidRPr="00C82BE2">
              <w:rPr>
                <w:rFonts w:hint="eastAsia"/>
                <w:color w:val="000000" w:themeColor="text1"/>
                <w:sz w:val="22"/>
                <w:szCs w:val="22"/>
              </w:rPr>
              <w:t>9</w:t>
            </w:r>
            <w:r w:rsidRPr="00C82BE2">
              <w:rPr>
                <w:rFonts w:eastAsia="標楷體" w:hint="eastAsia"/>
                <w:color w:val="000000" w:themeColor="text1"/>
                <w:sz w:val="22"/>
                <w:szCs w:val="22"/>
              </w:rPr>
              <w:t xml:space="preserve"> forecast</w:t>
            </w:r>
            <w:r w:rsidRPr="00C82BE2">
              <w:rPr>
                <w:sz w:val="22"/>
                <w:szCs w:val="22"/>
              </w:rPr>
              <w:t>)</w:t>
            </w:r>
          </w:p>
        </w:tc>
        <w:tc>
          <w:tcPr>
            <w:tcW w:w="2693" w:type="dxa"/>
            <w:vMerge/>
            <w:tcBorders>
              <w:top w:val="nil"/>
              <w:left w:val="single" w:sz="4" w:space="0" w:color="auto"/>
              <w:bottom w:val="single" w:sz="4" w:space="0" w:color="000000"/>
              <w:right w:val="single" w:sz="4" w:space="0" w:color="auto"/>
            </w:tcBorders>
            <w:vAlign w:val="center"/>
            <w:hideMark/>
          </w:tcPr>
          <w:p w:rsidR="00A61835" w:rsidRPr="00627180" w:rsidRDefault="00A61835" w:rsidP="00607C45">
            <w:pPr>
              <w:widowControl/>
              <w:snapToGrid w:val="0"/>
              <w:rPr>
                <w:rFonts w:ascii="標楷體" w:eastAsia="標楷體" w:hAnsi="標楷體" w:cs="Arial"/>
                <w:b/>
                <w:bCs/>
              </w:rPr>
            </w:pPr>
          </w:p>
        </w:tc>
      </w:tr>
      <w:tr w:rsidR="00A61835" w:rsidRPr="00AF3D34" w:rsidTr="00607C45">
        <w:trPr>
          <w:trHeight w:val="588"/>
        </w:trPr>
        <w:tc>
          <w:tcPr>
            <w:tcW w:w="1560" w:type="dxa"/>
            <w:tcBorders>
              <w:top w:val="nil"/>
              <w:left w:val="single" w:sz="4" w:space="0" w:color="auto"/>
              <w:bottom w:val="single" w:sz="4" w:space="0" w:color="auto"/>
              <w:right w:val="single" w:sz="4" w:space="0" w:color="auto"/>
            </w:tcBorders>
            <w:shd w:val="clear" w:color="FFFFFF" w:fill="FFFFFF"/>
            <w:noWrap/>
            <w:vAlign w:val="center"/>
            <w:hideMark/>
          </w:tcPr>
          <w:p w:rsidR="00A61835" w:rsidRPr="000C770C" w:rsidRDefault="00A61835" w:rsidP="00607C45">
            <w:pPr>
              <w:jc w:val="center"/>
              <w:rPr>
                <w:rFonts w:eastAsia="標楷體"/>
                <w:color w:val="000000" w:themeColor="text1"/>
              </w:rPr>
            </w:pPr>
            <w:r w:rsidRPr="000C770C">
              <w:rPr>
                <w:rFonts w:eastAsia="標楷體" w:hint="eastAsia"/>
                <w:color w:val="000000" w:themeColor="text1"/>
              </w:rPr>
              <w:t>Malaysia</w:t>
            </w:r>
          </w:p>
        </w:tc>
        <w:tc>
          <w:tcPr>
            <w:tcW w:w="2551" w:type="dxa"/>
            <w:tcBorders>
              <w:top w:val="single" w:sz="4" w:space="0" w:color="auto"/>
              <w:left w:val="nil"/>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2.750</w:t>
            </w:r>
          </w:p>
        </w:tc>
        <w:tc>
          <w:tcPr>
            <w:tcW w:w="2552" w:type="dxa"/>
            <w:tcBorders>
              <w:top w:val="single" w:sz="4" w:space="0" w:color="auto"/>
              <w:left w:val="single" w:sz="4" w:space="0" w:color="auto"/>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0.93</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1.820</w:t>
            </w:r>
          </w:p>
        </w:tc>
      </w:tr>
      <w:tr w:rsidR="00A61835" w:rsidRPr="00AF3D34" w:rsidTr="00607C45">
        <w:trPr>
          <w:trHeight w:val="588"/>
        </w:trPr>
        <w:tc>
          <w:tcPr>
            <w:tcW w:w="1560" w:type="dxa"/>
            <w:tcBorders>
              <w:top w:val="nil"/>
              <w:left w:val="single" w:sz="4" w:space="0" w:color="auto"/>
              <w:bottom w:val="single" w:sz="4" w:space="0" w:color="auto"/>
              <w:right w:val="single" w:sz="4" w:space="0" w:color="auto"/>
            </w:tcBorders>
            <w:shd w:val="clear" w:color="auto" w:fill="auto"/>
            <w:noWrap/>
            <w:vAlign w:val="center"/>
          </w:tcPr>
          <w:p w:rsidR="00A61835" w:rsidRPr="000C770C" w:rsidRDefault="00A61835" w:rsidP="00607C45">
            <w:pPr>
              <w:jc w:val="center"/>
              <w:rPr>
                <w:rFonts w:eastAsia="標楷體"/>
                <w:color w:val="000000" w:themeColor="text1"/>
              </w:rPr>
            </w:pPr>
            <w:r w:rsidRPr="000C770C">
              <w:rPr>
                <w:rFonts w:eastAsia="標楷體" w:hint="eastAsia"/>
                <w:color w:val="000000" w:themeColor="text1"/>
              </w:rPr>
              <w:t>Indonesia</w:t>
            </w:r>
          </w:p>
        </w:tc>
        <w:tc>
          <w:tcPr>
            <w:tcW w:w="2551" w:type="dxa"/>
            <w:tcBorders>
              <w:top w:val="nil"/>
              <w:left w:val="nil"/>
              <w:bottom w:val="single" w:sz="4" w:space="0" w:color="auto"/>
              <w:right w:val="single" w:sz="4" w:space="0" w:color="auto"/>
            </w:tcBorders>
            <w:shd w:val="clear" w:color="auto" w:fill="auto"/>
            <w:vAlign w:val="center"/>
          </w:tcPr>
          <w:p w:rsidR="00A61835" w:rsidRPr="00B26BA1" w:rsidRDefault="00A61835" w:rsidP="00607C45">
            <w:pPr>
              <w:jc w:val="center"/>
              <w:rPr>
                <w:rFonts w:eastAsia="標楷體"/>
              </w:rPr>
            </w:pPr>
            <w:r w:rsidRPr="00B26BA1">
              <w:rPr>
                <w:rFonts w:eastAsia="標楷體"/>
              </w:rPr>
              <w:t>4.750</w:t>
            </w:r>
          </w:p>
        </w:tc>
        <w:tc>
          <w:tcPr>
            <w:tcW w:w="2552" w:type="dxa"/>
            <w:tcBorders>
              <w:top w:val="nil"/>
              <w:left w:val="nil"/>
              <w:bottom w:val="single" w:sz="4" w:space="0" w:color="auto"/>
              <w:right w:val="single" w:sz="4" w:space="0" w:color="auto"/>
            </w:tcBorders>
            <w:shd w:val="clear" w:color="auto" w:fill="auto"/>
            <w:vAlign w:val="center"/>
          </w:tcPr>
          <w:p w:rsidR="00A61835" w:rsidRPr="00B26BA1" w:rsidRDefault="00A61835" w:rsidP="00607C45">
            <w:pPr>
              <w:jc w:val="center"/>
              <w:rPr>
                <w:rFonts w:eastAsia="標楷體"/>
              </w:rPr>
            </w:pPr>
            <w:r w:rsidRPr="00B26BA1">
              <w:rPr>
                <w:rFonts w:eastAsia="標楷體"/>
              </w:rPr>
              <w:t>3.18</w:t>
            </w:r>
          </w:p>
        </w:tc>
        <w:tc>
          <w:tcPr>
            <w:tcW w:w="2693" w:type="dxa"/>
            <w:tcBorders>
              <w:top w:val="nil"/>
              <w:left w:val="nil"/>
              <w:bottom w:val="single" w:sz="4" w:space="0" w:color="auto"/>
              <w:right w:val="single" w:sz="4" w:space="0" w:color="auto"/>
            </w:tcBorders>
            <w:shd w:val="clear" w:color="auto" w:fill="auto"/>
            <w:vAlign w:val="center"/>
          </w:tcPr>
          <w:p w:rsidR="00A61835" w:rsidRPr="00B26BA1" w:rsidRDefault="00A61835" w:rsidP="00607C45">
            <w:pPr>
              <w:jc w:val="center"/>
              <w:rPr>
                <w:rFonts w:eastAsia="標楷體"/>
              </w:rPr>
            </w:pPr>
            <w:r w:rsidRPr="00B26BA1">
              <w:rPr>
                <w:rFonts w:eastAsia="標楷體"/>
              </w:rPr>
              <w:t>1.570</w:t>
            </w:r>
          </w:p>
        </w:tc>
      </w:tr>
      <w:tr w:rsidR="00A61835" w:rsidRPr="00AF3D34" w:rsidTr="00607C45">
        <w:trPr>
          <w:trHeight w:val="58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A61835" w:rsidRPr="000C770C" w:rsidRDefault="00A61835" w:rsidP="00607C45">
            <w:pPr>
              <w:jc w:val="center"/>
              <w:rPr>
                <w:rFonts w:eastAsia="標楷體"/>
                <w:color w:val="000000" w:themeColor="text1"/>
              </w:rPr>
            </w:pPr>
            <w:r w:rsidRPr="000C770C">
              <w:rPr>
                <w:rFonts w:eastAsia="標楷體" w:hint="eastAsia"/>
                <w:color w:val="000000" w:themeColor="text1"/>
              </w:rPr>
              <w:t>South Korea</w:t>
            </w:r>
          </w:p>
        </w:tc>
        <w:tc>
          <w:tcPr>
            <w:tcW w:w="2551" w:type="dxa"/>
            <w:tcBorders>
              <w:top w:val="nil"/>
              <w:left w:val="nil"/>
              <w:bottom w:val="single" w:sz="4" w:space="0" w:color="auto"/>
              <w:right w:val="single" w:sz="4" w:space="0" w:color="auto"/>
            </w:tcBorders>
            <w:shd w:val="clear" w:color="auto" w:fill="auto"/>
            <w:vAlign w:val="center"/>
            <w:hideMark/>
          </w:tcPr>
          <w:p w:rsidR="00A61835" w:rsidRPr="00B26BA1" w:rsidRDefault="00A61835" w:rsidP="00607C45">
            <w:pPr>
              <w:jc w:val="center"/>
              <w:rPr>
                <w:rFonts w:eastAsia="標楷體"/>
              </w:rPr>
            </w:pPr>
            <w:r w:rsidRPr="00B26BA1">
              <w:rPr>
                <w:rFonts w:eastAsia="標楷體"/>
              </w:rPr>
              <w:t>1.100</w:t>
            </w:r>
          </w:p>
        </w:tc>
        <w:tc>
          <w:tcPr>
            <w:tcW w:w="2552" w:type="dxa"/>
            <w:tcBorders>
              <w:top w:val="nil"/>
              <w:left w:val="nil"/>
              <w:bottom w:val="single" w:sz="4" w:space="0" w:color="auto"/>
              <w:right w:val="single" w:sz="4" w:space="0" w:color="auto"/>
            </w:tcBorders>
            <w:shd w:val="clear" w:color="auto" w:fill="auto"/>
            <w:vAlign w:val="center"/>
            <w:hideMark/>
          </w:tcPr>
          <w:p w:rsidR="00A61835" w:rsidRPr="00B26BA1" w:rsidRDefault="00A61835" w:rsidP="00607C45">
            <w:pPr>
              <w:jc w:val="center"/>
              <w:rPr>
                <w:rFonts w:eastAsia="標楷體"/>
              </w:rPr>
            </w:pPr>
            <w:r w:rsidRPr="00B26BA1">
              <w:rPr>
                <w:rFonts w:eastAsia="標楷體"/>
              </w:rPr>
              <w:t>0.32</w:t>
            </w:r>
          </w:p>
        </w:tc>
        <w:tc>
          <w:tcPr>
            <w:tcW w:w="2693" w:type="dxa"/>
            <w:tcBorders>
              <w:top w:val="nil"/>
              <w:left w:val="nil"/>
              <w:bottom w:val="single" w:sz="4" w:space="0" w:color="auto"/>
              <w:right w:val="single" w:sz="4" w:space="0" w:color="auto"/>
            </w:tcBorders>
            <w:shd w:val="clear" w:color="auto" w:fill="auto"/>
            <w:vAlign w:val="center"/>
            <w:hideMark/>
          </w:tcPr>
          <w:p w:rsidR="00A61835" w:rsidRPr="00B26BA1" w:rsidRDefault="00A61835" w:rsidP="00607C45">
            <w:pPr>
              <w:jc w:val="center"/>
              <w:rPr>
                <w:rFonts w:eastAsia="標楷體"/>
              </w:rPr>
            </w:pPr>
            <w:r w:rsidRPr="00B26BA1">
              <w:rPr>
                <w:rFonts w:eastAsia="標楷體"/>
              </w:rPr>
              <w:t>0.780</w:t>
            </w:r>
          </w:p>
        </w:tc>
      </w:tr>
      <w:tr w:rsidR="00A61835" w:rsidRPr="00AF3D34" w:rsidTr="00607C45">
        <w:trPr>
          <w:trHeight w:val="588"/>
        </w:trPr>
        <w:tc>
          <w:tcPr>
            <w:tcW w:w="1560" w:type="dxa"/>
            <w:tcBorders>
              <w:top w:val="nil"/>
              <w:left w:val="single" w:sz="4" w:space="0" w:color="auto"/>
              <w:bottom w:val="single" w:sz="4" w:space="0" w:color="auto"/>
              <w:right w:val="single" w:sz="4" w:space="0" w:color="auto"/>
            </w:tcBorders>
            <w:shd w:val="clear" w:color="FFFFFF" w:fill="FFFFFF"/>
            <w:noWrap/>
            <w:vAlign w:val="center"/>
            <w:hideMark/>
          </w:tcPr>
          <w:p w:rsidR="00A61835" w:rsidRPr="000C770C" w:rsidRDefault="00A61835" w:rsidP="00607C45">
            <w:pPr>
              <w:jc w:val="center"/>
              <w:rPr>
                <w:rFonts w:eastAsia="標楷體"/>
                <w:color w:val="000000" w:themeColor="text1"/>
              </w:rPr>
            </w:pPr>
            <w:r w:rsidRPr="000C770C">
              <w:rPr>
                <w:rFonts w:eastAsia="標楷體" w:hint="eastAsia"/>
                <w:color w:val="000000" w:themeColor="text1"/>
              </w:rPr>
              <w:t>Thailand</w:t>
            </w:r>
          </w:p>
        </w:tc>
        <w:tc>
          <w:tcPr>
            <w:tcW w:w="2551" w:type="dxa"/>
            <w:tcBorders>
              <w:top w:val="nil"/>
              <w:left w:val="nil"/>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1.500</w:t>
            </w:r>
          </w:p>
        </w:tc>
        <w:tc>
          <w:tcPr>
            <w:tcW w:w="2552" w:type="dxa"/>
            <w:tcBorders>
              <w:top w:val="nil"/>
              <w:left w:val="single" w:sz="4" w:space="0" w:color="auto"/>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0.94</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0.560</w:t>
            </w:r>
          </w:p>
        </w:tc>
      </w:tr>
      <w:tr w:rsidR="00A61835" w:rsidRPr="00B26BA1" w:rsidTr="00607C45">
        <w:trPr>
          <w:trHeight w:val="588"/>
        </w:trPr>
        <w:tc>
          <w:tcPr>
            <w:tcW w:w="1560" w:type="dxa"/>
            <w:tcBorders>
              <w:top w:val="nil"/>
              <w:left w:val="single" w:sz="4" w:space="0" w:color="auto"/>
              <w:bottom w:val="single" w:sz="4" w:space="0" w:color="auto"/>
              <w:right w:val="single" w:sz="4" w:space="0" w:color="auto"/>
            </w:tcBorders>
            <w:shd w:val="clear" w:color="auto" w:fill="FFFFCC"/>
            <w:noWrap/>
            <w:vAlign w:val="center"/>
            <w:hideMark/>
          </w:tcPr>
          <w:p w:rsidR="00A61835" w:rsidRPr="000C770C" w:rsidRDefault="00A61835" w:rsidP="00607C45">
            <w:pPr>
              <w:jc w:val="center"/>
              <w:rPr>
                <w:rFonts w:eastAsia="標楷體"/>
                <w:b/>
                <w:color w:val="000000" w:themeColor="text1"/>
              </w:rPr>
            </w:pPr>
            <w:r w:rsidRPr="000C770C">
              <w:rPr>
                <w:rFonts w:eastAsia="標楷體" w:hint="eastAsia"/>
                <w:b/>
                <w:color w:val="000000" w:themeColor="text1"/>
              </w:rPr>
              <w:t>T</w:t>
            </w:r>
            <w:r w:rsidRPr="000C770C">
              <w:rPr>
                <w:rFonts w:eastAsia="標楷體"/>
                <w:b/>
                <w:color w:val="000000" w:themeColor="text1"/>
              </w:rPr>
              <w:t>a</w:t>
            </w:r>
            <w:r w:rsidRPr="000C770C">
              <w:rPr>
                <w:rFonts w:eastAsia="標楷體" w:hint="eastAsia"/>
                <w:b/>
                <w:color w:val="000000" w:themeColor="text1"/>
              </w:rPr>
              <w:t>iwan</w:t>
            </w:r>
          </w:p>
        </w:tc>
        <w:tc>
          <w:tcPr>
            <w:tcW w:w="2551" w:type="dxa"/>
            <w:tcBorders>
              <w:top w:val="nil"/>
              <w:left w:val="nil"/>
              <w:bottom w:val="single" w:sz="4" w:space="0" w:color="auto"/>
              <w:right w:val="nil"/>
            </w:tcBorders>
            <w:shd w:val="clear" w:color="auto" w:fill="FFFFCC"/>
            <w:noWrap/>
            <w:vAlign w:val="center"/>
            <w:hideMark/>
          </w:tcPr>
          <w:p w:rsidR="00A61835" w:rsidRPr="00B26BA1" w:rsidRDefault="00A61835" w:rsidP="00607C45">
            <w:pPr>
              <w:jc w:val="center"/>
              <w:rPr>
                <w:rFonts w:eastAsia="標楷體"/>
                <w:b/>
              </w:rPr>
            </w:pPr>
            <w:r w:rsidRPr="00B26BA1">
              <w:rPr>
                <w:rFonts w:eastAsia="標楷體"/>
                <w:b/>
              </w:rPr>
              <w:t>1.065</w:t>
            </w:r>
          </w:p>
        </w:tc>
        <w:tc>
          <w:tcPr>
            <w:tcW w:w="2552" w:type="dxa"/>
            <w:tcBorders>
              <w:top w:val="nil"/>
              <w:left w:val="single" w:sz="4" w:space="0" w:color="auto"/>
              <w:bottom w:val="single" w:sz="4" w:space="0" w:color="auto"/>
              <w:right w:val="nil"/>
            </w:tcBorders>
            <w:shd w:val="clear" w:color="auto" w:fill="FFFFCC"/>
            <w:noWrap/>
            <w:vAlign w:val="center"/>
            <w:hideMark/>
          </w:tcPr>
          <w:p w:rsidR="00A61835" w:rsidRPr="00B26BA1" w:rsidRDefault="00A61835" w:rsidP="00607C45">
            <w:pPr>
              <w:jc w:val="center"/>
              <w:rPr>
                <w:rFonts w:eastAsia="標楷體"/>
                <w:b/>
              </w:rPr>
            </w:pPr>
            <w:r w:rsidRPr="00B26BA1">
              <w:rPr>
                <w:rFonts w:eastAsia="標楷體"/>
                <w:b/>
              </w:rPr>
              <w:t>0.70</w:t>
            </w:r>
          </w:p>
        </w:tc>
        <w:tc>
          <w:tcPr>
            <w:tcW w:w="2693" w:type="dxa"/>
            <w:tcBorders>
              <w:top w:val="nil"/>
              <w:left w:val="single" w:sz="4" w:space="0" w:color="auto"/>
              <w:bottom w:val="single" w:sz="4" w:space="0" w:color="auto"/>
              <w:right w:val="single" w:sz="4" w:space="0" w:color="auto"/>
            </w:tcBorders>
            <w:shd w:val="clear" w:color="auto" w:fill="FFFFCC"/>
            <w:noWrap/>
            <w:vAlign w:val="center"/>
            <w:hideMark/>
          </w:tcPr>
          <w:p w:rsidR="00A61835" w:rsidRPr="00B26BA1" w:rsidRDefault="00A61835" w:rsidP="00607C45">
            <w:pPr>
              <w:jc w:val="center"/>
              <w:rPr>
                <w:rFonts w:eastAsia="標楷體"/>
                <w:b/>
              </w:rPr>
            </w:pPr>
            <w:r w:rsidRPr="00B26BA1">
              <w:rPr>
                <w:rFonts w:eastAsia="標楷體"/>
                <w:b/>
              </w:rPr>
              <w:t>0.365</w:t>
            </w:r>
          </w:p>
        </w:tc>
      </w:tr>
      <w:tr w:rsidR="00A61835" w:rsidRPr="00AF3D34" w:rsidTr="00607C45">
        <w:trPr>
          <w:trHeight w:val="58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15371A">
              <w:rPr>
                <w:rFonts w:eastAsia="標楷體" w:hint="eastAsia"/>
                <w:color w:val="000000" w:themeColor="text1"/>
              </w:rPr>
              <w:t>US</w:t>
            </w:r>
          </w:p>
        </w:tc>
        <w:tc>
          <w:tcPr>
            <w:tcW w:w="2551" w:type="dxa"/>
            <w:tcBorders>
              <w:top w:val="single" w:sz="4" w:space="0" w:color="auto"/>
              <w:left w:val="nil"/>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1.980</w:t>
            </w:r>
          </w:p>
        </w:tc>
        <w:tc>
          <w:tcPr>
            <w:tcW w:w="2552" w:type="dxa"/>
            <w:tcBorders>
              <w:top w:val="single" w:sz="4" w:space="0" w:color="auto"/>
              <w:left w:val="single" w:sz="4" w:space="0" w:color="auto"/>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1.82</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0.160</w:t>
            </w:r>
          </w:p>
        </w:tc>
      </w:tr>
      <w:tr w:rsidR="00A61835" w:rsidRPr="00AF3D34" w:rsidTr="00607C45">
        <w:trPr>
          <w:trHeight w:val="58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0C770C">
              <w:rPr>
                <w:rFonts w:eastAsia="標楷體" w:hint="eastAsia"/>
                <w:color w:val="000000" w:themeColor="text1"/>
              </w:rPr>
              <w:t>Singapore</w:t>
            </w:r>
          </w:p>
        </w:tc>
        <w:tc>
          <w:tcPr>
            <w:tcW w:w="2551" w:type="dxa"/>
            <w:tcBorders>
              <w:top w:val="single" w:sz="4" w:space="0" w:color="auto"/>
              <w:left w:val="nil"/>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0.700</w:t>
            </w:r>
          </w:p>
        </w:tc>
        <w:tc>
          <w:tcPr>
            <w:tcW w:w="2552" w:type="dxa"/>
            <w:tcBorders>
              <w:top w:val="single" w:sz="4" w:space="0" w:color="auto"/>
              <w:left w:val="single" w:sz="4" w:space="0" w:color="auto"/>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0.78</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-0.080</w:t>
            </w:r>
          </w:p>
        </w:tc>
      </w:tr>
      <w:tr w:rsidR="00A61835" w:rsidRPr="00AF3D34" w:rsidTr="00607C45">
        <w:trPr>
          <w:trHeight w:val="588"/>
        </w:trPr>
        <w:tc>
          <w:tcPr>
            <w:tcW w:w="1560" w:type="dxa"/>
            <w:tcBorders>
              <w:top w:val="nil"/>
              <w:left w:val="single" w:sz="4" w:space="0" w:color="auto"/>
              <w:bottom w:val="single" w:sz="4" w:space="0" w:color="auto"/>
              <w:right w:val="single" w:sz="4" w:space="0" w:color="auto"/>
            </w:tcBorders>
            <w:shd w:val="clear" w:color="FFFFFF" w:fill="FFFFFF"/>
            <w:noWrap/>
            <w:vAlign w:val="center"/>
            <w:hideMark/>
          </w:tcPr>
          <w:p w:rsidR="00A61835" w:rsidRPr="00B26BA1" w:rsidRDefault="00A61835" w:rsidP="00607C45">
            <w:pPr>
              <w:jc w:val="center"/>
              <w:rPr>
                <w:rFonts w:eastAsia="標楷體"/>
              </w:rPr>
            </w:pPr>
            <w:r w:rsidRPr="000C770C">
              <w:rPr>
                <w:rFonts w:eastAsia="標楷體" w:hint="eastAsia"/>
                <w:color w:val="000000" w:themeColor="text1"/>
              </w:rPr>
              <w:t>Switzerland</w:t>
            </w:r>
          </w:p>
        </w:tc>
        <w:tc>
          <w:tcPr>
            <w:tcW w:w="2551" w:type="dxa"/>
            <w:tcBorders>
              <w:top w:val="nil"/>
              <w:left w:val="nil"/>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0.000</w:t>
            </w:r>
          </w:p>
        </w:tc>
        <w:tc>
          <w:tcPr>
            <w:tcW w:w="2552" w:type="dxa"/>
            <w:tcBorders>
              <w:top w:val="nil"/>
              <w:left w:val="single" w:sz="4" w:space="0" w:color="auto"/>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0.52</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-0.520</w:t>
            </w:r>
          </w:p>
        </w:tc>
      </w:tr>
      <w:tr w:rsidR="00A61835" w:rsidRPr="00AF3D34" w:rsidTr="00607C45">
        <w:trPr>
          <w:trHeight w:val="588"/>
        </w:trPr>
        <w:tc>
          <w:tcPr>
            <w:tcW w:w="1560" w:type="dxa"/>
            <w:tcBorders>
              <w:top w:val="nil"/>
              <w:left w:val="single" w:sz="4" w:space="0" w:color="auto"/>
              <w:bottom w:val="single" w:sz="4" w:space="0" w:color="auto"/>
              <w:right w:val="single" w:sz="4" w:space="0" w:color="auto"/>
            </w:tcBorders>
            <w:shd w:val="clear" w:color="FFFFFF" w:fill="FFFFFF"/>
            <w:noWrap/>
            <w:vAlign w:val="center"/>
            <w:hideMark/>
          </w:tcPr>
          <w:p w:rsidR="00A61835" w:rsidRPr="00B26BA1" w:rsidRDefault="00A61835" w:rsidP="00607C45">
            <w:pPr>
              <w:jc w:val="center"/>
              <w:rPr>
                <w:rFonts w:eastAsia="標楷體"/>
              </w:rPr>
            </w:pPr>
            <w:r w:rsidRPr="000C770C">
              <w:rPr>
                <w:rFonts w:eastAsia="標楷體" w:hint="eastAsia"/>
                <w:color w:val="000000" w:themeColor="text1"/>
              </w:rPr>
              <w:t>Japan</w:t>
            </w:r>
          </w:p>
        </w:tc>
        <w:tc>
          <w:tcPr>
            <w:tcW w:w="2551" w:type="dxa"/>
            <w:tcBorders>
              <w:top w:val="nil"/>
              <w:left w:val="nil"/>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0.010</w:t>
            </w:r>
          </w:p>
        </w:tc>
        <w:tc>
          <w:tcPr>
            <w:tcW w:w="2552" w:type="dxa"/>
            <w:tcBorders>
              <w:top w:val="nil"/>
              <w:left w:val="single" w:sz="4" w:space="0" w:color="auto"/>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0.69</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-0.680</w:t>
            </w:r>
          </w:p>
        </w:tc>
      </w:tr>
      <w:tr w:rsidR="00A61835" w:rsidRPr="00AF3D34" w:rsidTr="00607C45">
        <w:trPr>
          <w:trHeight w:val="588"/>
        </w:trPr>
        <w:tc>
          <w:tcPr>
            <w:tcW w:w="1560" w:type="dxa"/>
            <w:tcBorders>
              <w:top w:val="nil"/>
              <w:left w:val="single" w:sz="4" w:space="0" w:color="auto"/>
              <w:bottom w:val="single" w:sz="4" w:space="0" w:color="auto"/>
              <w:right w:val="single" w:sz="4" w:space="0" w:color="auto"/>
            </w:tcBorders>
            <w:shd w:val="clear" w:color="FFFFFF" w:fill="FFFFFF"/>
            <w:noWrap/>
            <w:vAlign w:val="center"/>
            <w:hideMark/>
          </w:tcPr>
          <w:p w:rsidR="00A61835" w:rsidRPr="00B26BA1" w:rsidRDefault="00A61835" w:rsidP="00607C45">
            <w:pPr>
              <w:jc w:val="center"/>
              <w:rPr>
                <w:rFonts w:eastAsia="標楷體"/>
              </w:rPr>
            </w:pPr>
            <w:r w:rsidRPr="000C770C">
              <w:rPr>
                <w:rFonts w:eastAsia="標楷體" w:hint="eastAsia"/>
                <w:color w:val="000000" w:themeColor="text1"/>
              </w:rPr>
              <w:t>China</w:t>
            </w:r>
          </w:p>
        </w:tc>
        <w:tc>
          <w:tcPr>
            <w:tcW w:w="2551" w:type="dxa"/>
            <w:tcBorders>
              <w:top w:val="nil"/>
              <w:left w:val="nil"/>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1.500</w:t>
            </w:r>
          </w:p>
        </w:tc>
        <w:tc>
          <w:tcPr>
            <w:tcW w:w="2552" w:type="dxa"/>
            <w:tcBorders>
              <w:top w:val="nil"/>
              <w:left w:val="single" w:sz="4" w:space="0" w:color="auto"/>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2.53</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-1.030</w:t>
            </w:r>
          </w:p>
        </w:tc>
      </w:tr>
      <w:tr w:rsidR="00A61835" w:rsidRPr="00AF3D34" w:rsidTr="00607C45">
        <w:trPr>
          <w:trHeight w:val="588"/>
        </w:trPr>
        <w:tc>
          <w:tcPr>
            <w:tcW w:w="1560" w:type="dxa"/>
            <w:tcBorders>
              <w:top w:val="nil"/>
              <w:left w:val="single" w:sz="4" w:space="0" w:color="auto"/>
              <w:bottom w:val="single" w:sz="4" w:space="0" w:color="auto"/>
              <w:right w:val="single" w:sz="4" w:space="0" w:color="auto"/>
            </w:tcBorders>
            <w:shd w:val="clear" w:color="FFFFFF" w:fill="FFFFFF"/>
            <w:noWrap/>
            <w:vAlign w:val="center"/>
            <w:hideMark/>
          </w:tcPr>
          <w:p w:rsidR="00A61835" w:rsidRPr="00B26BA1" w:rsidRDefault="00A61835" w:rsidP="00607C45">
            <w:pPr>
              <w:jc w:val="center"/>
              <w:rPr>
                <w:rFonts w:eastAsia="標楷體"/>
              </w:rPr>
            </w:pPr>
            <w:r w:rsidRPr="0015371A">
              <w:rPr>
                <w:rFonts w:eastAsia="標楷體" w:hint="eastAsia"/>
                <w:color w:val="000000" w:themeColor="text1"/>
              </w:rPr>
              <w:t>Euro area</w:t>
            </w:r>
          </w:p>
        </w:tc>
        <w:tc>
          <w:tcPr>
            <w:tcW w:w="2551" w:type="dxa"/>
            <w:tcBorders>
              <w:top w:val="nil"/>
              <w:left w:val="nil"/>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0.050</w:t>
            </w:r>
          </w:p>
        </w:tc>
        <w:tc>
          <w:tcPr>
            <w:tcW w:w="2552" w:type="dxa"/>
            <w:tcBorders>
              <w:top w:val="nil"/>
              <w:left w:val="single" w:sz="4" w:space="0" w:color="auto"/>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1.31</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-1.260</w:t>
            </w:r>
          </w:p>
        </w:tc>
      </w:tr>
      <w:tr w:rsidR="00A61835" w:rsidRPr="00AF3D34" w:rsidTr="00607C45">
        <w:trPr>
          <w:trHeight w:val="588"/>
        </w:trPr>
        <w:tc>
          <w:tcPr>
            <w:tcW w:w="1560" w:type="dxa"/>
            <w:tcBorders>
              <w:top w:val="nil"/>
              <w:left w:val="single" w:sz="4" w:space="0" w:color="auto"/>
              <w:bottom w:val="nil"/>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0C770C">
              <w:rPr>
                <w:rFonts w:eastAsia="標楷體" w:hint="eastAsia"/>
                <w:color w:val="000000" w:themeColor="text1"/>
              </w:rPr>
              <w:t>UK</w:t>
            </w:r>
          </w:p>
        </w:tc>
        <w:tc>
          <w:tcPr>
            <w:tcW w:w="2551" w:type="dxa"/>
            <w:tcBorders>
              <w:top w:val="nil"/>
              <w:left w:val="nil"/>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0.700</w:t>
            </w:r>
          </w:p>
        </w:tc>
        <w:tc>
          <w:tcPr>
            <w:tcW w:w="2552" w:type="dxa"/>
            <w:tcBorders>
              <w:top w:val="nil"/>
              <w:left w:val="single" w:sz="4" w:space="0" w:color="auto"/>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2.00</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-1.300</w:t>
            </w:r>
          </w:p>
        </w:tc>
      </w:tr>
      <w:tr w:rsidR="00A61835" w:rsidRPr="00AF3D34" w:rsidTr="00607C45">
        <w:trPr>
          <w:trHeight w:val="588"/>
        </w:trPr>
        <w:tc>
          <w:tcPr>
            <w:tcW w:w="15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A61835" w:rsidRPr="00B26BA1" w:rsidRDefault="00A61835" w:rsidP="00607C45">
            <w:pPr>
              <w:jc w:val="center"/>
              <w:rPr>
                <w:rFonts w:eastAsia="標楷體"/>
              </w:rPr>
            </w:pPr>
            <w:r w:rsidRPr="000C770C">
              <w:rPr>
                <w:rFonts w:eastAsia="標楷體" w:hint="eastAsia"/>
                <w:color w:val="000000" w:themeColor="text1"/>
              </w:rPr>
              <w:t>Philippines</w:t>
            </w:r>
          </w:p>
        </w:tc>
        <w:tc>
          <w:tcPr>
            <w:tcW w:w="2551" w:type="dxa"/>
            <w:tcBorders>
              <w:top w:val="nil"/>
              <w:left w:val="nil"/>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0.500</w:t>
            </w:r>
          </w:p>
        </w:tc>
        <w:tc>
          <w:tcPr>
            <w:tcW w:w="2552" w:type="dxa"/>
            <w:tcBorders>
              <w:top w:val="nil"/>
              <w:left w:val="single" w:sz="4" w:space="0" w:color="auto"/>
              <w:bottom w:val="single" w:sz="4" w:space="0" w:color="auto"/>
              <w:right w:val="nil"/>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2.61</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-2.110</w:t>
            </w:r>
          </w:p>
        </w:tc>
      </w:tr>
      <w:tr w:rsidR="00A61835" w:rsidRPr="00AF3D34" w:rsidTr="00607C45">
        <w:trPr>
          <w:trHeight w:val="588"/>
        </w:trPr>
        <w:tc>
          <w:tcPr>
            <w:tcW w:w="1560" w:type="dxa"/>
            <w:tcBorders>
              <w:top w:val="nil"/>
              <w:left w:val="single" w:sz="4" w:space="0" w:color="auto"/>
              <w:bottom w:val="single" w:sz="8" w:space="0" w:color="auto"/>
              <w:right w:val="single" w:sz="4" w:space="0" w:color="auto"/>
            </w:tcBorders>
            <w:shd w:val="clear" w:color="FFFFFF" w:fill="FFFFFF"/>
            <w:noWrap/>
            <w:vAlign w:val="center"/>
            <w:hideMark/>
          </w:tcPr>
          <w:p w:rsidR="00A61835" w:rsidRPr="00B26BA1" w:rsidRDefault="00A61835" w:rsidP="00607C45">
            <w:pPr>
              <w:jc w:val="center"/>
              <w:rPr>
                <w:rFonts w:eastAsia="標楷體"/>
              </w:rPr>
            </w:pPr>
            <w:r w:rsidRPr="000C770C">
              <w:rPr>
                <w:rFonts w:eastAsia="標楷體" w:hint="eastAsia"/>
                <w:color w:val="000000" w:themeColor="text1"/>
              </w:rPr>
              <w:t>Hong Kong</w:t>
            </w:r>
          </w:p>
        </w:tc>
        <w:tc>
          <w:tcPr>
            <w:tcW w:w="2551" w:type="dxa"/>
            <w:tcBorders>
              <w:top w:val="nil"/>
              <w:left w:val="nil"/>
              <w:bottom w:val="single" w:sz="8" w:space="0" w:color="auto"/>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0.300</w:t>
            </w:r>
          </w:p>
        </w:tc>
        <w:tc>
          <w:tcPr>
            <w:tcW w:w="2552" w:type="dxa"/>
            <w:tcBorders>
              <w:top w:val="nil"/>
              <w:left w:val="nil"/>
              <w:bottom w:val="single" w:sz="8" w:space="0" w:color="auto"/>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2.69</w:t>
            </w:r>
          </w:p>
        </w:tc>
        <w:tc>
          <w:tcPr>
            <w:tcW w:w="2693" w:type="dxa"/>
            <w:tcBorders>
              <w:top w:val="nil"/>
              <w:left w:val="nil"/>
              <w:bottom w:val="single" w:sz="8" w:space="0" w:color="auto"/>
              <w:right w:val="single" w:sz="4" w:space="0" w:color="auto"/>
            </w:tcBorders>
            <w:shd w:val="clear" w:color="auto" w:fill="auto"/>
            <w:noWrap/>
            <w:vAlign w:val="center"/>
            <w:hideMark/>
          </w:tcPr>
          <w:p w:rsidR="00A61835" w:rsidRPr="00B26BA1" w:rsidRDefault="00A61835" w:rsidP="00607C45">
            <w:pPr>
              <w:jc w:val="center"/>
              <w:rPr>
                <w:rFonts w:eastAsia="標楷體"/>
              </w:rPr>
            </w:pPr>
            <w:r w:rsidRPr="00B26BA1">
              <w:rPr>
                <w:rFonts w:eastAsia="標楷體"/>
              </w:rPr>
              <w:t>-2.390</w:t>
            </w:r>
          </w:p>
        </w:tc>
      </w:tr>
    </w:tbl>
    <w:p w:rsidR="00A61835" w:rsidRPr="00472929" w:rsidRDefault="00A61835" w:rsidP="00607C45">
      <w:pPr>
        <w:snapToGrid w:val="0"/>
        <w:spacing w:before="60"/>
        <w:ind w:left="258" w:hangingChars="129" w:hanging="258"/>
        <w:rPr>
          <w:rFonts w:eastAsia="標楷體"/>
        </w:rPr>
      </w:pPr>
      <w:proofErr w:type="gramStart"/>
      <w:r w:rsidRPr="00472929">
        <w:rPr>
          <w:rFonts w:eastAsia="標楷體" w:hint="eastAsia"/>
        </w:rPr>
        <w:t>*  1</w:t>
      </w:r>
      <w:proofErr w:type="gramEnd"/>
      <w:r w:rsidRPr="00472929">
        <w:rPr>
          <w:rFonts w:eastAsia="標楷體" w:hint="eastAsia"/>
        </w:rPr>
        <w:t xml:space="preserve">-year interest rates on small-amount deposits of selected major banks in respective economies, except for Taiwan, of which the figure is the </w:t>
      </w:r>
      <w:r w:rsidRPr="00472929">
        <w:rPr>
          <w:rFonts w:eastAsia="標楷體"/>
        </w:rPr>
        <w:t>1</w:t>
      </w:r>
      <w:r w:rsidRPr="00472929">
        <w:rPr>
          <w:rFonts w:eastAsia="標楷體" w:hint="eastAsia"/>
        </w:rPr>
        <w:t>-</w:t>
      </w:r>
      <w:r w:rsidRPr="00472929">
        <w:rPr>
          <w:rFonts w:eastAsia="標楷體"/>
        </w:rPr>
        <w:t>y</w:t>
      </w:r>
      <w:r w:rsidRPr="00472929">
        <w:rPr>
          <w:rFonts w:eastAsia="標楷體" w:hint="eastAsia"/>
        </w:rPr>
        <w:t>ear</w:t>
      </w:r>
      <w:r w:rsidRPr="00472929">
        <w:rPr>
          <w:rFonts w:eastAsia="標楷體"/>
        </w:rPr>
        <w:t xml:space="preserve"> time</w:t>
      </w:r>
      <w:r w:rsidRPr="00472929">
        <w:rPr>
          <w:rFonts w:eastAsia="標楷體" w:hint="eastAsia"/>
        </w:rPr>
        <w:t xml:space="preserve"> </w:t>
      </w:r>
      <w:r w:rsidRPr="00472929">
        <w:rPr>
          <w:rFonts w:eastAsia="標楷體"/>
        </w:rPr>
        <w:t>deposit</w:t>
      </w:r>
      <w:r w:rsidRPr="00472929">
        <w:rPr>
          <w:rFonts w:eastAsia="標楷體" w:hint="eastAsia"/>
        </w:rPr>
        <w:t xml:space="preserve"> floating</w:t>
      </w:r>
      <w:r w:rsidRPr="00472929">
        <w:rPr>
          <w:rFonts w:eastAsia="標楷體"/>
        </w:rPr>
        <w:t xml:space="preserve"> rate of the five major domestic banks</w:t>
      </w:r>
      <w:r w:rsidRPr="00472929">
        <w:rPr>
          <w:rFonts w:eastAsia="標楷體" w:hint="eastAsia"/>
        </w:rPr>
        <w:t xml:space="preserve">. </w:t>
      </w:r>
    </w:p>
    <w:p w:rsidR="00A61835" w:rsidRPr="00472929" w:rsidRDefault="00A61835" w:rsidP="00607C45">
      <w:pPr>
        <w:snapToGrid w:val="0"/>
        <w:spacing w:before="60"/>
        <w:ind w:left="258" w:hangingChars="129" w:hanging="258"/>
        <w:rPr>
          <w:rFonts w:eastAsia="標楷體"/>
        </w:rPr>
      </w:pPr>
      <w:r w:rsidRPr="00472929">
        <w:rPr>
          <w:rFonts w:eastAsia="標楷體" w:hint="eastAsia"/>
        </w:rPr>
        <w:t xml:space="preserve">** </w:t>
      </w:r>
      <w:r w:rsidRPr="00472929">
        <w:rPr>
          <w:rFonts w:eastAsia="標楷體"/>
        </w:rPr>
        <w:t>I</w:t>
      </w:r>
      <w:r w:rsidRPr="00472929">
        <w:rPr>
          <w:rFonts w:eastAsia="標楷體" w:hint="eastAsia"/>
        </w:rPr>
        <w:t>H</w:t>
      </w:r>
      <w:r w:rsidRPr="00472929">
        <w:rPr>
          <w:rFonts w:eastAsia="標楷體"/>
        </w:rPr>
        <w:t>S</w:t>
      </w:r>
      <w:r w:rsidRPr="00472929">
        <w:rPr>
          <w:rFonts w:eastAsia="標楷體" w:hint="eastAsia"/>
        </w:rPr>
        <w:t xml:space="preserve"> </w:t>
      </w:r>
      <w:proofErr w:type="spellStart"/>
      <w:r w:rsidRPr="00472929">
        <w:rPr>
          <w:rFonts w:eastAsia="標楷體" w:hint="eastAsia"/>
        </w:rPr>
        <w:t>Markit</w:t>
      </w:r>
      <w:proofErr w:type="spellEnd"/>
      <w:r w:rsidRPr="00472929">
        <w:rPr>
          <w:rFonts w:eastAsia="標楷體"/>
        </w:rPr>
        <w:t xml:space="preserve"> projections, as of </w:t>
      </w:r>
      <w:r>
        <w:rPr>
          <w:rFonts w:eastAsia="標楷體" w:hint="eastAsia"/>
        </w:rPr>
        <w:t>September</w:t>
      </w:r>
      <w:r w:rsidRPr="00472929">
        <w:rPr>
          <w:rFonts w:eastAsia="標楷體"/>
        </w:rPr>
        <w:t xml:space="preserve"> 1</w:t>
      </w:r>
      <w:r>
        <w:rPr>
          <w:rFonts w:eastAsia="標楷體" w:hint="eastAsia"/>
        </w:rPr>
        <w:t>7</w:t>
      </w:r>
      <w:r w:rsidRPr="00472929">
        <w:rPr>
          <w:rFonts w:eastAsia="標楷體"/>
        </w:rPr>
        <w:t>, 201</w:t>
      </w:r>
      <w:r w:rsidRPr="00472929">
        <w:rPr>
          <w:rFonts w:eastAsia="標楷體" w:hint="eastAsia"/>
        </w:rPr>
        <w:t>9</w:t>
      </w:r>
      <w:r w:rsidRPr="00472929">
        <w:rPr>
          <w:rFonts w:eastAsia="標楷體"/>
        </w:rPr>
        <w:t>. Forecast for Taiwan'</w:t>
      </w:r>
      <w:r w:rsidRPr="00472929">
        <w:rPr>
          <w:rFonts w:eastAsia="標楷體" w:hint="eastAsia"/>
        </w:rPr>
        <w:t>s CPI annual growth rate is the CBC</w:t>
      </w:r>
      <w:r w:rsidRPr="00472929">
        <w:rPr>
          <w:rFonts w:eastAsia="標楷體"/>
        </w:rPr>
        <w:t>'</w:t>
      </w:r>
      <w:r w:rsidRPr="00472929">
        <w:rPr>
          <w:rFonts w:eastAsia="標楷體" w:hint="eastAsia"/>
        </w:rPr>
        <w:t>s projection.</w:t>
      </w:r>
    </w:p>
    <w:p w:rsidR="00A61835" w:rsidRPr="00472929" w:rsidRDefault="00A61835" w:rsidP="00A61835">
      <w:pPr>
        <w:snapToGrid w:val="0"/>
        <w:spacing w:beforeLines="50" w:before="120" w:afterLines="20" w:after="48"/>
        <w:ind w:left="200" w:hangingChars="100" w:hanging="200"/>
        <w:rPr>
          <w:rFonts w:eastAsia="標楷體"/>
        </w:rPr>
      </w:pPr>
    </w:p>
    <w:sectPr w:rsidR="00A61835" w:rsidRPr="00472929" w:rsidSect="009E04FA">
      <w:footerReference w:type="first" r:id="rId14"/>
      <w:pgSz w:w="11907" w:h="16840" w:code="9"/>
      <w:pgMar w:top="1304" w:right="1418" w:bottom="1276" w:left="1418" w:header="0" w:footer="454" w:gutter="0"/>
      <w:paperSrc w:first="15" w:other="15"/>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E5A" w:rsidRDefault="007D3E5A">
      <w:r>
        <w:separator/>
      </w:r>
    </w:p>
  </w:endnote>
  <w:endnote w:type="continuationSeparator" w:id="0">
    <w:p w:rsidR="007D3E5A" w:rsidRDefault="007D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楷書體W5">
    <w:altName w:val="Arial Unicode MS"/>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中楷">
    <w:altName w:val="Times New Roman"/>
    <w:charset w:val="00"/>
    <w:family w:val="auto"/>
    <w:pitch w:val="variable"/>
    <w:sig w:usb0="00000001" w:usb1="5000785B" w:usb2="00000000" w:usb3="00000000" w:csb0="0000019F" w:csb1="00000000"/>
  </w:font>
  <w:font w:name="華康中楷體">
    <w:altName w:val="細明體"/>
    <w:panose1 w:val="00000000000000000000"/>
    <w:charset w:val="88"/>
    <w:family w:val="modern"/>
    <w:notTrueType/>
    <w:pitch w:val="fixed"/>
    <w:sig w:usb0="00000001" w:usb1="08080000" w:usb2="00000010" w:usb3="00000000" w:csb0="00100000" w:csb1="00000000"/>
  </w:font>
  <w:font w:name="華康仿宋體W6">
    <w:charset w:val="88"/>
    <w:family w:val="modern"/>
    <w:pitch w:val="fixed"/>
    <w:sig w:usb0="80000001" w:usb1="28091800" w:usb2="00000016" w:usb3="00000000" w:csb0="00100000" w:csb1="00000000"/>
  </w:font>
  <w:font w:name="華康隸書體W5">
    <w:altName w:val="Arial Unicode MS"/>
    <w:charset w:val="88"/>
    <w:family w:val="script"/>
    <w:pitch w:val="fixed"/>
    <w:sig w:usb0="80000001" w:usb1="28091800" w:usb2="00000016" w:usb3="00000000" w:csb0="00100000" w:csb1="00000000"/>
  </w:font>
  <w:font w:name="sө">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45" w:rsidRDefault="00607C45">
    <w:pPr>
      <w:pStyle w:val="a6"/>
      <w:framePr w:wrap="auto" w:vAnchor="text" w:hAnchor="margin" w:xAlign="right" w:y="1"/>
      <w:textDirection w:val="lrTbV"/>
      <w:rPr>
        <w:rStyle w:val="aa"/>
      </w:rPr>
    </w:pP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p>
  <w:p w:rsidR="00607C45" w:rsidRDefault="00607C45">
    <w:pPr>
      <w:pStyle w:val="a6"/>
      <w:ind w:right="360"/>
      <w:textDirection w:val="lrTbV"/>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45" w:rsidRDefault="00607C45">
    <w:pPr>
      <w:pStyle w:val="a6"/>
      <w:jc w:val="center"/>
    </w:pPr>
  </w:p>
  <w:p w:rsidR="00607C45" w:rsidRDefault="00607C4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324940"/>
      <w:docPartObj>
        <w:docPartGallery w:val="Page Numbers (Bottom of Page)"/>
        <w:docPartUnique/>
      </w:docPartObj>
    </w:sdtPr>
    <w:sdtEndPr/>
    <w:sdtContent>
      <w:p w:rsidR="00607C45" w:rsidRDefault="00607C45">
        <w:pPr>
          <w:pStyle w:val="a6"/>
          <w:jc w:val="center"/>
        </w:pPr>
        <w:r>
          <w:fldChar w:fldCharType="begin"/>
        </w:r>
        <w:r>
          <w:instrText>PAGE   \* MERGEFORMAT</w:instrText>
        </w:r>
        <w:r>
          <w:fldChar w:fldCharType="separate"/>
        </w:r>
        <w:r w:rsidR="00502589" w:rsidRPr="00502589">
          <w:rPr>
            <w:noProof/>
            <w:lang w:val="zh-TW"/>
          </w:rPr>
          <w:t>11</w:t>
        </w:r>
        <w:r>
          <w:fldChar w:fldCharType="end"/>
        </w:r>
      </w:p>
    </w:sdtContent>
  </w:sdt>
  <w:p w:rsidR="00607C45" w:rsidRDefault="00607C45">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828376"/>
      <w:docPartObj>
        <w:docPartGallery w:val="Page Numbers (Bottom of Page)"/>
        <w:docPartUnique/>
      </w:docPartObj>
    </w:sdtPr>
    <w:sdtEndPr/>
    <w:sdtContent>
      <w:p w:rsidR="00607C45" w:rsidRDefault="00607C45">
        <w:pPr>
          <w:pStyle w:val="a6"/>
          <w:jc w:val="center"/>
        </w:pPr>
        <w:r>
          <w:fldChar w:fldCharType="begin"/>
        </w:r>
        <w:r>
          <w:instrText>PAGE   \* MERGEFORMAT</w:instrText>
        </w:r>
        <w:r>
          <w:fldChar w:fldCharType="separate"/>
        </w:r>
        <w:r w:rsidR="00B01925" w:rsidRPr="00B01925">
          <w:rPr>
            <w:noProof/>
            <w:lang w:val="zh-TW"/>
          </w:rPr>
          <w:t>18</w:t>
        </w:r>
        <w:r>
          <w:fldChar w:fldCharType="end"/>
        </w:r>
      </w:p>
    </w:sdtContent>
  </w:sdt>
  <w:p w:rsidR="00607C45" w:rsidRDefault="00607C45">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479862"/>
      <w:docPartObj>
        <w:docPartGallery w:val="Page Numbers (Bottom of Page)"/>
        <w:docPartUnique/>
      </w:docPartObj>
    </w:sdtPr>
    <w:sdtEndPr/>
    <w:sdtContent>
      <w:p w:rsidR="00607C45" w:rsidRDefault="00607C45">
        <w:pPr>
          <w:pStyle w:val="a6"/>
          <w:jc w:val="center"/>
        </w:pPr>
        <w:r>
          <w:fldChar w:fldCharType="begin"/>
        </w:r>
        <w:r>
          <w:instrText>PAGE   \* MERGEFORMAT</w:instrText>
        </w:r>
        <w:r>
          <w:fldChar w:fldCharType="separate"/>
        </w:r>
        <w:r w:rsidRPr="00590406">
          <w:rPr>
            <w:noProof/>
            <w:lang w:val="zh-TW"/>
          </w:rPr>
          <w:t>1</w:t>
        </w:r>
        <w:r>
          <w:fldChar w:fldCharType="end"/>
        </w:r>
      </w:p>
    </w:sdtContent>
  </w:sdt>
  <w:p w:rsidR="00607C45" w:rsidRDefault="00607C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E5A" w:rsidRDefault="007D3E5A">
      <w:r>
        <w:separator/>
      </w:r>
    </w:p>
  </w:footnote>
  <w:footnote w:type="continuationSeparator" w:id="0">
    <w:p w:rsidR="007D3E5A" w:rsidRDefault="007D3E5A">
      <w:r>
        <w:continuationSeparator/>
      </w:r>
    </w:p>
  </w:footnote>
  <w:footnote w:id="1">
    <w:p w:rsidR="00607C45" w:rsidRDefault="00607C45" w:rsidP="00363599">
      <w:pPr>
        <w:pStyle w:val="afc"/>
      </w:pPr>
      <w:r w:rsidRPr="00DA1FFC">
        <w:rPr>
          <w:rStyle w:val="afe"/>
          <w:sz w:val="22"/>
        </w:rPr>
        <w:footnoteRef/>
      </w:r>
      <w:r w:rsidRPr="00DA1FFC">
        <w:rPr>
          <w:sz w:val="22"/>
        </w:rPr>
        <w:t xml:space="preserve"> This English translation is provided for information purposes only</w:t>
      </w:r>
      <w:r w:rsidRPr="00DA1FFC">
        <w:rPr>
          <w:rFonts w:hint="eastAsia"/>
          <w:sz w:val="22"/>
        </w:rPr>
        <w:t>;</w:t>
      </w:r>
      <w:r w:rsidRPr="00DA1FFC">
        <w:rPr>
          <w:sz w:val="22"/>
        </w:rPr>
        <w:t xml:space="preserve"> the Chinese version shall prevail in case of discrepancies.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45" w:rsidRDefault="00607C45" w:rsidP="00527E73">
    <w:pPr>
      <w:jc w:val="right"/>
      <w:rPr>
        <w:rFonts w:eastAsia="標楷體"/>
      </w:rPr>
    </w:pPr>
  </w:p>
  <w:p w:rsidR="00607C45" w:rsidRPr="00A76EF5" w:rsidRDefault="00607C45" w:rsidP="00527E7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48015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5B54AA"/>
    <w:multiLevelType w:val="hybridMultilevel"/>
    <w:tmpl w:val="95D8E28A"/>
    <w:lvl w:ilvl="0" w:tplc="F24E37B8">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08223DF"/>
    <w:multiLevelType w:val="hybridMultilevel"/>
    <w:tmpl w:val="C492A912"/>
    <w:lvl w:ilvl="0" w:tplc="0F0462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35C1A4D"/>
    <w:multiLevelType w:val="hybridMultilevel"/>
    <w:tmpl w:val="54F80464"/>
    <w:lvl w:ilvl="0" w:tplc="892CC06E">
      <w:start w:val="1"/>
      <w:numFmt w:val="taiwaneseCountingThousand"/>
      <w:lvlText w:val="(%1)"/>
      <w:lvlJc w:val="left"/>
      <w:pPr>
        <w:ind w:left="1530" w:hanging="792"/>
      </w:pPr>
      <w:rPr>
        <w:rFonts w:hint="default"/>
      </w:rPr>
    </w:lvl>
    <w:lvl w:ilvl="1" w:tplc="04090019" w:tentative="1">
      <w:start w:val="1"/>
      <w:numFmt w:val="ideographTraditional"/>
      <w:lvlText w:val="%2、"/>
      <w:lvlJc w:val="left"/>
      <w:pPr>
        <w:ind w:left="1698" w:hanging="480"/>
      </w:pPr>
    </w:lvl>
    <w:lvl w:ilvl="2" w:tplc="0409001B" w:tentative="1">
      <w:start w:val="1"/>
      <w:numFmt w:val="lowerRoman"/>
      <w:lvlText w:val="%3."/>
      <w:lvlJc w:val="right"/>
      <w:pPr>
        <w:ind w:left="2178" w:hanging="480"/>
      </w:pPr>
    </w:lvl>
    <w:lvl w:ilvl="3" w:tplc="0409000F" w:tentative="1">
      <w:start w:val="1"/>
      <w:numFmt w:val="decimal"/>
      <w:lvlText w:val="%4."/>
      <w:lvlJc w:val="left"/>
      <w:pPr>
        <w:ind w:left="2658" w:hanging="480"/>
      </w:pPr>
    </w:lvl>
    <w:lvl w:ilvl="4" w:tplc="04090019" w:tentative="1">
      <w:start w:val="1"/>
      <w:numFmt w:val="ideographTraditional"/>
      <w:lvlText w:val="%5、"/>
      <w:lvlJc w:val="left"/>
      <w:pPr>
        <w:ind w:left="3138" w:hanging="480"/>
      </w:pPr>
    </w:lvl>
    <w:lvl w:ilvl="5" w:tplc="0409001B" w:tentative="1">
      <w:start w:val="1"/>
      <w:numFmt w:val="lowerRoman"/>
      <w:lvlText w:val="%6."/>
      <w:lvlJc w:val="right"/>
      <w:pPr>
        <w:ind w:left="3618" w:hanging="480"/>
      </w:pPr>
    </w:lvl>
    <w:lvl w:ilvl="6" w:tplc="0409000F" w:tentative="1">
      <w:start w:val="1"/>
      <w:numFmt w:val="decimal"/>
      <w:lvlText w:val="%7."/>
      <w:lvlJc w:val="left"/>
      <w:pPr>
        <w:ind w:left="4098" w:hanging="480"/>
      </w:pPr>
    </w:lvl>
    <w:lvl w:ilvl="7" w:tplc="04090019" w:tentative="1">
      <w:start w:val="1"/>
      <w:numFmt w:val="ideographTraditional"/>
      <w:lvlText w:val="%8、"/>
      <w:lvlJc w:val="left"/>
      <w:pPr>
        <w:ind w:left="4578" w:hanging="480"/>
      </w:pPr>
    </w:lvl>
    <w:lvl w:ilvl="8" w:tplc="0409001B" w:tentative="1">
      <w:start w:val="1"/>
      <w:numFmt w:val="lowerRoman"/>
      <w:lvlText w:val="%9."/>
      <w:lvlJc w:val="right"/>
      <w:pPr>
        <w:ind w:left="5058" w:hanging="480"/>
      </w:pPr>
    </w:lvl>
  </w:abstractNum>
  <w:abstractNum w:abstractNumId="4">
    <w:nsid w:val="0B305A87"/>
    <w:multiLevelType w:val="hybridMultilevel"/>
    <w:tmpl w:val="2EB67CD2"/>
    <w:lvl w:ilvl="0" w:tplc="98FA2CF2">
      <w:start w:val="1"/>
      <w:numFmt w:val="upperRoman"/>
      <w:lvlText w:val="%1."/>
      <w:lvlJc w:val="left"/>
      <w:pPr>
        <w:tabs>
          <w:tab w:val="num" w:pos="480"/>
        </w:tabs>
        <w:ind w:left="480" w:hanging="480"/>
      </w:pPr>
      <w:rPr>
        <w:rFonts w:cs="Times New Roman" w:hint="eastAsia"/>
      </w:rPr>
    </w:lvl>
    <w:lvl w:ilvl="1" w:tplc="8AE84C88">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BB67B8F"/>
    <w:multiLevelType w:val="hybridMultilevel"/>
    <w:tmpl w:val="8F52CADC"/>
    <w:lvl w:ilvl="0" w:tplc="F2B0F786">
      <w:start w:val="1"/>
      <w:numFmt w:val="decimal"/>
      <w:lvlText w:val="(%1)"/>
      <w:lvlJc w:val="left"/>
      <w:pPr>
        <w:ind w:left="1512" w:hanging="96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6">
    <w:nsid w:val="0C5006BA"/>
    <w:multiLevelType w:val="hybridMultilevel"/>
    <w:tmpl w:val="028026DE"/>
    <w:lvl w:ilvl="0" w:tplc="F3EE8AC4">
      <w:start w:val="1"/>
      <w:numFmt w:val="taiwaneseCountingThousand"/>
      <w:pStyle w:val="2"/>
      <w:suff w:val="nothing"/>
      <w:lvlText w:val="(%1)"/>
      <w:lvlJc w:val="left"/>
      <w:pPr>
        <w:ind w:left="1437" w:hanging="1080"/>
      </w:pPr>
      <w:rPr>
        <w:rFonts w:ascii="標楷體" w:eastAsia="標楷體" w:hAnsi="標楷體" w:hint="eastAsia"/>
        <w:color w:val="auto"/>
        <w:u w:val="none"/>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7">
    <w:nsid w:val="111B63F8"/>
    <w:multiLevelType w:val="hybridMultilevel"/>
    <w:tmpl w:val="EDC43B7E"/>
    <w:lvl w:ilvl="0" w:tplc="F65CCD78">
      <w:start w:val="1"/>
      <w:numFmt w:val="decimal"/>
      <w:lvlText w:val="%1、"/>
      <w:lvlJc w:val="left"/>
      <w:pPr>
        <w:ind w:left="1892" w:hanging="720"/>
      </w:pPr>
      <w:rPr>
        <w:rFonts w:ascii="Times New Roman" w:hAnsi="Times New Roman" w:hint="default"/>
        <w:b w:val="0"/>
        <w:i w:val="0"/>
        <w:color w:val="auto"/>
        <w:sz w:val="32"/>
      </w:rPr>
    </w:lvl>
    <w:lvl w:ilvl="1" w:tplc="63AC1ED0">
      <w:start w:val="1"/>
      <w:numFmt w:val="taiwaneseCountingThousand"/>
      <w:lvlText w:val="(%2)"/>
      <w:lvlJc w:val="left"/>
      <w:pPr>
        <w:ind w:left="2372" w:hanging="720"/>
      </w:pPr>
      <w:rPr>
        <w:rFonts w:hint="default"/>
      </w:rPr>
    </w:lvl>
    <w:lvl w:ilvl="2" w:tplc="0409001B">
      <w:start w:val="1"/>
      <w:numFmt w:val="lowerRoman"/>
      <w:lvlText w:val="%3."/>
      <w:lvlJc w:val="right"/>
      <w:pPr>
        <w:ind w:left="2612" w:hanging="480"/>
      </w:pPr>
    </w:lvl>
    <w:lvl w:ilvl="3" w:tplc="0409000F">
      <w:start w:val="1"/>
      <w:numFmt w:val="decimal"/>
      <w:lvlText w:val="%4."/>
      <w:lvlJc w:val="left"/>
      <w:pPr>
        <w:ind w:left="3092" w:hanging="480"/>
      </w:pPr>
    </w:lvl>
    <w:lvl w:ilvl="4" w:tplc="04090019" w:tentative="1">
      <w:start w:val="1"/>
      <w:numFmt w:val="ideographTraditional"/>
      <w:lvlText w:val="%5、"/>
      <w:lvlJc w:val="left"/>
      <w:pPr>
        <w:ind w:left="3572" w:hanging="480"/>
      </w:pPr>
    </w:lvl>
    <w:lvl w:ilvl="5" w:tplc="0409001B" w:tentative="1">
      <w:start w:val="1"/>
      <w:numFmt w:val="lowerRoman"/>
      <w:lvlText w:val="%6."/>
      <w:lvlJc w:val="right"/>
      <w:pPr>
        <w:ind w:left="4052" w:hanging="480"/>
      </w:pPr>
    </w:lvl>
    <w:lvl w:ilvl="6" w:tplc="0409000F" w:tentative="1">
      <w:start w:val="1"/>
      <w:numFmt w:val="decimal"/>
      <w:lvlText w:val="%7."/>
      <w:lvlJc w:val="left"/>
      <w:pPr>
        <w:ind w:left="4532" w:hanging="480"/>
      </w:pPr>
    </w:lvl>
    <w:lvl w:ilvl="7" w:tplc="04090019" w:tentative="1">
      <w:start w:val="1"/>
      <w:numFmt w:val="ideographTraditional"/>
      <w:lvlText w:val="%8、"/>
      <w:lvlJc w:val="left"/>
      <w:pPr>
        <w:ind w:left="5012" w:hanging="480"/>
      </w:pPr>
    </w:lvl>
    <w:lvl w:ilvl="8" w:tplc="0409001B" w:tentative="1">
      <w:start w:val="1"/>
      <w:numFmt w:val="lowerRoman"/>
      <w:lvlText w:val="%9."/>
      <w:lvlJc w:val="right"/>
      <w:pPr>
        <w:ind w:left="5492" w:hanging="480"/>
      </w:pPr>
    </w:lvl>
  </w:abstractNum>
  <w:abstractNum w:abstractNumId="8">
    <w:nsid w:val="18496F15"/>
    <w:multiLevelType w:val="hybridMultilevel"/>
    <w:tmpl w:val="32AA09EE"/>
    <w:lvl w:ilvl="0" w:tplc="4E88451E">
      <w:start w:val="1"/>
      <w:numFmt w:val="taiwaneseCountingThousand"/>
      <w:suff w:val="nothing"/>
      <w:lvlText w:val="(%1)"/>
      <w:lvlJc w:val="left"/>
      <w:pPr>
        <w:ind w:left="764" w:hanging="480"/>
      </w:pPr>
      <w:rPr>
        <w:rFonts w:ascii="Times New Roman" w:eastAsia="標楷體" w:hAnsi="Times New Roman" w:cs="Times New Roman" w:hint="default"/>
        <w:color w:val="auto"/>
        <w:u w:val="none"/>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9">
    <w:nsid w:val="1AED194C"/>
    <w:multiLevelType w:val="hybridMultilevel"/>
    <w:tmpl w:val="744054DC"/>
    <w:lvl w:ilvl="0" w:tplc="E068B746">
      <w:start w:val="1"/>
      <w:numFmt w:val="taiwaneseCountingThousand"/>
      <w:suff w:val="nothing"/>
      <w:lvlText w:val="第%1案："/>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FE428C4"/>
    <w:multiLevelType w:val="hybridMultilevel"/>
    <w:tmpl w:val="5918866A"/>
    <w:lvl w:ilvl="0" w:tplc="0F04625E">
      <w:start w:val="1"/>
      <w:numFmt w:val="decimal"/>
      <w:lvlText w:val="(%1)"/>
      <w:lvlJc w:val="left"/>
      <w:pPr>
        <w:ind w:left="1032" w:hanging="480"/>
      </w:pPr>
      <w:rPr>
        <w:rFonts w:hint="eastAsia"/>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11">
    <w:nsid w:val="213B019E"/>
    <w:multiLevelType w:val="hybridMultilevel"/>
    <w:tmpl w:val="28C09B6C"/>
    <w:lvl w:ilvl="0" w:tplc="35880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770268D"/>
    <w:multiLevelType w:val="hybridMultilevel"/>
    <w:tmpl w:val="0BC024F0"/>
    <w:lvl w:ilvl="0" w:tplc="2CEA67F2">
      <w:start w:val="1"/>
      <w:numFmt w:val="taiwaneseCountingThousand"/>
      <w:suff w:val="nothing"/>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28F91C37"/>
    <w:multiLevelType w:val="hybridMultilevel"/>
    <w:tmpl w:val="4E4AEE38"/>
    <w:lvl w:ilvl="0" w:tplc="F65CCD78">
      <w:start w:val="1"/>
      <w:numFmt w:val="decimal"/>
      <w:lvlText w:val="%1、"/>
      <w:lvlJc w:val="left"/>
      <w:pPr>
        <w:ind w:left="720" w:hanging="720"/>
      </w:pPr>
      <w:rPr>
        <w:rFonts w:ascii="Times New Roman" w:hAnsi="Times New Roman" w:hint="default"/>
        <w:b w:val="0"/>
        <w:i w:val="0"/>
        <w:color w:val="auto"/>
        <w:sz w:val="32"/>
      </w:rPr>
    </w:lvl>
    <w:lvl w:ilvl="1" w:tplc="A52AE86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CA2740B"/>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DE276D2"/>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2424502"/>
    <w:multiLevelType w:val="hybridMultilevel"/>
    <w:tmpl w:val="1E46E38A"/>
    <w:lvl w:ilvl="0" w:tplc="A342A874">
      <w:start w:val="1"/>
      <w:numFmt w:val="decimalFullWidth"/>
      <w:pStyle w:val="1"/>
      <w:suff w:val="nothing"/>
      <w:lvlText w:val="%1、"/>
      <w:lvlJc w:val="left"/>
      <w:pPr>
        <w:ind w:left="1935" w:hanging="480"/>
      </w:pPr>
      <w:rPr>
        <w:rFonts w:hint="eastAsia"/>
        <w:b w:val="0"/>
        <w:lang w:val="en-US"/>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17">
    <w:nsid w:val="33410228"/>
    <w:multiLevelType w:val="hybridMultilevel"/>
    <w:tmpl w:val="C3204798"/>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6D67DCF"/>
    <w:multiLevelType w:val="hybridMultilevel"/>
    <w:tmpl w:val="6AAA8B5C"/>
    <w:lvl w:ilvl="0" w:tplc="1BBAF7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846A57"/>
    <w:multiLevelType w:val="hybridMultilevel"/>
    <w:tmpl w:val="3096582A"/>
    <w:lvl w:ilvl="0" w:tplc="8198089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A157B6A"/>
    <w:multiLevelType w:val="hybridMultilevel"/>
    <w:tmpl w:val="01CEB48A"/>
    <w:lvl w:ilvl="0" w:tplc="F65CCD78">
      <w:start w:val="1"/>
      <w:numFmt w:val="decimal"/>
      <w:lvlText w:val="%1、"/>
      <w:lvlJc w:val="left"/>
      <w:pPr>
        <w:ind w:left="720" w:hanging="720"/>
      </w:pPr>
      <w:rPr>
        <w:rFonts w:ascii="Times New Roman" w:hAnsi="Times New Roman" w:hint="default"/>
        <w:b w:val="0"/>
        <w:i w:val="0"/>
        <w:color w:val="auto"/>
        <w:sz w:val="32"/>
      </w:rPr>
    </w:lvl>
    <w:lvl w:ilvl="1" w:tplc="63AC1ED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A551B55"/>
    <w:multiLevelType w:val="hybridMultilevel"/>
    <w:tmpl w:val="74927AC0"/>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E3F31D5"/>
    <w:multiLevelType w:val="hybridMultilevel"/>
    <w:tmpl w:val="E102AD5E"/>
    <w:lvl w:ilvl="0" w:tplc="5552934E">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EE47233"/>
    <w:multiLevelType w:val="hybridMultilevel"/>
    <w:tmpl w:val="DBBC5CE6"/>
    <w:lvl w:ilvl="0" w:tplc="5978A4B6">
      <w:start w:val="1"/>
      <w:numFmt w:val="taiwaneseCountingThousand"/>
      <w:lvlText w:val="(%1)"/>
      <w:lvlJc w:val="left"/>
      <w:pPr>
        <w:ind w:left="189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EEB11A3"/>
    <w:multiLevelType w:val="hybridMultilevel"/>
    <w:tmpl w:val="D2441938"/>
    <w:lvl w:ilvl="0" w:tplc="15DCE4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FF96370"/>
    <w:multiLevelType w:val="hybridMultilevel"/>
    <w:tmpl w:val="C4AC9966"/>
    <w:lvl w:ilvl="0" w:tplc="11B46D98">
      <w:start w:val="1"/>
      <w:numFmt w:val="taiwaneseCountingThousand"/>
      <w:suff w:val="nothing"/>
      <w:lvlText w:val="第%1案："/>
      <w:lvlJc w:val="left"/>
      <w:pPr>
        <w:ind w:left="1615"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034545"/>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BFE0CE6"/>
    <w:multiLevelType w:val="hybridMultilevel"/>
    <w:tmpl w:val="55146648"/>
    <w:lvl w:ilvl="0" w:tplc="33CC672A">
      <w:start w:val="1"/>
      <w:numFmt w:val="taiwaneseCountingThousand"/>
      <w:pStyle w:val="10"/>
      <w:suff w:val="nothing"/>
      <w:lvlText w:val="%1、"/>
      <w:lvlJc w:val="left"/>
      <w:pPr>
        <w:ind w:left="1077" w:hanging="72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8">
    <w:nsid w:val="4C0B7C94"/>
    <w:multiLevelType w:val="hybridMultilevel"/>
    <w:tmpl w:val="291A2BE8"/>
    <w:lvl w:ilvl="0" w:tplc="FFFFFFFF">
      <w:start w:val="1"/>
      <w:numFmt w:val="taiwaneseCountingThousand"/>
      <w:lvlText w:val="%1、"/>
      <w:lvlJc w:val="left"/>
      <w:pPr>
        <w:tabs>
          <w:tab w:val="num" w:pos="480"/>
        </w:tabs>
        <w:ind w:left="480" w:hanging="480"/>
      </w:pPr>
    </w:lvl>
    <w:lvl w:ilvl="1" w:tplc="FFFFFFFF">
      <w:start w:val="1"/>
      <w:numFmt w:val="taiwaneseCountingThousand"/>
      <w:pStyle w:val="20"/>
      <w:lvlText w:val="（%2）"/>
      <w:lvlJc w:val="left"/>
      <w:pPr>
        <w:tabs>
          <w:tab w:val="num" w:pos="1335"/>
        </w:tabs>
        <w:ind w:left="1335" w:hanging="855"/>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nsid w:val="4CAD5466"/>
    <w:multiLevelType w:val="hybridMultilevel"/>
    <w:tmpl w:val="2CD66FAC"/>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nsid w:val="4F8450A6"/>
    <w:multiLevelType w:val="hybridMultilevel"/>
    <w:tmpl w:val="7202262E"/>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52B950A1"/>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3373AAB"/>
    <w:multiLevelType w:val="hybridMultilevel"/>
    <w:tmpl w:val="4B3252A6"/>
    <w:lvl w:ilvl="0" w:tplc="B2B0A792">
      <w:start w:val="1"/>
      <w:numFmt w:val="taiwaneseCountingThousand"/>
      <w:lvlText w:val="%1、"/>
      <w:lvlJc w:val="left"/>
      <w:pPr>
        <w:ind w:left="721" w:hanging="720"/>
      </w:pPr>
      <w:rPr>
        <w:rFonts w:hint="default"/>
      </w:rPr>
    </w:lvl>
    <w:lvl w:ilvl="1" w:tplc="20408084">
      <w:start w:val="1"/>
      <w:numFmt w:val="taiwaneseCountingThousand"/>
      <w:lvlText w:val="(%2)"/>
      <w:lvlJc w:val="left"/>
      <w:pPr>
        <w:ind w:left="1201" w:hanging="720"/>
      </w:pPr>
      <w:rPr>
        <w:rFonts w:ascii="Book Antiqua" w:hint="default"/>
      </w:r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3">
    <w:nsid w:val="53966627"/>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6A41DEA"/>
    <w:multiLevelType w:val="hybridMultilevel"/>
    <w:tmpl w:val="9192FB2C"/>
    <w:lvl w:ilvl="0" w:tplc="04090011">
      <w:start w:val="1"/>
      <w:numFmt w:val="upperLetter"/>
      <w:lvlText w:val="%1."/>
      <w:lvlJc w:val="left"/>
      <w:pPr>
        <w:ind w:left="480" w:hanging="480"/>
      </w:p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7A8054E"/>
    <w:multiLevelType w:val="hybridMultilevel"/>
    <w:tmpl w:val="C48485EA"/>
    <w:lvl w:ilvl="0" w:tplc="E2D499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D913DD6"/>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E7B5365"/>
    <w:multiLevelType w:val="hybridMultilevel"/>
    <w:tmpl w:val="26FE4618"/>
    <w:lvl w:ilvl="0" w:tplc="35067700">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7AE572F"/>
    <w:multiLevelType w:val="hybridMultilevel"/>
    <w:tmpl w:val="5C30FB16"/>
    <w:lvl w:ilvl="0" w:tplc="FF0C0EA2">
      <w:start w:val="1"/>
      <w:numFmt w:val="taiwaneseCountingThousand"/>
      <w:lvlText w:val="%1、"/>
      <w:lvlJc w:val="left"/>
      <w:pPr>
        <w:tabs>
          <w:tab w:val="num" w:pos="1100"/>
        </w:tabs>
        <w:ind w:left="1100" w:hanging="720"/>
      </w:pPr>
      <w:rPr>
        <w:rFonts w:hint="eastAsia"/>
        <w:lang w:val="en-US"/>
      </w:rPr>
    </w:lvl>
    <w:lvl w:ilvl="1" w:tplc="04090019" w:tentative="1">
      <w:start w:val="1"/>
      <w:numFmt w:val="ideographTraditional"/>
      <w:lvlText w:val="%2、"/>
      <w:lvlJc w:val="left"/>
      <w:pPr>
        <w:tabs>
          <w:tab w:val="num" w:pos="1340"/>
        </w:tabs>
        <w:ind w:left="1340" w:hanging="480"/>
      </w:pPr>
    </w:lvl>
    <w:lvl w:ilvl="2" w:tplc="0409001B" w:tentative="1">
      <w:start w:val="1"/>
      <w:numFmt w:val="lowerRoman"/>
      <w:lvlText w:val="%3."/>
      <w:lvlJc w:val="right"/>
      <w:pPr>
        <w:tabs>
          <w:tab w:val="num" w:pos="1820"/>
        </w:tabs>
        <w:ind w:left="1820" w:hanging="480"/>
      </w:pPr>
    </w:lvl>
    <w:lvl w:ilvl="3" w:tplc="0409000F" w:tentative="1">
      <w:start w:val="1"/>
      <w:numFmt w:val="decimal"/>
      <w:lvlText w:val="%4."/>
      <w:lvlJc w:val="left"/>
      <w:pPr>
        <w:tabs>
          <w:tab w:val="num" w:pos="2300"/>
        </w:tabs>
        <w:ind w:left="2300" w:hanging="480"/>
      </w:pPr>
    </w:lvl>
    <w:lvl w:ilvl="4" w:tplc="04090019" w:tentative="1">
      <w:start w:val="1"/>
      <w:numFmt w:val="ideographTraditional"/>
      <w:lvlText w:val="%5、"/>
      <w:lvlJc w:val="left"/>
      <w:pPr>
        <w:tabs>
          <w:tab w:val="num" w:pos="2780"/>
        </w:tabs>
        <w:ind w:left="2780" w:hanging="480"/>
      </w:pPr>
    </w:lvl>
    <w:lvl w:ilvl="5" w:tplc="0409001B" w:tentative="1">
      <w:start w:val="1"/>
      <w:numFmt w:val="lowerRoman"/>
      <w:lvlText w:val="%6."/>
      <w:lvlJc w:val="right"/>
      <w:pPr>
        <w:tabs>
          <w:tab w:val="num" w:pos="3260"/>
        </w:tabs>
        <w:ind w:left="3260" w:hanging="480"/>
      </w:pPr>
    </w:lvl>
    <w:lvl w:ilvl="6" w:tplc="0409000F" w:tentative="1">
      <w:start w:val="1"/>
      <w:numFmt w:val="decimal"/>
      <w:lvlText w:val="%7."/>
      <w:lvlJc w:val="left"/>
      <w:pPr>
        <w:tabs>
          <w:tab w:val="num" w:pos="3740"/>
        </w:tabs>
        <w:ind w:left="3740" w:hanging="480"/>
      </w:pPr>
    </w:lvl>
    <w:lvl w:ilvl="7" w:tplc="04090019" w:tentative="1">
      <w:start w:val="1"/>
      <w:numFmt w:val="ideographTraditional"/>
      <w:lvlText w:val="%8、"/>
      <w:lvlJc w:val="left"/>
      <w:pPr>
        <w:tabs>
          <w:tab w:val="num" w:pos="4220"/>
        </w:tabs>
        <w:ind w:left="4220" w:hanging="480"/>
      </w:pPr>
    </w:lvl>
    <w:lvl w:ilvl="8" w:tplc="0409001B" w:tentative="1">
      <w:start w:val="1"/>
      <w:numFmt w:val="lowerRoman"/>
      <w:lvlText w:val="%9."/>
      <w:lvlJc w:val="right"/>
      <w:pPr>
        <w:tabs>
          <w:tab w:val="num" w:pos="4700"/>
        </w:tabs>
        <w:ind w:left="4700" w:hanging="480"/>
      </w:pPr>
    </w:lvl>
  </w:abstractNum>
  <w:abstractNum w:abstractNumId="39">
    <w:nsid w:val="706E0043"/>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5C27277"/>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81A3E47"/>
    <w:multiLevelType w:val="hybridMultilevel"/>
    <w:tmpl w:val="64663490"/>
    <w:lvl w:ilvl="0" w:tplc="33E8C0C6">
      <w:start w:val="1"/>
      <w:numFmt w:val="taiwaneseCountingThousand"/>
      <w:pStyle w:val="a0"/>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42">
    <w:nsid w:val="79C72983"/>
    <w:multiLevelType w:val="hybridMultilevel"/>
    <w:tmpl w:val="11A8D7A0"/>
    <w:lvl w:ilvl="0" w:tplc="5D0ACDF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nsid w:val="7C5D6254"/>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CFD383F"/>
    <w:multiLevelType w:val="hybridMultilevel"/>
    <w:tmpl w:val="2E12D696"/>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5"/>
  </w:num>
  <w:num w:numId="2">
    <w:abstractNumId w:val="9"/>
  </w:num>
  <w:num w:numId="3">
    <w:abstractNumId w:val="28"/>
  </w:num>
  <w:num w:numId="4">
    <w:abstractNumId w:val="39"/>
  </w:num>
  <w:num w:numId="5">
    <w:abstractNumId w:val="27"/>
  </w:num>
  <w:num w:numId="6">
    <w:abstractNumId w:val="6"/>
  </w:num>
  <w:num w:numId="7">
    <w:abstractNumId w:val="20"/>
  </w:num>
  <w:num w:numId="8">
    <w:abstractNumId w:val="7"/>
  </w:num>
  <w:num w:numId="9">
    <w:abstractNumId w:val="13"/>
  </w:num>
  <w:num w:numId="10">
    <w:abstractNumId w:val="23"/>
  </w:num>
  <w:num w:numId="11">
    <w:abstractNumId w:val="16"/>
  </w:num>
  <w:num w:numId="12">
    <w:abstractNumId w:val="12"/>
  </w:num>
  <w:num w:numId="13">
    <w:abstractNumId w:val="8"/>
  </w:num>
  <w:num w:numId="14">
    <w:abstractNumId w:val="22"/>
  </w:num>
  <w:num w:numId="15">
    <w:abstractNumId w:val="37"/>
  </w:num>
  <w:num w:numId="16">
    <w:abstractNumId w:val="1"/>
  </w:num>
  <w:num w:numId="17">
    <w:abstractNumId w:val="18"/>
  </w:num>
  <w:num w:numId="18">
    <w:abstractNumId w:val="41"/>
  </w:num>
  <w:num w:numId="19">
    <w:abstractNumId w:val="32"/>
  </w:num>
  <w:num w:numId="20">
    <w:abstractNumId w:val="41"/>
  </w:num>
  <w:num w:numId="21">
    <w:abstractNumId w:val="41"/>
  </w:num>
  <w:num w:numId="22">
    <w:abstractNumId w:val="41"/>
  </w:num>
  <w:num w:numId="23">
    <w:abstractNumId w:val="42"/>
  </w:num>
  <w:num w:numId="24">
    <w:abstractNumId w:val="41"/>
  </w:num>
  <w:num w:numId="25">
    <w:abstractNumId w:val="41"/>
  </w:num>
  <w:num w:numId="26">
    <w:abstractNumId w:val="24"/>
  </w:num>
  <w:num w:numId="27">
    <w:abstractNumId w:val="35"/>
  </w:num>
  <w:num w:numId="28">
    <w:abstractNumId w:val="4"/>
  </w:num>
  <w:num w:numId="29">
    <w:abstractNumId w:val="40"/>
  </w:num>
  <w:num w:numId="30">
    <w:abstractNumId w:val="36"/>
  </w:num>
  <w:num w:numId="31">
    <w:abstractNumId w:val="38"/>
  </w:num>
  <w:num w:numId="32">
    <w:abstractNumId w:val="3"/>
  </w:num>
  <w:num w:numId="33">
    <w:abstractNumId w:val="10"/>
  </w:num>
  <w:num w:numId="34">
    <w:abstractNumId w:val="5"/>
  </w:num>
  <w:num w:numId="35">
    <w:abstractNumId w:val="33"/>
  </w:num>
  <w:num w:numId="36">
    <w:abstractNumId w:val="19"/>
  </w:num>
  <w:num w:numId="37">
    <w:abstractNumId w:val="43"/>
  </w:num>
  <w:num w:numId="38">
    <w:abstractNumId w:val="2"/>
  </w:num>
  <w:num w:numId="39">
    <w:abstractNumId w:val="11"/>
  </w:num>
  <w:num w:numId="40">
    <w:abstractNumId w:val="31"/>
  </w:num>
  <w:num w:numId="41">
    <w:abstractNumId w:val="26"/>
  </w:num>
  <w:num w:numId="42">
    <w:abstractNumId w:val="14"/>
  </w:num>
  <w:num w:numId="43">
    <w:abstractNumId w:val="15"/>
  </w:num>
  <w:num w:numId="44">
    <w:abstractNumId w:val="0"/>
  </w:num>
  <w:num w:numId="45">
    <w:abstractNumId w:val="21"/>
  </w:num>
  <w:num w:numId="46">
    <w:abstractNumId w:val="34"/>
  </w:num>
  <w:num w:numId="47">
    <w:abstractNumId w:val="30"/>
  </w:num>
  <w:num w:numId="48">
    <w:abstractNumId w:val="44"/>
  </w:num>
  <w:num w:numId="49">
    <w:abstractNumId w:val="17"/>
  </w:num>
  <w:num w:numId="50">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360"/>
  <w:doNotHyphenateCaps/>
  <w:drawingGridHorizontalSpacing w:val="91"/>
  <w:drawingGridVerticalSpacing w:val="186"/>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74.26 pt,3.4 pt"/>
    <w:docVar w:name="AutoMarginAdjustment3" w:val="68.04 pt,-2.82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357D03"/>
    <w:rsid w:val="0000009E"/>
    <w:rsid w:val="000000CD"/>
    <w:rsid w:val="00000539"/>
    <w:rsid w:val="00000893"/>
    <w:rsid w:val="00000C8B"/>
    <w:rsid w:val="000011A0"/>
    <w:rsid w:val="00001514"/>
    <w:rsid w:val="000015F2"/>
    <w:rsid w:val="00001A47"/>
    <w:rsid w:val="00002236"/>
    <w:rsid w:val="0000343F"/>
    <w:rsid w:val="00003746"/>
    <w:rsid w:val="0000408E"/>
    <w:rsid w:val="00004CC6"/>
    <w:rsid w:val="00004D84"/>
    <w:rsid w:val="00004ECA"/>
    <w:rsid w:val="00005C87"/>
    <w:rsid w:val="000060B5"/>
    <w:rsid w:val="00007267"/>
    <w:rsid w:val="00007492"/>
    <w:rsid w:val="00007912"/>
    <w:rsid w:val="00010526"/>
    <w:rsid w:val="0001263F"/>
    <w:rsid w:val="00012AE8"/>
    <w:rsid w:val="00012CF6"/>
    <w:rsid w:val="00013734"/>
    <w:rsid w:val="00014832"/>
    <w:rsid w:val="00015032"/>
    <w:rsid w:val="00015948"/>
    <w:rsid w:val="000172D1"/>
    <w:rsid w:val="00017CFB"/>
    <w:rsid w:val="000208F9"/>
    <w:rsid w:val="00020E28"/>
    <w:rsid w:val="0002139D"/>
    <w:rsid w:val="00021C4D"/>
    <w:rsid w:val="00022D53"/>
    <w:rsid w:val="000234E1"/>
    <w:rsid w:val="0002361C"/>
    <w:rsid w:val="00023AE0"/>
    <w:rsid w:val="00023B97"/>
    <w:rsid w:val="00023FE5"/>
    <w:rsid w:val="00024563"/>
    <w:rsid w:val="00024918"/>
    <w:rsid w:val="00024E21"/>
    <w:rsid w:val="00025945"/>
    <w:rsid w:val="000261D7"/>
    <w:rsid w:val="000268B3"/>
    <w:rsid w:val="00026B66"/>
    <w:rsid w:val="000273DC"/>
    <w:rsid w:val="000277F7"/>
    <w:rsid w:val="00027E19"/>
    <w:rsid w:val="00030F1C"/>
    <w:rsid w:val="00030F57"/>
    <w:rsid w:val="00030FC7"/>
    <w:rsid w:val="000313D2"/>
    <w:rsid w:val="0003181C"/>
    <w:rsid w:val="00031952"/>
    <w:rsid w:val="00031EE6"/>
    <w:rsid w:val="00033A27"/>
    <w:rsid w:val="000347CA"/>
    <w:rsid w:val="00034A01"/>
    <w:rsid w:val="000352E7"/>
    <w:rsid w:val="000354D4"/>
    <w:rsid w:val="00035AF2"/>
    <w:rsid w:val="00035C93"/>
    <w:rsid w:val="000364D7"/>
    <w:rsid w:val="00036C01"/>
    <w:rsid w:val="00037CF9"/>
    <w:rsid w:val="00037E4C"/>
    <w:rsid w:val="000409C7"/>
    <w:rsid w:val="00040A99"/>
    <w:rsid w:val="00040D8D"/>
    <w:rsid w:val="00041971"/>
    <w:rsid w:val="00041B34"/>
    <w:rsid w:val="00041F4E"/>
    <w:rsid w:val="0004218D"/>
    <w:rsid w:val="00042C02"/>
    <w:rsid w:val="00042EF3"/>
    <w:rsid w:val="00043767"/>
    <w:rsid w:val="00043817"/>
    <w:rsid w:val="00043DEB"/>
    <w:rsid w:val="00044455"/>
    <w:rsid w:val="000447BE"/>
    <w:rsid w:val="0004487E"/>
    <w:rsid w:val="00045291"/>
    <w:rsid w:val="00045DC9"/>
    <w:rsid w:val="00045E43"/>
    <w:rsid w:val="000465FC"/>
    <w:rsid w:val="0004691F"/>
    <w:rsid w:val="00046AB9"/>
    <w:rsid w:val="00047470"/>
    <w:rsid w:val="0005062A"/>
    <w:rsid w:val="000506F7"/>
    <w:rsid w:val="00050E8E"/>
    <w:rsid w:val="00051573"/>
    <w:rsid w:val="00051C4F"/>
    <w:rsid w:val="00052499"/>
    <w:rsid w:val="00052542"/>
    <w:rsid w:val="000527ED"/>
    <w:rsid w:val="00052D7F"/>
    <w:rsid w:val="0005481E"/>
    <w:rsid w:val="00054C75"/>
    <w:rsid w:val="00055653"/>
    <w:rsid w:val="0005572F"/>
    <w:rsid w:val="00055735"/>
    <w:rsid w:val="00055A5B"/>
    <w:rsid w:val="00055AA1"/>
    <w:rsid w:val="00055BEF"/>
    <w:rsid w:val="00055BFA"/>
    <w:rsid w:val="000563DA"/>
    <w:rsid w:val="000571DE"/>
    <w:rsid w:val="00057456"/>
    <w:rsid w:val="00057824"/>
    <w:rsid w:val="00057FAE"/>
    <w:rsid w:val="00060393"/>
    <w:rsid w:val="0006043D"/>
    <w:rsid w:val="0006066B"/>
    <w:rsid w:val="00060E8F"/>
    <w:rsid w:val="00061205"/>
    <w:rsid w:val="000615FB"/>
    <w:rsid w:val="00061D22"/>
    <w:rsid w:val="00062A2E"/>
    <w:rsid w:val="00062DAF"/>
    <w:rsid w:val="00063420"/>
    <w:rsid w:val="00063487"/>
    <w:rsid w:val="00064A6F"/>
    <w:rsid w:val="00065BAE"/>
    <w:rsid w:val="00065C34"/>
    <w:rsid w:val="00065E78"/>
    <w:rsid w:val="0006645E"/>
    <w:rsid w:val="000665A2"/>
    <w:rsid w:val="00066EDA"/>
    <w:rsid w:val="000671C3"/>
    <w:rsid w:val="00067450"/>
    <w:rsid w:val="000674D0"/>
    <w:rsid w:val="000677F4"/>
    <w:rsid w:val="0006788A"/>
    <w:rsid w:val="00067E09"/>
    <w:rsid w:val="000714E9"/>
    <w:rsid w:val="0007178B"/>
    <w:rsid w:val="00071AEF"/>
    <w:rsid w:val="000725FA"/>
    <w:rsid w:val="00072B97"/>
    <w:rsid w:val="0007357C"/>
    <w:rsid w:val="00073992"/>
    <w:rsid w:val="00073BC3"/>
    <w:rsid w:val="00073C35"/>
    <w:rsid w:val="000740C9"/>
    <w:rsid w:val="00074362"/>
    <w:rsid w:val="00074950"/>
    <w:rsid w:val="00074D40"/>
    <w:rsid w:val="0007575D"/>
    <w:rsid w:val="00076BA5"/>
    <w:rsid w:val="00077111"/>
    <w:rsid w:val="00077397"/>
    <w:rsid w:val="00077E23"/>
    <w:rsid w:val="0008017B"/>
    <w:rsid w:val="00080E7D"/>
    <w:rsid w:val="0008147C"/>
    <w:rsid w:val="000814EA"/>
    <w:rsid w:val="0008208A"/>
    <w:rsid w:val="0008211B"/>
    <w:rsid w:val="00084F10"/>
    <w:rsid w:val="00085353"/>
    <w:rsid w:val="000857AB"/>
    <w:rsid w:val="00086D52"/>
    <w:rsid w:val="0008788C"/>
    <w:rsid w:val="000879C7"/>
    <w:rsid w:val="00087E2C"/>
    <w:rsid w:val="00090AFA"/>
    <w:rsid w:val="00090F95"/>
    <w:rsid w:val="00090FBD"/>
    <w:rsid w:val="00091367"/>
    <w:rsid w:val="000919E1"/>
    <w:rsid w:val="00091D81"/>
    <w:rsid w:val="0009218B"/>
    <w:rsid w:val="00092585"/>
    <w:rsid w:val="0009286B"/>
    <w:rsid w:val="00092E5C"/>
    <w:rsid w:val="00092E6C"/>
    <w:rsid w:val="00092EE8"/>
    <w:rsid w:val="000941DE"/>
    <w:rsid w:val="00094254"/>
    <w:rsid w:val="000943A8"/>
    <w:rsid w:val="00094699"/>
    <w:rsid w:val="0009482E"/>
    <w:rsid w:val="00094953"/>
    <w:rsid w:val="00094D1C"/>
    <w:rsid w:val="000954C0"/>
    <w:rsid w:val="000957B8"/>
    <w:rsid w:val="00096651"/>
    <w:rsid w:val="00096ADB"/>
    <w:rsid w:val="00097ECB"/>
    <w:rsid w:val="000A244B"/>
    <w:rsid w:val="000A24E3"/>
    <w:rsid w:val="000A2A79"/>
    <w:rsid w:val="000A3D31"/>
    <w:rsid w:val="000A434A"/>
    <w:rsid w:val="000A48C6"/>
    <w:rsid w:val="000A5575"/>
    <w:rsid w:val="000A569B"/>
    <w:rsid w:val="000A5E81"/>
    <w:rsid w:val="000A6B23"/>
    <w:rsid w:val="000A73D1"/>
    <w:rsid w:val="000A7632"/>
    <w:rsid w:val="000A7644"/>
    <w:rsid w:val="000A767D"/>
    <w:rsid w:val="000B0AD9"/>
    <w:rsid w:val="000B0F2C"/>
    <w:rsid w:val="000B302B"/>
    <w:rsid w:val="000B3944"/>
    <w:rsid w:val="000B3F80"/>
    <w:rsid w:val="000B5270"/>
    <w:rsid w:val="000B556E"/>
    <w:rsid w:val="000B5C1F"/>
    <w:rsid w:val="000B67BB"/>
    <w:rsid w:val="000B6BEB"/>
    <w:rsid w:val="000B6D6B"/>
    <w:rsid w:val="000B7BA4"/>
    <w:rsid w:val="000B7DCC"/>
    <w:rsid w:val="000B7E6B"/>
    <w:rsid w:val="000C4BEE"/>
    <w:rsid w:val="000C65AF"/>
    <w:rsid w:val="000C66CA"/>
    <w:rsid w:val="000C7FDE"/>
    <w:rsid w:val="000D0035"/>
    <w:rsid w:val="000D00CC"/>
    <w:rsid w:val="000D09C1"/>
    <w:rsid w:val="000D15F7"/>
    <w:rsid w:val="000D235C"/>
    <w:rsid w:val="000D2D5F"/>
    <w:rsid w:val="000D38AC"/>
    <w:rsid w:val="000D3D4F"/>
    <w:rsid w:val="000D3D6D"/>
    <w:rsid w:val="000D438A"/>
    <w:rsid w:val="000D4473"/>
    <w:rsid w:val="000D47BE"/>
    <w:rsid w:val="000D48B4"/>
    <w:rsid w:val="000D5121"/>
    <w:rsid w:val="000D5A82"/>
    <w:rsid w:val="000D6024"/>
    <w:rsid w:val="000D6AA2"/>
    <w:rsid w:val="000D6E10"/>
    <w:rsid w:val="000D7025"/>
    <w:rsid w:val="000D7459"/>
    <w:rsid w:val="000D791E"/>
    <w:rsid w:val="000E029E"/>
    <w:rsid w:val="000E031F"/>
    <w:rsid w:val="000E09BC"/>
    <w:rsid w:val="000E0BA5"/>
    <w:rsid w:val="000E0D17"/>
    <w:rsid w:val="000E0E71"/>
    <w:rsid w:val="000E1D3F"/>
    <w:rsid w:val="000E23F1"/>
    <w:rsid w:val="000E284E"/>
    <w:rsid w:val="000E2D42"/>
    <w:rsid w:val="000E2E4A"/>
    <w:rsid w:val="000E2EB7"/>
    <w:rsid w:val="000E3124"/>
    <w:rsid w:val="000E3587"/>
    <w:rsid w:val="000E3711"/>
    <w:rsid w:val="000E3CFE"/>
    <w:rsid w:val="000E3DCC"/>
    <w:rsid w:val="000E4351"/>
    <w:rsid w:val="000E4AA2"/>
    <w:rsid w:val="000E55EF"/>
    <w:rsid w:val="000E658A"/>
    <w:rsid w:val="000E69DD"/>
    <w:rsid w:val="000E6FDF"/>
    <w:rsid w:val="000E700C"/>
    <w:rsid w:val="000E753C"/>
    <w:rsid w:val="000E7BD6"/>
    <w:rsid w:val="000E7CC3"/>
    <w:rsid w:val="000E7DB4"/>
    <w:rsid w:val="000F01A7"/>
    <w:rsid w:val="000F0290"/>
    <w:rsid w:val="000F063A"/>
    <w:rsid w:val="000F0C2A"/>
    <w:rsid w:val="000F1501"/>
    <w:rsid w:val="000F1CF6"/>
    <w:rsid w:val="000F1F88"/>
    <w:rsid w:val="000F259C"/>
    <w:rsid w:val="000F385F"/>
    <w:rsid w:val="000F38EF"/>
    <w:rsid w:val="000F4FA1"/>
    <w:rsid w:val="000F598A"/>
    <w:rsid w:val="000F5AD6"/>
    <w:rsid w:val="000F5C7A"/>
    <w:rsid w:val="000F6FE9"/>
    <w:rsid w:val="000F7B28"/>
    <w:rsid w:val="000F7D68"/>
    <w:rsid w:val="00100323"/>
    <w:rsid w:val="00100DA1"/>
    <w:rsid w:val="00101BE5"/>
    <w:rsid w:val="00101F97"/>
    <w:rsid w:val="001020BA"/>
    <w:rsid w:val="001022B6"/>
    <w:rsid w:val="001022EF"/>
    <w:rsid w:val="00102B34"/>
    <w:rsid w:val="001030C5"/>
    <w:rsid w:val="001031BF"/>
    <w:rsid w:val="00104994"/>
    <w:rsid w:val="00105328"/>
    <w:rsid w:val="001067AC"/>
    <w:rsid w:val="00107214"/>
    <w:rsid w:val="0010768E"/>
    <w:rsid w:val="00107CFE"/>
    <w:rsid w:val="00110042"/>
    <w:rsid w:val="0011044E"/>
    <w:rsid w:val="00111E15"/>
    <w:rsid w:val="00112CF9"/>
    <w:rsid w:val="00113380"/>
    <w:rsid w:val="00114C52"/>
    <w:rsid w:val="00114EB6"/>
    <w:rsid w:val="00115389"/>
    <w:rsid w:val="00115578"/>
    <w:rsid w:val="00115DC5"/>
    <w:rsid w:val="001161D2"/>
    <w:rsid w:val="00117A5A"/>
    <w:rsid w:val="00117EC2"/>
    <w:rsid w:val="0012072E"/>
    <w:rsid w:val="00120F63"/>
    <w:rsid w:val="00121303"/>
    <w:rsid w:val="001213DE"/>
    <w:rsid w:val="00122786"/>
    <w:rsid w:val="001231AB"/>
    <w:rsid w:val="0012350F"/>
    <w:rsid w:val="00123C8A"/>
    <w:rsid w:val="001241D3"/>
    <w:rsid w:val="00124DC3"/>
    <w:rsid w:val="001252DD"/>
    <w:rsid w:val="00125319"/>
    <w:rsid w:val="00125CC6"/>
    <w:rsid w:val="00130CCB"/>
    <w:rsid w:val="00131ACC"/>
    <w:rsid w:val="00131D07"/>
    <w:rsid w:val="00131D75"/>
    <w:rsid w:val="001320BE"/>
    <w:rsid w:val="001326F6"/>
    <w:rsid w:val="00132907"/>
    <w:rsid w:val="00132F22"/>
    <w:rsid w:val="0013358A"/>
    <w:rsid w:val="00133822"/>
    <w:rsid w:val="00133E71"/>
    <w:rsid w:val="001340BB"/>
    <w:rsid w:val="001340F4"/>
    <w:rsid w:val="001342A6"/>
    <w:rsid w:val="001348DC"/>
    <w:rsid w:val="00134E75"/>
    <w:rsid w:val="00136CB9"/>
    <w:rsid w:val="001373B9"/>
    <w:rsid w:val="0013768F"/>
    <w:rsid w:val="001414C1"/>
    <w:rsid w:val="0014153F"/>
    <w:rsid w:val="00141A58"/>
    <w:rsid w:val="001424C0"/>
    <w:rsid w:val="00142723"/>
    <w:rsid w:val="00142813"/>
    <w:rsid w:val="00142D07"/>
    <w:rsid w:val="00143869"/>
    <w:rsid w:val="00143C6F"/>
    <w:rsid w:val="001443CF"/>
    <w:rsid w:val="00144899"/>
    <w:rsid w:val="0014532B"/>
    <w:rsid w:val="00146F87"/>
    <w:rsid w:val="0014756F"/>
    <w:rsid w:val="00147E3F"/>
    <w:rsid w:val="00147E6F"/>
    <w:rsid w:val="00147EEA"/>
    <w:rsid w:val="001515BF"/>
    <w:rsid w:val="00151838"/>
    <w:rsid w:val="00151948"/>
    <w:rsid w:val="00151F8D"/>
    <w:rsid w:val="001525CE"/>
    <w:rsid w:val="0015353E"/>
    <w:rsid w:val="0015391F"/>
    <w:rsid w:val="00153B79"/>
    <w:rsid w:val="00153BD7"/>
    <w:rsid w:val="00153C34"/>
    <w:rsid w:val="001542A7"/>
    <w:rsid w:val="001542D3"/>
    <w:rsid w:val="00154AFB"/>
    <w:rsid w:val="00157142"/>
    <w:rsid w:val="00157C06"/>
    <w:rsid w:val="00162DBB"/>
    <w:rsid w:val="00162E0A"/>
    <w:rsid w:val="00163118"/>
    <w:rsid w:val="00163395"/>
    <w:rsid w:val="00163D62"/>
    <w:rsid w:val="0016414B"/>
    <w:rsid w:val="00164410"/>
    <w:rsid w:val="00164974"/>
    <w:rsid w:val="00164D4A"/>
    <w:rsid w:val="00164F08"/>
    <w:rsid w:val="00165455"/>
    <w:rsid w:val="00166068"/>
    <w:rsid w:val="00166265"/>
    <w:rsid w:val="001668A5"/>
    <w:rsid w:val="00166B5D"/>
    <w:rsid w:val="00166C8F"/>
    <w:rsid w:val="00166E22"/>
    <w:rsid w:val="00166FF7"/>
    <w:rsid w:val="00167270"/>
    <w:rsid w:val="0016734E"/>
    <w:rsid w:val="001674BA"/>
    <w:rsid w:val="001676FA"/>
    <w:rsid w:val="00170030"/>
    <w:rsid w:val="001703A9"/>
    <w:rsid w:val="001705D2"/>
    <w:rsid w:val="0017066F"/>
    <w:rsid w:val="00170866"/>
    <w:rsid w:val="00170CC4"/>
    <w:rsid w:val="0017166B"/>
    <w:rsid w:val="00171791"/>
    <w:rsid w:val="00171792"/>
    <w:rsid w:val="001721A3"/>
    <w:rsid w:val="00172490"/>
    <w:rsid w:val="0017263E"/>
    <w:rsid w:val="0017312A"/>
    <w:rsid w:val="00173370"/>
    <w:rsid w:val="001739DA"/>
    <w:rsid w:val="00173B4A"/>
    <w:rsid w:val="00173BC1"/>
    <w:rsid w:val="001741BC"/>
    <w:rsid w:val="0017420B"/>
    <w:rsid w:val="0017439E"/>
    <w:rsid w:val="00174B14"/>
    <w:rsid w:val="00174F35"/>
    <w:rsid w:val="00175547"/>
    <w:rsid w:val="00175D7F"/>
    <w:rsid w:val="00175F1A"/>
    <w:rsid w:val="00175FA7"/>
    <w:rsid w:val="00176AFC"/>
    <w:rsid w:val="00176B8E"/>
    <w:rsid w:val="001770DA"/>
    <w:rsid w:val="001801FF"/>
    <w:rsid w:val="00180541"/>
    <w:rsid w:val="001807F2"/>
    <w:rsid w:val="00180999"/>
    <w:rsid w:val="00180DAC"/>
    <w:rsid w:val="00181D76"/>
    <w:rsid w:val="00181E16"/>
    <w:rsid w:val="00181EC8"/>
    <w:rsid w:val="00181F0B"/>
    <w:rsid w:val="00182097"/>
    <w:rsid w:val="001828C2"/>
    <w:rsid w:val="00182B4F"/>
    <w:rsid w:val="00183391"/>
    <w:rsid w:val="001837D2"/>
    <w:rsid w:val="0018387C"/>
    <w:rsid w:val="001839B2"/>
    <w:rsid w:val="00183CD3"/>
    <w:rsid w:val="001843BA"/>
    <w:rsid w:val="00184629"/>
    <w:rsid w:val="0018476B"/>
    <w:rsid w:val="00184FA4"/>
    <w:rsid w:val="00185512"/>
    <w:rsid w:val="00186753"/>
    <w:rsid w:val="00187092"/>
    <w:rsid w:val="001874FC"/>
    <w:rsid w:val="001875E7"/>
    <w:rsid w:val="00187683"/>
    <w:rsid w:val="001877A8"/>
    <w:rsid w:val="00187CE1"/>
    <w:rsid w:val="00191290"/>
    <w:rsid w:val="00192B84"/>
    <w:rsid w:val="00192C54"/>
    <w:rsid w:val="00193A3A"/>
    <w:rsid w:val="00194133"/>
    <w:rsid w:val="0019447E"/>
    <w:rsid w:val="00194A19"/>
    <w:rsid w:val="00194FA2"/>
    <w:rsid w:val="00195C33"/>
    <w:rsid w:val="00195D8C"/>
    <w:rsid w:val="001962A4"/>
    <w:rsid w:val="001962C6"/>
    <w:rsid w:val="00197320"/>
    <w:rsid w:val="00197C61"/>
    <w:rsid w:val="00197D46"/>
    <w:rsid w:val="00197E56"/>
    <w:rsid w:val="001A1067"/>
    <w:rsid w:val="001A1E74"/>
    <w:rsid w:val="001A25A4"/>
    <w:rsid w:val="001A2BBD"/>
    <w:rsid w:val="001A3613"/>
    <w:rsid w:val="001A3644"/>
    <w:rsid w:val="001A3986"/>
    <w:rsid w:val="001A518F"/>
    <w:rsid w:val="001A5E2D"/>
    <w:rsid w:val="001A65DE"/>
    <w:rsid w:val="001A6625"/>
    <w:rsid w:val="001A6889"/>
    <w:rsid w:val="001A7280"/>
    <w:rsid w:val="001B044C"/>
    <w:rsid w:val="001B3000"/>
    <w:rsid w:val="001B32B9"/>
    <w:rsid w:val="001B3517"/>
    <w:rsid w:val="001B3DCC"/>
    <w:rsid w:val="001B4224"/>
    <w:rsid w:val="001B44D6"/>
    <w:rsid w:val="001B4712"/>
    <w:rsid w:val="001B47C7"/>
    <w:rsid w:val="001B5916"/>
    <w:rsid w:val="001B5AF3"/>
    <w:rsid w:val="001B6202"/>
    <w:rsid w:val="001B62E4"/>
    <w:rsid w:val="001B66F6"/>
    <w:rsid w:val="001B7115"/>
    <w:rsid w:val="001C022A"/>
    <w:rsid w:val="001C04A1"/>
    <w:rsid w:val="001C10E8"/>
    <w:rsid w:val="001C1185"/>
    <w:rsid w:val="001C167F"/>
    <w:rsid w:val="001C17EC"/>
    <w:rsid w:val="001C1CEA"/>
    <w:rsid w:val="001C27C4"/>
    <w:rsid w:val="001C286D"/>
    <w:rsid w:val="001C2BDC"/>
    <w:rsid w:val="001C2D88"/>
    <w:rsid w:val="001C3FA6"/>
    <w:rsid w:val="001C4593"/>
    <w:rsid w:val="001C46ED"/>
    <w:rsid w:val="001C52CC"/>
    <w:rsid w:val="001C53F8"/>
    <w:rsid w:val="001C5A3A"/>
    <w:rsid w:val="001C5F3D"/>
    <w:rsid w:val="001C61BE"/>
    <w:rsid w:val="001C7A48"/>
    <w:rsid w:val="001C7D4E"/>
    <w:rsid w:val="001D004B"/>
    <w:rsid w:val="001D0265"/>
    <w:rsid w:val="001D055E"/>
    <w:rsid w:val="001D0A4D"/>
    <w:rsid w:val="001D13D7"/>
    <w:rsid w:val="001D1A43"/>
    <w:rsid w:val="001D21A9"/>
    <w:rsid w:val="001D25DA"/>
    <w:rsid w:val="001D3862"/>
    <w:rsid w:val="001D3B96"/>
    <w:rsid w:val="001D5531"/>
    <w:rsid w:val="001D5621"/>
    <w:rsid w:val="001D58AA"/>
    <w:rsid w:val="001D5AF5"/>
    <w:rsid w:val="001D6019"/>
    <w:rsid w:val="001D611E"/>
    <w:rsid w:val="001D6167"/>
    <w:rsid w:val="001D631A"/>
    <w:rsid w:val="001D797C"/>
    <w:rsid w:val="001D7AE6"/>
    <w:rsid w:val="001E0258"/>
    <w:rsid w:val="001E0D99"/>
    <w:rsid w:val="001E156A"/>
    <w:rsid w:val="001E15F2"/>
    <w:rsid w:val="001E1763"/>
    <w:rsid w:val="001E2139"/>
    <w:rsid w:val="001E2423"/>
    <w:rsid w:val="001E28A0"/>
    <w:rsid w:val="001E28DA"/>
    <w:rsid w:val="001E3BA2"/>
    <w:rsid w:val="001E418B"/>
    <w:rsid w:val="001E4867"/>
    <w:rsid w:val="001E4D1F"/>
    <w:rsid w:val="001E5463"/>
    <w:rsid w:val="001E57C9"/>
    <w:rsid w:val="001E5B95"/>
    <w:rsid w:val="001E6348"/>
    <w:rsid w:val="001E6A3B"/>
    <w:rsid w:val="001E6D06"/>
    <w:rsid w:val="001E6E5F"/>
    <w:rsid w:val="001E6F92"/>
    <w:rsid w:val="001E738B"/>
    <w:rsid w:val="001E7489"/>
    <w:rsid w:val="001E750E"/>
    <w:rsid w:val="001E7BAE"/>
    <w:rsid w:val="001F0DB3"/>
    <w:rsid w:val="001F1F15"/>
    <w:rsid w:val="001F2208"/>
    <w:rsid w:val="001F42E5"/>
    <w:rsid w:val="001F47FD"/>
    <w:rsid w:val="001F4ADB"/>
    <w:rsid w:val="001F4AEA"/>
    <w:rsid w:val="001F4C4D"/>
    <w:rsid w:val="001F4C56"/>
    <w:rsid w:val="001F5C30"/>
    <w:rsid w:val="001F60DD"/>
    <w:rsid w:val="001F7BDB"/>
    <w:rsid w:val="001F7E58"/>
    <w:rsid w:val="00200EE4"/>
    <w:rsid w:val="00201385"/>
    <w:rsid w:val="00201846"/>
    <w:rsid w:val="00201BBE"/>
    <w:rsid w:val="00201ED0"/>
    <w:rsid w:val="0020242D"/>
    <w:rsid w:val="002026F4"/>
    <w:rsid w:val="00202D36"/>
    <w:rsid w:val="00202D7F"/>
    <w:rsid w:val="00203094"/>
    <w:rsid w:val="0020329A"/>
    <w:rsid w:val="002038BA"/>
    <w:rsid w:val="002056E8"/>
    <w:rsid w:val="002059E7"/>
    <w:rsid w:val="002063FD"/>
    <w:rsid w:val="00206E29"/>
    <w:rsid w:val="00206F30"/>
    <w:rsid w:val="00207F13"/>
    <w:rsid w:val="002107E1"/>
    <w:rsid w:val="00210A96"/>
    <w:rsid w:val="00210C10"/>
    <w:rsid w:val="0021189D"/>
    <w:rsid w:val="00211BFD"/>
    <w:rsid w:val="00212BFD"/>
    <w:rsid w:val="00212FC8"/>
    <w:rsid w:val="00214052"/>
    <w:rsid w:val="0021415C"/>
    <w:rsid w:val="0021482C"/>
    <w:rsid w:val="0021483E"/>
    <w:rsid w:val="00215564"/>
    <w:rsid w:val="002158DB"/>
    <w:rsid w:val="00216094"/>
    <w:rsid w:val="002162B4"/>
    <w:rsid w:val="00216925"/>
    <w:rsid w:val="002175A7"/>
    <w:rsid w:val="002178A4"/>
    <w:rsid w:val="00220108"/>
    <w:rsid w:val="00220919"/>
    <w:rsid w:val="00221565"/>
    <w:rsid w:val="00221CFE"/>
    <w:rsid w:val="00221D8D"/>
    <w:rsid w:val="00222297"/>
    <w:rsid w:val="002225F6"/>
    <w:rsid w:val="00222B50"/>
    <w:rsid w:val="00223006"/>
    <w:rsid w:val="002230B7"/>
    <w:rsid w:val="00223135"/>
    <w:rsid w:val="002238CA"/>
    <w:rsid w:val="00223B29"/>
    <w:rsid w:val="00223DB8"/>
    <w:rsid w:val="00223E20"/>
    <w:rsid w:val="00224249"/>
    <w:rsid w:val="00224E4E"/>
    <w:rsid w:val="002254DA"/>
    <w:rsid w:val="00225717"/>
    <w:rsid w:val="00225927"/>
    <w:rsid w:val="00225D05"/>
    <w:rsid w:val="00226968"/>
    <w:rsid w:val="0022715A"/>
    <w:rsid w:val="00227495"/>
    <w:rsid w:val="00227548"/>
    <w:rsid w:val="00227DF7"/>
    <w:rsid w:val="00230037"/>
    <w:rsid w:val="00230114"/>
    <w:rsid w:val="00230704"/>
    <w:rsid w:val="002316D1"/>
    <w:rsid w:val="00231E84"/>
    <w:rsid w:val="00232ECF"/>
    <w:rsid w:val="00233F4C"/>
    <w:rsid w:val="00235D84"/>
    <w:rsid w:val="0023657F"/>
    <w:rsid w:val="00236F1A"/>
    <w:rsid w:val="00237015"/>
    <w:rsid w:val="0023797D"/>
    <w:rsid w:val="002379E1"/>
    <w:rsid w:val="00237CE3"/>
    <w:rsid w:val="00237E38"/>
    <w:rsid w:val="002404E0"/>
    <w:rsid w:val="00240927"/>
    <w:rsid w:val="00240AAF"/>
    <w:rsid w:val="002415B9"/>
    <w:rsid w:val="00241D92"/>
    <w:rsid w:val="002428CE"/>
    <w:rsid w:val="00242FE7"/>
    <w:rsid w:val="00243BAF"/>
    <w:rsid w:val="00243D19"/>
    <w:rsid w:val="00243EFC"/>
    <w:rsid w:val="002456E3"/>
    <w:rsid w:val="002464BC"/>
    <w:rsid w:val="00246C14"/>
    <w:rsid w:val="0024725E"/>
    <w:rsid w:val="00247510"/>
    <w:rsid w:val="00247A9F"/>
    <w:rsid w:val="00247C69"/>
    <w:rsid w:val="00250748"/>
    <w:rsid w:val="00251572"/>
    <w:rsid w:val="002515AF"/>
    <w:rsid w:val="0025180E"/>
    <w:rsid w:val="00251E62"/>
    <w:rsid w:val="00251EA0"/>
    <w:rsid w:val="0025209D"/>
    <w:rsid w:val="00252132"/>
    <w:rsid w:val="002523C2"/>
    <w:rsid w:val="00252F4C"/>
    <w:rsid w:val="002536AE"/>
    <w:rsid w:val="002543C7"/>
    <w:rsid w:val="002549F5"/>
    <w:rsid w:val="002552ED"/>
    <w:rsid w:val="0025567B"/>
    <w:rsid w:val="00255C38"/>
    <w:rsid w:val="00255CAC"/>
    <w:rsid w:val="002570BA"/>
    <w:rsid w:val="00257229"/>
    <w:rsid w:val="002573C5"/>
    <w:rsid w:val="00257AFD"/>
    <w:rsid w:val="0026111C"/>
    <w:rsid w:val="00261626"/>
    <w:rsid w:val="0026163E"/>
    <w:rsid w:val="00261C2A"/>
    <w:rsid w:val="00262357"/>
    <w:rsid w:val="00262C2C"/>
    <w:rsid w:val="00263736"/>
    <w:rsid w:val="00263E9F"/>
    <w:rsid w:val="00264990"/>
    <w:rsid w:val="00264C4E"/>
    <w:rsid w:val="00264DDA"/>
    <w:rsid w:val="00265F0F"/>
    <w:rsid w:val="002662A1"/>
    <w:rsid w:val="00266515"/>
    <w:rsid w:val="0026669B"/>
    <w:rsid w:val="00267200"/>
    <w:rsid w:val="00267B9C"/>
    <w:rsid w:val="00267F7A"/>
    <w:rsid w:val="0027002B"/>
    <w:rsid w:val="002709A5"/>
    <w:rsid w:val="00270A1D"/>
    <w:rsid w:val="00270B32"/>
    <w:rsid w:val="002713F4"/>
    <w:rsid w:val="0027180C"/>
    <w:rsid w:val="00272F3D"/>
    <w:rsid w:val="00273CCC"/>
    <w:rsid w:val="0027426E"/>
    <w:rsid w:val="00274D15"/>
    <w:rsid w:val="002750E3"/>
    <w:rsid w:val="00276900"/>
    <w:rsid w:val="00277079"/>
    <w:rsid w:val="002772B5"/>
    <w:rsid w:val="0027781B"/>
    <w:rsid w:val="00280099"/>
    <w:rsid w:val="002808FC"/>
    <w:rsid w:val="0028097C"/>
    <w:rsid w:val="00281C70"/>
    <w:rsid w:val="00282123"/>
    <w:rsid w:val="00283495"/>
    <w:rsid w:val="002835EF"/>
    <w:rsid w:val="00283B1E"/>
    <w:rsid w:val="0028460D"/>
    <w:rsid w:val="002848B9"/>
    <w:rsid w:val="002848E2"/>
    <w:rsid w:val="002851C9"/>
    <w:rsid w:val="00285CC6"/>
    <w:rsid w:val="002860A7"/>
    <w:rsid w:val="00286473"/>
    <w:rsid w:val="002865A1"/>
    <w:rsid w:val="00286E9F"/>
    <w:rsid w:val="00286F49"/>
    <w:rsid w:val="0028736F"/>
    <w:rsid w:val="0028744F"/>
    <w:rsid w:val="0029094E"/>
    <w:rsid w:val="002912A6"/>
    <w:rsid w:val="00291300"/>
    <w:rsid w:val="002914DC"/>
    <w:rsid w:val="00291FFB"/>
    <w:rsid w:val="00293126"/>
    <w:rsid w:val="00293361"/>
    <w:rsid w:val="00293807"/>
    <w:rsid w:val="002940BF"/>
    <w:rsid w:val="00295040"/>
    <w:rsid w:val="002951B1"/>
    <w:rsid w:val="002955CB"/>
    <w:rsid w:val="00295814"/>
    <w:rsid w:val="00295C1B"/>
    <w:rsid w:val="00295D7F"/>
    <w:rsid w:val="002962EF"/>
    <w:rsid w:val="00296386"/>
    <w:rsid w:val="00296BE6"/>
    <w:rsid w:val="002975C2"/>
    <w:rsid w:val="002A0679"/>
    <w:rsid w:val="002A0E3D"/>
    <w:rsid w:val="002A1060"/>
    <w:rsid w:val="002A14C4"/>
    <w:rsid w:val="002A1576"/>
    <w:rsid w:val="002A1926"/>
    <w:rsid w:val="002A1BFA"/>
    <w:rsid w:val="002A27CF"/>
    <w:rsid w:val="002A33F7"/>
    <w:rsid w:val="002A3602"/>
    <w:rsid w:val="002A4398"/>
    <w:rsid w:val="002A4963"/>
    <w:rsid w:val="002A4AAA"/>
    <w:rsid w:val="002A4F38"/>
    <w:rsid w:val="002A56F3"/>
    <w:rsid w:val="002A596B"/>
    <w:rsid w:val="002A6781"/>
    <w:rsid w:val="002A6DDB"/>
    <w:rsid w:val="002A6FEB"/>
    <w:rsid w:val="002A72E5"/>
    <w:rsid w:val="002A7FD7"/>
    <w:rsid w:val="002B1061"/>
    <w:rsid w:val="002B1939"/>
    <w:rsid w:val="002B22B2"/>
    <w:rsid w:val="002B22D9"/>
    <w:rsid w:val="002B2369"/>
    <w:rsid w:val="002B2A52"/>
    <w:rsid w:val="002B2DF5"/>
    <w:rsid w:val="002B386F"/>
    <w:rsid w:val="002B47FD"/>
    <w:rsid w:val="002B4F91"/>
    <w:rsid w:val="002B5020"/>
    <w:rsid w:val="002B57F3"/>
    <w:rsid w:val="002B5ED8"/>
    <w:rsid w:val="002B640E"/>
    <w:rsid w:val="002B6711"/>
    <w:rsid w:val="002B6C76"/>
    <w:rsid w:val="002B6DE2"/>
    <w:rsid w:val="002B7641"/>
    <w:rsid w:val="002C0156"/>
    <w:rsid w:val="002C0930"/>
    <w:rsid w:val="002C0DF3"/>
    <w:rsid w:val="002C0E0B"/>
    <w:rsid w:val="002C113C"/>
    <w:rsid w:val="002C1467"/>
    <w:rsid w:val="002C1E6E"/>
    <w:rsid w:val="002C2F8A"/>
    <w:rsid w:val="002C364A"/>
    <w:rsid w:val="002C402F"/>
    <w:rsid w:val="002C4A72"/>
    <w:rsid w:val="002C5484"/>
    <w:rsid w:val="002C5589"/>
    <w:rsid w:val="002C5931"/>
    <w:rsid w:val="002C5BCD"/>
    <w:rsid w:val="002C5EE6"/>
    <w:rsid w:val="002C60C7"/>
    <w:rsid w:val="002C641D"/>
    <w:rsid w:val="002C6445"/>
    <w:rsid w:val="002C67E4"/>
    <w:rsid w:val="002C76C5"/>
    <w:rsid w:val="002C782F"/>
    <w:rsid w:val="002C7C69"/>
    <w:rsid w:val="002D06E0"/>
    <w:rsid w:val="002D0B77"/>
    <w:rsid w:val="002D1452"/>
    <w:rsid w:val="002D15CE"/>
    <w:rsid w:val="002D21F6"/>
    <w:rsid w:val="002D26E7"/>
    <w:rsid w:val="002D371F"/>
    <w:rsid w:val="002D376B"/>
    <w:rsid w:val="002D3807"/>
    <w:rsid w:val="002D3E57"/>
    <w:rsid w:val="002D4246"/>
    <w:rsid w:val="002D43BB"/>
    <w:rsid w:val="002D45D3"/>
    <w:rsid w:val="002D4DAF"/>
    <w:rsid w:val="002D4F30"/>
    <w:rsid w:val="002D5003"/>
    <w:rsid w:val="002D541E"/>
    <w:rsid w:val="002D5B26"/>
    <w:rsid w:val="002D5D00"/>
    <w:rsid w:val="002D633A"/>
    <w:rsid w:val="002D77D7"/>
    <w:rsid w:val="002E089F"/>
    <w:rsid w:val="002E0A9A"/>
    <w:rsid w:val="002E1817"/>
    <w:rsid w:val="002E1D55"/>
    <w:rsid w:val="002E23C8"/>
    <w:rsid w:val="002E26A7"/>
    <w:rsid w:val="002E2977"/>
    <w:rsid w:val="002E3792"/>
    <w:rsid w:val="002E3F88"/>
    <w:rsid w:val="002E43E1"/>
    <w:rsid w:val="002E497E"/>
    <w:rsid w:val="002E59A5"/>
    <w:rsid w:val="002E59D6"/>
    <w:rsid w:val="002E59E1"/>
    <w:rsid w:val="002E5EFF"/>
    <w:rsid w:val="002E5FAB"/>
    <w:rsid w:val="002E6172"/>
    <w:rsid w:val="002E69BE"/>
    <w:rsid w:val="002E6EB1"/>
    <w:rsid w:val="002E758B"/>
    <w:rsid w:val="002E7C82"/>
    <w:rsid w:val="002E7FB8"/>
    <w:rsid w:val="002F04F2"/>
    <w:rsid w:val="002F1E58"/>
    <w:rsid w:val="002F30B1"/>
    <w:rsid w:val="002F3263"/>
    <w:rsid w:val="002F34C1"/>
    <w:rsid w:val="002F36A1"/>
    <w:rsid w:val="002F3E31"/>
    <w:rsid w:val="002F4137"/>
    <w:rsid w:val="002F43AB"/>
    <w:rsid w:val="002F47ED"/>
    <w:rsid w:val="002F4ABA"/>
    <w:rsid w:val="002F4C5D"/>
    <w:rsid w:val="002F51AC"/>
    <w:rsid w:val="002F52A1"/>
    <w:rsid w:val="002F54DD"/>
    <w:rsid w:val="002F5ADE"/>
    <w:rsid w:val="002F68DD"/>
    <w:rsid w:val="002F73BF"/>
    <w:rsid w:val="002F7B6C"/>
    <w:rsid w:val="00300443"/>
    <w:rsid w:val="00300711"/>
    <w:rsid w:val="0030081C"/>
    <w:rsid w:val="003010D7"/>
    <w:rsid w:val="003010FC"/>
    <w:rsid w:val="00301144"/>
    <w:rsid w:val="00301644"/>
    <w:rsid w:val="00301FF8"/>
    <w:rsid w:val="00302422"/>
    <w:rsid w:val="00302771"/>
    <w:rsid w:val="00302C62"/>
    <w:rsid w:val="00302E3B"/>
    <w:rsid w:val="003035A3"/>
    <w:rsid w:val="003037EC"/>
    <w:rsid w:val="00303D18"/>
    <w:rsid w:val="003042BB"/>
    <w:rsid w:val="003044E3"/>
    <w:rsid w:val="003050C1"/>
    <w:rsid w:val="0030555E"/>
    <w:rsid w:val="003055F3"/>
    <w:rsid w:val="00305EB6"/>
    <w:rsid w:val="0030677B"/>
    <w:rsid w:val="0030749C"/>
    <w:rsid w:val="00307764"/>
    <w:rsid w:val="00310D78"/>
    <w:rsid w:val="00311666"/>
    <w:rsid w:val="003116CE"/>
    <w:rsid w:val="00311DFD"/>
    <w:rsid w:val="00312202"/>
    <w:rsid w:val="00312243"/>
    <w:rsid w:val="003124DD"/>
    <w:rsid w:val="00312AC0"/>
    <w:rsid w:val="00312CBB"/>
    <w:rsid w:val="0031344A"/>
    <w:rsid w:val="00313DAD"/>
    <w:rsid w:val="003145CE"/>
    <w:rsid w:val="003149A3"/>
    <w:rsid w:val="0031525E"/>
    <w:rsid w:val="00315B9D"/>
    <w:rsid w:val="00315BC2"/>
    <w:rsid w:val="00316404"/>
    <w:rsid w:val="0031694B"/>
    <w:rsid w:val="003170FD"/>
    <w:rsid w:val="00317573"/>
    <w:rsid w:val="00320649"/>
    <w:rsid w:val="00320683"/>
    <w:rsid w:val="00321036"/>
    <w:rsid w:val="00321D32"/>
    <w:rsid w:val="003224D6"/>
    <w:rsid w:val="003230F8"/>
    <w:rsid w:val="0032447F"/>
    <w:rsid w:val="00324BC7"/>
    <w:rsid w:val="00325870"/>
    <w:rsid w:val="00325ADF"/>
    <w:rsid w:val="0032633E"/>
    <w:rsid w:val="00327169"/>
    <w:rsid w:val="003273CC"/>
    <w:rsid w:val="00327607"/>
    <w:rsid w:val="003278E5"/>
    <w:rsid w:val="00331AD3"/>
    <w:rsid w:val="00332284"/>
    <w:rsid w:val="00332515"/>
    <w:rsid w:val="003327D4"/>
    <w:rsid w:val="00332B14"/>
    <w:rsid w:val="00332C61"/>
    <w:rsid w:val="00333026"/>
    <w:rsid w:val="0033362B"/>
    <w:rsid w:val="00333F25"/>
    <w:rsid w:val="00333F7E"/>
    <w:rsid w:val="00334399"/>
    <w:rsid w:val="003343B0"/>
    <w:rsid w:val="003348A5"/>
    <w:rsid w:val="00335922"/>
    <w:rsid w:val="00335B45"/>
    <w:rsid w:val="00336567"/>
    <w:rsid w:val="00336E96"/>
    <w:rsid w:val="003372A2"/>
    <w:rsid w:val="003378EA"/>
    <w:rsid w:val="00337B1F"/>
    <w:rsid w:val="00340583"/>
    <w:rsid w:val="0034087B"/>
    <w:rsid w:val="00341190"/>
    <w:rsid w:val="0034122D"/>
    <w:rsid w:val="0034299B"/>
    <w:rsid w:val="00343280"/>
    <w:rsid w:val="0034378D"/>
    <w:rsid w:val="0034393A"/>
    <w:rsid w:val="00343B3D"/>
    <w:rsid w:val="00344127"/>
    <w:rsid w:val="003447B1"/>
    <w:rsid w:val="00345258"/>
    <w:rsid w:val="00345E91"/>
    <w:rsid w:val="003464F2"/>
    <w:rsid w:val="00346D6E"/>
    <w:rsid w:val="0034735A"/>
    <w:rsid w:val="00347C31"/>
    <w:rsid w:val="00350405"/>
    <w:rsid w:val="0035053B"/>
    <w:rsid w:val="00350A28"/>
    <w:rsid w:val="00350D44"/>
    <w:rsid w:val="003513B8"/>
    <w:rsid w:val="003526A7"/>
    <w:rsid w:val="00352CA9"/>
    <w:rsid w:val="00352CCD"/>
    <w:rsid w:val="00353484"/>
    <w:rsid w:val="003539BF"/>
    <w:rsid w:val="003544DC"/>
    <w:rsid w:val="00355A68"/>
    <w:rsid w:val="00355C6A"/>
    <w:rsid w:val="00356626"/>
    <w:rsid w:val="00356B2E"/>
    <w:rsid w:val="00357A7F"/>
    <w:rsid w:val="00357D03"/>
    <w:rsid w:val="00360050"/>
    <w:rsid w:val="00360657"/>
    <w:rsid w:val="003608D4"/>
    <w:rsid w:val="00360939"/>
    <w:rsid w:val="00360F0C"/>
    <w:rsid w:val="00361064"/>
    <w:rsid w:val="0036198D"/>
    <w:rsid w:val="003628CA"/>
    <w:rsid w:val="00362F4D"/>
    <w:rsid w:val="00363599"/>
    <w:rsid w:val="00363699"/>
    <w:rsid w:val="003638DB"/>
    <w:rsid w:val="00363DC7"/>
    <w:rsid w:val="00363E70"/>
    <w:rsid w:val="00363EAB"/>
    <w:rsid w:val="0036410D"/>
    <w:rsid w:val="003644EA"/>
    <w:rsid w:val="0036598B"/>
    <w:rsid w:val="003665B4"/>
    <w:rsid w:val="00367AA8"/>
    <w:rsid w:val="00370B57"/>
    <w:rsid w:val="00372101"/>
    <w:rsid w:val="00372198"/>
    <w:rsid w:val="0037223C"/>
    <w:rsid w:val="003722AF"/>
    <w:rsid w:val="00372F0D"/>
    <w:rsid w:val="00373258"/>
    <w:rsid w:val="003740C7"/>
    <w:rsid w:val="00374181"/>
    <w:rsid w:val="003741E0"/>
    <w:rsid w:val="00375FB8"/>
    <w:rsid w:val="003762B9"/>
    <w:rsid w:val="0037678D"/>
    <w:rsid w:val="0037692C"/>
    <w:rsid w:val="00376CD0"/>
    <w:rsid w:val="00376CED"/>
    <w:rsid w:val="00377EAF"/>
    <w:rsid w:val="00377EDC"/>
    <w:rsid w:val="00380046"/>
    <w:rsid w:val="0038056C"/>
    <w:rsid w:val="00381368"/>
    <w:rsid w:val="003818F8"/>
    <w:rsid w:val="00381CE0"/>
    <w:rsid w:val="00381E04"/>
    <w:rsid w:val="00382388"/>
    <w:rsid w:val="00382F5D"/>
    <w:rsid w:val="003832F4"/>
    <w:rsid w:val="003835ED"/>
    <w:rsid w:val="00383C17"/>
    <w:rsid w:val="003848DC"/>
    <w:rsid w:val="00385464"/>
    <w:rsid w:val="00385D32"/>
    <w:rsid w:val="003864EF"/>
    <w:rsid w:val="0038665E"/>
    <w:rsid w:val="00387754"/>
    <w:rsid w:val="00387A8E"/>
    <w:rsid w:val="00387CE0"/>
    <w:rsid w:val="00387E24"/>
    <w:rsid w:val="003902D5"/>
    <w:rsid w:val="00390401"/>
    <w:rsid w:val="00390578"/>
    <w:rsid w:val="003908D3"/>
    <w:rsid w:val="003912A4"/>
    <w:rsid w:val="00391373"/>
    <w:rsid w:val="00391483"/>
    <w:rsid w:val="00391567"/>
    <w:rsid w:val="00393621"/>
    <w:rsid w:val="00394865"/>
    <w:rsid w:val="00394CC7"/>
    <w:rsid w:val="00395542"/>
    <w:rsid w:val="00395BB6"/>
    <w:rsid w:val="003963A1"/>
    <w:rsid w:val="00396913"/>
    <w:rsid w:val="003971BD"/>
    <w:rsid w:val="0039744F"/>
    <w:rsid w:val="00397E84"/>
    <w:rsid w:val="00397EEB"/>
    <w:rsid w:val="003A0D1F"/>
    <w:rsid w:val="003A0D2F"/>
    <w:rsid w:val="003A135F"/>
    <w:rsid w:val="003A13DE"/>
    <w:rsid w:val="003A197C"/>
    <w:rsid w:val="003A1D51"/>
    <w:rsid w:val="003A1FB6"/>
    <w:rsid w:val="003A2948"/>
    <w:rsid w:val="003A2F46"/>
    <w:rsid w:val="003A3022"/>
    <w:rsid w:val="003A313A"/>
    <w:rsid w:val="003A32E1"/>
    <w:rsid w:val="003A3CD1"/>
    <w:rsid w:val="003A4D36"/>
    <w:rsid w:val="003A51B8"/>
    <w:rsid w:val="003A5914"/>
    <w:rsid w:val="003A5C14"/>
    <w:rsid w:val="003A5ECF"/>
    <w:rsid w:val="003A64CF"/>
    <w:rsid w:val="003A78E7"/>
    <w:rsid w:val="003A7908"/>
    <w:rsid w:val="003B0460"/>
    <w:rsid w:val="003B0670"/>
    <w:rsid w:val="003B0D3B"/>
    <w:rsid w:val="003B1759"/>
    <w:rsid w:val="003B196A"/>
    <w:rsid w:val="003B199B"/>
    <w:rsid w:val="003B1A92"/>
    <w:rsid w:val="003B2659"/>
    <w:rsid w:val="003B30AC"/>
    <w:rsid w:val="003B3640"/>
    <w:rsid w:val="003B3849"/>
    <w:rsid w:val="003B41EE"/>
    <w:rsid w:val="003B4744"/>
    <w:rsid w:val="003B47BA"/>
    <w:rsid w:val="003B4948"/>
    <w:rsid w:val="003B4EC4"/>
    <w:rsid w:val="003B5D04"/>
    <w:rsid w:val="003B5DD6"/>
    <w:rsid w:val="003B6789"/>
    <w:rsid w:val="003B6EC8"/>
    <w:rsid w:val="003B7531"/>
    <w:rsid w:val="003B7A73"/>
    <w:rsid w:val="003B7E2B"/>
    <w:rsid w:val="003C0539"/>
    <w:rsid w:val="003C0E64"/>
    <w:rsid w:val="003C1DF1"/>
    <w:rsid w:val="003C2A6C"/>
    <w:rsid w:val="003C2BA9"/>
    <w:rsid w:val="003C3153"/>
    <w:rsid w:val="003C3DAA"/>
    <w:rsid w:val="003C4217"/>
    <w:rsid w:val="003C48C9"/>
    <w:rsid w:val="003C4AE7"/>
    <w:rsid w:val="003C52DA"/>
    <w:rsid w:val="003C545A"/>
    <w:rsid w:val="003C695D"/>
    <w:rsid w:val="003C6CDA"/>
    <w:rsid w:val="003C6F48"/>
    <w:rsid w:val="003C729E"/>
    <w:rsid w:val="003C75AA"/>
    <w:rsid w:val="003C75C0"/>
    <w:rsid w:val="003C7E65"/>
    <w:rsid w:val="003D0152"/>
    <w:rsid w:val="003D01FF"/>
    <w:rsid w:val="003D1F7E"/>
    <w:rsid w:val="003D2F3C"/>
    <w:rsid w:val="003D33FC"/>
    <w:rsid w:val="003D3434"/>
    <w:rsid w:val="003D3F94"/>
    <w:rsid w:val="003D4287"/>
    <w:rsid w:val="003D464D"/>
    <w:rsid w:val="003D5AB4"/>
    <w:rsid w:val="003D5FC4"/>
    <w:rsid w:val="003D6CD4"/>
    <w:rsid w:val="003D7006"/>
    <w:rsid w:val="003E03B6"/>
    <w:rsid w:val="003E03BF"/>
    <w:rsid w:val="003E1801"/>
    <w:rsid w:val="003E1D64"/>
    <w:rsid w:val="003E227F"/>
    <w:rsid w:val="003E242C"/>
    <w:rsid w:val="003E2B2C"/>
    <w:rsid w:val="003E383B"/>
    <w:rsid w:val="003E3E35"/>
    <w:rsid w:val="003E4866"/>
    <w:rsid w:val="003E51F7"/>
    <w:rsid w:val="003E5792"/>
    <w:rsid w:val="003E5A18"/>
    <w:rsid w:val="003E7378"/>
    <w:rsid w:val="003F103D"/>
    <w:rsid w:val="003F1C68"/>
    <w:rsid w:val="003F216C"/>
    <w:rsid w:val="003F258E"/>
    <w:rsid w:val="003F378E"/>
    <w:rsid w:val="003F3FF6"/>
    <w:rsid w:val="003F423C"/>
    <w:rsid w:val="003F4E8C"/>
    <w:rsid w:val="003F5145"/>
    <w:rsid w:val="003F5269"/>
    <w:rsid w:val="003F5DAB"/>
    <w:rsid w:val="003F5F0F"/>
    <w:rsid w:val="003F6FBC"/>
    <w:rsid w:val="003F74BA"/>
    <w:rsid w:val="003F7C28"/>
    <w:rsid w:val="00400355"/>
    <w:rsid w:val="00400361"/>
    <w:rsid w:val="0040234D"/>
    <w:rsid w:val="004033AF"/>
    <w:rsid w:val="00403482"/>
    <w:rsid w:val="00403DEF"/>
    <w:rsid w:val="00403EF9"/>
    <w:rsid w:val="0040497D"/>
    <w:rsid w:val="00405237"/>
    <w:rsid w:val="00405BEB"/>
    <w:rsid w:val="00405D1A"/>
    <w:rsid w:val="00406056"/>
    <w:rsid w:val="004068E6"/>
    <w:rsid w:val="00406D8D"/>
    <w:rsid w:val="00406FCC"/>
    <w:rsid w:val="0040738E"/>
    <w:rsid w:val="00407954"/>
    <w:rsid w:val="00407D71"/>
    <w:rsid w:val="00410C4F"/>
    <w:rsid w:val="0041111F"/>
    <w:rsid w:val="00411618"/>
    <w:rsid w:val="004117EC"/>
    <w:rsid w:val="00412200"/>
    <w:rsid w:val="00412A8F"/>
    <w:rsid w:val="00412BE5"/>
    <w:rsid w:val="00412F16"/>
    <w:rsid w:val="004130A0"/>
    <w:rsid w:val="0041326F"/>
    <w:rsid w:val="00413DB5"/>
    <w:rsid w:val="0041484D"/>
    <w:rsid w:val="00414864"/>
    <w:rsid w:val="0041617F"/>
    <w:rsid w:val="004170D1"/>
    <w:rsid w:val="00420019"/>
    <w:rsid w:val="00420090"/>
    <w:rsid w:val="0042021D"/>
    <w:rsid w:val="00420BD0"/>
    <w:rsid w:val="004214A0"/>
    <w:rsid w:val="00421927"/>
    <w:rsid w:val="00421A37"/>
    <w:rsid w:val="00421ABE"/>
    <w:rsid w:val="00421B51"/>
    <w:rsid w:val="00421C54"/>
    <w:rsid w:val="00421D80"/>
    <w:rsid w:val="004223AD"/>
    <w:rsid w:val="00422AE5"/>
    <w:rsid w:val="00422B19"/>
    <w:rsid w:val="00424203"/>
    <w:rsid w:val="00424254"/>
    <w:rsid w:val="00424279"/>
    <w:rsid w:val="00424C56"/>
    <w:rsid w:val="00424DD1"/>
    <w:rsid w:val="004256D6"/>
    <w:rsid w:val="00425726"/>
    <w:rsid w:val="00425A00"/>
    <w:rsid w:val="00425A70"/>
    <w:rsid w:val="00425D2E"/>
    <w:rsid w:val="00426081"/>
    <w:rsid w:val="00426607"/>
    <w:rsid w:val="004275D1"/>
    <w:rsid w:val="0043017B"/>
    <w:rsid w:val="00430212"/>
    <w:rsid w:val="00430D7F"/>
    <w:rsid w:val="004313CF"/>
    <w:rsid w:val="00431632"/>
    <w:rsid w:val="0043171C"/>
    <w:rsid w:val="004325A5"/>
    <w:rsid w:val="00433140"/>
    <w:rsid w:val="00434069"/>
    <w:rsid w:val="00434AF4"/>
    <w:rsid w:val="00434C55"/>
    <w:rsid w:val="0043506F"/>
    <w:rsid w:val="00435582"/>
    <w:rsid w:val="00437ABA"/>
    <w:rsid w:val="004402A5"/>
    <w:rsid w:val="0044066B"/>
    <w:rsid w:val="0044149B"/>
    <w:rsid w:val="004418B6"/>
    <w:rsid w:val="00441FC1"/>
    <w:rsid w:val="004428D5"/>
    <w:rsid w:val="004430F4"/>
    <w:rsid w:val="004435A0"/>
    <w:rsid w:val="0044377E"/>
    <w:rsid w:val="00443999"/>
    <w:rsid w:val="0044428F"/>
    <w:rsid w:val="00444AAF"/>
    <w:rsid w:val="00444DFF"/>
    <w:rsid w:val="00445023"/>
    <w:rsid w:val="004451D9"/>
    <w:rsid w:val="00445410"/>
    <w:rsid w:val="00445A49"/>
    <w:rsid w:val="00445FDE"/>
    <w:rsid w:val="00446649"/>
    <w:rsid w:val="00447810"/>
    <w:rsid w:val="00450B65"/>
    <w:rsid w:val="00450C02"/>
    <w:rsid w:val="00451098"/>
    <w:rsid w:val="00451BA0"/>
    <w:rsid w:val="00452CA7"/>
    <w:rsid w:val="00452F86"/>
    <w:rsid w:val="00453B90"/>
    <w:rsid w:val="00453E1A"/>
    <w:rsid w:val="00454CDD"/>
    <w:rsid w:val="00456E7E"/>
    <w:rsid w:val="004570FA"/>
    <w:rsid w:val="0045759A"/>
    <w:rsid w:val="004604A3"/>
    <w:rsid w:val="004608DA"/>
    <w:rsid w:val="00460B12"/>
    <w:rsid w:val="00460BF8"/>
    <w:rsid w:val="004619F4"/>
    <w:rsid w:val="00461A24"/>
    <w:rsid w:val="00462191"/>
    <w:rsid w:val="00462DE7"/>
    <w:rsid w:val="00463ADE"/>
    <w:rsid w:val="00464943"/>
    <w:rsid w:val="00465C7B"/>
    <w:rsid w:val="00465E19"/>
    <w:rsid w:val="00467D10"/>
    <w:rsid w:val="00470F20"/>
    <w:rsid w:val="00471C0B"/>
    <w:rsid w:val="00471F4F"/>
    <w:rsid w:val="00472B64"/>
    <w:rsid w:val="00473C3B"/>
    <w:rsid w:val="00474234"/>
    <w:rsid w:val="004742EF"/>
    <w:rsid w:val="004745BB"/>
    <w:rsid w:val="004751D2"/>
    <w:rsid w:val="0047598A"/>
    <w:rsid w:val="004769A5"/>
    <w:rsid w:val="00476E8D"/>
    <w:rsid w:val="00477612"/>
    <w:rsid w:val="004776A0"/>
    <w:rsid w:val="0047784B"/>
    <w:rsid w:val="00477A82"/>
    <w:rsid w:val="00477E3F"/>
    <w:rsid w:val="00477E66"/>
    <w:rsid w:val="00481341"/>
    <w:rsid w:val="00483E53"/>
    <w:rsid w:val="00484509"/>
    <w:rsid w:val="004848BE"/>
    <w:rsid w:val="00484D39"/>
    <w:rsid w:val="00484F2E"/>
    <w:rsid w:val="004854BA"/>
    <w:rsid w:val="00485E82"/>
    <w:rsid w:val="0048724A"/>
    <w:rsid w:val="004877FC"/>
    <w:rsid w:val="0048788C"/>
    <w:rsid w:val="00487C00"/>
    <w:rsid w:val="00487C5E"/>
    <w:rsid w:val="00487D45"/>
    <w:rsid w:val="00487E76"/>
    <w:rsid w:val="0049000A"/>
    <w:rsid w:val="00490162"/>
    <w:rsid w:val="00491078"/>
    <w:rsid w:val="00491661"/>
    <w:rsid w:val="004918EE"/>
    <w:rsid w:val="004919A2"/>
    <w:rsid w:val="00491C7B"/>
    <w:rsid w:val="00491E9D"/>
    <w:rsid w:val="00491F5A"/>
    <w:rsid w:val="00492160"/>
    <w:rsid w:val="004928B9"/>
    <w:rsid w:val="00492B29"/>
    <w:rsid w:val="00493266"/>
    <w:rsid w:val="00494474"/>
    <w:rsid w:val="00495A1E"/>
    <w:rsid w:val="00495B13"/>
    <w:rsid w:val="004962A8"/>
    <w:rsid w:val="00496385"/>
    <w:rsid w:val="00496742"/>
    <w:rsid w:val="00496976"/>
    <w:rsid w:val="00496A1D"/>
    <w:rsid w:val="00496A5F"/>
    <w:rsid w:val="00497313"/>
    <w:rsid w:val="004A0E41"/>
    <w:rsid w:val="004A1408"/>
    <w:rsid w:val="004A18C8"/>
    <w:rsid w:val="004A1BE4"/>
    <w:rsid w:val="004A1EB0"/>
    <w:rsid w:val="004A1FCB"/>
    <w:rsid w:val="004A2717"/>
    <w:rsid w:val="004A2861"/>
    <w:rsid w:val="004A3269"/>
    <w:rsid w:val="004A3960"/>
    <w:rsid w:val="004A3BC2"/>
    <w:rsid w:val="004A3D87"/>
    <w:rsid w:val="004A4BFC"/>
    <w:rsid w:val="004A5358"/>
    <w:rsid w:val="004A6101"/>
    <w:rsid w:val="004A62D0"/>
    <w:rsid w:val="004A6987"/>
    <w:rsid w:val="004A6DF8"/>
    <w:rsid w:val="004A6FAE"/>
    <w:rsid w:val="004A7A52"/>
    <w:rsid w:val="004B0532"/>
    <w:rsid w:val="004B0C53"/>
    <w:rsid w:val="004B0C97"/>
    <w:rsid w:val="004B0CEB"/>
    <w:rsid w:val="004B0DF2"/>
    <w:rsid w:val="004B1E1C"/>
    <w:rsid w:val="004B235F"/>
    <w:rsid w:val="004B3531"/>
    <w:rsid w:val="004B41BC"/>
    <w:rsid w:val="004B44E8"/>
    <w:rsid w:val="004B55FC"/>
    <w:rsid w:val="004B5FCB"/>
    <w:rsid w:val="004B6007"/>
    <w:rsid w:val="004B66A8"/>
    <w:rsid w:val="004B7920"/>
    <w:rsid w:val="004C04F1"/>
    <w:rsid w:val="004C0C3F"/>
    <w:rsid w:val="004C1370"/>
    <w:rsid w:val="004C164B"/>
    <w:rsid w:val="004C19FD"/>
    <w:rsid w:val="004C1E14"/>
    <w:rsid w:val="004C2B60"/>
    <w:rsid w:val="004C385A"/>
    <w:rsid w:val="004C3A2D"/>
    <w:rsid w:val="004C4206"/>
    <w:rsid w:val="004C4EB4"/>
    <w:rsid w:val="004C52D2"/>
    <w:rsid w:val="004C5884"/>
    <w:rsid w:val="004C6FEA"/>
    <w:rsid w:val="004C7D9F"/>
    <w:rsid w:val="004D09F6"/>
    <w:rsid w:val="004D18C3"/>
    <w:rsid w:val="004D1D62"/>
    <w:rsid w:val="004D2130"/>
    <w:rsid w:val="004D219C"/>
    <w:rsid w:val="004D2699"/>
    <w:rsid w:val="004D3477"/>
    <w:rsid w:val="004D3A67"/>
    <w:rsid w:val="004D415F"/>
    <w:rsid w:val="004D43D9"/>
    <w:rsid w:val="004D4975"/>
    <w:rsid w:val="004D5859"/>
    <w:rsid w:val="004D5BD3"/>
    <w:rsid w:val="004D605E"/>
    <w:rsid w:val="004D7FAC"/>
    <w:rsid w:val="004E018E"/>
    <w:rsid w:val="004E021A"/>
    <w:rsid w:val="004E060F"/>
    <w:rsid w:val="004E06E8"/>
    <w:rsid w:val="004E0A6A"/>
    <w:rsid w:val="004E1841"/>
    <w:rsid w:val="004E234E"/>
    <w:rsid w:val="004E23DA"/>
    <w:rsid w:val="004E2C14"/>
    <w:rsid w:val="004E4BE9"/>
    <w:rsid w:val="004E5480"/>
    <w:rsid w:val="004E58D0"/>
    <w:rsid w:val="004E598E"/>
    <w:rsid w:val="004E6C7F"/>
    <w:rsid w:val="004E7A9E"/>
    <w:rsid w:val="004E7F53"/>
    <w:rsid w:val="004E7FB6"/>
    <w:rsid w:val="004F0458"/>
    <w:rsid w:val="004F09FC"/>
    <w:rsid w:val="004F0C5D"/>
    <w:rsid w:val="004F0EA3"/>
    <w:rsid w:val="004F12F3"/>
    <w:rsid w:val="004F1312"/>
    <w:rsid w:val="004F1BA3"/>
    <w:rsid w:val="004F21CA"/>
    <w:rsid w:val="004F2C75"/>
    <w:rsid w:val="004F2DF8"/>
    <w:rsid w:val="004F3229"/>
    <w:rsid w:val="004F4143"/>
    <w:rsid w:val="004F6A97"/>
    <w:rsid w:val="004F71AE"/>
    <w:rsid w:val="004F7F0F"/>
    <w:rsid w:val="005000C7"/>
    <w:rsid w:val="00501049"/>
    <w:rsid w:val="00501215"/>
    <w:rsid w:val="00501D63"/>
    <w:rsid w:val="00502589"/>
    <w:rsid w:val="00502E95"/>
    <w:rsid w:val="005032F6"/>
    <w:rsid w:val="0050345E"/>
    <w:rsid w:val="005035DF"/>
    <w:rsid w:val="00504177"/>
    <w:rsid w:val="00504BC6"/>
    <w:rsid w:val="00504DB1"/>
    <w:rsid w:val="00505335"/>
    <w:rsid w:val="005058BB"/>
    <w:rsid w:val="00505E62"/>
    <w:rsid w:val="00505ECE"/>
    <w:rsid w:val="00506B7E"/>
    <w:rsid w:val="00506CDC"/>
    <w:rsid w:val="00506EE0"/>
    <w:rsid w:val="00507620"/>
    <w:rsid w:val="0051106B"/>
    <w:rsid w:val="00511132"/>
    <w:rsid w:val="00512FBD"/>
    <w:rsid w:val="005130ED"/>
    <w:rsid w:val="005133F4"/>
    <w:rsid w:val="0051380B"/>
    <w:rsid w:val="00514174"/>
    <w:rsid w:val="00514FFB"/>
    <w:rsid w:val="005154D9"/>
    <w:rsid w:val="00515D1C"/>
    <w:rsid w:val="00516651"/>
    <w:rsid w:val="0051685A"/>
    <w:rsid w:val="005176B5"/>
    <w:rsid w:val="0051797D"/>
    <w:rsid w:val="005179FC"/>
    <w:rsid w:val="00520168"/>
    <w:rsid w:val="00520691"/>
    <w:rsid w:val="00520D44"/>
    <w:rsid w:val="005213BD"/>
    <w:rsid w:val="005217F7"/>
    <w:rsid w:val="0052193B"/>
    <w:rsid w:val="005223AE"/>
    <w:rsid w:val="00522953"/>
    <w:rsid w:val="00522B8E"/>
    <w:rsid w:val="00523009"/>
    <w:rsid w:val="005230C3"/>
    <w:rsid w:val="00523749"/>
    <w:rsid w:val="00523C34"/>
    <w:rsid w:val="00524C00"/>
    <w:rsid w:val="0052576E"/>
    <w:rsid w:val="00525964"/>
    <w:rsid w:val="00525D16"/>
    <w:rsid w:val="005264AA"/>
    <w:rsid w:val="00526856"/>
    <w:rsid w:val="00527E73"/>
    <w:rsid w:val="005305D9"/>
    <w:rsid w:val="005309DE"/>
    <w:rsid w:val="00531FED"/>
    <w:rsid w:val="005321AE"/>
    <w:rsid w:val="005322CA"/>
    <w:rsid w:val="00532CDE"/>
    <w:rsid w:val="0053301D"/>
    <w:rsid w:val="00534178"/>
    <w:rsid w:val="0053433B"/>
    <w:rsid w:val="005353BC"/>
    <w:rsid w:val="00535AD3"/>
    <w:rsid w:val="00535FDD"/>
    <w:rsid w:val="00540141"/>
    <w:rsid w:val="005408AC"/>
    <w:rsid w:val="00540A00"/>
    <w:rsid w:val="00541236"/>
    <w:rsid w:val="00541497"/>
    <w:rsid w:val="00541699"/>
    <w:rsid w:val="0054170A"/>
    <w:rsid w:val="00542071"/>
    <w:rsid w:val="00542147"/>
    <w:rsid w:val="00542CE8"/>
    <w:rsid w:val="00542E55"/>
    <w:rsid w:val="00543ADE"/>
    <w:rsid w:val="00544025"/>
    <w:rsid w:val="00544145"/>
    <w:rsid w:val="00544823"/>
    <w:rsid w:val="005448D3"/>
    <w:rsid w:val="00545530"/>
    <w:rsid w:val="00545D45"/>
    <w:rsid w:val="005462D4"/>
    <w:rsid w:val="00546C3B"/>
    <w:rsid w:val="00547A6A"/>
    <w:rsid w:val="00547F74"/>
    <w:rsid w:val="00547F76"/>
    <w:rsid w:val="005509D2"/>
    <w:rsid w:val="00550BAF"/>
    <w:rsid w:val="00551520"/>
    <w:rsid w:val="00551908"/>
    <w:rsid w:val="00551AD2"/>
    <w:rsid w:val="00552196"/>
    <w:rsid w:val="0055259A"/>
    <w:rsid w:val="00552E48"/>
    <w:rsid w:val="00553066"/>
    <w:rsid w:val="005534C8"/>
    <w:rsid w:val="0055373B"/>
    <w:rsid w:val="00553A0E"/>
    <w:rsid w:val="00553CE8"/>
    <w:rsid w:val="00553F03"/>
    <w:rsid w:val="00553F3F"/>
    <w:rsid w:val="0055444D"/>
    <w:rsid w:val="005544FE"/>
    <w:rsid w:val="00554748"/>
    <w:rsid w:val="005549FB"/>
    <w:rsid w:val="00554A4B"/>
    <w:rsid w:val="00554A71"/>
    <w:rsid w:val="0055524B"/>
    <w:rsid w:val="0055598B"/>
    <w:rsid w:val="00556C6D"/>
    <w:rsid w:val="00556D20"/>
    <w:rsid w:val="005570F8"/>
    <w:rsid w:val="0055724F"/>
    <w:rsid w:val="00557DF2"/>
    <w:rsid w:val="00557EA0"/>
    <w:rsid w:val="00563586"/>
    <w:rsid w:val="00564E44"/>
    <w:rsid w:val="0056575F"/>
    <w:rsid w:val="00567719"/>
    <w:rsid w:val="00567743"/>
    <w:rsid w:val="005678C5"/>
    <w:rsid w:val="005679F3"/>
    <w:rsid w:val="00570934"/>
    <w:rsid w:val="00571623"/>
    <w:rsid w:val="00571747"/>
    <w:rsid w:val="005718A0"/>
    <w:rsid w:val="005730DD"/>
    <w:rsid w:val="005737BB"/>
    <w:rsid w:val="00574B3F"/>
    <w:rsid w:val="00574F8E"/>
    <w:rsid w:val="005751F8"/>
    <w:rsid w:val="00575A67"/>
    <w:rsid w:val="00575C4F"/>
    <w:rsid w:val="00577452"/>
    <w:rsid w:val="00580033"/>
    <w:rsid w:val="00581542"/>
    <w:rsid w:val="00581AFE"/>
    <w:rsid w:val="0058244F"/>
    <w:rsid w:val="00583317"/>
    <w:rsid w:val="00583A6D"/>
    <w:rsid w:val="00583D77"/>
    <w:rsid w:val="005843D5"/>
    <w:rsid w:val="00585ABF"/>
    <w:rsid w:val="00585BCD"/>
    <w:rsid w:val="0058619D"/>
    <w:rsid w:val="00586351"/>
    <w:rsid w:val="005863F5"/>
    <w:rsid w:val="005867B6"/>
    <w:rsid w:val="00586E00"/>
    <w:rsid w:val="00586EA0"/>
    <w:rsid w:val="00587159"/>
    <w:rsid w:val="00590406"/>
    <w:rsid w:val="00590F25"/>
    <w:rsid w:val="0059107B"/>
    <w:rsid w:val="005918BA"/>
    <w:rsid w:val="00591A23"/>
    <w:rsid w:val="00591A4B"/>
    <w:rsid w:val="00591ED6"/>
    <w:rsid w:val="005920A2"/>
    <w:rsid w:val="005929A3"/>
    <w:rsid w:val="0059300E"/>
    <w:rsid w:val="00593E33"/>
    <w:rsid w:val="00593E67"/>
    <w:rsid w:val="00593EB5"/>
    <w:rsid w:val="00594121"/>
    <w:rsid w:val="00594255"/>
    <w:rsid w:val="00594547"/>
    <w:rsid w:val="005946B4"/>
    <w:rsid w:val="00594D5D"/>
    <w:rsid w:val="0059500E"/>
    <w:rsid w:val="00596368"/>
    <w:rsid w:val="005966A7"/>
    <w:rsid w:val="00596F47"/>
    <w:rsid w:val="0059799F"/>
    <w:rsid w:val="005A0FE8"/>
    <w:rsid w:val="005A0FFE"/>
    <w:rsid w:val="005A142D"/>
    <w:rsid w:val="005A1F5F"/>
    <w:rsid w:val="005A2F68"/>
    <w:rsid w:val="005A2F9E"/>
    <w:rsid w:val="005A344B"/>
    <w:rsid w:val="005A3770"/>
    <w:rsid w:val="005A40E0"/>
    <w:rsid w:val="005A4911"/>
    <w:rsid w:val="005A497A"/>
    <w:rsid w:val="005A5601"/>
    <w:rsid w:val="005A64E8"/>
    <w:rsid w:val="005A71F6"/>
    <w:rsid w:val="005A7A93"/>
    <w:rsid w:val="005A7B89"/>
    <w:rsid w:val="005B028B"/>
    <w:rsid w:val="005B06EE"/>
    <w:rsid w:val="005B0AB1"/>
    <w:rsid w:val="005B0B38"/>
    <w:rsid w:val="005B0D8E"/>
    <w:rsid w:val="005B2D3E"/>
    <w:rsid w:val="005B33DB"/>
    <w:rsid w:val="005B41E7"/>
    <w:rsid w:val="005B46DE"/>
    <w:rsid w:val="005B50D8"/>
    <w:rsid w:val="005B6B7B"/>
    <w:rsid w:val="005B6EB5"/>
    <w:rsid w:val="005C0132"/>
    <w:rsid w:val="005C0335"/>
    <w:rsid w:val="005C06ED"/>
    <w:rsid w:val="005C1652"/>
    <w:rsid w:val="005C1712"/>
    <w:rsid w:val="005C2074"/>
    <w:rsid w:val="005C2B78"/>
    <w:rsid w:val="005C316C"/>
    <w:rsid w:val="005C4138"/>
    <w:rsid w:val="005C46EB"/>
    <w:rsid w:val="005C47B6"/>
    <w:rsid w:val="005C4C97"/>
    <w:rsid w:val="005C5445"/>
    <w:rsid w:val="005C54F9"/>
    <w:rsid w:val="005C5A43"/>
    <w:rsid w:val="005C6520"/>
    <w:rsid w:val="005C6D73"/>
    <w:rsid w:val="005C7149"/>
    <w:rsid w:val="005C734C"/>
    <w:rsid w:val="005C76CE"/>
    <w:rsid w:val="005C7984"/>
    <w:rsid w:val="005D01A9"/>
    <w:rsid w:val="005D040D"/>
    <w:rsid w:val="005D06D1"/>
    <w:rsid w:val="005D0A4A"/>
    <w:rsid w:val="005D15C6"/>
    <w:rsid w:val="005D19FD"/>
    <w:rsid w:val="005D241E"/>
    <w:rsid w:val="005D37D4"/>
    <w:rsid w:val="005D4118"/>
    <w:rsid w:val="005D4B1C"/>
    <w:rsid w:val="005D50F5"/>
    <w:rsid w:val="005D5461"/>
    <w:rsid w:val="005D5855"/>
    <w:rsid w:val="005D5D15"/>
    <w:rsid w:val="005D5F81"/>
    <w:rsid w:val="005D72DC"/>
    <w:rsid w:val="005D7961"/>
    <w:rsid w:val="005E024F"/>
    <w:rsid w:val="005E02BF"/>
    <w:rsid w:val="005E03FA"/>
    <w:rsid w:val="005E0C8F"/>
    <w:rsid w:val="005E1773"/>
    <w:rsid w:val="005E2507"/>
    <w:rsid w:val="005E27CD"/>
    <w:rsid w:val="005E32D5"/>
    <w:rsid w:val="005E33BF"/>
    <w:rsid w:val="005E3BB5"/>
    <w:rsid w:val="005E49BC"/>
    <w:rsid w:val="005E5073"/>
    <w:rsid w:val="005E5092"/>
    <w:rsid w:val="005E5714"/>
    <w:rsid w:val="005E615B"/>
    <w:rsid w:val="005E748D"/>
    <w:rsid w:val="005E78FC"/>
    <w:rsid w:val="005E7C8F"/>
    <w:rsid w:val="005E7E76"/>
    <w:rsid w:val="005F30EF"/>
    <w:rsid w:val="005F3426"/>
    <w:rsid w:val="005F4983"/>
    <w:rsid w:val="005F502D"/>
    <w:rsid w:val="005F5102"/>
    <w:rsid w:val="005F55B4"/>
    <w:rsid w:val="005F56DC"/>
    <w:rsid w:val="005F57F1"/>
    <w:rsid w:val="005F60A7"/>
    <w:rsid w:val="005F7472"/>
    <w:rsid w:val="005F7D93"/>
    <w:rsid w:val="0060076F"/>
    <w:rsid w:val="0060120C"/>
    <w:rsid w:val="006014CE"/>
    <w:rsid w:val="00601517"/>
    <w:rsid w:val="00601FF1"/>
    <w:rsid w:val="00602492"/>
    <w:rsid w:val="0060263E"/>
    <w:rsid w:val="00603315"/>
    <w:rsid w:val="00603D4B"/>
    <w:rsid w:val="00604949"/>
    <w:rsid w:val="006052F1"/>
    <w:rsid w:val="00605747"/>
    <w:rsid w:val="00605AE8"/>
    <w:rsid w:val="0060658F"/>
    <w:rsid w:val="0060684A"/>
    <w:rsid w:val="00607132"/>
    <w:rsid w:val="00607438"/>
    <w:rsid w:val="006078CD"/>
    <w:rsid w:val="00607C45"/>
    <w:rsid w:val="00610305"/>
    <w:rsid w:val="00610A70"/>
    <w:rsid w:val="00610FD1"/>
    <w:rsid w:val="00611725"/>
    <w:rsid w:val="00611F47"/>
    <w:rsid w:val="00612321"/>
    <w:rsid w:val="006129BA"/>
    <w:rsid w:val="00612EF7"/>
    <w:rsid w:val="0061395E"/>
    <w:rsid w:val="0061632E"/>
    <w:rsid w:val="00616B95"/>
    <w:rsid w:val="0061747F"/>
    <w:rsid w:val="00617963"/>
    <w:rsid w:val="00617A0C"/>
    <w:rsid w:val="00617D9F"/>
    <w:rsid w:val="0062006F"/>
    <w:rsid w:val="00620DE3"/>
    <w:rsid w:val="00621119"/>
    <w:rsid w:val="00621D50"/>
    <w:rsid w:val="00621FE5"/>
    <w:rsid w:val="006225D3"/>
    <w:rsid w:val="00622A70"/>
    <w:rsid w:val="0062353D"/>
    <w:rsid w:val="006235F6"/>
    <w:rsid w:val="0062392F"/>
    <w:rsid w:val="00623D1E"/>
    <w:rsid w:val="00623E48"/>
    <w:rsid w:val="006247A2"/>
    <w:rsid w:val="00624F0E"/>
    <w:rsid w:val="00625374"/>
    <w:rsid w:val="00625B2F"/>
    <w:rsid w:val="00626302"/>
    <w:rsid w:val="006276FB"/>
    <w:rsid w:val="00627EF0"/>
    <w:rsid w:val="00630489"/>
    <w:rsid w:val="00630732"/>
    <w:rsid w:val="00630AB7"/>
    <w:rsid w:val="00630D39"/>
    <w:rsid w:val="00631012"/>
    <w:rsid w:val="006316FF"/>
    <w:rsid w:val="006333E8"/>
    <w:rsid w:val="006337B5"/>
    <w:rsid w:val="006338A1"/>
    <w:rsid w:val="0063448D"/>
    <w:rsid w:val="00634DB9"/>
    <w:rsid w:val="006350D2"/>
    <w:rsid w:val="006354F4"/>
    <w:rsid w:val="006358BC"/>
    <w:rsid w:val="00635DAD"/>
    <w:rsid w:val="00635EE7"/>
    <w:rsid w:val="006365EB"/>
    <w:rsid w:val="00636ED7"/>
    <w:rsid w:val="00637237"/>
    <w:rsid w:val="0063750A"/>
    <w:rsid w:val="0064060C"/>
    <w:rsid w:val="006414DA"/>
    <w:rsid w:val="00641684"/>
    <w:rsid w:val="00642361"/>
    <w:rsid w:val="00642372"/>
    <w:rsid w:val="00642463"/>
    <w:rsid w:val="00642615"/>
    <w:rsid w:val="00643695"/>
    <w:rsid w:val="00643925"/>
    <w:rsid w:val="00643DA7"/>
    <w:rsid w:val="00644DDF"/>
    <w:rsid w:val="00644EEB"/>
    <w:rsid w:val="00645DCE"/>
    <w:rsid w:val="006461AB"/>
    <w:rsid w:val="00646C5A"/>
    <w:rsid w:val="00646E7C"/>
    <w:rsid w:val="0064764F"/>
    <w:rsid w:val="00647706"/>
    <w:rsid w:val="006479FB"/>
    <w:rsid w:val="00650774"/>
    <w:rsid w:val="006513B3"/>
    <w:rsid w:val="00652A78"/>
    <w:rsid w:val="00652A8F"/>
    <w:rsid w:val="00652E80"/>
    <w:rsid w:val="006532E9"/>
    <w:rsid w:val="00653581"/>
    <w:rsid w:val="006535E6"/>
    <w:rsid w:val="00653A10"/>
    <w:rsid w:val="00653A24"/>
    <w:rsid w:val="00653E50"/>
    <w:rsid w:val="0065483C"/>
    <w:rsid w:val="006551BA"/>
    <w:rsid w:val="006553A6"/>
    <w:rsid w:val="00655A1E"/>
    <w:rsid w:val="00655AAE"/>
    <w:rsid w:val="00655AE7"/>
    <w:rsid w:val="0065636A"/>
    <w:rsid w:val="006568FC"/>
    <w:rsid w:val="00657426"/>
    <w:rsid w:val="00660568"/>
    <w:rsid w:val="00660650"/>
    <w:rsid w:val="0066092E"/>
    <w:rsid w:val="00661082"/>
    <w:rsid w:val="006613A5"/>
    <w:rsid w:val="006613D4"/>
    <w:rsid w:val="006617B7"/>
    <w:rsid w:val="006628AC"/>
    <w:rsid w:val="00662E88"/>
    <w:rsid w:val="00663483"/>
    <w:rsid w:val="0066388E"/>
    <w:rsid w:val="00664B1D"/>
    <w:rsid w:val="00664C63"/>
    <w:rsid w:val="0066595F"/>
    <w:rsid w:val="006659BF"/>
    <w:rsid w:val="00665B29"/>
    <w:rsid w:val="00666056"/>
    <w:rsid w:val="006660DB"/>
    <w:rsid w:val="006661D3"/>
    <w:rsid w:val="006675E5"/>
    <w:rsid w:val="00667AA7"/>
    <w:rsid w:val="006701B8"/>
    <w:rsid w:val="006703CA"/>
    <w:rsid w:val="00670563"/>
    <w:rsid w:val="00670730"/>
    <w:rsid w:val="00670BC0"/>
    <w:rsid w:val="006710B0"/>
    <w:rsid w:val="00671A3E"/>
    <w:rsid w:val="00673646"/>
    <w:rsid w:val="00673CDA"/>
    <w:rsid w:val="0067400B"/>
    <w:rsid w:val="006744D1"/>
    <w:rsid w:val="00674604"/>
    <w:rsid w:val="00674802"/>
    <w:rsid w:val="0067490E"/>
    <w:rsid w:val="006749A2"/>
    <w:rsid w:val="00674BED"/>
    <w:rsid w:val="00674ECD"/>
    <w:rsid w:val="006756EA"/>
    <w:rsid w:val="00675C2C"/>
    <w:rsid w:val="00676274"/>
    <w:rsid w:val="00676354"/>
    <w:rsid w:val="00676CE0"/>
    <w:rsid w:val="00680845"/>
    <w:rsid w:val="00680CC4"/>
    <w:rsid w:val="00681B82"/>
    <w:rsid w:val="00681E5A"/>
    <w:rsid w:val="00682541"/>
    <w:rsid w:val="00682E11"/>
    <w:rsid w:val="00683C72"/>
    <w:rsid w:val="006844F1"/>
    <w:rsid w:val="00684A76"/>
    <w:rsid w:val="00684B92"/>
    <w:rsid w:val="00684D17"/>
    <w:rsid w:val="00687108"/>
    <w:rsid w:val="00687D64"/>
    <w:rsid w:val="00690599"/>
    <w:rsid w:val="006909AB"/>
    <w:rsid w:val="00690EA9"/>
    <w:rsid w:val="00691CB0"/>
    <w:rsid w:val="00691FFA"/>
    <w:rsid w:val="00692CF6"/>
    <w:rsid w:val="00692E69"/>
    <w:rsid w:val="00693662"/>
    <w:rsid w:val="006939A6"/>
    <w:rsid w:val="00693BF9"/>
    <w:rsid w:val="006949C2"/>
    <w:rsid w:val="006957DB"/>
    <w:rsid w:val="00696828"/>
    <w:rsid w:val="00697051"/>
    <w:rsid w:val="0069734C"/>
    <w:rsid w:val="006976F0"/>
    <w:rsid w:val="006979B6"/>
    <w:rsid w:val="00697CFD"/>
    <w:rsid w:val="006A02E6"/>
    <w:rsid w:val="006A083A"/>
    <w:rsid w:val="006A1AEB"/>
    <w:rsid w:val="006A1BE1"/>
    <w:rsid w:val="006A1CC9"/>
    <w:rsid w:val="006A1FDB"/>
    <w:rsid w:val="006A37E7"/>
    <w:rsid w:val="006A3C04"/>
    <w:rsid w:val="006A47DF"/>
    <w:rsid w:val="006A48F4"/>
    <w:rsid w:val="006A4BA7"/>
    <w:rsid w:val="006A4BB6"/>
    <w:rsid w:val="006A5967"/>
    <w:rsid w:val="006A5B69"/>
    <w:rsid w:val="006A6C03"/>
    <w:rsid w:val="006B022B"/>
    <w:rsid w:val="006B02A8"/>
    <w:rsid w:val="006B0351"/>
    <w:rsid w:val="006B11CB"/>
    <w:rsid w:val="006B1A1A"/>
    <w:rsid w:val="006B1FEE"/>
    <w:rsid w:val="006B2BA3"/>
    <w:rsid w:val="006B2E6B"/>
    <w:rsid w:val="006B2EE9"/>
    <w:rsid w:val="006B59E9"/>
    <w:rsid w:val="006B62AE"/>
    <w:rsid w:val="006B635D"/>
    <w:rsid w:val="006B6FBE"/>
    <w:rsid w:val="006B7A4A"/>
    <w:rsid w:val="006B7B45"/>
    <w:rsid w:val="006B7B7E"/>
    <w:rsid w:val="006C0160"/>
    <w:rsid w:val="006C01AF"/>
    <w:rsid w:val="006C1A26"/>
    <w:rsid w:val="006C1EEB"/>
    <w:rsid w:val="006C3ACC"/>
    <w:rsid w:val="006C3FD2"/>
    <w:rsid w:val="006C483B"/>
    <w:rsid w:val="006C4841"/>
    <w:rsid w:val="006C4B58"/>
    <w:rsid w:val="006C6024"/>
    <w:rsid w:val="006C6271"/>
    <w:rsid w:val="006C634C"/>
    <w:rsid w:val="006C6A76"/>
    <w:rsid w:val="006C6BEB"/>
    <w:rsid w:val="006C73C9"/>
    <w:rsid w:val="006C7F3C"/>
    <w:rsid w:val="006C7F4F"/>
    <w:rsid w:val="006D0BAF"/>
    <w:rsid w:val="006D0D74"/>
    <w:rsid w:val="006D21B7"/>
    <w:rsid w:val="006D2E88"/>
    <w:rsid w:val="006D3B03"/>
    <w:rsid w:val="006D4211"/>
    <w:rsid w:val="006D4577"/>
    <w:rsid w:val="006D54D3"/>
    <w:rsid w:val="006D57FF"/>
    <w:rsid w:val="006D584E"/>
    <w:rsid w:val="006D5EC2"/>
    <w:rsid w:val="006D6058"/>
    <w:rsid w:val="006D6360"/>
    <w:rsid w:val="006D6520"/>
    <w:rsid w:val="006D6E3F"/>
    <w:rsid w:val="006D7877"/>
    <w:rsid w:val="006D7F31"/>
    <w:rsid w:val="006E006B"/>
    <w:rsid w:val="006E1891"/>
    <w:rsid w:val="006E3538"/>
    <w:rsid w:val="006E4A76"/>
    <w:rsid w:val="006E4BAB"/>
    <w:rsid w:val="006E52AE"/>
    <w:rsid w:val="006E57D4"/>
    <w:rsid w:val="006E5BB7"/>
    <w:rsid w:val="006E5C4F"/>
    <w:rsid w:val="006E6007"/>
    <w:rsid w:val="006E6EAE"/>
    <w:rsid w:val="006E6FF7"/>
    <w:rsid w:val="006E7054"/>
    <w:rsid w:val="006E7956"/>
    <w:rsid w:val="006F0026"/>
    <w:rsid w:val="006F05F7"/>
    <w:rsid w:val="006F062E"/>
    <w:rsid w:val="006F0CDB"/>
    <w:rsid w:val="006F1B9B"/>
    <w:rsid w:val="006F23E9"/>
    <w:rsid w:val="006F259A"/>
    <w:rsid w:val="006F25E5"/>
    <w:rsid w:val="006F29B7"/>
    <w:rsid w:val="006F31E1"/>
    <w:rsid w:val="006F3497"/>
    <w:rsid w:val="006F41DA"/>
    <w:rsid w:val="006F48EF"/>
    <w:rsid w:val="006F52CB"/>
    <w:rsid w:val="006F572A"/>
    <w:rsid w:val="006F57DE"/>
    <w:rsid w:val="006F6027"/>
    <w:rsid w:val="006F614A"/>
    <w:rsid w:val="006F70F7"/>
    <w:rsid w:val="007000A5"/>
    <w:rsid w:val="00700318"/>
    <w:rsid w:val="007003AA"/>
    <w:rsid w:val="0070047A"/>
    <w:rsid w:val="00700833"/>
    <w:rsid w:val="00701DAA"/>
    <w:rsid w:val="00702685"/>
    <w:rsid w:val="00702A32"/>
    <w:rsid w:val="00703283"/>
    <w:rsid w:val="0070338C"/>
    <w:rsid w:val="00704F5D"/>
    <w:rsid w:val="00705A48"/>
    <w:rsid w:val="00705BA0"/>
    <w:rsid w:val="00706050"/>
    <w:rsid w:val="007065FB"/>
    <w:rsid w:val="00706850"/>
    <w:rsid w:val="0070721E"/>
    <w:rsid w:val="0070742B"/>
    <w:rsid w:val="00707BA5"/>
    <w:rsid w:val="00710789"/>
    <w:rsid w:val="007107B9"/>
    <w:rsid w:val="00710A58"/>
    <w:rsid w:val="00710DF2"/>
    <w:rsid w:val="007118B8"/>
    <w:rsid w:val="00711F8A"/>
    <w:rsid w:val="0071206F"/>
    <w:rsid w:val="007124A5"/>
    <w:rsid w:val="00712B60"/>
    <w:rsid w:val="0071379E"/>
    <w:rsid w:val="007137CD"/>
    <w:rsid w:val="0071504F"/>
    <w:rsid w:val="007150FA"/>
    <w:rsid w:val="00715E14"/>
    <w:rsid w:val="00716DA7"/>
    <w:rsid w:val="00717070"/>
    <w:rsid w:val="007171CA"/>
    <w:rsid w:val="007171D4"/>
    <w:rsid w:val="00717CC9"/>
    <w:rsid w:val="00720006"/>
    <w:rsid w:val="007206DD"/>
    <w:rsid w:val="0072085F"/>
    <w:rsid w:val="00720909"/>
    <w:rsid w:val="00720C30"/>
    <w:rsid w:val="007213F0"/>
    <w:rsid w:val="00721CD1"/>
    <w:rsid w:val="0072312F"/>
    <w:rsid w:val="00723970"/>
    <w:rsid w:val="00723DCD"/>
    <w:rsid w:val="0072433F"/>
    <w:rsid w:val="007247A6"/>
    <w:rsid w:val="00725203"/>
    <w:rsid w:val="00725817"/>
    <w:rsid w:val="00725BBE"/>
    <w:rsid w:val="00727342"/>
    <w:rsid w:val="00727D0E"/>
    <w:rsid w:val="00727F01"/>
    <w:rsid w:val="007307AA"/>
    <w:rsid w:val="00730C9E"/>
    <w:rsid w:val="007319CB"/>
    <w:rsid w:val="0073248F"/>
    <w:rsid w:val="007324D4"/>
    <w:rsid w:val="00732911"/>
    <w:rsid w:val="00732BF7"/>
    <w:rsid w:val="00733D53"/>
    <w:rsid w:val="0073450D"/>
    <w:rsid w:val="00734626"/>
    <w:rsid w:val="00735361"/>
    <w:rsid w:val="007354D8"/>
    <w:rsid w:val="00735BA0"/>
    <w:rsid w:val="00735DDF"/>
    <w:rsid w:val="007368C2"/>
    <w:rsid w:val="00736B89"/>
    <w:rsid w:val="00736D7B"/>
    <w:rsid w:val="0073711D"/>
    <w:rsid w:val="00737FD3"/>
    <w:rsid w:val="007411D6"/>
    <w:rsid w:val="00741587"/>
    <w:rsid w:val="00741C6C"/>
    <w:rsid w:val="0074210F"/>
    <w:rsid w:val="007422CF"/>
    <w:rsid w:val="00742705"/>
    <w:rsid w:val="00742BD3"/>
    <w:rsid w:val="00743315"/>
    <w:rsid w:val="00743AD9"/>
    <w:rsid w:val="00743F7B"/>
    <w:rsid w:val="00744335"/>
    <w:rsid w:val="00744A48"/>
    <w:rsid w:val="00745262"/>
    <w:rsid w:val="00745E1D"/>
    <w:rsid w:val="00746798"/>
    <w:rsid w:val="00746FDE"/>
    <w:rsid w:val="007470B9"/>
    <w:rsid w:val="0074758D"/>
    <w:rsid w:val="007476C1"/>
    <w:rsid w:val="00750678"/>
    <w:rsid w:val="007506CE"/>
    <w:rsid w:val="00750B45"/>
    <w:rsid w:val="00750F14"/>
    <w:rsid w:val="007511CC"/>
    <w:rsid w:val="00751443"/>
    <w:rsid w:val="00751721"/>
    <w:rsid w:val="00751A55"/>
    <w:rsid w:val="0075207E"/>
    <w:rsid w:val="00752089"/>
    <w:rsid w:val="007531A0"/>
    <w:rsid w:val="00753736"/>
    <w:rsid w:val="00754352"/>
    <w:rsid w:val="00754AA7"/>
    <w:rsid w:val="00755E62"/>
    <w:rsid w:val="0075647A"/>
    <w:rsid w:val="007568DC"/>
    <w:rsid w:val="00756C35"/>
    <w:rsid w:val="00757582"/>
    <w:rsid w:val="0076050F"/>
    <w:rsid w:val="00761E57"/>
    <w:rsid w:val="00763236"/>
    <w:rsid w:val="00763817"/>
    <w:rsid w:val="00763C39"/>
    <w:rsid w:val="00763EE0"/>
    <w:rsid w:val="007643C0"/>
    <w:rsid w:val="00765A36"/>
    <w:rsid w:val="007661D2"/>
    <w:rsid w:val="00767D58"/>
    <w:rsid w:val="007706FD"/>
    <w:rsid w:val="00770801"/>
    <w:rsid w:val="00771CD0"/>
    <w:rsid w:val="00772337"/>
    <w:rsid w:val="007733BE"/>
    <w:rsid w:val="00774621"/>
    <w:rsid w:val="00774690"/>
    <w:rsid w:val="00774805"/>
    <w:rsid w:val="00775F23"/>
    <w:rsid w:val="0077654B"/>
    <w:rsid w:val="00776CA7"/>
    <w:rsid w:val="00776E22"/>
    <w:rsid w:val="00781F7D"/>
    <w:rsid w:val="00782073"/>
    <w:rsid w:val="00783530"/>
    <w:rsid w:val="007842BF"/>
    <w:rsid w:val="007844C8"/>
    <w:rsid w:val="0078467D"/>
    <w:rsid w:val="00784D0C"/>
    <w:rsid w:val="007850DE"/>
    <w:rsid w:val="00787C48"/>
    <w:rsid w:val="0079093A"/>
    <w:rsid w:val="00791133"/>
    <w:rsid w:val="00791143"/>
    <w:rsid w:val="00791EDD"/>
    <w:rsid w:val="00792223"/>
    <w:rsid w:val="00792C03"/>
    <w:rsid w:val="00792D10"/>
    <w:rsid w:val="00793944"/>
    <w:rsid w:val="00793B10"/>
    <w:rsid w:val="007946AF"/>
    <w:rsid w:val="007959B8"/>
    <w:rsid w:val="00795A01"/>
    <w:rsid w:val="00796717"/>
    <w:rsid w:val="00796C3B"/>
    <w:rsid w:val="00797351"/>
    <w:rsid w:val="0079743D"/>
    <w:rsid w:val="00797772"/>
    <w:rsid w:val="00797DA2"/>
    <w:rsid w:val="00797E3D"/>
    <w:rsid w:val="007A1530"/>
    <w:rsid w:val="007A17F1"/>
    <w:rsid w:val="007A1859"/>
    <w:rsid w:val="007A27A6"/>
    <w:rsid w:val="007A2BCD"/>
    <w:rsid w:val="007A33FE"/>
    <w:rsid w:val="007A38B9"/>
    <w:rsid w:val="007A4FCA"/>
    <w:rsid w:val="007A519B"/>
    <w:rsid w:val="007A5A4C"/>
    <w:rsid w:val="007A5FED"/>
    <w:rsid w:val="007A7CFF"/>
    <w:rsid w:val="007A7D90"/>
    <w:rsid w:val="007A7E7B"/>
    <w:rsid w:val="007B0039"/>
    <w:rsid w:val="007B01CF"/>
    <w:rsid w:val="007B1446"/>
    <w:rsid w:val="007B150C"/>
    <w:rsid w:val="007B3CEF"/>
    <w:rsid w:val="007B43E1"/>
    <w:rsid w:val="007B4D5C"/>
    <w:rsid w:val="007B4FFD"/>
    <w:rsid w:val="007B590C"/>
    <w:rsid w:val="007B60BD"/>
    <w:rsid w:val="007B7A92"/>
    <w:rsid w:val="007B7E9F"/>
    <w:rsid w:val="007C09AC"/>
    <w:rsid w:val="007C0C12"/>
    <w:rsid w:val="007C12E8"/>
    <w:rsid w:val="007C2CB2"/>
    <w:rsid w:val="007C2E23"/>
    <w:rsid w:val="007C3139"/>
    <w:rsid w:val="007C3565"/>
    <w:rsid w:val="007C42BB"/>
    <w:rsid w:val="007C45CA"/>
    <w:rsid w:val="007C46A0"/>
    <w:rsid w:val="007C5070"/>
    <w:rsid w:val="007C51B6"/>
    <w:rsid w:val="007C663D"/>
    <w:rsid w:val="007C795D"/>
    <w:rsid w:val="007D008E"/>
    <w:rsid w:val="007D07C4"/>
    <w:rsid w:val="007D084D"/>
    <w:rsid w:val="007D0AF0"/>
    <w:rsid w:val="007D224B"/>
    <w:rsid w:val="007D3E5A"/>
    <w:rsid w:val="007D4E85"/>
    <w:rsid w:val="007D50EF"/>
    <w:rsid w:val="007D5C7E"/>
    <w:rsid w:val="007D653A"/>
    <w:rsid w:val="007D69E1"/>
    <w:rsid w:val="007D6A1E"/>
    <w:rsid w:val="007E0064"/>
    <w:rsid w:val="007E04A2"/>
    <w:rsid w:val="007E09E9"/>
    <w:rsid w:val="007E0A8F"/>
    <w:rsid w:val="007E0B3E"/>
    <w:rsid w:val="007E12A2"/>
    <w:rsid w:val="007E12D3"/>
    <w:rsid w:val="007E13EB"/>
    <w:rsid w:val="007E2155"/>
    <w:rsid w:val="007E2DFC"/>
    <w:rsid w:val="007E3446"/>
    <w:rsid w:val="007E3FA7"/>
    <w:rsid w:val="007E4D1E"/>
    <w:rsid w:val="007E4F90"/>
    <w:rsid w:val="007E6464"/>
    <w:rsid w:val="007E66D0"/>
    <w:rsid w:val="007E6835"/>
    <w:rsid w:val="007E6F46"/>
    <w:rsid w:val="007E7E74"/>
    <w:rsid w:val="007F04B2"/>
    <w:rsid w:val="007F06D6"/>
    <w:rsid w:val="007F095D"/>
    <w:rsid w:val="007F0E02"/>
    <w:rsid w:val="007F1D19"/>
    <w:rsid w:val="007F1DAE"/>
    <w:rsid w:val="007F24B9"/>
    <w:rsid w:val="007F26C7"/>
    <w:rsid w:val="007F3388"/>
    <w:rsid w:val="007F347D"/>
    <w:rsid w:val="007F3571"/>
    <w:rsid w:val="007F497A"/>
    <w:rsid w:val="007F4D6C"/>
    <w:rsid w:val="007F5CA4"/>
    <w:rsid w:val="007F5CF0"/>
    <w:rsid w:val="007F5DC6"/>
    <w:rsid w:val="007F5EAC"/>
    <w:rsid w:val="007F6251"/>
    <w:rsid w:val="007F6461"/>
    <w:rsid w:val="007F6BAE"/>
    <w:rsid w:val="007F6F77"/>
    <w:rsid w:val="007F7B5C"/>
    <w:rsid w:val="007F7D2F"/>
    <w:rsid w:val="007F7DC1"/>
    <w:rsid w:val="007F7E98"/>
    <w:rsid w:val="00801B8F"/>
    <w:rsid w:val="0080256F"/>
    <w:rsid w:val="0080298F"/>
    <w:rsid w:val="00802BF1"/>
    <w:rsid w:val="00802FF1"/>
    <w:rsid w:val="008034DB"/>
    <w:rsid w:val="008041E6"/>
    <w:rsid w:val="008041FF"/>
    <w:rsid w:val="00805D68"/>
    <w:rsid w:val="00805E84"/>
    <w:rsid w:val="00806471"/>
    <w:rsid w:val="00807263"/>
    <w:rsid w:val="0080751A"/>
    <w:rsid w:val="0080752D"/>
    <w:rsid w:val="00807F81"/>
    <w:rsid w:val="008104D1"/>
    <w:rsid w:val="00811140"/>
    <w:rsid w:val="0081226D"/>
    <w:rsid w:val="00812349"/>
    <w:rsid w:val="008123CB"/>
    <w:rsid w:val="00812892"/>
    <w:rsid w:val="008129F2"/>
    <w:rsid w:val="00812E77"/>
    <w:rsid w:val="008137C4"/>
    <w:rsid w:val="00813B83"/>
    <w:rsid w:val="00814FB3"/>
    <w:rsid w:val="008150EA"/>
    <w:rsid w:val="0081516B"/>
    <w:rsid w:val="00815355"/>
    <w:rsid w:val="00815708"/>
    <w:rsid w:val="00815C9B"/>
    <w:rsid w:val="00815EF5"/>
    <w:rsid w:val="00816175"/>
    <w:rsid w:val="00816809"/>
    <w:rsid w:val="00817C2F"/>
    <w:rsid w:val="00820059"/>
    <w:rsid w:val="00820AAF"/>
    <w:rsid w:val="00820D3A"/>
    <w:rsid w:val="00821900"/>
    <w:rsid w:val="00821A21"/>
    <w:rsid w:val="00821B0A"/>
    <w:rsid w:val="00821D52"/>
    <w:rsid w:val="0082203A"/>
    <w:rsid w:val="00822140"/>
    <w:rsid w:val="00822285"/>
    <w:rsid w:val="00822350"/>
    <w:rsid w:val="00822352"/>
    <w:rsid w:val="008228D5"/>
    <w:rsid w:val="00823081"/>
    <w:rsid w:val="0082315F"/>
    <w:rsid w:val="00823FFE"/>
    <w:rsid w:val="00824223"/>
    <w:rsid w:val="0082471D"/>
    <w:rsid w:val="00824957"/>
    <w:rsid w:val="00824986"/>
    <w:rsid w:val="00824FA1"/>
    <w:rsid w:val="00825E5A"/>
    <w:rsid w:val="0082623F"/>
    <w:rsid w:val="0082649C"/>
    <w:rsid w:val="00827A57"/>
    <w:rsid w:val="008303E0"/>
    <w:rsid w:val="00830BFA"/>
    <w:rsid w:val="00831827"/>
    <w:rsid w:val="008318D7"/>
    <w:rsid w:val="0083217B"/>
    <w:rsid w:val="00833015"/>
    <w:rsid w:val="0083304A"/>
    <w:rsid w:val="0083382A"/>
    <w:rsid w:val="00834071"/>
    <w:rsid w:val="008342FB"/>
    <w:rsid w:val="008349C9"/>
    <w:rsid w:val="00834DBE"/>
    <w:rsid w:val="0083555E"/>
    <w:rsid w:val="00836004"/>
    <w:rsid w:val="00837874"/>
    <w:rsid w:val="008409CC"/>
    <w:rsid w:val="00840BAF"/>
    <w:rsid w:val="008423A6"/>
    <w:rsid w:val="00842B65"/>
    <w:rsid w:val="00842CFE"/>
    <w:rsid w:val="00843259"/>
    <w:rsid w:val="0084352C"/>
    <w:rsid w:val="008441E1"/>
    <w:rsid w:val="00844B24"/>
    <w:rsid w:val="00845105"/>
    <w:rsid w:val="008465BB"/>
    <w:rsid w:val="00847182"/>
    <w:rsid w:val="008472A2"/>
    <w:rsid w:val="00850892"/>
    <w:rsid w:val="0085169E"/>
    <w:rsid w:val="00851C15"/>
    <w:rsid w:val="00852846"/>
    <w:rsid w:val="0085398C"/>
    <w:rsid w:val="00853EF1"/>
    <w:rsid w:val="0085419D"/>
    <w:rsid w:val="008541D3"/>
    <w:rsid w:val="0085445A"/>
    <w:rsid w:val="00854BF1"/>
    <w:rsid w:val="00855207"/>
    <w:rsid w:val="00855270"/>
    <w:rsid w:val="008558F8"/>
    <w:rsid w:val="00855984"/>
    <w:rsid w:val="00857C2E"/>
    <w:rsid w:val="008600F0"/>
    <w:rsid w:val="008601F7"/>
    <w:rsid w:val="00860B35"/>
    <w:rsid w:val="00860EF7"/>
    <w:rsid w:val="00861A9E"/>
    <w:rsid w:val="008626B5"/>
    <w:rsid w:val="00862779"/>
    <w:rsid w:val="00862CE5"/>
    <w:rsid w:val="00862F70"/>
    <w:rsid w:val="00863D5F"/>
    <w:rsid w:val="00863E40"/>
    <w:rsid w:val="00863E6E"/>
    <w:rsid w:val="0086426F"/>
    <w:rsid w:val="008642EA"/>
    <w:rsid w:val="00864396"/>
    <w:rsid w:val="008648B1"/>
    <w:rsid w:val="00864CEE"/>
    <w:rsid w:val="00865929"/>
    <w:rsid w:val="008663B9"/>
    <w:rsid w:val="00867467"/>
    <w:rsid w:val="00867A31"/>
    <w:rsid w:val="00870520"/>
    <w:rsid w:val="008707D7"/>
    <w:rsid w:val="00871167"/>
    <w:rsid w:val="00871F06"/>
    <w:rsid w:val="00872366"/>
    <w:rsid w:val="008725E4"/>
    <w:rsid w:val="00872FAD"/>
    <w:rsid w:val="008730D2"/>
    <w:rsid w:val="00873286"/>
    <w:rsid w:val="00873657"/>
    <w:rsid w:val="0087400B"/>
    <w:rsid w:val="0087440C"/>
    <w:rsid w:val="00874C19"/>
    <w:rsid w:val="00875114"/>
    <w:rsid w:val="008753AD"/>
    <w:rsid w:val="00875644"/>
    <w:rsid w:val="00875ADC"/>
    <w:rsid w:val="00875AFE"/>
    <w:rsid w:val="00875F91"/>
    <w:rsid w:val="00876985"/>
    <w:rsid w:val="00876A95"/>
    <w:rsid w:val="00877AA9"/>
    <w:rsid w:val="008801C4"/>
    <w:rsid w:val="0088027D"/>
    <w:rsid w:val="00880770"/>
    <w:rsid w:val="00880AA0"/>
    <w:rsid w:val="008814F0"/>
    <w:rsid w:val="00881B29"/>
    <w:rsid w:val="00881C9D"/>
    <w:rsid w:val="00881F1B"/>
    <w:rsid w:val="00882498"/>
    <w:rsid w:val="00882A93"/>
    <w:rsid w:val="00883438"/>
    <w:rsid w:val="008837C5"/>
    <w:rsid w:val="00883A24"/>
    <w:rsid w:val="008846FC"/>
    <w:rsid w:val="00884D6F"/>
    <w:rsid w:val="00885BE9"/>
    <w:rsid w:val="008868D1"/>
    <w:rsid w:val="008873C5"/>
    <w:rsid w:val="00887437"/>
    <w:rsid w:val="0088749C"/>
    <w:rsid w:val="00887C19"/>
    <w:rsid w:val="00887E81"/>
    <w:rsid w:val="008903B0"/>
    <w:rsid w:val="008907D3"/>
    <w:rsid w:val="008908AD"/>
    <w:rsid w:val="0089115F"/>
    <w:rsid w:val="0089174E"/>
    <w:rsid w:val="00891E6D"/>
    <w:rsid w:val="00891FFC"/>
    <w:rsid w:val="00892103"/>
    <w:rsid w:val="00892127"/>
    <w:rsid w:val="0089443D"/>
    <w:rsid w:val="00894CE2"/>
    <w:rsid w:val="00895BA7"/>
    <w:rsid w:val="00895BCD"/>
    <w:rsid w:val="00895C33"/>
    <w:rsid w:val="00895EAD"/>
    <w:rsid w:val="00895EFD"/>
    <w:rsid w:val="00896D8A"/>
    <w:rsid w:val="0089727F"/>
    <w:rsid w:val="008A0515"/>
    <w:rsid w:val="008A054E"/>
    <w:rsid w:val="008A074C"/>
    <w:rsid w:val="008A1ED6"/>
    <w:rsid w:val="008A2539"/>
    <w:rsid w:val="008A3343"/>
    <w:rsid w:val="008A3707"/>
    <w:rsid w:val="008A38AE"/>
    <w:rsid w:val="008A4688"/>
    <w:rsid w:val="008A4969"/>
    <w:rsid w:val="008A4A3C"/>
    <w:rsid w:val="008A5036"/>
    <w:rsid w:val="008A58E0"/>
    <w:rsid w:val="008B07B3"/>
    <w:rsid w:val="008B0BD1"/>
    <w:rsid w:val="008B0E7D"/>
    <w:rsid w:val="008B24CA"/>
    <w:rsid w:val="008B2B82"/>
    <w:rsid w:val="008B3365"/>
    <w:rsid w:val="008B38CB"/>
    <w:rsid w:val="008B4034"/>
    <w:rsid w:val="008B4602"/>
    <w:rsid w:val="008B4B6A"/>
    <w:rsid w:val="008B4D3C"/>
    <w:rsid w:val="008B5192"/>
    <w:rsid w:val="008B5D53"/>
    <w:rsid w:val="008B60E6"/>
    <w:rsid w:val="008B7036"/>
    <w:rsid w:val="008B7F3D"/>
    <w:rsid w:val="008B7F88"/>
    <w:rsid w:val="008C0C84"/>
    <w:rsid w:val="008C1539"/>
    <w:rsid w:val="008C1962"/>
    <w:rsid w:val="008C26A0"/>
    <w:rsid w:val="008C27CF"/>
    <w:rsid w:val="008C284D"/>
    <w:rsid w:val="008C2D32"/>
    <w:rsid w:val="008C3143"/>
    <w:rsid w:val="008C328D"/>
    <w:rsid w:val="008C33E1"/>
    <w:rsid w:val="008C38A8"/>
    <w:rsid w:val="008C3B27"/>
    <w:rsid w:val="008C512F"/>
    <w:rsid w:val="008C5163"/>
    <w:rsid w:val="008C63C3"/>
    <w:rsid w:val="008C6539"/>
    <w:rsid w:val="008C6976"/>
    <w:rsid w:val="008C6DDF"/>
    <w:rsid w:val="008C6F26"/>
    <w:rsid w:val="008C774E"/>
    <w:rsid w:val="008C7830"/>
    <w:rsid w:val="008C7B77"/>
    <w:rsid w:val="008D0200"/>
    <w:rsid w:val="008D02BF"/>
    <w:rsid w:val="008D159E"/>
    <w:rsid w:val="008D16E0"/>
    <w:rsid w:val="008D1912"/>
    <w:rsid w:val="008D2189"/>
    <w:rsid w:val="008D2437"/>
    <w:rsid w:val="008D29F2"/>
    <w:rsid w:val="008D3159"/>
    <w:rsid w:val="008D3176"/>
    <w:rsid w:val="008D31C3"/>
    <w:rsid w:val="008D38AC"/>
    <w:rsid w:val="008D40EE"/>
    <w:rsid w:val="008D42DC"/>
    <w:rsid w:val="008D46B0"/>
    <w:rsid w:val="008D550E"/>
    <w:rsid w:val="008D63B1"/>
    <w:rsid w:val="008D66C1"/>
    <w:rsid w:val="008D6A6B"/>
    <w:rsid w:val="008D6D28"/>
    <w:rsid w:val="008D6F01"/>
    <w:rsid w:val="008D7D35"/>
    <w:rsid w:val="008D7E8A"/>
    <w:rsid w:val="008E0053"/>
    <w:rsid w:val="008E0D78"/>
    <w:rsid w:val="008E1411"/>
    <w:rsid w:val="008E1F21"/>
    <w:rsid w:val="008E2322"/>
    <w:rsid w:val="008E2CC2"/>
    <w:rsid w:val="008E395A"/>
    <w:rsid w:val="008E4747"/>
    <w:rsid w:val="008E4909"/>
    <w:rsid w:val="008E4B48"/>
    <w:rsid w:val="008E55B7"/>
    <w:rsid w:val="008E59F5"/>
    <w:rsid w:val="008E642E"/>
    <w:rsid w:val="008E7596"/>
    <w:rsid w:val="008F008F"/>
    <w:rsid w:val="008F08C7"/>
    <w:rsid w:val="008F13B6"/>
    <w:rsid w:val="008F1775"/>
    <w:rsid w:val="008F1BC5"/>
    <w:rsid w:val="008F24C6"/>
    <w:rsid w:val="008F2539"/>
    <w:rsid w:val="008F3021"/>
    <w:rsid w:val="008F3D05"/>
    <w:rsid w:val="008F43D6"/>
    <w:rsid w:val="008F4924"/>
    <w:rsid w:val="008F56E3"/>
    <w:rsid w:val="008F58CE"/>
    <w:rsid w:val="008F598A"/>
    <w:rsid w:val="008F6A11"/>
    <w:rsid w:val="008F6E59"/>
    <w:rsid w:val="008F774C"/>
    <w:rsid w:val="008F7A5F"/>
    <w:rsid w:val="008F7E41"/>
    <w:rsid w:val="009001EE"/>
    <w:rsid w:val="00901302"/>
    <w:rsid w:val="0090183B"/>
    <w:rsid w:val="00901BB6"/>
    <w:rsid w:val="00901F77"/>
    <w:rsid w:val="00902515"/>
    <w:rsid w:val="00902C48"/>
    <w:rsid w:val="0090374D"/>
    <w:rsid w:val="00903C62"/>
    <w:rsid w:val="00903F0C"/>
    <w:rsid w:val="00903FCB"/>
    <w:rsid w:val="00904DC6"/>
    <w:rsid w:val="00906BFC"/>
    <w:rsid w:val="00907D56"/>
    <w:rsid w:val="00910740"/>
    <w:rsid w:val="0091188D"/>
    <w:rsid w:val="00911BD4"/>
    <w:rsid w:val="0091365C"/>
    <w:rsid w:val="00913946"/>
    <w:rsid w:val="00913D35"/>
    <w:rsid w:val="00914284"/>
    <w:rsid w:val="009147B8"/>
    <w:rsid w:val="00914895"/>
    <w:rsid w:val="00914D7A"/>
    <w:rsid w:val="009153D2"/>
    <w:rsid w:val="00915406"/>
    <w:rsid w:val="009154B3"/>
    <w:rsid w:val="00915772"/>
    <w:rsid w:val="0091608B"/>
    <w:rsid w:val="0091626F"/>
    <w:rsid w:val="00916AE8"/>
    <w:rsid w:val="0091791E"/>
    <w:rsid w:val="00917EBE"/>
    <w:rsid w:val="00920D1B"/>
    <w:rsid w:val="00921037"/>
    <w:rsid w:val="0092199A"/>
    <w:rsid w:val="0092242C"/>
    <w:rsid w:val="009224AC"/>
    <w:rsid w:val="0092291F"/>
    <w:rsid w:val="00922EDC"/>
    <w:rsid w:val="009244F2"/>
    <w:rsid w:val="009246A5"/>
    <w:rsid w:val="00924E0D"/>
    <w:rsid w:val="00925113"/>
    <w:rsid w:val="009257E0"/>
    <w:rsid w:val="00925D3A"/>
    <w:rsid w:val="00925DE2"/>
    <w:rsid w:val="0092609D"/>
    <w:rsid w:val="00927005"/>
    <w:rsid w:val="00927329"/>
    <w:rsid w:val="00930077"/>
    <w:rsid w:val="009306E5"/>
    <w:rsid w:val="009314D7"/>
    <w:rsid w:val="009316CE"/>
    <w:rsid w:val="00931E7B"/>
    <w:rsid w:val="009322AA"/>
    <w:rsid w:val="00932501"/>
    <w:rsid w:val="0093254A"/>
    <w:rsid w:val="00934BDB"/>
    <w:rsid w:val="00934CE9"/>
    <w:rsid w:val="00935BC6"/>
    <w:rsid w:val="00935E58"/>
    <w:rsid w:val="009363B9"/>
    <w:rsid w:val="00936830"/>
    <w:rsid w:val="00936921"/>
    <w:rsid w:val="00936F6D"/>
    <w:rsid w:val="00937175"/>
    <w:rsid w:val="00937A27"/>
    <w:rsid w:val="00937CF8"/>
    <w:rsid w:val="00940268"/>
    <w:rsid w:val="00940DA0"/>
    <w:rsid w:val="00943521"/>
    <w:rsid w:val="00943C55"/>
    <w:rsid w:val="00943DD3"/>
    <w:rsid w:val="00944989"/>
    <w:rsid w:val="00945865"/>
    <w:rsid w:val="00945E50"/>
    <w:rsid w:val="00946BDA"/>
    <w:rsid w:val="009474FF"/>
    <w:rsid w:val="009477C4"/>
    <w:rsid w:val="00947C1D"/>
    <w:rsid w:val="00950C5D"/>
    <w:rsid w:val="00951836"/>
    <w:rsid w:val="0095190C"/>
    <w:rsid w:val="0095215B"/>
    <w:rsid w:val="00952813"/>
    <w:rsid w:val="00953725"/>
    <w:rsid w:val="009538B8"/>
    <w:rsid w:val="00953D0D"/>
    <w:rsid w:val="009550E2"/>
    <w:rsid w:val="0095550F"/>
    <w:rsid w:val="009557E1"/>
    <w:rsid w:val="0095584E"/>
    <w:rsid w:val="00955BEE"/>
    <w:rsid w:val="00955FC9"/>
    <w:rsid w:val="00956443"/>
    <w:rsid w:val="009603F4"/>
    <w:rsid w:val="009614CE"/>
    <w:rsid w:val="00961987"/>
    <w:rsid w:val="00961AAD"/>
    <w:rsid w:val="00961B39"/>
    <w:rsid w:val="0096267E"/>
    <w:rsid w:val="00963237"/>
    <w:rsid w:val="00963F19"/>
    <w:rsid w:val="00964891"/>
    <w:rsid w:val="009648E8"/>
    <w:rsid w:val="00964D92"/>
    <w:rsid w:val="00964E32"/>
    <w:rsid w:val="009652DA"/>
    <w:rsid w:val="00966B08"/>
    <w:rsid w:val="00966C77"/>
    <w:rsid w:val="00966C79"/>
    <w:rsid w:val="00966DE8"/>
    <w:rsid w:val="00967120"/>
    <w:rsid w:val="00967DF4"/>
    <w:rsid w:val="00970377"/>
    <w:rsid w:val="0097107C"/>
    <w:rsid w:val="009711B9"/>
    <w:rsid w:val="00972347"/>
    <w:rsid w:val="00972748"/>
    <w:rsid w:val="00973EF4"/>
    <w:rsid w:val="00973F76"/>
    <w:rsid w:val="009747A6"/>
    <w:rsid w:val="00974A66"/>
    <w:rsid w:val="00974BF8"/>
    <w:rsid w:val="00974CD2"/>
    <w:rsid w:val="00975C68"/>
    <w:rsid w:val="00975FFC"/>
    <w:rsid w:val="00976DE8"/>
    <w:rsid w:val="0097759E"/>
    <w:rsid w:val="00980BD7"/>
    <w:rsid w:val="00980E55"/>
    <w:rsid w:val="0098108A"/>
    <w:rsid w:val="00981438"/>
    <w:rsid w:val="00981BEF"/>
    <w:rsid w:val="00981F4A"/>
    <w:rsid w:val="009820F0"/>
    <w:rsid w:val="00982614"/>
    <w:rsid w:val="00982969"/>
    <w:rsid w:val="00982A0E"/>
    <w:rsid w:val="00982C49"/>
    <w:rsid w:val="009831B1"/>
    <w:rsid w:val="00984243"/>
    <w:rsid w:val="00984710"/>
    <w:rsid w:val="00984B8E"/>
    <w:rsid w:val="00984C7D"/>
    <w:rsid w:val="00985050"/>
    <w:rsid w:val="0098584D"/>
    <w:rsid w:val="00985DB9"/>
    <w:rsid w:val="00986021"/>
    <w:rsid w:val="0098613A"/>
    <w:rsid w:val="00986DD9"/>
    <w:rsid w:val="00987128"/>
    <w:rsid w:val="009873F6"/>
    <w:rsid w:val="00987995"/>
    <w:rsid w:val="00991C5F"/>
    <w:rsid w:val="00991E6A"/>
    <w:rsid w:val="009926DF"/>
    <w:rsid w:val="00993575"/>
    <w:rsid w:val="00993A20"/>
    <w:rsid w:val="00994662"/>
    <w:rsid w:val="00994677"/>
    <w:rsid w:val="009946D8"/>
    <w:rsid w:val="009952FB"/>
    <w:rsid w:val="00995606"/>
    <w:rsid w:val="0099628B"/>
    <w:rsid w:val="00996F8A"/>
    <w:rsid w:val="009A10AF"/>
    <w:rsid w:val="009A25D6"/>
    <w:rsid w:val="009A297A"/>
    <w:rsid w:val="009A2DC2"/>
    <w:rsid w:val="009A41A8"/>
    <w:rsid w:val="009A532D"/>
    <w:rsid w:val="009A5414"/>
    <w:rsid w:val="009A5E8A"/>
    <w:rsid w:val="009A6344"/>
    <w:rsid w:val="009A6A30"/>
    <w:rsid w:val="009A79DA"/>
    <w:rsid w:val="009B066A"/>
    <w:rsid w:val="009B0854"/>
    <w:rsid w:val="009B08F5"/>
    <w:rsid w:val="009B1CD5"/>
    <w:rsid w:val="009B200B"/>
    <w:rsid w:val="009B24A5"/>
    <w:rsid w:val="009B2560"/>
    <w:rsid w:val="009B29AD"/>
    <w:rsid w:val="009B2EC2"/>
    <w:rsid w:val="009B31DB"/>
    <w:rsid w:val="009B3408"/>
    <w:rsid w:val="009B3B32"/>
    <w:rsid w:val="009B3D5A"/>
    <w:rsid w:val="009B4301"/>
    <w:rsid w:val="009B5682"/>
    <w:rsid w:val="009B5A86"/>
    <w:rsid w:val="009B72C6"/>
    <w:rsid w:val="009B730F"/>
    <w:rsid w:val="009B74D5"/>
    <w:rsid w:val="009B7D47"/>
    <w:rsid w:val="009C0034"/>
    <w:rsid w:val="009C0E52"/>
    <w:rsid w:val="009C0ECC"/>
    <w:rsid w:val="009C1BBA"/>
    <w:rsid w:val="009C1F4A"/>
    <w:rsid w:val="009C1FF0"/>
    <w:rsid w:val="009C2232"/>
    <w:rsid w:val="009C3084"/>
    <w:rsid w:val="009C312A"/>
    <w:rsid w:val="009C321A"/>
    <w:rsid w:val="009C4214"/>
    <w:rsid w:val="009C4216"/>
    <w:rsid w:val="009C5060"/>
    <w:rsid w:val="009C54DF"/>
    <w:rsid w:val="009C5B09"/>
    <w:rsid w:val="009C633D"/>
    <w:rsid w:val="009C63AB"/>
    <w:rsid w:val="009C6AA8"/>
    <w:rsid w:val="009C74FA"/>
    <w:rsid w:val="009C7578"/>
    <w:rsid w:val="009D0258"/>
    <w:rsid w:val="009D0684"/>
    <w:rsid w:val="009D1157"/>
    <w:rsid w:val="009D3294"/>
    <w:rsid w:val="009D364D"/>
    <w:rsid w:val="009D42E7"/>
    <w:rsid w:val="009D49ED"/>
    <w:rsid w:val="009D4A7B"/>
    <w:rsid w:val="009D4F12"/>
    <w:rsid w:val="009D669E"/>
    <w:rsid w:val="009D7296"/>
    <w:rsid w:val="009D75EB"/>
    <w:rsid w:val="009D7725"/>
    <w:rsid w:val="009D78C3"/>
    <w:rsid w:val="009E04FA"/>
    <w:rsid w:val="009E07DA"/>
    <w:rsid w:val="009E160F"/>
    <w:rsid w:val="009E1BE8"/>
    <w:rsid w:val="009E2166"/>
    <w:rsid w:val="009E235B"/>
    <w:rsid w:val="009E2DD5"/>
    <w:rsid w:val="009E3869"/>
    <w:rsid w:val="009E3A81"/>
    <w:rsid w:val="009E3BFF"/>
    <w:rsid w:val="009E3C7F"/>
    <w:rsid w:val="009E439C"/>
    <w:rsid w:val="009E5AC4"/>
    <w:rsid w:val="009E6096"/>
    <w:rsid w:val="009E63A6"/>
    <w:rsid w:val="009E6A48"/>
    <w:rsid w:val="009E6A73"/>
    <w:rsid w:val="009E6C36"/>
    <w:rsid w:val="009E7641"/>
    <w:rsid w:val="009F0D9B"/>
    <w:rsid w:val="009F3A36"/>
    <w:rsid w:val="009F3F48"/>
    <w:rsid w:val="009F52FA"/>
    <w:rsid w:val="009F6368"/>
    <w:rsid w:val="009F65C2"/>
    <w:rsid w:val="009F69B8"/>
    <w:rsid w:val="009F725D"/>
    <w:rsid w:val="009F76A8"/>
    <w:rsid w:val="009F78B1"/>
    <w:rsid w:val="009F7B6E"/>
    <w:rsid w:val="009F7BE6"/>
    <w:rsid w:val="00A00795"/>
    <w:rsid w:val="00A00D80"/>
    <w:rsid w:val="00A010F7"/>
    <w:rsid w:val="00A0177A"/>
    <w:rsid w:val="00A01A75"/>
    <w:rsid w:val="00A01FA8"/>
    <w:rsid w:val="00A04CEC"/>
    <w:rsid w:val="00A04E86"/>
    <w:rsid w:val="00A04F5B"/>
    <w:rsid w:val="00A052F6"/>
    <w:rsid w:val="00A0580B"/>
    <w:rsid w:val="00A070D6"/>
    <w:rsid w:val="00A072A3"/>
    <w:rsid w:val="00A0755D"/>
    <w:rsid w:val="00A0790A"/>
    <w:rsid w:val="00A106DC"/>
    <w:rsid w:val="00A10E92"/>
    <w:rsid w:val="00A10EA0"/>
    <w:rsid w:val="00A1226F"/>
    <w:rsid w:val="00A12484"/>
    <w:rsid w:val="00A12735"/>
    <w:rsid w:val="00A12F2D"/>
    <w:rsid w:val="00A12F3F"/>
    <w:rsid w:val="00A13244"/>
    <w:rsid w:val="00A15C66"/>
    <w:rsid w:val="00A16D8C"/>
    <w:rsid w:val="00A173F4"/>
    <w:rsid w:val="00A17641"/>
    <w:rsid w:val="00A17B6F"/>
    <w:rsid w:val="00A21A30"/>
    <w:rsid w:val="00A21EA6"/>
    <w:rsid w:val="00A22630"/>
    <w:rsid w:val="00A22952"/>
    <w:rsid w:val="00A23897"/>
    <w:rsid w:val="00A23A90"/>
    <w:rsid w:val="00A23B69"/>
    <w:rsid w:val="00A23D8D"/>
    <w:rsid w:val="00A23DF0"/>
    <w:rsid w:val="00A24F48"/>
    <w:rsid w:val="00A25C8C"/>
    <w:rsid w:val="00A25D30"/>
    <w:rsid w:val="00A25FC1"/>
    <w:rsid w:val="00A26356"/>
    <w:rsid w:val="00A2641E"/>
    <w:rsid w:val="00A26661"/>
    <w:rsid w:val="00A26D3E"/>
    <w:rsid w:val="00A304CB"/>
    <w:rsid w:val="00A30A20"/>
    <w:rsid w:val="00A30B55"/>
    <w:rsid w:val="00A31364"/>
    <w:rsid w:val="00A32D1B"/>
    <w:rsid w:val="00A3321C"/>
    <w:rsid w:val="00A334E1"/>
    <w:rsid w:val="00A3371D"/>
    <w:rsid w:val="00A339BC"/>
    <w:rsid w:val="00A346FE"/>
    <w:rsid w:val="00A355C0"/>
    <w:rsid w:val="00A356A1"/>
    <w:rsid w:val="00A356C2"/>
    <w:rsid w:val="00A35A77"/>
    <w:rsid w:val="00A36208"/>
    <w:rsid w:val="00A36DAF"/>
    <w:rsid w:val="00A3726B"/>
    <w:rsid w:val="00A4060F"/>
    <w:rsid w:val="00A40BEE"/>
    <w:rsid w:val="00A41843"/>
    <w:rsid w:val="00A418E0"/>
    <w:rsid w:val="00A41D7B"/>
    <w:rsid w:val="00A41FB8"/>
    <w:rsid w:val="00A4392D"/>
    <w:rsid w:val="00A43ABE"/>
    <w:rsid w:val="00A44B84"/>
    <w:rsid w:val="00A44FB7"/>
    <w:rsid w:val="00A4522B"/>
    <w:rsid w:val="00A45BD0"/>
    <w:rsid w:val="00A460AD"/>
    <w:rsid w:val="00A47004"/>
    <w:rsid w:val="00A478F3"/>
    <w:rsid w:val="00A47B5E"/>
    <w:rsid w:val="00A47C5A"/>
    <w:rsid w:val="00A47F42"/>
    <w:rsid w:val="00A508EF"/>
    <w:rsid w:val="00A50EF6"/>
    <w:rsid w:val="00A51B6C"/>
    <w:rsid w:val="00A51FEF"/>
    <w:rsid w:val="00A52F9D"/>
    <w:rsid w:val="00A530CC"/>
    <w:rsid w:val="00A53289"/>
    <w:rsid w:val="00A53439"/>
    <w:rsid w:val="00A53FFC"/>
    <w:rsid w:val="00A5404D"/>
    <w:rsid w:val="00A54623"/>
    <w:rsid w:val="00A5472C"/>
    <w:rsid w:val="00A54D59"/>
    <w:rsid w:val="00A55C42"/>
    <w:rsid w:val="00A565EA"/>
    <w:rsid w:val="00A566A4"/>
    <w:rsid w:val="00A56A4E"/>
    <w:rsid w:val="00A57023"/>
    <w:rsid w:val="00A57417"/>
    <w:rsid w:val="00A57511"/>
    <w:rsid w:val="00A57587"/>
    <w:rsid w:val="00A6032A"/>
    <w:rsid w:val="00A61374"/>
    <w:rsid w:val="00A6144D"/>
    <w:rsid w:val="00A61835"/>
    <w:rsid w:val="00A61FED"/>
    <w:rsid w:val="00A62015"/>
    <w:rsid w:val="00A621D8"/>
    <w:rsid w:val="00A62237"/>
    <w:rsid w:val="00A63646"/>
    <w:rsid w:val="00A64B38"/>
    <w:rsid w:val="00A7074B"/>
    <w:rsid w:val="00A7089F"/>
    <w:rsid w:val="00A70B44"/>
    <w:rsid w:val="00A741B7"/>
    <w:rsid w:val="00A74457"/>
    <w:rsid w:val="00A746B2"/>
    <w:rsid w:val="00A75596"/>
    <w:rsid w:val="00A75725"/>
    <w:rsid w:val="00A7657E"/>
    <w:rsid w:val="00A76CE6"/>
    <w:rsid w:val="00A76EF5"/>
    <w:rsid w:val="00A77380"/>
    <w:rsid w:val="00A77492"/>
    <w:rsid w:val="00A77843"/>
    <w:rsid w:val="00A779AA"/>
    <w:rsid w:val="00A779DC"/>
    <w:rsid w:val="00A77F86"/>
    <w:rsid w:val="00A800E4"/>
    <w:rsid w:val="00A80E0A"/>
    <w:rsid w:val="00A811C7"/>
    <w:rsid w:val="00A811F1"/>
    <w:rsid w:val="00A81F12"/>
    <w:rsid w:val="00A828BD"/>
    <w:rsid w:val="00A8295C"/>
    <w:rsid w:val="00A82B61"/>
    <w:rsid w:val="00A83122"/>
    <w:rsid w:val="00A832B2"/>
    <w:rsid w:val="00A83729"/>
    <w:rsid w:val="00A83C57"/>
    <w:rsid w:val="00A84526"/>
    <w:rsid w:val="00A845EF"/>
    <w:rsid w:val="00A846F6"/>
    <w:rsid w:val="00A849C8"/>
    <w:rsid w:val="00A869E0"/>
    <w:rsid w:val="00A86EA4"/>
    <w:rsid w:val="00A87747"/>
    <w:rsid w:val="00A87AAF"/>
    <w:rsid w:val="00A87DC2"/>
    <w:rsid w:val="00A90EC0"/>
    <w:rsid w:val="00A91855"/>
    <w:rsid w:val="00A91907"/>
    <w:rsid w:val="00A9208D"/>
    <w:rsid w:val="00A92130"/>
    <w:rsid w:val="00A92D03"/>
    <w:rsid w:val="00A937C1"/>
    <w:rsid w:val="00A9390B"/>
    <w:rsid w:val="00A93C6D"/>
    <w:rsid w:val="00A94AF2"/>
    <w:rsid w:val="00A94EE9"/>
    <w:rsid w:val="00A95A3B"/>
    <w:rsid w:val="00A95EAC"/>
    <w:rsid w:val="00A970CE"/>
    <w:rsid w:val="00AA0187"/>
    <w:rsid w:val="00AA027A"/>
    <w:rsid w:val="00AA0338"/>
    <w:rsid w:val="00AA1004"/>
    <w:rsid w:val="00AA1F1C"/>
    <w:rsid w:val="00AA22B8"/>
    <w:rsid w:val="00AA2828"/>
    <w:rsid w:val="00AA2E8F"/>
    <w:rsid w:val="00AA3566"/>
    <w:rsid w:val="00AA3A2D"/>
    <w:rsid w:val="00AA4E19"/>
    <w:rsid w:val="00AA4FD5"/>
    <w:rsid w:val="00AA5C95"/>
    <w:rsid w:val="00AA5E71"/>
    <w:rsid w:val="00AA60F6"/>
    <w:rsid w:val="00AA61AE"/>
    <w:rsid w:val="00AA61CC"/>
    <w:rsid w:val="00AA643C"/>
    <w:rsid w:val="00AA66B7"/>
    <w:rsid w:val="00AA6988"/>
    <w:rsid w:val="00AA760A"/>
    <w:rsid w:val="00AB0371"/>
    <w:rsid w:val="00AB0C46"/>
    <w:rsid w:val="00AB123E"/>
    <w:rsid w:val="00AB1712"/>
    <w:rsid w:val="00AB1DD0"/>
    <w:rsid w:val="00AB23EF"/>
    <w:rsid w:val="00AB2672"/>
    <w:rsid w:val="00AB2859"/>
    <w:rsid w:val="00AB2D89"/>
    <w:rsid w:val="00AB2E39"/>
    <w:rsid w:val="00AB3346"/>
    <w:rsid w:val="00AB3540"/>
    <w:rsid w:val="00AB3860"/>
    <w:rsid w:val="00AB38B9"/>
    <w:rsid w:val="00AB3E59"/>
    <w:rsid w:val="00AB4E8F"/>
    <w:rsid w:val="00AB656B"/>
    <w:rsid w:val="00AB6995"/>
    <w:rsid w:val="00AB6EA2"/>
    <w:rsid w:val="00AB7C3C"/>
    <w:rsid w:val="00AC119A"/>
    <w:rsid w:val="00AC14E3"/>
    <w:rsid w:val="00AC169A"/>
    <w:rsid w:val="00AC1D6D"/>
    <w:rsid w:val="00AC2031"/>
    <w:rsid w:val="00AC292E"/>
    <w:rsid w:val="00AC2AC3"/>
    <w:rsid w:val="00AC2C4F"/>
    <w:rsid w:val="00AC2F72"/>
    <w:rsid w:val="00AC3001"/>
    <w:rsid w:val="00AC31FD"/>
    <w:rsid w:val="00AC3A0B"/>
    <w:rsid w:val="00AC4120"/>
    <w:rsid w:val="00AC419E"/>
    <w:rsid w:val="00AC4FBD"/>
    <w:rsid w:val="00AC5849"/>
    <w:rsid w:val="00AC5992"/>
    <w:rsid w:val="00AC6387"/>
    <w:rsid w:val="00AC7149"/>
    <w:rsid w:val="00AC7A60"/>
    <w:rsid w:val="00AC7BBA"/>
    <w:rsid w:val="00AC7C89"/>
    <w:rsid w:val="00AD0228"/>
    <w:rsid w:val="00AD0759"/>
    <w:rsid w:val="00AD0A53"/>
    <w:rsid w:val="00AD0EB2"/>
    <w:rsid w:val="00AD1747"/>
    <w:rsid w:val="00AD1ED6"/>
    <w:rsid w:val="00AD2603"/>
    <w:rsid w:val="00AD3F86"/>
    <w:rsid w:val="00AD3FEC"/>
    <w:rsid w:val="00AD436B"/>
    <w:rsid w:val="00AD4669"/>
    <w:rsid w:val="00AD48A7"/>
    <w:rsid w:val="00AD49A0"/>
    <w:rsid w:val="00AD4D89"/>
    <w:rsid w:val="00AD4F4A"/>
    <w:rsid w:val="00AD5B41"/>
    <w:rsid w:val="00AD5BE4"/>
    <w:rsid w:val="00AD6007"/>
    <w:rsid w:val="00AD6C79"/>
    <w:rsid w:val="00AD7D74"/>
    <w:rsid w:val="00AD7DAC"/>
    <w:rsid w:val="00AE0069"/>
    <w:rsid w:val="00AE0369"/>
    <w:rsid w:val="00AE0BA4"/>
    <w:rsid w:val="00AE0C02"/>
    <w:rsid w:val="00AE163C"/>
    <w:rsid w:val="00AE3346"/>
    <w:rsid w:val="00AE3B11"/>
    <w:rsid w:val="00AE3CE8"/>
    <w:rsid w:val="00AE3E87"/>
    <w:rsid w:val="00AE41F0"/>
    <w:rsid w:val="00AE431C"/>
    <w:rsid w:val="00AE4483"/>
    <w:rsid w:val="00AE4FA1"/>
    <w:rsid w:val="00AE5C87"/>
    <w:rsid w:val="00AE7278"/>
    <w:rsid w:val="00AE75E7"/>
    <w:rsid w:val="00AE7799"/>
    <w:rsid w:val="00AF089B"/>
    <w:rsid w:val="00AF123C"/>
    <w:rsid w:val="00AF237B"/>
    <w:rsid w:val="00AF2C52"/>
    <w:rsid w:val="00AF3057"/>
    <w:rsid w:val="00AF305A"/>
    <w:rsid w:val="00AF3412"/>
    <w:rsid w:val="00AF34DB"/>
    <w:rsid w:val="00AF3B6C"/>
    <w:rsid w:val="00AF4359"/>
    <w:rsid w:val="00AF520E"/>
    <w:rsid w:val="00AF547D"/>
    <w:rsid w:val="00AF5634"/>
    <w:rsid w:val="00AF56A5"/>
    <w:rsid w:val="00AF5EEE"/>
    <w:rsid w:val="00AF6360"/>
    <w:rsid w:val="00AF758F"/>
    <w:rsid w:val="00AF759D"/>
    <w:rsid w:val="00AF76A5"/>
    <w:rsid w:val="00AF7EBA"/>
    <w:rsid w:val="00B00A4C"/>
    <w:rsid w:val="00B00C7E"/>
    <w:rsid w:val="00B00E48"/>
    <w:rsid w:val="00B00ED2"/>
    <w:rsid w:val="00B01925"/>
    <w:rsid w:val="00B019EB"/>
    <w:rsid w:val="00B028C3"/>
    <w:rsid w:val="00B02912"/>
    <w:rsid w:val="00B0311A"/>
    <w:rsid w:val="00B04119"/>
    <w:rsid w:val="00B04963"/>
    <w:rsid w:val="00B049F9"/>
    <w:rsid w:val="00B05B82"/>
    <w:rsid w:val="00B06DDF"/>
    <w:rsid w:val="00B071A8"/>
    <w:rsid w:val="00B07B66"/>
    <w:rsid w:val="00B1056D"/>
    <w:rsid w:val="00B111FC"/>
    <w:rsid w:val="00B114BA"/>
    <w:rsid w:val="00B11C1E"/>
    <w:rsid w:val="00B13A63"/>
    <w:rsid w:val="00B1511C"/>
    <w:rsid w:val="00B15996"/>
    <w:rsid w:val="00B15E54"/>
    <w:rsid w:val="00B17624"/>
    <w:rsid w:val="00B17805"/>
    <w:rsid w:val="00B17943"/>
    <w:rsid w:val="00B17C59"/>
    <w:rsid w:val="00B17FC5"/>
    <w:rsid w:val="00B20693"/>
    <w:rsid w:val="00B207C6"/>
    <w:rsid w:val="00B20B00"/>
    <w:rsid w:val="00B20F38"/>
    <w:rsid w:val="00B21765"/>
    <w:rsid w:val="00B21963"/>
    <w:rsid w:val="00B21E05"/>
    <w:rsid w:val="00B22802"/>
    <w:rsid w:val="00B231C1"/>
    <w:rsid w:val="00B232FD"/>
    <w:rsid w:val="00B238B4"/>
    <w:rsid w:val="00B23EF1"/>
    <w:rsid w:val="00B243CE"/>
    <w:rsid w:val="00B2489A"/>
    <w:rsid w:val="00B25213"/>
    <w:rsid w:val="00B25271"/>
    <w:rsid w:val="00B26551"/>
    <w:rsid w:val="00B26CF3"/>
    <w:rsid w:val="00B30017"/>
    <w:rsid w:val="00B3062F"/>
    <w:rsid w:val="00B30F33"/>
    <w:rsid w:val="00B31032"/>
    <w:rsid w:val="00B312DE"/>
    <w:rsid w:val="00B3147B"/>
    <w:rsid w:val="00B315D4"/>
    <w:rsid w:val="00B31BD5"/>
    <w:rsid w:val="00B31CDF"/>
    <w:rsid w:val="00B31EE6"/>
    <w:rsid w:val="00B32FCC"/>
    <w:rsid w:val="00B3322E"/>
    <w:rsid w:val="00B345A5"/>
    <w:rsid w:val="00B345BE"/>
    <w:rsid w:val="00B34F2B"/>
    <w:rsid w:val="00B35E3C"/>
    <w:rsid w:val="00B36595"/>
    <w:rsid w:val="00B368B0"/>
    <w:rsid w:val="00B37861"/>
    <w:rsid w:val="00B37899"/>
    <w:rsid w:val="00B37A71"/>
    <w:rsid w:val="00B37C06"/>
    <w:rsid w:val="00B37C82"/>
    <w:rsid w:val="00B41380"/>
    <w:rsid w:val="00B42778"/>
    <w:rsid w:val="00B42BD7"/>
    <w:rsid w:val="00B42C08"/>
    <w:rsid w:val="00B43442"/>
    <w:rsid w:val="00B44B21"/>
    <w:rsid w:val="00B463F4"/>
    <w:rsid w:val="00B50428"/>
    <w:rsid w:val="00B50590"/>
    <w:rsid w:val="00B50A07"/>
    <w:rsid w:val="00B51317"/>
    <w:rsid w:val="00B51323"/>
    <w:rsid w:val="00B51604"/>
    <w:rsid w:val="00B523A1"/>
    <w:rsid w:val="00B52F90"/>
    <w:rsid w:val="00B530AB"/>
    <w:rsid w:val="00B54080"/>
    <w:rsid w:val="00B557E2"/>
    <w:rsid w:val="00B55C31"/>
    <w:rsid w:val="00B56157"/>
    <w:rsid w:val="00B56CD4"/>
    <w:rsid w:val="00B57B61"/>
    <w:rsid w:val="00B57F91"/>
    <w:rsid w:val="00B601E2"/>
    <w:rsid w:val="00B60370"/>
    <w:rsid w:val="00B6055E"/>
    <w:rsid w:val="00B61B8F"/>
    <w:rsid w:val="00B6281F"/>
    <w:rsid w:val="00B629D8"/>
    <w:rsid w:val="00B631E5"/>
    <w:rsid w:val="00B63389"/>
    <w:rsid w:val="00B634AF"/>
    <w:rsid w:val="00B63D9C"/>
    <w:rsid w:val="00B63E4A"/>
    <w:rsid w:val="00B665BF"/>
    <w:rsid w:val="00B666A1"/>
    <w:rsid w:val="00B67436"/>
    <w:rsid w:val="00B677A4"/>
    <w:rsid w:val="00B67ADE"/>
    <w:rsid w:val="00B70569"/>
    <w:rsid w:val="00B70804"/>
    <w:rsid w:val="00B708AB"/>
    <w:rsid w:val="00B70ADF"/>
    <w:rsid w:val="00B70D04"/>
    <w:rsid w:val="00B70E8E"/>
    <w:rsid w:val="00B71246"/>
    <w:rsid w:val="00B71345"/>
    <w:rsid w:val="00B7181C"/>
    <w:rsid w:val="00B7201B"/>
    <w:rsid w:val="00B73B39"/>
    <w:rsid w:val="00B73B57"/>
    <w:rsid w:val="00B74535"/>
    <w:rsid w:val="00B74DE9"/>
    <w:rsid w:val="00B7529B"/>
    <w:rsid w:val="00B7581A"/>
    <w:rsid w:val="00B758A3"/>
    <w:rsid w:val="00B75A5E"/>
    <w:rsid w:val="00B764CC"/>
    <w:rsid w:val="00B765B7"/>
    <w:rsid w:val="00B765D5"/>
    <w:rsid w:val="00B765E8"/>
    <w:rsid w:val="00B770F3"/>
    <w:rsid w:val="00B77180"/>
    <w:rsid w:val="00B77866"/>
    <w:rsid w:val="00B80485"/>
    <w:rsid w:val="00B809D5"/>
    <w:rsid w:val="00B80AF4"/>
    <w:rsid w:val="00B80C45"/>
    <w:rsid w:val="00B80D42"/>
    <w:rsid w:val="00B81151"/>
    <w:rsid w:val="00B81441"/>
    <w:rsid w:val="00B81A71"/>
    <w:rsid w:val="00B820B9"/>
    <w:rsid w:val="00B826B7"/>
    <w:rsid w:val="00B8290B"/>
    <w:rsid w:val="00B83089"/>
    <w:rsid w:val="00B83251"/>
    <w:rsid w:val="00B83D53"/>
    <w:rsid w:val="00B8425C"/>
    <w:rsid w:val="00B84CBF"/>
    <w:rsid w:val="00B8531C"/>
    <w:rsid w:val="00B8532E"/>
    <w:rsid w:val="00B85C94"/>
    <w:rsid w:val="00B863D2"/>
    <w:rsid w:val="00B86AAA"/>
    <w:rsid w:val="00B86E40"/>
    <w:rsid w:val="00B86EAD"/>
    <w:rsid w:val="00B87550"/>
    <w:rsid w:val="00B87808"/>
    <w:rsid w:val="00B87A1E"/>
    <w:rsid w:val="00B87ECD"/>
    <w:rsid w:val="00B90436"/>
    <w:rsid w:val="00B90D93"/>
    <w:rsid w:val="00B90EEF"/>
    <w:rsid w:val="00B912F3"/>
    <w:rsid w:val="00B92553"/>
    <w:rsid w:val="00B929CF"/>
    <w:rsid w:val="00B929F5"/>
    <w:rsid w:val="00B92E8F"/>
    <w:rsid w:val="00B93B26"/>
    <w:rsid w:val="00B94696"/>
    <w:rsid w:val="00B94E16"/>
    <w:rsid w:val="00B951E3"/>
    <w:rsid w:val="00B97096"/>
    <w:rsid w:val="00B97BEA"/>
    <w:rsid w:val="00B97C82"/>
    <w:rsid w:val="00B97DAB"/>
    <w:rsid w:val="00B97E15"/>
    <w:rsid w:val="00B97F85"/>
    <w:rsid w:val="00BA068A"/>
    <w:rsid w:val="00BA086C"/>
    <w:rsid w:val="00BA09AF"/>
    <w:rsid w:val="00BA1587"/>
    <w:rsid w:val="00BA29EB"/>
    <w:rsid w:val="00BA2DA8"/>
    <w:rsid w:val="00BA322B"/>
    <w:rsid w:val="00BA378F"/>
    <w:rsid w:val="00BA3B49"/>
    <w:rsid w:val="00BA3B73"/>
    <w:rsid w:val="00BA3F4F"/>
    <w:rsid w:val="00BA4B3E"/>
    <w:rsid w:val="00BA53C7"/>
    <w:rsid w:val="00BA545E"/>
    <w:rsid w:val="00BA589D"/>
    <w:rsid w:val="00BA5D9C"/>
    <w:rsid w:val="00BA6471"/>
    <w:rsid w:val="00BA6589"/>
    <w:rsid w:val="00BA6FE3"/>
    <w:rsid w:val="00BA727D"/>
    <w:rsid w:val="00BA7682"/>
    <w:rsid w:val="00BB0511"/>
    <w:rsid w:val="00BB0768"/>
    <w:rsid w:val="00BB0806"/>
    <w:rsid w:val="00BB09B8"/>
    <w:rsid w:val="00BB0B0C"/>
    <w:rsid w:val="00BB1356"/>
    <w:rsid w:val="00BB1388"/>
    <w:rsid w:val="00BB1436"/>
    <w:rsid w:val="00BB1443"/>
    <w:rsid w:val="00BB1CED"/>
    <w:rsid w:val="00BB1D2A"/>
    <w:rsid w:val="00BB217A"/>
    <w:rsid w:val="00BB2311"/>
    <w:rsid w:val="00BB4665"/>
    <w:rsid w:val="00BB50F2"/>
    <w:rsid w:val="00BB52F8"/>
    <w:rsid w:val="00BB5F5D"/>
    <w:rsid w:val="00BB60BC"/>
    <w:rsid w:val="00BB6346"/>
    <w:rsid w:val="00BB6390"/>
    <w:rsid w:val="00BB7A3E"/>
    <w:rsid w:val="00BC04F8"/>
    <w:rsid w:val="00BC0916"/>
    <w:rsid w:val="00BC0F5C"/>
    <w:rsid w:val="00BC1219"/>
    <w:rsid w:val="00BC128E"/>
    <w:rsid w:val="00BC1F86"/>
    <w:rsid w:val="00BC25EB"/>
    <w:rsid w:val="00BC28BE"/>
    <w:rsid w:val="00BC2A39"/>
    <w:rsid w:val="00BC300B"/>
    <w:rsid w:val="00BC3A9E"/>
    <w:rsid w:val="00BC3AA8"/>
    <w:rsid w:val="00BC431A"/>
    <w:rsid w:val="00BC4F1E"/>
    <w:rsid w:val="00BC639A"/>
    <w:rsid w:val="00BC6713"/>
    <w:rsid w:val="00BC70F0"/>
    <w:rsid w:val="00BC7539"/>
    <w:rsid w:val="00BC75E7"/>
    <w:rsid w:val="00BC78F0"/>
    <w:rsid w:val="00BD070D"/>
    <w:rsid w:val="00BD0843"/>
    <w:rsid w:val="00BD0E25"/>
    <w:rsid w:val="00BD1E32"/>
    <w:rsid w:val="00BD32CA"/>
    <w:rsid w:val="00BD5EDF"/>
    <w:rsid w:val="00BD6265"/>
    <w:rsid w:val="00BD629E"/>
    <w:rsid w:val="00BD6BE8"/>
    <w:rsid w:val="00BD739F"/>
    <w:rsid w:val="00BD7856"/>
    <w:rsid w:val="00BD7C3A"/>
    <w:rsid w:val="00BD7DFC"/>
    <w:rsid w:val="00BE067D"/>
    <w:rsid w:val="00BE0BB1"/>
    <w:rsid w:val="00BE0C13"/>
    <w:rsid w:val="00BE19E0"/>
    <w:rsid w:val="00BE1CB3"/>
    <w:rsid w:val="00BE21F3"/>
    <w:rsid w:val="00BE2888"/>
    <w:rsid w:val="00BE2969"/>
    <w:rsid w:val="00BE2E01"/>
    <w:rsid w:val="00BE2F11"/>
    <w:rsid w:val="00BE3F2C"/>
    <w:rsid w:val="00BE42EF"/>
    <w:rsid w:val="00BE49D8"/>
    <w:rsid w:val="00BE4BB7"/>
    <w:rsid w:val="00BE514F"/>
    <w:rsid w:val="00BE55CF"/>
    <w:rsid w:val="00BE5D05"/>
    <w:rsid w:val="00BE5F1A"/>
    <w:rsid w:val="00BE7421"/>
    <w:rsid w:val="00BE7799"/>
    <w:rsid w:val="00BE7BB3"/>
    <w:rsid w:val="00BF00AF"/>
    <w:rsid w:val="00BF05E2"/>
    <w:rsid w:val="00BF08A6"/>
    <w:rsid w:val="00BF1372"/>
    <w:rsid w:val="00BF1712"/>
    <w:rsid w:val="00BF23A4"/>
    <w:rsid w:val="00BF23F2"/>
    <w:rsid w:val="00BF2BA8"/>
    <w:rsid w:val="00BF308A"/>
    <w:rsid w:val="00BF31DF"/>
    <w:rsid w:val="00BF4506"/>
    <w:rsid w:val="00BF4B04"/>
    <w:rsid w:val="00BF4B1F"/>
    <w:rsid w:val="00BF557A"/>
    <w:rsid w:val="00BF5BC3"/>
    <w:rsid w:val="00BF6AB5"/>
    <w:rsid w:val="00BF6DEA"/>
    <w:rsid w:val="00BF7748"/>
    <w:rsid w:val="00C0077A"/>
    <w:rsid w:val="00C01184"/>
    <w:rsid w:val="00C01658"/>
    <w:rsid w:val="00C01EC4"/>
    <w:rsid w:val="00C0211C"/>
    <w:rsid w:val="00C049FD"/>
    <w:rsid w:val="00C05249"/>
    <w:rsid w:val="00C052C4"/>
    <w:rsid w:val="00C05E67"/>
    <w:rsid w:val="00C0601C"/>
    <w:rsid w:val="00C0620C"/>
    <w:rsid w:val="00C06246"/>
    <w:rsid w:val="00C062C5"/>
    <w:rsid w:val="00C062E7"/>
    <w:rsid w:val="00C069AE"/>
    <w:rsid w:val="00C077CE"/>
    <w:rsid w:val="00C078BC"/>
    <w:rsid w:val="00C07B15"/>
    <w:rsid w:val="00C07C33"/>
    <w:rsid w:val="00C10493"/>
    <w:rsid w:val="00C107FF"/>
    <w:rsid w:val="00C10BEC"/>
    <w:rsid w:val="00C10EB4"/>
    <w:rsid w:val="00C11539"/>
    <w:rsid w:val="00C11E97"/>
    <w:rsid w:val="00C124AE"/>
    <w:rsid w:val="00C1416D"/>
    <w:rsid w:val="00C14202"/>
    <w:rsid w:val="00C144BE"/>
    <w:rsid w:val="00C147B3"/>
    <w:rsid w:val="00C14AF0"/>
    <w:rsid w:val="00C14EE5"/>
    <w:rsid w:val="00C15DBE"/>
    <w:rsid w:val="00C16732"/>
    <w:rsid w:val="00C16DB8"/>
    <w:rsid w:val="00C16EA7"/>
    <w:rsid w:val="00C16EEB"/>
    <w:rsid w:val="00C170DE"/>
    <w:rsid w:val="00C17237"/>
    <w:rsid w:val="00C17379"/>
    <w:rsid w:val="00C176EF"/>
    <w:rsid w:val="00C17AC9"/>
    <w:rsid w:val="00C20E54"/>
    <w:rsid w:val="00C21259"/>
    <w:rsid w:val="00C21FF5"/>
    <w:rsid w:val="00C23AA5"/>
    <w:rsid w:val="00C23C9B"/>
    <w:rsid w:val="00C241C7"/>
    <w:rsid w:val="00C2429C"/>
    <w:rsid w:val="00C24428"/>
    <w:rsid w:val="00C246D4"/>
    <w:rsid w:val="00C24B99"/>
    <w:rsid w:val="00C24F74"/>
    <w:rsid w:val="00C25A3F"/>
    <w:rsid w:val="00C25A5C"/>
    <w:rsid w:val="00C25CF5"/>
    <w:rsid w:val="00C274C1"/>
    <w:rsid w:val="00C275BE"/>
    <w:rsid w:val="00C27901"/>
    <w:rsid w:val="00C300E0"/>
    <w:rsid w:val="00C303FA"/>
    <w:rsid w:val="00C304A0"/>
    <w:rsid w:val="00C30DE8"/>
    <w:rsid w:val="00C31C3C"/>
    <w:rsid w:val="00C3247C"/>
    <w:rsid w:val="00C329CB"/>
    <w:rsid w:val="00C331A4"/>
    <w:rsid w:val="00C33280"/>
    <w:rsid w:val="00C333DA"/>
    <w:rsid w:val="00C33978"/>
    <w:rsid w:val="00C350B0"/>
    <w:rsid w:val="00C350EF"/>
    <w:rsid w:val="00C35304"/>
    <w:rsid w:val="00C35491"/>
    <w:rsid w:val="00C35991"/>
    <w:rsid w:val="00C35A86"/>
    <w:rsid w:val="00C35B8A"/>
    <w:rsid w:val="00C35EC7"/>
    <w:rsid w:val="00C368B0"/>
    <w:rsid w:val="00C36BEB"/>
    <w:rsid w:val="00C36C7B"/>
    <w:rsid w:val="00C36E16"/>
    <w:rsid w:val="00C371C4"/>
    <w:rsid w:val="00C40BA6"/>
    <w:rsid w:val="00C40FC9"/>
    <w:rsid w:val="00C41905"/>
    <w:rsid w:val="00C4331B"/>
    <w:rsid w:val="00C434AE"/>
    <w:rsid w:val="00C43FED"/>
    <w:rsid w:val="00C43FF3"/>
    <w:rsid w:val="00C45EBD"/>
    <w:rsid w:val="00C45EC6"/>
    <w:rsid w:val="00C46CA7"/>
    <w:rsid w:val="00C4760F"/>
    <w:rsid w:val="00C504EE"/>
    <w:rsid w:val="00C505F5"/>
    <w:rsid w:val="00C5122F"/>
    <w:rsid w:val="00C51B29"/>
    <w:rsid w:val="00C52B71"/>
    <w:rsid w:val="00C52FB6"/>
    <w:rsid w:val="00C5412F"/>
    <w:rsid w:val="00C544C1"/>
    <w:rsid w:val="00C54DD2"/>
    <w:rsid w:val="00C55031"/>
    <w:rsid w:val="00C552BD"/>
    <w:rsid w:val="00C55F54"/>
    <w:rsid w:val="00C5637D"/>
    <w:rsid w:val="00C567BD"/>
    <w:rsid w:val="00C569DB"/>
    <w:rsid w:val="00C56D0D"/>
    <w:rsid w:val="00C600E1"/>
    <w:rsid w:val="00C60125"/>
    <w:rsid w:val="00C604F8"/>
    <w:rsid w:val="00C61236"/>
    <w:rsid w:val="00C61DE4"/>
    <w:rsid w:val="00C61F50"/>
    <w:rsid w:val="00C624A5"/>
    <w:rsid w:val="00C6289B"/>
    <w:rsid w:val="00C635C4"/>
    <w:rsid w:val="00C636A9"/>
    <w:rsid w:val="00C64A3C"/>
    <w:rsid w:val="00C64D1B"/>
    <w:rsid w:val="00C66A80"/>
    <w:rsid w:val="00C67F88"/>
    <w:rsid w:val="00C704DA"/>
    <w:rsid w:val="00C706E5"/>
    <w:rsid w:val="00C7203C"/>
    <w:rsid w:val="00C7215F"/>
    <w:rsid w:val="00C7277B"/>
    <w:rsid w:val="00C72C74"/>
    <w:rsid w:val="00C730FF"/>
    <w:rsid w:val="00C73491"/>
    <w:rsid w:val="00C73F2D"/>
    <w:rsid w:val="00C745E7"/>
    <w:rsid w:val="00C74773"/>
    <w:rsid w:val="00C7489D"/>
    <w:rsid w:val="00C7512D"/>
    <w:rsid w:val="00C75307"/>
    <w:rsid w:val="00C76DF7"/>
    <w:rsid w:val="00C77D4D"/>
    <w:rsid w:val="00C80501"/>
    <w:rsid w:val="00C806CF"/>
    <w:rsid w:val="00C80B3F"/>
    <w:rsid w:val="00C80C3D"/>
    <w:rsid w:val="00C81CB1"/>
    <w:rsid w:val="00C82C3B"/>
    <w:rsid w:val="00C82C46"/>
    <w:rsid w:val="00C82F37"/>
    <w:rsid w:val="00C83CD5"/>
    <w:rsid w:val="00C849F1"/>
    <w:rsid w:val="00C85610"/>
    <w:rsid w:val="00C85DF6"/>
    <w:rsid w:val="00C860BC"/>
    <w:rsid w:val="00C90106"/>
    <w:rsid w:val="00C902B7"/>
    <w:rsid w:val="00C90950"/>
    <w:rsid w:val="00C91CA6"/>
    <w:rsid w:val="00C9203E"/>
    <w:rsid w:val="00C92A88"/>
    <w:rsid w:val="00C92B94"/>
    <w:rsid w:val="00C92BDE"/>
    <w:rsid w:val="00C92FF1"/>
    <w:rsid w:val="00C93639"/>
    <w:rsid w:val="00C937EC"/>
    <w:rsid w:val="00C93838"/>
    <w:rsid w:val="00C9391E"/>
    <w:rsid w:val="00C93B8C"/>
    <w:rsid w:val="00C93CE4"/>
    <w:rsid w:val="00C93DAB"/>
    <w:rsid w:val="00C9438C"/>
    <w:rsid w:val="00C94EFB"/>
    <w:rsid w:val="00C95507"/>
    <w:rsid w:val="00C955C6"/>
    <w:rsid w:val="00C95C79"/>
    <w:rsid w:val="00C96042"/>
    <w:rsid w:val="00C973A3"/>
    <w:rsid w:val="00CA1671"/>
    <w:rsid w:val="00CA2A74"/>
    <w:rsid w:val="00CA328A"/>
    <w:rsid w:val="00CA3A96"/>
    <w:rsid w:val="00CA3FF2"/>
    <w:rsid w:val="00CA4860"/>
    <w:rsid w:val="00CA4B22"/>
    <w:rsid w:val="00CA4DD9"/>
    <w:rsid w:val="00CA4DE3"/>
    <w:rsid w:val="00CA4E5D"/>
    <w:rsid w:val="00CA50A8"/>
    <w:rsid w:val="00CA6623"/>
    <w:rsid w:val="00CA6764"/>
    <w:rsid w:val="00CA697F"/>
    <w:rsid w:val="00CA70C1"/>
    <w:rsid w:val="00CA78A0"/>
    <w:rsid w:val="00CB0C59"/>
    <w:rsid w:val="00CB1053"/>
    <w:rsid w:val="00CB12A0"/>
    <w:rsid w:val="00CB190D"/>
    <w:rsid w:val="00CB2922"/>
    <w:rsid w:val="00CB2D25"/>
    <w:rsid w:val="00CB47D5"/>
    <w:rsid w:val="00CB592E"/>
    <w:rsid w:val="00CB5FD5"/>
    <w:rsid w:val="00CB6A92"/>
    <w:rsid w:val="00CB6A95"/>
    <w:rsid w:val="00CB7F02"/>
    <w:rsid w:val="00CB7F43"/>
    <w:rsid w:val="00CC1861"/>
    <w:rsid w:val="00CC26A1"/>
    <w:rsid w:val="00CC28CC"/>
    <w:rsid w:val="00CC29B1"/>
    <w:rsid w:val="00CC2F3B"/>
    <w:rsid w:val="00CC3B26"/>
    <w:rsid w:val="00CC3F7D"/>
    <w:rsid w:val="00CC4D36"/>
    <w:rsid w:val="00CC544E"/>
    <w:rsid w:val="00CC5563"/>
    <w:rsid w:val="00CC55F8"/>
    <w:rsid w:val="00CC575E"/>
    <w:rsid w:val="00CC69FD"/>
    <w:rsid w:val="00CC6F3B"/>
    <w:rsid w:val="00CD1431"/>
    <w:rsid w:val="00CD189F"/>
    <w:rsid w:val="00CD3530"/>
    <w:rsid w:val="00CD3CE1"/>
    <w:rsid w:val="00CD4504"/>
    <w:rsid w:val="00CD471F"/>
    <w:rsid w:val="00CD5915"/>
    <w:rsid w:val="00CD5D56"/>
    <w:rsid w:val="00CD7253"/>
    <w:rsid w:val="00CD7527"/>
    <w:rsid w:val="00CD7B0E"/>
    <w:rsid w:val="00CD7E87"/>
    <w:rsid w:val="00CE0420"/>
    <w:rsid w:val="00CE0838"/>
    <w:rsid w:val="00CE2A54"/>
    <w:rsid w:val="00CE3398"/>
    <w:rsid w:val="00CE3BC5"/>
    <w:rsid w:val="00CE454B"/>
    <w:rsid w:val="00CE5719"/>
    <w:rsid w:val="00CE577F"/>
    <w:rsid w:val="00CE5C4C"/>
    <w:rsid w:val="00CE5DA9"/>
    <w:rsid w:val="00CE6F3C"/>
    <w:rsid w:val="00CE7028"/>
    <w:rsid w:val="00CE7193"/>
    <w:rsid w:val="00CE757F"/>
    <w:rsid w:val="00CE7679"/>
    <w:rsid w:val="00CE7CD8"/>
    <w:rsid w:val="00CF02A5"/>
    <w:rsid w:val="00CF1190"/>
    <w:rsid w:val="00CF1804"/>
    <w:rsid w:val="00CF19CF"/>
    <w:rsid w:val="00CF1F86"/>
    <w:rsid w:val="00CF1F90"/>
    <w:rsid w:val="00CF2107"/>
    <w:rsid w:val="00CF2736"/>
    <w:rsid w:val="00CF2B00"/>
    <w:rsid w:val="00CF2F00"/>
    <w:rsid w:val="00CF35E3"/>
    <w:rsid w:val="00CF3A47"/>
    <w:rsid w:val="00CF3B6E"/>
    <w:rsid w:val="00CF4529"/>
    <w:rsid w:val="00CF573F"/>
    <w:rsid w:val="00CF5AA0"/>
    <w:rsid w:val="00CF5E53"/>
    <w:rsid w:val="00CF6022"/>
    <w:rsid w:val="00CF6338"/>
    <w:rsid w:val="00CF6758"/>
    <w:rsid w:val="00CF678F"/>
    <w:rsid w:val="00CF6D64"/>
    <w:rsid w:val="00CF72B5"/>
    <w:rsid w:val="00CF7DF6"/>
    <w:rsid w:val="00CF7DF7"/>
    <w:rsid w:val="00D0032B"/>
    <w:rsid w:val="00D004E0"/>
    <w:rsid w:val="00D008C8"/>
    <w:rsid w:val="00D015F1"/>
    <w:rsid w:val="00D01AB7"/>
    <w:rsid w:val="00D02345"/>
    <w:rsid w:val="00D0246E"/>
    <w:rsid w:val="00D03B9F"/>
    <w:rsid w:val="00D042BC"/>
    <w:rsid w:val="00D04352"/>
    <w:rsid w:val="00D04418"/>
    <w:rsid w:val="00D04AAA"/>
    <w:rsid w:val="00D052FE"/>
    <w:rsid w:val="00D0547C"/>
    <w:rsid w:val="00D054E5"/>
    <w:rsid w:val="00D077A1"/>
    <w:rsid w:val="00D07B92"/>
    <w:rsid w:val="00D07D7A"/>
    <w:rsid w:val="00D102BA"/>
    <w:rsid w:val="00D10F00"/>
    <w:rsid w:val="00D10F3F"/>
    <w:rsid w:val="00D10FFB"/>
    <w:rsid w:val="00D11002"/>
    <w:rsid w:val="00D124F6"/>
    <w:rsid w:val="00D127DF"/>
    <w:rsid w:val="00D128B0"/>
    <w:rsid w:val="00D129AC"/>
    <w:rsid w:val="00D1334C"/>
    <w:rsid w:val="00D139ED"/>
    <w:rsid w:val="00D13A31"/>
    <w:rsid w:val="00D13FE7"/>
    <w:rsid w:val="00D14B20"/>
    <w:rsid w:val="00D15819"/>
    <w:rsid w:val="00D159A1"/>
    <w:rsid w:val="00D15A6B"/>
    <w:rsid w:val="00D16505"/>
    <w:rsid w:val="00D1685D"/>
    <w:rsid w:val="00D17454"/>
    <w:rsid w:val="00D20283"/>
    <w:rsid w:val="00D202A4"/>
    <w:rsid w:val="00D203B7"/>
    <w:rsid w:val="00D209B6"/>
    <w:rsid w:val="00D20D3E"/>
    <w:rsid w:val="00D220AC"/>
    <w:rsid w:val="00D22DB2"/>
    <w:rsid w:val="00D23BE1"/>
    <w:rsid w:val="00D23E11"/>
    <w:rsid w:val="00D265A8"/>
    <w:rsid w:val="00D2688D"/>
    <w:rsid w:val="00D26C4A"/>
    <w:rsid w:val="00D27343"/>
    <w:rsid w:val="00D275FF"/>
    <w:rsid w:val="00D276B6"/>
    <w:rsid w:val="00D27725"/>
    <w:rsid w:val="00D303DB"/>
    <w:rsid w:val="00D31D00"/>
    <w:rsid w:val="00D32C74"/>
    <w:rsid w:val="00D3335A"/>
    <w:rsid w:val="00D33C92"/>
    <w:rsid w:val="00D348A4"/>
    <w:rsid w:val="00D357B1"/>
    <w:rsid w:val="00D367E0"/>
    <w:rsid w:val="00D377BE"/>
    <w:rsid w:val="00D379F6"/>
    <w:rsid w:val="00D401AC"/>
    <w:rsid w:val="00D403D6"/>
    <w:rsid w:val="00D40AE3"/>
    <w:rsid w:val="00D40B30"/>
    <w:rsid w:val="00D416D3"/>
    <w:rsid w:val="00D418BA"/>
    <w:rsid w:val="00D41922"/>
    <w:rsid w:val="00D423DE"/>
    <w:rsid w:val="00D42AB5"/>
    <w:rsid w:val="00D43C22"/>
    <w:rsid w:val="00D43E4B"/>
    <w:rsid w:val="00D4404E"/>
    <w:rsid w:val="00D447E9"/>
    <w:rsid w:val="00D44817"/>
    <w:rsid w:val="00D44F06"/>
    <w:rsid w:val="00D45292"/>
    <w:rsid w:val="00D456F1"/>
    <w:rsid w:val="00D45A56"/>
    <w:rsid w:val="00D46440"/>
    <w:rsid w:val="00D46F1E"/>
    <w:rsid w:val="00D47C35"/>
    <w:rsid w:val="00D50278"/>
    <w:rsid w:val="00D507A7"/>
    <w:rsid w:val="00D5091E"/>
    <w:rsid w:val="00D52CC0"/>
    <w:rsid w:val="00D53ED2"/>
    <w:rsid w:val="00D555AB"/>
    <w:rsid w:val="00D561D7"/>
    <w:rsid w:val="00D569BF"/>
    <w:rsid w:val="00D56C47"/>
    <w:rsid w:val="00D57526"/>
    <w:rsid w:val="00D5796E"/>
    <w:rsid w:val="00D6019D"/>
    <w:rsid w:val="00D602B9"/>
    <w:rsid w:val="00D60AEE"/>
    <w:rsid w:val="00D60E31"/>
    <w:rsid w:val="00D61F81"/>
    <w:rsid w:val="00D62720"/>
    <w:rsid w:val="00D62B02"/>
    <w:rsid w:val="00D62C9E"/>
    <w:rsid w:val="00D63270"/>
    <w:rsid w:val="00D63589"/>
    <w:rsid w:val="00D64F10"/>
    <w:rsid w:val="00D650A9"/>
    <w:rsid w:val="00D656AE"/>
    <w:rsid w:val="00D66099"/>
    <w:rsid w:val="00D66301"/>
    <w:rsid w:val="00D67901"/>
    <w:rsid w:val="00D70186"/>
    <w:rsid w:val="00D717C8"/>
    <w:rsid w:val="00D730B5"/>
    <w:rsid w:val="00D737D2"/>
    <w:rsid w:val="00D73E4B"/>
    <w:rsid w:val="00D73F0D"/>
    <w:rsid w:val="00D7421C"/>
    <w:rsid w:val="00D745F9"/>
    <w:rsid w:val="00D75320"/>
    <w:rsid w:val="00D75AD9"/>
    <w:rsid w:val="00D764FD"/>
    <w:rsid w:val="00D76B9C"/>
    <w:rsid w:val="00D77E14"/>
    <w:rsid w:val="00D77FFA"/>
    <w:rsid w:val="00D80640"/>
    <w:rsid w:val="00D8116F"/>
    <w:rsid w:val="00D81669"/>
    <w:rsid w:val="00D818C0"/>
    <w:rsid w:val="00D81DC6"/>
    <w:rsid w:val="00D8248C"/>
    <w:rsid w:val="00D82C9C"/>
    <w:rsid w:val="00D82DF3"/>
    <w:rsid w:val="00D837D1"/>
    <w:rsid w:val="00D83C94"/>
    <w:rsid w:val="00D8417B"/>
    <w:rsid w:val="00D84CB2"/>
    <w:rsid w:val="00D84FF7"/>
    <w:rsid w:val="00D860FA"/>
    <w:rsid w:val="00D864BF"/>
    <w:rsid w:val="00D869EE"/>
    <w:rsid w:val="00D8715B"/>
    <w:rsid w:val="00D87AC5"/>
    <w:rsid w:val="00D90FE8"/>
    <w:rsid w:val="00D91432"/>
    <w:rsid w:val="00D9159B"/>
    <w:rsid w:val="00D915BA"/>
    <w:rsid w:val="00D91921"/>
    <w:rsid w:val="00D9194E"/>
    <w:rsid w:val="00D919E6"/>
    <w:rsid w:val="00D91ABB"/>
    <w:rsid w:val="00D91D95"/>
    <w:rsid w:val="00D92AF3"/>
    <w:rsid w:val="00D932C4"/>
    <w:rsid w:val="00D934EA"/>
    <w:rsid w:val="00D936AE"/>
    <w:rsid w:val="00D9385E"/>
    <w:rsid w:val="00D93CAA"/>
    <w:rsid w:val="00D94624"/>
    <w:rsid w:val="00D946BA"/>
    <w:rsid w:val="00D95F17"/>
    <w:rsid w:val="00D962ED"/>
    <w:rsid w:val="00D9636D"/>
    <w:rsid w:val="00D96400"/>
    <w:rsid w:val="00D970F9"/>
    <w:rsid w:val="00D973D6"/>
    <w:rsid w:val="00D97544"/>
    <w:rsid w:val="00D975DB"/>
    <w:rsid w:val="00D97CDE"/>
    <w:rsid w:val="00DA06E9"/>
    <w:rsid w:val="00DA09E7"/>
    <w:rsid w:val="00DA0BBE"/>
    <w:rsid w:val="00DA0DEC"/>
    <w:rsid w:val="00DA10D4"/>
    <w:rsid w:val="00DA1A01"/>
    <w:rsid w:val="00DA1FFC"/>
    <w:rsid w:val="00DA2A6F"/>
    <w:rsid w:val="00DA3AC0"/>
    <w:rsid w:val="00DA3F74"/>
    <w:rsid w:val="00DA44B7"/>
    <w:rsid w:val="00DA47DC"/>
    <w:rsid w:val="00DA6C33"/>
    <w:rsid w:val="00DA6FF2"/>
    <w:rsid w:val="00DA7022"/>
    <w:rsid w:val="00DA711C"/>
    <w:rsid w:val="00DA7468"/>
    <w:rsid w:val="00DA75CD"/>
    <w:rsid w:val="00DA7707"/>
    <w:rsid w:val="00DA7BA1"/>
    <w:rsid w:val="00DB0C3F"/>
    <w:rsid w:val="00DB13A5"/>
    <w:rsid w:val="00DB13E9"/>
    <w:rsid w:val="00DB1FA6"/>
    <w:rsid w:val="00DB2864"/>
    <w:rsid w:val="00DB4B7A"/>
    <w:rsid w:val="00DB561A"/>
    <w:rsid w:val="00DB5695"/>
    <w:rsid w:val="00DB5D0D"/>
    <w:rsid w:val="00DB66A0"/>
    <w:rsid w:val="00DB6706"/>
    <w:rsid w:val="00DB6755"/>
    <w:rsid w:val="00DB69A2"/>
    <w:rsid w:val="00DB70A1"/>
    <w:rsid w:val="00DB729E"/>
    <w:rsid w:val="00DB769C"/>
    <w:rsid w:val="00DB771D"/>
    <w:rsid w:val="00DB7B39"/>
    <w:rsid w:val="00DB7EB4"/>
    <w:rsid w:val="00DC00D6"/>
    <w:rsid w:val="00DC08BA"/>
    <w:rsid w:val="00DC0D80"/>
    <w:rsid w:val="00DC129A"/>
    <w:rsid w:val="00DC1679"/>
    <w:rsid w:val="00DC1B77"/>
    <w:rsid w:val="00DC1C34"/>
    <w:rsid w:val="00DC1C8B"/>
    <w:rsid w:val="00DC1EB5"/>
    <w:rsid w:val="00DC23EB"/>
    <w:rsid w:val="00DC3771"/>
    <w:rsid w:val="00DC43C3"/>
    <w:rsid w:val="00DC45A7"/>
    <w:rsid w:val="00DC4CAA"/>
    <w:rsid w:val="00DC5A7F"/>
    <w:rsid w:val="00DC6673"/>
    <w:rsid w:val="00DC7D3B"/>
    <w:rsid w:val="00DD08D3"/>
    <w:rsid w:val="00DD0A45"/>
    <w:rsid w:val="00DD0C07"/>
    <w:rsid w:val="00DD0E7F"/>
    <w:rsid w:val="00DD113F"/>
    <w:rsid w:val="00DD17CD"/>
    <w:rsid w:val="00DD1F53"/>
    <w:rsid w:val="00DD217E"/>
    <w:rsid w:val="00DD26CD"/>
    <w:rsid w:val="00DD2DE4"/>
    <w:rsid w:val="00DD3C0A"/>
    <w:rsid w:val="00DD3F82"/>
    <w:rsid w:val="00DD440E"/>
    <w:rsid w:val="00DD4D7F"/>
    <w:rsid w:val="00DD5260"/>
    <w:rsid w:val="00DD5E4A"/>
    <w:rsid w:val="00DD5E99"/>
    <w:rsid w:val="00DD6091"/>
    <w:rsid w:val="00DD6701"/>
    <w:rsid w:val="00DD6E88"/>
    <w:rsid w:val="00DD7CA4"/>
    <w:rsid w:val="00DE01DE"/>
    <w:rsid w:val="00DE10B5"/>
    <w:rsid w:val="00DE1B89"/>
    <w:rsid w:val="00DE245D"/>
    <w:rsid w:val="00DE37BA"/>
    <w:rsid w:val="00DE39D8"/>
    <w:rsid w:val="00DE44E1"/>
    <w:rsid w:val="00DE4B3E"/>
    <w:rsid w:val="00DE503A"/>
    <w:rsid w:val="00DE5052"/>
    <w:rsid w:val="00DE65E7"/>
    <w:rsid w:val="00DE688A"/>
    <w:rsid w:val="00DE6A4B"/>
    <w:rsid w:val="00DE6BBE"/>
    <w:rsid w:val="00DE6E9C"/>
    <w:rsid w:val="00DF060B"/>
    <w:rsid w:val="00DF097B"/>
    <w:rsid w:val="00DF0CAA"/>
    <w:rsid w:val="00DF1953"/>
    <w:rsid w:val="00DF1F4B"/>
    <w:rsid w:val="00DF22C8"/>
    <w:rsid w:val="00DF3C63"/>
    <w:rsid w:val="00DF3D4A"/>
    <w:rsid w:val="00DF3D56"/>
    <w:rsid w:val="00DF3E92"/>
    <w:rsid w:val="00DF3E95"/>
    <w:rsid w:val="00DF47A0"/>
    <w:rsid w:val="00DF5997"/>
    <w:rsid w:val="00DF5A17"/>
    <w:rsid w:val="00DF5B20"/>
    <w:rsid w:val="00DF5DA2"/>
    <w:rsid w:val="00DF65D5"/>
    <w:rsid w:val="00DF69AA"/>
    <w:rsid w:val="00DF6AC3"/>
    <w:rsid w:val="00DF6C56"/>
    <w:rsid w:val="00DF6E71"/>
    <w:rsid w:val="00DF7887"/>
    <w:rsid w:val="00DF7EA5"/>
    <w:rsid w:val="00E0097F"/>
    <w:rsid w:val="00E034B7"/>
    <w:rsid w:val="00E03BE8"/>
    <w:rsid w:val="00E05854"/>
    <w:rsid w:val="00E05863"/>
    <w:rsid w:val="00E07100"/>
    <w:rsid w:val="00E07C54"/>
    <w:rsid w:val="00E07FEE"/>
    <w:rsid w:val="00E100F7"/>
    <w:rsid w:val="00E10564"/>
    <w:rsid w:val="00E1096F"/>
    <w:rsid w:val="00E10A91"/>
    <w:rsid w:val="00E128D7"/>
    <w:rsid w:val="00E13F99"/>
    <w:rsid w:val="00E14382"/>
    <w:rsid w:val="00E14704"/>
    <w:rsid w:val="00E14D56"/>
    <w:rsid w:val="00E15F47"/>
    <w:rsid w:val="00E15F5C"/>
    <w:rsid w:val="00E1645B"/>
    <w:rsid w:val="00E16BEC"/>
    <w:rsid w:val="00E1766F"/>
    <w:rsid w:val="00E17D8F"/>
    <w:rsid w:val="00E2046C"/>
    <w:rsid w:val="00E20564"/>
    <w:rsid w:val="00E20683"/>
    <w:rsid w:val="00E212C8"/>
    <w:rsid w:val="00E212EF"/>
    <w:rsid w:val="00E213D0"/>
    <w:rsid w:val="00E21422"/>
    <w:rsid w:val="00E21C85"/>
    <w:rsid w:val="00E2368B"/>
    <w:rsid w:val="00E24079"/>
    <w:rsid w:val="00E24E98"/>
    <w:rsid w:val="00E25401"/>
    <w:rsid w:val="00E25643"/>
    <w:rsid w:val="00E25C1D"/>
    <w:rsid w:val="00E26016"/>
    <w:rsid w:val="00E26055"/>
    <w:rsid w:val="00E26475"/>
    <w:rsid w:val="00E26653"/>
    <w:rsid w:val="00E26739"/>
    <w:rsid w:val="00E26893"/>
    <w:rsid w:val="00E26A1E"/>
    <w:rsid w:val="00E26D40"/>
    <w:rsid w:val="00E27166"/>
    <w:rsid w:val="00E274E3"/>
    <w:rsid w:val="00E27861"/>
    <w:rsid w:val="00E27D33"/>
    <w:rsid w:val="00E301C9"/>
    <w:rsid w:val="00E30577"/>
    <w:rsid w:val="00E313CD"/>
    <w:rsid w:val="00E316F1"/>
    <w:rsid w:val="00E320BA"/>
    <w:rsid w:val="00E32671"/>
    <w:rsid w:val="00E32E46"/>
    <w:rsid w:val="00E34DAC"/>
    <w:rsid w:val="00E34E81"/>
    <w:rsid w:val="00E35315"/>
    <w:rsid w:val="00E36566"/>
    <w:rsid w:val="00E367E9"/>
    <w:rsid w:val="00E36F7A"/>
    <w:rsid w:val="00E41C04"/>
    <w:rsid w:val="00E41EE9"/>
    <w:rsid w:val="00E42431"/>
    <w:rsid w:val="00E4245E"/>
    <w:rsid w:val="00E428CA"/>
    <w:rsid w:val="00E4419D"/>
    <w:rsid w:val="00E441B0"/>
    <w:rsid w:val="00E444B4"/>
    <w:rsid w:val="00E44AF4"/>
    <w:rsid w:val="00E4558D"/>
    <w:rsid w:val="00E4727B"/>
    <w:rsid w:val="00E475BD"/>
    <w:rsid w:val="00E47808"/>
    <w:rsid w:val="00E47984"/>
    <w:rsid w:val="00E47DC9"/>
    <w:rsid w:val="00E500AA"/>
    <w:rsid w:val="00E51F72"/>
    <w:rsid w:val="00E5210A"/>
    <w:rsid w:val="00E524FB"/>
    <w:rsid w:val="00E530FB"/>
    <w:rsid w:val="00E53210"/>
    <w:rsid w:val="00E53211"/>
    <w:rsid w:val="00E533D4"/>
    <w:rsid w:val="00E54246"/>
    <w:rsid w:val="00E54851"/>
    <w:rsid w:val="00E56001"/>
    <w:rsid w:val="00E563A3"/>
    <w:rsid w:val="00E5672C"/>
    <w:rsid w:val="00E5693D"/>
    <w:rsid w:val="00E571DC"/>
    <w:rsid w:val="00E5753D"/>
    <w:rsid w:val="00E576B4"/>
    <w:rsid w:val="00E57F12"/>
    <w:rsid w:val="00E57F78"/>
    <w:rsid w:val="00E60008"/>
    <w:rsid w:val="00E60845"/>
    <w:rsid w:val="00E615BA"/>
    <w:rsid w:val="00E61785"/>
    <w:rsid w:val="00E61E09"/>
    <w:rsid w:val="00E62C58"/>
    <w:rsid w:val="00E63BD7"/>
    <w:rsid w:val="00E6439B"/>
    <w:rsid w:val="00E65031"/>
    <w:rsid w:val="00E661AD"/>
    <w:rsid w:val="00E665E7"/>
    <w:rsid w:val="00E67484"/>
    <w:rsid w:val="00E6785D"/>
    <w:rsid w:val="00E714C0"/>
    <w:rsid w:val="00E73C7C"/>
    <w:rsid w:val="00E73DBC"/>
    <w:rsid w:val="00E73EBB"/>
    <w:rsid w:val="00E74380"/>
    <w:rsid w:val="00E74610"/>
    <w:rsid w:val="00E74DC3"/>
    <w:rsid w:val="00E750E3"/>
    <w:rsid w:val="00E75AD3"/>
    <w:rsid w:val="00E75B51"/>
    <w:rsid w:val="00E75DC9"/>
    <w:rsid w:val="00E75ED1"/>
    <w:rsid w:val="00E760B9"/>
    <w:rsid w:val="00E761F6"/>
    <w:rsid w:val="00E76254"/>
    <w:rsid w:val="00E766A8"/>
    <w:rsid w:val="00E768E1"/>
    <w:rsid w:val="00E76A1B"/>
    <w:rsid w:val="00E77925"/>
    <w:rsid w:val="00E77BDE"/>
    <w:rsid w:val="00E77FDE"/>
    <w:rsid w:val="00E803B3"/>
    <w:rsid w:val="00E80C3C"/>
    <w:rsid w:val="00E8154D"/>
    <w:rsid w:val="00E81747"/>
    <w:rsid w:val="00E81D36"/>
    <w:rsid w:val="00E81E0B"/>
    <w:rsid w:val="00E81ED2"/>
    <w:rsid w:val="00E82476"/>
    <w:rsid w:val="00E839DB"/>
    <w:rsid w:val="00E83C77"/>
    <w:rsid w:val="00E840CB"/>
    <w:rsid w:val="00E851A3"/>
    <w:rsid w:val="00E8563F"/>
    <w:rsid w:val="00E85E08"/>
    <w:rsid w:val="00E8615F"/>
    <w:rsid w:val="00E87117"/>
    <w:rsid w:val="00E90D6D"/>
    <w:rsid w:val="00E91661"/>
    <w:rsid w:val="00E91BE6"/>
    <w:rsid w:val="00E92FE1"/>
    <w:rsid w:val="00E9366C"/>
    <w:rsid w:val="00E9387C"/>
    <w:rsid w:val="00E93A47"/>
    <w:rsid w:val="00E947C2"/>
    <w:rsid w:val="00E94A02"/>
    <w:rsid w:val="00E94E7A"/>
    <w:rsid w:val="00E95ED5"/>
    <w:rsid w:val="00E960CC"/>
    <w:rsid w:val="00E96B9C"/>
    <w:rsid w:val="00E96D9F"/>
    <w:rsid w:val="00E972E3"/>
    <w:rsid w:val="00E9759D"/>
    <w:rsid w:val="00EA015E"/>
    <w:rsid w:val="00EA023C"/>
    <w:rsid w:val="00EA0291"/>
    <w:rsid w:val="00EA1806"/>
    <w:rsid w:val="00EA1B36"/>
    <w:rsid w:val="00EA22AE"/>
    <w:rsid w:val="00EA2602"/>
    <w:rsid w:val="00EA33DE"/>
    <w:rsid w:val="00EA4407"/>
    <w:rsid w:val="00EA4D17"/>
    <w:rsid w:val="00EA73F1"/>
    <w:rsid w:val="00EA73FE"/>
    <w:rsid w:val="00EA7A6D"/>
    <w:rsid w:val="00EA7C87"/>
    <w:rsid w:val="00EB0065"/>
    <w:rsid w:val="00EB04C6"/>
    <w:rsid w:val="00EB083B"/>
    <w:rsid w:val="00EB104F"/>
    <w:rsid w:val="00EB13BF"/>
    <w:rsid w:val="00EB1763"/>
    <w:rsid w:val="00EB1AB4"/>
    <w:rsid w:val="00EB1B6B"/>
    <w:rsid w:val="00EB1BEB"/>
    <w:rsid w:val="00EB231D"/>
    <w:rsid w:val="00EB25D6"/>
    <w:rsid w:val="00EB38FF"/>
    <w:rsid w:val="00EB41BD"/>
    <w:rsid w:val="00EB44C7"/>
    <w:rsid w:val="00EB4976"/>
    <w:rsid w:val="00EB5061"/>
    <w:rsid w:val="00EB518E"/>
    <w:rsid w:val="00EB520E"/>
    <w:rsid w:val="00EB57AE"/>
    <w:rsid w:val="00EB5993"/>
    <w:rsid w:val="00EB632F"/>
    <w:rsid w:val="00EB65CA"/>
    <w:rsid w:val="00EB6F9B"/>
    <w:rsid w:val="00EC0302"/>
    <w:rsid w:val="00EC0948"/>
    <w:rsid w:val="00EC0B41"/>
    <w:rsid w:val="00EC0C27"/>
    <w:rsid w:val="00EC0DD0"/>
    <w:rsid w:val="00EC1C1D"/>
    <w:rsid w:val="00EC1DD2"/>
    <w:rsid w:val="00EC2555"/>
    <w:rsid w:val="00EC25BC"/>
    <w:rsid w:val="00EC2E8E"/>
    <w:rsid w:val="00EC40FD"/>
    <w:rsid w:val="00EC4426"/>
    <w:rsid w:val="00EC4887"/>
    <w:rsid w:val="00EC4FDD"/>
    <w:rsid w:val="00EC5B9F"/>
    <w:rsid w:val="00EC6156"/>
    <w:rsid w:val="00EC7035"/>
    <w:rsid w:val="00EC7BBA"/>
    <w:rsid w:val="00ED0B97"/>
    <w:rsid w:val="00ED1781"/>
    <w:rsid w:val="00ED2888"/>
    <w:rsid w:val="00ED2F5D"/>
    <w:rsid w:val="00ED37D2"/>
    <w:rsid w:val="00ED41E7"/>
    <w:rsid w:val="00ED4B07"/>
    <w:rsid w:val="00ED4EAF"/>
    <w:rsid w:val="00ED4F15"/>
    <w:rsid w:val="00ED521B"/>
    <w:rsid w:val="00ED5417"/>
    <w:rsid w:val="00ED6E7D"/>
    <w:rsid w:val="00ED7459"/>
    <w:rsid w:val="00ED7675"/>
    <w:rsid w:val="00EE06AC"/>
    <w:rsid w:val="00EE0931"/>
    <w:rsid w:val="00EE19A4"/>
    <w:rsid w:val="00EE19DC"/>
    <w:rsid w:val="00EE1FC1"/>
    <w:rsid w:val="00EE2960"/>
    <w:rsid w:val="00EE31DA"/>
    <w:rsid w:val="00EE3200"/>
    <w:rsid w:val="00EE33FB"/>
    <w:rsid w:val="00EE4637"/>
    <w:rsid w:val="00EE586B"/>
    <w:rsid w:val="00EE5FB7"/>
    <w:rsid w:val="00EE6519"/>
    <w:rsid w:val="00EE6807"/>
    <w:rsid w:val="00EE6D8C"/>
    <w:rsid w:val="00EE6E80"/>
    <w:rsid w:val="00EE7410"/>
    <w:rsid w:val="00EE7DB0"/>
    <w:rsid w:val="00EF025F"/>
    <w:rsid w:val="00EF076A"/>
    <w:rsid w:val="00EF128E"/>
    <w:rsid w:val="00EF26E1"/>
    <w:rsid w:val="00EF3CFA"/>
    <w:rsid w:val="00EF3D6D"/>
    <w:rsid w:val="00EF4351"/>
    <w:rsid w:val="00EF4BE1"/>
    <w:rsid w:val="00EF4C3F"/>
    <w:rsid w:val="00EF4D38"/>
    <w:rsid w:val="00EF4F10"/>
    <w:rsid w:val="00EF5155"/>
    <w:rsid w:val="00EF7902"/>
    <w:rsid w:val="00EF7C40"/>
    <w:rsid w:val="00EF7EB1"/>
    <w:rsid w:val="00F00631"/>
    <w:rsid w:val="00F010D7"/>
    <w:rsid w:val="00F0153A"/>
    <w:rsid w:val="00F01590"/>
    <w:rsid w:val="00F01DD7"/>
    <w:rsid w:val="00F02919"/>
    <w:rsid w:val="00F033E7"/>
    <w:rsid w:val="00F035A7"/>
    <w:rsid w:val="00F03EB4"/>
    <w:rsid w:val="00F049DD"/>
    <w:rsid w:val="00F049E8"/>
    <w:rsid w:val="00F066AD"/>
    <w:rsid w:val="00F06827"/>
    <w:rsid w:val="00F06C57"/>
    <w:rsid w:val="00F075EF"/>
    <w:rsid w:val="00F0762A"/>
    <w:rsid w:val="00F07CAD"/>
    <w:rsid w:val="00F07E0D"/>
    <w:rsid w:val="00F1084E"/>
    <w:rsid w:val="00F10B89"/>
    <w:rsid w:val="00F10F21"/>
    <w:rsid w:val="00F11743"/>
    <w:rsid w:val="00F11BF0"/>
    <w:rsid w:val="00F11D81"/>
    <w:rsid w:val="00F13F74"/>
    <w:rsid w:val="00F1407D"/>
    <w:rsid w:val="00F146C8"/>
    <w:rsid w:val="00F14B5B"/>
    <w:rsid w:val="00F14D5A"/>
    <w:rsid w:val="00F15E34"/>
    <w:rsid w:val="00F15F31"/>
    <w:rsid w:val="00F15FA0"/>
    <w:rsid w:val="00F1601E"/>
    <w:rsid w:val="00F172D9"/>
    <w:rsid w:val="00F20760"/>
    <w:rsid w:val="00F208E8"/>
    <w:rsid w:val="00F20BBF"/>
    <w:rsid w:val="00F2137C"/>
    <w:rsid w:val="00F21A59"/>
    <w:rsid w:val="00F21B1C"/>
    <w:rsid w:val="00F21E58"/>
    <w:rsid w:val="00F22675"/>
    <w:rsid w:val="00F22FF6"/>
    <w:rsid w:val="00F23342"/>
    <w:rsid w:val="00F246D4"/>
    <w:rsid w:val="00F249D0"/>
    <w:rsid w:val="00F24C58"/>
    <w:rsid w:val="00F24F6F"/>
    <w:rsid w:val="00F25844"/>
    <w:rsid w:val="00F25993"/>
    <w:rsid w:val="00F25A9A"/>
    <w:rsid w:val="00F25C5B"/>
    <w:rsid w:val="00F25E2E"/>
    <w:rsid w:val="00F2637C"/>
    <w:rsid w:val="00F26992"/>
    <w:rsid w:val="00F26B6F"/>
    <w:rsid w:val="00F271AC"/>
    <w:rsid w:val="00F27954"/>
    <w:rsid w:val="00F27B31"/>
    <w:rsid w:val="00F30178"/>
    <w:rsid w:val="00F30203"/>
    <w:rsid w:val="00F30742"/>
    <w:rsid w:val="00F3088A"/>
    <w:rsid w:val="00F309D7"/>
    <w:rsid w:val="00F30B12"/>
    <w:rsid w:val="00F31BE5"/>
    <w:rsid w:val="00F31FC4"/>
    <w:rsid w:val="00F3464E"/>
    <w:rsid w:val="00F34AC3"/>
    <w:rsid w:val="00F3583D"/>
    <w:rsid w:val="00F35902"/>
    <w:rsid w:val="00F35FC0"/>
    <w:rsid w:val="00F36535"/>
    <w:rsid w:val="00F369B7"/>
    <w:rsid w:val="00F36AE0"/>
    <w:rsid w:val="00F41D68"/>
    <w:rsid w:val="00F423ED"/>
    <w:rsid w:val="00F42D04"/>
    <w:rsid w:val="00F43271"/>
    <w:rsid w:val="00F4328D"/>
    <w:rsid w:val="00F444DB"/>
    <w:rsid w:val="00F44615"/>
    <w:rsid w:val="00F447DD"/>
    <w:rsid w:val="00F44B3A"/>
    <w:rsid w:val="00F44E03"/>
    <w:rsid w:val="00F45006"/>
    <w:rsid w:val="00F45108"/>
    <w:rsid w:val="00F45A27"/>
    <w:rsid w:val="00F46971"/>
    <w:rsid w:val="00F47983"/>
    <w:rsid w:val="00F47B3A"/>
    <w:rsid w:val="00F47C99"/>
    <w:rsid w:val="00F503B1"/>
    <w:rsid w:val="00F50675"/>
    <w:rsid w:val="00F50D73"/>
    <w:rsid w:val="00F51052"/>
    <w:rsid w:val="00F51215"/>
    <w:rsid w:val="00F51C01"/>
    <w:rsid w:val="00F5251E"/>
    <w:rsid w:val="00F5317E"/>
    <w:rsid w:val="00F5322F"/>
    <w:rsid w:val="00F5368A"/>
    <w:rsid w:val="00F545A9"/>
    <w:rsid w:val="00F54A3F"/>
    <w:rsid w:val="00F54DD2"/>
    <w:rsid w:val="00F5602B"/>
    <w:rsid w:val="00F560C7"/>
    <w:rsid w:val="00F5615F"/>
    <w:rsid w:val="00F56E65"/>
    <w:rsid w:val="00F572D4"/>
    <w:rsid w:val="00F5762E"/>
    <w:rsid w:val="00F5779A"/>
    <w:rsid w:val="00F57E81"/>
    <w:rsid w:val="00F60421"/>
    <w:rsid w:val="00F60876"/>
    <w:rsid w:val="00F60DEE"/>
    <w:rsid w:val="00F613CA"/>
    <w:rsid w:val="00F6143C"/>
    <w:rsid w:val="00F61ACD"/>
    <w:rsid w:val="00F61D98"/>
    <w:rsid w:val="00F621FD"/>
    <w:rsid w:val="00F622FB"/>
    <w:rsid w:val="00F62947"/>
    <w:rsid w:val="00F629E2"/>
    <w:rsid w:val="00F62B4C"/>
    <w:rsid w:val="00F63238"/>
    <w:rsid w:val="00F636F4"/>
    <w:rsid w:val="00F63D72"/>
    <w:rsid w:val="00F64534"/>
    <w:rsid w:val="00F653FE"/>
    <w:rsid w:val="00F65BF4"/>
    <w:rsid w:val="00F66E30"/>
    <w:rsid w:val="00F700CD"/>
    <w:rsid w:val="00F709A1"/>
    <w:rsid w:val="00F70C70"/>
    <w:rsid w:val="00F71265"/>
    <w:rsid w:val="00F71404"/>
    <w:rsid w:val="00F714F0"/>
    <w:rsid w:val="00F71BC9"/>
    <w:rsid w:val="00F71DC1"/>
    <w:rsid w:val="00F71F1F"/>
    <w:rsid w:val="00F72703"/>
    <w:rsid w:val="00F73027"/>
    <w:rsid w:val="00F7343C"/>
    <w:rsid w:val="00F734EF"/>
    <w:rsid w:val="00F736CA"/>
    <w:rsid w:val="00F7375F"/>
    <w:rsid w:val="00F73C14"/>
    <w:rsid w:val="00F73D19"/>
    <w:rsid w:val="00F73D93"/>
    <w:rsid w:val="00F74133"/>
    <w:rsid w:val="00F74775"/>
    <w:rsid w:val="00F75446"/>
    <w:rsid w:val="00F7548D"/>
    <w:rsid w:val="00F7576B"/>
    <w:rsid w:val="00F75F9C"/>
    <w:rsid w:val="00F763DB"/>
    <w:rsid w:val="00F76C87"/>
    <w:rsid w:val="00F76E25"/>
    <w:rsid w:val="00F77B03"/>
    <w:rsid w:val="00F80057"/>
    <w:rsid w:val="00F807B8"/>
    <w:rsid w:val="00F81243"/>
    <w:rsid w:val="00F8160A"/>
    <w:rsid w:val="00F81BB9"/>
    <w:rsid w:val="00F81ECF"/>
    <w:rsid w:val="00F82120"/>
    <w:rsid w:val="00F82141"/>
    <w:rsid w:val="00F82414"/>
    <w:rsid w:val="00F82A64"/>
    <w:rsid w:val="00F83561"/>
    <w:rsid w:val="00F83991"/>
    <w:rsid w:val="00F83DC5"/>
    <w:rsid w:val="00F83F75"/>
    <w:rsid w:val="00F84122"/>
    <w:rsid w:val="00F850AC"/>
    <w:rsid w:val="00F8541C"/>
    <w:rsid w:val="00F85DA2"/>
    <w:rsid w:val="00F85F85"/>
    <w:rsid w:val="00F86D4F"/>
    <w:rsid w:val="00F8722F"/>
    <w:rsid w:val="00F87587"/>
    <w:rsid w:val="00F87822"/>
    <w:rsid w:val="00F87C07"/>
    <w:rsid w:val="00F90787"/>
    <w:rsid w:val="00F90EB1"/>
    <w:rsid w:val="00F91230"/>
    <w:rsid w:val="00F9159F"/>
    <w:rsid w:val="00F91AB9"/>
    <w:rsid w:val="00F922A1"/>
    <w:rsid w:val="00F93452"/>
    <w:rsid w:val="00F934A0"/>
    <w:rsid w:val="00F944B4"/>
    <w:rsid w:val="00F95E6B"/>
    <w:rsid w:val="00F95E91"/>
    <w:rsid w:val="00F96058"/>
    <w:rsid w:val="00F9612E"/>
    <w:rsid w:val="00F966A4"/>
    <w:rsid w:val="00F9671A"/>
    <w:rsid w:val="00F96C3D"/>
    <w:rsid w:val="00F96CB7"/>
    <w:rsid w:val="00F97575"/>
    <w:rsid w:val="00F975FD"/>
    <w:rsid w:val="00FA07BF"/>
    <w:rsid w:val="00FA0AAB"/>
    <w:rsid w:val="00FA1220"/>
    <w:rsid w:val="00FA15C5"/>
    <w:rsid w:val="00FA173A"/>
    <w:rsid w:val="00FA190E"/>
    <w:rsid w:val="00FA19AF"/>
    <w:rsid w:val="00FA20A3"/>
    <w:rsid w:val="00FA20DD"/>
    <w:rsid w:val="00FA26FF"/>
    <w:rsid w:val="00FA2944"/>
    <w:rsid w:val="00FA2C4C"/>
    <w:rsid w:val="00FA3211"/>
    <w:rsid w:val="00FA3975"/>
    <w:rsid w:val="00FA4ACE"/>
    <w:rsid w:val="00FA5CE3"/>
    <w:rsid w:val="00FA6DC5"/>
    <w:rsid w:val="00FA712D"/>
    <w:rsid w:val="00FA723B"/>
    <w:rsid w:val="00FB0456"/>
    <w:rsid w:val="00FB05D9"/>
    <w:rsid w:val="00FB0C47"/>
    <w:rsid w:val="00FB23BE"/>
    <w:rsid w:val="00FB2446"/>
    <w:rsid w:val="00FB2669"/>
    <w:rsid w:val="00FB291A"/>
    <w:rsid w:val="00FB2F10"/>
    <w:rsid w:val="00FB383B"/>
    <w:rsid w:val="00FB3AD7"/>
    <w:rsid w:val="00FB3B8C"/>
    <w:rsid w:val="00FB3BBE"/>
    <w:rsid w:val="00FB40AD"/>
    <w:rsid w:val="00FB4C1D"/>
    <w:rsid w:val="00FB55D4"/>
    <w:rsid w:val="00FB5B5F"/>
    <w:rsid w:val="00FB637C"/>
    <w:rsid w:val="00FB6806"/>
    <w:rsid w:val="00FB6907"/>
    <w:rsid w:val="00FC011D"/>
    <w:rsid w:val="00FC19B4"/>
    <w:rsid w:val="00FC1FE0"/>
    <w:rsid w:val="00FC2260"/>
    <w:rsid w:val="00FC244D"/>
    <w:rsid w:val="00FC27BE"/>
    <w:rsid w:val="00FC2DA3"/>
    <w:rsid w:val="00FC33D0"/>
    <w:rsid w:val="00FC356E"/>
    <w:rsid w:val="00FC3A5B"/>
    <w:rsid w:val="00FC3E64"/>
    <w:rsid w:val="00FC448E"/>
    <w:rsid w:val="00FC4864"/>
    <w:rsid w:val="00FC4CC2"/>
    <w:rsid w:val="00FC4FD5"/>
    <w:rsid w:val="00FC6096"/>
    <w:rsid w:val="00FC6EDC"/>
    <w:rsid w:val="00FC71A4"/>
    <w:rsid w:val="00FC7BB4"/>
    <w:rsid w:val="00FC7F7D"/>
    <w:rsid w:val="00FD0070"/>
    <w:rsid w:val="00FD0073"/>
    <w:rsid w:val="00FD0155"/>
    <w:rsid w:val="00FD07D7"/>
    <w:rsid w:val="00FD1485"/>
    <w:rsid w:val="00FD2E92"/>
    <w:rsid w:val="00FD349A"/>
    <w:rsid w:val="00FD394C"/>
    <w:rsid w:val="00FD3B6C"/>
    <w:rsid w:val="00FD3E41"/>
    <w:rsid w:val="00FD4626"/>
    <w:rsid w:val="00FD4850"/>
    <w:rsid w:val="00FD4BDD"/>
    <w:rsid w:val="00FD59B8"/>
    <w:rsid w:val="00FD5EED"/>
    <w:rsid w:val="00FD76D6"/>
    <w:rsid w:val="00FD7AAE"/>
    <w:rsid w:val="00FE039E"/>
    <w:rsid w:val="00FE0756"/>
    <w:rsid w:val="00FE07B9"/>
    <w:rsid w:val="00FE0A7D"/>
    <w:rsid w:val="00FE22D2"/>
    <w:rsid w:val="00FE22E4"/>
    <w:rsid w:val="00FE239C"/>
    <w:rsid w:val="00FE269B"/>
    <w:rsid w:val="00FE272F"/>
    <w:rsid w:val="00FE2AAE"/>
    <w:rsid w:val="00FE3F2E"/>
    <w:rsid w:val="00FE42B6"/>
    <w:rsid w:val="00FE4BB8"/>
    <w:rsid w:val="00FE51BB"/>
    <w:rsid w:val="00FE563B"/>
    <w:rsid w:val="00FE5806"/>
    <w:rsid w:val="00FE5E4B"/>
    <w:rsid w:val="00FE63FA"/>
    <w:rsid w:val="00FE7089"/>
    <w:rsid w:val="00FE72A3"/>
    <w:rsid w:val="00FE7776"/>
    <w:rsid w:val="00FE7DCB"/>
    <w:rsid w:val="00FE7E7E"/>
    <w:rsid w:val="00FF05F5"/>
    <w:rsid w:val="00FF0C94"/>
    <w:rsid w:val="00FF0DA1"/>
    <w:rsid w:val="00FF0FDA"/>
    <w:rsid w:val="00FF1045"/>
    <w:rsid w:val="00FF199B"/>
    <w:rsid w:val="00FF23DC"/>
    <w:rsid w:val="00FF24A2"/>
    <w:rsid w:val="00FF2915"/>
    <w:rsid w:val="00FF2B72"/>
    <w:rsid w:val="00FF3335"/>
    <w:rsid w:val="00FF336F"/>
    <w:rsid w:val="00FF33FC"/>
    <w:rsid w:val="00FF4099"/>
    <w:rsid w:val="00FF4221"/>
    <w:rsid w:val="00FF450E"/>
    <w:rsid w:val="00FF4C81"/>
    <w:rsid w:val="00FF5245"/>
    <w:rsid w:val="00FF6146"/>
    <w:rsid w:val="00FF61D8"/>
    <w:rsid w:val="00FF6681"/>
    <w:rsid w:val="00FF7822"/>
    <w:rsid w:val="00FF7C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0EF7"/>
    <w:pPr>
      <w:widowControl w:val="0"/>
      <w:adjustRightInd w:val="0"/>
      <w:spacing w:line="372" w:lineRule="exact"/>
      <w:textAlignment w:val="center"/>
    </w:pPr>
    <w:rPr>
      <w:rFonts w:eastAsia="細明體"/>
    </w:rPr>
  </w:style>
  <w:style w:type="paragraph" w:styleId="11">
    <w:name w:val="heading 1"/>
    <w:basedOn w:val="a1"/>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1"/>
    <w:next w:val="a1"/>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1"/>
    <w:next w:val="a1"/>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弟3行"/>
    <w:basedOn w:val="a1"/>
    <w:pPr>
      <w:spacing w:line="300" w:lineRule="exact"/>
    </w:pPr>
    <w:rPr>
      <w:rFonts w:eastAsia=".文鼎中楷"/>
      <w:sz w:val="36"/>
    </w:rPr>
  </w:style>
  <w:style w:type="paragraph" w:customStyle="1" w:styleId="a5">
    <w:name w:val="信內文"/>
    <w:basedOn w:val="31"/>
    <w:pPr>
      <w:spacing w:line="360" w:lineRule="auto"/>
    </w:pPr>
    <w:rPr>
      <w:rFonts w:ascii=".文鼎中楷"/>
      <w:spacing w:val="43"/>
    </w:rPr>
  </w:style>
  <w:style w:type="paragraph" w:styleId="a6">
    <w:name w:val="footer"/>
    <w:basedOn w:val="a1"/>
    <w:link w:val="a7"/>
    <w:uiPriority w:val="99"/>
    <w:pPr>
      <w:tabs>
        <w:tab w:val="center" w:pos="4153"/>
        <w:tab w:val="right" w:pos="8306"/>
      </w:tabs>
      <w:spacing w:line="360" w:lineRule="auto"/>
    </w:pPr>
    <w:rPr>
      <w:sz w:val="18"/>
    </w:rPr>
  </w:style>
  <w:style w:type="paragraph" w:styleId="a8">
    <w:name w:val="header"/>
    <w:basedOn w:val="a1"/>
    <w:link w:val="a9"/>
    <w:uiPriority w:val="99"/>
    <w:pPr>
      <w:tabs>
        <w:tab w:val="center" w:pos="4153"/>
        <w:tab w:val="right" w:pos="8306"/>
      </w:tabs>
    </w:pPr>
  </w:style>
  <w:style w:type="character" w:styleId="aa">
    <w:name w:val="page number"/>
    <w:rPr>
      <w:rFonts w:ascii="Times New Roman" w:hAnsi="Times New Roman" w:cs="Times New Roman"/>
    </w:rPr>
  </w:style>
  <w:style w:type="paragraph" w:customStyle="1" w:styleId="ab">
    <w:name w:val="主旨"/>
    <w:basedOn w:val="a1"/>
    <w:pPr>
      <w:spacing w:line="720" w:lineRule="exact"/>
      <w:ind w:left="1021" w:hanging="1021"/>
    </w:pPr>
    <w:rPr>
      <w:rFonts w:eastAsia=".文鼎中楷"/>
      <w:sz w:val="36"/>
    </w:rPr>
  </w:style>
  <w:style w:type="paragraph" w:customStyle="1" w:styleId="13">
    <w:name w:val="說明1"/>
    <w:basedOn w:val="ab"/>
  </w:style>
  <w:style w:type="paragraph" w:customStyle="1" w:styleId="ac">
    <w:name w:val="說明"/>
    <w:basedOn w:val="ab"/>
    <w:pPr>
      <w:ind w:left="1474" w:hanging="1474"/>
    </w:pPr>
  </w:style>
  <w:style w:type="paragraph" w:customStyle="1" w:styleId="ad">
    <w:name w:val="二"/>
    <w:basedOn w:val="ac"/>
    <w:pPr>
      <w:ind w:left="397" w:hanging="397"/>
    </w:pPr>
  </w:style>
  <w:style w:type="paragraph" w:customStyle="1" w:styleId="ae">
    <w:name w:val="(一)"/>
    <w:basedOn w:val="ad"/>
    <w:pPr>
      <w:ind w:left="794"/>
    </w:pPr>
  </w:style>
  <w:style w:type="paragraph" w:customStyle="1" w:styleId="af">
    <w:name w:val="案由"/>
    <w:basedOn w:val="a1"/>
    <w:pPr>
      <w:spacing w:line="680" w:lineRule="exact"/>
      <w:ind w:left="1134" w:hanging="1134"/>
      <w:jc w:val="both"/>
    </w:pPr>
    <w:rPr>
      <w:rFonts w:ascii="華康中楷體" w:eastAsia="華康中楷體"/>
      <w:spacing w:val="16"/>
      <w:sz w:val="36"/>
    </w:rPr>
  </w:style>
  <w:style w:type="paragraph" w:customStyle="1" w:styleId="af0">
    <w:name w:val="二、"/>
    <w:basedOn w:val="a1"/>
    <w:pPr>
      <w:spacing w:line="680" w:lineRule="exact"/>
      <w:ind w:left="1560" w:hanging="426"/>
      <w:jc w:val="both"/>
    </w:pPr>
    <w:rPr>
      <w:rFonts w:ascii="華康中楷體" w:eastAsia="華康中楷體"/>
      <w:spacing w:val="16"/>
      <w:sz w:val="36"/>
    </w:rPr>
  </w:style>
  <w:style w:type="paragraph" w:customStyle="1" w:styleId="14">
    <w:name w:val="本文縮排1"/>
    <w:basedOn w:val="a1"/>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1"/>
    <w:pPr>
      <w:spacing w:line="640" w:lineRule="exact"/>
      <w:ind w:left="1120"/>
      <w:jc w:val="both"/>
      <w:textDirection w:val="lrTbV"/>
    </w:pPr>
    <w:rPr>
      <w:rFonts w:ascii="華康楷書體W5" w:eastAsia="華康楷書體W5"/>
      <w:spacing w:val="16"/>
      <w:sz w:val="36"/>
    </w:rPr>
  </w:style>
  <w:style w:type="paragraph" w:styleId="32">
    <w:name w:val="Body Text Indent 3"/>
    <w:basedOn w:val="a1"/>
    <w:pPr>
      <w:spacing w:line="680" w:lineRule="exact"/>
      <w:ind w:left="1134"/>
      <w:jc w:val="both"/>
      <w:textDirection w:val="lrTbV"/>
    </w:pPr>
    <w:rPr>
      <w:rFonts w:ascii="華康楷書體W5" w:eastAsia="華康楷書體W5"/>
      <w:spacing w:val="16"/>
      <w:sz w:val="36"/>
    </w:rPr>
  </w:style>
  <w:style w:type="paragraph" w:styleId="af1">
    <w:name w:val="Block Text"/>
    <w:basedOn w:val="a1"/>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1"/>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2">
    <w:name w:val="一、"/>
    <w:basedOn w:val="a1"/>
    <w:pPr>
      <w:spacing w:line="680" w:lineRule="exact"/>
      <w:ind w:left="425" w:hanging="425"/>
      <w:jc w:val="both"/>
    </w:pPr>
    <w:rPr>
      <w:rFonts w:ascii="華康楷書體W5" w:eastAsia="華康楷書體W5"/>
      <w:spacing w:val="16"/>
      <w:sz w:val="36"/>
    </w:rPr>
  </w:style>
  <w:style w:type="paragraph" w:styleId="Web">
    <w:name w:val="Normal (Web)"/>
    <w:basedOn w:val="a1"/>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Plain Text"/>
    <w:basedOn w:val="a1"/>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4">
    <w:name w:val="Body Text"/>
    <w:basedOn w:val="a1"/>
    <w:link w:val="af5"/>
    <w:pPr>
      <w:spacing w:before="50" w:line="560" w:lineRule="exact"/>
    </w:pPr>
    <w:rPr>
      <w:rFonts w:eastAsia="標楷體"/>
      <w:sz w:val="32"/>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6">
    <w:name w:val="Emphasis"/>
    <w:uiPriority w:val="20"/>
    <w:qFormat/>
    <w:rPr>
      <w:rFonts w:ascii="Times New Roman" w:hAnsi="Times New Roman" w:cs="Times New Roman"/>
      <w:color w:val="CC0033"/>
    </w:rPr>
  </w:style>
  <w:style w:type="character" w:styleId="af7">
    <w:name w:val="annotation reference"/>
    <w:semiHidden/>
    <w:rPr>
      <w:rFonts w:ascii="Times New Roman" w:hAnsi="Times New Roman" w:cs="Times New Roman"/>
      <w:sz w:val="18"/>
      <w:szCs w:val="18"/>
    </w:rPr>
  </w:style>
  <w:style w:type="paragraph" w:styleId="af8">
    <w:name w:val="annotation text"/>
    <w:basedOn w:val="a1"/>
    <w:link w:val="af9"/>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a">
    <w:name w:val="Strong"/>
    <w:qFormat/>
    <w:rPr>
      <w:rFonts w:ascii="Times New Roman" w:hAnsi="Times New Roman" w:cs="Times New Roman"/>
      <w:b/>
      <w:bCs/>
    </w:rPr>
  </w:style>
  <w:style w:type="paragraph" w:customStyle="1" w:styleId="a0">
    <w:name w:val="一"/>
    <w:basedOn w:val="a1"/>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e"/>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b">
    <w:name w:val="Body Text Indent"/>
    <w:basedOn w:val="a1"/>
    <w:pPr>
      <w:spacing w:before="100" w:line="540" w:lineRule="exact"/>
      <w:ind w:left="620"/>
      <w:jc w:val="both"/>
    </w:pPr>
    <w:rPr>
      <w:rFonts w:eastAsia="標楷體"/>
      <w:sz w:val="32"/>
    </w:rPr>
  </w:style>
  <w:style w:type="character" w:customStyle="1" w:styleId="cpt2">
    <w:name w:val="cpt2"/>
    <w:basedOn w:val="a2"/>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c">
    <w:name w:val="footnote text"/>
    <w:basedOn w:val="a1"/>
    <w:link w:val="afd"/>
    <w:uiPriority w:val="99"/>
    <w:pPr>
      <w:adjustRightInd/>
      <w:snapToGrid w:val="0"/>
      <w:spacing w:line="240" w:lineRule="auto"/>
      <w:textAlignment w:val="auto"/>
    </w:pPr>
    <w:rPr>
      <w:rFonts w:eastAsia="新細明體"/>
      <w:kern w:val="2"/>
    </w:rPr>
  </w:style>
  <w:style w:type="character" w:styleId="afe">
    <w:name w:val="footnote reference"/>
    <w:uiPriority w:val="99"/>
    <w:rPr>
      <w:vertAlign w:val="superscript"/>
    </w:rPr>
  </w:style>
  <w:style w:type="paragraph" w:styleId="aff">
    <w:name w:val="annotation subject"/>
    <w:basedOn w:val="af8"/>
    <w:next w:val="af8"/>
    <w:link w:val="aff0"/>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9">
    <w:name w:val="註解文字 字元"/>
    <w:link w:val="af8"/>
    <w:semiHidden/>
    <w:rsid w:val="001A5E2D"/>
    <w:rPr>
      <w:rFonts w:eastAsia="標楷體"/>
      <w:kern w:val="2"/>
      <w:sz w:val="32"/>
      <w:szCs w:val="24"/>
    </w:rPr>
  </w:style>
  <w:style w:type="character" w:customStyle="1" w:styleId="aff0">
    <w:name w:val="註解主旨 字元"/>
    <w:link w:val="aff"/>
    <w:uiPriority w:val="99"/>
    <w:semiHidden/>
    <w:rsid w:val="001A5E2D"/>
    <w:rPr>
      <w:rFonts w:eastAsia="細明體"/>
      <w:b/>
      <w:bCs/>
      <w:kern w:val="2"/>
      <w:sz w:val="32"/>
      <w:szCs w:val="24"/>
    </w:rPr>
  </w:style>
  <w:style w:type="paragraph" w:styleId="aff1">
    <w:name w:val="Balloon Text"/>
    <w:basedOn w:val="a1"/>
    <w:link w:val="aff2"/>
    <w:unhideWhenUsed/>
    <w:rsid w:val="001A5E2D"/>
    <w:pPr>
      <w:spacing w:line="240" w:lineRule="auto"/>
    </w:pPr>
    <w:rPr>
      <w:rFonts w:ascii="Cambria" w:eastAsia="新細明體" w:hAnsi="Cambria"/>
      <w:sz w:val="18"/>
      <w:szCs w:val="18"/>
    </w:rPr>
  </w:style>
  <w:style w:type="character" w:customStyle="1" w:styleId="aff2">
    <w:name w:val="註解方塊文字 字元"/>
    <w:link w:val="aff1"/>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3">
    <w:name w:val="表附註"/>
    <w:basedOn w:val="24"/>
    <w:rsid w:val="00286F49"/>
    <w:pPr>
      <w:spacing w:after="0" w:line="240" w:lineRule="atLeast"/>
      <w:ind w:left="0"/>
    </w:pPr>
    <w:rPr>
      <w:spacing w:val="0"/>
      <w:sz w:val="24"/>
    </w:rPr>
  </w:style>
  <w:style w:type="paragraph" w:customStyle="1" w:styleId="24">
    <w:name w:val="內文2"/>
    <w:basedOn w:val="a1"/>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1"/>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1"/>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4">
    <w:name w:val="ｂ（）ｒ"/>
    <w:basedOn w:val="a1"/>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1"/>
    <w:rsid w:val="00286F49"/>
    <w:pPr>
      <w:spacing w:line="240" w:lineRule="auto"/>
      <w:ind w:firstLine="720"/>
      <w:jc w:val="both"/>
      <w:textAlignment w:val="baseline"/>
    </w:pPr>
    <w:rPr>
      <w:rFonts w:ascii="華康仿宋體W6" w:eastAsia="華康仿宋體W6"/>
      <w:kern w:val="2"/>
      <w:sz w:val="36"/>
    </w:rPr>
  </w:style>
  <w:style w:type="paragraph" w:customStyle="1" w:styleId="aff5">
    <w:name w:val="點段"/>
    <w:basedOn w:val="a1"/>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1"/>
    <w:rsid w:val="00286F49"/>
    <w:pPr>
      <w:spacing w:before="120" w:after="120" w:line="360" w:lineRule="auto"/>
      <w:ind w:left="960" w:hanging="450"/>
      <w:jc w:val="both"/>
      <w:textAlignment w:val="baseline"/>
    </w:pPr>
    <w:rPr>
      <w:rFonts w:ascii="細明體"/>
      <w:sz w:val="28"/>
    </w:rPr>
  </w:style>
  <w:style w:type="paragraph" w:customStyle="1" w:styleId="aff6">
    <w:name w:val="(一)文"/>
    <w:basedOn w:val="a1"/>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7">
    <w:name w:val="姓名"/>
    <w:basedOn w:val="a1"/>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1"/>
    <w:rsid w:val="00286F49"/>
    <w:pPr>
      <w:spacing w:before="120" w:after="120" w:line="960" w:lineRule="atLeast"/>
      <w:ind w:firstLine="1080"/>
      <w:jc w:val="both"/>
      <w:textAlignment w:val="baseline"/>
    </w:pPr>
    <w:rPr>
      <w:rFonts w:ascii="華康中楷體" w:eastAsia="華康中楷體"/>
      <w:spacing w:val="5"/>
      <w:sz w:val="54"/>
    </w:rPr>
  </w:style>
  <w:style w:type="paragraph" w:styleId="aff8">
    <w:name w:val="Document Map"/>
    <w:basedOn w:val="a1"/>
    <w:link w:val="aff9"/>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9">
    <w:name w:val="文件引導模式 字元"/>
    <w:link w:val="aff8"/>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1"/>
    <w:rsid w:val="00286F49"/>
    <w:pPr>
      <w:spacing w:before="120" w:after="120" w:line="440" w:lineRule="exact"/>
      <w:textAlignment w:val="baseline"/>
    </w:pPr>
    <w:rPr>
      <w:rFonts w:ascii="標楷體" w:eastAsia="標楷體"/>
      <w:sz w:val="30"/>
    </w:rPr>
  </w:style>
  <w:style w:type="paragraph" w:customStyle="1" w:styleId="affa">
    <w:name w:val="中標題"/>
    <w:basedOn w:val="a1"/>
    <w:rsid w:val="00286F49"/>
    <w:pPr>
      <w:tabs>
        <w:tab w:val="left" w:pos="12960"/>
      </w:tabs>
      <w:spacing w:line="400" w:lineRule="atLeast"/>
      <w:textAlignment w:val="baseline"/>
    </w:pPr>
    <w:rPr>
      <w:sz w:val="22"/>
    </w:rPr>
  </w:style>
  <w:style w:type="paragraph" w:customStyle="1" w:styleId="affb">
    <w:name w:val="大標題本文"/>
    <w:basedOn w:val="a1"/>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1"/>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c">
    <w:name w:val="Salutation"/>
    <w:basedOn w:val="a1"/>
    <w:next w:val="a1"/>
    <w:link w:val="affd"/>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d">
    <w:name w:val="問候 字元"/>
    <w:link w:val="affc"/>
    <w:rsid w:val="00286F49"/>
    <w:rPr>
      <w:rFonts w:ascii="標楷體" w:eastAsia="標楷體" w:hAnsi="Garamond"/>
      <w:spacing w:val="20"/>
      <w:sz w:val="32"/>
    </w:rPr>
  </w:style>
  <w:style w:type="paragraph" w:styleId="affe">
    <w:name w:val="Closing"/>
    <w:basedOn w:val="a1"/>
    <w:next w:val="a1"/>
    <w:link w:val="afff"/>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f">
    <w:name w:val="結語 字元"/>
    <w:link w:val="affe"/>
    <w:rsid w:val="00286F49"/>
    <w:rPr>
      <w:rFonts w:ascii="標楷體" w:eastAsia="標楷體" w:hAnsi="Garamond"/>
      <w:spacing w:val="20"/>
      <w:sz w:val="32"/>
    </w:rPr>
  </w:style>
  <w:style w:type="paragraph" w:customStyle="1" w:styleId="afff0">
    <w:name w:val="小段"/>
    <w:basedOn w:val="a1"/>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1"/>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b"/>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1">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1"/>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2">
    <w:name w:val="Hyperlink"/>
    <w:rsid w:val="00286F49"/>
    <w:rPr>
      <w:strike w:val="0"/>
      <w:dstrike w:val="0"/>
      <w:color w:val="0066CC"/>
      <w:u w:val="none"/>
      <w:effect w:val="none"/>
    </w:rPr>
  </w:style>
  <w:style w:type="character" w:styleId="afff3">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4">
    <w:name w:val="內文 + 標楷體"/>
    <w:aliases w:val="16 點,左右對齊,左:  0 cm,凸出:  3.6 字元,行距:  固定行高 30 pt,14 點"/>
    <w:basedOn w:val="a1"/>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5">
    <w:name w:val="一'"/>
    <w:basedOn w:val="a1"/>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1"/>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1"/>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6">
    <w:name w:val="List Paragraph"/>
    <w:basedOn w:val="a1"/>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7">
    <w:name w:val="Table Grid"/>
    <w:basedOn w:val="a3"/>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註腳文字 字元"/>
    <w:link w:val="afc"/>
    <w:uiPriority w:val="99"/>
    <w:rsid w:val="00286F49"/>
    <w:rPr>
      <w:kern w:val="2"/>
    </w:rPr>
  </w:style>
  <w:style w:type="character" w:customStyle="1" w:styleId="a7">
    <w:name w:val="頁尾 字元"/>
    <w:link w:val="a6"/>
    <w:uiPriority w:val="99"/>
    <w:rsid w:val="0091791E"/>
    <w:rPr>
      <w:rFonts w:eastAsia="細明體"/>
      <w:sz w:val="18"/>
    </w:rPr>
  </w:style>
  <w:style w:type="character" w:customStyle="1" w:styleId="a9">
    <w:name w:val="頁首 字元"/>
    <w:link w:val="a8"/>
    <w:uiPriority w:val="99"/>
    <w:rsid w:val="00527E73"/>
    <w:rPr>
      <w:rFonts w:eastAsia="細明體"/>
    </w:rPr>
  </w:style>
  <w:style w:type="paragraph" w:customStyle="1" w:styleId="10">
    <w:name w:val="理監事會第 1層"/>
    <w:basedOn w:val="af1"/>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1"/>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1"/>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1"/>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5">
    <w:name w:val="本文 字元"/>
    <w:basedOn w:val="a2"/>
    <w:link w:val="af4"/>
    <w:locked/>
    <w:rsid w:val="00BD32CA"/>
    <w:rPr>
      <w:rFonts w:eastAsia="標楷體"/>
      <w:sz w:val="32"/>
    </w:rPr>
  </w:style>
  <w:style w:type="paragraph" w:styleId="a">
    <w:name w:val="List Bullet"/>
    <w:basedOn w:val="a1"/>
    <w:uiPriority w:val="99"/>
    <w:unhideWhenUsed/>
    <w:rsid w:val="008814F0"/>
    <w:pPr>
      <w:numPr>
        <w:numId w:val="44"/>
      </w:numPr>
      <w:adjustRightInd/>
      <w:spacing w:line="240" w:lineRule="auto"/>
      <w:contextualSpacing/>
      <w:textAlignment w:val="auto"/>
    </w:pPr>
    <w:rPr>
      <w:rFonts w:eastAsia="新細明體"/>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0EF7"/>
    <w:pPr>
      <w:widowControl w:val="0"/>
      <w:adjustRightInd w:val="0"/>
      <w:spacing w:line="372" w:lineRule="exact"/>
      <w:textAlignment w:val="center"/>
    </w:pPr>
    <w:rPr>
      <w:rFonts w:eastAsia="細明體"/>
    </w:rPr>
  </w:style>
  <w:style w:type="paragraph" w:styleId="11">
    <w:name w:val="heading 1"/>
    <w:basedOn w:val="a1"/>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1"/>
    <w:next w:val="a1"/>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1"/>
    <w:next w:val="a1"/>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弟3行"/>
    <w:basedOn w:val="a1"/>
    <w:pPr>
      <w:spacing w:line="300" w:lineRule="exact"/>
    </w:pPr>
    <w:rPr>
      <w:rFonts w:eastAsia=".文鼎中楷"/>
      <w:sz w:val="36"/>
    </w:rPr>
  </w:style>
  <w:style w:type="paragraph" w:customStyle="1" w:styleId="a5">
    <w:name w:val="信內文"/>
    <w:basedOn w:val="31"/>
    <w:pPr>
      <w:spacing w:line="360" w:lineRule="auto"/>
    </w:pPr>
    <w:rPr>
      <w:rFonts w:ascii=".文鼎中楷"/>
      <w:spacing w:val="43"/>
    </w:rPr>
  </w:style>
  <w:style w:type="paragraph" w:styleId="a6">
    <w:name w:val="footer"/>
    <w:basedOn w:val="a1"/>
    <w:link w:val="a7"/>
    <w:uiPriority w:val="99"/>
    <w:pPr>
      <w:tabs>
        <w:tab w:val="center" w:pos="4153"/>
        <w:tab w:val="right" w:pos="8306"/>
      </w:tabs>
      <w:spacing w:line="360" w:lineRule="auto"/>
    </w:pPr>
    <w:rPr>
      <w:sz w:val="18"/>
    </w:rPr>
  </w:style>
  <w:style w:type="paragraph" w:styleId="a8">
    <w:name w:val="header"/>
    <w:basedOn w:val="a1"/>
    <w:link w:val="a9"/>
    <w:uiPriority w:val="99"/>
    <w:pPr>
      <w:tabs>
        <w:tab w:val="center" w:pos="4153"/>
        <w:tab w:val="right" w:pos="8306"/>
      </w:tabs>
    </w:pPr>
  </w:style>
  <w:style w:type="character" w:styleId="aa">
    <w:name w:val="page number"/>
    <w:rPr>
      <w:rFonts w:ascii="Times New Roman" w:hAnsi="Times New Roman" w:cs="Times New Roman"/>
    </w:rPr>
  </w:style>
  <w:style w:type="paragraph" w:customStyle="1" w:styleId="ab">
    <w:name w:val="主旨"/>
    <w:basedOn w:val="a1"/>
    <w:pPr>
      <w:spacing w:line="720" w:lineRule="exact"/>
      <w:ind w:left="1021" w:hanging="1021"/>
    </w:pPr>
    <w:rPr>
      <w:rFonts w:eastAsia=".文鼎中楷"/>
      <w:sz w:val="36"/>
    </w:rPr>
  </w:style>
  <w:style w:type="paragraph" w:customStyle="1" w:styleId="13">
    <w:name w:val="說明1"/>
    <w:basedOn w:val="ab"/>
  </w:style>
  <w:style w:type="paragraph" w:customStyle="1" w:styleId="ac">
    <w:name w:val="說明"/>
    <w:basedOn w:val="ab"/>
    <w:pPr>
      <w:ind w:left="1474" w:hanging="1474"/>
    </w:pPr>
  </w:style>
  <w:style w:type="paragraph" w:customStyle="1" w:styleId="ad">
    <w:name w:val="二"/>
    <w:basedOn w:val="ac"/>
    <w:pPr>
      <w:ind w:left="397" w:hanging="397"/>
    </w:pPr>
  </w:style>
  <w:style w:type="paragraph" w:customStyle="1" w:styleId="ae">
    <w:name w:val="(一)"/>
    <w:basedOn w:val="ad"/>
    <w:pPr>
      <w:ind w:left="794"/>
    </w:pPr>
  </w:style>
  <w:style w:type="paragraph" w:customStyle="1" w:styleId="af">
    <w:name w:val="案由"/>
    <w:basedOn w:val="a1"/>
    <w:pPr>
      <w:spacing w:line="680" w:lineRule="exact"/>
      <w:ind w:left="1134" w:hanging="1134"/>
      <w:jc w:val="both"/>
    </w:pPr>
    <w:rPr>
      <w:rFonts w:ascii="華康中楷體" w:eastAsia="華康中楷體"/>
      <w:spacing w:val="16"/>
      <w:sz w:val="36"/>
    </w:rPr>
  </w:style>
  <w:style w:type="paragraph" w:customStyle="1" w:styleId="af0">
    <w:name w:val="二、"/>
    <w:basedOn w:val="a1"/>
    <w:pPr>
      <w:spacing w:line="680" w:lineRule="exact"/>
      <w:ind w:left="1560" w:hanging="426"/>
      <w:jc w:val="both"/>
    </w:pPr>
    <w:rPr>
      <w:rFonts w:ascii="華康中楷體" w:eastAsia="華康中楷體"/>
      <w:spacing w:val="16"/>
      <w:sz w:val="36"/>
    </w:rPr>
  </w:style>
  <w:style w:type="paragraph" w:customStyle="1" w:styleId="14">
    <w:name w:val="本文縮排1"/>
    <w:basedOn w:val="a1"/>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1"/>
    <w:pPr>
      <w:spacing w:line="640" w:lineRule="exact"/>
      <w:ind w:left="1120"/>
      <w:jc w:val="both"/>
      <w:textDirection w:val="lrTbV"/>
    </w:pPr>
    <w:rPr>
      <w:rFonts w:ascii="華康楷書體W5" w:eastAsia="華康楷書體W5"/>
      <w:spacing w:val="16"/>
      <w:sz w:val="36"/>
    </w:rPr>
  </w:style>
  <w:style w:type="paragraph" w:styleId="32">
    <w:name w:val="Body Text Indent 3"/>
    <w:basedOn w:val="a1"/>
    <w:pPr>
      <w:spacing w:line="680" w:lineRule="exact"/>
      <w:ind w:left="1134"/>
      <w:jc w:val="both"/>
      <w:textDirection w:val="lrTbV"/>
    </w:pPr>
    <w:rPr>
      <w:rFonts w:ascii="華康楷書體W5" w:eastAsia="華康楷書體W5"/>
      <w:spacing w:val="16"/>
      <w:sz w:val="36"/>
    </w:rPr>
  </w:style>
  <w:style w:type="paragraph" w:styleId="af1">
    <w:name w:val="Block Text"/>
    <w:basedOn w:val="a1"/>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1"/>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2">
    <w:name w:val="一、"/>
    <w:basedOn w:val="a1"/>
    <w:pPr>
      <w:spacing w:line="680" w:lineRule="exact"/>
      <w:ind w:left="425" w:hanging="425"/>
      <w:jc w:val="both"/>
    </w:pPr>
    <w:rPr>
      <w:rFonts w:ascii="華康楷書體W5" w:eastAsia="華康楷書體W5"/>
      <w:spacing w:val="16"/>
      <w:sz w:val="36"/>
    </w:rPr>
  </w:style>
  <w:style w:type="paragraph" w:styleId="Web">
    <w:name w:val="Normal (Web)"/>
    <w:basedOn w:val="a1"/>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Plain Text"/>
    <w:basedOn w:val="a1"/>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4">
    <w:name w:val="Body Text"/>
    <w:basedOn w:val="a1"/>
    <w:link w:val="af5"/>
    <w:pPr>
      <w:spacing w:before="50" w:line="560" w:lineRule="exact"/>
    </w:pPr>
    <w:rPr>
      <w:rFonts w:eastAsia="標楷體"/>
      <w:sz w:val="32"/>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6">
    <w:name w:val="Emphasis"/>
    <w:uiPriority w:val="20"/>
    <w:qFormat/>
    <w:rPr>
      <w:rFonts w:ascii="Times New Roman" w:hAnsi="Times New Roman" w:cs="Times New Roman"/>
      <w:color w:val="CC0033"/>
    </w:rPr>
  </w:style>
  <w:style w:type="character" w:styleId="af7">
    <w:name w:val="annotation reference"/>
    <w:semiHidden/>
    <w:rPr>
      <w:rFonts w:ascii="Times New Roman" w:hAnsi="Times New Roman" w:cs="Times New Roman"/>
      <w:sz w:val="18"/>
      <w:szCs w:val="18"/>
    </w:rPr>
  </w:style>
  <w:style w:type="paragraph" w:styleId="af8">
    <w:name w:val="annotation text"/>
    <w:basedOn w:val="a1"/>
    <w:link w:val="af9"/>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a">
    <w:name w:val="Strong"/>
    <w:qFormat/>
    <w:rPr>
      <w:rFonts w:ascii="Times New Roman" w:hAnsi="Times New Roman" w:cs="Times New Roman"/>
      <w:b/>
      <w:bCs/>
    </w:rPr>
  </w:style>
  <w:style w:type="paragraph" w:customStyle="1" w:styleId="a0">
    <w:name w:val="一"/>
    <w:basedOn w:val="a1"/>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e"/>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b">
    <w:name w:val="Body Text Indent"/>
    <w:basedOn w:val="a1"/>
    <w:pPr>
      <w:spacing w:before="100" w:line="540" w:lineRule="exact"/>
      <w:ind w:left="620"/>
      <w:jc w:val="both"/>
    </w:pPr>
    <w:rPr>
      <w:rFonts w:eastAsia="標楷體"/>
      <w:sz w:val="32"/>
    </w:rPr>
  </w:style>
  <w:style w:type="character" w:customStyle="1" w:styleId="cpt2">
    <w:name w:val="cpt2"/>
    <w:basedOn w:val="a2"/>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c">
    <w:name w:val="footnote text"/>
    <w:basedOn w:val="a1"/>
    <w:link w:val="afd"/>
    <w:uiPriority w:val="99"/>
    <w:pPr>
      <w:adjustRightInd/>
      <w:snapToGrid w:val="0"/>
      <w:spacing w:line="240" w:lineRule="auto"/>
      <w:textAlignment w:val="auto"/>
    </w:pPr>
    <w:rPr>
      <w:rFonts w:eastAsia="新細明體"/>
      <w:kern w:val="2"/>
    </w:rPr>
  </w:style>
  <w:style w:type="character" w:styleId="afe">
    <w:name w:val="footnote reference"/>
    <w:uiPriority w:val="99"/>
    <w:rPr>
      <w:vertAlign w:val="superscript"/>
    </w:rPr>
  </w:style>
  <w:style w:type="paragraph" w:styleId="aff">
    <w:name w:val="annotation subject"/>
    <w:basedOn w:val="af8"/>
    <w:next w:val="af8"/>
    <w:link w:val="aff0"/>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9">
    <w:name w:val="註解文字 字元"/>
    <w:link w:val="af8"/>
    <w:semiHidden/>
    <w:rsid w:val="001A5E2D"/>
    <w:rPr>
      <w:rFonts w:eastAsia="標楷體"/>
      <w:kern w:val="2"/>
      <w:sz w:val="32"/>
      <w:szCs w:val="24"/>
    </w:rPr>
  </w:style>
  <w:style w:type="character" w:customStyle="1" w:styleId="aff0">
    <w:name w:val="註解主旨 字元"/>
    <w:link w:val="aff"/>
    <w:uiPriority w:val="99"/>
    <w:semiHidden/>
    <w:rsid w:val="001A5E2D"/>
    <w:rPr>
      <w:rFonts w:eastAsia="細明體"/>
      <w:b/>
      <w:bCs/>
      <w:kern w:val="2"/>
      <w:sz w:val="32"/>
      <w:szCs w:val="24"/>
    </w:rPr>
  </w:style>
  <w:style w:type="paragraph" w:styleId="aff1">
    <w:name w:val="Balloon Text"/>
    <w:basedOn w:val="a1"/>
    <w:link w:val="aff2"/>
    <w:unhideWhenUsed/>
    <w:rsid w:val="001A5E2D"/>
    <w:pPr>
      <w:spacing w:line="240" w:lineRule="auto"/>
    </w:pPr>
    <w:rPr>
      <w:rFonts w:ascii="Cambria" w:eastAsia="新細明體" w:hAnsi="Cambria"/>
      <w:sz w:val="18"/>
      <w:szCs w:val="18"/>
    </w:rPr>
  </w:style>
  <w:style w:type="character" w:customStyle="1" w:styleId="aff2">
    <w:name w:val="註解方塊文字 字元"/>
    <w:link w:val="aff1"/>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3">
    <w:name w:val="表附註"/>
    <w:basedOn w:val="24"/>
    <w:rsid w:val="00286F49"/>
    <w:pPr>
      <w:spacing w:after="0" w:line="240" w:lineRule="atLeast"/>
      <w:ind w:left="0"/>
    </w:pPr>
    <w:rPr>
      <w:spacing w:val="0"/>
      <w:sz w:val="24"/>
    </w:rPr>
  </w:style>
  <w:style w:type="paragraph" w:customStyle="1" w:styleId="24">
    <w:name w:val="內文2"/>
    <w:basedOn w:val="a1"/>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1"/>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1"/>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4">
    <w:name w:val="ｂ（）ｒ"/>
    <w:basedOn w:val="a1"/>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1"/>
    <w:rsid w:val="00286F49"/>
    <w:pPr>
      <w:spacing w:line="240" w:lineRule="auto"/>
      <w:ind w:firstLine="720"/>
      <w:jc w:val="both"/>
      <w:textAlignment w:val="baseline"/>
    </w:pPr>
    <w:rPr>
      <w:rFonts w:ascii="華康仿宋體W6" w:eastAsia="華康仿宋體W6"/>
      <w:kern w:val="2"/>
      <w:sz w:val="36"/>
    </w:rPr>
  </w:style>
  <w:style w:type="paragraph" w:customStyle="1" w:styleId="aff5">
    <w:name w:val="點段"/>
    <w:basedOn w:val="a1"/>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1"/>
    <w:rsid w:val="00286F49"/>
    <w:pPr>
      <w:spacing w:before="120" w:after="120" w:line="360" w:lineRule="auto"/>
      <w:ind w:left="960" w:hanging="450"/>
      <w:jc w:val="both"/>
      <w:textAlignment w:val="baseline"/>
    </w:pPr>
    <w:rPr>
      <w:rFonts w:ascii="細明體"/>
      <w:sz w:val="28"/>
    </w:rPr>
  </w:style>
  <w:style w:type="paragraph" w:customStyle="1" w:styleId="aff6">
    <w:name w:val="(一)文"/>
    <w:basedOn w:val="a1"/>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7">
    <w:name w:val="姓名"/>
    <w:basedOn w:val="a1"/>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1"/>
    <w:rsid w:val="00286F49"/>
    <w:pPr>
      <w:spacing w:before="120" w:after="120" w:line="960" w:lineRule="atLeast"/>
      <w:ind w:firstLine="1080"/>
      <w:jc w:val="both"/>
      <w:textAlignment w:val="baseline"/>
    </w:pPr>
    <w:rPr>
      <w:rFonts w:ascii="華康中楷體" w:eastAsia="華康中楷體"/>
      <w:spacing w:val="5"/>
      <w:sz w:val="54"/>
    </w:rPr>
  </w:style>
  <w:style w:type="paragraph" w:styleId="aff8">
    <w:name w:val="Document Map"/>
    <w:basedOn w:val="a1"/>
    <w:link w:val="aff9"/>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9">
    <w:name w:val="文件引導模式 字元"/>
    <w:link w:val="aff8"/>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1"/>
    <w:rsid w:val="00286F49"/>
    <w:pPr>
      <w:spacing w:before="120" w:after="120" w:line="440" w:lineRule="exact"/>
      <w:textAlignment w:val="baseline"/>
    </w:pPr>
    <w:rPr>
      <w:rFonts w:ascii="標楷體" w:eastAsia="標楷體"/>
      <w:sz w:val="30"/>
    </w:rPr>
  </w:style>
  <w:style w:type="paragraph" w:customStyle="1" w:styleId="affa">
    <w:name w:val="中標題"/>
    <w:basedOn w:val="a1"/>
    <w:rsid w:val="00286F49"/>
    <w:pPr>
      <w:tabs>
        <w:tab w:val="left" w:pos="12960"/>
      </w:tabs>
      <w:spacing w:line="400" w:lineRule="atLeast"/>
      <w:textAlignment w:val="baseline"/>
    </w:pPr>
    <w:rPr>
      <w:sz w:val="22"/>
    </w:rPr>
  </w:style>
  <w:style w:type="paragraph" w:customStyle="1" w:styleId="affb">
    <w:name w:val="大標題本文"/>
    <w:basedOn w:val="a1"/>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1"/>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c">
    <w:name w:val="Salutation"/>
    <w:basedOn w:val="a1"/>
    <w:next w:val="a1"/>
    <w:link w:val="affd"/>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d">
    <w:name w:val="問候 字元"/>
    <w:link w:val="affc"/>
    <w:rsid w:val="00286F49"/>
    <w:rPr>
      <w:rFonts w:ascii="標楷體" w:eastAsia="標楷體" w:hAnsi="Garamond"/>
      <w:spacing w:val="20"/>
      <w:sz w:val="32"/>
    </w:rPr>
  </w:style>
  <w:style w:type="paragraph" w:styleId="affe">
    <w:name w:val="Closing"/>
    <w:basedOn w:val="a1"/>
    <w:next w:val="a1"/>
    <w:link w:val="afff"/>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f">
    <w:name w:val="結語 字元"/>
    <w:link w:val="affe"/>
    <w:rsid w:val="00286F49"/>
    <w:rPr>
      <w:rFonts w:ascii="標楷體" w:eastAsia="標楷體" w:hAnsi="Garamond"/>
      <w:spacing w:val="20"/>
      <w:sz w:val="32"/>
    </w:rPr>
  </w:style>
  <w:style w:type="paragraph" w:customStyle="1" w:styleId="afff0">
    <w:name w:val="小段"/>
    <w:basedOn w:val="a1"/>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1"/>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b"/>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1">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1"/>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2">
    <w:name w:val="Hyperlink"/>
    <w:rsid w:val="00286F49"/>
    <w:rPr>
      <w:strike w:val="0"/>
      <w:dstrike w:val="0"/>
      <w:color w:val="0066CC"/>
      <w:u w:val="none"/>
      <w:effect w:val="none"/>
    </w:rPr>
  </w:style>
  <w:style w:type="character" w:styleId="afff3">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4">
    <w:name w:val="內文 + 標楷體"/>
    <w:aliases w:val="16 點,左右對齊,左:  0 cm,凸出:  3.6 字元,行距:  固定行高 30 pt,14 點"/>
    <w:basedOn w:val="a1"/>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5">
    <w:name w:val="一'"/>
    <w:basedOn w:val="a1"/>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1"/>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1"/>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6">
    <w:name w:val="List Paragraph"/>
    <w:basedOn w:val="a1"/>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7">
    <w:name w:val="Table Grid"/>
    <w:basedOn w:val="a3"/>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註腳文字 字元"/>
    <w:link w:val="afc"/>
    <w:uiPriority w:val="99"/>
    <w:rsid w:val="00286F49"/>
    <w:rPr>
      <w:kern w:val="2"/>
    </w:rPr>
  </w:style>
  <w:style w:type="character" w:customStyle="1" w:styleId="a7">
    <w:name w:val="頁尾 字元"/>
    <w:link w:val="a6"/>
    <w:uiPriority w:val="99"/>
    <w:rsid w:val="0091791E"/>
    <w:rPr>
      <w:rFonts w:eastAsia="細明體"/>
      <w:sz w:val="18"/>
    </w:rPr>
  </w:style>
  <w:style w:type="character" w:customStyle="1" w:styleId="a9">
    <w:name w:val="頁首 字元"/>
    <w:link w:val="a8"/>
    <w:uiPriority w:val="99"/>
    <w:rsid w:val="00527E73"/>
    <w:rPr>
      <w:rFonts w:eastAsia="細明體"/>
    </w:rPr>
  </w:style>
  <w:style w:type="paragraph" w:customStyle="1" w:styleId="10">
    <w:name w:val="理監事會第 1層"/>
    <w:basedOn w:val="af1"/>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1"/>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1"/>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1"/>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5">
    <w:name w:val="本文 字元"/>
    <w:basedOn w:val="a2"/>
    <w:link w:val="af4"/>
    <w:locked/>
    <w:rsid w:val="00BD32CA"/>
    <w:rPr>
      <w:rFonts w:eastAsia="標楷體"/>
      <w:sz w:val="32"/>
    </w:rPr>
  </w:style>
  <w:style w:type="paragraph" w:styleId="a">
    <w:name w:val="List Bullet"/>
    <w:basedOn w:val="a1"/>
    <w:uiPriority w:val="99"/>
    <w:unhideWhenUsed/>
    <w:rsid w:val="008814F0"/>
    <w:pPr>
      <w:numPr>
        <w:numId w:val="44"/>
      </w:numPr>
      <w:adjustRightInd/>
      <w:spacing w:line="240" w:lineRule="auto"/>
      <w:contextualSpacing/>
      <w:textAlignment w:val="auto"/>
    </w:pPr>
    <w:rPr>
      <w:rFonts w:eastAsia="新細明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012">
      <w:bodyDiv w:val="1"/>
      <w:marLeft w:val="0"/>
      <w:marRight w:val="0"/>
      <w:marTop w:val="0"/>
      <w:marBottom w:val="0"/>
      <w:divBdr>
        <w:top w:val="none" w:sz="0" w:space="0" w:color="auto"/>
        <w:left w:val="none" w:sz="0" w:space="0" w:color="auto"/>
        <w:bottom w:val="none" w:sz="0" w:space="0" w:color="auto"/>
        <w:right w:val="none" w:sz="0" w:space="0" w:color="auto"/>
      </w:divBdr>
      <w:divsChild>
        <w:div w:id="1287732111">
          <w:marLeft w:val="0"/>
          <w:marRight w:val="0"/>
          <w:marTop w:val="0"/>
          <w:marBottom w:val="0"/>
          <w:divBdr>
            <w:top w:val="none" w:sz="0" w:space="0" w:color="auto"/>
            <w:left w:val="none" w:sz="0" w:space="0" w:color="auto"/>
            <w:bottom w:val="none" w:sz="0" w:space="0" w:color="auto"/>
            <w:right w:val="none" w:sz="0" w:space="0" w:color="auto"/>
          </w:divBdr>
          <w:divsChild>
            <w:div w:id="1354460009">
              <w:marLeft w:val="0"/>
              <w:marRight w:val="0"/>
              <w:marTop w:val="0"/>
              <w:marBottom w:val="0"/>
              <w:divBdr>
                <w:top w:val="none" w:sz="0" w:space="0" w:color="auto"/>
                <w:left w:val="none" w:sz="0" w:space="0" w:color="auto"/>
                <w:bottom w:val="none" w:sz="0" w:space="0" w:color="auto"/>
                <w:right w:val="none" w:sz="0" w:space="0" w:color="auto"/>
              </w:divBdr>
              <w:divsChild>
                <w:div w:id="480732112">
                  <w:marLeft w:val="0"/>
                  <w:marRight w:val="0"/>
                  <w:marTop w:val="0"/>
                  <w:marBottom w:val="0"/>
                  <w:divBdr>
                    <w:top w:val="none" w:sz="0" w:space="0" w:color="auto"/>
                    <w:left w:val="none" w:sz="0" w:space="0" w:color="auto"/>
                    <w:bottom w:val="none" w:sz="0" w:space="0" w:color="auto"/>
                    <w:right w:val="none" w:sz="0" w:space="0" w:color="auto"/>
                  </w:divBdr>
                  <w:divsChild>
                    <w:div w:id="126896340">
                      <w:marLeft w:val="0"/>
                      <w:marRight w:val="0"/>
                      <w:marTop w:val="0"/>
                      <w:marBottom w:val="0"/>
                      <w:divBdr>
                        <w:top w:val="none" w:sz="0" w:space="0" w:color="auto"/>
                        <w:left w:val="none" w:sz="0" w:space="0" w:color="auto"/>
                        <w:bottom w:val="none" w:sz="0" w:space="0" w:color="auto"/>
                        <w:right w:val="none" w:sz="0" w:space="0" w:color="auto"/>
                      </w:divBdr>
                      <w:divsChild>
                        <w:div w:id="266472809">
                          <w:marLeft w:val="0"/>
                          <w:marRight w:val="0"/>
                          <w:marTop w:val="0"/>
                          <w:marBottom w:val="0"/>
                          <w:divBdr>
                            <w:top w:val="none" w:sz="0" w:space="0" w:color="auto"/>
                            <w:left w:val="none" w:sz="0" w:space="0" w:color="auto"/>
                            <w:bottom w:val="none" w:sz="0" w:space="0" w:color="auto"/>
                            <w:right w:val="none" w:sz="0" w:space="0" w:color="auto"/>
                          </w:divBdr>
                          <w:divsChild>
                            <w:div w:id="33966606">
                              <w:marLeft w:val="0"/>
                              <w:marRight w:val="0"/>
                              <w:marTop w:val="0"/>
                              <w:marBottom w:val="0"/>
                              <w:divBdr>
                                <w:top w:val="none" w:sz="0" w:space="0" w:color="auto"/>
                                <w:left w:val="none" w:sz="0" w:space="0" w:color="auto"/>
                                <w:bottom w:val="none" w:sz="0" w:space="0" w:color="auto"/>
                                <w:right w:val="none" w:sz="0" w:space="0" w:color="auto"/>
                              </w:divBdr>
                              <w:divsChild>
                                <w:div w:id="719282890">
                                  <w:marLeft w:val="0"/>
                                  <w:marRight w:val="0"/>
                                  <w:marTop w:val="0"/>
                                  <w:marBottom w:val="0"/>
                                  <w:divBdr>
                                    <w:top w:val="none" w:sz="0" w:space="0" w:color="auto"/>
                                    <w:left w:val="none" w:sz="0" w:space="0" w:color="auto"/>
                                    <w:bottom w:val="none" w:sz="0" w:space="0" w:color="auto"/>
                                    <w:right w:val="none" w:sz="0" w:space="0" w:color="auto"/>
                                  </w:divBdr>
                                  <w:divsChild>
                                    <w:div w:id="2054769483">
                                      <w:marLeft w:val="0"/>
                                      <w:marRight w:val="0"/>
                                      <w:marTop w:val="0"/>
                                      <w:marBottom w:val="0"/>
                                      <w:divBdr>
                                        <w:top w:val="none" w:sz="0" w:space="0" w:color="auto"/>
                                        <w:left w:val="none" w:sz="0" w:space="0" w:color="auto"/>
                                        <w:bottom w:val="none" w:sz="0" w:space="0" w:color="auto"/>
                                        <w:right w:val="none" w:sz="0" w:space="0" w:color="auto"/>
                                      </w:divBdr>
                                      <w:divsChild>
                                        <w:div w:id="1334407986">
                                          <w:marLeft w:val="0"/>
                                          <w:marRight w:val="0"/>
                                          <w:marTop w:val="0"/>
                                          <w:marBottom w:val="525"/>
                                          <w:divBdr>
                                            <w:top w:val="none" w:sz="0" w:space="0" w:color="auto"/>
                                            <w:left w:val="none" w:sz="0" w:space="0" w:color="auto"/>
                                            <w:bottom w:val="none" w:sz="0" w:space="0" w:color="auto"/>
                                            <w:right w:val="none" w:sz="0" w:space="0" w:color="auto"/>
                                          </w:divBdr>
                                          <w:divsChild>
                                            <w:div w:id="1849908556">
                                              <w:marLeft w:val="0"/>
                                              <w:marRight w:val="0"/>
                                              <w:marTop w:val="0"/>
                                              <w:marBottom w:val="0"/>
                                              <w:divBdr>
                                                <w:top w:val="none" w:sz="0" w:space="0" w:color="auto"/>
                                                <w:left w:val="none" w:sz="0" w:space="0" w:color="auto"/>
                                                <w:bottom w:val="none" w:sz="0" w:space="0" w:color="auto"/>
                                                <w:right w:val="none" w:sz="0" w:space="0" w:color="auto"/>
                                              </w:divBdr>
                                              <w:divsChild>
                                                <w:div w:id="1001662720">
                                                  <w:marLeft w:val="0"/>
                                                  <w:marRight w:val="0"/>
                                                  <w:marTop w:val="225"/>
                                                  <w:marBottom w:val="0"/>
                                                  <w:divBdr>
                                                    <w:top w:val="none" w:sz="0" w:space="0" w:color="auto"/>
                                                    <w:left w:val="none" w:sz="0" w:space="0" w:color="auto"/>
                                                    <w:bottom w:val="none" w:sz="0" w:space="0" w:color="auto"/>
                                                    <w:right w:val="none" w:sz="0" w:space="0" w:color="auto"/>
                                                  </w:divBdr>
                                                  <w:divsChild>
                                                    <w:div w:id="13669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80650">
      <w:bodyDiv w:val="1"/>
      <w:marLeft w:val="0"/>
      <w:marRight w:val="0"/>
      <w:marTop w:val="0"/>
      <w:marBottom w:val="0"/>
      <w:divBdr>
        <w:top w:val="none" w:sz="0" w:space="0" w:color="auto"/>
        <w:left w:val="none" w:sz="0" w:space="0" w:color="auto"/>
        <w:bottom w:val="none" w:sz="0" w:space="0" w:color="auto"/>
        <w:right w:val="none" w:sz="0" w:space="0" w:color="auto"/>
      </w:divBdr>
    </w:div>
    <w:div w:id="306513676">
      <w:bodyDiv w:val="1"/>
      <w:marLeft w:val="0"/>
      <w:marRight w:val="0"/>
      <w:marTop w:val="0"/>
      <w:marBottom w:val="0"/>
      <w:divBdr>
        <w:top w:val="none" w:sz="0" w:space="0" w:color="auto"/>
        <w:left w:val="none" w:sz="0" w:space="0" w:color="auto"/>
        <w:bottom w:val="none" w:sz="0" w:space="0" w:color="auto"/>
        <w:right w:val="none" w:sz="0" w:space="0" w:color="auto"/>
      </w:divBdr>
    </w:div>
    <w:div w:id="472910718">
      <w:bodyDiv w:val="1"/>
      <w:marLeft w:val="0"/>
      <w:marRight w:val="0"/>
      <w:marTop w:val="0"/>
      <w:marBottom w:val="0"/>
      <w:divBdr>
        <w:top w:val="none" w:sz="0" w:space="0" w:color="auto"/>
        <w:left w:val="none" w:sz="0" w:space="0" w:color="auto"/>
        <w:bottom w:val="none" w:sz="0" w:space="0" w:color="auto"/>
        <w:right w:val="none" w:sz="0" w:space="0" w:color="auto"/>
      </w:divBdr>
    </w:div>
    <w:div w:id="504130895">
      <w:bodyDiv w:val="1"/>
      <w:marLeft w:val="0"/>
      <w:marRight w:val="0"/>
      <w:marTop w:val="0"/>
      <w:marBottom w:val="240"/>
      <w:divBdr>
        <w:top w:val="none" w:sz="0" w:space="0" w:color="auto"/>
        <w:left w:val="none" w:sz="0" w:space="0" w:color="auto"/>
        <w:bottom w:val="none" w:sz="0" w:space="0" w:color="auto"/>
        <w:right w:val="none" w:sz="0" w:space="0" w:color="auto"/>
      </w:divBdr>
      <w:divsChild>
        <w:div w:id="1841000680">
          <w:marLeft w:val="0"/>
          <w:marRight w:val="0"/>
          <w:marTop w:val="0"/>
          <w:marBottom w:val="0"/>
          <w:divBdr>
            <w:top w:val="none" w:sz="0" w:space="0" w:color="auto"/>
            <w:left w:val="none" w:sz="0" w:space="0" w:color="auto"/>
            <w:bottom w:val="none" w:sz="0" w:space="0" w:color="auto"/>
            <w:right w:val="none" w:sz="0" w:space="0" w:color="auto"/>
          </w:divBdr>
          <w:divsChild>
            <w:div w:id="494877479">
              <w:marLeft w:val="150"/>
              <w:marRight w:val="150"/>
              <w:marTop w:val="0"/>
              <w:marBottom w:val="0"/>
              <w:divBdr>
                <w:top w:val="none" w:sz="0" w:space="0" w:color="auto"/>
                <w:left w:val="none" w:sz="0" w:space="0" w:color="auto"/>
                <w:bottom w:val="none" w:sz="0" w:space="0" w:color="auto"/>
                <w:right w:val="none" w:sz="0" w:space="0" w:color="auto"/>
              </w:divBdr>
              <w:divsChild>
                <w:div w:id="1365592283">
                  <w:marLeft w:val="-2400"/>
                  <w:marRight w:val="0"/>
                  <w:marTop w:val="0"/>
                  <w:marBottom w:val="0"/>
                  <w:divBdr>
                    <w:top w:val="none" w:sz="0" w:space="0" w:color="auto"/>
                    <w:left w:val="none" w:sz="0" w:space="0" w:color="auto"/>
                    <w:bottom w:val="none" w:sz="0" w:space="0" w:color="auto"/>
                    <w:right w:val="none" w:sz="0" w:space="0" w:color="auto"/>
                  </w:divBdr>
                  <w:divsChild>
                    <w:div w:id="2115710508">
                      <w:marLeft w:val="2400"/>
                      <w:marRight w:val="0"/>
                      <w:marTop w:val="0"/>
                      <w:marBottom w:val="0"/>
                      <w:divBdr>
                        <w:top w:val="none" w:sz="0" w:space="0" w:color="auto"/>
                        <w:left w:val="none" w:sz="0" w:space="0" w:color="auto"/>
                        <w:bottom w:val="none" w:sz="0" w:space="0" w:color="auto"/>
                        <w:right w:val="none" w:sz="0" w:space="0" w:color="auto"/>
                      </w:divBdr>
                      <w:divsChild>
                        <w:div w:id="72167117">
                          <w:marLeft w:val="0"/>
                          <w:marRight w:val="-2400"/>
                          <w:marTop w:val="0"/>
                          <w:marBottom w:val="0"/>
                          <w:divBdr>
                            <w:top w:val="none" w:sz="0" w:space="0" w:color="auto"/>
                            <w:left w:val="none" w:sz="0" w:space="0" w:color="auto"/>
                            <w:bottom w:val="none" w:sz="0" w:space="0" w:color="auto"/>
                            <w:right w:val="none" w:sz="0" w:space="0" w:color="auto"/>
                          </w:divBdr>
                          <w:divsChild>
                            <w:div w:id="1204975458">
                              <w:marLeft w:val="0"/>
                              <w:marRight w:val="2400"/>
                              <w:marTop w:val="0"/>
                              <w:marBottom w:val="0"/>
                              <w:divBdr>
                                <w:top w:val="none" w:sz="0" w:space="0" w:color="auto"/>
                                <w:left w:val="none" w:sz="0" w:space="0" w:color="auto"/>
                                <w:bottom w:val="none" w:sz="0" w:space="0" w:color="auto"/>
                                <w:right w:val="none" w:sz="0" w:space="0" w:color="auto"/>
                              </w:divBdr>
                              <w:divsChild>
                                <w:div w:id="264383213">
                                  <w:marLeft w:val="0"/>
                                  <w:marRight w:val="0"/>
                                  <w:marTop w:val="0"/>
                                  <w:marBottom w:val="150"/>
                                  <w:divBdr>
                                    <w:top w:val="none" w:sz="0" w:space="0" w:color="auto"/>
                                    <w:left w:val="none" w:sz="0" w:space="0" w:color="auto"/>
                                    <w:bottom w:val="none" w:sz="0" w:space="0" w:color="auto"/>
                                    <w:right w:val="none" w:sz="0" w:space="0" w:color="auto"/>
                                  </w:divBdr>
                                  <w:divsChild>
                                    <w:div w:id="1492139786">
                                      <w:marLeft w:val="0"/>
                                      <w:marRight w:val="0"/>
                                      <w:marTop w:val="0"/>
                                      <w:marBottom w:val="0"/>
                                      <w:divBdr>
                                        <w:top w:val="none" w:sz="0" w:space="0" w:color="auto"/>
                                        <w:left w:val="none" w:sz="0" w:space="0" w:color="auto"/>
                                        <w:bottom w:val="none" w:sz="0" w:space="0" w:color="auto"/>
                                        <w:right w:val="none" w:sz="0" w:space="0" w:color="auto"/>
                                      </w:divBdr>
                                      <w:divsChild>
                                        <w:div w:id="658265426">
                                          <w:marLeft w:val="0"/>
                                          <w:marRight w:val="0"/>
                                          <w:marTop w:val="0"/>
                                          <w:marBottom w:val="0"/>
                                          <w:divBdr>
                                            <w:top w:val="none" w:sz="0" w:space="0" w:color="auto"/>
                                            <w:left w:val="none" w:sz="0" w:space="0" w:color="auto"/>
                                            <w:bottom w:val="none" w:sz="0" w:space="0" w:color="auto"/>
                                            <w:right w:val="none" w:sz="0" w:space="0" w:color="auto"/>
                                          </w:divBdr>
                                          <w:divsChild>
                                            <w:div w:id="540479810">
                                              <w:marLeft w:val="0"/>
                                              <w:marRight w:val="0"/>
                                              <w:marTop w:val="0"/>
                                              <w:marBottom w:val="0"/>
                                              <w:divBdr>
                                                <w:top w:val="none" w:sz="0" w:space="0" w:color="auto"/>
                                                <w:left w:val="none" w:sz="0" w:space="0" w:color="auto"/>
                                                <w:bottom w:val="none" w:sz="0" w:space="0" w:color="auto"/>
                                                <w:right w:val="none" w:sz="0" w:space="0" w:color="auto"/>
                                              </w:divBdr>
                                              <w:divsChild>
                                                <w:div w:id="115682945">
                                                  <w:marLeft w:val="0"/>
                                                  <w:marRight w:val="0"/>
                                                  <w:marTop w:val="0"/>
                                                  <w:marBottom w:val="0"/>
                                                  <w:divBdr>
                                                    <w:top w:val="none" w:sz="0" w:space="0" w:color="auto"/>
                                                    <w:left w:val="none" w:sz="0" w:space="0" w:color="auto"/>
                                                    <w:bottom w:val="none" w:sz="0" w:space="0" w:color="auto"/>
                                                    <w:right w:val="none" w:sz="0" w:space="0" w:color="auto"/>
                                                  </w:divBdr>
                                                  <w:divsChild>
                                                    <w:div w:id="267205383">
                                                      <w:marLeft w:val="0"/>
                                                      <w:marRight w:val="0"/>
                                                      <w:marTop w:val="0"/>
                                                      <w:marBottom w:val="0"/>
                                                      <w:divBdr>
                                                        <w:top w:val="none" w:sz="0" w:space="0" w:color="auto"/>
                                                        <w:left w:val="none" w:sz="0" w:space="0" w:color="auto"/>
                                                        <w:bottom w:val="none" w:sz="0" w:space="0" w:color="auto"/>
                                                        <w:right w:val="none" w:sz="0" w:space="0" w:color="auto"/>
                                                      </w:divBdr>
                                                      <w:divsChild>
                                                        <w:div w:id="449277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811921">
      <w:bodyDiv w:val="1"/>
      <w:marLeft w:val="0"/>
      <w:marRight w:val="0"/>
      <w:marTop w:val="0"/>
      <w:marBottom w:val="0"/>
      <w:divBdr>
        <w:top w:val="none" w:sz="0" w:space="0" w:color="auto"/>
        <w:left w:val="none" w:sz="0" w:space="0" w:color="auto"/>
        <w:bottom w:val="none" w:sz="0" w:space="0" w:color="auto"/>
        <w:right w:val="none" w:sz="0" w:space="0" w:color="auto"/>
      </w:divBdr>
    </w:div>
    <w:div w:id="767770398">
      <w:bodyDiv w:val="1"/>
      <w:marLeft w:val="0"/>
      <w:marRight w:val="0"/>
      <w:marTop w:val="0"/>
      <w:marBottom w:val="0"/>
      <w:divBdr>
        <w:top w:val="none" w:sz="0" w:space="0" w:color="auto"/>
        <w:left w:val="none" w:sz="0" w:space="0" w:color="auto"/>
        <w:bottom w:val="none" w:sz="0" w:space="0" w:color="auto"/>
        <w:right w:val="none" w:sz="0" w:space="0" w:color="auto"/>
      </w:divBdr>
      <w:divsChild>
        <w:div w:id="120613336">
          <w:marLeft w:val="120"/>
          <w:marRight w:val="120"/>
          <w:marTop w:val="120"/>
          <w:marBottom w:val="120"/>
          <w:divBdr>
            <w:top w:val="none" w:sz="0" w:space="0" w:color="auto"/>
            <w:left w:val="none" w:sz="0" w:space="0" w:color="auto"/>
            <w:bottom w:val="none" w:sz="0" w:space="0" w:color="auto"/>
            <w:right w:val="none" w:sz="0" w:space="0" w:color="auto"/>
          </w:divBdr>
          <w:divsChild>
            <w:div w:id="1019311596">
              <w:marLeft w:val="0"/>
              <w:marRight w:val="0"/>
              <w:marTop w:val="0"/>
              <w:marBottom w:val="0"/>
              <w:divBdr>
                <w:top w:val="none" w:sz="0" w:space="0" w:color="auto"/>
                <w:left w:val="none" w:sz="0" w:space="0" w:color="auto"/>
                <w:bottom w:val="none" w:sz="0" w:space="0" w:color="auto"/>
                <w:right w:val="none" w:sz="0" w:space="0" w:color="auto"/>
              </w:divBdr>
              <w:divsChild>
                <w:div w:id="319889021">
                  <w:marLeft w:val="0"/>
                  <w:marRight w:val="0"/>
                  <w:marTop w:val="0"/>
                  <w:marBottom w:val="0"/>
                  <w:divBdr>
                    <w:top w:val="none" w:sz="0" w:space="0" w:color="auto"/>
                    <w:left w:val="none" w:sz="0" w:space="0" w:color="auto"/>
                    <w:bottom w:val="none" w:sz="0" w:space="0" w:color="auto"/>
                    <w:right w:val="none" w:sz="0" w:space="0" w:color="auto"/>
                  </w:divBdr>
                  <w:divsChild>
                    <w:div w:id="179511562">
                      <w:marLeft w:val="0"/>
                      <w:marRight w:val="0"/>
                      <w:marTop w:val="0"/>
                      <w:marBottom w:val="0"/>
                      <w:divBdr>
                        <w:top w:val="none" w:sz="0" w:space="0" w:color="auto"/>
                        <w:left w:val="none" w:sz="0" w:space="0" w:color="auto"/>
                        <w:bottom w:val="none" w:sz="0" w:space="0" w:color="auto"/>
                        <w:right w:val="none" w:sz="0" w:space="0" w:color="auto"/>
                      </w:divBdr>
                      <w:divsChild>
                        <w:div w:id="1933315777">
                          <w:marLeft w:val="0"/>
                          <w:marRight w:val="0"/>
                          <w:marTop w:val="0"/>
                          <w:marBottom w:val="0"/>
                          <w:divBdr>
                            <w:top w:val="none" w:sz="0" w:space="0" w:color="auto"/>
                            <w:left w:val="none" w:sz="0" w:space="0" w:color="auto"/>
                            <w:bottom w:val="none" w:sz="0" w:space="0" w:color="auto"/>
                            <w:right w:val="none" w:sz="0" w:space="0" w:color="auto"/>
                          </w:divBdr>
                          <w:divsChild>
                            <w:div w:id="1083189090">
                              <w:marLeft w:val="0"/>
                              <w:marRight w:val="0"/>
                              <w:marTop w:val="0"/>
                              <w:marBottom w:val="0"/>
                              <w:divBdr>
                                <w:top w:val="none" w:sz="0" w:space="0" w:color="auto"/>
                                <w:left w:val="none" w:sz="0" w:space="0" w:color="auto"/>
                                <w:bottom w:val="none" w:sz="0" w:space="0" w:color="auto"/>
                                <w:right w:val="none" w:sz="0" w:space="0" w:color="auto"/>
                              </w:divBdr>
                              <w:divsChild>
                                <w:div w:id="2125033415">
                                  <w:marLeft w:val="0"/>
                                  <w:marRight w:val="0"/>
                                  <w:marTop w:val="0"/>
                                  <w:marBottom w:val="0"/>
                                  <w:divBdr>
                                    <w:top w:val="none" w:sz="0" w:space="0" w:color="auto"/>
                                    <w:left w:val="none" w:sz="0" w:space="0" w:color="auto"/>
                                    <w:bottom w:val="none" w:sz="0" w:space="0" w:color="auto"/>
                                    <w:right w:val="none" w:sz="0" w:space="0" w:color="auto"/>
                                  </w:divBdr>
                                  <w:divsChild>
                                    <w:div w:id="1487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6007">
      <w:bodyDiv w:val="1"/>
      <w:marLeft w:val="0"/>
      <w:marRight w:val="0"/>
      <w:marTop w:val="0"/>
      <w:marBottom w:val="0"/>
      <w:divBdr>
        <w:top w:val="none" w:sz="0" w:space="0" w:color="auto"/>
        <w:left w:val="none" w:sz="0" w:space="0" w:color="auto"/>
        <w:bottom w:val="none" w:sz="0" w:space="0" w:color="auto"/>
        <w:right w:val="none" w:sz="0" w:space="0" w:color="auto"/>
      </w:divBdr>
      <w:divsChild>
        <w:div w:id="872569922">
          <w:marLeft w:val="0"/>
          <w:marRight w:val="0"/>
          <w:marTop w:val="0"/>
          <w:marBottom w:val="0"/>
          <w:divBdr>
            <w:top w:val="none" w:sz="0" w:space="0" w:color="auto"/>
            <w:left w:val="none" w:sz="0" w:space="0" w:color="auto"/>
            <w:bottom w:val="none" w:sz="0" w:space="0" w:color="auto"/>
            <w:right w:val="none" w:sz="0" w:space="0" w:color="auto"/>
          </w:divBdr>
          <w:divsChild>
            <w:div w:id="1643805195">
              <w:marLeft w:val="150"/>
              <w:marRight w:val="0"/>
              <w:marTop w:val="75"/>
              <w:marBottom w:val="75"/>
              <w:divBdr>
                <w:top w:val="none" w:sz="0" w:space="0" w:color="auto"/>
                <w:left w:val="none" w:sz="0" w:space="0" w:color="auto"/>
                <w:bottom w:val="none" w:sz="0" w:space="0" w:color="auto"/>
                <w:right w:val="none" w:sz="0" w:space="0" w:color="auto"/>
              </w:divBdr>
              <w:divsChild>
                <w:div w:id="1816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569">
      <w:bodyDiv w:val="1"/>
      <w:marLeft w:val="0"/>
      <w:marRight w:val="0"/>
      <w:marTop w:val="0"/>
      <w:marBottom w:val="0"/>
      <w:divBdr>
        <w:top w:val="none" w:sz="0" w:space="0" w:color="auto"/>
        <w:left w:val="none" w:sz="0" w:space="0" w:color="auto"/>
        <w:bottom w:val="none" w:sz="0" w:space="0" w:color="auto"/>
        <w:right w:val="none" w:sz="0" w:space="0" w:color="auto"/>
      </w:divBdr>
      <w:divsChild>
        <w:div w:id="669212467">
          <w:marLeft w:val="0"/>
          <w:marRight w:val="0"/>
          <w:marTop w:val="0"/>
          <w:marBottom w:val="0"/>
          <w:divBdr>
            <w:top w:val="none" w:sz="0" w:space="0" w:color="auto"/>
            <w:left w:val="none" w:sz="0" w:space="0" w:color="auto"/>
            <w:bottom w:val="none" w:sz="0" w:space="0" w:color="auto"/>
            <w:right w:val="none" w:sz="0" w:space="0" w:color="auto"/>
          </w:divBdr>
          <w:divsChild>
            <w:div w:id="11199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9851">
      <w:bodyDiv w:val="1"/>
      <w:marLeft w:val="0"/>
      <w:marRight w:val="0"/>
      <w:marTop w:val="0"/>
      <w:marBottom w:val="240"/>
      <w:divBdr>
        <w:top w:val="none" w:sz="0" w:space="0" w:color="auto"/>
        <w:left w:val="none" w:sz="0" w:space="0" w:color="auto"/>
        <w:bottom w:val="none" w:sz="0" w:space="0" w:color="auto"/>
        <w:right w:val="none" w:sz="0" w:space="0" w:color="auto"/>
      </w:divBdr>
      <w:divsChild>
        <w:div w:id="2133672186">
          <w:marLeft w:val="0"/>
          <w:marRight w:val="0"/>
          <w:marTop w:val="0"/>
          <w:marBottom w:val="0"/>
          <w:divBdr>
            <w:top w:val="none" w:sz="0" w:space="0" w:color="auto"/>
            <w:left w:val="none" w:sz="0" w:space="0" w:color="auto"/>
            <w:bottom w:val="none" w:sz="0" w:space="0" w:color="auto"/>
            <w:right w:val="none" w:sz="0" w:space="0" w:color="auto"/>
          </w:divBdr>
          <w:divsChild>
            <w:div w:id="1829200916">
              <w:marLeft w:val="150"/>
              <w:marRight w:val="150"/>
              <w:marTop w:val="0"/>
              <w:marBottom w:val="0"/>
              <w:divBdr>
                <w:top w:val="none" w:sz="0" w:space="0" w:color="auto"/>
                <w:left w:val="none" w:sz="0" w:space="0" w:color="auto"/>
                <w:bottom w:val="none" w:sz="0" w:space="0" w:color="auto"/>
                <w:right w:val="none" w:sz="0" w:space="0" w:color="auto"/>
              </w:divBdr>
              <w:divsChild>
                <w:div w:id="2006736792">
                  <w:marLeft w:val="-2400"/>
                  <w:marRight w:val="0"/>
                  <w:marTop w:val="0"/>
                  <w:marBottom w:val="0"/>
                  <w:divBdr>
                    <w:top w:val="none" w:sz="0" w:space="0" w:color="auto"/>
                    <w:left w:val="none" w:sz="0" w:space="0" w:color="auto"/>
                    <w:bottom w:val="none" w:sz="0" w:space="0" w:color="auto"/>
                    <w:right w:val="none" w:sz="0" w:space="0" w:color="auto"/>
                  </w:divBdr>
                  <w:divsChild>
                    <w:div w:id="336346963">
                      <w:marLeft w:val="2400"/>
                      <w:marRight w:val="0"/>
                      <w:marTop w:val="0"/>
                      <w:marBottom w:val="0"/>
                      <w:divBdr>
                        <w:top w:val="none" w:sz="0" w:space="0" w:color="auto"/>
                        <w:left w:val="none" w:sz="0" w:space="0" w:color="auto"/>
                        <w:bottom w:val="none" w:sz="0" w:space="0" w:color="auto"/>
                        <w:right w:val="none" w:sz="0" w:space="0" w:color="auto"/>
                      </w:divBdr>
                      <w:divsChild>
                        <w:div w:id="627013584">
                          <w:marLeft w:val="0"/>
                          <w:marRight w:val="-2400"/>
                          <w:marTop w:val="0"/>
                          <w:marBottom w:val="0"/>
                          <w:divBdr>
                            <w:top w:val="none" w:sz="0" w:space="0" w:color="auto"/>
                            <w:left w:val="none" w:sz="0" w:space="0" w:color="auto"/>
                            <w:bottom w:val="none" w:sz="0" w:space="0" w:color="auto"/>
                            <w:right w:val="none" w:sz="0" w:space="0" w:color="auto"/>
                          </w:divBdr>
                          <w:divsChild>
                            <w:div w:id="1966153551">
                              <w:marLeft w:val="0"/>
                              <w:marRight w:val="2400"/>
                              <w:marTop w:val="0"/>
                              <w:marBottom w:val="0"/>
                              <w:divBdr>
                                <w:top w:val="none" w:sz="0" w:space="0" w:color="auto"/>
                                <w:left w:val="none" w:sz="0" w:space="0" w:color="auto"/>
                                <w:bottom w:val="none" w:sz="0" w:space="0" w:color="auto"/>
                                <w:right w:val="none" w:sz="0" w:space="0" w:color="auto"/>
                              </w:divBdr>
                              <w:divsChild>
                                <w:div w:id="146869302">
                                  <w:marLeft w:val="0"/>
                                  <w:marRight w:val="0"/>
                                  <w:marTop w:val="0"/>
                                  <w:marBottom w:val="150"/>
                                  <w:divBdr>
                                    <w:top w:val="none" w:sz="0" w:space="0" w:color="auto"/>
                                    <w:left w:val="none" w:sz="0" w:space="0" w:color="auto"/>
                                    <w:bottom w:val="none" w:sz="0" w:space="0" w:color="auto"/>
                                    <w:right w:val="none" w:sz="0" w:space="0" w:color="auto"/>
                                  </w:divBdr>
                                  <w:divsChild>
                                    <w:div w:id="1951818746">
                                      <w:marLeft w:val="0"/>
                                      <w:marRight w:val="0"/>
                                      <w:marTop w:val="0"/>
                                      <w:marBottom w:val="0"/>
                                      <w:divBdr>
                                        <w:top w:val="none" w:sz="0" w:space="0" w:color="auto"/>
                                        <w:left w:val="none" w:sz="0" w:space="0" w:color="auto"/>
                                        <w:bottom w:val="none" w:sz="0" w:space="0" w:color="auto"/>
                                        <w:right w:val="none" w:sz="0" w:space="0" w:color="auto"/>
                                      </w:divBdr>
                                      <w:divsChild>
                                        <w:div w:id="92406730">
                                          <w:marLeft w:val="0"/>
                                          <w:marRight w:val="0"/>
                                          <w:marTop w:val="0"/>
                                          <w:marBottom w:val="0"/>
                                          <w:divBdr>
                                            <w:top w:val="none" w:sz="0" w:space="0" w:color="auto"/>
                                            <w:left w:val="none" w:sz="0" w:space="0" w:color="auto"/>
                                            <w:bottom w:val="none" w:sz="0" w:space="0" w:color="auto"/>
                                            <w:right w:val="none" w:sz="0" w:space="0" w:color="auto"/>
                                          </w:divBdr>
                                          <w:divsChild>
                                            <w:div w:id="1241872449">
                                              <w:marLeft w:val="0"/>
                                              <w:marRight w:val="0"/>
                                              <w:marTop w:val="0"/>
                                              <w:marBottom w:val="0"/>
                                              <w:divBdr>
                                                <w:top w:val="none" w:sz="0" w:space="0" w:color="auto"/>
                                                <w:left w:val="none" w:sz="0" w:space="0" w:color="auto"/>
                                                <w:bottom w:val="none" w:sz="0" w:space="0" w:color="auto"/>
                                                <w:right w:val="none" w:sz="0" w:space="0" w:color="auto"/>
                                              </w:divBdr>
                                              <w:divsChild>
                                                <w:div w:id="843326528">
                                                  <w:marLeft w:val="0"/>
                                                  <w:marRight w:val="0"/>
                                                  <w:marTop w:val="0"/>
                                                  <w:marBottom w:val="0"/>
                                                  <w:divBdr>
                                                    <w:top w:val="none" w:sz="0" w:space="0" w:color="auto"/>
                                                    <w:left w:val="none" w:sz="0" w:space="0" w:color="auto"/>
                                                    <w:bottom w:val="none" w:sz="0" w:space="0" w:color="auto"/>
                                                    <w:right w:val="none" w:sz="0" w:space="0" w:color="auto"/>
                                                  </w:divBdr>
                                                  <w:divsChild>
                                                    <w:div w:id="1838764793">
                                                      <w:marLeft w:val="0"/>
                                                      <w:marRight w:val="0"/>
                                                      <w:marTop w:val="0"/>
                                                      <w:marBottom w:val="0"/>
                                                      <w:divBdr>
                                                        <w:top w:val="none" w:sz="0" w:space="0" w:color="auto"/>
                                                        <w:left w:val="none" w:sz="0" w:space="0" w:color="auto"/>
                                                        <w:bottom w:val="none" w:sz="0" w:space="0" w:color="auto"/>
                                                        <w:right w:val="none" w:sz="0" w:space="0" w:color="auto"/>
                                                      </w:divBdr>
                                                      <w:divsChild>
                                                        <w:div w:id="796531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403611">
      <w:bodyDiv w:val="1"/>
      <w:marLeft w:val="0"/>
      <w:marRight w:val="0"/>
      <w:marTop w:val="0"/>
      <w:marBottom w:val="0"/>
      <w:divBdr>
        <w:top w:val="none" w:sz="0" w:space="0" w:color="auto"/>
        <w:left w:val="none" w:sz="0" w:space="0" w:color="auto"/>
        <w:bottom w:val="none" w:sz="0" w:space="0" w:color="auto"/>
        <w:right w:val="none" w:sz="0" w:space="0" w:color="auto"/>
      </w:divBdr>
    </w:div>
    <w:div w:id="1719546443">
      <w:bodyDiv w:val="1"/>
      <w:marLeft w:val="0"/>
      <w:marRight w:val="0"/>
      <w:marTop w:val="0"/>
      <w:marBottom w:val="0"/>
      <w:divBdr>
        <w:top w:val="none" w:sz="0" w:space="0" w:color="auto"/>
        <w:left w:val="none" w:sz="0" w:space="0" w:color="auto"/>
        <w:bottom w:val="none" w:sz="0" w:space="0" w:color="auto"/>
        <w:right w:val="none" w:sz="0" w:space="0" w:color="auto"/>
      </w:divBdr>
    </w:div>
    <w:div w:id="1744141129">
      <w:bodyDiv w:val="1"/>
      <w:marLeft w:val="0"/>
      <w:marRight w:val="0"/>
      <w:marTop w:val="0"/>
      <w:marBottom w:val="0"/>
      <w:divBdr>
        <w:top w:val="none" w:sz="0" w:space="0" w:color="auto"/>
        <w:left w:val="none" w:sz="0" w:space="0" w:color="auto"/>
        <w:bottom w:val="none" w:sz="0" w:space="0" w:color="auto"/>
        <w:right w:val="none" w:sz="0" w:space="0" w:color="auto"/>
      </w:divBdr>
    </w:div>
    <w:div w:id="1801652802">
      <w:bodyDiv w:val="1"/>
      <w:marLeft w:val="0"/>
      <w:marRight w:val="0"/>
      <w:marTop w:val="0"/>
      <w:marBottom w:val="0"/>
      <w:divBdr>
        <w:top w:val="none" w:sz="0" w:space="0" w:color="auto"/>
        <w:left w:val="none" w:sz="0" w:space="0" w:color="auto"/>
        <w:bottom w:val="none" w:sz="0" w:space="0" w:color="auto"/>
        <w:right w:val="none" w:sz="0" w:space="0" w:color="auto"/>
      </w:divBdr>
    </w:div>
    <w:div w:id="1943878611">
      <w:bodyDiv w:val="1"/>
      <w:marLeft w:val="0"/>
      <w:marRight w:val="0"/>
      <w:marTop w:val="0"/>
      <w:marBottom w:val="0"/>
      <w:divBdr>
        <w:top w:val="none" w:sz="0" w:space="0" w:color="auto"/>
        <w:left w:val="none" w:sz="0" w:space="0" w:color="auto"/>
        <w:bottom w:val="none" w:sz="0" w:space="0" w:color="auto"/>
        <w:right w:val="none" w:sz="0" w:space="0" w:color="auto"/>
      </w:divBdr>
    </w:div>
    <w:div w:id="20675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38A86-CDFD-4639-B290-E5C21629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5462</Words>
  <Characters>31138</Characters>
  <Application>Microsoft Office Word</Application>
  <DocSecurity>0</DocSecurity>
  <Lines>259</Lines>
  <Paragraphs>73</Paragraphs>
  <ScaleCrop>false</ScaleCrop>
  <Company>cbc</Company>
  <LinksUpToDate>false</LinksUpToDate>
  <CharactersWithSpaces>36527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秘書處長秘書室;ssl</dc:creator>
  <cp:lastModifiedBy>ssl</cp:lastModifiedBy>
  <cp:revision>7</cp:revision>
  <cp:lastPrinted>2019-04-29T05:51:00Z</cp:lastPrinted>
  <dcterms:created xsi:type="dcterms:W3CDTF">2019-10-30T02:52:00Z</dcterms:created>
  <dcterms:modified xsi:type="dcterms:W3CDTF">2019-10-30T02:57:00Z</dcterms:modified>
</cp:coreProperties>
</file>