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3E7" w:rsidRDefault="002323E7">
      <w:pPr>
        <w:pStyle w:val="31"/>
        <w:rPr>
          <w:color w:val="030000"/>
        </w:rPr>
      </w:pPr>
      <w:bookmarkStart w:id="0" w:name="_GoBack"/>
      <w:bookmarkEnd w:id="0"/>
      <w:r>
        <w:rPr>
          <w:color w:val="030000"/>
        </w:rPr>
        <w:t>Notes</w:t>
      </w:r>
    </w:p>
    <w:tbl>
      <w:tblPr>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367"/>
        <w:gridCol w:w="5406"/>
      </w:tblGrid>
      <w:tr w:rsidR="002323E7" w:rsidTr="0081769C">
        <w:trPr>
          <w:trHeight w:val="15696"/>
        </w:trPr>
        <w:tc>
          <w:tcPr>
            <w:tcW w:w="5367" w:type="dxa"/>
            <w:tcBorders>
              <w:top w:val="nil"/>
              <w:left w:val="nil"/>
              <w:bottom w:val="nil"/>
              <w:right w:val="single" w:sz="4" w:space="0" w:color="auto"/>
            </w:tcBorders>
          </w:tcPr>
          <w:p w:rsidR="002323E7" w:rsidRDefault="002323E7">
            <w:pPr>
              <w:pStyle w:val="aa"/>
              <w:spacing w:line="200" w:lineRule="exact"/>
            </w:pPr>
            <w:r>
              <w:t>Date of Fund Membership :</w:t>
            </w:r>
          </w:p>
          <w:p w:rsidR="002323E7" w:rsidRDefault="002323E7">
            <w:pPr>
              <w:pStyle w:val="ab"/>
              <w:spacing w:line="190" w:lineRule="exact"/>
            </w:pPr>
            <w:r>
              <w:t>The Central Bank of the Republic of China</w:t>
            </w:r>
            <w:r w:rsidR="00320CCC">
              <w:rPr>
                <w:rFonts w:hint="eastAsia"/>
              </w:rPr>
              <w:t xml:space="preserve"> (</w:t>
            </w:r>
            <w:r>
              <w:t>Taiwan</w:t>
            </w:r>
            <w:r w:rsidR="00320CCC">
              <w:rPr>
                <w:rFonts w:hint="eastAsia"/>
              </w:rPr>
              <w:t xml:space="preserve">) </w:t>
            </w:r>
            <w:r>
              <w:t>is currently not a member of the IMF.</w:t>
            </w:r>
          </w:p>
          <w:p w:rsidR="002323E7" w:rsidRDefault="002323E7">
            <w:pPr>
              <w:pStyle w:val="aa"/>
              <w:spacing w:after="8" w:line="190" w:lineRule="exact"/>
            </w:pPr>
            <w:r>
              <w:t>Standard Sources :</w:t>
            </w:r>
          </w:p>
          <w:p w:rsidR="002323E7" w:rsidRDefault="002323E7">
            <w:pPr>
              <w:pStyle w:val="ab"/>
              <w:spacing w:line="190" w:lineRule="exact"/>
            </w:pPr>
            <w:r>
              <w:t>Central Bank of the Republic of China</w:t>
            </w:r>
            <w:r w:rsidR="00320CCC">
              <w:rPr>
                <w:rFonts w:hint="eastAsia"/>
              </w:rPr>
              <w:t xml:space="preserve"> (</w:t>
            </w:r>
            <w:r>
              <w:t>Taiwan</w:t>
            </w:r>
            <w:r w:rsidR="00320CCC">
              <w:rPr>
                <w:rFonts w:hint="eastAsia"/>
              </w:rPr>
              <w:t>)</w:t>
            </w:r>
          </w:p>
          <w:p w:rsidR="002323E7" w:rsidRDefault="002323E7">
            <w:pPr>
              <w:pStyle w:val="ab"/>
              <w:spacing w:line="190" w:lineRule="exact"/>
            </w:pPr>
            <w:r>
              <w:t>Directorate-General of Budget, Accounting and Statistics, Executive Yuan, R.O.C.</w:t>
            </w:r>
            <w:r w:rsidR="00320CCC">
              <w:rPr>
                <w:rFonts w:hint="eastAsia"/>
              </w:rPr>
              <w:t xml:space="preserve"> (</w:t>
            </w:r>
            <w:r>
              <w:t>Taiwan</w:t>
            </w:r>
            <w:r w:rsidR="00320CCC">
              <w:rPr>
                <w:rFonts w:hint="eastAsia"/>
              </w:rPr>
              <w:t>)</w:t>
            </w:r>
          </w:p>
          <w:p w:rsidR="002323E7" w:rsidRDefault="002323E7">
            <w:pPr>
              <w:pStyle w:val="ab"/>
              <w:spacing w:line="190" w:lineRule="exact"/>
            </w:pPr>
            <w:r>
              <w:t>Ministry of Economic Affairs, R.O.C.</w:t>
            </w:r>
            <w:r w:rsidR="00320CCC">
              <w:rPr>
                <w:rFonts w:hint="eastAsia"/>
              </w:rPr>
              <w:t xml:space="preserve"> (</w:t>
            </w:r>
            <w:r>
              <w:t>Taiwan</w:t>
            </w:r>
            <w:r w:rsidR="00320CCC">
              <w:rPr>
                <w:rFonts w:hint="eastAsia"/>
              </w:rPr>
              <w:t>)</w:t>
            </w:r>
          </w:p>
          <w:p w:rsidR="002323E7" w:rsidRDefault="002323E7">
            <w:pPr>
              <w:pStyle w:val="aa"/>
              <w:spacing w:after="8" w:line="190" w:lineRule="exact"/>
            </w:pPr>
            <w:r>
              <w:t>Exchange Rates :</w:t>
            </w:r>
          </w:p>
          <w:p w:rsidR="002323E7" w:rsidRDefault="002323E7">
            <w:pPr>
              <w:pStyle w:val="ac"/>
              <w:spacing w:line="190" w:lineRule="exact"/>
            </w:pPr>
            <w:r>
              <w:t>Market Rate (NT/SDR, End of Period</w:t>
            </w:r>
            <w:r w:rsidR="001A3213">
              <w:rPr>
                <w:rFonts w:hint="eastAsia"/>
              </w:rPr>
              <w:t>):</w:t>
            </w:r>
          </w:p>
          <w:p w:rsidR="002323E7" w:rsidRDefault="002323E7">
            <w:pPr>
              <w:pStyle w:val="ab"/>
              <w:spacing w:line="190" w:lineRule="exact"/>
            </w:pPr>
            <w:r>
              <w:t>The value of NT/SDR is calculated by multiplying US dollar per SDR announced by IMF by NT dollar per US dollar (line ae).</w:t>
            </w:r>
          </w:p>
          <w:p w:rsidR="002323E7" w:rsidRDefault="002323E7">
            <w:pPr>
              <w:pStyle w:val="ac"/>
              <w:spacing w:line="190" w:lineRule="exact"/>
            </w:pPr>
            <w:r>
              <w:t>Market Rate (End of Period and Period Average)</w:t>
            </w:r>
            <w:r w:rsidR="001A3213">
              <w:rPr>
                <w:rFonts w:hint="eastAsia"/>
              </w:rPr>
              <w:t>:</w:t>
            </w:r>
          </w:p>
          <w:p w:rsidR="002323E7" w:rsidRDefault="002323E7">
            <w:pPr>
              <w:pStyle w:val="ab"/>
              <w:spacing w:line="190" w:lineRule="exact"/>
            </w:pPr>
            <w:r>
              <w:t>Interbank spot market closing rate in Taipei Foreign Exchange Market.</w:t>
            </w:r>
          </w:p>
          <w:p w:rsidR="002323E7" w:rsidRDefault="002323E7">
            <w:pPr>
              <w:pStyle w:val="ac"/>
              <w:spacing w:line="200" w:lineRule="exact"/>
            </w:pPr>
            <w:r>
              <w:t>Nominal Effective Exchange Rate:</w:t>
            </w:r>
          </w:p>
          <w:p w:rsidR="002323E7" w:rsidRDefault="002323E7">
            <w:pPr>
              <w:pStyle w:val="ab"/>
            </w:pPr>
            <w:r>
              <w:t xml:space="preserve">Source : </w:t>
            </w:r>
            <w:smartTag w:uri="urn:schemas-microsoft-com:office:smarttags" w:element="City">
              <w:smartTag w:uri="urn:schemas-microsoft-com:office:smarttags" w:element="place">
                <w:r>
                  <w:t>Taipei</w:t>
                </w:r>
              </w:smartTag>
            </w:smartTag>
            <w:r>
              <w:t xml:space="preserve"> Foreign Exchange Market Development Foundation</w:t>
            </w:r>
          </w:p>
          <w:p w:rsidR="002323E7" w:rsidRDefault="00D26BA4">
            <w:pPr>
              <w:pStyle w:val="ab"/>
            </w:pPr>
            <w:r>
              <w:t>Base period 20</w:t>
            </w:r>
            <w:r>
              <w:rPr>
                <w:rFonts w:hint="eastAsia"/>
              </w:rPr>
              <w:t>1</w:t>
            </w:r>
            <w:r w:rsidR="00E23555">
              <w:rPr>
                <w:rFonts w:hint="eastAsia"/>
              </w:rPr>
              <w:t>0</w:t>
            </w:r>
            <w:r w:rsidR="002323E7">
              <w:t>=100</w:t>
            </w:r>
          </w:p>
          <w:p w:rsidR="002323E7" w:rsidRDefault="002323E7">
            <w:pPr>
              <w:pStyle w:val="ac"/>
              <w:spacing w:line="200" w:lineRule="exact"/>
            </w:pPr>
            <w:r>
              <w:t>Real Effective Exchange Rate:</w:t>
            </w:r>
          </w:p>
          <w:p w:rsidR="002323E7" w:rsidRDefault="002323E7">
            <w:pPr>
              <w:pStyle w:val="ab"/>
            </w:pPr>
            <w:r>
              <w:t xml:space="preserve">Source : </w:t>
            </w:r>
            <w:smartTag w:uri="urn:schemas-microsoft-com:office:smarttags" w:element="City">
              <w:smartTag w:uri="urn:schemas-microsoft-com:office:smarttags" w:element="place">
                <w:r>
                  <w:t>Taipei</w:t>
                </w:r>
              </w:smartTag>
            </w:smartTag>
            <w:r>
              <w:t xml:space="preserve"> Foreign Exchange Market Development Foundation</w:t>
            </w:r>
          </w:p>
          <w:p w:rsidR="002323E7" w:rsidRDefault="00D26BA4">
            <w:pPr>
              <w:pStyle w:val="ab"/>
            </w:pPr>
            <w:r>
              <w:t>Base period 20</w:t>
            </w:r>
            <w:r w:rsidR="00E23555">
              <w:rPr>
                <w:rFonts w:hint="eastAsia"/>
              </w:rPr>
              <w:t>10</w:t>
            </w:r>
            <w:r w:rsidR="002323E7">
              <w:t>=100</w:t>
            </w:r>
          </w:p>
          <w:p w:rsidR="002323E7" w:rsidRDefault="002323E7">
            <w:pPr>
              <w:pStyle w:val="ab"/>
              <w:spacing w:afterLines="6" w:after="21"/>
            </w:pPr>
            <w:r>
              <w:t>The Real Effective Exchange Rate is derived from Nominal Effective Exchange Rate and adjusted by producer price index of selected countries.</w:t>
            </w:r>
          </w:p>
          <w:p w:rsidR="002323E7" w:rsidRDefault="002323E7">
            <w:pPr>
              <w:pStyle w:val="aa"/>
              <w:spacing w:afterLines="6" w:after="21"/>
            </w:pPr>
            <w:r>
              <w:t>Central Bank :</w:t>
            </w:r>
          </w:p>
          <w:p w:rsidR="002323E7" w:rsidRDefault="002323E7">
            <w:pPr>
              <w:pStyle w:val="ab"/>
            </w:pPr>
            <w:r>
              <w:t xml:space="preserve">Comprises the Central Bank of the Republic of </w:t>
            </w:r>
            <w:smartTag w:uri="urn:schemas-microsoft-com:office:smarttags" w:element="country-region">
              <w:r>
                <w:t>China</w:t>
              </w:r>
            </w:smartTag>
            <w:r>
              <w:t xml:space="preserve"> (</w:t>
            </w:r>
            <w:smartTag w:uri="urn:schemas-microsoft-com:office:smarttags" w:element="country-region">
              <w:smartTag w:uri="urn:schemas-microsoft-com:office:smarttags" w:element="place">
                <w:r>
                  <w:t>Taiwan</w:t>
                </w:r>
              </w:smartTag>
            </w:smartTag>
            <w:r>
              <w:t>) only.</w:t>
            </w:r>
          </w:p>
          <w:p w:rsidR="002323E7" w:rsidRDefault="002323E7">
            <w:pPr>
              <w:pStyle w:val="ab"/>
            </w:pPr>
            <w:r>
              <w:t>Data are not fully based on the definitions of the IMF’s Monetary and Financial Statistics Manual (MFSM), 2000. Departures from the MFSM methodology are explained below.</w:t>
            </w:r>
          </w:p>
          <w:p w:rsidR="002323E7" w:rsidRDefault="002323E7">
            <w:pPr>
              <w:pStyle w:val="ab"/>
            </w:pPr>
            <w:r>
              <w:t>The redeposits for the purpose of liquidity management are included in Other Liabilities to Other Depository Corporations.</w:t>
            </w:r>
          </w:p>
          <w:p w:rsidR="002323E7" w:rsidRDefault="002323E7">
            <w:pPr>
              <w:pStyle w:val="ab"/>
            </w:pPr>
            <w:r>
              <w:t>Deposits Excl. from Broad Money mainly include reserve deposits in foreign currency and Treasury redeposits.</w:t>
            </w:r>
          </w:p>
          <w:p w:rsidR="002323E7" w:rsidRDefault="002323E7">
            <w:pPr>
              <w:pStyle w:val="ab"/>
            </w:pPr>
            <w:r>
              <w:t>The bills and bonds issued by the Central Bank for the purpose of liquidity management are included in Securities Other than Shares Excluded from Broad Money.</w:t>
            </w:r>
          </w:p>
          <w:p w:rsidR="002323E7" w:rsidRDefault="002323E7">
            <w:pPr>
              <w:pStyle w:val="ab"/>
            </w:pPr>
            <w:r>
              <w:t>Financial Derivatives are excluded from the data.</w:t>
            </w:r>
          </w:p>
          <w:p w:rsidR="002323E7" w:rsidRDefault="002323E7">
            <w:pPr>
              <w:pStyle w:val="ab"/>
              <w:spacing w:afterLines="5" w:after="18"/>
            </w:pPr>
            <w:r>
              <w:t>Accounts receivable and payable are included in Other Items (Net) rather than as claims on or liabilities to the corresponding sectors of the economy.</w:t>
            </w:r>
          </w:p>
          <w:p w:rsidR="002323E7" w:rsidRDefault="002323E7" w:rsidP="006C4CE9">
            <w:pPr>
              <w:pStyle w:val="aa"/>
              <w:tabs>
                <w:tab w:val="left" w:pos="3250"/>
              </w:tabs>
              <w:spacing w:afterLines="5" w:after="18"/>
            </w:pPr>
            <w:r>
              <w:t>Other Depository Corporations :</w:t>
            </w:r>
          </w:p>
          <w:p w:rsidR="002323E7" w:rsidRDefault="002323E7">
            <w:pPr>
              <w:pStyle w:val="ab"/>
            </w:pPr>
            <w:r>
              <w:t>Comprise domestic banks, local branches of foreign</w:t>
            </w:r>
            <w:r w:rsidR="00D87A06">
              <w:rPr>
                <w:rFonts w:hint="eastAsia"/>
              </w:rPr>
              <w:t xml:space="preserve"> and Mainland Chinese </w:t>
            </w:r>
            <w:r>
              <w:t>banks, credit cooperative associations, credit departments of farmers’ associations, credit departments of fishermen’s associations, Chunghwa Post Corporation, and money market mutual funds, but do not comprise OBUs (offshore banking units).</w:t>
            </w:r>
          </w:p>
          <w:p w:rsidR="002323E7" w:rsidRDefault="002323E7">
            <w:pPr>
              <w:pStyle w:val="ab"/>
            </w:pPr>
            <w:r>
              <w:t>Net Foreign Assets are based on book value net of claims on and liabilities to nonresidents.</w:t>
            </w:r>
          </w:p>
          <w:p w:rsidR="002323E7" w:rsidRDefault="002323E7">
            <w:pPr>
              <w:pStyle w:val="ab"/>
            </w:pPr>
            <w:r w:rsidRPr="00AE4ACF">
              <w:rPr>
                <w:i/>
                <w:iCs/>
              </w:rPr>
              <w:t>Claims on Central Bank</w:t>
            </w:r>
            <w:r>
              <w:rPr>
                <w:rFonts w:hint="eastAsia"/>
              </w:rPr>
              <w:t xml:space="preserve"> consist of</w:t>
            </w:r>
            <w:r>
              <w:t xml:space="preserve"> all deposits, required reserves and redeposits placed with the Central Bank and the holding of negotiable certificates of deposit issued by the Central Bank</w:t>
            </w:r>
            <w:r>
              <w:rPr>
                <w:rFonts w:hint="eastAsia"/>
              </w:rPr>
              <w:t>.</w:t>
            </w:r>
          </w:p>
          <w:p w:rsidR="002323E7" w:rsidRDefault="002323E7">
            <w:pPr>
              <w:pStyle w:val="ab"/>
            </w:pPr>
            <w:r>
              <w:t>In the absence of individual data, the shares and debt securities issued by financial corporations are all regarded as those issued by other depository corporations. These are netted out and so not listed on this table.</w:t>
            </w:r>
          </w:p>
          <w:p w:rsidR="002323E7" w:rsidRDefault="002323E7">
            <w:pPr>
              <w:pStyle w:val="ab"/>
            </w:pPr>
            <w:r>
              <w:t>Portfolio investments are measured at fair value.</w:t>
            </w:r>
          </w:p>
          <w:p w:rsidR="002323E7" w:rsidRDefault="002323E7">
            <w:pPr>
              <w:pStyle w:val="ab"/>
            </w:pPr>
            <w:r>
              <w:rPr>
                <w:rFonts w:hint="eastAsia"/>
              </w:rPr>
              <w:t>In the absence of individual data, debt securities issued by state &amp; local governments are classified as</w:t>
            </w:r>
            <w:r>
              <w:rPr>
                <w:rFonts w:hint="eastAsia"/>
                <w:i/>
                <w:iCs/>
              </w:rPr>
              <w:t xml:space="preserve"> Claims on Central Government</w:t>
            </w:r>
            <w:r>
              <w:rPr>
                <w:rFonts w:hint="eastAsia"/>
              </w:rPr>
              <w:t>.</w:t>
            </w:r>
          </w:p>
          <w:p w:rsidR="002323E7" w:rsidRDefault="002323E7">
            <w:pPr>
              <w:pStyle w:val="ab"/>
            </w:pPr>
            <w:r>
              <w:rPr>
                <w:rFonts w:hint="eastAsia"/>
                <w:i/>
                <w:iCs/>
              </w:rPr>
              <w:t>Claims on Other Financial Corporations</w:t>
            </w:r>
            <w:r>
              <w:rPr>
                <w:rFonts w:hint="eastAsia"/>
              </w:rPr>
              <w:t xml:space="preserve"> consist of all deposits placed at and call loans to the trust and investment companies and life insurance companies.</w:t>
            </w:r>
          </w:p>
          <w:p w:rsidR="002323E7" w:rsidRDefault="002323E7">
            <w:pPr>
              <w:pStyle w:val="ab"/>
            </w:pPr>
            <w:r>
              <w:rPr>
                <w:rFonts w:hint="eastAsia"/>
              </w:rPr>
              <w:t>In the absence of individual data, claims on and liabilities to governments by credit cooperative associations, credit departments of farmers</w:t>
            </w:r>
            <w:r>
              <w:t>’</w:t>
            </w:r>
            <w:r>
              <w:rPr>
                <w:rFonts w:hint="eastAsia"/>
              </w:rPr>
              <w:t xml:space="preserve"> associations, and credit departments of fishermen</w:t>
            </w:r>
            <w:r>
              <w:t>’</w:t>
            </w:r>
            <w:r>
              <w:rPr>
                <w:rFonts w:hint="eastAsia"/>
              </w:rPr>
              <w:t xml:space="preserve">s associations are classified as </w:t>
            </w:r>
            <w:r>
              <w:rPr>
                <w:rFonts w:hint="eastAsia"/>
                <w:i/>
                <w:iCs/>
              </w:rPr>
              <w:t>Claims on State &amp; Local Governments</w:t>
            </w:r>
            <w:r>
              <w:rPr>
                <w:rFonts w:hint="eastAsia"/>
              </w:rPr>
              <w:t xml:space="preserve"> and </w:t>
            </w:r>
            <w:r>
              <w:rPr>
                <w:rFonts w:hint="eastAsia"/>
                <w:i/>
                <w:iCs/>
              </w:rPr>
              <w:t>Deposits Excluded from Broad Money,</w:t>
            </w:r>
            <w:r>
              <w:rPr>
                <w:rFonts w:hint="eastAsia"/>
              </w:rPr>
              <w:t xml:space="preserve"> respectively.</w:t>
            </w:r>
          </w:p>
          <w:p w:rsidR="002323E7" w:rsidRDefault="002323E7">
            <w:pPr>
              <w:pStyle w:val="ab"/>
            </w:pPr>
            <w:r>
              <w:rPr>
                <w:rFonts w:hint="eastAsia"/>
                <w:i/>
                <w:iCs/>
              </w:rPr>
              <w:t xml:space="preserve">Transferable Deposits </w:t>
            </w:r>
            <w:r>
              <w:rPr>
                <w:i/>
                <w:iCs/>
              </w:rPr>
              <w:t>include</w:t>
            </w:r>
            <w:r>
              <w:rPr>
                <w:rFonts w:hint="eastAsia"/>
                <w:i/>
                <w:iCs/>
              </w:rPr>
              <w:t>d in Broad Money</w:t>
            </w:r>
            <w:r>
              <w:rPr>
                <w:rFonts w:hint="eastAsia"/>
              </w:rPr>
              <w:t xml:space="preserve"> include checking accounts, passbook deposits, passbook savings deposits, foreign currency demand deposits of enterprises and individuals as well as Giro accounts and passbook savings deposits of Chunghwa Post Corporation.</w:t>
            </w:r>
          </w:p>
          <w:p w:rsidR="002323E7" w:rsidRDefault="002323E7">
            <w:pPr>
              <w:pStyle w:val="ab"/>
              <w:rPr>
                <w:b/>
                <w:bCs/>
              </w:rPr>
            </w:pPr>
            <w:r>
              <w:rPr>
                <w:rFonts w:hint="eastAsia"/>
                <w:i/>
                <w:iCs/>
              </w:rPr>
              <w:t>Other Deposits Included in Broad Money</w:t>
            </w:r>
            <w:r>
              <w:rPr>
                <w:rFonts w:hint="eastAsia"/>
              </w:rPr>
              <w:t xml:space="preserve"> include time deposits, NCDs, </w:t>
            </w:r>
            <w:r w:rsidR="0081769C" w:rsidRPr="0081769C">
              <w:rPr>
                <w:rFonts w:hint="eastAsia"/>
              </w:rPr>
              <w:t>time savings deposits, foreign currency time deposits, time savings</w:t>
            </w:r>
          </w:p>
        </w:tc>
        <w:tc>
          <w:tcPr>
            <w:tcW w:w="5406" w:type="dxa"/>
            <w:tcBorders>
              <w:top w:val="nil"/>
              <w:left w:val="single" w:sz="4" w:space="0" w:color="auto"/>
              <w:bottom w:val="nil"/>
              <w:right w:val="nil"/>
            </w:tcBorders>
          </w:tcPr>
          <w:p w:rsidR="002323E7" w:rsidRDefault="002323E7">
            <w:pPr>
              <w:pStyle w:val="ab"/>
              <w:spacing w:afterLines="0" w:after="0"/>
              <w:rPr>
                <w:i/>
                <w:iCs/>
              </w:rPr>
            </w:pPr>
            <w:r>
              <w:rPr>
                <w:rFonts w:hint="eastAsia"/>
              </w:rPr>
              <w:t xml:space="preserve">deposits of Chunghwa Post Corporation, net present value of money market mutual funds, and repurchase </w:t>
            </w:r>
            <w:r>
              <w:t>agreement</w:t>
            </w:r>
            <w:r>
              <w:rPr>
                <w:rFonts w:hint="eastAsia"/>
              </w:rPr>
              <w:t xml:space="preserve">s of enterprises and individuals, but not including non-resident NT deposits, which are included in </w:t>
            </w:r>
            <w:r>
              <w:rPr>
                <w:rFonts w:hint="eastAsia"/>
                <w:i/>
                <w:iCs/>
              </w:rPr>
              <w:t>Liabilities to Nonresidents</w:t>
            </w:r>
            <w:r>
              <w:rPr>
                <w:rFonts w:hint="eastAsia"/>
              </w:rPr>
              <w:t>.</w:t>
            </w:r>
          </w:p>
          <w:p w:rsidR="002323E7" w:rsidRDefault="002323E7">
            <w:pPr>
              <w:pStyle w:val="ab"/>
              <w:spacing w:afterLines="0" w:after="0"/>
            </w:pPr>
            <w:r>
              <w:rPr>
                <w:rFonts w:hint="eastAsia"/>
                <w:i/>
                <w:iCs/>
              </w:rPr>
              <w:t>Deposits Excluded from Broad Money</w:t>
            </w:r>
            <w:r>
              <w:rPr>
                <w:rFonts w:hint="eastAsia"/>
              </w:rPr>
              <w:t xml:space="preserve"> include liabilities to insurance companies, trust &amp; investment companies and deposits of local government agencies.</w:t>
            </w:r>
          </w:p>
          <w:p w:rsidR="002323E7" w:rsidRDefault="002323E7">
            <w:pPr>
              <w:pStyle w:val="ab"/>
              <w:spacing w:afterLines="0" w:after="0"/>
            </w:pPr>
            <w:r>
              <w:rPr>
                <w:rFonts w:hint="eastAsia"/>
                <w:i/>
                <w:iCs/>
              </w:rPr>
              <w:t>Loans</w:t>
            </w:r>
            <w:r>
              <w:rPr>
                <w:rFonts w:hint="eastAsia"/>
              </w:rPr>
              <w:t xml:space="preserve"> denote the long-term loans borrowing from non-financial institutions, usually appropriated by government agencies for policy purpose.</w:t>
            </w:r>
          </w:p>
          <w:p w:rsidR="002323E7" w:rsidRDefault="002323E7">
            <w:pPr>
              <w:pStyle w:val="ab"/>
              <w:spacing w:afterLines="0" w:after="0"/>
            </w:pPr>
            <w:r>
              <w:rPr>
                <w:rFonts w:hint="eastAsia"/>
              </w:rPr>
              <w:t xml:space="preserve">Accounts receivable and payable are included in </w:t>
            </w:r>
            <w:r>
              <w:rPr>
                <w:rFonts w:hint="eastAsia"/>
                <w:i/>
                <w:iCs/>
              </w:rPr>
              <w:t>Other Items (Net)</w:t>
            </w:r>
            <w:r>
              <w:rPr>
                <w:rFonts w:hint="eastAsia"/>
              </w:rPr>
              <w:t xml:space="preserve"> rather than as claims on or liabilities to the corresponding sectors of economy.</w:t>
            </w:r>
          </w:p>
          <w:p w:rsidR="002323E7" w:rsidRDefault="002323E7" w:rsidP="00FB5DED">
            <w:pPr>
              <w:pStyle w:val="aa"/>
              <w:spacing w:line="240" w:lineRule="exact"/>
              <w:rPr>
                <w:b w:val="0"/>
                <w:bCs w:val="0"/>
              </w:rPr>
            </w:pPr>
            <w:r>
              <w:rPr>
                <w:rFonts w:hint="eastAsia"/>
              </w:rPr>
              <w:t>Depository Corporations :</w:t>
            </w:r>
          </w:p>
          <w:p w:rsidR="002323E7" w:rsidRDefault="002323E7">
            <w:pPr>
              <w:pStyle w:val="ab"/>
              <w:spacing w:afterLines="0" w:after="0"/>
              <w:rPr>
                <w:b/>
                <w:bCs/>
                <w:sz w:val="18"/>
              </w:rPr>
            </w:pPr>
            <w:r>
              <w:rPr>
                <w:rFonts w:hint="eastAsia"/>
              </w:rPr>
              <w:t>See notes on central bank and other depository corporations.</w:t>
            </w:r>
          </w:p>
          <w:p w:rsidR="002323E7" w:rsidRDefault="002323E7" w:rsidP="00FB5DED">
            <w:pPr>
              <w:pStyle w:val="aa"/>
              <w:spacing w:line="240" w:lineRule="exact"/>
            </w:pPr>
            <w:r>
              <w:rPr>
                <w:rFonts w:hint="eastAsia"/>
              </w:rPr>
              <w:t>Other Financial Corporations :</w:t>
            </w:r>
          </w:p>
          <w:p w:rsidR="002323E7" w:rsidRDefault="002323E7">
            <w:pPr>
              <w:pStyle w:val="ab"/>
              <w:spacing w:afterLines="0" w:after="0"/>
            </w:pPr>
            <w:r>
              <w:rPr>
                <w:rFonts w:hint="eastAsia"/>
              </w:rPr>
              <w:t>Comprise t</w:t>
            </w:r>
            <w:r>
              <w:t xml:space="preserve">rust and </w:t>
            </w:r>
            <w:r>
              <w:rPr>
                <w:rFonts w:hint="eastAsia"/>
              </w:rPr>
              <w:t>i</w:t>
            </w:r>
            <w:r>
              <w:t xml:space="preserve">nvestment </w:t>
            </w:r>
            <w:r>
              <w:rPr>
                <w:rFonts w:hint="eastAsia"/>
              </w:rPr>
              <w:t>c</w:t>
            </w:r>
            <w:r>
              <w:t>ompanies</w:t>
            </w:r>
            <w:r>
              <w:rPr>
                <w:rFonts w:hint="eastAsia"/>
              </w:rPr>
              <w:t xml:space="preserve"> and l</w:t>
            </w:r>
            <w:r>
              <w:t xml:space="preserve">ife </w:t>
            </w:r>
            <w:r>
              <w:rPr>
                <w:rFonts w:hint="eastAsia"/>
              </w:rPr>
              <w:t>i</w:t>
            </w:r>
            <w:r>
              <w:t xml:space="preserve">nsurance </w:t>
            </w:r>
            <w:r>
              <w:rPr>
                <w:rFonts w:hint="eastAsia"/>
              </w:rPr>
              <w:t>c</w:t>
            </w:r>
            <w:r>
              <w:t>ompanies</w:t>
            </w:r>
            <w:r>
              <w:rPr>
                <w:rFonts w:hint="eastAsia"/>
              </w:rPr>
              <w:t>. Beginning Dec. 2008, there</w:t>
            </w:r>
            <w:r>
              <w:t xml:space="preserve"> are no longer trust and investment companies in operation.</w:t>
            </w:r>
          </w:p>
          <w:p w:rsidR="002323E7" w:rsidRDefault="002323E7">
            <w:pPr>
              <w:pStyle w:val="ab"/>
              <w:spacing w:afterLines="0" w:after="0"/>
            </w:pPr>
            <w:r>
              <w:rPr>
                <w:rFonts w:hint="eastAsia"/>
              </w:rPr>
              <w:t>Data are derived from balance sheet data published in the Financial Statistics Monthly, R</w:t>
            </w:r>
            <w:r w:rsidR="00DD2BB6">
              <w:rPr>
                <w:rFonts w:hint="eastAsia"/>
              </w:rPr>
              <w:t>.</w:t>
            </w:r>
            <w:r>
              <w:rPr>
                <w:rFonts w:hint="eastAsia"/>
              </w:rPr>
              <w:t>O</w:t>
            </w:r>
            <w:r w:rsidR="00DD2BB6">
              <w:rPr>
                <w:rFonts w:hint="eastAsia"/>
              </w:rPr>
              <w:t>.</w:t>
            </w:r>
            <w:r>
              <w:rPr>
                <w:rFonts w:hint="eastAsia"/>
              </w:rPr>
              <w:t>C</w:t>
            </w:r>
            <w:r w:rsidR="00DD2BB6">
              <w:rPr>
                <w:rFonts w:hint="eastAsia"/>
              </w:rPr>
              <w:t>.</w:t>
            </w:r>
            <w:r>
              <w:rPr>
                <w:rFonts w:hint="eastAsia"/>
              </w:rPr>
              <w:t xml:space="preserve"> (Taiwan) and are not fully based on the </w:t>
            </w:r>
            <w:r>
              <w:rPr>
                <w:rFonts w:hint="eastAsia"/>
                <w:i/>
                <w:iCs/>
              </w:rPr>
              <w:t>Monetary and Financial Statistics Manual (MFSM)</w:t>
            </w:r>
            <w:r>
              <w:rPr>
                <w:rFonts w:hint="eastAsia"/>
              </w:rPr>
              <w:t xml:space="preserve">, </w:t>
            </w:r>
            <w:r>
              <w:rPr>
                <w:rFonts w:hint="eastAsia"/>
                <w:i/>
                <w:iCs/>
              </w:rPr>
              <w:t>2000</w:t>
            </w:r>
            <w:r>
              <w:rPr>
                <w:rFonts w:hint="eastAsia"/>
              </w:rPr>
              <w:t xml:space="preserve"> methodology. Departures from the </w:t>
            </w:r>
            <w:r>
              <w:rPr>
                <w:rFonts w:hint="eastAsia"/>
                <w:i/>
                <w:iCs/>
              </w:rPr>
              <w:t>MFSM</w:t>
            </w:r>
            <w:r>
              <w:rPr>
                <w:rFonts w:hint="eastAsia"/>
              </w:rPr>
              <w:t xml:space="preserve"> methodology are explained below.</w:t>
            </w:r>
          </w:p>
          <w:p w:rsidR="002323E7" w:rsidRDefault="002323E7">
            <w:pPr>
              <w:pStyle w:val="ab"/>
              <w:spacing w:afterLines="0" w:after="0"/>
            </w:pPr>
            <w:r>
              <w:rPr>
                <w:rFonts w:hint="eastAsia"/>
                <w:i/>
                <w:iCs/>
              </w:rPr>
              <w:t>Financial Derivatives</w:t>
            </w:r>
            <w:r>
              <w:rPr>
                <w:rFonts w:hint="eastAsia"/>
              </w:rPr>
              <w:t xml:space="preserve"> are excluded from the data.</w:t>
            </w:r>
          </w:p>
          <w:p w:rsidR="002323E7" w:rsidRDefault="002323E7">
            <w:pPr>
              <w:pStyle w:val="ab"/>
              <w:spacing w:afterLines="0" w:after="0"/>
            </w:pPr>
            <w:r>
              <w:rPr>
                <w:rFonts w:hint="eastAsia"/>
              </w:rPr>
              <w:t xml:space="preserve">Accounts receivable and payable are included in </w:t>
            </w:r>
            <w:r>
              <w:rPr>
                <w:rFonts w:hint="eastAsia"/>
                <w:i/>
                <w:iCs/>
              </w:rPr>
              <w:t>Other Items (Net)</w:t>
            </w:r>
            <w:r>
              <w:rPr>
                <w:rFonts w:hint="eastAsia"/>
              </w:rPr>
              <w:t xml:space="preserve"> rather than as claims on or liabilities to the corresponding sectors of the economy.</w:t>
            </w:r>
          </w:p>
          <w:p w:rsidR="002323E7" w:rsidRDefault="002323E7">
            <w:pPr>
              <w:pStyle w:val="ab"/>
              <w:spacing w:afterLines="0" w:after="0"/>
            </w:pPr>
            <w:r>
              <w:rPr>
                <w:rFonts w:hint="eastAsia"/>
              </w:rPr>
              <w:t xml:space="preserve">All </w:t>
            </w:r>
            <w:r>
              <w:t>“</w:t>
            </w:r>
            <w:r>
              <w:rPr>
                <w:rFonts w:hint="eastAsia"/>
              </w:rPr>
              <w:t>due to depository corporations</w:t>
            </w:r>
            <w:r>
              <w:t>”</w:t>
            </w:r>
            <w:r>
              <w:rPr>
                <w:rFonts w:hint="eastAsia"/>
              </w:rPr>
              <w:t xml:space="preserve"> are reported in </w:t>
            </w:r>
            <w:r>
              <w:rPr>
                <w:rFonts w:hint="eastAsia"/>
                <w:i/>
                <w:iCs/>
              </w:rPr>
              <w:t xml:space="preserve">Loans </w:t>
            </w:r>
            <w:r>
              <w:rPr>
                <w:rFonts w:hint="eastAsia"/>
              </w:rPr>
              <w:t>rather than</w:t>
            </w:r>
            <w:r>
              <w:rPr>
                <w:rFonts w:hint="eastAsia"/>
                <w:i/>
                <w:iCs/>
              </w:rPr>
              <w:t xml:space="preserve"> Deposits</w:t>
            </w:r>
            <w:r>
              <w:rPr>
                <w:rFonts w:hint="eastAsia"/>
              </w:rPr>
              <w:t>.</w:t>
            </w:r>
          </w:p>
          <w:p w:rsidR="002323E7" w:rsidRDefault="007657B7" w:rsidP="00FB5DED">
            <w:pPr>
              <w:pStyle w:val="aa"/>
              <w:spacing w:line="240" w:lineRule="exact"/>
            </w:pPr>
            <w:r>
              <w:rPr>
                <w:rFonts w:hint="eastAsia"/>
              </w:rPr>
              <w:t>Financial Corporations :</w:t>
            </w:r>
          </w:p>
          <w:p w:rsidR="002323E7" w:rsidRDefault="002323E7">
            <w:pPr>
              <w:pStyle w:val="ab"/>
              <w:spacing w:afterLines="0" w:after="0"/>
            </w:pPr>
            <w:r>
              <w:rPr>
                <w:rFonts w:hint="eastAsia"/>
              </w:rPr>
              <w:t>See notes on central bank, other depository corporations, and other financial corporations.</w:t>
            </w:r>
          </w:p>
          <w:p w:rsidR="002323E7" w:rsidRDefault="007657B7" w:rsidP="00FB5DED">
            <w:pPr>
              <w:pStyle w:val="aa"/>
              <w:spacing w:line="240" w:lineRule="exact"/>
            </w:pPr>
            <w:r>
              <w:rPr>
                <w:rFonts w:hint="eastAsia"/>
              </w:rPr>
              <w:t>Monetary Aggregates :</w:t>
            </w:r>
          </w:p>
          <w:p w:rsidR="002323E7" w:rsidRDefault="002323E7">
            <w:pPr>
              <w:pStyle w:val="ac"/>
              <w:spacing w:afterLines="0" w:after="0"/>
              <w:rPr>
                <w:spacing w:val="-4"/>
                <w:sz w:val="18"/>
              </w:rPr>
            </w:pPr>
            <w:r>
              <w:rPr>
                <w:rFonts w:hint="eastAsia"/>
              </w:rPr>
              <w:t>Broad Money</w:t>
            </w:r>
            <w:r w:rsidR="006C4CE9">
              <w:rPr>
                <w:rFonts w:hint="eastAsia"/>
              </w:rPr>
              <w:t xml:space="preserve"> </w:t>
            </w:r>
            <w:r w:rsidR="00320CCC">
              <w:rPr>
                <w:rFonts w:hint="eastAsia"/>
              </w:rPr>
              <w:t xml:space="preserve">: </w:t>
            </w:r>
            <w:r>
              <w:rPr>
                <w:rFonts w:hint="eastAsia"/>
              </w:rPr>
              <w:t>M2</w:t>
            </w:r>
          </w:p>
          <w:p w:rsidR="002323E7" w:rsidRDefault="002323E7">
            <w:pPr>
              <w:pStyle w:val="ab"/>
              <w:spacing w:afterLines="0" w:after="0"/>
              <w:rPr>
                <w:sz w:val="18"/>
              </w:rPr>
            </w:pPr>
            <w:r>
              <w:rPr>
                <w:rFonts w:hint="eastAsia"/>
              </w:rPr>
              <w:t>M2 comprises M1B and quasi-money.</w:t>
            </w:r>
          </w:p>
          <w:p w:rsidR="002323E7" w:rsidRDefault="002323E7">
            <w:pPr>
              <w:pStyle w:val="ab"/>
              <w:spacing w:afterLines="0" w:after="0"/>
            </w:pPr>
            <w:r>
              <w:rPr>
                <w:rFonts w:hint="eastAsia"/>
              </w:rPr>
              <w:t>Quasi-Money comprises time deposits, time savings deposits, foreign currency deposits (including demand deposits and time deposits), postal savings deposits (including giro accounts, passbook savings deposits and time savings deposits), repurchase agreements, non-resident NT dollar deposits and money market mutual funds of enterprises and individuals with other depository corporations.</w:t>
            </w:r>
          </w:p>
          <w:p w:rsidR="002323E7" w:rsidRDefault="002323E7">
            <w:pPr>
              <w:pStyle w:val="ac"/>
              <w:spacing w:afterLines="0" w:after="0"/>
              <w:rPr>
                <w:sz w:val="14"/>
              </w:rPr>
            </w:pPr>
            <w:r>
              <w:rPr>
                <w:rFonts w:hint="eastAsia"/>
              </w:rPr>
              <w:t>Money (National Definitions)</w:t>
            </w:r>
            <w:r w:rsidR="00320CCC">
              <w:rPr>
                <w:rFonts w:hint="eastAsia"/>
              </w:rPr>
              <w:t>:</w:t>
            </w:r>
          </w:p>
          <w:p w:rsidR="002323E7" w:rsidRDefault="002323E7">
            <w:pPr>
              <w:pStyle w:val="ab"/>
              <w:spacing w:afterLines="0" w:after="0"/>
            </w:pPr>
            <w:r>
              <w:rPr>
                <w:rFonts w:hint="eastAsia"/>
                <w:i/>
                <w:iCs/>
              </w:rPr>
              <w:t>Monetary Base</w:t>
            </w:r>
            <w:r>
              <w:rPr>
                <w:rFonts w:hint="eastAsia"/>
              </w:rPr>
              <w:t xml:space="preserve"> comprises reserves with the Central Bank held by other depository corporations and currency held by the public.</w:t>
            </w:r>
          </w:p>
          <w:p w:rsidR="002323E7" w:rsidRDefault="002323E7">
            <w:pPr>
              <w:pStyle w:val="ab"/>
              <w:spacing w:afterLines="0" w:after="0"/>
            </w:pPr>
            <w:r>
              <w:rPr>
                <w:rFonts w:hint="eastAsia"/>
                <w:i/>
                <w:iCs/>
              </w:rPr>
              <w:t>M</w:t>
            </w:r>
            <w:smartTag w:uri="urn:schemas-microsoft-com:office:smarttags" w:element="chmetcnv">
              <w:smartTagPr>
                <w:attr w:name="UnitName" w:val="a"/>
                <w:attr w:name="SourceValue" w:val="1"/>
                <w:attr w:name="HasSpace" w:val="False"/>
                <w:attr w:name="Negative" w:val="False"/>
                <w:attr w:name="NumberType" w:val="1"/>
                <w:attr w:name="TCSC" w:val="0"/>
              </w:smartTagPr>
              <w:r>
                <w:rPr>
                  <w:rFonts w:hint="eastAsia"/>
                  <w:i/>
                  <w:iCs/>
                </w:rPr>
                <w:t>1A</w:t>
              </w:r>
            </w:smartTag>
            <w:r>
              <w:rPr>
                <w:rFonts w:hint="eastAsia"/>
              </w:rPr>
              <w:t xml:space="preserve"> comprises the currency held by the public plus checking accounts and passbook deposits of enterprises and individuals with other depository corporations.</w:t>
            </w:r>
          </w:p>
          <w:p w:rsidR="002323E7" w:rsidRDefault="002323E7">
            <w:pPr>
              <w:pStyle w:val="ab"/>
              <w:spacing w:afterLines="0" w:after="0"/>
            </w:pPr>
            <w:r>
              <w:rPr>
                <w:rFonts w:hint="eastAsia"/>
                <w:i/>
                <w:iCs/>
              </w:rPr>
              <w:t>M1B</w:t>
            </w:r>
            <w:r>
              <w:rPr>
                <w:rFonts w:hint="eastAsia"/>
              </w:rPr>
              <w:t xml:space="preserve"> comprises</w:t>
            </w:r>
            <w:r>
              <w:rPr>
                <w:rFonts w:hint="eastAsia"/>
                <w:i/>
                <w:iCs/>
              </w:rPr>
              <w:t xml:space="preserve"> M</w:t>
            </w:r>
            <w:smartTag w:uri="urn:schemas-microsoft-com:office:smarttags" w:element="chmetcnv">
              <w:smartTagPr>
                <w:attr w:name="UnitName" w:val="a"/>
                <w:attr w:name="SourceValue" w:val="1"/>
                <w:attr w:name="HasSpace" w:val="False"/>
                <w:attr w:name="Negative" w:val="False"/>
                <w:attr w:name="NumberType" w:val="1"/>
                <w:attr w:name="TCSC" w:val="0"/>
              </w:smartTagPr>
              <w:r>
                <w:rPr>
                  <w:rFonts w:hint="eastAsia"/>
                  <w:i/>
                  <w:iCs/>
                </w:rPr>
                <w:t>1A</w:t>
              </w:r>
            </w:smartTag>
            <w:r>
              <w:rPr>
                <w:rFonts w:hint="eastAsia"/>
                <w:i/>
                <w:iCs/>
              </w:rPr>
              <w:t xml:space="preserve"> </w:t>
            </w:r>
            <w:r>
              <w:rPr>
                <w:rFonts w:hint="eastAsia"/>
              </w:rPr>
              <w:t>and passbook savings deposits of individuals with other depository corporations.</w:t>
            </w:r>
          </w:p>
          <w:p w:rsidR="002323E7" w:rsidRDefault="002323E7">
            <w:pPr>
              <w:pStyle w:val="ac"/>
              <w:spacing w:afterLines="0" w:after="0"/>
            </w:pPr>
            <w:r>
              <w:rPr>
                <w:rFonts w:hint="eastAsia"/>
              </w:rPr>
              <w:t>M2</w:t>
            </w:r>
            <w:r w:rsidR="00320CCC">
              <w:rPr>
                <w:rFonts w:hint="eastAsia"/>
              </w:rPr>
              <w:t xml:space="preserve"> : </w:t>
            </w:r>
            <w:r>
              <w:t>See note</w:t>
            </w:r>
            <w:r>
              <w:rPr>
                <w:rFonts w:hint="eastAsia"/>
              </w:rPr>
              <w:t>s</w:t>
            </w:r>
            <w:r>
              <w:t xml:space="preserve"> on</w:t>
            </w:r>
            <w:r>
              <w:rPr>
                <w:rFonts w:hint="eastAsia"/>
              </w:rPr>
              <w:t xml:space="preserve"> Broad Money</w:t>
            </w:r>
          </w:p>
          <w:p w:rsidR="002323E7" w:rsidRDefault="002323E7" w:rsidP="00FB5DED">
            <w:pPr>
              <w:pStyle w:val="aa"/>
              <w:spacing w:line="240" w:lineRule="exact"/>
            </w:pPr>
            <w:r>
              <w:rPr>
                <w:rFonts w:hint="eastAsia"/>
              </w:rPr>
              <w:t>Interest Rates :</w:t>
            </w:r>
          </w:p>
          <w:p w:rsidR="002323E7" w:rsidRDefault="002323E7">
            <w:pPr>
              <w:pStyle w:val="ac"/>
              <w:spacing w:afterLines="0" w:after="0"/>
              <w:rPr>
                <w:sz w:val="14"/>
              </w:rPr>
            </w:pPr>
            <w:r>
              <w:rPr>
                <w:rFonts w:hint="eastAsia"/>
              </w:rPr>
              <w:t>Discount Rates (End of Period)</w:t>
            </w:r>
            <w:r>
              <w:t>:</w:t>
            </w:r>
          </w:p>
          <w:p w:rsidR="002323E7" w:rsidRDefault="002323E7">
            <w:pPr>
              <w:pStyle w:val="ab"/>
              <w:spacing w:afterLines="0" w:after="0"/>
            </w:pPr>
            <w:r>
              <w:rPr>
                <w:rFonts w:hint="eastAsia"/>
              </w:rPr>
              <w:t>The rate at which the Central Bank discounts eligible paper.</w:t>
            </w:r>
          </w:p>
          <w:p w:rsidR="002323E7" w:rsidRDefault="002323E7">
            <w:pPr>
              <w:pStyle w:val="ac"/>
              <w:spacing w:afterLines="0" w:after="0"/>
              <w:rPr>
                <w:i w:val="0"/>
                <w:iCs w:val="0"/>
                <w:sz w:val="18"/>
              </w:rPr>
            </w:pPr>
            <w:r>
              <w:rPr>
                <w:rFonts w:hint="eastAsia"/>
              </w:rPr>
              <w:t>O/N Call Loan Rate:</w:t>
            </w:r>
          </w:p>
          <w:p w:rsidR="002323E7" w:rsidRDefault="002323E7">
            <w:pPr>
              <w:pStyle w:val="ab"/>
              <w:spacing w:afterLines="0" w:after="0"/>
            </w:pPr>
            <w:r>
              <w:rPr>
                <w:rFonts w:hint="eastAsia"/>
              </w:rPr>
              <w:t>Refers to the average rate weighted by the amount of overnight interbank call loans.</w:t>
            </w:r>
          </w:p>
          <w:p w:rsidR="002323E7" w:rsidRDefault="002323E7">
            <w:pPr>
              <w:pStyle w:val="ac"/>
              <w:spacing w:afterLines="0" w:after="0"/>
            </w:pPr>
            <w:r>
              <w:rPr>
                <w:rFonts w:hint="eastAsia"/>
              </w:rPr>
              <w:t>Commercial Paper Rate:</w:t>
            </w:r>
          </w:p>
          <w:p w:rsidR="002323E7" w:rsidRDefault="002323E7">
            <w:pPr>
              <w:pStyle w:val="ab"/>
              <w:spacing w:afterLines="0" w:after="0"/>
            </w:pPr>
            <w:r>
              <w:rPr>
                <w:rFonts w:hint="eastAsia"/>
              </w:rPr>
              <w:t>Rate on 31-90 days commercial paper in the secondary market.</w:t>
            </w:r>
          </w:p>
          <w:p w:rsidR="002323E7" w:rsidRDefault="002323E7">
            <w:pPr>
              <w:pStyle w:val="ac"/>
              <w:spacing w:afterLines="0" w:after="0"/>
            </w:pPr>
            <w:r>
              <w:rPr>
                <w:rFonts w:hint="eastAsia"/>
              </w:rPr>
              <w:t>1 Year Deposit Rate (End of Period):</w:t>
            </w:r>
          </w:p>
          <w:p w:rsidR="002323E7" w:rsidRDefault="002323E7">
            <w:pPr>
              <w:pStyle w:val="ab"/>
              <w:spacing w:afterLines="0" w:after="0"/>
            </w:pPr>
            <w:r>
              <w:rPr>
                <w:rFonts w:hint="eastAsia"/>
              </w:rPr>
              <w:t>A</w:t>
            </w:r>
            <w:r>
              <w:t>rithmetic</w:t>
            </w:r>
            <w:r>
              <w:rPr>
                <w:rFonts w:hint="eastAsia"/>
              </w:rPr>
              <w:t xml:space="preserve"> average rate offered by the five largest commercial banks on 1-year deposits.</w:t>
            </w:r>
          </w:p>
          <w:p w:rsidR="002323E7" w:rsidRDefault="002323E7">
            <w:pPr>
              <w:pStyle w:val="ac"/>
              <w:spacing w:afterLines="0" w:after="0"/>
              <w:rPr>
                <w:sz w:val="14"/>
              </w:rPr>
            </w:pPr>
            <w:r>
              <w:rPr>
                <w:rFonts w:hint="eastAsia"/>
              </w:rPr>
              <w:t>Lending Rate (Prime Rate) (End of Period)</w:t>
            </w:r>
            <w:r w:rsidR="00320CCC">
              <w:rPr>
                <w:rFonts w:hint="eastAsia"/>
              </w:rPr>
              <w:t>:</w:t>
            </w:r>
          </w:p>
          <w:p w:rsidR="002323E7" w:rsidRDefault="002323E7">
            <w:pPr>
              <w:pStyle w:val="ab"/>
              <w:spacing w:afterLines="0" w:after="0"/>
            </w:pPr>
            <w:r>
              <w:rPr>
                <w:rFonts w:hint="eastAsia"/>
              </w:rPr>
              <w:t>A</w:t>
            </w:r>
            <w:r>
              <w:t>rithmetic</w:t>
            </w:r>
            <w:r>
              <w:rPr>
                <w:rFonts w:hint="eastAsia"/>
              </w:rPr>
              <w:t xml:space="preserve"> average base rate charged by the five largest commercial banks on short-term loans.</w:t>
            </w:r>
          </w:p>
          <w:p w:rsidR="002323E7" w:rsidRDefault="002323E7">
            <w:pPr>
              <w:pStyle w:val="ac"/>
              <w:spacing w:afterLines="0" w:after="0"/>
              <w:rPr>
                <w:sz w:val="14"/>
              </w:rPr>
            </w:pPr>
            <w:r>
              <w:rPr>
                <w:rFonts w:hint="eastAsia"/>
              </w:rPr>
              <w:t>10 Year Government Bond Yield</w:t>
            </w:r>
            <w:r w:rsidR="00320CCC">
              <w:rPr>
                <w:rFonts w:hint="eastAsia"/>
              </w:rPr>
              <w:t>:</w:t>
            </w:r>
          </w:p>
          <w:p w:rsidR="002323E7" w:rsidRDefault="002323E7">
            <w:pPr>
              <w:pStyle w:val="ab"/>
              <w:spacing w:afterLines="0" w:after="0"/>
            </w:pPr>
            <w:r>
              <w:rPr>
                <w:rFonts w:hint="eastAsia"/>
              </w:rPr>
              <w:t>Refers to yield on government bonds in the secondary market with a ten-year maturity.</w:t>
            </w:r>
          </w:p>
          <w:p w:rsidR="002323E7" w:rsidRDefault="002323E7" w:rsidP="0068300E">
            <w:pPr>
              <w:pStyle w:val="aa"/>
              <w:spacing w:line="260" w:lineRule="exact"/>
              <w:rPr>
                <w:b w:val="0"/>
                <w:bCs w:val="0"/>
              </w:rPr>
            </w:pPr>
            <w:r>
              <w:rPr>
                <w:rFonts w:hint="eastAsia"/>
              </w:rPr>
              <w:t>Government Finance</w:t>
            </w:r>
            <w:r w:rsidR="0076778B">
              <w:rPr>
                <w:rFonts w:hint="eastAsia"/>
              </w:rPr>
              <w:t xml:space="preserve"> :</w:t>
            </w:r>
          </w:p>
          <w:p w:rsidR="002323E7" w:rsidRDefault="002323E7">
            <w:pPr>
              <w:pStyle w:val="ab"/>
              <w:spacing w:afterLines="0" w:after="0"/>
            </w:pPr>
            <w:r>
              <w:t>Data are from the Ministry of Finance and cover the central government. Data are reported in the GFSM 2001 analytical framework. The fiscal year ends December 31.</w:t>
            </w:r>
          </w:p>
          <w:p w:rsidR="0076778B" w:rsidRDefault="0076778B" w:rsidP="0068300E">
            <w:pPr>
              <w:pStyle w:val="aa"/>
              <w:spacing w:line="260" w:lineRule="exact"/>
            </w:pPr>
            <w:r>
              <w:rPr>
                <w:rFonts w:hint="eastAsia"/>
              </w:rPr>
              <w:t>Symbols :</w:t>
            </w:r>
          </w:p>
          <w:p w:rsidR="0076778B" w:rsidRDefault="0076778B" w:rsidP="0076778B">
            <w:pPr>
              <w:pStyle w:val="ab"/>
              <w:spacing w:afterLines="0" w:after="0"/>
            </w:pPr>
            <w:r>
              <w:rPr>
                <w:rFonts w:hint="eastAsia"/>
              </w:rPr>
              <w:t>(-)</w:t>
            </w:r>
            <w:r w:rsidR="0068300E">
              <w:rPr>
                <w:rFonts w:hint="eastAsia"/>
              </w:rPr>
              <w:t xml:space="preserve"> Indicates that a figure is zero or less than half a significant digit.</w:t>
            </w:r>
          </w:p>
          <w:p w:rsidR="0076778B" w:rsidRPr="0076778B" w:rsidRDefault="0076778B" w:rsidP="0076778B">
            <w:pPr>
              <w:pStyle w:val="ab"/>
              <w:spacing w:afterLines="0" w:after="0"/>
            </w:pPr>
            <w:r>
              <w:rPr>
                <w:rFonts w:hint="eastAsia"/>
              </w:rPr>
              <w:t>(</w:t>
            </w:r>
            <w:r>
              <w:t>…</w:t>
            </w:r>
            <w:r>
              <w:rPr>
                <w:rFonts w:hint="eastAsia"/>
              </w:rPr>
              <w:t>.)</w:t>
            </w:r>
            <w:r w:rsidR="0068300E">
              <w:rPr>
                <w:rFonts w:hint="eastAsia"/>
              </w:rPr>
              <w:t xml:space="preserve"> Indicates a lack of statistical data that can be reported</w:t>
            </w:r>
            <w:r w:rsidR="00313C48">
              <w:rPr>
                <w:rFonts w:hint="eastAsia"/>
              </w:rPr>
              <w:t xml:space="preserve"> or</w:t>
            </w:r>
            <w:r w:rsidR="0068300E">
              <w:rPr>
                <w:rFonts w:hint="eastAsia"/>
              </w:rPr>
              <w:t xml:space="preserve"> calculated from</w:t>
            </w:r>
            <w:r w:rsidR="00FB5DED">
              <w:rPr>
                <w:rFonts w:hint="eastAsia"/>
              </w:rPr>
              <w:t xml:space="preserve"> underlying observations.</w:t>
            </w:r>
          </w:p>
        </w:tc>
      </w:tr>
    </w:tbl>
    <w:p w:rsidR="00C63517" w:rsidRDefault="00C63517" w:rsidP="0081769C">
      <w:pPr>
        <w:pStyle w:val="a5"/>
        <w:tabs>
          <w:tab w:val="clear" w:pos="4153"/>
          <w:tab w:val="clear" w:pos="8306"/>
        </w:tabs>
        <w:snapToGrid/>
        <w:spacing w:line="160" w:lineRule="atLeast"/>
        <w:rPr>
          <w:sz w:val="16"/>
          <w:szCs w:val="24"/>
        </w:rPr>
        <w:sectPr w:rsidR="00C63517" w:rsidSect="0081769C">
          <w:footerReference w:type="default" r:id="rId9"/>
          <w:pgSz w:w="11906" w:h="16838" w:code="9"/>
          <w:pgMar w:top="238" w:right="567" w:bottom="244" w:left="567" w:header="113" w:footer="227" w:gutter="0"/>
          <w:cols w:space="425"/>
          <w:docGrid w:type="lines" w:linePitch="360"/>
        </w:sectPr>
      </w:pPr>
    </w:p>
    <w:p w:rsidR="002323E7" w:rsidRDefault="002323E7" w:rsidP="00F109ED">
      <w:pPr>
        <w:pStyle w:val="a5"/>
        <w:tabs>
          <w:tab w:val="clear" w:pos="4153"/>
          <w:tab w:val="clear" w:pos="8306"/>
        </w:tabs>
        <w:snapToGrid/>
        <w:spacing w:line="160" w:lineRule="atLeast"/>
        <w:rPr>
          <w:sz w:val="16"/>
          <w:szCs w:val="24"/>
        </w:rPr>
      </w:pPr>
    </w:p>
    <w:sectPr w:rsidR="002323E7" w:rsidSect="0081769C">
      <w:footerReference w:type="default" r:id="rId10"/>
      <w:pgSz w:w="11906" w:h="16838" w:code="9"/>
      <w:pgMar w:top="238" w:right="567" w:bottom="244" w:left="567" w:header="113" w:footer="22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B3B" w:rsidRDefault="00B66B3B">
      <w:r>
        <w:separator/>
      </w:r>
    </w:p>
  </w:endnote>
  <w:endnote w:type="continuationSeparator" w:id="0">
    <w:p w:rsidR="00B66B3B" w:rsidRDefault="00B66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3E7" w:rsidRDefault="004D48DB">
    <w:pPr>
      <w:pStyle w:val="a5"/>
      <w:pBdr>
        <w:top w:val="single" w:sz="4" w:space="1" w:color="auto"/>
      </w:pBdr>
      <w:tabs>
        <w:tab w:val="clear" w:pos="4153"/>
        <w:tab w:val="clear" w:pos="8306"/>
        <w:tab w:val="right" w:pos="10620"/>
      </w:tabs>
      <w:ind w:firstLineChars="200" w:firstLine="260"/>
      <w:rPr>
        <w:rFonts w:ascii="Arial" w:hAnsi="Arial" w:cs="Arial"/>
        <w:sz w:val="13"/>
      </w:rPr>
    </w:pPr>
    <w:r>
      <w:rPr>
        <w:rFonts w:ascii="Arial" w:hAnsi="Arial" w:cs="Arial" w:hint="eastAsia"/>
        <w:b/>
        <w:bCs/>
        <w:sz w:val="13"/>
      </w:rPr>
      <w:t xml:space="preserve">10                                               </w:t>
    </w:r>
    <w:r w:rsidR="000F0B8B">
      <w:rPr>
        <w:rFonts w:ascii="Arial" w:hAnsi="Arial" w:cs="Arial" w:hint="eastAsia"/>
        <w:b/>
        <w:bCs/>
        <w:sz w:val="13"/>
      </w:rPr>
      <w:t xml:space="preserve">                             </w:t>
    </w:r>
    <w:r w:rsidR="00193A89">
      <w:rPr>
        <w:rFonts w:ascii="Arial" w:hAnsi="Arial" w:cs="Arial" w:hint="eastAsia"/>
        <w:b/>
        <w:bCs/>
        <w:sz w:val="13"/>
      </w:rPr>
      <w:t xml:space="preserve">  </w:t>
    </w:r>
    <w:r w:rsidR="00192E2C">
      <w:rPr>
        <w:rFonts w:ascii="Arial" w:hAnsi="Arial" w:cs="Arial" w:hint="eastAsia"/>
        <w:b/>
        <w:bCs/>
        <w:sz w:val="13"/>
      </w:rPr>
      <w:t>Febr</w:t>
    </w:r>
    <w:r w:rsidR="00A964B0">
      <w:rPr>
        <w:rFonts w:ascii="Arial" w:hAnsi="Arial" w:cs="Arial" w:hint="eastAsia"/>
        <w:b/>
        <w:bCs/>
        <w:sz w:val="13"/>
      </w:rPr>
      <w:t>uary</w:t>
    </w:r>
    <w:r w:rsidR="002323E7">
      <w:rPr>
        <w:rFonts w:ascii="Arial" w:hAnsi="Arial" w:cs="Arial" w:hint="eastAsia"/>
        <w:b/>
        <w:bCs/>
        <w:sz w:val="13"/>
      </w:rPr>
      <w:t xml:space="preserve"> 20</w:t>
    </w:r>
    <w:r w:rsidR="00A964B0">
      <w:rPr>
        <w:rFonts w:ascii="Arial" w:hAnsi="Arial" w:cs="Arial" w:hint="eastAsia"/>
        <w:b/>
        <w:bCs/>
        <w:sz w:val="13"/>
      </w:rPr>
      <w:t>20</w:t>
    </w:r>
    <w:r w:rsidR="002323E7">
      <w:rPr>
        <w:rFonts w:ascii="Arial" w:hAnsi="Arial" w:cs="Arial" w:hint="eastAsia"/>
        <w:b/>
        <w:bCs/>
        <w:sz w:val="13"/>
      </w:rPr>
      <w:t>, Central Bank of the Republic of China (Taiwan)</w:t>
    </w:r>
    <w:r w:rsidR="00320CCC">
      <w:rPr>
        <w:rFonts w:ascii="Arial" w:hAnsi="Arial" w:cs="Arial" w:hint="eastAsia"/>
        <w:b/>
        <w:bCs/>
        <w:sz w:val="13"/>
      </w:rPr>
      <w:t xml:space="preserve"> : </w:t>
    </w:r>
    <w:r w:rsidR="002323E7">
      <w:rPr>
        <w:rFonts w:ascii="Arial" w:hAnsi="Arial" w:cs="Arial" w:hint="eastAsia"/>
        <w:b/>
        <w:bCs/>
        <w:i/>
        <w:iCs/>
        <w:sz w:val="13"/>
      </w:rPr>
      <w:t>Financial Statistics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517" w:rsidRPr="00C63517" w:rsidRDefault="00C63517" w:rsidP="00C6351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B3B" w:rsidRDefault="00B66B3B">
      <w:r>
        <w:separator/>
      </w:r>
    </w:p>
  </w:footnote>
  <w:footnote w:type="continuationSeparator" w:id="0">
    <w:p w:rsidR="00B66B3B" w:rsidRDefault="00B66B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2CA391A"/>
    <w:lvl w:ilvl="0">
      <w:start w:val="1"/>
      <w:numFmt w:val="decimal"/>
      <w:pStyle w:val="5"/>
      <w:lvlText w:val="%1."/>
      <w:lvlJc w:val="left"/>
      <w:pPr>
        <w:tabs>
          <w:tab w:val="num" w:pos="2281"/>
        </w:tabs>
        <w:ind w:leftChars="1000" w:left="2281" w:hangingChars="200" w:hanging="360"/>
      </w:pPr>
    </w:lvl>
  </w:abstractNum>
  <w:abstractNum w:abstractNumId="1">
    <w:nsid w:val="FFFFFF7D"/>
    <w:multiLevelType w:val="singleLevel"/>
    <w:tmpl w:val="FAE4B6EC"/>
    <w:lvl w:ilvl="0">
      <w:start w:val="1"/>
      <w:numFmt w:val="decimal"/>
      <w:pStyle w:val="4"/>
      <w:lvlText w:val="%1."/>
      <w:lvlJc w:val="left"/>
      <w:pPr>
        <w:tabs>
          <w:tab w:val="num" w:pos="1801"/>
        </w:tabs>
        <w:ind w:leftChars="800" w:left="1801" w:hangingChars="200" w:hanging="360"/>
      </w:pPr>
    </w:lvl>
  </w:abstractNum>
  <w:abstractNum w:abstractNumId="2">
    <w:nsid w:val="FFFFFF7E"/>
    <w:multiLevelType w:val="singleLevel"/>
    <w:tmpl w:val="16563298"/>
    <w:lvl w:ilvl="0">
      <w:start w:val="1"/>
      <w:numFmt w:val="decimal"/>
      <w:pStyle w:val="3"/>
      <w:lvlText w:val="%1."/>
      <w:lvlJc w:val="left"/>
      <w:pPr>
        <w:tabs>
          <w:tab w:val="num" w:pos="1321"/>
        </w:tabs>
        <w:ind w:leftChars="600" w:left="1321" w:hangingChars="200" w:hanging="360"/>
      </w:pPr>
    </w:lvl>
  </w:abstractNum>
  <w:abstractNum w:abstractNumId="3">
    <w:nsid w:val="FFFFFF7F"/>
    <w:multiLevelType w:val="singleLevel"/>
    <w:tmpl w:val="145C88B4"/>
    <w:lvl w:ilvl="0">
      <w:start w:val="1"/>
      <w:numFmt w:val="decimal"/>
      <w:pStyle w:val="2"/>
      <w:lvlText w:val="%1."/>
      <w:lvlJc w:val="left"/>
      <w:pPr>
        <w:tabs>
          <w:tab w:val="num" w:pos="841"/>
        </w:tabs>
        <w:ind w:leftChars="400" w:left="841" w:hangingChars="200" w:hanging="360"/>
      </w:pPr>
    </w:lvl>
  </w:abstractNum>
  <w:abstractNum w:abstractNumId="4">
    <w:nsid w:val="FFFFFF80"/>
    <w:multiLevelType w:val="singleLevel"/>
    <w:tmpl w:val="57D86854"/>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nsid w:val="FFFFFF81"/>
    <w:multiLevelType w:val="singleLevel"/>
    <w:tmpl w:val="4FAA7B4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nsid w:val="FFFFFF82"/>
    <w:multiLevelType w:val="singleLevel"/>
    <w:tmpl w:val="2B247386"/>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nsid w:val="FFFFFF83"/>
    <w:multiLevelType w:val="singleLevel"/>
    <w:tmpl w:val="F6A0E168"/>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nsid w:val="FFFFFF88"/>
    <w:multiLevelType w:val="singleLevel"/>
    <w:tmpl w:val="D8FA7984"/>
    <w:lvl w:ilvl="0">
      <w:start w:val="1"/>
      <w:numFmt w:val="decimal"/>
      <w:pStyle w:val="a"/>
      <w:lvlText w:val="%1."/>
      <w:lvlJc w:val="left"/>
      <w:pPr>
        <w:tabs>
          <w:tab w:val="num" w:pos="361"/>
        </w:tabs>
        <w:ind w:leftChars="200" w:left="361" w:hangingChars="200" w:hanging="360"/>
      </w:pPr>
    </w:lvl>
  </w:abstractNum>
  <w:abstractNum w:abstractNumId="9">
    <w:nsid w:val="FFFFFF89"/>
    <w:multiLevelType w:val="singleLevel"/>
    <w:tmpl w:val="2FECE444"/>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nsid w:val="0761322C"/>
    <w:multiLevelType w:val="hybridMultilevel"/>
    <w:tmpl w:val="E9A4FDD6"/>
    <w:lvl w:ilvl="0" w:tplc="E00E24FE">
      <w:start w:val="1"/>
      <w:numFmt w:val="bullet"/>
      <w:lvlText w:val=""/>
      <w:lvlJc w:val="left"/>
      <w:pPr>
        <w:tabs>
          <w:tab w:val="num" w:pos="794"/>
        </w:tabs>
        <w:ind w:left="794" w:hanging="454"/>
      </w:pPr>
      <w:rPr>
        <w:rFonts w:ascii="Symbol" w:hAnsi="Symbol"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851282E4">
      <w:start w:val="1"/>
      <w:numFmt w:val="bullet"/>
      <w:lvlText w:val=""/>
      <w:lvlJc w:val="left"/>
      <w:pPr>
        <w:tabs>
          <w:tab w:val="num" w:pos="2400"/>
        </w:tabs>
        <w:ind w:left="2400" w:hanging="480"/>
      </w:pPr>
      <w:rPr>
        <w:rFonts w:ascii="Wingdings" w:hAnsi="Wingdings" w:hint="default"/>
        <w:sz w:val="16"/>
      </w:rPr>
    </w:lvl>
    <w:lvl w:ilvl="5" w:tplc="E00E24FE">
      <w:start w:val="1"/>
      <w:numFmt w:val="bullet"/>
      <w:lvlText w:val=""/>
      <w:lvlJc w:val="left"/>
      <w:pPr>
        <w:tabs>
          <w:tab w:val="num" w:pos="2854"/>
        </w:tabs>
        <w:ind w:left="2854" w:hanging="454"/>
      </w:pPr>
      <w:rPr>
        <w:rFonts w:ascii="Symbol" w:hAnsi="Symbol" w:hint="default"/>
        <w:sz w:val="16"/>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0E336A39"/>
    <w:multiLevelType w:val="hybridMultilevel"/>
    <w:tmpl w:val="44FCEA86"/>
    <w:lvl w:ilvl="0" w:tplc="148EEC62">
      <w:start w:val="1"/>
      <w:numFmt w:val="bullet"/>
      <w:lvlText w:val=""/>
      <w:lvlJc w:val="left"/>
      <w:pPr>
        <w:tabs>
          <w:tab w:val="num" w:pos="794"/>
        </w:tabs>
        <w:ind w:left="794" w:hanging="454"/>
      </w:pPr>
      <w:rPr>
        <w:rFonts w:ascii="Wingdings" w:hAnsi="Wingdings" w:hint="default"/>
        <w:sz w:val="22"/>
      </w:rPr>
    </w:lvl>
    <w:lvl w:ilvl="1" w:tplc="0409000F">
      <w:start w:val="1"/>
      <w:numFmt w:val="decimal"/>
      <w:lvlText w:val="%2."/>
      <w:lvlJc w:val="left"/>
      <w:pPr>
        <w:tabs>
          <w:tab w:val="num" w:pos="960"/>
        </w:tabs>
        <w:ind w:left="960" w:hanging="480"/>
      </w:p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433A3864"/>
    <w:multiLevelType w:val="hybridMultilevel"/>
    <w:tmpl w:val="3FB672C0"/>
    <w:lvl w:ilvl="0" w:tplc="6624DB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57A63DA2"/>
    <w:multiLevelType w:val="hybridMultilevel"/>
    <w:tmpl w:val="44FCEA86"/>
    <w:lvl w:ilvl="0" w:tplc="A96C3972">
      <w:start w:val="1"/>
      <w:numFmt w:val="bullet"/>
      <w:lvlText w:val=""/>
      <w:lvlJc w:val="left"/>
      <w:pPr>
        <w:tabs>
          <w:tab w:val="num" w:pos="794"/>
        </w:tabs>
        <w:ind w:left="794" w:hanging="454"/>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nsid w:val="704563D1"/>
    <w:multiLevelType w:val="hybridMultilevel"/>
    <w:tmpl w:val="E9A4FDD6"/>
    <w:lvl w:ilvl="0" w:tplc="E00E24FE">
      <w:start w:val="1"/>
      <w:numFmt w:val="bullet"/>
      <w:lvlText w:val=""/>
      <w:lvlJc w:val="left"/>
      <w:pPr>
        <w:tabs>
          <w:tab w:val="num" w:pos="794"/>
        </w:tabs>
        <w:ind w:left="794" w:hanging="454"/>
      </w:pPr>
      <w:rPr>
        <w:rFonts w:ascii="Symbol" w:hAnsi="Symbol"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851282E4">
      <w:start w:val="1"/>
      <w:numFmt w:val="bullet"/>
      <w:lvlText w:val=""/>
      <w:lvlJc w:val="left"/>
      <w:pPr>
        <w:tabs>
          <w:tab w:val="num" w:pos="2400"/>
        </w:tabs>
        <w:ind w:left="2400" w:hanging="480"/>
      </w:pPr>
      <w:rPr>
        <w:rFonts w:ascii="Wingdings" w:hAnsi="Wingdings" w:hint="default"/>
        <w:sz w:val="16"/>
      </w:rPr>
    </w:lvl>
    <w:lvl w:ilvl="5" w:tplc="E00E24FE">
      <w:start w:val="1"/>
      <w:numFmt w:val="bullet"/>
      <w:lvlText w:val=""/>
      <w:lvlJc w:val="left"/>
      <w:pPr>
        <w:tabs>
          <w:tab w:val="num" w:pos="2854"/>
        </w:tabs>
        <w:ind w:left="2854" w:hanging="454"/>
      </w:pPr>
      <w:rPr>
        <w:rFonts w:ascii="Symbol" w:hAnsi="Symbol" w:hint="default"/>
        <w:sz w:val="16"/>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nsid w:val="70E96093"/>
    <w:multiLevelType w:val="hybridMultilevel"/>
    <w:tmpl w:val="4DA895C2"/>
    <w:lvl w:ilvl="0" w:tplc="851282E4">
      <w:start w:val="1"/>
      <w:numFmt w:val="bullet"/>
      <w:lvlText w:val=""/>
      <w:lvlJc w:val="left"/>
      <w:pPr>
        <w:tabs>
          <w:tab w:val="num" w:pos="3298"/>
        </w:tabs>
        <w:ind w:left="3298" w:hanging="480"/>
      </w:pPr>
      <w:rPr>
        <w:rFonts w:ascii="Wingdings" w:hAnsi="Wingdings" w:hint="default"/>
        <w:sz w:val="16"/>
      </w:rPr>
    </w:lvl>
    <w:lvl w:ilvl="1" w:tplc="A49EE822">
      <w:start w:val="1"/>
      <w:numFmt w:val="bullet"/>
      <w:lvlText w:val=""/>
      <w:lvlJc w:val="left"/>
      <w:pPr>
        <w:tabs>
          <w:tab w:val="num" w:pos="1858"/>
        </w:tabs>
        <w:ind w:left="1858" w:hanging="480"/>
      </w:pPr>
      <w:rPr>
        <w:rFonts w:ascii="Wingdings" w:hAnsi="Wingdings" w:hint="default"/>
        <w:sz w:val="16"/>
      </w:rPr>
    </w:lvl>
    <w:lvl w:ilvl="2" w:tplc="04090005" w:tentative="1">
      <w:start w:val="1"/>
      <w:numFmt w:val="bullet"/>
      <w:lvlText w:val=""/>
      <w:lvlJc w:val="left"/>
      <w:pPr>
        <w:tabs>
          <w:tab w:val="num" w:pos="2338"/>
        </w:tabs>
        <w:ind w:left="2338" w:hanging="480"/>
      </w:pPr>
      <w:rPr>
        <w:rFonts w:ascii="Wingdings" w:hAnsi="Wingdings" w:hint="default"/>
      </w:rPr>
    </w:lvl>
    <w:lvl w:ilvl="3" w:tplc="04090001" w:tentative="1">
      <w:start w:val="1"/>
      <w:numFmt w:val="bullet"/>
      <w:lvlText w:val=""/>
      <w:lvlJc w:val="left"/>
      <w:pPr>
        <w:tabs>
          <w:tab w:val="num" w:pos="2818"/>
        </w:tabs>
        <w:ind w:left="2818" w:hanging="480"/>
      </w:pPr>
      <w:rPr>
        <w:rFonts w:ascii="Wingdings" w:hAnsi="Wingdings" w:hint="default"/>
      </w:rPr>
    </w:lvl>
    <w:lvl w:ilvl="4" w:tplc="04090003" w:tentative="1">
      <w:start w:val="1"/>
      <w:numFmt w:val="bullet"/>
      <w:lvlText w:val=""/>
      <w:lvlJc w:val="left"/>
      <w:pPr>
        <w:tabs>
          <w:tab w:val="num" w:pos="3298"/>
        </w:tabs>
        <w:ind w:left="3298" w:hanging="480"/>
      </w:pPr>
      <w:rPr>
        <w:rFonts w:ascii="Wingdings" w:hAnsi="Wingdings" w:hint="default"/>
      </w:rPr>
    </w:lvl>
    <w:lvl w:ilvl="5" w:tplc="04090005" w:tentative="1">
      <w:start w:val="1"/>
      <w:numFmt w:val="bullet"/>
      <w:lvlText w:val=""/>
      <w:lvlJc w:val="left"/>
      <w:pPr>
        <w:tabs>
          <w:tab w:val="num" w:pos="3778"/>
        </w:tabs>
        <w:ind w:left="3778" w:hanging="480"/>
      </w:pPr>
      <w:rPr>
        <w:rFonts w:ascii="Wingdings" w:hAnsi="Wingdings" w:hint="default"/>
      </w:rPr>
    </w:lvl>
    <w:lvl w:ilvl="6" w:tplc="04090001" w:tentative="1">
      <w:start w:val="1"/>
      <w:numFmt w:val="bullet"/>
      <w:lvlText w:val=""/>
      <w:lvlJc w:val="left"/>
      <w:pPr>
        <w:tabs>
          <w:tab w:val="num" w:pos="4258"/>
        </w:tabs>
        <w:ind w:left="4258" w:hanging="480"/>
      </w:pPr>
      <w:rPr>
        <w:rFonts w:ascii="Wingdings" w:hAnsi="Wingdings" w:hint="default"/>
      </w:rPr>
    </w:lvl>
    <w:lvl w:ilvl="7" w:tplc="04090003" w:tentative="1">
      <w:start w:val="1"/>
      <w:numFmt w:val="bullet"/>
      <w:lvlText w:val=""/>
      <w:lvlJc w:val="left"/>
      <w:pPr>
        <w:tabs>
          <w:tab w:val="num" w:pos="4738"/>
        </w:tabs>
        <w:ind w:left="4738" w:hanging="480"/>
      </w:pPr>
      <w:rPr>
        <w:rFonts w:ascii="Wingdings" w:hAnsi="Wingdings" w:hint="default"/>
      </w:rPr>
    </w:lvl>
    <w:lvl w:ilvl="8" w:tplc="04090005" w:tentative="1">
      <w:start w:val="1"/>
      <w:numFmt w:val="bullet"/>
      <w:lvlText w:val=""/>
      <w:lvlJc w:val="left"/>
      <w:pPr>
        <w:tabs>
          <w:tab w:val="num" w:pos="5218"/>
        </w:tabs>
        <w:ind w:left="5218" w:hanging="480"/>
      </w:pPr>
      <w:rPr>
        <w:rFonts w:ascii="Wingdings" w:hAnsi="Wingdings" w:hint="default"/>
      </w:rPr>
    </w:lvl>
  </w:abstractNum>
  <w:abstractNum w:abstractNumId="16">
    <w:nsid w:val="7FB8145B"/>
    <w:multiLevelType w:val="hybridMultilevel"/>
    <w:tmpl w:val="621C2B72"/>
    <w:lvl w:ilvl="0" w:tplc="08F62C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16"/>
  </w:num>
  <w:num w:numId="3">
    <w:abstractNumId w:val="10"/>
  </w:num>
  <w:num w:numId="4">
    <w:abstractNumId w:val="14"/>
  </w:num>
  <w:num w:numId="5">
    <w:abstractNumId w:val="15"/>
  </w:num>
  <w:num w:numId="6">
    <w:abstractNumId w:val="13"/>
  </w:num>
  <w:num w:numId="7">
    <w:abstractNumId w:val="1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829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ACF"/>
    <w:rsid w:val="0000446A"/>
    <w:rsid w:val="0007049C"/>
    <w:rsid w:val="00074019"/>
    <w:rsid w:val="000837AB"/>
    <w:rsid w:val="000B6BED"/>
    <w:rsid w:val="000D1894"/>
    <w:rsid w:val="000D64C7"/>
    <w:rsid w:val="000F0B8B"/>
    <w:rsid w:val="00105ABC"/>
    <w:rsid w:val="001261D6"/>
    <w:rsid w:val="00126AA3"/>
    <w:rsid w:val="00142AD8"/>
    <w:rsid w:val="0015325D"/>
    <w:rsid w:val="0017056D"/>
    <w:rsid w:val="00171350"/>
    <w:rsid w:val="00192E2C"/>
    <w:rsid w:val="00193236"/>
    <w:rsid w:val="00193A89"/>
    <w:rsid w:val="001A3213"/>
    <w:rsid w:val="001D6ACA"/>
    <w:rsid w:val="00211615"/>
    <w:rsid w:val="0022285D"/>
    <w:rsid w:val="00231BEE"/>
    <w:rsid w:val="002323E7"/>
    <w:rsid w:val="00247E2B"/>
    <w:rsid w:val="002510B6"/>
    <w:rsid w:val="002637CE"/>
    <w:rsid w:val="0027105F"/>
    <w:rsid w:val="002A37D0"/>
    <w:rsid w:val="002B623E"/>
    <w:rsid w:val="002E7E38"/>
    <w:rsid w:val="002F0292"/>
    <w:rsid w:val="0030718F"/>
    <w:rsid w:val="00313C48"/>
    <w:rsid w:val="00320CCC"/>
    <w:rsid w:val="00343CEB"/>
    <w:rsid w:val="0034554F"/>
    <w:rsid w:val="003511E3"/>
    <w:rsid w:val="003526A2"/>
    <w:rsid w:val="003611F1"/>
    <w:rsid w:val="0037770C"/>
    <w:rsid w:val="00385349"/>
    <w:rsid w:val="0038756E"/>
    <w:rsid w:val="00393349"/>
    <w:rsid w:val="003A45C3"/>
    <w:rsid w:val="003E0F1A"/>
    <w:rsid w:val="003F6666"/>
    <w:rsid w:val="004233AC"/>
    <w:rsid w:val="004412D4"/>
    <w:rsid w:val="004475D1"/>
    <w:rsid w:val="00455720"/>
    <w:rsid w:val="004A2F42"/>
    <w:rsid w:val="004B35AE"/>
    <w:rsid w:val="004D0629"/>
    <w:rsid w:val="004D48DB"/>
    <w:rsid w:val="004F0D59"/>
    <w:rsid w:val="004F7D52"/>
    <w:rsid w:val="00512411"/>
    <w:rsid w:val="00520482"/>
    <w:rsid w:val="005724C2"/>
    <w:rsid w:val="00587307"/>
    <w:rsid w:val="005C04F0"/>
    <w:rsid w:val="005F7B4C"/>
    <w:rsid w:val="006113C9"/>
    <w:rsid w:val="00622765"/>
    <w:rsid w:val="00653E69"/>
    <w:rsid w:val="0066061D"/>
    <w:rsid w:val="00673E33"/>
    <w:rsid w:val="006755C3"/>
    <w:rsid w:val="00675D61"/>
    <w:rsid w:val="0068300E"/>
    <w:rsid w:val="0069127D"/>
    <w:rsid w:val="006A3712"/>
    <w:rsid w:val="006B117A"/>
    <w:rsid w:val="006B633F"/>
    <w:rsid w:val="006C4CE9"/>
    <w:rsid w:val="006C6550"/>
    <w:rsid w:val="006E01E9"/>
    <w:rsid w:val="006E2888"/>
    <w:rsid w:val="00710D82"/>
    <w:rsid w:val="00731BAD"/>
    <w:rsid w:val="007625AD"/>
    <w:rsid w:val="007657B7"/>
    <w:rsid w:val="0076778B"/>
    <w:rsid w:val="0077090B"/>
    <w:rsid w:val="0078367B"/>
    <w:rsid w:val="00786097"/>
    <w:rsid w:val="007B1D10"/>
    <w:rsid w:val="007C0E63"/>
    <w:rsid w:val="007C4964"/>
    <w:rsid w:val="007D2D4E"/>
    <w:rsid w:val="007D54F1"/>
    <w:rsid w:val="00802334"/>
    <w:rsid w:val="0081769C"/>
    <w:rsid w:val="0083596C"/>
    <w:rsid w:val="00836BDC"/>
    <w:rsid w:val="008528B8"/>
    <w:rsid w:val="00854BA3"/>
    <w:rsid w:val="00864CEB"/>
    <w:rsid w:val="008916F0"/>
    <w:rsid w:val="00893183"/>
    <w:rsid w:val="008B34A0"/>
    <w:rsid w:val="008E47D1"/>
    <w:rsid w:val="008F3330"/>
    <w:rsid w:val="009030FC"/>
    <w:rsid w:val="009054E3"/>
    <w:rsid w:val="00912DFB"/>
    <w:rsid w:val="00926D9A"/>
    <w:rsid w:val="0094781D"/>
    <w:rsid w:val="00955CBB"/>
    <w:rsid w:val="009622EC"/>
    <w:rsid w:val="0096295E"/>
    <w:rsid w:val="009923F6"/>
    <w:rsid w:val="009A04EF"/>
    <w:rsid w:val="009A0725"/>
    <w:rsid w:val="009A5DE2"/>
    <w:rsid w:val="009A5FD1"/>
    <w:rsid w:val="009E484A"/>
    <w:rsid w:val="00A00877"/>
    <w:rsid w:val="00A02D5D"/>
    <w:rsid w:val="00A10682"/>
    <w:rsid w:val="00A1537A"/>
    <w:rsid w:val="00A63FAC"/>
    <w:rsid w:val="00A70DC3"/>
    <w:rsid w:val="00A82E2A"/>
    <w:rsid w:val="00A9409B"/>
    <w:rsid w:val="00A964B0"/>
    <w:rsid w:val="00AD1301"/>
    <w:rsid w:val="00AE4ACF"/>
    <w:rsid w:val="00AE5C58"/>
    <w:rsid w:val="00AF61C3"/>
    <w:rsid w:val="00B12894"/>
    <w:rsid w:val="00B24680"/>
    <w:rsid w:val="00B5279D"/>
    <w:rsid w:val="00B66B3B"/>
    <w:rsid w:val="00B70F03"/>
    <w:rsid w:val="00B836F3"/>
    <w:rsid w:val="00B84C4F"/>
    <w:rsid w:val="00B915B3"/>
    <w:rsid w:val="00BA5F16"/>
    <w:rsid w:val="00BD0ABD"/>
    <w:rsid w:val="00BD2ABC"/>
    <w:rsid w:val="00BE0008"/>
    <w:rsid w:val="00C045E5"/>
    <w:rsid w:val="00C31A27"/>
    <w:rsid w:val="00C45A07"/>
    <w:rsid w:val="00C63517"/>
    <w:rsid w:val="00CA17C9"/>
    <w:rsid w:val="00CA71C0"/>
    <w:rsid w:val="00CD1EDA"/>
    <w:rsid w:val="00CD6F66"/>
    <w:rsid w:val="00D018F8"/>
    <w:rsid w:val="00D11FEE"/>
    <w:rsid w:val="00D17C87"/>
    <w:rsid w:val="00D26BA4"/>
    <w:rsid w:val="00D359E8"/>
    <w:rsid w:val="00D549B2"/>
    <w:rsid w:val="00D652C4"/>
    <w:rsid w:val="00D73761"/>
    <w:rsid w:val="00D87A06"/>
    <w:rsid w:val="00DB072A"/>
    <w:rsid w:val="00DB5781"/>
    <w:rsid w:val="00DB5BCF"/>
    <w:rsid w:val="00DC2A43"/>
    <w:rsid w:val="00DD2BB6"/>
    <w:rsid w:val="00DE11A3"/>
    <w:rsid w:val="00DE439D"/>
    <w:rsid w:val="00DE7F88"/>
    <w:rsid w:val="00E07AF5"/>
    <w:rsid w:val="00E130B8"/>
    <w:rsid w:val="00E23555"/>
    <w:rsid w:val="00E26A62"/>
    <w:rsid w:val="00E35BEB"/>
    <w:rsid w:val="00E43ADC"/>
    <w:rsid w:val="00E944BE"/>
    <w:rsid w:val="00EB4BE8"/>
    <w:rsid w:val="00EE22B5"/>
    <w:rsid w:val="00EF5448"/>
    <w:rsid w:val="00F017EF"/>
    <w:rsid w:val="00F034B2"/>
    <w:rsid w:val="00F04436"/>
    <w:rsid w:val="00F109ED"/>
    <w:rsid w:val="00F2256D"/>
    <w:rsid w:val="00F3407A"/>
    <w:rsid w:val="00F40620"/>
    <w:rsid w:val="00F44DEE"/>
    <w:rsid w:val="00F47488"/>
    <w:rsid w:val="00F50621"/>
    <w:rsid w:val="00F572EF"/>
    <w:rsid w:val="00F65DFF"/>
    <w:rsid w:val="00F676B0"/>
    <w:rsid w:val="00FA0D52"/>
    <w:rsid w:val="00FB4181"/>
    <w:rsid w:val="00FB4A85"/>
    <w:rsid w:val="00FB5DED"/>
    <w:rsid w:val="00FD62D3"/>
    <w:rsid w:val="00FE5A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829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pPr>
    <w:rPr>
      <w:kern w:val="2"/>
      <w:sz w:val="24"/>
      <w:szCs w:val="24"/>
    </w:rPr>
  </w:style>
  <w:style w:type="paragraph" w:styleId="1">
    <w:name w:val="heading 1"/>
    <w:basedOn w:val="a1"/>
    <w:next w:val="a1"/>
    <w:qFormat/>
    <w:pPr>
      <w:keepNext/>
      <w:outlineLvl w:val="0"/>
    </w:pPr>
    <w:rPr>
      <w:b/>
      <w:bCs/>
      <w:sz w:val="28"/>
    </w:rPr>
  </w:style>
  <w:style w:type="paragraph" w:styleId="21">
    <w:name w:val="heading 2"/>
    <w:basedOn w:val="a1"/>
    <w:next w:val="a1"/>
    <w:qFormat/>
    <w:pPr>
      <w:keepNext/>
      <w:outlineLvl w:val="1"/>
    </w:pPr>
    <w:rPr>
      <w:i/>
      <w:iCs/>
    </w:rPr>
  </w:style>
  <w:style w:type="paragraph" w:styleId="31">
    <w:name w:val="heading 3"/>
    <w:basedOn w:val="a1"/>
    <w:next w:val="a1"/>
    <w:qFormat/>
    <w:pPr>
      <w:keepNext/>
      <w:spacing w:line="320" w:lineRule="exact"/>
      <w:outlineLvl w:val="2"/>
    </w:pPr>
    <w:rPr>
      <w:b/>
      <w:bCs/>
    </w:rPr>
  </w:style>
  <w:style w:type="paragraph" w:styleId="41">
    <w:name w:val="heading 4"/>
    <w:basedOn w:val="a1"/>
    <w:next w:val="a1"/>
    <w:qFormat/>
    <w:pPr>
      <w:keepNext/>
      <w:spacing w:line="720" w:lineRule="auto"/>
      <w:outlineLvl w:val="3"/>
    </w:pPr>
    <w:rPr>
      <w:rFonts w:ascii="Arial" w:hAnsi="Arial"/>
      <w:sz w:val="36"/>
      <w:szCs w:val="36"/>
    </w:rPr>
  </w:style>
  <w:style w:type="paragraph" w:styleId="51">
    <w:name w:val="heading 5"/>
    <w:basedOn w:val="a1"/>
    <w:next w:val="a1"/>
    <w:qFormat/>
    <w:pPr>
      <w:keepNext/>
      <w:snapToGrid w:val="0"/>
      <w:spacing w:line="300" w:lineRule="auto"/>
      <w:outlineLvl w:val="4"/>
    </w:pPr>
    <w:rPr>
      <w:rFonts w:eastAsia="標楷體"/>
      <w:sz w:val="28"/>
    </w:rPr>
  </w:style>
  <w:style w:type="paragraph" w:styleId="6">
    <w:name w:val="heading 6"/>
    <w:basedOn w:val="a1"/>
    <w:next w:val="a1"/>
    <w:qFormat/>
    <w:pPr>
      <w:keepNext/>
      <w:snapToGrid w:val="0"/>
      <w:spacing w:line="300" w:lineRule="auto"/>
      <w:ind w:hanging="2"/>
      <w:outlineLvl w:val="5"/>
    </w:pPr>
    <w:rPr>
      <w:rFonts w:eastAsia="標楷體"/>
      <w:sz w:val="28"/>
    </w:rPr>
  </w:style>
  <w:style w:type="paragraph" w:styleId="7">
    <w:name w:val="heading 7"/>
    <w:basedOn w:val="a1"/>
    <w:next w:val="a1"/>
    <w:qFormat/>
    <w:pPr>
      <w:keepNext/>
      <w:spacing w:line="720" w:lineRule="auto"/>
      <w:ind w:leftChars="400" w:left="400"/>
      <w:outlineLvl w:val="6"/>
    </w:pPr>
    <w:rPr>
      <w:rFonts w:ascii="Arial" w:hAnsi="Arial"/>
      <w:b/>
      <w:bCs/>
      <w:sz w:val="36"/>
      <w:szCs w:val="36"/>
    </w:rPr>
  </w:style>
  <w:style w:type="paragraph" w:styleId="8">
    <w:name w:val="heading 8"/>
    <w:basedOn w:val="a1"/>
    <w:next w:val="a1"/>
    <w:qFormat/>
    <w:pPr>
      <w:keepNext/>
      <w:spacing w:line="720" w:lineRule="auto"/>
      <w:ind w:leftChars="400" w:left="400"/>
      <w:outlineLvl w:val="7"/>
    </w:pPr>
    <w:rPr>
      <w:rFonts w:ascii="Arial" w:hAnsi="Arial"/>
      <w:sz w:val="36"/>
      <w:szCs w:val="36"/>
    </w:rPr>
  </w:style>
  <w:style w:type="paragraph" w:styleId="9">
    <w:name w:val="heading 9"/>
    <w:basedOn w:val="a1"/>
    <w:next w:val="a1"/>
    <w:qFormat/>
    <w:pPr>
      <w:keepNext/>
      <w:spacing w:line="720" w:lineRule="auto"/>
      <w:ind w:leftChars="400" w:left="400"/>
      <w:outlineLvl w:val="8"/>
    </w:pPr>
    <w:rPr>
      <w:rFonts w:ascii="Arial" w:hAnsi="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semiHidden/>
    <w:pPr>
      <w:tabs>
        <w:tab w:val="center" w:pos="4153"/>
        <w:tab w:val="right" w:pos="8306"/>
      </w:tabs>
      <w:snapToGrid w:val="0"/>
    </w:pPr>
    <w:rPr>
      <w:sz w:val="20"/>
      <w:szCs w:val="20"/>
    </w:rPr>
  </w:style>
  <w:style w:type="character" w:styleId="a6">
    <w:name w:val="page number"/>
    <w:basedOn w:val="a2"/>
    <w:semiHidden/>
  </w:style>
  <w:style w:type="character" w:styleId="a7">
    <w:name w:val="Emphasis"/>
    <w:qFormat/>
    <w:rPr>
      <w:b w:val="0"/>
      <w:bCs w:val="0"/>
      <w:i w:val="0"/>
      <w:iCs w:val="0"/>
      <w:color w:val="CC0033"/>
    </w:rPr>
  </w:style>
  <w:style w:type="paragraph" w:styleId="32">
    <w:name w:val="Body Text Indent 3"/>
    <w:basedOn w:val="a1"/>
    <w:semiHidden/>
    <w:pPr>
      <w:ind w:left="720" w:firstLine="454"/>
    </w:pPr>
    <w:rPr>
      <w:rFonts w:eastAsia="標楷體"/>
      <w:sz w:val="20"/>
      <w:szCs w:val="20"/>
    </w:rPr>
  </w:style>
  <w:style w:type="character" w:styleId="a8">
    <w:name w:val="Strong"/>
    <w:qFormat/>
    <w:rPr>
      <w:b/>
      <w:bCs/>
    </w:rPr>
  </w:style>
  <w:style w:type="paragraph" w:styleId="a9">
    <w:name w:val="Body Text Indent"/>
    <w:basedOn w:val="a1"/>
    <w:semiHidden/>
    <w:pPr>
      <w:ind w:left="2"/>
      <w:jc w:val="both"/>
    </w:pPr>
    <w:rPr>
      <w:rFonts w:ascii="Arial" w:hAnsi="Arial" w:cs="Arial"/>
      <w:sz w:val="22"/>
    </w:rPr>
  </w:style>
  <w:style w:type="paragraph" w:customStyle="1" w:styleId="aa">
    <w:name w:val="粗標"/>
    <w:basedOn w:val="a1"/>
    <w:pPr>
      <w:spacing w:line="300" w:lineRule="exact"/>
      <w:ind w:leftChars="50" w:left="120" w:rightChars="50" w:right="120"/>
    </w:pPr>
    <w:rPr>
      <w:rFonts w:ascii="Book Antiqua" w:hAnsi="Book Antiqua"/>
      <w:b/>
      <w:bCs/>
      <w:spacing w:val="-4"/>
      <w:sz w:val="18"/>
    </w:rPr>
  </w:style>
  <w:style w:type="paragraph" w:customStyle="1" w:styleId="ab">
    <w:name w:val="說明"/>
    <w:basedOn w:val="a1"/>
    <w:pPr>
      <w:spacing w:afterLines="8" w:after="28" w:line="200" w:lineRule="exact"/>
      <w:ind w:leftChars="50" w:left="120" w:rightChars="50" w:right="120"/>
      <w:jc w:val="both"/>
    </w:pPr>
    <w:rPr>
      <w:rFonts w:ascii="Book Antiqua" w:hAnsi="Book Antiqua"/>
      <w:spacing w:val="2"/>
      <w:sz w:val="16"/>
    </w:rPr>
  </w:style>
  <w:style w:type="paragraph" w:customStyle="1" w:styleId="ac">
    <w:name w:val="項目斜體"/>
    <w:basedOn w:val="a1"/>
    <w:pPr>
      <w:spacing w:afterLines="5" w:after="18" w:line="240" w:lineRule="exact"/>
      <w:ind w:leftChars="50" w:left="120" w:rightChars="50" w:right="120"/>
    </w:pPr>
    <w:rPr>
      <w:rFonts w:ascii="Palatino Linotype" w:hAnsi="Palatino Linotype"/>
      <w:i/>
      <w:iCs/>
      <w:sz w:val="17"/>
    </w:rPr>
  </w:style>
  <w:style w:type="paragraph" w:customStyle="1" w:styleId="xl27">
    <w:name w:val="xl27"/>
    <w:basedOn w:val="a1"/>
    <w:pPr>
      <w:widowControl/>
      <w:spacing w:before="100" w:beforeAutospacing="1" w:after="100" w:afterAutospacing="1"/>
      <w:jc w:val="center"/>
    </w:pPr>
    <w:rPr>
      <w:rFonts w:ascii="Arial Unicode MS" w:eastAsia="Arial Unicode MS" w:hAnsi="Arial Unicode MS" w:cs="Arial Unicode MS"/>
      <w:kern w:val="0"/>
      <w:sz w:val="72"/>
      <w:szCs w:val="72"/>
    </w:rPr>
  </w:style>
  <w:style w:type="paragraph" w:styleId="ad">
    <w:name w:val="Date"/>
    <w:basedOn w:val="a1"/>
    <w:next w:val="a1"/>
    <w:semiHidden/>
    <w:pPr>
      <w:jc w:val="right"/>
    </w:pPr>
  </w:style>
  <w:style w:type="paragraph" w:styleId="ae">
    <w:name w:val="header"/>
    <w:basedOn w:val="a1"/>
    <w:semiHidden/>
    <w:pPr>
      <w:tabs>
        <w:tab w:val="center" w:pos="4153"/>
        <w:tab w:val="right" w:pos="8306"/>
      </w:tabs>
      <w:snapToGrid w:val="0"/>
    </w:pPr>
    <w:rPr>
      <w:sz w:val="20"/>
      <w:szCs w:val="20"/>
    </w:rPr>
  </w:style>
  <w:style w:type="paragraph" w:customStyle="1" w:styleId="xl30">
    <w:name w:val="xl30"/>
    <w:basedOn w:val="a1"/>
    <w:pPr>
      <w:widowControl/>
      <w:spacing w:before="100" w:beforeAutospacing="1" w:after="100" w:afterAutospacing="1"/>
      <w:jc w:val="center"/>
      <w:textAlignment w:val="center"/>
    </w:pPr>
    <w:rPr>
      <w:rFonts w:ascii="Arial Unicode MS" w:eastAsia="Arial Unicode MS" w:hAnsi="Arial Unicode MS" w:cs="Arial Unicode MS"/>
      <w:kern w:val="0"/>
      <w:sz w:val="36"/>
      <w:szCs w:val="36"/>
    </w:rPr>
  </w:style>
  <w:style w:type="paragraph" w:styleId="af">
    <w:name w:val="Body Text"/>
    <w:basedOn w:val="a1"/>
    <w:semiHidden/>
    <w:pPr>
      <w:snapToGrid w:val="0"/>
      <w:spacing w:line="320" w:lineRule="exact"/>
      <w:jc w:val="both"/>
    </w:pPr>
    <w:rPr>
      <w:rFonts w:eastAsia="標楷體"/>
      <w:kern w:val="0"/>
      <w:szCs w:val="22"/>
    </w:rPr>
  </w:style>
  <w:style w:type="paragraph" w:styleId="22">
    <w:name w:val="Body Text Indent 2"/>
    <w:basedOn w:val="a1"/>
    <w:semiHidden/>
    <w:pPr>
      <w:snapToGrid w:val="0"/>
      <w:spacing w:beforeLines="50" w:before="180"/>
      <w:ind w:leftChars="75" w:left="180"/>
      <w:jc w:val="both"/>
    </w:pPr>
    <w:rPr>
      <w:rFonts w:eastAsia="標楷體"/>
      <w:sz w:val="28"/>
    </w:rPr>
  </w:style>
  <w:style w:type="paragraph" w:styleId="23">
    <w:name w:val="Body Text 2"/>
    <w:basedOn w:val="a1"/>
    <w:semiHidden/>
    <w:pPr>
      <w:snapToGrid w:val="0"/>
      <w:spacing w:beforeLines="50" w:before="180"/>
      <w:jc w:val="both"/>
    </w:pPr>
    <w:rPr>
      <w:rFonts w:eastAsia="標楷體"/>
      <w:sz w:val="28"/>
    </w:rPr>
  </w:style>
  <w:style w:type="paragraph" w:styleId="33">
    <w:name w:val="Body Text 3"/>
    <w:basedOn w:val="a1"/>
    <w:semiHidden/>
    <w:pPr>
      <w:snapToGrid w:val="0"/>
      <w:spacing w:line="300" w:lineRule="auto"/>
    </w:pPr>
    <w:rPr>
      <w:rFonts w:eastAsia="標楷體"/>
      <w:sz w:val="28"/>
    </w:rPr>
  </w:style>
  <w:style w:type="paragraph" w:styleId="HTML">
    <w:name w:val="HTML Address"/>
    <w:basedOn w:val="a1"/>
    <w:semiHidden/>
    <w:rPr>
      <w:i/>
      <w:iCs/>
    </w:rPr>
  </w:style>
  <w:style w:type="paragraph" w:styleId="HTML0">
    <w:name w:val="HTML Preformatted"/>
    <w:basedOn w:val="a1"/>
    <w:semiHidden/>
    <w:rPr>
      <w:rFonts w:ascii="Courier New" w:hAnsi="Courier New" w:cs="Courier New"/>
      <w:sz w:val="20"/>
      <w:szCs w:val="20"/>
    </w:rPr>
  </w:style>
  <w:style w:type="paragraph" w:styleId="af0">
    <w:name w:val="Plain Text"/>
    <w:basedOn w:val="a1"/>
    <w:semiHidden/>
    <w:rPr>
      <w:rFonts w:ascii="細明體" w:eastAsia="細明體" w:hAnsi="Courier New" w:cs="Courier New"/>
    </w:rPr>
  </w:style>
  <w:style w:type="paragraph" w:styleId="Web">
    <w:name w:val="Normal (Web)"/>
    <w:basedOn w:val="a1"/>
    <w:semiHidden/>
  </w:style>
  <w:style w:type="paragraph" w:styleId="af1">
    <w:name w:val="Normal Indent"/>
    <w:basedOn w:val="a1"/>
    <w:semiHidden/>
    <w:pPr>
      <w:ind w:leftChars="200" w:left="480"/>
    </w:pPr>
  </w:style>
  <w:style w:type="paragraph" w:styleId="af2">
    <w:name w:val="Document Map"/>
    <w:basedOn w:val="a1"/>
    <w:semiHidden/>
    <w:pPr>
      <w:shd w:val="clear" w:color="auto" w:fill="000080"/>
    </w:pPr>
    <w:rPr>
      <w:rFonts w:ascii="Arial" w:hAnsi="Arial"/>
    </w:rPr>
  </w:style>
  <w:style w:type="paragraph" w:styleId="af3">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4">
    <w:name w:val="Body Text First Indent"/>
    <w:basedOn w:val="af"/>
    <w:semiHidden/>
    <w:pPr>
      <w:snapToGrid/>
      <w:spacing w:after="120" w:line="240" w:lineRule="auto"/>
      <w:ind w:firstLineChars="100" w:firstLine="210"/>
      <w:jc w:val="left"/>
    </w:pPr>
    <w:rPr>
      <w:rFonts w:eastAsia="新細明體"/>
      <w:kern w:val="2"/>
      <w:szCs w:val="24"/>
    </w:rPr>
  </w:style>
  <w:style w:type="paragraph" w:styleId="24">
    <w:name w:val="Body Text First Indent 2"/>
    <w:basedOn w:val="a9"/>
    <w:semiHidden/>
    <w:pPr>
      <w:spacing w:after="120"/>
      <w:ind w:leftChars="200" w:left="480" w:firstLineChars="100" w:firstLine="210"/>
      <w:jc w:val="left"/>
    </w:pPr>
    <w:rPr>
      <w:rFonts w:ascii="Times New Roman" w:hAnsi="Times New Roman" w:cs="Times New Roman"/>
      <w:sz w:val="24"/>
    </w:rPr>
  </w:style>
  <w:style w:type="paragraph" w:styleId="10">
    <w:name w:val="toc 1"/>
    <w:basedOn w:val="a1"/>
    <w:next w:val="a1"/>
    <w:autoRedefine/>
    <w:semiHidden/>
  </w:style>
  <w:style w:type="paragraph" w:styleId="25">
    <w:name w:val="toc 2"/>
    <w:basedOn w:val="a1"/>
    <w:next w:val="a1"/>
    <w:autoRedefine/>
    <w:semiHidden/>
    <w:pPr>
      <w:ind w:leftChars="200" w:left="480"/>
    </w:pPr>
  </w:style>
  <w:style w:type="paragraph" w:styleId="34">
    <w:name w:val="toc 3"/>
    <w:basedOn w:val="a1"/>
    <w:next w:val="a1"/>
    <w:autoRedefine/>
    <w:semiHidden/>
    <w:pPr>
      <w:ind w:leftChars="400" w:left="960"/>
    </w:pPr>
  </w:style>
  <w:style w:type="paragraph" w:styleId="42">
    <w:name w:val="toc 4"/>
    <w:basedOn w:val="a1"/>
    <w:next w:val="a1"/>
    <w:autoRedefine/>
    <w:semiHidden/>
    <w:pPr>
      <w:ind w:leftChars="600" w:left="1440"/>
    </w:pPr>
  </w:style>
  <w:style w:type="paragraph" w:styleId="52">
    <w:name w:val="toc 5"/>
    <w:basedOn w:val="a1"/>
    <w:next w:val="a1"/>
    <w:autoRedefine/>
    <w:semiHidden/>
    <w:pPr>
      <w:ind w:leftChars="800" w:left="1920"/>
    </w:pPr>
  </w:style>
  <w:style w:type="paragraph" w:styleId="60">
    <w:name w:val="toc 6"/>
    <w:basedOn w:val="a1"/>
    <w:next w:val="a1"/>
    <w:autoRedefine/>
    <w:semiHidden/>
    <w:pPr>
      <w:ind w:leftChars="1000" w:left="2400"/>
    </w:pPr>
  </w:style>
  <w:style w:type="paragraph" w:styleId="70">
    <w:name w:val="toc 7"/>
    <w:basedOn w:val="a1"/>
    <w:next w:val="a1"/>
    <w:autoRedefine/>
    <w:semiHidden/>
    <w:pPr>
      <w:ind w:leftChars="1200" w:left="2880"/>
    </w:pPr>
  </w:style>
  <w:style w:type="paragraph" w:styleId="80">
    <w:name w:val="toc 8"/>
    <w:basedOn w:val="a1"/>
    <w:next w:val="a1"/>
    <w:autoRedefine/>
    <w:semiHidden/>
    <w:pPr>
      <w:ind w:leftChars="1400" w:left="3360"/>
    </w:pPr>
  </w:style>
  <w:style w:type="paragraph" w:styleId="90">
    <w:name w:val="toc 9"/>
    <w:basedOn w:val="a1"/>
    <w:next w:val="a1"/>
    <w:autoRedefine/>
    <w:semiHidden/>
    <w:pPr>
      <w:ind w:leftChars="1600" w:left="3840"/>
    </w:pPr>
  </w:style>
  <w:style w:type="paragraph" w:styleId="af5">
    <w:name w:val="envelope address"/>
    <w:basedOn w:val="a1"/>
    <w:semiHidden/>
    <w:pPr>
      <w:framePr w:w="7920" w:h="1980" w:hRule="exact" w:hSpace="180" w:wrap="auto" w:hAnchor="page" w:xAlign="center" w:yAlign="bottom"/>
      <w:snapToGrid w:val="0"/>
      <w:ind w:leftChars="1200" w:left="100"/>
    </w:pPr>
    <w:rPr>
      <w:rFonts w:ascii="Arial" w:hAnsi="Arial" w:cs="Arial"/>
    </w:rPr>
  </w:style>
  <w:style w:type="paragraph" w:styleId="af6">
    <w:name w:val="table of authorities"/>
    <w:basedOn w:val="a1"/>
    <w:next w:val="a1"/>
    <w:semiHidden/>
    <w:pPr>
      <w:ind w:leftChars="200" w:left="480"/>
    </w:pPr>
  </w:style>
  <w:style w:type="paragraph" w:styleId="af7">
    <w:name w:val="toa heading"/>
    <w:basedOn w:val="a1"/>
    <w:next w:val="a1"/>
    <w:semiHidden/>
    <w:pPr>
      <w:spacing w:before="120"/>
    </w:pPr>
    <w:rPr>
      <w:rFonts w:ascii="Arial" w:hAnsi="Arial" w:cs="Arial"/>
    </w:rPr>
  </w:style>
  <w:style w:type="paragraph" w:styleId="11">
    <w:name w:val="index 1"/>
    <w:basedOn w:val="a1"/>
    <w:next w:val="a1"/>
    <w:autoRedefine/>
    <w:semiHidden/>
  </w:style>
  <w:style w:type="paragraph" w:styleId="26">
    <w:name w:val="index 2"/>
    <w:basedOn w:val="a1"/>
    <w:next w:val="a1"/>
    <w:autoRedefine/>
    <w:semiHidden/>
    <w:pPr>
      <w:ind w:leftChars="200" w:left="200"/>
    </w:pPr>
  </w:style>
  <w:style w:type="paragraph" w:styleId="35">
    <w:name w:val="index 3"/>
    <w:basedOn w:val="a1"/>
    <w:next w:val="a1"/>
    <w:autoRedefine/>
    <w:semiHidden/>
    <w:pPr>
      <w:ind w:leftChars="400" w:left="400"/>
    </w:pPr>
  </w:style>
  <w:style w:type="paragraph" w:styleId="43">
    <w:name w:val="index 4"/>
    <w:basedOn w:val="a1"/>
    <w:next w:val="a1"/>
    <w:autoRedefine/>
    <w:semiHidden/>
    <w:pPr>
      <w:ind w:leftChars="600" w:left="600"/>
    </w:pPr>
  </w:style>
  <w:style w:type="paragraph" w:styleId="53">
    <w:name w:val="index 5"/>
    <w:basedOn w:val="a1"/>
    <w:next w:val="a1"/>
    <w:autoRedefine/>
    <w:semiHidden/>
    <w:pPr>
      <w:ind w:leftChars="800" w:left="800"/>
    </w:pPr>
  </w:style>
  <w:style w:type="paragraph" w:styleId="61">
    <w:name w:val="index 6"/>
    <w:basedOn w:val="a1"/>
    <w:next w:val="a1"/>
    <w:autoRedefine/>
    <w:semiHidden/>
    <w:pPr>
      <w:ind w:leftChars="1000" w:left="1000"/>
    </w:pPr>
  </w:style>
  <w:style w:type="paragraph" w:styleId="71">
    <w:name w:val="index 7"/>
    <w:basedOn w:val="a1"/>
    <w:next w:val="a1"/>
    <w:autoRedefine/>
    <w:semiHidden/>
    <w:pPr>
      <w:ind w:leftChars="1200" w:left="1200"/>
    </w:pPr>
  </w:style>
  <w:style w:type="paragraph" w:styleId="81">
    <w:name w:val="index 8"/>
    <w:basedOn w:val="a1"/>
    <w:next w:val="a1"/>
    <w:autoRedefine/>
    <w:semiHidden/>
    <w:pPr>
      <w:ind w:leftChars="1400" w:left="1400"/>
    </w:pPr>
  </w:style>
  <w:style w:type="paragraph" w:styleId="91">
    <w:name w:val="index 9"/>
    <w:basedOn w:val="a1"/>
    <w:next w:val="a1"/>
    <w:autoRedefine/>
    <w:semiHidden/>
    <w:pPr>
      <w:ind w:leftChars="1600" w:left="1600"/>
    </w:pPr>
  </w:style>
  <w:style w:type="paragraph" w:styleId="af8">
    <w:name w:val="index heading"/>
    <w:basedOn w:val="a1"/>
    <w:next w:val="11"/>
    <w:semiHidden/>
    <w:rPr>
      <w:rFonts w:ascii="Arial" w:hAnsi="Arial" w:cs="Arial"/>
      <w:b/>
      <w:bCs/>
    </w:rPr>
  </w:style>
  <w:style w:type="paragraph" w:styleId="af9">
    <w:name w:val="Message Header"/>
    <w:basedOn w:val="a1"/>
    <w:semiHidden/>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rPr>
  </w:style>
  <w:style w:type="paragraph" w:styleId="afa">
    <w:name w:val="Subtitle"/>
    <w:basedOn w:val="a1"/>
    <w:qFormat/>
    <w:pPr>
      <w:spacing w:after="60"/>
      <w:jc w:val="center"/>
      <w:outlineLvl w:val="1"/>
    </w:pPr>
    <w:rPr>
      <w:rFonts w:ascii="Arial" w:hAnsi="Arial" w:cs="Arial"/>
      <w:i/>
      <w:iCs/>
    </w:rPr>
  </w:style>
  <w:style w:type="paragraph" w:styleId="afb">
    <w:name w:val="Block Text"/>
    <w:basedOn w:val="a1"/>
    <w:semiHidden/>
    <w:pPr>
      <w:spacing w:after="120"/>
      <w:ind w:leftChars="600" w:left="1440" w:rightChars="600" w:right="1440"/>
    </w:pPr>
  </w:style>
  <w:style w:type="paragraph" w:styleId="afc">
    <w:name w:val="Salutation"/>
    <w:basedOn w:val="a1"/>
    <w:next w:val="a1"/>
    <w:semiHidden/>
  </w:style>
  <w:style w:type="paragraph" w:styleId="afd">
    <w:name w:val="envelope return"/>
    <w:basedOn w:val="a1"/>
    <w:semiHidden/>
    <w:pPr>
      <w:snapToGrid w:val="0"/>
    </w:pPr>
    <w:rPr>
      <w:rFonts w:ascii="Arial" w:hAnsi="Arial" w:cs="Arial"/>
    </w:rPr>
  </w:style>
  <w:style w:type="paragraph" w:styleId="afe">
    <w:name w:val="List Continue"/>
    <w:basedOn w:val="a1"/>
    <w:semiHidden/>
    <w:pPr>
      <w:spacing w:after="120"/>
      <w:ind w:leftChars="200" w:left="480"/>
    </w:pPr>
  </w:style>
  <w:style w:type="paragraph" w:styleId="27">
    <w:name w:val="List Continue 2"/>
    <w:basedOn w:val="a1"/>
    <w:semiHidden/>
    <w:pPr>
      <w:spacing w:after="120"/>
      <w:ind w:leftChars="400" w:left="960"/>
    </w:pPr>
  </w:style>
  <w:style w:type="paragraph" w:styleId="36">
    <w:name w:val="List Continue 3"/>
    <w:basedOn w:val="a1"/>
    <w:semiHidden/>
    <w:pPr>
      <w:spacing w:after="120"/>
      <w:ind w:leftChars="600" w:left="1440"/>
    </w:pPr>
  </w:style>
  <w:style w:type="paragraph" w:styleId="44">
    <w:name w:val="List Continue 4"/>
    <w:basedOn w:val="a1"/>
    <w:semiHidden/>
    <w:pPr>
      <w:spacing w:after="120"/>
      <w:ind w:leftChars="800" w:left="1920"/>
    </w:pPr>
  </w:style>
  <w:style w:type="paragraph" w:styleId="54">
    <w:name w:val="List Continue 5"/>
    <w:basedOn w:val="a1"/>
    <w:semiHidden/>
    <w:pPr>
      <w:spacing w:after="120"/>
      <w:ind w:leftChars="1000" w:left="2400"/>
    </w:pPr>
  </w:style>
  <w:style w:type="paragraph" w:styleId="aff">
    <w:name w:val="List"/>
    <w:basedOn w:val="a1"/>
    <w:semiHidden/>
    <w:pPr>
      <w:ind w:leftChars="200" w:left="100" w:hangingChars="200" w:hanging="200"/>
    </w:pPr>
  </w:style>
  <w:style w:type="paragraph" w:styleId="28">
    <w:name w:val="List 2"/>
    <w:basedOn w:val="a1"/>
    <w:semiHidden/>
    <w:pPr>
      <w:ind w:leftChars="400" w:left="100" w:hangingChars="200" w:hanging="200"/>
    </w:pPr>
  </w:style>
  <w:style w:type="paragraph" w:styleId="37">
    <w:name w:val="List 3"/>
    <w:basedOn w:val="a1"/>
    <w:semiHidden/>
    <w:pPr>
      <w:ind w:leftChars="600" w:left="100" w:hangingChars="200" w:hanging="200"/>
    </w:pPr>
  </w:style>
  <w:style w:type="paragraph" w:styleId="45">
    <w:name w:val="List 4"/>
    <w:basedOn w:val="a1"/>
    <w:semiHidden/>
    <w:pPr>
      <w:ind w:leftChars="800" w:left="100" w:hangingChars="200" w:hanging="200"/>
    </w:pPr>
  </w:style>
  <w:style w:type="paragraph" w:styleId="55">
    <w:name w:val="List 5"/>
    <w:basedOn w:val="a1"/>
    <w:semiHidden/>
    <w:pPr>
      <w:ind w:leftChars="1000" w:left="100" w:hangingChars="200" w:hanging="200"/>
    </w:pPr>
  </w:style>
  <w:style w:type="paragraph" w:styleId="a">
    <w:name w:val="List Number"/>
    <w:basedOn w:val="a1"/>
    <w:semiHidden/>
    <w:pPr>
      <w:numPr>
        <w:numId w:val="8"/>
      </w:numPr>
    </w:pPr>
  </w:style>
  <w:style w:type="paragraph" w:styleId="2">
    <w:name w:val="List Number 2"/>
    <w:basedOn w:val="a1"/>
    <w:semiHidden/>
    <w:pPr>
      <w:numPr>
        <w:numId w:val="9"/>
      </w:numPr>
    </w:pPr>
  </w:style>
  <w:style w:type="paragraph" w:styleId="3">
    <w:name w:val="List Number 3"/>
    <w:basedOn w:val="a1"/>
    <w:semiHidden/>
    <w:pPr>
      <w:numPr>
        <w:numId w:val="10"/>
      </w:numPr>
    </w:pPr>
  </w:style>
  <w:style w:type="paragraph" w:styleId="4">
    <w:name w:val="List Number 4"/>
    <w:basedOn w:val="a1"/>
    <w:semiHidden/>
    <w:pPr>
      <w:numPr>
        <w:numId w:val="11"/>
      </w:numPr>
    </w:pPr>
  </w:style>
  <w:style w:type="paragraph" w:styleId="5">
    <w:name w:val="List Number 5"/>
    <w:basedOn w:val="a1"/>
    <w:semiHidden/>
    <w:pPr>
      <w:numPr>
        <w:numId w:val="12"/>
      </w:numPr>
    </w:pPr>
  </w:style>
  <w:style w:type="paragraph" w:styleId="aff0">
    <w:name w:val="endnote text"/>
    <w:basedOn w:val="a1"/>
    <w:semiHidden/>
    <w:pPr>
      <w:snapToGrid w:val="0"/>
    </w:pPr>
  </w:style>
  <w:style w:type="paragraph" w:styleId="aff1">
    <w:name w:val="Closing"/>
    <w:basedOn w:val="a1"/>
    <w:semiHidden/>
    <w:pPr>
      <w:ind w:leftChars="1800" w:left="100"/>
    </w:pPr>
  </w:style>
  <w:style w:type="paragraph" w:styleId="aff2">
    <w:name w:val="footnote text"/>
    <w:basedOn w:val="a1"/>
    <w:semiHidden/>
    <w:pPr>
      <w:snapToGrid w:val="0"/>
    </w:pPr>
    <w:rPr>
      <w:sz w:val="20"/>
      <w:szCs w:val="20"/>
    </w:rPr>
  </w:style>
  <w:style w:type="paragraph" w:styleId="aff3">
    <w:name w:val="annotation text"/>
    <w:basedOn w:val="a1"/>
    <w:semiHidden/>
  </w:style>
  <w:style w:type="paragraph" w:styleId="aff4">
    <w:name w:val="Note Heading"/>
    <w:basedOn w:val="a1"/>
    <w:next w:val="a1"/>
    <w:semiHidden/>
    <w:pPr>
      <w:jc w:val="center"/>
    </w:pPr>
  </w:style>
  <w:style w:type="paragraph" w:styleId="a0">
    <w:name w:val="List Bullet"/>
    <w:basedOn w:val="a1"/>
    <w:autoRedefine/>
    <w:semiHidden/>
    <w:pPr>
      <w:numPr>
        <w:numId w:val="13"/>
      </w:numPr>
    </w:pPr>
  </w:style>
  <w:style w:type="paragraph" w:styleId="20">
    <w:name w:val="List Bullet 2"/>
    <w:basedOn w:val="a1"/>
    <w:autoRedefine/>
    <w:semiHidden/>
    <w:pPr>
      <w:numPr>
        <w:numId w:val="14"/>
      </w:numPr>
    </w:pPr>
  </w:style>
  <w:style w:type="paragraph" w:styleId="30">
    <w:name w:val="List Bullet 3"/>
    <w:basedOn w:val="a1"/>
    <w:autoRedefine/>
    <w:semiHidden/>
    <w:pPr>
      <w:numPr>
        <w:numId w:val="15"/>
      </w:numPr>
    </w:pPr>
  </w:style>
  <w:style w:type="paragraph" w:styleId="40">
    <w:name w:val="List Bullet 4"/>
    <w:basedOn w:val="a1"/>
    <w:autoRedefine/>
    <w:semiHidden/>
    <w:pPr>
      <w:numPr>
        <w:numId w:val="16"/>
      </w:numPr>
    </w:pPr>
  </w:style>
  <w:style w:type="paragraph" w:styleId="50">
    <w:name w:val="List Bullet 5"/>
    <w:basedOn w:val="a1"/>
    <w:autoRedefine/>
    <w:semiHidden/>
    <w:pPr>
      <w:numPr>
        <w:numId w:val="17"/>
      </w:numPr>
    </w:pPr>
  </w:style>
  <w:style w:type="paragraph" w:styleId="aff5">
    <w:name w:val="E-mail Signature"/>
    <w:basedOn w:val="a1"/>
    <w:semiHidden/>
  </w:style>
  <w:style w:type="paragraph" w:styleId="aff6">
    <w:name w:val="table of figures"/>
    <w:basedOn w:val="a1"/>
    <w:next w:val="a1"/>
    <w:semiHidden/>
    <w:pPr>
      <w:ind w:leftChars="400" w:left="960" w:hangingChars="200" w:hanging="480"/>
    </w:pPr>
  </w:style>
  <w:style w:type="paragraph" w:styleId="aff7">
    <w:name w:val="caption"/>
    <w:basedOn w:val="a1"/>
    <w:next w:val="a1"/>
    <w:qFormat/>
    <w:pPr>
      <w:spacing w:before="120" w:after="120"/>
    </w:pPr>
    <w:rPr>
      <w:sz w:val="20"/>
      <w:szCs w:val="20"/>
    </w:rPr>
  </w:style>
  <w:style w:type="paragraph" w:styleId="aff8">
    <w:name w:val="Title"/>
    <w:basedOn w:val="a1"/>
    <w:qFormat/>
    <w:pPr>
      <w:spacing w:before="240" w:after="60"/>
      <w:jc w:val="center"/>
      <w:outlineLvl w:val="0"/>
    </w:pPr>
    <w:rPr>
      <w:rFonts w:ascii="Arial" w:hAnsi="Arial" w:cs="Arial"/>
      <w:b/>
      <w:bCs/>
      <w:sz w:val="32"/>
      <w:szCs w:val="32"/>
    </w:rPr>
  </w:style>
  <w:style w:type="paragraph" w:styleId="aff9">
    <w:name w:val="Signature"/>
    <w:basedOn w:val="a1"/>
    <w:semiHidden/>
    <w:pPr>
      <w:ind w:leftChars="1800" w:left="100"/>
    </w:pPr>
  </w:style>
  <w:style w:type="paragraph" w:styleId="affa">
    <w:name w:val="Balloon Text"/>
    <w:basedOn w:val="a1"/>
    <w:link w:val="affb"/>
    <w:uiPriority w:val="99"/>
    <w:semiHidden/>
    <w:unhideWhenUsed/>
    <w:rsid w:val="00AE4ACF"/>
    <w:rPr>
      <w:rFonts w:ascii="Cambria" w:hAnsi="Cambria"/>
      <w:sz w:val="18"/>
      <w:szCs w:val="18"/>
    </w:rPr>
  </w:style>
  <w:style w:type="character" w:customStyle="1" w:styleId="affb">
    <w:name w:val="註解方塊文字 字元"/>
    <w:link w:val="affa"/>
    <w:uiPriority w:val="99"/>
    <w:semiHidden/>
    <w:rsid w:val="00AE4ACF"/>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pPr>
    <w:rPr>
      <w:kern w:val="2"/>
      <w:sz w:val="24"/>
      <w:szCs w:val="24"/>
    </w:rPr>
  </w:style>
  <w:style w:type="paragraph" w:styleId="1">
    <w:name w:val="heading 1"/>
    <w:basedOn w:val="a1"/>
    <w:next w:val="a1"/>
    <w:qFormat/>
    <w:pPr>
      <w:keepNext/>
      <w:outlineLvl w:val="0"/>
    </w:pPr>
    <w:rPr>
      <w:b/>
      <w:bCs/>
      <w:sz w:val="28"/>
    </w:rPr>
  </w:style>
  <w:style w:type="paragraph" w:styleId="21">
    <w:name w:val="heading 2"/>
    <w:basedOn w:val="a1"/>
    <w:next w:val="a1"/>
    <w:qFormat/>
    <w:pPr>
      <w:keepNext/>
      <w:outlineLvl w:val="1"/>
    </w:pPr>
    <w:rPr>
      <w:i/>
      <w:iCs/>
    </w:rPr>
  </w:style>
  <w:style w:type="paragraph" w:styleId="31">
    <w:name w:val="heading 3"/>
    <w:basedOn w:val="a1"/>
    <w:next w:val="a1"/>
    <w:qFormat/>
    <w:pPr>
      <w:keepNext/>
      <w:spacing w:line="320" w:lineRule="exact"/>
      <w:outlineLvl w:val="2"/>
    </w:pPr>
    <w:rPr>
      <w:b/>
      <w:bCs/>
    </w:rPr>
  </w:style>
  <w:style w:type="paragraph" w:styleId="41">
    <w:name w:val="heading 4"/>
    <w:basedOn w:val="a1"/>
    <w:next w:val="a1"/>
    <w:qFormat/>
    <w:pPr>
      <w:keepNext/>
      <w:spacing w:line="720" w:lineRule="auto"/>
      <w:outlineLvl w:val="3"/>
    </w:pPr>
    <w:rPr>
      <w:rFonts w:ascii="Arial" w:hAnsi="Arial"/>
      <w:sz w:val="36"/>
      <w:szCs w:val="36"/>
    </w:rPr>
  </w:style>
  <w:style w:type="paragraph" w:styleId="51">
    <w:name w:val="heading 5"/>
    <w:basedOn w:val="a1"/>
    <w:next w:val="a1"/>
    <w:qFormat/>
    <w:pPr>
      <w:keepNext/>
      <w:snapToGrid w:val="0"/>
      <w:spacing w:line="300" w:lineRule="auto"/>
      <w:outlineLvl w:val="4"/>
    </w:pPr>
    <w:rPr>
      <w:rFonts w:eastAsia="標楷體"/>
      <w:sz w:val="28"/>
    </w:rPr>
  </w:style>
  <w:style w:type="paragraph" w:styleId="6">
    <w:name w:val="heading 6"/>
    <w:basedOn w:val="a1"/>
    <w:next w:val="a1"/>
    <w:qFormat/>
    <w:pPr>
      <w:keepNext/>
      <w:snapToGrid w:val="0"/>
      <w:spacing w:line="300" w:lineRule="auto"/>
      <w:ind w:hanging="2"/>
      <w:outlineLvl w:val="5"/>
    </w:pPr>
    <w:rPr>
      <w:rFonts w:eastAsia="標楷體"/>
      <w:sz w:val="28"/>
    </w:rPr>
  </w:style>
  <w:style w:type="paragraph" w:styleId="7">
    <w:name w:val="heading 7"/>
    <w:basedOn w:val="a1"/>
    <w:next w:val="a1"/>
    <w:qFormat/>
    <w:pPr>
      <w:keepNext/>
      <w:spacing w:line="720" w:lineRule="auto"/>
      <w:ind w:leftChars="400" w:left="400"/>
      <w:outlineLvl w:val="6"/>
    </w:pPr>
    <w:rPr>
      <w:rFonts w:ascii="Arial" w:hAnsi="Arial"/>
      <w:b/>
      <w:bCs/>
      <w:sz w:val="36"/>
      <w:szCs w:val="36"/>
    </w:rPr>
  </w:style>
  <w:style w:type="paragraph" w:styleId="8">
    <w:name w:val="heading 8"/>
    <w:basedOn w:val="a1"/>
    <w:next w:val="a1"/>
    <w:qFormat/>
    <w:pPr>
      <w:keepNext/>
      <w:spacing w:line="720" w:lineRule="auto"/>
      <w:ind w:leftChars="400" w:left="400"/>
      <w:outlineLvl w:val="7"/>
    </w:pPr>
    <w:rPr>
      <w:rFonts w:ascii="Arial" w:hAnsi="Arial"/>
      <w:sz w:val="36"/>
      <w:szCs w:val="36"/>
    </w:rPr>
  </w:style>
  <w:style w:type="paragraph" w:styleId="9">
    <w:name w:val="heading 9"/>
    <w:basedOn w:val="a1"/>
    <w:next w:val="a1"/>
    <w:qFormat/>
    <w:pPr>
      <w:keepNext/>
      <w:spacing w:line="720" w:lineRule="auto"/>
      <w:ind w:leftChars="400" w:left="400"/>
      <w:outlineLvl w:val="8"/>
    </w:pPr>
    <w:rPr>
      <w:rFonts w:ascii="Arial" w:hAnsi="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semiHidden/>
    <w:pPr>
      <w:tabs>
        <w:tab w:val="center" w:pos="4153"/>
        <w:tab w:val="right" w:pos="8306"/>
      </w:tabs>
      <w:snapToGrid w:val="0"/>
    </w:pPr>
    <w:rPr>
      <w:sz w:val="20"/>
      <w:szCs w:val="20"/>
    </w:rPr>
  </w:style>
  <w:style w:type="character" w:styleId="a6">
    <w:name w:val="page number"/>
    <w:basedOn w:val="a2"/>
    <w:semiHidden/>
  </w:style>
  <w:style w:type="character" w:styleId="a7">
    <w:name w:val="Emphasis"/>
    <w:qFormat/>
    <w:rPr>
      <w:b w:val="0"/>
      <w:bCs w:val="0"/>
      <w:i w:val="0"/>
      <w:iCs w:val="0"/>
      <w:color w:val="CC0033"/>
    </w:rPr>
  </w:style>
  <w:style w:type="paragraph" w:styleId="32">
    <w:name w:val="Body Text Indent 3"/>
    <w:basedOn w:val="a1"/>
    <w:semiHidden/>
    <w:pPr>
      <w:ind w:left="720" w:firstLine="454"/>
    </w:pPr>
    <w:rPr>
      <w:rFonts w:eastAsia="標楷體"/>
      <w:sz w:val="20"/>
      <w:szCs w:val="20"/>
    </w:rPr>
  </w:style>
  <w:style w:type="character" w:styleId="a8">
    <w:name w:val="Strong"/>
    <w:qFormat/>
    <w:rPr>
      <w:b/>
      <w:bCs/>
    </w:rPr>
  </w:style>
  <w:style w:type="paragraph" w:styleId="a9">
    <w:name w:val="Body Text Indent"/>
    <w:basedOn w:val="a1"/>
    <w:semiHidden/>
    <w:pPr>
      <w:ind w:left="2"/>
      <w:jc w:val="both"/>
    </w:pPr>
    <w:rPr>
      <w:rFonts w:ascii="Arial" w:hAnsi="Arial" w:cs="Arial"/>
      <w:sz w:val="22"/>
    </w:rPr>
  </w:style>
  <w:style w:type="paragraph" w:customStyle="1" w:styleId="aa">
    <w:name w:val="粗標"/>
    <w:basedOn w:val="a1"/>
    <w:pPr>
      <w:spacing w:line="300" w:lineRule="exact"/>
      <w:ind w:leftChars="50" w:left="120" w:rightChars="50" w:right="120"/>
    </w:pPr>
    <w:rPr>
      <w:rFonts w:ascii="Book Antiqua" w:hAnsi="Book Antiqua"/>
      <w:b/>
      <w:bCs/>
      <w:spacing w:val="-4"/>
      <w:sz w:val="18"/>
    </w:rPr>
  </w:style>
  <w:style w:type="paragraph" w:customStyle="1" w:styleId="ab">
    <w:name w:val="說明"/>
    <w:basedOn w:val="a1"/>
    <w:pPr>
      <w:spacing w:afterLines="8" w:after="28" w:line="200" w:lineRule="exact"/>
      <w:ind w:leftChars="50" w:left="120" w:rightChars="50" w:right="120"/>
      <w:jc w:val="both"/>
    </w:pPr>
    <w:rPr>
      <w:rFonts w:ascii="Book Antiqua" w:hAnsi="Book Antiqua"/>
      <w:spacing w:val="2"/>
      <w:sz w:val="16"/>
    </w:rPr>
  </w:style>
  <w:style w:type="paragraph" w:customStyle="1" w:styleId="ac">
    <w:name w:val="項目斜體"/>
    <w:basedOn w:val="a1"/>
    <w:pPr>
      <w:spacing w:afterLines="5" w:after="18" w:line="240" w:lineRule="exact"/>
      <w:ind w:leftChars="50" w:left="120" w:rightChars="50" w:right="120"/>
    </w:pPr>
    <w:rPr>
      <w:rFonts w:ascii="Palatino Linotype" w:hAnsi="Palatino Linotype"/>
      <w:i/>
      <w:iCs/>
      <w:sz w:val="17"/>
    </w:rPr>
  </w:style>
  <w:style w:type="paragraph" w:customStyle="1" w:styleId="xl27">
    <w:name w:val="xl27"/>
    <w:basedOn w:val="a1"/>
    <w:pPr>
      <w:widowControl/>
      <w:spacing w:before="100" w:beforeAutospacing="1" w:after="100" w:afterAutospacing="1"/>
      <w:jc w:val="center"/>
    </w:pPr>
    <w:rPr>
      <w:rFonts w:ascii="Arial Unicode MS" w:eastAsia="Arial Unicode MS" w:hAnsi="Arial Unicode MS" w:cs="Arial Unicode MS"/>
      <w:kern w:val="0"/>
      <w:sz w:val="72"/>
      <w:szCs w:val="72"/>
    </w:rPr>
  </w:style>
  <w:style w:type="paragraph" w:styleId="ad">
    <w:name w:val="Date"/>
    <w:basedOn w:val="a1"/>
    <w:next w:val="a1"/>
    <w:semiHidden/>
    <w:pPr>
      <w:jc w:val="right"/>
    </w:pPr>
  </w:style>
  <w:style w:type="paragraph" w:styleId="ae">
    <w:name w:val="header"/>
    <w:basedOn w:val="a1"/>
    <w:semiHidden/>
    <w:pPr>
      <w:tabs>
        <w:tab w:val="center" w:pos="4153"/>
        <w:tab w:val="right" w:pos="8306"/>
      </w:tabs>
      <w:snapToGrid w:val="0"/>
    </w:pPr>
    <w:rPr>
      <w:sz w:val="20"/>
      <w:szCs w:val="20"/>
    </w:rPr>
  </w:style>
  <w:style w:type="paragraph" w:customStyle="1" w:styleId="xl30">
    <w:name w:val="xl30"/>
    <w:basedOn w:val="a1"/>
    <w:pPr>
      <w:widowControl/>
      <w:spacing w:before="100" w:beforeAutospacing="1" w:after="100" w:afterAutospacing="1"/>
      <w:jc w:val="center"/>
      <w:textAlignment w:val="center"/>
    </w:pPr>
    <w:rPr>
      <w:rFonts w:ascii="Arial Unicode MS" w:eastAsia="Arial Unicode MS" w:hAnsi="Arial Unicode MS" w:cs="Arial Unicode MS"/>
      <w:kern w:val="0"/>
      <w:sz w:val="36"/>
      <w:szCs w:val="36"/>
    </w:rPr>
  </w:style>
  <w:style w:type="paragraph" w:styleId="af">
    <w:name w:val="Body Text"/>
    <w:basedOn w:val="a1"/>
    <w:semiHidden/>
    <w:pPr>
      <w:snapToGrid w:val="0"/>
      <w:spacing w:line="320" w:lineRule="exact"/>
      <w:jc w:val="both"/>
    </w:pPr>
    <w:rPr>
      <w:rFonts w:eastAsia="標楷體"/>
      <w:kern w:val="0"/>
      <w:szCs w:val="22"/>
    </w:rPr>
  </w:style>
  <w:style w:type="paragraph" w:styleId="22">
    <w:name w:val="Body Text Indent 2"/>
    <w:basedOn w:val="a1"/>
    <w:semiHidden/>
    <w:pPr>
      <w:snapToGrid w:val="0"/>
      <w:spacing w:beforeLines="50" w:before="180"/>
      <w:ind w:leftChars="75" w:left="180"/>
      <w:jc w:val="both"/>
    </w:pPr>
    <w:rPr>
      <w:rFonts w:eastAsia="標楷體"/>
      <w:sz w:val="28"/>
    </w:rPr>
  </w:style>
  <w:style w:type="paragraph" w:styleId="23">
    <w:name w:val="Body Text 2"/>
    <w:basedOn w:val="a1"/>
    <w:semiHidden/>
    <w:pPr>
      <w:snapToGrid w:val="0"/>
      <w:spacing w:beforeLines="50" w:before="180"/>
      <w:jc w:val="both"/>
    </w:pPr>
    <w:rPr>
      <w:rFonts w:eastAsia="標楷體"/>
      <w:sz w:val="28"/>
    </w:rPr>
  </w:style>
  <w:style w:type="paragraph" w:styleId="33">
    <w:name w:val="Body Text 3"/>
    <w:basedOn w:val="a1"/>
    <w:semiHidden/>
    <w:pPr>
      <w:snapToGrid w:val="0"/>
      <w:spacing w:line="300" w:lineRule="auto"/>
    </w:pPr>
    <w:rPr>
      <w:rFonts w:eastAsia="標楷體"/>
      <w:sz w:val="28"/>
    </w:rPr>
  </w:style>
  <w:style w:type="paragraph" w:styleId="HTML">
    <w:name w:val="HTML Address"/>
    <w:basedOn w:val="a1"/>
    <w:semiHidden/>
    <w:rPr>
      <w:i/>
      <w:iCs/>
    </w:rPr>
  </w:style>
  <w:style w:type="paragraph" w:styleId="HTML0">
    <w:name w:val="HTML Preformatted"/>
    <w:basedOn w:val="a1"/>
    <w:semiHidden/>
    <w:rPr>
      <w:rFonts w:ascii="Courier New" w:hAnsi="Courier New" w:cs="Courier New"/>
      <w:sz w:val="20"/>
      <w:szCs w:val="20"/>
    </w:rPr>
  </w:style>
  <w:style w:type="paragraph" w:styleId="af0">
    <w:name w:val="Plain Text"/>
    <w:basedOn w:val="a1"/>
    <w:semiHidden/>
    <w:rPr>
      <w:rFonts w:ascii="細明體" w:eastAsia="細明體" w:hAnsi="Courier New" w:cs="Courier New"/>
    </w:rPr>
  </w:style>
  <w:style w:type="paragraph" w:styleId="Web">
    <w:name w:val="Normal (Web)"/>
    <w:basedOn w:val="a1"/>
    <w:semiHidden/>
  </w:style>
  <w:style w:type="paragraph" w:styleId="af1">
    <w:name w:val="Normal Indent"/>
    <w:basedOn w:val="a1"/>
    <w:semiHidden/>
    <w:pPr>
      <w:ind w:leftChars="200" w:left="480"/>
    </w:pPr>
  </w:style>
  <w:style w:type="paragraph" w:styleId="af2">
    <w:name w:val="Document Map"/>
    <w:basedOn w:val="a1"/>
    <w:semiHidden/>
    <w:pPr>
      <w:shd w:val="clear" w:color="auto" w:fill="000080"/>
    </w:pPr>
    <w:rPr>
      <w:rFonts w:ascii="Arial" w:hAnsi="Arial"/>
    </w:rPr>
  </w:style>
  <w:style w:type="paragraph" w:styleId="af3">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4">
    <w:name w:val="Body Text First Indent"/>
    <w:basedOn w:val="af"/>
    <w:semiHidden/>
    <w:pPr>
      <w:snapToGrid/>
      <w:spacing w:after="120" w:line="240" w:lineRule="auto"/>
      <w:ind w:firstLineChars="100" w:firstLine="210"/>
      <w:jc w:val="left"/>
    </w:pPr>
    <w:rPr>
      <w:rFonts w:eastAsia="新細明體"/>
      <w:kern w:val="2"/>
      <w:szCs w:val="24"/>
    </w:rPr>
  </w:style>
  <w:style w:type="paragraph" w:styleId="24">
    <w:name w:val="Body Text First Indent 2"/>
    <w:basedOn w:val="a9"/>
    <w:semiHidden/>
    <w:pPr>
      <w:spacing w:after="120"/>
      <w:ind w:leftChars="200" w:left="480" w:firstLineChars="100" w:firstLine="210"/>
      <w:jc w:val="left"/>
    </w:pPr>
    <w:rPr>
      <w:rFonts w:ascii="Times New Roman" w:hAnsi="Times New Roman" w:cs="Times New Roman"/>
      <w:sz w:val="24"/>
    </w:rPr>
  </w:style>
  <w:style w:type="paragraph" w:styleId="10">
    <w:name w:val="toc 1"/>
    <w:basedOn w:val="a1"/>
    <w:next w:val="a1"/>
    <w:autoRedefine/>
    <w:semiHidden/>
  </w:style>
  <w:style w:type="paragraph" w:styleId="25">
    <w:name w:val="toc 2"/>
    <w:basedOn w:val="a1"/>
    <w:next w:val="a1"/>
    <w:autoRedefine/>
    <w:semiHidden/>
    <w:pPr>
      <w:ind w:leftChars="200" w:left="480"/>
    </w:pPr>
  </w:style>
  <w:style w:type="paragraph" w:styleId="34">
    <w:name w:val="toc 3"/>
    <w:basedOn w:val="a1"/>
    <w:next w:val="a1"/>
    <w:autoRedefine/>
    <w:semiHidden/>
    <w:pPr>
      <w:ind w:leftChars="400" w:left="960"/>
    </w:pPr>
  </w:style>
  <w:style w:type="paragraph" w:styleId="42">
    <w:name w:val="toc 4"/>
    <w:basedOn w:val="a1"/>
    <w:next w:val="a1"/>
    <w:autoRedefine/>
    <w:semiHidden/>
    <w:pPr>
      <w:ind w:leftChars="600" w:left="1440"/>
    </w:pPr>
  </w:style>
  <w:style w:type="paragraph" w:styleId="52">
    <w:name w:val="toc 5"/>
    <w:basedOn w:val="a1"/>
    <w:next w:val="a1"/>
    <w:autoRedefine/>
    <w:semiHidden/>
    <w:pPr>
      <w:ind w:leftChars="800" w:left="1920"/>
    </w:pPr>
  </w:style>
  <w:style w:type="paragraph" w:styleId="60">
    <w:name w:val="toc 6"/>
    <w:basedOn w:val="a1"/>
    <w:next w:val="a1"/>
    <w:autoRedefine/>
    <w:semiHidden/>
    <w:pPr>
      <w:ind w:leftChars="1000" w:left="2400"/>
    </w:pPr>
  </w:style>
  <w:style w:type="paragraph" w:styleId="70">
    <w:name w:val="toc 7"/>
    <w:basedOn w:val="a1"/>
    <w:next w:val="a1"/>
    <w:autoRedefine/>
    <w:semiHidden/>
    <w:pPr>
      <w:ind w:leftChars="1200" w:left="2880"/>
    </w:pPr>
  </w:style>
  <w:style w:type="paragraph" w:styleId="80">
    <w:name w:val="toc 8"/>
    <w:basedOn w:val="a1"/>
    <w:next w:val="a1"/>
    <w:autoRedefine/>
    <w:semiHidden/>
    <w:pPr>
      <w:ind w:leftChars="1400" w:left="3360"/>
    </w:pPr>
  </w:style>
  <w:style w:type="paragraph" w:styleId="90">
    <w:name w:val="toc 9"/>
    <w:basedOn w:val="a1"/>
    <w:next w:val="a1"/>
    <w:autoRedefine/>
    <w:semiHidden/>
    <w:pPr>
      <w:ind w:leftChars="1600" w:left="3840"/>
    </w:pPr>
  </w:style>
  <w:style w:type="paragraph" w:styleId="af5">
    <w:name w:val="envelope address"/>
    <w:basedOn w:val="a1"/>
    <w:semiHidden/>
    <w:pPr>
      <w:framePr w:w="7920" w:h="1980" w:hRule="exact" w:hSpace="180" w:wrap="auto" w:hAnchor="page" w:xAlign="center" w:yAlign="bottom"/>
      <w:snapToGrid w:val="0"/>
      <w:ind w:leftChars="1200" w:left="100"/>
    </w:pPr>
    <w:rPr>
      <w:rFonts w:ascii="Arial" w:hAnsi="Arial" w:cs="Arial"/>
    </w:rPr>
  </w:style>
  <w:style w:type="paragraph" w:styleId="af6">
    <w:name w:val="table of authorities"/>
    <w:basedOn w:val="a1"/>
    <w:next w:val="a1"/>
    <w:semiHidden/>
    <w:pPr>
      <w:ind w:leftChars="200" w:left="480"/>
    </w:pPr>
  </w:style>
  <w:style w:type="paragraph" w:styleId="af7">
    <w:name w:val="toa heading"/>
    <w:basedOn w:val="a1"/>
    <w:next w:val="a1"/>
    <w:semiHidden/>
    <w:pPr>
      <w:spacing w:before="120"/>
    </w:pPr>
    <w:rPr>
      <w:rFonts w:ascii="Arial" w:hAnsi="Arial" w:cs="Arial"/>
    </w:rPr>
  </w:style>
  <w:style w:type="paragraph" w:styleId="11">
    <w:name w:val="index 1"/>
    <w:basedOn w:val="a1"/>
    <w:next w:val="a1"/>
    <w:autoRedefine/>
    <w:semiHidden/>
  </w:style>
  <w:style w:type="paragraph" w:styleId="26">
    <w:name w:val="index 2"/>
    <w:basedOn w:val="a1"/>
    <w:next w:val="a1"/>
    <w:autoRedefine/>
    <w:semiHidden/>
    <w:pPr>
      <w:ind w:leftChars="200" w:left="200"/>
    </w:pPr>
  </w:style>
  <w:style w:type="paragraph" w:styleId="35">
    <w:name w:val="index 3"/>
    <w:basedOn w:val="a1"/>
    <w:next w:val="a1"/>
    <w:autoRedefine/>
    <w:semiHidden/>
    <w:pPr>
      <w:ind w:leftChars="400" w:left="400"/>
    </w:pPr>
  </w:style>
  <w:style w:type="paragraph" w:styleId="43">
    <w:name w:val="index 4"/>
    <w:basedOn w:val="a1"/>
    <w:next w:val="a1"/>
    <w:autoRedefine/>
    <w:semiHidden/>
    <w:pPr>
      <w:ind w:leftChars="600" w:left="600"/>
    </w:pPr>
  </w:style>
  <w:style w:type="paragraph" w:styleId="53">
    <w:name w:val="index 5"/>
    <w:basedOn w:val="a1"/>
    <w:next w:val="a1"/>
    <w:autoRedefine/>
    <w:semiHidden/>
    <w:pPr>
      <w:ind w:leftChars="800" w:left="800"/>
    </w:pPr>
  </w:style>
  <w:style w:type="paragraph" w:styleId="61">
    <w:name w:val="index 6"/>
    <w:basedOn w:val="a1"/>
    <w:next w:val="a1"/>
    <w:autoRedefine/>
    <w:semiHidden/>
    <w:pPr>
      <w:ind w:leftChars="1000" w:left="1000"/>
    </w:pPr>
  </w:style>
  <w:style w:type="paragraph" w:styleId="71">
    <w:name w:val="index 7"/>
    <w:basedOn w:val="a1"/>
    <w:next w:val="a1"/>
    <w:autoRedefine/>
    <w:semiHidden/>
    <w:pPr>
      <w:ind w:leftChars="1200" w:left="1200"/>
    </w:pPr>
  </w:style>
  <w:style w:type="paragraph" w:styleId="81">
    <w:name w:val="index 8"/>
    <w:basedOn w:val="a1"/>
    <w:next w:val="a1"/>
    <w:autoRedefine/>
    <w:semiHidden/>
    <w:pPr>
      <w:ind w:leftChars="1400" w:left="1400"/>
    </w:pPr>
  </w:style>
  <w:style w:type="paragraph" w:styleId="91">
    <w:name w:val="index 9"/>
    <w:basedOn w:val="a1"/>
    <w:next w:val="a1"/>
    <w:autoRedefine/>
    <w:semiHidden/>
    <w:pPr>
      <w:ind w:leftChars="1600" w:left="1600"/>
    </w:pPr>
  </w:style>
  <w:style w:type="paragraph" w:styleId="af8">
    <w:name w:val="index heading"/>
    <w:basedOn w:val="a1"/>
    <w:next w:val="11"/>
    <w:semiHidden/>
    <w:rPr>
      <w:rFonts w:ascii="Arial" w:hAnsi="Arial" w:cs="Arial"/>
      <w:b/>
      <w:bCs/>
    </w:rPr>
  </w:style>
  <w:style w:type="paragraph" w:styleId="af9">
    <w:name w:val="Message Header"/>
    <w:basedOn w:val="a1"/>
    <w:semiHidden/>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rPr>
  </w:style>
  <w:style w:type="paragraph" w:styleId="afa">
    <w:name w:val="Subtitle"/>
    <w:basedOn w:val="a1"/>
    <w:qFormat/>
    <w:pPr>
      <w:spacing w:after="60"/>
      <w:jc w:val="center"/>
      <w:outlineLvl w:val="1"/>
    </w:pPr>
    <w:rPr>
      <w:rFonts w:ascii="Arial" w:hAnsi="Arial" w:cs="Arial"/>
      <w:i/>
      <w:iCs/>
    </w:rPr>
  </w:style>
  <w:style w:type="paragraph" w:styleId="afb">
    <w:name w:val="Block Text"/>
    <w:basedOn w:val="a1"/>
    <w:semiHidden/>
    <w:pPr>
      <w:spacing w:after="120"/>
      <w:ind w:leftChars="600" w:left="1440" w:rightChars="600" w:right="1440"/>
    </w:pPr>
  </w:style>
  <w:style w:type="paragraph" w:styleId="afc">
    <w:name w:val="Salutation"/>
    <w:basedOn w:val="a1"/>
    <w:next w:val="a1"/>
    <w:semiHidden/>
  </w:style>
  <w:style w:type="paragraph" w:styleId="afd">
    <w:name w:val="envelope return"/>
    <w:basedOn w:val="a1"/>
    <w:semiHidden/>
    <w:pPr>
      <w:snapToGrid w:val="0"/>
    </w:pPr>
    <w:rPr>
      <w:rFonts w:ascii="Arial" w:hAnsi="Arial" w:cs="Arial"/>
    </w:rPr>
  </w:style>
  <w:style w:type="paragraph" w:styleId="afe">
    <w:name w:val="List Continue"/>
    <w:basedOn w:val="a1"/>
    <w:semiHidden/>
    <w:pPr>
      <w:spacing w:after="120"/>
      <w:ind w:leftChars="200" w:left="480"/>
    </w:pPr>
  </w:style>
  <w:style w:type="paragraph" w:styleId="27">
    <w:name w:val="List Continue 2"/>
    <w:basedOn w:val="a1"/>
    <w:semiHidden/>
    <w:pPr>
      <w:spacing w:after="120"/>
      <w:ind w:leftChars="400" w:left="960"/>
    </w:pPr>
  </w:style>
  <w:style w:type="paragraph" w:styleId="36">
    <w:name w:val="List Continue 3"/>
    <w:basedOn w:val="a1"/>
    <w:semiHidden/>
    <w:pPr>
      <w:spacing w:after="120"/>
      <w:ind w:leftChars="600" w:left="1440"/>
    </w:pPr>
  </w:style>
  <w:style w:type="paragraph" w:styleId="44">
    <w:name w:val="List Continue 4"/>
    <w:basedOn w:val="a1"/>
    <w:semiHidden/>
    <w:pPr>
      <w:spacing w:after="120"/>
      <w:ind w:leftChars="800" w:left="1920"/>
    </w:pPr>
  </w:style>
  <w:style w:type="paragraph" w:styleId="54">
    <w:name w:val="List Continue 5"/>
    <w:basedOn w:val="a1"/>
    <w:semiHidden/>
    <w:pPr>
      <w:spacing w:after="120"/>
      <w:ind w:leftChars="1000" w:left="2400"/>
    </w:pPr>
  </w:style>
  <w:style w:type="paragraph" w:styleId="aff">
    <w:name w:val="List"/>
    <w:basedOn w:val="a1"/>
    <w:semiHidden/>
    <w:pPr>
      <w:ind w:leftChars="200" w:left="100" w:hangingChars="200" w:hanging="200"/>
    </w:pPr>
  </w:style>
  <w:style w:type="paragraph" w:styleId="28">
    <w:name w:val="List 2"/>
    <w:basedOn w:val="a1"/>
    <w:semiHidden/>
    <w:pPr>
      <w:ind w:leftChars="400" w:left="100" w:hangingChars="200" w:hanging="200"/>
    </w:pPr>
  </w:style>
  <w:style w:type="paragraph" w:styleId="37">
    <w:name w:val="List 3"/>
    <w:basedOn w:val="a1"/>
    <w:semiHidden/>
    <w:pPr>
      <w:ind w:leftChars="600" w:left="100" w:hangingChars="200" w:hanging="200"/>
    </w:pPr>
  </w:style>
  <w:style w:type="paragraph" w:styleId="45">
    <w:name w:val="List 4"/>
    <w:basedOn w:val="a1"/>
    <w:semiHidden/>
    <w:pPr>
      <w:ind w:leftChars="800" w:left="100" w:hangingChars="200" w:hanging="200"/>
    </w:pPr>
  </w:style>
  <w:style w:type="paragraph" w:styleId="55">
    <w:name w:val="List 5"/>
    <w:basedOn w:val="a1"/>
    <w:semiHidden/>
    <w:pPr>
      <w:ind w:leftChars="1000" w:left="100" w:hangingChars="200" w:hanging="200"/>
    </w:pPr>
  </w:style>
  <w:style w:type="paragraph" w:styleId="a">
    <w:name w:val="List Number"/>
    <w:basedOn w:val="a1"/>
    <w:semiHidden/>
    <w:pPr>
      <w:numPr>
        <w:numId w:val="8"/>
      </w:numPr>
    </w:pPr>
  </w:style>
  <w:style w:type="paragraph" w:styleId="2">
    <w:name w:val="List Number 2"/>
    <w:basedOn w:val="a1"/>
    <w:semiHidden/>
    <w:pPr>
      <w:numPr>
        <w:numId w:val="9"/>
      </w:numPr>
    </w:pPr>
  </w:style>
  <w:style w:type="paragraph" w:styleId="3">
    <w:name w:val="List Number 3"/>
    <w:basedOn w:val="a1"/>
    <w:semiHidden/>
    <w:pPr>
      <w:numPr>
        <w:numId w:val="10"/>
      </w:numPr>
    </w:pPr>
  </w:style>
  <w:style w:type="paragraph" w:styleId="4">
    <w:name w:val="List Number 4"/>
    <w:basedOn w:val="a1"/>
    <w:semiHidden/>
    <w:pPr>
      <w:numPr>
        <w:numId w:val="11"/>
      </w:numPr>
    </w:pPr>
  </w:style>
  <w:style w:type="paragraph" w:styleId="5">
    <w:name w:val="List Number 5"/>
    <w:basedOn w:val="a1"/>
    <w:semiHidden/>
    <w:pPr>
      <w:numPr>
        <w:numId w:val="12"/>
      </w:numPr>
    </w:pPr>
  </w:style>
  <w:style w:type="paragraph" w:styleId="aff0">
    <w:name w:val="endnote text"/>
    <w:basedOn w:val="a1"/>
    <w:semiHidden/>
    <w:pPr>
      <w:snapToGrid w:val="0"/>
    </w:pPr>
  </w:style>
  <w:style w:type="paragraph" w:styleId="aff1">
    <w:name w:val="Closing"/>
    <w:basedOn w:val="a1"/>
    <w:semiHidden/>
    <w:pPr>
      <w:ind w:leftChars="1800" w:left="100"/>
    </w:pPr>
  </w:style>
  <w:style w:type="paragraph" w:styleId="aff2">
    <w:name w:val="footnote text"/>
    <w:basedOn w:val="a1"/>
    <w:semiHidden/>
    <w:pPr>
      <w:snapToGrid w:val="0"/>
    </w:pPr>
    <w:rPr>
      <w:sz w:val="20"/>
      <w:szCs w:val="20"/>
    </w:rPr>
  </w:style>
  <w:style w:type="paragraph" w:styleId="aff3">
    <w:name w:val="annotation text"/>
    <w:basedOn w:val="a1"/>
    <w:semiHidden/>
  </w:style>
  <w:style w:type="paragraph" w:styleId="aff4">
    <w:name w:val="Note Heading"/>
    <w:basedOn w:val="a1"/>
    <w:next w:val="a1"/>
    <w:semiHidden/>
    <w:pPr>
      <w:jc w:val="center"/>
    </w:pPr>
  </w:style>
  <w:style w:type="paragraph" w:styleId="a0">
    <w:name w:val="List Bullet"/>
    <w:basedOn w:val="a1"/>
    <w:autoRedefine/>
    <w:semiHidden/>
    <w:pPr>
      <w:numPr>
        <w:numId w:val="13"/>
      </w:numPr>
    </w:pPr>
  </w:style>
  <w:style w:type="paragraph" w:styleId="20">
    <w:name w:val="List Bullet 2"/>
    <w:basedOn w:val="a1"/>
    <w:autoRedefine/>
    <w:semiHidden/>
    <w:pPr>
      <w:numPr>
        <w:numId w:val="14"/>
      </w:numPr>
    </w:pPr>
  </w:style>
  <w:style w:type="paragraph" w:styleId="30">
    <w:name w:val="List Bullet 3"/>
    <w:basedOn w:val="a1"/>
    <w:autoRedefine/>
    <w:semiHidden/>
    <w:pPr>
      <w:numPr>
        <w:numId w:val="15"/>
      </w:numPr>
    </w:pPr>
  </w:style>
  <w:style w:type="paragraph" w:styleId="40">
    <w:name w:val="List Bullet 4"/>
    <w:basedOn w:val="a1"/>
    <w:autoRedefine/>
    <w:semiHidden/>
    <w:pPr>
      <w:numPr>
        <w:numId w:val="16"/>
      </w:numPr>
    </w:pPr>
  </w:style>
  <w:style w:type="paragraph" w:styleId="50">
    <w:name w:val="List Bullet 5"/>
    <w:basedOn w:val="a1"/>
    <w:autoRedefine/>
    <w:semiHidden/>
    <w:pPr>
      <w:numPr>
        <w:numId w:val="17"/>
      </w:numPr>
    </w:pPr>
  </w:style>
  <w:style w:type="paragraph" w:styleId="aff5">
    <w:name w:val="E-mail Signature"/>
    <w:basedOn w:val="a1"/>
    <w:semiHidden/>
  </w:style>
  <w:style w:type="paragraph" w:styleId="aff6">
    <w:name w:val="table of figures"/>
    <w:basedOn w:val="a1"/>
    <w:next w:val="a1"/>
    <w:semiHidden/>
    <w:pPr>
      <w:ind w:leftChars="400" w:left="960" w:hangingChars="200" w:hanging="480"/>
    </w:pPr>
  </w:style>
  <w:style w:type="paragraph" w:styleId="aff7">
    <w:name w:val="caption"/>
    <w:basedOn w:val="a1"/>
    <w:next w:val="a1"/>
    <w:qFormat/>
    <w:pPr>
      <w:spacing w:before="120" w:after="120"/>
    </w:pPr>
    <w:rPr>
      <w:sz w:val="20"/>
      <w:szCs w:val="20"/>
    </w:rPr>
  </w:style>
  <w:style w:type="paragraph" w:styleId="aff8">
    <w:name w:val="Title"/>
    <w:basedOn w:val="a1"/>
    <w:qFormat/>
    <w:pPr>
      <w:spacing w:before="240" w:after="60"/>
      <w:jc w:val="center"/>
      <w:outlineLvl w:val="0"/>
    </w:pPr>
    <w:rPr>
      <w:rFonts w:ascii="Arial" w:hAnsi="Arial" w:cs="Arial"/>
      <w:b/>
      <w:bCs/>
      <w:sz w:val="32"/>
      <w:szCs w:val="32"/>
    </w:rPr>
  </w:style>
  <w:style w:type="paragraph" w:styleId="aff9">
    <w:name w:val="Signature"/>
    <w:basedOn w:val="a1"/>
    <w:semiHidden/>
    <w:pPr>
      <w:ind w:leftChars="1800" w:left="100"/>
    </w:pPr>
  </w:style>
  <w:style w:type="paragraph" w:styleId="affa">
    <w:name w:val="Balloon Text"/>
    <w:basedOn w:val="a1"/>
    <w:link w:val="affb"/>
    <w:uiPriority w:val="99"/>
    <w:semiHidden/>
    <w:unhideWhenUsed/>
    <w:rsid w:val="00AE4ACF"/>
    <w:rPr>
      <w:rFonts w:ascii="Cambria" w:hAnsi="Cambria"/>
      <w:sz w:val="18"/>
      <w:szCs w:val="18"/>
    </w:rPr>
  </w:style>
  <w:style w:type="character" w:customStyle="1" w:styleId="affb">
    <w:name w:val="註解方塊文字 字元"/>
    <w:link w:val="affa"/>
    <w:uiPriority w:val="99"/>
    <w:semiHidden/>
    <w:rsid w:val="00AE4ACF"/>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C87D5-5C6B-40B0-8906-D2F50FD00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1092</Words>
  <Characters>6228</Characters>
  <Application>Microsoft Office Word</Application>
  <DocSecurity>0</DocSecurity>
  <Lines>51</Lines>
  <Paragraphs>14</Paragraphs>
  <ScaleCrop>false</ScaleCrop>
  <Company>cbc</Company>
  <LinksUpToDate>false</LinksUpToDate>
  <CharactersWithSpaces>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dc:title>
  <dc:creator>呂桂玲</dc:creator>
  <cp:lastModifiedBy>胡淵欽</cp:lastModifiedBy>
  <cp:revision>2</cp:revision>
  <cp:lastPrinted>2019-12-12T02:17:00Z</cp:lastPrinted>
  <dcterms:created xsi:type="dcterms:W3CDTF">2020-03-03T05:57:00Z</dcterms:created>
  <dcterms:modified xsi:type="dcterms:W3CDTF">2020-03-03T05:57:00Z</dcterms:modified>
</cp:coreProperties>
</file>